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1CF59" w14:textId="77777777" w:rsidR="00A832FB" w:rsidRPr="00B67CC1" w:rsidRDefault="00F646EC" w:rsidP="00A525D9">
      <w:pPr>
        <w:pStyle w:val="NoSpacing"/>
        <w:rPr>
          <w:rFonts w:ascii="Gill Sans MT" w:hAnsi="Gill Sans MT"/>
          <w:b/>
          <w:i/>
        </w:rPr>
      </w:pPr>
      <w:r w:rsidRPr="00B67CC1">
        <w:rPr>
          <w:rFonts w:ascii="Gill Sans MT" w:hAnsi="Gill Sans MT"/>
          <w:b/>
          <w:i/>
        </w:rPr>
        <w:t xml:space="preserve">Instrumentalism in Human Rights and the Media: </w:t>
      </w:r>
      <w:r w:rsidR="006F7FA9">
        <w:rPr>
          <w:rFonts w:ascii="Gill Sans MT" w:hAnsi="Gill Sans MT"/>
          <w:b/>
          <w:i/>
        </w:rPr>
        <w:t xml:space="preserve"> </w:t>
      </w:r>
      <w:r w:rsidR="00C67008">
        <w:rPr>
          <w:rFonts w:ascii="Gill Sans MT" w:hAnsi="Gill Sans MT"/>
          <w:b/>
          <w:i/>
        </w:rPr>
        <w:t>Locking Out</w:t>
      </w:r>
      <w:r w:rsidRPr="00B67CC1">
        <w:rPr>
          <w:rFonts w:ascii="Gill Sans MT" w:hAnsi="Gill Sans MT"/>
          <w:b/>
          <w:i/>
        </w:rPr>
        <w:t xml:space="preserve"> </w:t>
      </w:r>
      <w:r w:rsidRPr="0075165B">
        <w:rPr>
          <w:rFonts w:ascii="Gill Sans MT" w:hAnsi="Gill Sans MT"/>
          <w:b/>
          <w:i/>
        </w:rPr>
        <w:t>Democratic</w:t>
      </w:r>
      <w:r w:rsidR="00B67CC1" w:rsidRPr="0075165B">
        <w:rPr>
          <w:rFonts w:ascii="Gill Sans MT" w:hAnsi="Gill Sans MT"/>
          <w:b/>
          <w:i/>
        </w:rPr>
        <w:t xml:space="preserve"> Scepticism?</w:t>
      </w:r>
    </w:p>
    <w:p w14:paraId="194C6E6A" w14:textId="77777777" w:rsidR="00A525D9" w:rsidRDefault="00A525D9" w:rsidP="00A525D9">
      <w:pPr>
        <w:pStyle w:val="NoSpacing"/>
        <w:rPr>
          <w:rFonts w:ascii="Gill Sans MT" w:hAnsi="Gill Sans MT"/>
        </w:rPr>
      </w:pPr>
    </w:p>
    <w:p w14:paraId="24348D56" w14:textId="77777777" w:rsidR="00B67CC1" w:rsidRDefault="00B67CC1" w:rsidP="00A525D9">
      <w:pPr>
        <w:pStyle w:val="NoSpacing"/>
        <w:rPr>
          <w:rFonts w:ascii="Gill Sans MT" w:hAnsi="Gill Sans MT"/>
        </w:rPr>
      </w:pPr>
      <w:r>
        <w:rPr>
          <w:rFonts w:ascii="Gill Sans MT" w:hAnsi="Gill Sans MT"/>
        </w:rPr>
        <w:t>Michael Gordon</w:t>
      </w:r>
    </w:p>
    <w:p w14:paraId="0F1ED1E5" w14:textId="77777777" w:rsidR="00A525D9" w:rsidRDefault="00A525D9" w:rsidP="00A525D9">
      <w:pPr>
        <w:pStyle w:val="NoSpacing"/>
        <w:rPr>
          <w:rFonts w:ascii="Gill Sans MT" w:hAnsi="Gill Sans MT"/>
        </w:rPr>
      </w:pPr>
    </w:p>
    <w:p w14:paraId="2C66F3C4" w14:textId="77777777" w:rsidR="00B67CC1" w:rsidRPr="00F42DE9" w:rsidRDefault="00B67CC1" w:rsidP="00B67CC1">
      <w:pPr>
        <w:pStyle w:val="NoSpacing"/>
        <w:jc w:val="both"/>
        <w:rPr>
          <w:rFonts w:ascii="Gill Sans MT" w:hAnsi="Gill Sans MT"/>
          <w:i/>
          <w:u w:val="single"/>
        </w:rPr>
      </w:pPr>
      <w:r w:rsidRPr="00F42DE9">
        <w:rPr>
          <w:rFonts w:ascii="Gill Sans MT" w:hAnsi="Gill Sans MT"/>
          <w:i/>
          <w:u w:val="single"/>
        </w:rPr>
        <w:t>Introduction</w:t>
      </w:r>
    </w:p>
    <w:p w14:paraId="04A27B2D" w14:textId="77777777" w:rsidR="00B67CC1" w:rsidRDefault="00B67CC1" w:rsidP="00B67CC1">
      <w:pPr>
        <w:pStyle w:val="NoSpacing"/>
        <w:jc w:val="both"/>
        <w:rPr>
          <w:rFonts w:ascii="Gill Sans MT" w:hAnsi="Gill Sans MT"/>
        </w:rPr>
      </w:pPr>
      <w:bookmarkStart w:id="0" w:name="_GoBack"/>
      <w:bookmarkEnd w:id="0"/>
    </w:p>
    <w:p w14:paraId="685C2012" w14:textId="1F7BD2AD" w:rsidR="00FA1757" w:rsidRDefault="00B67CC1" w:rsidP="00B67CC1">
      <w:pPr>
        <w:pStyle w:val="NoSpacing"/>
        <w:jc w:val="both"/>
        <w:rPr>
          <w:rFonts w:ascii="Gill Sans MT" w:hAnsi="Gill Sans MT"/>
        </w:rPr>
      </w:pPr>
      <w:r>
        <w:rPr>
          <w:rFonts w:ascii="Gill Sans MT" w:hAnsi="Gill Sans MT"/>
        </w:rPr>
        <w:t>Public debates about human rights –</w:t>
      </w:r>
      <w:r w:rsidR="00C67008">
        <w:rPr>
          <w:rFonts w:ascii="Gill Sans MT" w:hAnsi="Gill Sans MT"/>
        </w:rPr>
        <w:t xml:space="preserve"> </w:t>
      </w:r>
      <w:r>
        <w:rPr>
          <w:rFonts w:ascii="Gill Sans MT" w:hAnsi="Gill Sans MT"/>
        </w:rPr>
        <w:t>as filtered through the lens of the media – have a seemingly binary character. The ‘</w:t>
      </w:r>
      <w:r w:rsidR="003E6422">
        <w:rPr>
          <w:rFonts w:ascii="Gill Sans MT" w:hAnsi="Gill Sans MT"/>
        </w:rPr>
        <w:t>Bad P</w:t>
      </w:r>
      <w:r>
        <w:rPr>
          <w:rFonts w:ascii="Gill Sans MT" w:hAnsi="Gill Sans MT"/>
        </w:rPr>
        <w:t>ress’ distorts and rejects rights claims, whereas the ‘</w:t>
      </w:r>
      <w:r w:rsidR="003E6422">
        <w:rPr>
          <w:rFonts w:ascii="Gill Sans MT" w:hAnsi="Gill Sans MT"/>
        </w:rPr>
        <w:t>Good P</w:t>
      </w:r>
      <w:r>
        <w:rPr>
          <w:rFonts w:ascii="Gill Sans MT" w:hAnsi="Gill Sans MT"/>
        </w:rPr>
        <w:t>ress’ embraces the architecture and value commitments which underpin modern human rights law. Yet</w:t>
      </w:r>
      <w:r w:rsidR="00EC6C7F">
        <w:rPr>
          <w:rFonts w:ascii="Gill Sans MT" w:hAnsi="Gill Sans MT"/>
        </w:rPr>
        <w:t>,</w:t>
      </w:r>
      <w:r>
        <w:rPr>
          <w:rFonts w:ascii="Gill Sans MT" w:hAnsi="Gill Sans MT"/>
        </w:rPr>
        <w:t xml:space="preserve"> in framing debates about rights in this way, the inherently political nature of both positions (and any others which might be imagined between these </w:t>
      </w:r>
      <w:r w:rsidR="00FA1757">
        <w:rPr>
          <w:rFonts w:ascii="Gill Sans MT" w:hAnsi="Gill Sans MT"/>
        </w:rPr>
        <w:t xml:space="preserve">caricatured </w:t>
      </w:r>
      <w:r>
        <w:rPr>
          <w:rFonts w:ascii="Gill Sans MT" w:hAnsi="Gill Sans MT"/>
        </w:rPr>
        <w:t>extremes) is readily overlooked. This paper reflects on the implications of characterising argument about the contemporary salience of human rights in this way. It suggests that human rights claims are instrumentalised, by press both ‘</w:t>
      </w:r>
      <w:r w:rsidR="003E6422">
        <w:rPr>
          <w:rFonts w:ascii="Gill Sans MT" w:hAnsi="Gill Sans MT"/>
        </w:rPr>
        <w:t>Bad’ and ‘G</w:t>
      </w:r>
      <w:r>
        <w:rPr>
          <w:rFonts w:ascii="Gill Sans MT" w:hAnsi="Gill Sans MT"/>
        </w:rPr>
        <w:t xml:space="preserve">ood’, </w:t>
      </w:r>
      <w:r w:rsidR="00C67008">
        <w:rPr>
          <w:rFonts w:ascii="Gill Sans MT" w:hAnsi="Gill Sans MT"/>
        </w:rPr>
        <w:t xml:space="preserve">but </w:t>
      </w:r>
      <w:r w:rsidR="003E6422">
        <w:rPr>
          <w:rFonts w:ascii="Gill Sans MT" w:hAnsi="Gill Sans MT"/>
        </w:rPr>
        <w:t>for different ends</w:t>
      </w:r>
      <w:r w:rsidR="00FA1757">
        <w:rPr>
          <w:rFonts w:ascii="Gill Sans MT" w:hAnsi="Gill Sans MT"/>
        </w:rPr>
        <w:t>.</w:t>
      </w:r>
    </w:p>
    <w:p w14:paraId="3147519E" w14:textId="2DE54645" w:rsidR="00B86AF3" w:rsidRDefault="009318C9" w:rsidP="00FA1757">
      <w:pPr>
        <w:pStyle w:val="NoSpacing"/>
        <w:ind w:firstLine="720"/>
        <w:jc w:val="both"/>
        <w:rPr>
          <w:rFonts w:ascii="Gill Sans MT" w:hAnsi="Gill Sans MT"/>
        </w:rPr>
      </w:pPr>
      <w:r>
        <w:rPr>
          <w:rFonts w:ascii="Gill Sans MT" w:hAnsi="Gill Sans MT"/>
        </w:rPr>
        <w:t>T</w:t>
      </w:r>
      <w:r w:rsidR="00C67008">
        <w:rPr>
          <w:rFonts w:ascii="Gill Sans MT" w:hAnsi="Gill Sans MT"/>
        </w:rPr>
        <w:t xml:space="preserve">his should not be surprising, </w:t>
      </w:r>
      <w:r>
        <w:rPr>
          <w:rFonts w:ascii="Gill Sans MT" w:hAnsi="Gill Sans MT"/>
        </w:rPr>
        <w:t xml:space="preserve">however, </w:t>
      </w:r>
      <w:r w:rsidR="00C67008">
        <w:rPr>
          <w:rFonts w:ascii="Gill Sans MT" w:hAnsi="Gill Sans MT"/>
        </w:rPr>
        <w:t xml:space="preserve">for it is in the very nature of the legal human rights discourse that rights claims become instrumentalised in a paradigm which is oriented to the (in)justice of outcomes. </w:t>
      </w:r>
      <w:r w:rsidR="00B67CC1">
        <w:rPr>
          <w:rFonts w:ascii="Gill Sans MT" w:hAnsi="Gill Sans MT"/>
        </w:rPr>
        <w:t>Th</w:t>
      </w:r>
      <w:r w:rsidR="00C67008">
        <w:rPr>
          <w:rFonts w:ascii="Gill Sans MT" w:hAnsi="Gill Sans MT"/>
        </w:rPr>
        <w:t>is</w:t>
      </w:r>
      <w:r w:rsidR="00B67CC1">
        <w:rPr>
          <w:rFonts w:ascii="Gill Sans MT" w:hAnsi="Gill Sans MT"/>
        </w:rPr>
        <w:t xml:space="preserve"> outcome orientation of modern human rights law, and the use and representation of rights claims in (and by) the modern media, </w:t>
      </w:r>
      <w:r w:rsidR="00C67008">
        <w:rPr>
          <w:rFonts w:ascii="Gill Sans MT" w:hAnsi="Gill Sans MT"/>
        </w:rPr>
        <w:t xml:space="preserve">may </w:t>
      </w:r>
      <w:r w:rsidR="00B67CC1">
        <w:rPr>
          <w:rFonts w:ascii="Gill Sans MT" w:hAnsi="Gill Sans MT"/>
        </w:rPr>
        <w:t xml:space="preserve">distract our attention from thinking about </w:t>
      </w:r>
      <w:proofErr w:type="gramStart"/>
      <w:r w:rsidR="00B67CC1">
        <w:rPr>
          <w:rFonts w:ascii="Gill Sans MT" w:hAnsi="Gill Sans MT"/>
        </w:rPr>
        <w:t>the means by which</w:t>
      </w:r>
      <w:proofErr w:type="gramEnd"/>
      <w:r w:rsidR="00B67CC1">
        <w:rPr>
          <w:rFonts w:ascii="Gill Sans MT" w:hAnsi="Gill Sans MT"/>
        </w:rPr>
        <w:t xml:space="preserve"> political decisions are </w:t>
      </w:r>
      <w:r w:rsidR="00FA1757">
        <w:rPr>
          <w:rFonts w:ascii="Gill Sans MT" w:hAnsi="Gill Sans MT"/>
        </w:rPr>
        <w:t xml:space="preserve">(and ought to be) </w:t>
      </w:r>
      <w:r w:rsidR="00B67CC1">
        <w:rPr>
          <w:rFonts w:ascii="Gill Sans MT" w:hAnsi="Gill Sans MT"/>
        </w:rPr>
        <w:t xml:space="preserve">taken. </w:t>
      </w:r>
      <w:r w:rsidR="00FA1757">
        <w:rPr>
          <w:rFonts w:ascii="Gill Sans MT" w:hAnsi="Gill Sans MT"/>
        </w:rPr>
        <w:t xml:space="preserve">One </w:t>
      </w:r>
      <w:proofErr w:type="gramStart"/>
      <w:r w:rsidR="00FA1757">
        <w:rPr>
          <w:rFonts w:ascii="Gill Sans MT" w:hAnsi="Gill Sans MT"/>
        </w:rPr>
        <w:t xml:space="preserve">particular </w:t>
      </w:r>
      <w:r w:rsidR="002D19F1">
        <w:rPr>
          <w:rFonts w:ascii="Gill Sans MT" w:hAnsi="Gill Sans MT"/>
        </w:rPr>
        <w:t>consequence</w:t>
      </w:r>
      <w:proofErr w:type="gramEnd"/>
      <w:r w:rsidR="002D19F1">
        <w:rPr>
          <w:rFonts w:ascii="Gill Sans MT" w:hAnsi="Gill Sans MT"/>
        </w:rPr>
        <w:t xml:space="preserve"> is that</w:t>
      </w:r>
      <w:r w:rsidR="00B67CC1">
        <w:rPr>
          <w:rFonts w:ascii="Gill Sans MT" w:hAnsi="Gill Sans MT"/>
        </w:rPr>
        <w:t xml:space="preserve"> little space is left for </w:t>
      </w:r>
      <w:r w:rsidR="00CB0D5D">
        <w:rPr>
          <w:rFonts w:ascii="Gill Sans MT" w:hAnsi="Gill Sans MT"/>
        </w:rPr>
        <w:t xml:space="preserve">public debate to be influenced by </w:t>
      </w:r>
      <w:r w:rsidR="00B67CC1">
        <w:rPr>
          <w:rFonts w:ascii="Gill Sans MT" w:hAnsi="Gill Sans MT"/>
        </w:rPr>
        <w:t xml:space="preserve">democratic scepticism about human rights law. It may be unreasonable – perhaps even impossible – to expect that democratic critiques of modern human rights law could be translated for use in the media. </w:t>
      </w:r>
      <w:r w:rsidR="00FA1757">
        <w:rPr>
          <w:rFonts w:ascii="Gill Sans MT" w:hAnsi="Gill Sans MT"/>
        </w:rPr>
        <w:t>Nevertheless, the reflection of the instrumental nature of human rights law in debates about media reporting has the potential to lock in this outcome oriented paradigm, and lock out sceptical perspectives on the systemic difficulties with legal structures established for t</w:t>
      </w:r>
      <w:r w:rsidR="00B86AF3">
        <w:rPr>
          <w:rFonts w:ascii="Gill Sans MT" w:hAnsi="Gill Sans MT"/>
        </w:rPr>
        <w:t>he protection of human rights.</w:t>
      </w:r>
    </w:p>
    <w:p w14:paraId="1812F6A3" w14:textId="1C60B220" w:rsidR="00B67CC1" w:rsidRDefault="00943F9E" w:rsidP="00FA1757">
      <w:pPr>
        <w:pStyle w:val="NoSpacing"/>
        <w:ind w:firstLine="720"/>
        <w:jc w:val="both"/>
        <w:rPr>
          <w:rFonts w:ascii="Gill Sans MT" w:hAnsi="Gill Sans MT"/>
        </w:rPr>
      </w:pPr>
      <w:r>
        <w:rPr>
          <w:rFonts w:ascii="Gill Sans MT" w:hAnsi="Gill Sans MT"/>
        </w:rPr>
        <w:t>This</w:t>
      </w:r>
      <w:r w:rsidR="00B86AF3">
        <w:rPr>
          <w:rFonts w:ascii="Gill Sans MT" w:hAnsi="Gill Sans MT"/>
        </w:rPr>
        <w:t xml:space="preserve"> paper first explores the architecture of the debate about media representations of legal human rights, and the way in </w:t>
      </w:r>
      <w:r w:rsidR="00306D7E">
        <w:rPr>
          <w:rFonts w:ascii="Gill Sans MT" w:hAnsi="Gill Sans MT"/>
        </w:rPr>
        <w:t xml:space="preserve">which </w:t>
      </w:r>
      <w:r w:rsidR="00B86AF3">
        <w:rPr>
          <w:rFonts w:ascii="Gill Sans MT" w:hAnsi="Gill Sans MT"/>
        </w:rPr>
        <w:t>discussion is framed in binary terms. The paper then moves on to consider the implications of the instrumentalism which prompts a focus on the ends, rather than the means, of human rights law in public debate. Finally, t</w:t>
      </w:r>
      <w:r w:rsidR="00B67CC1">
        <w:rPr>
          <w:rFonts w:ascii="Gill Sans MT" w:hAnsi="Gill Sans MT"/>
        </w:rPr>
        <w:t>he paper concludes by reflecting on</w:t>
      </w:r>
      <w:r w:rsidR="00475FBC">
        <w:rPr>
          <w:rFonts w:ascii="Gill Sans MT" w:hAnsi="Gill Sans MT"/>
        </w:rPr>
        <w:t xml:space="preserve"> the</w:t>
      </w:r>
      <w:r w:rsidR="00B67CC1">
        <w:rPr>
          <w:rFonts w:ascii="Gill Sans MT" w:hAnsi="Gill Sans MT"/>
        </w:rPr>
        <w:t xml:space="preserve"> </w:t>
      </w:r>
      <w:r w:rsidR="00B86AF3">
        <w:rPr>
          <w:rFonts w:ascii="Gill Sans MT" w:hAnsi="Gill Sans MT"/>
        </w:rPr>
        <w:t xml:space="preserve">consequences of framing media debate about human rights law in these terms, and considers </w:t>
      </w:r>
      <w:r w:rsidR="00B67CC1">
        <w:rPr>
          <w:rFonts w:ascii="Gill Sans MT" w:hAnsi="Gill Sans MT"/>
        </w:rPr>
        <w:t>whether this is simply further evidence that, in furiously debating the use and abuse of rights claims by the modern press, we are having the wrong argument, about the wrong problem.</w:t>
      </w:r>
    </w:p>
    <w:p w14:paraId="2A8C95B2" w14:textId="77777777" w:rsidR="00B67CC1" w:rsidRDefault="00B67CC1" w:rsidP="00A525D9">
      <w:pPr>
        <w:pStyle w:val="NoSpacing"/>
        <w:rPr>
          <w:rFonts w:ascii="Gill Sans MT" w:hAnsi="Gill Sans MT"/>
        </w:rPr>
      </w:pPr>
    </w:p>
    <w:p w14:paraId="6E579644" w14:textId="77777777" w:rsidR="00290CB0" w:rsidRPr="00F42DE9" w:rsidRDefault="00F42DE9" w:rsidP="00A525D9">
      <w:pPr>
        <w:pStyle w:val="NoSpacing"/>
        <w:rPr>
          <w:rFonts w:ascii="Gill Sans MT" w:hAnsi="Gill Sans MT"/>
          <w:i/>
          <w:u w:val="single"/>
        </w:rPr>
      </w:pPr>
      <w:r w:rsidRPr="00F42DE9">
        <w:rPr>
          <w:rFonts w:ascii="Gill Sans MT" w:hAnsi="Gill Sans MT"/>
          <w:i/>
          <w:u w:val="single"/>
        </w:rPr>
        <w:t>T</w:t>
      </w:r>
      <w:r>
        <w:rPr>
          <w:rFonts w:ascii="Gill Sans MT" w:hAnsi="Gill Sans MT"/>
          <w:i/>
          <w:u w:val="single"/>
        </w:rPr>
        <w:t>he A</w:t>
      </w:r>
      <w:r w:rsidRPr="00F42DE9">
        <w:rPr>
          <w:rFonts w:ascii="Gill Sans MT" w:hAnsi="Gill Sans MT"/>
          <w:i/>
          <w:u w:val="single"/>
        </w:rPr>
        <w:t xml:space="preserve">rchitecture of </w:t>
      </w:r>
      <w:r w:rsidR="004A4536">
        <w:rPr>
          <w:rFonts w:ascii="Gill Sans MT" w:hAnsi="Gill Sans MT"/>
          <w:i/>
          <w:u w:val="single"/>
        </w:rPr>
        <w:t>Debate</w:t>
      </w:r>
      <w:r>
        <w:rPr>
          <w:rFonts w:ascii="Gill Sans MT" w:hAnsi="Gill Sans MT"/>
          <w:i/>
          <w:u w:val="single"/>
        </w:rPr>
        <w:t xml:space="preserve"> about </w:t>
      </w:r>
      <w:r w:rsidR="00B86AF3">
        <w:rPr>
          <w:rFonts w:ascii="Gill Sans MT" w:hAnsi="Gill Sans MT"/>
          <w:i/>
          <w:u w:val="single"/>
        </w:rPr>
        <w:t xml:space="preserve">Media Representations of </w:t>
      </w:r>
      <w:r>
        <w:rPr>
          <w:rFonts w:ascii="Gill Sans MT" w:hAnsi="Gill Sans MT"/>
          <w:i/>
          <w:u w:val="single"/>
        </w:rPr>
        <w:t>Legal Human R</w:t>
      </w:r>
      <w:r w:rsidRPr="00F42DE9">
        <w:rPr>
          <w:rFonts w:ascii="Gill Sans MT" w:hAnsi="Gill Sans MT"/>
          <w:i/>
          <w:u w:val="single"/>
        </w:rPr>
        <w:t>ights</w:t>
      </w:r>
    </w:p>
    <w:p w14:paraId="312CAF48" w14:textId="77777777" w:rsidR="00290CB0" w:rsidRDefault="00290CB0" w:rsidP="00A525D9">
      <w:pPr>
        <w:pStyle w:val="NoSpacing"/>
        <w:rPr>
          <w:rFonts w:ascii="Gill Sans MT" w:hAnsi="Gill Sans MT"/>
          <w:u w:val="single"/>
        </w:rPr>
      </w:pPr>
    </w:p>
    <w:p w14:paraId="1A4D2B4F" w14:textId="322C1FCF" w:rsidR="002B226A" w:rsidRDefault="00036CD7" w:rsidP="00A64447">
      <w:pPr>
        <w:pStyle w:val="NoSpacing"/>
        <w:jc w:val="both"/>
        <w:rPr>
          <w:rFonts w:ascii="Gill Sans MT" w:hAnsi="Gill Sans MT"/>
        </w:rPr>
      </w:pPr>
      <w:r>
        <w:rPr>
          <w:rFonts w:ascii="Gill Sans MT" w:hAnsi="Gill Sans MT"/>
        </w:rPr>
        <w:t xml:space="preserve">The legal protection of human rights in the UK </w:t>
      </w:r>
      <w:r w:rsidR="00796E25">
        <w:rPr>
          <w:rFonts w:ascii="Gill Sans MT" w:hAnsi="Gill Sans MT"/>
        </w:rPr>
        <w:t>was transformed by the enactment of the Human Rights Act 1998</w:t>
      </w:r>
      <w:r w:rsidR="002B226A">
        <w:rPr>
          <w:rFonts w:ascii="Gill Sans MT" w:hAnsi="Gill Sans MT"/>
        </w:rPr>
        <w:t xml:space="preserve"> (HRA)</w:t>
      </w:r>
      <w:r w:rsidR="00796E25">
        <w:rPr>
          <w:rFonts w:ascii="Gill Sans MT" w:hAnsi="Gill Sans MT"/>
        </w:rPr>
        <w:t>. This legislation provided overarching protection for the core rights set out in the European Convention of Human Rights</w:t>
      </w:r>
      <w:r w:rsidR="002B226A">
        <w:rPr>
          <w:rFonts w:ascii="Gill Sans MT" w:hAnsi="Gill Sans MT"/>
        </w:rPr>
        <w:t xml:space="preserve"> (ECHR)</w:t>
      </w:r>
      <w:r w:rsidR="00796E25">
        <w:rPr>
          <w:rFonts w:ascii="Gill Sans MT" w:hAnsi="Gill Sans MT"/>
        </w:rPr>
        <w:t xml:space="preserve">, to which the UK had been a signatory as a matter of international law since </w:t>
      </w:r>
      <w:r w:rsidR="00796E25" w:rsidRPr="00A50466">
        <w:rPr>
          <w:rFonts w:ascii="Gill Sans MT" w:hAnsi="Gill Sans MT"/>
        </w:rPr>
        <w:t>1950</w:t>
      </w:r>
      <w:r w:rsidR="00796E25">
        <w:rPr>
          <w:rFonts w:ascii="Gill Sans MT" w:hAnsi="Gill Sans MT"/>
        </w:rPr>
        <w:t>.</w:t>
      </w:r>
      <w:r w:rsidR="00796E25">
        <w:rPr>
          <w:rStyle w:val="FootnoteReference"/>
          <w:rFonts w:ascii="Gill Sans MT" w:hAnsi="Gill Sans MT"/>
        </w:rPr>
        <w:footnoteReference w:id="1"/>
      </w:r>
      <w:r w:rsidR="00796E25">
        <w:rPr>
          <w:rFonts w:ascii="Gill Sans MT" w:hAnsi="Gill Sans MT"/>
        </w:rPr>
        <w:t xml:space="preserve"> </w:t>
      </w:r>
      <w:r w:rsidR="002B226A">
        <w:rPr>
          <w:rFonts w:ascii="Gill Sans MT" w:hAnsi="Gill Sans MT"/>
        </w:rPr>
        <w:t>For some, it was the ‘</w:t>
      </w:r>
      <w:r w:rsidR="00E57CA1">
        <w:rPr>
          <w:rFonts w:ascii="Gill Sans MT" w:hAnsi="Gill Sans MT"/>
        </w:rPr>
        <w:t>cornerstone</w:t>
      </w:r>
      <w:r w:rsidR="002B226A">
        <w:rPr>
          <w:rFonts w:ascii="Gill Sans MT" w:hAnsi="Gill Sans MT"/>
        </w:rPr>
        <w:t>’ of the UK’s new constitution.</w:t>
      </w:r>
      <w:r w:rsidR="002B226A">
        <w:rPr>
          <w:rStyle w:val="FootnoteReference"/>
          <w:rFonts w:ascii="Gill Sans MT" w:hAnsi="Gill Sans MT"/>
        </w:rPr>
        <w:footnoteReference w:id="2"/>
      </w:r>
      <w:r w:rsidR="002B226A">
        <w:rPr>
          <w:rFonts w:ascii="Gill Sans MT" w:hAnsi="Gill Sans MT"/>
        </w:rPr>
        <w:t xml:space="preserve"> While</w:t>
      </w:r>
      <w:r w:rsidR="00A50466">
        <w:rPr>
          <w:rFonts w:ascii="Gill Sans MT" w:hAnsi="Gill Sans MT"/>
        </w:rPr>
        <w:t xml:space="preserve"> such</w:t>
      </w:r>
      <w:r w:rsidR="002B226A">
        <w:rPr>
          <w:rFonts w:ascii="Gill Sans MT" w:hAnsi="Gill Sans MT"/>
        </w:rPr>
        <w:t xml:space="preserve"> claims </w:t>
      </w:r>
      <w:r w:rsidR="004A4536">
        <w:rPr>
          <w:rFonts w:ascii="Gill Sans MT" w:hAnsi="Gill Sans MT"/>
        </w:rPr>
        <w:t>as to</w:t>
      </w:r>
      <w:r w:rsidR="002B226A">
        <w:rPr>
          <w:rFonts w:ascii="Gill Sans MT" w:hAnsi="Gill Sans MT"/>
        </w:rPr>
        <w:t xml:space="preserve"> the constitutional centrality of the HRA 1998 are misplaced, not least given</w:t>
      </w:r>
      <w:r w:rsidR="004A4536">
        <w:rPr>
          <w:rFonts w:ascii="Gill Sans MT" w:hAnsi="Gill Sans MT"/>
        </w:rPr>
        <w:t xml:space="preserve"> live</w:t>
      </w:r>
      <w:r w:rsidR="002B226A">
        <w:rPr>
          <w:rFonts w:ascii="Gill Sans MT" w:hAnsi="Gill Sans MT"/>
        </w:rPr>
        <w:t xml:space="preserve"> questions about the likelihood that this legislation will endure,</w:t>
      </w:r>
      <w:r w:rsidR="002B226A">
        <w:rPr>
          <w:rStyle w:val="FootnoteReference"/>
          <w:rFonts w:ascii="Gill Sans MT" w:hAnsi="Gill Sans MT"/>
        </w:rPr>
        <w:footnoteReference w:id="3"/>
      </w:r>
      <w:r w:rsidR="002B226A">
        <w:rPr>
          <w:rFonts w:ascii="Gill Sans MT" w:hAnsi="Gill Sans MT"/>
        </w:rPr>
        <w:t xml:space="preserve"> the impact of the domestication of human rights has been significant. </w:t>
      </w:r>
      <w:r w:rsidR="004939A7">
        <w:rPr>
          <w:rFonts w:ascii="Gill Sans MT" w:hAnsi="Gill Sans MT"/>
        </w:rPr>
        <w:t xml:space="preserve">It has changed the form and nature of much constitutional argument, and prompted an (ongoing) recalibration of the relationships between the courts, the government, </w:t>
      </w:r>
      <w:r w:rsidR="004939A7">
        <w:rPr>
          <w:rFonts w:ascii="Gill Sans MT" w:hAnsi="Gill Sans MT"/>
        </w:rPr>
        <w:lastRenderedPageBreak/>
        <w:t xml:space="preserve">and Parliament. </w:t>
      </w:r>
      <w:r w:rsidR="00122C9E">
        <w:rPr>
          <w:rFonts w:ascii="Gill Sans MT" w:hAnsi="Gill Sans MT"/>
        </w:rPr>
        <w:t>And this has been the UK’s part of a broader ‘rights revolution’</w:t>
      </w:r>
      <w:r w:rsidR="008D5785">
        <w:rPr>
          <w:rFonts w:ascii="Gill Sans MT" w:hAnsi="Gill Sans MT"/>
        </w:rPr>
        <w:t xml:space="preserve">, with human rights discourse becoming the dominant language of social justice across the modern </w:t>
      </w:r>
      <w:r w:rsidR="005654E6">
        <w:rPr>
          <w:rFonts w:ascii="Gill Sans MT" w:hAnsi="Gill Sans MT"/>
        </w:rPr>
        <w:t xml:space="preserve">world, and in western liberal </w:t>
      </w:r>
      <w:proofErr w:type="gramStart"/>
      <w:r w:rsidR="005654E6">
        <w:rPr>
          <w:rFonts w:ascii="Gill Sans MT" w:hAnsi="Gill Sans MT"/>
        </w:rPr>
        <w:t>democracies in particular</w:t>
      </w:r>
      <w:proofErr w:type="gramEnd"/>
      <w:r w:rsidR="005654E6">
        <w:rPr>
          <w:rFonts w:ascii="Gill Sans MT" w:hAnsi="Gill Sans MT"/>
        </w:rPr>
        <w:t>.</w:t>
      </w:r>
      <w:r w:rsidR="008B506C">
        <w:rPr>
          <w:rStyle w:val="FootnoteReference"/>
          <w:rFonts w:ascii="Gill Sans MT" w:hAnsi="Gill Sans MT"/>
        </w:rPr>
        <w:footnoteReference w:id="4"/>
      </w:r>
    </w:p>
    <w:p w14:paraId="1D833A7C" w14:textId="7D8C1A21" w:rsidR="00635B0E" w:rsidRDefault="00D13BA0" w:rsidP="00A64447">
      <w:pPr>
        <w:pStyle w:val="NoSpacing"/>
        <w:ind w:firstLine="720"/>
        <w:jc w:val="both"/>
        <w:rPr>
          <w:rFonts w:ascii="Gill Sans MT" w:hAnsi="Gill Sans MT"/>
        </w:rPr>
      </w:pPr>
      <w:r>
        <w:rPr>
          <w:rFonts w:ascii="Gill Sans MT" w:hAnsi="Gill Sans MT"/>
        </w:rPr>
        <w:t xml:space="preserve">The modern prominence of human rights – both in the UK constitution, and as the </w:t>
      </w:r>
      <w:r w:rsidR="00A50466">
        <w:rPr>
          <w:rFonts w:ascii="Gill Sans MT" w:hAnsi="Gill Sans MT"/>
        </w:rPr>
        <w:t xml:space="preserve">primary </w:t>
      </w:r>
      <w:r>
        <w:rPr>
          <w:rFonts w:ascii="Gill Sans MT" w:hAnsi="Gill Sans MT"/>
        </w:rPr>
        <w:t xml:space="preserve">language of international political argument – has </w:t>
      </w:r>
      <w:r w:rsidR="00635B0E">
        <w:rPr>
          <w:rFonts w:ascii="Gill Sans MT" w:hAnsi="Gill Sans MT"/>
        </w:rPr>
        <w:t xml:space="preserve">inevitably </w:t>
      </w:r>
      <w:r>
        <w:rPr>
          <w:rFonts w:ascii="Gill Sans MT" w:hAnsi="Gill Sans MT"/>
        </w:rPr>
        <w:t xml:space="preserve">been </w:t>
      </w:r>
      <w:r w:rsidR="00635B0E">
        <w:rPr>
          <w:rFonts w:ascii="Gill Sans MT" w:hAnsi="Gill Sans MT"/>
        </w:rPr>
        <w:t xml:space="preserve">reflected in the attention given to the </w:t>
      </w:r>
      <w:r>
        <w:rPr>
          <w:rFonts w:ascii="Gill Sans MT" w:hAnsi="Gill Sans MT"/>
        </w:rPr>
        <w:t>subject</w:t>
      </w:r>
      <w:r w:rsidR="00635B0E">
        <w:rPr>
          <w:rFonts w:ascii="Gill Sans MT" w:hAnsi="Gill Sans MT"/>
        </w:rPr>
        <w:t xml:space="preserve"> in the media. As many other chapters of this collection demonstrate, many of </w:t>
      </w:r>
      <w:r w:rsidR="00A50466">
        <w:rPr>
          <w:rFonts w:ascii="Gill Sans MT" w:hAnsi="Gill Sans MT"/>
        </w:rPr>
        <w:t>the</w:t>
      </w:r>
      <w:r w:rsidR="00635B0E">
        <w:rPr>
          <w:rFonts w:ascii="Gill Sans MT" w:hAnsi="Gill Sans MT"/>
        </w:rPr>
        <w:t xml:space="preserve"> issues </w:t>
      </w:r>
      <w:r w:rsidR="00AF30F0">
        <w:rPr>
          <w:rFonts w:ascii="Gill Sans MT" w:hAnsi="Gill Sans MT"/>
        </w:rPr>
        <w:t xml:space="preserve">tackled in the language of human rights </w:t>
      </w:r>
      <w:r w:rsidR="00635B0E">
        <w:rPr>
          <w:rFonts w:ascii="Gill Sans MT" w:hAnsi="Gill Sans MT"/>
        </w:rPr>
        <w:t xml:space="preserve">are intensely controversial, </w:t>
      </w:r>
      <w:r w:rsidR="00AF30F0">
        <w:rPr>
          <w:rFonts w:ascii="Gill Sans MT" w:hAnsi="Gill Sans MT"/>
        </w:rPr>
        <w:t>ranging from torture and detention without trial, to immigration and asylum, to LGBT discrimination</w:t>
      </w:r>
      <w:r w:rsidR="00455BAC">
        <w:rPr>
          <w:rFonts w:ascii="Gill Sans MT" w:hAnsi="Gill Sans MT"/>
        </w:rPr>
        <w:t>,</w:t>
      </w:r>
      <w:r w:rsidR="00AF30F0">
        <w:rPr>
          <w:rFonts w:ascii="Gill Sans MT" w:hAnsi="Gill Sans MT"/>
        </w:rPr>
        <w:t xml:space="preserve"> and abortion.</w:t>
      </w:r>
      <w:r w:rsidR="00A50466">
        <w:rPr>
          <w:rStyle w:val="FootnoteReference"/>
          <w:rFonts w:ascii="Gill Sans MT" w:hAnsi="Gill Sans MT"/>
        </w:rPr>
        <w:footnoteReference w:id="5"/>
      </w:r>
      <w:r w:rsidR="00AF30F0">
        <w:rPr>
          <w:rFonts w:ascii="Gill Sans MT" w:hAnsi="Gill Sans MT"/>
        </w:rPr>
        <w:t xml:space="preserve"> As complex, contentious moral-political issues they are, for </w:t>
      </w:r>
      <w:proofErr w:type="gramStart"/>
      <w:r w:rsidR="00AF30F0">
        <w:rPr>
          <w:rFonts w:ascii="Gill Sans MT" w:hAnsi="Gill Sans MT"/>
        </w:rPr>
        <w:t>a number of</w:t>
      </w:r>
      <w:proofErr w:type="gramEnd"/>
      <w:r w:rsidR="00AF30F0">
        <w:rPr>
          <w:rFonts w:ascii="Gill Sans MT" w:hAnsi="Gill Sans MT"/>
        </w:rPr>
        <w:t xml:space="preserve"> reasons, also</w:t>
      </w:r>
      <w:r w:rsidR="00635B0E">
        <w:rPr>
          <w:rFonts w:ascii="Gill Sans MT" w:hAnsi="Gill Sans MT"/>
        </w:rPr>
        <w:t xml:space="preserve"> liable to be simplified, or even flatly misrepresented, in media reporting.</w:t>
      </w:r>
      <w:r w:rsidR="005820F0">
        <w:rPr>
          <w:rFonts w:ascii="Gill Sans MT" w:hAnsi="Gill Sans MT"/>
        </w:rPr>
        <w:t xml:space="preserve"> The focus of this chapter</w:t>
      </w:r>
      <w:r w:rsidR="00FC0242">
        <w:rPr>
          <w:rFonts w:ascii="Gill Sans MT" w:hAnsi="Gill Sans MT"/>
        </w:rPr>
        <w:t>, however,</w:t>
      </w:r>
      <w:r w:rsidR="005820F0">
        <w:rPr>
          <w:rFonts w:ascii="Gill Sans MT" w:hAnsi="Gill Sans MT"/>
        </w:rPr>
        <w:t xml:space="preserve"> is on a different </w:t>
      </w:r>
      <w:r w:rsidR="00231F7E">
        <w:rPr>
          <w:rFonts w:ascii="Gill Sans MT" w:hAnsi="Gill Sans MT"/>
        </w:rPr>
        <w:t>topic</w:t>
      </w:r>
      <w:r w:rsidR="005820F0">
        <w:rPr>
          <w:rFonts w:ascii="Gill Sans MT" w:hAnsi="Gill Sans MT"/>
        </w:rPr>
        <w:t xml:space="preserve"> –</w:t>
      </w:r>
      <w:r w:rsidR="00231F7E">
        <w:rPr>
          <w:rFonts w:ascii="Gill Sans MT" w:hAnsi="Gill Sans MT"/>
        </w:rPr>
        <w:t xml:space="preserve"> rather than consider</w:t>
      </w:r>
      <w:r w:rsidR="00FC0242">
        <w:rPr>
          <w:rFonts w:ascii="Gill Sans MT" w:hAnsi="Gill Sans MT"/>
        </w:rPr>
        <w:t>ing</w:t>
      </w:r>
      <w:r w:rsidR="00231F7E">
        <w:rPr>
          <w:rFonts w:ascii="Gill Sans MT" w:hAnsi="Gill Sans MT"/>
        </w:rPr>
        <w:t xml:space="preserve"> the extent to which human rights issues are accurately or inaccurately represented in media reporting, why this might occur, the existence of good or bad faith, or the implications, this chapter </w:t>
      </w:r>
      <w:r w:rsidR="00FC0242">
        <w:rPr>
          <w:rFonts w:ascii="Gill Sans MT" w:hAnsi="Gill Sans MT"/>
        </w:rPr>
        <w:t>aims to consider</w:t>
      </w:r>
      <w:r w:rsidR="005820F0">
        <w:rPr>
          <w:rFonts w:ascii="Gill Sans MT" w:hAnsi="Gill Sans MT"/>
        </w:rPr>
        <w:t xml:space="preserve"> the structure of debates about human rights, as manifested in the media.</w:t>
      </w:r>
    </w:p>
    <w:p w14:paraId="4E677725" w14:textId="3AA5C689" w:rsidR="001660D9" w:rsidRDefault="00DB1F82" w:rsidP="00A64447">
      <w:pPr>
        <w:pStyle w:val="NoSpacing"/>
        <w:ind w:firstLine="720"/>
        <w:jc w:val="both"/>
        <w:rPr>
          <w:rFonts w:ascii="Gill Sans MT" w:hAnsi="Gill Sans MT"/>
        </w:rPr>
      </w:pPr>
      <w:r>
        <w:rPr>
          <w:rFonts w:ascii="Gill Sans MT" w:hAnsi="Gill Sans MT"/>
        </w:rPr>
        <w:t>Why</w:t>
      </w:r>
      <w:r w:rsidR="002B4A30">
        <w:rPr>
          <w:rFonts w:ascii="Gill Sans MT" w:hAnsi="Gill Sans MT"/>
        </w:rPr>
        <w:t xml:space="preserve"> adopt a focus on the structure of debate about human rights</w:t>
      </w:r>
      <w:r>
        <w:rPr>
          <w:rFonts w:ascii="Gill Sans MT" w:hAnsi="Gill Sans MT"/>
        </w:rPr>
        <w:t>? Discussion concerning the fair and accurate representation of human rights issues, arguments, cases and claims in the media is</w:t>
      </w:r>
      <w:r w:rsidR="00FC0242">
        <w:rPr>
          <w:rFonts w:ascii="Gill Sans MT" w:hAnsi="Gill Sans MT"/>
        </w:rPr>
        <w:t xml:space="preserve"> undoubtedly</w:t>
      </w:r>
      <w:r>
        <w:rPr>
          <w:rFonts w:ascii="Gill Sans MT" w:hAnsi="Gill Sans MT"/>
        </w:rPr>
        <w:t xml:space="preserve"> important. Yet </w:t>
      </w:r>
      <w:r w:rsidR="00B73822">
        <w:rPr>
          <w:rFonts w:ascii="Gill Sans MT" w:hAnsi="Gill Sans MT"/>
        </w:rPr>
        <w:t xml:space="preserve">there are </w:t>
      </w:r>
      <w:r>
        <w:rPr>
          <w:rFonts w:ascii="Gill Sans MT" w:hAnsi="Gill Sans MT"/>
        </w:rPr>
        <w:t xml:space="preserve">also structural issues </w:t>
      </w:r>
      <w:r w:rsidR="00FC0242">
        <w:rPr>
          <w:rFonts w:ascii="Gill Sans MT" w:hAnsi="Gill Sans MT"/>
        </w:rPr>
        <w:t>which</w:t>
      </w:r>
      <w:r>
        <w:rPr>
          <w:rFonts w:ascii="Gill Sans MT" w:hAnsi="Gill Sans MT"/>
        </w:rPr>
        <w:t xml:space="preserve"> deserve </w:t>
      </w:r>
      <w:r w:rsidR="00B73822">
        <w:rPr>
          <w:rFonts w:ascii="Gill Sans MT" w:hAnsi="Gill Sans MT"/>
        </w:rPr>
        <w:t xml:space="preserve">sustained </w:t>
      </w:r>
      <w:r>
        <w:rPr>
          <w:rFonts w:ascii="Gill Sans MT" w:hAnsi="Gill Sans MT"/>
        </w:rPr>
        <w:t xml:space="preserve">attention, and are often underappreciated. Human rights </w:t>
      </w:r>
      <w:r w:rsidR="002B4A30">
        <w:rPr>
          <w:rFonts w:ascii="Gill Sans MT" w:hAnsi="Gill Sans MT"/>
        </w:rPr>
        <w:t xml:space="preserve">do </w:t>
      </w:r>
      <w:r>
        <w:rPr>
          <w:rFonts w:ascii="Gill Sans MT" w:hAnsi="Gill Sans MT"/>
        </w:rPr>
        <w:t xml:space="preserve">not </w:t>
      </w:r>
      <w:r w:rsidR="002B4A30">
        <w:rPr>
          <w:rFonts w:ascii="Gill Sans MT" w:hAnsi="Gill Sans MT"/>
        </w:rPr>
        <w:t>simply provide a basis for asking</w:t>
      </w:r>
      <w:r>
        <w:rPr>
          <w:rFonts w:ascii="Gill Sans MT" w:hAnsi="Gill Sans MT"/>
        </w:rPr>
        <w:t xml:space="preserve"> discrete questions of law and morality,</w:t>
      </w:r>
      <w:r w:rsidR="002B4A30">
        <w:rPr>
          <w:rFonts w:ascii="Gill Sans MT" w:hAnsi="Gill Sans MT"/>
        </w:rPr>
        <w:t xml:space="preserve"> they</w:t>
      </w:r>
      <w:r>
        <w:rPr>
          <w:rFonts w:ascii="Gill Sans MT" w:hAnsi="Gill Sans MT"/>
        </w:rPr>
        <w:t xml:space="preserve"> also </w:t>
      </w:r>
      <w:r w:rsidR="002B4A30">
        <w:rPr>
          <w:rFonts w:ascii="Gill Sans MT" w:hAnsi="Gill Sans MT"/>
        </w:rPr>
        <w:t xml:space="preserve">offer </w:t>
      </w:r>
      <w:r>
        <w:rPr>
          <w:rFonts w:ascii="Gill Sans MT" w:hAnsi="Gill Sans MT"/>
        </w:rPr>
        <w:t>a specific way of organising and channelling ch</w:t>
      </w:r>
      <w:r w:rsidR="00B73822">
        <w:rPr>
          <w:rFonts w:ascii="Gill Sans MT" w:hAnsi="Gill Sans MT"/>
        </w:rPr>
        <w:t>a</w:t>
      </w:r>
      <w:r>
        <w:rPr>
          <w:rFonts w:ascii="Gill Sans MT" w:hAnsi="Gill Sans MT"/>
        </w:rPr>
        <w:t xml:space="preserve">llenges to the use of public power. </w:t>
      </w:r>
      <w:r w:rsidR="00FC0242">
        <w:rPr>
          <w:rFonts w:ascii="Gill Sans MT" w:hAnsi="Gill Sans MT"/>
        </w:rPr>
        <w:t>The s</w:t>
      </w:r>
      <w:r>
        <w:rPr>
          <w:rFonts w:ascii="Gill Sans MT" w:hAnsi="Gill Sans MT"/>
        </w:rPr>
        <w:t xml:space="preserve">ystemic dimensions </w:t>
      </w:r>
      <w:r w:rsidR="00FC0242">
        <w:rPr>
          <w:rFonts w:ascii="Gill Sans MT" w:hAnsi="Gill Sans MT"/>
        </w:rPr>
        <w:t xml:space="preserve">of human rights law as a means of public accountability are </w:t>
      </w:r>
      <w:r>
        <w:rPr>
          <w:rFonts w:ascii="Gill Sans MT" w:hAnsi="Gill Sans MT"/>
        </w:rPr>
        <w:t xml:space="preserve">also crucial, </w:t>
      </w:r>
      <w:r w:rsidR="00FC0242">
        <w:rPr>
          <w:rFonts w:ascii="Gill Sans MT" w:hAnsi="Gill Sans MT"/>
        </w:rPr>
        <w:t>because</w:t>
      </w:r>
      <w:r>
        <w:rPr>
          <w:rFonts w:ascii="Gill Sans MT" w:hAnsi="Gill Sans MT"/>
        </w:rPr>
        <w:t xml:space="preserve"> </w:t>
      </w:r>
      <w:r w:rsidR="001660D9">
        <w:rPr>
          <w:rFonts w:ascii="Gill Sans MT" w:hAnsi="Gill Sans MT"/>
        </w:rPr>
        <w:t>challenges to official decisions or policies on human rights grounds do</w:t>
      </w:r>
      <w:r>
        <w:rPr>
          <w:rFonts w:ascii="Gill Sans MT" w:hAnsi="Gill Sans MT"/>
        </w:rPr>
        <w:t xml:space="preserve"> not occur</w:t>
      </w:r>
      <w:r w:rsidR="001660D9">
        <w:rPr>
          <w:rFonts w:ascii="Gill Sans MT" w:hAnsi="Gill Sans MT"/>
        </w:rPr>
        <w:t xml:space="preserve"> in isolati</w:t>
      </w:r>
      <w:r w:rsidR="0087728A">
        <w:rPr>
          <w:rFonts w:ascii="Gill Sans MT" w:hAnsi="Gill Sans MT"/>
        </w:rPr>
        <w:t xml:space="preserve">on, but within a broader scheme. This broader scheme </w:t>
      </w:r>
      <w:r w:rsidR="00FC0242">
        <w:rPr>
          <w:rFonts w:ascii="Gill Sans MT" w:hAnsi="Gill Sans MT"/>
        </w:rPr>
        <w:t>has</w:t>
      </w:r>
      <w:r w:rsidR="0087728A">
        <w:rPr>
          <w:rFonts w:ascii="Gill Sans MT" w:hAnsi="Gill Sans MT"/>
        </w:rPr>
        <w:t xml:space="preserve"> both institutional and conceptual</w:t>
      </w:r>
      <w:r w:rsidR="00FC0242">
        <w:rPr>
          <w:rFonts w:ascii="Gill Sans MT" w:hAnsi="Gill Sans MT"/>
        </w:rPr>
        <w:t xml:space="preserve"> components</w:t>
      </w:r>
      <w:r w:rsidR="0087728A">
        <w:rPr>
          <w:rFonts w:ascii="Gill Sans MT" w:hAnsi="Gill Sans MT"/>
        </w:rPr>
        <w:t xml:space="preserve">: in relation to the </w:t>
      </w:r>
      <w:r w:rsidR="00FC0242">
        <w:rPr>
          <w:rFonts w:ascii="Gill Sans MT" w:hAnsi="Gill Sans MT"/>
        </w:rPr>
        <w:t>institutional</w:t>
      </w:r>
      <w:r w:rsidR="0087728A">
        <w:rPr>
          <w:rFonts w:ascii="Gill Sans MT" w:hAnsi="Gill Sans MT"/>
        </w:rPr>
        <w:t xml:space="preserve">, rights claims are developed in specified courts, by specialised advocates, and resolved by the judiciary; in relation to the </w:t>
      </w:r>
      <w:r w:rsidR="00FC0242">
        <w:rPr>
          <w:rFonts w:ascii="Gill Sans MT" w:hAnsi="Gill Sans MT"/>
        </w:rPr>
        <w:t>conceptual</w:t>
      </w:r>
      <w:r w:rsidR="0087728A">
        <w:rPr>
          <w:rFonts w:ascii="Gill Sans MT" w:hAnsi="Gill Sans MT"/>
        </w:rPr>
        <w:t xml:space="preserve">, </w:t>
      </w:r>
      <w:r w:rsidR="00E939AF">
        <w:rPr>
          <w:rFonts w:ascii="Gill Sans MT" w:hAnsi="Gill Sans MT"/>
        </w:rPr>
        <w:t xml:space="preserve">the relevant actors must </w:t>
      </w:r>
      <w:r w:rsidR="001660D9">
        <w:rPr>
          <w:rFonts w:ascii="Gill Sans MT" w:hAnsi="Gill Sans MT"/>
        </w:rPr>
        <w:t xml:space="preserve">question whether a right has been engaged, where there has been interference with that right, and whether any </w:t>
      </w:r>
      <w:r w:rsidR="009503FB">
        <w:rPr>
          <w:rFonts w:ascii="Gill Sans MT" w:hAnsi="Gill Sans MT"/>
        </w:rPr>
        <w:t>identifiable</w:t>
      </w:r>
      <w:r w:rsidR="001660D9">
        <w:rPr>
          <w:rFonts w:ascii="Gill Sans MT" w:hAnsi="Gill Sans MT"/>
        </w:rPr>
        <w:t xml:space="preserve"> interference can be justified as legitimate or proportionate.</w:t>
      </w:r>
      <w:r w:rsidR="001660D9">
        <w:rPr>
          <w:rStyle w:val="FootnoteReference"/>
          <w:rFonts w:ascii="Gill Sans MT" w:hAnsi="Gill Sans MT"/>
        </w:rPr>
        <w:footnoteReference w:id="6"/>
      </w:r>
      <w:r w:rsidR="009503FB">
        <w:rPr>
          <w:rFonts w:ascii="Gill Sans MT" w:hAnsi="Gill Sans MT"/>
        </w:rPr>
        <w:t xml:space="preserve"> </w:t>
      </w:r>
      <w:r w:rsidR="002B4A30">
        <w:rPr>
          <w:rFonts w:ascii="Gill Sans MT" w:hAnsi="Gill Sans MT"/>
        </w:rPr>
        <w:t xml:space="preserve">This standard legal scheme provides </w:t>
      </w:r>
      <w:r w:rsidR="0087728A">
        <w:rPr>
          <w:rFonts w:ascii="Gill Sans MT" w:hAnsi="Gill Sans MT"/>
        </w:rPr>
        <w:t xml:space="preserve">a degree of uniformity to the evaluation of human rights claims, </w:t>
      </w:r>
      <w:r w:rsidR="00FC0242">
        <w:rPr>
          <w:rFonts w:ascii="Gill Sans MT" w:hAnsi="Gill Sans MT"/>
        </w:rPr>
        <w:t xml:space="preserve">and the operation of this </w:t>
      </w:r>
      <w:r w:rsidR="00C474B7">
        <w:rPr>
          <w:rFonts w:ascii="Gill Sans MT" w:hAnsi="Gill Sans MT"/>
        </w:rPr>
        <w:t xml:space="preserve">general </w:t>
      </w:r>
      <w:r w:rsidR="00FC0242">
        <w:rPr>
          <w:rFonts w:ascii="Gill Sans MT" w:hAnsi="Gill Sans MT"/>
        </w:rPr>
        <w:t>system</w:t>
      </w:r>
      <w:r w:rsidR="0087728A">
        <w:rPr>
          <w:rFonts w:ascii="Gill Sans MT" w:hAnsi="Gill Sans MT"/>
        </w:rPr>
        <w:t xml:space="preserve"> can be as significant as the substantive issues concerning the content of any specific right in shaping how a particular</w:t>
      </w:r>
      <w:r w:rsidR="001821D6">
        <w:rPr>
          <w:rFonts w:ascii="Gill Sans MT" w:hAnsi="Gill Sans MT"/>
        </w:rPr>
        <w:t xml:space="preserve"> question or</w:t>
      </w:r>
      <w:r w:rsidR="0087728A">
        <w:rPr>
          <w:rFonts w:ascii="Gill Sans MT" w:hAnsi="Gill Sans MT"/>
        </w:rPr>
        <w:t xml:space="preserve"> case is resolved.</w:t>
      </w:r>
    </w:p>
    <w:p w14:paraId="7252A6F2" w14:textId="06D04E5E" w:rsidR="00635B0E" w:rsidRDefault="00FF3C7F" w:rsidP="00A64447">
      <w:pPr>
        <w:pStyle w:val="NoSpacing"/>
        <w:ind w:firstLine="720"/>
        <w:jc w:val="both"/>
        <w:rPr>
          <w:rFonts w:ascii="Gill Sans MT" w:hAnsi="Gill Sans MT"/>
        </w:rPr>
      </w:pPr>
      <w:r>
        <w:rPr>
          <w:rFonts w:ascii="Gill Sans MT" w:hAnsi="Gill Sans MT"/>
        </w:rPr>
        <w:t>As human rights structures become an ever more prominent means through which the exercise of public power can be challenged, the public representation of these claims</w:t>
      </w:r>
      <w:r w:rsidR="00F92EF0">
        <w:rPr>
          <w:rFonts w:ascii="Gill Sans MT" w:hAnsi="Gill Sans MT"/>
        </w:rPr>
        <w:t xml:space="preserve"> becomes of parallel importance.</w:t>
      </w:r>
      <w:r w:rsidR="00455BAC">
        <w:rPr>
          <w:rFonts w:ascii="Gill Sans MT" w:hAnsi="Gill Sans MT"/>
        </w:rPr>
        <w:t xml:space="preserve"> A</w:t>
      </w:r>
      <w:r w:rsidR="00F92EF0">
        <w:rPr>
          <w:rFonts w:ascii="Gill Sans MT" w:hAnsi="Gill Sans MT"/>
        </w:rPr>
        <w:t xml:space="preserve"> crucial part of accountability in a democratic state is that </w:t>
      </w:r>
      <w:r w:rsidR="00455BAC">
        <w:rPr>
          <w:rFonts w:ascii="Gill Sans MT" w:hAnsi="Gill Sans MT"/>
        </w:rPr>
        <w:t xml:space="preserve">this </w:t>
      </w:r>
      <w:r w:rsidR="00F92EF0">
        <w:rPr>
          <w:rFonts w:ascii="Gill Sans MT" w:hAnsi="Gill Sans MT"/>
        </w:rPr>
        <w:t xml:space="preserve">occurs openly, and is therefore something which citizens can have access to, and potentially become engaged in.  The media must therefore play a significant role in publicising </w:t>
      </w:r>
      <w:proofErr w:type="gramStart"/>
      <w:r w:rsidR="00F92EF0">
        <w:rPr>
          <w:rFonts w:ascii="Gill Sans MT" w:hAnsi="Gill Sans MT"/>
        </w:rPr>
        <w:t>the means by which</w:t>
      </w:r>
      <w:proofErr w:type="gramEnd"/>
      <w:r w:rsidR="00F92EF0">
        <w:rPr>
          <w:rFonts w:ascii="Gill Sans MT" w:hAnsi="Gill Sans MT"/>
        </w:rPr>
        <w:t xml:space="preserve"> official actors are challenged and held </w:t>
      </w:r>
      <w:r w:rsidR="00EC3EA2">
        <w:rPr>
          <w:rFonts w:ascii="Gill Sans MT" w:hAnsi="Gill Sans MT"/>
        </w:rPr>
        <w:t>responsible for policy choices</w:t>
      </w:r>
      <w:r w:rsidR="00F92EF0">
        <w:rPr>
          <w:rFonts w:ascii="Gill Sans MT" w:hAnsi="Gill Sans MT"/>
        </w:rPr>
        <w:t xml:space="preserve">, to avoid the processes of governmental accountability </w:t>
      </w:r>
      <w:r w:rsidR="00EC3EA2">
        <w:rPr>
          <w:rFonts w:ascii="Gill Sans MT" w:hAnsi="Gill Sans MT"/>
        </w:rPr>
        <w:t>becoming merely an exercise in intra-elite intrigue. Yet that the media have an important constitutional function is well established; the press gallery was long ago described as t</w:t>
      </w:r>
      <w:r w:rsidR="00DE0734">
        <w:rPr>
          <w:rFonts w:ascii="Gill Sans MT" w:hAnsi="Gill Sans MT"/>
        </w:rPr>
        <w:t>he ‘Fourth E</w:t>
      </w:r>
      <w:r w:rsidR="00EC3EA2">
        <w:rPr>
          <w:rFonts w:ascii="Gill Sans MT" w:hAnsi="Gill Sans MT"/>
        </w:rPr>
        <w:t xml:space="preserve">state’ by Carlyle, </w:t>
      </w:r>
      <w:r w:rsidR="00DE0734">
        <w:rPr>
          <w:rFonts w:ascii="Gill Sans MT" w:hAnsi="Gill Sans MT"/>
        </w:rPr>
        <w:t>which was</w:t>
      </w:r>
      <w:r w:rsidR="00EC3EA2">
        <w:rPr>
          <w:rFonts w:ascii="Gill Sans MT" w:hAnsi="Gill Sans MT"/>
        </w:rPr>
        <w:t xml:space="preserve"> ‘</w:t>
      </w:r>
      <w:r w:rsidR="00DE0734" w:rsidRPr="00DE0734">
        <w:rPr>
          <w:rFonts w:ascii="Gill Sans MT" w:hAnsi="Gill Sans MT"/>
        </w:rPr>
        <w:t>more important far’</w:t>
      </w:r>
      <w:r w:rsidR="00EC3EA2">
        <w:rPr>
          <w:rFonts w:ascii="Gill Sans MT" w:hAnsi="Gill Sans MT"/>
        </w:rPr>
        <w:t xml:space="preserve"> th</w:t>
      </w:r>
      <w:r w:rsidR="00F10CB0">
        <w:rPr>
          <w:rFonts w:ascii="Gill Sans MT" w:hAnsi="Gill Sans MT"/>
        </w:rPr>
        <w:t>an th</w:t>
      </w:r>
      <w:r w:rsidR="00EC3EA2">
        <w:rPr>
          <w:rFonts w:ascii="Gill Sans MT" w:hAnsi="Gill Sans MT"/>
        </w:rPr>
        <w:t>e ot</w:t>
      </w:r>
      <w:r w:rsidR="00F10CB0">
        <w:rPr>
          <w:rFonts w:ascii="Gill Sans MT" w:hAnsi="Gill Sans MT"/>
        </w:rPr>
        <w:t>her three estates in Parliament,</w:t>
      </w:r>
      <w:r w:rsidR="00EC3EA2">
        <w:rPr>
          <w:rFonts w:ascii="Gill Sans MT" w:hAnsi="Gill Sans MT"/>
        </w:rPr>
        <w:t xml:space="preserve"> the House of Commons, </w:t>
      </w:r>
      <w:r w:rsidR="00F10CB0">
        <w:rPr>
          <w:rFonts w:ascii="Gill Sans MT" w:hAnsi="Gill Sans MT"/>
        </w:rPr>
        <w:t xml:space="preserve">House of </w:t>
      </w:r>
      <w:r w:rsidR="00EC3EA2">
        <w:rPr>
          <w:rFonts w:ascii="Gill Sans MT" w:hAnsi="Gill Sans MT"/>
        </w:rPr>
        <w:t>Lords and the Crown.</w:t>
      </w:r>
      <w:r w:rsidR="00EC3EA2">
        <w:rPr>
          <w:rStyle w:val="FootnoteReference"/>
          <w:rFonts w:ascii="Gill Sans MT" w:hAnsi="Gill Sans MT"/>
        </w:rPr>
        <w:footnoteReference w:id="7"/>
      </w:r>
      <w:r w:rsidR="00A74BBC">
        <w:rPr>
          <w:rFonts w:ascii="Gill Sans MT" w:hAnsi="Gill Sans MT"/>
        </w:rPr>
        <w:t xml:space="preserve"> The modern media </w:t>
      </w:r>
      <w:r w:rsidR="00822707">
        <w:rPr>
          <w:rFonts w:ascii="Gill Sans MT" w:hAnsi="Gill Sans MT"/>
        </w:rPr>
        <w:t xml:space="preserve">of the information age </w:t>
      </w:r>
      <w:r w:rsidR="00A74BBC">
        <w:rPr>
          <w:rFonts w:ascii="Gill Sans MT" w:hAnsi="Gill Sans MT"/>
        </w:rPr>
        <w:t xml:space="preserve">may be much more complex, yet the essential idea that it has a key role in the effective operation of the accountability processes of a system of government remains clear. The media may now be crucial in </w:t>
      </w:r>
      <w:r w:rsidR="00DB1F82">
        <w:rPr>
          <w:rFonts w:ascii="Gill Sans MT" w:hAnsi="Gill Sans MT"/>
        </w:rPr>
        <w:t xml:space="preserve">setting </w:t>
      </w:r>
      <w:r w:rsidR="00A74BBC">
        <w:rPr>
          <w:rFonts w:ascii="Gill Sans MT" w:hAnsi="Gill Sans MT"/>
        </w:rPr>
        <w:t xml:space="preserve">the </w:t>
      </w:r>
      <w:r w:rsidR="00DB1F82">
        <w:rPr>
          <w:rFonts w:ascii="Gill Sans MT" w:hAnsi="Gill Sans MT"/>
        </w:rPr>
        <w:t xml:space="preserve">political agenda, </w:t>
      </w:r>
      <w:r w:rsidR="00A74BBC">
        <w:rPr>
          <w:rFonts w:ascii="Gill Sans MT" w:hAnsi="Gill Sans MT"/>
        </w:rPr>
        <w:t>investigating specific instances of governmental failure, generating or</w:t>
      </w:r>
      <w:r w:rsidR="00DB1F82">
        <w:rPr>
          <w:rFonts w:ascii="Gill Sans MT" w:hAnsi="Gill Sans MT"/>
        </w:rPr>
        <w:t xml:space="preserve"> amplifying public pressure</w:t>
      </w:r>
      <w:r w:rsidR="00A74BBC">
        <w:rPr>
          <w:rFonts w:ascii="Gill Sans MT" w:hAnsi="Gill Sans MT"/>
        </w:rPr>
        <w:t xml:space="preserve"> on office holders, cultivating sentiment around key policy decisions, and </w:t>
      </w:r>
      <w:r w:rsidR="00822707">
        <w:rPr>
          <w:rFonts w:ascii="Gill Sans MT" w:hAnsi="Gill Sans MT"/>
        </w:rPr>
        <w:t xml:space="preserve">many </w:t>
      </w:r>
      <w:r w:rsidR="00A74BBC">
        <w:rPr>
          <w:rFonts w:ascii="Gill Sans MT" w:hAnsi="Gill Sans MT"/>
        </w:rPr>
        <w:t xml:space="preserve">other things besides. There can be little doubt that the activities of the media must be accommodated within any account of the </w:t>
      </w:r>
      <w:r w:rsidR="008E41B3">
        <w:rPr>
          <w:rFonts w:ascii="Gill Sans MT" w:hAnsi="Gill Sans MT"/>
        </w:rPr>
        <w:t>operation</w:t>
      </w:r>
      <w:r w:rsidR="00A74BBC">
        <w:rPr>
          <w:rFonts w:ascii="Gill Sans MT" w:hAnsi="Gill Sans MT"/>
        </w:rPr>
        <w:t xml:space="preserve"> of a system of government</w:t>
      </w:r>
      <w:r w:rsidR="008E41B3">
        <w:rPr>
          <w:rFonts w:ascii="Gill Sans MT" w:hAnsi="Gill Sans MT"/>
        </w:rPr>
        <w:t xml:space="preserve">, for </w:t>
      </w:r>
      <w:r w:rsidR="00C474B7">
        <w:rPr>
          <w:rFonts w:ascii="Gill Sans MT" w:hAnsi="Gill Sans MT"/>
        </w:rPr>
        <w:t xml:space="preserve">they </w:t>
      </w:r>
      <w:r w:rsidR="008E41B3">
        <w:rPr>
          <w:rFonts w:ascii="Gill Sans MT" w:hAnsi="Gill Sans MT"/>
        </w:rPr>
        <w:t>will play a significant role in shaping how power is used within (and sometimes outside of) the formal rules of the political order.</w:t>
      </w:r>
      <w:r w:rsidR="008E41B3">
        <w:rPr>
          <w:rStyle w:val="FootnoteReference"/>
          <w:rFonts w:ascii="Gill Sans MT" w:hAnsi="Gill Sans MT"/>
        </w:rPr>
        <w:footnoteReference w:id="8"/>
      </w:r>
    </w:p>
    <w:p w14:paraId="67DB9051" w14:textId="47D5DF6E" w:rsidR="00290CB0" w:rsidRDefault="00BA3287" w:rsidP="003649F4">
      <w:pPr>
        <w:pStyle w:val="NoSpacing"/>
        <w:ind w:firstLine="720"/>
        <w:jc w:val="both"/>
        <w:rPr>
          <w:rFonts w:ascii="Gill Sans MT" w:hAnsi="Gill Sans MT"/>
        </w:rPr>
      </w:pPr>
      <w:r>
        <w:rPr>
          <w:rFonts w:ascii="Gill Sans MT" w:hAnsi="Gill Sans MT"/>
        </w:rPr>
        <w:lastRenderedPageBreak/>
        <w:t xml:space="preserve">Media representations of accountability claims made with the legal human rights framework are therefore of clear significance and, as such, deserving of critical scrutiny. Perhaps the key feature of public debates about rights </w:t>
      </w:r>
      <w:r w:rsidR="00290CB0">
        <w:rPr>
          <w:rFonts w:ascii="Gill Sans MT" w:hAnsi="Gill Sans MT"/>
        </w:rPr>
        <w:t>–</w:t>
      </w:r>
      <w:r>
        <w:rPr>
          <w:rFonts w:ascii="Gill Sans MT" w:hAnsi="Gill Sans MT"/>
        </w:rPr>
        <w:t xml:space="preserve"> </w:t>
      </w:r>
      <w:r w:rsidR="00290CB0">
        <w:rPr>
          <w:rFonts w:ascii="Gill Sans MT" w:hAnsi="Gill Sans MT"/>
        </w:rPr>
        <w:t>as filtere</w:t>
      </w:r>
      <w:r>
        <w:rPr>
          <w:rFonts w:ascii="Gill Sans MT" w:hAnsi="Gill Sans MT"/>
        </w:rPr>
        <w:t xml:space="preserve">d through the lens of the media – is that they have an ostensibly binary character. </w:t>
      </w:r>
      <w:r w:rsidR="00650D73">
        <w:rPr>
          <w:rFonts w:ascii="Gill Sans MT" w:hAnsi="Gill Sans MT"/>
        </w:rPr>
        <w:t>This is particularly the case when we focus on the press, which unlike television</w:t>
      </w:r>
      <w:r w:rsidR="00DD12A1">
        <w:rPr>
          <w:rFonts w:ascii="Gill Sans MT" w:hAnsi="Gill Sans MT"/>
        </w:rPr>
        <w:t xml:space="preserve"> and radio</w:t>
      </w:r>
      <w:r w:rsidR="00650D73">
        <w:rPr>
          <w:rFonts w:ascii="Gill Sans MT" w:hAnsi="Gill Sans MT"/>
        </w:rPr>
        <w:t xml:space="preserve"> broadcasters, </w:t>
      </w:r>
      <w:r w:rsidR="009E7EEE">
        <w:rPr>
          <w:rFonts w:ascii="Gill Sans MT" w:hAnsi="Gill Sans MT"/>
        </w:rPr>
        <w:t>are</w:t>
      </w:r>
      <w:r w:rsidR="00650D73">
        <w:rPr>
          <w:rFonts w:ascii="Gill Sans MT" w:hAnsi="Gill Sans MT"/>
        </w:rPr>
        <w:t xml:space="preserve"> not subject to requirements of</w:t>
      </w:r>
      <w:r w:rsidR="00DD12A1">
        <w:rPr>
          <w:rFonts w:ascii="Gill Sans MT" w:hAnsi="Gill Sans MT"/>
        </w:rPr>
        <w:t xml:space="preserve"> reporting with ‘due accuracy’ and presenting issues with</w:t>
      </w:r>
      <w:r w:rsidR="00650D73">
        <w:rPr>
          <w:rFonts w:ascii="Gill Sans MT" w:hAnsi="Gill Sans MT"/>
        </w:rPr>
        <w:t xml:space="preserve"> </w:t>
      </w:r>
      <w:r w:rsidR="00DD12A1">
        <w:rPr>
          <w:rFonts w:ascii="Gill Sans MT" w:hAnsi="Gill Sans MT"/>
        </w:rPr>
        <w:t>‘due impartiality’</w:t>
      </w:r>
      <w:r w:rsidR="00650D73">
        <w:rPr>
          <w:rFonts w:ascii="Gill Sans MT" w:hAnsi="Gill Sans MT"/>
        </w:rPr>
        <w:t xml:space="preserve"> </w:t>
      </w:r>
      <w:r w:rsidR="00DD12A1">
        <w:rPr>
          <w:rFonts w:ascii="Gill Sans MT" w:hAnsi="Gill Sans MT"/>
        </w:rPr>
        <w:t xml:space="preserve">as </w:t>
      </w:r>
      <w:r w:rsidR="00650D73">
        <w:rPr>
          <w:rFonts w:ascii="Gill Sans MT" w:hAnsi="Gill Sans MT"/>
        </w:rPr>
        <w:t xml:space="preserve">imposed by </w:t>
      </w:r>
      <w:r w:rsidR="00DD12A1">
        <w:rPr>
          <w:rFonts w:ascii="Gill Sans MT" w:hAnsi="Gill Sans MT"/>
        </w:rPr>
        <w:t>legislation,</w:t>
      </w:r>
      <w:r w:rsidR="00DD12A1">
        <w:rPr>
          <w:rStyle w:val="FootnoteReference"/>
          <w:rFonts w:ascii="Gill Sans MT" w:hAnsi="Gill Sans MT"/>
        </w:rPr>
        <w:footnoteReference w:id="9"/>
      </w:r>
      <w:r w:rsidR="00DD12A1">
        <w:rPr>
          <w:rFonts w:ascii="Gill Sans MT" w:hAnsi="Gill Sans MT"/>
        </w:rPr>
        <w:t xml:space="preserve"> and enforced by Ofcom</w:t>
      </w:r>
      <w:r w:rsidR="00650D73">
        <w:rPr>
          <w:rFonts w:ascii="Gill Sans MT" w:hAnsi="Gill Sans MT"/>
        </w:rPr>
        <w:t xml:space="preserve">, the </w:t>
      </w:r>
      <w:r w:rsidR="00DD12A1">
        <w:rPr>
          <w:rFonts w:ascii="Gill Sans MT" w:hAnsi="Gill Sans MT"/>
        </w:rPr>
        <w:t>UK’s communications regulator.</w:t>
      </w:r>
      <w:r w:rsidR="00DD12A1">
        <w:rPr>
          <w:rStyle w:val="FootnoteReference"/>
          <w:rFonts w:ascii="Gill Sans MT" w:hAnsi="Gill Sans MT"/>
        </w:rPr>
        <w:footnoteReference w:id="10"/>
      </w:r>
      <w:r w:rsidR="00FF34AD">
        <w:rPr>
          <w:rFonts w:ascii="Gill Sans MT" w:hAnsi="Gill Sans MT"/>
        </w:rPr>
        <w:t xml:space="preserve"> The binary nature of the debate is framed around the existence of, and differences between, a ‘Bad Press’ and a ‘Good Press’.</w:t>
      </w:r>
      <w:r w:rsidR="002130D6">
        <w:rPr>
          <w:rFonts w:ascii="Gill Sans MT" w:hAnsi="Gill Sans MT"/>
        </w:rPr>
        <w:t xml:space="preserve"> The </w:t>
      </w:r>
      <w:r w:rsidR="00290CB0">
        <w:rPr>
          <w:rFonts w:ascii="Gill Sans MT" w:hAnsi="Gill Sans MT"/>
        </w:rPr>
        <w:t xml:space="preserve">‘Bad </w:t>
      </w:r>
      <w:r w:rsidR="002130D6">
        <w:rPr>
          <w:rFonts w:ascii="Gill Sans MT" w:hAnsi="Gill Sans MT"/>
        </w:rPr>
        <w:t>P</w:t>
      </w:r>
      <w:r w:rsidR="00290CB0">
        <w:rPr>
          <w:rFonts w:ascii="Gill Sans MT" w:hAnsi="Gill Sans MT"/>
        </w:rPr>
        <w:t xml:space="preserve">ress’ distorts the meaning of fundamental human rights provisions, and their applicability in the UK in particular, in support of a hostile right wing political agenda </w:t>
      </w:r>
      <w:r w:rsidR="002130D6">
        <w:rPr>
          <w:rFonts w:ascii="Gill Sans MT" w:hAnsi="Gill Sans MT"/>
        </w:rPr>
        <w:t>lacking</w:t>
      </w:r>
      <w:r w:rsidR="00290CB0">
        <w:rPr>
          <w:rFonts w:ascii="Gill Sans MT" w:hAnsi="Gill Sans MT"/>
        </w:rPr>
        <w:t xml:space="preserve"> in compassion for anyone </w:t>
      </w:r>
      <w:r w:rsidR="002130D6">
        <w:rPr>
          <w:rFonts w:ascii="Gill Sans MT" w:hAnsi="Gill Sans MT"/>
        </w:rPr>
        <w:t>who is foreign,</w:t>
      </w:r>
      <w:r w:rsidR="00290CB0">
        <w:rPr>
          <w:rFonts w:ascii="Gill Sans MT" w:hAnsi="Gill Sans MT"/>
        </w:rPr>
        <w:t xml:space="preserve"> differen</w:t>
      </w:r>
      <w:r w:rsidR="002130D6">
        <w:rPr>
          <w:rFonts w:ascii="Gill Sans MT" w:hAnsi="Gill Sans MT"/>
        </w:rPr>
        <w:t>t, or</w:t>
      </w:r>
      <w:r w:rsidR="00290CB0">
        <w:rPr>
          <w:rFonts w:ascii="Gill Sans MT" w:hAnsi="Gill Sans MT"/>
        </w:rPr>
        <w:t xml:space="preserve"> perhaps especially</w:t>
      </w:r>
      <w:r w:rsidR="002130D6">
        <w:rPr>
          <w:rFonts w:ascii="Gill Sans MT" w:hAnsi="Gill Sans MT"/>
        </w:rPr>
        <w:t xml:space="preserve"> in the current climate,</w:t>
      </w:r>
      <w:r w:rsidR="00290CB0">
        <w:rPr>
          <w:rFonts w:ascii="Gill Sans MT" w:hAnsi="Gill Sans MT"/>
        </w:rPr>
        <w:t xml:space="preserve"> </w:t>
      </w:r>
      <w:r w:rsidR="00290CB0" w:rsidRPr="002130D6">
        <w:rPr>
          <w:rFonts w:ascii="Gill Sans MT" w:hAnsi="Gill Sans MT"/>
        </w:rPr>
        <w:t>European</w:t>
      </w:r>
      <w:r w:rsidR="002130D6">
        <w:rPr>
          <w:rFonts w:ascii="Gill Sans MT" w:hAnsi="Gill Sans MT"/>
        </w:rPr>
        <w:t>.</w:t>
      </w:r>
      <w:r w:rsidR="004E37DB">
        <w:rPr>
          <w:rStyle w:val="FootnoteReference"/>
          <w:rFonts w:ascii="Gill Sans MT" w:hAnsi="Gill Sans MT"/>
        </w:rPr>
        <w:footnoteReference w:id="11"/>
      </w:r>
      <w:r w:rsidR="002130D6">
        <w:rPr>
          <w:rFonts w:ascii="Gill Sans MT" w:hAnsi="Gill Sans MT"/>
        </w:rPr>
        <w:t xml:space="preserve"> The paradigmatic example of</w:t>
      </w:r>
      <w:r w:rsidR="00040F5C">
        <w:rPr>
          <w:rFonts w:ascii="Gill Sans MT" w:hAnsi="Gill Sans MT"/>
        </w:rPr>
        <w:t xml:space="preserve"> a newspaper exhibiting</w:t>
      </w:r>
      <w:r w:rsidR="002130D6">
        <w:rPr>
          <w:rFonts w:ascii="Gill Sans MT" w:hAnsi="Gill Sans MT"/>
        </w:rPr>
        <w:t xml:space="preserve"> this hostility to human rights </w:t>
      </w:r>
      <w:r w:rsidR="00040F5C">
        <w:rPr>
          <w:rFonts w:ascii="Gill Sans MT" w:hAnsi="Gill Sans MT"/>
        </w:rPr>
        <w:t>claims is</w:t>
      </w:r>
      <w:r w:rsidR="002130D6">
        <w:rPr>
          <w:rFonts w:ascii="Gill Sans MT" w:hAnsi="Gill Sans MT"/>
        </w:rPr>
        <w:t xml:space="preserve"> </w:t>
      </w:r>
      <w:r w:rsidR="00040F5C">
        <w:rPr>
          <w:rFonts w:ascii="Gill Sans MT" w:hAnsi="Gill Sans MT"/>
        </w:rPr>
        <w:t xml:space="preserve">generally seen as </w:t>
      </w:r>
      <w:r w:rsidR="002130D6">
        <w:rPr>
          <w:rFonts w:ascii="Gill Sans MT" w:hAnsi="Gill Sans MT"/>
        </w:rPr>
        <w:t xml:space="preserve">the </w:t>
      </w:r>
      <w:r w:rsidR="002130D6" w:rsidRPr="00273BBD">
        <w:rPr>
          <w:rFonts w:ascii="Gill Sans MT" w:hAnsi="Gill Sans MT"/>
          <w:i/>
        </w:rPr>
        <w:t>Daily Mail</w:t>
      </w:r>
      <w:r w:rsidR="00040F5C">
        <w:rPr>
          <w:rFonts w:ascii="Gill Sans MT" w:hAnsi="Gill Sans MT"/>
        </w:rPr>
        <w:t>.</w:t>
      </w:r>
      <w:r w:rsidR="00040F5C">
        <w:rPr>
          <w:rStyle w:val="FootnoteReference"/>
          <w:rFonts w:ascii="Gill Sans MT" w:hAnsi="Gill Sans MT"/>
        </w:rPr>
        <w:footnoteReference w:id="12"/>
      </w:r>
      <w:r w:rsidR="00040F5C">
        <w:rPr>
          <w:rFonts w:ascii="Gill Sans MT" w:hAnsi="Gill Sans MT"/>
        </w:rPr>
        <w:t xml:space="preserve"> This representation of rights is largely underpinned by a distinction between the deserving and undeserving</w:t>
      </w:r>
      <w:r w:rsidR="004D0E80">
        <w:rPr>
          <w:rFonts w:ascii="Gill Sans MT" w:hAnsi="Gill Sans MT"/>
        </w:rPr>
        <w:t>;</w:t>
      </w:r>
      <w:r w:rsidR="002130D6">
        <w:rPr>
          <w:rFonts w:ascii="Gill Sans MT" w:hAnsi="Gill Sans MT"/>
        </w:rPr>
        <w:t xml:space="preserve"> </w:t>
      </w:r>
      <w:r w:rsidR="00040F5C">
        <w:rPr>
          <w:rFonts w:ascii="Gill Sans MT" w:hAnsi="Gill Sans MT"/>
        </w:rPr>
        <w:t>there are groups or individuals who do not deserve the legal protection of their human rights,</w:t>
      </w:r>
      <w:r w:rsidR="00290CB0">
        <w:rPr>
          <w:rFonts w:ascii="Gill Sans MT" w:hAnsi="Gill Sans MT"/>
        </w:rPr>
        <w:t xml:space="preserve"> </w:t>
      </w:r>
      <w:r w:rsidR="004D0E80">
        <w:rPr>
          <w:rFonts w:ascii="Gill Sans MT" w:hAnsi="Gill Sans MT"/>
        </w:rPr>
        <w:t>a claim which</w:t>
      </w:r>
      <w:r w:rsidR="00040F5C">
        <w:rPr>
          <w:rFonts w:ascii="Gill Sans MT" w:hAnsi="Gill Sans MT"/>
        </w:rPr>
        <w:t xml:space="preserve"> appears</w:t>
      </w:r>
      <w:r w:rsidR="00290CB0">
        <w:rPr>
          <w:rFonts w:ascii="Gill Sans MT" w:hAnsi="Gill Sans MT"/>
        </w:rPr>
        <w:t xml:space="preserve"> to challenge the </w:t>
      </w:r>
      <w:r w:rsidR="00040F5C">
        <w:rPr>
          <w:rFonts w:ascii="Gill Sans MT" w:hAnsi="Gill Sans MT"/>
        </w:rPr>
        <w:t>ostensible</w:t>
      </w:r>
      <w:r w:rsidR="00290CB0">
        <w:rPr>
          <w:rFonts w:ascii="Gill Sans MT" w:hAnsi="Gill Sans MT"/>
        </w:rPr>
        <w:t xml:space="preserve"> universality of these fundamental claims.</w:t>
      </w:r>
      <w:r w:rsidR="00040F5C">
        <w:rPr>
          <w:rFonts w:ascii="Gill Sans MT" w:hAnsi="Gill Sans MT"/>
        </w:rPr>
        <w:t xml:space="preserve"> In contrast, we have the ‘Good Press’ – with the </w:t>
      </w:r>
      <w:r w:rsidR="00040F5C" w:rsidRPr="00273BBD">
        <w:rPr>
          <w:rFonts w:ascii="Gill Sans MT" w:hAnsi="Gill Sans MT"/>
          <w:i/>
        </w:rPr>
        <w:t>Guardian</w:t>
      </w:r>
      <w:r w:rsidR="00040F5C">
        <w:rPr>
          <w:rFonts w:ascii="Gill Sans MT" w:hAnsi="Gill Sans MT"/>
        </w:rPr>
        <w:t xml:space="preserve"> perhaps standing as the exemplar of this tradition.</w:t>
      </w:r>
      <w:r w:rsidR="00700BD1">
        <w:rPr>
          <w:rStyle w:val="FootnoteReference"/>
          <w:rFonts w:ascii="Gill Sans MT" w:hAnsi="Gill Sans MT"/>
        </w:rPr>
        <w:footnoteReference w:id="13"/>
      </w:r>
      <w:r w:rsidR="00040F5C">
        <w:rPr>
          <w:rFonts w:ascii="Gill Sans MT" w:hAnsi="Gill Sans MT"/>
        </w:rPr>
        <w:t xml:space="preserve">  The</w:t>
      </w:r>
      <w:r w:rsidR="00700BD1">
        <w:rPr>
          <w:rFonts w:ascii="Gill Sans MT" w:hAnsi="Gill Sans MT"/>
        </w:rPr>
        <w:t xml:space="preserve"> ‘Good Pres</w:t>
      </w:r>
      <w:r w:rsidR="003649F4">
        <w:rPr>
          <w:rFonts w:ascii="Gill Sans MT" w:hAnsi="Gill Sans MT"/>
        </w:rPr>
        <w:t>s</w:t>
      </w:r>
      <w:r w:rsidR="004D0E80">
        <w:rPr>
          <w:rFonts w:ascii="Gill Sans MT" w:hAnsi="Gill Sans MT"/>
        </w:rPr>
        <w:t>’</w:t>
      </w:r>
      <w:r w:rsidR="003649F4">
        <w:rPr>
          <w:rFonts w:ascii="Gill Sans MT" w:hAnsi="Gill Sans MT"/>
        </w:rPr>
        <w:t xml:space="preserve"> </w:t>
      </w:r>
      <w:r w:rsidR="00290CB0">
        <w:rPr>
          <w:rFonts w:ascii="Gill Sans MT" w:hAnsi="Gill Sans MT"/>
        </w:rPr>
        <w:t xml:space="preserve">accepts </w:t>
      </w:r>
      <w:r w:rsidR="003649F4">
        <w:rPr>
          <w:rFonts w:ascii="Gill Sans MT" w:hAnsi="Gill Sans MT"/>
        </w:rPr>
        <w:t>the</w:t>
      </w:r>
      <w:r w:rsidR="00290CB0">
        <w:rPr>
          <w:rFonts w:ascii="Gill Sans MT" w:hAnsi="Gill Sans MT"/>
        </w:rPr>
        <w:t xml:space="preserve"> universality of rights, </w:t>
      </w:r>
      <w:r w:rsidR="003649F4">
        <w:rPr>
          <w:rFonts w:ascii="Gill Sans MT" w:hAnsi="Gill Sans MT"/>
        </w:rPr>
        <w:t xml:space="preserve">and the substantive values of liberty and equality which </w:t>
      </w:r>
      <w:r w:rsidR="004D0E80">
        <w:rPr>
          <w:rFonts w:ascii="Gill Sans MT" w:hAnsi="Gill Sans MT"/>
        </w:rPr>
        <w:t xml:space="preserve">are seen to </w:t>
      </w:r>
      <w:r w:rsidR="003649F4">
        <w:rPr>
          <w:rFonts w:ascii="Gill Sans MT" w:hAnsi="Gill Sans MT"/>
        </w:rPr>
        <w:t>underpin rights to live, associate, express opinions, be free from torture and unjustified punishments, and others. And</w:t>
      </w:r>
      <w:r w:rsidR="00290CB0">
        <w:rPr>
          <w:rFonts w:ascii="Gill Sans MT" w:hAnsi="Gill Sans MT"/>
        </w:rPr>
        <w:t xml:space="preserve"> in so doing </w:t>
      </w:r>
      <w:r w:rsidR="003649F4">
        <w:rPr>
          <w:rFonts w:ascii="Gill Sans MT" w:hAnsi="Gill Sans MT"/>
        </w:rPr>
        <w:t xml:space="preserve">the ‘Good Press’ </w:t>
      </w:r>
      <w:r w:rsidR="00290CB0">
        <w:rPr>
          <w:rFonts w:ascii="Gill Sans MT" w:hAnsi="Gill Sans MT"/>
        </w:rPr>
        <w:t>demonstrates compassion for the very groups or</w:t>
      </w:r>
      <w:r w:rsidR="003649F4">
        <w:rPr>
          <w:rFonts w:ascii="Gill Sans MT" w:hAnsi="Gill Sans MT"/>
        </w:rPr>
        <w:t xml:space="preserve"> individuals demonised by the ‘Bad Press’, and </w:t>
      </w:r>
      <w:r w:rsidR="006C7936">
        <w:rPr>
          <w:rFonts w:ascii="Gill Sans MT" w:hAnsi="Gill Sans MT"/>
        </w:rPr>
        <w:t xml:space="preserve">extols </w:t>
      </w:r>
      <w:r w:rsidR="003649F4">
        <w:rPr>
          <w:rFonts w:ascii="Gill Sans MT" w:hAnsi="Gill Sans MT"/>
        </w:rPr>
        <w:t>the virtues of having a system by which rights claims can be promoted.</w:t>
      </w:r>
    </w:p>
    <w:p w14:paraId="6D3C5DBF" w14:textId="3BA34D71" w:rsidR="00106E67" w:rsidRDefault="003649F4" w:rsidP="00106E67">
      <w:pPr>
        <w:pStyle w:val="NoSpacing"/>
        <w:ind w:firstLine="720"/>
        <w:jc w:val="both"/>
        <w:rPr>
          <w:rFonts w:ascii="Gill Sans MT" w:hAnsi="Gill Sans MT"/>
          <w:color w:val="000000"/>
        </w:rPr>
      </w:pPr>
      <w:r>
        <w:rPr>
          <w:rFonts w:ascii="Gill Sans MT" w:hAnsi="Gill Sans MT"/>
        </w:rPr>
        <w:t xml:space="preserve">This account of the framing of debate about human rights law around a diametrically opposed ‘Bad’ and ‘Good’ press is obviously, to some extent, a caricature of what is </w:t>
      </w:r>
      <w:proofErr w:type="gramStart"/>
      <w:r>
        <w:rPr>
          <w:rFonts w:ascii="Gill Sans MT" w:hAnsi="Gill Sans MT"/>
        </w:rPr>
        <w:t>in reality a</w:t>
      </w:r>
      <w:proofErr w:type="gramEnd"/>
      <w:r>
        <w:rPr>
          <w:rFonts w:ascii="Gill Sans MT" w:hAnsi="Gill Sans MT"/>
        </w:rPr>
        <w:t xml:space="preserve"> more varied landsca</w:t>
      </w:r>
      <w:r w:rsidR="00447F36">
        <w:rPr>
          <w:rFonts w:ascii="Gill Sans MT" w:hAnsi="Gill Sans MT"/>
        </w:rPr>
        <w:t>pe. Yet</w:t>
      </w:r>
      <w:r w:rsidR="006C7936">
        <w:rPr>
          <w:rFonts w:ascii="Gill Sans MT" w:hAnsi="Gill Sans MT"/>
        </w:rPr>
        <w:t>,</w:t>
      </w:r>
      <w:r w:rsidR="00447F36">
        <w:rPr>
          <w:rFonts w:ascii="Gill Sans MT" w:hAnsi="Gill Sans MT"/>
        </w:rPr>
        <w:t xml:space="preserve"> while</w:t>
      </w:r>
      <w:r w:rsidR="00CC2FC5">
        <w:rPr>
          <w:rFonts w:ascii="Gill Sans MT" w:hAnsi="Gill Sans MT"/>
        </w:rPr>
        <w:t xml:space="preserve"> </w:t>
      </w:r>
      <w:r w:rsidR="00447F36">
        <w:rPr>
          <w:rFonts w:ascii="Gill Sans MT" w:hAnsi="Gill Sans MT"/>
        </w:rPr>
        <w:t xml:space="preserve">a simplification in some </w:t>
      </w:r>
      <w:r w:rsidR="00CC2FC5">
        <w:rPr>
          <w:rFonts w:ascii="Gill Sans MT" w:hAnsi="Gill Sans MT"/>
        </w:rPr>
        <w:t>respects</w:t>
      </w:r>
      <w:r w:rsidR="00447F36">
        <w:rPr>
          <w:rFonts w:ascii="Gill Sans MT" w:hAnsi="Gill Sans MT"/>
        </w:rPr>
        <w:t xml:space="preserve">, </w:t>
      </w:r>
      <w:r w:rsidR="004E7D36">
        <w:rPr>
          <w:rFonts w:ascii="Gill Sans MT" w:hAnsi="Gill Sans MT"/>
        </w:rPr>
        <w:t>in other</w:t>
      </w:r>
      <w:r w:rsidR="00CC2FC5">
        <w:rPr>
          <w:rFonts w:ascii="Gill Sans MT" w:hAnsi="Gill Sans MT"/>
        </w:rPr>
        <w:t xml:space="preserve"> respects</w:t>
      </w:r>
      <w:r w:rsidR="00447F36">
        <w:rPr>
          <w:rFonts w:ascii="Gill Sans MT" w:hAnsi="Gill Sans MT"/>
        </w:rPr>
        <w:t xml:space="preserve"> it feels as if much public debate about media representations of human rights is structured in exactly this way: those on the side of virtue understand and respect human rights, whereas those </w:t>
      </w:r>
      <w:r w:rsidR="009169FF">
        <w:rPr>
          <w:rFonts w:ascii="Gill Sans MT" w:hAnsi="Gill Sans MT"/>
        </w:rPr>
        <w:t xml:space="preserve">focused on the pursuit of grubby self-interest regard </w:t>
      </w:r>
      <w:r w:rsidR="00053F2A">
        <w:rPr>
          <w:rFonts w:ascii="Gill Sans MT" w:hAnsi="Gill Sans MT"/>
        </w:rPr>
        <w:t xml:space="preserve">universal </w:t>
      </w:r>
      <w:r w:rsidR="009169FF">
        <w:rPr>
          <w:rFonts w:ascii="Gill Sans MT" w:hAnsi="Gill Sans MT"/>
        </w:rPr>
        <w:t>rights as an exclusive luxury at best, and a dangerous indulgence at worst.</w:t>
      </w:r>
      <w:r w:rsidR="004E7D36">
        <w:rPr>
          <w:rFonts w:ascii="Gill Sans MT" w:hAnsi="Gill Sans MT"/>
        </w:rPr>
        <w:t xml:space="preserve"> It also works in combination with a second </w:t>
      </w:r>
      <w:r w:rsidR="00537D4A">
        <w:rPr>
          <w:rFonts w:ascii="Gill Sans MT" w:hAnsi="Gill Sans MT"/>
        </w:rPr>
        <w:t>binary distinction. The ‘Good’ and ‘Bad’ press approaches to human rights are themselves underpinned by a</w:t>
      </w:r>
      <w:r w:rsidR="00B67CC1" w:rsidRPr="00565725">
        <w:rPr>
          <w:rFonts w:ascii="Gill Sans MT" w:hAnsi="Gill Sans MT"/>
          <w:color w:val="000000"/>
        </w:rPr>
        <w:t xml:space="preserve"> binary conception of legality </w:t>
      </w:r>
      <w:r w:rsidR="00B67CC1">
        <w:rPr>
          <w:rFonts w:ascii="Gill Sans MT" w:hAnsi="Gill Sans MT"/>
          <w:color w:val="000000"/>
        </w:rPr>
        <w:t xml:space="preserve">– or perhaps </w:t>
      </w:r>
      <w:r w:rsidR="00F42D5F">
        <w:rPr>
          <w:rFonts w:ascii="Gill Sans MT" w:hAnsi="Gill Sans MT"/>
          <w:color w:val="000000"/>
        </w:rPr>
        <w:t xml:space="preserve">of the idea of </w:t>
      </w:r>
      <w:r w:rsidR="00B67CC1">
        <w:rPr>
          <w:rFonts w:ascii="Gill Sans MT" w:hAnsi="Gill Sans MT"/>
          <w:color w:val="000000"/>
        </w:rPr>
        <w:t>the rule of law</w:t>
      </w:r>
      <w:r w:rsidR="00537D4A">
        <w:rPr>
          <w:rFonts w:ascii="Gill Sans MT" w:hAnsi="Gill Sans MT"/>
          <w:color w:val="000000"/>
        </w:rPr>
        <w:t xml:space="preserve">. This binary conception of the rule of law posits the legality of a particular state of affairs as </w:t>
      </w:r>
      <w:r w:rsidR="00725A89">
        <w:rPr>
          <w:rFonts w:ascii="Gill Sans MT" w:hAnsi="Gill Sans MT"/>
          <w:color w:val="000000"/>
        </w:rPr>
        <w:t xml:space="preserve">a </w:t>
      </w:r>
      <w:r w:rsidR="00EE51D5">
        <w:rPr>
          <w:rFonts w:ascii="Gill Sans MT" w:hAnsi="Gill Sans MT"/>
          <w:color w:val="000000"/>
        </w:rPr>
        <w:t>matter of absolute judgment – either something is definitively lawful or it is not.</w:t>
      </w:r>
      <w:r w:rsidR="00B67CC1" w:rsidRPr="00565725">
        <w:rPr>
          <w:rFonts w:ascii="Gill Sans MT" w:hAnsi="Gill Sans MT"/>
          <w:color w:val="000000"/>
        </w:rPr>
        <w:t xml:space="preserve"> </w:t>
      </w:r>
      <w:r w:rsidR="00CC2FC5">
        <w:rPr>
          <w:rFonts w:ascii="Gill Sans MT" w:hAnsi="Gill Sans MT"/>
          <w:color w:val="000000"/>
        </w:rPr>
        <w:t>While this is no doubt an accurate re</w:t>
      </w:r>
      <w:r w:rsidR="008D083F">
        <w:rPr>
          <w:rFonts w:ascii="Gill Sans MT" w:hAnsi="Gill Sans MT"/>
          <w:color w:val="000000"/>
        </w:rPr>
        <w:t>presentation of the outcome of nearly any</w:t>
      </w:r>
      <w:r w:rsidR="00CC2FC5">
        <w:rPr>
          <w:rFonts w:ascii="Gill Sans MT" w:hAnsi="Gill Sans MT"/>
          <w:color w:val="000000"/>
        </w:rPr>
        <w:t xml:space="preserve"> specific legal case, it </w:t>
      </w:r>
      <w:r w:rsidR="00B67CC1" w:rsidRPr="00565725">
        <w:rPr>
          <w:rFonts w:ascii="Gill Sans MT" w:hAnsi="Gill Sans MT"/>
          <w:color w:val="000000"/>
        </w:rPr>
        <w:t>masks the real complex</w:t>
      </w:r>
      <w:r w:rsidR="00CC2FC5">
        <w:rPr>
          <w:rFonts w:ascii="Gill Sans MT" w:hAnsi="Gill Sans MT"/>
          <w:color w:val="000000"/>
        </w:rPr>
        <w:t xml:space="preserve">ity of the </w:t>
      </w:r>
      <w:r w:rsidR="00B67CC1" w:rsidRPr="00565725">
        <w:rPr>
          <w:rFonts w:ascii="Gill Sans MT" w:hAnsi="Gill Sans MT"/>
          <w:color w:val="000000"/>
        </w:rPr>
        <w:t xml:space="preserve">contested </w:t>
      </w:r>
      <w:r w:rsidR="00F42D5F">
        <w:rPr>
          <w:rFonts w:ascii="Gill Sans MT" w:hAnsi="Gill Sans MT"/>
          <w:color w:val="000000"/>
        </w:rPr>
        <w:t>moral, political, and policy</w:t>
      </w:r>
      <w:r w:rsidR="00CC2FC5">
        <w:rPr>
          <w:rFonts w:ascii="Gill Sans MT" w:hAnsi="Gill Sans MT"/>
          <w:color w:val="000000"/>
        </w:rPr>
        <w:t xml:space="preserve"> dimensions of an assessment of human rights compatibility that is inherent in such adjudication.</w:t>
      </w:r>
      <w:r w:rsidR="00106E67">
        <w:rPr>
          <w:rFonts w:ascii="Gill Sans MT" w:hAnsi="Gill Sans MT"/>
          <w:color w:val="000000"/>
        </w:rPr>
        <w:t xml:space="preserve"> The ensuing lack of nuance as to the operation of legal systems for the enforcement of human rights reinforces the basic division between a ‘Good’ and ‘Bad’ press – the result of a rights claim becomes a </w:t>
      </w:r>
      <w:proofErr w:type="gramStart"/>
      <w:r w:rsidR="00106E67">
        <w:rPr>
          <w:rFonts w:ascii="Gill Sans MT" w:hAnsi="Gill Sans MT"/>
          <w:color w:val="000000"/>
        </w:rPr>
        <w:t>clear cut</w:t>
      </w:r>
      <w:proofErr w:type="gramEnd"/>
      <w:r w:rsidR="00106E67">
        <w:rPr>
          <w:rFonts w:ascii="Gill Sans MT" w:hAnsi="Gill Sans MT"/>
          <w:color w:val="000000"/>
        </w:rPr>
        <w:t xml:space="preserve"> matter of legal fact, and something to be praised or lamented, depending only on the vantage point occupied.</w:t>
      </w:r>
    </w:p>
    <w:p w14:paraId="3FE55EEC" w14:textId="444EBDFC" w:rsidR="00175268" w:rsidRDefault="00290CB0" w:rsidP="00E6664A">
      <w:pPr>
        <w:pStyle w:val="NoSpacing"/>
        <w:ind w:firstLine="720"/>
        <w:jc w:val="both"/>
        <w:rPr>
          <w:rStyle w:val="apple-converted-space"/>
          <w:rFonts w:ascii="Gill Sans MT" w:hAnsi="Gill Sans MT"/>
          <w:color w:val="000000"/>
        </w:rPr>
      </w:pPr>
      <w:r>
        <w:rPr>
          <w:rFonts w:ascii="Gill Sans MT" w:hAnsi="Gill Sans MT"/>
        </w:rPr>
        <w:t xml:space="preserve">These binary approaches seem to structure a great deal of thought and debate about </w:t>
      </w:r>
      <w:r w:rsidR="00B67CC1">
        <w:rPr>
          <w:rFonts w:ascii="Gill Sans MT" w:hAnsi="Gill Sans MT"/>
        </w:rPr>
        <w:t xml:space="preserve">legal </w:t>
      </w:r>
      <w:r>
        <w:rPr>
          <w:rFonts w:ascii="Gill Sans MT" w:hAnsi="Gill Sans MT"/>
        </w:rPr>
        <w:t xml:space="preserve">human rights. But what is lost in this </w:t>
      </w:r>
      <w:r w:rsidR="00E358A4">
        <w:rPr>
          <w:rFonts w:ascii="Gill Sans MT" w:hAnsi="Gill Sans MT"/>
        </w:rPr>
        <w:t>is</w:t>
      </w:r>
      <w:r>
        <w:rPr>
          <w:rFonts w:ascii="Gill Sans MT" w:hAnsi="Gill Sans MT"/>
        </w:rPr>
        <w:t xml:space="preserve"> </w:t>
      </w:r>
      <w:r w:rsidR="00E358A4">
        <w:rPr>
          <w:rFonts w:ascii="Gill Sans MT" w:hAnsi="Gill Sans MT"/>
        </w:rPr>
        <w:t>the political aspect of human rights law, which is suppressed by the binary conception of legality which constitutes the terrain on which both the ‘Good Press’ and ‘Bad Press’ engage alike.</w:t>
      </w:r>
      <w:r w:rsidR="00E6664A">
        <w:rPr>
          <w:rFonts w:ascii="Gill Sans MT" w:hAnsi="Gill Sans MT"/>
        </w:rPr>
        <w:t xml:space="preserve"> For to embrace </w:t>
      </w:r>
      <w:r>
        <w:rPr>
          <w:rFonts w:ascii="Gill Sans MT" w:hAnsi="Gill Sans MT"/>
        </w:rPr>
        <w:t xml:space="preserve">the language and significance of human rights to </w:t>
      </w:r>
      <w:r w:rsidR="00E6664A">
        <w:rPr>
          <w:rFonts w:ascii="Gill Sans MT" w:hAnsi="Gill Sans MT"/>
        </w:rPr>
        <w:t>establish</w:t>
      </w:r>
      <w:r>
        <w:rPr>
          <w:rFonts w:ascii="Gill Sans MT" w:hAnsi="Gill Sans MT"/>
        </w:rPr>
        <w:t xml:space="preserve"> and </w:t>
      </w:r>
      <w:r>
        <w:rPr>
          <w:rFonts w:ascii="Gill Sans MT" w:hAnsi="Gill Sans MT"/>
        </w:rPr>
        <w:lastRenderedPageBreak/>
        <w:t>s</w:t>
      </w:r>
      <w:r w:rsidR="00E6664A">
        <w:rPr>
          <w:rFonts w:ascii="Gill Sans MT" w:hAnsi="Gill Sans MT"/>
        </w:rPr>
        <w:t xml:space="preserve">ustain claims for social goods or entitlements, </w:t>
      </w:r>
      <w:r>
        <w:rPr>
          <w:rFonts w:ascii="Gill Sans MT" w:hAnsi="Gill Sans MT"/>
        </w:rPr>
        <w:t xml:space="preserve">fair treatment </w:t>
      </w:r>
      <w:r w:rsidR="00E6664A">
        <w:rPr>
          <w:rFonts w:ascii="Gill Sans MT" w:hAnsi="Gill Sans MT"/>
        </w:rPr>
        <w:t>or respect, is to make a political choice,</w:t>
      </w:r>
      <w:r w:rsidR="00AF36F0">
        <w:rPr>
          <w:rFonts w:ascii="Gill Sans MT" w:hAnsi="Gill Sans MT"/>
        </w:rPr>
        <w:t xml:space="preserve"> and </w:t>
      </w:r>
      <w:r w:rsidR="00E6664A">
        <w:rPr>
          <w:rFonts w:ascii="Gill Sans MT" w:hAnsi="Gill Sans MT"/>
        </w:rPr>
        <w:t xml:space="preserve">to </w:t>
      </w:r>
      <w:r w:rsidR="00AF36F0">
        <w:rPr>
          <w:rFonts w:ascii="Gill Sans MT" w:hAnsi="Gill Sans MT"/>
        </w:rPr>
        <w:t xml:space="preserve">engage in political discourse via the medium of rights, rather than ascend to a higher level of enlightenment, </w:t>
      </w:r>
      <w:r w:rsidR="00D000ED">
        <w:rPr>
          <w:rFonts w:ascii="Gill Sans MT" w:hAnsi="Gill Sans MT"/>
        </w:rPr>
        <w:t xml:space="preserve">and operate </w:t>
      </w:r>
      <w:r w:rsidR="00AF36F0">
        <w:rPr>
          <w:rFonts w:ascii="Gill Sans MT" w:hAnsi="Gill Sans MT"/>
        </w:rPr>
        <w:t>above the fray.</w:t>
      </w:r>
      <w:r w:rsidR="00DB1F82">
        <w:rPr>
          <w:rFonts w:ascii="Gill Sans MT" w:hAnsi="Gill Sans MT"/>
        </w:rPr>
        <w:t xml:space="preserve"> </w:t>
      </w:r>
      <w:r w:rsidR="00D000ED">
        <w:rPr>
          <w:rFonts w:ascii="Gill Sans MT" w:hAnsi="Gill Sans MT"/>
        </w:rPr>
        <w:t>While human rights law may present itself as based on unquestionable premises around which there is little or no room for debate, there is no objective argument from reason which can establish the natural or fundamental character of either the particular human rights identified in a legal scheme of protection, or justify as uncontentious the ways in which these basic rights are fleshed out and applied in specific contexts.</w:t>
      </w:r>
      <w:r w:rsidR="00D000ED">
        <w:rPr>
          <w:rStyle w:val="FootnoteReference"/>
          <w:rFonts w:ascii="Gill Sans MT" w:hAnsi="Gill Sans MT"/>
        </w:rPr>
        <w:footnoteReference w:id="14"/>
      </w:r>
      <w:r w:rsidR="00D000ED">
        <w:rPr>
          <w:rFonts w:ascii="Gill Sans MT" w:hAnsi="Gill Sans MT"/>
        </w:rPr>
        <w:t xml:space="preserve"> </w:t>
      </w:r>
      <w:r w:rsidR="00357E1D">
        <w:rPr>
          <w:rFonts w:ascii="Gill Sans MT" w:hAnsi="Gill Sans MT"/>
        </w:rPr>
        <w:t xml:space="preserve">Of course, there is immense </w:t>
      </w:r>
      <w:r w:rsidR="00DB1F82">
        <w:rPr>
          <w:rFonts w:ascii="Gill Sans MT" w:hAnsi="Gill Sans MT"/>
        </w:rPr>
        <w:t xml:space="preserve">rhetorical power </w:t>
      </w:r>
      <w:r w:rsidR="00357E1D">
        <w:rPr>
          <w:rFonts w:ascii="Gill Sans MT" w:hAnsi="Gill Sans MT"/>
        </w:rPr>
        <w:t>in</w:t>
      </w:r>
      <w:r w:rsidR="00DB1F82">
        <w:rPr>
          <w:rFonts w:ascii="Gill Sans MT" w:hAnsi="Gill Sans MT"/>
        </w:rPr>
        <w:t xml:space="preserve"> </w:t>
      </w:r>
      <w:r w:rsidR="00357E1D">
        <w:rPr>
          <w:rFonts w:ascii="Gill Sans MT" w:hAnsi="Gill Sans MT"/>
        </w:rPr>
        <w:t>the idea of</w:t>
      </w:r>
      <w:r w:rsidR="00DB1F82">
        <w:rPr>
          <w:rFonts w:ascii="Gill Sans MT" w:hAnsi="Gill Sans MT"/>
        </w:rPr>
        <w:t xml:space="preserve"> rights</w:t>
      </w:r>
      <w:r w:rsidR="00357E1D">
        <w:rPr>
          <w:rFonts w:ascii="Gill Sans MT" w:hAnsi="Gill Sans MT"/>
        </w:rPr>
        <w:t xml:space="preserve"> inherent to all people</w:t>
      </w:r>
      <w:r w:rsidR="00DB1F82">
        <w:rPr>
          <w:rFonts w:ascii="Gill Sans MT" w:hAnsi="Gill Sans MT"/>
        </w:rPr>
        <w:t xml:space="preserve"> – whether in a particular context, or </w:t>
      </w:r>
      <w:r w:rsidR="00357E1D">
        <w:rPr>
          <w:rFonts w:ascii="Gill Sans MT" w:hAnsi="Gill Sans MT"/>
        </w:rPr>
        <w:t>in systemic terms</w:t>
      </w:r>
      <w:r w:rsidR="00DB1F82">
        <w:rPr>
          <w:rFonts w:ascii="Gill Sans MT" w:hAnsi="Gill Sans MT"/>
        </w:rPr>
        <w:t xml:space="preserve"> – as human rights becomes a catch-all</w:t>
      </w:r>
      <w:r w:rsidR="009F2544">
        <w:rPr>
          <w:rFonts w:ascii="Gill Sans MT" w:hAnsi="Gill Sans MT"/>
        </w:rPr>
        <w:t>,</w:t>
      </w:r>
      <w:r w:rsidR="00DB1F82">
        <w:rPr>
          <w:rFonts w:ascii="Gill Sans MT" w:hAnsi="Gill Sans MT"/>
        </w:rPr>
        <w:t xml:space="preserve"> stock phrase for the pursuit of justice, fairness, liberty, equality, autonomy, well-being and much else besides.</w:t>
      </w:r>
      <w:r w:rsidR="00357E1D">
        <w:rPr>
          <w:rFonts w:ascii="Gill Sans MT" w:hAnsi="Gill Sans MT"/>
        </w:rPr>
        <w:t xml:space="preserve"> But such rights must be contingent</w:t>
      </w:r>
      <w:r w:rsidR="00216CE5">
        <w:rPr>
          <w:rFonts w:ascii="Gill Sans MT" w:hAnsi="Gill Sans MT"/>
        </w:rPr>
        <w:t xml:space="preserve"> and political, rather than ‘trumps’</w:t>
      </w:r>
      <w:r w:rsidR="00EB6254">
        <w:rPr>
          <w:rFonts w:ascii="Gill Sans MT" w:hAnsi="Gill Sans MT"/>
        </w:rPr>
        <w:t xml:space="preserve"> which bypass the existence of differing perspectives on </w:t>
      </w:r>
      <w:r w:rsidR="00F558CB">
        <w:rPr>
          <w:rFonts w:ascii="Gill Sans MT" w:hAnsi="Gill Sans MT"/>
        </w:rPr>
        <w:t>how we should organise our societies.</w:t>
      </w:r>
      <w:r w:rsidR="009F2544">
        <w:rPr>
          <w:rStyle w:val="FootnoteReference"/>
          <w:rFonts w:ascii="Gill Sans MT" w:hAnsi="Gill Sans MT"/>
        </w:rPr>
        <w:footnoteReference w:id="15"/>
      </w:r>
    </w:p>
    <w:p w14:paraId="5D776B5C" w14:textId="248DD218" w:rsidR="009C62B7" w:rsidRPr="009C62B7" w:rsidRDefault="00F558CB" w:rsidP="00557915">
      <w:pPr>
        <w:pStyle w:val="NoSpacing"/>
        <w:ind w:firstLine="720"/>
        <w:jc w:val="both"/>
        <w:rPr>
          <w:rFonts w:ascii="Gill Sans MT" w:hAnsi="Gill Sans MT"/>
        </w:rPr>
      </w:pPr>
      <w:r>
        <w:rPr>
          <w:rFonts w:ascii="Gill Sans MT" w:hAnsi="Gill Sans MT"/>
        </w:rPr>
        <w:t>Against this backdrop, it becomes evident that</w:t>
      </w:r>
      <w:r w:rsidR="00E358A4">
        <w:rPr>
          <w:rFonts w:ascii="Gill Sans MT" w:hAnsi="Gill Sans MT"/>
        </w:rPr>
        <w:t xml:space="preserve"> the position ado</w:t>
      </w:r>
      <w:r>
        <w:rPr>
          <w:rFonts w:ascii="Gill Sans MT" w:hAnsi="Gill Sans MT"/>
        </w:rPr>
        <w:t>pted by the ‘Good P</w:t>
      </w:r>
      <w:r w:rsidR="00E358A4">
        <w:rPr>
          <w:rFonts w:ascii="Gill Sans MT" w:hAnsi="Gill Sans MT"/>
        </w:rPr>
        <w:t xml:space="preserve">ress’ </w:t>
      </w:r>
      <w:r>
        <w:rPr>
          <w:rFonts w:ascii="Gill Sans MT" w:hAnsi="Gill Sans MT"/>
        </w:rPr>
        <w:t xml:space="preserve">on human rights </w:t>
      </w:r>
      <w:r w:rsidR="00E358A4">
        <w:rPr>
          <w:rFonts w:ascii="Gill Sans MT" w:hAnsi="Gill Sans MT"/>
        </w:rPr>
        <w:t xml:space="preserve">is </w:t>
      </w:r>
      <w:r w:rsidR="00E358A4" w:rsidRPr="00F558CB">
        <w:rPr>
          <w:rFonts w:ascii="Gill Sans MT" w:hAnsi="Gill Sans MT"/>
        </w:rPr>
        <w:t>no less political</w:t>
      </w:r>
      <w:r w:rsidR="00E358A4">
        <w:rPr>
          <w:rFonts w:ascii="Gill Sans MT" w:hAnsi="Gill Sans MT"/>
          <w:i/>
        </w:rPr>
        <w:t xml:space="preserve"> </w:t>
      </w:r>
      <w:r>
        <w:rPr>
          <w:rFonts w:ascii="Gill Sans MT" w:hAnsi="Gill Sans MT"/>
        </w:rPr>
        <w:t>than that adopted by the ‘Bad P</w:t>
      </w:r>
      <w:r w:rsidR="00E358A4">
        <w:rPr>
          <w:rFonts w:ascii="Gill Sans MT" w:hAnsi="Gill Sans MT"/>
        </w:rPr>
        <w:t>ress’. It may be, in s</w:t>
      </w:r>
      <w:r>
        <w:rPr>
          <w:rFonts w:ascii="Gill Sans MT" w:hAnsi="Gill Sans MT"/>
        </w:rPr>
        <w:t>ubstance, a politics which many</w:t>
      </w:r>
      <w:r w:rsidR="00E358A4">
        <w:rPr>
          <w:rFonts w:ascii="Gill Sans MT" w:hAnsi="Gill Sans MT"/>
        </w:rPr>
        <w:t xml:space="preserve"> instinctively prefer</w:t>
      </w:r>
      <w:r>
        <w:rPr>
          <w:rFonts w:ascii="Gill Sans MT" w:hAnsi="Gill Sans MT"/>
        </w:rPr>
        <w:t xml:space="preserve">, especially within </w:t>
      </w:r>
      <w:r w:rsidR="00F77A66">
        <w:rPr>
          <w:rFonts w:ascii="Gill Sans MT" w:hAnsi="Gill Sans MT"/>
        </w:rPr>
        <w:t xml:space="preserve">the legal professions and </w:t>
      </w:r>
      <w:r>
        <w:rPr>
          <w:rFonts w:ascii="Gill Sans MT" w:hAnsi="Gill Sans MT"/>
        </w:rPr>
        <w:t>academia</w:t>
      </w:r>
      <w:r w:rsidR="003664E1">
        <w:rPr>
          <w:rFonts w:ascii="Gill Sans MT" w:hAnsi="Gill Sans MT"/>
        </w:rPr>
        <w:t xml:space="preserve">, given the </w:t>
      </w:r>
      <w:r w:rsidR="00AA5625">
        <w:rPr>
          <w:rFonts w:ascii="Gill Sans MT" w:hAnsi="Gill Sans MT"/>
        </w:rPr>
        <w:t>primacy</w:t>
      </w:r>
      <w:r w:rsidR="003664E1">
        <w:rPr>
          <w:rFonts w:ascii="Gill Sans MT" w:hAnsi="Gill Sans MT"/>
        </w:rPr>
        <w:t xml:space="preserve">, perhaps even reverence, </w:t>
      </w:r>
      <w:r w:rsidR="00AA5625">
        <w:rPr>
          <w:rFonts w:ascii="Gill Sans MT" w:hAnsi="Gill Sans MT"/>
        </w:rPr>
        <w:t>afforded to</w:t>
      </w:r>
      <w:r w:rsidR="003664E1">
        <w:rPr>
          <w:rFonts w:ascii="Gill Sans MT" w:hAnsi="Gill Sans MT"/>
        </w:rPr>
        <w:t xml:space="preserve"> human rights law</w:t>
      </w:r>
      <w:r>
        <w:rPr>
          <w:rFonts w:ascii="Gill Sans MT" w:hAnsi="Gill Sans MT"/>
        </w:rPr>
        <w:t xml:space="preserve"> </w:t>
      </w:r>
      <w:r w:rsidR="00E358A4">
        <w:rPr>
          <w:rFonts w:ascii="Gill Sans MT" w:hAnsi="Gill Sans MT"/>
        </w:rPr>
        <w:t>– but it is still a politics.</w:t>
      </w:r>
      <w:r w:rsidR="00E6664A">
        <w:rPr>
          <w:rFonts w:ascii="Gill Sans MT" w:hAnsi="Gill Sans MT"/>
          <w:color w:val="000000"/>
        </w:rPr>
        <w:t xml:space="preserve"> </w:t>
      </w:r>
      <w:r w:rsidR="00AF36F0">
        <w:rPr>
          <w:rFonts w:ascii="Gill Sans MT" w:hAnsi="Gill Sans MT"/>
        </w:rPr>
        <w:t>It is to use rights – to instrumentalise human rights instruments, language, provisions</w:t>
      </w:r>
      <w:r w:rsidR="007D6211">
        <w:rPr>
          <w:rStyle w:val="FootnoteReference"/>
          <w:rFonts w:ascii="Gill Sans MT" w:hAnsi="Gill Sans MT"/>
        </w:rPr>
        <w:footnoteReference w:id="16"/>
      </w:r>
      <w:r w:rsidR="00AF36F0">
        <w:rPr>
          <w:rFonts w:ascii="Gill Sans MT" w:hAnsi="Gill Sans MT"/>
        </w:rPr>
        <w:t xml:space="preserve"> </w:t>
      </w:r>
      <w:r w:rsidR="007D6211">
        <w:rPr>
          <w:rFonts w:ascii="Gill Sans MT" w:hAnsi="Gill Sans MT"/>
        </w:rPr>
        <w:t>– just as the ‘Bad Press’ does.</w:t>
      </w:r>
      <w:r w:rsidR="00AF36F0">
        <w:rPr>
          <w:rFonts w:ascii="Gill Sans MT" w:hAnsi="Gill Sans MT"/>
        </w:rPr>
        <w:t xml:space="preserve"> </w:t>
      </w:r>
      <w:r w:rsidR="007D6211">
        <w:rPr>
          <w:rFonts w:ascii="Gill Sans MT" w:hAnsi="Gill Sans MT"/>
        </w:rPr>
        <w:t>T</w:t>
      </w:r>
      <w:r w:rsidR="00AF36F0">
        <w:rPr>
          <w:rFonts w:ascii="Gill Sans MT" w:hAnsi="Gill Sans MT"/>
        </w:rPr>
        <w:t xml:space="preserve">he difference </w:t>
      </w:r>
      <w:r w:rsidR="007D6211">
        <w:rPr>
          <w:rFonts w:ascii="Gill Sans MT" w:hAnsi="Gill Sans MT"/>
        </w:rPr>
        <w:t xml:space="preserve">here </w:t>
      </w:r>
      <w:r w:rsidR="00AF36F0">
        <w:rPr>
          <w:rFonts w:ascii="Gill Sans MT" w:hAnsi="Gill Sans MT"/>
        </w:rPr>
        <w:t>is one of ends, not means.</w:t>
      </w:r>
      <w:r w:rsidR="007D6211">
        <w:rPr>
          <w:rFonts w:ascii="Gill Sans MT" w:hAnsi="Gill Sans MT"/>
        </w:rPr>
        <w:t xml:space="preserve"> Yet this media instrumentalism concerning human rights is also a reflection of the nature of human rights law itself. The claim of human rights law to circumvent politics through its grounding in universal values – based on a simplistic, binary conception of the rule of law – is an impossibili</w:t>
      </w:r>
      <w:r w:rsidR="00557915">
        <w:rPr>
          <w:rFonts w:ascii="Gill Sans MT" w:hAnsi="Gill Sans MT"/>
        </w:rPr>
        <w:t>ty, and may raise a range of difficulties, which will be explored in the next section.</w:t>
      </w:r>
    </w:p>
    <w:p w14:paraId="495E8A47" w14:textId="77777777" w:rsidR="009C62B7" w:rsidRPr="009C62B7" w:rsidRDefault="009C62B7" w:rsidP="00A525D9">
      <w:pPr>
        <w:pStyle w:val="NoSpacing"/>
        <w:rPr>
          <w:rFonts w:ascii="Gill Sans MT" w:hAnsi="Gill Sans MT"/>
        </w:rPr>
      </w:pPr>
    </w:p>
    <w:p w14:paraId="4AEBA82C" w14:textId="77777777" w:rsidR="00AF36F0" w:rsidRPr="009C62B7" w:rsidRDefault="00F42DE9" w:rsidP="00A525D9">
      <w:pPr>
        <w:pStyle w:val="NoSpacing"/>
        <w:rPr>
          <w:rFonts w:ascii="Gill Sans MT" w:hAnsi="Gill Sans MT"/>
          <w:i/>
          <w:u w:val="single"/>
        </w:rPr>
      </w:pPr>
      <w:r w:rsidRPr="009C62B7">
        <w:rPr>
          <w:rFonts w:ascii="Gill Sans MT" w:hAnsi="Gill Sans MT"/>
          <w:i/>
          <w:u w:val="single"/>
        </w:rPr>
        <w:t xml:space="preserve">Ends, Means and </w:t>
      </w:r>
      <w:r w:rsidR="003609C2">
        <w:rPr>
          <w:rFonts w:ascii="Gill Sans MT" w:hAnsi="Gill Sans MT"/>
          <w:i/>
          <w:u w:val="single"/>
        </w:rPr>
        <w:t>Human Rights as Instruments</w:t>
      </w:r>
    </w:p>
    <w:p w14:paraId="4D9F8CC8" w14:textId="77777777" w:rsidR="00F42DE9" w:rsidRDefault="00F42DE9" w:rsidP="00A525D9">
      <w:pPr>
        <w:pStyle w:val="NoSpacing"/>
        <w:rPr>
          <w:rFonts w:ascii="Gill Sans MT" w:hAnsi="Gill Sans MT"/>
        </w:rPr>
      </w:pPr>
    </w:p>
    <w:p w14:paraId="7CE8A49A" w14:textId="3847C576" w:rsidR="0063572C" w:rsidRDefault="00473490" w:rsidP="0063572C">
      <w:pPr>
        <w:pStyle w:val="NoSpacing"/>
        <w:jc w:val="both"/>
        <w:rPr>
          <w:rFonts w:ascii="Gill Sans MT" w:hAnsi="Gill Sans MT"/>
        </w:rPr>
      </w:pPr>
      <w:r>
        <w:rPr>
          <w:rFonts w:ascii="Gill Sans MT" w:hAnsi="Gill Sans MT"/>
        </w:rPr>
        <w:t xml:space="preserve">Once </w:t>
      </w:r>
      <w:r w:rsidR="00601228">
        <w:rPr>
          <w:rFonts w:ascii="Gill Sans MT" w:hAnsi="Gill Sans MT"/>
        </w:rPr>
        <w:t>the instrumentalism</w:t>
      </w:r>
      <w:r>
        <w:rPr>
          <w:rFonts w:ascii="Gill Sans MT" w:hAnsi="Gill Sans MT"/>
        </w:rPr>
        <w:t xml:space="preserve"> of</w:t>
      </w:r>
      <w:r w:rsidR="00601228">
        <w:rPr>
          <w:rFonts w:ascii="Gill Sans MT" w:hAnsi="Gill Sans MT"/>
        </w:rPr>
        <w:t xml:space="preserve"> human</w:t>
      </w:r>
      <w:r>
        <w:rPr>
          <w:rFonts w:ascii="Gill Sans MT" w:hAnsi="Gill Sans MT"/>
        </w:rPr>
        <w:t xml:space="preserve"> rights </w:t>
      </w:r>
      <w:r w:rsidR="00601228">
        <w:rPr>
          <w:rFonts w:ascii="Gill Sans MT" w:hAnsi="Gill Sans MT"/>
        </w:rPr>
        <w:t xml:space="preserve">law </w:t>
      </w:r>
      <w:r>
        <w:rPr>
          <w:rFonts w:ascii="Gill Sans MT" w:hAnsi="Gill Sans MT"/>
        </w:rPr>
        <w:t xml:space="preserve">is recognised, we can see more clearly the difficulties with the </w:t>
      </w:r>
      <w:r w:rsidR="00601228">
        <w:rPr>
          <w:rFonts w:ascii="Gill Sans MT" w:hAnsi="Gill Sans MT"/>
        </w:rPr>
        <w:t>structure</w:t>
      </w:r>
      <w:r>
        <w:rPr>
          <w:rFonts w:ascii="Gill Sans MT" w:hAnsi="Gill Sans MT"/>
        </w:rPr>
        <w:t xml:space="preserve"> of </w:t>
      </w:r>
      <w:r w:rsidR="00601228">
        <w:rPr>
          <w:rFonts w:ascii="Gill Sans MT" w:hAnsi="Gill Sans MT"/>
        </w:rPr>
        <w:t>debates about media representations of rights. The instrumental nature of human rights law means both the ‘Good Press’ and ‘Bad Press’ are caught in a paradigm which is crucially oriented to outcomes. Human rights language is used to establish or bolster claims for desirable social goods , with legal processes for rights protection the mechanism by which t</w:t>
      </w:r>
      <w:r w:rsidR="00F827BD">
        <w:rPr>
          <w:rFonts w:ascii="Gill Sans MT" w:hAnsi="Gill Sans MT"/>
        </w:rPr>
        <w:t>hese claims might be vindicated:</w:t>
      </w:r>
      <w:r w:rsidR="00601228">
        <w:rPr>
          <w:rFonts w:ascii="Gill Sans MT" w:hAnsi="Gill Sans MT"/>
        </w:rPr>
        <w:t xml:space="preserve"> </w:t>
      </w:r>
      <w:r w:rsidR="00F827BD">
        <w:rPr>
          <w:rFonts w:ascii="Gill Sans MT" w:hAnsi="Gill Sans MT"/>
        </w:rPr>
        <w:t>t</w:t>
      </w:r>
      <w:r w:rsidR="00EE7D1C">
        <w:rPr>
          <w:rFonts w:ascii="Gill Sans MT" w:hAnsi="Gill Sans MT"/>
        </w:rPr>
        <w:t>he fundamental human right to X must be understood to require the provision of entitlement Y (or the removal of constraint Z)</w:t>
      </w:r>
      <w:r w:rsidR="006C330F">
        <w:rPr>
          <w:rFonts w:ascii="Gill Sans MT" w:hAnsi="Gill Sans MT"/>
        </w:rPr>
        <w:t>, and the courts must use the powers at their disposal to ensure that this is recognised by law.</w:t>
      </w:r>
      <w:r w:rsidR="006C330F">
        <w:rPr>
          <w:rStyle w:val="FootnoteReference"/>
          <w:rFonts w:ascii="Gill Sans MT" w:hAnsi="Gill Sans MT"/>
        </w:rPr>
        <w:footnoteReference w:id="17"/>
      </w:r>
      <w:r w:rsidR="00A832FB">
        <w:rPr>
          <w:rFonts w:ascii="Gill Sans MT" w:hAnsi="Gill Sans MT"/>
        </w:rPr>
        <w:t xml:space="preserve"> </w:t>
      </w:r>
      <w:r w:rsidR="00494D6E">
        <w:rPr>
          <w:rFonts w:ascii="Gill Sans MT" w:hAnsi="Gill Sans MT"/>
        </w:rPr>
        <w:t>Th</w:t>
      </w:r>
      <w:r w:rsidR="00A832FB">
        <w:rPr>
          <w:rFonts w:ascii="Gill Sans MT" w:hAnsi="Gill Sans MT"/>
        </w:rPr>
        <w:t xml:space="preserve">is </w:t>
      </w:r>
      <w:r w:rsidR="00BD04CC">
        <w:rPr>
          <w:rFonts w:ascii="Gill Sans MT" w:hAnsi="Gill Sans MT"/>
        </w:rPr>
        <w:t xml:space="preserve">is </w:t>
      </w:r>
      <w:r w:rsidR="00A832FB">
        <w:rPr>
          <w:rFonts w:ascii="Gill Sans MT" w:hAnsi="Gill Sans MT"/>
        </w:rPr>
        <w:t xml:space="preserve">an enterprise which is focused on the </w:t>
      </w:r>
      <w:r w:rsidR="00494D6E">
        <w:rPr>
          <w:rFonts w:ascii="Gill Sans MT" w:hAnsi="Gill Sans MT"/>
        </w:rPr>
        <w:t>outcomes</w:t>
      </w:r>
      <w:r w:rsidR="00A832FB">
        <w:rPr>
          <w:rFonts w:ascii="Gill Sans MT" w:hAnsi="Gill Sans MT"/>
        </w:rPr>
        <w:t xml:space="preserve"> </w:t>
      </w:r>
      <w:r w:rsidR="00494D6E">
        <w:rPr>
          <w:rFonts w:ascii="Gill Sans MT" w:hAnsi="Gill Sans MT"/>
        </w:rPr>
        <w:t xml:space="preserve">of social decision-making. The ends are inevitably prioritised over the means of reaching a decision about the distribution of social goods or </w:t>
      </w:r>
      <w:r w:rsidR="009A37B3">
        <w:rPr>
          <w:rFonts w:ascii="Gill Sans MT" w:hAnsi="Gill Sans MT"/>
        </w:rPr>
        <w:t xml:space="preserve">individual </w:t>
      </w:r>
      <w:r w:rsidR="00494D6E">
        <w:rPr>
          <w:rFonts w:ascii="Gill Sans MT" w:hAnsi="Gill Sans MT"/>
        </w:rPr>
        <w:t xml:space="preserve">entitlements, </w:t>
      </w:r>
      <w:r w:rsidR="0063572C">
        <w:rPr>
          <w:rFonts w:ascii="Gill Sans MT" w:hAnsi="Gill Sans MT"/>
        </w:rPr>
        <w:t xml:space="preserve">because it is the ends that are being legally measured as to their compatibility (or incompatibility) against the benchmark </w:t>
      </w:r>
      <w:r w:rsidR="00F827BD">
        <w:rPr>
          <w:rFonts w:ascii="Gill Sans MT" w:hAnsi="Gill Sans MT"/>
        </w:rPr>
        <w:t>which the premi</w:t>
      </w:r>
      <w:r w:rsidR="001640ED">
        <w:rPr>
          <w:rFonts w:ascii="Gill Sans MT" w:hAnsi="Gill Sans MT"/>
        </w:rPr>
        <w:t>ses of human rights law provide</w:t>
      </w:r>
      <w:r w:rsidR="0063572C">
        <w:rPr>
          <w:rFonts w:ascii="Gill Sans MT" w:hAnsi="Gill Sans MT"/>
        </w:rPr>
        <w:t>.</w:t>
      </w:r>
    </w:p>
    <w:p w14:paraId="03FFA0E2" w14:textId="2650D9E2" w:rsidR="00AF36F0" w:rsidRDefault="0063572C" w:rsidP="0063572C">
      <w:pPr>
        <w:pStyle w:val="NoSpacing"/>
        <w:ind w:firstLine="720"/>
        <w:jc w:val="both"/>
        <w:rPr>
          <w:rFonts w:ascii="Gill Sans MT" w:hAnsi="Gill Sans MT"/>
        </w:rPr>
      </w:pPr>
      <w:r>
        <w:rPr>
          <w:rFonts w:ascii="Gill Sans MT" w:hAnsi="Gill Sans MT"/>
        </w:rPr>
        <w:lastRenderedPageBreak/>
        <w:t>Now</w:t>
      </w:r>
      <w:r w:rsidR="00AF36F0">
        <w:rPr>
          <w:rFonts w:ascii="Gill Sans MT" w:hAnsi="Gill Sans MT"/>
        </w:rPr>
        <w:t xml:space="preserve"> this is not </w:t>
      </w:r>
      <w:r>
        <w:rPr>
          <w:rFonts w:ascii="Gill Sans MT" w:hAnsi="Gill Sans MT"/>
        </w:rPr>
        <w:t xml:space="preserve">to argue that ends do not matter. </w:t>
      </w:r>
      <w:r w:rsidR="00B151F6">
        <w:rPr>
          <w:rFonts w:ascii="Gill Sans MT" w:hAnsi="Gill Sans MT"/>
        </w:rPr>
        <w:t xml:space="preserve">And, as such, we are of course </w:t>
      </w:r>
      <w:r w:rsidR="00AF36F0">
        <w:rPr>
          <w:rFonts w:ascii="Gill Sans MT" w:hAnsi="Gill Sans MT"/>
        </w:rPr>
        <w:t>fully entitled to</w:t>
      </w:r>
      <w:r>
        <w:rPr>
          <w:rFonts w:ascii="Gill Sans MT" w:hAnsi="Gill Sans MT"/>
        </w:rPr>
        <w:t xml:space="preserve"> take a side in criticising</w:t>
      </w:r>
      <w:r w:rsidR="00AF36F0">
        <w:rPr>
          <w:rFonts w:ascii="Gill Sans MT" w:hAnsi="Gill Sans MT"/>
        </w:rPr>
        <w:t xml:space="preserve"> </w:t>
      </w:r>
      <w:r>
        <w:rPr>
          <w:rFonts w:ascii="Gill Sans MT" w:hAnsi="Gill Sans MT"/>
        </w:rPr>
        <w:t xml:space="preserve">and challenging </w:t>
      </w:r>
      <w:r w:rsidR="00AF36F0">
        <w:rPr>
          <w:rFonts w:ascii="Gill Sans MT" w:hAnsi="Gill Sans MT"/>
        </w:rPr>
        <w:t>the</w:t>
      </w:r>
      <w:r>
        <w:rPr>
          <w:rFonts w:ascii="Gill Sans MT" w:hAnsi="Gill Sans MT"/>
        </w:rPr>
        <w:t xml:space="preserve"> particular</w:t>
      </w:r>
      <w:r w:rsidR="00AF36F0">
        <w:rPr>
          <w:rFonts w:ascii="Gill Sans MT" w:hAnsi="Gill Sans MT"/>
        </w:rPr>
        <w:t xml:space="preserve"> </w:t>
      </w:r>
      <w:proofErr w:type="spellStart"/>
      <w:r w:rsidR="00AF36F0">
        <w:rPr>
          <w:rFonts w:ascii="Gill Sans MT" w:hAnsi="Gill Sans MT"/>
        </w:rPr>
        <w:t>instrum</w:t>
      </w:r>
      <w:r>
        <w:rPr>
          <w:rFonts w:ascii="Gill Sans MT" w:hAnsi="Gill Sans MT"/>
        </w:rPr>
        <w:t>entalisation</w:t>
      </w:r>
      <w:proofErr w:type="spellEnd"/>
      <w:r>
        <w:rPr>
          <w:rFonts w:ascii="Gill Sans MT" w:hAnsi="Gill Sans MT"/>
        </w:rPr>
        <w:t xml:space="preserve"> of rights by the ‘Bad P</w:t>
      </w:r>
      <w:r w:rsidR="00AF36F0">
        <w:rPr>
          <w:rFonts w:ascii="Gill Sans MT" w:hAnsi="Gill Sans MT"/>
        </w:rPr>
        <w:t>ress’</w:t>
      </w:r>
      <w:r>
        <w:rPr>
          <w:rFonts w:ascii="Gill Sans MT" w:hAnsi="Gill Sans MT"/>
        </w:rPr>
        <w:t xml:space="preserve">, where that has the effect of </w:t>
      </w:r>
      <w:r w:rsidR="00AF36F0">
        <w:rPr>
          <w:rFonts w:ascii="Gill Sans MT" w:hAnsi="Gill Sans MT"/>
        </w:rPr>
        <w:t>foster</w:t>
      </w:r>
      <w:r>
        <w:rPr>
          <w:rFonts w:ascii="Gill Sans MT" w:hAnsi="Gill Sans MT"/>
        </w:rPr>
        <w:t xml:space="preserve">ing hostility and social </w:t>
      </w:r>
      <w:proofErr w:type="gramStart"/>
      <w:r>
        <w:rPr>
          <w:rFonts w:ascii="Gill Sans MT" w:hAnsi="Gill Sans MT"/>
        </w:rPr>
        <w:t>division, or</w:t>
      </w:r>
      <w:proofErr w:type="gramEnd"/>
      <w:r>
        <w:rPr>
          <w:rFonts w:ascii="Gill Sans MT" w:hAnsi="Gill Sans MT"/>
        </w:rPr>
        <w:t xml:space="preserve"> stigmatising vulnerable people or groups</w:t>
      </w:r>
      <w:r w:rsidR="00AF36F0">
        <w:rPr>
          <w:rFonts w:ascii="Gill Sans MT" w:hAnsi="Gill Sans MT"/>
        </w:rPr>
        <w:t>.</w:t>
      </w:r>
      <w:r>
        <w:rPr>
          <w:rFonts w:ascii="Gill Sans MT" w:hAnsi="Gill Sans MT"/>
        </w:rPr>
        <w:t xml:space="preserve"> </w:t>
      </w:r>
      <w:r w:rsidR="00AF36F0">
        <w:rPr>
          <w:rFonts w:ascii="Gill Sans MT" w:hAnsi="Gill Sans MT"/>
        </w:rPr>
        <w:t xml:space="preserve">Instead, </w:t>
      </w:r>
      <w:r>
        <w:rPr>
          <w:rFonts w:ascii="Gill Sans MT" w:hAnsi="Gill Sans MT"/>
        </w:rPr>
        <w:t xml:space="preserve">it is to recognise that to do so is to engage in an enterprise that is political as well as legal, and that we are not here above the fray, challenging prejudice with objective legal facts derived from the unquestionable premises of human rights law. And once the inevitably political character of human rights argument is acknowledged – even within the confines of legal structures for the protection of such rights – it also becomes clear that a focus on only the outcomes which flow from such systems will be inadequate. </w:t>
      </w:r>
      <w:r w:rsidR="008928D3">
        <w:rPr>
          <w:rFonts w:ascii="Gill Sans MT" w:hAnsi="Gill Sans MT"/>
        </w:rPr>
        <w:t>W</w:t>
      </w:r>
      <w:r>
        <w:rPr>
          <w:rFonts w:ascii="Gill Sans MT" w:hAnsi="Gill Sans MT"/>
        </w:rPr>
        <w:t xml:space="preserve">hile it is certainly the case that the ends of human rights processes matter, </w:t>
      </w:r>
      <w:r w:rsidR="00AF36F0">
        <w:rPr>
          <w:rFonts w:ascii="Gill Sans MT" w:hAnsi="Gill Sans MT"/>
        </w:rPr>
        <w:t xml:space="preserve">they do not matter exclusively – we </w:t>
      </w:r>
      <w:r w:rsidR="008928D3">
        <w:rPr>
          <w:rFonts w:ascii="Gill Sans MT" w:hAnsi="Gill Sans MT"/>
        </w:rPr>
        <w:t>cannot</w:t>
      </w:r>
      <w:r w:rsidR="00AF36F0">
        <w:rPr>
          <w:rFonts w:ascii="Gill Sans MT" w:hAnsi="Gill Sans MT"/>
        </w:rPr>
        <w:t>, in other words, become entirely drawn into a debate which is solely about ends, a</w:t>
      </w:r>
      <w:r>
        <w:rPr>
          <w:rFonts w:ascii="Gill Sans MT" w:hAnsi="Gill Sans MT"/>
        </w:rPr>
        <w:t xml:space="preserve">nd forget entirely about means. </w:t>
      </w:r>
      <w:r w:rsidR="008928D3">
        <w:rPr>
          <w:rFonts w:ascii="Gill Sans MT" w:hAnsi="Gill Sans MT"/>
        </w:rPr>
        <w:t>For t</w:t>
      </w:r>
      <w:r w:rsidR="00AF36F0">
        <w:rPr>
          <w:rFonts w:ascii="Gill Sans MT" w:hAnsi="Gill Sans MT"/>
        </w:rPr>
        <w:t>he process by which social ends</w:t>
      </w:r>
      <w:r w:rsidR="008928D3">
        <w:rPr>
          <w:rFonts w:ascii="Gill Sans MT" w:hAnsi="Gill Sans MT"/>
        </w:rPr>
        <w:t xml:space="preserve"> </w:t>
      </w:r>
      <w:r w:rsidR="00AF36F0">
        <w:rPr>
          <w:rFonts w:ascii="Gill Sans MT" w:hAnsi="Gill Sans MT"/>
        </w:rPr>
        <w:t>are determined</w:t>
      </w:r>
      <w:r w:rsidR="008928D3">
        <w:rPr>
          <w:rFonts w:ascii="Gill Sans MT" w:hAnsi="Gill Sans MT"/>
        </w:rPr>
        <w:t>, and how those ends are distributed,</w:t>
      </w:r>
      <w:r w:rsidR="00AF36F0">
        <w:rPr>
          <w:rFonts w:ascii="Gill Sans MT" w:hAnsi="Gill Sans MT"/>
        </w:rPr>
        <w:t xml:space="preserve"> matters too. </w:t>
      </w:r>
      <w:r w:rsidR="008928D3">
        <w:rPr>
          <w:rFonts w:ascii="Gill Sans MT" w:hAnsi="Gill Sans MT"/>
        </w:rPr>
        <w:t>This is e</w:t>
      </w:r>
      <w:r w:rsidR="00AF36F0">
        <w:rPr>
          <w:rFonts w:ascii="Gill Sans MT" w:hAnsi="Gill Sans MT"/>
        </w:rPr>
        <w:t xml:space="preserve">specially </w:t>
      </w:r>
      <w:r w:rsidR="008928D3">
        <w:rPr>
          <w:rFonts w:ascii="Gill Sans MT" w:hAnsi="Gill Sans MT"/>
        </w:rPr>
        <w:t xml:space="preserve">the case </w:t>
      </w:r>
      <w:r w:rsidR="00AF36F0">
        <w:rPr>
          <w:rFonts w:ascii="Gill Sans MT" w:hAnsi="Gill Sans MT"/>
        </w:rPr>
        <w:t>in a state</w:t>
      </w:r>
      <w:r w:rsidR="008928D3">
        <w:rPr>
          <w:rFonts w:ascii="Gill Sans MT" w:hAnsi="Gill Sans MT"/>
        </w:rPr>
        <w:t xml:space="preserve"> committed to democratic ideals</w:t>
      </w:r>
      <w:r w:rsidR="00AF36F0">
        <w:rPr>
          <w:rFonts w:ascii="Gill Sans MT" w:hAnsi="Gill Sans MT"/>
        </w:rPr>
        <w:t>,</w:t>
      </w:r>
      <w:r w:rsidR="008928D3">
        <w:rPr>
          <w:rFonts w:ascii="Gill Sans MT" w:hAnsi="Gill Sans MT"/>
        </w:rPr>
        <w:t xml:space="preserve"> which are premised on the political equality of citizens. Political equality must be delivered through the means as well as the end</w:t>
      </w:r>
      <w:r w:rsidR="001640ED">
        <w:rPr>
          <w:rFonts w:ascii="Gill Sans MT" w:hAnsi="Gill Sans MT"/>
        </w:rPr>
        <w:t>s</w:t>
      </w:r>
      <w:r w:rsidR="008928D3">
        <w:rPr>
          <w:rFonts w:ascii="Gill Sans MT" w:hAnsi="Gill Sans MT"/>
        </w:rPr>
        <w:t xml:space="preserve"> of collective decision-making, and so</w:t>
      </w:r>
      <w:r w:rsidR="00AF36F0">
        <w:rPr>
          <w:rFonts w:ascii="Gill Sans MT" w:hAnsi="Gill Sans MT"/>
        </w:rPr>
        <w:t xml:space="preserve"> the </w:t>
      </w:r>
      <w:proofErr w:type="gramStart"/>
      <w:r w:rsidR="00AF36F0">
        <w:rPr>
          <w:rFonts w:ascii="Gill Sans MT" w:hAnsi="Gill Sans MT"/>
        </w:rPr>
        <w:t>manner in which</w:t>
      </w:r>
      <w:proofErr w:type="gramEnd"/>
      <w:r w:rsidR="00AF36F0">
        <w:rPr>
          <w:rFonts w:ascii="Gill Sans MT" w:hAnsi="Gill Sans MT"/>
        </w:rPr>
        <w:t xml:space="preserve"> decisions are made </w:t>
      </w:r>
      <w:r w:rsidR="008928D3">
        <w:rPr>
          <w:rFonts w:ascii="Gill Sans MT" w:hAnsi="Gill Sans MT"/>
        </w:rPr>
        <w:t>must matter</w:t>
      </w:r>
      <w:r w:rsidR="00AF36F0">
        <w:rPr>
          <w:rFonts w:ascii="Gill Sans MT" w:hAnsi="Gill Sans MT"/>
        </w:rPr>
        <w:t xml:space="preserve"> </w:t>
      </w:r>
      <w:r w:rsidR="001640ED">
        <w:rPr>
          <w:rFonts w:ascii="Gill Sans MT" w:hAnsi="Gill Sans MT"/>
        </w:rPr>
        <w:t>at least</w:t>
      </w:r>
      <w:r w:rsidR="00AF36F0">
        <w:rPr>
          <w:rFonts w:ascii="Gill Sans MT" w:hAnsi="Gill Sans MT"/>
        </w:rPr>
        <w:t xml:space="preserve"> as much as the substantive quality of the decisions </w:t>
      </w:r>
      <w:r w:rsidR="008928D3">
        <w:rPr>
          <w:rFonts w:ascii="Gill Sans MT" w:hAnsi="Gill Sans MT"/>
        </w:rPr>
        <w:t>reached</w:t>
      </w:r>
      <w:r w:rsidR="00AF36F0">
        <w:rPr>
          <w:rFonts w:ascii="Gill Sans MT" w:hAnsi="Gill Sans MT"/>
        </w:rPr>
        <w:t>.</w:t>
      </w:r>
    </w:p>
    <w:p w14:paraId="00CBB82D" w14:textId="06C37C63" w:rsidR="0009230E" w:rsidRDefault="008928D3" w:rsidP="00053FB7">
      <w:pPr>
        <w:pStyle w:val="NoSpacing"/>
        <w:ind w:firstLine="720"/>
        <w:jc w:val="both"/>
        <w:rPr>
          <w:rFonts w:ascii="Gill Sans MT" w:hAnsi="Gill Sans MT"/>
        </w:rPr>
      </w:pPr>
      <w:r>
        <w:rPr>
          <w:rFonts w:ascii="Gill Sans MT" w:hAnsi="Gill Sans MT"/>
        </w:rPr>
        <w:t>When</w:t>
      </w:r>
      <w:r w:rsidR="003966E9">
        <w:rPr>
          <w:rFonts w:ascii="Gill Sans MT" w:hAnsi="Gill Sans MT"/>
        </w:rPr>
        <w:t xml:space="preserve"> we recognise</w:t>
      </w:r>
      <w:r>
        <w:rPr>
          <w:rFonts w:ascii="Gill Sans MT" w:hAnsi="Gill Sans MT"/>
        </w:rPr>
        <w:t xml:space="preserve"> the importance of considering the means of decision-making, as well as the ends of the process, </w:t>
      </w:r>
      <w:r w:rsidR="003609C2">
        <w:rPr>
          <w:rFonts w:ascii="Gill Sans MT" w:hAnsi="Gill Sans MT"/>
        </w:rPr>
        <w:t>the contemporary institutions, structures</w:t>
      </w:r>
      <w:r>
        <w:rPr>
          <w:rFonts w:ascii="Gill Sans MT" w:hAnsi="Gill Sans MT"/>
        </w:rPr>
        <w:t xml:space="preserve">, and discourse of human rights </w:t>
      </w:r>
      <w:r w:rsidR="003609C2">
        <w:rPr>
          <w:rFonts w:ascii="Gill Sans MT" w:hAnsi="Gill Sans MT"/>
        </w:rPr>
        <w:t xml:space="preserve">law </w:t>
      </w:r>
      <w:r>
        <w:rPr>
          <w:rFonts w:ascii="Gill Sans MT" w:hAnsi="Gill Sans MT"/>
        </w:rPr>
        <w:t>(</w:t>
      </w:r>
      <w:r w:rsidR="003609C2">
        <w:rPr>
          <w:rFonts w:ascii="Gill Sans MT" w:hAnsi="Gill Sans MT"/>
        </w:rPr>
        <w:t xml:space="preserve">but also </w:t>
      </w:r>
      <w:r>
        <w:rPr>
          <w:rFonts w:ascii="Gill Sans MT" w:hAnsi="Gill Sans MT"/>
        </w:rPr>
        <w:t xml:space="preserve">the </w:t>
      </w:r>
      <w:r w:rsidR="003609C2">
        <w:rPr>
          <w:rFonts w:ascii="Gill Sans MT" w:hAnsi="Gill Sans MT"/>
        </w:rPr>
        <w:t>politics</w:t>
      </w:r>
      <w:r w:rsidR="003966E9">
        <w:rPr>
          <w:rFonts w:ascii="Gill Sans MT" w:hAnsi="Gill Sans MT"/>
        </w:rPr>
        <w:t xml:space="preserve"> and morality</w:t>
      </w:r>
      <w:r>
        <w:rPr>
          <w:rFonts w:ascii="Gill Sans MT" w:hAnsi="Gill Sans MT"/>
        </w:rPr>
        <w:t xml:space="preserve"> </w:t>
      </w:r>
      <w:r w:rsidR="003966E9">
        <w:rPr>
          <w:rFonts w:ascii="Gill Sans MT" w:hAnsi="Gill Sans MT"/>
        </w:rPr>
        <w:t>inevitably underpinning</w:t>
      </w:r>
      <w:r>
        <w:rPr>
          <w:rFonts w:ascii="Gill Sans MT" w:hAnsi="Gill Sans MT"/>
        </w:rPr>
        <w:t xml:space="preserve"> the human rights project) can be found lacking</w:t>
      </w:r>
      <w:r w:rsidR="00053FB7">
        <w:rPr>
          <w:rFonts w:ascii="Gill Sans MT" w:hAnsi="Gill Sans MT"/>
        </w:rPr>
        <w:t xml:space="preserve"> in </w:t>
      </w:r>
      <w:proofErr w:type="gramStart"/>
      <w:r w:rsidR="00053FB7">
        <w:rPr>
          <w:rFonts w:ascii="Gill Sans MT" w:hAnsi="Gill Sans MT"/>
        </w:rPr>
        <w:t>a number of</w:t>
      </w:r>
      <w:proofErr w:type="gramEnd"/>
      <w:r w:rsidR="00053FB7">
        <w:rPr>
          <w:rFonts w:ascii="Gill Sans MT" w:hAnsi="Gill Sans MT"/>
        </w:rPr>
        <w:t xml:space="preserve"> ways</w:t>
      </w:r>
      <w:r>
        <w:rPr>
          <w:rFonts w:ascii="Gill Sans MT" w:hAnsi="Gill Sans MT"/>
        </w:rPr>
        <w:t>.</w:t>
      </w:r>
      <w:r w:rsidR="003966E9">
        <w:rPr>
          <w:rFonts w:ascii="Gill Sans MT" w:hAnsi="Gill Sans MT"/>
        </w:rPr>
        <w:t xml:space="preserve"> Human rights law positions itself to frame,</w:t>
      </w:r>
      <w:r w:rsidR="00053FB7">
        <w:rPr>
          <w:rFonts w:ascii="Gill Sans MT" w:hAnsi="Gill Sans MT"/>
        </w:rPr>
        <w:t xml:space="preserve"> constrain, and limit substantive political possibilities</w:t>
      </w:r>
      <w:r w:rsidR="003966E9">
        <w:rPr>
          <w:rFonts w:ascii="Gill Sans MT" w:hAnsi="Gill Sans MT"/>
        </w:rPr>
        <w:t>.</w:t>
      </w:r>
      <w:r w:rsidR="003966E9">
        <w:rPr>
          <w:rStyle w:val="FootnoteReference"/>
          <w:rFonts w:ascii="Gill Sans MT" w:hAnsi="Gill Sans MT"/>
        </w:rPr>
        <w:footnoteReference w:id="18"/>
      </w:r>
      <w:r w:rsidR="003966E9">
        <w:rPr>
          <w:rFonts w:ascii="Gill Sans MT" w:hAnsi="Gill Sans MT"/>
        </w:rPr>
        <w:t xml:space="preserve"> But given</w:t>
      </w:r>
      <w:r w:rsidR="00053FB7">
        <w:rPr>
          <w:rFonts w:ascii="Gill Sans MT" w:hAnsi="Gill Sans MT"/>
        </w:rPr>
        <w:t xml:space="preserve"> the</w:t>
      </w:r>
      <w:r w:rsidR="003966E9">
        <w:rPr>
          <w:rFonts w:ascii="Gill Sans MT" w:hAnsi="Gill Sans MT"/>
        </w:rPr>
        <w:t xml:space="preserve"> </w:t>
      </w:r>
      <w:r w:rsidR="00053FB7">
        <w:rPr>
          <w:rFonts w:ascii="Gill Sans MT" w:hAnsi="Gill Sans MT"/>
        </w:rPr>
        <w:t>human rights project</w:t>
      </w:r>
      <w:r w:rsidR="003966E9">
        <w:rPr>
          <w:rFonts w:ascii="Gill Sans MT" w:hAnsi="Gill Sans MT"/>
        </w:rPr>
        <w:t xml:space="preserve"> must be a political enterprise, in reality the effect is to alter, perhaps even warp, the politics which must inherently be the basis for any society.</w:t>
      </w:r>
      <w:r w:rsidR="003966E9">
        <w:rPr>
          <w:rStyle w:val="FootnoteReference"/>
          <w:rFonts w:ascii="Gill Sans MT" w:hAnsi="Gill Sans MT"/>
        </w:rPr>
        <w:footnoteReference w:id="19"/>
      </w:r>
      <w:r w:rsidR="003966E9">
        <w:rPr>
          <w:rFonts w:ascii="Gill Sans MT" w:hAnsi="Gill Sans MT"/>
        </w:rPr>
        <w:t xml:space="preserve"> Human rights discourse </w:t>
      </w:r>
      <w:r w:rsidR="004212CE">
        <w:rPr>
          <w:rFonts w:ascii="Gill Sans MT" w:hAnsi="Gill Sans MT"/>
        </w:rPr>
        <w:t>privileges individualism above all</w:t>
      </w:r>
      <w:r w:rsidR="003966E9">
        <w:rPr>
          <w:rFonts w:ascii="Gill Sans MT" w:hAnsi="Gill Sans MT"/>
        </w:rPr>
        <w:t>, with its ultimate representative the rights-bearer defending their entitlements against the state.</w:t>
      </w:r>
      <w:r w:rsidR="004212CE">
        <w:rPr>
          <w:rStyle w:val="FootnoteReference"/>
          <w:rFonts w:ascii="Gill Sans MT" w:hAnsi="Gill Sans MT"/>
        </w:rPr>
        <w:footnoteReference w:id="20"/>
      </w:r>
      <w:r w:rsidR="003966E9">
        <w:rPr>
          <w:rFonts w:ascii="Gill Sans MT" w:hAnsi="Gill Sans MT"/>
        </w:rPr>
        <w:t xml:space="preserve"> It fractures issues, considering them in isolation from other related matters, and in only the partial context that the individual-state dynamic makes possible. </w:t>
      </w:r>
      <w:r w:rsidR="004212CE">
        <w:rPr>
          <w:rFonts w:ascii="Gill Sans MT" w:hAnsi="Gill Sans MT"/>
        </w:rPr>
        <w:t>Even when claims are brought in groups, arguments develop by drawing fine distinctions between atomised individuals, serving ultimately to sub-categorise any collective. The legalism which accompanies the conversion of human rights discourse into human rights law narrow</w:t>
      </w:r>
      <w:r w:rsidR="00D23E93">
        <w:rPr>
          <w:rFonts w:ascii="Gill Sans MT" w:hAnsi="Gill Sans MT"/>
        </w:rPr>
        <w:t>s further the terms of argument.</w:t>
      </w:r>
      <w:r w:rsidR="00D23E93">
        <w:rPr>
          <w:rStyle w:val="FootnoteReference"/>
          <w:rFonts w:ascii="Gill Sans MT" w:hAnsi="Gill Sans MT"/>
        </w:rPr>
        <w:footnoteReference w:id="21"/>
      </w:r>
      <w:r w:rsidR="004212CE">
        <w:rPr>
          <w:rFonts w:ascii="Gill Sans MT" w:hAnsi="Gill Sans MT"/>
        </w:rPr>
        <w:t xml:space="preserve"> </w:t>
      </w:r>
      <w:r w:rsidR="00D23E93">
        <w:rPr>
          <w:rFonts w:ascii="Gill Sans MT" w:hAnsi="Gill Sans MT"/>
        </w:rPr>
        <w:t>I</w:t>
      </w:r>
      <w:r w:rsidR="004212CE">
        <w:rPr>
          <w:rFonts w:ascii="Gill Sans MT" w:hAnsi="Gill Sans MT"/>
        </w:rPr>
        <w:t xml:space="preserve">t establishes the supremacy of an elite level practice, conducted in a language which is doubly problematic, in that it is </w:t>
      </w:r>
      <w:r w:rsidR="00565E7A">
        <w:rPr>
          <w:rFonts w:ascii="Gill Sans MT" w:hAnsi="Gill Sans MT"/>
        </w:rPr>
        <w:t xml:space="preserve">vague while </w:t>
      </w:r>
      <w:r w:rsidR="004212CE">
        <w:rPr>
          <w:rFonts w:ascii="Gill Sans MT" w:hAnsi="Gill Sans MT"/>
        </w:rPr>
        <w:t xml:space="preserve">ostensibly accessible, but this accessibility is </w:t>
      </w:r>
      <w:proofErr w:type="gramStart"/>
      <w:r w:rsidR="008B094D">
        <w:rPr>
          <w:rFonts w:ascii="Gill Sans MT" w:hAnsi="Gill Sans MT"/>
        </w:rPr>
        <w:t xml:space="preserve">actually </w:t>
      </w:r>
      <w:r w:rsidR="004212CE">
        <w:rPr>
          <w:rFonts w:ascii="Gill Sans MT" w:hAnsi="Gill Sans MT"/>
        </w:rPr>
        <w:t>illusory</w:t>
      </w:r>
      <w:proofErr w:type="gramEnd"/>
      <w:r w:rsidR="004212CE">
        <w:rPr>
          <w:rFonts w:ascii="Gill Sans MT" w:hAnsi="Gill Sans MT"/>
        </w:rPr>
        <w:t xml:space="preserve">. This leads to engagement through terms of art which </w:t>
      </w:r>
      <w:r w:rsidR="0009230E">
        <w:rPr>
          <w:rFonts w:ascii="Gill Sans MT" w:hAnsi="Gill Sans MT"/>
        </w:rPr>
        <w:t>can be disorient</w:t>
      </w:r>
      <w:r w:rsidR="008B094D">
        <w:rPr>
          <w:rFonts w:ascii="Gill Sans MT" w:hAnsi="Gill Sans MT"/>
        </w:rPr>
        <w:t>ing when it subverts the meaning of otherwise understandable concepts.</w:t>
      </w:r>
      <w:r w:rsidR="008B094D">
        <w:rPr>
          <w:rStyle w:val="FootnoteReference"/>
          <w:rFonts w:ascii="Gill Sans MT" w:hAnsi="Gill Sans MT"/>
        </w:rPr>
        <w:footnoteReference w:id="22"/>
      </w:r>
      <w:r w:rsidR="00053FB7">
        <w:rPr>
          <w:rFonts w:ascii="Gill Sans MT" w:hAnsi="Gill Sans MT"/>
        </w:rPr>
        <w:t xml:space="preserve"> </w:t>
      </w:r>
      <w:r w:rsidR="0009230E">
        <w:rPr>
          <w:rFonts w:ascii="Gill Sans MT" w:hAnsi="Gill Sans MT"/>
        </w:rPr>
        <w:t>The primacy given to individual rights by the legal institutionalisation of mechanisms for human rights protection has the potential to subjugate</w:t>
      </w:r>
      <w:r w:rsidR="003609C2">
        <w:rPr>
          <w:rFonts w:ascii="Gill Sans MT" w:hAnsi="Gill Sans MT"/>
        </w:rPr>
        <w:t xml:space="preserve"> other </w:t>
      </w:r>
      <w:r w:rsidR="0009230E">
        <w:rPr>
          <w:rFonts w:ascii="Gill Sans MT" w:hAnsi="Gill Sans MT"/>
        </w:rPr>
        <w:t>important principles of justice</w:t>
      </w:r>
      <w:r w:rsidR="002D299A">
        <w:rPr>
          <w:rFonts w:ascii="Gill Sans MT" w:hAnsi="Gill Sans MT"/>
        </w:rPr>
        <w:t>,</w:t>
      </w:r>
      <w:r w:rsidR="0009230E">
        <w:rPr>
          <w:rFonts w:ascii="Gill Sans MT" w:hAnsi="Gill Sans MT"/>
        </w:rPr>
        <w:t xml:space="preserve"> like collectivism and shared responsibility, while capturing others, like equality and non-discrimination, </w:t>
      </w:r>
      <w:r w:rsidR="00B304F3">
        <w:rPr>
          <w:rFonts w:ascii="Gill Sans MT" w:hAnsi="Gill Sans MT"/>
        </w:rPr>
        <w:t>and imposing definitions of them in formal rather</w:t>
      </w:r>
      <w:r w:rsidR="00053FB7">
        <w:rPr>
          <w:rFonts w:ascii="Gill Sans MT" w:hAnsi="Gill Sans MT"/>
        </w:rPr>
        <w:t xml:space="preserve"> than</w:t>
      </w:r>
      <w:r w:rsidR="00B304F3">
        <w:rPr>
          <w:rFonts w:ascii="Gill Sans MT" w:hAnsi="Gill Sans MT"/>
        </w:rPr>
        <w:t xml:space="preserve"> substantive terms.</w:t>
      </w:r>
      <w:r w:rsidR="00D33148">
        <w:rPr>
          <w:rFonts w:ascii="Gill Sans MT" w:hAnsi="Gill Sans MT"/>
        </w:rPr>
        <w:t xml:space="preserve"> And, finally, there may also be a range of concerns as to the forum which human rights law promotes as the crucible in which claims must be raised and vindicated: the</w:t>
      </w:r>
      <w:r w:rsidR="002F00E1">
        <w:rPr>
          <w:rFonts w:ascii="Gill Sans MT" w:hAnsi="Gill Sans MT"/>
        </w:rPr>
        <w:t xml:space="preserve"> fact that such claims must be developed in the court</w:t>
      </w:r>
      <w:r w:rsidR="00D33148">
        <w:rPr>
          <w:rFonts w:ascii="Gill Sans MT" w:hAnsi="Gill Sans MT"/>
        </w:rPr>
        <w:t>ro</w:t>
      </w:r>
      <w:r w:rsidR="002F00E1">
        <w:rPr>
          <w:rFonts w:ascii="Gill Sans MT" w:hAnsi="Gill Sans MT"/>
        </w:rPr>
        <w:t>om, subject to the strictures of legal argument, and decided by members of the judiciary, who are generally isolated and removed from political accountability by design, while unrepresentative of the population at large.</w:t>
      </w:r>
      <w:r w:rsidR="002F00E1">
        <w:rPr>
          <w:rStyle w:val="FootnoteReference"/>
          <w:rFonts w:ascii="Gill Sans MT" w:hAnsi="Gill Sans MT"/>
        </w:rPr>
        <w:footnoteReference w:id="23"/>
      </w:r>
      <w:r w:rsidR="005F0ABD">
        <w:rPr>
          <w:rFonts w:ascii="Gill Sans MT" w:hAnsi="Gill Sans MT"/>
        </w:rPr>
        <w:t xml:space="preserve"> Ultimately, the decision </w:t>
      </w:r>
      <w:r w:rsidR="005F0ABD">
        <w:rPr>
          <w:rFonts w:ascii="Gill Sans MT" w:hAnsi="Gill Sans MT"/>
        </w:rPr>
        <w:lastRenderedPageBreak/>
        <w:t>to task the judiciary with the legal protection of human rights can be seen to empower non-democratic actors with some of the most sensitive and important decisions that stand to be taken in a society.</w:t>
      </w:r>
      <w:r w:rsidR="004A08F2">
        <w:rPr>
          <w:rStyle w:val="FootnoteReference"/>
          <w:rFonts w:ascii="Gill Sans MT" w:hAnsi="Gill Sans MT"/>
        </w:rPr>
        <w:footnoteReference w:id="24"/>
      </w:r>
      <w:r w:rsidR="005F0ABD">
        <w:rPr>
          <w:rFonts w:ascii="Gill Sans MT" w:hAnsi="Gill Sans MT"/>
        </w:rPr>
        <w:t xml:space="preserve">  Even where the power to make such decisions definitively is not passed to the judges – as in the UK, under the Human Rights Act 1998 – there are still many reasons for concern about the impact of human rights law on the democratic practices of a state </w:t>
      </w:r>
      <w:r w:rsidR="004A08F2">
        <w:rPr>
          <w:rFonts w:ascii="Gill Sans MT" w:hAnsi="Gill Sans MT"/>
        </w:rPr>
        <w:t>founded</w:t>
      </w:r>
      <w:r w:rsidR="00BE2857">
        <w:rPr>
          <w:rFonts w:ascii="Gill Sans MT" w:hAnsi="Gill Sans MT"/>
        </w:rPr>
        <w:t>, formally at least,</w:t>
      </w:r>
      <w:r w:rsidR="004A08F2">
        <w:rPr>
          <w:rFonts w:ascii="Gill Sans MT" w:hAnsi="Gill Sans MT"/>
        </w:rPr>
        <w:t xml:space="preserve"> on the political equality of citizens.</w:t>
      </w:r>
    </w:p>
    <w:p w14:paraId="2265410F" w14:textId="3BBAB9A5" w:rsidR="003E3AA6" w:rsidRDefault="00232585" w:rsidP="002B489D">
      <w:pPr>
        <w:pStyle w:val="NoSpacing"/>
        <w:ind w:firstLine="720"/>
        <w:jc w:val="both"/>
        <w:rPr>
          <w:rFonts w:ascii="Gill Sans MT" w:hAnsi="Gill Sans MT"/>
        </w:rPr>
      </w:pPr>
      <w:r>
        <w:rPr>
          <w:rFonts w:ascii="Gill Sans MT" w:hAnsi="Gill Sans MT"/>
        </w:rPr>
        <w:t>These deficiencies</w:t>
      </w:r>
      <w:r w:rsidR="002B489D">
        <w:rPr>
          <w:rFonts w:ascii="Gill Sans MT" w:hAnsi="Gill Sans MT"/>
        </w:rPr>
        <w:t xml:space="preserve"> with the processes and structures of human rights decision-making – and no doubt others that might be identified –</w:t>
      </w:r>
      <w:r>
        <w:rPr>
          <w:rFonts w:ascii="Gill Sans MT" w:hAnsi="Gill Sans MT"/>
        </w:rPr>
        <w:t xml:space="preserve"> </w:t>
      </w:r>
      <w:r w:rsidR="002B489D">
        <w:rPr>
          <w:rFonts w:ascii="Gill Sans MT" w:hAnsi="Gill Sans MT"/>
        </w:rPr>
        <w:t xml:space="preserve">are </w:t>
      </w:r>
      <w:r>
        <w:rPr>
          <w:rFonts w:ascii="Gill Sans MT" w:hAnsi="Gill Sans MT"/>
        </w:rPr>
        <w:t xml:space="preserve">not reflected, and indeed are barely even recognised, in media </w:t>
      </w:r>
      <w:r w:rsidR="00285D59">
        <w:rPr>
          <w:rFonts w:ascii="Gill Sans MT" w:hAnsi="Gill Sans MT"/>
        </w:rPr>
        <w:t>representations of</w:t>
      </w:r>
      <w:r w:rsidR="00687AE1">
        <w:rPr>
          <w:rFonts w:ascii="Gill Sans MT" w:hAnsi="Gill Sans MT"/>
        </w:rPr>
        <w:t xml:space="preserve"> human rights law</w:t>
      </w:r>
      <w:r>
        <w:rPr>
          <w:rFonts w:ascii="Gill Sans MT" w:hAnsi="Gill Sans MT"/>
        </w:rPr>
        <w:t>.</w:t>
      </w:r>
      <w:r w:rsidR="001B51DA">
        <w:rPr>
          <w:rFonts w:ascii="Gill Sans MT" w:hAnsi="Gill Sans MT"/>
        </w:rPr>
        <w:t xml:space="preserve"> </w:t>
      </w:r>
      <w:r w:rsidR="00781B97">
        <w:rPr>
          <w:rFonts w:ascii="Gill Sans MT" w:hAnsi="Gill Sans MT"/>
        </w:rPr>
        <w:t xml:space="preserve">Even </w:t>
      </w:r>
      <w:r w:rsidR="005F0ABD">
        <w:rPr>
          <w:rFonts w:ascii="Gill Sans MT" w:hAnsi="Gill Sans MT"/>
        </w:rPr>
        <w:t>where</w:t>
      </w:r>
      <w:r w:rsidR="009869B1">
        <w:rPr>
          <w:rFonts w:ascii="Gill Sans MT" w:hAnsi="Gill Sans MT"/>
        </w:rPr>
        <w:t xml:space="preserve"> structural issues have been</w:t>
      </w:r>
      <w:r w:rsidR="005F0ABD">
        <w:rPr>
          <w:rFonts w:ascii="Gill Sans MT" w:hAnsi="Gill Sans MT"/>
        </w:rPr>
        <w:t xml:space="preserve"> critical </w:t>
      </w:r>
      <w:r w:rsidR="009869B1">
        <w:rPr>
          <w:rFonts w:ascii="Gill Sans MT" w:hAnsi="Gill Sans MT"/>
        </w:rPr>
        <w:t xml:space="preserve">in the context of a </w:t>
      </w:r>
      <w:proofErr w:type="gramStart"/>
      <w:r w:rsidR="009869B1">
        <w:rPr>
          <w:rFonts w:ascii="Gill Sans MT" w:hAnsi="Gill Sans MT"/>
        </w:rPr>
        <w:t>particular human</w:t>
      </w:r>
      <w:proofErr w:type="gramEnd"/>
      <w:r w:rsidR="009869B1">
        <w:rPr>
          <w:rFonts w:ascii="Gill Sans MT" w:hAnsi="Gill Sans MT"/>
        </w:rPr>
        <w:t xml:space="preserve"> rights </w:t>
      </w:r>
      <w:r w:rsidR="00781B97">
        <w:rPr>
          <w:rFonts w:ascii="Gill Sans MT" w:hAnsi="Gill Sans MT"/>
        </w:rPr>
        <w:t xml:space="preserve">case, </w:t>
      </w:r>
      <w:r w:rsidR="009869B1">
        <w:rPr>
          <w:rFonts w:ascii="Gill Sans MT" w:hAnsi="Gill Sans MT"/>
        </w:rPr>
        <w:t>they are explored only in a</w:t>
      </w:r>
      <w:r w:rsidR="00781B97">
        <w:rPr>
          <w:rFonts w:ascii="Gill Sans MT" w:hAnsi="Gill Sans MT"/>
        </w:rPr>
        <w:t xml:space="preserve"> cursory fashion – and</w:t>
      </w:r>
      <w:r w:rsidR="009869B1">
        <w:rPr>
          <w:rFonts w:ascii="Gill Sans MT" w:hAnsi="Gill Sans MT"/>
        </w:rPr>
        <w:t>,</w:t>
      </w:r>
      <w:r w:rsidR="00781B97">
        <w:rPr>
          <w:rFonts w:ascii="Gill Sans MT" w:hAnsi="Gill Sans MT"/>
        </w:rPr>
        <w:t xml:space="preserve"> crucially, on the terms established by the </w:t>
      </w:r>
      <w:r w:rsidR="009869B1">
        <w:rPr>
          <w:rFonts w:ascii="Gill Sans MT" w:hAnsi="Gill Sans MT"/>
        </w:rPr>
        <w:t>courts themselves.</w:t>
      </w:r>
      <w:r w:rsidR="00781B97">
        <w:rPr>
          <w:rFonts w:ascii="Gill Sans MT" w:hAnsi="Gill Sans MT"/>
        </w:rPr>
        <w:t xml:space="preserve"> </w:t>
      </w:r>
      <w:r w:rsidR="009869B1">
        <w:rPr>
          <w:rFonts w:ascii="Gill Sans MT" w:hAnsi="Gill Sans MT"/>
        </w:rPr>
        <w:t xml:space="preserve">To take an example, the case of </w:t>
      </w:r>
      <w:r w:rsidR="0011613F" w:rsidRPr="00040120">
        <w:rPr>
          <w:rFonts w:ascii="Gill Sans MT" w:hAnsi="Gill Sans MT" w:cs="AdvOT255b5711.I"/>
          <w:i/>
        </w:rPr>
        <w:t>R (Nicklinson) v Ministry of Justice</w:t>
      </w:r>
      <w:r w:rsidR="0011613F" w:rsidRPr="0011613F">
        <w:rPr>
          <w:rStyle w:val="FootnoteReference"/>
          <w:rFonts w:ascii="Gill Sans MT" w:hAnsi="Gill Sans MT" w:cs="AdvOT255b5711.I"/>
        </w:rPr>
        <w:footnoteReference w:id="25"/>
      </w:r>
      <w:r w:rsidR="0011613F">
        <w:rPr>
          <w:rFonts w:ascii="Gill Sans MT" w:hAnsi="Gill Sans MT" w:cs="AdvOT255b5711.I"/>
        </w:rPr>
        <w:t xml:space="preserve"> concerned </w:t>
      </w:r>
      <w:r w:rsidR="00053FB7">
        <w:rPr>
          <w:rFonts w:ascii="Gill Sans MT" w:hAnsi="Gill Sans MT" w:cs="AdvOT255b5711.I"/>
        </w:rPr>
        <w:t>(among other claims</w:t>
      </w:r>
      <w:r w:rsidR="00F65B42">
        <w:rPr>
          <w:rFonts w:ascii="Gill Sans MT" w:hAnsi="Gill Sans MT" w:cs="AdvOT255b5711.I"/>
        </w:rPr>
        <w:t xml:space="preserve">) </w:t>
      </w:r>
      <w:r w:rsidR="0011613F">
        <w:rPr>
          <w:rFonts w:ascii="Gill Sans MT" w:hAnsi="Gill Sans MT" w:cs="AdvOT255b5711.I"/>
        </w:rPr>
        <w:t>a challenge to the criminalisation</w:t>
      </w:r>
      <w:r w:rsidR="00F65B42">
        <w:rPr>
          <w:rFonts w:ascii="Gill Sans MT" w:hAnsi="Gill Sans MT" w:cs="AdvOT255b5711.I"/>
        </w:rPr>
        <w:t xml:space="preserve"> of assisting another in committing suicide,</w:t>
      </w:r>
      <w:r w:rsidR="00F65B42">
        <w:rPr>
          <w:rStyle w:val="FootnoteReference"/>
          <w:rFonts w:ascii="Gill Sans MT" w:hAnsi="Gill Sans MT" w:cs="AdvOT255b5711.I"/>
        </w:rPr>
        <w:footnoteReference w:id="26"/>
      </w:r>
      <w:r w:rsidR="00F65B42">
        <w:rPr>
          <w:rFonts w:ascii="Gill Sans MT" w:hAnsi="Gill Sans MT" w:cs="AdvOT255b5711.I"/>
        </w:rPr>
        <w:t xml:space="preserve"> </w:t>
      </w:r>
      <w:proofErr w:type="gramStart"/>
      <w:r w:rsidR="00F65B42">
        <w:rPr>
          <w:rFonts w:ascii="Gill Sans MT" w:hAnsi="Gill Sans MT" w:cs="AdvOT255b5711.I"/>
        </w:rPr>
        <w:t>on the grounds that</w:t>
      </w:r>
      <w:proofErr w:type="gramEnd"/>
      <w:r w:rsidR="00F65B42">
        <w:rPr>
          <w:rFonts w:ascii="Gill Sans MT" w:hAnsi="Gill Sans MT" w:cs="AdvOT255b5711.I"/>
        </w:rPr>
        <w:t xml:space="preserve"> it violated the Article 8 ECHR right to private and family life of the disabled claimants who were physically in</w:t>
      </w:r>
      <w:r w:rsidR="007B11FC">
        <w:rPr>
          <w:rFonts w:ascii="Gill Sans MT" w:hAnsi="Gill Sans MT" w:cs="AdvOT255b5711.I"/>
        </w:rPr>
        <w:t>capable of ending their own lives</w:t>
      </w:r>
      <w:r w:rsidR="00F65B42">
        <w:rPr>
          <w:rFonts w:ascii="Gill Sans MT" w:hAnsi="Gill Sans MT" w:cs="AdvOT255b5711.I"/>
        </w:rPr>
        <w:t xml:space="preserve"> without medical assistance. The judgment is </w:t>
      </w:r>
      <w:r w:rsidR="00402AD3">
        <w:rPr>
          <w:rFonts w:ascii="Gill Sans MT" w:hAnsi="Gill Sans MT" w:cs="AdvOT255b5711.I"/>
        </w:rPr>
        <w:t xml:space="preserve">an immensely complex one, given the Supreme Court essentially split three ways, with Lords </w:t>
      </w:r>
      <w:r w:rsidR="00402AD3" w:rsidRPr="00402AD3">
        <w:rPr>
          <w:rFonts w:ascii="Gill Sans MT" w:hAnsi="Gill Sans MT"/>
        </w:rPr>
        <w:t xml:space="preserve">Neuberger, </w:t>
      </w:r>
      <w:proofErr w:type="spellStart"/>
      <w:r w:rsidR="00402AD3" w:rsidRPr="00402AD3">
        <w:rPr>
          <w:rFonts w:ascii="Gill Sans MT" w:hAnsi="Gill Sans MT"/>
        </w:rPr>
        <w:t>Mance</w:t>
      </w:r>
      <w:proofErr w:type="spellEnd"/>
      <w:r w:rsidR="00402AD3" w:rsidRPr="00402AD3">
        <w:rPr>
          <w:rFonts w:ascii="Gill Sans MT" w:hAnsi="Gill Sans MT"/>
        </w:rPr>
        <w:t xml:space="preserve"> and Wilson</w:t>
      </w:r>
      <w:r w:rsidR="00402AD3">
        <w:rPr>
          <w:rFonts w:ascii="Gill Sans MT" w:hAnsi="Gill Sans MT"/>
        </w:rPr>
        <w:t xml:space="preserve"> holding that it would not be inappropriate for the courts to make a declaration that the law in this area was incompatible with human rights, but only at some future point</w:t>
      </w:r>
      <w:r w:rsidR="007C4863">
        <w:rPr>
          <w:rFonts w:ascii="Gill Sans MT" w:hAnsi="Gill Sans MT"/>
        </w:rPr>
        <w:t>.</w:t>
      </w:r>
      <w:r w:rsidR="00402AD3" w:rsidRPr="00402AD3">
        <w:rPr>
          <w:rFonts w:ascii="Gill Sans MT" w:hAnsi="Gill Sans MT"/>
        </w:rPr>
        <w:t xml:space="preserve"> Lady Hale and Lord Kerr </w:t>
      </w:r>
      <w:r w:rsidR="003E3AA6">
        <w:rPr>
          <w:rFonts w:ascii="Gill Sans MT" w:hAnsi="Gill Sans MT"/>
        </w:rPr>
        <w:t>argued</w:t>
      </w:r>
      <w:r w:rsidR="00402AD3">
        <w:rPr>
          <w:rFonts w:ascii="Gill Sans MT" w:hAnsi="Gill Sans MT"/>
        </w:rPr>
        <w:t xml:space="preserve"> that the court could </w:t>
      </w:r>
      <w:r w:rsidR="007C4863">
        <w:rPr>
          <w:rFonts w:ascii="Gill Sans MT" w:hAnsi="Gill Sans MT"/>
        </w:rPr>
        <w:t>make such a declaration</w:t>
      </w:r>
      <w:r w:rsidR="00402AD3">
        <w:rPr>
          <w:rFonts w:ascii="Gill Sans MT" w:hAnsi="Gill Sans MT"/>
        </w:rPr>
        <w:t xml:space="preserve"> and should not wait; whereas </w:t>
      </w:r>
      <w:r w:rsidR="00402AD3" w:rsidRPr="00402AD3">
        <w:rPr>
          <w:rFonts w:ascii="Gill Sans MT" w:hAnsi="Gill Sans MT"/>
        </w:rPr>
        <w:t>Lords S</w:t>
      </w:r>
      <w:r w:rsidR="00402AD3">
        <w:rPr>
          <w:rFonts w:ascii="Gill Sans MT" w:hAnsi="Gill Sans MT"/>
        </w:rPr>
        <w:t>umption, Clarke, Reed</w:t>
      </w:r>
      <w:r w:rsidR="003C2B69">
        <w:rPr>
          <w:rFonts w:ascii="Gill Sans MT" w:hAnsi="Gill Sans MT"/>
        </w:rPr>
        <w:t>,</w:t>
      </w:r>
      <w:r w:rsidR="00402AD3">
        <w:rPr>
          <w:rFonts w:ascii="Gill Sans MT" w:hAnsi="Gill Sans MT"/>
        </w:rPr>
        <w:t xml:space="preserve"> and Hughes determined that this was a sensitive matter of political judgment for Parliament, not for the judges.</w:t>
      </w:r>
      <w:r w:rsidR="00040B14">
        <w:rPr>
          <w:rFonts w:ascii="Gill Sans MT" w:hAnsi="Gill Sans MT"/>
        </w:rPr>
        <w:t xml:space="preserve">  As such, there was a 5-4 majority in favour of the courts being entitled to issue a declaration of</w:t>
      </w:r>
      <w:r w:rsidR="00053FB7">
        <w:rPr>
          <w:rFonts w:ascii="Gill Sans MT" w:hAnsi="Gill Sans MT"/>
        </w:rPr>
        <w:t xml:space="preserve"> human rights</w:t>
      </w:r>
      <w:r w:rsidR="00040B14">
        <w:rPr>
          <w:rFonts w:ascii="Gill Sans MT" w:hAnsi="Gill Sans MT"/>
        </w:rPr>
        <w:t xml:space="preserve"> incompatibility at some point, but a 7-2 majority against doing it </w:t>
      </w:r>
      <w:r w:rsidR="003C2B69">
        <w:rPr>
          <w:rFonts w:ascii="Gill Sans MT" w:hAnsi="Gill Sans MT"/>
        </w:rPr>
        <w:t xml:space="preserve">at that time </w:t>
      </w:r>
      <w:r w:rsidR="006340A4">
        <w:rPr>
          <w:rFonts w:ascii="Gill Sans MT" w:hAnsi="Gill Sans MT"/>
        </w:rPr>
        <w:t xml:space="preserve">(for some because it would never be appropriate, for others </w:t>
      </w:r>
      <w:r w:rsidR="003C2B69">
        <w:rPr>
          <w:rFonts w:ascii="Gill Sans MT" w:hAnsi="Gill Sans MT"/>
        </w:rPr>
        <w:t xml:space="preserve">only if </w:t>
      </w:r>
      <w:r w:rsidR="006340A4">
        <w:rPr>
          <w:rFonts w:ascii="Gill Sans MT" w:hAnsi="Gill Sans MT"/>
        </w:rPr>
        <w:t>Parliament failed to reconsider the matter)</w:t>
      </w:r>
      <w:r w:rsidR="00040B14">
        <w:rPr>
          <w:rFonts w:ascii="Gill Sans MT" w:hAnsi="Gill Sans MT"/>
        </w:rPr>
        <w:t>.</w:t>
      </w:r>
    </w:p>
    <w:p w14:paraId="217DA475" w14:textId="1FE85E75" w:rsidR="00232585" w:rsidRDefault="003E3AA6" w:rsidP="00CD065E">
      <w:pPr>
        <w:pStyle w:val="NoSpacing"/>
        <w:ind w:firstLine="720"/>
        <w:jc w:val="both"/>
        <w:rPr>
          <w:rFonts w:ascii="Gill Sans MT" w:hAnsi="Gill Sans MT"/>
        </w:rPr>
      </w:pPr>
      <w:r>
        <w:rPr>
          <w:rFonts w:ascii="Gill Sans MT" w:hAnsi="Gill Sans MT"/>
        </w:rPr>
        <w:t>This key constitutional question – who should decide, Parliament or the courts? – is in many ways a proxy through which the more elaborate kinds of human rights scepticism outlined above can be addressed. The media reporting of the Supreme Court decision acknowledged that</w:t>
      </w:r>
      <w:r w:rsidR="000B550A">
        <w:rPr>
          <w:rFonts w:ascii="Gill Sans MT" w:hAnsi="Gill Sans MT"/>
        </w:rPr>
        <w:t xml:space="preserve"> the</w:t>
      </w:r>
      <w:r>
        <w:rPr>
          <w:rFonts w:ascii="Gill Sans MT" w:hAnsi="Gill Sans MT"/>
        </w:rPr>
        <w:t xml:space="preserve"> question of the division of responsibility between Parliament and the courts had been in issue, yet treated it as a matter </w:t>
      </w:r>
      <w:r w:rsidRPr="003E3AA6">
        <w:rPr>
          <w:rFonts w:ascii="Gill Sans MT" w:hAnsi="Gill Sans MT"/>
        </w:rPr>
        <w:t xml:space="preserve">which had essentially been resolved in this case, and by the court, rather than something which is ongoing, and about which non-judicial actors may </w:t>
      </w:r>
      <w:r>
        <w:rPr>
          <w:rFonts w:ascii="Gill Sans MT" w:hAnsi="Gill Sans MT"/>
        </w:rPr>
        <w:t>take</w:t>
      </w:r>
      <w:r w:rsidRPr="003E3AA6">
        <w:rPr>
          <w:rFonts w:ascii="Gill Sans MT" w:hAnsi="Gill Sans MT"/>
        </w:rPr>
        <w:t xml:space="preserve"> a different view. In the </w:t>
      </w:r>
      <w:r w:rsidRPr="00273BBD">
        <w:rPr>
          <w:rFonts w:ascii="Gill Sans MT" w:hAnsi="Gill Sans MT"/>
          <w:i/>
        </w:rPr>
        <w:t>Guardian</w:t>
      </w:r>
      <w:r w:rsidRPr="003E3AA6">
        <w:rPr>
          <w:rFonts w:ascii="Gill Sans MT" w:hAnsi="Gill Sans MT"/>
        </w:rPr>
        <w:t>, for example</w:t>
      </w:r>
      <w:r w:rsidR="00B04FDA">
        <w:rPr>
          <w:rFonts w:ascii="Gill Sans MT" w:hAnsi="Gill Sans MT"/>
        </w:rPr>
        <w:t xml:space="preserve">, </w:t>
      </w:r>
      <w:r w:rsidRPr="003E3AA6">
        <w:rPr>
          <w:rFonts w:ascii="Gill Sans MT" w:hAnsi="Gill Sans MT"/>
        </w:rPr>
        <w:t>it was reported that the Supreme Court had ‘</w:t>
      </w:r>
      <w:r w:rsidRPr="003E3AA6">
        <w:rPr>
          <w:rFonts w:ascii="Gill Sans MT" w:hAnsi="Gill Sans MT"/>
          <w:shd w:val="clear" w:color="auto" w:fill="FFFFFF"/>
        </w:rPr>
        <w:t>ruled that judges do have the "constitutional authority" to intervene in the debate</w:t>
      </w:r>
      <w:r>
        <w:rPr>
          <w:rFonts w:ascii="Gill Sans MT" w:hAnsi="Gill Sans MT"/>
          <w:shd w:val="clear" w:color="auto" w:fill="FFFFFF"/>
        </w:rPr>
        <w:t xml:space="preserve">’, but the focus was on the substantive finding, and </w:t>
      </w:r>
      <w:r w:rsidR="00954BE3">
        <w:rPr>
          <w:rFonts w:ascii="Gill Sans MT" w:hAnsi="Gill Sans MT"/>
          <w:shd w:val="clear" w:color="auto" w:fill="FFFFFF"/>
        </w:rPr>
        <w:t>there was no explanation of why it might be contentious for the legalisation of assisted dying to be a matter for judicial, rather than parliamentary, determination.</w:t>
      </w:r>
      <w:r w:rsidR="00954BE3">
        <w:rPr>
          <w:rStyle w:val="FootnoteReference"/>
          <w:rFonts w:ascii="Gill Sans MT" w:hAnsi="Gill Sans MT"/>
          <w:shd w:val="clear" w:color="auto" w:fill="FFFFFF"/>
        </w:rPr>
        <w:footnoteReference w:id="27"/>
      </w:r>
      <w:r w:rsidR="00954BE3">
        <w:rPr>
          <w:rFonts w:ascii="Gill Sans MT" w:hAnsi="Gill Sans MT"/>
          <w:shd w:val="clear" w:color="auto" w:fill="FFFFFF"/>
        </w:rPr>
        <w:t xml:space="preserve"> The same can be said of the reporting of the decision in the </w:t>
      </w:r>
      <w:r w:rsidR="00954BE3" w:rsidRPr="00273BBD">
        <w:rPr>
          <w:rFonts w:ascii="Gill Sans MT" w:hAnsi="Gill Sans MT"/>
          <w:i/>
          <w:shd w:val="clear" w:color="auto" w:fill="FFFFFF"/>
        </w:rPr>
        <w:t>Daily Mail</w:t>
      </w:r>
      <w:r w:rsidR="00954BE3">
        <w:rPr>
          <w:rFonts w:ascii="Gill Sans MT" w:hAnsi="Gill Sans MT"/>
          <w:shd w:val="clear" w:color="auto" w:fill="FFFFFF"/>
        </w:rPr>
        <w:t xml:space="preserve"> – there is </w:t>
      </w:r>
      <w:r w:rsidR="00C818DC">
        <w:rPr>
          <w:rFonts w:ascii="Gill Sans MT" w:hAnsi="Gill Sans MT"/>
          <w:shd w:val="clear" w:color="auto" w:fill="FFFFFF"/>
        </w:rPr>
        <w:t xml:space="preserve">little that can be </w:t>
      </w:r>
      <w:r w:rsidR="00C818DC" w:rsidRPr="00E57855">
        <w:rPr>
          <w:rFonts w:ascii="Gill Sans MT" w:hAnsi="Gill Sans MT"/>
          <w:shd w:val="clear" w:color="auto" w:fill="FFFFFF"/>
        </w:rPr>
        <w:t>gleaned as to why we might be sceptical about judicial claims to possess the authority to resolve this issue</w:t>
      </w:r>
      <w:r w:rsidR="000B550A">
        <w:rPr>
          <w:rFonts w:ascii="Gill Sans MT" w:hAnsi="Gill Sans MT"/>
          <w:shd w:val="clear" w:color="auto" w:fill="FFFFFF"/>
        </w:rPr>
        <w:t xml:space="preserve"> on human rights grounds</w:t>
      </w:r>
      <w:r w:rsidR="00C818DC" w:rsidRPr="00E57855">
        <w:rPr>
          <w:rFonts w:ascii="Gill Sans MT" w:hAnsi="Gill Sans MT"/>
          <w:shd w:val="clear" w:color="auto" w:fill="FFFFFF"/>
        </w:rPr>
        <w:t xml:space="preserve">, although </w:t>
      </w:r>
      <w:r w:rsidR="00E57855" w:rsidRPr="00E57855">
        <w:rPr>
          <w:rFonts w:ascii="Gill Sans MT" w:hAnsi="Gill Sans MT"/>
          <w:shd w:val="clear" w:color="auto" w:fill="FFFFFF"/>
        </w:rPr>
        <w:t xml:space="preserve">it does provide further context about the dynamic between Parliament and the courts in reporting Lord Neuberger’s view ‘that </w:t>
      </w:r>
      <w:r w:rsidR="00E57855" w:rsidRPr="00E57855">
        <w:rPr>
          <w:rFonts w:ascii="Gill Sans MT" w:hAnsi="Gill Sans MT" w:cs="Arial"/>
          <w:color w:val="000000"/>
          <w:shd w:val="clear" w:color="auto" w:fill="FFFFFF"/>
        </w:rPr>
        <w:t>if MPs and peers did not give serious consideration to legalising assisted suic</w:t>
      </w:r>
      <w:r w:rsidR="00E57855">
        <w:rPr>
          <w:rFonts w:ascii="Gill Sans MT" w:hAnsi="Gill Sans MT" w:cs="Arial"/>
          <w:color w:val="000000"/>
          <w:shd w:val="clear" w:color="auto" w:fill="FFFFFF"/>
        </w:rPr>
        <w:t>ide, there was a “real prospect”</w:t>
      </w:r>
      <w:r w:rsidR="00E57855" w:rsidRPr="00E57855">
        <w:rPr>
          <w:rFonts w:ascii="Gill Sans MT" w:hAnsi="Gill Sans MT" w:cs="Arial"/>
          <w:color w:val="000000"/>
          <w:shd w:val="clear" w:color="auto" w:fill="FFFFFF"/>
        </w:rPr>
        <w:t xml:space="preserve"> a future legal challenge would succeed</w:t>
      </w:r>
      <w:r w:rsidR="003C2B69">
        <w:rPr>
          <w:rFonts w:ascii="Gill Sans MT" w:hAnsi="Gill Sans MT" w:cs="Arial"/>
          <w:color w:val="000000"/>
          <w:shd w:val="clear" w:color="auto" w:fill="FFFFFF"/>
        </w:rPr>
        <w:t>.</w:t>
      </w:r>
      <w:r w:rsidR="00E57855" w:rsidRPr="00E57855">
        <w:rPr>
          <w:rFonts w:ascii="Gill Sans MT" w:hAnsi="Gill Sans MT" w:cs="Arial"/>
          <w:color w:val="000000"/>
          <w:shd w:val="clear" w:color="auto" w:fill="FFFFFF"/>
        </w:rPr>
        <w:t>’</w:t>
      </w:r>
      <w:r w:rsidR="00E57855">
        <w:rPr>
          <w:rStyle w:val="FootnoteReference"/>
          <w:rFonts w:ascii="Gill Sans MT" w:hAnsi="Gill Sans MT" w:cs="Arial"/>
          <w:color w:val="000000"/>
          <w:shd w:val="clear" w:color="auto" w:fill="FFFFFF"/>
        </w:rPr>
        <w:footnoteReference w:id="28"/>
      </w:r>
      <w:r w:rsidR="00B04FDA">
        <w:rPr>
          <w:rFonts w:ascii="Gill Sans MT" w:hAnsi="Gill Sans MT" w:cs="Arial"/>
          <w:color w:val="000000"/>
          <w:shd w:val="clear" w:color="auto" w:fill="FFFFFF"/>
        </w:rPr>
        <w:t xml:space="preserve"> In the exemplars of the ‘Good Press’ and the ‘Bad Press’, as discussed above, we therefore find little in the reporting of a contentious human rights case that would provide insight into reasons for scepticism about the legal structures or processes of human rights </w:t>
      </w:r>
      <w:r w:rsidR="00B04FDA">
        <w:rPr>
          <w:rFonts w:ascii="Gill Sans MT" w:hAnsi="Gill Sans MT" w:cs="Arial"/>
          <w:color w:val="000000"/>
          <w:shd w:val="clear" w:color="auto" w:fill="FFFFFF"/>
        </w:rPr>
        <w:lastRenderedPageBreak/>
        <w:t xml:space="preserve">law. Instead, </w:t>
      </w:r>
      <w:proofErr w:type="gramStart"/>
      <w:r w:rsidR="00B04FDA">
        <w:rPr>
          <w:rFonts w:ascii="Gill Sans MT" w:hAnsi="Gill Sans MT" w:cs="Arial"/>
          <w:color w:val="000000"/>
          <w:shd w:val="clear" w:color="auto" w:fill="FFFFFF"/>
        </w:rPr>
        <w:t>despite the fact that</w:t>
      </w:r>
      <w:proofErr w:type="gramEnd"/>
      <w:r w:rsidR="00B04FDA">
        <w:rPr>
          <w:rFonts w:ascii="Gill Sans MT" w:hAnsi="Gill Sans MT" w:cs="Arial"/>
          <w:color w:val="000000"/>
          <w:shd w:val="clear" w:color="auto" w:fill="FFFFFF"/>
        </w:rPr>
        <w:t xml:space="preserve"> some of these issues were under </w:t>
      </w:r>
      <w:r w:rsidR="00194EEF">
        <w:rPr>
          <w:rFonts w:ascii="Gill Sans MT" w:hAnsi="Gill Sans MT" w:cs="Arial"/>
          <w:color w:val="000000"/>
          <w:shd w:val="clear" w:color="auto" w:fill="FFFFFF"/>
        </w:rPr>
        <w:t xml:space="preserve">direct </w:t>
      </w:r>
      <w:r w:rsidR="00B04FDA">
        <w:rPr>
          <w:rFonts w:ascii="Gill Sans MT" w:hAnsi="Gill Sans MT" w:cs="Arial"/>
          <w:color w:val="000000"/>
          <w:shd w:val="clear" w:color="auto" w:fill="FFFFFF"/>
        </w:rPr>
        <w:t xml:space="preserve">consideration by the Supreme Court, the human rights </w:t>
      </w:r>
      <w:r w:rsidR="00492CFF">
        <w:rPr>
          <w:rFonts w:ascii="Gill Sans MT" w:hAnsi="Gill Sans MT" w:cs="Arial"/>
          <w:color w:val="000000"/>
          <w:shd w:val="clear" w:color="auto" w:fill="FFFFFF"/>
        </w:rPr>
        <w:t>paradigm goes unchallenged in these media representations.</w:t>
      </w:r>
    </w:p>
    <w:p w14:paraId="6C1AF0D5" w14:textId="7805B3E1" w:rsidR="00CD065E" w:rsidRDefault="00CD065E" w:rsidP="00CD065E">
      <w:pPr>
        <w:pStyle w:val="NoSpacing"/>
        <w:ind w:firstLine="720"/>
        <w:jc w:val="both"/>
        <w:rPr>
          <w:rFonts w:ascii="Gill Sans MT" w:eastAsia="Times New Roman" w:hAnsi="Gill Sans MT"/>
        </w:rPr>
      </w:pPr>
      <w:r w:rsidRPr="00CD065E">
        <w:rPr>
          <w:rFonts w:ascii="Gill Sans MT" w:eastAsia="Times New Roman" w:hAnsi="Gill Sans MT"/>
        </w:rPr>
        <w:t>Of course, this is not to say that issues associated with the operation of the system of legal protection of human rights do not get aired in the press.</w:t>
      </w:r>
      <w:r>
        <w:rPr>
          <w:rFonts w:ascii="Gill Sans MT" w:eastAsia="Times New Roman" w:hAnsi="Gill Sans MT"/>
        </w:rPr>
        <w:t xml:space="preserve"> </w:t>
      </w:r>
      <w:r w:rsidRPr="00CD065E">
        <w:rPr>
          <w:rFonts w:ascii="Gill Sans MT" w:eastAsia="Times New Roman" w:hAnsi="Gill Sans MT"/>
        </w:rPr>
        <w:t xml:space="preserve">On the contrary, both the </w:t>
      </w:r>
      <w:r w:rsidRPr="00273BBD">
        <w:rPr>
          <w:rFonts w:ascii="Gill Sans MT" w:eastAsia="Times New Roman" w:hAnsi="Gill Sans MT"/>
          <w:i/>
        </w:rPr>
        <w:t>Guardian</w:t>
      </w:r>
      <w:r w:rsidRPr="00CD065E">
        <w:rPr>
          <w:rFonts w:ascii="Gill Sans MT" w:eastAsia="Times New Roman" w:hAnsi="Gill Sans MT"/>
        </w:rPr>
        <w:t xml:space="preserve"> and the </w:t>
      </w:r>
      <w:r w:rsidRPr="00273BBD">
        <w:rPr>
          <w:rFonts w:ascii="Gill Sans MT" w:eastAsia="Times New Roman" w:hAnsi="Gill Sans MT"/>
          <w:i/>
        </w:rPr>
        <w:t>Daily Mail</w:t>
      </w:r>
      <w:r w:rsidRPr="00CD065E">
        <w:rPr>
          <w:rFonts w:ascii="Gill Sans MT" w:eastAsia="Times New Roman" w:hAnsi="Gill Sans MT"/>
        </w:rPr>
        <w:t xml:space="preserve"> have </w:t>
      </w:r>
      <w:r>
        <w:rPr>
          <w:rFonts w:ascii="Gill Sans MT" w:eastAsia="Times New Roman" w:hAnsi="Gill Sans MT"/>
        </w:rPr>
        <w:t xml:space="preserve">specific </w:t>
      </w:r>
      <w:r w:rsidRPr="00CD065E">
        <w:rPr>
          <w:rFonts w:ascii="Gill Sans MT" w:eastAsia="Times New Roman" w:hAnsi="Gill Sans MT"/>
        </w:rPr>
        <w:t>agendas concerning human rights law, which are made explicit in editorials related to the unending debates about repeal of the Human Rights Act 1998.</w:t>
      </w:r>
      <w:r>
        <w:rPr>
          <w:rStyle w:val="FootnoteReference"/>
          <w:rFonts w:ascii="Gill Sans MT" w:eastAsia="Times New Roman" w:hAnsi="Gill Sans MT"/>
        </w:rPr>
        <w:footnoteReference w:id="29"/>
      </w:r>
      <w:r w:rsidRPr="00CD065E">
        <w:rPr>
          <w:rFonts w:ascii="Gill Sans MT" w:eastAsia="Times New Roman" w:hAnsi="Gill Sans MT"/>
        </w:rPr>
        <w:t xml:space="preserve"> But whether defensive of</w:t>
      </w:r>
      <w:r>
        <w:rPr>
          <w:rFonts w:ascii="Gill Sans MT" w:eastAsia="Times New Roman" w:hAnsi="Gill Sans MT"/>
        </w:rPr>
        <w:t>,</w:t>
      </w:r>
      <w:r w:rsidRPr="00CD065E">
        <w:rPr>
          <w:rFonts w:ascii="Gill Sans MT" w:eastAsia="Times New Roman" w:hAnsi="Gill Sans MT"/>
        </w:rPr>
        <w:t xml:space="preserve"> or hostile to</w:t>
      </w:r>
      <w:r>
        <w:rPr>
          <w:rFonts w:ascii="Gill Sans MT" w:eastAsia="Times New Roman" w:hAnsi="Gill Sans MT"/>
        </w:rPr>
        <w:t>,</w:t>
      </w:r>
      <w:r w:rsidRPr="00CD065E">
        <w:rPr>
          <w:rFonts w:ascii="Gill Sans MT" w:eastAsia="Times New Roman" w:hAnsi="Gill Sans MT"/>
        </w:rPr>
        <w:t xml:space="preserve"> the human rights project, these issues are outlined in discrete pieces on the topic of potential legal reform </w:t>
      </w:r>
      <w:r>
        <w:rPr>
          <w:rFonts w:ascii="Gill Sans MT" w:eastAsia="Times New Roman" w:hAnsi="Gill Sans MT"/>
        </w:rPr>
        <w:t xml:space="preserve">– </w:t>
      </w:r>
      <w:r w:rsidRPr="00CD065E">
        <w:rPr>
          <w:rFonts w:ascii="Gill Sans MT" w:eastAsia="Times New Roman" w:hAnsi="Gill Sans MT"/>
        </w:rPr>
        <w:t xml:space="preserve">the reporting of the more regular use of legal human rights claims is therefore insulated from such considerations. Perhaps </w:t>
      </w:r>
      <w:r>
        <w:rPr>
          <w:rFonts w:ascii="Gill Sans MT" w:eastAsia="Times New Roman" w:hAnsi="Gill Sans MT"/>
        </w:rPr>
        <w:t>this is unsurprising because, as considered above,</w:t>
      </w:r>
      <w:r w:rsidRPr="00CD065E">
        <w:rPr>
          <w:rFonts w:ascii="Gill Sans MT" w:eastAsia="Times New Roman" w:hAnsi="Gill Sans MT"/>
        </w:rPr>
        <w:t xml:space="preserve"> media representations </w:t>
      </w:r>
      <w:r>
        <w:rPr>
          <w:rFonts w:ascii="Gill Sans MT" w:eastAsia="Times New Roman" w:hAnsi="Gill Sans MT"/>
        </w:rPr>
        <w:t xml:space="preserve">of human rights </w:t>
      </w:r>
      <w:r w:rsidRPr="00CD065E">
        <w:rPr>
          <w:rFonts w:ascii="Gill Sans MT" w:eastAsia="Times New Roman" w:hAnsi="Gill Sans MT"/>
        </w:rPr>
        <w:t xml:space="preserve">reflect </w:t>
      </w:r>
      <w:r>
        <w:rPr>
          <w:rFonts w:ascii="Gill Sans MT" w:eastAsia="Times New Roman" w:hAnsi="Gill Sans MT"/>
        </w:rPr>
        <w:t xml:space="preserve">the </w:t>
      </w:r>
      <w:r w:rsidRPr="00CD065E">
        <w:rPr>
          <w:rFonts w:ascii="Gill Sans MT" w:eastAsia="Times New Roman" w:hAnsi="Gill Sans MT"/>
        </w:rPr>
        <w:t xml:space="preserve">outcome orientation of </w:t>
      </w:r>
      <w:r>
        <w:rPr>
          <w:rFonts w:ascii="Gill Sans MT" w:eastAsia="Times New Roman" w:hAnsi="Gill Sans MT"/>
        </w:rPr>
        <w:t>human rights</w:t>
      </w:r>
      <w:r w:rsidRPr="00CD065E">
        <w:rPr>
          <w:rFonts w:ascii="Gill Sans MT" w:eastAsia="Times New Roman" w:hAnsi="Gill Sans MT"/>
        </w:rPr>
        <w:t xml:space="preserve"> law.</w:t>
      </w:r>
      <w:r>
        <w:rPr>
          <w:rFonts w:ascii="Gill Sans MT" w:eastAsia="Times New Roman" w:hAnsi="Gill Sans MT"/>
        </w:rPr>
        <w:t xml:space="preserve"> </w:t>
      </w:r>
      <w:r w:rsidR="000B550A">
        <w:rPr>
          <w:rFonts w:ascii="Gill Sans MT" w:eastAsia="Times New Roman" w:hAnsi="Gill Sans MT"/>
        </w:rPr>
        <w:t>However,</w:t>
      </w:r>
      <w:r>
        <w:rPr>
          <w:rFonts w:ascii="Gill Sans MT" w:eastAsia="Times New Roman" w:hAnsi="Gill Sans MT"/>
        </w:rPr>
        <w:t xml:space="preserve"> the d</w:t>
      </w:r>
      <w:r w:rsidRPr="00CD065E">
        <w:rPr>
          <w:rFonts w:ascii="Gill Sans MT" w:eastAsia="Times New Roman" w:hAnsi="Gill Sans MT"/>
        </w:rPr>
        <w:t xml:space="preserve">anger is that they </w:t>
      </w:r>
      <w:r>
        <w:rPr>
          <w:rFonts w:ascii="Gill Sans MT" w:eastAsia="Times New Roman" w:hAnsi="Gill Sans MT"/>
        </w:rPr>
        <w:t xml:space="preserve">then </w:t>
      </w:r>
      <w:r w:rsidRPr="00CD065E">
        <w:rPr>
          <w:rFonts w:ascii="Gill Sans MT" w:eastAsia="Times New Roman" w:hAnsi="Gill Sans MT"/>
        </w:rPr>
        <w:t xml:space="preserve">shape public debate in a way which locks in </w:t>
      </w:r>
      <w:r>
        <w:rPr>
          <w:rFonts w:ascii="Gill Sans MT" w:eastAsia="Times New Roman" w:hAnsi="Gill Sans MT"/>
        </w:rPr>
        <w:t xml:space="preserve">the </w:t>
      </w:r>
      <w:r w:rsidRPr="00CD065E">
        <w:rPr>
          <w:rFonts w:ascii="Gill Sans MT" w:eastAsia="Times New Roman" w:hAnsi="Gill Sans MT"/>
        </w:rPr>
        <w:t xml:space="preserve">binary framing of </w:t>
      </w:r>
      <w:r>
        <w:rPr>
          <w:rFonts w:ascii="Gill Sans MT" w:eastAsia="Times New Roman" w:hAnsi="Gill Sans MT"/>
        </w:rPr>
        <w:t>a ‘</w:t>
      </w:r>
      <w:r w:rsidRPr="00CD065E">
        <w:rPr>
          <w:rFonts w:ascii="Gill Sans MT" w:eastAsia="Times New Roman" w:hAnsi="Gill Sans MT"/>
        </w:rPr>
        <w:t>Good</w:t>
      </w:r>
      <w:r>
        <w:rPr>
          <w:rFonts w:ascii="Gill Sans MT" w:eastAsia="Times New Roman" w:hAnsi="Gill Sans MT"/>
        </w:rPr>
        <w:t>’</w:t>
      </w:r>
      <w:r w:rsidRPr="00CD065E">
        <w:rPr>
          <w:rFonts w:ascii="Gill Sans MT" w:eastAsia="Times New Roman" w:hAnsi="Gill Sans MT"/>
        </w:rPr>
        <w:t xml:space="preserve"> and </w:t>
      </w:r>
      <w:r>
        <w:rPr>
          <w:rFonts w:ascii="Gill Sans MT" w:eastAsia="Times New Roman" w:hAnsi="Gill Sans MT"/>
        </w:rPr>
        <w:t>‘</w:t>
      </w:r>
      <w:r w:rsidRPr="00CD065E">
        <w:rPr>
          <w:rFonts w:ascii="Gill Sans MT" w:eastAsia="Times New Roman" w:hAnsi="Gill Sans MT"/>
        </w:rPr>
        <w:t>Bad</w:t>
      </w:r>
      <w:r>
        <w:rPr>
          <w:rFonts w:ascii="Gill Sans MT" w:eastAsia="Times New Roman" w:hAnsi="Gill Sans MT"/>
        </w:rPr>
        <w:t>’ p</w:t>
      </w:r>
      <w:r w:rsidRPr="00CD065E">
        <w:rPr>
          <w:rFonts w:ascii="Gill Sans MT" w:eastAsia="Times New Roman" w:hAnsi="Gill Sans MT"/>
        </w:rPr>
        <w:t>ress, responding to</w:t>
      </w:r>
      <w:r w:rsidR="00825B42">
        <w:rPr>
          <w:rFonts w:ascii="Gill Sans MT" w:eastAsia="Times New Roman" w:hAnsi="Gill Sans MT"/>
        </w:rPr>
        <w:t xml:space="preserve"> the</w:t>
      </w:r>
      <w:r w:rsidRPr="00CD065E">
        <w:rPr>
          <w:rFonts w:ascii="Gill Sans MT" w:eastAsia="Times New Roman" w:hAnsi="Gill Sans MT"/>
        </w:rPr>
        <w:t xml:space="preserve"> </w:t>
      </w:r>
      <w:r>
        <w:rPr>
          <w:rFonts w:ascii="Gill Sans MT" w:eastAsia="Times New Roman" w:hAnsi="Gill Sans MT"/>
        </w:rPr>
        <w:t>‘</w:t>
      </w:r>
      <w:r w:rsidRPr="00CD065E">
        <w:rPr>
          <w:rFonts w:ascii="Gill Sans MT" w:eastAsia="Times New Roman" w:hAnsi="Gill Sans MT"/>
        </w:rPr>
        <w:t>Good</w:t>
      </w:r>
      <w:r>
        <w:rPr>
          <w:rFonts w:ascii="Gill Sans MT" w:eastAsia="Times New Roman" w:hAnsi="Gill Sans MT"/>
        </w:rPr>
        <w:t>’</w:t>
      </w:r>
      <w:r w:rsidRPr="00CD065E">
        <w:rPr>
          <w:rFonts w:ascii="Gill Sans MT" w:eastAsia="Times New Roman" w:hAnsi="Gill Sans MT"/>
        </w:rPr>
        <w:t xml:space="preserve"> or </w:t>
      </w:r>
      <w:r>
        <w:rPr>
          <w:rFonts w:ascii="Gill Sans MT" w:eastAsia="Times New Roman" w:hAnsi="Gill Sans MT"/>
        </w:rPr>
        <w:t>‘</w:t>
      </w:r>
      <w:r w:rsidRPr="00CD065E">
        <w:rPr>
          <w:rFonts w:ascii="Gill Sans MT" w:eastAsia="Times New Roman" w:hAnsi="Gill Sans MT"/>
        </w:rPr>
        <w:t>Bad</w:t>
      </w:r>
      <w:r>
        <w:rPr>
          <w:rFonts w:ascii="Gill Sans MT" w:eastAsia="Times New Roman" w:hAnsi="Gill Sans MT"/>
        </w:rPr>
        <w:t>’</w:t>
      </w:r>
      <w:r w:rsidR="00825B42">
        <w:rPr>
          <w:rFonts w:ascii="Gill Sans MT" w:eastAsia="Times New Roman" w:hAnsi="Gill Sans MT"/>
        </w:rPr>
        <w:t xml:space="preserve"> ends of</w:t>
      </w:r>
      <w:r w:rsidRPr="00CD065E">
        <w:rPr>
          <w:rFonts w:ascii="Gill Sans MT" w:eastAsia="Times New Roman" w:hAnsi="Gill Sans MT"/>
        </w:rPr>
        <w:t xml:space="preserve"> </w:t>
      </w:r>
      <w:r>
        <w:rPr>
          <w:rFonts w:ascii="Gill Sans MT" w:eastAsia="Times New Roman" w:hAnsi="Gill Sans MT"/>
        </w:rPr>
        <w:t xml:space="preserve">human rights </w:t>
      </w:r>
      <w:r w:rsidR="000E6801">
        <w:rPr>
          <w:rFonts w:ascii="Gill Sans MT" w:eastAsia="Times New Roman" w:hAnsi="Gill Sans MT"/>
        </w:rPr>
        <w:t>decisions, with the means of human rights laws – the structures, processes, institutions, and discourse – relegated to a subsidiary matter.</w:t>
      </w:r>
    </w:p>
    <w:p w14:paraId="60961925" w14:textId="60650653" w:rsidR="00C71767" w:rsidRDefault="00825B42" w:rsidP="00C71767">
      <w:pPr>
        <w:pStyle w:val="NoSpacing"/>
        <w:ind w:firstLine="720"/>
        <w:jc w:val="both"/>
        <w:rPr>
          <w:rFonts w:ascii="Gill Sans MT" w:hAnsi="Gill Sans MT"/>
          <w:color w:val="000000"/>
        </w:rPr>
      </w:pPr>
      <w:r>
        <w:rPr>
          <w:rFonts w:ascii="Gill Sans MT" w:eastAsia="Times New Roman" w:hAnsi="Gill Sans MT"/>
        </w:rPr>
        <w:t>This is especially regrettable when there is m</w:t>
      </w:r>
      <w:r w:rsidR="00CD065E" w:rsidRPr="00CD065E">
        <w:rPr>
          <w:rFonts w:ascii="Gill Sans MT" w:eastAsia="Times New Roman" w:hAnsi="Gill Sans MT"/>
        </w:rPr>
        <w:t>uch</w:t>
      </w:r>
      <w:r w:rsidR="00F06A4D">
        <w:rPr>
          <w:rFonts w:ascii="Gill Sans MT" w:eastAsia="Times New Roman" w:hAnsi="Gill Sans MT"/>
        </w:rPr>
        <w:t xml:space="preserve"> about which to be sceptical in practice, as well as in principle</w:t>
      </w:r>
      <w:r w:rsidR="00FB0642">
        <w:rPr>
          <w:rFonts w:ascii="Gill Sans MT" w:eastAsia="Times New Roman" w:hAnsi="Gill Sans MT"/>
        </w:rPr>
        <w:t xml:space="preserve">. </w:t>
      </w:r>
      <w:r w:rsidR="00FB0642">
        <w:rPr>
          <w:rFonts w:ascii="Gill Sans MT" w:hAnsi="Gill Sans MT"/>
          <w:color w:val="000000"/>
        </w:rPr>
        <w:t xml:space="preserve">While some may believe we are in a new liberal era of judicial decision-making, longer term studies – both historical and contemporary – provide little to justify such </w:t>
      </w:r>
      <w:r w:rsidR="00C82339">
        <w:rPr>
          <w:rFonts w:ascii="Gill Sans MT" w:hAnsi="Gill Sans MT"/>
          <w:color w:val="000000"/>
        </w:rPr>
        <w:t>c</w:t>
      </w:r>
      <w:r w:rsidR="00FB0642">
        <w:rPr>
          <w:rFonts w:ascii="Gill Sans MT" w:hAnsi="Gill Sans MT"/>
          <w:color w:val="000000"/>
        </w:rPr>
        <w:t>omplacency.</w:t>
      </w:r>
      <w:r w:rsidR="00FB0642">
        <w:rPr>
          <w:rStyle w:val="FootnoteReference"/>
          <w:rFonts w:ascii="Gill Sans MT" w:hAnsi="Gill Sans MT"/>
          <w:color w:val="000000"/>
        </w:rPr>
        <w:footnoteReference w:id="30"/>
      </w:r>
      <w:r w:rsidR="00C82339">
        <w:rPr>
          <w:rFonts w:ascii="Gill Sans MT" w:hAnsi="Gill Sans MT"/>
          <w:color w:val="000000"/>
        </w:rPr>
        <w:t xml:space="preserve"> We see the false promise of human rights law – its rhetoric is of the delivery of universal social goods to all, yet the reality is that legal decision-making, even that concerning human rig</w:t>
      </w:r>
      <w:r w:rsidR="00A81024">
        <w:rPr>
          <w:rFonts w:ascii="Gill Sans MT" w:hAnsi="Gill Sans MT"/>
          <w:color w:val="000000"/>
        </w:rPr>
        <w:t>hts, is at most based on gradualism, moderation, and lead</w:t>
      </w:r>
      <w:r w:rsidR="000B550A">
        <w:rPr>
          <w:rFonts w:ascii="Gill Sans MT" w:hAnsi="Gill Sans MT"/>
          <w:color w:val="000000"/>
        </w:rPr>
        <w:t>s</w:t>
      </w:r>
      <w:r w:rsidR="00A81024">
        <w:rPr>
          <w:rFonts w:ascii="Gill Sans MT" w:hAnsi="Gill Sans MT"/>
          <w:color w:val="000000"/>
        </w:rPr>
        <w:t xml:space="preserve"> inevitably to compromised outcomes. The results of the ‘bedroom tax’ litigation are instructive – there may have been headline success for the most vulnerable claimants, but the majority of the litigants, also in extremely disadvantageous circumstances, did not prevail, demonstrating </w:t>
      </w:r>
      <w:r w:rsidR="007D757B">
        <w:rPr>
          <w:rFonts w:ascii="Gill Sans MT" w:hAnsi="Gill Sans MT"/>
          <w:color w:val="000000"/>
        </w:rPr>
        <w:t>that the application of human rights law can have a limited capacity</w:t>
      </w:r>
      <w:r w:rsidR="00DD5FB1">
        <w:rPr>
          <w:rFonts w:ascii="Gill Sans MT" w:hAnsi="Gill Sans MT"/>
          <w:color w:val="000000"/>
        </w:rPr>
        <w:t xml:space="preserve"> </w:t>
      </w:r>
      <w:r w:rsidR="00A81024">
        <w:rPr>
          <w:rFonts w:ascii="Gill Sans MT" w:hAnsi="Gill Sans MT"/>
          <w:color w:val="000000"/>
        </w:rPr>
        <w:t xml:space="preserve"> to make a real impact on iniquitous government policies.</w:t>
      </w:r>
      <w:r w:rsidR="00A81024">
        <w:rPr>
          <w:rStyle w:val="FootnoteReference"/>
          <w:rFonts w:ascii="Gill Sans MT" w:hAnsi="Gill Sans MT"/>
          <w:color w:val="000000"/>
        </w:rPr>
        <w:footnoteReference w:id="31"/>
      </w:r>
      <w:r w:rsidR="00A81024">
        <w:rPr>
          <w:rFonts w:ascii="Gill Sans MT" w:hAnsi="Gill Sans MT"/>
          <w:color w:val="000000"/>
        </w:rPr>
        <w:t xml:space="preserve"> Similarly, the</w:t>
      </w:r>
      <w:r w:rsidR="00A526C5">
        <w:rPr>
          <w:rFonts w:ascii="Gill Sans MT" w:hAnsi="Gill Sans MT"/>
          <w:color w:val="000000"/>
        </w:rPr>
        <w:t xml:space="preserve"> so-called</w:t>
      </w:r>
      <w:r w:rsidR="00A81024">
        <w:rPr>
          <w:rFonts w:ascii="Gill Sans MT" w:hAnsi="Gill Sans MT"/>
          <w:color w:val="000000"/>
        </w:rPr>
        <w:t xml:space="preserve"> ‘workfare’ litigation indicates that human rights law may only have an impact for select categories of claimants, leaving the vast majority of those </w:t>
      </w:r>
      <w:r w:rsidR="00A526C5">
        <w:rPr>
          <w:rFonts w:ascii="Gill Sans MT" w:hAnsi="Gill Sans MT"/>
          <w:color w:val="000000"/>
        </w:rPr>
        <w:t>affected by the (initially unlawful) withdrawal of jobseeker’s allowance without any remedy.</w:t>
      </w:r>
      <w:r w:rsidR="00A526C5">
        <w:rPr>
          <w:rStyle w:val="FootnoteReference"/>
          <w:rFonts w:ascii="Gill Sans MT" w:hAnsi="Gill Sans MT"/>
          <w:color w:val="000000"/>
        </w:rPr>
        <w:footnoteReference w:id="32"/>
      </w:r>
      <w:r w:rsidR="00C71767">
        <w:rPr>
          <w:rFonts w:ascii="Gill Sans MT" w:hAnsi="Gill Sans MT"/>
          <w:color w:val="000000"/>
        </w:rPr>
        <w:t xml:space="preserve"> </w:t>
      </w:r>
      <w:r w:rsidR="00A526C5">
        <w:rPr>
          <w:rFonts w:ascii="Gill Sans MT" w:hAnsi="Gill Sans MT"/>
          <w:color w:val="000000"/>
        </w:rPr>
        <w:t xml:space="preserve">There are also recent cases in which the justice of human rights outcomes may be very much disputed. For example, the Supreme Court </w:t>
      </w:r>
      <w:r w:rsidR="00A526C5" w:rsidRPr="00127AAE">
        <w:rPr>
          <w:rFonts w:ascii="Gill Sans MT" w:hAnsi="Gill Sans MT"/>
          <w:color w:val="000000"/>
        </w:rPr>
        <w:t xml:space="preserve">decision that </w:t>
      </w:r>
      <w:r w:rsidR="00176C69">
        <w:rPr>
          <w:rFonts w:ascii="Gill Sans MT" w:hAnsi="Gill Sans MT"/>
          <w:color w:val="000000"/>
        </w:rPr>
        <w:t xml:space="preserve">the use of police </w:t>
      </w:r>
      <w:r w:rsidR="00A526C5" w:rsidRPr="00127AAE">
        <w:rPr>
          <w:rFonts w:ascii="Gill Sans MT" w:hAnsi="Gill Sans MT"/>
          <w:color w:val="000000"/>
        </w:rPr>
        <w:t>‘stop and s</w:t>
      </w:r>
      <w:r w:rsidR="00CD065E" w:rsidRPr="00127AAE">
        <w:rPr>
          <w:rFonts w:ascii="Gill Sans MT" w:hAnsi="Gill Sans MT"/>
          <w:color w:val="000000"/>
        </w:rPr>
        <w:t>earch</w:t>
      </w:r>
      <w:r w:rsidR="00A526C5" w:rsidRPr="00127AAE">
        <w:rPr>
          <w:rFonts w:ascii="Gill Sans MT" w:hAnsi="Gill Sans MT"/>
          <w:color w:val="000000"/>
        </w:rPr>
        <w:t xml:space="preserve">’ </w:t>
      </w:r>
      <w:r w:rsidR="00127AAE" w:rsidRPr="00127AAE">
        <w:rPr>
          <w:rFonts w:ascii="Gill Sans MT" w:hAnsi="Gill Sans MT"/>
          <w:color w:val="000000"/>
        </w:rPr>
        <w:t>powers</w:t>
      </w:r>
      <w:r w:rsidR="00A526C5" w:rsidRPr="00127AAE">
        <w:rPr>
          <w:rFonts w:ascii="Gill Sans MT" w:hAnsi="Gill Sans MT"/>
          <w:color w:val="000000"/>
        </w:rPr>
        <w:t xml:space="preserve"> did not discriminate against </w:t>
      </w:r>
      <w:r w:rsidR="008707AC" w:rsidRPr="00127AAE">
        <w:rPr>
          <w:rFonts w:ascii="Gill Sans MT" w:hAnsi="Gill Sans MT"/>
          <w:color w:val="000000"/>
        </w:rPr>
        <w:t xml:space="preserve">members of </w:t>
      </w:r>
      <w:r w:rsidR="00A526C5" w:rsidRPr="00127AAE">
        <w:rPr>
          <w:rFonts w:ascii="Gill Sans MT" w:hAnsi="Gill Sans MT"/>
          <w:color w:val="000000"/>
        </w:rPr>
        <w:t xml:space="preserve">black </w:t>
      </w:r>
      <w:r w:rsidR="008707AC" w:rsidRPr="00127AAE">
        <w:rPr>
          <w:rFonts w:ascii="Gill Sans MT" w:hAnsi="Gill Sans MT"/>
          <w:color w:val="000000"/>
        </w:rPr>
        <w:t xml:space="preserve">and minority ethnic groups, but indeed were </w:t>
      </w:r>
      <w:r w:rsidR="00A526C5" w:rsidRPr="00127AAE">
        <w:rPr>
          <w:rFonts w:ascii="Gill Sans MT" w:hAnsi="Gill Sans MT"/>
          <w:color w:val="000000"/>
        </w:rPr>
        <w:t xml:space="preserve">for their </w:t>
      </w:r>
      <w:r w:rsidR="008707AC" w:rsidRPr="00127AAE">
        <w:rPr>
          <w:rFonts w:ascii="Gill Sans MT" w:hAnsi="Gill Sans MT"/>
          <w:color w:val="000000"/>
        </w:rPr>
        <w:t>‘</w:t>
      </w:r>
      <w:r w:rsidR="00A526C5" w:rsidRPr="00127AAE">
        <w:rPr>
          <w:rFonts w:ascii="Gill Sans MT" w:hAnsi="Gill Sans MT"/>
          <w:color w:val="000000"/>
        </w:rPr>
        <w:t>benefit’</w:t>
      </w:r>
      <w:r w:rsidR="00A526C5">
        <w:rPr>
          <w:rFonts w:ascii="Gill Sans MT" w:hAnsi="Gill Sans MT"/>
          <w:color w:val="000000"/>
        </w:rPr>
        <w:t>.</w:t>
      </w:r>
      <w:r w:rsidR="00A526C5">
        <w:rPr>
          <w:rStyle w:val="FootnoteReference"/>
          <w:rFonts w:ascii="Gill Sans MT" w:hAnsi="Gill Sans MT"/>
          <w:color w:val="000000"/>
        </w:rPr>
        <w:footnoteReference w:id="33"/>
      </w:r>
      <w:r w:rsidR="00A526C5">
        <w:rPr>
          <w:rFonts w:ascii="Gill Sans MT" w:hAnsi="Gill Sans MT"/>
          <w:color w:val="000000"/>
        </w:rPr>
        <w:t xml:space="preserve"> Or the decision</w:t>
      </w:r>
      <w:r w:rsidR="000B550A">
        <w:rPr>
          <w:rFonts w:ascii="Gill Sans MT" w:hAnsi="Gill Sans MT"/>
          <w:color w:val="000000"/>
        </w:rPr>
        <w:t xml:space="preserve"> of that court </w:t>
      </w:r>
      <w:r w:rsidR="00A526C5">
        <w:rPr>
          <w:rFonts w:ascii="Gill Sans MT" w:hAnsi="Gill Sans MT"/>
          <w:color w:val="000000"/>
        </w:rPr>
        <w:t>that it would be unlawful for the National Assembly for Wales to introduce a policy allowing for the NHS to boost its funding by charging</w:t>
      </w:r>
      <w:r w:rsidR="00FF605C">
        <w:rPr>
          <w:rFonts w:ascii="Gill Sans MT" w:hAnsi="Gill Sans MT"/>
          <w:color w:val="000000"/>
        </w:rPr>
        <w:t xml:space="preserve"> the insurance </w:t>
      </w:r>
      <w:r w:rsidR="00FF605C">
        <w:rPr>
          <w:rFonts w:ascii="Gill Sans MT" w:hAnsi="Gill Sans MT"/>
          <w:color w:val="000000"/>
        </w:rPr>
        <w:lastRenderedPageBreak/>
        <w:t>companies of employers whose employees had required treatment for cancers and other medical conditions attributable to exposure to asbestos</w:t>
      </w:r>
      <w:r w:rsidR="00A526C5">
        <w:rPr>
          <w:rFonts w:ascii="Gill Sans MT" w:hAnsi="Gill Sans MT"/>
          <w:color w:val="000000"/>
        </w:rPr>
        <w:t>, because this would amount to a retrospective interference with their right to the peaceful enjoyment of property.</w:t>
      </w:r>
      <w:r w:rsidR="00A526C5">
        <w:rPr>
          <w:rStyle w:val="FootnoteReference"/>
          <w:rFonts w:ascii="Gill Sans MT" w:hAnsi="Gill Sans MT"/>
          <w:color w:val="000000"/>
        </w:rPr>
        <w:footnoteReference w:id="34"/>
      </w:r>
    </w:p>
    <w:p w14:paraId="794F891D" w14:textId="60B2DE64" w:rsidR="00CD065E" w:rsidRDefault="0065374B" w:rsidP="00DB0F7F">
      <w:pPr>
        <w:pStyle w:val="NoSpacing"/>
        <w:ind w:firstLine="720"/>
        <w:jc w:val="both"/>
        <w:rPr>
          <w:rFonts w:ascii="Gill Sans MT" w:hAnsi="Gill Sans MT"/>
          <w:color w:val="000000"/>
        </w:rPr>
      </w:pPr>
      <w:r>
        <w:rPr>
          <w:rFonts w:ascii="Gill Sans MT" w:hAnsi="Gill Sans MT"/>
          <w:color w:val="000000"/>
        </w:rPr>
        <w:t xml:space="preserve">Human rights law may also </w:t>
      </w:r>
      <w:r w:rsidR="00D25A9E">
        <w:rPr>
          <w:rFonts w:ascii="Gill Sans MT" w:hAnsi="Gill Sans MT"/>
          <w:color w:val="000000"/>
        </w:rPr>
        <w:t xml:space="preserve">impact </w:t>
      </w:r>
      <w:r>
        <w:rPr>
          <w:rFonts w:ascii="Gill Sans MT" w:hAnsi="Gill Sans MT"/>
          <w:color w:val="000000"/>
        </w:rPr>
        <w:t xml:space="preserve">negatively upon the way in which future policy choices can be made and delivered. To take a high profile example, while successive UK governments have refused to implement the judgment of the European Court of Human Rights in </w:t>
      </w:r>
      <w:r w:rsidRPr="0065374B">
        <w:rPr>
          <w:rFonts w:ascii="Gill Sans MT" w:hAnsi="Gill Sans MT"/>
          <w:i/>
          <w:color w:val="000000"/>
        </w:rPr>
        <w:t>Hirst (No. 2)</w:t>
      </w:r>
      <w:r>
        <w:rPr>
          <w:rFonts w:ascii="Gill Sans MT" w:hAnsi="Gill Sans MT"/>
          <w:color w:val="000000"/>
        </w:rPr>
        <w:t>,</w:t>
      </w:r>
      <w:r>
        <w:rPr>
          <w:rStyle w:val="FootnoteReference"/>
          <w:rFonts w:ascii="Gill Sans MT" w:hAnsi="Gill Sans MT"/>
          <w:color w:val="000000"/>
        </w:rPr>
        <w:footnoteReference w:id="35"/>
      </w:r>
      <w:r>
        <w:rPr>
          <w:rFonts w:ascii="Gill Sans MT" w:hAnsi="Gill Sans MT"/>
          <w:color w:val="000000"/>
        </w:rPr>
        <w:t xml:space="preserve"> which held that a ‘blanket ban’ on prisoner voting rights was incompatible with the right to free elections under </w:t>
      </w:r>
      <w:r w:rsidR="00991108" w:rsidRPr="00991108">
        <w:rPr>
          <w:rFonts w:ascii="Gill Sans MT" w:hAnsi="Gill Sans MT"/>
          <w:color w:val="000000"/>
        </w:rPr>
        <w:t>Article 3</w:t>
      </w:r>
      <w:r w:rsidRPr="00991108">
        <w:rPr>
          <w:rFonts w:ascii="Gill Sans MT" w:hAnsi="Gill Sans MT"/>
          <w:color w:val="000000"/>
        </w:rPr>
        <w:t xml:space="preserve"> of Protocol 1 of</w:t>
      </w:r>
      <w:r>
        <w:rPr>
          <w:rFonts w:ascii="Gill Sans MT" w:hAnsi="Gill Sans MT"/>
          <w:color w:val="000000"/>
        </w:rPr>
        <w:t xml:space="preserve"> the ECHR, all consideration has been of very modest changes to the availability of the franchise for prisoners.</w:t>
      </w:r>
      <w:r w:rsidR="005536F9">
        <w:rPr>
          <w:rStyle w:val="FootnoteReference"/>
          <w:rFonts w:ascii="Gill Sans MT" w:hAnsi="Gill Sans MT"/>
          <w:color w:val="000000"/>
        </w:rPr>
        <w:footnoteReference w:id="36"/>
      </w:r>
      <w:r>
        <w:rPr>
          <w:rFonts w:ascii="Gill Sans MT" w:hAnsi="Gill Sans MT"/>
          <w:color w:val="000000"/>
        </w:rPr>
        <w:t xml:space="preserve"> The effect of this </w:t>
      </w:r>
      <w:r w:rsidR="007171B3">
        <w:rPr>
          <w:rFonts w:ascii="Gill Sans MT" w:hAnsi="Gill Sans MT"/>
          <w:color w:val="000000"/>
        </w:rPr>
        <w:t xml:space="preserve">decision </w:t>
      </w:r>
      <w:r>
        <w:rPr>
          <w:rFonts w:ascii="Gill Sans MT" w:hAnsi="Gill Sans MT"/>
          <w:color w:val="000000"/>
        </w:rPr>
        <w:t xml:space="preserve">has </w:t>
      </w:r>
      <w:r w:rsidR="005536F9">
        <w:rPr>
          <w:rFonts w:ascii="Gill Sans MT" w:hAnsi="Gill Sans MT"/>
          <w:color w:val="000000"/>
        </w:rPr>
        <w:t>been to box in the future poli</w:t>
      </w:r>
      <w:r w:rsidR="00C71767">
        <w:rPr>
          <w:rFonts w:ascii="Gill Sans MT" w:hAnsi="Gill Sans MT"/>
          <w:color w:val="000000"/>
        </w:rPr>
        <w:t>cy spectrum, and make it essentially inconceivable</w:t>
      </w:r>
      <w:r w:rsidR="005536F9">
        <w:rPr>
          <w:rFonts w:ascii="Gill Sans MT" w:hAnsi="Gill Sans MT"/>
          <w:color w:val="000000"/>
        </w:rPr>
        <w:t xml:space="preserve"> for more radical solutions – such as the </w:t>
      </w:r>
      <w:r w:rsidR="00C71767">
        <w:rPr>
          <w:rFonts w:ascii="Gill Sans MT" w:hAnsi="Gill Sans MT"/>
          <w:color w:val="000000"/>
        </w:rPr>
        <w:t xml:space="preserve">universal </w:t>
      </w:r>
      <w:r w:rsidR="005536F9">
        <w:rPr>
          <w:rFonts w:ascii="Gill Sans MT" w:hAnsi="Gill Sans MT"/>
          <w:color w:val="000000"/>
        </w:rPr>
        <w:t xml:space="preserve">democratic enfranchisement of all serving prisoners, subject to no restrictions at all – to be </w:t>
      </w:r>
      <w:r w:rsidR="00C71767">
        <w:rPr>
          <w:rFonts w:ascii="Gill Sans MT" w:hAnsi="Gill Sans MT"/>
          <w:color w:val="000000"/>
        </w:rPr>
        <w:t>promoted in the current political environment. Moreover, even when social policy choices are made which can be defended from human rights challenges constructed by powerful commercial interests, the delay to the implementation of legislative changes</w:t>
      </w:r>
      <w:r w:rsidR="002E3660">
        <w:rPr>
          <w:rFonts w:ascii="Gill Sans MT" w:hAnsi="Gill Sans MT"/>
          <w:color w:val="000000"/>
        </w:rPr>
        <w:t>,</w:t>
      </w:r>
      <w:r w:rsidR="00C71767">
        <w:rPr>
          <w:rFonts w:ascii="Gill Sans MT" w:hAnsi="Gill Sans MT"/>
          <w:color w:val="000000"/>
        </w:rPr>
        <w:t xml:space="preserve"> which have been democratically determined and entirely lawful from the outset</w:t>
      </w:r>
      <w:r w:rsidR="002E3660">
        <w:rPr>
          <w:rFonts w:ascii="Gill Sans MT" w:hAnsi="Gill Sans MT"/>
          <w:color w:val="000000"/>
        </w:rPr>
        <w:t>,</w:t>
      </w:r>
      <w:r w:rsidR="00C71767">
        <w:rPr>
          <w:rFonts w:ascii="Gill Sans MT" w:hAnsi="Gill Sans MT"/>
          <w:color w:val="000000"/>
        </w:rPr>
        <w:t xml:space="preserve"> is itself damaging to the public interest. This has been very visible in the succession of challenges engaging human rights claims by tobacco companies, alleging unjustified interference with their right to peaceful enjoyment of property, in response to increased regulation of their commercial activities through bans on advertising and restrictions on packaging.</w:t>
      </w:r>
      <w:r w:rsidR="00C71767">
        <w:rPr>
          <w:rStyle w:val="FootnoteReference"/>
          <w:rFonts w:ascii="Gill Sans MT" w:hAnsi="Gill Sans MT"/>
          <w:color w:val="000000"/>
        </w:rPr>
        <w:footnoteReference w:id="37"/>
      </w:r>
      <w:r w:rsidR="00DB0F7F">
        <w:rPr>
          <w:rFonts w:ascii="Gill Sans MT" w:hAnsi="Gill Sans MT"/>
          <w:color w:val="000000"/>
        </w:rPr>
        <w:t xml:space="preserve"> </w:t>
      </w:r>
      <w:r w:rsidR="003A3C64">
        <w:rPr>
          <w:rFonts w:ascii="Gill Sans MT" w:hAnsi="Gill Sans MT"/>
          <w:color w:val="000000"/>
        </w:rPr>
        <w:t>Yet</w:t>
      </w:r>
      <w:r w:rsidR="006D6CEC">
        <w:rPr>
          <w:rFonts w:ascii="Gill Sans MT" w:hAnsi="Gill Sans MT"/>
          <w:color w:val="000000"/>
        </w:rPr>
        <w:t>,</w:t>
      </w:r>
      <w:r w:rsidR="003A3C64">
        <w:rPr>
          <w:rFonts w:ascii="Gill Sans MT" w:hAnsi="Gill Sans MT"/>
          <w:color w:val="000000"/>
        </w:rPr>
        <w:t xml:space="preserve"> so superficially attractive are the claims of universal human rights protected by law, that we even see the emergence of a narrative where human rights law draws </w:t>
      </w:r>
      <w:r w:rsidR="00CD065E">
        <w:rPr>
          <w:rFonts w:ascii="Gill Sans MT" w:hAnsi="Gill Sans MT"/>
          <w:color w:val="000000"/>
        </w:rPr>
        <w:t>credit almost ma</w:t>
      </w:r>
      <w:r w:rsidR="003A3C64">
        <w:rPr>
          <w:rFonts w:ascii="Gill Sans MT" w:hAnsi="Gill Sans MT"/>
          <w:color w:val="000000"/>
        </w:rPr>
        <w:t xml:space="preserve">gnetically, in comparison with a politics which </w:t>
      </w:r>
      <w:r w:rsidR="00DB0F7F">
        <w:rPr>
          <w:rFonts w:ascii="Gill Sans MT" w:hAnsi="Gill Sans MT"/>
          <w:color w:val="000000"/>
        </w:rPr>
        <w:t>is caricatured as</w:t>
      </w:r>
      <w:r w:rsidR="003A3C64">
        <w:rPr>
          <w:rFonts w:ascii="Gill Sans MT" w:hAnsi="Gill Sans MT"/>
          <w:color w:val="000000"/>
        </w:rPr>
        <w:t xml:space="preserve"> obviously flawed.  </w:t>
      </w:r>
      <w:r w:rsidR="00DB0F7F">
        <w:rPr>
          <w:rFonts w:ascii="Gill Sans MT" w:hAnsi="Gill Sans MT"/>
          <w:color w:val="000000"/>
        </w:rPr>
        <w:t>For example, a</w:t>
      </w:r>
      <w:r w:rsidR="003A3C64">
        <w:rPr>
          <w:rFonts w:ascii="Gill Sans MT" w:hAnsi="Gill Sans MT"/>
          <w:color w:val="000000"/>
        </w:rPr>
        <w:t>ttempts to portray the justice eventually obtained by campaigners for the 96 Liverpool supporters killed in the 1989 Hillsborough football disaster as a triumph of human rights law are especially difficult to accept.</w:t>
      </w:r>
      <w:r w:rsidR="003A3C64">
        <w:rPr>
          <w:rStyle w:val="FootnoteReference"/>
          <w:rFonts w:ascii="Gill Sans MT" w:hAnsi="Gill Sans MT"/>
          <w:color w:val="000000"/>
        </w:rPr>
        <w:footnoteReference w:id="38"/>
      </w:r>
      <w:r w:rsidR="003A3C64">
        <w:rPr>
          <w:rFonts w:ascii="Gill Sans MT" w:hAnsi="Gill Sans MT"/>
          <w:color w:val="000000"/>
        </w:rPr>
        <w:t xml:space="preserve"> The persistent and pervasive failures of the justice system over decades compounded the injustice perpetrated in the aftermath of Hillsborough, and was only undone by sustained political action by the families of the 96 supporters, with the crucial breakthrough in obtaining new coroner’s inquests</w:t>
      </w:r>
      <w:r w:rsidR="00775CD5">
        <w:rPr>
          <w:rFonts w:ascii="Gill Sans MT" w:hAnsi="Gill Sans MT"/>
          <w:color w:val="000000"/>
        </w:rPr>
        <w:t xml:space="preserve"> into the circumstances of the disaster</w:t>
      </w:r>
      <w:r w:rsidR="003A3C64">
        <w:rPr>
          <w:rFonts w:ascii="Gill Sans MT" w:hAnsi="Gill Sans MT"/>
          <w:color w:val="000000"/>
        </w:rPr>
        <w:t xml:space="preserve"> delivered by the non-legal independent panel which reviewed </w:t>
      </w:r>
      <w:r w:rsidR="00775CD5">
        <w:rPr>
          <w:rFonts w:ascii="Gill Sans MT" w:hAnsi="Gill Sans MT"/>
          <w:color w:val="000000"/>
        </w:rPr>
        <w:t>and documented the official failings in a critical report.</w:t>
      </w:r>
      <w:r w:rsidR="00775CD5">
        <w:rPr>
          <w:rStyle w:val="FootnoteReference"/>
          <w:rFonts w:ascii="Gill Sans MT" w:hAnsi="Gill Sans MT"/>
          <w:color w:val="000000"/>
        </w:rPr>
        <w:footnoteReference w:id="39"/>
      </w:r>
      <w:r w:rsidR="003A3C64">
        <w:rPr>
          <w:rFonts w:ascii="Gill Sans MT" w:hAnsi="Gill Sans MT"/>
          <w:color w:val="000000"/>
        </w:rPr>
        <w:t xml:space="preserve"> </w:t>
      </w:r>
      <w:r w:rsidR="00BB2CCB">
        <w:rPr>
          <w:rFonts w:ascii="Gill Sans MT" w:hAnsi="Gill Sans MT"/>
          <w:color w:val="000000"/>
        </w:rPr>
        <w:t xml:space="preserve">And this is to say nothing of the difficulties </w:t>
      </w:r>
      <w:r w:rsidR="00BB2CCB">
        <w:rPr>
          <w:rStyle w:val="apple-converted-space"/>
          <w:rFonts w:ascii="Gill Sans MT" w:hAnsi="Gill Sans MT"/>
          <w:color w:val="000000"/>
        </w:rPr>
        <w:t xml:space="preserve">presented by </w:t>
      </w:r>
      <w:r w:rsidR="00CD065E">
        <w:rPr>
          <w:rFonts w:ascii="Gill Sans MT" w:hAnsi="Gill Sans MT"/>
          <w:color w:val="000000"/>
        </w:rPr>
        <w:t xml:space="preserve">models </w:t>
      </w:r>
      <w:r w:rsidR="00CD065E">
        <w:rPr>
          <w:rFonts w:ascii="Gill Sans MT" w:hAnsi="Gill Sans MT"/>
          <w:color w:val="000000"/>
        </w:rPr>
        <w:lastRenderedPageBreak/>
        <w:t xml:space="preserve">based on even greater empowerment </w:t>
      </w:r>
      <w:r w:rsidR="00A72910">
        <w:rPr>
          <w:rFonts w:ascii="Gill Sans MT" w:hAnsi="Gill Sans MT"/>
          <w:color w:val="000000"/>
        </w:rPr>
        <w:t>of the judiciary for the</w:t>
      </w:r>
      <w:r w:rsidR="00BB2CCB">
        <w:rPr>
          <w:rFonts w:ascii="Gill Sans MT" w:hAnsi="Gill Sans MT"/>
          <w:color w:val="000000"/>
        </w:rPr>
        <w:t xml:space="preserve"> protection of fundamental rights</w:t>
      </w:r>
      <w:r w:rsidR="00A72910">
        <w:rPr>
          <w:rFonts w:ascii="Gill Sans MT" w:hAnsi="Gill Sans MT"/>
          <w:color w:val="000000"/>
        </w:rPr>
        <w:t xml:space="preserve">, most influentially </w:t>
      </w:r>
      <w:r w:rsidR="00DB0F7F">
        <w:rPr>
          <w:rFonts w:ascii="Gill Sans MT" w:hAnsi="Gill Sans MT"/>
          <w:color w:val="000000"/>
        </w:rPr>
        <w:t>in the system</w:t>
      </w:r>
      <w:r w:rsidR="00A72910">
        <w:rPr>
          <w:rFonts w:ascii="Gill Sans MT" w:hAnsi="Gill Sans MT"/>
          <w:color w:val="000000"/>
        </w:rPr>
        <w:t xml:space="preserve"> pioneered in the United States of America,</w:t>
      </w:r>
      <w:r w:rsidR="00A72910">
        <w:rPr>
          <w:rStyle w:val="FootnoteReference"/>
          <w:rFonts w:ascii="Gill Sans MT" w:hAnsi="Gill Sans MT"/>
          <w:color w:val="000000"/>
        </w:rPr>
        <w:footnoteReference w:id="40"/>
      </w:r>
      <w:r w:rsidR="00A72910">
        <w:rPr>
          <w:rFonts w:ascii="Gill Sans MT" w:hAnsi="Gill Sans MT"/>
          <w:color w:val="000000"/>
        </w:rPr>
        <w:t xml:space="preserve"> but also across a range of democratic states.</w:t>
      </w:r>
      <w:r w:rsidR="00A72910">
        <w:rPr>
          <w:rStyle w:val="FootnoteReference"/>
          <w:rFonts w:ascii="Gill Sans MT" w:hAnsi="Gill Sans MT"/>
          <w:color w:val="000000"/>
        </w:rPr>
        <w:footnoteReference w:id="41"/>
      </w:r>
    </w:p>
    <w:p w14:paraId="7B4C1438" w14:textId="1EB09212" w:rsidR="00494D6E" w:rsidRDefault="00E036F2" w:rsidP="00C76FDF">
      <w:pPr>
        <w:pStyle w:val="NoSpacing"/>
        <w:ind w:firstLine="720"/>
        <w:jc w:val="both"/>
        <w:rPr>
          <w:rFonts w:ascii="Gill Sans MT" w:hAnsi="Gill Sans MT"/>
        </w:rPr>
      </w:pPr>
      <w:r>
        <w:rPr>
          <w:rFonts w:ascii="Gill Sans MT" w:hAnsi="Gill Sans MT"/>
          <w:color w:val="000000"/>
        </w:rPr>
        <w:t>In such circumstances, a binary, simplified, outcome</w:t>
      </w:r>
      <w:r w:rsidR="00D77831">
        <w:rPr>
          <w:rFonts w:ascii="Gill Sans MT" w:hAnsi="Gill Sans MT"/>
          <w:color w:val="000000"/>
        </w:rPr>
        <w:t>-</w:t>
      </w:r>
      <w:r>
        <w:rPr>
          <w:rFonts w:ascii="Gill Sans MT" w:hAnsi="Gill Sans MT"/>
          <w:color w:val="000000"/>
        </w:rPr>
        <w:t xml:space="preserve">oriented </w:t>
      </w:r>
      <w:r w:rsidR="00EB2AC3">
        <w:rPr>
          <w:rFonts w:ascii="Gill Sans MT" w:hAnsi="Gill Sans MT"/>
          <w:color w:val="000000"/>
        </w:rPr>
        <w:t xml:space="preserve">approach to human rights law can be seen to provide a fundamentally inadequate basis for public debate in this area. It is </w:t>
      </w:r>
      <w:r w:rsidR="000E6801">
        <w:rPr>
          <w:rFonts w:ascii="Gill Sans MT" w:hAnsi="Gill Sans MT"/>
          <w:color w:val="000000"/>
        </w:rPr>
        <w:t>a matter for great regret</w:t>
      </w:r>
      <w:r w:rsidR="00EB2AC3">
        <w:rPr>
          <w:rFonts w:ascii="Gill Sans MT" w:hAnsi="Gill Sans MT"/>
          <w:color w:val="000000"/>
        </w:rPr>
        <w:t xml:space="preserve"> that </w:t>
      </w:r>
      <w:r w:rsidR="00EB2AC3">
        <w:rPr>
          <w:rFonts w:ascii="Gill Sans MT" w:eastAsia="Times New Roman" w:hAnsi="Gill Sans MT"/>
        </w:rPr>
        <w:t>media</w:t>
      </w:r>
      <w:r w:rsidR="00EB2AC3" w:rsidRPr="009C62B7">
        <w:rPr>
          <w:rFonts w:ascii="Gill Sans MT" w:eastAsia="Times New Roman" w:hAnsi="Gill Sans MT"/>
        </w:rPr>
        <w:t xml:space="preserve"> </w:t>
      </w:r>
      <w:r w:rsidR="00EB2AC3">
        <w:rPr>
          <w:rFonts w:ascii="Gill Sans MT" w:eastAsia="Times New Roman" w:hAnsi="Gill Sans MT"/>
        </w:rPr>
        <w:t xml:space="preserve">representations </w:t>
      </w:r>
      <w:proofErr w:type="gramStart"/>
      <w:r w:rsidR="00EB2AC3">
        <w:rPr>
          <w:rFonts w:ascii="Gill Sans MT" w:eastAsia="Times New Roman" w:hAnsi="Gill Sans MT"/>
        </w:rPr>
        <w:t>reflect</w:t>
      </w:r>
      <w:r w:rsidR="00EB2AC3" w:rsidRPr="009C62B7">
        <w:rPr>
          <w:rFonts w:ascii="Gill Sans MT" w:eastAsia="Times New Roman" w:hAnsi="Gill Sans MT"/>
        </w:rPr>
        <w:t xml:space="preserve"> back</w:t>
      </w:r>
      <w:proofErr w:type="gramEnd"/>
      <w:r w:rsidR="00EB2AC3">
        <w:rPr>
          <w:rFonts w:ascii="Gill Sans MT" w:eastAsia="Times New Roman" w:hAnsi="Gill Sans MT"/>
        </w:rPr>
        <w:t xml:space="preserve"> </w:t>
      </w:r>
      <w:r w:rsidR="00C76FDF">
        <w:rPr>
          <w:rFonts w:ascii="Gill Sans MT" w:eastAsia="Times New Roman" w:hAnsi="Gill Sans MT"/>
        </w:rPr>
        <w:t>this framing of</w:t>
      </w:r>
      <w:r w:rsidR="00EB2AC3" w:rsidRPr="009C62B7">
        <w:rPr>
          <w:rFonts w:ascii="Gill Sans MT" w:eastAsia="Times New Roman" w:hAnsi="Gill Sans MT"/>
        </w:rPr>
        <w:t xml:space="preserve"> </w:t>
      </w:r>
      <w:r w:rsidR="00EB2AC3">
        <w:rPr>
          <w:rFonts w:ascii="Gill Sans MT" w:eastAsia="Times New Roman" w:hAnsi="Gill Sans MT"/>
        </w:rPr>
        <w:t>human rights</w:t>
      </w:r>
      <w:r w:rsidR="00EB2AC3" w:rsidRPr="009C62B7">
        <w:rPr>
          <w:rFonts w:ascii="Gill Sans MT" w:eastAsia="Times New Roman" w:hAnsi="Gill Sans MT"/>
        </w:rPr>
        <w:t xml:space="preserve"> law,</w:t>
      </w:r>
      <w:r w:rsidR="00EB2AC3">
        <w:rPr>
          <w:rFonts w:ascii="Gill Sans MT" w:hAnsi="Gill Sans MT"/>
          <w:color w:val="000000"/>
        </w:rPr>
        <w:t xml:space="preserve"> yet it is also </w:t>
      </w:r>
      <w:r w:rsidR="0093368A">
        <w:rPr>
          <w:rFonts w:ascii="Gill Sans MT" w:eastAsia="Times New Roman" w:hAnsi="Gill Sans MT"/>
        </w:rPr>
        <w:t xml:space="preserve">understandable, given </w:t>
      </w:r>
      <w:r w:rsidR="00C76FDF">
        <w:rPr>
          <w:rFonts w:ascii="Gill Sans MT" w:eastAsia="Times New Roman" w:hAnsi="Gill Sans MT"/>
        </w:rPr>
        <w:t>its</w:t>
      </w:r>
      <w:r w:rsidR="0093368A">
        <w:rPr>
          <w:rFonts w:ascii="Gill Sans MT" w:eastAsia="Times New Roman" w:hAnsi="Gill Sans MT"/>
        </w:rPr>
        <w:t xml:space="preserve"> deep rooting in the structures of legal r</w:t>
      </w:r>
      <w:r w:rsidR="000E6801">
        <w:rPr>
          <w:rFonts w:ascii="Gill Sans MT" w:eastAsia="Times New Roman" w:hAnsi="Gill Sans MT"/>
        </w:rPr>
        <w:t>ights protection. Yet perhaps an even</w:t>
      </w:r>
      <w:r w:rsidR="0093368A">
        <w:rPr>
          <w:rFonts w:ascii="Gill Sans MT" w:eastAsia="Times New Roman" w:hAnsi="Gill Sans MT"/>
        </w:rPr>
        <w:t xml:space="preserve"> greater </w:t>
      </w:r>
      <w:r w:rsidR="000E6801">
        <w:rPr>
          <w:rFonts w:ascii="Gill Sans MT" w:eastAsia="Times New Roman" w:hAnsi="Gill Sans MT"/>
        </w:rPr>
        <w:t xml:space="preserve">cause for concern is that if </w:t>
      </w:r>
      <w:r w:rsidR="0093368A">
        <w:rPr>
          <w:rFonts w:ascii="Gill Sans MT" w:eastAsia="Times New Roman" w:hAnsi="Gill Sans MT"/>
        </w:rPr>
        <w:t xml:space="preserve">human rights law </w:t>
      </w:r>
      <w:r w:rsidR="000E6801">
        <w:rPr>
          <w:rFonts w:ascii="Gill Sans MT" w:eastAsia="Times New Roman" w:hAnsi="Gill Sans MT"/>
        </w:rPr>
        <w:t>continues to be represented in this way in the media, there is</w:t>
      </w:r>
      <w:r w:rsidR="0093368A">
        <w:rPr>
          <w:rFonts w:ascii="Gill Sans MT" w:eastAsia="Times New Roman" w:hAnsi="Gill Sans MT"/>
        </w:rPr>
        <w:t xml:space="preserve"> the</w:t>
      </w:r>
      <w:r w:rsidR="00557915" w:rsidRPr="009C62B7">
        <w:rPr>
          <w:rFonts w:ascii="Gill Sans MT" w:eastAsia="Times New Roman" w:hAnsi="Gill Sans MT"/>
        </w:rPr>
        <w:t xml:space="preserve"> potential</w:t>
      </w:r>
      <w:r w:rsidR="00A1573B">
        <w:rPr>
          <w:rFonts w:ascii="Gill Sans MT" w:eastAsia="Times New Roman" w:hAnsi="Gill Sans MT"/>
        </w:rPr>
        <w:t xml:space="preserve"> for it</w:t>
      </w:r>
      <w:r w:rsidR="00557915" w:rsidRPr="009C62B7">
        <w:rPr>
          <w:rFonts w:ascii="Gill Sans MT" w:eastAsia="Times New Roman" w:hAnsi="Gill Sans MT"/>
        </w:rPr>
        <w:t xml:space="preserve"> to shape public discourse </w:t>
      </w:r>
      <w:r w:rsidR="000E6801">
        <w:rPr>
          <w:rFonts w:ascii="Gill Sans MT" w:eastAsia="Times New Roman" w:hAnsi="Gill Sans MT"/>
        </w:rPr>
        <w:t xml:space="preserve">in a way which not only locks in this binary, ends-focused framing, but may simultaneously serve to lock out democratic scepticism about the processes of the legal systems of human rights protection.  How </w:t>
      </w:r>
      <w:r w:rsidR="00C76FDF">
        <w:rPr>
          <w:rFonts w:ascii="Gill Sans MT" w:eastAsia="Times New Roman" w:hAnsi="Gill Sans MT"/>
        </w:rPr>
        <w:t>far it may be possible to prevent the exclusion of such scepticism about the functioning of the structures and institutions of human rights law – if it is possible at all – will be considered in the next section.</w:t>
      </w:r>
    </w:p>
    <w:p w14:paraId="30B09DC2" w14:textId="77777777" w:rsidR="00011D3A" w:rsidRDefault="00011D3A" w:rsidP="00A525D9">
      <w:pPr>
        <w:pStyle w:val="NoSpacing"/>
        <w:rPr>
          <w:rFonts w:ascii="Gill Sans MT" w:hAnsi="Gill Sans MT"/>
        </w:rPr>
      </w:pPr>
    </w:p>
    <w:p w14:paraId="02A0E73C" w14:textId="77777777" w:rsidR="001B51DA" w:rsidRPr="00530B9F" w:rsidRDefault="00D60903" w:rsidP="00A525D9">
      <w:pPr>
        <w:pStyle w:val="NoSpacing"/>
        <w:rPr>
          <w:rFonts w:ascii="Gill Sans MT" w:hAnsi="Gill Sans MT"/>
          <w:i/>
          <w:u w:val="single"/>
        </w:rPr>
      </w:pPr>
      <w:r>
        <w:rPr>
          <w:rFonts w:ascii="Gill Sans MT" w:hAnsi="Gill Sans MT"/>
          <w:i/>
          <w:u w:val="single"/>
        </w:rPr>
        <w:t>Locking Out Democratic Scepticism About Human Rights</w:t>
      </w:r>
    </w:p>
    <w:p w14:paraId="71D38E68" w14:textId="77777777" w:rsidR="001B51DA" w:rsidRDefault="001B51DA" w:rsidP="00A525D9">
      <w:pPr>
        <w:pStyle w:val="NoSpacing"/>
        <w:rPr>
          <w:rFonts w:ascii="Gill Sans MT" w:hAnsi="Gill Sans MT"/>
        </w:rPr>
      </w:pPr>
    </w:p>
    <w:p w14:paraId="5C0B3307" w14:textId="0EF4ADC4" w:rsidR="00BB32F5" w:rsidRDefault="00B76EFA" w:rsidP="00BB32F5">
      <w:pPr>
        <w:pStyle w:val="NoSpacing"/>
        <w:jc w:val="both"/>
        <w:rPr>
          <w:rFonts w:ascii="Gill Sans MT" w:hAnsi="Gill Sans MT"/>
        </w:rPr>
      </w:pPr>
      <w:r>
        <w:rPr>
          <w:rFonts w:ascii="Gill Sans MT" w:hAnsi="Gill Sans MT"/>
        </w:rPr>
        <w:t>The previous section identified a</w:t>
      </w:r>
      <w:r w:rsidR="00D60903">
        <w:rPr>
          <w:rFonts w:ascii="Gill Sans MT" w:hAnsi="Gill Sans MT"/>
        </w:rPr>
        <w:t xml:space="preserve"> range of reason</w:t>
      </w:r>
      <w:r>
        <w:rPr>
          <w:rFonts w:ascii="Gill Sans MT" w:hAnsi="Gill Sans MT"/>
        </w:rPr>
        <w:t>s</w:t>
      </w:r>
      <w:r w:rsidR="00D60903">
        <w:rPr>
          <w:rFonts w:ascii="Gill Sans MT" w:hAnsi="Gill Sans MT"/>
        </w:rPr>
        <w:t xml:space="preserve"> for scepticism about the operation of human rights law in a democratic society. </w:t>
      </w:r>
      <w:r w:rsidR="003C0277">
        <w:rPr>
          <w:rFonts w:ascii="Gill Sans MT" w:hAnsi="Gill Sans MT"/>
        </w:rPr>
        <w:t>Human rights law</w:t>
      </w:r>
      <w:r w:rsidR="00D60903">
        <w:rPr>
          <w:rFonts w:ascii="Gill Sans MT" w:hAnsi="Gill Sans MT"/>
        </w:rPr>
        <w:t xml:space="preserve"> empowers non-democratic (legal) actors,</w:t>
      </w:r>
      <w:r w:rsidR="003C0277">
        <w:rPr>
          <w:rStyle w:val="FootnoteReference"/>
          <w:rFonts w:ascii="Gill Sans MT" w:hAnsi="Gill Sans MT"/>
        </w:rPr>
        <w:footnoteReference w:id="42"/>
      </w:r>
      <w:r w:rsidR="00D60903">
        <w:rPr>
          <w:rFonts w:ascii="Gill Sans MT" w:hAnsi="Gill Sans MT"/>
        </w:rPr>
        <w:t xml:space="preserve"> can legalise the operation of politics, entrench individualism at the expense of collectivism, capture and narrow the terms of moral argument, while failing to fulfil its hollow promises about the ability of </w:t>
      </w:r>
      <w:r w:rsidR="00871448">
        <w:rPr>
          <w:rFonts w:ascii="Gill Sans MT" w:hAnsi="Gill Sans MT"/>
        </w:rPr>
        <w:t>such legal mechanisms</w:t>
      </w:r>
      <w:r w:rsidR="00D60903">
        <w:rPr>
          <w:rFonts w:ascii="Gill Sans MT" w:hAnsi="Gill Sans MT"/>
        </w:rPr>
        <w:t xml:space="preserve"> to establish a just st</w:t>
      </w:r>
      <w:r w:rsidR="0021356A">
        <w:rPr>
          <w:rFonts w:ascii="Gill Sans MT" w:hAnsi="Gill Sans MT"/>
        </w:rPr>
        <w:t>ate of affairs in a community. Yet these grounds for scepticism are not reflected in debate about media representations of human rights law, which is framed around binary ideas of a ‘Good’ and ‘Bad’ press, and a conception of the rule of law which promotes absolute ideas of legality. This paper has suggested that this may not be surprising, for the instrumentalism associated with such representations of human rights law originates at the</w:t>
      </w:r>
      <w:r w:rsidR="00174E4D">
        <w:rPr>
          <w:rFonts w:ascii="Gill Sans MT" w:hAnsi="Gill Sans MT"/>
        </w:rPr>
        <w:t xml:space="preserve"> very</w:t>
      </w:r>
      <w:r w:rsidR="0021356A">
        <w:rPr>
          <w:rFonts w:ascii="Gill Sans MT" w:hAnsi="Gill Sans MT"/>
        </w:rPr>
        <w:t xml:space="preserve"> heart of the legal structures for the protection of human rights. The outcome orientation of human rights law – with a focus on the legality of the ends of policy, rather than </w:t>
      </w:r>
      <w:proofErr w:type="gramStart"/>
      <w:r w:rsidR="0021356A">
        <w:rPr>
          <w:rFonts w:ascii="Gill Sans MT" w:hAnsi="Gill Sans MT"/>
        </w:rPr>
        <w:t>the means by which</w:t>
      </w:r>
      <w:proofErr w:type="gramEnd"/>
      <w:r w:rsidR="0021356A">
        <w:rPr>
          <w:rFonts w:ascii="Gill Sans MT" w:hAnsi="Gill Sans MT"/>
        </w:rPr>
        <w:t xml:space="preserve"> policy decisions are reached – is reflected both in the representation of human rights in the media, and in the debate about the quality or veracity of those representations.</w:t>
      </w:r>
    </w:p>
    <w:p w14:paraId="34B17F11" w14:textId="17750A34" w:rsidR="00BB32F5" w:rsidRDefault="00BB32F5" w:rsidP="00DF7A36">
      <w:pPr>
        <w:pStyle w:val="NoSpacing"/>
        <w:ind w:firstLine="720"/>
        <w:jc w:val="both"/>
        <w:rPr>
          <w:rFonts w:ascii="Gill Sans MT" w:hAnsi="Gill Sans MT"/>
        </w:rPr>
      </w:pPr>
      <w:r>
        <w:rPr>
          <w:rFonts w:ascii="Gill Sans MT" w:hAnsi="Gill Sans MT"/>
        </w:rPr>
        <w:t xml:space="preserve">But there is a further concern which has the potential to flow from this position. There is a danger that the inevitable reflection of the instrumental nature of legal human rights in media representations becomes more than simply a reflection. If public discourse is influenced </w:t>
      </w:r>
      <w:proofErr w:type="gramStart"/>
      <w:r w:rsidR="00742563">
        <w:rPr>
          <w:rFonts w:ascii="Gill Sans MT" w:hAnsi="Gill Sans MT"/>
        </w:rPr>
        <w:t xml:space="preserve">so </w:t>
      </w:r>
      <w:r>
        <w:rPr>
          <w:rFonts w:ascii="Gill Sans MT" w:hAnsi="Gill Sans MT"/>
        </w:rPr>
        <w:t>as to</w:t>
      </w:r>
      <w:proofErr w:type="gramEnd"/>
      <w:r>
        <w:rPr>
          <w:rFonts w:ascii="Gill Sans MT" w:hAnsi="Gill Sans MT"/>
        </w:rPr>
        <w:t xml:space="preserve"> shift away </w:t>
      </w:r>
      <w:r w:rsidR="00422F2D">
        <w:rPr>
          <w:rFonts w:ascii="Gill Sans MT" w:hAnsi="Gill Sans MT"/>
        </w:rPr>
        <w:t xml:space="preserve">conclusively </w:t>
      </w:r>
      <w:r>
        <w:rPr>
          <w:rFonts w:ascii="Gill Sans MT" w:hAnsi="Gill Sans MT"/>
        </w:rPr>
        <w:t xml:space="preserve">from the idea that </w:t>
      </w:r>
      <w:r w:rsidR="00422F2D">
        <w:rPr>
          <w:rFonts w:ascii="Gill Sans MT" w:hAnsi="Gill Sans MT"/>
        </w:rPr>
        <w:t xml:space="preserve">fundamental </w:t>
      </w:r>
      <w:r>
        <w:rPr>
          <w:rFonts w:ascii="Gill Sans MT" w:hAnsi="Gill Sans MT"/>
        </w:rPr>
        <w:t>rights are instruments</w:t>
      </w:r>
      <w:r w:rsidR="00422F2D">
        <w:rPr>
          <w:rFonts w:ascii="Gill Sans MT" w:hAnsi="Gill Sans MT"/>
        </w:rPr>
        <w:t>,</w:t>
      </w:r>
      <w:r>
        <w:rPr>
          <w:rFonts w:ascii="Gill Sans MT" w:hAnsi="Gill Sans MT"/>
        </w:rPr>
        <w:t xml:space="preserve"> to a conception of </w:t>
      </w:r>
      <w:r w:rsidR="00422F2D">
        <w:rPr>
          <w:rFonts w:ascii="Gill Sans MT" w:hAnsi="Gill Sans MT"/>
        </w:rPr>
        <w:t>legality</w:t>
      </w:r>
      <w:r>
        <w:rPr>
          <w:rFonts w:ascii="Gill Sans MT" w:hAnsi="Gill Sans MT"/>
        </w:rPr>
        <w:t xml:space="preserve"> which is</w:t>
      </w:r>
      <w:r w:rsidR="00422F2D">
        <w:rPr>
          <w:rFonts w:ascii="Gill Sans MT" w:hAnsi="Gill Sans MT"/>
        </w:rPr>
        <w:t xml:space="preserve"> absolute, singular, </w:t>
      </w:r>
      <w:r>
        <w:rPr>
          <w:rFonts w:ascii="Gill Sans MT" w:hAnsi="Gill Sans MT"/>
        </w:rPr>
        <w:t>and laden</w:t>
      </w:r>
      <w:r w:rsidR="00422F2D">
        <w:rPr>
          <w:rFonts w:ascii="Gill Sans MT" w:hAnsi="Gill Sans MT"/>
        </w:rPr>
        <w:t xml:space="preserve"> with morality</w:t>
      </w:r>
      <w:r>
        <w:rPr>
          <w:rFonts w:ascii="Gill Sans MT" w:hAnsi="Gill Sans MT"/>
        </w:rPr>
        <w:t xml:space="preserve">, </w:t>
      </w:r>
      <w:r w:rsidR="00422F2D">
        <w:rPr>
          <w:rFonts w:ascii="Gill Sans MT" w:hAnsi="Gill Sans MT"/>
        </w:rPr>
        <w:t>there is a risk</w:t>
      </w:r>
      <w:r>
        <w:rPr>
          <w:rFonts w:ascii="Gill Sans MT" w:hAnsi="Gill Sans MT"/>
        </w:rPr>
        <w:t xml:space="preserve"> that </w:t>
      </w:r>
      <w:r w:rsidR="00422F2D">
        <w:rPr>
          <w:rFonts w:ascii="Gill Sans MT" w:hAnsi="Gill Sans MT"/>
        </w:rPr>
        <w:t>the real character of human rights law</w:t>
      </w:r>
      <w:r w:rsidR="006B585C">
        <w:rPr>
          <w:rFonts w:ascii="Gill Sans MT" w:hAnsi="Gill Sans MT"/>
        </w:rPr>
        <w:t xml:space="preserve"> becomes concealed, and </w:t>
      </w:r>
      <w:r w:rsidR="00BC7A73">
        <w:rPr>
          <w:rFonts w:ascii="Gill Sans MT" w:hAnsi="Gill Sans MT"/>
        </w:rPr>
        <w:t>an outcome focused</w:t>
      </w:r>
      <w:r w:rsidR="006B585C">
        <w:rPr>
          <w:rFonts w:ascii="Gill Sans MT" w:hAnsi="Gill Sans MT"/>
        </w:rPr>
        <w:t xml:space="preserve"> understanding potentially</w:t>
      </w:r>
      <w:r w:rsidR="00BC7A73">
        <w:rPr>
          <w:rFonts w:ascii="Gill Sans MT" w:hAnsi="Gill Sans MT"/>
        </w:rPr>
        <w:t xml:space="preserve"> becomes</w:t>
      </w:r>
      <w:r w:rsidR="006B585C">
        <w:rPr>
          <w:rFonts w:ascii="Gill Sans MT" w:hAnsi="Gill Sans MT"/>
        </w:rPr>
        <w:t xml:space="preserve"> locked in. If debates about human rights continue to be framed in binary terms, oriented to </w:t>
      </w:r>
      <w:r w:rsidR="00845671">
        <w:rPr>
          <w:rFonts w:ascii="Gill Sans MT" w:hAnsi="Gill Sans MT"/>
        </w:rPr>
        <w:t xml:space="preserve">the </w:t>
      </w:r>
      <w:r w:rsidR="006B585C">
        <w:rPr>
          <w:rFonts w:ascii="Gill Sans MT" w:hAnsi="Gill Sans MT"/>
        </w:rPr>
        <w:t>ends of legal processes rather than the nature of those processes themselves, this may leave</w:t>
      </w:r>
      <w:r>
        <w:rPr>
          <w:rFonts w:ascii="Gill Sans MT" w:hAnsi="Gill Sans MT"/>
        </w:rPr>
        <w:t xml:space="preserve"> even less space for legitimate critique of human rights instrumentalism than exists at present. </w:t>
      </w:r>
      <w:r w:rsidR="006B585C">
        <w:rPr>
          <w:rFonts w:ascii="Gill Sans MT" w:hAnsi="Gill Sans MT"/>
        </w:rPr>
        <w:t xml:space="preserve">And if media representations serve to reinforce and entrench this vision of human rights law further and further, as the </w:t>
      </w:r>
      <w:r w:rsidR="000D7AFE">
        <w:rPr>
          <w:rFonts w:ascii="Gill Sans MT" w:hAnsi="Gill Sans MT"/>
        </w:rPr>
        <w:t xml:space="preserve">dominance of this outcome focused paradigm becomes locked in, the potential for critique of the means, structures, and systems of this form of legal protection could become locked out. </w:t>
      </w:r>
      <w:r>
        <w:rPr>
          <w:rFonts w:ascii="Gill Sans MT" w:hAnsi="Gill Sans MT"/>
        </w:rPr>
        <w:t xml:space="preserve">Ultimately, and paradoxically, </w:t>
      </w:r>
      <w:r w:rsidR="00174E4D">
        <w:rPr>
          <w:rFonts w:ascii="Gill Sans MT" w:hAnsi="Gill Sans MT"/>
        </w:rPr>
        <w:t xml:space="preserve">the </w:t>
      </w:r>
      <w:proofErr w:type="spellStart"/>
      <w:r>
        <w:rPr>
          <w:rFonts w:ascii="Gill Sans MT" w:hAnsi="Gill Sans MT"/>
        </w:rPr>
        <w:t>i</w:t>
      </w:r>
      <w:r w:rsidRPr="00565725">
        <w:rPr>
          <w:rFonts w:ascii="Gill Sans MT" w:hAnsi="Gill Sans MT"/>
          <w:color w:val="000000"/>
        </w:rPr>
        <w:t>n</w:t>
      </w:r>
      <w:r w:rsidR="0071562A">
        <w:rPr>
          <w:rFonts w:ascii="Gill Sans MT" w:hAnsi="Gill Sans MT"/>
          <w:color w:val="000000"/>
        </w:rPr>
        <w:t>s</w:t>
      </w:r>
      <w:r w:rsidRPr="00565725">
        <w:rPr>
          <w:rFonts w:ascii="Gill Sans MT" w:hAnsi="Gill Sans MT"/>
          <w:color w:val="000000"/>
        </w:rPr>
        <w:t>trumentalisation</w:t>
      </w:r>
      <w:proofErr w:type="spellEnd"/>
      <w:r w:rsidRPr="00565725">
        <w:rPr>
          <w:rFonts w:ascii="Gill Sans MT" w:hAnsi="Gill Sans MT"/>
          <w:color w:val="000000"/>
        </w:rPr>
        <w:t xml:space="preserve"> of law </w:t>
      </w:r>
      <w:r w:rsidR="00174E4D">
        <w:rPr>
          <w:rFonts w:ascii="Gill Sans MT" w:hAnsi="Gill Sans MT"/>
          <w:color w:val="000000"/>
        </w:rPr>
        <w:t>through</w:t>
      </w:r>
      <w:r w:rsidRPr="00565725">
        <w:rPr>
          <w:rFonts w:ascii="Gill Sans MT" w:hAnsi="Gill Sans MT"/>
          <w:color w:val="000000"/>
        </w:rPr>
        <w:t xml:space="preserve"> </w:t>
      </w:r>
      <w:r>
        <w:rPr>
          <w:rFonts w:ascii="Gill Sans MT" w:hAnsi="Gill Sans MT"/>
          <w:color w:val="000000"/>
        </w:rPr>
        <w:t xml:space="preserve">human rights </w:t>
      </w:r>
      <w:r w:rsidR="004F5297">
        <w:rPr>
          <w:rFonts w:ascii="Gill Sans MT" w:hAnsi="Gill Sans MT"/>
          <w:color w:val="000000"/>
        </w:rPr>
        <w:t xml:space="preserve">therefore </w:t>
      </w:r>
      <w:r>
        <w:rPr>
          <w:rFonts w:ascii="Gill Sans MT" w:hAnsi="Gill Sans MT"/>
          <w:color w:val="000000"/>
        </w:rPr>
        <w:t>has the potential</w:t>
      </w:r>
      <w:r w:rsidRPr="00565725">
        <w:rPr>
          <w:rFonts w:ascii="Gill Sans MT" w:hAnsi="Gill Sans MT"/>
          <w:color w:val="000000"/>
        </w:rPr>
        <w:t xml:space="preserve"> to disguise the fact that the law itself is an instrument, the tool of political, social and economic actors, rather some inherent repository of benevolent values</w:t>
      </w:r>
      <w:r w:rsidR="00FD7885">
        <w:rPr>
          <w:rStyle w:val="apple-converted-space"/>
          <w:rFonts w:ascii="Gill Sans MT" w:hAnsi="Gill Sans MT"/>
          <w:color w:val="000000"/>
        </w:rPr>
        <w:t>.</w:t>
      </w:r>
    </w:p>
    <w:p w14:paraId="18647BC1" w14:textId="1DA162CF" w:rsidR="00473156" w:rsidRDefault="0021356A" w:rsidP="00473156">
      <w:pPr>
        <w:pStyle w:val="NoSpacing"/>
        <w:jc w:val="both"/>
        <w:rPr>
          <w:rFonts w:ascii="Gill Sans MT" w:hAnsi="Gill Sans MT"/>
        </w:rPr>
      </w:pPr>
      <w:r>
        <w:rPr>
          <w:rFonts w:ascii="Gill Sans MT" w:hAnsi="Gill Sans MT"/>
        </w:rPr>
        <w:lastRenderedPageBreak/>
        <w:tab/>
        <w:t xml:space="preserve">How, then, might we respond to this position? </w:t>
      </w:r>
      <w:r w:rsidR="00B76EFA">
        <w:rPr>
          <w:rFonts w:ascii="Gill Sans MT" w:hAnsi="Gill Sans MT"/>
        </w:rPr>
        <w:t xml:space="preserve">Can the press (‘Good’, ‘Bad’ or indifferent) respond in ways which meet this objection? </w:t>
      </w:r>
      <w:r>
        <w:rPr>
          <w:rFonts w:ascii="Gill Sans MT" w:hAnsi="Gill Sans MT"/>
        </w:rPr>
        <w:t xml:space="preserve">Can </w:t>
      </w:r>
      <w:r w:rsidR="00780346">
        <w:rPr>
          <w:rFonts w:ascii="Gill Sans MT" w:hAnsi="Gill Sans MT"/>
        </w:rPr>
        <w:t>instrumentalism</w:t>
      </w:r>
      <w:r>
        <w:rPr>
          <w:rFonts w:ascii="Gill Sans MT" w:hAnsi="Gill Sans MT"/>
        </w:rPr>
        <w:t xml:space="preserve"> be avoided</w:t>
      </w:r>
      <w:r w:rsidR="00780346">
        <w:rPr>
          <w:rFonts w:ascii="Gill Sans MT" w:hAnsi="Gill Sans MT"/>
        </w:rPr>
        <w:t>, whether by</w:t>
      </w:r>
      <w:r w:rsidR="004F5297">
        <w:rPr>
          <w:rFonts w:ascii="Gill Sans MT" w:hAnsi="Gill Sans MT"/>
        </w:rPr>
        <w:t xml:space="preserve"> the</w:t>
      </w:r>
      <w:r w:rsidR="00780346">
        <w:rPr>
          <w:rFonts w:ascii="Gill Sans MT" w:hAnsi="Gill Sans MT"/>
        </w:rPr>
        <w:t xml:space="preserve"> media or</w:t>
      </w:r>
      <w:r w:rsidR="00B76EFA">
        <w:rPr>
          <w:rFonts w:ascii="Gill Sans MT" w:hAnsi="Gill Sans MT"/>
        </w:rPr>
        <w:t xml:space="preserve"> other actors engaged in public debate about the use and utility of systems for the legal protection of human rights</w:t>
      </w:r>
      <w:r>
        <w:rPr>
          <w:rFonts w:ascii="Gill Sans MT" w:hAnsi="Gill Sans MT"/>
        </w:rPr>
        <w:t>? Is it inevitable that democratic scepticism will be locked out</w:t>
      </w:r>
      <w:r w:rsidR="00485B45">
        <w:rPr>
          <w:rFonts w:ascii="Gill Sans MT" w:hAnsi="Gill Sans MT"/>
        </w:rPr>
        <w:t xml:space="preserve"> </w:t>
      </w:r>
      <w:r w:rsidR="004F5297">
        <w:rPr>
          <w:rFonts w:ascii="Gill Sans MT" w:hAnsi="Gill Sans MT"/>
        </w:rPr>
        <w:t>in the way considered above</w:t>
      </w:r>
      <w:r>
        <w:rPr>
          <w:rFonts w:ascii="Gill Sans MT" w:hAnsi="Gill Sans MT"/>
        </w:rPr>
        <w:t xml:space="preserve">? </w:t>
      </w:r>
      <w:r w:rsidR="004F5297">
        <w:rPr>
          <w:rFonts w:ascii="Gill Sans MT" w:hAnsi="Gill Sans MT"/>
        </w:rPr>
        <w:t>There are n</w:t>
      </w:r>
      <w:r w:rsidR="007671C2">
        <w:rPr>
          <w:rFonts w:ascii="Gill Sans MT" w:hAnsi="Gill Sans MT"/>
        </w:rPr>
        <w:t>o easy answers</w:t>
      </w:r>
      <w:r w:rsidR="004F5297">
        <w:rPr>
          <w:rFonts w:ascii="Gill Sans MT" w:hAnsi="Gill Sans MT"/>
        </w:rPr>
        <w:t xml:space="preserve"> to these questions, and</w:t>
      </w:r>
      <w:r w:rsidR="00445E9E">
        <w:rPr>
          <w:rFonts w:ascii="Gill Sans MT" w:hAnsi="Gill Sans MT"/>
        </w:rPr>
        <w:t xml:space="preserve"> the difficulty for the media is clear: whatever we may think of the desirability of a legal culture framed around the concept of human rights, it</w:t>
      </w:r>
      <w:r w:rsidR="009D0460">
        <w:rPr>
          <w:rFonts w:ascii="Gill Sans MT" w:hAnsi="Gill Sans MT"/>
        </w:rPr>
        <w:t xml:space="preserve"> exist</w:t>
      </w:r>
      <w:r w:rsidR="00445E9E">
        <w:rPr>
          <w:rFonts w:ascii="Gill Sans MT" w:hAnsi="Gill Sans MT"/>
        </w:rPr>
        <w:t>s</w:t>
      </w:r>
      <w:r w:rsidR="009D0460">
        <w:rPr>
          <w:rFonts w:ascii="Gill Sans MT" w:hAnsi="Gill Sans MT"/>
        </w:rPr>
        <w:t xml:space="preserve">, </w:t>
      </w:r>
      <w:r w:rsidR="00445E9E">
        <w:rPr>
          <w:rFonts w:ascii="Gill Sans MT" w:hAnsi="Gill Sans MT"/>
        </w:rPr>
        <w:t xml:space="preserve">is </w:t>
      </w:r>
      <w:r w:rsidR="009D0460">
        <w:rPr>
          <w:rFonts w:ascii="Gill Sans MT" w:hAnsi="Gill Sans MT"/>
        </w:rPr>
        <w:t xml:space="preserve">increasingly significant, </w:t>
      </w:r>
      <w:r w:rsidR="00445E9E">
        <w:rPr>
          <w:rFonts w:ascii="Gill Sans MT" w:hAnsi="Gill Sans MT"/>
        </w:rPr>
        <w:t xml:space="preserve">and </w:t>
      </w:r>
      <w:r w:rsidR="009D0460">
        <w:rPr>
          <w:rFonts w:ascii="Gill Sans MT" w:hAnsi="Gill Sans MT"/>
        </w:rPr>
        <w:t>can</w:t>
      </w:r>
      <w:r w:rsidR="00445E9E">
        <w:rPr>
          <w:rFonts w:ascii="Gill Sans MT" w:hAnsi="Gill Sans MT"/>
        </w:rPr>
        <w:t>no</w:t>
      </w:r>
      <w:r w:rsidR="0048077F">
        <w:rPr>
          <w:rFonts w:ascii="Gill Sans MT" w:hAnsi="Gill Sans MT"/>
        </w:rPr>
        <w:t xml:space="preserve">t be ignored by the </w:t>
      </w:r>
      <w:r w:rsidR="009D0460">
        <w:rPr>
          <w:rFonts w:ascii="Gill Sans MT" w:hAnsi="Gill Sans MT"/>
        </w:rPr>
        <w:t>press</w:t>
      </w:r>
      <w:r w:rsidR="00445E9E">
        <w:rPr>
          <w:rFonts w:ascii="Gill Sans MT" w:hAnsi="Gill Sans MT"/>
        </w:rPr>
        <w:t>. N</w:t>
      </w:r>
      <w:r w:rsidR="009D0460">
        <w:rPr>
          <w:rFonts w:ascii="Gill Sans MT" w:hAnsi="Gill Sans MT"/>
        </w:rPr>
        <w:t xml:space="preserve">or is it necessarily the responsibility of the media to challenge </w:t>
      </w:r>
      <w:r w:rsidR="00445E9E">
        <w:rPr>
          <w:rFonts w:ascii="Gill Sans MT" w:hAnsi="Gill Sans MT"/>
        </w:rPr>
        <w:t>the outcome oriented</w:t>
      </w:r>
      <w:r w:rsidR="009D0460">
        <w:rPr>
          <w:rFonts w:ascii="Gill Sans MT" w:hAnsi="Gill Sans MT"/>
        </w:rPr>
        <w:t xml:space="preserve"> paradigm</w:t>
      </w:r>
      <w:r w:rsidR="00445E9E">
        <w:rPr>
          <w:rFonts w:ascii="Gill Sans MT" w:hAnsi="Gill Sans MT"/>
        </w:rPr>
        <w:t xml:space="preserve"> which human rights law </w:t>
      </w:r>
      <w:r w:rsidR="004F5297">
        <w:rPr>
          <w:rFonts w:ascii="Gill Sans MT" w:hAnsi="Gill Sans MT"/>
        </w:rPr>
        <w:t>establishes</w:t>
      </w:r>
      <w:r w:rsidR="009D0460">
        <w:rPr>
          <w:rFonts w:ascii="Gill Sans MT" w:hAnsi="Gill Sans MT"/>
        </w:rPr>
        <w:t xml:space="preserve">. How could it </w:t>
      </w:r>
      <w:r w:rsidR="00AF0990">
        <w:rPr>
          <w:rFonts w:ascii="Gill Sans MT" w:hAnsi="Gill Sans MT"/>
        </w:rPr>
        <w:t>anyway</w:t>
      </w:r>
      <w:r w:rsidR="009D0460">
        <w:rPr>
          <w:rFonts w:ascii="Gill Sans MT" w:hAnsi="Gill Sans MT"/>
        </w:rPr>
        <w:t xml:space="preserve"> be done,</w:t>
      </w:r>
      <w:r w:rsidR="00445E9E">
        <w:rPr>
          <w:rFonts w:ascii="Gill Sans MT" w:hAnsi="Gill Sans MT"/>
        </w:rPr>
        <w:t xml:space="preserve"> even assuming the very best of faith? Gi</w:t>
      </w:r>
      <w:r w:rsidR="009D0460">
        <w:rPr>
          <w:rFonts w:ascii="Gill Sans MT" w:hAnsi="Gill Sans MT"/>
        </w:rPr>
        <w:t xml:space="preserve">ven </w:t>
      </w:r>
      <w:r w:rsidR="00445E9E">
        <w:rPr>
          <w:rFonts w:ascii="Gill Sans MT" w:hAnsi="Gill Sans MT"/>
        </w:rPr>
        <w:t xml:space="preserve">the necessary substantive specificity and temporal focus of most media reporting – as so obviously signalled in the very idea of ‘current affairs’ – it seems </w:t>
      </w:r>
      <w:r w:rsidR="00D42663">
        <w:rPr>
          <w:rFonts w:ascii="Gill Sans MT" w:hAnsi="Gill Sans MT"/>
        </w:rPr>
        <w:t>unimaginable that deeper systemic scepticism could be readily and</w:t>
      </w:r>
      <w:r w:rsidR="00AF0990">
        <w:rPr>
          <w:rFonts w:ascii="Gill Sans MT" w:hAnsi="Gill Sans MT"/>
        </w:rPr>
        <w:t>,</w:t>
      </w:r>
      <w:r w:rsidR="00D42663">
        <w:rPr>
          <w:rFonts w:ascii="Gill Sans MT" w:hAnsi="Gill Sans MT"/>
        </w:rPr>
        <w:t xml:space="preserve"> </w:t>
      </w:r>
      <w:r w:rsidR="00AF0990">
        <w:rPr>
          <w:rFonts w:ascii="Gill Sans MT" w:hAnsi="Gill Sans MT"/>
        </w:rPr>
        <w:t>perhaps crucially, consistently</w:t>
      </w:r>
      <w:r w:rsidR="00D42663">
        <w:rPr>
          <w:rFonts w:ascii="Gill Sans MT" w:hAnsi="Gill Sans MT"/>
        </w:rPr>
        <w:t xml:space="preserve"> acknowledged as one part of a standard writ</w:t>
      </w:r>
      <w:r w:rsidR="00900DF6">
        <w:rPr>
          <w:rFonts w:ascii="Gill Sans MT" w:hAnsi="Gill Sans MT"/>
        </w:rPr>
        <w:t xml:space="preserve">ten or video journalistic piece. Yet </w:t>
      </w:r>
      <w:r w:rsidR="0048077F">
        <w:rPr>
          <w:rFonts w:ascii="Gill Sans MT" w:hAnsi="Gill Sans MT"/>
        </w:rPr>
        <w:t>if this is the case, the representation of human rights law as being concerned with an ongoing series of individual matters may unavoidably reinforce the outcome focused paradigm, and preclude public engagement with structural issues.</w:t>
      </w:r>
    </w:p>
    <w:p w14:paraId="61EC6704" w14:textId="7F6E1CBF" w:rsidR="00AF0990" w:rsidRDefault="00443C4F" w:rsidP="00473156">
      <w:pPr>
        <w:pStyle w:val="NoSpacing"/>
        <w:ind w:firstLine="720"/>
        <w:jc w:val="both"/>
        <w:rPr>
          <w:rFonts w:ascii="Gill Sans MT" w:hAnsi="Gill Sans MT"/>
        </w:rPr>
      </w:pPr>
      <w:r>
        <w:rPr>
          <w:rFonts w:ascii="Gill Sans MT" w:hAnsi="Gill Sans MT"/>
        </w:rPr>
        <w:t xml:space="preserve">If it is therefore difficult to anticipate how this kind of scepticism about human rights law can be manifested regularly in the media, perhaps it is as much as we can do to </w:t>
      </w:r>
      <w:r w:rsidR="009D0460">
        <w:rPr>
          <w:rFonts w:ascii="Gill Sans MT" w:hAnsi="Gill Sans MT"/>
        </w:rPr>
        <w:t xml:space="preserve">try to be aware of the instrumentalism of human rights and </w:t>
      </w:r>
      <w:r>
        <w:rPr>
          <w:rFonts w:ascii="Gill Sans MT" w:hAnsi="Gill Sans MT"/>
        </w:rPr>
        <w:t xml:space="preserve">promote </w:t>
      </w:r>
      <w:r w:rsidR="009D0460">
        <w:rPr>
          <w:rFonts w:ascii="Gill Sans MT" w:hAnsi="Gill Sans MT"/>
        </w:rPr>
        <w:t>the need to be critical of t</w:t>
      </w:r>
      <w:r>
        <w:rPr>
          <w:rFonts w:ascii="Gill Sans MT" w:hAnsi="Gill Sans MT"/>
        </w:rPr>
        <w:t xml:space="preserve">he power structures such legal mechanisms create. It is also important that this should be </w:t>
      </w:r>
      <w:r w:rsidR="009D0460">
        <w:rPr>
          <w:rFonts w:ascii="Gill Sans MT" w:hAnsi="Gill Sans MT"/>
        </w:rPr>
        <w:t xml:space="preserve">done in </w:t>
      </w:r>
      <w:r>
        <w:rPr>
          <w:rFonts w:ascii="Gill Sans MT" w:hAnsi="Gill Sans MT"/>
        </w:rPr>
        <w:t xml:space="preserve">a </w:t>
      </w:r>
      <w:r w:rsidR="009D0460">
        <w:rPr>
          <w:rFonts w:ascii="Gill Sans MT" w:hAnsi="Gill Sans MT"/>
        </w:rPr>
        <w:t>constructive fashion, which is not the way these concerns about judicial power are often voiced in the media</w:t>
      </w:r>
      <w:r>
        <w:rPr>
          <w:rFonts w:ascii="Gill Sans MT" w:hAnsi="Gill Sans MT"/>
        </w:rPr>
        <w:t>.</w:t>
      </w:r>
      <w:r w:rsidR="009D0460">
        <w:rPr>
          <w:rFonts w:ascii="Gill Sans MT" w:hAnsi="Gill Sans MT"/>
        </w:rPr>
        <w:t xml:space="preserve"> </w:t>
      </w:r>
      <w:r>
        <w:rPr>
          <w:rFonts w:ascii="Gill Sans MT" w:hAnsi="Gill Sans MT"/>
        </w:rPr>
        <w:t>W</w:t>
      </w:r>
      <w:r w:rsidR="009D0460">
        <w:rPr>
          <w:rFonts w:ascii="Gill Sans MT" w:hAnsi="Gill Sans MT"/>
        </w:rPr>
        <w:t xml:space="preserve">hen </w:t>
      </w:r>
      <w:r>
        <w:rPr>
          <w:rFonts w:ascii="Gill Sans MT" w:hAnsi="Gill Sans MT"/>
        </w:rPr>
        <w:t xml:space="preserve">scepticism is </w:t>
      </w:r>
      <w:r w:rsidR="009D0460">
        <w:rPr>
          <w:rFonts w:ascii="Gill Sans MT" w:hAnsi="Gill Sans MT"/>
        </w:rPr>
        <w:t>based on knee-jerk reactions rather</w:t>
      </w:r>
      <w:r>
        <w:rPr>
          <w:rFonts w:ascii="Gill Sans MT" w:hAnsi="Gill Sans MT"/>
        </w:rPr>
        <w:t xml:space="preserve"> than more considered reflection – such as hysterical claims, albeit not in a human rights context, about the judiciary as ‘enemies of the people’</w:t>
      </w:r>
      <w:r w:rsidR="006A61BD">
        <w:rPr>
          <w:rStyle w:val="FootnoteReference"/>
          <w:rFonts w:ascii="Gill Sans MT" w:hAnsi="Gill Sans MT"/>
        </w:rPr>
        <w:footnoteReference w:id="43"/>
      </w:r>
      <w:r>
        <w:rPr>
          <w:rFonts w:ascii="Gill Sans MT" w:hAnsi="Gill Sans MT"/>
        </w:rPr>
        <w:t xml:space="preserve"> – this will only serve to polarise yet further an already binary debate, and diminish the potential for real democratic discussion about the best </w:t>
      </w:r>
      <w:r w:rsidR="006A61BD">
        <w:rPr>
          <w:rFonts w:ascii="Gill Sans MT" w:hAnsi="Gill Sans MT"/>
        </w:rPr>
        <w:t>way to deliver</w:t>
      </w:r>
      <w:r>
        <w:rPr>
          <w:rFonts w:ascii="Gill Sans MT" w:hAnsi="Gill Sans MT"/>
        </w:rPr>
        <w:t xml:space="preserve"> democracy.</w:t>
      </w:r>
    </w:p>
    <w:p w14:paraId="4538DE5E" w14:textId="44C6F07C" w:rsidR="00BB7A41" w:rsidRDefault="006A61BD" w:rsidP="00473156">
      <w:pPr>
        <w:pStyle w:val="NoSpacing"/>
        <w:ind w:firstLine="720"/>
        <w:jc w:val="both"/>
        <w:rPr>
          <w:rFonts w:ascii="Gill Sans MT" w:hAnsi="Gill Sans MT"/>
        </w:rPr>
      </w:pPr>
      <w:r>
        <w:rPr>
          <w:rFonts w:ascii="Gill Sans MT" w:hAnsi="Gill Sans MT"/>
        </w:rPr>
        <w:t>Moreover, w</w:t>
      </w:r>
      <w:r w:rsidR="00BB7A41">
        <w:rPr>
          <w:rFonts w:ascii="Gill Sans MT" w:hAnsi="Gill Sans MT"/>
        </w:rPr>
        <w:t xml:space="preserve">hen we engage in debate about </w:t>
      </w:r>
      <w:r>
        <w:rPr>
          <w:rFonts w:ascii="Gill Sans MT" w:hAnsi="Gill Sans MT"/>
        </w:rPr>
        <w:t>human rights</w:t>
      </w:r>
      <w:r w:rsidR="00BB7A41">
        <w:rPr>
          <w:rFonts w:ascii="Gill Sans MT" w:hAnsi="Gill Sans MT"/>
        </w:rPr>
        <w:t xml:space="preserve"> and the</w:t>
      </w:r>
      <w:r>
        <w:rPr>
          <w:rFonts w:ascii="Gill Sans MT" w:hAnsi="Gill Sans MT"/>
        </w:rPr>
        <w:t>ir representation in the</w:t>
      </w:r>
      <w:r w:rsidR="00BB7A41">
        <w:rPr>
          <w:rFonts w:ascii="Gill Sans MT" w:hAnsi="Gill Sans MT"/>
        </w:rPr>
        <w:t xml:space="preserve"> media, we </w:t>
      </w:r>
      <w:r>
        <w:rPr>
          <w:rFonts w:ascii="Gill Sans MT" w:hAnsi="Gill Sans MT"/>
        </w:rPr>
        <w:t xml:space="preserve">may </w:t>
      </w:r>
      <w:r w:rsidR="00BB7A41">
        <w:rPr>
          <w:rFonts w:ascii="Gill Sans MT" w:hAnsi="Gill Sans MT"/>
        </w:rPr>
        <w:t xml:space="preserve">do well to </w:t>
      </w:r>
      <w:r>
        <w:rPr>
          <w:rFonts w:ascii="Gill Sans MT" w:hAnsi="Gill Sans MT"/>
        </w:rPr>
        <w:t>qualify, to some extent,</w:t>
      </w:r>
      <w:r w:rsidR="00BB7A41">
        <w:rPr>
          <w:rFonts w:ascii="Gill Sans MT" w:hAnsi="Gill Sans MT"/>
        </w:rPr>
        <w:t xml:space="preserve"> our criticism or praise for the use of rights claims by</w:t>
      </w:r>
      <w:r>
        <w:rPr>
          <w:rFonts w:ascii="Gill Sans MT" w:hAnsi="Gill Sans MT"/>
        </w:rPr>
        <w:t xml:space="preserve"> press</w:t>
      </w:r>
      <w:r w:rsidR="00BB7A41">
        <w:rPr>
          <w:rFonts w:ascii="Gill Sans MT" w:hAnsi="Gill Sans MT"/>
        </w:rPr>
        <w:t xml:space="preserve"> outle</w:t>
      </w:r>
      <w:r>
        <w:rPr>
          <w:rFonts w:ascii="Gill Sans MT" w:hAnsi="Gill Sans MT"/>
        </w:rPr>
        <w:t>ts both ‘Good’ and ‘B</w:t>
      </w:r>
      <w:r w:rsidR="00BB7A41">
        <w:rPr>
          <w:rFonts w:ascii="Gill Sans MT" w:hAnsi="Gill Sans MT"/>
        </w:rPr>
        <w:t>ad’</w:t>
      </w:r>
      <w:r w:rsidR="004335AE">
        <w:rPr>
          <w:rFonts w:ascii="Gill Sans MT" w:hAnsi="Gill Sans MT"/>
        </w:rPr>
        <w:t>. O</w:t>
      </w:r>
      <w:r>
        <w:rPr>
          <w:rFonts w:ascii="Gill Sans MT" w:hAnsi="Gill Sans MT"/>
        </w:rPr>
        <w:t>n either side (and the many steps in between), we see</w:t>
      </w:r>
      <w:r w:rsidR="00BB7A41">
        <w:rPr>
          <w:rFonts w:ascii="Gill Sans MT" w:hAnsi="Gill Sans MT"/>
        </w:rPr>
        <w:t xml:space="preserve"> rights</w:t>
      </w:r>
      <w:r>
        <w:rPr>
          <w:rFonts w:ascii="Gill Sans MT" w:hAnsi="Gill Sans MT"/>
        </w:rPr>
        <w:t xml:space="preserve"> instrumentalism</w:t>
      </w:r>
      <w:r w:rsidR="00BB7A41">
        <w:rPr>
          <w:rFonts w:ascii="Gill Sans MT" w:hAnsi="Gill Sans MT"/>
        </w:rPr>
        <w:t xml:space="preserve"> in support of political ends, and it is these political ends which </w:t>
      </w:r>
      <w:r w:rsidR="00DE7D4D">
        <w:rPr>
          <w:rFonts w:ascii="Gill Sans MT" w:hAnsi="Gill Sans MT"/>
        </w:rPr>
        <w:t>also</w:t>
      </w:r>
      <w:r>
        <w:rPr>
          <w:rFonts w:ascii="Gill Sans MT" w:hAnsi="Gill Sans MT"/>
        </w:rPr>
        <w:t xml:space="preserve"> </w:t>
      </w:r>
      <w:r w:rsidR="00BB7A41">
        <w:rPr>
          <w:rFonts w:ascii="Gill Sans MT" w:hAnsi="Gill Sans MT"/>
        </w:rPr>
        <w:t xml:space="preserve">deserve to be challenged and scrutinised, </w:t>
      </w:r>
      <w:r>
        <w:rPr>
          <w:rFonts w:ascii="Gill Sans MT" w:hAnsi="Gill Sans MT"/>
        </w:rPr>
        <w:t>over and above the deification or</w:t>
      </w:r>
      <w:r w:rsidR="00BB7A41">
        <w:rPr>
          <w:rFonts w:ascii="Gill Sans MT" w:hAnsi="Gill Sans MT"/>
        </w:rPr>
        <w:t xml:space="preserve"> exploitation of the rights template in which they are presented</w:t>
      </w:r>
      <w:r w:rsidR="00AF1AD5">
        <w:rPr>
          <w:rFonts w:ascii="Gill Sans MT" w:hAnsi="Gill Sans MT"/>
        </w:rPr>
        <w:t xml:space="preserve">. </w:t>
      </w:r>
      <w:r w:rsidR="00721965">
        <w:rPr>
          <w:rFonts w:ascii="Gill Sans MT" w:hAnsi="Gill Sans MT"/>
        </w:rPr>
        <w:t>Just as th</w:t>
      </w:r>
      <w:r w:rsidR="00AF1AD5">
        <w:rPr>
          <w:rFonts w:ascii="Gill Sans MT" w:hAnsi="Gill Sans MT"/>
        </w:rPr>
        <w:t xml:space="preserve">e </w:t>
      </w:r>
      <w:r w:rsidR="00721965">
        <w:rPr>
          <w:rFonts w:ascii="Gill Sans MT" w:hAnsi="Gill Sans MT"/>
        </w:rPr>
        <w:t>adequacy of the structures and mechanisms of human rights law cannot be</w:t>
      </w:r>
      <w:r w:rsidR="00DE7D4D">
        <w:rPr>
          <w:rFonts w:ascii="Gill Sans MT" w:hAnsi="Gill Sans MT"/>
        </w:rPr>
        <w:t xml:space="preserve"> presumed, and require</w:t>
      </w:r>
      <w:r w:rsidR="001978BE">
        <w:rPr>
          <w:rFonts w:ascii="Gill Sans MT" w:hAnsi="Gill Sans MT"/>
        </w:rPr>
        <w:t>s</w:t>
      </w:r>
      <w:r w:rsidR="00721965">
        <w:rPr>
          <w:rFonts w:ascii="Gill Sans MT" w:hAnsi="Gill Sans MT"/>
        </w:rPr>
        <w:t xml:space="preserve"> independent and sustained </w:t>
      </w:r>
      <w:r w:rsidR="00A92A47">
        <w:rPr>
          <w:rFonts w:ascii="Gill Sans MT" w:hAnsi="Gill Sans MT"/>
        </w:rPr>
        <w:t>scrutiny</w:t>
      </w:r>
      <w:r w:rsidR="00721965">
        <w:rPr>
          <w:rFonts w:ascii="Gill Sans MT" w:hAnsi="Gill Sans MT"/>
        </w:rPr>
        <w:t xml:space="preserve">, the outcomes of </w:t>
      </w:r>
      <w:r w:rsidR="00A92A47">
        <w:rPr>
          <w:rFonts w:ascii="Gill Sans MT" w:hAnsi="Gill Sans MT"/>
        </w:rPr>
        <w:t xml:space="preserve">individual </w:t>
      </w:r>
      <w:r w:rsidR="00FD3397">
        <w:rPr>
          <w:rFonts w:ascii="Gill Sans MT" w:hAnsi="Gill Sans MT"/>
        </w:rPr>
        <w:t xml:space="preserve">human rights </w:t>
      </w:r>
      <w:r w:rsidR="00A92A47">
        <w:rPr>
          <w:rFonts w:ascii="Gill Sans MT" w:hAnsi="Gill Sans MT"/>
        </w:rPr>
        <w:t xml:space="preserve">cases should be recognised and assessed in terms of their distinct political character, rather than simply praised or condemned on the basis that they are the product of a </w:t>
      </w:r>
      <w:r w:rsidR="00DE7D4D">
        <w:rPr>
          <w:rFonts w:ascii="Gill Sans MT" w:hAnsi="Gill Sans MT"/>
        </w:rPr>
        <w:t>system which is desirable or undesirable, depending on the caricature adopted.</w:t>
      </w:r>
      <w:r w:rsidR="001978BE">
        <w:rPr>
          <w:rFonts w:ascii="Gill Sans MT" w:hAnsi="Gill Sans MT"/>
        </w:rPr>
        <w:t xml:space="preserve"> Such engagement with specific substantive problems from a human rights perspective does not mean that we move away from a position based on systemic scepticism; instead, it is to approach </w:t>
      </w:r>
      <w:proofErr w:type="gramStart"/>
      <w:r w:rsidR="001978BE">
        <w:rPr>
          <w:rFonts w:ascii="Gill Sans MT" w:hAnsi="Gill Sans MT"/>
        </w:rPr>
        <w:t>particular human</w:t>
      </w:r>
      <w:proofErr w:type="gramEnd"/>
      <w:r w:rsidR="001978BE">
        <w:rPr>
          <w:rFonts w:ascii="Gill Sans MT" w:hAnsi="Gill Sans MT"/>
        </w:rPr>
        <w:t xml:space="preserve"> rights problems</w:t>
      </w:r>
      <w:r w:rsidR="00D101F1">
        <w:rPr>
          <w:rFonts w:ascii="Gill Sans MT" w:hAnsi="Gill Sans MT"/>
        </w:rPr>
        <w:t xml:space="preserve"> in a way which is informed by that</w:t>
      </w:r>
      <w:r w:rsidR="001978BE">
        <w:rPr>
          <w:rFonts w:ascii="Gill Sans MT" w:hAnsi="Gill Sans MT"/>
        </w:rPr>
        <w:t xml:space="preserve"> broader scepticism about the operation of </w:t>
      </w:r>
      <w:r w:rsidR="00D101F1">
        <w:rPr>
          <w:rFonts w:ascii="Gill Sans MT" w:hAnsi="Gill Sans MT"/>
        </w:rPr>
        <w:t>such legal structures and institutions.</w:t>
      </w:r>
    </w:p>
    <w:p w14:paraId="31B794CA" w14:textId="26C9D4B8" w:rsidR="009D0460" w:rsidRDefault="00D101F1" w:rsidP="00D101F1">
      <w:pPr>
        <w:pStyle w:val="NoSpacing"/>
        <w:ind w:firstLine="720"/>
        <w:jc w:val="both"/>
        <w:rPr>
          <w:rFonts w:ascii="Gill Sans MT" w:hAnsi="Gill Sans MT"/>
        </w:rPr>
      </w:pPr>
      <w:r>
        <w:rPr>
          <w:rFonts w:ascii="Gill Sans MT" w:hAnsi="Gill Sans MT"/>
        </w:rPr>
        <w:t>In contrast, s</w:t>
      </w:r>
      <w:r w:rsidR="009D0460">
        <w:rPr>
          <w:rFonts w:ascii="Gill Sans MT" w:hAnsi="Gill Sans MT"/>
        </w:rPr>
        <w:t xml:space="preserve">ome may respond that we should simply </w:t>
      </w:r>
      <w:r>
        <w:rPr>
          <w:rFonts w:ascii="Gill Sans MT" w:hAnsi="Gill Sans MT"/>
        </w:rPr>
        <w:t xml:space="preserve">accept the human rights paradigm as unavoidable, and embrace its </w:t>
      </w:r>
      <w:r w:rsidR="009D0460">
        <w:rPr>
          <w:rFonts w:ascii="Gill Sans MT" w:hAnsi="Gill Sans MT"/>
        </w:rPr>
        <w:t xml:space="preserve">instrumentalism </w:t>
      </w:r>
      <w:r>
        <w:rPr>
          <w:rFonts w:ascii="Gill Sans MT" w:hAnsi="Gill Sans MT"/>
        </w:rPr>
        <w:t xml:space="preserve">for pragmatic reasons. Perhaps </w:t>
      </w:r>
      <w:r w:rsidR="009D0460">
        <w:rPr>
          <w:rFonts w:ascii="Gill Sans MT" w:hAnsi="Gill Sans MT"/>
        </w:rPr>
        <w:t xml:space="preserve">the ease with which this debate </w:t>
      </w:r>
      <w:r>
        <w:rPr>
          <w:rFonts w:ascii="Gill Sans MT" w:hAnsi="Gill Sans MT"/>
        </w:rPr>
        <w:t xml:space="preserve">about human rights law </w:t>
      </w:r>
      <w:r w:rsidR="009D0460">
        <w:rPr>
          <w:rFonts w:ascii="Gill Sans MT" w:hAnsi="Gill Sans MT"/>
        </w:rPr>
        <w:t>has become binary and focused on outcomes suggests that all that matters is that we achieve social justic</w:t>
      </w:r>
      <w:r>
        <w:rPr>
          <w:rFonts w:ascii="Gill Sans MT" w:hAnsi="Gill Sans MT"/>
        </w:rPr>
        <w:t xml:space="preserve">e, rather than how we do so. </w:t>
      </w:r>
      <w:r w:rsidR="00AF0990">
        <w:rPr>
          <w:rFonts w:ascii="Gill Sans MT" w:hAnsi="Gill Sans MT"/>
        </w:rPr>
        <w:t>Indeed, t</w:t>
      </w:r>
      <w:r>
        <w:rPr>
          <w:rFonts w:ascii="Gill Sans MT" w:hAnsi="Gill Sans MT"/>
        </w:rPr>
        <w:t xml:space="preserve">here are good philosophical arguments that may be developed in support of this position which accommodate some of the scepticism about the transcendental claims of human rights law. </w:t>
      </w:r>
      <w:proofErr w:type="spellStart"/>
      <w:r>
        <w:rPr>
          <w:rFonts w:ascii="Gill Sans MT" w:hAnsi="Gill Sans MT"/>
        </w:rPr>
        <w:t>Rorty</w:t>
      </w:r>
      <w:proofErr w:type="spellEnd"/>
      <w:r>
        <w:rPr>
          <w:rFonts w:ascii="Gill Sans MT" w:hAnsi="Gill Sans MT"/>
        </w:rPr>
        <w:t xml:space="preserve">, for example, rejects the argument that the nature or authority of human rights is grounded in </w:t>
      </w:r>
      <w:r w:rsidR="00FE2407">
        <w:rPr>
          <w:rFonts w:ascii="Gill Sans MT" w:hAnsi="Gill Sans MT"/>
        </w:rPr>
        <w:t>an</w:t>
      </w:r>
      <w:r>
        <w:rPr>
          <w:rFonts w:ascii="Gill Sans MT" w:hAnsi="Gill Sans MT"/>
        </w:rPr>
        <w:t xml:space="preserve"> inherent, natural rationality common to all humans</w:t>
      </w:r>
      <w:r w:rsidR="00FE2407">
        <w:rPr>
          <w:rFonts w:ascii="Gill Sans MT" w:hAnsi="Gill Sans MT"/>
        </w:rPr>
        <w:t xml:space="preserve">: ‘no useful work seems to be done by insisting on a purportedly ahistorical human nature, there probably is no such nature, or at least nothing in that nature that is relevant to </w:t>
      </w:r>
      <w:r w:rsidR="00FE2407">
        <w:rPr>
          <w:rFonts w:ascii="Gill Sans MT" w:hAnsi="Gill Sans MT"/>
        </w:rPr>
        <w:lastRenderedPageBreak/>
        <w:t>our moral choices’.</w:t>
      </w:r>
      <w:r w:rsidR="00FE2407">
        <w:rPr>
          <w:rStyle w:val="FootnoteReference"/>
          <w:rFonts w:ascii="Gill Sans MT" w:hAnsi="Gill Sans MT"/>
        </w:rPr>
        <w:footnoteReference w:id="44"/>
      </w:r>
      <w:r w:rsidR="00FE2407">
        <w:rPr>
          <w:rFonts w:ascii="Gill Sans MT" w:hAnsi="Gill Sans MT"/>
        </w:rPr>
        <w:t xml:space="preserve"> Yet ‘human rights culture’</w:t>
      </w:r>
      <w:r w:rsidR="00E86DDD">
        <w:rPr>
          <w:rFonts w:ascii="Gill Sans MT" w:hAnsi="Gill Sans MT"/>
        </w:rPr>
        <w:t xml:space="preserve"> may still have value when considered from the perspective of ‘efficiency’, if </w:t>
      </w:r>
      <w:r w:rsidR="00AF0990">
        <w:rPr>
          <w:rFonts w:ascii="Gill Sans MT" w:hAnsi="Gill Sans MT"/>
        </w:rPr>
        <w:t>it</w:t>
      </w:r>
      <w:r w:rsidR="00E86DDD">
        <w:rPr>
          <w:rFonts w:ascii="Gill Sans MT" w:hAnsi="Gill Sans MT"/>
        </w:rPr>
        <w:t xml:space="preserve"> assist</w:t>
      </w:r>
      <w:r w:rsidR="00AF0990">
        <w:rPr>
          <w:rFonts w:ascii="Gill Sans MT" w:hAnsi="Gill Sans MT"/>
        </w:rPr>
        <w:t>s</w:t>
      </w:r>
      <w:r w:rsidR="00E86DDD">
        <w:rPr>
          <w:rFonts w:ascii="Gill Sans MT" w:hAnsi="Gill Sans MT"/>
        </w:rPr>
        <w:t xml:space="preserve"> us in determining ‘how best to bring about the utopia sketched by the Enlightenment’.</w:t>
      </w:r>
      <w:r w:rsidR="00E86DDD">
        <w:rPr>
          <w:rStyle w:val="FootnoteReference"/>
          <w:rFonts w:ascii="Gill Sans MT" w:hAnsi="Gill Sans MT"/>
        </w:rPr>
        <w:footnoteReference w:id="45"/>
      </w:r>
      <w:r w:rsidR="00E86DDD">
        <w:rPr>
          <w:rFonts w:ascii="Gill Sans MT" w:hAnsi="Gill Sans MT"/>
        </w:rPr>
        <w:t xml:space="preserve"> That human rights are ‘social constructions’ rather than inalienable is irrelevant; instead what counts is whether they have ‘utility’.</w:t>
      </w:r>
      <w:r w:rsidR="00E86DDD">
        <w:rPr>
          <w:rStyle w:val="FootnoteReference"/>
          <w:rFonts w:ascii="Gill Sans MT" w:hAnsi="Gill Sans MT"/>
        </w:rPr>
        <w:footnoteReference w:id="46"/>
      </w:r>
    </w:p>
    <w:p w14:paraId="40DF8266" w14:textId="77777777" w:rsidR="00273F84" w:rsidRDefault="00D50689" w:rsidP="00157E7B">
      <w:pPr>
        <w:pStyle w:val="NoSpacing"/>
        <w:ind w:firstLine="720"/>
        <w:jc w:val="both"/>
        <w:rPr>
          <w:rStyle w:val="apple-converted-space"/>
          <w:rFonts w:ascii="Gill Sans MT" w:hAnsi="Gill Sans MT"/>
          <w:color w:val="000000"/>
        </w:rPr>
      </w:pPr>
      <w:r w:rsidRPr="00D50689">
        <w:rPr>
          <w:rFonts w:ascii="Gill Sans MT" w:hAnsi="Gill Sans MT"/>
        </w:rPr>
        <w:t xml:space="preserve">Yet even if we accept that rights are far from </w:t>
      </w:r>
      <w:r w:rsidR="00ED679E">
        <w:rPr>
          <w:rFonts w:ascii="Gill Sans MT" w:hAnsi="Gill Sans MT"/>
        </w:rPr>
        <w:t xml:space="preserve">philosophically </w:t>
      </w:r>
      <w:r w:rsidRPr="00D50689">
        <w:rPr>
          <w:rFonts w:ascii="Gill Sans MT" w:hAnsi="Gill Sans MT"/>
        </w:rPr>
        <w:t xml:space="preserve">unassailable trumps, there may be </w:t>
      </w:r>
      <w:proofErr w:type="gramStart"/>
      <w:r w:rsidRPr="00D50689">
        <w:rPr>
          <w:rFonts w:ascii="Gill Sans MT" w:hAnsi="Gill Sans MT"/>
        </w:rPr>
        <w:t>a number of</w:t>
      </w:r>
      <w:proofErr w:type="gramEnd"/>
      <w:r w:rsidRPr="00D50689">
        <w:rPr>
          <w:rFonts w:ascii="Gill Sans MT" w:hAnsi="Gill Sans MT"/>
        </w:rPr>
        <w:t xml:space="preserve"> objections to wielding such pragmatism in support of human rights law. First, the </w:t>
      </w:r>
      <w:proofErr w:type="gramStart"/>
      <w:r w:rsidRPr="00D50689">
        <w:rPr>
          <w:rFonts w:ascii="Gill Sans MT" w:hAnsi="Gill Sans MT"/>
        </w:rPr>
        <w:t>outcome oriented</w:t>
      </w:r>
      <w:proofErr w:type="gramEnd"/>
      <w:r w:rsidRPr="00D50689">
        <w:rPr>
          <w:rFonts w:ascii="Gill Sans MT" w:hAnsi="Gill Sans MT"/>
        </w:rPr>
        <w:t xml:space="preserve"> nature of the human rights paradigm means that, in adopting it, we risk as</w:t>
      </w:r>
      <w:r w:rsidR="00ED679E">
        <w:rPr>
          <w:rFonts w:ascii="Gill Sans MT" w:hAnsi="Gill Sans MT"/>
        </w:rPr>
        <w:t xml:space="preserve">suming </w:t>
      </w:r>
      <w:r w:rsidRPr="00D50689">
        <w:rPr>
          <w:rFonts w:ascii="Gill Sans MT" w:hAnsi="Gill Sans MT"/>
        </w:rPr>
        <w:t xml:space="preserve">that achieving progress (however that is defined) is always framed in these terms, and we simply need more rights, better rights, </w:t>
      </w:r>
      <w:r w:rsidRPr="00D50689">
        <w:rPr>
          <w:rFonts w:ascii="Gill Sans MT" w:eastAsia="Times New Roman" w:hAnsi="Gill Sans MT"/>
        </w:rPr>
        <w:t xml:space="preserve">better judicial decision-making, better media representations. </w:t>
      </w:r>
      <w:r w:rsidR="00ED679E">
        <w:rPr>
          <w:rFonts w:ascii="Gill Sans MT" w:eastAsia="Times New Roman" w:hAnsi="Gill Sans MT"/>
        </w:rPr>
        <w:t xml:space="preserve">The possibility of democratic scepticism opens up debate about the credible potential of the structures and systems of human </w:t>
      </w:r>
      <w:proofErr w:type="gramStart"/>
      <w:r w:rsidR="00ED679E">
        <w:rPr>
          <w:rFonts w:ascii="Gill Sans MT" w:eastAsia="Times New Roman" w:hAnsi="Gill Sans MT"/>
        </w:rPr>
        <w:t>rights law, and</w:t>
      </w:r>
      <w:proofErr w:type="gramEnd"/>
      <w:r w:rsidR="00ED679E">
        <w:rPr>
          <w:rFonts w:ascii="Gill Sans MT" w:eastAsia="Times New Roman" w:hAnsi="Gill Sans MT"/>
        </w:rPr>
        <w:t xml:space="preserve"> raises issues which are problematic even when viewed pragmatically</w:t>
      </w:r>
      <w:r w:rsidR="00D316FC">
        <w:rPr>
          <w:rFonts w:ascii="Gill Sans MT" w:eastAsia="Times New Roman" w:hAnsi="Gill Sans MT"/>
        </w:rPr>
        <w:t>, in so far as they close our minds to constructing alternative institutional arrangements with even greater social value.</w:t>
      </w:r>
      <w:r w:rsidR="001D68D8">
        <w:rPr>
          <w:rFonts w:ascii="Gill Sans MT" w:eastAsia="Times New Roman" w:hAnsi="Gill Sans MT"/>
        </w:rPr>
        <w:t xml:space="preserve"> </w:t>
      </w:r>
      <w:r w:rsidR="00157E7B">
        <w:rPr>
          <w:rFonts w:ascii="Gill Sans MT" w:eastAsia="Times New Roman" w:hAnsi="Gill Sans MT"/>
        </w:rPr>
        <w:t xml:space="preserve">If pragmatists like </w:t>
      </w:r>
      <w:proofErr w:type="spellStart"/>
      <w:r w:rsidR="00157E7B">
        <w:rPr>
          <w:rFonts w:ascii="Gill Sans MT" w:eastAsia="Times New Roman" w:hAnsi="Gill Sans MT"/>
        </w:rPr>
        <w:t>Rorty</w:t>
      </w:r>
      <w:proofErr w:type="spellEnd"/>
      <w:r w:rsidR="00157E7B">
        <w:rPr>
          <w:rFonts w:ascii="Gill Sans MT" w:eastAsia="Times New Roman" w:hAnsi="Gill Sans MT"/>
        </w:rPr>
        <w:t xml:space="preserve"> suggest that we </w:t>
      </w:r>
      <w:r w:rsidR="00157E7B">
        <w:rPr>
          <w:rStyle w:val="apple-converted-space"/>
          <w:rFonts w:ascii="Gill Sans MT" w:hAnsi="Gill Sans MT"/>
          <w:color w:val="000000"/>
        </w:rPr>
        <w:t>‘look to the future rather than to eternity’, and ‘prefer new ideas about how to change things over stable criteria for determining the desirability of change’,</w:t>
      </w:r>
      <w:r w:rsidR="00157E7B">
        <w:rPr>
          <w:rStyle w:val="FootnoteReference"/>
          <w:rFonts w:ascii="Gill Sans MT" w:hAnsi="Gill Sans MT"/>
          <w:color w:val="000000"/>
        </w:rPr>
        <w:footnoteReference w:id="47"/>
      </w:r>
      <w:r w:rsidR="00157E7B">
        <w:rPr>
          <w:rStyle w:val="apple-converted-space"/>
          <w:rFonts w:ascii="Gill Sans MT" w:hAnsi="Gill Sans MT"/>
          <w:color w:val="000000"/>
        </w:rPr>
        <w:t xml:space="preserve"> there might be concern that the prevalence, even dominance, of human rights law as the mode and engine of progress could drive complacency about the ‘end of history’.</w:t>
      </w:r>
      <w:r w:rsidR="00157E7B">
        <w:rPr>
          <w:rStyle w:val="FootnoteReference"/>
          <w:rFonts w:ascii="Gill Sans MT" w:hAnsi="Gill Sans MT"/>
          <w:color w:val="000000"/>
        </w:rPr>
        <w:footnoteReference w:id="48"/>
      </w:r>
      <w:r w:rsidR="00157E7B">
        <w:rPr>
          <w:rFonts w:ascii="Gill Sans MT" w:eastAsia="Times New Roman" w:hAnsi="Gill Sans MT"/>
        </w:rPr>
        <w:t xml:space="preserve"> And</w:t>
      </w:r>
      <w:r w:rsidR="001D68D8">
        <w:rPr>
          <w:rFonts w:ascii="Gill Sans MT" w:eastAsia="Times New Roman" w:hAnsi="Gill Sans MT"/>
        </w:rPr>
        <w:t xml:space="preserve"> if the</w:t>
      </w:r>
      <w:r w:rsidR="001D68D8">
        <w:rPr>
          <w:rStyle w:val="apple-converted-space"/>
          <w:rFonts w:ascii="Gill Sans MT" w:hAnsi="Gill Sans MT"/>
          <w:color w:val="000000"/>
        </w:rPr>
        <w:t xml:space="preserve"> human rights project is simply an instrumental activity grounded in pragmatism, there </w:t>
      </w:r>
      <w:r w:rsidR="00157E7B">
        <w:rPr>
          <w:rStyle w:val="apple-converted-space"/>
          <w:rFonts w:ascii="Gill Sans MT" w:hAnsi="Gill Sans MT"/>
          <w:color w:val="000000"/>
        </w:rPr>
        <w:t>would</w:t>
      </w:r>
      <w:r w:rsidR="001D68D8">
        <w:rPr>
          <w:rStyle w:val="apple-converted-space"/>
          <w:rFonts w:ascii="Gill Sans MT" w:hAnsi="Gill Sans MT"/>
          <w:color w:val="000000"/>
        </w:rPr>
        <w:t xml:space="preserve"> be no moral loss if </w:t>
      </w:r>
      <w:r w:rsidR="00157E7B">
        <w:rPr>
          <w:rStyle w:val="apple-converted-space"/>
          <w:rFonts w:ascii="Gill Sans MT" w:hAnsi="Gill Sans MT"/>
          <w:color w:val="000000"/>
        </w:rPr>
        <w:t xml:space="preserve">it </w:t>
      </w:r>
      <w:r w:rsidR="001D68D8">
        <w:rPr>
          <w:rStyle w:val="apple-converted-space"/>
          <w:rFonts w:ascii="Gill Sans MT" w:hAnsi="Gill Sans MT"/>
          <w:color w:val="000000"/>
        </w:rPr>
        <w:t>could be displaced by something better.</w:t>
      </w:r>
    </w:p>
    <w:p w14:paraId="6AD3DEA6" w14:textId="1F04A602" w:rsidR="00157E7B" w:rsidRPr="00157E7B" w:rsidRDefault="00157E7B" w:rsidP="00157E7B">
      <w:pPr>
        <w:pStyle w:val="NoSpacing"/>
        <w:ind w:firstLine="720"/>
        <w:jc w:val="both"/>
        <w:rPr>
          <w:rStyle w:val="apple-converted-space"/>
          <w:rFonts w:ascii="Gill Sans MT" w:eastAsia="Times New Roman" w:hAnsi="Gill Sans MT"/>
        </w:rPr>
      </w:pPr>
      <w:r>
        <w:rPr>
          <w:rStyle w:val="apple-converted-space"/>
          <w:rFonts w:ascii="Gill Sans MT" w:hAnsi="Gill Sans MT"/>
          <w:color w:val="000000"/>
        </w:rPr>
        <w:t xml:space="preserve">Second, </w:t>
      </w:r>
      <w:proofErr w:type="spellStart"/>
      <w:r>
        <w:rPr>
          <w:rStyle w:val="apple-converted-space"/>
          <w:rFonts w:ascii="Gill Sans MT" w:hAnsi="Gill Sans MT"/>
          <w:color w:val="000000"/>
        </w:rPr>
        <w:t>Rorty</w:t>
      </w:r>
      <w:proofErr w:type="spellEnd"/>
      <w:r>
        <w:rPr>
          <w:rStyle w:val="apple-converted-space"/>
          <w:rFonts w:ascii="Gill Sans MT" w:hAnsi="Gill Sans MT"/>
          <w:color w:val="000000"/>
        </w:rPr>
        <w:t xml:space="preserve"> acknowledges the existence of systemic issues with a human rights culture when recognising it may be ‘revolting to think that our only hope for a decent society consists in softening the self-sati</w:t>
      </w:r>
      <w:r w:rsidR="00304671">
        <w:rPr>
          <w:rStyle w:val="apple-converted-space"/>
          <w:rFonts w:ascii="Gill Sans MT" w:hAnsi="Gill Sans MT"/>
          <w:color w:val="000000"/>
        </w:rPr>
        <w:t>s</w:t>
      </w:r>
      <w:r>
        <w:rPr>
          <w:rStyle w:val="apple-converted-space"/>
          <w:rFonts w:ascii="Gill Sans MT" w:hAnsi="Gill Sans MT"/>
          <w:color w:val="000000"/>
        </w:rPr>
        <w:t>fied hearts of a leisure class’.</w:t>
      </w:r>
      <w:r>
        <w:rPr>
          <w:rStyle w:val="FootnoteReference"/>
          <w:rFonts w:ascii="Gill Sans MT" w:hAnsi="Gill Sans MT"/>
          <w:color w:val="000000"/>
        </w:rPr>
        <w:footnoteReference w:id="49"/>
      </w:r>
      <w:r>
        <w:rPr>
          <w:rStyle w:val="apple-converted-space"/>
          <w:rFonts w:ascii="Gill Sans MT" w:hAnsi="Gill Sans MT"/>
          <w:color w:val="000000"/>
        </w:rPr>
        <w:t xml:space="preserve">  Yet he does not think moral progress is likely to ‘burst up from below’ rather than</w:t>
      </w:r>
      <w:r w:rsidR="00C719F7">
        <w:rPr>
          <w:rStyle w:val="apple-converted-space"/>
          <w:rFonts w:ascii="Gill Sans MT" w:hAnsi="Gill Sans MT"/>
          <w:color w:val="000000"/>
        </w:rPr>
        <w:t xml:space="preserve"> flow from</w:t>
      </w:r>
      <w:r>
        <w:rPr>
          <w:rStyle w:val="apple-converted-space"/>
          <w:rFonts w:ascii="Gill Sans MT" w:hAnsi="Gill Sans MT"/>
          <w:color w:val="000000"/>
        </w:rPr>
        <w:t xml:space="preserve"> ‘condescension from the top’.</w:t>
      </w:r>
      <w:r>
        <w:rPr>
          <w:rStyle w:val="FootnoteReference"/>
          <w:rFonts w:ascii="Gill Sans MT" w:hAnsi="Gill Sans MT"/>
          <w:color w:val="000000"/>
        </w:rPr>
        <w:footnoteReference w:id="50"/>
      </w:r>
      <w:r>
        <w:rPr>
          <w:rStyle w:val="apple-converted-space"/>
          <w:rFonts w:ascii="Gill Sans MT" w:hAnsi="Gill Sans MT"/>
          <w:color w:val="000000"/>
        </w:rPr>
        <w:t xml:space="preserve"> Yet whether this is the case or not, there are surely different considerations engaged if we act to institutionalise condescension from the top through legal mechanism</w:t>
      </w:r>
      <w:r w:rsidR="00C719F7">
        <w:rPr>
          <w:rStyle w:val="apple-converted-space"/>
          <w:rFonts w:ascii="Gill Sans MT" w:hAnsi="Gill Sans MT"/>
          <w:color w:val="000000"/>
        </w:rPr>
        <w:t>s focused around judicial empowerment</w:t>
      </w:r>
      <w:r>
        <w:rPr>
          <w:rStyle w:val="apple-converted-space"/>
          <w:rFonts w:ascii="Gill Sans MT" w:hAnsi="Gill Sans MT"/>
          <w:color w:val="000000"/>
        </w:rPr>
        <w:t xml:space="preserve">, as this may have other costs. </w:t>
      </w:r>
      <w:proofErr w:type="gramStart"/>
      <w:r>
        <w:rPr>
          <w:rStyle w:val="apple-converted-space"/>
          <w:rFonts w:ascii="Gill Sans MT" w:hAnsi="Gill Sans MT"/>
          <w:color w:val="000000"/>
        </w:rPr>
        <w:t xml:space="preserve">In particular, </w:t>
      </w:r>
      <w:r w:rsidR="00227F61">
        <w:rPr>
          <w:rStyle w:val="apple-converted-space"/>
          <w:rFonts w:ascii="Gill Sans MT" w:hAnsi="Gill Sans MT"/>
          <w:color w:val="000000"/>
        </w:rPr>
        <w:t>there</w:t>
      </w:r>
      <w:proofErr w:type="gramEnd"/>
      <w:r w:rsidR="00227F61">
        <w:rPr>
          <w:rStyle w:val="apple-converted-space"/>
          <w:rFonts w:ascii="Gill Sans MT" w:hAnsi="Gill Sans MT"/>
          <w:color w:val="000000"/>
        </w:rPr>
        <w:t xml:space="preserve"> might be legitimate concerns that the non-democratic character of human rights mechanisms and institutions may actually interfere with the creation of the kind of human rights culture, based on inclusion and the minimisation of difference,</w:t>
      </w:r>
      <w:r w:rsidR="00227F61">
        <w:rPr>
          <w:rStyle w:val="FootnoteReference"/>
          <w:rFonts w:ascii="Gill Sans MT" w:hAnsi="Gill Sans MT"/>
          <w:color w:val="000000"/>
        </w:rPr>
        <w:footnoteReference w:id="51"/>
      </w:r>
      <w:r w:rsidR="00227F61">
        <w:rPr>
          <w:rStyle w:val="apple-converted-space"/>
          <w:rFonts w:ascii="Gill Sans MT" w:hAnsi="Gill Sans MT"/>
          <w:color w:val="000000"/>
        </w:rPr>
        <w:t xml:space="preserve"> to which </w:t>
      </w:r>
      <w:proofErr w:type="spellStart"/>
      <w:r w:rsidR="00227F61">
        <w:rPr>
          <w:rStyle w:val="apple-converted-space"/>
          <w:rFonts w:ascii="Gill Sans MT" w:hAnsi="Gill Sans MT"/>
          <w:color w:val="000000"/>
        </w:rPr>
        <w:t>Rorty</w:t>
      </w:r>
      <w:proofErr w:type="spellEnd"/>
      <w:r w:rsidR="00227F61">
        <w:rPr>
          <w:rStyle w:val="apple-converted-space"/>
          <w:rFonts w:ascii="Gill Sans MT" w:hAnsi="Gill Sans MT"/>
          <w:color w:val="000000"/>
        </w:rPr>
        <w:t xml:space="preserve"> aspires.</w:t>
      </w:r>
    </w:p>
    <w:p w14:paraId="5D117B44" w14:textId="10615D7E" w:rsidR="003B2D7D" w:rsidRDefault="00022D69" w:rsidP="009458CB">
      <w:pPr>
        <w:pStyle w:val="NoSpacing"/>
        <w:jc w:val="both"/>
        <w:rPr>
          <w:rFonts w:ascii="Gill Sans MT" w:hAnsi="Gill Sans MT"/>
        </w:rPr>
      </w:pPr>
      <w:r>
        <w:rPr>
          <w:rFonts w:ascii="Gill Sans MT" w:hAnsi="Gill Sans MT"/>
        </w:rPr>
        <w:tab/>
      </w:r>
      <w:r w:rsidR="00AA4E13">
        <w:rPr>
          <w:rFonts w:ascii="Gill Sans MT" w:hAnsi="Gill Sans MT"/>
        </w:rPr>
        <w:t xml:space="preserve">It may ultimately be the case that the debate about media representations of human rights law is one which obscures far deeper questions about the means and utility of the legal systems and structures which have been established for the protection of ostensibly fundamental rights. </w:t>
      </w:r>
      <w:r w:rsidR="003B2D7D">
        <w:rPr>
          <w:rFonts w:ascii="Gill Sans MT" w:hAnsi="Gill Sans MT"/>
        </w:rPr>
        <w:t xml:space="preserve">Nor can we avoid these deeper questions by pragmatic appeals to embrace human rights instrumentalism. </w:t>
      </w:r>
      <w:r w:rsidR="00705980">
        <w:rPr>
          <w:rFonts w:ascii="Gill Sans MT" w:hAnsi="Gill Sans MT"/>
        </w:rPr>
        <w:t xml:space="preserve">In that sense, we may </w:t>
      </w:r>
      <w:r w:rsidR="00304671">
        <w:rPr>
          <w:rFonts w:ascii="Gill Sans MT" w:hAnsi="Gill Sans MT"/>
        </w:rPr>
        <w:t>curren</w:t>
      </w:r>
      <w:r w:rsidR="00705980">
        <w:rPr>
          <w:rFonts w:ascii="Gill Sans MT" w:hAnsi="Gill Sans MT"/>
        </w:rPr>
        <w:t>tly be having the wrong debate about the wrong problems</w:t>
      </w:r>
      <w:r w:rsidR="003B2D7D">
        <w:rPr>
          <w:rFonts w:ascii="Gill Sans MT" w:hAnsi="Gill Sans MT"/>
        </w:rPr>
        <w:t xml:space="preserve">: one which occurs within the framework established by human rights law and the public representations of that phenomenon, rather than one which is open to contesting the foundations of the human rights project, especially on democratic grounds. </w:t>
      </w:r>
    </w:p>
    <w:p w14:paraId="02B2CE60" w14:textId="024C582F" w:rsidR="00705980" w:rsidRDefault="00AA4E13" w:rsidP="003B2D7D">
      <w:pPr>
        <w:pStyle w:val="NoSpacing"/>
        <w:ind w:firstLine="720"/>
        <w:jc w:val="both"/>
        <w:rPr>
          <w:rFonts w:ascii="Gill Sans MT" w:hAnsi="Gill Sans MT"/>
        </w:rPr>
      </w:pPr>
      <w:r>
        <w:rPr>
          <w:rFonts w:ascii="Gill Sans MT" w:hAnsi="Gill Sans MT"/>
          <w:color w:val="000000"/>
        </w:rPr>
        <w:t xml:space="preserve">None of this is necessarily an argument against human rights law per se, nor is this a credible prospect in any event, despite some claims that </w:t>
      </w:r>
      <w:r w:rsidR="004A74C6">
        <w:rPr>
          <w:rFonts w:ascii="Gill Sans MT" w:hAnsi="Gill Sans MT"/>
          <w:color w:val="000000"/>
        </w:rPr>
        <w:t>human rights</w:t>
      </w:r>
      <w:r>
        <w:rPr>
          <w:rFonts w:ascii="Gill Sans MT" w:hAnsi="Gill Sans MT"/>
          <w:color w:val="000000"/>
        </w:rPr>
        <w:t xml:space="preserve"> law faces its twilight.</w:t>
      </w:r>
      <w:r>
        <w:rPr>
          <w:rStyle w:val="FootnoteReference"/>
          <w:rFonts w:ascii="Gill Sans MT" w:hAnsi="Gill Sans MT"/>
          <w:color w:val="000000"/>
        </w:rPr>
        <w:footnoteReference w:id="52"/>
      </w:r>
      <w:r>
        <w:rPr>
          <w:rFonts w:ascii="Gill Sans MT" w:hAnsi="Gill Sans MT"/>
          <w:color w:val="000000"/>
        </w:rPr>
        <w:t xml:space="preserve"> Instead, the aim has been to identify inconsistencies in existing binary debates, and suggest that more nuance is required to understand fully the dynamics of media portrayals of legal human rights. We should be cautious </w:t>
      </w:r>
      <w:proofErr w:type="gramStart"/>
      <w:r>
        <w:rPr>
          <w:rFonts w:ascii="Gill Sans MT" w:hAnsi="Gill Sans MT"/>
          <w:color w:val="000000"/>
        </w:rPr>
        <w:t>in particular about</w:t>
      </w:r>
      <w:proofErr w:type="gramEnd"/>
      <w:r>
        <w:rPr>
          <w:rFonts w:ascii="Gill Sans MT" w:hAnsi="Gill Sans MT"/>
          <w:color w:val="000000"/>
        </w:rPr>
        <w:t xml:space="preserve"> </w:t>
      </w:r>
      <w:r w:rsidR="003B2D7D">
        <w:rPr>
          <w:rFonts w:ascii="Gill Sans MT" w:hAnsi="Gill Sans MT"/>
          <w:color w:val="000000"/>
        </w:rPr>
        <w:t xml:space="preserve">adopting </w:t>
      </w:r>
      <w:r>
        <w:rPr>
          <w:rFonts w:ascii="Gill Sans MT" w:hAnsi="Gill Sans MT"/>
          <w:color w:val="000000"/>
        </w:rPr>
        <w:t>the</w:t>
      </w:r>
      <w:r w:rsidR="003B2D7D">
        <w:rPr>
          <w:rFonts w:ascii="Gill Sans MT" w:hAnsi="Gill Sans MT"/>
          <w:color w:val="000000"/>
        </w:rPr>
        <w:t xml:space="preserve"> absolutist</w:t>
      </w:r>
      <w:r>
        <w:rPr>
          <w:rFonts w:ascii="Gill Sans MT" w:hAnsi="Gill Sans MT"/>
          <w:color w:val="000000"/>
        </w:rPr>
        <w:t xml:space="preserve"> conception of legality which underpins the archetypal characterisation of this debate, as between a ‘</w:t>
      </w:r>
      <w:r w:rsidR="003B2D7D">
        <w:rPr>
          <w:rFonts w:ascii="Gill Sans MT" w:hAnsi="Gill Sans MT"/>
          <w:color w:val="000000"/>
        </w:rPr>
        <w:t>Good’ and ‘B</w:t>
      </w:r>
      <w:r>
        <w:rPr>
          <w:rFonts w:ascii="Gill Sans MT" w:hAnsi="Gill Sans MT"/>
          <w:color w:val="000000"/>
        </w:rPr>
        <w:t xml:space="preserve">ad’ </w:t>
      </w:r>
      <w:r w:rsidR="003B2D7D">
        <w:rPr>
          <w:rFonts w:ascii="Gill Sans MT" w:hAnsi="Gill Sans MT"/>
          <w:color w:val="000000"/>
        </w:rPr>
        <w:t>press</w:t>
      </w:r>
      <w:r>
        <w:rPr>
          <w:rFonts w:ascii="Gill Sans MT" w:hAnsi="Gill Sans MT"/>
          <w:color w:val="000000"/>
        </w:rPr>
        <w:t xml:space="preserve">. For it throws a veil of unassailability over legal judgments, whether we view those results </w:t>
      </w:r>
      <w:r w:rsidR="00E72DED">
        <w:rPr>
          <w:rFonts w:ascii="Gill Sans MT" w:hAnsi="Gill Sans MT"/>
          <w:color w:val="000000"/>
        </w:rPr>
        <w:t xml:space="preserve">as </w:t>
      </w:r>
      <w:r>
        <w:rPr>
          <w:rFonts w:ascii="Gill Sans MT" w:hAnsi="Gill Sans MT"/>
          <w:color w:val="000000"/>
        </w:rPr>
        <w:t xml:space="preserve">desirable or obnoxious. And as the UK judiciary accrues greater power and influence in the constitution, legitimate scepticism of such </w:t>
      </w:r>
      <w:r>
        <w:rPr>
          <w:rFonts w:ascii="Gill Sans MT" w:hAnsi="Gill Sans MT"/>
          <w:color w:val="000000"/>
        </w:rPr>
        <w:lastRenderedPageBreak/>
        <w:t>claims to power is as important here as elsewhere.</w:t>
      </w:r>
      <w:r w:rsidR="00705980">
        <w:rPr>
          <w:rFonts w:ascii="Gill Sans MT" w:hAnsi="Gill Sans MT"/>
          <w:color w:val="000000"/>
        </w:rPr>
        <w:t xml:space="preserve">  It may be an indictment of our present accountability processes to suggest that there are no alternative</w:t>
      </w:r>
      <w:r w:rsidR="003B2D7D">
        <w:rPr>
          <w:rFonts w:ascii="Gill Sans MT" w:hAnsi="Gill Sans MT"/>
          <w:color w:val="000000"/>
        </w:rPr>
        <w:t>s</w:t>
      </w:r>
      <w:r w:rsidR="00705980">
        <w:rPr>
          <w:rFonts w:ascii="Gill Sans MT" w:hAnsi="Gill Sans MT"/>
          <w:color w:val="000000"/>
        </w:rPr>
        <w:t xml:space="preserve"> to</w:t>
      </w:r>
      <w:r w:rsidR="003B2D7D">
        <w:rPr>
          <w:rFonts w:ascii="Gill Sans MT" w:hAnsi="Gill Sans MT"/>
          <w:color w:val="000000"/>
        </w:rPr>
        <w:t xml:space="preserve"> the</w:t>
      </w:r>
      <w:r w:rsidR="00705980">
        <w:rPr>
          <w:rFonts w:ascii="Gill Sans MT" w:hAnsi="Gill Sans MT"/>
          <w:color w:val="000000"/>
        </w:rPr>
        <w:t xml:space="preserve"> judicial scrutiny of political action on human rights grounds, but the risk in choosing this path is that it excludes many others, now or in the future.  Once democracy is positioned as something which is subject to human rights law, rather than something which should be understood necessarily to generate commitments to collective and individual rights, this conceptual switch will be difficult to reverse. This is especially the case if elites are persuaded to commit to the formal legal protection of human rights on the basis that it provides them with moral cover, contracts out a range of difficult decisions they would prefer to avoid to a potential judicial scapegoat, while broadly sustaining their social authority.</w:t>
      </w:r>
      <w:r w:rsidR="00705980">
        <w:rPr>
          <w:rStyle w:val="FootnoteReference"/>
          <w:rFonts w:ascii="Gill Sans MT" w:hAnsi="Gill Sans MT"/>
          <w:color w:val="000000"/>
        </w:rPr>
        <w:footnoteReference w:id="53"/>
      </w:r>
    </w:p>
    <w:p w14:paraId="20A3F738" w14:textId="170C69C1" w:rsidR="00AA4E13" w:rsidRPr="004B0687" w:rsidRDefault="00705980" w:rsidP="00E745A1">
      <w:pPr>
        <w:pStyle w:val="NoSpacing"/>
        <w:ind w:firstLine="720"/>
        <w:jc w:val="both"/>
        <w:rPr>
          <w:rFonts w:ascii="Gill Sans MT" w:hAnsi="Gill Sans MT"/>
        </w:rPr>
      </w:pPr>
      <w:r>
        <w:rPr>
          <w:rFonts w:ascii="Gill Sans MT" w:hAnsi="Gill Sans MT"/>
          <w:color w:val="000000"/>
        </w:rPr>
        <w:t>How exactly we might alter the institutional arrangements associated with human rights protection has remained an open question in the UK for some time, and while no resolution appears imminent, any Bill of Rights is likely to replicate many of the core features of the H</w:t>
      </w:r>
      <w:r w:rsidR="004B0687">
        <w:rPr>
          <w:rFonts w:ascii="Gill Sans MT" w:hAnsi="Gill Sans MT"/>
          <w:color w:val="000000"/>
        </w:rPr>
        <w:t>uman Right</w:t>
      </w:r>
      <w:r w:rsidR="00304671">
        <w:rPr>
          <w:rFonts w:ascii="Gill Sans MT" w:hAnsi="Gill Sans MT"/>
          <w:color w:val="000000"/>
        </w:rPr>
        <w:t>s</w:t>
      </w:r>
      <w:r w:rsidR="004B0687">
        <w:rPr>
          <w:rFonts w:ascii="Gill Sans MT" w:hAnsi="Gill Sans MT"/>
          <w:color w:val="000000"/>
        </w:rPr>
        <w:t xml:space="preserve"> Act it would replace, as well as having been justified in </w:t>
      </w:r>
      <w:proofErr w:type="spellStart"/>
      <w:r w:rsidR="004B0687">
        <w:rPr>
          <w:rFonts w:ascii="Gill Sans MT" w:hAnsi="Gill Sans MT"/>
          <w:color w:val="000000"/>
        </w:rPr>
        <w:t>exceptionalist</w:t>
      </w:r>
      <w:proofErr w:type="spellEnd"/>
      <w:r w:rsidR="004B0687">
        <w:rPr>
          <w:rFonts w:ascii="Gill Sans MT" w:hAnsi="Gill Sans MT"/>
          <w:color w:val="000000"/>
        </w:rPr>
        <w:t xml:space="preserve"> </w:t>
      </w:r>
      <w:r w:rsidR="004B0687">
        <w:rPr>
          <w:rFonts w:ascii="Gill Sans MT" w:eastAsia="Times New Roman" w:hAnsi="Gill Sans MT"/>
        </w:rPr>
        <w:t>and jingoistic terms.</w:t>
      </w:r>
      <w:r w:rsidR="003B2D7D">
        <w:rPr>
          <w:rStyle w:val="FootnoteReference"/>
          <w:rFonts w:ascii="Gill Sans MT" w:hAnsi="Gill Sans MT"/>
          <w:color w:val="000000"/>
        </w:rPr>
        <w:footnoteReference w:id="54"/>
      </w:r>
      <w:r>
        <w:rPr>
          <w:rFonts w:ascii="Gill Sans MT" w:hAnsi="Gill Sans MT"/>
          <w:color w:val="000000"/>
        </w:rPr>
        <w:t xml:space="preserve"> </w:t>
      </w:r>
      <w:r w:rsidR="004B0687">
        <w:rPr>
          <w:rFonts w:ascii="Gill Sans MT" w:hAnsi="Gill Sans MT"/>
          <w:color w:val="000000"/>
        </w:rPr>
        <w:t>T</w:t>
      </w:r>
      <w:r w:rsidR="00AA4E13" w:rsidRPr="009C62B7">
        <w:rPr>
          <w:rFonts w:ascii="Gill Sans MT" w:eastAsia="Times New Roman" w:hAnsi="Gill Sans MT"/>
        </w:rPr>
        <w:t xml:space="preserve">he </w:t>
      </w:r>
      <w:r w:rsidR="00890AD1">
        <w:rPr>
          <w:rFonts w:ascii="Gill Sans MT" w:eastAsia="Times New Roman" w:hAnsi="Gill Sans MT"/>
        </w:rPr>
        <w:t xml:space="preserve">serious </w:t>
      </w:r>
      <w:r w:rsidR="00AA4E13" w:rsidRPr="009C62B7">
        <w:rPr>
          <w:rFonts w:ascii="Gill Sans MT" w:eastAsia="Times New Roman" w:hAnsi="Gill Sans MT"/>
        </w:rPr>
        <w:t>flaws of that debate do not vindicate the present arrangements</w:t>
      </w:r>
      <w:r w:rsidR="004B0687">
        <w:rPr>
          <w:rFonts w:ascii="Gill Sans MT" w:eastAsia="Times New Roman" w:hAnsi="Gill Sans MT"/>
        </w:rPr>
        <w:t>,</w:t>
      </w:r>
      <w:r w:rsidR="008274E0">
        <w:rPr>
          <w:rStyle w:val="FootnoteReference"/>
          <w:rFonts w:ascii="Gill Sans MT" w:eastAsia="Times New Roman" w:hAnsi="Gill Sans MT"/>
        </w:rPr>
        <w:footnoteReference w:id="55"/>
      </w:r>
      <w:r w:rsidR="004B0687">
        <w:rPr>
          <w:rFonts w:ascii="Gill Sans MT" w:eastAsia="Times New Roman" w:hAnsi="Gill Sans MT"/>
        </w:rPr>
        <w:t xml:space="preserve"> and much more expansive thinking about democratic alternatives to human rights law is required</w:t>
      </w:r>
      <w:r w:rsidR="00AA4E13" w:rsidRPr="009C62B7">
        <w:rPr>
          <w:rFonts w:ascii="Gill Sans MT" w:eastAsia="Times New Roman" w:hAnsi="Gill Sans MT"/>
        </w:rPr>
        <w:t xml:space="preserve">. </w:t>
      </w:r>
      <w:r w:rsidR="004B0687">
        <w:rPr>
          <w:rFonts w:ascii="Gill Sans MT" w:eastAsia="Times New Roman" w:hAnsi="Gill Sans MT"/>
        </w:rPr>
        <w:t>Yet</w:t>
      </w:r>
      <w:r w:rsidR="00AA4E13" w:rsidRPr="009C62B7">
        <w:rPr>
          <w:rFonts w:ascii="Gill Sans MT" w:eastAsia="Times New Roman" w:hAnsi="Gill Sans MT"/>
        </w:rPr>
        <w:t xml:space="preserve"> this may be exactly the problem: the binary public debate about rights makes nuanced sceptical positions difficult, perhaps near impossible, to articulate</w:t>
      </w:r>
      <w:r w:rsidR="004B0687">
        <w:rPr>
          <w:rFonts w:ascii="Gill Sans MT" w:eastAsia="Times New Roman" w:hAnsi="Gill Sans MT"/>
        </w:rPr>
        <w:t>, and</w:t>
      </w:r>
      <w:r w:rsidR="008274E0">
        <w:rPr>
          <w:rFonts w:ascii="Gill Sans MT" w:eastAsia="Times New Roman" w:hAnsi="Gill Sans MT"/>
        </w:rPr>
        <w:t xml:space="preserve"> accountability processes which would replace, rather than supplement, existing legalistic mechanisms </w:t>
      </w:r>
      <w:r w:rsidR="00A41FE0">
        <w:rPr>
          <w:rFonts w:ascii="Gill Sans MT" w:eastAsia="Times New Roman" w:hAnsi="Gill Sans MT"/>
        </w:rPr>
        <w:t>become difficult, perhaps near impossible, to construct</w:t>
      </w:r>
      <w:r w:rsidR="00AA4E13" w:rsidRPr="009C62B7">
        <w:rPr>
          <w:rFonts w:ascii="Gill Sans MT" w:eastAsia="Times New Roman" w:hAnsi="Gill Sans MT"/>
        </w:rPr>
        <w:t xml:space="preserve">. The nature of rights discourse may, ironically, be the very thing that generates such impoverished debate </w:t>
      </w:r>
      <w:r w:rsidR="00AA4E13" w:rsidRPr="009B013A">
        <w:rPr>
          <w:rFonts w:ascii="Gill Sans MT" w:eastAsia="Times New Roman" w:hAnsi="Gill Sans MT"/>
        </w:rPr>
        <w:t>about human rights and their place in the constitution. And while this is something we may try to acknowledge and understand, it is not something we can easily fix or break out of.</w:t>
      </w:r>
      <w:r w:rsidR="00A41FE0">
        <w:rPr>
          <w:rFonts w:ascii="Gill Sans MT" w:eastAsia="Times New Roman" w:hAnsi="Gill Sans MT"/>
        </w:rPr>
        <w:t xml:space="preserve"> So even if we are having the wrong argument about the wrong problem, the current public debate about human rights law is already framed in such a way as to make </w:t>
      </w:r>
      <w:r w:rsidR="00E745A1">
        <w:rPr>
          <w:rFonts w:ascii="Gill Sans MT" w:eastAsia="Times New Roman" w:hAnsi="Gill Sans MT"/>
        </w:rPr>
        <w:t xml:space="preserve">extremely challenging </w:t>
      </w:r>
      <w:r w:rsidR="00A41FE0">
        <w:rPr>
          <w:rFonts w:ascii="Gill Sans MT" w:eastAsia="Times New Roman" w:hAnsi="Gill Sans MT"/>
        </w:rPr>
        <w:t>the shift from where we are now – arguing about rights-outcomes and their representation in simplistic binary terms – to whe</w:t>
      </w:r>
      <w:r w:rsidR="00E745A1">
        <w:rPr>
          <w:rFonts w:ascii="Gill Sans MT" w:eastAsia="Times New Roman" w:hAnsi="Gill Sans MT"/>
        </w:rPr>
        <w:t xml:space="preserve">re we </w:t>
      </w:r>
      <w:r w:rsidR="00890AD1">
        <w:rPr>
          <w:rFonts w:ascii="Gill Sans MT" w:eastAsia="Times New Roman" w:hAnsi="Gill Sans MT"/>
        </w:rPr>
        <w:t>might instead want</w:t>
      </w:r>
      <w:r w:rsidR="00E745A1">
        <w:rPr>
          <w:rFonts w:ascii="Gill Sans MT" w:eastAsia="Times New Roman" w:hAnsi="Gill Sans MT"/>
        </w:rPr>
        <w:t xml:space="preserve"> to be going.  </w:t>
      </w:r>
    </w:p>
    <w:p w14:paraId="4D4FD79E" w14:textId="77777777" w:rsidR="004F5297" w:rsidRDefault="004F5297" w:rsidP="00A525D9">
      <w:pPr>
        <w:pStyle w:val="NoSpacing"/>
        <w:rPr>
          <w:rFonts w:ascii="Gill Sans MT" w:hAnsi="Gill Sans MT"/>
          <w:color w:val="000000"/>
        </w:rPr>
      </w:pPr>
    </w:p>
    <w:p w14:paraId="0B0FA2B1" w14:textId="77777777" w:rsidR="00BB7A41" w:rsidRPr="00E745A1" w:rsidRDefault="00E745A1" w:rsidP="00A525D9">
      <w:pPr>
        <w:pStyle w:val="NoSpacing"/>
        <w:rPr>
          <w:rFonts w:ascii="Gill Sans MT" w:hAnsi="Gill Sans MT"/>
          <w:i/>
          <w:color w:val="000000"/>
          <w:u w:val="single"/>
        </w:rPr>
      </w:pPr>
      <w:r w:rsidRPr="00E745A1">
        <w:rPr>
          <w:rFonts w:ascii="Gill Sans MT" w:hAnsi="Gill Sans MT"/>
          <w:i/>
          <w:color w:val="000000"/>
          <w:u w:val="single"/>
        </w:rPr>
        <w:t>Conclusion</w:t>
      </w:r>
    </w:p>
    <w:p w14:paraId="71E10F0E" w14:textId="77777777" w:rsidR="00AF1AD5" w:rsidRDefault="00AF1AD5" w:rsidP="00A525D9">
      <w:pPr>
        <w:pStyle w:val="NoSpacing"/>
        <w:rPr>
          <w:rFonts w:ascii="Gill Sans MT" w:hAnsi="Gill Sans MT"/>
          <w:color w:val="000000"/>
        </w:rPr>
      </w:pPr>
    </w:p>
    <w:p w14:paraId="620B731C" w14:textId="7115917A" w:rsidR="006631EE" w:rsidRPr="006A18AB" w:rsidRDefault="00F72683" w:rsidP="006A18AB">
      <w:pPr>
        <w:pStyle w:val="NoSpacing"/>
        <w:jc w:val="both"/>
        <w:rPr>
          <w:rStyle w:val="apple-converted-space"/>
          <w:rFonts w:ascii="Gill Sans MT" w:hAnsi="Gill Sans MT"/>
        </w:rPr>
      </w:pPr>
      <w:r>
        <w:rPr>
          <w:rFonts w:ascii="Gill Sans MT" w:hAnsi="Gill Sans MT"/>
        </w:rPr>
        <w:t>Considering the debate about human rights law and its representation in the media has the potential to give us important insight</w:t>
      </w:r>
      <w:r w:rsidR="00C465A8">
        <w:rPr>
          <w:rFonts w:ascii="Gill Sans MT" w:hAnsi="Gill Sans MT"/>
        </w:rPr>
        <w:t>s</w:t>
      </w:r>
      <w:r>
        <w:rPr>
          <w:rFonts w:ascii="Gill Sans MT" w:hAnsi="Gill Sans MT"/>
        </w:rPr>
        <w:t xml:space="preserve"> into deeper issues with (and within) our legal and political systems. This </w:t>
      </w:r>
      <w:r w:rsidR="00A15ECA">
        <w:rPr>
          <w:rFonts w:ascii="Gill Sans MT" w:hAnsi="Gill Sans MT"/>
        </w:rPr>
        <w:t xml:space="preserve">chapter </w:t>
      </w:r>
      <w:r>
        <w:rPr>
          <w:rFonts w:ascii="Gill Sans MT" w:hAnsi="Gill Sans MT"/>
        </w:rPr>
        <w:t>has argued that, on all sides, the press</w:t>
      </w:r>
      <w:r w:rsidR="00AF1AD5">
        <w:rPr>
          <w:rFonts w:ascii="Gill Sans MT" w:hAnsi="Gill Sans MT"/>
        </w:rPr>
        <w:t xml:space="preserve"> </w:t>
      </w:r>
      <w:r>
        <w:rPr>
          <w:rFonts w:ascii="Gill Sans MT" w:hAnsi="Gill Sans MT"/>
        </w:rPr>
        <w:t>should</w:t>
      </w:r>
      <w:r w:rsidR="00AF1AD5">
        <w:rPr>
          <w:rFonts w:ascii="Gill Sans MT" w:hAnsi="Gill Sans MT"/>
        </w:rPr>
        <w:t xml:space="preserve"> be understood to be using rights instrumentally because rights are, truly, an instrumental tool. In that sense, the debate about </w:t>
      </w:r>
      <w:r>
        <w:rPr>
          <w:rFonts w:ascii="Gill Sans MT" w:hAnsi="Gill Sans MT"/>
        </w:rPr>
        <w:t>human rights</w:t>
      </w:r>
      <w:r w:rsidR="00AF1AD5">
        <w:rPr>
          <w:rFonts w:ascii="Gill Sans MT" w:hAnsi="Gill Sans MT"/>
        </w:rPr>
        <w:t xml:space="preserve"> and (or in) the media is simply one in which a more fundamental problem is manifested – the democratic political difficulties posed to a society which embraces the language and architecture of human rights as </w:t>
      </w:r>
      <w:r>
        <w:rPr>
          <w:rFonts w:ascii="Gill Sans MT" w:hAnsi="Gill Sans MT"/>
        </w:rPr>
        <w:t>the</w:t>
      </w:r>
      <w:r w:rsidR="00AF1AD5">
        <w:rPr>
          <w:rFonts w:ascii="Gill Sans MT" w:hAnsi="Gill Sans MT"/>
        </w:rPr>
        <w:t xml:space="preserve"> basis for its </w:t>
      </w:r>
      <w:r>
        <w:rPr>
          <w:rFonts w:ascii="Gill Sans MT" w:hAnsi="Gill Sans MT"/>
        </w:rPr>
        <w:t>core</w:t>
      </w:r>
      <w:r w:rsidR="00AF1AD5">
        <w:rPr>
          <w:rFonts w:ascii="Gill Sans MT" w:hAnsi="Gill Sans MT"/>
        </w:rPr>
        <w:t xml:space="preserve"> po</w:t>
      </w:r>
      <w:r>
        <w:rPr>
          <w:rFonts w:ascii="Gill Sans MT" w:hAnsi="Gill Sans MT"/>
        </w:rPr>
        <w:t>litical morality. This problem</w:t>
      </w:r>
      <w:r w:rsidR="00AF1AD5">
        <w:rPr>
          <w:rFonts w:ascii="Gill Sans MT" w:hAnsi="Gill Sans MT"/>
        </w:rPr>
        <w:t xml:space="preserve"> is one which deserv</w:t>
      </w:r>
      <w:r>
        <w:rPr>
          <w:rFonts w:ascii="Gill Sans MT" w:hAnsi="Gill Sans MT"/>
        </w:rPr>
        <w:t xml:space="preserve">es real and sustained attention, yet the very nature of human rights law – which is ultimately focused on the ends, rather than the means, of political decision-making – frames the discourse about rights in ways which threaten to lock out discussion of the systemic, structural, institutional </w:t>
      </w:r>
      <w:r w:rsidR="001623BD">
        <w:rPr>
          <w:rFonts w:ascii="Gill Sans MT" w:hAnsi="Gill Sans MT"/>
        </w:rPr>
        <w:t>problems with</w:t>
      </w:r>
      <w:r w:rsidR="006A18AB">
        <w:rPr>
          <w:rFonts w:ascii="Gill Sans MT" w:hAnsi="Gill Sans MT"/>
        </w:rPr>
        <w:t xml:space="preserve"> the operation of legal human rights protection. While the displacement of democratic scepticism about the functioning </w:t>
      </w:r>
      <w:r w:rsidR="004837BE">
        <w:rPr>
          <w:rFonts w:ascii="Gill Sans MT" w:hAnsi="Gill Sans MT"/>
        </w:rPr>
        <w:t xml:space="preserve">of </w:t>
      </w:r>
      <w:r w:rsidR="006A18AB">
        <w:rPr>
          <w:rFonts w:ascii="Gill Sans MT" w:hAnsi="Gill Sans MT"/>
        </w:rPr>
        <w:t>human rights law is far from inevitable, the prospect of an institutional realignment which moves us away from the current legal rights paradigm seems distant. It may be, then, that the value of democratic rights scepticism need</w:t>
      </w:r>
      <w:r w:rsidR="0010515F">
        <w:rPr>
          <w:rFonts w:ascii="Gill Sans MT" w:hAnsi="Gill Sans MT"/>
        </w:rPr>
        <w:t>s</w:t>
      </w:r>
      <w:r w:rsidR="006A18AB">
        <w:rPr>
          <w:rFonts w:ascii="Gill Sans MT" w:hAnsi="Gill Sans MT"/>
        </w:rPr>
        <w:t xml:space="preserve"> to</w:t>
      </w:r>
      <w:r w:rsidR="004837BE">
        <w:rPr>
          <w:rFonts w:ascii="Gill Sans MT" w:hAnsi="Gill Sans MT"/>
        </w:rPr>
        <w:t xml:space="preserve"> be</w:t>
      </w:r>
      <w:r w:rsidR="006A18AB">
        <w:rPr>
          <w:rFonts w:ascii="Gill Sans MT" w:hAnsi="Gill Sans MT"/>
        </w:rPr>
        <w:t xml:space="preserve"> found in prompting fresh thinking about how to enhance accountability practices and processes which sit outside the architecture of human rights law, while also attemptin</w:t>
      </w:r>
      <w:r w:rsidR="00C465A8">
        <w:rPr>
          <w:rFonts w:ascii="Gill Sans MT" w:hAnsi="Gill Sans MT"/>
        </w:rPr>
        <w:t xml:space="preserve">g </w:t>
      </w:r>
      <w:r w:rsidR="00C465A8">
        <w:rPr>
          <w:rFonts w:ascii="Gill Sans MT" w:hAnsi="Gill Sans MT"/>
        </w:rPr>
        <w:lastRenderedPageBreak/>
        <w:t xml:space="preserve">to cultivate awareness of the false claims that such utopian legal frameworks ultimately propagate. </w:t>
      </w:r>
      <w:r w:rsidR="0000716A">
        <w:rPr>
          <w:rFonts w:ascii="Gill Sans MT" w:hAnsi="Gill Sans MT"/>
        </w:rPr>
        <w:t>In pursuing these goals, we will need to overcome the limitations of democratic scepticism if we are to challenge the limitations of human rights law.</w:t>
      </w:r>
    </w:p>
    <w:p w14:paraId="6C4BF015" w14:textId="77777777" w:rsidR="00EC5F2C" w:rsidRDefault="00D86BA6" w:rsidP="00ED679E">
      <w:pPr>
        <w:pStyle w:val="NoSpacing"/>
        <w:rPr>
          <w:rStyle w:val="apple-converted-space"/>
          <w:rFonts w:ascii="Gill Sans MT" w:hAnsi="Gill Sans MT"/>
          <w:color w:val="000000"/>
        </w:rPr>
      </w:pPr>
      <w:r w:rsidRPr="00D86BA6">
        <w:rPr>
          <w:rFonts w:ascii="Gill Sans MT" w:eastAsia="Times New Roman" w:hAnsi="Gill Sans MT"/>
        </w:rPr>
        <w:br/>
      </w:r>
      <w:r w:rsidRPr="00D86BA6">
        <w:rPr>
          <w:rFonts w:ascii="Gill Sans MT" w:eastAsia="Times New Roman" w:hAnsi="Gill Sans MT"/>
        </w:rPr>
        <w:br/>
      </w:r>
    </w:p>
    <w:p w14:paraId="38463996" w14:textId="77777777" w:rsidR="008E5162" w:rsidRPr="00565725" w:rsidRDefault="008E5162" w:rsidP="00A525D9">
      <w:pPr>
        <w:pStyle w:val="NoSpacing"/>
        <w:rPr>
          <w:rFonts w:ascii="Gill Sans MT" w:hAnsi="Gill Sans MT"/>
        </w:rPr>
      </w:pPr>
    </w:p>
    <w:sectPr w:rsidR="008E5162" w:rsidRPr="00565725" w:rsidSect="0040411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BE003" w14:textId="77777777" w:rsidR="00937BC2" w:rsidRDefault="00937BC2" w:rsidP="003001B9">
      <w:pPr>
        <w:spacing w:after="0" w:line="240" w:lineRule="auto"/>
      </w:pPr>
      <w:r>
        <w:separator/>
      </w:r>
    </w:p>
  </w:endnote>
  <w:endnote w:type="continuationSeparator" w:id="0">
    <w:p w14:paraId="5EA2E6BB" w14:textId="77777777" w:rsidR="00937BC2" w:rsidRDefault="00937BC2" w:rsidP="00300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dvTTd9d2734b.I">
    <w:panose1 w:val="00000000000000000000"/>
    <w:charset w:val="00"/>
    <w:family w:val="swiss"/>
    <w:notTrueType/>
    <w:pitch w:val="default"/>
    <w:sig w:usb0="00000003" w:usb1="00000000" w:usb2="00000000" w:usb3="00000000" w:csb0="00000001" w:csb1="00000000"/>
  </w:font>
  <w:font w:name="AdvTT00bc0be2">
    <w:panose1 w:val="00000000000000000000"/>
    <w:charset w:val="00"/>
    <w:family w:val="roman"/>
    <w:notTrueType/>
    <w:pitch w:val="default"/>
    <w:sig w:usb0="00000003" w:usb1="00000000" w:usb2="00000000" w:usb3="00000000" w:csb0="00000001" w:csb1="00000000"/>
  </w:font>
  <w:font w:name="AdvTTd9d2734b.I+20">
    <w:panose1 w:val="00000000000000000000"/>
    <w:charset w:val="00"/>
    <w:family w:val="swiss"/>
    <w:notTrueType/>
    <w:pitch w:val="default"/>
    <w:sig w:usb0="00000003" w:usb1="00000000" w:usb2="00000000" w:usb3="00000000" w:csb0="00000001" w:csb1="00000000"/>
  </w:font>
  <w:font w:name="AdvOT255b5711.I">
    <w:panose1 w:val="00000000000000000000"/>
    <w:charset w:val="00"/>
    <w:family w:val="swiss"/>
    <w:notTrueType/>
    <w:pitch w:val="default"/>
    <w:sig w:usb0="00000003" w:usb1="00000000" w:usb2="00000000" w:usb3="00000000" w:csb0="00000001" w:csb1="00000000"/>
  </w:font>
  <w:font w:name="AdvOT77db9845">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6875755"/>
      <w:docPartObj>
        <w:docPartGallery w:val="Page Numbers (Bottom of Page)"/>
        <w:docPartUnique/>
      </w:docPartObj>
    </w:sdtPr>
    <w:sdtEndPr>
      <w:rPr>
        <w:noProof/>
      </w:rPr>
    </w:sdtEndPr>
    <w:sdtContent>
      <w:p w14:paraId="3B99503D" w14:textId="7CF1C6EE" w:rsidR="007031FB" w:rsidRDefault="007031FB">
        <w:pPr>
          <w:pStyle w:val="Footer"/>
          <w:jc w:val="center"/>
        </w:pPr>
        <w:r w:rsidRPr="00040F5C">
          <w:rPr>
            <w:rFonts w:ascii="Gill Sans MT" w:hAnsi="Gill Sans MT"/>
          </w:rPr>
          <w:fldChar w:fldCharType="begin"/>
        </w:r>
        <w:r w:rsidRPr="00040F5C">
          <w:rPr>
            <w:rFonts w:ascii="Gill Sans MT" w:hAnsi="Gill Sans MT"/>
          </w:rPr>
          <w:instrText xml:space="preserve"> PAGE   \* MERGEFORMAT </w:instrText>
        </w:r>
        <w:r w:rsidRPr="00040F5C">
          <w:rPr>
            <w:rFonts w:ascii="Gill Sans MT" w:hAnsi="Gill Sans MT"/>
          </w:rPr>
          <w:fldChar w:fldCharType="separate"/>
        </w:r>
        <w:r w:rsidR="00482A02">
          <w:rPr>
            <w:rFonts w:ascii="Gill Sans MT" w:hAnsi="Gill Sans MT"/>
            <w:noProof/>
          </w:rPr>
          <w:t>13</w:t>
        </w:r>
        <w:r w:rsidRPr="00040F5C">
          <w:rPr>
            <w:rFonts w:ascii="Gill Sans MT" w:hAnsi="Gill Sans MT"/>
            <w:noProof/>
          </w:rPr>
          <w:fldChar w:fldCharType="end"/>
        </w:r>
      </w:p>
    </w:sdtContent>
  </w:sdt>
  <w:p w14:paraId="03A8175F" w14:textId="77777777" w:rsidR="007031FB" w:rsidRDefault="00703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2CD21" w14:textId="77777777" w:rsidR="00937BC2" w:rsidRDefault="00937BC2" w:rsidP="003001B9">
      <w:pPr>
        <w:spacing w:after="0" w:line="240" w:lineRule="auto"/>
      </w:pPr>
      <w:r>
        <w:separator/>
      </w:r>
    </w:p>
  </w:footnote>
  <w:footnote w:type="continuationSeparator" w:id="0">
    <w:p w14:paraId="412D571A" w14:textId="77777777" w:rsidR="00937BC2" w:rsidRDefault="00937BC2" w:rsidP="003001B9">
      <w:pPr>
        <w:spacing w:after="0" w:line="240" w:lineRule="auto"/>
      </w:pPr>
      <w:r>
        <w:continuationSeparator/>
      </w:r>
    </w:p>
  </w:footnote>
  <w:footnote w:id="1">
    <w:p w14:paraId="59A8AAF2" w14:textId="77777777" w:rsidR="007031FB" w:rsidRPr="00C82F49" w:rsidRDefault="007031FB">
      <w:pPr>
        <w:pStyle w:val="FootnoteText"/>
        <w:rPr>
          <w:rFonts w:ascii="Gill Sans MT" w:hAnsi="Gill Sans MT"/>
        </w:rPr>
      </w:pPr>
      <w:r w:rsidRPr="00C82F49">
        <w:rPr>
          <w:rStyle w:val="FootnoteReference"/>
          <w:rFonts w:ascii="Gill Sans MT" w:hAnsi="Gill Sans MT"/>
        </w:rPr>
        <w:footnoteRef/>
      </w:r>
      <w:r w:rsidRPr="00C82F49">
        <w:rPr>
          <w:rFonts w:ascii="Gill Sans MT" w:hAnsi="Gill Sans MT"/>
        </w:rPr>
        <w:t xml:space="preserve"> On the Human Rights Act 1998 generally, see e.g. KD Ewing, ‘The Human Rights Act and Parliamentary Democracy’ (1999) 62 </w:t>
      </w:r>
      <w:r w:rsidRPr="00C82F49">
        <w:rPr>
          <w:rFonts w:ascii="Gill Sans MT" w:hAnsi="Gill Sans MT"/>
          <w:i/>
        </w:rPr>
        <w:t>Modern Law Review</w:t>
      </w:r>
      <w:r w:rsidRPr="00C82F49">
        <w:rPr>
          <w:rFonts w:ascii="Gill Sans MT" w:hAnsi="Gill Sans MT"/>
        </w:rPr>
        <w:t xml:space="preserve"> 79; C </w:t>
      </w:r>
      <w:proofErr w:type="spellStart"/>
      <w:r w:rsidRPr="00C82F49">
        <w:rPr>
          <w:rFonts w:ascii="Gill Sans MT" w:hAnsi="Gill Sans MT"/>
        </w:rPr>
        <w:t>Gearty</w:t>
      </w:r>
      <w:proofErr w:type="spellEnd"/>
      <w:r w:rsidRPr="00C82F49">
        <w:rPr>
          <w:rFonts w:ascii="Gill Sans MT" w:hAnsi="Gill Sans MT"/>
        </w:rPr>
        <w:t xml:space="preserve">, </w:t>
      </w:r>
      <w:r w:rsidRPr="00C82F49">
        <w:rPr>
          <w:rFonts w:ascii="Gill Sans MT" w:hAnsi="Gill Sans MT"/>
          <w:i/>
        </w:rPr>
        <w:t>Principles of Human Rights Adjudication</w:t>
      </w:r>
      <w:r w:rsidRPr="00C82F49">
        <w:rPr>
          <w:rFonts w:ascii="Gill Sans MT" w:hAnsi="Gill Sans MT"/>
        </w:rPr>
        <w:t xml:space="preserve"> (Oxford, Oxford University Press, 2004); A Kavanagh, </w:t>
      </w:r>
      <w:r w:rsidRPr="00C82F49">
        <w:rPr>
          <w:rFonts w:ascii="Gill Sans MT" w:hAnsi="Gill Sans MT"/>
          <w:i/>
        </w:rPr>
        <w:t xml:space="preserve">Constitutional Review under the UK Human Rights Act </w:t>
      </w:r>
      <w:r w:rsidRPr="00C82F49">
        <w:rPr>
          <w:rFonts w:ascii="Gill Sans MT" w:hAnsi="Gill Sans MT"/>
        </w:rPr>
        <w:t xml:space="preserve">(Cambridge, Cambridge University Press, 2009); AL Young, </w:t>
      </w:r>
      <w:r w:rsidRPr="00C82F49">
        <w:rPr>
          <w:rFonts w:ascii="Gill Sans MT" w:hAnsi="Gill Sans MT"/>
          <w:i/>
        </w:rPr>
        <w:t>Parliamentary Sovereignty and the Human Rights Act</w:t>
      </w:r>
      <w:r w:rsidRPr="00C82F49">
        <w:rPr>
          <w:rFonts w:ascii="Gill Sans MT" w:hAnsi="Gill Sans MT"/>
        </w:rPr>
        <w:t xml:space="preserve"> (Oxford, Hart Publishing, 2009).</w:t>
      </w:r>
    </w:p>
  </w:footnote>
  <w:footnote w:id="2">
    <w:p w14:paraId="36B2E5D3" w14:textId="77777777" w:rsidR="007031FB" w:rsidRPr="00C82F49" w:rsidRDefault="007031FB">
      <w:pPr>
        <w:pStyle w:val="FootnoteText"/>
        <w:rPr>
          <w:rFonts w:ascii="Gill Sans MT" w:hAnsi="Gill Sans MT"/>
        </w:rPr>
      </w:pPr>
      <w:r w:rsidRPr="00C82F49">
        <w:rPr>
          <w:rStyle w:val="FootnoteReference"/>
          <w:rFonts w:ascii="Gill Sans MT" w:hAnsi="Gill Sans MT"/>
        </w:rPr>
        <w:footnoteRef/>
      </w:r>
      <w:r w:rsidRPr="00C82F49">
        <w:rPr>
          <w:rFonts w:ascii="Gill Sans MT" w:hAnsi="Gill Sans MT"/>
        </w:rPr>
        <w:t xml:space="preserve"> V </w:t>
      </w:r>
      <w:proofErr w:type="spellStart"/>
      <w:r w:rsidRPr="00C82F49">
        <w:rPr>
          <w:rFonts w:ascii="Gill Sans MT" w:hAnsi="Gill Sans MT"/>
        </w:rPr>
        <w:t>Bogdanor</w:t>
      </w:r>
      <w:proofErr w:type="spellEnd"/>
      <w:r w:rsidRPr="00C82F49">
        <w:rPr>
          <w:rFonts w:ascii="Gill Sans MT" w:hAnsi="Gill Sans MT"/>
        </w:rPr>
        <w:t xml:space="preserve">, ‘Our New Constitution’ (2004) 120 </w:t>
      </w:r>
      <w:r w:rsidRPr="00C82F49">
        <w:rPr>
          <w:rFonts w:ascii="Gill Sans MT" w:hAnsi="Gill Sans MT"/>
          <w:i/>
        </w:rPr>
        <w:t xml:space="preserve">Law Quarterly Review </w:t>
      </w:r>
      <w:r w:rsidRPr="00C82F49">
        <w:rPr>
          <w:rFonts w:ascii="Gill Sans MT" w:hAnsi="Gill Sans MT"/>
        </w:rPr>
        <w:t xml:space="preserve">242, 259.  See also V </w:t>
      </w:r>
      <w:proofErr w:type="spellStart"/>
      <w:r w:rsidRPr="00C82F49">
        <w:rPr>
          <w:rFonts w:ascii="Gill Sans MT" w:hAnsi="Gill Sans MT"/>
        </w:rPr>
        <w:t>Bogdanor</w:t>
      </w:r>
      <w:proofErr w:type="spellEnd"/>
      <w:r w:rsidRPr="00C82F49">
        <w:rPr>
          <w:rFonts w:ascii="Gill Sans MT" w:hAnsi="Gill Sans MT"/>
        </w:rPr>
        <w:t xml:space="preserve">, </w:t>
      </w:r>
      <w:r w:rsidRPr="00C82F49">
        <w:rPr>
          <w:rFonts w:ascii="Gill Sans MT" w:hAnsi="Gill Sans MT"/>
          <w:i/>
        </w:rPr>
        <w:t>The New British Constitution</w:t>
      </w:r>
      <w:r w:rsidRPr="00C82F49">
        <w:rPr>
          <w:rFonts w:ascii="Gill Sans MT" w:hAnsi="Gill Sans MT"/>
        </w:rPr>
        <w:t xml:space="preserve"> (Oxford, Hart Publishing, 2009).</w:t>
      </w:r>
    </w:p>
  </w:footnote>
  <w:footnote w:id="3">
    <w:p w14:paraId="08279650" w14:textId="77777777" w:rsidR="007031FB" w:rsidRPr="00C82F49" w:rsidRDefault="007031FB">
      <w:pPr>
        <w:pStyle w:val="FootnoteText"/>
        <w:rPr>
          <w:rFonts w:ascii="Gill Sans MT" w:hAnsi="Gill Sans MT"/>
        </w:rPr>
      </w:pPr>
      <w:r w:rsidRPr="00C82F49">
        <w:rPr>
          <w:rStyle w:val="FootnoteReference"/>
          <w:rFonts w:ascii="Gill Sans MT" w:hAnsi="Gill Sans MT"/>
        </w:rPr>
        <w:footnoteRef/>
      </w:r>
      <w:r w:rsidRPr="00C82F49">
        <w:rPr>
          <w:rFonts w:ascii="Gill Sans MT" w:hAnsi="Gill Sans MT"/>
        </w:rPr>
        <w:t xml:space="preserve"> See the (ongoing) debates – within the Conservative Party in particular – about whether the Human Rights Act should be replaced with a British Bill of Rights; see e.g. the report of the Commission on a Bill of Rights, </w:t>
      </w:r>
      <w:r w:rsidRPr="00C82F49">
        <w:rPr>
          <w:rFonts w:ascii="Gill Sans MT" w:hAnsi="Gill Sans MT"/>
          <w:i/>
        </w:rPr>
        <w:t xml:space="preserve">A UK Bill of Rights? The Choice Before Us </w:t>
      </w:r>
      <w:r w:rsidRPr="00C82F49">
        <w:rPr>
          <w:rFonts w:ascii="Gill Sans MT" w:hAnsi="Gill Sans MT"/>
        </w:rPr>
        <w:t xml:space="preserve">(December 2012).  For an overview, see House of Commons Library, ‘A British Bill of Rights?’, </w:t>
      </w:r>
      <w:r w:rsidRPr="00C82F49">
        <w:rPr>
          <w:rFonts w:ascii="Gill Sans MT" w:hAnsi="Gill Sans MT"/>
          <w:i/>
        </w:rPr>
        <w:t>Briefing Paper 7193</w:t>
      </w:r>
      <w:r w:rsidRPr="00C82F49">
        <w:rPr>
          <w:rFonts w:ascii="Gill Sans MT" w:hAnsi="Gill Sans MT"/>
        </w:rPr>
        <w:t xml:space="preserve"> (18 May 2016)</w:t>
      </w:r>
    </w:p>
  </w:footnote>
  <w:footnote w:id="4">
    <w:p w14:paraId="71BE398D" w14:textId="77777777" w:rsidR="007031FB" w:rsidRPr="00C82F49" w:rsidRDefault="007031FB" w:rsidP="00196A04">
      <w:pPr>
        <w:pStyle w:val="FootnoteText"/>
        <w:rPr>
          <w:rFonts w:ascii="Gill Sans MT" w:hAnsi="Gill Sans MT"/>
        </w:rPr>
      </w:pPr>
      <w:r w:rsidRPr="00C82F49">
        <w:rPr>
          <w:rStyle w:val="FootnoteReference"/>
          <w:rFonts w:ascii="Gill Sans MT" w:hAnsi="Gill Sans MT"/>
        </w:rPr>
        <w:footnoteRef/>
      </w:r>
      <w:r w:rsidRPr="00C82F49">
        <w:rPr>
          <w:rFonts w:ascii="Gill Sans MT" w:hAnsi="Gill Sans MT"/>
        </w:rPr>
        <w:t xml:space="preserve"> </w:t>
      </w:r>
      <w:r w:rsidR="0028347F" w:rsidRPr="00C82F49">
        <w:rPr>
          <w:rFonts w:ascii="Gill Sans MT" w:hAnsi="Gill Sans MT"/>
        </w:rPr>
        <w:t xml:space="preserve">See e.g. S </w:t>
      </w:r>
      <w:proofErr w:type="spellStart"/>
      <w:r w:rsidR="0028347F" w:rsidRPr="00C82F49">
        <w:rPr>
          <w:rFonts w:ascii="Gill Sans MT" w:hAnsi="Gill Sans MT"/>
        </w:rPr>
        <w:t>Moyn</w:t>
      </w:r>
      <w:proofErr w:type="spellEnd"/>
      <w:r w:rsidR="0028347F" w:rsidRPr="00C82F49">
        <w:rPr>
          <w:rFonts w:ascii="Gill Sans MT" w:hAnsi="Gill Sans MT"/>
        </w:rPr>
        <w:t xml:space="preserve">, </w:t>
      </w:r>
      <w:r w:rsidR="0028347F" w:rsidRPr="00C82F49">
        <w:rPr>
          <w:rFonts w:ascii="Gill Sans MT" w:hAnsi="Gill Sans MT"/>
          <w:i/>
        </w:rPr>
        <w:t>The Last Utopia</w:t>
      </w:r>
      <w:r w:rsidR="0028347F" w:rsidRPr="00C82F49">
        <w:rPr>
          <w:rFonts w:ascii="Gill Sans MT" w:hAnsi="Gill Sans MT"/>
        </w:rPr>
        <w:t xml:space="preserve"> (Harvard, Harvard University Press, 2010).</w:t>
      </w:r>
    </w:p>
  </w:footnote>
  <w:footnote w:id="5">
    <w:p w14:paraId="29B2C2CC" w14:textId="77777777" w:rsidR="007031FB" w:rsidRPr="00C82F49" w:rsidRDefault="007031FB" w:rsidP="00196A04">
      <w:pPr>
        <w:pStyle w:val="FootnoteText"/>
        <w:rPr>
          <w:rFonts w:ascii="Gill Sans MT" w:hAnsi="Gill Sans MT"/>
        </w:rPr>
      </w:pPr>
      <w:r w:rsidRPr="00C82F49">
        <w:rPr>
          <w:rStyle w:val="FootnoteReference"/>
          <w:rFonts w:ascii="Gill Sans MT" w:hAnsi="Gill Sans MT"/>
        </w:rPr>
        <w:footnoteRef/>
      </w:r>
      <w:r w:rsidR="00BF7DED" w:rsidRPr="00C82F49">
        <w:rPr>
          <w:rFonts w:ascii="Gill Sans MT" w:hAnsi="Gill Sans MT"/>
        </w:rPr>
        <w:t xml:space="preserve"> </w:t>
      </w:r>
      <w:r w:rsidR="00BF7DED" w:rsidRPr="00273BBD">
        <w:rPr>
          <w:rFonts w:ascii="Gill Sans MT" w:hAnsi="Gill Sans MT"/>
          <w:highlight w:val="yellow"/>
        </w:rPr>
        <w:t>Cross refs to other chapters?</w:t>
      </w:r>
    </w:p>
  </w:footnote>
  <w:footnote w:id="6">
    <w:p w14:paraId="49E7C73A" w14:textId="77777777" w:rsidR="007031FB" w:rsidRPr="00C82F49" w:rsidRDefault="007031FB" w:rsidP="00196A04">
      <w:pPr>
        <w:pStyle w:val="Heading2"/>
        <w:shd w:val="clear" w:color="auto" w:fill="FFFFFF"/>
        <w:spacing w:before="0" w:beforeAutospacing="0" w:after="0" w:afterAutospacing="0"/>
        <w:rPr>
          <w:rFonts w:ascii="Gill Sans MT" w:hAnsi="Gill Sans MT"/>
          <w:b w:val="0"/>
          <w:color w:val="000000"/>
          <w:sz w:val="20"/>
          <w:szCs w:val="20"/>
        </w:rPr>
      </w:pPr>
      <w:r w:rsidRPr="00C82F49">
        <w:rPr>
          <w:rStyle w:val="FootnoteReference"/>
          <w:rFonts w:ascii="Gill Sans MT" w:hAnsi="Gill Sans MT"/>
          <w:b w:val="0"/>
          <w:sz w:val="20"/>
          <w:szCs w:val="20"/>
        </w:rPr>
        <w:footnoteRef/>
      </w:r>
      <w:r w:rsidRPr="00C82F49">
        <w:rPr>
          <w:rFonts w:ascii="Gill Sans MT" w:hAnsi="Gill Sans MT"/>
          <w:b w:val="0"/>
          <w:sz w:val="20"/>
          <w:szCs w:val="20"/>
        </w:rPr>
        <w:t xml:space="preserve"> </w:t>
      </w:r>
      <w:r w:rsidR="00102C5B" w:rsidRPr="00C82F49">
        <w:rPr>
          <w:rFonts w:ascii="Gill Sans MT" w:hAnsi="Gill Sans MT"/>
          <w:b w:val="0"/>
          <w:sz w:val="20"/>
          <w:szCs w:val="20"/>
        </w:rPr>
        <w:t xml:space="preserve">For an example in the European Court of Human Rights, see </w:t>
      </w:r>
      <w:r w:rsidR="00196A04" w:rsidRPr="00C82F49">
        <w:rPr>
          <w:rFonts w:ascii="Gill Sans MT" w:hAnsi="Gill Sans MT"/>
          <w:b w:val="0"/>
          <w:i/>
          <w:sz w:val="20"/>
          <w:szCs w:val="20"/>
        </w:rPr>
        <w:t>Al-Jedda</w:t>
      </w:r>
      <w:r w:rsidR="00102C5B" w:rsidRPr="00C82F49">
        <w:rPr>
          <w:rFonts w:ascii="Gill Sans MT" w:hAnsi="Gill Sans MT"/>
          <w:b w:val="0"/>
          <w:i/>
          <w:sz w:val="20"/>
          <w:szCs w:val="20"/>
        </w:rPr>
        <w:t xml:space="preserve"> v United Kingdom </w:t>
      </w:r>
      <w:r w:rsidR="00196A04" w:rsidRPr="00C82F49">
        <w:rPr>
          <w:rFonts w:ascii="Gill Sans MT" w:hAnsi="Gill Sans MT"/>
          <w:b w:val="0"/>
          <w:sz w:val="20"/>
          <w:szCs w:val="20"/>
        </w:rPr>
        <w:t>(</w:t>
      </w:r>
      <w:r w:rsidR="00196A04" w:rsidRPr="00C82F49">
        <w:rPr>
          <w:rFonts w:ascii="Gill Sans MT" w:hAnsi="Gill Sans MT"/>
          <w:b w:val="0"/>
          <w:color w:val="000000"/>
          <w:sz w:val="20"/>
          <w:szCs w:val="20"/>
          <w:shd w:val="clear" w:color="auto" w:fill="FFFFFF"/>
        </w:rPr>
        <w:t xml:space="preserve">Application No. 27021/08) </w:t>
      </w:r>
      <w:r w:rsidR="00196A04" w:rsidRPr="00C82F49">
        <w:rPr>
          <w:rFonts w:ascii="Gill Sans MT" w:hAnsi="Gill Sans MT"/>
          <w:b w:val="0"/>
          <w:color w:val="000000"/>
          <w:sz w:val="20"/>
          <w:szCs w:val="20"/>
        </w:rPr>
        <w:t>(2011) 53 E.H.R.R. 23</w:t>
      </w:r>
      <w:r w:rsidR="00102C5B" w:rsidRPr="00C82F49">
        <w:rPr>
          <w:rFonts w:ascii="Gill Sans MT" w:hAnsi="Gill Sans MT"/>
          <w:b w:val="0"/>
          <w:sz w:val="20"/>
          <w:szCs w:val="20"/>
        </w:rPr>
        <w:t xml:space="preserve">; for influential discussion of the approach of the courts in the UK, see </w:t>
      </w:r>
      <w:r w:rsidR="00102C5B" w:rsidRPr="00C82F49">
        <w:rPr>
          <w:rFonts w:ascii="Gill Sans MT" w:hAnsi="Gill Sans MT"/>
          <w:b w:val="0"/>
          <w:i/>
          <w:sz w:val="20"/>
          <w:szCs w:val="20"/>
        </w:rPr>
        <w:t xml:space="preserve">Huang v </w:t>
      </w:r>
      <w:r w:rsidR="00196A04" w:rsidRPr="00C82F49">
        <w:rPr>
          <w:rFonts w:ascii="Gill Sans MT" w:hAnsi="Gill Sans MT"/>
          <w:b w:val="0"/>
          <w:i/>
          <w:sz w:val="20"/>
          <w:szCs w:val="20"/>
        </w:rPr>
        <w:t xml:space="preserve">Secretary of State for the Home Department </w:t>
      </w:r>
      <w:r w:rsidR="00196A04" w:rsidRPr="00C82F49">
        <w:rPr>
          <w:rFonts w:ascii="Gill Sans MT" w:hAnsi="Gill Sans MT"/>
          <w:b w:val="0"/>
          <w:color w:val="000000"/>
          <w:sz w:val="20"/>
          <w:szCs w:val="20"/>
          <w:shd w:val="clear" w:color="auto" w:fill="FFFFFF"/>
        </w:rPr>
        <w:t>[2007] UKHL 11; [2007] 2 A.C. 167.</w:t>
      </w:r>
    </w:p>
  </w:footnote>
  <w:footnote w:id="7">
    <w:p w14:paraId="5BD2E1F9" w14:textId="77777777" w:rsidR="007031FB" w:rsidRPr="00C82F49" w:rsidRDefault="007031FB" w:rsidP="00196A04">
      <w:pPr>
        <w:pStyle w:val="FootnoteText"/>
        <w:rPr>
          <w:rFonts w:ascii="Gill Sans MT" w:hAnsi="Gill Sans MT"/>
        </w:rPr>
      </w:pPr>
      <w:r w:rsidRPr="00C82F49">
        <w:rPr>
          <w:rStyle w:val="FootnoteReference"/>
          <w:rFonts w:ascii="Gill Sans MT" w:hAnsi="Gill Sans MT"/>
        </w:rPr>
        <w:footnoteRef/>
      </w:r>
      <w:r w:rsidRPr="00C82F49">
        <w:rPr>
          <w:rFonts w:ascii="Gill Sans MT" w:hAnsi="Gill Sans MT"/>
        </w:rPr>
        <w:t xml:space="preserve"> </w:t>
      </w:r>
      <w:r w:rsidR="00DE0734" w:rsidRPr="00C82F49">
        <w:rPr>
          <w:rFonts w:ascii="Gill Sans MT" w:hAnsi="Gill Sans MT"/>
        </w:rPr>
        <w:t xml:space="preserve">T Carlyle, </w:t>
      </w:r>
      <w:r w:rsidR="00DE0734" w:rsidRPr="00C82F49">
        <w:rPr>
          <w:rFonts w:ascii="Gill Sans MT" w:hAnsi="Gill Sans MT"/>
          <w:i/>
          <w:iCs/>
        </w:rPr>
        <w:t>On Heroes, Hero-Worship and the Heroic in History</w:t>
      </w:r>
      <w:r w:rsidR="00DE0734" w:rsidRPr="00C82F49">
        <w:rPr>
          <w:rFonts w:ascii="Gill Sans MT" w:hAnsi="Gill Sans MT"/>
        </w:rPr>
        <w:t xml:space="preserve"> (1840), Lecture V.</w:t>
      </w:r>
    </w:p>
  </w:footnote>
  <w:footnote w:id="8">
    <w:p w14:paraId="4433E87F" w14:textId="637AD693" w:rsidR="007031FB" w:rsidRPr="00C82F49" w:rsidRDefault="007031FB">
      <w:pPr>
        <w:pStyle w:val="FootnoteText"/>
        <w:rPr>
          <w:rFonts w:ascii="Gill Sans MT" w:hAnsi="Gill Sans MT"/>
        </w:rPr>
      </w:pPr>
      <w:r w:rsidRPr="00C82F49">
        <w:rPr>
          <w:rStyle w:val="FootnoteReference"/>
          <w:rFonts w:ascii="Gill Sans MT" w:hAnsi="Gill Sans MT"/>
        </w:rPr>
        <w:footnoteRef/>
      </w:r>
      <w:r w:rsidRPr="00C82F49">
        <w:rPr>
          <w:rFonts w:ascii="Gill Sans MT" w:hAnsi="Gill Sans MT"/>
        </w:rPr>
        <w:t xml:space="preserve"> See e</w:t>
      </w:r>
      <w:r w:rsidR="004525D0" w:rsidRPr="00C82F49">
        <w:rPr>
          <w:rFonts w:ascii="Gill Sans MT" w:hAnsi="Gill Sans MT"/>
        </w:rPr>
        <w:t>.</w:t>
      </w:r>
      <w:r w:rsidRPr="00C82F49">
        <w:rPr>
          <w:rFonts w:ascii="Gill Sans MT" w:hAnsi="Gill Sans MT"/>
        </w:rPr>
        <w:t>g</w:t>
      </w:r>
      <w:r w:rsidR="004525D0" w:rsidRPr="00C82F49">
        <w:rPr>
          <w:rFonts w:ascii="Gill Sans MT" w:hAnsi="Gill Sans MT"/>
        </w:rPr>
        <w:t xml:space="preserve">. the recognition </w:t>
      </w:r>
      <w:r w:rsidR="000E4520">
        <w:rPr>
          <w:rFonts w:ascii="Gill Sans MT" w:hAnsi="Gill Sans MT"/>
        </w:rPr>
        <w:t>by</w:t>
      </w:r>
      <w:r w:rsidR="004525D0" w:rsidRPr="00C82F49">
        <w:rPr>
          <w:rFonts w:ascii="Gill Sans MT" w:hAnsi="Gill Sans MT"/>
        </w:rPr>
        <w:t xml:space="preserve"> Wo</w:t>
      </w:r>
      <w:r w:rsidRPr="00C82F49">
        <w:rPr>
          <w:rFonts w:ascii="Gill Sans MT" w:hAnsi="Gill Sans MT"/>
        </w:rPr>
        <w:t xml:space="preserve">odhouse </w:t>
      </w:r>
      <w:r w:rsidR="004525D0" w:rsidRPr="00C82F49">
        <w:rPr>
          <w:rFonts w:ascii="Gill Sans MT" w:hAnsi="Gill Sans MT"/>
        </w:rPr>
        <w:t>of</w:t>
      </w:r>
      <w:r w:rsidRPr="00C82F49">
        <w:rPr>
          <w:rFonts w:ascii="Gill Sans MT" w:hAnsi="Gill Sans MT"/>
        </w:rPr>
        <w:t xml:space="preserve"> the significant influence</w:t>
      </w:r>
      <w:r w:rsidR="004525D0" w:rsidRPr="00C82F49">
        <w:rPr>
          <w:rFonts w:ascii="Gill Sans MT" w:hAnsi="Gill Sans MT"/>
        </w:rPr>
        <w:t xml:space="preserve"> of the contemporary media</w:t>
      </w:r>
      <w:r w:rsidRPr="00C82F49">
        <w:rPr>
          <w:rFonts w:ascii="Gill Sans MT" w:hAnsi="Gill Sans MT"/>
        </w:rPr>
        <w:t xml:space="preserve"> over </w:t>
      </w:r>
      <w:r w:rsidR="004525D0" w:rsidRPr="00C82F49">
        <w:rPr>
          <w:rFonts w:ascii="Gill Sans MT" w:hAnsi="Gill Sans MT"/>
        </w:rPr>
        <w:t xml:space="preserve">the </w:t>
      </w:r>
      <w:r w:rsidRPr="00C82F49">
        <w:rPr>
          <w:rFonts w:ascii="Gill Sans MT" w:hAnsi="Gill Sans MT"/>
        </w:rPr>
        <w:t>application of the constitutional conventions concerning the responsi</w:t>
      </w:r>
      <w:r w:rsidR="004525D0" w:rsidRPr="00C82F49">
        <w:rPr>
          <w:rFonts w:ascii="Gill Sans MT" w:hAnsi="Gill Sans MT"/>
        </w:rPr>
        <w:t>bility of government ministers: ‘</w:t>
      </w:r>
      <w:r w:rsidR="003C3C14" w:rsidRPr="00C82F49">
        <w:rPr>
          <w:rFonts w:ascii="Gill Sans MT" w:hAnsi="Gill Sans MT"/>
        </w:rPr>
        <w:t>Most cases of resignation in the last 50 years owe something to the media’</w:t>
      </w:r>
      <w:r w:rsidR="004525D0" w:rsidRPr="00C82F49">
        <w:rPr>
          <w:rFonts w:ascii="Gill Sans MT" w:hAnsi="Gill Sans MT"/>
        </w:rPr>
        <w:t xml:space="preserve">; </w:t>
      </w:r>
      <w:r w:rsidR="003C3C14" w:rsidRPr="00C82F49">
        <w:rPr>
          <w:rFonts w:ascii="Gill Sans MT" w:hAnsi="Gill Sans MT"/>
        </w:rPr>
        <w:t>‘a sustained campaign by the media against a minister may be sufficient to bring him or her down’</w:t>
      </w:r>
      <w:r w:rsidR="00E30B36" w:rsidRPr="00C82F49">
        <w:rPr>
          <w:rFonts w:ascii="Gill Sans MT" w:hAnsi="Gill Sans MT"/>
        </w:rPr>
        <w:t xml:space="preserve">; D Woodhouse, ‘UK Ministerial Responsibility in 2002’ (2004) </w:t>
      </w:r>
      <w:r w:rsidR="00E30B36" w:rsidRPr="00C82F49">
        <w:rPr>
          <w:rFonts w:ascii="Gill Sans MT" w:hAnsi="Gill Sans MT"/>
          <w:i/>
          <w:iCs/>
        </w:rPr>
        <w:t>Public Administration</w:t>
      </w:r>
      <w:r w:rsidR="00E30B36" w:rsidRPr="00C82F49">
        <w:rPr>
          <w:rFonts w:ascii="Gill Sans MT" w:hAnsi="Gill Sans MT"/>
        </w:rPr>
        <w:t xml:space="preserve"> 1-19, 16.</w:t>
      </w:r>
    </w:p>
  </w:footnote>
  <w:footnote w:id="9">
    <w:p w14:paraId="166B1E37" w14:textId="77777777" w:rsidR="007031FB" w:rsidRPr="00C82F49" w:rsidRDefault="007031FB">
      <w:pPr>
        <w:pStyle w:val="FootnoteText"/>
        <w:rPr>
          <w:rFonts w:ascii="Gill Sans MT" w:hAnsi="Gill Sans MT"/>
        </w:rPr>
      </w:pPr>
      <w:r w:rsidRPr="00C82F49">
        <w:rPr>
          <w:rStyle w:val="FootnoteReference"/>
          <w:rFonts w:ascii="Gill Sans MT" w:hAnsi="Gill Sans MT"/>
        </w:rPr>
        <w:footnoteRef/>
      </w:r>
      <w:r w:rsidRPr="00C82F49">
        <w:rPr>
          <w:rFonts w:ascii="Gill Sans MT" w:hAnsi="Gill Sans MT"/>
        </w:rPr>
        <w:t xml:space="preserve"> Communications Act 2003, ss.</w:t>
      </w:r>
      <w:r w:rsidR="00476EE5" w:rsidRPr="00C82F49">
        <w:rPr>
          <w:rFonts w:ascii="Gill Sans MT" w:hAnsi="Gill Sans MT"/>
        </w:rPr>
        <w:t xml:space="preserve"> </w:t>
      </w:r>
      <w:r w:rsidRPr="00C82F49">
        <w:rPr>
          <w:rFonts w:ascii="Gill Sans MT" w:hAnsi="Gill Sans MT"/>
        </w:rPr>
        <w:t>319-320.</w:t>
      </w:r>
    </w:p>
  </w:footnote>
  <w:footnote w:id="10">
    <w:p w14:paraId="2672E1CC" w14:textId="77777777" w:rsidR="007031FB" w:rsidRPr="00C82F49" w:rsidRDefault="007031FB">
      <w:pPr>
        <w:pStyle w:val="FootnoteText"/>
        <w:rPr>
          <w:rFonts w:ascii="Gill Sans MT" w:hAnsi="Gill Sans MT"/>
        </w:rPr>
      </w:pPr>
      <w:r w:rsidRPr="00C82F49">
        <w:rPr>
          <w:rStyle w:val="FootnoteReference"/>
          <w:rFonts w:ascii="Gill Sans MT" w:hAnsi="Gill Sans MT"/>
        </w:rPr>
        <w:footnoteRef/>
      </w:r>
      <w:r w:rsidRPr="00C82F49">
        <w:rPr>
          <w:rFonts w:ascii="Gill Sans MT" w:hAnsi="Gill Sans MT"/>
        </w:rPr>
        <w:t xml:space="preserve"> See </w:t>
      </w:r>
      <w:proofErr w:type="gramStart"/>
      <w:r w:rsidR="00476EE5" w:rsidRPr="00C82F49">
        <w:rPr>
          <w:rFonts w:ascii="Gill Sans MT" w:hAnsi="Gill Sans MT"/>
          <w:i/>
        </w:rPr>
        <w:t>T</w:t>
      </w:r>
      <w:r w:rsidR="00393D05" w:rsidRPr="00C82F49">
        <w:rPr>
          <w:rFonts w:ascii="Gill Sans MT" w:hAnsi="Gill Sans MT"/>
          <w:i/>
        </w:rPr>
        <w:t>he</w:t>
      </w:r>
      <w:proofErr w:type="gramEnd"/>
      <w:r w:rsidR="00393D05" w:rsidRPr="00C82F49">
        <w:rPr>
          <w:rFonts w:ascii="Gill Sans MT" w:hAnsi="Gill Sans MT"/>
          <w:i/>
        </w:rPr>
        <w:t xml:space="preserve"> Ofcom Broadcasting Code </w:t>
      </w:r>
      <w:r w:rsidR="00393D05" w:rsidRPr="00C82F49">
        <w:rPr>
          <w:rFonts w:ascii="Gill Sans MT" w:hAnsi="Gill Sans MT"/>
        </w:rPr>
        <w:t>(April 2017)</w:t>
      </w:r>
      <w:r w:rsidR="00476EE5" w:rsidRPr="00C82F49">
        <w:rPr>
          <w:rFonts w:ascii="Gill Sans MT" w:hAnsi="Gill Sans MT"/>
        </w:rPr>
        <w:t xml:space="preserve">, at: &lt;https://www.ofcom.org.uk/__data/assets/pdf_file/0005/100103/broadcast-code-april-2017.pdf&gt;. </w:t>
      </w:r>
    </w:p>
  </w:footnote>
  <w:footnote w:id="11">
    <w:p w14:paraId="2189B82F" w14:textId="18CA5126" w:rsidR="004E37DB" w:rsidRDefault="004E37DB">
      <w:pPr>
        <w:pStyle w:val="FootnoteText"/>
      </w:pPr>
      <w:r>
        <w:rPr>
          <w:rStyle w:val="FootnoteReference"/>
        </w:rPr>
        <w:footnoteRef/>
      </w:r>
      <w:r>
        <w:t xml:space="preserve"> </w:t>
      </w:r>
      <w:r w:rsidR="00320033" w:rsidRPr="00273BBD">
        <w:rPr>
          <w:highlight w:val="yellow"/>
        </w:rPr>
        <w:t xml:space="preserve">Add </w:t>
      </w:r>
      <w:proofErr w:type="spellStart"/>
      <w:r w:rsidR="00320033" w:rsidRPr="00273BBD">
        <w:rPr>
          <w:highlight w:val="yellow"/>
        </w:rPr>
        <w:t>refrence</w:t>
      </w:r>
      <w:proofErr w:type="spellEnd"/>
      <w:r w:rsidR="00320033" w:rsidRPr="00273BBD">
        <w:rPr>
          <w:highlight w:val="yellow"/>
        </w:rPr>
        <w:t xml:space="preserve"> to </w:t>
      </w:r>
      <w:proofErr w:type="spellStart"/>
      <w:r w:rsidR="00320033" w:rsidRPr="00273BBD">
        <w:rPr>
          <w:highlight w:val="yellow"/>
        </w:rPr>
        <w:t>Drywood</w:t>
      </w:r>
      <w:proofErr w:type="spellEnd"/>
      <w:r w:rsidR="00320033" w:rsidRPr="00273BBD">
        <w:rPr>
          <w:highlight w:val="yellow"/>
        </w:rPr>
        <w:t>/</w:t>
      </w:r>
      <w:proofErr w:type="spellStart"/>
      <w:r w:rsidR="00320033" w:rsidRPr="00273BBD">
        <w:rPr>
          <w:highlight w:val="yellow"/>
        </w:rPr>
        <w:t>Gray</w:t>
      </w:r>
      <w:proofErr w:type="spellEnd"/>
      <w:r w:rsidR="00320033" w:rsidRPr="00273BBD">
        <w:rPr>
          <w:highlight w:val="yellow"/>
        </w:rPr>
        <w:t xml:space="preserve"> and Reynolds chapters here</w:t>
      </w:r>
    </w:p>
  </w:footnote>
  <w:footnote w:id="12">
    <w:p w14:paraId="204D2355" w14:textId="77777777" w:rsidR="007031FB" w:rsidRPr="00C82F49" w:rsidRDefault="007031FB">
      <w:pPr>
        <w:pStyle w:val="FootnoteText"/>
        <w:rPr>
          <w:rFonts w:ascii="Gill Sans MT" w:hAnsi="Gill Sans MT"/>
        </w:rPr>
      </w:pPr>
      <w:r w:rsidRPr="00C82F49">
        <w:rPr>
          <w:rStyle w:val="FootnoteReference"/>
          <w:rFonts w:ascii="Gill Sans MT" w:hAnsi="Gill Sans MT"/>
        </w:rPr>
        <w:footnoteRef/>
      </w:r>
      <w:r w:rsidRPr="00C82F49">
        <w:rPr>
          <w:rFonts w:ascii="Gill Sans MT" w:hAnsi="Gill Sans MT"/>
        </w:rPr>
        <w:t xml:space="preserve"> </w:t>
      </w:r>
      <w:r w:rsidR="00DE2E94" w:rsidRPr="00C82F49">
        <w:rPr>
          <w:rFonts w:ascii="Gill Sans MT" w:hAnsi="Gill Sans MT"/>
        </w:rPr>
        <w:t>See e.g. ‘Travellers use “human rights” to stop police “spying on them 24/7” then immediately du</w:t>
      </w:r>
      <w:r w:rsidR="000E4520">
        <w:rPr>
          <w:rFonts w:ascii="Gill Sans MT" w:hAnsi="Gill Sans MT"/>
        </w:rPr>
        <w:t>m</w:t>
      </w:r>
      <w:r w:rsidR="00DE2E94" w:rsidRPr="00C82F49">
        <w:rPr>
          <w:rFonts w:ascii="Gill Sans MT" w:hAnsi="Gill Sans MT"/>
        </w:rPr>
        <w:t xml:space="preserve">p and set fire to 70 TONS of rubbish on private land’, </w:t>
      </w:r>
      <w:r w:rsidR="00DE2E94" w:rsidRPr="00C82F49">
        <w:rPr>
          <w:rFonts w:ascii="Gill Sans MT" w:hAnsi="Gill Sans MT"/>
          <w:i/>
        </w:rPr>
        <w:t>Daily Mail</w:t>
      </w:r>
      <w:r w:rsidR="00DE2E94" w:rsidRPr="00C82F49">
        <w:rPr>
          <w:rFonts w:ascii="Gill Sans MT" w:hAnsi="Gill Sans MT"/>
        </w:rPr>
        <w:t xml:space="preserve"> (5 April 2017), at: </w:t>
      </w:r>
      <w:hyperlink r:id="rId1" w:history="1">
        <w:r w:rsidR="00DE2E94" w:rsidRPr="00C82F49">
          <w:rPr>
            <w:rStyle w:val="Hyperlink"/>
            <w:rFonts w:ascii="Gill Sans MT" w:hAnsi="Gill Sans MT"/>
          </w:rPr>
          <w:t>http://www.dailymail.co.uk/news/article-4382730/Travellers-use-human-rights-stop-police-watching-them.html</w:t>
        </w:r>
      </w:hyperlink>
      <w:r w:rsidR="00DE2E94" w:rsidRPr="00C82F49">
        <w:rPr>
          <w:rFonts w:ascii="Gill Sans MT" w:hAnsi="Gill Sans MT"/>
        </w:rPr>
        <w:t xml:space="preserve">. </w:t>
      </w:r>
    </w:p>
  </w:footnote>
  <w:footnote w:id="13">
    <w:p w14:paraId="4A512DA6" w14:textId="77777777" w:rsidR="007031FB" w:rsidRPr="00C82F49" w:rsidRDefault="007031FB">
      <w:pPr>
        <w:pStyle w:val="FootnoteText"/>
        <w:rPr>
          <w:rFonts w:ascii="Gill Sans MT" w:hAnsi="Gill Sans MT"/>
        </w:rPr>
      </w:pPr>
      <w:r w:rsidRPr="00C82F49">
        <w:rPr>
          <w:rStyle w:val="FootnoteReference"/>
          <w:rFonts w:ascii="Gill Sans MT" w:hAnsi="Gill Sans MT"/>
        </w:rPr>
        <w:footnoteRef/>
      </w:r>
      <w:r w:rsidRPr="00C82F49">
        <w:rPr>
          <w:rFonts w:ascii="Gill Sans MT" w:hAnsi="Gill Sans MT"/>
        </w:rPr>
        <w:t xml:space="preserve"> </w:t>
      </w:r>
      <w:r w:rsidR="00DE2E94" w:rsidRPr="00C82F49">
        <w:rPr>
          <w:rFonts w:ascii="Gill Sans MT" w:hAnsi="Gill Sans MT"/>
        </w:rPr>
        <w:t xml:space="preserve">See </w:t>
      </w:r>
      <w:r w:rsidR="00F5653F" w:rsidRPr="00C82F49">
        <w:rPr>
          <w:rFonts w:ascii="Gill Sans MT" w:hAnsi="Gill Sans MT"/>
        </w:rPr>
        <w:t>e.g.</w:t>
      </w:r>
      <w:r w:rsidR="00DE2E94" w:rsidRPr="00C82F49">
        <w:rPr>
          <w:rFonts w:ascii="Gill Sans MT" w:hAnsi="Gill Sans MT"/>
        </w:rPr>
        <w:t xml:space="preserve"> ‘New human rights to protect against “mind hacking” and brain data theft proposed’, </w:t>
      </w:r>
      <w:r w:rsidR="00DE2E94" w:rsidRPr="00C82F49">
        <w:rPr>
          <w:rFonts w:ascii="Gill Sans MT" w:hAnsi="Gill Sans MT"/>
          <w:i/>
        </w:rPr>
        <w:t xml:space="preserve">The Guardian </w:t>
      </w:r>
      <w:r w:rsidR="00DE2E94" w:rsidRPr="00C82F49">
        <w:rPr>
          <w:rFonts w:ascii="Gill Sans MT" w:hAnsi="Gill Sans MT"/>
        </w:rPr>
        <w:t xml:space="preserve">(26 April 2017), at: </w:t>
      </w:r>
      <w:hyperlink r:id="rId2" w:history="1">
        <w:r w:rsidR="00DE2E94" w:rsidRPr="00C82F49">
          <w:rPr>
            <w:rStyle w:val="Hyperlink"/>
            <w:rFonts w:ascii="Gill Sans MT" w:hAnsi="Gill Sans MT"/>
          </w:rPr>
          <w:t>https://www.theguardian.com/science/2017/apr/26/new-human-rights-to-protect-against-mind-hacking-and-brain-data-theft-proposed</w:t>
        </w:r>
      </w:hyperlink>
      <w:r w:rsidR="00F5797F" w:rsidRPr="00C82F49">
        <w:rPr>
          <w:rFonts w:ascii="Gill Sans MT" w:hAnsi="Gill Sans MT"/>
        </w:rPr>
        <w:t>.</w:t>
      </w:r>
    </w:p>
  </w:footnote>
  <w:footnote w:id="14">
    <w:p w14:paraId="275114DE" w14:textId="77777777" w:rsidR="007031FB" w:rsidRPr="00C82F49" w:rsidRDefault="007031FB">
      <w:pPr>
        <w:pStyle w:val="FootnoteText"/>
        <w:rPr>
          <w:rFonts w:ascii="Gill Sans MT" w:hAnsi="Gill Sans MT"/>
        </w:rPr>
      </w:pPr>
      <w:r w:rsidRPr="00C82F49">
        <w:rPr>
          <w:rStyle w:val="FootnoteReference"/>
          <w:rFonts w:ascii="Gill Sans MT" w:hAnsi="Gill Sans MT"/>
        </w:rPr>
        <w:footnoteRef/>
      </w:r>
      <w:r w:rsidRPr="00C82F49">
        <w:rPr>
          <w:rFonts w:ascii="Gill Sans MT" w:hAnsi="Gill Sans MT"/>
        </w:rPr>
        <w:t xml:space="preserve"> See e</w:t>
      </w:r>
      <w:r w:rsidR="00F5653F" w:rsidRPr="00C82F49">
        <w:rPr>
          <w:rFonts w:ascii="Gill Sans MT" w:hAnsi="Gill Sans MT"/>
        </w:rPr>
        <w:t>.</w:t>
      </w:r>
      <w:r w:rsidRPr="00C82F49">
        <w:rPr>
          <w:rFonts w:ascii="Gill Sans MT" w:hAnsi="Gill Sans MT"/>
        </w:rPr>
        <w:t>g</w:t>
      </w:r>
      <w:r w:rsidR="00F5653F" w:rsidRPr="00C82F49">
        <w:rPr>
          <w:rFonts w:ascii="Gill Sans MT" w:hAnsi="Gill Sans MT"/>
        </w:rPr>
        <w:t>.</w:t>
      </w:r>
      <w:r w:rsidRPr="00C82F49">
        <w:rPr>
          <w:rFonts w:ascii="Gill Sans MT" w:hAnsi="Gill Sans MT"/>
        </w:rPr>
        <w:t xml:space="preserve"> Bentham</w:t>
      </w:r>
      <w:r w:rsidR="00F5653F" w:rsidRPr="00C82F49">
        <w:rPr>
          <w:rFonts w:ascii="Gill Sans MT" w:hAnsi="Gill Sans MT"/>
        </w:rPr>
        <w:t xml:space="preserve">’s famous account of rights as ‘nonsense on stilts’; J Bentham, </w:t>
      </w:r>
      <w:r w:rsidR="00F5653F" w:rsidRPr="00C82F49">
        <w:rPr>
          <w:rFonts w:ascii="Gill Sans MT" w:hAnsi="Gill Sans MT"/>
          <w:i/>
        </w:rPr>
        <w:t>Rights, Representation, and Reform: Nonsense upon Stilts and Other Writings on the French Revolution</w:t>
      </w:r>
      <w:r w:rsidR="00F5653F" w:rsidRPr="00C82F49">
        <w:rPr>
          <w:rFonts w:ascii="Gill Sans MT" w:hAnsi="Gill Sans MT"/>
        </w:rPr>
        <w:t xml:space="preserve"> in P Schofield, C Pease-Watkin, and C </w:t>
      </w:r>
      <w:proofErr w:type="spellStart"/>
      <w:r w:rsidR="00F5653F" w:rsidRPr="00C82F49">
        <w:rPr>
          <w:rFonts w:ascii="Gill Sans MT" w:hAnsi="Gill Sans MT"/>
        </w:rPr>
        <w:t>Blamires</w:t>
      </w:r>
      <w:proofErr w:type="spellEnd"/>
      <w:r w:rsidR="00F5653F" w:rsidRPr="00C82F49">
        <w:rPr>
          <w:rFonts w:ascii="Gill Sans MT" w:hAnsi="Gill Sans MT"/>
        </w:rPr>
        <w:t xml:space="preserve"> (eds), </w:t>
      </w:r>
      <w:r w:rsidR="00F5653F" w:rsidRPr="00C82F49">
        <w:rPr>
          <w:rFonts w:ascii="Gill Sans MT" w:hAnsi="Gill Sans MT"/>
          <w:i/>
        </w:rPr>
        <w:t>The Collected Works of Jeremy Bentham</w:t>
      </w:r>
      <w:r w:rsidR="00F5653F" w:rsidRPr="00C82F49">
        <w:rPr>
          <w:rFonts w:ascii="Gill Sans MT" w:hAnsi="Gill Sans MT"/>
        </w:rPr>
        <w:t xml:space="preserve"> (Oxford, Oxford University Press, 2002).  For influential discussion of these ideas in a more recent context, see JAG Griffith, ‘The Political Constitution’ (1979) 42 </w:t>
      </w:r>
      <w:r w:rsidR="00F5653F" w:rsidRPr="00C82F49">
        <w:rPr>
          <w:rFonts w:ascii="Gill Sans MT" w:hAnsi="Gill Sans MT"/>
          <w:i/>
        </w:rPr>
        <w:t>Modern Law Review</w:t>
      </w:r>
      <w:r w:rsidR="00F5653F" w:rsidRPr="00C82F49">
        <w:rPr>
          <w:rFonts w:ascii="Gill Sans MT" w:hAnsi="Gill Sans MT"/>
        </w:rPr>
        <w:t xml:space="preserve"> 1.</w:t>
      </w:r>
    </w:p>
  </w:footnote>
  <w:footnote w:id="15">
    <w:p w14:paraId="6C9A6123" w14:textId="77777777" w:rsidR="007031FB" w:rsidRPr="00C82F49" w:rsidRDefault="007031FB">
      <w:pPr>
        <w:pStyle w:val="FootnoteText"/>
        <w:rPr>
          <w:rFonts w:ascii="Gill Sans MT" w:hAnsi="Gill Sans MT"/>
        </w:rPr>
      </w:pPr>
      <w:r w:rsidRPr="00C82F49">
        <w:rPr>
          <w:rStyle w:val="FootnoteReference"/>
          <w:rFonts w:ascii="Gill Sans MT" w:hAnsi="Gill Sans MT"/>
        </w:rPr>
        <w:footnoteRef/>
      </w:r>
      <w:r w:rsidRPr="00C82F49">
        <w:rPr>
          <w:rFonts w:ascii="Gill Sans MT" w:hAnsi="Gill Sans MT"/>
        </w:rPr>
        <w:t xml:space="preserve"> </w:t>
      </w:r>
      <w:r w:rsidR="00F5653F" w:rsidRPr="00C82F49">
        <w:rPr>
          <w:rFonts w:ascii="Gill Sans MT" w:hAnsi="Gill Sans MT"/>
        </w:rPr>
        <w:t xml:space="preserve">For the contrary view, arguing in favour of ‘rights as trumps’, see R Dworkin, </w:t>
      </w:r>
      <w:r w:rsidR="00F5653F" w:rsidRPr="00C82F49">
        <w:rPr>
          <w:rFonts w:ascii="Gill Sans MT" w:hAnsi="Gill Sans MT"/>
          <w:i/>
        </w:rPr>
        <w:t>Taking Rights Seriously</w:t>
      </w:r>
      <w:r w:rsidR="00F5653F" w:rsidRPr="00C82F49">
        <w:rPr>
          <w:rFonts w:ascii="Gill Sans MT" w:hAnsi="Gill Sans MT"/>
        </w:rPr>
        <w:t xml:space="preserve"> (London, Duckworth, 2</w:t>
      </w:r>
      <w:r w:rsidR="00F5653F" w:rsidRPr="00C82F49">
        <w:rPr>
          <w:rFonts w:ascii="Gill Sans MT" w:hAnsi="Gill Sans MT"/>
          <w:vertAlign w:val="superscript"/>
        </w:rPr>
        <w:t>nd</w:t>
      </w:r>
      <w:r w:rsidR="00F5653F" w:rsidRPr="00C82F49">
        <w:rPr>
          <w:rFonts w:ascii="Gill Sans MT" w:hAnsi="Gill Sans MT"/>
        </w:rPr>
        <w:t xml:space="preserve"> ed. 1978).</w:t>
      </w:r>
    </w:p>
  </w:footnote>
  <w:footnote w:id="16">
    <w:p w14:paraId="798D6968" w14:textId="77777777" w:rsidR="007031FB" w:rsidRPr="00C82F49" w:rsidRDefault="007031FB">
      <w:pPr>
        <w:pStyle w:val="FootnoteText"/>
        <w:rPr>
          <w:rFonts w:ascii="Gill Sans MT" w:hAnsi="Gill Sans MT"/>
        </w:rPr>
      </w:pPr>
      <w:r w:rsidRPr="00C82F49">
        <w:rPr>
          <w:rStyle w:val="FootnoteReference"/>
          <w:rFonts w:ascii="Gill Sans MT" w:hAnsi="Gill Sans MT"/>
        </w:rPr>
        <w:footnoteRef/>
      </w:r>
      <w:r w:rsidRPr="00C82F49">
        <w:rPr>
          <w:rFonts w:ascii="Gill Sans MT" w:hAnsi="Gill Sans MT"/>
        </w:rPr>
        <w:t xml:space="preserve"> </w:t>
      </w:r>
      <w:r w:rsidR="00195C15" w:rsidRPr="00C82F49">
        <w:rPr>
          <w:rFonts w:ascii="Gill Sans MT" w:hAnsi="Gill Sans MT"/>
        </w:rPr>
        <w:t xml:space="preserve">On ‘rights-instrumentalism’, see </w:t>
      </w:r>
      <w:r w:rsidR="00DD3B4F" w:rsidRPr="00C82F49">
        <w:rPr>
          <w:rFonts w:ascii="Gill Sans MT" w:hAnsi="Gill Sans MT"/>
        </w:rPr>
        <w:t xml:space="preserve">J Waldron, </w:t>
      </w:r>
      <w:r w:rsidR="00DD3B4F" w:rsidRPr="00C82F49">
        <w:rPr>
          <w:rFonts w:ascii="Gill Sans MT" w:hAnsi="Gill Sans MT"/>
          <w:i/>
        </w:rPr>
        <w:t>Law and Disagreement</w:t>
      </w:r>
      <w:r w:rsidR="00DD3B4F" w:rsidRPr="00C82F49">
        <w:rPr>
          <w:rFonts w:ascii="Gill Sans MT" w:hAnsi="Gill Sans MT"/>
        </w:rPr>
        <w:t xml:space="preserve"> </w:t>
      </w:r>
      <w:r w:rsidR="00195C15" w:rsidRPr="00C82F49">
        <w:rPr>
          <w:rFonts w:ascii="Gill Sans MT" w:hAnsi="Gill Sans MT"/>
        </w:rPr>
        <w:t>(Oxford, Clarendon Press, 1999) 252-254.</w:t>
      </w:r>
    </w:p>
  </w:footnote>
  <w:footnote w:id="17">
    <w:p w14:paraId="4111B7FD" w14:textId="4FDE305A" w:rsidR="007031FB" w:rsidRPr="00C82F49" w:rsidRDefault="007031FB">
      <w:pPr>
        <w:pStyle w:val="FootnoteText"/>
        <w:rPr>
          <w:rFonts w:ascii="Gill Sans MT" w:hAnsi="Gill Sans MT"/>
        </w:rPr>
      </w:pPr>
      <w:r w:rsidRPr="00C82F49">
        <w:rPr>
          <w:rStyle w:val="FootnoteReference"/>
          <w:rFonts w:ascii="Gill Sans MT" w:hAnsi="Gill Sans MT"/>
        </w:rPr>
        <w:footnoteRef/>
      </w:r>
      <w:r w:rsidRPr="00C82F49">
        <w:rPr>
          <w:rFonts w:ascii="Gill Sans MT" w:hAnsi="Gill Sans MT"/>
        </w:rPr>
        <w:t xml:space="preserve"> The formal powers available to the courts to give effect to the determined requirements of human rights law will vary depending on the system of protection in place; under the Human Rights Act 1998, the courts should interpret legislation in a way that is rights compatible ‘so far as it is possible to do so’ (s.3), or </w:t>
      </w:r>
      <w:r w:rsidR="00C533F9">
        <w:rPr>
          <w:rFonts w:ascii="Gill Sans MT" w:hAnsi="Gill Sans MT"/>
        </w:rPr>
        <w:t xml:space="preserve">might </w:t>
      </w:r>
      <w:r w:rsidRPr="00C82F49">
        <w:rPr>
          <w:rFonts w:ascii="Gill Sans MT" w:hAnsi="Gill Sans MT"/>
        </w:rPr>
        <w:t xml:space="preserve">otherwise </w:t>
      </w:r>
      <w:r w:rsidR="00C533F9">
        <w:rPr>
          <w:rFonts w:ascii="Gill Sans MT" w:hAnsi="Gill Sans MT"/>
        </w:rPr>
        <w:t xml:space="preserve">at their discretion </w:t>
      </w:r>
      <w:r w:rsidRPr="00C82F49">
        <w:rPr>
          <w:rFonts w:ascii="Gill Sans MT" w:hAnsi="Gill Sans MT"/>
        </w:rPr>
        <w:t xml:space="preserve">make a declaration of incompatibility which does not affect the legal validity of primary legislation (s.4).  The actions of public authorities which violate human rights, and were not mandated by primary legislation, should be struck down as unlawful (s.6).  </w:t>
      </w:r>
      <w:r w:rsidR="00334C3D" w:rsidRPr="00C82F49">
        <w:rPr>
          <w:rFonts w:ascii="Gill Sans MT" w:hAnsi="Gill Sans MT"/>
        </w:rPr>
        <w:t xml:space="preserve">The Human Rights Act has been described as one </w:t>
      </w:r>
      <w:r w:rsidRPr="00C82F49">
        <w:rPr>
          <w:rFonts w:ascii="Gill Sans MT" w:hAnsi="Gill Sans MT"/>
        </w:rPr>
        <w:t xml:space="preserve">example of </w:t>
      </w:r>
      <w:r w:rsidR="00334C3D" w:rsidRPr="00C82F49">
        <w:rPr>
          <w:rFonts w:ascii="Gill Sans MT" w:hAnsi="Gill Sans MT"/>
        </w:rPr>
        <w:t xml:space="preserve">the ‘new commonwealth models’ of rights protection, which withhold full powers to invalidate legislation from courts, yet are still effective in embedding a legal human rights culture; see S </w:t>
      </w:r>
      <w:proofErr w:type="spellStart"/>
      <w:r w:rsidR="00334C3D" w:rsidRPr="00C82F49">
        <w:rPr>
          <w:rFonts w:ascii="Gill Sans MT" w:hAnsi="Gill Sans MT"/>
        </w:rPr>
        <w:t>Gardbaum</w:t>
      </w:r>
      <w:proofErr w:type="spellEnd"/>
      <w:r w:rsidR="00334C3D" w:rsidRPr="00C82F49">
        <w:rPr>
          <w:rFonts w:ascii="Gill Sans MT" w:hAnsi="Gill Sans MT"/>
        </w:rPr>
        <w:t xml:space="preserve">, </w:t>
      </w:r>
      <w:r w:rsidR="00334C3D" w:rsidRPr="00C82F49">
        <w:rPr>
          <w:rFonts w:ascii="Gill Sans MT" w:hAnsi="Gill Sans MT"/>
          <w:i/>
        </w:rPr>
        <w:t>The New Commonwealth Model of Constitutionalism: Theory and Practice</w:t>
      </w:r>
      <w:r w:rsidR="00334C3D" w:rsidRPr="00C82F49">
        <w:rPr>
          <w:rFonts w:ascii="Gill Sans MT" w:hAnsi="Gill Sans MT"/>
        </w:rPr>
        <w:t xml:space="preserve"> (Cambridge, Cambridge University Press, 2013).</w:t>
      </w:r>
    </w:p>
  </w:footnote>
  <w:footnote w:id="18">
    <w:p w14:paraId="5FCC2C77" w14:textId="77777777" w:rsidR="007031FB" w:rsidRPr="00C82F49" w:rsidRDefault="007031FB">
      <w:pPr>
        <w:pStyle w:val="FootnoteText"/>
        <w:rPr>
          <w:rFonts w:ascii="Gill Sans MT" w:hAnsi="Gill Sans MT"/>
        </w:rPr>
      </w:pPr>
      <w:r w:rsidRPr="00C82F49">
        <w:rPr>
          <w:rStyle w:val="FootnoteReference"/>
          <w:rFonts w:ascii="Gill Sans MT" w:hAnsi="Gill Sans MT"/>
        </w:rPr>
        <w:footnoteRef/>
      </w:r>
      <w:r w:rsidRPr="00C82F49">
        <w:rPr>
          <w:rFonts w:ascii="Gill Sans MT" w:hAnsi="Gill Sans MT"/>
        </w:rPr>
        <w:t xml:space="preserve"> </w:t>
      </w:r>
      <w:r w:rsidR="0023342B" w:rsidRPr="00C82F49">
        <w:rPr>
          <w:rFonts w:ascii="Gill Sans MT" w:hAnsi="Gill Sans MT"/>
        </w:rPr>
        <w:t xml:space="preserve">See e.g. M Loughlin, </w:t>
      </w:r>
      <w:r w:rsidR="0023342B" w:rsidRPr="00C82F49">
        <w:rPr>
          <w:rFonts w:ascii="Gill Sans MT" w:hAnsi="Gill Sans MT"/>
          <w:i/>
        </w:rPr>
        <w:t>Sword and Scales: An Examination of the Relationship between Law and Politics</w:t>
      </w:r>
      <w:r w:rsidR="0023342B" w:rsidRPr="00C82F49">
        <w:rPr>
          <w:rFonts w:ascii="Gill Sans MT" w:hAnsi="Gill Sans MT"/>
        </w:rPr>
        <w:t xml:space="preserve"> (Oxford, Hart Publishing, 2000); M Loughlin, </w:t>
      </w:r>
      <w:r w:rsidR="0023342B" w:rsidRPr="00C82F49">
        <w:rPr>
          <w:rFonts w:ascii="Gill Sans MT" w:hAnsi="Gill Sans MT"/>
          <w:i/>
        </w:rPr>
        <w:t xml:space="preserve">The Idea of Public Law </w:t>
      </w:r>
      <w:r w:rsidR="0023342B" w:rsidRPr="00C82F49">
        <w:rPr>
          <w:rFonts w:ascii="Gill Sans MT" w:hAnsi="Gill Sans MT"/>
        </w:rPr>
        <w:t xml:space="preserve">(Oxford, Oxford University Press, 2003) </w:t>
      </w:r>
      <w:proofErr w:type="spellStart"/>
      <w:r w:rsidR="0023342B" w:rsidRPr="00C82F49">
        <w:rPr>
          <w:rFonts w:ascii="Gill Sans MT" w:hAnsi="Gill Sans MT"/>
        </w:rPr>
        <w:t>ch</w:t>
      </w:r>
      <w:proofErr w:type="spellEnd"/>
      <w:r w:rsidR="0023342B" w:rsidRPr="00C82F49">
        <w:rPr>
          <w:rFonts w:ascii="Gill Sans MT" w:hAnsi="Gill Sans MT"/>
        </w:rPr>
        <w:t xml:space="preserve"> 7.</w:t>
      </w:r>
    </w:p>
  </w:footnote>
  <w:footnote w:id="19">
    <w:p w14:paraId="36D2BCFA" w14:textId="77777777" w:rsidR="007031FB" w:rsidRPr="00C82F49" w:rsidRDefault="007031FB" w:rsidP="00C66377">
      <w:pPr>
        <w:autoSpaceDE w:val="0"/>
        <w:autoSpaceDN w:val="0"/>
        <w:adjustRightInd w:val="0"/>
        <w:spacing w:after="0" w:line="240" w:lineRule="auto"/>
        <w:rPr>
          <w:rFonts w:ascii="Gill Sans MT" w:hAnsi="Gill Sans MT" w:cs="AdvTTd9d2734b.I"/>
          <w:sz w:val="20"/>
          <w:szCs w:val="20"/>
        </w:rPr>
      </w:pPr>
      <w:r w:rsidRPr="00C82F49">
        <w:rPr>
          <w:rStyle w:val="FootnoteReference"/>
          <w:rFonts w:ascii="Gill Sans MT" w:hAnsi="Gill Sans MT"/>
          <w:sz w:val="20"/>
          <w:szCs w:val="20"/>
        </w:rPr>
        <w:footnoteRef/>
      </w:r>
      <w:r w:rsidRPr="00C82F49">
        <w:rPr>
          <w:rFonts w:ascii="Gill Sans MT" w:hAnsi="Gill Sans MT"/>
          <w:sz w:val="20"/>
          <w:szCs w:val="20"/>
        </w:rPr>
        <w:t xml:space="preserve"> </w:t>
      </w:r>
      <w:r w:rsidR="00C66377" w:rsidRPr="00C82F49">
        <w:rPr>
          <w:rFonts w:ascii="Gill Sans MT" w:hAnsi="Gill Sans MT"/>
          <w:sz w:val="20"/>
          <w:szCs w:val="20"/>
        </w:rPr>
        <w:t xml:space="preserve">See e.g. </w:t>
      </w:r>
      <w:r w:rsidR="00C66377" w:rsidRPr="00C82F49">
        <w:rPr>
          <w:rFonts w:ascii="Gill Sans MT" w:hAnsi="Gill Sans MT" w:cs="AdvTT00bc0be2"/>
          <w:sz w:val="20"/>
          <w:szCs w:val="20"/>
        </w:rPr>
        <w:t xml:space="preserve">Gordon Silverstein, </w:t>
      </w:r>
      <w:r w:rsidR="00C66377" w:rsidRPr="00C82F49">
        <w:rPr>
          <w:rFonts w:ascii="Gill Sans MT" w:hAnsi="Gill Sans MT" w:cs="AdvTTd9d2734b.I"/>
          <w:i/>
          <w:sz w:val="20"/>
          <w:szCs w:val="20"/>
        </w:rPr>
        <w:t>Law</w:t>
      </w:r>
      <w:r w:rsidR="00C66377" w:rsidRPr="00C82F49">
        <w:rPr>
          <w:rFonts w:ascii="Gill Sans MT" w:hAnsi="Gill Sans MT" w:cs="AdvTTd9d2734b.I+20"/>
          <w:i/>
          <w:sz w:val="20"/>
          <w:szCs w:val="20"/>
        </w:rPr>
        <w:t>’</w:t>
      </w:r>
      <w:r w:rsidR="00C66377" w:rsidRPr="00C82F49">
        <w:rPr>
          <w:rFonts w:ascii="Gill Sans MT" w:hAnsi="Gill Sans MT" w:cs="AdvTTd9d2734b.I"/>
          <w:i/>
          <w:sz w:val="20"/>
          <w:szCs w:val="20"/>
        </w:rPr>
        <w:t>s Allure: How Law Shapes, Constrains, Saves, and Kills Politics</w:t>
      </w:r>
      <w:r w:rsidR="00C66377" w:rsidRPr="00C82F49">
        <w:rPr>
          <w:rFonts w:ascii="Gill Sans MT" w:hAnsi="Gill Sans MT" w:cs="AdvTTd9d2734b.I"/>
          <w:sz w:val="20"/>
          <w:szCs w:val="20"/>
        </w:rPr>
        <w:t xml:space="preserve"> </w:t>
      </w:r>
      <w:r w:rsidR="00C66377" w:rsidRPr="00C82F49">
        <w:rPr>
          <w:rFonts w:ascii="Gill Sans MT" w:hAnsi="Gill Sans MT" w:cs="AdvTT00bc0be2"/>
          <w:sz w:val="20"/>
          <w:szCs w:val="20"/>
        </w:rPr>
        <w:t>(Cambridge, Cambridge University Press, 2009)</w:t>
      </w:r>
      <w:r w:rsidR="00C66377" w:rsidRPr="00C82F49">
        <w:rPr>
          <w:rFonts w:ascii="Gill Sans MT" w:hAnsi="Gill Sans MT"/>
          <w:sz w:val="20"/>
          <w:szCs w:val="20"/>
        </w:rPr>
        <w:t>.</w:t>
      </w:r>
    </w:p>
  </w:footnote>
  <w:footnote w:id="20">
    <w:p w14:paraId="4DA8A44D" w14:textId="77777777" w:rsidR="007031FB" w:rsidRPr="00C82F49" w:rsidRDefault="007031FB">
      <w:pPr>
        <w:pStyle w:val="FootnoteText"/>
        <w:rPr>
          <w:rFonts w:ascii="Gill Sans MT" w:hAnsi="Gill Sans MT"/>
        </w:rPr>
      </w:pPr>
      <w:r w:rsidRPr="00C82F49">
        <w:rPr>
          <w:rStyle w:val="FootnoteReference"/>
          <w:rFonts w:ascii="Gill Sans MT" w:hAnsi="Gill Sans MT"/>
        </w:rPr>
        <w:footnoteRef/>
      </w:r>
      <w:r w:rsidRPr="00C82F49">
        <w:rPr>
          <w:rFonts w:ascii="Gill Sans MT" w:hAnsi="Gill Sans MT"/>
        </w:rPr>
        <w:t xml:space="preserve"> </w:t>
      </w:r>
      <w:r w:rsidR="00C66377" w:rsidRPr="00C82F49">
        <w:rPr>
          <w:rFonts w:ascii="Gill Sans MT" w:hAnsi="Gill Sans MT"/>
        </w:rPr>
        <w:t xml:space="preserve">See e.g. K Marx, ‘On the Jewish Question’ (1844), republished in D McLellan, </w:t>
      </w:r>
      <w:r w:rsidR="00C66377" w:rsidRPr="00C82F49">
        <w:rPr>
          <w:rFonts w:ascii="Gill Sans MT" w:hAnsi="Gill Sans MT"/>
          <w:i/>
        </w:rPr>
        <w:t xml:space="preserve">Karl Marx: Selected Writings </w:t>
      </w:r>
      <w:r w:rsidR="00C66377" w:rsidRPr="00C82F49">
        <w:rPr>
          <w:rFonts w:ascii="Gill Sans MT" w:hAnsi="Gill Sans MT"/>
        </w:rPr>
        <w:t>(Oxford, Oxford University Press, 2</w:t>
      </w:r>
      <w:r w:rsidR="00C66377" w:rsidRPr="00C82F49">
        <w:rPr>
          <w:rFonts w:ascii="Gill Sans MT" w:hAnsi="Gill Sans MT"/>
          <w:vertAlign w:val="superscript"/>
        </w:rPr>
        <w:t>nd</w:t>
      </w:r>
      <w:r w:rsidR="00C66377" w:rsidRPr="00C82F49">
        <w:rPr>
          <w:rFonts w:ascii="Gill Sans MT" w:hAnsi="Gill Sans MT"/>
        </w:rPr>
        <w:t xml:space="preserve"> ed 2000).</w:t>
      </w:r>
    </w:p>
  </w:footnote>
  <w:footnote w:id="21">
    <w:p w14:paraId="59B403E0" w14:textId="77777777" w:rsidR="007031FB" w:rsidRPr="00C82F49" w:rsidRDefault="007031FB">
      <w:pPr>
        <w:pStyle w:val="FootnoteText"/>
        <w:rPr>
          <w:rFonts w:ascii="Gill Sans MT" w:hAnsi="Gill Sans MT"/>
        </w:rPr>
      </w:pPr>
      <w:r w:rsidRPr="00C82F49">
        <w:rPr>
          <w:rStyle w:val="FootnoteReference"/>
          <w:rFonts w:ascii="Gill Sans MT" w:hAnsi="Gill Sans MT"/>
        </w:rPr>
        <w:footnoteRef/>
      </w:r>
      <w:r w:rsidRPr="00C82F49">
        <w:rPr>
          <w:rFonts w:ascii="Gill Sans MT" w:hAnsi="Gill Sans MT"/>
        </w:rPr>
        <w:t xml:space="preserve"> </w:t>
      </w:r>
      <w:r w:rsidR="003F598D" w:rsidRPr="00C82F49">
        <w:rPr>
          <w:rFonts w:ascii="Gill Sans MT" w:hAnsi="Gill Sans MT"/>
        </w:rPr>
        <w:t>See e.g. J</w:t>
      </w:r>
      <w:r w:rsidR="00A5515F" w:rsidRPr="00C82F49">
        <w:rPr>
          <w:rFonts w:ascii="Gill Sans MT" w:hAnsi="Gill Sans MT"/>
        </w:rPr>
        <w:t xml:space="preserve">N </w:t>
      </w:r>
      <w:proofErr w:type="spellStart"/>
      <w:r w:rsidR="00A5515F" w:rsidRPr="00C82F49">
        <w:rPr>
          <w:rFonts w:ascii="Gill Sans MT" w:hAnsi="Gill Sans MT"/>
        </w:rPr>
        <w:t>Shklar</w:t>
      </w:r>
      <w:proofErr w:type="spellEnd"/>
      <w:r w:rsidR="00A5515F" w:rsidRPr="00C82F49">
        <w:rPr>
          <w:rFonts w:ascii="Gill Sans MT" w:hAnsi="Gill Sans MT"/>
        </w:rPr>
        <w:t xml:space="preserve">, </w:t>
      </w:r>
      <w:r w:rsidR="00A5515F" w:rsidRPr="00C82F49">
        <w:rPr>
          <w:rFonts w:ascii="Gill Sans MT" w:hAnsi="Gill Sans MT"/>
          <w:i/>
        </w:rPr>
        <w:t xml:space="preserve">Legalism </w:t>
      </w:r>
      <w:r w:rsidR="00A5515F" w:rsidRPr="00C82F49">
        <w:rPr>
          <w:rFonts w:ascii="Gill Sans MT" w:hAnsi="Gill Sans MT"/>
        </w:rPr>
        <w:t>(Cambridge, Mass., Harvard University Press, 1964)</w:t>
      </w:r>
      <w:r w:rsidR="003F598D" w:rsidRPr="00C82F49">
        <w:rPr>
          <w:rFonts w:ascii="Gill Sans MT" w:hAnsi="Gill Sans MT"/>
        </w:rPr>
        <w:t xml:space="preserve">; </w:t>
      </w:r>
      <w:r w:rsidR="00A5515F" w:rsidRPr="00C82F49">
        <w:rPr>
          <w:rFonts w:ascii="Gill Sans MT" w:hAnsi="Gill Sans MT" w:cs="AdvTT00bc0be2"/>
        </w:rPr>
        <w:t>MA</w:t>
      </w:r>
      <w:r w:rsidR="003F598D" w:rsidRPr="00C82F49">
        <w:rPr>
          <w:rFonts w:ascii="Gill Sans MT" w:hAnsi="Gill Sans MT" w:cs="AdvTT00bc0be2"/>
        </w:rPr>
        <w:t xml:space="preserve"> Glendon, </w:t>
      </w:r>
      <w:r w:rsidR="003F598D" w:rsidRPr="00C82F49">
        <w:rPr>
          <w:rFonts w:ascii="Gill Sans MT" w:hAnsi="Gill Sans MT" w:cs="AdvTTd9d2734b.I"/>
          <w:i/>
        </w:rPr>
        <w:t>Rights Talk: The Impoverishment of Political Discourse</w:t>
      </w:r>
      <w:r w:rsidR="003F598D" w:rsidRPr="00C82F49">
        <w:rPr>
          <w:rFonts w:ascii="Gill Sans MT" w:hAnsi="Gill Sans MT" w:cs="AdvTTd9d2734b.I"/>
        </w:rPr>
        <w:t xml:space="preserve"> </w:t>
      </w:r>
      <w:r w:rsidR="003F598D" w:rsidRPr="00C82F49">
        <w:rPr>
          <w:rFonts w:ascii="Gill Sans MT" w:hAnsi="Gill Sans MT" w:cs="AdvTT00bc0be2"/>
        </w:rPr>
        <w:t>(</w:t>
      </w:r>
      <w:r w:rsidR="00A5515F" w:rsidRPr="00C82F49">
        <w:rPr>
          <w:rFonts w:ascii="Gill Sans MT" w:hAnsi="Gill Sans MT" w:cs="AdvTT00bc0be2"/>
        </w:rPr>
        <w:t xml:space="preserve">New York, </w:t>
      </w:r>
      <w:r w:rsidR="003F598D" w:rsidRPr="00C82F49">
        <w:rPr>
          <w:rFonts w:ascii="Gill Sans MT" w:hAnsi="Gill Sans MT" w:cs="AdvTT00bc0be2"/>
        </w:rPr>
        <w:t>Free Press, 1991)</w:t>
      </w:r>
      <w:r w:rsidR="00A5515F" w:rsidRPr="00C82F49">
        <w:rPr>
          <w:rFonts w:ascii="Gill Sans MT" w:hAnsi="Gill Sans MT" w:cs="AdvTT00bc0be2"/>
        </w:rPr>
        <w:t>.</w:t>
      </w:r>
    </w:p>
  </w:footnote>
  <w:footnote w:id="22">
    <w:p w14:paraId="6A058369" w14:textId="1E0A2BFC" w:rsidR="007031FB" w:rsidRPr="00C82F49" w:rsidRDefault="007031FB">
      <w:pPr>
        <w:pStyle w:val="FootnoteText"/>
        <w:rPr>
          <w:rFonts w:ascii="Gill Sans MT" w:hAnsi="Gill Sans MT"/>
        </w:rPr>
      </w:pPr>
      <w:r w:rsidRPr="00C82F49">
        <w:rPr>
          <w:rStyle w:val="FootnoteReference"/>
          <w:rFonts w:ascii="Gill Sans MT" w:hAnsi="Gill Sans MT"/>
        </w:rPr>
        <w:footnoteRef/>
      </w:r>
      <w:r w:rsidRPr="00C82F49">
        <w:rPr>
          <w:rFonts w:ascii="Gill Sans MT" w:hAnsi="Gill Sans MT"/>
        </w:rPr>
        <w:t xml:space="preserve"> See e</w:t>
      </w:r>
      <w:r w:rsidR="00E17ABD" w:rsidRPr="00C82F49">
        <w:rPr>
          <w:rFonts w:ascii="Gill Sans MT" w:hAnsi="Gill Sans MT"/>
        </w:rPr>
        <w:t>.</w:t>
      </w:r>
      <w:r w:rsidRPr="00C82F49">
        <w:rPr>
          <w:rFonts w:ascii="Gill Sans MT" w:hAnsi="Gill Sans MT"/>
        </w:rPr>
        <w:t>g</w:t>
      </w:r>
      <w:r w:rsidR="00E17ABD" w:rsidRPr="00C82F49">
        <w:rPr>
          <w:rFonts w:ascii="Gill Sans MT" w:hAnsi="Gill Sans MT"/>
        </w:rPr>
        <w:t>. the discussion of the distortion of the ‘right to liberty and security’, focusing on Art 5 of the ECHR, in</w:t>
      </w:r>
      <w:r w:rsidRPr="00C82F49">
        <w:rPr>
          <w:rFonts w:ascii="Gill Sans MT" w:hAnsi="Gill Sans MT"/>
        </w:rPr>
        <w:t xml:space="preserve"> </w:t>
      </w:r>
      <w:r w:rsidR="00E17ABD" w:rsidRPr="00C82F49">
        <w:rPr>
          <w:rFonts w:ascii="Gill Sans MT" w:hAnsi="Gill Sans MT"/>
        </w:rPr>
        <w:t xml:space="preserve">KD Ewing and JC </w:t>
      </w:r>
      <w:proofErr w:type="spellStart"/>
      <w:r w:rsidR="00E17ABD" w:rsidRPr="00C82F49">
        <w:rPr>
          <w:rFonts w:ascii="Gill Sans MT" w:hAnsi="Gill Sans MT"/>
        </w:rPr>
        <w:t>Tham</w:t>
      </w:r>
      <w:proofErr w:type="spellEnd"/>
      <w:r w:rsidR="00E17ABD" w:rsidRPr="00C82F49">
        <w:rPr>
          <w:rFonts w:ascii="Gill Sans MT" w:hAnsi="Gill Sans MT"/>
        </w:rPr>
        <w:t xml:space="preserve">, ‘The Continuing Futility of the Human Rights Act’ [2008] </w:t>
      </w:r>
      <w:r w:rsidR="00E17ABD" w:rsidRPr="00C82F49">
        <w:rPr>
          <w:rFonts w:ascii="Gill Sans MT" w:hAnsi="Gill Sans MT"/>
          <w:i/>
        </w:rPr>
        <w:t>Public Law</w:t>
      </w:r>
      <w:r w:rsidR="00E17ABD" w:rsidRPr="00C82F49">
        <w:rPr>
          <w:rFonts w:ascii="Gill Sans MT" w:hAnsi="Gill Sans MT"/>
        </w:rPr>
        <w:t xml:space="preserve"> 668</w:t>
      </w:r>
      <w:r w:rsidR="007C4863">
        <w:rPr>
          <w:rFonts w:ascii="Gill Sans MT" w:hAnsi="Gill Sans MT"/>
        </w:rPr>
        <w:t>.</w:t>
      </w:r>
      <w:r w:rsidR="00E17ABD" w:rsidRPr="00C82F49">
        <w:rPr>
          <w:rFonts w:ascii="Gill Sans MT" w:hAnsi="Gill Sans MT"/>
        </w:rPr>
        <w:t xml:space="preserve"> </w:t>
      </w:r>
      <w:r w:rsidR="007C4863">
        <w:rPr>
          <w:rFonts w:ascii="Gill Sans MT" w:hAnsi="Gill Sans MT"/>
        </w:rPr>
        <w:t>A</w:t>
      </w:r>
      <w:r w:rsidR="00E17ABD" w:rsidRPr="00C82F49">
        <w:rPr>
          <w:rFonts w:ascii="Gill Sans MT" w:hAnsi="Gill Sans MT"/>
        </w:rPr>
        <w:t xml:space="preserve"> similar critique might apply to the intensely fluid ‘right to private and family life’ recognised by Art 8 of the ECHR.</w:t>
      </w:r>
    </w:p>
  </w:footnote>
  <w:footnote w:id="23">
    <w:p w14:paraId="708F4795" w14:textId="296297DA" w:rsidR="007031FB" w:rsidRPr="00C82F49" w:rsidRDefault="007031FB">
      <w:pPr>
        <w:pStyle w:val="FootnoteText"/>
        <w:rPr>
          <w:rFonts w:ascii="Gill Sans MT" w:hAnsi="Gill Sans MT"/>
        </w:rPr>
      </w:pPr>
      <w:r w:rsidRPr="00C82F49">
        <w:rPr>
          <w:rStyle w:val="FootnoteReference"/>
          <w:rFonts w:ascii="Gill Sans MT" w:hAnsi="Gill Sans MT"/>
        </w:rPr>
        <w:footnoteRef/>
      </w:r>
      <w:r w:rsidR="006D5596" w:rsidRPr="00C82F49">
        <w:rPr>
          <w:rFonts w:ascii="Gill Sans MT" w:hAnsi="Gill Sans MT"/>
        </w:rPr>
        <w:t xml:space="preserve"> This is certainly the case in the UK, where (as of May 2017) there had only been one woman ever appointed to the UK’s highest court (whether in the form of the House of Lords or the Supreme Court), no female judge ever appointed as the Lord Chief Justice or one of the Heads of Division, and lamentable representation of judges who are female or from black or minority ethnic groups across the senior judiciary</w:t>
      </w:r>
      <w:r w:rsidR="007C4863">
        <w:rPr>
          <w:rFonts w:ascii="Gill Sans MT" w:hAnsi="Gill Sans MT"/>
        </w:rPr>
        <w:t>.</w:t>
      </w:r>
      <w:r w:rsidR="006D5596" w:rsidRPr="00C82F49">
        <w:rPr>
          <w:rFonts w:ascii="Gill Sans MT" w:hAnsi="Gill Sans MT"/>
        </w:rPr>
        <w:t xml:space="preserve"> </w:t>
      </w:r>
      <w:r w:rsidR="007C4863">
        <w:rPr>
          <w:rFonts w:ascii="Gill Sans MT" w:hAnsi="Gill Sans MT"/>
        </w:rPr>
        <w:t>S</w:t>
      </w:r>
      <w:r w:rsidR="006D5596" w:rsidRPr="00C82F49">
        <w:rPr>
          <w:rFonts w:ascii="Gill Sans MT" w:hAnsi="Gill Sans MT"/>
        </w:rPr>
        <w:t xml:space="preserve">ee the Judicial Diversity Statistics (July 2016) at </w:t>
      </w:r>
      <w:hyperlink r:id="rId3" w:history="1">
        <w:r w:rsidR="006D5596" w:rsidRPr="00C82F49">
          <w:rPr>
            <w:rStyle w:val="Hyperlink"/>
            <w:rFonts w:ascii="Gill Sans MT" w:hAnsi="Gill Sans MT"/>
          </w:rPr>
          <w:t>https://www.judiciary.gov.uk/about-the-judiciary/who-are-the-judiciary/diversity/judicial-diversity-statistics-2016/</w:t>
        </w:r>
      </w:hyperlink>
      <w:r w:rsidR="006D5596" w:rsidRPr="00C82F49">
        <w:rPr>
          <w:rFonts w:ascii="Gill Sans MT" w:hAnsi="Gill Sans MT"/>
        </w:rPr>
        <w:t>.</w:t>
      </w:r>
    </w:p>
  </w:footnote>
  <w:footnote w:id="24">
    <w:p w14:paraId="43BA034F" w14:textId="77777777" w:rsidR="007031FB" w:rsidRPr="00C82F49" w:rsidRDefault="007031FB">
      <w:pPr>
        <w:pStyle w:val="FootnoteText"/>
        <w:rPr>
          <w:rFonts w:ascii="Gill Sans MT" w:hAnsi="Gill Sans MT"/>
        </w:rPr>
      </w:pPr>
      <w:r w:rsidRPr="00C82F49">
        <w:rPr>
          <w:rStyle w:val="FootnoteReference"/>
          <w:rFonts w:ascii="Gill Sans MT" w:hAnsi="Gill Sans MT"/>
        </w:rPr>
        <w:footnoteRef/>
      </w:r>
      <w:r w:rsidRPr="00C82F49">
        <w:rPr>
          <w:rFonts w:ascii="Gill Sans MT" w:hAnsi="Gill Sans MT"/>
        </w:rPr>
        <w:t xml:space="preserve"> </w:t>
      </w:r>
      <w:r w:rsidR="00A27289" w:rsidRPr="00C82F49">
        <w:rPr>
          <w:rFonts w:ascii="Gill Sans MT" w:hAnsi="Gill Sans MT"/>
        </w:rPr>
        <w:t xml:space="preserve">See e.g. </w:t>
      </w:r>
      <w:r w:rsidRPr="00C82F49">
        <w:rPr>
          <w:rFonts w:ascii="Gill Sans MT" w:hAnsi="Gill Sans MT"/>
        </w:rPr>
        <w:t>Waldron</w:t>
      </w:r>
      <w:r w:rsidR="00A27289" w:rsidRPr="00C82F49">
        <w:rPr>
          <w:rFonts w:ascii="Gill Sans MT" w:hAnsi="Gill Sans MT"/>
        </w:rPr>
        <w:t>, n.</w:t>
      </w:r>
      <w:r w:rsidR="009F5468" w:rsidRPr="00C82F49">
        <w:rPr>
          <w:rFonts w:ascii="Gill Sans MT" w:hAnsi="Gill Sans MT"/>
        </w:rPr>
        <w:t xml:space="preserve">15; J Waldron, ‘The Core of the Case Against Judicial Review’ (2006) 115 </w:t>
      </w:r>
      <w:r w:rsidR="009F5468" w:rsidRPr="00C82F49">
        <w:rPr>
          <w:rFonts w:ascii="Gill Sans MT" w:hAnsi="Gill Sans MT"/>
          <w:i/>
        </w:rPr>
        <w:t>Yale Law Journal</w:t>
      </w:r>
      <w:r w:rsidR="009F5468" w:rsidRPr="00C82F49">
        <w:rPr>
          <w:rFonts w:ascii="Gill Sans MT" w:hAnsi="Gill Sans MT"/>
        </w:rPr>
        <w:t xml:space="preserve"> 1346.</w:t>
      </w:r>
    </w:p>
  </w:footnote>
  <w:footnote w:id="25">
    <w:p w14:paraId="521DC1FE" w14:textId="77777777" w:rsidR="007031FB" w:rsidRPr="00C82F49" w:rsidRDefault="007031FB">
      <w:pPr>
        <w:pStyle w:val="FootnoteText"/>
        <w:rPr>
          <w:rFonts w:ascii="Gill Sans MT" w:hAnsi="Gill Sans MT"/>
        </w:rPr>
      </w:pPr>
      <w:r w:rsidRPr="00C82F49">
        <w:rPr>
          <w:rStyle w:val="FootnoteReference"/>
          <w:rFonts w:ascii="Gill Sans MT" w:hAnsi="Gill Sans MT"/>
        </w:rPr>
        <w:footnoteRef/>
      </w:r>
      <w:r w:rsidRPr="00C82F49">
        <w:rPr>
          <w:rFonts w:ascii="Gill Sans MT" w:hAnsi="Gill Sans MT"/>
        </w:rPr>
        <w:t xml:space="preserve"> </w:t>
      </w:r>
      <w:r w:rsidRPr="00C82F49">
        <w:rPr>
          <w:rFonts w:ascii="Gill Sans MT" w:hAnsi="Gill Sans MT" w:cs="AdvOT77db9845"/>
        </w:rPr>
        <w:t>[2014] UKSC 38; [2015] AC 657</w:t>
      </w:r>
    </w:p>
  </w:footnote>
  <w:footnote w:id="26">
    <w:p w14:paraId="5AA81460" w14:textId="77777777" w:rsidR="007031FB" w:rsidRPr="00C82F49" w:rsidRDefault="007031FB">
      <w:pPr>
        <w:pStyle w:val="FootnoteText"/>
        <w:rPr>
          <w:rFonts w:ascii="Gill Sans MT" w:hAnsi="Gill Sans MT"/>
        </w:rPr>
      </w:pPr>
      <w:r w:rsidRPr="00C82F49">
        <w:rPr>
          <w:rStyle w:val="FootnoteReference"/>
          <w:rFonts w:ascii="Gill Sans MT" w:hAnsi="Gill Sans MT"/>
        </w:rPr>
        <w:footnoteRef/>
      </w:r>
      <w:r w:rsidRPr="00C82F49">
        <w:rPr>
          <w:rFonts w:ascii="Gill Sans MT" w:hAnsi="Gill Sans MT"/>
        </w:rPr>
        <w:t xml:space="preserve"> Suicide Act 1961, s.2.</w:t>
      </w:r>
    </w:p>
  </w:footnote>
  <w:footnote w:id="27">
    <w:p w14:paraId="7D227E50" w14:textId="77777777" w:rsidR="007031FB" w:rsidRPr="00C82F49" w:rsidRDefault="007031FB">
      <w:pPr>
        <w:pStyle w:val="FootnoteText"/>
        <w:rPr>
          <w:rFonts w:ascii="Gill Sans MT" w:hAnsi="Gill Sans MT"/>
        </w:rPr>
      </w:pPr>
      <w:r w:rsidRPr="00C82F49">
        <w:rPr>
          <w:rStyle w:val="FootnoteReference"/>
          <w:rFonts w:ascii="Gill Sans MT" w:hAnsi="Gill Sans MT"/>
        </w:rPr>
        <w:footnoteRef/>
      </w:r>
      <w:r w:rsidRPr="00C82F49">
        <w:rPr>
          <w:rFonts w:ascii="Gill Sans MT" w:hAnsi="Gill Sans MT"/>
        </w:rPr>
        <w:t xml:space="preserve"> ‘Assisted suicide campaigners fail to get supreme court to overturn ban’, </w:t>
      </w:r>
      <w:r w:rsidRPr="00C82F49">
        <w:rPr>
          <w:rFonts w:ascii="Gill Sans MT" w:hAnsi="Gill Sans MT"/>
          <w:i/>
        </w:rPr>
        <w:t xml:space="preserve">The Guardian </w:t>
      </w:r>
      <w:r w:rsidRPr="00C82F49">
        <w:rPr>
          <w:rFonts w:ascii="Gill Sans MT" w:hAnsi="Gill Sans MT"/>
        </w:rPr>
        <w:t>(25 June 2014), at https://www.theguardian.com/society/2014/jun/25/assisted-suicide-ban-doctors-supreme-court.</w:t>
      </w:r>
    </w:p>
  </w:footnote>
  <w:footnote w:id="28">
    <w:p w14:paraId="2F54C24B" w14:textId="77777777" w:rsidR="007031FB" w:rsidRPr="00C82F49" w:rsidRDefault="007031FB">
      <w:pPr>
        <w:pStyle w:val="FootnoteText"/>
        <w:rPr>
          <w:rFonts w:ascii="Gill Sans MT" w:hAnsi="Gill Sans MT"/>
        </w:rPr>
      </w:pPr>
      <w:r w:rsidRPr="00C82F49">
        <w:rPr>
          <w:rStyle w:val="FootnoteReference"/>
          <w:rFonts w:ascii="Gill Sans MT" w:hAnsi="Gill Sans MT"/>
        </w:rPr>
        <w:footnoteRef/>
      </w:r>
      <w:r w:rsidRPr="00C82F49">
        <w:rPr>
          <w:rFonts w:ascii="Gill Sans MT" w:hAnsi="Gill Sans MT"/>
        </w:rPr>
        <w:t xml:space="preserve"> ‘</w:t>
      </w:r>
      <w:r w:rsidRPr="00C82F49">
        <w:rPr>
          <w:rFonts w:ascii="Gill Sans MT" w:hAnsi="Gill Sans MT" w:cs="Arial"/>
          <w:color w:val="000000"/>
          <w:shd w:val="clear" w:color="auto" w:fill="FFFFFF"/>
        </w:rPr>
        <w:t>European judges agree with British courts and throw out right-to-die case brought by paralysed ex-builder and widow of man who had locked-in syndrome</w:t>
      </w:r>
      <w:r w:rsidRPr="00C82F49">
        <w:rPr>
          <w:rFonts w:ascii="Gill Sans MT" w:hAnsi="Gill Sans MT" w:cs="Arial"/>
          <w:color w:val="000000"/>
        </w:rPr>
        <w:t>’</w:t>
      </w:r>
      <w:r w:rsidRPr="00C82F49">
        <w:rPr>
          <w:rFonts w:ascii="Gill Sans MT" w:hAnsi="Gill Sans MT"/>
        </w:rPr>
        <w:t xml:space="preserve">, </w:t>
      </w:r>
      <w:r w:rsidRPr="00C82F49">
        <w:rPr>
          <w:rFonts w:ascii="Gill Sans MT" w:hAnsi="Gill Sans MT"/>
          <w:i/>
        </w:rPr>
        <w:t xml:space="preserve">Daily Mail </w:t>
      </w:r>
      <w:r w:rsidRPr="00C82F49">
        <w:rPr>
          <w:rFonts w:ascii="Gill Sans MT" w:hAnsi="Gill Sans MT"/>
        </w:rPr>
        <w:t>(16 July 2015), at</w:t>
      </w:r>
      <w:r w:rsidR="00DE2E94" w:rsidRPr="00C82F49">
        <w:rPr>
          <w:rFonts w:ascii="Gill Sans MT" w:hAnsi="Gill Sans MT"/>
        </w:rPr>
        <w:t>:</w:t>
      </w:r>
      <w:r w:rsidRPr="00C82F49">
        <w:rPr>
          <w:rFonts w:ascii="Gill Sans MT" w:hAnsi="Gill Sans MT"/>
        </w:rPr>
        <w:t xml:space="preserve"> </w:t>
      </w:r>
      <w:hyperlink r:id="rId4" w:anchor="ixzz4gaZDHUdD" w:history="1">
        <w:r w:rsidRPr="00C82F49">
          <w:rPr>
            <w:rStyle w:val="Hyperlink"/>
            <w:rFonts w:ascii="Gill Sans MT" w:hAnsi="Gill Sans MT" w:cs="Arial"/>
            <w:color w:val="003399"/>
          </w:rPr>
          <w:t>http://www.dailymail.co.uk/news/article-3163593/Paralysed-ex-builder-widow-man-locked-syndrome-lose-right-die-case-European-Court-Human-Rights.html#ixzz4gaZDHUdD</w:t>
        </w:r>
      </w:hyperlink>
      <w:r w:rsidRPr="00C82F49">
        <w:rPr>
          <w:rStyle w:val="apple-converted-space"/>
          <w:rFonts w:ascii="Gill Sans MT" w:hAnsi="Gill Sans MT" w:cs="Arial"/>
          <w:color w:val="000000"/>
        </w:rPr>
        <w:t xml:space="preserve">.  This report is of the decision of the European Court of Human Rights, which also rejected the claims of </w:t>
      </w:r>
      <w:r w:rsidRPr="00C82F49">
        <w:rPr>
          <w:rStyle w:val="apple-converted-space"/>
          <w:rFonts w:ascii="Gill Sans MT" w:hAnsi="Gill Sans MT" w:cs="Arial"/>
          <w:i/>
          <w:color w:val="000000"/>
        </w:rPr>
        <w:t>Nicklinson</w:t>
      </w:r>
      <w:r w:rsidRPr="00C82F49">
        <w:rPr>
          <w:rStyle w:val="apple-converted-space"/>
          <w:rFonts w:ascii="Gill Sans MT" w:hAnsi="Gill Sans MT" w:cs="Arial"/>
          <w:color w:val="000000"/>
        </w:rPr>
        <w:t xml:space="preserve">, but it provides a summary of the Supreme Court’s judgment from a year earlier.  The </w:t>
      </w:r>
      <w:r w:rsidRPr="00273BBD">
        <w:rPr>
          <w:rStyle w:val="apple-converted-space"/>
          <w:rFonts w:ascii="Gill Sans MT" w:hAnsi="Gill Sans MT" w:cs="Arial"/>
          <w:i/>
          <w:color w:val="000000"/>
        </w:rPr>
        <w:t>Daily Mail</w:t>
      </w:r>
      <w:r w:rsidRPr="00C82F49">
        <w:rPr>
          <w:rStyle w:val="apple-converted-space"/>
          <w:rFonts w:ascii="Gill Sans MT" w:hAnsi="Gill Sans MT" w:cs="Arial"/>
          <w:color w:val="000000"/>
        </w:rPr>
        <w:t xml:space="preserve"> website only carries Press Association reporting of the Supreme Court decision in June 2014.</w:t>
      </w:r>
    </w:p>
  </w:footnote>
  <w:footnote w:id="29">
    <w:p w14:paraId="61AE7B34" w14:textId="77777777" w:rsidR="007031FB" w:rsidRPr="00C82F49" w:rsidRDefault="007031FB">
      <w:pPr>
        <w:pStyle w:val="FootnoteText"/>
        <w:rPr>
          <w:rFonts w:ascii="Gill Sans MT" w:hAnsi="Gill Sans MT"/>
        </w:rPr>
      </w:pPr>
      <w:r w:rsidRPr="00C82F49">
        <w:rPr>
          <w:rStyle w:val="FootnoteReference"/>
          <w:rFonts w:ascii="Gill Sans MT" w:hAnsi="Gill Sans MT"/>
        </w:rPr>
        <w:footnoteRef/>
      </w:r>
      <w:r w:rsidRPr="00C82F49">
        <w:rPr>
          <w:rFonts w:ascii="Gill Sans MT" w:hAnsi="Gill Sans MT"/>
        </w:rPr>
        <w:t xml:space="preserve"> See e.g. ‘The Guardian view on scrapping the Human Rights Act’ </w:t>
      </w:r>
      <w:r w:rsidRPr="00C82F49">
        <w:rPr>
          <w:rFonts w:ascii="Gill Sans MT" w:hAnsi="Gill Sans MT"/>
          <w:i/>
        </w:rPr>
        <w:t xml:space="preserve">The Guardian </w:t>
      </w:r>
      <w:r w:rsidRPr="00C82F49">
        <w:rPr>
          <w:rFonts w:ascii="Gill Sans MT" w:hAnsi="Gill Sans MT"/>
        </w:rPr>
        <w:t xml:space="preserve">(3 October 2014), at: </w:t>
      </w:r>
      <w:hyperlink r:id="rId5" w:history="1">
        <w:r w:rsidRPr="00C82F49">
          <w:rPr>
            <w:rStyle w:val="Hyperlink"/>
            <w:rFonts w:ascii="Gill Sans MT" w:hAnsi="Gill Sans MT"/>
          </w:rPr>
          <w:t>https://www.theguardian.com/commentisfree/2014/oct/03/guardian-view-scrapping-human-rights-act-dangerous-jumble</w:t>
        </w:r>
      </w:hyperlink>
      <w:r w:rsidRPr="00C82F49">
        <w:rPr>
          <w:rFonts w:ascii="Gill Sans MT" w:hAnsi="Gill Sans MT"/>
        </w:rPr>
        <w:t xml:space="preserve">; ‘A nation imperilled by the Human Rights Act’ </w:t>
      </w:r>
      <w:r w:rsidRPr="00C82F49">
        <w:rPr>
          <w:rFonts w:ascii="Gill Sans MT" w:hAnsi="Gill Sans MT"/>
          <w:i/>
        </w:rPr>
        <w:t>The Daily Mail</w:t>
      </w:r>
      <w:r w:rsidRPr="00C82F49">
        <w:rPr>
          <w:rFonts w:ascii="Gill Sans MT" w:hAnsi="Gill Sans MT"/>
        </w:rPr>
        <w:t xml:space="preserve"> (1 August 2015), at: </w:t>
      </w:r>
      <w:hyperlink r:id="rId6" w:history="1">
        <w:r w:rsidRPr="00C82F49">
          <w:rPr>
            <w:rStyle w:val="Hyperlink"/>
            <w:rFonts w:ascii="Gill Sans MT" w:hAnsi="Gill Sans MT"/>
          </w:rPr>
          <w:t>http://www.dailymail.co.uk/debate/article-3181945/DAILY-MAIL-COMMENT-nation-imperilled-Human-Rights-Act.html</w:t>
        </w:r>
      </w:hyperlink>
      <w:r w:rsidRPr="00C82F49">
        <w:rPr>
          <w:rFonts w:ascii="Gill Sans MT" w:hAnsi="Gill Sans MT"/>
        </w:rPr>
        <w:t>.</w:t>
      </w:r>
    </w:p>
  </w:footnote>
  <w:footnote w:id="30">
    <w:p w14:paraId="7DB9706C" w14:textId="77777777" w:rsidR="007031FB" w:rsidRPr="00C82F49" w:rsidRDefault="007031FB">
      <w:pPr>
        <w:pStyle w:val="FootnoteText"/>
        <w:rPr>
          <w:rFonts w:ascii="Gill Sans MT" w:hAnsi="Gill Sans MT"/>
        </w:rPr>
      </w:pPr>
      <w:r w:rsidRPr="00C82F49">
        <w:rPr>
          <w:rStyle w:val="FootnoteReference"/>
          <w:rFonts w:ascii="Gill Sans MT" w:hAnsi="Gill Sans MT"/>
        </w:rPr>
        <w:footnoteRef/>
      </w:r>
      <w:r w:rsidRPr="00C82F49">
        <w:rPr>
          <w:rFonts w:ascii="Gill Sans MT" w:hAnsi="Gill Sans MT"/>
        </w:rPr>
        <w:t xml:space="preserve"> </w:t>
      </w:r>
      <w:r w:rsidR="00255E81" w:rsidRPr="00C82F49">
        <w:rPr>
          <w:rFonts w:ascii="Gill Sans MT" w:hAnsi="Gill Sans MT"/>
        </w:rPr>
        <w:t xml:space="preserve">See especially KD Ewing and CA </w:t>
      </w:r>
      <w:proofErr w:type="spellStart"/>
      <w:r w:rsidR="00255E81" w:rsidRPr="00C82F49">
        <w:rPr>
          <w:rFonts w:ascii="Gill Sans MT" w:hAnsi="Gill Sans MT"/>
        </w:rPr>
        <w:t>Gearty</w:t>
      </w:r>
      <w:proofErr w:type="spellEnd"/>
      <w:r w:rsidR="00255E81" w:rsidRPr="00C82F49">
        <w:rPr>
          <w:rFonts w:ascii="Gill Sans MT" w:hAnsi="Gill Sans MT"/>
        </w:rPr>
        <w:t xml:space="preserve">, </w:t>
      </w:r>
      <w:r w:rsidR="00255E81" w:rsidRPr="00C82F49">
        <w:rPr>
          <w:rFonts w:ascii="Gill Sans MT" w:hAnsi="Gill Sans MT"/>
          <w:i/>
        </w:rPr>
        <w:t>Freedom Under Thatcher: Civil Liberties in Modern Britain</w:t>
      </w:r>
      <w:r w:rsidR="00255E81" w:rsidRPr="00C82F49">
        <w:rPr>
          <w:rFonts w:ascii="Gill Sans MT" w:hAnsi="Gill Sans MT"/>
        </w:rPr>
        <w:t xml:space="preserve"> (Oxford, Clarendon Press, 1990); </w:t>
      </w:r>
      <w:r w:rsidR="004C6049" w:rsidRPr="00C82F49">
        <w:rPr>
          <w:rFonts w:ascii="Gill Sans MT" w:hAnsi="Gill Sans MT"/>
        </w:rPr>
        <w:t xml:space="preserve">JAG Griffith, </w:t>
      </w:r>
      <w:r w:rsidR="004C6049" w:rsidRPr="00C82F49">
        <w:rPr>
          <w:rFonts w:ascii="Gill Sans MT" w:hAnsi="Gill Sans MT"/>
          <w:i/>
        </w:rPr>
        <w:t>The Politics of the Judiciary</w:t>
      </w:r>
      <w:r w:rsidR="004C6049" w:rsidRPr="00C82F49">
        <w:rPr>
          <w:rFonts w:ascii="Gill Sans MT" w:hAnsi="Gill Sans MT"/>
        </w:rPr>
        <w:t xml:space="preserve">, 5th </w:t>
      </w:r>
      <w:proofErr w:type="spellStart"/>
      <w:r w:rsidR="004C6049" w:rsidRPr="00C82F49">
        <w:rPr>
          <w:rFonts w:ascii="Gill Sans MT" w:hAnsi="Gill Sans MT"/>
        </w:rPr>
        <w:t>edn</w:t>
      </w:r>
      <w:proofErr w:type="spellEnd"/>
      <w:r w:rsidR="004C6049" w:rsidRPr="00C82F49">
        <w:rPr>
          <w:rFonts w:ascii="Gill Sans MT" w:hAnsi="Gill Sans MT"/>
        </w:rPr>
        <w:t xml:space="preserve"> (London, Fontana Press, 1997); </w:t>
      </w:r>
      <w:r w:rsidR="00255E81" w:rsidRPr="00C82F49">
        <w:rPr>
          <w:rFonts w:ascii="Gill Sans MT" w:hAnsi="Gill Sans MT"/>
        </w:rPr>
        <w:t xml:space="preserve">KD Ewing and CA </w:t>
      </w:r>
      <w:proofErr w:type="spellStart"/>
      <w:r w:rsidR="00255E81" w:rsidRPr="00C82F49">
        <w:rPr>
          <w:rFonts w:ascii="Gill Sans MT" w:hAnsi="Gill Sans MT"/>
        </w:rPr>
        <w:t>Gearty</w:t>
      </w:r>
      <w:proofErr w:type="spellEnd"/>
      <w:r w:rsidR="00255E81" w:rsidRPr="00C82F49">
        <w:rPr>
          <w:rFonts w:ascii="Gill Sans MT" w:hAnsi="Gill Sans MT"/>
        </w:rPr>
        <w:t xml:space="preserve">, </w:t>
      </w:r>
      <w:r w:rsidR="00255E81" w:rsidRPr="00C82F49">
        <w:rPr>
          <w:rFonts w:ascii="Gill Sans MT" w:hAnsi="Gill Sans MT"/>
          <w:i/>
        </w:rPr>
        <w:t>The Struggle for Civil Liberties: Political Freedom and the Rule of Law in Britain, 1914–1945</w:t>
      </w:r>
      <w:r w:rsidR="00255E81" w:rsidRPr="00C82F49">
        <w:rPr>
          <w:rFonts w:ascii="Gill Sans MT" w:hAnsi="Gill Sans MT"/>
        </w:rPr>
        <w:t xml:space="preserve"> (Oxford, Oxford University Press, 2000); KD Ewing, </w:t>
      </w:r>
      <w:r w:rsidR="00255E81" w:rsidRPr="00C82F49">
        <w:rPr>
          <w:rFonts w:ascii="Gill Sans MT" w:hAnsi="Gill Sans MT"/>
          <w:i/>
        </w:rPr>
        <w:t>The Bonfire of the Liberties: New Labour, Human Rights and the Rule of Law</w:t>
      </w:r>
      <w:r w:rsidR="00255E81" w:rsidRPr="00C82F49">
        <w:rPr>
          <w:rFonts w:ascii="Gill Sans MT" w:hAnsi="Gill Sans MT"/>
        </w:rPr>
        <w:t xml:space="preserve"> (Oxford, Oxford University Press, 2010).</w:t>
      </w:r>
    </w:p>
  </w:footnote>
  <w:footnote w:id="31">
    <w:p w14:paraId="4E1AED13" w14:textId="77777777" w:rsidR="007031FB" w:rsidRPr="00C82F49" w:rsidRDefault="007031FB">
      <w:pPr>
        <w:pStyle w:val="FootnoteText"/>
        <w:rPr>
          <w:rFonts w:ascii="Gill Sans MT" w:hAnsi="Gill Sans MT"/>
        </w:rPr>
      </w:pPr>
      <w:r w:rsidRPr="00C82F49">
        <w:rPr>
          <w:rStyle w:val="FootnoteReference"/>
          <w:rFonts w:ascii="Gill Sans MT" w:hAnsi="Gill Sans MT"/>
        </w:rPr>
        <w:footnoteRef/>
      </w:r>
      <w:r w:rsidR="00255E81" w:rsidRPr="00C82F49">
        <w:rPr>
          <w:rFonts w:ascii="Gill Sans MT" w:hAnsi="Gill Sans MT"/>
        </w:rPr>
        <w:t xml:space="preserve"> </w:t>
      </w:r>
      <w:r w:rsidR="00255E81" w:rsidRPr="00C82F49">
        <w:rPr>
          <w:rFonts w:ascii="Gill Sans MT" w:hAnsi="Gill Sans MT"/>
          <w:i/>
        </w:rPr>
        <w:t xml:space="preserve">R (Carmichael and others) v Secretary of State for Work and Pensions </w:t>
      </w:r>
      <w:r w:rsidR="00255E81" w:rsidRPr="00C82F49">
        <w:rPr>
          <w:rFonts w:ascii="Gill Sans MT" w:hAnsi="Gill Sans MT"/>
          <w:color w:val="000000"/>
          <w:shd w:val="clear" w:color="auto" w:fill="FFFFFF"/>
        </w:rPr>
        <w:t>[2016] UKSC 58; [2016] 1 W.L.R. 4550.</w:t>
      </w:r>
    </w:p>
  </w:footnote>
  <w:footnote w:id="32">
    <w:p w14:paraId="7A05C5E5" w14:textId="77777777" w:rsidR="007031FB" w:rsidRPr="00C82F49" w:rsidRDefault="007031FB">
      <w:pPr>
        <w:pStyle w:val="FootnoteText"/>
        <w:rPr>
          <w:rFonts w:ascii="Gill Sans MT" w:hAnsi="Gill Sans MT"/>
        </w:rPr>
      </w:pPr>
      <w:r w:rsidRPr="00C82F49">
        <w:rPr>
          <w:rStyle w:val="FootnoteReference"/>
          <w:rFonts w:ascii="Gill Sans MT" w:hAnsi="Gill Sans MT"/>
        </w:rPr>
        <w:footnoteRef/>
      </w:r>
      <w:r w:rsidRPr="00C82F49">
        <w:rPr>
          <w:rFonts w:ascii="Gill Sans MT" w:hAnsi="Gill Sans MT"/>
        </w:rPr>
        <w:t xml:space="preserve"> </w:t>
      </w:r>
      <w:r w:rsidR="00255E81" w:rsidRPr="00C82F49">
        <w:rPr>
          <w:rFonts w:ascii="Gill Sans MT" w:hAnsi="Gill Sans MT"/>
          <w:i/>
        </w:rPr>
        <w:t xml:space="preserve">R (Reilly) v Secretary of State for Work and Pensions (No. 2) </w:t>
      </w:r>
      <w:r w:rsidR="00255E81" w:rsidRPr="00C82F49">
        <w:rPr>
          <w:rFonts w:ascii="Gill Sans MT" w:hAnsi="Gill Sans MT"/>
        </w:rPr>
        <w:t xml:space="preserve">[2016] EWCA </w:t>
      </w:r>
      <w:proofErr w:type="spellStart"/>
      <w:r w:rsidR="00255E81" w:rsidRPr="00C82F49">
        <w:rPr>
          <w:rFonts w:ascii="Gill Sans MT" w:hAnsi="Gill Sans MT"/>
        </w:rPr>
        <w:t>Civ</w:t>
      </w:r>
      <w:proofErr w:type="spellEnd"/>
      <w:r w:rsidR="00255E81" w:rsidRPr="00C82F49">
        <w:rPr>
          <w:rFonts w:ascii="Gill Sans MT" w:hAnsi="Gill Sans MT"/>
        </w:rPr>
        <w:t xml:space="preserve"> 413.  In this challenge to the retrospective legislation which the government introduced in Parliament to legalise what had been the unlawful withdrawal of </w:t>
      </w:r>
      <w:proofErr w:type="gramStart"/>
      <w:r w:rsidR="00255E81" w:rsidRPr="00C82F49">
        <w:rPr>
          <w:rFonts w:ascii="Gill Sans MT" w:hAnsi="Gill Sans MT"/>
        </w:rPr>
        <w:t>jobseekers</w:t>
      </w:r>
      <w:proofErr w:type="gramEnd"/>
      <w:r w:rsidR="00255E81" w:rsidRPr="00C82F49">
        <w:rPr>
          <w:rFonts w:ascii="Gill Sans MT" w:hAnsi="Gill Sans MT"/>
        </w:rPr>
        <w:t xml:space="preserve"> allowance from people who had refused to undertake unpaid work</w:t>
      </w:r>
      <w:r w:rsidR="002B06AA" w:rsidRPr="00C82F49">
        <w:rPr>
          <w:rFonts w:ascii="Gill Sans MT" w:hAnsi="Gill Sans MT"/>
        </w:rPr>
        <w:t>, only those who had lodged appeals prior to the retrospective legislation would be eligible for any relief available on human rights grounds.  This was estimated in the proceedings in the Court of Appeal as some 2,500 out of 250,000 people – approximately 1% of the unlawfully sanctioned benefit claimants.</w:t>
      </w:r>
    </w:p>
  </w:footnote>
  <w:footnote w:id="33">
    <w:p w14:paraId="4A85D3C8" w14:textId="77777777" w:rsidR="007031FB" w:rsidRPr="00C82F49" w:rsidRDefault="007031FB" w:rsidP="00F82841">
      <w:pPr>
        <w:spacing w:after="0" w:line="240" w:lineRule="auto"/>
        <w:rPr>
          <w:rFonts w:ascii="Gill Sans MT" w:hAnsi="Gill Sans MT"/>
          <w:sz w:val="20"/>
          <w:szCs w:val="20"/>
        </w:rPr>
      </w:pPr>
      <w:r w:rsidRPr="00C82F49">
        <w:rPr>
          <w:rStyle w:val="FootnoteReference"/>
          <w:rFonts w:ascii="Gill Sans MT" w:hAnsi="Gill Sans MT"/>
          <w:sz w:val="20"/>
          <w:szCs w:val="20"/>
        </w:rPr>
        <w:footnoteRef/>
      </w:r>
      <w:r w:rsidRPr="00C82F49">
        <w:rPr>
          <w:rFonts w:ascii="Gill Sans MT" w:hAnsi="Gill Sans MT"/>
          <w:sz w:val="20"/>
          <w:szCs w:val="20"/>
        </w:rPr>
        <w:t xml:space="preserve"> </w:t>
      </w:r>
      <w:r w:rsidR="008707AC" w:rsidRPr="00C82F49">
        <w:rPr>
          <w:rFonts w:ascii="Gill Sans MT" w:hAnsi="Gill Sans MT"/>
          <w:i/>
          <w:sz w:val="20"/>
          <w:szCs w:val="20"/>
        </w:rPr>
        <w:t xml:space="preserve">R (Roberts) v Commissioner of Police of the Metropolis </w:t>
      </w:r>
      <w:r w:rsidR="008707AC" w:rsidRPr="00C82F49">
        <w:rPr>
          <w:rFonts w:ascii="Gill Sans MT" w:hAnsi="Gill Sans MT"/>
          <w:sz w:val="20"/>
          <w:szCs w:val="20"/>
          <w:shd w:val="clear" w:color="auto" w:fill="FFFFFF"/>
        </w:rPr>
        <w:t>[2015] UKSC 79; [2016] 1 W.L.R. 210</w:t>
      </w:r>
      <w:r w:rsidR="00127AAE" w:rsidRPr="00C82F49">
        <w:rPr>
          <w:rFonts w:ascii="Gill Sans MT" w:hAnsi="Gill Sans MT"/>
          <w:sz w:val="20"/>
          <w:szCs w:val="20"/>
        </w:rPr>
        <w:t xml:space="preserve">, [41]: </w:t>
      </w:r>
      <w:r w:rsidR="009F0C4A" w:rsidRPr="00C82F49">
        <w:rPr>
          <w:rFonts w:ascii="Gill Sans MT" w:hAnsi="Gill Sans MT"/>
          <w:sz w:val="20"/>
          <w:szCs w:val="20"/>
        </w:rPr>
        <w:t>‘</w:t>
      </w:r>
      <w:r w:rsidR="00127AAE" w:rsidRPr="00C82F49">
        <w:rPr>
          <w:rFonts w:ascii="Gill Sans MT" w:hAnsi="Gill Sans MT"/>
          <w:sz w:val="20"/>
          <w:szCs w:val="20"/>
        </w:rPr>
        <w:t>A</w:t>
      </w:r>
      <w:r w:rsidR="00127AAE" w:rsidRPr="00C82F49">
        <w:rPr>
          <w:rFonts w:ascii="Gill Sans MT" w:hAnsi="Gill Sans MT"/>
          <w:sz w:val="20"/>
          <w:szCs w:val="20"/>
          <w:shd w:val="clear" w:color="auto" w:fill="FFFFFF"/>
        </w:rPr>
        <w:t>ny random “</w:t>
      </w:r>
      <w:proofErr w:type="spellStart"/>
      <w:r w:rsidR="00127AAE" w:rsidRPr="00C82F49">
        <w:rPr>
          <w:rFonts w:ascii="Gill Sans MT" w:hAnsi="Gill Sans MT"/>
          <w:sz w:val="20"/>
          <w:szCs w:val="20"/>
          <w:shd w:val="clear" w:color="auto" w:fill="FFFFFF"/>
        </w:rPr>
        <w:t>suspicionless</w:t>
      </w:r>
      <w:proofErr w:type="spellEnd"/>
      <w:r w:rsidR="00127AAE" w:rsidRPr="00C82F49">
        <w:rPr>
          <w:rFonts w:ascii="Gill Sans MT" w:hAnsi="Gill Sans MT"/>
          <w:sz w:val="20"/>
          <w:szCs w:val="20"/>
          <w:shd w:val="clear" w:color="auto" w:fill="FFFFFF"/>
        </w:rPr>
        <w:t>” power of stop and search carries with it the risk that it will be used in an arbitrary or discriminatory manner in individual cases. There are, however, great benefits to the public in such a power…. The purpose of this is to reduce the risk of serious violence where knives and other offensive weapons are used, especially that associated with gangs and large crowds. It must be borne in mind that many of these gangs are largely composed of young people from black and minority ethnic groups. While there is a concern that members of these groups should not be disproportionately targeted, it is members of these groups who will benefit most from the reduction in violence, serious injury and death that may result from the use of such powers’.</w:t>
      </w:r>
    </w:p>
  </w:footnote>
  <w:footnote w:id="34">
    <w:p w14:paraId="0B1A8796" w14:textId="77777777" w:rsidR="007031FB" w:rsidRPr="00C82F49" w:rsidRDefault="007031FB" w:rsidP="00F82841">
      <w:pPr>
        <w:spacing w:after="0" w:line="240" w:lineRule="auto"/>
        <w:rPr>
          <w:rFonts w:ascii="Gill Sans MT" w:hAnsi="Gill Sans MT"/>
          <w:sz w:val="20"/>
          <w:szCs w:val="20"/>
        </w:rPr>
      </w:pPr>
      <w:r w:rsidRPr="00C82F49">
        <w:rPr>
          <w:rStyle w:val="FootnoteReference"/>
          <w:rFonts w:ascii="Gill Sans MT" w:hAnsi="Gill Sans MT"/>
          <w:sz w:val="20"/>
          <w:szCs w:val="20"/>
        </w:rPr>
        <w:footnoteRef/>
      </w:r>
      <w:r w:rsidRPr="00C82F49">
        <w:rPr>
          <w:rFonts w:ascii="Gill Sans MT" w:hAnsi="Gill Sans MT"/>
          <w:sz w:val="20"/>
          <w:szCs w:val="20"/>
        </w:rPr>
        <w:t xml:space="preserve"> </w:t>
      </w:r>
      <w:r w:rsidR="00F82841" w:rsidRPr="00C82F49">
        <w:rPr>
          <w:rStyle w:val="SemiboldItalic"/>
          <w:rFonts w:ascii="Gill Sans MT" w:hAnsi="Gill Sans MT"/>
          <w:bCs/>
          <w:sz w:val="20"/>
          <w:szCs w:val="20"/>
        </w:rPr>
        <w:t>Re Recovery of Medical Costs for Asbestos Diseases (Wales) Bill</w:t>
      </w:r>
      <w:r w:rsidR="00F82841" w:rsidRPr="00C82F49">
        <w:rPr>
          <w:rFonts w:ascii="Gill Sans MT" w:hAnsi="Gill Sans MT"/>
          <w:sz w:val="20"/>
          <w:szCs w:val="20"/>
        </w:rPr>
        <w:t xml:space="preserve"> [2015] UKSC 3; [2015] AC 1016.</w:t>
      </w:r>
    </w:p>
  </w:footnote>
  <w:footnote w:id="35">
    <w:p w14:paraId="13D03680" w14:textId="77777777" w:rsidR="007031FB" w:rsidRPr="00C82F49" w:rsidRDefault="007031FB" w:rsidP="00F82841">
      <w:pPr>
        <w:spacing w:after="0" w:line="240" w:lineRule="auto"/>
        <w:rPr>
          <w:rFonts w:ascii="Gill Sans MT" w:hAnsi="Gill Sans MT"/>
          <w:sz w:val="20"/>
          <w:szCs w:val="20"/>
        </w:rPr>
      </w:pPr>
      <w:r w:rsidRPr="00C82F49">
        <w:rPr>
          <w:rStyle w:val="FootnoteReference"/>
          <w:rFonts w:ascii="Gill Sans MT" w:hAnsi="Gill Sans MT"/>
          <w:sz w:val="20"/>
          <w:szCs w:val="20"/>
        </w:rPr>
        <w:footnoteRef/>
      </w:r>
      <w:r w:rsidRPr="00C82F49">
        <w:rPr>
          <w:rFonts w:ascii="Gill Sans MT" w:hAnsi="Gill Sans MT"/>
          <w:sz w:val="20"/>
          <w:szCs w:val="20"/>
        </w:rPr>
        <w:t xml:space="preserve"> </w:t>
      </w:r>
      <w:r w:rsidR="00BB70FC" w:rsidRPr="00C82F49">
        <w:rPr>
          <w:rFonts w:ascii="Gill Sans MT" w:hAnsi="Gill Sans MT"/>
          <w:i/>
          <w:sz w:val="20"/>
          <w:szCs w:val="20"/>
        </w:rPr>
        <w:t>Hirst v United Kingdom (No 2)</w:t>
      </w:r>
      <w:r w:rsidR="00BB70FC" w:rsidRPr="00C82F49">
        <w:rPr>
          <w:rFonts w:ascii="Gill Sans MT" w:hAnsi="Gill Sans MT"/>
          <w:sz w:val="20"/>
          <w:szCs w:val="20"/>
        </w:rPr>
        <w:t xml:space="preserve"> (2005) 42 EHRR 849; considering this decision in the UK, see </w:t>
      </w:r>
      <w:r w:rsidR="00BB70FC" w:rsidRPr="00C82F49">
        <w:rPr>
          <w:rFonts w:ascii="Gill Sans MT" w:hAnsi="Gill Sans MT"/>
          <w:i/>
          <w:sz w:val="20"/>
          <w:szCs w:val="20"/>
        </w:rPr>
        <w:t>R (Chester) v Secretary of State for Justice</w:t>
      </w:r>
      <w:r w:rsidR="00BB70FC" w:rsidRPr="00C82F49">
        <w:rPr>
          <w:rFonts w:ascii="Gill Sans MT" w:hAnsi="Gill Sans MT"/>
          <w:sz w:val="20"/>
          <w:szCs w:val="20"/>
        </w:rPr>
        <w:t xml:space="preserve"> [2013] UKSC 63, [2014] AC 271.</w:t>
      </w:r>
    </w:p>
  </w:footnote>
  <w:footnote w:id="36">
    <w:p w14:paraId="35C77809" w14:textId="77777777" w:rsidR="007031FB" w:rsidRPr="00C82F49" w:rsidRDefault="007031FB" w:rsidP="00F82841">
      <w:pPr>
        <w:spacing w:after="0" w:line="240" w:lineRule="auto"/>
        <w:rPr>
          <w:rFonts w:ascii="Gill Sans MT" w:hAnsi="Gill Sans MT"/>
          <w:sz w:val="20"/>
          <w:szCs w:val="20"/>
        </w:rPr>
      </w:pPr>
      <w:r w:rsidRPr="00C82F49">
        <w:rPr>
          <w:rStyle w:val="FootnoteReference"/>
          <w:rFonts w:ascii="Gill Sans MT" w:hAnsi="Gill Sans MT"/>
          <w:sz w:val="20"/>
          <w:szCs w:val="20"/>
        </w:rPr>
        <w:footnoteRef/>
      </w:r>
      <w:r w:rsidRPr="00C82F49">
        <w:rPr>
          <w:rFonts w:ascii="Gill Sans MT" w:hAnsi="Gill Sans MT"/>
          <w:sz w:val="20"/>
          <w:szCs w:val="20"/>
        </w:rPr>
        <w:t xml:space="preserve"> See </w:t>
      </w:r>
      <w:r w:rsidR="00BB70FC" w:rsidRPr="00C82F49">
        <w:rPr>
          <w:rFonts w:ascii="Gill Sans MT" w:hAnsi="Gill Sans MT"/>
          <w:sz w:val="20"/>
          <w:szCs w:val="20"/>
        </w:rPr>
        <w:t>the report of the Joint Committee on the Draft Voting Eligibility (Prisoners) Bill established to consider the possibilities (HL Paper 103, HC 924, 18 December 2013).  Even the very modest recommendations of the Committee have gone unimplemented.</w:t>
      </w:r>
    </w:p>
  </w:footnote>
  <w:footnote w:id="37">
    <w:p w14:paraId="4054B933" w14:textId="77777777" w:rsidR="007031FB" w:rsidRPr="00D64958" w:rsidRDefault="007031FB" w:rsidP="005D1C38">
      <w:pPr>
        <w:pStyle w:val="Heading2"/>
        <w:shd w:val="clear" w:color="auto" w:fill="FFFFFF"/>
        <w:spacing w:before="0" w:beforeAutospacing="0" w:after="0" w:afterAutospacing="0"/>
        <w:rPr>
          <w:rFonts w:ascii="Gill Sans MT" w:hAnsi="Gill Sans MT"/>
          <w:b w:val="0"/>
          <w:sz w:val="20"/>
          <w:szCs w:val="20"/>
        </w:rPr>
      </w:pPr>
      <w:r w:rsidRPr="00C82F49">
        <w:rPr>
          <w:rStyle w:val="FootnoteReference"/>
          <w:rFonts w:ascii="Gill Sans MT" w:hAnsi="Gill Sans MT"/>
          <w:b w:val="0"/>
          <w:sz w:val="20"/>
          <w:szCs w:val="20"/>
        </w:rPr>
        <w:footnoteRef/>
      </w:r>
      <w:r w:rsidR="00101EBB" w:rsidRPr="00C82F49">
        <w:rPr>
          <w:rFonts w:ascii="Gill Sans MT" w:hAnsi="Gill Sans MT"/>
          <w:b w:val="0"/>
          <w:sz w:val="20"/>
          <w:szCs w:val="20"/>
        </w:rPr>
        <w:t xml:space="preserve"> See e.g. </w:t>
      </w:r>
      <w:r w:rsidR="00101EBB" w:rsidRPr="00C82F49">
        <w:rPr>
          <w:rFonts w:ascii="Gill Sans MT" w:hAnsi="Gill Sans MT"/>
          <w:b w:val="0"/>
          <w:i/>
          <w:sz w:val="20"/>
          <w:szCs w:val="20"/>
          <w:lang w:eastAsia="zh-CN"/>
        </w:rPr>
        <w:t>Imperial Tobacco</w:t>
      </w:r>
      <w:r w:rsidR="00101EBB" w:rsidRPr="00C82F49">
        <w:rPr>
          <w:rFonts w:ascii="Gill Sans MT" w:hAnsi="Gill Sans MT"/>
          <w:b w:val="0"/>
          <w:sz w:val="20"/>
          <w:szCs w:val="20"/>
          <w:lang w:eastAsia="zh-CN"/>
        </w:rPr>
        <w:t xml:space="preserve"> </w:t>
      </w:r>
      <w:r w:rsidR="00101EBB" w:rsidRPr="00C82F49">
        <w:rPr>
          <w:rFonts w:ascii="Gill Sans MT" w:hAnsi="Gill Sans MT"/>
          <w:b w:val="0"/>
          <w:i/>
          <w:iCs/>
          <w:sz w:val="20"/>
          <w:szCs w:val="20"/>
          <w:lang w:eastAsia="zh-CN"/>
        </w:rPr>
        <w:t>Lt</w:t>
      </w:r>
      <w:r w:rsidR="00101EBB" w:rsidRPr="00C82F49">
        <w:rPr>
          <w:rFonts w:ascii="Gill Sans MT" w:eastAsia="+mn-ea" w:hAnsi="Gill Sans MT"/>
          <w:b w:val="0"/>
          <w:i/>
          <w:iCs/>
          <w:sz w:val="20"/>
          <w:szCs w:val="20"/>
          <w:lang w:eastAsia="zh-CN"/>
        </w:rPr>
        <w:t xml:space="preserve">d </w:t>
      </w:r>
      <w:r w:rsidR="00101EBB" w:rsidRPr="00C82F49">
        <w:rPr>
          <w:rFonts w:ascii="Gill Sans MT" w:hAnsi="Gill Sans MT"/>
          <w:b w:val="0"/>
          <w:i/>
          <w:iCs/>
          <w:sz w:val="20"/>
          <w:szCs w:val="20"/>
          <w:lang w:eastAsia="zh-CN"/>
        </w:rPr>
        <w:t>v</w:t>
      </w:r>
      <w:r w:rsidR="00101EBB" w:rsidRPr="00C82F49">
        <w:rPr>
          <w:rFonts w:ascii="Gill Sans MT" w:eastAsia="+mn-ea" w:hAnsi="Gill Sans MT"/>
          <w:b w:val="0"/>
          <w:sz w:val="20"/>
          <w:szCs w:val="20"/>
          <w:lang w:eastAsia="zh-CN"/>
        </w:rPr>
        <w:t xml:space="preserve"> </w:t>
      </w:r>
      <w:r w:rsidR="00101EBB" w:rsidRPr="00C82F49">
        <w:rPr>
          <w:rFonts w:ascii="Gill Sans MT" w:eastAsia="+mn-ea" w:hAnsi="Gill Sans MT"/>
          <w:b w:val="0"/>
          <w:i/>
          <w:iCs/>
          <w:sz w:val="20"/>
          <w:szCs w:val="20"/>
          <w:lang w:eastAsia="zh-CN"/>
        </w:rPr>
        <w:t>Lord Advocate</w:t>
      </w:r>
      <w:r w:rsidR="00101EBB" w:rsidRPr="00C82F49">
        <w:rPr>
          <w:rFonts w:ascii="Gill Sans MT" w:eastAsia="+mn-ea" w:hAnsi="Gill Sans MT"/>
          <w:b w:val="0"/>
          <w:sz w:val="20"/>
          <w:szCs w:val="20"/>
          <w:lang w:eastAsia="zh-CN"/>
        </w:rPr>
        <w:t xml:space="preserve"> [2012] UKSC 61; </w:t>
      </w:r>
      <w:r w:rsidR="00101EBB" w:rsidRPr="00C82F49">
        <w:rPr>
          <w:rFonts w:ascii="Gill Sans MT" w:hAnsi="Gill Sans MT"/>
          <w:b w:val="0"/>
          <w:sz w:val="20"/>
          <w:szCs w:val="20"/>
        </w:rPr>
        <w:t xml:space="preserve">2013 SC (UKSC) 153; </w:t>
      </w:r>
      <w:r w:rsidR="005D1C38" w:rsidRPr="00C82F49">
        <w:rPr>
          <w:rFonts w:ascii="Gill Sans MT" w:hAnsi="Gill Sans MT"/>
          <w:b w:val="0"/>
          <w:i/>
          <w:color w:val="000000"/>
          <w:sz w:val="20"/>
          <w:szCs w:val="20"/>
        </w:rPr>
        <w:t>R (British American Tobacco UK Ltd) v Secretary of State for Health</w:t>
      </w:r>
      <w:r w:rsidR="005D1C38" w:rsidRPr="00C82F49">
        <w:rPr>
          <w:rStyle w:val="apple-converted-space"/>
          <w:rFonts w:ascii="Gill Sans MT" w:hAnsi="Gill Sans MT"/>
          <w:b w:val="0"/>
          <w:color w:val="000000"/>
          <w:sz w:val="20"/>
          <w:szCs w:val="20"/>
          <w:shd w:val="clear" w:color="auto" w:fill="FFFFFF"/>
        </w:rPr>
        <w:t> </w:t>
      </w:r>
      <w:r w:rsidR="005D1C38" w:rsidRPr="00C82F49">
        <w:rPr>
          <w:rFonts w:ascii="Gill Sans MT" w:hAnsi="Gill Sans MT"/>
          <w:b w:val="0"/>
          <w:color w:val="000000"/>
          <w:sz w:val="20"/>
          <w:szCs w:val="20"/>
          <w:shd w:val="clear" w:color="auto" w:fill="FFFFFF"/>
        </w:rPr>
        <w:t xml:space="preserve">[2016] EWCA </w:t>
      </w:r>
      <w:proofErr w:type="spellStart"/>
      <w:r w:rsidR="005D1C38" w:rsidRPr="00C82F49">
        <w:rPr>
          <w:rFonts w:ascii="Gill Sans MT" w:hAnsi="Gill Sans MT"/>
          <w:b w:val="0"/>
          <w:color w:val="000000"/>
          <w:sz w:val="20"/>
          <w:szCs w:val="20"/>
          <w:shd w:val="clear" w:color="auto" w:fill="FFFFFF"/>
        </w:rPr>
        <w:t>Civ</w:t>
      </w:r>
      <w:proofErr w:type="spellEnd"/>
      <w:r w:rsidR="005D1C38" w:rsidRPr="00C82F49">
        <w:rPr>
          <w:rFonts w:ascii="Gill Sans MT" w:hAnsi="Gill Sans MT"/>
          <w:b w:val="0"/>
          <w:color w:val="000000"/>
          <w:sz w:val="20"/>
          <w:szCs w:val="20"/>
          <w:shd w:val="clear" w:color="auto" w:fill="FFFFFF"/>
        </w:rPr>
        <w:t xml:space="preserve"> 1182, and the decision of the Supreme Court to refuse permission to appeal on 12</w:t>
      </w:r>
      <w:r w:rsidR="005D1C38" w:rsidRPr="00C82F49">
        <w:rPr>
          <w:rFonts w:ascii="Gill Sans MT" w:hAnsi="Gill Sans MT"/>
          <w:b w:val="0"/>
          <w:color w:val="000000"/>
          <w:sz w:val="20"/>
          <w:szCs w:val="20"/>
          <w:shd w:val="clear" w:color="auto" w:fill="FFFFFF"/>
          <w:vertAlign w:val="superscript"/>
        </w:rPr>
        <w:t xml:space="preserve"> </w:t>
      </w:r>
      <w:r w:rsidR="005D1C38" w:rsidRPr="00C82F49">
        <w:rPr>
          <w:rFonts w:ascii="Gill Sans MT" w:hAnsi="Gill Sans MT"/>
          <w:b w:val="0"/>
          <w:sz w:val="20"/>
          <w:szCs w:val="20"/>
        </w:rPr>
        <w:t>April 2017</w:t>
      </w:r>
      <w:r w:rsidR="005668F3" w:rsidRPr="00C82F49">
        <w:rPr>
          <w:rFonts w:ascii="Gill Sans MT" w:hAnsi="Gill Sans MT"/>
          <w:b w:val="0"/>
          <w:sz w:val="20"/>
          <w:szCs w:val="20"/>
        </w:rPr>
        <w:t xml:space="preserve">, at: </w:t>
      </w:r>
      <w:hyperlink r:id="rId7" w:history="1">
        <w:r w:rsidR="005668F3" w:rsidRPr="00C82F49">
          <w:rPr>
            <w:rStyle w:val="Hyperlink"/>
            <w:rFonts w:ascii="Gill Sans MT" w:hAnsi="Gill Sans MT"/>
            <w:b w:val="0"/>
            <w:sz w:val="20"/>
            <w:szCs w:val="20"/>
          </w:rPr>
          <w:t>https://www.supremecourt.uk/news/permission-to-appeal-decision-12-april-2017.html</w:t>
        </w:r>
      </w:hyperlink>
      <w:r w:rsidR="005D1C38" w:rsidRPr="00C82F49">
        <w:rPr>
          <w:rFonts w:ascii="Gill Sans MT" w:hAnsi="Gill Sans MT"/>
          <w:b w:val="0"/>
          <w:sz w:val="20"/>
          <w:szCs w:val="20"/>
        </w:rPr>
        <w:t>.</w:t>
      </w:r>
      <w:r w:rsidR="00D64958">
        <w:rPr>
          <w:rFonts w:ascii="Gill Sans MT" w:hAnsi="Gill Sans MT"/>
          <w:b w:val="0"/>
          <w:sz w:val="20"/>
          <w:szCs w:val="20"/>
        </w:rPr>
        <w:t xml:space="preserve">  For discussion of this point, see C </w:t>
      </w:r>
      <w:proofErr w:type="spellStart"/>
      <w:r w:rsidR="00D64958">
        <w:rPr>
          <w:rFonts w:ascii="Gill Sans MT" w:hAnsi="Gill Sans MT"/>
          <w:b w:val="0"/>
          <w:sz w:val="20"/>
          <w:szCs w:val="20"/>
        </w:rPr>
        <w:t>McCorkindale</w:t>
      </w:r>
      <w:proofErr w:type="spellEnd"/>
      <w:r w:rsidR="00D64958">
        <w:rPr>
          <w:rFonts w:ascii="Gill Sans MT" w:hAnsi="Gill Sans MT"/>
          <w:b w:val="0"/>
          <w:sz w:val="20"/>
          <w:szCs w:val="20"/>
        </w:rPr>
        <w:t xml:space="preserve">, ‘The New Powers of the </w:t>
      </w:r>
      <w:r w:rsidR="00D64958" w:rsidRPr="00D64958">
        <w:rPr>
          <w:rFonts w:ascii="Gill Sans MT" w:hAnsi="Gill Sans MT"/>
          <w:b w:val="0"/>
          <w:sz w:val="20"/>
          <w:szCs w:val="20"/>
        </w:rPr>
        <w:t xml:space="preserve">Judiciary in Scotland – Part I’, </w:t>
      </w:r>
      <w:r w:rsidR="00D64958" w:rsidRPr="00D64958">
        <w:rPr>
          <w:rFonts w:ascii="Gill Sans MT" w:hAnsi="Gill Sans MT"/>
          <w:b w:val="0"/>
          <w:i/>
          <w:sz w:val="20"/>
          <w:szCs w:val="20"/>
        </w:rPr>
        <w:t xml:space="preserve">Judicial Power Project Blog </w:t>
      </w:r>
      <w:r w:rsidR="00D64958" w:rsidRPr="00D64958">
        <w:rPr>
          <w:rFonts w:ascii="Gill Sans MT" w:hAnsi="Gill Sans MT"/>
          <w:b w:val="0"/>
          <w:sz w:val="20"/>
          <w:szCs w:val="20"/>
        </w:rPr>
        <w:t xml:space="preserve">(29 April 2016), at: </w:t>
      </w:r>
      <w:hyperlink r:id="rId8" w:history="1">
        <w:r w:rsidR="00D64958" w:rsidRPr="00D64958">
          <w:rPr>
            <w:rStyle w:val="Hyperlink"/>
            <w:rFonts w:ascii="Gill Sans MT" w:hAnsi="Gill Sans MT"/>
            <w:b w:val="0"/>
            <w:sz w:val="20"/>
            <w:szCs w:val="20"/>
          </w:rPr>
          <w:t>https://judicialpowerproject.org.uk/the-new-powers-of-the-judiciary-in-scotland/</w:t>
        </w:r>
      </w:hyperlink>
      <w:r w:rsidR="00D64958" w:rsidRPr="00D64958">
        <w:rPr>
          <w:rFonts w:ascii="Gill Sans MT" w:hAnsi="Gill Sans MT"/>
          <w:b w:val="0"/>
          <w:sz w:val="20"/>
          <w:szCs w:val="20"/>
        </w:rPr>
        <w:t>.</w:t>
      </w:r>
    </w:p>
  </w:footnote>
  <w:footnote w:id="38">
    <w:p w14:paraId="0D51C1C2" w14:textId="77777777" w:rsidR="007031FB" w:rsidRPr="00C82F49" w:rsidRDefault="007031FB">
      <w:pPr>
        <w:pStyle w:val="FootnoteText"/>
        <w:rPr>
          <w:rFonts w:ascii="Gill Sans MT" w:hAnsi="Gill Sans MT"/>
        </w:rPr>
      </w:pPr>
      <w:r w:rsidRPr="00D64958">
        <w:rPr>
          <w:rStyle w:val="FootnoteReference"/>
          <w:rFonts w:ascii="Gill Sans MT" w:hAnsi="Gill Sans MT"/>
        </w:rPr>
        <w:footnoteRef/>
      </w:r>
      <w:r w:rsidRPr="00D64958">
        <w:rPr>
          <w:rFonts w:ascii="Gill Sans MT" w:hAnsi="Gill Sans MT"/>
        </w:rPr>
        <w:t xml:space="preserve"> </w:t>
      </w:r>
      <w:r w:rsidR="00DA6037" w:rsidRPr="00D64958">
        <w:rPr>
          <w:rFonts w:ascii="Gill Sans MT" w:hAnsi="Gill Sans MT"/>
        </w:rPr>
        <w:t xml:space="preserve">See e.g. David Allen Green, ‘Theresa May, Hillsborough, human rights law and the politics of superficiality’, </w:t>
      </w:r>
      <w:r w:rsidR="00DA6037" w:rsidRPr="00D64958">
        <w:rPr>
          <w:rFonts w:ascii="Gill Sans MT" w:hAnsi="Gill Sans MT"/>
          <w:i/>
        </w:rPr>
        <w:t xml:space="preserve">The Financial Times </w:t>
      </w:r>
      <w:r w:rsidR="00DA6037" w:rsidRPr="00D64958">
        <w:rPr>
          <w:rFonts w:ascii="Gill Sans MT" w:hAnsi="Gill Sans MT"/>
        </w:rPr>
        <w:t xml:space="preserve">(27 April 2016), at: </w:t>
      </w:r>
      <w:hyperlink r:id="rId9" w:history="1">
        <w:r w:rsidR="00DA6037" w:rsidRPr="00D64958">
          <w:rPr>
            <w:rStyle w:val="Hyperlink"/>
            <w:rFonts w:ascii="Gill Sans MT" w:hAnsi="Gill Sans MT"/>
          </w:rPr>
          <w:t>http://blogs.ft.com/david-allen-green/2016/04/27/theresa-may-hillsborough-human-rights-law-and-the-politics-of-superficiality/</w:t>
        </w:r>
      </w:hyperlink>
      <w:r w:rsidR="00DA6037" w:rsidRPr="00C82F49">
        <w:rPr>
          <w:rFonts w:ascii="Gill Sans MT" w:hAnsi="Gill Sans MT"/>
        </w:rPr>
        <w:t xml:space="preserve">. </w:t>
      </w:r>
    </w:p>
  </w:footnote>
  <w:footnote w:id="39">
    <w:p w14:paraId="1482D5FE" w14:textId="1E255B83" w:rsidR="007031FB" w:rsidRPr="004063AE" w:rsidRDefault="007031FB">
      <w:pPr>
        <w:pStyle w:val="FootnoteText"/>
        <w:rPr>
          <w:rFonts w:ascii="Gill Sans MT" w:hAnsi="Gill Sans MT"/>
        </w:rPr>
      </w:pPr>
      <w:r w:rsidRPr="00C82F49">
        <w:rPr>
          <w:rStyle w:val="FootnoteReference"/>
          <w:rFonts w:ascii="Gill Sans MT" w:hAnsi="Gill Sans MT"/>
        </w:rPr>
        <w:footnoteRef/>
      </w:r>
      <w:r w:rsidR="00377468" w:rsidRPr="00C82F49">
        <w:rPr>
          <w:rFonts w:ascii="Gill Sans MT" w:hAnsi="Gill Sans MT"/>
        </w:rPr>
        <w:t xml:space="preserve"> See </w:t>
      </w:r>
      <w:r w:rsidR="00377468" w:rsidRPr="00C82F49">
        <w:rPr>
          <w:rFonts w:ascii="Gill Sans MT" w:hAnsi="Gill Sans MT"/>
          <w:i/>
        </w:rPr>
        <w:t xml:space="preserve">Hillsborough: The Report of the Hillsborough Independent Panel </w:t>
      </w:r>
      <w:r w:rsidR="00377468" w:rsidRPr="00C82F49">
        <w:rPr>
          <w:rFonts w:ascii="Gill Sans MT" w:hAnsi="Gill Sans MT"/>
        </w:rPr>
        <w:t xml:space="preserve">(HC 581, 12 September 2012), at: </w:t>
      </w:r>
      <w:hyperlink r:id="rId10" w:history="1">
        <w:r w:rsidR="00377468" w:rsidRPr="00C82F49">
          <w:rPr>
            <w:rStyle w:val="Hyperlink"/>
            <w:rFonts w:ascii="Gill Sans MT" w:hAnsi="Gill Sans MT"/>
          </w:rPr>
          <w:t>http://hillsborough.independent.gov.uk/repository/report/HIP_report.pdf</w:t>
        </w:r>
      </w:hyperlink>
      <w:r w:rsidR="00377468" w:rsidRPr="00C82F49">
        <w:rPr>
          <w:rFonts w:ascii="Gill Sans MT" w:hAnsi="Gill Sans MT"/>
        </w:rPr>
        <w:t>.</w:t>
      </w:r>
      <w:r w:rsidR="00176C69">
        <w:rPr>
          <w:rFonts w:ascii="Gill Sans MT" w:hAnsi="Gill Sans MT"/>
        </w:rPr>
        <w:t xml:space="preserve">  The judgment of the Divisional Court which quashed the original inquest was based on revelations made in the </w:t>
      </w:r>
      <w:r w:rsidR="00176C69">
        <w:rPr>
          <w:rFonts w:ascii="Gill Sans MT" w:hAnsi="Gill Sans MT"/>
          <w:i/>
        </w:rPr>
        <w:t>Report of the Independent Panel</w:t>
      </w:r>
      <w:r w:rsidR="00176C69">
        <w:rPr>
          <w:rFonts w:ascii="Gill Sans MT" w:hAnsi="Gill Sans MT"/>
        </w:rPr>
        <w:t xml:space="preserve"> </w:t>
      </w:r>
      <w:r w:rsidR="004063AE">
        <w:rPr>
          <w:rFonts w:ascii="Gill Sans MT" w:hAnsi="Gill Sans MT"/>
        </w:rPr>
        <w:t xml:space="preserve">as to serious flaws concerning the imposition of a premature evidential cut-off point, claims about the use of alcohol by fans, evidence of the alteration of police </w:t>
      </w:r>
      <w:r w:rsidR="004063AE" w:rsidRPr="004063AE">
        <w:rPr>
          <w:rFonts w:ascii="Gill Sans MT" w:hAnsi="Gill Sans MT"/>
        </w:rPr>
        <w:t xml:space="preserve">statements, and existing safety concerns relating to the stadium; see </w:t>
      </w:r>
      <w:r w:rsidR="004063AE" w:rsidRPr="004063AE">
        <w:rPr>
          <w:rFonts w:ascii="Gill Sans MT" w:hAnsi="Gill Sans MT"/>
          <w:i/>
        </w:rPr>
        <w:t xml:space="preserve">Attorney General v HM Coroner for South Yorkshire (West) </w:t>
      </w:r>
      <w:r w:rsidR="004063AE" w:rsidRPr="00273BBD">
        <w:rPr>
          <w:rFonts w:ascii="Gill Sans MT" w:hAnsi="Gill Sans MT"/>
          <w:bCs/>
          <w:color w:val="000000"/>
        </w:rPr>
        <w:t>[2012] EWHC 3783 (Admin)</w:t>
      </w:r>
      <w:r w:rsidR="004063AE">
        <w:rPr>
          <w:rFonts w:ascii="Gill Sans MT" w:hAnsi="Gill Sans MT"/>
          <w:bCs/>
          <w:color w:val="000000"/>
        </w:rPr>
        <w:t xml:space="preserve">. The </w:t>
      </w:r>
      <w:r w:rsidR="00793A97">
        <w:rPr>
          <w:rFonts w:ascii="Gill Sans MT" w:hAnsi="Gill Sans MT"/>
          <w:bCs/>
          <w:color w:val="000000"/>
        </w:rPr>
        <w:t>legal authority</w:t>
      </w:r>
      <w:r w:rsidR="004063AE">
        <w:rPr>
          <w:rFonts w:ascii="Gill Sans MT" w:hAnsi="Gill Sans MT"/>
          <w:bCs/>
          <w:color w:val="000000"/>
        </w:rPr>
        <w:t xml:space="preserve"> to quash the original inquest was </w:t>
      </w:r>
      <w:r w:rsidR="00793A97">
        <w:rPr>
          <w:rFonts w:ascii="Gill Sans MT" w:hAnsi="Gill Sans MT"/>
          <w:bCs/>
          <w:color w:val="000000"/>
        </w:rPr>
        <w:t>provided by</w:t>
      </w:r>
      <w:r w:rsidR="004063AE">
        <w:rPr>
          <w:rFonts w:ascii="Gill Sans MT" w:hAnsi="Gill Sans MT"/>
          <w:bCs/>
          <w:color w:val="000000"/>
        </w:rPr>
        <w:t xml:space="preserve"> the Coroners Act 1988, s 13.  The only mention of human rights law in the judgment is in the conclusion</w:t>
      </w:r>
      <w:r w:rsidR="00793A97">
        <w:rPr>
          <w:rFonts w:ascii="Gill Sans MT" w:hAnsi="Gill Sans MT"/>
          <w:bCs/>
          <w:color w:val="000000"/>
        </w:rPr>
        <w:t xml:space="preserve"> at [28]</w:t>
      </w:r>
      <w:r w:rsidR="004063AE">
        <w:rPr>
          <w:rFonts w:ascii="Gill Sans MT" w:hAnsi="Gill Sans MT"/>
          <w:bCs/>
          <w:color w:val="000000"/>
        </w:rPr>
        <w:t xml:space="preserve">, indicating that the </w:t>
      </w:r>
      <w:r w:rsidR="00793A97">
        <w:rPr>
          <w:rFonts w:ascii="Gill Sans MT" w:hAnsi="Gill Sans MT"/>
          <w:bCs/>
          <w:color w:val="000000"/>
        </w:rPr>
        <w:t xml:space="preserve">new </w:t>
      </w:r>
      <w:r w:rsidR="004063AE">
        <w:rPr>
          <w:rFonts w:ascii="Gill Sans MT" w:hAnsi="Gill Sans MT"/>
          <w:bCs/>
          <w:color w:val="000000"/>
        </w:rPr>
        <w:t>coroner would need to decide whether Art 2 ECHR was engaged when determining the format of the new inquests, and if so, to ensure that the format of the new inquests would be compatible with those requirements. Yet</w:t>
      </w:r>
      <w:r w:rsidR="00793A97">
        <w:rPr>
          <w:rFonts w:ascii="Gill Sans MT" w:hAnsi="Gill Sans MT"/>
          <w:bCs/>
          <w:color w:val="000000"/>
        </w:rPr>
        <w:t>, in any event,</w:t>
      </w:r>
      <w:r w:rsidR="004063AE">
        <w:rPr>
          <w:rFonts w:ascii="Gill Sans MT" w:hAnsi="Gill Sans MT"/>
          <w:bCs/>
          <w:color w:val="000000"/>
        </w:rPr>
        <w:t xml:space="preserve"> it </w:t>
      </w:r>
      <w:r w:rsidR="0045584E">
        <w:rPr>
          <w:rFonts w:ascii="Gill Sans MT" w:hAnsi="Gill Sans MT"/>
          <w:bCs/>
          <w:color w:val="000000"/>
        </w:rPr>
        <w:t>would already be</w:t>
      </w:r>
      <w:r w:rsidR="004063AE">
        <w:rPr>
          <w:rFonts w:ascii="Gill Sans MT" w:hAnsi="Gill Sans MT"/>
          <w:bCs/>
          <w:color w:val="000000"/>
        </w:rPr>
        <w:t xml:space="preserve"> clear that </w:t>
      </w:r>
      <w:r w:rsidR="00793A97">
        <w:rPr>
          <w:rFonts w:ascii="Gill Sans MT" w:hAnsi="Gill Sans MT"/>
          <w:bCs/>
          <w:color w:val="000000"/>
        </w:rPr>
        <w:t>the new inquests would inevitably need to be structured in such a way as to consider the material revealed by the Independent Panel, so as to avoid the serious flaws which caused the original inquest to be quashed.</w:t>
      </w:r>
    </w:p>
  </w:footnote>
  <w:footnote w:id="40">
    <w:p w14:paraId="7A5832AF" w14:textId="77777777" w:rsidR="007031FB" w:rsidRPr="00C82F49" w:rsidRDefault="007031FB">
      <w:pPr>
        <w:pStyle w:val="FootnoteText"/>
        <w:rPr>
          <w:rFonts w:ascii="Gill Sans MT" w:hAnsi="Gill Sans MT"/>
        </w:rPr>
      </w:pPr>
      <w:r w:rsidRPr="00C82F49">
        <w:rPr>
          <w:rStyle w:val="FootnoteReference"/>
          <w:rFonts w:ascii="Gill Sans MT" w:hAnsi="Gill Sans MT"/>
        </w:rPr>
        <w:footnoteRef/>
      </w:r>
      <w:r w:rsidRPr="00C82F49">
        <w:rPr>
          <w:rFonts w:ascii="Gill Sans MT" w:hAnsi="Gill Sans MT"/>
        </w:rPr>
        <w:t xml:space="preserve"> See e.g. </w:t>
      </w:r>
      <w:r w:rsidR="001F7C72" w:rsidRPr="00C82F49">
        <w:rPr>
          <w:rFonts w:ascii="Gill Sans MT" w:hAnsi="Gill Sans MT"/>
        </w:rPr>
        <w:t xml:space="preserve">GN Rosenberg, </w:t>
      </w:r>
      <w:r w:rsidR="001F7C72" w:rsidRPr="00C82F49">
        <w:rPr>
          <w:rFonts w:ascii="Gill Sans MT" w:hAnsi="Gill Sans MT"/>
          <w:i/>
        </w:rPr>
        <w:t>The Hollow Hope: Can Courts Bring About Social Change?</w:t>
      </w:r>
      <w:r w:rsidR="001F7C72" w:rsidRPr="00C82F49">
        <w:rPr>
          <w:rFonts w:ascii="Gill Sans MT" w:hAnsi="Gill Sans MT"/>
        </w:rPr>
        <w:t xml:space="preserve"> (London, University of Chicago Press, 1991);</w:t>
      </w:r>
      <w:r w:rsidR="00AC165B" w:rsidRPr="00C82F49">
        <w:rPr>
          <w:rFonts w:ascii="Gill Sans MT" w:hAnsi="Gill Sans MT"/>
        </w:rPr>
        <w:t xml:space="preserve"> M </w:t>
      </w:r>
      <w:proofErr w:type="spellStart"/>
      <w:r w:rsidR="00AC165B" w:rsidRPr="00C82F49">
        <w:rPr>
          <w:rFonts w:ascii="Gill Sans MT" w:hAnsi="Gill Sans MT"/>
        </w:rPr>
        <w:t>Tushnet</w:t>
      </w:r>
      <w:proofErr w:type="spellEnd"/>
      <w:r w:rsidR="00AC165B" w:rsidRPr="00C82F49">
        <w:rPr>
          <w:rFonts w:ascii="Gill Sans MT" w:hAnsi="Gill Sans MT"/>
        </w:rPr>
        <w:t xml:space="preserve">, </w:t>
      </w:r>
      <w:r w:rsidR="00AC165B" w:rsidRPr="00C82F49">
        <w:rPr>
          <w:rFonts w:ascii="Gill Sans MT" w:hAnsi="Gill Sans MT"/>
          <w:i/>
        </w:rPr>
        <w:t>Taking the Constitution Away from the Courts</w:t>
      </w:r>
      <w:r w:rsidR="00AC165B" w:rsidRPr="00C82F49">
        <w:rPr>
          <w:rFonts w:ascii="Gill Sans MT" w:hAnsi="Gill Sans MT"/>
        </w:rPr>
        <w:t xml:space="preserve"> (Princeton, Princeton University Press, 1999);</w:t>
      </w:r>
      <w:r w:rsidR="001F7C72" w:rsidRPr="00C82F49">
        <w:rPr>
          <w:rFonts w:ascii="Gill Sans MT" w:hAnsi="Gill Sans MT"/>
        </w:rPr>
        <w:t xml:space="preserve"> </w:t>
      </w:r>
      <w:r w:rsidR="00AC165B" w:rsidRPr="00C82F49">
        <w:rPr>
          <w:rFonts w:ascii="Gill Sans MT" w:hAnsi="Gill Sans MT"/>
        </w:rPr>
        <w:t xml:space="preserve">J Decker, </w:t>
      </w:r>
      <w:r w:rsidR="00AC165B" w:rsidRPr="00C82F49">
        <w:rPr>
          <w:rFonts w:ascii="Gill Sans MT" w:hAnsi="Gill Sans MT"/>
          <w:i/>
        </w:rPr>
        <w:t xml:space="preserve">The Other Rights Revolution: Conservative Lawyers and the Remaking of American Government </w:t>
      </w:r>
      <w:r w:rsidR="00AC165B" w:rsidRPr="00C82F49">
        <w:rPr>
          <w:rFonts w:ascii="Gill Sans MT" w:hAnsi="Gill Sans MT"/>
        </w:rPr>
        <w:t xml:space="preserve">(New York, Oxford University Press, 2016); </w:t>
      </w:r>
      <w:r w:rsidR="001F7C72" w:rsidRPr="00C82F49">
        <w:rPr>
          <w:rFonts w:ascii="Gill Sans MT" w:hAnsi="Gill Sans MT"/>
        </w:rPr>
        <w:t>A</w:t>
      </w:r>
      <w:r w:rsidRPr="00C82F49">
        <w:rPr>
          <w:rFonts w:ascii="Gill Sans MT" w:hAnsi="Gill Sans MT"/>
          <w:color w:val="000000"/>
        </w:rPr>
        <w:t xml:space="preserve"> Berman,</w:t>
      </w:r>
      <w:r w:rsidR="00AC165B" w:rsidRPr="00C82F49">
        <w:rPr>
          <w:rFonts w:ascii="Gill Sans MT" w:hAnsi="Gill Sans MT"/>
          <w:color w:val="000000"/>
        </w:rPr>
        <w:t xml:space="preserve"> </w:t>
      </w:r>
      <w:r w:rsidR="00AC165B" w:rsidRPr="00C82F49">
        <w:rPr>
          <w:rFonts w:ascii="Gill Sans MT" w:hAnsi="Gill Sans MT"/>
          <w:i/>
          <w:color w:val="000000"/>
        </w:rPr>
        <w:t>Give Us the Ballot: The Modern Struggle for Voting Rights in American</w:t>
      </w:r>
      <w:r w:rsidR="00AC165B" w:rsidRPr="00C82F49">
        <w:rPr>
          <w:rFonts w:ascii="Gill Sans MT" w:hAnsi="Gill Sans MT"/>
          <w:color w:val="000000"/>
        </w:rPr>
        <w:t xml:space="preserve"> (New York, Picador, 2016).</w:t>
      </w:r>
    </w:p>
  </w:footnote>
  <w:footnote w:id="41">
    <w:p w14:paraId="249D535F" w14:textId="77777777" w:rsidR="007031FB" w:rsidRPr="00C82F49" w:rsidRDefault="007031FB">
      <w:pPr>
        <w:pStyle w:val="FootnoteText"/>
        <w:rPr>
          <w:rFonts w:ascii="Gill Sans MT" w:hAnsi="Gill Sans MT"/>
        </w:rPr>
      </w:pPr>
      <w:r w:rsidRPr="00C82F49">
        <w:rPr>
          <w:rStyle w:val="FootnoteReference"/>
          <w:rFonts w:ascii="Gill Sans MT" w:hAnsi="Gill Sans MT"/>
        </w:rPr>
        <w:footnoteRef/>
      </w:r>
      <w:r w:rsidRPr="00C82F49">
        <w:rPr>
          <w:rFonts w:ascii="Gill Sans MT" w:hAnsi="Gill Sans MT"/>
        </w:rPr>
        <w:t xml:space="preserve"> </w:t>
      </w:r>
      <w:r w:rsidR="001F7C72" w:rsidRPr="00C82F49">
        <w:rPr>
          <w:rFonts w:ascii="Gill Sans MT" w:hAnsi="Gill Sans MT"/>
        </w:rPr>
        <w:t xml:space="preserve">See e.g. </w:t>
      </w:r>
      <w:r w:rsidR="00AC165B" w:rsidRPr="00C82F49">
        <w:rPr>
          <w:rFonts w:ascii="Gill Sans MT" w:hAnsi="Gill Sans MT"/>
          <w:color w:val="000000"/>
        </w:rPr>
        <w:t xml:space="preserve">J </w:t>
      </w:r>
      <w:proofErr w:type="spellStart"/>
      <w:r w:rsidR="00AC165B" w:rsidRPr="00C82F49">
        <w:rPr>
          <w:rFonts w:ascii="Gill Sans MT" w:hAnsi="Gill Sans MT"/>
          <w:color w:val="000000"/>
        </w:rPr>
        <w:t>Bakan</w:t>
      </w:r>
      <w:proofErr w:type="spellEnd"/>
      <w:r w:rsidR="00AC165B" w:rsidRPr="00C82F49">
        <w:rPr>
          <w:rFonts w:ascii="Gill Sans MT" w:hAnsi="Gill Sans MT"/>
          <w:color w:val="000000"/>
        </w:rPr>
        <w:t xml:space="preserve">, </w:t>
      </w:r>
      <w:r w:rsidR="00AC165B" w:rsidRPr="00C82F49">
        <w:rPr>
          <w:rFonts w:ascii="Gill Sans MT" w:hAnsi="Gill Sans MT"/>
          <w:i/>
          <w:color w:val="000000"/>
        </w:rPr>
        <w:t xml:space="preserve">Just Words: Constitutional Rights and Social Wrongs </w:t>
      </w:r>
      <w:r w:rsidR="00AC165B" w:rsidRPr="00C82F49">
        <w:rPr>
          <w:rFonts w:ascii="Gill Sans MT" w:hAnsi="Gill Sans MT"/>
          <w:color w:val="000000"/>
        </w:rPr>
        <w:t>(Toronto, University of Toronto Press, 1997);</w:t>
      </w:r>
      <w:r w:rsidRPr="00C82F49">
        <w:rPr>
          <w:rFonts w:ascii="Gill Sans MT" w:hAnsi="Gill Sans MT"/>
          <w:color w:val="000000"/>
        </w:rPr>
        <w:t xml:space="preserve"> </w:t>
      </w:r>
      <w:r w:rsidR="001F7C72" w:rsidRPr="00C82F49">
        <w:rPr>
          <w:rFonts w:ascii="Gill Sans MT" w:hAnsi="Gill Sans MT"/>
        </w:rPr>
        <w:t xml:space="preserve">R </w:t>
      </w:r>
      <w:proofErr w:type="spellStart"/>
      <w:r w:rsidR="001F7C72" w:rsidRPr="00C82F49">
        <w:rPr>
          <w:rFonts w:ascii="Gill Sans MT" w:hAnsi="Gill Sans MT"/>
        </w:rPr>
        <w:t>Hirschl</w:t>
      </w:r>
      <w:proofErr w:type="spellEnd"/>
      <w:r w:rsidR="001F7C72" w:rsidRPr="00C82F49">
        <w:rPr>
          <w:rFonts w:ascii="Gill Sans MT" w:hAnsi="Gill Sans MT"/>
        </w:rPr>
        <w:t xml:space="preserve">, </w:t>
      </w:r>
      <w:r w:rsidR="001F7C72" w:rsidRPr="00C82F49">
        <w:rPr>
          <w:rFonts w:ascii="Gill Sans MT" w:hAnsi="Gill Sans MT"/>
          <w:i/>
        </w:rPr>
        <w:t xml:space="preserve">Towards </w:t>
      </w:r>
      <w:proofErr w:type="spellStart"/>
      <w:r w:rsidR="001F7C72" w:rsidRPr="00C82F49">
        <w:rPr>
          <w:rFonts w:ascii="Gill Sans MT" w:hAnsi="Gill Sans MT"/>
          <w:i/>
        </w:rPr>
        <w:t>Juristocracy</w:t>
      </w:r>
      <w:proofErr w:type="spellEnd"/>
      <w:r w:rsidR="001F7C72" w:rsidRPr="00C82F49">
        <w:rPr>
          <w:rFonts w:ascii="Gill Sans MT" w:hAnsi="Gill Sans MT"/>
          <w:i/>
        </w:rPr>
        <w:t xml:space="preserve">: The Origins and Consequences of New Constitutionalism </w:t>
      </w:r>
      <w:r w:rsidR="001F7C72" w:rsidRPr="00C82F49">
        <w:rPr>
          <w:rFonts w:ascii="Gill Sans MT" w:hAnsi="Gill Sans MT"/>
        </w:rPr>
        <w:t>(Cambridge MA, Harvard University Press, 200</w:t>
      </w:r>
      <w:r w:rsidR="00AC165B" w:rsidRPr="00C82F49">
        <w:rPr>
          <w:rFonts w:ascii="Gill Sans MT" w:hAnsi="Gill Sans MT"/>
        </w:rPr>
        <w:t>4).</w:t>
      </w:r>
    </w:p>
  </w:footnote>
  <w:footnote w:id="42">
    <w:p w14:paraId="4294174A" w14:textId="77777777" w:rsidR="007031FB" w:rsidRPr="00C82F49" w:rsidRDefault="007031FB">
      <w:pPr>
        <w:pStyle w:val="FootnoteText"/>
        <w:rPr>
          <w:rFonts w:ascii="Gill Sans MT" w:hAnsi="Gill Sans MT"/>
        </w:rPr>
      </w:pPr>
      <w:r w:rsidRPr="00C82F49">
        <w:rPr>
          <w:rStyle w:val="FootnoteReference"/>
          <w:rFonts w:ascii="Gill Sans MT" w:hAnsi="Gill Sans MT"/>
        </w:rPr>
        <w:footnoteRef/>
      </w:r>
      <w:r w:rsidRPr="00C82F49">
        <w:rPr>
          <w:rFonts w:ascii="Gill Sans MT" w:hAnsi="Gill Sans MT"/>
        </w:rPr>
        <w:t xml:space="preserve"> </w:t>
      </w:r>
      <w:r w:rsidR="006F4374" w:rsidRPr="00C82F49">
        <w:rPr>
          <w:rFonts w:ascii="Gill Sans MT" w:hAnsi="Gill Sans MT"/>
        </w:rPr>
        <w:t>For discussion of</w:t>
      </w:r>
      <w:r w:rsidRPr="00C82F49">
        <w:rPr>
          <w:rFonts w:ascii="Gill Sans MT" w:hAnsi="Gill Sans MT"/>
        </w:rPr>
        <w:t xml:space="preserve"> the idea of </w:t>
      </w:r>
      <w:r w:rsidR="006F4374" w:rsidRPr="00C82F49">
        <w:rPr>
          <w:rFonts w:ascii="Gill Sans MT" w:hAnsi="Gill Sans MT"/>
        </w:rPr>
        <w:t xml:space="preserve">judges as </w:t>
      </w:r>
      <w:r w:rsidRPr="00C82F49">
        <w:rPr>
          <w:rFonts w:ascii="Gill Sans MT" w:hAnsi="Gill Sans MT"/>
        </w:rPr>
        <w:t>non-democratic actors</w:t>
      </w:r>
      <w:r w:rsidR="006F4374" w:rsidRPr="00C82F49">
        <w:rPr>
          <w:rFonts w:ascii="Gill Sans MT" w:hAnsi="Gill Sans MT"/>
        </w:rPr>
        <w:t xml:space="preserve">, see M Gordon, </w:t>
      </w:r>
      <w:r w:rsidR="006F4374" w:rsidRPr="00C82F49">
        <w:rPr>
          <w:rFonts w:ascii="Gill Sans MT" w:hAnsi="Gill Sans MT"/>
          <w:i/>
        </w:rPr>
        <w:t xml:space="preserve">Parliamentary Sovereignty in the UK Constitution: Process, Politics and Democracy </w:t>
      </w:r>
      <w:r w:rsidR="006F4374" w:rsidRPr="00C82F49">
        <w:rPr>
          <w:rFonts w:ascii="Gill Sans MT" w:hAnsi="Gill Sans MT"/>
        </w:rPr>
        <w:t xml:space="preserve">(Oxford, Hart Publishing, 2015) </w:t>
      </w:r>
      <w:r w:rsidR="00212B36" w:rsidRPr="00C82F49">
        <w:rPr>
          <w:rFonts w:ascii="Gill Sans MT" w:hAnsi="Gill Sans MT"/>
        </w:rPr>
        <w:t>141-142</w:t>
      </w:r>
      <w:r w:rsidR="006F4374" w:rsidRPr="00C82F49">
        <w:rPr>
          <w:rFonts w:ascii="Gill Sans MT" w:hAnsi="Gill Sans MT"/>
        </w:rPr>
        <w:t>.</w:t>
      </w:r>
    </w:p>
  </w:footnote>
  <w:footnote w:id="43">
    <w:p w14:paraId="464E3911" w14:textId="27DB08C3" w:rsidR="007031FB" w:rsidRPr="00C82F49" w:rsidRDefault="007031FB">
      <w:pPr>
        <w:pStyle w:val="FootnoteText"/>
        <w:rPr>
          <w:rFonts w:ascii="Gill Sans MT" w:hAnsi="Gill Sans MT"/>
        </w:rPr>
      </w:pPr>
      <w:r w:rsidRPr="00C82F49">
        <w:rPr>
          <w:rStyle w:val="FootnoteReference"/>
          <w:rFonts w:ascii="Gill Sans MT" w:hAnsi="Gill Sans MT"/>
        </w:rPr>
        <w:footnoteRef/>
      </w:r>
      <w:r w:rsidRPr="00C82F49">
        <w:rPr>
          <w:rFonts w:ascii="Gill Sans MT" w:hAnsi="Gill Sans MT"/>
        </w:rPr>
        <w:t xml:space="preserve"> </w:t>
      </w:r>
      <w:r w:rsidR="008365B3" w:rsidRPr="00C82F49">
        <w:rPr>
          <w:rFonts w:ascii="Gill Sans MT" w:hAnsi="Gill Sans MT"/>
        </w:rPr>
        <w:t xml:space="preserve">This headline was in reaction to the decision of the Divisional Court in the </w:t>
      </w:r>
      <w:r w:rsidR="008365B3" w:rsidRPr="00C82F49">
        <w:rPr>
          <w:rFonts w:ascii="Gill Sans MT" w:hAnsi="Gill Sans MT"/>
          <w:i/>
        </w:rPr>
        <w:t xml:space="preserve">Miller </w:t>
      </w:r>
      <w:r w:rsidR="008365B3" w:rsidRPr="00C82F49">
        <w:rPr>
          <w:rFonts w:ascii="Gill Sans MT" w:hAnsi="Gill Sans MT"/>
        </w:rPr>
        <w:t>case, concerning the need for an Act of Parliament to authorise the government triggering Article 50 TEU, and commencing negotiation over withdrawal from the European Union</w:t>
      </w:r>
      <w:r w:rsidR="00304671">
        <w:rPr>
          <w:rFonts w:ascii="Gill Sans MT" w:hAnsi="Gill Sans MT"/>
        </w:rPr>
        <w:t>.</w:t>
      </w:r>
      <w:r w:rsidR="008365B3" w:rsidRPr="00C82F49">
        <w:rPr>
          <w:rFonts w:ascii="Gill Sans MT" w:hAnsi="Gill Sans MT"/>
        </w:rPr>
        <w:t xml:space="preserve"> </w:t>
      </w:r>
      <w:r w:rsidR="00304671">
        <w:rPr>
          <w:rFonts w:ascii="Gill Sans MT" w:hAnsi="Gill Sans MT"/>
        </w:rPr>
        <w:t>S</w:t>
      </w:r>
      <w:r w:rsidR="008365B3" w:rsidRPr="00C82F49">
        <w:rPr>
          <w:rFonts w:ascii="Gill Sans MT" w:hAnsi="Gill Sans MT"/>
        </w:rPr>
        <w:t xml:space="preserve">ee </w:t>
      </w:r>
      <w:r w:rsidR="00727425" w:rsidRPr="00C82F49">
        <w:rPr>
          <w:rFonts w:ascii="Gill Sans MT" w:hAnsi="Gill Sans MT"/>
        </w:rPr>
        <w:t>‘</w:t>
      </w:r>
      <w:r w:rsidRPr="00C82F49">
        <w:rPr>
          <w:rFonts w:ascii="Gill Sans MT" w:hAnsi="Gill Sans MT"/>
        </w:rPr>
        <w:t>Enemies of the people</w:t>
      </w:r>
      <w:r w:rsidR="00727425" w:rsidRPr="00C82F49">
        <w:rPr>
          <w:rFonts w:ascii="Gill Sans MT" w:hAnsi="Gill Sans MT"/>
        </w:rPr>
        <w:t xml:space="preserve">: Fury over “out of touch” judges who have “declared war on democracy” by defying 17.4m Brexit voters and who could trigger constitutional crisis’, </w:t>
      </w:r>
      <w:r w:rsidR="00727425" w:rsidRPr="00C82F49">
        <w:rPr>
          <w:rFonts w:ascii="Gill Sans MT" w:hAnsi="Gill Sans MT"/>
          <w:i/>
        </w:rPr>
        <w:t xml:space="preserve">Daily Mail </w:t>
      </w:r>
      <w:r w:rsidR="008365B3" w:rsidRPr="00C82F49">
        <w:rPr>
          <w:rFonts w:ascii="Gill Sans MT" w:hAnsi="Gill Sans MT"/>
        </w:rPr>
        <w:t xml:space="preserve">(3 November 2016), at: </w:t>
      </w:r>
      <w:hyperlink r:id="rId11" w:history="1">
        <w:r w:rsidR="008365B3" w:rsidRPr="00C82F49">
          <w:rPr>
            <w:rStyle w:val="Hyperlink"/>
            <w:rFonts w:ascii="Gill Sans MT" w:hAnsi="Gill Sans MT"/>
          </w:rPr>
          <w:t>http://www.dailymail.co.uk/news/article-3903436/Enemies-people-Fury-touch-judges-defied-17-4m-Brexit-voters-trigger-constitutional-crisis.html</w:t>
        </w:r>
      </w:hyperlink>
      <w:r w:rsidR="008365B3" w:rsidRPr="00C82F49">
        <w:rPr>
          <w:rFonts w:ascii="Gill Sans MT" w:hAnsi="Gill Sans MT"/>
        </w:rPr>
        <w:t>.</w:t>
      </w:r>
    </w:p>
  </w:footnote>
  <w:footnote w:id="44">
    <w:p w14:paraId="41F00A15" w14:textId="77777777" w:rsidR="007031FB" w:rsidRPr="00C82F49" w:rsidRDefault="007031FB">
      <w:pPr>
        <w:pStyle w:val="FootnoteText"/>
        <w:rPr>
          <w:rFonts w:ascii="Gill Sans MT" w:hAnsi="Gill Sans MT"/>
        </w:rPr>
      </w:pPr>
      <w:r w:rsidRPr="00C82F49">
        <w:rPr>
          <w:rStyle w:val="FootnoteReference"/>
          <w:rFonts w:ascii="Gill Sans MT" w:hAnsi="Gill Sans MT"/>
        </w:rPr>
        <w:footnoteRef/>
      </w:r>
      <w:r w:rsidRPr="00C82F49">
        <w:rPr>
          <w:rFonts w:ascii="Gill Sans MT" w:hAnsi="Gill Sans MT"/>
        </w:rPr>
        <w:t xml:space="preserve"> </w:t>
      </w:r>
      <w:r w:rsidR="00F571B6" w:rsidRPr="00C82F49">
        <w:rPr>
          <w:rFonts w:ascii="Gill Sans MT" w:hAnsi="Gill Sans MT"/>
        </w:rPr>
        <w:t xml:space="preserve">R </w:t>
      </w:r>
      <w:proofErr w:type="spellStart"/>
      <w:r w:rsidRPr="00C82F49">
        <w:rPr>
          <w:rFonts w:ascii="Gill Sans MT" w:hAnsi="Gill Sans MT"/>
        </w:rPr>
        <w:t>Rorty</w:t>
      </w:r>
      <w:proofErr w:type="spellEnd"/>
      <w:r w:rsidR="00F571B6" w:rsidRPr="00C82F49">
        <w:rPr>
          <w:rFonts w:ascii="Gill Sans MT" w:hAnsi="Gill Sans MT"/>
        </w:rPr>
        <w:t xml:space="preserve">, ‘Human Rights, Rationality and Sentimentality’ in </w:t>
      </w:r>
      <w:r w:rsidR="00F571B6" w:rsidRPr="00C82F49">
        <w:rPr>
          <w:rFonts w:ascii="Gill Sans MT" w:hAnsi="Gill Sans MT"/>
          <w:i/>
        </w:rPr>
        <w:t xml:space="preserve">Truth and Progress: Philosophical Papers Vol. 3 </w:t>
      </w:r>
      <w:r w:rsidR="00F571B6" w:rsidRPr="00C82F49">
        <w:rPr>
          <w:rFonts w:ascii="Gill Sans MT" w:hAnsi="Gill Sans MT"/>
        </w:rPr>
        <w:t>(Cambridge, Cambridge University Press, 1998)</w:t>
      </w:r>
      <w:r w:rsidRPr="00C82F49">
        <w:rPr>
          <w:rFonts w:ascii="Gill Sans MT" w:hAnsi="Gill Sans MT"/>
        </w:rPr>
        <w:t xml:space="preserve"> 172.</w:t>
      </w:r>
    </w:p>
  </w:footnote>
  <w:footnote w:id="45">
    <w:p w14:paraId="30BF975B" w14:textId="77777777" w:rsidR="007031FB" w:rsidRPr="00C82F49" w:rsidRDefault="007031FB">
      <w:pPr>
        <w:pStyle w:val="FootnoteText"/>
        <w:rPr>
          <w:rFonts w:ascii="Gill Sans MT" w:hAnsi="Gill Sans MT"/>
        </w:rPr>
      </w:pPr>
      <w:r w:rsidRPr="00C82F49">
        <w:rPr>
          <w:rStyle w:val="FootnoteReference"/>
          <w:rFonts w:ascii="Gill Sans MT" w:hAnsi="Gill Sans MT"/>
        </w:rPr>
        <w:footnoteRef/>
      </w:r>
      <w:r w:rsidRPr="00C82F49">
        <w:rPr>
          <w:rFonts w:ascii="Gill Sans MT" w:hAnsi="Gill Sans MT"/>
        </w:rPr>
        <w:t xml:space="preserve"> </w:t>
      </w:r>
      <w:r w:rsidRPr="00C82F49">
        <w:rPr>
          <w:rFonts w:ascii="Gill Sans MT" w:hAnsi="Gill Sans MT"/>
          <w:i/>
        </w:rPr>
        <w:t>Ibid</w:t>
      </w:r>
      <w:r w:rsidR="00F571B6" w:rsidRPr="00C82F49">
        <w:rPr>
          <w:rFonts w:ascii="Gill Sans MT" w:hAnsi="Gill Sans MT"/>
        </w:rPr>
        <w:t xml:space="preserve"> 172.</w:t>
      </w:r>
    </w:p>
  </w:footnote>
  <w:footnote w:id="46">
    <w:p w14:paraId="411E3BBA" w14:textId="77777777" w:rsidR="007031FB" w:rsidRPr="00C82F49" w:rsidRDefault="007031FB">
      <w:pPr>
        <w:pStyle w:val="FootnoteText"/>
        <w:rPr>
          <w:rFonts w:ascii="Gill Sans MT" w:hAnsi="Gill Sans MT"/>
        </w:rPr>
      </w:pPr>
      <w:r w:rsidRPr="00C82F49">
        <w:rPr>
          <w:rStyle w:val="FootnoteReference"/>
          <w:rFonts w:ascii="Gill Sans MT" w:hAnsi="Gill Sans MT"/>
        </w:rPr>
        <w:footnoteRef/>
      </w:r>
      <w:r w:rsidRPr="00C82F49">
        <w:rPr>
          <w:rFonts w:ascii="Gill Sans MT" w:hAnsi="Gill Sans MT"/>
        </w:rPr>
        <w:t xml:space="preserve"> R</w:t>
      </w:r>
      <w:r w:rsidR="00F571B6" w:rsidRPr="00C82F49">
        <w:rPr>
          <w:rFonts w:ascii="Gill Sans MT" w:hAnsi="Gill Sans MT"/>
        </w:rPr>
        <w:t xml:space="preserve"> </w:t>
      </w:r>
      <w:proofErr w:type="spellStart"/>
      <w:r w:rsidR="00F571B6" w:rsidRPr="00C82F49">
        <w:rPr>
          <w:rFonts w:ascii="Gill Sans MT" w:hAnsi="Gill Sans MT"/>
        </w:rPr>
        <w:t>R</w:t>
      </w:r>
      <w:r w:rsidRPr="00C82F49">
        <w:rPr>
          <w:rFonts w:ascii="Gill Sans MT" w:hAnsi="Gill Sans MT"/>
        </w:rPr>
        <w:t>orty</w:t>
      </w:r>
      <w:proofErr w:type="spellEnd"/>
      <w:r w:rsidR="00F571B6" w:rsidRPr="00C82F49">
        <w:rPr>
          <w:rFonts w:ascii="Gill Sans MT" w:hAnsi="Gill Sans MT"/>
        </w:rPr>
        <w:t xml:space="preserve">, </w:t>
      </w:r>
      <w:r w:rsidR="00F571B6" w:rsidRPr="00C82F49">
        <w:rPr>
          <w:rFonts w:ascii="Gill Sans MT" w:hAnsi="Gill Sans MT"/>
          <w:i/>
        </w:rPr>
        <w:t xml:space="preserve">Philosophy and Social Hope </w:t>
      </w:r>
      <w:r w:rsidR="00F571B6" w:rsidRPr="00C82F49">
        <w:rPr>
          <w:rFonts w:ascii="Gill Sans MT" w:hAnsi="Gill Sans MT"/>
        </w:rPr>
        <w:t xml:space="preserve">(London, Penguin, 1999) </w:t>
      </w:r>
      <w:r w:rsidRPr="00C82F49">
        <w:rPr>
          <w:rFonts w:ascii="Gill Sans MT" w:hAnsi="Gill Sans MT"/>
        </w:rPr>
        <w:t>85-86</w:t>
      </w:r>
      <w:r w:rsidR="00F571B6" w:rsidRPr="00C82F49">
        <w:rPr>
          <w:rFonts w:ascii="Gill Sans MT" w:hAnsi="Gill Sans MT"/>
        </w:rPr>
        <w:t>.</w:t>
      </w:r>
    </w:p>
  </w:footnote>
  <w:footnote w:id="47">
    <w:p w14:paraId="3FE614DA" w14:textId="77777777" w:rsidR="007031FB" w:rsidRPr="00C82F49" w:rsidRDefault="007031FB">
      <w:pPr>
        <w:pStyle w:val="FootnoteText"/>
        <w:rPr>
          <w:rFonts w:ascii="Gill Sans MT" w:hAnsi="Gill Sans MT"/>
        </w:rPr>
      </w:pPr>
      <w:r w:rsidRPr="00C82F49">
        <w:rPr>
          <w:rStyle w:val="FootnoteReference"/>
          <w:rFonts w:ascii="Gill Sans MT" w:hAnsi="Gill Sans MT"/>
        </w:rPr>
        <w:footnoteRef/>
      </w:r>
      <w:r w:rsidR="00F571B6" w:rsidRPr="00C82F49">
        <w:rPr>
          <w:rFonts w:ascii="Gill Sans MT" w:hAnsi="Gill Sans MT"/>
        </w:rPr>
        <w:t xml:space="preserve"> </w:t>
      </w:r>
      <w:proofErr w:type="spellStart"/>
      <w:r w:rsidR="00F571B6" w:rsidRPr="00C82F49">
        <w:rPr>
          <w:rFonts w:ascii="Gill Sans MT" w:hAnsi="Gill Sans MT"/>
        </w:rPr>
        <w:t>Rorty</w:t>
      </w:r>
      <w:proofErr w:type="spellEnd"/>
      <w:r w:rsidR="005D6A31" w:rsidRPr="00C82F49">
        <w:rPr>
          <w:rFonts w:ascii="Gill Sans MT" w:hAnsi="Gill Sans MT"/>
        </w:rPr>
        <w:t xml:space="preserve">, n.43, </w:t>
      </w:r>
      <w:r w:rsidRPr="00C82F49">
        <w:rPr>
          <w:rFonts w:ascii="Gill Sans MT" w:hAnsi="Gill Sans MT"/>
        </w:rPr>
        <w:t>174-75</w:t>
      </w:r>
    </w:p>
  </w:footnote>
  <w:footnote w:id="48">
    <w:p w14:paraId="78BAD791" w14:textId="77777777" w:rsidR="007031FB" w:rsidRPr="00C82F49" w:rsidRDefault="007031FB">
      <w:pPr>
        <w:pStyle w:val="FootnoteText"/>
        <w:rPr>
          <w:rFonts w:ascii="Gill Sans MT" w:hAnsi="Gill Sans MT"/>
        </w:rPr>
      </w:pPr>
      <w:r w:rsidRPr="00C82F49">
        <w:rPr>
          <w:rStyle w:val="FootnoteReference"/>
          <w:rFonts w:ascii="Gill Sans MT" w:hAnsi="Gill Sans MT"/>
        </w:rPr>
        <w:footnoteRef/>
      </w:r>
      <w:r w:rsidR="00CA34B2" w:rsidRPr="00C82F49">
        <w:rPr>
          <w:rFonts w:ascii="Gill Sans MT" w:hAnsi="Gill Sans MT"/>
        </w:rPr>
        <w:t xml:space="preserve"> See F Fukuyama, </w:t>
      </w:r>
      <w:r w:rsidR="00CA34B2" w:rsidRPr="00C82F49">
        <w:rPr>
          <w:rFonts w:ascii="Gill Sans MT" w:hAnsi="Gill Sans MT"/>
          <w:i/>
        </w:rPr>
        <w:t>The End of History and the Last Man</w:t>
      </w:r>
      <w:r w:rsidR="00CA34B2" w:rsidRPr="00C82F49">
        <w:rPr>
          <w:rFonts w:ascii="Gill Sans MT" w:hAnsi="Gill Sans MT"/>
        </w:rPr>
        <w:t xml:space="preserve"> (Harmondsworth, Penguin, 1992).</w:t>
      </w:r>
    </w:p>
  </w:footnote>
  <w:footnote w:id="49">
    <w:p w14:paraId="32ECD6DA" w14:textId="77777777" w:rsidR="007031FB" w:rsidRPr="00C82F49" w:rsidRDefault="007031FB">
      <w:pPr>
        <w:pStyle w:val="FootnoteText"/>
        <w:rPr>
          <w:rFonts w:ascii="Gill Sans MT" w:hAnsi="Gill Sans MT"/>
        </w:rPr>
      </w:pPr>
      <w:r w:rsidRPr="00C82F49">
        <w:rPr>
          <w:rStyle w:val="FootnoteReference"/>
          <w:rFonts w:ascii="Gill Sans MT" w:hAnsi="Gill Sans MT"/>
        </w:rPr>
        <w:footnoteRef/>
      </w:r>
      <w:r w:rsidR="005D6A31" w:rsidRPr="00C82F49">
        <w:rPr>
          <w:rFonts w:ascii="Gill Sans MT" w:hAnsi="Gill Sans MT"/>
        </w:rPr>
        <w:t xml:space="preserve"> </w:t>
      </w:r>
      <w:proofErr w:type="spellStart"/>
      <w:r w:rsidR="005D6A31" w:rsidRPr="00C82F49">
        <w:rPr>
          <w:rFonts w:ascii="Gill Sans MT" w:hAnsi="Gill Sans MT"/>
        </w:rPr>
        <w:t>Rorty</w:t>
      </w:r>
      <w:proofErr w:type="spellEnd"/>
      <w:r w:rsidR="005D6A31" w:rsidRPr="00C82F49">
        <w:rPr>
          <w:rFonts w:ascii="Gill Sans MT" w:hAnsi="Gill Sans MT"/>
        </w:rPr>
        <w:t xml:space="preserve">, n.43, </w:t>
      </w:r>
      <w:r w:rsidRPr="00C82F49">
        <w:rPr>
          <w:rFonts w:ascii="Gill Sans MT" w:hAnsi="Gill Sans MT"/>
        </w:rPr>
        <w:t>182</w:t>
      </w:r>
      <w:r w:rsidR="005D6A31" w:rsidRPr="00C82F49">
        <w:rPr>
          <w:rFonts w:ascii="Gill Sans MT" w:hAnsi="Gill Sans MT"/>
        </w:rPr>
        <w:t>.</w:t>
      </w:r>
    </w:p>
  </w:footnote>
  <w:footnote w:id="50">
    <w:p w14:paraId="42FB48BB" w14:textId="77777777" w:rsidR="007031FB" w:rsidRPr="00C82F49" w:rsidRDefault="007031FB">
      <w:pPr>
        <w:pStyle w:val="FootnoteText"/>
        <w:rPr>
          <w:rFonts w:ascii="Gill Sans MT" w:hAnsi="Gill Sans MT"/>
        </w:rPr>
      </w:pPr>
      <w:r w:rsidRPr="00C82F49">
        <w:rPr>
          <w:rStyle w:val="FootnoteReference"/>
          <w:rFonts w:ascii="Gill Sans MT" w:hAnsi="Gill Sans MT"/>
        </w:rPr>
        <w:footnoteRef/>
      </w:r>
      <w:r w:rsidRPr="00C82F49">
        <w:rPr>
          <w:rFonts w:ascii="Gill Sans MT" w:hAnsi="Gill Sans MT"/>
        </w:rPr>
        <w:t xml:space="preserve"> </w:t>
      </w:r>
      <w:r w:rsidRPr="00C82F49">
        <w:rPr>
          <w:rFonts w:ascii="Gill Sans MT" w:hAnsi="Gill Sans MT"/>
          <w:i/>
        </w:rPr>
        <w:t>Ibid</w:t>
      </w:r>
      <w:r w:rsidRPr="00C82F49">
        <w:rPr>
          <w:rFonts w:ascii="Gill Sans MT" w:hAnsi="Gill Sans MT"/>
        </w:rPr>
        <w:t xml:space="preserve"> 182</w:t>
      </w:r>
    </w:p>
  </w:footnote>
  <w:footnote w:id="51">
    <w:p w14:paraId="3D21F81D" w14:textId="77777777" w:rsidR="007031FB" w:rsidRPr="00C82F49" w:rsidRDefault="007031FB">
      <w:pPr>
        <w:pStyle w:val="FootnoteText"/>
        <w:rPr>
          <w:rFonts w:ascii="Gill Sans MT" w:hAnsi="Gill Sans MT"/>
        </w:rPr>
      </w:pPr>
      <w:r w:rsidRPr="00C82F49">
        <w:rPr>
          <w:rStyle w:val="FootnoteReference"/>
          <w:rFonts w:ascii="Gill Sans MT" w:hAnsi="Gill Sans MT"/>
        </w:rPr>
        <w:footnoteRef/>
      </w:r>
      <w:r w:rsidRPr="00C82F49">
        <w:rPr>
          <w:rFonts w:ascii="Gill Sans MT" w:hAnsi="Gill Sans MT"/>
        </w:rPr>
        <w:t xml:space="preserve"> </w:t>
      </w:r>
      <w:proofErr w:type="spellStart"/>
      <w:r w:rsidR="005D6A31" w:rsidRPr="00C82F49">
        <w:rPr>
          <w:rFonts w:ascii="Gill Sans MT" w:hAnsi="Gill Sans MT"/>
        </w:rPr>
        <w:t>Rorty</w:t>
      </w:r>
      <w:proofErr w:type="spellEnd"/>
      <w:r w:rsidR="005D6A31" w:rsidRPr="00C82F49">
        <w:rPr>
          <w:rFonts w:ascii="Gill Sans MT" w:hAnsi="Gill Sans MT"/>
        </w:rPr>
        <w:t xml:space="preserve">, n.45, </w:t>
      </w:r>
      <w:r w:rsidRPr="00C82F49">
        <w:rPr>
          <w:rFonts w:ascii="Gill Sans MT" w:hAnsi="Gill Sans MT"/>
        </w:rPr>
        <w:t>84-85</w:t>
      </w:r>
    </w:p>
  </w:footnote>
  <w:footnote w:id="52">
    <w:p w14:paraId="5B3843A1" w14:textId="77777777" w:rsidR="007031FB" w:rsidRPr="00C82F49" w:rsidRDefault="007031FB">
      <w:pPr>
        <w:pStyle w:val="FootnoteText"/>
        <w:rPr>
          <w:rFonts w:ascii="Gill Sans MT" w:hAnsi="Gill Sans MT"/>
        </w:rPr>
      </w:pPr>
      <w:r w:rsidRPr="00C82F49">
        <w:rPr>
          <w:rStyle w:val="FootnoteReference"/>
          <w:rFonts w:ascii="Gill Sans MT" w:hAnsi="Gill Sans MT"/>
        </w:rPr>
        <w:footnoteRef/>
      </w:r>
      <w:r w:rsidRPr="00C82F49">
        <w:rPr>
          <w:rFonts w:ascii="Gill Sans MT" w:hAnsi="Gill Sans MT"/>
        </w:rPr>
        <w:t xml:space="preserve"> </w:t>
      </w:r>
      <w:r w:rsidR="005D6A31" w:rsidRPr="00C82F49">
        <w:rPr>
          <w:rFonts w:ascii="Gill Sans MT" w:hAnsi="Gill Sans MT"/>
        </w:rPr>
        <w:t xml:space="preserve">See e.g. E Posner, </w:t>
      </w:r>
      <w:r w:rsidR="005D6A31" w:rsidRPr="00C82F49">
        <w:rPr>
          <w:rFonts w:ascii="Gill Sans MT" w:hAnsi="Gill Sans MT"/>
          <w:i/>
        </w:rPr>
        <w:t xml:space="preserve">The Twilight of Human Rights Law </w:t>
      </w:r>
      <w:r w:rsidR="005D6A31" w:rsidRPr="00C82F49">
        <w:rPr>
          <w:rFonts w:ascii="Gill Sans MT" w:hAnsi="Gill Sans MT"/>
        </w:rPr>
        <w:t>(</w:t>
      </w:r>
      <w:r w:rsidR="001F4397" w:rsidRPr="00C82F49">
        <w:rPr>
          <w:rFonts w:ascii="Gill Sans MT" w:hAnsi="Gill Sans MT"/>
        </w:rPr>
        <w:t>New York, Oxford University Press, 2014).</w:t>
      </w:r>
    </w:p>
  </w:footnote>
  <w:footnote w:id="53">
    <w:p w14:paraId="18876230" w14:textId="77777777" w:rsidR="007031FB" w:rsidRPr="00C82F49" w:rsidRDefault="007031FB" w:rsidP="00705980">
      <w:pPr>
        <w:pStyle w:val="FootnoteText"/>
        <w:rPr>
          <w:rFonts w:ascii="Gill Sans MT" w:hAnsi="Gill Sans MT"/>
        </w:rPr>
      </w:pPr>
      <w:r w:rsidRPr="00C82F49">
        <w:rPr>
          <w:rStyle w:val="FootnoteReference"/>
          <w:rFonts w:ascii="Gill Sans MT" w:hAnsi="Gill Sans MT"/>
        </w:rPr>
        <w:footnoteRef/>
      </w:r>
      <w:r w:rsidR="00516307" w:rsidRPr="00C82F49">
        <w:rPr>
          <w:rFonts w:ascii="Gill Sans MT" w:hAnsi="Gill Sans MT"/>
        </w:rPr>
        <w:t xml:space="preserve"> See </w:t>
      </w:r>
      <w:proofErr w:type="spellStart"/>
      <w:r w:rsidR="00516307" w:rsidRPr="00C82F49">
        <w:rPr>
          <w:rFonts w:ascii="Gill Sans MT" w:hAnsi="Gill Sans MT"/>
        </w:rPr>
        <w:t>Hirschl</w:t>
      </w:r>
      <w:proofErr w:type="spellEnd"/>
      <w:r w:rsidR="00516307" w:rsidRPr="00C82F49">
        <w:rPr>
          <w:rFonts w:ascii="Gill Sans MT" w:hAnsi="Gill Sans MT"/>
        </w:rPr>
        <w:t>, n.40.</w:t>
      </w:r>
    </w:p>
  </w:footnote>
  <w:footnote w:id="54">
    <w:p w14:paraId="1CCE9817" w14:textId="77777777" w:rsidR="007031FB" w:rsidRPr="00C82F49" w:rsidRDefault="007031FB">
      <w:pPr>
        <w:pStyle w:val="FootnoteText"/>
        <w:rPr>
          <w:rFonts w:ascii="Gill Sans MT" w:hAnsi="Gill Sans MT"/>
        </w:rPr>
      </w:pPr>
      <w:r w:rsidRPr="00C82F49">
        <w:rPr>
          <w:rStyle w:val="FootnoteReference"/>
          <w:rFonts w:ascii="Gill Sans MT" w:hAnsi="Gill Sans MT"/>
        </w:rPr>
        <w:footnoteRef/>
      </w:r>
      <w:r w:rsidRPr="00C82F49">
        <w:rPr>
          <w:rFonts w:ascii="Gill Sans MT" w:hAnsi="Gill Sans MT"/>
        </w:rPr>
        <w:t xml:space="preserve"> </w:t>
      </w:r>
      <w:r w:rsidR="00C82F49" w:rsidRPr="00C82F49">
        <w:rPr>
          <w:rFonts w:ascii="Gill Sans MT" w:hAnsi="Gill Sans MT"/>
        </w:rPr>
        <w:t xml:space="preserve">See e.g. the language of the </w:t>
      </w:r>
      <w:r w:rsidR="00C82F49" w:rsidRPr="00C82F49">
        <w:rPr>
          <w:rFonts w:ascii="Gill Sans MT" w:hAnsi="Gill Sans MT"/>
          <w:i/>
        </w:rPr>
        <w:t>Conservative Party Manifesto</w:t>
      </w:r>
      <w:r w:rsidR="00C82F49" w:rsidRPr="00C82F49">
        <w:rPr>
          <w:rFonts w:ascii="Gill Sans MT" w:hAnsi="Gill Sans MT"/>
        </w:rPr>
        <w:t xml:space="preserve"> (2015) 60: ‘We have stopped prisoners from having the vote, and have deported suspected terrorists such as Abu Qatada, despite all the problems created by Labour’s human rights laws. The next Conservative Government will scrap the Human Rights Act, and introduce a British Bill of Rights. This will break the formal link between British courts and the European Court of Human Rights, and make our own Supreme Court the ultimate arbiter of human rights matters in the UK.’</w:t>
      </w:r>
    </w:p>
  </w:footnote>
  <w:footnote w:id="55">
    <w:p w14:paraId="3CAD7D3A" w14:textId="77777777" w:rsidR="007031FB" w:rsidRPr="00516307" w:rsidRDefault="007031FB">
      <w:pPr>
        <w:pStyle w:val="FootnoteText"/>
        <w:rPr>
          <w:rFonts w:ascii="Gill Sans MT" w:hAnsi="Gill Sans MT"/>
        </w:rPr>
      </w:pPr>
      <w:r w:rsidRPr="00C82F49">
        <w:rPr>
          <w:rStyle w:val="FootnoteReference"/>
          <w:rFonts w:ascii="Gill Sans MT" w:hAnsi="Gill Sans MT"/>
        </w:rPr>
        <w:footnoteRef/>
      </w:r>
      <w:r w:rsidRPr="00C82F49">
        <w:rPr>
          <w:rFonts w:ascii="Gill Sans MT" w:hAnsi="Gill Sans MT"/>
        </w:rPr>
        <w:t xml:space="preserve"> </w:t>
      </w:r>
      <w:r w:rsidR="00516307" w:rsidRPr="00C82F49">
        <w:rPr>
          <w:rFonts w:ascii="Gill Sans MT" w:hAnsi="Gill Sans MT"/>
        </w:rPr>
        <w:t xml:space="preserve">On other flaws in the Human Rights Act repeal debate, see A Tucker, ‘The Anti-Democratic Turn in the </w:t>
      </w:r>
      <w:proofErr w:type="spellStart"/>
      <w:r w:rsidR="00516307" w:rsidRPr="00C82F49">
        <w:rPr>
          <w:rFonts w:ascii="Gill Sans MT" w:hAnsi="Gill Sans MT"/>
        </w:rPr>
        <w:t>Defense</w:t>
      </w:r>
      <w:proofErr w:type="spellEnd"/>
      <w:r w:rsidR="00516307" w:rsidRPr="00C82F49">
        <w:rPr>
          <w:rFonts w:ascii="Gill Sans MT" w:hAnsi="Gill Sans MT"/>
        </w:rPr>
        <w:t xml:space="preserve"> of the Human Rights Act’ </w:t>
      </w:r>
      <w:r w:rsidR="00516307" w:rsidRPr="00C82F49">
        <w:rPr>
          <w:rFonts w:ascii="Gill Sans MT" w:hAnsi="Gill Sans MT"/>
          <w:i/>
        </w:rPr>
        <w:t>UK Constitutional Law Association Blog</w:t>
      </w:r>
      <w:r w:rsidR="00516307" w:rsidRPr="00C82F49">
        <w:rPr>
          <w:rFonts w:ascii="Gill Sans MT" w:hAnsi="Gill Sans MT"/>
        </w:rPr>
        <w:t xml:space="preserve"> (6 July 2015), at: </w:t>
      </w:r>
      <w:hyperlink r:id="rId12" w:history="1">
        <w:r w:rsidR="00516307" w:rsidRPr="00C82F49">
          <w:rPr>
            <w:rStyle w:val="Hyperlink"/>
            <w:rFonts w:ascii="Gill Sans MT" w:hAnsi="Gill Sans MT"/>
          </w:rPr>
          <w:t>https://ukconstitutionallaw.org/2015/07/06/hra-watch-reform-repeal-replace-adam-tucker-the-anti-democratic-turn-in-the-defence-of-the-human-rights-act/</w:t>
        </w:r>
      </w:hyperlink>
      <w:r w:rsidR="00516307" w:rsidRPr="00C82F49">
        <w:rPr>
          <w:rFonts w:ascii="Gill Sans MT" w:hAnsi="Gill Sans MT"/>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C12D2"/>
    <w:multiLevelType w:val="hybridMultilevel"/>
    <w:tmpl w:val="9E78EB16"/>
    <w:lvl w:ilvl="0" w:tplc="AFDE5F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215BD7"/>
    <w:multiLevelType w:val="hybridMultilevel"/>
    <w:tmpl w:val="3446C2EA"/>
    <w:lvl w:ilvl="0" w:tplc="FC68BDAC">
      <w:start w:val="1"/>
      <w:numFmt w:val="bullet"/>
      <w:lvlText w:val="-"/>
      <w:lvlJc w:val="left"/>
      <w:pPr>
        <w:tabs>
          <w:tab w:val="num" w:pos="720"/>
        </w:tabs>
        <w:ind w:left="720" w:hanging="360"/>
      </w:pPr>
      <w:rPr>
        <w:rFonts w:ascii="Times New Roman" w:hAnsi="Times New Roman" w:hint="default"/>
      </w:rPr>
    </w:lvl>
    <w:lvl w:ilvl="1" w:tplc="FD4E60F4" w:tentative="1">
      <w:start w:val="1"/>
      <w:numFmt w:val="bullet"/>
      <w:lvlText w:val="-"/>
      <w:lvlJc w:val="left"/>
      <w:pPr>
        <w:tabs>
          <w:tab w:val="num" w:pos="1440"/>
        </w:tabs>
        <w:ind w:left="1440" w:hanging="360"/>
      </w:pPr>
      <w:rPr>
        <w:rFonts w:ascii="Times New Roman" w:hAnsi="Times New Roman" w:hint="default"/>
      </w:rPr>
    </w:lvl>
    <w:lvl w:ilvl="2" w:tplc="D5D61EF6" w:tentative="1">
      <w:start w:val="1"/>
      <w:numFmt w:val="bullet"/>
      <w:lvlText w:val="-"/>
      <w:lvlJc w:val="left"/>
      <w:pPr>
        <w:tabs>
          <w:tab w:val="num" w:pos="2160"/>
        </w:tabs>
        <w:ind w:left="2160" w:hanging="360"/>
      </w:pPr>
      <w:rPr>
        <w:rFonts w:ascii="Times New Roman" w:hAnsi="Times New Roman" w:hint="default"/>
      </w:rPr>
    </w:lvl>
    <w:lvl w:ilvl="3" w:tplc="0570DAFC" w:tentative="1">
      <w:start w:val="1"/>
      <w:numFmt w:val="bullet"/>
      <w:lvlText w:val="-"/>
      <w:lvlJc w:val="left"/>
      <w:pPr>
        <w:tabs>
          <w:tab w:val="num" w:pos="2880"/>
        </w:tabs>
        <w:ind w:left="2880" w:hanging="360"/>
      </w:pPr>
      <w:rPr>
        <w:rFonts w:ascii="Times New Roman" w:hAnsi="Times New Roman" w:hint="default"/>
      </w:rPr>
    </w:lvl>
    <w:lvl w:ilvl="4" w:tplc="82CE95F8" w:tentative="1">
      <w:start w:val="1"/>
      <w:numFmt w:val="bullet"/>
      <w:lvlText w:val="-"/>
      <w:lvlJc w:val="left"/>
      <w:pPr>
        <w:tabs>
          <w:tab w:val="num" w:pos="3600"/>
        </w:tabs>
        <w:ind w:left="3600" w:hanging="360"/>
      </w:pPr>
      <w:rPr>
        <w:rFonts w:ascii="Times New Roman" w:hAnsi="Times New Roman" w:hint="default"/>
      </w:rPr>
    </w:lvl>
    <w:lvl w:ilvl="5" w:tplc="B324DAEE" w:tentative="1">
      <w:start w:val="1"/>
      <w:numFmt w:val="bullet"/>
      <w:lvlText w:val="-"/>
      <w:lvlJc w:val="left"/>
      <w:pPr>
        <w:tabs>
          <w:tab w:val="num" w:pos="4320"/>
        </w:tabs>
        <w:ind w:left="4320" w:hanging="360"/>
      </w:pPr>
      <w:rPr>
        <w:rFonts w:ascii="Times New Roman" w:hAnsi="Times New Roman" w:hint="default"/>
      </w:rPr>
    </w:lvl>
    <w:lvl w:ilvl="6" w:tplc="92EA91F8" w:tentative="1">
      <w:start w:val="1"/>
      <w:numFmt w:val="bullet"/>
      <w:lvlText w:val="-"/>
      <w:lvlJc w:val="left"/>
      <w:pPr>
        <w:tabs>
          <w:tab w:val="num" w:pos="5040"/>
        </w:tabs>
        <w:ind w:left="5040" w:hanging="360"/>
      </w:pPr>
      <w:rPr>
        <w:rFonts w:ascii="Times New Roman" w:hAnsi="Times New Roman" w:hint="default"/>
      </w:rPr>
    </w:lvl>
    <w:lvl w:ilvl="7" w:tplc="658C27F0" w:tentative="1">
      <w:start w:val="1"/>
      <w:numFmt w:val="bullet"/>
      <w:lvlText w:val="-"/>
      <w:lvlJc w:val="left"/>
      <w:pPr>
        <w:tabs>
          <w:tab w:val="num" w:pos="5760"/>
        </w:tabs>
        <w:ind w:left="5760" w:hanging="360"/>
      </w:pPr>
      <w:rPr>
        <w:rFonts w:ascii="Times New Roman" w:hAnsi="Times New Roman" w:hint="default"/>
      </w:rPr>
    </w:lvl>
    <w:lvl w:ilvl="8" w:tplc="9BFE101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6EC"/>
    <w:rsid w:val="00004B25"/>
    <w:rsid w:val="0000716A"/>
    <w:rsid w:val="00011D3A"/>
    <w:rsid w:val="00012B09"/>
    <w:rsid w:val="00022D69"/>
    <w:rsid w:val="00035616"/>
    <w:rsid w:val="00036CD7"/>
    <w:rsid w:val="00040B14"/>
    <w:rsid w:val="00040F5C"/>
    <w:rsid w:val="00047CEE"/>
    <w:rsid w:val="00053F2A"/>
    <w:rsid w:val="00053FB7"/>
    <w:rsid w:val="00064C4E"/>
    <w:rsid w:val="00071D89"/>
    <w:rsid w:val="00073D61"/>
    <w:rsid w:val="0009230E"/>
    <w:rsid w:val="00092CE1"/>
    <w:rsid w:val="000B214C"/>
    <w:rsid w:val="000B550A"/>
    <w:rsid w:val="000D4774"/>
    <w:rsid w:val="000D7AFE"/>
    <w:rsid w:val="000E1711"/>
    <w:rsid w:val="000E4520"/>
    <w:rsid w:val="000E6801"/>
    <w:rsid w:val="000F07AE"/>
    <w:rsid w:val="00101EBB"/>
    <w:rsid w:val="00102C5B"/>
    <w:rsid w:val="0010515F"/>
    <w:rsid w:val="00106E67"/>
    <w:rsid w:val="00110D8F"/>
    <w:rsid w:val="0011185C"/>
    <w:rsid w:val="0011613F"/>
    <w:rsid w:val="001171C2"/>
    <w:rsid w:val="0011761A"/>
    <w:rsid w:val="00122C9E"/>
    <w:rsid w:val="00122CCE"/>
    <w:rsid w:val="00127AAE"/>
    <w:rsid w:val="00137956"/>
    <w:rsid w:val="00157E7B"/>
    <w:rsid w:val="001623BD"/>
    <w:rsid w:val="001640ED"/>
    <w:rsid w:val="0016467D"/>
    <w:rsid w:val="001660D9"/>
    <w:rsid w:val="001735ED"/>
    <w:rsid w:val="00174E4D"/>
    <w:rsid w:val="00175268"/>
    <w:rsid w:val="00175BEC"/>
    <w:rsid w:val="00176C69"/>
    <w:rsid w:val="001821D6"/>
    <w:rsid w:val="00186FFC"/>
    <w:rsid w:val="0018759C"/>
    <w:rsid w:val="00187A3A"/>
    <w:rsid w:val="00194EEF"/>
    <w:rsid w:val="00195C15"/>
    <w:rsid w:val="00196A04"/>
    <w:rsid w:val="001978BE"/>
    <w:rsid w:val="001A7C2B"/>
    <w:rsid w:val="001B51DA"/>
    <w:rsid w:val="001D68D8"/>
    <w:rsid w:val="001F4397"/>
    <w:rsid w:val="001F5C4B"/>
    <w:rsid w:val="001F7C72"/>
    <w:rsid w:val="002127FB"/>
    <w:rsid w:val="00212B36"/>
    <w:rsid w:val="00212D5C"/>
    <w:rsid w:val="002130D6"/>
    <w:rsid w:val="0021356A"/>
    <w:rsid w:val="0021611F"/>
    <w:rsid w:val="00216416"/>
    <w:rsid w:val="00216CE5"/>
    <w:rsid w:val="002231F8"/>
    <w:rsid w:val="00227F61"/>
    <w:rsid w:val="00231F7E"/>
    <w:rsid w:val="00232585"/>
    <w:rsid w:val="0023342B"/>
    <w:rsid w:val="002426C1"/>
    <w:rsid w:val="00247287"/>
    <w:rsid w:val="00251C2D"/>
    <w:rsid w:val="00255E81"/>
    <w:rsid w:val="00270115"/>
    <w:rsid w:val="002724FA"/>
    <w:rsid w:val="00273BBD"/>
    <w:rsid w:val="00273F84"/>
    <w:rsid w:val="002742B3"/>
    <w:rsid w:val="0028347F"/>
    <w:rsid w:val="00285D59"/>
    <w:rsid w:val="00290CB0"/>
    <w:rsid w:val="002953CD"/>
    <w:rsid w:val="002B06AA"/>
    <w:rsid w:val="002B226A"/>
    <w:rsid w:val="002B489D"/>
    <w:rsid w:val="002B4A30"/>
    <w:rsid w:val="002C3425"/>
    <w:rsid w:val="002C72B7"/>
    <w:rsid w:val="002D19F1"/>
    <w:rsid w:val="002D299A"/>
    <w:rsid w:val="002D5D4C"/>
    <w:rsid w:val="002D6B59"/>
    <w:rsid w:val="002E3660"/>
    <w:rsid w:val="002F00E1"/>
    <w:rsid w:val="003001B9"/>
    <w:rsid w:val="00304671"/>
    <w:rsid w:val="00306D7E"/>
    <w:rsid w:val="0031273D"/>
    <w:rsid w:val="00320033"/>
    <w:rsid w:val="0033323C"/>
    <w:rsid w:val="00334C3D"/>
    <w:rsid w:val="0033566A"/>
    <w:rsid w:val="00341AEB"/>
    <w:rsid w:val="003538C3"/>
    <w:rsid w:val="00353ACC"/>
    <w:rsid w:val="00357E1D"/>
    <w:rsid w:val="003609C2"/>
    <w:rsid w:val="003649F4"/>
    <w:rsid w:val="003664E1"/>
    <w:rsid w:val="00377468"/>
    <w:rsid w:val="00390A43"/>
    <w:rsid w:val="00391CA8"/>
    <w:rsid w:val="00393D05"/>
    <w:rsid w:val="003966E9"/>
    <w:rsid w:val="003A3C64"/>
    <w:rsid w:val="003B1C30"/>
    <w:rsid w:val="003B2D7D"/>
    <w:rsid w:val="003C0277"/>
    <w:rsid w:val="003C1004"/>
    <w:rsid w:val="003C2B69"/>
    <w:rsid w:val="003C3C14"/>
    <w:rsid w:val="003D7ECA"/>
    <w:rsid w:val="003E3AA6"/>
    <w:rsid w:val="003E6422"/>
    <w:rsid w:val="003F598D"/>
    <w:rsid w:val="004009F4"/>
    <w:rsid w:val="00402AD3"/>
    <w:rsid w:val="00404118"/>
    <w:rsid w:val="004063AE"/>
    <w:rsid w:val="00414666"/>
    <w:rsid w:val="00415A32"/>
    <w:rsid w:val="004212CE"/>
    <w:rsid w:val="00422F2D"/>
    <w:rsid w:val="00425326"/>
    <w:rsid w:val="004332BB"/>
    <w:rsid w:val="004335AE"/>
    <w:rsid w:val="00443C4F"/>
    <w:rsid w:val="00445E9E"/>
    <w:rsid w:val="00447F36"/>
    <w:rsid w:val="00451114"/>
    <w:rsid w:val="004525D0"/>
    <w:rsid w:val="0045584E"/>
    <w:rsid w:val="00455BAC"/>
    <w:rsid w:val="004607CC"/>
    <w:rsid w:val="00465E9A"/>
    <w:rsid w:val="00473156"/>
    <w:rsid w:val="00473490"/>
    <w:rsid w:val="004756AB"/>
    <w:rsid w:val="00475FBC"/>
    <w:rsid w:val="00476EE5"/>
    <w:rsid w:val="0048077F"/>
    <w:rsid w:val="004825BA"/>
    <w:rsid w:val="00482A02"/>
    <w:rsid w:val="004837BE"/>
    <w:rsid w:val="00485B45"/>
    <w:rsid w:val="00485DDD"/>
    <w:rsid w:val="00492CFF"/>
    <w:rsid w:val="004939A7"/>
    <w:rsid w:val="00494D6E"/>
    <w:rsid w:val="004A08F2"/>
    <w:rsid w:val="004A4536"/>
    <w:rsid w:val="004A74C6"/>
    <w:rsid w:val="004B0687"/>
    <w:rsid w:val="004C3B01"/>
    <w:rsid w:val="004C6049"/>
    <w:rsid w:val="004D0E80"/>
    <w:rsid w:val="004E0AE3"/>
    <w:rsid w:val="004E37DB"/>
    <w:rsid w:val="004E7D36"/>
    <w:rsid w:val="004F0DD8"/>
    <w:rsid w:val="004F5297"/>
    <w:rsid w:val="004F57CA"/>
    <w:rsid w:val="00516307"/>
    <w:rsid w:val="00530607"/>
    <w:rsid w:val="00530B9F"/>
    <w:rsid w:val="00537D4A"/>
    <w:rsid w:val="00547318"/>
    <w:rsid w:val="005536F9"/>
    <w:rsid w:val="00557915"/>
    <w:rsid w:val="005654E6"/>
    <w:rsid w:val="00565725"/>
    <w:rsid w:val="00565E7A"/>
    <w:rsid w:val="005668F3"/>
    <w:rsid w:val="005820F0"/>
    <w:rsid w:val="00591834"/>
    <w:rsid w:val="00592941"/>
    <w:rsid w:val="005B6A74"/>
    <w:rsid w:val="005D1C38"/>
    <w:rsid w:val="005D6A31"/>
    <w:rsid w:val="005F0ABD"/>
    <w:rsid w:val="00600A24"/>
    <w:rsid w:val="00601228"/>
    <w:rsid w:val="00607AB4"/>
    <w:rsid w:val="006122D4"/>
    <w:rsid w:val="006340A4"/>
    <w:rsid w:val="0063572C"/>
    <w:rsid w:val="00635B0E"/>
    <w:rsid w:val="00650D73"/>
    <w:rsid w:val="0065374B"/>
    <w:rsid w:val="0065766F"/>
    <w:rsid w:val="006631EE"/>
    <w:rsid w:val="00663A73"/>
    <w:rsid w:val="00673FF1"/>
    <w:rsid w:val="00676357"/>
    <w:rsid w:val="0068560D"/>
    <w:rsid w:val="00687AE1"/>
    <w:rsid w:val="00687B14"/>
    <w:rsid w:val="006A18AB"/>
    <w:rsid w:val="006A61BD"/>
    <w:rsid w:val="006B01C7"/>
    <w:rsid w:val="006B4FAA"/>
    <w:rsid w:val="006B585C"/>
    <w:rsid w:val="006C330F"/>
    <w:rsid w:val="006C7936"/>
    <w:rsid w:val="006D5596"/>
    <w:rsid w:val="006D6CEC"/>
    <w:rsid w:val="006F4374"/>
    <w:rsid w:val="006F7FA9"/>
    <w:rsid w:val="00700BD1"/>
    <w:rsid w:val="007031FB"/>
    <w:rsid w:val="00705980"/>
    <w:rsid w:val="00710581"/>
    <w:rsid w:val="0071562A"/>
    <w:rsid w:val="007171B3"/>
    <w:rsid w:val="00721965"/>
    <w:rsid w:val="0072233F"/>
    <w:rsid w:val="00725A89"/>
    <w:rsid w:val="00727425"/>
    <w:rsid w:val="007305EC"/>
    <w:rsid w:val="00741BCC"/>
    <w:rsid w:val="00742563"/>
    <w:rsid w:val="007433D3"/>
    <w:rsid w:val="0075165B"/>
    <w:rsid w:val="007671C2"/>
    <w:rsid w:val="00775CD5"/>
    <w:rsid w:val="00780346"/>
    <w:rsid w:val="00781B97"/>
    <w:rsid w:val="0078580B"/>
    <w:rsid w:val="00791F2E"/>
    <w:rsid w:val="00793A97"/>
    <w:rsid w:val="00796E25"/>
    <w:rsid w:val="007B11FC"/>
    <w:rsid w:val="007B708F"/>
    <w:rsid w:val="007C0257"/>
    <w:rsid w:val="007C0A23"/>
    <w:rsid w:val="007C4863"/>
    <w:rsid w:val="007D6211"/>
    <w:rsid w:val="007D757B"/>
    <w:rsid w:val="007D7D6B"/>
    <w:rsid w:val="007F04FD"/>
    <w:rsid w:val="00800617"/>
    <w:rsid w:val="00804AEB"/>
    <w:rsid w:val="00820641"/>
    <w:rsid w:val="00822707"/>
    <w:rsid w:val="008230A0"/>
    <w:rsid w:val="00825B42"/>
    <w:rsid w:val="008274E0"/>
    <w:rsid w:val="008365B3"/>
    <w:rsid w:val="0084288C"/>
    <w:rsid w:val="00845671"/>
    <w:rsid w:val="008707AC"/>
    <w:rsid w:val="00871448"/>
    <w:rsid w:val="00873537"/>
    <w:rsid w:val="008751D3"/>
    <w:rsid w:val="0087728A"/>
    <w:rsid w:val="00885324"/>
    <w:rsid w:val="00890AD1"/>
    <w:rsid w:val="00891BC1"/>
    <w:rsid w:val="008928D3"/>
    <w:rsid w:val="008B094D"/>
    <w:rsid w:val="008B506C"/>
    <w:rsid w:val="008C4E83"/>
    <w:rsid w:val="008D083F"/>
    <w:rsid w:val="008D5785"/>
    <w:rsid w:val="008E41B3"/>
    <w:rsid w:val="008E4878"/>
    <w:rsid w:val="008E5162"/>
    <w:rsid w:val="008E5DF9"/>
    <w:rsid w:val="00900DF6"/>
    <w:rsid w:val="00911ECF"/>
    <w:rsid w:val="009169FF"/>
    <w:rsid w:val="00927AC9"/>
    <w:rsid w:val="0093119E"/>
    <w:rsid w:val="009318C9"/>
    <w:rsid w:val="0093368A"/>
    <w:rsid w:val="00933F18"/>
    <w:rsid w:val="009358C6"/>
    <w:rsid w:val="00937BC2"/>
    <w:rsid w:val="00943F9E"/>
    <w:rsid w:val="009458CB"/>
    <w:rsid w:val="009503FB"/>
    <w:rsid w:val="00954BE3"/>
    <w:rsid w:val="009737A9"/>
    <w:rsid w:val="00976EC0"/>
    <w:rsid w:val="00982840"/>
    <w:rsid w:val="009843EB"/>
    <w:rsid w:val="009869B1"/>
    <w:rsid w:val="00991108"/>
    <w:rsid w:val="009A113D"/>
    <w:rsid w:val="009A1DA9"/>
    <w:rsid w:val="009A37B3"/>
    <w:rsid w:val="009A54D7"/>
    <w:rsid w:val="009B013A"/>
    <w:rsid w:val="009B6AB1"/>
    <w:rsid w:val="009C0DC7"/>
    <w:rsid w:val="009C5B1B"/>
    <w:rsid w:val="009C62B7"/>
    <w:rsid w:val="009D045B"/>
    <w:rsid w:val="009D0460"/>
    <w:rsid w:val="009D235E"/>
    <w:rsid w:val="009E7EEE"/>
    <w:rsid w:val="009F0C4A"/>
    <w:rsid w:val="009F125E"/>
    <w:rsid w:val="009F2544"/>
    <w:rsid w:val="009F5468"/>
    <w:rsid w:val="009F6A5E"/>
    <w:rsid w:val="00A1573B"/>
    <w:rsid w:val="00A15ECA"/>
    <w:rsid w:val="00A27289"/>
    <w:rsid w:val="00A41FE0"/>
    <w:rsid w:val="00A50466"/>
    <w:rsid w:val="00A525D9"/>
    <w:rsid w:val="00A526C5"/>
    <w:rsid w:val="00A5515F"/>
    <w:rsid w:val="00A60D28"/>
    <w:rsid w:val="00A64447"/>
    <w:rsid w:val="00A64D26"/>
    <w:rsid w:val="00A6596E"/>
    <w:rsid w:val="00A72910"/>
    <w:rsid w:val="00A744BD"/>
    <w:rsid w:val="00A74BBC"/>
    <w:rsid w:val="00A81024"/>
    <w:rsid w:val="00A832FB"/>
    <w:rsid w:val="00A87071"/>
    <w:rsid w:val="00A92A47"/>
    <w:rsid w:val="00AA4E13"/>
    <w:rsid w:val="00AA5625"/>
    <w:rsid w:val="00AB0B75"/>
    <w:rsid w:val="00AB1938"/>
    <w:rsid w:val="00AB6EE3"/>
    <w:rsid w:val="00AC165B"/>
    <w:rsid w:val="00AE176B"/>
    <w:rsid w:val="00AE3D0E"/>
    <w:rsid w:val="00AF0990"/>
    <w:rsid w:val="00AF1AD5"/>
    <w:rsid w:val="00AF30F0"/>
    <w:rsid w:val="00AF36F0"/>
    <w:rsid w:val="00B04FDA"/>
    <w:rsid w:val="00B151F6"/>
    <w:rsid w:val="00B15FCB"/>
    <w:rsid w:val="00B304F3"/>
    <w:rsid w:val="00B65D18"/>
    <w:rsid w:val="00B67CC1"/>
    <w:rsid w:val="00B73822"/>
    <w:rsid w:val="00B75B83"/>
    <w:rsid w:val="00B76EFA"/>
    <w:rsid w:val="00B81894"/>
    <w:rsid w:val="00B86AF3"/>
    <w:rsid w:val="00B9536A"/>
    <w:rsid w:val="00BA0F85"/>
    <w:rsid w:val="00BA3287"/>
    <w:rsid w:val="00BB2CCB"/>
    <w:rsid w:val="00BB32F5"/>
    <w:rsid w:val="00BB70FC"/>
    <w:rsid w:val="00BB7A41"/>
    <w:rsid w:val="00BC7A73"/>
    <w:rsid w:val="00BD04CC"/>
    <w:rsid w:val="00BE0609"/>
    <w:rsid w:val="00BE2857"/>
    <w:rsid w:val="00BE65FE"/>
    <w:rsid w:val="00BF7DED"/>
    <w:rsid w:val="00C01EAE"/>
    <w:rsid w:val="00C20B58"/>
    <w:rsid w:val="00C43A3C"/>
    <w:rsid w:val="00C465A8"/>
    <w:rsid w:val="00C474B7"/>
    <w:rsid w:val="00C533F9"/>
    <w:rsid w:val="00C66377"/>
    <w:rsid w:val="00C67008"/>
    <w:rsid w:val="00C71767"/>
    <w:rsid w:val="00C719F7"/>
    <w:rsid w:val="00C71F28"/>
    <w:rsid w:val="00C72056"/>
    <w:rsid w:val="00C76FDF"/>
    <w:rsid w:val="00C801C8"/>
    <w:rsid w:val="00C818DC"/>
    <w:rsid w:val="00C82339"/>
    <w:rsid w:val="00C82F49"/>
    <w:rsid w:val="00C8563A"/>
    <w:rsid w:val="00CA34B2"/>
    <w:rsid w:val="00CB0D5D"/>
    <w:rsid w:val="00CC2FC5"/>
    <w:rsid w:val="00CD065E"/>
    <w:rsid w:val="00D000ED"/>
    <w:rsid w:val="00D02DFC"/>
    <w:rsid w:val="00D101F1"/>
    <w:rsid w:val="00D13BA0"/>
    <w:rsid w:val="00D15403"/>
    <w:rsid w:val="00D23013"/>
    <w:rsid w:val="00D23E93"/>
    <w:rsid w:val="00D25A9E"/>
    <w:rsid w:val="00D316FC"/>
    <w:rsid w:val="00D33148"/>
    <w:rsid w:val="00D42663"/>
    <w:rsid w:val="00D4543C"/>
    <w:rsid w:val="00D50689"/>
    <w:rsid w:val="00D56C78"/>
    <w:rsid w:val="00D60903"/>
    <w:rsid w:val="00D61ABA"/>
    <w:rsid w:val="00D64958"/>
    <w:rsid w:val="00D73A4D"/>
    <w:rsid w:val="00D77831"/>
    <w:rsid w:val="00D85E70"/>
    <w:rsid w:val="00D86BA6"/>
    <w:rsid w:val="00DA6037"/>
    <w:rsid w:val="00DB0F7F"/>
    <w:rsid w:val="00DB1F82"/>
    <w:rsid w:val="00DB6D1F"/>
    <w:rsid w:val="00DC2334"/>
    <w:rsid w:val="00DC54E1"/>
    <w:rsid w:val="00DD12A1"/>
    <w:rsid w:val="00DD3B4F"/>
    <w:rsid w:val="00DD5FB1"/>
    <w:rsid w:val="00DE0734"/>
    <w:rsid w:val="00DE2E94"/>
    <w:rsid w:val="00DE5212"/>
    <w:rsid w:val="00DE7D4D"/>
    <w:rsid w:val="00DF7A36"/>
    <w:rsid w:val="00E036F2"/>
    <w:rsid w:val="00E05EA6"/>
    <w:rsid w:val="00E17ABD"/>
    <w:rsid w:val="00E26724"/>
    <w:rsid w:val="00E30B36"/>
    <w:rsid w:val="00E358A4"/>
    <w:rsid w:val="00E4534B"/>
    <w:rsid w:val="00E4778D"/>
    <w:rsid w:val="00E57855"/>
    <w:rsid w:val="00E57CA1"/>
    <w:rsid w:val="00E6157B"/>
    <w:rsid w:val="00E6664A"/>
    <w:rsid w:val="00E72DED"/>
    <w:rsid w:val="00E745A1"/>
    <w:rsid w:val="00E83E3F"/>
    <w:rsid w:val="00E86DDD"/>
    <w:rsid w:val="00E939AF"/>
    <w:rsid w:val="00EB2AC3"/>
    <w:rsid w:val="00EB6254"/>
    <w:rsid w:val="00EB6512"/>
    <w:rsid w:val="00EC3EA2"/>
    <w:rsid w:val="00EC5A3A"/>
    <w:rsid w:val="00EC5F2C"/>
    <w:rsid w:val="00EC6C7F"/>
    <w:rsid w:val="00ED679E"/>
    <w:rsid w:val="00EE51D5"/>
    <w:rsid w:val="00EE7D1C"/>
    <w:rsid w:val="00F021D6"/>
    <w:rsid w:val="00F0510C"/>
    <w:rsid w:val="00F06A4D"/>
    <w:rsid w:val="00F10CB0"/>
    <w:rsid w:val="00F1416A"/>
    <w:rsid w:val="00F42D5F"/>
    <w:rsid w:val="00F42DE9"/>
    <w:rsid w:val="00F558CB"/>
    <w:rsid w:val="00F5653F"/>
    <w:rsid w:val="00F568A6"/>
    <w:rsid w:val="00F571B6"/>
    <w:rsid w:val="00F5797F"/>
    <w:rsid w:val="00F646EC"/>
    <w:rsid w:val="00F65B42"/>
    <w:rsid w:val="00F72683"/>
    <w:rsid w:val="00F77A66"/>
    <w:rsid w:val="00F827BD"/>
    <w:rsid w:val="00F82841"/>
    <w:rsid w:val="00F92EF0"/>
    <w:rsid w:val="00FA1757"/>
    <w:rsid w:val="00FB0642"/>
    <w:rsid w:val="00FC0242"/>
    <w:rsid w:val="00FD0FD7"/>
    <w:rsid w:val="00FD3397"/>
    <w:rsid w:val="00FD4675"/>
    <w:rsid w:val="00FD7885"/>
    <w:rsid w:val="00FE2407"/>
    <w:rsid w:val="00FF34AD"/>
    <w:rsid w:val="00FF3C7F"/>
    <w:rsid w:val="00FF6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9C0FF"/>
  <w15:docId w15:val="{0508AE50-91AB-428E-85C9-293FCC4A9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4118"/>
  </w:style>
  <w:style w:type="paragraph" w:styleId="Heading2">
    <w:name w:val="heading 2"/>
    <w:basedOn w:val="Normal"/>
    <w:link w:val="Heading2Char"/>
    <w:uiPriority w:val="9"/>
    <w:qFormat/>
    <w:rsid w:val="00102C5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25D9"/>
    <w:pPr>
      <w:spacing w:after="0" w:line="240" w:lineRule="auto"/>
    </w:pPr>
  </w:style>
  <w:style w:type="character" w:customStyle="1" w:styleId="apple-converted-space">
    <w:name w:val="apple-converted-space"/>
    <w:basedOn w:val="DefaultParagraphFont"/>
    <w:rsid w:val="00565725"/>
  </w:style>
  <w:style w:type="paragraph" w:styleId="FootnoteText">
    <w:name w:val="footnote text"/>
    <w:basedOn w:val="Normal"/>
    <w:link w:val="FootnoteTextChar"/>
    <w:uiPriority w:val="99"/>
    <w:unhideWhenUsed/>
    <w:rsid w:val="003001B9"/>
    <w:pPr>
      <w:spacing w:after="0" w:line="240" w:lineRule="auto"/>
    </w:pPr>
    <w:rPr>
      <w:sz w:val="20"/>
      <w:szCs w:val="20"/>
    </w:rPr>
  </w:style>
  <w:style w:type="character" w:customStyle="1" w:styleId="FootnoteTextChar">
    <w:name w:val="Footnote Text Char"/>
    <w:basedOn w:val="DefaultParagraphFont"/>
    <w:link w:val="FootnoteText"/>
    <w:uiPriority w:val="99"/>
    <w:rsid w:val="003001B9"/>
    <w:rPr>
      <w:sz w:val="20"/>
      <w:szCs w:val="20"/>
    </w:rPr>
  </w:style>
  <w:style w:type="character" w:styleId="FootnoteReference">
    <w:name w:val="footnote reference"/>
    <w:basedOn w:val="DefaultParagraphFont"/>
    <w:uiPriority w:val="99"/>
    <w:unhideWhenUsed/>
    <w:rsid w:val="003001B9"/>
    <w:rPr>
      <w:vertAlign w:val="superscript"/>
    </w:rPr>
  </w:style>
  <w:style w:type="paragraph" w:styleId="Header">
    <w:name w:val="header"/>
    <w:basedOn w:val="Normal"/>
    <w:link w:val="HeaderChar"/>
    <w:uiPriority w:val="99"/>
    <w:unhideWhenUsed/>
    <w:rsid w:val="00040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F5C"/>
  </w:style>
  <w:style w:type="paragraph" w:styleId="Footer">
    <w:name w:val="footer"/>
    <w:basedOn w:val="Normal"/>
    <w:link w:val="FooterChar"/>
    <w:uiPriority w:val="99"/>
    <w:unhideWhenUsed/>
    <w:rsid w:val="00040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F5C"/>
  </w:style>
  <w:style w:type="character" w:styleId="Hyperlink">
    <w:name w:val="Hyperlink"/>
    <w:basedOn w:val="DefaultParagraphFont"/>
    <w:uiPriority w:val="99"/>
    <w:unhideWhenUsed/>
    <w:rsid w:val="00E57855"/>
    <w:rPr>
      <w:color w:val="0000FF"/>
      <w:u w:val="single"/>
    </w:rPr>
  </w:style>
  <w:style w:type="character" w:customStyle="1" w:styleId="Heading2Char">
    <w:name w:val="Heading 2 Char"/>
    <w:basedOn w:val="DefaultParagraphFont"/>
    <w:link w:val="Heading2"/>
    <w:uiPriority w:val="9"/>
    <w:rsid w:val="00102C5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E07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525D0"/>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pn">
    <w:name w:val="pn"/>
    <w:basedOn w:val="Normal"/>
    <w:qFormat/>
    <w:rsid w:val="00F82841"/>
    <w:pPr>
      <w:spacing w:after="120" w:line="360" w:lineRule="auto"/>
    </w:pPr>
    <w:rPr>
      <w:rFonts w:ascii="Times New Roman" w:eastAsia="Calibri" w:hAnsi="Times New Roman" w:cs="Times New Roman"/>
      <w:sz w:val="36"/>
      <w:lang w:val="en-US"/>
    </w:rPr>
  </w:style>
  <w:style w:type="character" w:customStyle="1" w:styleId="SemiboldItalic">
    <w:name w:val="Semibold Italic"/>
    <w:basedOn w:val="DefaultParagraphFont"/>
    <w:uiPriority w:val="99"/>
    <w:rsid w:val="00F82841"/>
    <w:rPr>
      <w:i/>
      <w:iCs/>
      <w:lang w:val="en-GB"/>
    </w:rPr>
  </w:style>
  <w:style w:type="paragraph" w:customStyle="1" w:styleId="case-h">
    <w:name w:val="case-h"/>
    <w:basedOn w:val="Normal"/>
    <w:qFormat/>
    <w:rsid w:val="00F82841"/>
    <w:pPr>
      <w:keepNext/>
      <w:pBdr>
        <w:top w:val="single" w:sz="4" w:space="1" w:color="auto"/>
      </w:pBdr>
      <w:spacing w:before="240" w:after="120" w:line="360" w:lineRule="auto"/>
    </w:pPr>
    <w:rPr>
      <w:rFonts w:ascii="Times New Roman" w:eastAsia="Calibri" w:hAnsi="Times New Roman" w:cs="Times New Roman"/>
      <w:sz w:val="28"/>
      <w:lang w:val="en-US"/>
    </w:rPr>
  </w:style>
  <w:style w:type="character" w:styleId="CommentReference">
    <w:name w:val="annotation reference"/>
    <w:basedOn w:val="DefaultParagraphFont"/>
    <w:uiPriority w:val="99"/>
    <w:semiHidden/>
    <w:unhideWhenUsed/>
    <w:rsid w:val="009C0DC7"/>
    <w:rPr>
      <w:sz w:val="16"/>
      <w:szCs w:val="16"/>
    </w:rPr>
  </w:style>
  <w:style w:type="paragraph" w:styleId="CommentText">
    <w:name w:val="annotation text"/>
    <w:basedOn w:val="Normal"/>
    <w:link w:val="CommentTextChar"/>
    <w:uiPriority w:val="99"/>
    <w:semiHidden/>
    <w:unhideWhenUsed/>
    <w:rsid w:val="009C0DC7"/>
    <w:pPr>
      <w:spacing w:line="240" w:lineRule="auto"/>
    </w:pPr>
    <w:rPr>
      <w:sz w:val="20"/>
      <w:szCs w:val="20"/>
    </w:rPr>
  </w:style>
  <w:style w:type="character" w:customStyle="1" w:styleId="CommentTextChar">
    <w:name w:val="Comment Text Char"/>
    <w:basedOn w:val="DefaultParagraphFont"/>
    <w:link w:val="CommentText"/>
    <w:uiPriority w:val="99"/>
    <w:semiHidden/>
    <w:rsid w:val="009C0DC7"/>
    <w:rPr>
      <w:sz w:val="20"/>
      <w:szCs w:val="20"/>
    </w:rPr>
  </w:style>
  <w:style w:type="paragraph" w:styleId="CommentSubject">
    <w:name w:val="annotation subject"/>
    <w:basedOn w:val="CommentText"/>
    <w:next w:val="CommentText"/>
    <w:link w:val="CommentSubjectChar"/>
    <w:uiPriority w:val="99"/>
    <w:semiHidden/>
    <w:unhideWhenUsed/>
    <w:rsid w:val="009C0DC7"/>
    <w:rPr>
      <w:b/>
      <w:bCs/>
    </w:rPr>
  </w:style>
  <w:style w:type="character" w:customStyle="1" w:styleId="CommentSubjectChar">
    <w:name w:val="Comment Subject Char"/>
    <w:basedOn w:val="CommentTextChar"/>
    <w:link w:val="CommentSubject"/>
    <w:uiPriority w:val="99"/>
    <w:semiHidden/>
    <w:rsid w:val="009C0DC7"/>
    <w:rPr>
      <w:b/>
      <w:bCs/>
      <w:sz w:val="20"/>
      <w:szCs w:val="20"/>
    </w:rPr>
  </w:style>
  <w:style w:type="paragraph" w:styleId="BalloonText">
    <w:name w:val="Balloon Text"/>
    <w:basedOn w:val="Normal"/>
    <w:link w:val="BalloonTextChar"/>
    <w:uiPriority w:val="99"/>
    <w:semiHidden/>
    <w:unhideWhenUsed/>
    <w:rsid w:val="009C0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DC7"/>
    <w:rPr>
      <w:rFonts w:ascii="Segoe UI" w:hAnsi="Segoe UI" w:cs="Segoe UI"/>
      <w:sz w:val="18"/>
      <w:szCs w:val="18"/>
    </w:rPr>
  </w:style>
  <w:style w:type="character" w:styleId="FollowedHyperlink">
    <w:name w:val="FollowedHyperlink"/>
    <w:basedOn w:val="DefaultParagraphFont"/>
    <w:uiPriority w:val="99"/>
    <w:semiHidden/>
    <w:unhideWhenUsed/>
    <w:rsid w:val="004558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646632">
      <w:bodyDiv w:val="1"/>
      <w:marLeft w:val="0"/>
      <w:marRight w:val="0"/>
      <w:marTop w:val="0"/>
      <w:marBottom w:val="0"/>
      <w:divBdr>
        <w:top w:val="none" w:sz="0" w:space="0" w:color="auto"/>
        <w:left w:val="none" w:sz="0" w:space="0" w:color="auto"/>
        <w:bottom w:val="none" w:sz="0" w:space="0" w:color="auto"/>
        <w:right w:val="none" w:sz="0" w:space="0" w:color="auto"/>
      </w:divBdr>
    </w:div>
    <w:div w:id="758718951">
      <w:bodyDiv w:val="1"/>
      <w:marLeft w:val="0"/>
      <w:marRight w:val="0"/>
      <w:marTop w:val="0"/>
      <w:marBottom w:val="0"/>
      <w:divBdr>
        <w:top w:val="none" w:sz="0" w:space="0" w:color="auto"/>
        <w:left w:val="none" w:sz="0" w:space="0" w:color="auto"/>
        <w:bottom w:val="none" w:sz="0" w:space="0" w:color="auto"/>
        <w:right w:val="none" w:sz="0" w:space="0" w:color="auto"/>
      </w:divBdr>
      <w:divsChild>
        <w:div w:id="286202007">
          <w:marLeft w:val="547"/>
          <w:marRight w:val="0"/>
          <w:marTop w:val="144"/>
          <w:marBottom w:val="0"/>
          <w:divBdr>
            <w:top w:val="none" w:sz="0" w:space="0" w:color="auto"/>
            <w:left w:val="none" w:sz="0" w:space="0" w:color="auto"/>
            <w:bottom w:val="none" w:sz="0" w:space="0" w:color="auto"/>
            <w:right w:val="none" w:sz="0" w:space="0" w:color="auto"/>
          </w:divBdr>
        </w:div>
        <w:div w:id="530385882">
          <w:marLeft w:val="547"/>
          <w:marRight w:val="0"/>
          <w:marTop w:val="144"/>
          <w:marBottom w:val="0"/>
          <w:divBdr>
            <w:top w:val="none" w:sz="0" w:space="0" w:color="auto"/>
            <w:left w:val="none" w:sz="0" w:space="0" w:color="auto"/>
            <w:bottom w:val="none" w:sz="0" w:space="0" w:color="auto"/>
            <w:right w:val="none" w:sz="0" w:space="0" w:color="auto"/>
          </w:divBdr>
        </w:div>
      </w:divsChild>
    </w:div>
    <w:div w:id="1091194779">
      <w:bodyDiv w:val="1"/>
      <w:marLeft w:val="0"/>
      <w:marRight w:val="0"/>
      <w:marTop w:val="0"/>
      <w:marBottom w:val="0"/>
      <w:divBdr>
        <w:top w:val="none" w:sz="0" w:space="0" w:color="auto"/>
        <w:left w:val="none" w:sz="0" w:space="0" w:color="auto"/>
        <w:bottom w:val="none" w:sz="0" w:space="0" w:color="auto"/>
        <w:right w:val="none" w:sz="0" w:space="0" w:color="auto"/>
      </w:divBdr>
    </w:div>
    <w:div w:id="1127040386">
      <w:bodyDiv w:val="1"/>
      <w:marLeft w:val="0"/>
      <w:marRight w:val="0"/>
      <w:marTop w:val="0"/>
      <w:marBottom w:val="0"/>
      <w:divBdr>
        <w:top w:val="none" w:sz="0" w:space="0" w:color="auto"/>
        <w:left w:val="none" w:sz="0" w:space="0" w:color="auto"/>
        <w:bottom w:val="none" w:sz="0" w:space="0" w:color="auto"/>
        <w:right w:val="none" w:sz="0" w:space="0" w:color="auto"/>
      </w:divBdr>
    </w:div>
    <w:div w:id="1211306283">
      <w:bodyDiv w:val="1"/>
      <w:marLeft w:val="0"/>
      <w:marRight w:val="0"/>
      <w:marTop w:val="0"/>
      <w:marBottom w:val="0"/>
      <w:divBdr>
        <w:top w:val="none" w:sz="0" w:space="0" w:color="auto"/>
        <w:left w:val="none" w:sz="0" w:space="0" w:color="auto"/>
        <w:bottom w:val="none" w:sz="0" w:space="0" w:color="auto"/>
        <w:right w:val="none" w:sz="0" w:space="0" w:color="auto"/>
      </w:divBdr>
    </w:div>
    <w:div w:id="141416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judicialpowerproject.org.uk/the-new-powers-of-the-judiciary-in-scotland/" TargetMode="External"/><Relationship Id="rId3" Type="http://schemas.openxmlformats.org/officeDocument/2006/relationships/hyperlink" Target="https://www.judiciary.gov.uk/about-the-judiciary/who-are-the-judiciary/diversity/judicial-diversity-statistics-2016/" TargetMode="External"/><Relationship Id="rId7" Type="http://schemas.openxmlformats.org/officeDocument/2006/relationships/hyperlink" Target="https://www.supremecourt.uk/news/permission-to-appeal-decision-12-april-2017.html" TargetMode="External"/><Relationship Id="rId12" Type="http://schemas.openxmlformats.org/officeDocument/2006/relationships/hyperlink" Target="https://ukconstitutionallaw.org/2015/07/06/hra-watch-reform-repeal-replace-adam-tucker-the-anti-democratic-turn-in-the-defence-of-the-human-rights-act/" TargetMode="External"/><Relationship Id="rId2" Type="http://schemas.openxmlformats.org/officeDocument/2006/relationships/hyperlink" Target="https://www.theguardian.com/science/2017/apr/26/new-human-rights-to-protect-against-mind-hacking-and-brain-data-theft-proposed" TargetMode="External"/><Relationship Id="rId1" Type="http://schemas.openxmlformats.org/officeDocument/2006/relationships/hyperlink" Target="http://www.dailymail.co.uk/news/article-4382730/Travellers-use-human-rights-stop-police-watching-them.html" TargetMode="External"/><Relationship Id="rId6" Type="http://schemas.openxmlformats.org/officeDocument/2006/relationships/hyperlink" Target="http://www.dailymail.co.uk/debate/article-3181945/DAILY-MAIL-COMMENT-nation-imperilled-Human-Rights-Act.html" TargetMode="External"/><Relationship Id="rId11" Type="http://schemas.openxmlformats.org/officeDocument/2006/relationships/hyperlink" Target="http://www.dailymail.co.uk/news/article-3903436/Enemies-people-Fury-touch-judges-defied-17-4m-Brexit-voters-trigger-constitutional-crisis.html" TargetMode="External"/><Relationship Id="rId5" Type="http://schemas.openxmlformats.org/officeDocument/2006/relationships/hyperlink" Target="https://www.theguardian.com/commentisfree/2014/oct/03/guardian-view-scrapping-human-rights-act-dangerous-jumble" TargetMode="External"/><Relationship Id="rId10" Type="http://schemas.openxmlformats.org/officeDocument/2006/relationships/hyperlink" Target="http://hillsborough.independent.gov.uk/repository/report/HIP_report.pdf" TargetMode="External"/><Relationship Id="rId4" Type="http://schemas.openxmlformats.org/officeDocument/2006/relationships/hyperlink" Target="http://www.dailymail.co.uk/news/article-3163593/Paralysed-ex-builder-widow-man-locked-syndrome-lose-right-die-case-European-Court-Human-Rights.html" TargetMode="External"/><Relationship Id="rId9" Type="http://schemas.openxmlformats.org/officeDocument/2006/relationships/hyperlink" Target="http://blogs.ft.com/david-allen-green/2016/04/27/theresa-may-hillsborough-human-rights-law-and-the-politics-of-superfici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A4A7F-FF40-4F65-AC67-E7E6F884D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6804</Words>
  <Characters>38788</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Michael Gordon</cp:lastModifiedBy>
  <cp:revision>3</cp:revision>
  <dcterms:created xsi:type="dcterms:W3CDTF">2018-10-05T17:22:00Z</dcterms:created>
  <dcterms:modified xsi:type="dcterms:W3CDTF">2018-10-05T17:23:00Z</dcterms:modified>
</cp:coreProperties>
</file>