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604084" w14:textId="77777777" w:rsidR="00D96ACB" w:rsidRDefault="00D96ACB" w:rsidP="000A119B">
      <w:pPr>
        <w:jc w:val="center"/>
        <w:rPr>
          <w:b/>
          <w:sz w:val="22"/>
          <w:szCs w:val="22"/>
        </w:rPr>
      </w:pPr>
    </w:p>
    <w:p w14:paraId="61CBCCCD" w14:textId="77777777" w:rsidR="00F63A4A" w:rsidRDefault="00F63A4A" w:rsidP="000A119B">
      <w:pPr>
        <w:jc w:val="center"/>
        <w:rPr>
          <w:b/>
          <w:sz w:val="22"/>
          <w:szCs w:val="22"/>
        </w:rPr>
      </w:pPr>
    </w:p>
    <w:p w14:paraId="627CACF6" w14:textId="77777777" w:rsidR="00F63A4A" w:rsidRDefault="00F63A4A" w:rsidP="000A119B">
      <w:pPr>
        <w:jc w:val="center"/>
        <w:rPr>
          <w:b/>
          <w:sz w:val="22"/>
          <w:szCs w:val="22"/>
        </w:rPr>
      </w:pPr>
    </w:p>
    <w:p w14:paraId="6FF1F3A0" w14:textId="15CB9D5A" w:rsidR="000A119B" w:rsidRDefault="00DF20AE" w:rsidP="00A245EF">
      <w:pPr>
        <w:rPr>
          <w:b/>
          <w:sz w:val="22"/>
          <w:szCs w:val="22"/>
        </w:rPr>
      </w:pPr>
      <w:bookmarkStart w:id="0" w:name="_GoBack"/>
      <w:bookmarkEnd w:id="0"/>
      <w:r>
        <w:rPr>
          <w:b/>
          <w:sz w:val="22"/>
          <w:szCs w:val="22"/>
        </w:rPr>
        <w:t xml:space="preserve">Grenfell, Austerity and </w:t>
      </w:r>
      <w:r w:rsidR="000D7A0E">
        <w:rPr>
          <w:b/>
          <w:sz w:val="22"/>
          <w:szCs w:val="22"/>
        </w:rPr>
        <w:t xml:space="preserve">Institutional </w:t>
      </w:r>
      <w:r w:rsidR="000D7A0E" w:rsidRPr="000D7A0E">
        <w:rPr>
          <w:b/>
          <w:sz w:val="22"/>
          <w:szCs w:val="22"/>
        </w:rPr>
        <w:t>Violence</w:t>
      </w:r>
      <w:r w:rsidR="000D7A0E" w:rsidRPr="000A119B">
        <w:rPr>
          <w:b/>
          <w:sz w:val="22"/>
          <w:szCs w:val="22"/>
        </w:rPr>
        <w:t xml:space="preserve"> </w:t>
      </w:r>
    </w:p>
    <w:p w14:paraId="3CBCD4F8" w14:textId="77777777" w:rsidR="00A245EF" w:rsidRDefault="00A245EF" w:rsidP="00A245EF">
      <w:pPr>
        <w:rPr>
          <w:b/>
          <w:sz w:val="22"/>
          <w:szCs w:val="22"/>
        </w:rPr>
      </w:pPr>
    </w:p>
    <w:p w14:paraId="6BBACAD5" w14:textId="77777777" w:rsidR="00A245EF" w:rsidRDefault="00A245EF" w:rsidP="00A245EF">
      <w:pPr>
        <w:rPr>
          <w:b/>
          <w:sz w:val="22"/>
          <w:szCs w:val="22"/>
        </w:rPr>
      </w:pPr>
    </w:p>
    <w:p w14:paraId="3343023D" w14:textId="2CB9B754" w:rsidR="00A245EF" w:rsidRPr="00A245EF" w:rsidRDefault="00A245EF" w:rsidP="00A245EF">
      <w:pPr>
        <w:rPr>
          <w:sz w:val="22"/>
          <w:szCs w:val="22"/>
        </w:rPr>
      </w:pPr>
      <w:r w:rsidRPr="00A245EF">
        <w:rPr>
          <w:sz w:val="22"/>
          <w:szCs w:val="22"/>
        </w:rPr>
        <w:t>Vickie Cooper and David Whyte</w:t>
      </w:r>
    </w:p>
    <w:p w14:paraId="202F0295" w14:textId="77777777" w:rsidR="003532D3" w:rsidRDefault="003532D3" w:rsidP="000A119B">
      <w:pPr>
        <w:jc w:val="center"/>
        <w:rPr>
          <w:b/>
          <w:sz w:val="22"/>
          <w:szCs w:val="22"/>
        </w:rPr>
      </w:pPr>
    </w:p>
    <w:p w14:paraId="0B4F94A2" w14:textId="77777777" w:rsidR="003532D3" w:rsidRDefault="003532D3" w:rsidP="003532D3">
      <w:pPr>
        <w:jc w:val="both"/>
        <w:rPr>
          <w:sz w:val="22"/>
          <w:szCs w:val="22"/>
        </w:rPr>
      </w:pPr>
    </w:p>
    <w:p w14:paraId="0705B80A" w14:textId="0171F90E" w:rsidR="003532D3" w:rsidRPr="003532D3" w:rsidRDefault="003532D3" w:rsidP="003532D3">
      <w:pPr>
        <w:ind w:left="720"/>
        <w:jc w:val="both"/>
        <w:rPr>
          <w:b/>
          <w:sz w:val="22"/>
          <w:szCs w:val="22"/>
        </w:rPr>
      </w:pPr>
      <w:r w:rsidRPr="003532D3">
        <w:rPr>
          <w:b/>
          <w:sz w:val="22"/>
          <w:szCs w:val="22"/>
        </w:rPr>
        <w:t xml:space="preserve">Abstract: </w:t>
      </w:r>
    </w:p>
    <w:p w14:paraId="23BFACA9" w14:textId="7712B013" w:rsidR="003532D3" w:rsidRPr="003532D3" w:rsidRDefault="003532D3" w:rsidP="003532D3">
      <w:pPr>
        <w:ind w:left="720"/>
        <w:jc w:val="both"/>
        <w:rPr>
          <w:i/>
          <w:sz w:val="22"/>
          <w:szCs w:val="22"/>
          <w:lang w:val="en-US"/>
        </w:rPr>
      </w:pPr>
      <w:r w:rsidRPr="003532D3">
        <w:rPr>
          <w:i/>
          <w:sz w:val="22"/>
          <w:szCs w:val="22"/>
          <w:lang w:eastAsia="ar-SA"/>
        </w:rPr>
        <w:t xml:space="preserve">The complex chains of decisions that produce disasters like </w:t>
      </w:r>
      <w:r w:rsidR="008C11D7">
        <w:rPr>
          <w:i/>
          <w:sz w:val="22"/>
          <w:szCs w:val="22"/>
          <w:lang w:eastAsia="ar-SA"/>
        </w:rPr>
        <w:t>the Grenfell Tower fire</w:t>
      </w:r>
      <w:r w:rsidRPr="003532D3">
        <w:rPr>
          <w:i/>
          <w:sz w:val="22"/>
          <w:szCs w:val="22"/>
          <w:lang w:eastAsia="ar-SA"/>
        </w:rPr>
        <w:t xml:space="preserve"> are not readily described as ‘violence.’ ‘Violence’ is something that remains largely understood in popular consciousness, and in sociology, as an interpersonal phenomenon, and as the result of a deliberate attempt to cause harm.</w:t>
      </w:r>
      <w:r w:rsidRPr="000A119B">
        <w:rPr>
          <w:sz w:val="22"/>
          <w:szCs w:val="22"/>
          <w:lang w:eastAsia="ar-SA"/>
        </w:rPr>
        <w:t xml:space="preserve"> </w:t>
      </w:r>
      <w:r w:rsidRPr="003532D3">
        <w:rPr>
          <w:i/>
          <w:sz w:val="22"/>
          <w:szCs w:val="22"/>
          <w:lang w:eastAsia="ar-SA"/>
        </w:rPr>
        <w:t xml:space="preserve">This is largely because our understanding of violence is always somehow connected to legal concepts and principles.   </w:t>
      </w:r>
      <w:r w:rsidRPr="003532D3">
        <w:rPr>
          <w:i/>
          <w:sz w:val="22"/>
          <w:szCs w:val="22"/>
        </w:rPr>
        <w:t xml:space="preserve">In this article we </w:t>
      </w:r>
      <w:r>
        <w:rPr>
          <w:i/>
          <w:sz w:val="22"/>
          <w:szCs w:val="22"/>
        </w:rPr>
        <w:t xml:space="preserve">argue that </w:t>
      </w:r>
      <w:r w:rsidR="00BC1FFE">
        <w:rPr>
          <w:i/>
          <w:sz w:val="22"/>
          <w:szCs w:val="22"/>
        </w:rPr>
        <w:t xml:space="preserve">the </w:t>
      </w:r>
      <w:r w:rsidRPr="003532D3">
        <w:rPr>
          <w:i/>
          <w:sz w:val="22"/>
          <w:szCs w:val="22"/>
        </w:rPr>
        <w:t>Grenfell fire was produced by a  form of</w:t>
      </w:r>
      <w:r>
        <w:rPr>
          <w:i/>
          <w:sz w:val="22"/>
          <w:szCs w:val="22"/>
        </w:rPr>
        <w:t xml:space="preserve"> collective </w:t>
      </w:r>
      <w:r w:rsidR="00BC1FFE">
        <w:rPr>
          <w:i/>
          <w:sz w:val="22"/>
          <w:szCs w:val="22"/>
        </w:rPr>
        <w:t xml:space="preserve">decision-making </w:t>
      </w:r>
      <w:r w:rsidRPr="003532D3">
        <w:rPr>
          <w:i/>
          <w:sz w:val="22"/>
          <w:szCs w:val="22"/>
        </w:rPr>
        <w:t xml:space="preserve">that </w:t>
      </w:r>
      <w:r w:rsidR="008850DF">
        <w:rPr>
          <w:i/>
          <w:sz w:val="22"/>
          <w:szCs w:val="22"/>
        </w:rPr>
        <w:t xml:space="preserve">we describe as </w:t>
      </w:r>
      <w:r w:rsidR="00BC1FFE">
        <w:rPr>
          <w:i/>
          <w:sz w:val="22"/>
          <w:szCs w:val="22"/>
        </w:rPr>
        <w:t>institutional violence</w:t>
      </w:r>
      <w:r w:rsidRPr="003532D3">
        <w:rPr>
          <w:i/>
          <w:sz w:val="22"/>
          <w:szCs w:val="22"/>
        </w:rPr>
        <w:t>; it reflects</w:t>
      </w:r>
      <w:r w:rsidRPr="003532D3">
        <w:rPr>
          <w:i/>
          <w:sz w:val="22"/>
          <w:szCs w:val="22"/>
          <w:lang w:val="en-US"/>
        </w:rPr>
        <w:t xml:space="preserve"> the routine order and detached administration of a form of violence that is intimately connected to a more insidious targeting of subject groups and populations in ways that produce and increase the likelihood of other, ongoing, violent circumstances occurring. </w:t>
      </w:r>
    </w:p>
    <w:p w14:paraId="4682D204" w14:textId="10BED9D4" w:rsidR="003532D3" w:rsidRPr="000A119B" w:rsidRDefault="000415E9" w:rsidP="000A119B">
      <w:pPr>
        <w:jc w:val="center"/>
        <w:rPr>
          <w:b/>
          <w:sz w:val="22"/>
          <w:szCs w:val="22"/>
        </w:rPr>
      </w:pPr>
      <w:r>
        <w:rPr>
          <w:b/>
          <w:sz w:val="22"/>
          <w:szCs w:val="22"/>
        </w:rPr>
        <w:t xml:space="preserve"> </w:t>
      </w:r>
    </w:p>
    <w:p w14:paraId="339AC39E" w14:textId="77777777" w:rsidR="000A119B" w:rsidRDefault="000A119B" w:rsidP="003E755F">
      <w:pPr>
        <w:jc w:val="both"/>
        <w:rPr>
          <w:sz w:val="22"/>
          <w:szCs w:val="22"/>
        </w:rPr>
      </w:pPr>
    </w:p>
    <w:p w14:paraId="03FD4008" w14:textId="217B4A6F" w:rsidR="000D7A0E" w:rsidRPr="000A119B" w:rsidRDefault="000D7A0E" w:rsidP="003E755F">
      <w:pPr>
        <w:jc w:val="both"/>
        <w:rPr>
          <w:sz w:val="22"/>
          <w:szCs w:val="22"/>
        </w:rPr>
      </w:pPr>
      <w:r w:rsidRPr="000D7A0E">
        <w:rPr>
          <w:b/>
          <w:sz w:val="22"/>
          <w:szCs w:val="22"/>
        </w:rPr>
        <w:t>Keywords:</w:t>
      </w:r>
      <w:r>
        <w:rPr>
          <w:sz w:val="22"/>
          <w:szCs w:val="22"/>
        </w:rPr>
        <w:t xml:space="preserve"> Grenfell; Regulation; Social Housing; Austerity; Violence</w:t>
      </w:r>
    </w:p>
    <w:p w14:paraId="301C3C02" w14:textId="77777777" w:rsidR="000A119B" w:rsidRPr="000A119B" w:rsidRDefault="000A119B" w:rsidP="003E755F">
      <w:pPr>
        <w:jc w:val="both"/>
        <w:rPr>
          <w:sz w:val="22"/>
          <w:szCs w:val="22"/>
        </w:rPr>
      </w:pPr>
    </w:p>
    <w:p w14:paraId="62F0BEBE" w14:textId="0FAAA725" w:rsidR="001C4B13" w:rsidRDefault="000D7A0E" w:rsidP="003E755F">
      <w:pPr>
        <w:jc w:val="both"/>
        <w:rPr>
          <w:b/>
          <w:sz w:val="22"/>
          <w:szCs w:val="22"/>
        </w:rPr>
      </w:pPr>
      <w:r>
        <w:rPr>
          <w:b/>
          <w:sz w:val="22"/>
          <w:szCs w:val="22"/>
        </w:rPr>
        <w:t>Introduction</w:t>
      </w:r>
    </w:p>
    <w:p w14:paraId="6748C81A" w14:textId="77777777" w:rsidR="00BC1FFE" w:rsidRDefault="00BC1FFE" w:rsidP="003E755F">
      <w:pPr>
        <w:jc w:val="both"/>
        <w:rPr>
          <w:b/>
          <w:sz w:val="22"/>
          <w:szCs w:val="22"/>
        </w:rPr>
      </w:pPr>
    </w:p>
    <w:p w14:paraId="3BCEDBB5" w14:textId="2639E47F" w:rsidR="002153F4" w:rsidRPr="000A119B" w:rsidRDefault="000C020B" w:rsidP="00214076">
      <w:pPr>
        <w:jc w:val="both"/>
        <w:rPr>
          <w:sz w:val="22"/>
          <w:szCs w:val="22"/>
        </w:rPr>
      </w:pPr>
      <w:r w:rsidRPr="000A119B">
        <w:rPr>
          <w:sz w:val="22"/>
          <w:szCs w:val="22"/>
        </w:rPr>
        <w:t>Have we witnessed a more devastating and extreme public act of violence</w:t>
      </w:r>
      <w:r w:rsidR="008850DF">
        <w:rPr>
          <w:sz w:val="22"/>
          <w:szCs w:val="22"/>
        </w:rPr>
        <w:t xml:space="preserve"> than the Grenfell Tower fire</w:t>
      </w:r>
      <w:r w:rsidRPr="000A119B">
        <w:rPr>
          <w:sz w:val="22"/>
          <w:szCs w:val="22"/>
        </w:rPr>
        <w:t xml:space="preserve"> </w:t>
      </w:r>
      <w:r w:rsidR="00B9571F" w:rsidRPr="000A119B">
        <w:rPr>
          <w:sz w:val="22"/>
          <w:szCs w:val="22"/>
        </w:rPr>
        <w:t>i</w:t>
      </w:r>
      <w:r w:rsidRPr="000A119B">
        <w:rPr>
          <w:sz w:val="22"/>
          <w:szCs w:val="22"/>
        </w:rPr>
        <w:t xml:space="preserve">n </w:t>
      </w:r>
      <w:r w:rsidR="002153F4" w:rsidRPr="000A119B">
        <w:rPr>
          <w:sz w:val="22"/>
          <w:szCs w:val="22"/>
        </w:rPr>
        <w:t xml:space="preserve">living </w:t>
      </w:r>
      <w:r w:rsidRPr="000A119B">
        <w:rPr>
          <w:sz w:val="22"/>
          <w:szCs w:val="22"/>
        </w:rPr>
        <w:t>memory</w:t>
      </w:r>
      <w:r w:rsidR="00B9571F" w:rsidRPr="000A119B">
        <w:rPr>
          <w:sz w:val="22"/>
          <w:szCs w:val="22"/>
        </w:rPr>
        <w:t xml:space="preserve"> in this country?</w:t>
      </w:r>
      <w:r w:rsidR="008850DF" w:rsidRPr="008850DF">
        <w:rPr>
          <w:sz w:val="22"/>
          <w:szCs w:val="22"/>
        </w:rPr>
        <w:t xml:space="preserve"> </w:t>
      </w:r>
      <w:r w:rsidR="008850DF">
        <w:rPr>
          <w:sz w:val="22"/>
          <w:szCs w:val="22"/>
        </w:rPr>
        <w:t xml:space="preserve"> In the past 30 years, t</w:t>
      </w:r>
      <w:r w:rsidR="008850DF" w:rsidRPr="000A119B">
        <w:rPr>
          <w:sz w:val="22"/>
          <w:szCs w:val="22"/>
        </w:rPr>
        <w:t>he scale of the death toll at the Grenfell Tower fire is perhaps only comparable to the Piper Alpha disaster which killed 167 people on the 6</w:t>
      </w:r>
      <w:r w:rsidR="008850DF" w:rsidRPr="000A119B">
        <w:rPr>
          <w:sz w:val="22"/>
          <w:szCs w:val="22"/>
          <w:vertAlign w:val="superscript"/>
        </w:rPr>
        <w:t>th</w:t>
      </w:r>
      <w:r w:rsidR="008850DF" w:rsidRPr="000A119B">
        <w:rPr>
          <w:sz w:val="22"/>
          <w:szCs w:val="22"/>
        </w:rPr>
        <w:t xml:space="preserve"> July 1988. </w:t>
      </w:r>
    </w:p>
    <w:p w14:paraId="260C93A4" w14:textId="77777777" w:rsidR="008850DF" w:rsidRPr="000A119B" w:rsidRDefault="008850DF" w:rsidP="003E755F">
      <w:pPr>
        <w:jc w:val="both"/>
        <w:rPr>
          <w:sz w:val="22"/>
          <w:szCs w:val="22"/>
        </w:rPr>
      </w:pPr>
    </w:p>
    <w:p w14:paraId="01AB5F8C" w14:textId="0D03BCFF" w:rsidR="00347C7E" w:rsidRPr="000A119B" w:rsidRDefault="009A52E6" w:rsidP="003E755F">
      <w:pPr>
        <w:jc w:val="both"/>
        <w:rPr>
          <w:sz w:val="22"/>
          <w:szCs w:val="22"/>
          <w:lang w:eastAsia="ar-SA"/>
        </w:rPr>
      </w:pPr>
      <w:r w:rsidRPr="000A119B">
        <w:rPr>
          <w:sz w:val="22"/>
          <w:szCs w:val="22"/>
          <w:lang w:eastAsia="ar-SA"/>
        </w:rPr>
        <w:t>The</w:t>
      </w:r>
      <w:r w:rsidR="00964B6F" w:rsidRPr="000A119B">
        <w:rPr>
          <w:sz w:val="22"/>
          <w:szCs w:val="22"/>
          <w:lang w:eastAsia="ar-SA"/>
        </w:rPr>
        <w:t xml:space="preserve"> complex chains of decisions that produce </w:t>
      </w:r>
      <w:r w:rsidR="00D1014C">
        <w:rPr>
          <w:sz w:val="22"/>
          <w:szCs w:val="22"/>
          <w:lang w:eastAsia="ar-SA"/>
        </w:rPr>
        <w:t>disasters</w:t>
      </w:r>
      <w:r w:rsidR="00F861E2" w:rsidRPr="000A119B">
        <w:rPr>
          <w:sz w:val="22"/>
          <w:szCs w:val="22"/>
          <w:lang w:eastAsia="ar-SA"/>
        </w:rPr>
        <w:t xml:space="preserve"> </w:t>
      </w:r>
      <w:r w:rsidR="00964B6F" w:rsidRPr="000A119B">
        <w:rPr>
          <w:sz w:val="22"/>
          <w:szCs w:val="22"/>
          <w:lang w:eastAsia="ar-SA"/>
        </w:rPr>
        <w:t>like these are not readily described as ‘violence.’ ‘</w:t>
      </w:r>
      <w:r w:rsidR="00347C7E" w:rsidRPr="000A119B">
        <w:rPr>
          <w:sz w:val="22"/>
          <w:szCs w:val="22"/>
          <w:lang w:eastAsia="ar-SA"/>
        </w:rPr>
        <w:t>Violence</w:t>
      </w:r>
      <w:r w:rsidR="00964B6F" w:rsidRPr="000A119B">
        <w:rPr>
          <w:sz w:val="22"/>
          <w:szCs w:val="22"/>
          <w:lang w:eastAsia="ar-SA"/>
        </w:rPr>
        <w:t>’</w:t>
      </w:r>
      <w:r w:rsidR="00347C7E" w:rsidRPr="000A119B">
        <w:rPr>
          <w:sz w:val="22"/>
          <w:szCs w:val="22"/>
          <w:lang w:eastAsia="ar-SA"/>
        </w:rPr>
        <w:t xml:space="preserve"> is something that remains</w:t>
      </w:r>
      <w:r w:rsidR="00056881" w:rsidRPr="000A119B">
        <w:rPr>
          <w:sz w:val="22"/>
          <w:szCs w:val="22"/>
          <w:lang w:eastAsia="ar-SA"/>
        </w:rPr>
        <w:t xml:space="preserve"> largely</w:t>
      </w:r>
      <w:r w:rsidR="00347C7E" w:rsidRPr="000A119B">
        <w:rPr>
          <w:sz w:val="22"/>
          <w:szCs w:val="22"/>
          <w:lang w:eastAsia="ar-SA"/>
        </w:rPr>
        <w:t xml:space="preserve"> understood in popular consciousness</w:t>
      </w:r>
      <w:r w:rsidR="00964B6F" w:rsidRPr="000A119B">
        <w:rPr>
          <w:sz w:val="22"/>
          <w:szCs w:val="22"/>
          <w:lang w:eastAsia="ar-SA"/>
        </w:rPr>
        <w:t>, and in sociology,</w:t>
      </w:r>
      <w:r w:rsidR="00347C7E" w:rsidRPr="000A119B">
        <w:rPr>
          <w:sz w:val="22"/>
          <w:szCs w:val="22"/>
          <w:lang w:eastAsia="ar-SA"/>
        </w:rPr>
        <w:t xml:space="preserve"> as</w:t>
      </w:r>
      <w:r w:rsidR="00964B6F" w:rsidRPr="000A119B">
        <w:rPr>
          <w:sz w:val="22"/>
          <w:szCs w:val="22"/>
          <w:lang w:eastAsia="ar-SA"/>
        </w:rPr>
        <w:t xml:space="preserve"> an</w:t>
      </w:r>
      <w:r w:rsidR="00347C7E" w:rsidRPr="000A119B">
        <w:rPr>
          <w:sz w:val="22"/>
          <w:szCs w:val="22"/>
          <w:lang w:eastAsia="ar-SA"/>
        </w:rPr>
        <w:t xml:space="preserve"> </w:t>
      </w:r>
      <w:r w:rsidR="00347C7E" w:rsidRPr="000A119B">
        <w:rPr>
          <w:i/>
          <w:sz w:val="22"/>
          <w:szCs w:val="22"/>
          <w:lang w:eastAsia="ar-SA"/>
        </w:rPr>
        <w:t>interpersonal</w:t>
      </w:r>
      <w:r w:rsidR="00964B6F" w:rsidRPr="000A119B">
        <w:rPr>
          <w:i/>
          <w:sz w:val="22"/>
          <w:szCs w:val="22"/>
          <w:lang w:eastAsia="ar-SA"/>
        </w:rPr>
        <w:t xml:space="preserve"> </w:t>
      </w:r>
      <w:r w:rsidR="00964B6F" w:rsidRPr="000A119B">
        <w:rPr>
          <w:sz w:val="22"/>
          <w:szCs w:val="22"/>
          <w:lang w:eastAsia="ar-SA"/>
        </w:rPr>
        <w:t>phenomenon</w:t>
      </w:r>
      <w:r w:rsidR="00347C7E" w:rsidRPr="000A119B">
        <w:rPr>
          <w:sz w:val="22"/>
          <w:szCs w:val="22"/>
          <w:lang w:eastAsia="ar-SA"/>
        </w:rPr>
        <w:t xml:space="preserve">, and as the result of a </w:t>
      </w:r>
      <w:r w:rsidR="00347C7E" w:rsidRPr="000A119B">
        <w:rPr>
          <w:i/>
          <w:sz w:val="22"/>
          <w:szCs w:val="22"/>
          <w:lang w:eastAsia="ar-SA"/>
        </w:rPr>
        <w:t>deliberate</w:t>
      </w:r>
      <w:r w:rsidR="00347C7E" w:rsidRPr="000A119B">
        <w:rPr>
          <w:sz w:val="22"/>
          <w:szCs w:val="22"/>
          <w:lang w:eastAsia="ar-SA"/>
        </w:rPr>
        <w:t xml:space="preserve"> attempt to cause harm</w:t>
      </w:r>
      <w:r w:rsidR="00964B6F" w:rsidRPr="000A119B">
        <w:rPr>
          <w:sz w:val="22"/>
          <w:szCs w:val="22"/>
          <w:lang w:eastAsia="ar-SA"/>
        </w:rPr>
        <w:t xml:space="preserve"> (Tilly, 2003, Tombs, 2006)</w:t>
      </w:r>
      <w:r w:rsidR="009F1298">
        <w:rPr>
          <w:sz w:val="22"/>
          <w:szCs w:val="22"/>
          <w:lang w:eastAsia="ar-SA"/>
        </w:rPr>
        <w:t xml:space="preserve">. </w:t>
      </w:r>
      <w:r w:rsidR="00347C7E" w:rsidRPr="000A119B">
        <w:rPr>
          <w:sz w:val="22"/>
          <w:szCs w:val="22"/>
          <w:lang w:eastAsia="ar-SA"/>
        </w:rPr>
        <w:t xml:space="preserve"> This is largely because our understanding of violence is always somehow connected to legal concepts and principles.   Legal constructions of violence rest on a number of assumptions that reinforce the </w:t>
      </w:r>
      <w:r w:rsidR="00347C7E" w:rsidRPr="000A119B">
        <w:rPr>
          <w:i/>
          <w:sz w:val="22"/>
          <w:szCs w:val="22"/>
          <w:lang w:eastAsia="ar-SA"/>
        </w:rPr>
        <w:t>interpersonal</w:t>
      </w:r>
      <w:r w:rsidR="00347C7E" w:rsidRPr="000A119B">
        <w:rPr>
          <w:sz w:val="22"/>
          <w:szCs w:val="22"/>
          <w:lang w:eastAsia="ar-SA"/>
        </w:rPr>
        <w:t xml:space="preserve"> and </w:t>
      </w:r>
      <w:r w:rsidR="00347C7E" w:rsidRPr="000A119B">
        <w:rPr>
          <w:i/>
          <w:sz w:val="22"/>
          <w:szCs w:val="22"/>
          <w:lang w:eastAsia="ar-SA"/>
        </w:rPr>
        <w:t>deliberate</w:t>
      </w:r>
      <w:r w:rsidR="00347C7E" w:rsidRPr="000A119B">
        <w:rPr>
          <w:sz w:val="22"/>
          <w:szCs w:val="22"/>
          <w:lang w:eastAsia="ar-SA"/>
        </w:rPr>
        <w:t xml:space="preserve"> characteristics of acts of violence.  </w:t>
      </w:r>
      <w:r w:rsidR="00844FC7" w:rsidRPr="000A119B">
        <w:rPr>
          <w:sz w:val="22"/>
          <w:szCs w:val="22"/>
          <w:lang w:eastAsia="ar-SA"/>
        </w:rPr>
        <w:t xml:space="preserve"> </w:t>
      </w:r>
      <w:r w:rsidR="003E755F" w:rsidRPr="000A119B">
        <w:rPr>
          <w:sz w:val="22"/>
          <w:szCs w:val="22"/>
          <w:lang w:eastAsia="ar-SA"/>
        </w:rPr>
        <w:t>Two</w:t>
      </w:r>
      <w:r w:rsidR="00347C7E" w:rsidRPr="000A119B">
        <w:rPr>
          <w:sz w:val="22"/>
          <w:szCs w:val="22"/>
          <w:lang w:eastAsia="ar-SA"/>
        </w:rPr>
        <w:t xml:space="preserve"> of those interconnected characteristics</w:t>
      </w:r>
      <w:r w:rsidR="003E755F" w:rsidRPr="000A119B">
        <w:rPr>
          <w:sz w:val="22"/>
          <w:szCs w:val="22"/>
          <w:lang w:eastAsia="ar-SA"/>
        </w:rPr>
        <w:t xml:space="preserve"> frame the discussion in this paper</w:t>
      </w:r>
      <w:r w:rsidR="00347C7E" w:rsidRPr="000A119B">
        <w:rPr>
          <w:sz w:val="22"/>
          <w:szCs w:val="22"/>
          <w:lang w:eastAsia="ar-SA"/>
        </w:rPr>
        <w:t>.  First, violence is generally understood in law as something that is committed between autonomously acting individuals.  Yet the violence of the Grenfell</w:t>
      </w:r>
      <w:r w:rsidR="00D00CBA" w:rsidRPr="000A119B">
        <w:rPr>
          <w:sz w:val="22"/>
          <w:szCs w:val="22"/>
          <w:lang w:eastAsia="ar-SA"/>
        </w:rPr>
        <w:t xml:space="preserve"> </w:t>
      </w:r>
      <w:r w:rsidR="00347C7E" w:rsidRPr="000A119B">
        <w:rPr>
          <w:sz w:val="22"/>
          <w:szCs w:val="22"/>
          <w:lang w:eastAsia="ar-SA"/>
        </w:rPr>
        <w:t xml:space="preserve">fire </w:t>
      </w:r>
      <w:r w:rsidR="00844FC7" w:rsidRPr="000A119B">
        <w:rPr>
          <w:sz w:val="22"/>
          <w:szCs w:val="22"/>
          <w:lang w:eastAsia="ar-SA"/>
        </w:rPr>
        <w:t>can only be understood</w:t>
      </w:r>
      <w:r w:rsidR="00347C7E" w:rsidRPr="000A119B">
        <w:rPr>
          <w:sz w:val="22"/>
          <w:szCs w:val="22"/>
          <w:lang w:eastAsia="ar-SA"/>
        </w:rPr>
        <w:t xml:space="preserve">, as we </w:t>
      </w:r>
      <w:r w:rsidR="00844FC7" w:rsidRPr="000A119B">
        <w:rPr>
          <w:sz w:val="22"/>
          <w:szCs w:val="22"/>
          <w:lang w:eastAsia="ar-SA"/>
        </w:rPr>
        <w:t>will argue below, as the result of</w:t>
      </w:r>
      <w:r w:rsidR="00347C7E" w:rsidRPr="000A119B">
        <w:rPr>
          <w:sz w:val="22"/>
          <w:szCs w:val="22"/>
          <w:lang w:eastAsia="ar-SA"/>
        </w:rPr>
        <w:t xml:space="preserve"> a complex configuration </w:t>
      </w:r>
      <w:r w:rsidR="00844FC7" w:rsidRPr="000A119B">
        <w:rPr>
          <w:sz w:val="22"/>
          <w:szCs w:val="22"/>
          <w:lang w:eastAsia="ar-SA"/>
        </w:rPr>
        <w:t xml:space="preserve">of </w:t>
      </w:r>
      <w:r w:rsidR="000415E9">
        <w:rPr>
          <w:sz w:val="22"/>
          <w:szCs w:val="22"/>
          <w:lang w:eastAsia="ar-SA"/>
        </w:rPr>
        <w:t xml:space="preserve">collectively produced </w:t>
      </w:r>
      <w:r w:rsidR="00844FC7" w:rsidRPr="000A119B">
        <w:rPr>
          <w:sz w:val="22"/>
          <w:szCs w:val="22"/>
          <w:lang w:eastAsia="ar-SA"/>
        </w:rPr>
        <w:t>decisions</w:t>
      </w:r>
      <w:r w:rsidR="00056881" w:rsidRPr="000A119B">
        <w:rPr>
          <w:sz w:val="22"/>
          <w:szCs w:val="22"/>
          <w:lang w:eastAsia="ar-SA"/>
        </w:rPr>
        <w:t xml:space="preserve"> </w:t>
      </w:r>
      <w:r w:rsidR="00D00CBA" w:rsidRPr="000A119B">
        <w:rPr>
          <w:sz w:val="22"/>
          <w:szCs w:val="22"/>
          <w:lang w:eastAsia="ar-SA"/>
        </w:rPr>
        <w:t xml:space="preserve">made </w:t>
      </w:r>
      <w:r w:rsidR="00056881" w:rsidRPr="000A119B">
        <w:rPr>
          <w:sz w:val="22"/>
          <w:szCs w:val="22"/>
          <w:lang w:eastAsia="ar-SA"/>
        </w:rPr>
        <w:t>by individuals</w:t>
      </w:r>
      <w:r w:rsidR="00347C7E" w:rsidRPr="000A119B">
        <w:rPr>
          <w:sz w:val="22"/>
          <w:szCs w:val="22"/>
          <w:lang w:eastAsia="ar-SA"/>
        </w:rPr>
        <w:t xml:space="preserve"> </w:t>
      </w:r>
      <w:r w:rsidR="000415E9">
        <w:rPr>
          <w:sz w:val="22"/>
          <w:szCs w:val="22"/>
          <w:lang w:eastAsia="ar-SA"/>
        </w:rPr>
        <w:t xml:space="preserve">working in </w:t>
      </w:r>
      <w:r w:rsidR="00347C7E" w:rsidRPr="000A119B">
        <w:rPr>
          <w:sz w:val="22"/>
          <w:szCs w:val="22"/>
          <w:lang w:eastAsia="ar-SA"/>
        </w:rPr>
        <w:t>organisations</w:t>
      </w:r>
      <w:r w:rsidR="000415E9">
        <w:rPr>
          <w:sz w:val="22"/>
          <w:szCs w:val="22"/>
          <w:lang w:eastAsia="ar-SA"/>
        </w:rPr>
        <w:t xml:space="preserve">.  </w:t>
      </w:r>
      <w:r w:rsidR="00347C7E" w:rsidRPr="000A119B">
        <w:rPr>
          <w:sz w:val="22"/>
          <w:szCs w:val="22"/>
          <w:lang w:eastAsia="ar-SA"/>
        </w:rPr>
        <w:t>Collective</w:t>
      </w:r>
      <w:r w:rsidR="00844FC7" w:rsidRPr="000A119B">
        <w:rPr>
          <w:sz w:val="22"/>
          <w:szCs w:val="22"/>
          <w:lang w:eastAsia="ar-SA"/>
        </w:rPr>
        <w:t>ly produced</w:t>
      </w:r>
      <w:r w:rsidR="00347C7E" w:rsidRPr="000A119B">
        <w:rPr>
          <w:sz w:val="22"/>
          <w:szCs w:val="22"/>
          <w:lang w:eastAsia="ar-SA"/>
        </w:rPr>
        <w:t xml:space="preserve"> </w:t>
      </w:r>
      <w:r w:rsidR="00BC1FFE">
        <w:rPr>
          <w:sz w:val="22"/>
          <w:szCs w:val="22"/>
          <w:lang w:eastAsia="ar-SA"/>
        </w:rPr>
        <w:t xml:space="preserve">decisions that result in violent outcomes, </w:t>
      </w:r>
      <w:r w:rsidR="00347C7E" w:rsidRPr="000A119B">
        <w:rPr>
          <w:sz w:val="22"/>
          <w:szCs w:val="22"/>
          <w:lang w:eastAsia="ar-SA"/>
        </w:rPr>
        <w:t>such as the Grenfell fire, typically involve a more remote proximity, in time and space, between the offender and the victim than we find in cases of interpersonal violence</w:t>
      </w:r>
      <w:r w:rsidR="00056881" w:rsidRPr="000A119B">
        <w:rPr>
          <w:sz w:val="22"/>
          <w:szCs w:val="22"/>
          <w:lang w:eastAsia="ar-SA"/>
        </w:rPr>
        <w:t xml:space="preserve"> (</w:t>
      </w:r>
      <w:r w:rsidR="009C55ED">
        <w:rPr>
          <w:sz w:val="22"/>
          <w:szCs w:val="22"/>
          <w:lang w:eastAsia="ar-SA"/>
        </w:rPr>
        <w:t>Whyte</w:t>
      </w:r>
      <w:r w:rsidR="00DF20AE">
        <w:rPr>
          <w:sz w:val="22"/>
          <w:szCs w:val="22"/>
          <w:lang w:eastAsia="ar-SA"/>
        </w:rPr>
        <w:t>, 2017</w:t>
      </w:r>
      <w:r w:rsidR="009C55ED">
        <w:rPr>
          <w:sz w:val="22"/>
          <w:szCs w:val="22"/>
          <w:lang w:eastAsia="ar-SA"/>
        </w:rPr>
        <w:t>; Cooper, 2015</w:t>
      </w:r>
      <w:r w:rsidR="00056881" w:rsidRPr="000A119B">
        <w:rPr>
          <w:sz w:val="22"/>
          <w:szCs w:val="22"/>
          <w:lang w:eastAsia="ar-SA"/>
        </w:rPr>
        <w:t>)</w:t>
      </w:r>
      <w:r w:rsidR="00347C7E" w:rsidRPr="000A119B">
        <w:rPr>
          <w:sz w:val="22"/>
          <w:szCs w:val="22"/>
          <w:lang w:eastAsia="ar-SA"/>
        </w:rPr>
        <w:t>. Second, conventional understandings of violence generally view a violent event as a series of atomised occurrences that</w:t>
      </w:r>
      <w:r w:rsidR="00A943C4" w:rsidRPr="000A119B">
        <w:rPr>
          <w:sz w:val="22"/>
          <w:szCs w:val="22"/>
          <w:lang w:eastAsia="ar-SA"/>
        </w:rPr>
        <w:t xml:space="preserve"> exist in isolation from their social context; in isolation from the on-</w:t>
      </w:r>
      <w:r w:rsidR="00347C7E" w:rsidRPr="000A119B">
        <w:rPr>
          <w:sz w:val="22"/>
          <w:szCs w:val="22"/>
          <w:lang w:eastAsia="ar-SA"/>
        </w:rPr>
        <w:t>going relationship between the victim and the offender</w:t>
      </w:r>
      <w:r w:rsidR="00A245EF">
        <w:rPr>
          <w:sz w:val="22"/>
          <w:szCs w:val="22"/>
          <w:lang w:eastAsia="ar-SA"/>
        </w:rPr>
        <w:t xml:space="preserve"> (ibid</w:t>
      </w:r>
      <w:r w:rsidR="00964B6F" w:rsidRPr="000A119B">
        <w:rPr>
          <w:sz w:val="22"/>
          <w:szCs w:val="22"/>
          <w:lang w:eastAsia="ar-SA"/>
        </w:rPr>
        <w:t>.)</w:t>
      </w:r>
      <w:r w:rsidR="00347C7E" w:rsidRPr="000A119B">
        <w:rPr>
          <w:sz w:val="22"/>
          <w:szCs w:val="22"/>
          <w:lang w:eastAsia="ar-SA"/>
        </w:rPr>
        <w:t xml:space="preserve">. </w:t>
      </w:r>
      <w:r w:rsidR="003E02A2" w:rsidRPr="000A119B">
        <w:rPr>
          <w:sz w:val="22"/>
          <w:szCs w:val="22"/>
          <w:lang w:eastAsia="ar-SA"/>
        </w:rPr>
        <w:t xml:space="preserve"> </w:t>
      </w:r>
      <w:r w:rsidR="00347C7E" w:rsidRPr="000A119B">
        <w:rPr>
          <w:sz w:val="22"/>
          <w:szCs w:val="22"/>
          <w:lang w:eastAsia="ar-SA"/>
        </w:rPr>
        <w:t xml:space="preserve">Yet the genesis of the Grenfell fire can only by explained, partly at least, as result of </w:t>
      </w:r>
      <w:r w:rsidR="000415E9">
        <w:rPr>
          <w:sz w:val="22"/>
          <w:szCs w:val="22"/>
          <w:lang w:eastAsia="ar-SA"/>
        </w:rPr>
        <w:t>a set of ongoing</w:t>
      </w:r>
      <w:r w:rsidR="00347C7E" w:rsidRPr="000A119B">
        <w:rPr>
          <w:sz w:val="22"/>
          <w:szCs w:val="22"/>
          <w:lang w:eastAsia="ar-SA"/>
        </w:rPr>
        <w:t xml:space="preserve"> </w:t>
      </w:r>
      <w:r w:rsidR="00605E5F" w:rsidRPr="000A119B">
        <w:rPr>
          <w:sz w:val="22"/>
          <w:szCs w:val="22"/>
          <w:lang w:eastAsia="ar-SA"/>
        </w:rPr>
        <w:t xml:space="preserve">power </w:t>
      </w:r>
      <w:r w:rsidR="00347C7E" w:rsidRPr="000A119B">
        <w:rPr>
          <w:sz w:val="22"/>
          <w:szCs w:val="22"/>
          <w:lang w:eastAsia="ar-SA"/>
        </w:rPr>
        <w:t>relationship</w:t>
      </w:r>
      <w:r w:rsidR="000415E9">
        <w:rPr>
          <w:sz w:val="22"/>
          <w:szCs w:val="22"/>
          <w:lang w:eastAsia="ar-SA"/>
        </w:rPr>
        <w:t>s</w:t>
      </w:r>
      <w:r w:rsidR="00D00CBA" w:rsidRPr="000A119B">
        <w:rPr>
          <w:sz w:val="22"/>
          <w:szCs w:val="22"/>
          <w:lang w:eastAsia="ar-SA"/>
        </w:rPr>
        <w:t xml:space="preserve">, </w:t>
      </w:r>
      <w:r w:rsidR="00347C7E" w:rsidRPr="000A119B">
        <w:rPr>
          <w:sz w:val="22"/>
          <w:szCs w:val="22"/>
          <w:lang w:eastAsia="ar-SA"/>
        </w:rPr>
        <w:t xml:space="preserve">in this case, between the tenant and the public or private authority that determines the way their living conditions and the maintenance of the building are managed.  It is this </w:t>
      </w:r>
      <w:r w:rsidR="00D00CBA" w:rsidRPr="000A119B">
        <w:rPr>
          <w:sz w:val="22"/>
          <w:szCs w:val="22"/>
          <w:lang w:eastAsia="ar-SA"/>
        </w:rPr>
        <w:t xml:space="preserve">power </w:t>
      </w:r>
      <w:r w:rsidR="00347C7E" w:rsidRPr="000A119B">
        <w:rPr>
          <w:sz w:val="22"/>
          <w:szCs w:val="22"/>
          <w:lang w:eastAsia="ar-SA"/>
        </w:rPr>
        <w:t xml:space="preserve">relationship rather than any </w:t>
      </w:r>
      <w:r w:rsidR="00D00CBA" w:rsidRPr="000A119B">
        <w:rPr>
          <w:sz w:val="22"/>
          <w:szCs w:val="22"/>
          <w:lang w:eastAsia="ar-SA"/>
        </w:rPr>
        <w:t xml:space="preserve">isolated </w:t>
      </w:r>
      <w:r w:rsidR="00347C7E" w:rsidRPr="000A119B">
        <w:rPr>
          <w:sz w:val="22"/>
          <w:szCs w:val="22"/>
          <w:lang w:eastAsia="ar-SA"/>
        </w:rPr>
        <w:t xml:space="preserve">event or </w:t>
      </w:r>
      <w:r w:rsidR="00D00CBA" w:rsidRPr="000A119B">
        <w:rPr>
          <w:sz w:val="22"/>
          <w:szCs w:val="22"/>
          <w:lang w:eastAsia="ar-SA"/>
        </w:rPr>
        <w:t xml:space="preserve">individual </w:t>
      </w:r>
      <w:r w:rsidR="00056881" w:rsidRPr="000A119B">
        <w:rPr>
          <w:sz w:val="22"/>
          <w:szCs w:val="22"/>
          <w:lang w:eastAsia="ar-SA"/>
        </w:rPr>
        <w:t>decision</w:t>
      </w:r>
      <w:r w:rsidR="00347C7E" w:rsidRPr="000A119B">
        <w:rPr>
          <w:sz w:val="22"/>
          <w:szCs w:val="22"/>
          <w:lang w:eastAsia="ar-SA"/>
        </w:rPr>
        <w:t xml:space="preserve"> that produced the extreme violence </w:t>
      </w:r>
      <w:r w:rsidR="00056881" w:rsidRPr="000A119B">
        <w:rPr>
          <w:sz w:val="22"/>
          <w:szCs w:val="22"/>
          <w:lang w:eastAsia="ar-SA"/>
        </w:rPr>
        <w:t>at Grenfell T</w:t>
      </w:r>
      <w:r w:rsidR="00347C7E" w:rsidRPr="000A119B">
        <w:rPr>
          <w:sz w:val="22"/>
          <w:szCs w:val="22"/>
          <w:lang w:eastAsia="ar-SA"/>
        </w:rPr>
        <w:t>ower.</w:t>
      </w:r>
    </w:p>
    <w:p w14:paraId="37CA03F5" w14:textId="77777777" w:rsidR="00347C7E" w:rsidRPr="000A119B" w:rsidRDefault="00347C7E" w:rsidP="003E755F">
      <w:pPr>
        <w:jc w:val="both"/>
        <w:rPr>
          <w:sz w:val="22"/>
          <w:szCs w:val="22"/>
        </w:rPr>
      </w:pPr>
    </w:p>
    <w:p w14:paraId="7E65DC85" w14:textId="3FBDCBFD" w:rsidR="002D6340" w:rsidRPr="00BC1FFE" w:rsidRDefault="00BC1FFE" w:rsidP="003E755F">
      <w:pPr>
        <w:jc w:val="both"/>
        <w:rPr>
          <w:sz w:val="22"/>
          <w:szCs w:val="22"/>
        </w:rPr>
      </w:pPr>
      <w:r>
        <w:rPr>
          <w:sz w:val="22"/>
          <w:szCs w:val="22"/>
        </w:rPr>
        <w:lastRenderedPageBreak/>
        <w:t>We are not used to thinking of a local authority or housing authority as violent, however, in this article we argue that the on</w:t>
      </w:r>
      <w:r w:rsidR="00641E52">
        <w:rPr>
          <w:sz w:val="22"/>
          <w:szCs w:val="22"/>
        </w:rPr>
        <w:t>-</w:t>
      </w:r>
      <w:r>
        <w:rPr>
          <w:sz w:val="22"/>
          <w:szCs w:val="22"/>
        </w:rPr>
        <w:t>going power relations between those making the decisions and the tenants who were subject to the outcomes of collective decision-making</w:t>
      </w:r>
      <w:r w:rsidR="00D1014C">
        <w:rPr>
          <w:sz w:val="22"/>
          <w:szCs w:val="22"/>
        </w:rPr>
        <w:t xml:space="preserve"> can be</w:t>
      </w:r>
      <w:r>
        <w:rPr>
          <w:sz w:val="22"/>
          <w:szCs w:val="22"/>
        </w:rPr>
        <w:t xml:space="preserve"> characterise</w:t>
      </w:r>
      <w:r w:rsidR="00D1014C">
        <w:rPr>
          <w:sz w:val="22"/>
          <w:szCs w:val="22"/>
        </w:rPr>
        <w:t>d as</w:t>
      </w:r>
      <w:r>
        <w:rPr>
          <w:sz w:val="22"/>
          <w:szCs w:val="22"/>
        </w:rPr>
        <w:t xml:space="preserve"> </w:t>
      </w:r>
      <w:r w:rsidRPr="007723AF">
        <w:rPr>
          <w:i/>
          <w:sz w:val="22"/>
          <w:szCs w:val="22"/>
        </w:rPr>
        <w:t xml:space="preserve">institutional </w:t>
      </w:r>
      <w:r w:rsidRPr="000702F1">
        <w:rPr>
          <w:sz w:val="22"/>
          <w:szCs w:val="22"/>
        </w:rPr>
        <w:t>violence</w:t>
      </w:r>
      <w:r w:rsidR="00D1014C">
        <w:rPr>
          <w:sz w:val="22"/>
          <w:szCs w:val="22"/>
        </w:rPr>
        <w:t>. We use the term institutional violence to describe</w:t>
      </w:r>
      <w:r w:rsidR="00D1014C" w:rsidRPr="000A119B">
        <w:rPr>
          <w:sz w:val="22"/>
          <w:szCs w:val="22"/>
          <w:lang w:val="en-US"/>
        </w:rPr>
        <w:t xml:space="preserve"> </w:t>
      </w:r>
      <w:r w:rsidR="002D6340" w:rsidRPr="000A119B">
        <w:rPr>
          <w:sz w:val="22"/>
          <w:szCs w:val="22"/>
          <w:lang w:val="en-US"/>
        </w:rPr>
        <w:t>the routine and detached administration</w:t>
      </w:r>
      <w:r w:rsidR="00340AAA">
        <w:rPr>
          <w:sz w:val="22"/>
          <w:szCs w:val="22"/>
          <w:lang w:val="en-US"/>
        </w:rPr>
        <w:t xml:space="preserve"> of policies</w:t>
      </w:r>
      <w:r w:rsidR="00D1014C">
        <w:rPr>
          <w:sz w:val="22"/>
          <w:szCs w:val="22"/>
          <w:lang w:val="en-US"/>
        </w:rPr>
        <w:t xml:space="preserve">, </w:t>
      </w:r>
      <w:r w:rsidR="00340AAA">
        <w:rPr>
          <w:sz w:val="22"/>
          <w:szCs w:val="22"/>
          <w:lang w:val="en-US"/>
        </w:rPr>
        <w:t xml:space="preserve">implemented </w:t>
      </w:r>
      <w:r w:rsidR="00D1014C">
        <w:rPr>
          <w:sz w:val="22"/>
          <w:szCs w:val="22"/>
          <w:lang w:val="en-US"/>
        </w:rPr>
        <w:t xml:space="preserve">by public and private authorities, that </w:t>
      </w:r>
      <w:r w:rsidR="00340AAA">
        <w:rPr>
          <w:sz w:val="22"/>
          <w:szCs w:val="22"/>
          <w:lang w:val="en-US"/>
        </w:rPr>
        <w:t>produce</w:t>
      </w:r>
      <w:r w:rsidR="00D1014C">
        <w:rPr>
          <w:sz w:val="22"/>
          <w:szCs w:val="22"/>
          <w:lang w:val="en-US"/>
        </w:rPr>
        <w:t xml:space="preserve"> acute physical and psychological violence.  Institutional violence involves</w:t>
      </w:r>
      <w:r w:rsidR="00347C7E" w:rsidRPr="000A119B">
        <w:rPr>
          <w:sz w:val="22"/>
          <w:szCs w:val="22"/>
          <w:lang w:val="en-US"/>
        </w:rPr>
        <w:t xml:space="preserve"> </w:t>
      </w:r>
      <w:r w:rsidR="00D1014C">
        <w:rPr>
          <w:sz w:val="22"/>
          <w:szCs w:val="22"/>
          <w:lang w:val="en-US"/>
        </w:rPr>
        <w:t>the</w:t>
      </w:r>
      <w:r w:rsidR="00AF25D8" w:rsidRPr="000A119B">
        <w:rPr>
          <w:sz w:val="22"/>
          <w:szCs w:val="22"/>
          <w:lang w:val="en-US"/>
        </w:rPr>
        <w:t xml:space="preserve"> </w:t>
      </w:r>
      <w:r w:rsidR="00A3212B" w:rsidRPr="000A119B">
        <w:rPr>
          <w:sz w:val="22"/>
          <w:szCs w:val="22"/>
          <w:lang w:val="en-US"/>
        </w:rPr>
        <w:t>targeting of</w:t>
      </w:r>
      <w:r w:rsidR="002D6340" w:rsidRPr="000A119B">
        <w:rPr>
          <w:sz w:val="22"/>
          <w:szCs w:val="22"/>
          <w:lang w:val="en-US"/>
        </w:rPr>
        <w:t xml:space="preserve"> subject groups and populations in ways that produce and increase the likelihood of other</w:t>
      </w:r>
      <w:r w:rsidR="00AF25D8" w:rsidRPr="000A119B">
        <w:rPr>
          <w:sz w:val="22"/>
          <w:szCs w:val="22"/>
          <w:lang w:val="en-US"/>
        </w:rPr>
        <w:t xml:space="preserve">, ongoing, </w:t>
      </w:r>
      <w:r w:rsidR="002D6340" w:rsidRPr="000A119B">
        <w:rPr>
          <w:sz w:val="22"/>
          <w:szCs w:val="22"/>
          <w:lang w:val="en-US"/>
        </w:rPr>
        <w:t>violent circumstances occur</w:t>
      </w:r>
      <w:r w:rsidR="00A943C4" w:rsidRPr="000A119B">
        <w:rPr>
          <w:sz w:val="22"/>
          <w:szCs w:val="22"/>
          <w:lang w:val="en-US"/>
        </w:rPr>
        <w:t>r</w:t>
      </w:r>
      <w:r w:rsidR="00AF25D8" w:rsidRPr="000A119B">
        <w:rPr>
          <w:sz w:val="22"/>
          <w:szCs w:val="22"/>
          <w:lang w:val="en-US"/>
        </w:rPr>
        <w:t>ing</w:t>
      </w:r>
      <w:r w:rsidR="00FA16D2">
        <w:rPr>
          <w:sz w:val="22"/>
          <w:szCs w:val="22"/>
          <w:lang w:val="en-US"/>
        </w:rPr>
        <w:t xml:space="preserve">.  The following section explores some of the institutional conditions that led to the disaster, before the paper sets out precisely how and why we regard the Grenfell fire as a case of institutional violence. </w:t>
      </w:r>
    </w:p>
    <w:p w14:paraId="194FFFE1" w14:textId="77777777" w:rsidR="00EB4517" w:rsidRDefault="00EB4517" w:rsidP="00EB4517">
      <w:pPr>
        <w:jc w:val="both"/>
        <w:rPr>
          <w:sz w:val="22"/>
          <w:szCs w:val="22"/>
          <w:lang w:val="en-US"/>
        </w:rPr>
      </w:pPr>
    </w:p>
    <w:p w14:paraId="2D182B83" w14:textId="0F4D9066" w:rsidR="00EB4517" w:rsidRPr="000D7A0E" w:rsidRDefault="008E1B9B" w:rsidP="00EB4517">
      <w:pPr>
        <w:jc w:val="both"/>
        <w:rPr>
          <w:b/>
          <w:sz w:val="22"/>
          <w:szCs w:val="22"/>
        </w:rPr>
      </w:pPr>
      <w:r>
        <w:rPr>
          <w:b/>
          <w:sz w:val="22"/>
          <w:szCs w:val="22"/>
        </w:rPr>
        <w:t>The</w:t>
      </w:r>
      <w:r w:rsidR="00EB4517">
        <w:rPr>
          <w:b/>
          <w:sz w:val="22"/>
          <w:szCs w:val="22"/>
        </w:rPr>
        <w:t xml:space="preserve"> Conditions of</w:t>
      </w:r>
      <w:r w:rsidR="00EB4517" w:rsidRPr="000D7A0E">
        <w:rPr>
          <w:b/>
          <w:sz w:val="22"/>
          <w:szCs w:val="22"/>
        </w:rPr>
        <w:t xml:space="preserve"> Violence</w:t>
      </w:r>
      <w:r w:rsidR="00EB4517">
        <w:rPr>
          <w:b/>
          <w:sz w:val="22"/>
          <w:szCs w:val="22"/>
        </w:rPr>
        <w:t xml:space="preserve"> </w:t>
      </w:r>
    </w:p>
    <w:p w14:paraId="134A1317" w14:textId="77777777" w:rsidR="00EB4517" w:rsidRPr="000A119B" w:rsidRDefault="00EB4517" w:rsidP="00EB4517">
      <w:pPr>
        <w:jc w:val="both"/>
        <w:rPr>
          <w:sz w:val="22"/>
          <w:szCs w:val="22"/>
        </w:rPr>
      </w:pPr>
    </w:p>
    <w:p w14:paraId="1BCB0C4F" w14:textId="2C73E7D6" w:rsidR="00EB4517" w:rsidRPr="000A119B" w:rsidRDefault="00EB4517" w:rsidP="00EB4517">
      <w:pPr>
        <w:jc w:val="both"/>
        <w:rPr>
          <w:sz w:val="22"/>
          <w:szCs w:val="22"/>
        </w:rPr>
      </w:pPr>
      <w:r w:rsidRPr="000A119B">
        <w:rPr>
          <w:sz w:val="22"/>
          <w:szCs w:val="22"/>
        </w:rPr>
        <w:t>The Local Authority, the Royal Borough of Kensington and Chelsea (RBKC), the organisation responsible for the management of the building, Kensington and Chelsea Tenants Management Organisation (KCTMO), and the long list of companies in the supply chain have serious questions to answer about their role in producing the risks that caused the fire.  In particular</w:t>
      </w:r>
      <w:r>
        <w:rPr>
          <w:sz w:val="22"/>
          <w:szCs w:val="22"/>
        </w:rPr>
        <w:t>,</w:t>
      </w:r>
      <w:r w:rsidRPr="000A119B">
        <w:rPr>
          <w:sz w:val="22"/>
          <w:szCs w:val="22"/>
        </w:rPr>
        <w:t xml:space="preserve"> the</w:t>
      </w:r>
      <w:r>
        <w:rPr>
          <w:sz w:val="22"/>
          <w:szCs w:val="22"/>
        </w:rPr>
        <w:t xml:space="preserve"> </w:t>
      </w:r>
      <w:r w:rsidR="00A45045">
        <w:rPr>
          <w:sz w:val="22"/>
          <w:szCs w:val="22"/>
        </w:rPr>
        <w:t>residents’</w:t>
      </w:r>
      <w:r>
        <w:rPr>
          <w:sz w:val="22"/>
          <w:szCs w:val="22"/>
        </w:rPr>
        <w:t xml:space="preserve"> organisation, </w:t>
      </w:r>
      <w:r w:rsidRPr="000A119B">
        <w:rPr>
          <w:sz w:val="22"/>
          <w:szCs w:val="22"/>
        </w:rPr>
        <w:t>Grenfell Action Group</w:t>
      </w:r>
      <w:r>
        <w:rPr>
          <w:sz w:val="22"/>
          <w:szCs w:val="22"/>
        </w:rPr>
        <w:t>,</w:t>
      </w:r>
      <w:r w:rsidRPr="000A119B">
        <w:rPr>
          <w:sz w:val="22"/>
          <w:szCs w:val="22"/>
        </w:rPr>
        <w:t xml:space="preserve"> warned </w:t>
      </w:r>
      <w:r w:rsidR="002409E9">
        <w:rPr>
          <w:sz w:val="22"/>
          <w:szCs w:val="22"/>
        </w:rPr>
        <w:t>that</w:t>
      </w:r>
      <w:r w:rsidRPr="000A119B">
        <w:rPr>
          <w:sz w:val="22"/>
          <w:szCs w:val="22"/>
        </w:rPr>
        <w:t xml:space="preserve"> the renovations and other work to the building</w:t>
      </w:r>
      <w:r w:rsidR="002409E9">
        <w:rPr>
          <w:sz w:val="22"/>
          <w:szCs w:val="22"/>
        </w:rPr>
        <w:t xml:space="preserve"> </w:t>
      </w:r>
      <w:r w:rsidRPr="000A119B">
        <w:rPr>
          <w:sz w:val="22"/>
          <w:szCs w:val="22"/>
        </w:rPr>
        <w:t xml:space="preserve">might breach the law, be combustible, or otherwise </w:t>
      </w:r>
      <w:r w:rsidR="00FA16D2">
        <w:rPr>
          <w:sz w:val="22"/>
          <w:szCs w:val="22"/>
        </w:rPr>
        <w:t>potentially deadly</w:t>
      </w:r>
      <w:r w:rsidRPr="000A119B">
        <w:rPr>
          <w:sz w:val="22"/>
          <w:szCs w:val="22"/>
        </w:rPr>
        <w:t>.</w:t>
      </w:r>
      <w:r w:rsidR="00FA16D2">
        <w:rPr>
          <w:rStyle w:val="FootnoteReference"/>
          <w:sz w:val="22"/>
          <w:szCs w:val="22"/>
        </w:rPr>
        <w:footnoteReference w:id="1"/>
      </w:r>
      <w:r w:rsidRPr="000A119B">
        <w:rPr>
          <w:sz w:val="22"/>
          <w:szCs w:val="22"/>
        </w:rPr>
        <w:t xml:space="preserve"> </w:t>
      </w:r>
    </w:p>
    <w:p w14:paraId="57A3F9F4" w14:textId="77777777" w:rsidR="00EB4517" w:rsidRPr="000A119B" w:rsidRDefault="00EB4517" w:rsidP="00EB4517">
      <w:pPr>
        <w:jc w:val="both"/>
        <w:rPr>
          <w:sz w:val="22"/>
          <w:szCs w:val="22"/>
        </w:rPr>
      </w:pPr>
    </w:p>
    <w:p w14:paraId="48B8FBE1" w14:textId="78812EC8" w:rsidR="00EB4517" w:rsidRDefault="00EB4517" w:rsidP="00EB4517">
      <w:pPr>
        <w:jc w:val="both"/>
        <w:rPr>
          <w:sz w:val="22"/>
          <w:szCs w:val="22"/>
        </w:rPr>
      </w:pPr>
      <w:r w:rsidRPr="000A119B">
        <w:rPr>
          <w:sz w:val="22"/>
          <w:szCs w:val="22"/>
        </w:rPr>
        <w:t>Most commentaries have focussed on the unlawful or inappropriate use of materials in the cladding used for the building</w:t>
      </w:r>
      <w:r w:rsidR="00A45045">
        <w:rPr>
          <w:sz w:val="22"/>
          <w:szCs w:val="22"/>
        </w:rPr>
        <w:t xml:space="preserve">, and indeed this </w:t>
      </w:r>
      <w:r w:rsidR="00A45045" w:rsidRPr="000A119B">
        <w:rPr>
          <w:sz w:val="22"/>
          <w:szCs w:val="22"/>
        </w:rPr>
        <w:t xml:space="preserve">has been a major focus of investigations by both </w:t>
      </w:r>
      <w:r w:rsidR="00A45045">
        <w:rPr>
          <w:sz w:val="22"/>
          <w:szCs w:val="22"/>
        </w:rPr>
        <w:t xml:space="preserve">the </w:t>
      </w:r>
      <w:r w:rsidR="00A45045" w:rsidRPr="000A119B">
        <w:rPr>
          <w:sz w:val="22"/>
          <w:szCs w:val="22"/>
        </w:rPr>
        <w:t>government and the Metropolitan Police</w:t>
      </w:r>
      <w:r w:rsidRPr="000A119B">
        <w:rPr>
          <w:sz w:val="22"/>
          <w:szCs w:val="22"/>
        </w:rPr>
        <w:t xml:space="preserve">.  </w:t>
      </w:r>
      <w:r w:rsidR="00A45045">
        <w:rPr>
          <w:sz w:val="22"/>
          <w:szCs w:val="22"/>
        </w:rPr>
        <w:t xml:space="preserve">The issue of who is responsible for the </w:t>
      </w:r>
      <w:r w:rsidR="00A45045" w:rsidRPr="000A119B">
        <w:rPr>
          <w:sz w:val="22"/>
          <w:szCs w:val="22"/>
        </w:rPr>
        <w:t xml:space="preserve">use of </w:t>
      </w:r>
      <w:r w:rsidR="00AF379D">
        <w:rPr>
          <w:sz w:val="22"/>
          <w:szCs w:val="22"/>
        </w:rPr>
        <w:t xml:space="preserve">unsafe </w:t>
      </w:r>
      <w:r w:rsidR="00A45045" w:rsidRPr="000A119B">
        <w:rPr>
          <w:sz w:val="22"/>
          <w:szCs w:val="22"/>
        </w:rPr>
        <w:t>materials</w:t>
      </w:r>
      <w:r w:rsidR="00A45045">
        <w:rPr>
          <w:sz w:val="22"/>
          <w:szCs w:val="22"/>
        </w:rPr>
        <w:t xml:space="preserve"> is contested and we don’t intend to enter into this discussion.  </w:t>
      </w:r>
      <w:r w:rsidR="000212A3">
        <w:rPr>
          <w:sz w:val="22"/>
          <w:szCs w:val="22"/>
        </w:rPr>
        <w:t xml:space="preserve">However, a different but related issue that is </w:t>
      </w:r>
      <w:r w:rsidR="000212A3" w:rsidRPr="000702F1">
        <w:rPr>
          <w:i/>
          <w:sz w:val="22"/>
          <w:szCs w:val="22"/>
        </w:rPr>
        <w:t>uncontested</w:t>
      </w:r>
      <w:r w:rsidR="000212A3">
        <w:rPr>
          <w:sz w:val="22"/>
          <w:szCs w:val="22"/>
        </w:rPr>
        <w:t xml:space="preserve"> is that t</w:t>
      </w:r>
      <w:r w:rsidR="00AF379D">
        <w:rPr>
          <w:sz w:val="22"/>
          <w:szCs w:val="22"/>
        </w:rPr>
        <w:t xml:space="preserve">he renovation </w:t>
      </w:r>
      <w:r>
        <w:rPr>
          <w:sz w:val="22"/>
          <w:szCs w:val="22"/>
        </w:rPr>
        <w:t xml:space="preserve">work </w:t>
      </w:r>
      <w:r w:rsidR="00AF379D">
        <w:rPr>
          <w:sz w:val="22"/>
          <w:szCs w:val="22"/>
        </w:rPr>
        <w:t>on Grenfell Tower that took place in 2016</w:t>
      </w:r>
      <w:r>
        <w:rPr>
          <w:sz w:val="22"/>
          <w:szCs w:val="22"/>
        </w:rPr>
        <w:t xml:space="preserve">, and the cladding </w:t>
      </w:r>
      <w:r w:rsidR="00AF379D">
        <w:rPr>
          <w:sz w:val="22"/>
          <w:szCs w:val="22"/>
        </w:rPr>
        <w:t>installed in this work</w:t>
      </w:r>
      <w:r>
        <w:rPr>
          <w:sz w:val="22"/>
          <w:szCs w:val="22"/>
        </w:rPr>
        <w:t xml:space="preserve">, was the subject of cost-driven downgrading.  </w:t>
      </w:r>
    </w:p>
    <w:p w14:paraId="7BA3B256" w14:textId="77777777" w:rsidR="00EB4517" w:rsidRDefault="00EB4517" w:rsidP="00EB4517">
      <w:pPr>
        <w:jc w:val="both"/>
        <w:rPr>
          <w:b/>
          <w:sz w:val="22"/>
          <w:szCs w:val="22"/>
        </w:rPr>
      </w:pPr>
    </w:p>
    <w:p w14:paraId="4741864C" w14:textId="2A8E053B" w:rsidR="000212A3" w:rsidRDefault="000212A3" w:rsidP="00EB4517">
      <w:pPr>
        <w:jc w:val="both"/>
        <w:rPr>
          <w:sz w:val="22"/>
          <w:szCs w:val="22"/>
        </w:rPr>
      </w:pPr>
      <w:r>
        <w:rPr>
          <w:sz w:val="22"/>
          <w:szCs w:val="22"/>
        </w:rPr>
        <w:t xml:space="preserve">In 2012, </w:t>
      </w:r>
      <w:r w:rsidRPr="00F5156C">
        <w:rPr>
          <w:i/>
          <w:sz w:val="22"/>
          <w:szCs w:val="22"/>
        </w:rPr>
        <w:t>Construction News</w:t>
      </w:r>
      <w:r>
        <w:rPr>
          <w:sz w:val="22"/>
          <w:szCs w:val="22"/>
        </w:rPr>
        <w:t xml:space="preserve"> reported that the contract for the refurbishment of the Grenfell Tower was awarded to </w:t>
      </w:r>
      <w:r w:rsidRPr="00F5156C">
        <w:rPr>
          <w:sz w:val="22"/>
          <w:szCs w:val="22"/>
        </w:rPr>
        <w:t>Leadbitter</w:t>
      </w:r>
      <w:r>
        <w:rPr>
          <w:sz w:val="22"/>
          <w:szCs w:val="22"/>
        </w:rPr>
        <w:t xml:space="preserve"> for a total £11.27m (Wilmore, 2017).  </w:t>
      </w:r>
      <w:r w:rsidR="00CC3ACA">
        <w:rPr>
          <w:sz w:val="22"/>
          <w:szCs w:val="22"/>
        </w:rPr>
        <w:t>However, KCTMO, then put the contract out to tender again to find a cheaper contractor and, in 2014,</w:t>
      </w:r>
      <w:r>
        <w:rPr>
          <w:sz w:val="22"/>
          <w:szCs w:val="22"/>
        </w:rPr>
        <w:t xml:space="preserve"> </w:t>
      </w:r>
      <w:r w:rsidR="00CC3ACA">
        <w:rPr>
          <w:sz w:val="22"/>
          <w:szCs w:val="22"/>
        </w:rPr>
        <w:t>awarded Rydon the contract for the refurbishment, at a substantially reduced price of £8.7m (ibid.)</w:t>
      </w:r>
      <w:r w:rsidR="00CC3ACA" w:rsidRPr="00F5156C">
        <w:rPr>
          <w:sz w:val="22"/>
          <w:szCs w:val="22"/>
        </w:rPr>
        <w:t>.</w:t>
      </w:r>
      <w:r w:rsidR="00CC3ACA">
        <w:rPr>
          <w:sz w:val="22"/>
          <w:szCs w:val="22"/>
        </w:rPr>
        <w:t xml:space="preserve">  </w:t>
      </w:r>
    </w:p>
    <w:p w14:paraId="326D6B3D" w14:textId="6DFB1E80" w:rsidR="00CC3ACA" w:rsidRDefault="00CC3ACA" w:rsidP="00EB4517">
      <w:pPr>
        <w:jc w:val="both"/>
        <w:rPr>
          <w:sz w:val="22"/>
          <w:szCs w:val="22"/>
        </w:rPr>
      </w:pPr>
    </w:p>
    <w:p w14:paraId="51FD9802" w14:textId="4CAB775A" w:rsidR="00EB4517" w:rsidRPr="000A119B" w:rsidRDefault="00236401" w:rsidP="00EB4517">
      <w:pPr>
        <w:jc w:val="both"/>
        <w:rPr>
          <w:sz w:val="22"/>
          <w:szCs w:val="22"/>
        </w:rPr>
      </w:pPr>
      <w:r>
        <w:rPr>
          <w:sz w:val="22"/>
          <w:szCs w:val="22"/>
        </w:rPr>
        <w:t xml:space="preserve">Not long after, in </w:t>
      </w:r>
      <w:r w:rsidR="00EB4517" w:rsidRPr="000A119B">
        <w:rPr>
          <w:sz w:val="22"/>
          <w:szCs w:val="22"/>
        </w:rPr>
        <w:t>March 201</w:t>
      </w:r>
      <w:r>
        <w:rPr>
          <w:sz w:val="22"/>
          <w:szCs w:val="22"/>
        </w:rPr>
        <w:t xml:space="preserve">5, the refurbishment management faced </w:t>
      </w:r>
      <w:r w:rsidRPr="000A119B">
        <w:rPr>
          <w:sz w:val="22"/>
          <w:szCs w:val="22"/>
        </w:rPr>
        <w:t xml:space="preserve">accusations </w:t>
      </w:r>
      <w:r w:rsidR="00EB4517" w:rsidRPr="000A119B">
        <w:rPr>
          <w:sz w:val="22"/>
          <w:szCs w:val="22"/>
        </w:rPr>
        <w:t>that it was “using cheap materials.”</w:t>
      </w:r>
      <w:r w:rsidR="00EB4517" w:rsidRPr="000A119B">
        <w:rPr>
          <w:rStyle w:val="FootnoteReference"/>
          <w:sz w:val="22"/>
          <w:szCs w:val="22"/>
        </w:rPr>
        <w:footnoteReference w:id="2"/>
      </w:r>
      <w:r w:rsidR="00EB4517" w:rsidRPr="000A119B">
        <w:rPr>
          <w:sz w:val="22"/>
          <w:szCs w:val="22"/>
        </w:rPr>
        <w:t xml:space="preserve"> Documents attesting to the driving down of costs include an “urgent nudge email” that KCTMO’s project manager sent to Artelia, the project cost management contractor, about cladding prices.</w:t>
      </w:r>
      <w:r w:rsidR="00EB4517" w:rsidRPr="000A119B">
        <w:rPr>
          <w:rStyle w:val="FootnoteReference"/>
          <w:sz w:val="22"/>
          <w:szCs w:val="22"/>
        </w:rPr>
        <w:footnoteReference w:id="3"/>
      </w:r>
      <w:r w:rsidR="00EB4517" w:rsidRPr="000A119B">
        <w:rPr>
          <w:sz w:val="22"/>
          <w:szCs w:val="22"/>
        </w:rPr>
        <w:t xml:space="preserve"> This e-mail was reported to have included the statement: “We need good costs for Councillor</w:t>
      </w:r>
      <w:r>
        <w:rPr>
          <w:sz w:val="22"/>
          <w:szCs w:val="22"/>
        </w:rPr>
        <w:t xml:space="preserve"> Rock</w:t>
      </w:r>
      <w:r w:rsidR="00EB4517" w:rsidRPr="000A119B">
        <w:rPr>
          <w:sz w:val="22"/>
          <w:szCs w:val="22"/>
        </w:rPr>
        <w:t xml:space="preserve"> Feilding-Mellen and the planner tomorrow at 8.45am!”</w:t>
      </w:r>
      <w:r w:rsidR="00EB4517" w:rsidRPr="000A119B">
        <w:rPr>
          <w:rStyle w:val="FootnoteReference"/>
          <w:sz w:val="22"/>
          <w:szCs w:val="22"/>
        </w:rPr>
        <w:footnoteReference w:id="4"/>
      </w:r>
      <w:r w:rsidR="00EB4517" w:rsidRPr="000A119B">
        <w:rPr>
          <w:sz w:val="22"/>
          <w:szCs w:val="22"/>
        </w:rPr>
        <w:t xml:space="preserve">  Artelia replied with three options including a downgrading of the cladding to make cost savings.</w:t>
      </w:r>
      <w:r w:rsidR="00EB4517" w:rsidRPr="000A119B">
        <w:rPr>
          <w:rStyle w:val="FootnoteReference"/>
          <w:sz w:val="22"/>
          <w:szCs w:val="22"/>
        </w:rPr>
        <w:footnoteReference w:id="5"/>
      </w:r>
      <w:r w:rsidR="00EB4517" w:rsidRPr="000A119B">
        <w:rPr>
          <w:sz w:val="22"/>
          <w:szCs w:val="22"/>
        </w:rPr>
        <w:t xml:space="preserve">  Councillor Feilding-Mellen </w:t>
      </w:r>
      <w:r w:rsidR="000212A3">
        <w:rPr>
          <w:sz w:val="22"/>
          <w:szCs w:val="22"/>
        </w:rPr>
        <w:t xml:space="preserve">who at the time </w:t>
      </w:r>
      <w:r w:rsidR="00EB4517" w:rsidRPr="000A119B">
        <w:rPr>
          <w:sz w:val="22"/>
          <w:szCs w:val="22"/>
        </w:rPr>
        <w:t>was</w:t>
      </w:r>
      <w:r w:rsidR="000212A3">
        <w:rPr>
          <w:sz w:val="22"/>
          <w:szCs w:val="22"/>
        </w:rPr>
        <w:t xml:space="preserve"> </w:t>
      </w:r>
      <w:r w:rsidR="00EB4517" w:rsidRPr="000A119B">
        <w:rPr>
          <w:sz w:val="22"/>
          <w:szCs w:val="22"/>
        </w:rPr>
        <w:t>Chair of RBKC’s housing committee</w:t>
      </w:r>
      <w:r>
        <w:rPr>
          <w:sz w:val="22"/>
          <w:szCs w:val="22"/>
        </w:rPr>
        <w:t>,</w:t>
      </w:r>
      <w:r w:rsidR="00EB4517" w:rsidRPr="000A119B">
        <w:rPr>
          <w:sz w:val="22"/>
          <w:szCs w:val="22"/>
        </w:rPr>
        <w:t xml:space="preserve"> approved the changes to the contract. </w:t>
      </w:r>
      <w:r w:rsidR="00EB4517">
        <w:rPr>
          <w:sz w:val="22"/>
          <w:szCs w:val="22"/>
        </w:rPr>
        <w:t>Th</w:t>
      </w:r>
      <w:r w:rsidR="000212A3">
        <w:rPr>
          <w:sz w:val="22"/>
          <w:szCs w:val="22"/>
        </w:rPr>
        <w:t>ese cost-cutting decisions</w:t>
      </w:r>
      <w:r w:rsidR="00EB4517">
        <w:rPr>
          <w:sz w:val="22"/>
          <w:szCs w:val="22"/>
        </w:rPr>
        <w:t xml:space="preserve"> </w:t>
      </w:r>
      <w:r w:rsidR="00EB4517" w:rsidRPr="000A119B">
        <w:rPr>
          <w:sz w:val="22"/>
          <w:szCs w:val="22"/>
        </w:rPr>
        <w:t>raise questions about</w:t>
      </w:r>
      <w:r w:rsidR="00EB4517">
        <w:rPr>
          <w:sz w:val="22"/>
          <w:szCs w:val="22"/>
        </w:rPr>
        <w:t xml:space="preserve"> KCTMO who commissioned the </w:t>
      </w:r>
      <w:r>
        <w:rPr>
          <w:sz w:val="22"/>
          <w:szCs w:val="22"/>
        </w:rPr>
        <w:t xml:space="preserve">refurbishment </w:t>
      </w:r>
      <w:r w:rsidR="00EB4517">
        <w:rPr>
          <w:sz w:val="22"/>
          <w:szCs w:val="22"/>
        </w:rPr>
        <w:t xml:space="preserve">project and </w:t>
      </w:r>
      <w:r w:rsidR="00A45045">
        <w:rPr>
          <w:sz w:val="22"/>
          <w:szCs w:val="22"/>
        </w:rPr>
        <w:t>RBKC</w:t>
      </w:r>
      <w:r w:rsidR="00EB4517">
        <w:rPr>
          <w:sz w:val="22"/>
          <w:szCs w:val="22"/>
        </w:rPr>
        <w:t xml:space="preserve"> who retain overall responsibility for ensuring the safe management and maintenance of </w:t>
      </w:r>
      <w:r>
        <w:rPr>
          <w:sz w:val="22"/>
          <w:szCs w:val="22"/>
        </w:rPr>
        <w:t>Grenfell</w:t>
      </w:r>
      <w:r w:rsidR="00EB4517">
        <w:rPr>
          <w:sz w:val="22"/>
          <w:szCs w:val="22"/>
        </w:rPr>
        <w:t xml:space="preserve"> </w:t>
      </w:r>
      <w:r>
        <w:rPr>
          <w:sz w:val="22"/>
          <w:szCs w:val="22"/>
        </w:rPr>
        <w:t>T</w:t>
      </w:r>
      <w:r w:rsidR="00EB4517">
        <w:rPr>
          <w:sz w:val="22"/>
          <w:szCs w:val="22"/>
        </w:rPr>
        <w:t>ower.</w:t>
      </w:r>
    </w:p>
    <w:p w14:paraId="08BD6DDB" w14:textId="77777777" w:rsidR="00EB4517" w:rsidRPr="000A119B" w:rsidRDefault="00EB4517" w:rsidP="00EB4517">
      <w:pPr>
        <w:jc w:val="both"/>
        <w:rPr>
          <w:sz w:val="22"/>
          <w:szCs w:val="22"/>
          <w:lang w:eastAsia="ar-SA"/>
        </w:rPr>
      </w:pPr>
    </w:p>
    <w:p w14:paraId="662C17F7" w14:textId="77777777" w:rsidR="00EB4517" w:rsidRPr="000A119B" w:rsidRDefault="00EB4517" w:rsidP="00EB4517">
      <w:pPr>
        <w:jc w:val="both"/>
        <w:rPr>
          <w:sz w:val="22"/>
          <w:szCs w:val="22"/>
          <w:lang w:eastAsia="ar-SA"/>
        </w:rPr>
      </w:pPr>
      <w:r w:rsidRPr="000A119B">
        <w:rPr>
          <w:sz w:val="22"/>
          <w:szCs w:val="22"/>
        </w:rPr>
        <w:t>The hazardous conditions generated at Grenfell were allowed to further deteriorate over time, despite clear warnings from the tenants.  In a ch</w:t>
      </w:r>
      <w:r>
        <w:rPr>
          <w:sz w:val="22"/>
          <w:szCs w:val="22"/>
        </w:rPr>
        <w:t>illing and now famous blog post</w:t>
      </w:r>
      <w:r w:rsidRPr="000A119B">
        <w:rPr>
          <w:sz w:val="22"/>
          <w:szCs w:val="22"/>
        </w:rPr>
        <w:t xml:space="preserve">, the Grenfell Action Group warned very clearly about the likelihood of such a fire occurring. One post noted: </w:t>
      </w:r>
    </w:p>
    <w:p w14:paraId="44A03B6B" w14:textId="77777777" w:rsidR="00EB4517" w:rsidRPr="000A119B" w:rsidRDefault="00EB4517" w:rsidP="00EB4517">
      <w:pPr>
        <w:ind w:left="720"/>
        <w:jc w:val="both"/>
        <w:rPr>
          <w:sz w:val="22"/>
          <w:szCs w:val="22"/>
        </w:rPr>
      </w:pPr>
      <w:r w:rsidRPr="000A119B">
        <w:rPr>
          <w:sz w:val="22"/>
          <w:szCs w:val="22"/>
        </w:rPr>
        <w:t>We have blogged many times on the subject of fire safety at Grenfell Tower and we believe that these investigations will become part of damning evidence of the poor safety record of the KCTMO should a fire affect any other of their properties and cause the loss of life that we are predicting.</w:t>
      </w:r>
      <w:r w:rsidRPr="000A119B">
        <w:rPr>
          <w:rStyle w:val="FootnoteReference"/>
          <w:sz w:val="22"/>
          <w:szCs w:val="22"/>
        </w:rPr>
        <w:footnoteReference w:id="6"/>
      </w:r>
    </w:p>
    <w:p w14:paraId="521445CC" w14:textId="77777777" w:rsidR="00EB4517" w:rsidRPr="000A119B" w:rsidRDefault="00EB4517" w:rsidP="00EB4517">
      <w:pPr>
        <w:jc w:val="both"/>
        <w:rPr>
          <w:sz w:val="22"/>
          <w:szCs w:val="22"/>
        </w:rPr>
      </w:pPr>
    </w:p>
    <w:p w14:paraId="6EC67959" w14:textId="62455C02" w:rsidR="00EB4517" w:rsidRDefault="00EB4517" w:rsidP="00EB4517">
      <w:pPr>
        <w:jc w:val="both"/>
        <w:rPr>
          <w:sz w:val="22"/>
          <w:szCs w:val="22"/>
        </w:rPr>
      </w:pPr>
      <w:r w:rsidRPr="000A119B">
        <w:rPr>
          <w:sz w:val="22"/>
          <w:szCs w:val="22"/>
        </w:rPr>
        <w:t xml:space="preserve">There is an important political background to the </w:t>
      </w:r>
      <w:r w:rsidR="00D1014C">
        <w:rPr>
          <w:sz w:val="22"/>
          <w:szCs w:val="22"/>
        </w:rPr>
        <w:t>local politics that is described here</w:t>
      </w:r>
      <w:r w:rsidRPr="000A119B">
        <w:rPr>
          <w:sz w:val="22"/>
          <w:szCs w:val="22"/>
        </w:rPr>
        <w:t>.   At every level of government, the regulation of safety has been on the back-foot in the UK for some 30 years. Successive governments have virtually mandated a withdrawal from law enforcement in health and safety and local authority regulation.  In most recent years, austerity cuts have taken us to the point that the average workplace can now expect an inspector to call once every 50 years</w:t>
      </w:r>
      <w:r>
        <w:rPr>
          <w:sz w:val="22"/>
          <w:szCs w:val="22"/>
        </w:rPr>
        <w:t xml:space="preserve"> (James et. al., 2018)</w:t>
      </w:r>
      <w:r w:rsidRPr="000A119B">
        <w:rPr>
          <w:sz w:val="22"/>
          <w:szCs w:val="22"/>
        </w:rPr>
        <w:t>.  Fire protection has been similarly compromised by the cuts</w:t>
      </w:r>
      <w:r>
        <w:rPr>
          <w:sz w:val="22"/>
          <w:szCs w:val="22"/>
        </w:rPr>
        <w:t>;</w:t>
      </w:r>
      <w:r w:rsidRPr="000A119B">
        <w:rPr>
          <w:sz w:val="22"/>
          <w:szCs w:val="22"/>
        </w:rPr>
        <w:t xml:space="preserve"> </w:t>
      </w:r>
      <w:r>
        <w:rPr>
          <w:sz w:val="22"/>
          <w:szCs w:val="22"/>
        </w:rPr>
        <w:t>s</w:t>
      </w:r>
      <w:r w:rsidRPr="000A119B">
        <w:rPr>
          <w:sz w:val="22"/>
          <w:szCs w:val="22"/>
        </w:rPr>
        <w:t>avings came predominantly from reducing staff costs and reducing audits, inspections, fire risk checks.  Fire safety checks in tower blocks fell 25% in the most recent 5 years.</w:t>
      </w:r>
      <w:r w:rsidRPr="000A119B">
        <w:rPr>
          <w:rStyle w:val="FootnoteReference"/>
          <w:sz w:val="22"/>
          <w:szCs w:val="22"/>
        </w:rPr>
        <w:footnoteReference w:id="7"/>
      </w:r>
      <w:r w:rsidRPr="000A119B">
        <w:rPr>
          <w:sz w:val="22"/>
          <w:szCs w:val="22"/>
        </w:rPr>
        <w:t xml:space="preserve">  This sustained ideological and material attack on safety conditions has pervaded all levels of government as successive governments have proudly boasted of a ‘bonfi</w:t>
      </w:r>
      <w:r>
        <w:rPr>
          <w:sz w:val="22"/>
          <w:szCs w:val="22"/>
        </w:rPr>
        <w:t>re of red tape’ (</w:t>
      </w:r>
      <w:r w:rsidR="009C55ED">
        <w:rPr>
          <w:sz w:val="22"/>
          <w:szCs w:val="22"/>
        </w:rPr>
        <w:t>Tombs</w:t>
      </w:r>
      <w:r>
        <w:rPr>
          <w:sz w:val="22"/>
          <w:szCs w:val="22"/>
        </w:rPr>
        <w:t xml:space="preserve"> and </w:t>
      </w:r>
      <w:r w:rsidR="009C55ED">
        <w:rPr>
          <w:sz w:val="22"/>
          <w:szCs w:val="22"/>
        </w:rPr>
        <w:t>Whyte</w:t>
      </w:r>
      <w:r w:rsidRPr="000A119B">
        <w:rPr>
          <w:sz w:val="22"/>
          <w:szCs w:val="22"/>
        </w:rPr>
        <w:t xml:space="preserve">, 2010; Tombs, 2016). We can only understand what happened in the political economy of the </w:t>
      </w:r>
      <w:r>
        <w:rPr>
          <w:sz w:val="22"/>
          <w:szCs w:val="22"/>
        </w:rPr>
        <w:t>refurbishment</w:t>
      </w:r>
      <w:r w:rsidRPr="000A119B">
        <w:rPr>
          <w:sz w:val="22"/>
          <w:szCs w:val="22"/>
        </w:rPr>
        <w:t xml:space="preserve"> and on-going management of Grenfell Tower as a collective decision-making process that is framed by this so-called bonfire of red tape.  </w:t>
      </w:r>
    </w:p>
    <w:p w14:paraId="4F2A4E28" w14:textId="77777777" w:rsidR="00EB4517" w:rsidRDefault="00EB4517" w:rsidP="00EB4517">
      <w:pPr>
        <w:jc w:val="both"/>
        <w:rPr>
          <w:sz w:val="22"/>
          <w:szCs w:val="22"/>
        </w:rPr>
      </w:pPr>
    </w:p>
    <w:p w14:paraId="25053411" w14:textId="740D6B97" w:rsidR="00EB4517" w:rsidRPr="00BC7CB6" w:rsidRDefault="00A45045" w:rsidP="00EB4517">
      <w:pPr>
        <w:jc w:val="both"/>
        <w:rPr>
          <w:sz w:val="22"/>
          <w:szCs w:val="22"/>
          <w:lang w:val="en-US"/>
        </w:rPr>
      </w:pPr>
      <w:r>
        <w:rPr>
          <w:sz w:val="22"/>
          <w:szCs w:val="22"/>
          <w:lang w:val="en-US"/>
        </w:rPr>
        <w:t>RBKC</w:t>
      </w:r>
      <w:r w:rsidR="00EB4517">
        <w:rPr>
          <w:sz w:val="22"/>
          <w:szCs w:val="22"/>
          <w:lang w:val="en-US"/>
        </w:rPr>
        <w:t xml:space="preserve"> policies delivered the central government strategy of regulatory degradation with some verve.  The borough is widely known as one of the richest in the country</w:t>
      </w:r>
      <w:r w:rsidR="00E11B0B">
        <w:rPr>
          <w:sz w:val="22"/>
          <w:szCs w:val="22"/>
          <w:lang w:val="en-US"/>
        </w:rPr>
        <w:t>, with the highest proportion of residents earning over £60,000</w:t>
      </w:r>
      <w:r w:rsidR="00EB4517">
        <w:rPr>
          <w:sz w:val="22"/>
          <w:szCs w:val="22"/>
          <w:lang w:val="en-US"/>
        </w:rPr>
        <w:t>.</w:t>
      </w:r>
      <w:r w:rsidR="00E11B0B">
        <w:rPr>
          <w:rStyle w:val="FootnoteReference"/>
          <w:sz w:val="22"/>
          <w:szCs w:val="22"/>
          <w:lang w:val="en-US"/>
        </w:rPr>
        <w:footnoteReference w:id="8"/>
      </w:r>
      <w:r w:rsidR="00EB4517">
        <w:rPr>
          <w:sz w:val="22"/>
          <w:szCs w:val="22"/>
          <w:lang w:val="en-US"/>
        </w:rPr>
        <w:t xml:space="preserve">  As such it is one of the few local authorities in the country that has </w:t>
      </w:r>
      <w:r w:rsidR="00040541">
        <w:rPr>
          <w:sz w:val="22"/>
          <w:szCs w:val="22"/>
          <w:lang w:val="en-US"/>
        </w:rPr>
        <w:t>ample</w:t>
      </w:r>
      <w:r w:rsidR="00EB4517">
        <w:rPr>
          <w:sz w:val="22"/>
          <w:szCs w:val="22"/>
          <w:lang w:val="en-US"/>
        </w:rPr>
        <w:t xml:space="preserve"> resources to ensure that the housing it owns is adequately maintained, and to ensure adequate levels of regulatory scrutiny in housing and building standards.  Yet instead of investing in those area</w:t>
      </w:r>
      <w:r w:rsidR="00040541">
        <w:rPr>
          <w:sz w:val="22"/>
          <w:szCs w:val="22"/>
          <w:lang w:val="en-US"/>
        </w:rPr>
        <w:t>s</w:t>
      </w:r>
      <w:r w:rsidR="00EB4517">
        <w:rPr>
          <w:sz w:val="22"/>
          <w:szCs w:val="22"/>
          <w:lang w:val="en-US"/>
        </w:rPr>
        <w:t xml:space="preserve"> of social protect</w:t>
      </w:r>
      <w:r w:rsidR="00040541">
        <w:rPr>
          <w:sz w:val="22"/>
          <w:szCs w:val="22"/>
          <w:lang w:val="en-US"/>
        </w:rPr>
        <w:t>ion</w:t>
      </w:r>
      <w:r w:rsidR="00EB4517">
        <w:rPr>
          <w:sz w:val="22"/>
          <w:szCs w:val="22"/>
          <w:lang w:val="en-US"/>
        </w:rPr>
        <w:t xml:space="preserve">, </w:t>
      </w:r>
      <w:r w:rsidR="00EB4517" w:rsidRPr="00BC7CB6">
        <w:rPr>
          <w:sz w:val="22"/>
          <w:szCs w:val="22"/>
          <w:lang w:val="en-US"/>
        </w:rPr>
        <w:t xml:space="preserve">RBKC </w:t>
      </w:r>
      <w:r w:rsidR="00EB4517">
        <w:rPr>
          <w:sz w:val="22"/>
          <w:szCs w:val="22"/>
          <w:lang w:val="en-US"/>
        </w:rPr>
        <w:t xml:space="preserve">developed a council tax rebate scheme that benefits the borough’s richest residents.  In this scheme. </w:t>
      </w:r>
      <w:r>
        <w:rPr>
          <w:sz w:val="22"/>
          <w:szCs w:val="22"/>
          <w:lang w:val="en-US"/>
        </w:rPr>
        <w:t>RBKC</w:t>
      </w:r>
      <w:r w:rsidR="00EB4517">
        <w:rPr>
          <w:sz w:val="22"/>
          <w:szCs w:val="22"/>
          <w:lang w:val="en-US"/>
        </w:rPr>
        <w:t xml:space="preserve"> has paid out annual “efficiency dividends” in the borough since 2009.  This rebate scheme was based upon discounts given to the richest residents (</w:t>
      </w:r>
      <w:r w:rsidR="00EB4517" w:rsidRPr="00BC7CB6">
        <w:rPr>
          <w:sz w:val="22"/>
          <w:szCs w:val="22"/>
          <w:lang w:val="en-US"/>
        </w:rPr>
        <w:t>no</w:t>
      </w:r>
      <w:r w:rsidR="00040541">
        <w:rPr>
          <w:sz w:val="22"/>
          <w:szCs w:val="22"/>
          <w:lang w:val="en-US"/>
        </w:rPr>
        <w:t xml:space="preserve"> one</w:t>
      </w:r>
      <w:r w:rsidR="00EB4517" w:rsidRPr="00BC7CB6">
        <w:rPr>
          <w:sz w:val="22"/>
          <w:szCs w:val="22"/>
          <w:lang w:val="en-US"/>
        </w:rPr>
        <w:t xml:space="preserve"> with discounted bills or claiming council tax support</w:t>
      </w:r>
      <w:r w:rsidR="00EB4517">
        <w:rPr>
          <w:sz w:val="22"/>
          <w:szCs w:val="22"/>
          <w:lang w:val="en-US"/>
        </w:rPr>
        <w:t xml:space="preserve"> was eligible for this “dividend”).  In order to pay for the dividend and to cut its council tax rate, </w:t>
      </w:r>
      <w:r>
        <w:rPr>
          <w:sz w:val="22"/>
          <w:szCs w:val="22"/>
          <w:lang w:val="en-US"/>
        </w:rPr>
        <w:t>RBKC</w:t>
      </w:r>
      <w:r w:rsidR="00EB4517">
        <w:rPr>
          <w:sz w:val="22"/>
          <w:szCs w:val="22"/>
          <w:lang w:val="en-US"/>
        </w:rPr>
        <w:t xml:space="preserve"> at the same time slashed expenditure in key areas of social protection.   </w:t>
      </w:r>
      <w:r w:rsidR="00EB4517" w:rsidRPr="00BC7CB6">
        <w:rPr>
          <w:sz w:val="22"/>
          <w:szCs w:val="22"/>
          <w:lang w:val="en-US"/>
        </w:rPr>
        <w:t xml:space="preserve"> </w:t>
      </w:r>
      <w:r w:rsidR="00EB4517">
        <w:rPr>
          <w:sz w:val="22"/>
          <w:szCs w:val="22"/>
          <w:lang w:val="en-US"/>
        </w:rPr>
        <w:t>Spending on planning in the local authority fell by 81%, housing by 76% and r</w:t>
      </w:r>
      <w:r w:rsidR="00EB4517" w:rsidRPr="00BC7CB6">
        <w:rPr>
          <w:sz w:val="22"/>
          <w:szCs w:val="22"/>
          <w:lang w:val="en-US"/>
        </w:rPr>
        <w:t xml:space="preserve">egulatory services </w:t>
      </w:r>
      <w:r w:rsidR="00EB4517">
        <w:rPr>
          <w:sz w:val="22"/>
          <w:szCs w:val="22"/>
          <w:lang w:val="en-US"/>
        </w:rPr>
        <w:t xml:space="preserve">by 22% as part of an </w:t>
      </w:r>
      <w:r w:rsidR="00EB4517" w:rsidRPr="00BC7CB6">
        <w:rPr>
          <w:sz w:val="22"/>
          <w:szCs w:val="22"/>
          <w:lang w:val="en-US"/>
        </w:rPr>
        <w:t xml:space="preserve">overall spending </w:t>
      </w:r>
      <w:r w:rsidR="00EB4517">
        <w:rPr>
          <w:sz w:val="22"/>
          <w:szCs w:val="22"/>
          <w:lang w:val="en-US"/>
        </w:rPr>
        <w:t>reduction of</w:t>
      </w:r>
      <w:r w:rsidR="00EB4517" w:rsidRPr="00BC7CB6">
        <w:rPr>
          <w:sz w:val="22"/>
          <w:szCs w:val="22"/>
          <w:lang w:val="en-US"/>
        </w:rPr>
        <w:t xml:space="preserve"> 36%</w:t>
      </w:r>
      <w:r w:rsidR="00EB4517">
        <w:rPr>
          <w:sz w:val="22"/>
          <w:szCs w:val="22"/>
          <w:lang w:val="en-US"/>
        </w:rPr>
        <w:t xml:space="preserve"> (Benjamin. 2018)</w:t>
      </w:r>
      <w:r w:rsidR="00EB4517" w:rsidRPr="00BC7CB6">
        <w:rPr>
          <w:sz w:val="22"/>
          <w:szCs w:val="22"/>
          <w:lang w:val="en-US"/>
        </w:rPr>
        <w:t>.</w:t>
      </w:r>
      <w:r w:rsidR="00EB4517">
        <w:rPr>
          <w:sz w:val="22"/>
          <w:szCs w:val="22"/>
          <w:lang w:val="en-US"/>
        </w:rPr>
        <w:t xml:space="preserve">  Thus, in the period leading up to the Grenfell fire, </w:t>
      </w:r>
      <w:r w:rsidR="00BF7C67" w:rsidRPr="00BF7C67">
        <w:rPr>
          <w:sz w:val="22"/>
          <w:szCs w:val="22"/>
          <w:lang w:val="en-US"/>
        </w:rPr>
        <w:t xml:space="preserve">there is evidence to suggest </w:t>
      </w:r>
      <w:r w:rsidR="00EB4517">
        <w:rPr>
          <w:sz w:val="22"/>
          <w:szCs w:val="22"/>
          <w:lang w:val="en-US"/>
        </w:rPr>
        <w:t xml:space="preserve">that </w:t>
      </w:r>
      <w:r>
        <w:rPr>
          <w:sz w:val="22"/>
          <w:szCs w:val="22"/>
          <w:lang w:val="en-US"/>
        </w:rPr>
        <w:t>RBKC</w:t>
      </w:r>
      <w:r w:rsidR="00EB4517">
        <w:rPr>
          <w:sz w:val="22"/>
          <w:szCs w:val="22"/>
          <w:lang w:val="en-US"/>
        </w:rPr>
        <w:t xml:space="preserve"> was undermining housing and safety regulation in order to reward the richest residents. </w:t>
      </w:r>
    </w:p>
    <w:p w14:paraId="53AB3A5B" w14:textId="77777777" w:rsidR="00EB4517" w:rsidRPr="000A119B" w:rsidRDefault="00EB4517" w:rsidP="00EB4517">
      <w:pPr>
        <w:jc w:val="both"/>
        <w:rPr>
          <w:sz w:val="22"/>
          <w:szCs w:val="22"/>
        </w:rPr>
      </w:pPr>
    </w:p>
    <w:p w14:paraId="6AEA8827" w14:textId="5D7CE05E" w:rsidR="00EB4517" w:rsidRPr="001919FD" w:rsidRDefault="00EB4517" w:rsidP="00EB4517">
      <w:pPr>
        <w:jc w:val="both"/>
        <w:rPr>
          <w:sz w:val="22"/>
          <w:szCs w:val="22"/>
        </w:rPr>
      </w:pPr>
      <w:r>
        <w:rPr>
          <w:sz w:val="22"/>
          <w:szCs w:val="22"/>
          <w:lang w:eastAsia="ar-SA"/>
        </w:rPr>
        <w:t xml:space="preserve">At the time of writing this article, we are aware that explanations for the fire are bound to change, and we do not claim that the brief summary above reflects precisely the conditions that lead to the disaster.  However, our commentary does </w:t>
      </w:r>
      <w:r w:rsidR="00BF7C67">
        <w:rPr>
          <w:sz w:val="22"/>
          <w:szCs w:val="22"/>
          <w:lang w:eastAsia="ar-SA"/>
        </w:rPr>
        <w:t>indicate</w:t>
      </w:r>
      <w:r>
        <w:rPr>
          <w:sz w:val="22"/>
          <w:szCs w:val="22"/>
          <w:lang w:eastAsia="ar-SA"/>
        </w:rPr>
        <w:t xml:space="preserve"> that </w:t>
      </w:r>
      <w:r w:rsidR="00BF7C67">
        <w:rPr>
          <w:sz w:val="22"/>
          <w:szCs w:val="22"/>
          <w:lang w:eastAsia="ar-SA"/>
        </w:rPr>
        <w:t>some key decisions</w:t>
      </w:r>
      <w:r>
        <w:rPr>
          <w:sz w:val="22"/>
          <w:szCs w:val="22"/>
          <w:lang w:eastAsia="ar-SA"/>
        </w:rPr>
        <w:t xml:space="preserve"> </w:t>
      </w:r>
      <w:r w:rsidR="00BF7C67">
        <w:rPr>
          <w:sz w:val="22"/>
          <w:szCs w:val="22"/>
          <w:lang w:eastAsia="ar-SA"/>
        </w:rPr>
        <w:t>instrumental in producing</w:t>
      </w:r>
      <w:r>
        <w:rPr>
          <w:sz w:val="22"/>
          <w:szCs w:val="22"/>
          <w:lang w:eastAsia="ar-SA"/>
        </w:rPr>
        <w:t xml:space="preserve"> the disaster must be understood as </w:t>
      </w:r>
      <w:r w:rsidRPr="00277963">
        <w:rPr>
          <w:i/>
          <w:sz w:val="22"/>
          <w:szCs w:val="22"/>
          <w:lang w:eastAsia="ar-SA"/>
        </w:rPr>
        <w:t>avoidable</w:t>
      </w:r>
      <w:r>
        <w:rPr>
          <w:sz w:val="22"/>
          <w:szCs w:val="22"/>
          <w:lang w:eastAsia="ar-SA"/>
        </w:rPr>
        <w:t xml:space="preserve">. </w:t>
      </w:r>
      <w:r>
        <w:rPr>
          <w:sz w:val="22"/>
          <w:szCs w:val="22"/>
        </w:rPr>
        <w:t xml:space="preserve">The political conditions created by the bonfire of red tape at the level of central government and the delivery of those policies at a local level encouraged profits and cost-savings to be prioritised over basic safety standards.  Those </w:t>
      </w:r>
      <w:r w:rsidR="00040541">
        <w:rPr>
          <w:sz w:val="22"/>
          <w:szCs w:val="22"/>
        </w:rPr>
        <w:t>institutional</w:t>
      </w:r>
      <w:r>
        <w:rPr>
          <w:sz w:val="22"/>
          <w:szCs w:val="22"/>
        </w:rPr>
        <w:t xml:space="preserve"> priorities were very deliberately constructed.  </w:t>
      </w:r>
    </w:p>
    <w:p w14:paraId="4AB4C18B" w14:textId="77777777" w:rsidR="000415E9" w:rsidRPr="000A119B" w:rsidRDefault="000415E9" w:rsidP="000415E9">
      <w:pPr>
        <w:jc w:val="both"/>
        <w:rPr>
          <w:sz w:val="22"/>
          <w:szCs w:val="22"/>
          <w:lang w:val="en-US"/>
        </w:rPr>
      </w:pPr>
    </w:p>
    <w:p w14:paraId="1371DA53" w14:textId="77777777" w:rsidR="000415E9" w:rsidRPr="000A119B" w:rsidRDefault="000415E9" w:rsidP="000415E9">
      <w:pPr>
        <w:jc w:val="both"/>
        <w:rPr>
          <w:b/>
          <w:sz w:val="22"/>
          <w:szCs w:val="22"/>
          <w:lang w:val="en-US"/>
        </w:rPr>
      </w:pPr>
      <w:r w:rsidRPr="000A119B">
        <w:rPr>
          <w:b/>
          <w:sz w:val="22"/>
          <w:szCs w:val="22"/>
          <w:lang w:val="en-US"/>
        </w:rPr>
        <w:t>Institutional Violence</w:t>
      </w:r>
    </w:p>
    <w:p w14:paraId="553F2A54" w14:textId="77777777" w:rsidR="00675BA9" w:rsidRPr="000A119B" w:rsidRDefault="00675BA9" w:rsidP="003E755F">
      <w:pPr>
        <w:jc w:val="both"/>
        <w:rPr>
          <w:sz w:val="22"/>
          <w:szCs w:val="22"/>
          <w:lang w:eastAsia="ar-SA"/>
        </w:rPr>
      </w:pPr>
    </w:p>
    <w:p w14:paraId="017A6317" w14:textId="0D471470" w:rsidR="00675BA9" w:rsidRDefault="0059412A" w:rsidP="003E02A2">
      <w:pPr>
        <w:jc w:val="both"/>
        <w:rPr>
          <w:sz w:val="22"/>
          <w:szCs w:val="22"/>
          <w:lang w:val="en-US"/>
        </w:rPr>
      </w:pPr>
      <w:r>
        <w:rPr>
          <w:sz w:val="22"/>
          <w:szCs w:val="22"/>
          <w:lang w:eastAsia="ar-SA"/>
        </w:rPr>
        <w:t>Sociologists seeking to overcome the epistemological limitations of interpersonal violence have tended to use the broader construction of ‘structural violence’ (</w:t>
      </w:r>
      <w:r w:rsidR="00536F29" w:rsidRPr="00BC1FFE">
        <w:rPr>
          <w:sz w:val="22"/>
          <w:szCs w:val="22"/>
          <w:lang w:eastAsia="ar-SA"/>
        </w:rPr>
        <w:t>Farmer, 2004;</w:t>
      </w:r>
      <w:r w:rsidR="00536F29">
        <w:rPr>
          <w:b/>
          <w:sz w:val="22"/>
          <w:szCs w:val="22"/>
          <w:lang w:eastAsia="ar-SA"/>
        </w:rPr>
        <w:t xml:space="preserve"> </w:t>
      </w:r>
      <w:r w:rsidR="00A143E9">
        <w:rPr>
          <w:sz w:val="22"/>
          <w:szCs w:val="22"/>
          <w:lang w:eastAsia="ar-SA"/>
        </w:rPr>
        <w:t>Gupta, 2012</w:t>
      </w:r>
      <w:r>
        <w:rPr>
          <w:sz w:val="22"/>
          <w:szCs w:val="22"/>
          <w:lang w:eastAsia="ar-SA"/>
        </w:rPr>
        <w:t xml:space="preserve">). </w:t>
      </w:r>
      <w:r w:rsidR="005F171F" w:rsidRPr="000A119B">
        <w:rPr>
          <w:sz w:val="22"/>
          <w:szCs w:val="22"/>
          <w:lang w:eastAsia="ar-SA"/>
        </w:rPr>
        <w:t xml:space="preserve">The meaning of the term structural violence as coined by </w:t>
      </w:r>
      <w:r w:rsidR="00544B54" w:rsidRPr="000A119B">
        <w:rPr>
          <w:sz w:val="22"/>
          <w:szCs w:val="22"/>
          <w:lang w:eastAsia="ar-SA"/>
        </w:rPr>
        <w:t xml:space="preserve">Johan </w:t>
      </w:r>
      <w:r w:rsidR="005F171F" w:rsidRPr="000A119B">
        <w:rPr>
          <w:sz w:val="22"/>
          <w:szCs w:val="22"/>
          <w:lang w:eastAsia="ar-SA"/>
        </w:rPr>
        <w:t>Galtung</w:t>
      </w:r>
      <w:r w:rsidR="00E37009" w:rsidRPr="000A119B">
        <w:rPr>
          <w:sz w:val="22"/>
          <w:szCs w:val="22"/>
          <w:lang w:eastAsia="ar-SA"/>
        </w:rPr>
        <w:t xml:space="preserve"> (1969)</w:t>
      </w:r>
      <w:r w:rsidR="00C46641" w:rsidRPr="000A119B">
        <w:rPr>
          <w:sz w:val="22"/>
          <w:szCs w:val="22"/>
          <w:lang w:eastAsia="ar-SA"/>
        </w:rPr>
        <w:t xml:space="preserve"> </w:t>
      </w:r>
      <w:r w:rsidR="005F171F" w:rsidRPr="000A119B">
        <w:rPr>
          <w:sz w:val="22"/>
          <w:szCs w:val="22"/>
          <w:lang w:eastAsia="ar-SA"/>
        </w:rPr>
        <w:t xml:space="preserve">is normally taken to mean the harms that are created through </w:t>
      </w:r>
      <w:r w:rsidR="005F171F" w:rsidRPr="000702F1">
        <w:rPr>
          <w:i/>
          <w:sz w:val="22"/>
          <w:szCs w:val="22"/>
          <w:lang w:eastAsia="ar-SA"/>
        </w:rPr>
        <w:t>preventing people meeting their basic needs</w:t>
      </w:r>
      <w:r w:rsidR="005F171F" w:rsidRPr="000A119B">
        <w:rPr>
          <w:sz w:val="22"/>
          <w:szCs w:val="22"/>
          <w:lang w:eastAsia="ar-SA"/>
        </w:rPr>
        <w:t xml:space="preserve">. </w:t>
      </w:r>
      <w:r w:rsidR="00544B54" w:rsidRPr="000A119B">
        <w:rPr>
          <w:sz w:val="22"/>
          <w:szCs w:val="22"/>
          <w:lang w:eastAsia="ar-SA"/>
        </w:rPr>
        <w:t xml:space="preserve"> </w:t>
      </w:r>
      <w:r w:rsidR="00544B54" w:rsidRPr="000A119B">
        <w:rPr>
          <w:sz w:val="22"/>
          <w:szCs w:val="22"/>
          <w:lang w:val="en-US"/>
        </w:rPr>
        <w:t xml:space="preserve"> S</w:t>
      </w:r>
      <w:r w:rsidR="00867D23" w:rsidRPr="000A119B">
        <w:rPr>
          <w:sz w:val="22"/>
          <w:szCs w:val="22"/>
          <w:lang w:val="en-US"/>
        </w:rPr>
        <w:t xml:space="preserve">tructural violence </w:t>
      </w:r>
      <w:r w:rsidR="00EC27CA">
        <w:rPr>
          <w:sz w:val="22"/>
          <w:szCs w:val="22"/>
          <w:lang w:val="en-US"/>
        </w:rPr>
        <w:t>results from inequalities that are routed in the institutionalised practices.  Thus, racism, sexism and classi</w:t>
      </w:r>
      <w:r w:rsidR="00C67B40">
        <w:rPr>
          <w:sz w:val="22"/>
          <w:szCs w:val="22"/>
          <w:lang w:val="en-US"/>
        </w:rPr>
        <w:t>s</w:t>
      </w:r>
      <w:r w:rsidR="00EC27CA">
        <w:rPr>
          <w:sz w:val="22"/>
          <w:szCs w:val="22"/>
          <w:lang w:val="en-US"/>
        </w:rPr>
        <w:t xml:space="preserve">m are forms of structural violence. </w:t>
      </w:r>
      <w:r w:rsidR="00867D23" w:rsidRPr="000A119B">
        <w:rPr>
          <w:sz w:val="22"/>
          <w:szCs w:val="22"/>
          <w:lang w:val="en-US"/>
        </w:rPr>
        <w:t>Since coming into our lexicon, the concept</w:t>
      </w:r>
      <w:r w:rsidR="002D6340" w:rsidRPr="000A119B">
        <w:rPr>
          <w:sz w:val="22"/>
          <w:szCs w:val="22"/>
          <w:lang w:val="en-US"/>
        </w:rPr>
        <w:t xml:space="preserve"> of structural violence has variously been</w:t>
      </w:r>
      <w:r w:rsidR="00867D23" w:rsidRPr="000A119B">
        <w:rPr>
          <w:sz w:val="22"/>
          <w:szCs w:val="22"/>
          <w:lang w:val="en-US"/>
        </w:rPr>
        <w:t xml:space="preserve"> deployed to make sense of the violent conditions inextricably linked to</w:t>
      </w:r>
      <w:r w:rsidR="00E472C6">
        <w:rPr>
          <w:sz w:val="22"/>
          <w:szCs w:val="22"/>
          <w:lang w:val="en-US"/>
        </w:rPr>
        <w:t xml:space="preserve"> </w:t>
      </w:r>
      <w:r w:rsidR="00867D23" w:rsidRPr="000A119B">
        <w:rPr>
          <w:sz w:val="22"/>
          <w:szCs w:val="22"/>
          <w:lang w:val="en-US"/>
        </w:rPr>
        <w:t>poverty</w:t>
      </w:r>
      <w:r w:rsidR="00EC27CA">
        <w:rPr>
          <w:sz w:val="22"/>
          <w:szCs w:val="22"/>
          <w:lang w:val="en-US"/>
        </w:rPr>
        <w:t xml:space="preserve"> and forms of unequal</w:t>
      </w:r>
      <w:r w:rsidR="00867D23" w:rsidRPr="000A119B">
        <w:rPr>
          <w:sz w:val="22"/>
          <w:szCs w:val="22"/>
          <w:lang w:val="en-US"/>
        </w:rPr>
        <w:t xml:space="preserve"> power</w:t>
      </w:r>
      <w:r w:rsidR="00EC27CA">
        <w:rPr>
          <w:sz w:val="22"/>
          <w:szCs w:val="22"/>
          <w:lang w:val="en-US"/>
        </w:rPr>
        <w:t xml:space="preserve"> relations</w:t>
      </w:r>
      <w:r w:rsidR="00867D23" w:rsidRPr="000A119B">
        <w:rPr>
          <w:sz w:val="22"/>
          <w:szCs w:val="22"/>
          <w:lang w:val="en-US"/>
        </w:rPr>
        <w:t xml:space="preserve">. </w:t>
      </w:r>
      <w:r w:rsidR="00EC27CA">
        <w:rPr>
          <w:sz w:val="22"/>
          <w:szCs w:val="22"/>
          <w:lang w:val="en-US"/>
        </w:rPr>
        <w:t>Because the origins</w:t>
      </w:r>
      <w:r w:rsidR="00C67B40">
        <w:rPr>
          <w:sz w:val="22"/>
          <w:szCs w:val="22"/>
          <w:lang w:val="en-US"/>
        </w:rPr>
        <w:t xml:space="preserve"> of violence</w:t>
      </w:r>
      <w:r w:rsidR="00EC27CA">
        <w:rPr>
          <w:sz w:val="22"/>
          <w:szCs w:val="22"/>
          <w:lang w:val="en-US"/>
        </w:rPr>
        <w:t xml:space="preserve"> are deeply rooted in social practices and enduring inequalities, structural violence </w:t>
      </w:r>
      <w:r w:rsidR="00EC27CA" w:rsidRPr="000A119B">
        <w:rPr>
          <w:sz w:val="22"/>
          <w:szCs w:val="22"/>
          <w:lang w:val="en-US"/>
        </w:rPr>
        <w:t>is systemic, ‘silent’</w:t>
      </w:r>
      <w:r w:rsidR="00EC27CA">
        <w:rPr>
          <w:sz w:val="22"/>
          <w:szCs w:val="22"/>
          <w:lang w:val="en-US"/>
        </w:rPr>
        <w:t>, ‘routine’</w:t>
      </w:r>
      <w:r w:rsidR="00EC27CA" w:rsidRPr="000A119B">
        <w:rPr>
          <w:sz w:val="22"/>
          <w:szCs w:val="22"/>
          <w:lang w:val="en-US"/>
        </w:rPr>
        <w:t xml:space="preserve"> and ‘</w:t>
      </w:r>
      <w:r w:rsidR="00EC27CA" w:rsidRPr="000A119B">
        <w:rPr>
          <w:sz w:val="22"/>
          <w:szCs w:val="22"/>
        </w:rPr>
        <w:t>as natural as the air around us’ (p.173).</w:t>
      </w:r>
      <w:r w:rsidR="00C9219B">
        <w:rPr>
          <w:sz w:val="22"/>
          <w:szCs w:val="22"/>
        </w:rPr>
        <w:t xml:space="preserve">  </w:t>
      </w:r>
      <w:r w:rsidR="00C9219B">
        <w:rPr>
          <w:sz w:val="22"/>
          <w:szCs w:val="22"/>
          <w:lang w:eastAsia="ar-SA"/>
        </w:rPr>
        <w:t xml:space="preserve">The concept of structural violence is useful for shifting our focus away from the ‘interpersonal’, to ‘impersonal’ nature of violence; a form of violence that is historically produced, built into structures of power and imposed on its victims at a distance.  However, it is precisely this shift towards the ‘impersonal’ that limits the concept. </w:t>
      </w:r>
      <w:r w:rsidR="004B37B9">
        <w:rPr>
          <w:sz w:val="22"/>
          <w:szCs w:val="22"/>
        </w:rPr>
        <w:t xml:space="preserve"> </w:t>
      </w:r>
      <w:r w:rsidR="00C9219B">
        <w:rPr>
          <w:sz w:val="22"/>
          <w:szCs w:val="22"/>
        </w:rPr>
        <w:t>Galtung notes he is not seeking to describe “</w:t>
      </w:r>
      <w:r w:rsidR="00C9219B" w:rsidRPr="00C9219B">
        <w:rPr>
          <w:sz w:val="22"/>
          <w:szCs w:val="22"/>
        </w:rPr>
        <w:t>the type of violence where there is an actor that commits the viol</w:t>
      </w:r>
      <w:r w:rsidR="00C9219B">
        <w:rPr>
          <w:sz w:val="22"/>
          <w:szCs w:val="22"/>
        </w:rPr>
        <w:t xml:space="preserve">ence as personal or direct”, but rather, the type of violence, “where there is no such </w:t>
      </w:r>
      <w:r w:rsidR="00AD741B">
        <w:rPr>
          <w:sz w:val="22"/>
          <w:szCs w:val="22"/>
        </w:rPr>
        <w:t>actor</w:t>
      </w:r>
      <w:r w:rsidR="00C9219B">
        <w:rPr>
          <w:sz w:val="22"/>
          <w:szCs w:val="22"/>
        </w:rPr>
        <w:t>”</w:t>
      </w:r>
      <w:r w:rsidR="00AD741B">
        <w:rPr>
          <w:sz w:val="22"/>
          <w:szCs w:val="22"/>
        </w:rPr>
        <w:t xml:space="preserve"> (p. 170).</w:t>
      </w:r>
      <w:r w:rsidR="00C9219B">
        <w:rPr>
          <w:sz w:val="22"/>
          <w:szCs w:val="22"/>
        </w:rPr>
        <w:t xml:space="preserve">  The concept of structur</w:t>
      </w:r>
      <w:r w:rsidR="00C67B40">
        <w:rPr>
          <w:sz w:val="22"/>
          <w:szCs w:val="22"/>
        </w:rPr>
        <w:t>al</w:t>
      </w:r>
      <w:r w:rsidR="00C9219B">
        <w:rPr>
          <w:sz w:val="22"/>
          <w:szCs w:val="22"/>
        </w:rPr>
        <w:t xml:space="preserve"> violence is therefore designed to capture a form of violence that is a) </w:t>
      </w:r>
      <w:r w:rsidR="00AD741B">
        <w:rPr>
          <w:sz w:val="22"/>
          <w:szCs w:val="22"/>
        </w:rPr>
        <w:t>in</w:t>
      </w:r>
      <w:r w:rsidR="00C9219B">
        <w:rPr>
          <w:sz w:val="22"/>
          <w:szCs w:val="22"/>
        </w:rPr>
        <w:t xml:space="preserve">direct; and b) involves no obvious actor. </w:t>
      </w:r>
    </w:p>
    <w:p w14:paraId="5FEA9B2A" w14:textId="77777777" w:rsidR="0059412A" w:rsidRDefault="0059412A" w:rsidP="003E02A2">
      <w:pPr>
        <w:jc w:val="both"/>
        <w:rPr>
          <w:sz w:val="22"/>
          <w:szCs w:val="22"/>
          <w:lang w:val="en-US"/>
        </w:rPr>
      </w:pPr>
    </w:p>
    <w:p w14:paraId="11878263" w14:textId="70F139D8" w:rsidR="005E56B9" w:rsidRPr="000702F1" w:rsidRDefault="00AD741B" w:rsidP="005E56B9">
      <w:pPr>
        <w:jc w:val="both"/>
        <w:rPr>
          <w:sz w:val="22"/>
          <w:szCs w:val="22"/>
          <w:lang w:eastAsia="ar-SA"/>
        </w:rPr>
      </w:pPr>
      <w:r>
        <w:rPr>
          <w:sz w:val="22"/>
          <w:szCs w:val="22"/>
          <w:lang w:eastAsia="ar-SA"/>
        </w:rPr>
        <w:t xml:space="preserve">Those two points represent the limitations of the concept as it might be applied in the context of </w:t>
      </w:r>
      <w:r w:rsidR="004B37B9">
        <w:rPr>
          <w:sz w:val="22"/>
          <w:szCs w:val="22"/>
          <w:lang w:eastAsia="ar-SA"/>
        </w:rPr>
        <w:t xml:space="preserve">the </w:t>
      </w:r>
      <w:r>
        <w:rPr>
          <w:sz w:val="22"/>
          <w:szCs w:val="22"/>
          <w:lang w:eastAsia="ar-SA"/>
        </w:rPr>
        <w:t>Grenfell Tower</w:t>
      </w:r>
      <w:r w:rsidR="004B37B9">
        <w:rPr>
          <w:sz w:val="22"/>
          <w:szCs w:val="22"/>
          <w:lang w:eastAsia="ar-SA"/>
        </w:rPr>
        <w:t xml:space="preserve"> fire</w:t>
      </w:r>
      <w:r>
        <w:rPr>
          <w:sz w:val="22"/>
          <w:szCs w:val="22"/>
          <w:lang w:eastAsia="ar-SA"/>
        </w:rPr>
        <w:t xml:space="preserve">.  First, we do not see how in the context of </w:t>
      </w:r>
      <w:r w:rsidR="004B37B9">
        <w:rPr>
          <w:sz w:val="22"/>
          <w:szCs w:val="22"/>
          <w:lang w:eastAsia="ar-SA"/>
        </w:rPr>
        <w:t>the fire</w:t>
      </w:r>
      <w:r>
        <w:rPr>
          <w:sz w:val="22"/>
          <w:szCs w:val="22"/>
          <w:lang w:eastAsia="ar-SA"/>
        </w:rPr>
        <w:t xml:space="preserve">, the dichotomy of ‘direct’ and ‘indirect’ violence is applicable.  As we shall argue here, the violent effects (the immediate deaths and the physical and psychological harm) have been experienced </w:t>
      </w:r>
      <w:r w:rsidR="004B37B9">
        <w:rPr>
          <w:sz w:val="22"/>
          <w:szCs w:val="22"/>
          <w:lang w:eastAsia="ar-SA"/>
        </w:rPr>
        <w:t xml:space="preserve">directly </w:t>
      </w:r>
      <w:r>
        <w:rPr>
          <w:sz w:val="22"/>
          <w:szCs w:val="22"/>
          <w:lang w:eastAsia="ar-SA"/>
        </w:rPr>
        <w:t xml:space="preserve">by the victims. </w:t>
      </w:r>
      <w:r w:rsidR="004B37B9">
        <w:rPr>
          <w:sz w:val="22"/>
          <w:szCs w:val="22"/>
          <w:lang w:eastAsia="ar-SA"/>
        </w:rPr>
        <w:t xml:space="preserve"> </w:t>
      </w:r>
      <w:r>
        <w:rPr>
          <w:sz w:val="22"/>
          <w:szCs w:val="22"/>
          <w:lang w:val="en-US"/>
        </w:rPr>
        <w:t xml:space="preserve">Second, we do not agree that there are no obvious actors that can be identified as responsible for both direct and indirect forms of violence.  As </w:t>
      </w:r>
      <w:r w:rsidR="00EC27CA" w:rsidRPr="000A119B">
        <w:rPr>
          <w:sz w:val="22"/>
          <w:szCs w:val="22"/>
          <w:lang w:val="en-US"/>
        </w:rPr>
        <w:t>Confortini (2006) has argued a major problem with Galtung’s approach is that it views ‘structures’ as abstract, free-floating entities, and fails to highlight structures as “material processes</w:t>
      </w:r>
      <w:r w:rsidR="00BF7C67">
        <w:rPr>
          <w:sz w:val="22"/>
          <w:szCs w:val="22"/>
          <w:lang w:val="en-US"/>
        </w:rPr>
        <w:t>.</w:t>
      </w:r>
      <w:r w:rsidR="00EC27CA" w:rsidRPr="000A119B">
        <w:rPr>
          <w:sz w:val="22"/>
          <w:szCs w:val="22"/>
          <w:lang w:val="en-US"/>
        </w:rPr>
        <w:t xml:space="preserve">” </w:t>
      </w:r>
      <w:r>
        <w:rPr>
          <w:sz w:val="22"/>
          <w:szCs w:val="22"/>
          <w:lang w:val="en-US"/>
        </w:rPr>
        <w:t xml:space="preserve">(see also Graeber, </w:t>
      </w:r>
      <w:r w:rsidR="00EC27CA" w:rsidRPr="000A119B">
        <w:rPr>
          <w:sz w:val="22"/>
          <w:szCs w:val="22"/>
          <w:lang w:val="en-US"/>
        </w:rPr>
        <w:t>2012)</w:t>
      </w:r>
      <w:r>
        <w:rPr>
          <w:sz w:val="22"/>
          <w:szCs w:val="22"/>
          <w:lang w:val="en-US"/>
        </w:rPr>
        <w:t xml:space="preserve">.  </w:t>
      </w:r>
      <w:r w:rsidR="00BF7C67">
        <w:rPr>
          <w:sz w:val="22"/>
          <w:szCs w:val="22"/>
          <w:lang w:eastAsia="ar-SA"/>
        </w:rPr>
        <w:t>Yet t</w:t>
      </w:r>
      <w:r w:rsidR="00EC27CA">
        <w:rPr>
          <w:sz w:val="22"/>
          <w:szCs w:val="22"/>
          <w:lang w:eastAsia="ar-SA"/>
        </w:rPr>
        <w:t>he acute forms of v</w:t>
      </w:r>
      <w:r w:rsidR="00BF7C67">
        <w:rPr>
          <w:sz w:val="22"/>
          <w:szCs w:val="22"/>
          <w:lang w:eastAsia="ar-SA"/>
        </w:rPr>
        <w:t xml:space="preserve">iolence </w:t>
      </w:r>
      <w:r w:rsidR="00EC27CA">
        <w:rPr>
          <w:sz w:val="22"/>
          <w:szCs w:val="22"/>
          <w:lang w:eastAsia="ar-SA"/>
        </w:rPr>
        <w:t xml:space="preserve">at Grenfell </w:t>
      </w:r>
      <w:r w:rsidR="00BF7C67">
        <w:rPr>
          <w:sz w:val="22"/>
          <w:szCs w:val="22"/>
          <w:lang w:eastAsia="ar-SA"/>
        </w:rPr>
        <w:t xml:space="preserve">were </w:t>
      </w:r>
      <w:r w:rsidR="00BF7C67" w:rsidRPr="000A119B">
        <w:rPr>
          <w:sz w:val="22"/>
          <w:szCs w:val="22"/>
          <w:lang w:val="en-US"/>
        </w:rPr>
        <w:t xml:space="preserve">legitimated and authorized in </w:t>
      </w:r>
      <w:r w:rsidR="00BF7C67">
        <w:rPr>
          <w:sz w:val="22"/>
          <w:szCs w:val="22"/>
          <w:lang w:val="en-US"/>
        </w:rPr>
        <w:t>concrete ways.  We can explain the conditions that led to the fire as having arisen from a string of decisions</w:t>
      </w:r>
      <w:r w:rsidR="00BF7C67">
        <w:rPr>
          <w:sz w:val="22"/>
          <w:szCs w:val="22"/>
          <w:lang w:eastAsia="ar-SA"/>
        </w:rPr>
        <w:t xml:space="preserve"> by </w:t>
      </w:r>
      <w:r w:rsidR="00EC27CA">
        <w:rPr>
          <w:sz w:val="22"/>
          <w:szCs w:val="22"/>
          <w:lang w:eastAsia="ar-SA"/>
        </w:rPr>
        <w:t xml:space="preserve">people in positions of power who could foresee the high chance of a violent outcome. </w:t>
      </w:r>
    </w:p>
    <w:p w14:paraId="7EB75F75" w14:textId="77777777" w:rsidR="005E56B9" w:rsidRDefault="005E56B9" w:rsidP="00BC1FFE">
      <w:pPr>
        <w:jc w:val="both"/>
        <w:rPr>
          <w:sz w:val="22"/>
          <w:szCs w:val="22"/>
          <w:lang w:eastAsia="ar-SA"/>
        </w:rPr>
      </w:pPr>
    </w:p>
    <w:p w14:paraId="2440933E" w14:textId="71450D13" w:rsidR="00D2293F" w:rsidRDefault="005D3827" w:rsidP="00BC1FFE">
      <w:pPr>
        <w:jc w:val="both"/>
        <w:rPr>
          <w:sz w:val="22"/>
          <w:szCs w:val="22"/>
          <w:lang w:eastAsia="ar-SA"/>
        </w:rPr>
      </w:pPr>
      <w:r>
        <w:rPr>
          <w:sz w:val="22"/>
          <w:szCs w:val="22"/>
          <w:lang w:eastAsia="ar-SA"/>
        </w:rPr>
        <w:t>T</w:t>
      </w:r>
      <w:r w:rsidRPr="000A119B">
        <w:rPr>
          <w:sz w:val="22"/>
          <w:szCs w:val="22"/>
          <w:lang w:eastAsia="ar-SA"/>
        </w:rPr>
        <w:t>o talk o</w:t>
      </w:r>
      <w:r>
        <w:rPr>
          <w:sz w:val="22"/>
          <w:szCs w:val="22"/>
          <w:lang w:eastAsia="ar-SA"/>
        </w:rPr>
        <w:t>f t</w:t>
      </w:r>
      <w:r w:rsidR="0059412A" w:rsidRPr="000A119B">
        <w:rPr>
          <w:sz w:val="22"/>
          <w:szCs w:val="22"/>
          <w:lang w:eastAsia="ar-SA"/>
        </w:rPr>
        <w:t>he violence that produced Grenfell Tower fire</w:t>
      </w:r>
      <w:r w:rsidR="00AD741B">
        <w:rPr>
          <w:sz w:val="22"/>
          <w:szCs w:val="22"/>
          <w:lang w:eastAsia="ar-SA"/>
        </w:rPr>
        <w:t>, then,</w:t>
      </w:r>
      <w:r w:rsidR="0059412A" w:rsidRPr="000A119B">
        <w:rPr>
          <w:sz w:val="22"/>
          <w:szCs w:val="22"/>
          <w:lang w:eastAsia="ar-SA"/>
        </w:rPr>
        <w:t xml:space="preserve"> is to talk of something much more </w:t>
      </w:r>
      <w:r w:rsidR="00F63A4A">
        <w:rPr>
          <w:sz w:val="22"/>
          <w:szCs w:val="22"/>
          <w:lang w:eastAsia="ar-SA"/>
        </w:rPr>
        <w:t>concrete</w:t>
      </w:r>
      <w:r w:rsidR="00313941" w:rsidRPr="000A119B">
        <w:rPr>
          <w:sz w:val="22"/>
          <w:szCs w:val="22"/>
          <w:lang w:eastAsia="ar-SA"/>
        </w:rPr>
        <w:t xml:space="preserve"> </w:t>
      </w:r>
      <w:r w:rsidR="0059412A" w:rsidRPr="000A119B">
        <w:rPr>
          <w:sz w:val="22"/>
          <w:szCs w:val="22"/>
          <w:lang w:eastAsia="ar-SA"/>
        </w:rPr>
        <w:t xml:space="preserve">than ‘structural’ violence. </w:t>
      </w:r>
      <w:r w:rsidR="00BB582C">
        <w:rPr>
          <w:sz w:val="22"/>
          <w:szCs w:val="22"/>
          <w:lang w:eastAsia="ar-SA"/>
        </w:rPr>
        <w:t xml:space="preserve"> </w:t>
      </w:r>
      <w:r w:rsidR="00125D31">
        <w:rPr>
          <w:sz w:val="22"/>
          <w:szCs w:val="22"/>
          <w:lang w:eastAsia="ar-SA"/>
        </w:rPr>
        <w:t>On the one hand</w:t>
      </w:r>
      <w:r w:rsidR="00BB582C">
        <w:rPr>
          <w:sz w:val="22"/>
          <w:szCs w:val="22"/>
          <w:lang w:eastAsia="ar-SA"/>
        </w:rPr>
        <w:t xml:space="preserve">, it is clear </w:t>
      </w:r>
      <w:r w:rsidR="00236401">
        <w:rPr>
          <w:sz w:val="22"/>
          <w:szCs w:val="22"/>
          <w:lang w:eastAsia="ar-SA"/>
        </w:rPr>
        <w:t>that</w:t>
      </w:r>
      <w:r w:rsidR="00313941">
        <w:rPr>
          <w:sz w:val="22"/>
          <w:szCs w:val="22"/>
          <w:lang w:eastAsia="ar-SA"/>
        </w:rPr>
        <w:t xml:space="preserve"> </w:t>
      </w:r>
      <w:r w:rsidR="00236401">
        <w:rPr>
          <w:sz w:val="22"/>
          <w:szCs w:val="22"/>
          <w:lang w:eastAsia="ar-SA"/>
        </w:rPr>
        <w:t>Grenfell</w:t>
      </w:r>
      <w:r w:rsidR="00BB582C">
        <w:rPr>
          <w:sz w:val="22"/>
          <w:szCs w:val="22"/>
          <w:lang w:eastAsia="ar-SA"/>
        </w:rPr>
        <w:t xml:space="preserve"> residents</w:t>
      </w:r>
      <w:r w:rsidR="00236401">
        <w:rPr>
          <w:sz w:val="22"/>
          <w:szCs w:val="22"/>
          <w:lang w:eastAsia="ar-SA"/>
        </w:rPr>
        <w:t>’ needs</w:t>
      </w:r>
      <w:r w:rsidR="00BB582C">
        <w:rPr>
          <w:sz w:val="22"/>
          <w:szCs w:val="22"/>
          <w:lang w:eastAsia="ar-SA"/>
        </w:rPr>
        <w:t xml:space="preserve"> were not being met; there is evidence that their building was not being managed in a way that could maintain a decent standard of </w:t>
      </w:r>
      <w:r w:rsidR="00324FDF">
        <w:rPr>
          <w:sz w:val="22"/>
          <w:szCs w:val="22"/>
          <w:lang w:eastAsia="ar-SA"/>
        </w:rPr>
        <w:t xml:space="preserve">safe </w:t>
      </w:r>
      <w:r w:rsidR="00BB582C">
        <w:rPr>
          <w:sz w:val="22"/>
          <w:szCs w:val="22"/>
          <w:lang w:eastAsia="ar-SA"/>
        </w:rPr>
        <w:t xml:space="preserve">housing provision </w:t>
      </w:r>
      <w:r w:rsidR="00324FDF">
        <w:rPr>
          <w:sz w:val="22"/>
          <w:szCs w:val="22"/>
          <w:lang w:eastAsia="ar-SA"/>
        </w:rPr>
        <w:t>at Grenfell and across the UK (Carr et. al., 2018).</w:t>
      </w:r>
      <w:r w:rsidR="0059412A" w:rsidRPr="000A119B">
        <w:rPr>
          <w:sz w:val="22"/>
          <w:szCs w:val="22"/>
          <w:lang w:eastAsia="ar-SA"/>
        </w:rPr>
        <w:t xml:space="preserve"> </w:t>
      </w:r>
      <w:r w:rsidR="00BB582C">
        <w:rPr>
          <w:sz w:val="22"/>
          <w:szCs w:val="22"/>
          <w:lang w:eastAsia="ar-SA"/>
        </w:rPr>
        <w:t xml:space="preserve">  </w:t>
      </w:r>
      <w:r w:rsidR="00C67B40">
        <w:rPr>
          <w:sz w:val="22"/>
          <w:szCs w:val="22"/>
          <w:lang w:eastAsia="ar-SA"/>
        </w:rPr>
        <w:t>However,</w:t>
      </w:r>
      <w:r w:rsidR="00125D31">
        <w:rPr>
          <w:sz w:val="22"/>
          <w:szCs w:val="22"/>
          <w:lang w:eastAsia="ar-SA"/>
        </w:rPr>
        <w:t xml:space="preserve"> on the other hand</w:t>
      </w:r>
      <w:r w:rsidR="00BB582C">
        <w:rPr>
          <w:sz w:val="22"/>
          <w:szCs w:val="22"/>
          <w:lang w:eastAsia="ar-SA"/>
        </w:rPr>
        <w:t xml:space="preserve">, the outcome </w:t>
      </w:r>
      <w:r w:rsidR="00A376E1">
        <w:rPr>
          <w:sz w:val="22"/>
          <w:szCs w:val="22"/>
          <w:lang w:eastAsia="ar-SA"/>
        </w:rPr>
        <w:t xml:space="preserve">of this </w:t>
      </w:r>
      <w:r w:rsidR="0025530B">
        <w:rPr>
          <w:sz w:val="22"/>
          <w:szCs w:val="22"/>
          <w:lang w:eastAsia="ar-SA"/>
        </w:rPr>
        <w:t>kind of routine violence</w:t>
      </w:r>
      <w:r w:rsidR="00A376E1">
        <w:rPr>
          <w:sz w:val="22"/>
          <w:szCs w:val="22"/>
          <w:lang w:eastAsia="ar-SA"/>
        </w:rPr>
        <w:t xml:space="preserve"> </w:t>
      </w:r>
      <w:r w:rsidR="00BB582C">
        <w:rPr>
          <w:sz w:val="22"/>
          <w:szCs w:val="22"/>
          <w:lang w:eastAsia="ar-SA"/>
        </w:rPr>
        <w:t>is one that goes beyond a narrow understanding o</w:t>
      </w:r>
      <w:r w:rsidR="00313941">
        <w:rPr>
          <w:sz w:val="22"/>
          <w:szCs w:val="22"/>
          <w:lang w:eastAsia="ar-SA"/>
        </w:rPr>
        <w:t>f</w:t>
      </w:r>
      <w:r w:rsidR="00BB582C">
        <w:rPr>
          <w:sz w:val="22"/>
          <w:szCs w:val="22"/>
          <w:lang w:eastAsia="ar-SA"/>
        </w:rPr>
        <w:t xml:space="preserve"> needs not being met.  At a minimum, </w:t>
      </w:r>
      <w:r w:rsidR="0059412A">
        <w:rPr>
          <w:sz w:val="22"/>
          <w:szCs w:val="22"/>
          <w:lang w:eastAsia="ar-SA"/>
        </w:rPr>
        <w:t xml:space="preserve">72 people died in the most horrific circumstances imaginable.  Moreover, the lasting psychological damage can be measured in </w:t>
      </w:r>
      <w:r w:rsidR="00BB582C">
        <w:rPr>
          <w:sz w:val="22"/>
          <w:szCs w:val="22"/>
          <w:lang w:eastAsia="ar-SA"/>
        </w:rPr>
        <w:t>large numbers of suicides, PTSD and life-long mental health problems for other victims, the families and friends of those who died and those who witnessed the fire</w:t>
      </w:r>
      <w:r w:rsidR="00FA19FA">
        <w:rPr>
          <w:sz w:val="22"/>
          <w:szCs w:val="22"/>
          <w:lang w:eastAsia="ar-SA"/>
        </w:rPr>
        <w:t xml:space="preserve"> (</w:t>
      </w:r>
      <w:r w:rsidR="00E472C6">
        <w:rPr>
          <w:sz w:val="22"/>
          <w:szCs w:val="22"/>
          <w:lang w:eastAsia="ar-SA"/>
        </w:rPr>
        <w:t>Booth, 2017</w:t>
      </w:r>
      <w:r w:rsidR="00FA19FA">
        <w:rPr>
          <w:sz w:val="22"/>
          <w:szCs w:val="22"/>
          <w:lang w:eastAsia="ar-SA"/>
        </w:rPr>
        <w:t>)</w:t>
      </w:r>
      <w:r w:rsidR="00BB582C">
        <w:rPr>
          <w:sz w:val="22"/>
          <w:szCs w:val="22"/>
          <w:lang w:eastAsia="ar-SA"/>
        </w:rPr>
        <w:t>.  The extreme physical and psychological harm done to people did not result from a failure to provide needs</w:t>
      </w:r>
      <w:r w:rsidR="00125D31">
        <w:rPr>
          <w:sz w:val="22"/>
          <w:szCs w:val="22"/>
          <w:lang w:eastAsia="ar-SA"/>
        </w:rPr>
        <w:t xml:space="preserve">, but stemmed from institutional policies and practices that prioritised immediate economic benefits in ways that </w:t>
      </w:r>
      <w:r w:rsidR="004F25FD">
        <w:rPr>
          <w:sz w:val="22"/>
          <w:szCs w:val="22"/>
          <w:lang w:eastAsia="ar-SA"/>
        </w:rPr>
        <w:t xml:space="preserve">knowingly </w:t>
      </w:r>
      <w:r w:rsidR="00125D31">
        <w:rPr>
          <w:sz w:val="22"/>
          <w:szCs w:val="22"/>
          <w:lang w:eastAsia="ar-SA"/>
        </w:rPr>
        <w:t>produced an immanent threat to safety</w:t>
      </w:r>
      <w:r w:rsidR="00BB582C">
        <w:rPr>
          <w:sz w:val="22"/>
          <w:szCs w:val="22"/>
          <w:lang w:eastAsia="ar-SA"/>
        </w:rPr>
        <w:t xml:space="preserve">.  </w:t>
      </w:r>
    </w:p>
    <w:p w14:paraId="74553A4F" w14:textId="77777777" w:rsidR="00D2293F" w:rsidRDefault="00D2293F" w:rsidP="00BC1FFE">
      <w:pPr>
        <w:jc w:val="both"/>
        <w:rPr>
          <w:sz w:val="22"/>
          <w:szCs w:val="22"/>
          <w:lang w:eastAsia="ar-SA"/>
        </w:rPr>
      </w:pPr>
    </w:p>
    <w:p w14:paraId="088D160F" w14:textId="3E9B89E3" w:rsidR="008134C5" w:rsidRPr="008134C5" w:rsidRDefault="00125D31" w:rsidP="002E13E7">
      <w:pPr>
        <w:jc w:val="both"/>
        <w:rPr>
          <w:rFonts w:eastAsia="Times New Roman"/>
          <w:bCs/>
          <w:color w:val="000000"/>
          <w:sz w:val="22"/>
          <w:szCs w:val="22"/>
          <w:lang w:val="en-US"/>
        </w:rPr>
      </w:pPr>
      <w:r>
        <w:rPr>
          <w:rFonts w:eastAsia="Times New Roman"/>
          <w:bCs/>
          <w:color w:val="000000"/>
          <w:sz w:val="22"/>
          <w:szCs w:val="22"/>
          <w:lang w:val="en-US"/>
        </w:rPr>
        <w:t>We therefore argue that in order to understand the violence we witnessed at Grenfell, it is important to take account of:</w:t>
      </w:r>
      <w:r w:rsidR="002E13E7">
        <w:rPr>
          <w:rFonts w:eastAsia="Times New Roman"/>
          <w:bCs/>
          <w:color w:val="000000"/>
          <w:sz w:val="22"/>
          <w:szCs w:val="22"/>
          <w:lang w:val="en-US"/>
        </w:rPr>
        <w:t xml:space="preserve"> </w:t>
      </w:r>
      <w:r w:rsidR="00307FB3" w:rsidRPr="000702F1">
        <w:rPr>
          <w:sz w:val="22"/>
          <w:szCs w:val="22"/>
          <w:lang w:eastAsia="ar-SA"/>
        </w:rPr>
        <w:t xml:space="preserve">i) the </w:t>
      </w:r>
      <w:r w:rsidR="00307FB3" w:rsidRPr="00307FB3">
        <w:rPr>
          <w:sz w:val="22"/>
          <w:szCs w:val="22"/>
          <w:lang w:eastAsia="ar-SA"/>
        </w:rPr>
        <w:t xml:space="preserve">political and cultural </w:t>
      </w:r>
      <w:r w:rsidR="00307FB3">
        <w:rPr>
          <w:sz w:val="22"/>
          <w:szCs w:val="22"/>
          <w:lang w:eastAsia="ar-SA"/>
        </w:rPr>
        <w:t xml:space="preserve">context </w:t>
      </w:r>
      <w:r w:rsidR="00307FB3" w:rsidRPr="00307FB3">
        <w:rPr>
          <w:sz w:val="22"/>
          <w:szCs w:val="22"/>
          <w:lang w:eastAsia="ar-SA"/>
        </w:rPr>
        <w:t xml:space="preserve">of </w:t>
      </w:r>
      <w:r w:rsidR="00307FB3">
        <w:rPr>
          <w:sz w:val="22"/>
          <w:szCs w:val="22"/>
          <w:lang w:eastAsia="ar-SA"/>
        </w:rPr>
        <w:t xml:space="preserve">a </w:t>
      </w:r>
      <w:r w:rsidR="00307FB3" w:rsidRPr="00307FB3">
        <w:rPr>
          <w:sz w:val="22"/>
          <w:szCs w:val="22"/>
          <w:lang w:eastAsia="ar-SA"/>
        </w:rPr>
        <w:t>particular institution</w:t>
      </w:r>
      <w:r w:rsidR="00307FB3">
        <w:rPr>
          <w:sz w:val="22"/>
          <w:szCs w:val="22"/>
          <w:lang w:eastAsia="ar-SA"/>
        </w:rPr>
        <w:t>al environment</w:t>
      </w:r>
      <w:r w:rsidR="008F168D">
        <w:rPr>
          <w:sz w:val="22"/>
          <w:szCs w:val="22"/>
          <w:lang w:eastAsia="ar-SA"/>
        </w:rPr>
        <w:t xml:space="preserve"> and how it</w:t>
      </w:r>
      <w:r w:rsidR="00307FB3" w:rsidRPr="00307FB3">
        <w:rPr>
          <w:sz w:val="22"/>
          <w:szCs w:val="22"/>
          <w:lang w:eastAsia="ar-SA"/>
        </w:rPr>
        <w:t xml:space="preserve"> informs particular decisions </w:t>
      </w:r>
      <w:r>
        <w:rPr>
          <w:sz w:val="22"/>
          <w:szCs w:val="22"/>
          <w:lang w:eastAsia="ar-SA"/>
        </w:rPr>
        <w:t>that</w:t>
      </w:r>
      <w:r w:rsidR="008F168D">
        <w:rPr>
          <w:sz w:val="22"/>
          <w:szCs w:val="22"/>
          <w:lang w:eastAsia="ar-SA"/>
        </w:rPr>
        <w:t xml:space="preserve"> produce </w:t>
      </w:r>
      <w:r w:rsidR="00F63A4A">
        <w:rPr>
          <w:sz w:val="22"/>
          <w:szCs w:val="22"/>
          <w:lang w:eastAsia="ar-SA"/>
        </w:rPr>
        <w:t>violent outcomes</w:t>
      </w:r>
      <w:r w:rsidR="008F168D">
        <w:rPr>
          <w:sz w:val="22"/>
          <w:szCs w:val="22"/>
          <w:lang w:eastAsia="ar-SA"/>
        </w:rPr>
        <w:t xml:space="preserve">, </w:t>
      </w:r>
      <w:r w:rsidR="00F861E2">
        <w:rPr>
          <w:sz w:val="22"/>
          <w:szCs w:val="22"/>
          <w:lang w:eastAsia="ar-SA"/>
        </w:rPr>
        <w:t xml:space="preserve">whether </w:t>
      </w:r>
      <w:r w:rsidR="008F168D">
        <w:rPr>
          <w:sz w:val="22"/>
          <w:szCs w:val="22"/>
          <w:lang w:eastAsia="ar-SA"/>
        </w:rPr>
        <w:t>intended or unintended</w:t>
      </w:r>
      <w:r w:rsidR="002E13E7">
        <w:rPr>
          <w:sz w:val="22"/>
          <w:szCs w:val="22"/>
          <w:lang w:eastAsia="ar-SA"/>
        </w:rPr>
        <w:t>; and</w:t>
      </w:r>
      <w:r w:rsidR="00307FB3" w:rsidRPr="000702F1">
        <w:rPr>
          <w:sz w:val="22"/>
          <w:szCs w:val="22"/>
          <w:lang w:eastAsia="ar-SA"/>
        </w:rPr>
        <w:t xml:space="preserve"> ii) </w:t>
      </w:r>
      <w:r>
        <w:rPr>
          <w:sz w:val="22"/>
          <w:szCs w:val="22"/>
          <w:lang w:eastAsia="ar-SA"/>
        </w:rPr>
        <w:t xml:space="preserve">how </w:t>
      </w:r>
      <w:r w:rsidR="00307FB3" w:rsidRPr="000702F1">
        <w:rPr>
          <w:sz w:val="22"/>
          <w:szCs w:val="22"/>
          <w:lang w:eastAsia="ar-SA"/>
        </w:rPr>
        <w:t xml:space="preserve">those </w:t>
      </w:r>
      <w:r>
        <w:rPr>
          <w:sz w:val="22"/>
          <w:szCs w:val="22"/>
          <w:lang w:eastAsia="ar-SA"/>
        </w:rPr>
        <w:t xml:space="preserve">individuals and the institutions they represent are </w:t>
      </w:r>
      <w:r w:rsidR="00307FB3" w:rsidRPr="000702F1">
        <w:rPr>
          <w:sz w:val="22"/>
          <w:szCs w:val="22"/>
          <w:lang w:eastAsia="ar-SA"/>
        </w:rPr>
        <w:t xml:space="preserve">responsible for </w:t>
      </w:r>
      <w:r w:rsidR="00307FB3">
        <w:rPr>
          <w:sz w:val="22"/>
          <w:szCs w:val="22"/>
          <w:lang w:eastAsia="ar-SA"/>
        </w:rPr>
        <w:t>designing and</w:t>
      </w:r>
      <w:r w:rsidR="00307FB3" w:rsidRPr="00307FB3">
        <w:rPr>
          <w:sz w:val="22"/>
          <w:szCs w:val="22"/>
          <w:lang w:eastAsia="ar-SA"/>
        </w:rPr>
        <w:t xml:space="preserve"> </w:t>
      </w:r>
      <w:r w:rsidR="00307FB3">
        <w:rPr>
          <w:sz w:val="22"/>
          <w:szCs w:val="22"/>
          <w:lang w:eastAsia="ar-SA"/>
        </w:rPr>
        <w:t xml:space="preserve">implementing </w:t>
      </w:r>
      <w:r w:rsidR="00307FB3" w:rsidRPr="00307FB3">
        <w:rPr>
          <w:sz w:val="22"/>
          <w:szCs w:val="22"/>
          <w:lang w:eastAsia="ar-SA"/>
        </w:rPr>
        <w:t>decisions</w:t>
      </w:r>
      <w:r w:rsidR="00307FB3">
        <w:rPr>
          <w:sz w:val="22"/>
          <w:szCs w:val="22"/>
          <w:lang w:eastAsia="ar-SA"/>
        </w:rPr>
        <w:t xml:space="preserve"> that knowingly produce violence. </w:t>
      </w:r>
      <w:r w:rsidR="00F861E2">
        <w:rPr>
          <w:rFonts w:eastAsia="Times New Roman"/>
          <w:bCs/>
          <w:color w:val="000000"/>
          <w:sz w:val="22"/>
          <w:szCs w:val="22"/>
          <w:lang w:val="en-US"/>
        </w:rPr>
        <w:t xml:space="preserve"> </w:t>
      </w:r>
      <w:r w:rsidR="008134C5" w:rsidRPr="008134C5">
        <w:rPr>
          <w:rFonts w:eastAsia="Times New Roman"/>
          <w:bCs/>
          <w:color w:val="000000"/>
          <w:sz w:val="22"/>
          <w:szCs w:val="22"/>
          <w:lang w:val="en-US"/>
        </w:rPr>
        <w:t xml:space="preserve">As we have argued, the public and private institutions that are tasked with implementing and administering key political objectives, particularly in the period known as ‘austerity’ have come to rely on acute forms of violence as their modus operandi. </w:t>
      </w:r>
      <w:r>
        <w:rPr>
          <w:rFonts w:eastAsia="Times New Roman"/>
          <w:bCs/>
          <w:color w:val="000000"/>
          <w:sz w:val="22"/>
          <w:szCs w:val="22"/>
          <w:lang w:val="en-US"/>
        </w:rPr>
        <w:t xml:space="preserve"> </w:t>
      </w:r>
    </w:p>
    <w:p w14:paraId="4E78C8E0" w14:textId="2B44C88A" w:rsidR="009B7E3A" w:rsidRPr="000A119B" w:rsidRDefault="009B7E3A" w:rsidP="00BC1FFE">
      <w:pPr>
        <w:jc w:val="both"/>
        <w:rPr>
          <w:rFonts w:ascii="Calibri" w:eastAsia="Times New Roman" w:hAnsi="Calibri" w:cs="Tahoma"/>
          <w:color w:val="000000"/>
          <w:sz w:val="22"/>
          <w:szCs w:val="22"/>
        </w:rPr>
      </w:pPr>
    </w:p>
    <w:p w14:paraId="16F22E39" w14:textId="63E5F6BC" w:rsidR="006D4FE5" w:rsidRDefault="006D4FE5" w:rsidP="006D4FE5">
      <w:pPr>
        <w:jc w:val="both"/>
        <w:rPr>
          <w:rFonts w:eastAsia="Times New Roman"/>
          <w:bCs/>
          <w:color w:val="000000"/>
          <w:sz w:val="22"/>
          <w:szCs w:val="22"/>
          <w:lang w:val="en-US"/>
        </w:rPr>
      </w:pPr>
      <w:r w:rsidRPr="000A119B">
        <w:rPr>
          <w:rFonts w:eastAsia="Times New Roman"/>
          <w:bCs/>
          <w:color w:val="000000"/>
          <w:sz w:val="22"/>
          <w:szCs w:val="22"/>
          <w:lang w:val="en-US"/>
        </w:rPr>
        <w:t xml:space="preserve">In </w:t>
      </w:r>
      <w:r>
        <w:rPr>
          <w:rFonts w:eastAsia="Times New Roman"/>
          <w:bCs/>
          <w:color w:val="000000"/>
          <w:sz w:val="22"/>
          <w:szCs w:val="22"/>
          <w:lang w:val="en-US"/>
        </w:rPr>
        <w:t xml:space="preserve">our book </w:t>
      </w:r>
      <w:r w:rsidR="009C55ED" w:rsidRPr="009C55ED">
        <w:rPr>
          <w:rFonts w:eastAsia="Times New Roman"/>
          <w:bCs/>
          <w:i/>
          <w:color w:val="000000"/>
          <w:sz w:val="22"/>
          <w:szCs w:val="22"/>
          <w:lang w:val="en-US"/>
        </w:rPr>
        <w:t>The Violence of Austerity</w:t>
      </w:r>
      <w:r w:rsidR="009C55ED">
        <w:rPr>
          <w:rFonts w:eastAsia="Times New Roman"/>
          <w:bCs/>
          <w:color w:val="000000"/>
          <w:sz w:val="22"/>
          <w:szCs w:val="22"/>
          <w:lang w:val="en-US"/>
        </w:rPr>
        <w:t xml:space="preserve"> (Cooper and Whyte, 2017)</w:t>
      </w:r>
      <w:r w:rsidRPr="000A119B">
        <w:rPr>
          <w:rFonts w:eastAsia="Times New Roman"/>
          <w:bCs/>
          <w:color w:val="000000"/>
          <w:sz w:val="22"/>
          <w:szCs w:val="22"/>
          <w:lang w:val="en-US"/>
        </w:rPr>
        <w:t>, we adopt a concept of institutional violence to identify precisely how particular public and private organisations have delivered acute physical and psychological harm</w:t>
      </w:r>
      <w:r w:rsidRPr="00307FB3">
        <w:rPr>
          <w:rFonts w:eastAsia="Times New Roman"/>
          <w:bCs/>
          <w:color w:val="000000"/>
          <w:sz w:val="22"/>
          <w:szCs w:val="22"/>
          <w:lang w:val="en-US"/>
        </w:rPr>
        <w:t>, and have caused untold injury and death by administering austerity policies.</w:t>
      </w:r>
      <w:r w:rsidRPr="00307FB3">
        <w:rPr>
          <w:rStyle w:val="apple-converted-space"/>
          <w:rFonts w:eastAsia="Times New Roman"/>
          <w:bCs/>
          <w:color w:val="000000"/>
          <w:sz w:val="22"/>
          <w:szCs w:val="22"/>
          <w:lang w:val="en-US"/>
        </w:rPr>
        <w:t> </w:t>
      </w:r>
      <w:r w:rsidRPr="00307FB3">
        <w:rPr>
          <w:rFonts w:eastAsia="Times New Roman"/>
          <w:bCs/>
          <w:color w:val="000000"/>
          <w:sz w:val="22"/>
          <w:szCs w:val="22"/>
          <w:lang w:val="en-US"/>
        </w:rPr>
        <w:t> </w:t>
      </w:r>
      <w:r>
        <w:rPr>
          <w:sz w:val="22"/>
          <w:szCs w:val="22"/>
          <w:lang w:eastAsia="ar-SA"/>
        </w:rPr>
        <w:t>I</w:t>
      </w:r>
      <w:r w:rsidRPr="000A119B">
        <w:rPr>
          <w:rFonts w:eastAsia="Times New Roman"/>
          <w:bCs/>
          <w:color w:val="000000"/>
          <w:sz w:val="22"/>
          <w:szCs w:val="22"/>
          <w:lang w:val="en-US"/>
        </w:rPr>
        <w:t>n front of the very obvious rogues gallery of politicians who designed the austerity agenda – and refused to change course when its human consequences were in clear view – stand the armies of civil servants, government departments and Local Authorities. And in front of them stand the armies of private officials in companies like G4S and ATOS and public officials in benefits offices and housing authorities</w:t>
      </w:r>
      <w:r>
        <w:rPr>
          <w:rFonts w:eastAsia="Times New Roman"/>
          <w:bCs/>
          <w:color w:val="000000"/>
          <w:sz w:val="22"/>
          <w:szCs w:val="22"/>
          <w:lang w:val="en-US"/>
        </w:rPr>
        <w:t xml:space="preserve">. </w:t>
      </w:r>
    </w:p>
    <w:p w14:paraId="63E3EE1D" w14:textId="77777777" w:rsidR="006D4FE5" w:rsidRDefault="006D4FE5" w:rsidP="006D4FE5">
      <w:pPr>
        <w:jc w:val="both"/>
        <w:rPr>
          <w:rFonts w:eastAsia="Times New Roman"/>
          <w:bCs/>
          <w:color w:val="000000"/>
          <w:sz w:val="22"/>
          <w:szCs w:val="22"/>
          <w:lang w:val="en-US"/>
        </w:rPr>
      </w:pPr>
    </w:p>
    <w:p w14:paraId="605B911A" w14:textId="41A1F6DA" w:rsidR="006D4FE5" w:rsidRDefault="00D2293F" w:rsidP="00F861E2">
      <w:pPr>
        <w:shd w:val="clear" w:color="auto" w:fill="FFFFFF"/>
        <w:jc w:val="both"/>
        <w:rPr>
          <w:sz w:val="22"/>
          <w:szCs w:val="22"/>
        </w:rPr>
      </w:pPr>
      <w:r>
        <w:rPr>
          <w:rFonts w:eastAsia="Times New Roman"/>
          <w:bCs/>
          <w:color w:val="000000"/>
          <w:sz w:val="22"/>
          <w:szCs w:val="22"/>
          <w:lang w:val="en-US"/>
        </w:rPr>
        <w:t xml:space="preserve">Institutional violence </w:t>
      </w:r>
      <w:r w:rsidR="009B7E3A" w:rsidRPr="000A119B">
        <w:rPr>
          <w:rFonts w:eastAsia="Times New Roman"/>
          <w:bCs/>
          <w:color w:val="000000"/>
          <w:sz w:val="22"/>
          <w:szCs w:val="22"/>
          <w:lang w:val="en-US"/>
        </w:rPr>
        <w:t xml:space="preserve">generally unfolds over time, at a deteriorative pace. In this sense, the violence of austerity </w:t>
      </w:r>
      <w:r w:rsidR="001F543E">
        <w:rPr>
          <w:rFonts w:eastAsia="Times New Roman"/>
          <w:bCs/>
          <w:color w:val="000000"/>
          <w:sz w:val="22"/>
          <w:szCs w:val="22"/>
          <w:lang w:val="en-US"/>
        </w:rPr>
        <w:t xml:space="preserve">can be </w:t>
      </w:r>
      <w:r w:rsidR="00394260">
        <w:rPr>
          <w:rFonts w:eastAsia="Times New Roman"/>
          <w:bCs/>
          <w:color w:val="000000"/>
          <w:sz w:val="22"/>
          <w:szCs w:val="22"/>
          <w:lang w:val="en-US"/>
        </w:rPr>
        <w:t xml:space="preserve">best understood as </w:t>
      </w:r>
      <w:r w:rsidR="009B7E3A" w:rsidRPr="000A119B">
        <w:rPr>
          <w:rFonts w:eastAsia="Times New Roman"/>
          <w:bCs/>
          <w:color w:val="000000"/>
          <w:sz w:val="22"/>
          <w:szCs w:val="22"/>
          <w:lang w:val="en-US"/>
        </w:rPr>
        <w:t xml:space="preserve">slow </w:t>
      </w:r>
      <w:r w:rsidR="00394260">
        <w:rPr>
          <w:rFonts w:eastAsia="Times New Roman"/>
          <w:bCs/>
          <w:color w:val="000000"/>
          <w:sz w:val="22"/>
          <w:szCs w:val="22"/>
          <w:lang w:val="en-US"/>
        </w:rPr>
        <w:t>violence</w:t>
      </w:r>
      <w:r w:rsidR="00B86498" w:rsidRPr="000A119B">
        <w:rPr>
          <w:rFonts w:eastAsia="Times New Roman"/>
          <w:bCs/>
          <w:color w:val="000000"/>
          <w:sz w:val="22"/>
          <w:szCs w:val="22"/>
          <w:lang w:val="en-US"/>
        </w:rPr>
        <w:t xml:space="preserve"> that pervades people’s lives over long periods of time</w:t>
      </w:r>
      <w:r>
        <w:rPr>
          <w:rFonts w:eastAsia="Times New Roman"/>
          <w:bCs/>
          <w:color w:val="000000"/>
          <w:sz w:val="22"/>
          <w:szCs w:val="22"/>
          <w:lang w:val="en-US"/>
        </w:rPr>
        <w:t xml:space="preserve"> (</w:t>
      </w:r>
      <w:r w:rsidR="00324FDF">
        <w:rPr>
          <w:rFonts w:eastAsia="Times New Roman"/>
          <w:bCs/>
          <w:color w:val="000000"/>
          <w:sz w:val="22"/>
          <w:szCs w:val="22"/>
          <w:lang w:val="en-US"/>
        </w:rPr>
        <w:t>Nixon, 2013</w:t>
      </w:r>
      <w:r>
        <w:rPr>
          <w:rFonts w:eastAsia="Times New Roman"/>
          <w:bCs/>
          <w:color w:val="000000"/>
          <w:sz w:val="22"/>
          <w:szCs w:val="22"/>
          <w:lang w:val="en-US"/>
        </w:rPr>
        <w:t>)</w:t>
      </w:r>
      <w:r w:rsidR="009B7E3A" w:rsidRPr="000A119B">
        <w:rPr>
          <w:rFonts w:eastAsia="Times New Roman"/>
          <w:bCs/>
          <w:color w:val="000000"/>
          <w:sz w:val="22"/>
          <w:szCs w:val="22"/>
          <w:lang w:val="en-US"/>
        </w:rPr>
        <w:t>. </w:t>
      </w:r>
      <w:r w:rsidR="009B7E3A" w:rsidRPr="000A119B">
        <w:rPr>
          <w:rStyle w:val="apple-converted-space"/>
          <w:rFonts w:eastAsia="Times New Roman"/>
          <w:bCs/>
          <w:color w:val="000000"/>
          <w:sz w:val="22"/>
          <w:szCs w:val="22"/>
          <w:lang w:val="en-US"/>
        </w:rPr>
        <w:t> </w:t>
      </w:r>
      <w:r w:rsidR="00B86498" w:rsidRPr="000A119B">
        <w:rPr>
          <w:rFonts w:eastAsia="Times New Roman"/>
          <w:bCs/>
          <w:color w:val="000000"/>
          <w:sz w:val="22"/>
          <w:szCs w:val="22"/>
          <w:lang w:val="en-US"/>
        </w:rPr>
        <w:t xml:space="preserve"> </w:t>
      </w:r>
      <w:r w:rsidR="001F543E" w:rsidRPr="001F543E">
        <w:rPr>
          <w:rFonts w:eastAsia="Times New Roman"/>
          <w:bCs/>
          <w:color w:val="000000"/>
          <w:sz w:val="22"/>
          <w:szCs w:val="22"/>
          <w:lang w:val="en-US"/>
        </w:rPr>
        <w:t>It is the slow, deteriorative process of institutional violence imposed by austerity that gives it its force</w:t>
      </w:r>
      <w:r w:rsidR="001F543E">
        <w:rPr>
          <w:rFonts w:eastAsia="Times New Roman"/>
          <w:bCs/>
          <w:color w:val="000000"/>
          <w:sz w:val="22"/>
          <w:szCs w:val="22"/>
          <w:lang w:val="en-US"/>
        </w:rPr>
        <w:t xml:space="preserve">. </w:t>
      </w:r>
      <w:r w:rsidR="00214076">
        <w:rPr>
          <w:rFonts w:eastAsia="Times New Roman"/>
          <w:bCs/>
          <w:color w:val="000000"/>
          <w:sz w:val="22"/>
          <w:szCs w:val="22"/>
          <w:lang w:val="en-US"/>
        </w:rPr>
        <w:t>T</w:t>
      </w:r>
      <w:r w:rsidR="001F543E">
        <w:rPr>
          <w:rFonts w:eastAsia="Times New Roman"/>
          <w:bCs/>
          <w:color w:val="000000"/>
          <w:sz w:val="22"/>
          <w:szCs w:val="22"/>
          <w:lang w:val="en-US"/>
        </w:rPr>
        <w:t>he</w:t>
      </w:r>
      <w:r w:rsidR="00214076">
        <w:rPr>
          <w:rFonts w:eastAsia="Times New Roman"/>
          <w:bCs/>
          <w:color w:val="000000"/>
          <w:sz w:val="22"/>
          <w:szCs w:val="22"/>
          <w:lang w:val="en-US"/>
        </w:rPr>
        <w:t xml:space="preserve"> </w:t>
      </w:r>
      <w:r w:rsidR="001F543E">
        <w:rPr>
          <w:rFonts w:eastAsia="Times New Roman"/>
          <w:bCs/>
          <w:color w:val="000000"/>
          <w:sz w:val="22"/>
          <w:szCs w:val="22"/>
          <w:lang w:val="en-US"/>
        </w:rPr>
        <w:t xml:space="preserve">threat of </w:t>
      </w:r>
      <w:r w:rsidR="001F543E" w:rsidRPr="001F543E">
        <w:rPr>
          <w:rFonts w:eastAsia="Times New Roman"/>
          <w:bCs/>
          <w:color w:val="000000"/>
          <w:sz w:val="22"/>
          <w:szCs w:val="22"/>
          <w:lang w:val="en-US"/>
        </w:rPr>
        <w:t xml:space="preserve">destitution, </w:t>
      </w:r>
      <w:r w:rsidR="001F543E">
        <w:rPr>
          <w:rFonts w:eastAsia="Times New Roman"/>
          <w:bCs/>
          <w:color w:val="000000"/>
          <w:sz w:val="22"/>
          <w:szCs w:val="22"/>
          <w:lang w:val="en-US"/>
        </w:rPr>
        <w:t>repossession</w:t>
      </w:r>
      <w:r w:rsidR="001F543E" w:rsidRPr="001F543E">
        <w:rPr>
          <w:rFonts w:eastAsia="Times New Roman"/>
          <w:bCs/>
          <w:color w:val="000000"/>
          <w:sz w:val="22"/>
          <w:szCs w:val="22"/>
          <w:lang w:val="en-US"/>
        </w:rPr>
        <w:t xml:space="preserve">, deportation, going without a meal or having electricity or gas cut </w:t>
      </w:r>
      <w:r w:rsidR="001F543E">
        <w:rPr>
          <w:rFonts w:eastAsia="Times New Roman"/>
          <w:bCs/>
          <w:color w:val="000000"/>
          <w:sz w:val="22"/>
          <w:szCs w:val="22"/>
          <w:lang w:val="en-US"/>
        </w:rPr>
        <w:t>off</w:t>
      </w:r>
      <w:r w:rsidR="00214076">
        <w:rPr>
          <w:rFonts w:eastAsia="Times New Roman"/>
          <w:bCs/>
          <w:color w:val="000000"/>
          <w:sz w:val="22"/>
          <w:szCs w:val="22"/>
          <w:lang w:val="en-US"/>
        </w:rPr>
        <w:t>,</w:t>
      </w:r>
      <w:r w:rsidR="001F543E">
        <w:rPr>
          <w:rFonts w:eastAsia="Times New Roman"/>
          <w:bCs/>
          <w:color w:val="000000"/>
          <w:sz w:val="22"/>
          <w:szCs w:val="22"/>
          <w:lang w:val="en-US"/>
        </w:rPr>
        <w:t xml:space="preserve"> </w:t>
      </w:r>
      <w:r w:rsidR="001F543E" w:rsidRPr="001F543E">
        <w:rPr>
          <w:rFonts w:eastAsia="Times New Roman"/>
          <w:bCs/>
          <w:color w:val="000000"/>
          <w:sz w:val="22"/>
          <w:szCs w:val="22"/>
          <w:lang w:val="en-US"/>
        </w:rPr>
        <w:t>have now become a very real possibility for a fast-gro</w:t>
      </w:r>
      <w:r w:rsidR="001F543E">
        <w:rPr>
          <w:rFonts w:eastAsia="Times New Roman"/>
          <w:bCs/>
          <w:color w:val="000000"/>
          <w:sz w:val="22"/>
          <w:szCs w:val="22"/>
          <w:lang w:val="en-US"/>
        </w:rPr>
        <w:t>wing section of the population</w:t>
      </w:r>
      <w:r w:rsidR="00FA19FA">
        <w:rPr>
          <w:rFonts w:eastAsia="Times New Roman"/>
          <w:bCs/>
          <w:color w:val="000000"/>
          <w:sz w:val="22"/>
          <w:szCs w:val="22"/>
          <w:lang w:val="en-US"/>
        </w:rPr>
        <w:t>.</w:t>
      </w:r>
      <w:r w:rsidR="004F25FD">
        <w:rPr>
          <w:rFonts w:eastAsia="Times New Roman"/>
          <w:bCs/>
          <w:color w:val="000000"/>
          <w:sz w:val="22"/>
          <w:szCs w:val="22"/>
          <w:lang w:val="en-US"/>
        </w:rPr>
        <w:t xml:space="preserve"> </w:t>
      </w:r>
      <w:r w:rsidR="00F861E2">
        <w:rPr>
          <w:rFonts w:eastAsia="Times New Roman"/>
          <w:bCs/>
          <w:color w:val="000000"/>
          <w:sz w:val="22"/>
          <w:szCs w:val="22"/>
          <w:lang w:val="en-US"/>
        </w:rPr>
        <w:t xml:space="preserve">Of course, we could not describe the </w:t>
      </w:r>
      <w:r w:rsidR="00F861E2" w:rsidRPr="000A119B">
        <w:rPr>
          <w:sz w:val="22"/>
          <w:szCs w:val="22"/>
        </w:rPr>
        <w:t xml:space="preserve">Grenfell Tower </w:t>
      </w:r>
      <w:r w:rsidR="00F861E2">
        <w:rPr>
          <w:rFonts w:eastAsia="Times New Roman"/>
          <w:bCs/>
          <w:color w:val="000000"/>
          <w:sz w:val="22"/>
          <w:szCs w:val="22"/>
          <w:lang w:val="en-US"/>
        </w:rPr>
        <w:t xml:space="preserve">fire itself as an example of “slow violence”, but the </w:t>
      </w:r>
      <w:r w:rsidR="00A15B93" w:rsidRPr="000A119B">
        <w:rPr>
          <w:sz w:val="22"/>
          <w:szCs w:val="22"/>
        </w:rPr>
        <w:t xml:space="preserve">fire </w:t>
      </w:r>
      <w:r w:rsidR="00B03809" w:rsidRPr="000A119B">
        <w:rPr>
          <w:sz w:val="22"/>
          <w:szCs w:val="22"/>
        </w:rPr>
        <w:t xml:space="preserve">is the </w:t>
      </w:r>
      <w:r w:rsidR="009B7E3A" w:rsidRPr="000A119B">
        <w:rPr>
          <w:sz w:val="22"/>
          <w:szCs w:val="22"/>
        </w:rPr>
        <w:t xml:space="preserve">outcome of </w:t>
      </w:r>
      <w:r w:rsidR="00570C85" w:rsidRPr="000A119B">
        <w:rPr>
          <w:sz w:val="22"/>
          <w:szCs w:val="22"/>
        </w:rPr>
        <w:t>a longer</w:t>
      </w:r>
      <w:r w:rsidR="00F861E2">
        <w:rPr>
          <w:sz w:val="22"/>
          <w:szCs w:val="22"/>
        </w:rPr>
        <w:t>-</w:t>
      </w:r>
      <w:r w:rsidR="00570C85" w:rsidRPr="000A119B">
        <w:rPr>
          <w:sz w:val="22"/>
          <w:szCs w:val="22"/>
        </w:rPr>
        <w:t>term process of</w:t>
      </w:r>
      <w:r w:rsidR="00B86498" w:rsidRPr="000A119B">
        <w:rPr>
          <w:sz w:val="22"/>
          <w:szCs w:val="22"/>
        </w:rPr>
        <w:t xml:space="preserve"> </w:t>
      </w:r>
      <w:r w:rsidR="009B7E3A" w:rsidRPr="000A119B">
        <w:rPr>
          <w:sz w:val="22"/>
          <w:szCs w:val="22"/>
        </w:rPr>
        <w:t xml:space="preserve">institutional violence. </w:t>
      </w:r>
      <w:r w:rsidR="00B86498" w:rsidRPr="000A119B">
        <w:rPr>
          <w:sz w:val="22"/>
          <w:szCs w:val="22"/>
        </w:rPr>
        <w:t xml:space="preserve"> </w:t>
      </w:r>
      <w:r w:rsidR="009B7E3A" w:rsidRPr="000A119B">
        <w:rPr>
          <w:sz w:val="22"/>
          <w:szCs w:val="22"/>
        </w:rPr>
        <w:t xml:space="preserve">Grenfell tenants formed a diverse community, comprising immigrants, migrant workers, welfare recipients and precarious workers. Their socio-economic status mirrored the very population </w:t>
      </w:r>
      <w:r w:rsidR="00B03809" w:rsidRPr="000A119B">
        <w:rPr>
          <w:sz w:val="22"/>
          <w:szCs w:val="22"/>
        </w:rPr>
        <w:t xml:space="preserve">constantly </w:t>
      </w:r>
      <w:r w:rsidR="009B7E3A" w:rsidRPr="000A119B">
        <w:rPr>
          <w:sz w:val="22"/>
          <w:szCs w:val="22"/>
        </w:rPr>
        <w:t>vilified under neoliberal ‘anti-welfa</w:t>
      </w:r>
      <w:r w:rsidR="00C46641" w:rsidRPr="000A119B">
        <w:rPr>
          <w:sz w:val="22"/>
          <w:szCs w:val="22"/>
        </w:rPr>
        <w:t>re ideology’ (</w:t>
      </w:r>
      <w:r w:rsidR="00884DBB" w:rsidRPr="000A119B">
        <w:rPr>
          <w:sz w:val="22"/>
          <w:szCs w:val="22"/>
        </w:rPr>
        <w:t xml:space="preserve">Jensen and Tyler, </w:t>
      </w:r>
      <w:r w:rsidR="00C46641" w:rsidRPr="000A119B">
        <w:rPr>
          <w:sz w:val="22"/>
          <w:szCs w:val="22"/>
        </w:rPr>
        <w:t>2015</w:t>
      </w:r>
      <w:r w:rsidR="009B7E3A" w:rsidRPr="000A119B">
        <w:rPr>
          <w:sz w:val="22"/>
          <w:szCs w:val="22"/>
        </w:rPr>
        <w:t>); a</w:t>
      </w:r>
      <w:r w:rsidR="00A4382C" w:rsidRPr="000A119B">
        <w:rPr>
          <w:sz w:val="22"/>
          <w:szCs w:val="22"/>
        </w:rPr>
        <w:t xml:space="preserve"> political</w:t>
      </w:r>
      <w:r w:rsidR="00884DBB" w:rsidRPr="000A119B">
        <w:rPr>
          <w:sz w:val="22"/>
          <w:szCs w:val="22"/>
        </w:rPr>
        <w:t xml:space="preserve"> ideology that has taken a </w:t>
      </w:r>
      <w:r w:rsidR="009B7E3A" w:rsidRPr="000A119B">
        <w:rPr>
          <w:sz w:val="22"/>
          <w:szCs w:val="22"/>
        </w:rPr>
        <w:t>venomous turn under austerity</w:t>
      </w:r>
      <w:r w:rsidR="00B03809" w:rsidRPr="000A119B">
        <w:rPr>
          <w:sz w:val="22"/>
          <w:szCs w:val="22"/>
        </w:rPr>
        <w:t xml:space="preserve"> politics</w:t>
      </w:r>
      <w:r w:rsidR="00884DBB" w:rsidRPr="000A119B">
        <w:rPr>
          <w:sz w:val="22"/>
          <w:szCs w:val="22"/>
        </w:rPr>
        <w:t xml:space="preserve"> (Burnett, </w:t>
      </w:r>
      <w:r w:rsidR="009B7E3A" w:rsidRPr="000A119B">
        <w:rPr>
          <w:sz w:val="22"/>
          <w:szCs w:val="22"/>
        </w:rPr>
        <w:t xml:space="preserve">2017). </w:t>
      </w:r>
      <w:r w:rsidR="000A7001" w:rsidRPr="000A119B">
        <w:rPr>
          <w:sz w:val="22"/>
          <w:szCs w:val="22"/>
        </w:rPr>
        <w:t xml:space="preserve"> </w:t>
      </w:r>
    </w:p>
    <w:p w14:paraId="3FD9487B" w14:textId="77777777" w:rsidR="006D4FE5" w:rsidRDefault="006D4FE5" w:rsidP="00F861E2">
      <w:pPr>
        <w:shd w:val="clear" w:color="auto" w:fill="FFFFFF"/>
        <w:jc w:val="both"/>
        <w:rPr>
          <w:sz w:val="22"/>
          <w:szCs w:val="22"/>
        </w:rPr>
      </w:pPr>
    </w:p>
    <w:p w14:paraId="665B5ECF" w14:textId="414CC3AB" w:rsidR="00240D21" w:rsidRPr="000A119B" w:rsidRDefault="006D4FE5" w:rsidP="00F861E2">
      <w:pPr>
        <w:shd w:val="clear" w:color="auto" w:fill="FFFFFF"/>
        <w:jc w:val="both"/>
        <w:rPr>
          <w:sz w:val="22"/>
          <w:szCs w:val="22"/>
        </w:rPr>
      </w:pPr>
      <w:r>
        <w:rPr>
          <w:sz w:val="22"/>
          <w:szCs w:val="22"/>
          <w:lang w:eastAsia="ar-SA"/>
        </w:rPr>
        <w:t>Although</w:t>
      </w:r>
      <w:r w:rsidRPr="000A119B">
        <w:rPr>
          <w:sz w:val="22"/>
          <w:szCs w:val="22"/>
          <w:lang w:eastAsia="ar-SA"/>
        </w:rPr>
        <w:t xml:space="preserve"> </w:t>
      </w:r>
      <w:r w:rsidR="000A7001" w:rsidRPr="000A119B">
        <w:rPr>
          <w:sz w:val="22"/>
          <w:szCs w:val="22"/>
          <w:lang w:eastAsia="ar-SA"/>
        </w:rPr>
        <w:t xml:space="preserve">the state once acted as an important buffer against the private market and provided a vital source of protection, austerity </w:t>
      </w:r>
      <w:r w:rsidR="000A7001" w:rsidRPr="000A119B">
        <w:rPr>
          <w:sz w:val="22"/>
          <w:szCs w:val="22"/>
        </w:rPr>
        <w:t>governments have plunged</w:t>
      </w:r>
      <w:r w:rsidR="00A4382C" w:rsidRPr="000A119B">
        <w:rPr>
          <w:sz w:val="22"/>
          <w:szCs w:val="22"/>
        </w:rPr>
        <w:t xml:space="preserve"> </w:t>
      </w:r>
      <w:r w:rsidR="00774CFA" w:rsidRPr="000A119B">
        <w:rPr>
          <w:sz w:val="22"/>
          <w:szCs w:val="22"/>
        </w:rPr>
        <w:t>working class communities</w:t>
      </w:r>
      <w:r w:rsidR="00B86498" w:rsidRPr="000A119B">
        <w:rPr>
          <w:sz w:val="22"/>
          <w:szCs w:val="22"/>
        </w:rPr>
        <w:t xml:space="preserve"> </w:t>
      </w:r>
      <w:r w:rsidR="000A7001" w:rsidRPr="000A119B">
        <w:rPr>
          <w:sz w:val="22"/>
          <w:szCs w:val="22"/>
        </w:rPr>
        <w:t xml:space="preserve">into a perpetual state of anxiety and distress. </w:t>
      </w:r>
      <w:r w:rsidR="009B7E3A" w:rsidRPr="000A119B">
        <w:rPr>
          <w:sz w:val="22"/>
          <w:szCs w:val="22"/>
        </w:rPr>
        <w:t>In 2010, the former Chancellor of the Exchequer</w:t>
      </w:r>
      <w:r w:rsidR="000A7001" w:rsidRPr="000A119B">
        <w:rPr>
          <w:sz w:val="22"/>
          <w:szCs w:val="22"/>
        </w:rPr>
        <w:t>, George Osborne,</w:t>
      </w:r>
      <w:r w:rsidR="00B03809" w:rsidRPr="000A119B">
        <w:rPr>
          <w:sz w:val="22"/>
          <w:szCs w:val="22"/>
        </w:rPr>
        <w:t xml:space="preserve"> </w:t>
      </w:r>
      <w:r w:rsidR="00B67A6B">
        <w:rPr>
          <w:sz w:val="22"/>
          <w:szCs w:val="22"/>
        </w:rPr>
        <w:t>attributed</w:t>
      </w:r>
      <w:r w:rsidR="00B03809" w:rsidRPr="000A119B">
        <w:rPr>
          <w:sz w:val="22"/>
          <w:szCs w:val="22"/>
        </w:rPr>
        <w:t xml:space="preserve"> </w:t>
      </w:r>
      <w:r w:rsidR="009B7E3A" w:rsidRPr="000A119B">
        <w:rPr>
          <w:sz w:val="22"/>
          <w:szCs w:val="22"/>
        </w:rPr>
        <w:t>the growing structural budget deficit problem</w:t>
      </w:r>
      <w:r w:rsidR="00B03809" w:rsidRPr="000A119B">
        <w:rPr>
          <w:sz w:val="22"/>
          <w:szCs w:val="22"/>
        </w:rPr>
        <w:t xml:space="preserve"> </w:t>
      </w:r>
      <w:r w:rsidR="00B67A6B">
        <w:rPr>
          <w:sz w:val="22"/>
          <w:szCs w:val="22"/>
        </w:rPr>
        <w:t>directly to</w:t>
      </w:r>
      <w:r w:rsidR="009B7E3A" w:rsidRPr="000A119B">
        <w:rPr>
          <w:sz w:val="22"/>
          <w:szCs w:val="22"/>
        </w:rPr>
        <w:t xml:space="preserve"> ‘</w:t>
      </w:r>
      <w:r w:rsidR="00B67A6B" w:rsidRPr="00B67A6B">
        <w:rPr>
          <w:sz w:val="22"/>
          <w:szCs w:val="22"/>
        </w:rPr>
        <w:t xml:space="preserve">out of control </w:t>
      </w:r>
      <w:r w:rsidR="00B67A6B">
        <w:rPr>
          <w:sz w:val="22"/>
          <w:szCs w:val="22"/>
        </w:rPr>
        <w:t>welfare costs’</w:t>
      </w:r>
      <w:r w:rsidR="009B7E3A" w:rsidRPr="000A119B">
        <w:rPr>
          <w:sz w:val="22"/>
          <w:szCs w:val="22"/>
        </w:rPr>
        <w:t>.</w:t>
      </w:r>
      <w:r w:rsidR="00B67A6B">
        <w:rPr>
          <w:rStyle w:val="FootnoteReference"/>
          <w:sz w:val="22"/>
          <w:szCs w:val="22"/>
        </w:rPr>
        <w:footnoteReference w:id="9"/>
      </w:r>
      <w:r w:rsidR="009B7E3A" w:rsidRPr="000A119B">
        <w:rPr>
          <w:sz w:val="22"/>
          <w:szCs w:val="22"/>
        </w:rPr>
        <w:t xml:space="preserve"> In crafting </w:t>
      </w:r>
      <w:r w:rsidR="004F25FD">
        <w:rPr>
          <w:sz w:val="22"/>
          <w:szCs w:val="22"/>
        </w:rPr>
        <w:t xml:space="preserve">an </w:t>
      </w:r>
      <w:r w:rsidR="009B7E3A" w:rsidRPr="000A119B">
        <w:rPr>
          <w:sz w:val="22"/>
          <w:szCs w:val="22"/>
        </w:rPr>
        <w:t xml:space="preserve">anti-welfare ideology, </w:t>
      </w:r>
      <w:r w:rsidR="00442039" w:rsidRPr="000A119B">
        <w:rPr>
          <w:sz w:val="22"/>
          <w:szCs w:val="22"/>
        </w:rPr>
        <w:t xml:space="preserve">austerity governments have </w:t>
      </w:r>
      <w:r w:rsidR="004F25FD">
        <w:rPr>
          <w:sz w:val="22"/>
          <w:szCs w:val="22"/>
        </w:rPr>
        <w:t>generated</w:t>
      </w:r>
      <w:r w:rsidR="004F25FD" w:rsidRPr="000A119B">
        <w:rPr>
          <w:sz w:val="22"/>
          <w:szCs w:val="22"/>
        </w:rPr>
        <w:t xml:space="preserve"> </w:t>
      </w:r>
      <w:r w:rsidR="00442039" w:rsidRPr="000A119B">
        <w:rPr>
          <w:sz w:val="22"/>
          <w:szCs w:val="22"/>
        </w:rPr>
        <w:t xml:space="preserve">a </w:t>
      </w:r>
      <w:r w:rsidR="00570C85" w:rsidRPr="000A119B">
        <w:rPr>
          <w:sz w:val="22"/>
          <w:szCs w:val="22"/>
        </w:rPr>
        <w:t xml:space="preserve">major </w:t>
      </w:r>
      <w:r w:rsidR="00442039" w:rsidRPr="000A119B">
        <w:rPr>
          <w:sz w:val="22"/>
          <w:szCs w:val="22"/>
        </w:rPr>
        <w:t xml:space="preserve">upheaval in our welfare institutions and administration, at </w:t>
      </w:r>
      <w:r w:rsidR="007435E5" w:rsidRPr="000A119B">
        <w:rPr>
          <w:sz w:val="22"/>
          <w:szCs w:val="22"/>
        </w:rPr>
        <w:t xml:space="preserve">a </w:t>
      </w:r>
      <w:r w:rsidR="00442039" w:rsidRPr="000A119B">
        <w:rPr>
          <w:sz w:val="22"/>
          <w:szCs w:val="22"/>
        </w:rPr>
        <w:t xml:space="preserve">significant human cost. </w:t>
      </w:r>
      <w:r w:rsidR="00B03809" w:rsidRPr="000A119B">
        <w:rPr>
          <w:sz w:val="22"/>
          <w:szCs w:val="22"/>
        </w:rPr>
        <w:t xml:space="preserve">For the </w:t>
      </w:r>
      <w:r w:rsidR="000A7001" w:rsidRPr="000A119B">
        <w:rPr>
          <w:sz w:val="22"/>
          <w:szCs w:val="22"/>
        </w:rPr>
        <w:t>first time in the history of our</w:t>
      </w:r>
      <w:r w:rsidR="00B03809" w:rsidRPr="000A119B">
        <w:rPr>
          <w:sz w:val="22"/>
          <w:szCs w:val="22"/>
        </w:rPr>
        <w:t xml:space="preserve"> welfare </w:t>
      </w:r>
      <w:r w:rsidR="00A4382C" w:rsidRPr="000A119B">
        <w:rPr>
          <w:sz w:val="22"/>
          <w:szCs w:val="22"/>
        </w:rPr>
        <w:t>state</w:t>
      </w:r>
      <w:r w:rsidR="00B03809" w:rsidRPr="000A119B">
        <w:rPr>
          <w:sz w:val="22"/>
          <w:szCs w:val="22"/>
        </w:rPr>
        <w:t xml:space="preserve"> we are seeing a distinct pattern of death and physical injury </w:t>
      </w:r>
      <w:r w:rsidR="00570C85" w:rsidRPr="000A119B">
        <w:rPr>
          <w:sz w:val="22"/>
          <w:szCs w:val="22"/>
        </w:rPr>
        <w:t>resulting from cuts to welfare provision</w:t>
      </w:r>
      <w:r w:rsidR="00B03809" w:rsidRPr="000A119B">
        <w:rPr>
          <w:sz w:val="22"/>
          <w:szCs w:val="22"/>
        </w:rPr>
        <w:t xml:space="preserve">. Death by </w:t>
      </w:r>
      <w:r w:rsidR="0097479D" w:rsidRPr="000A119B">
        <w:rPr>
          <w:sz w:val="22"/>
          <w:szCs w:val="22"/>
        </w:rPr>
        <w:t>suicide</w:t>
      </w:r>
      <w:r w:rsidR="00D2293F">
        <w:rPr>
          <w:sz w:val="22"/>
          <w:szCs w:val="22"/>
        </w:rPr>
        <w:t xml:space="preserve"> or the rapid deterioration of</w:t>
      </w:r>
      <w:r w:rsidR="0097479D" w:rsidRPr="000A119B">
        <w:rPr>
          <w:sz w:val="22"/>
          <w:szCs w:val="22"/>
        </w:rPr>
        <w:t xml:space="preserve"> </w:t>
      </w:r>
      <w:r w:rsidR="00D2293F" w:rsidRPr="000A119B">
        <w:rPr>
          <w:sz w:val="22"/>
          <w:szCs w:val="22"/>
        </w:rPr>
        <w:t xml:space="preserve">existing health conditions </w:t>
      </w:r>
      <w:r w:rsidR="00B03809" w:rsidRPr="000A119B">
        <w:rPr>
          <w:sz w:val="22"/>
          <w:szCs w:val="22"/>
        </w:rPr>
        <w:t xml:space="preserve">is rapidly becoming </w:t>
      </w:r>
      <w:r w:rsidR="00D2293F">
        <w:rPr>
          <w:sz w:val="22"/>
          <w:szCs w:val="22"/>
        </w:rPr>
        <w:t>a</w:t>
      </w:r>
      <w:r w:rsidR="00D2293F" w:rsidRPr="000A119B">
        <w:rPr>
          <w:sz w:val="22"/>
          <w:szCs w:val="22"/>
        </w:rPr>
        <w:t xml:space="preserve"> </w:t>
      </w:r>
      <w:r w:rsidR="0097479D" w:rsidRPr="000A119B">
        <w:rPr>
          <w:sz w:val="22"/>
          <w:szCs w:val="22"/>
        </w:rPr>
        <w:t>norm</w:t>
      </w:r>
      <w:r w:rsidR="00D2293F">
        <w:rPr>
          <w:sz w:val="22"/>
          <w:szCs w:val="22"/>
        </w:rPr>
        <w:t>al outcome of welfare cuts, not least</w:t>
      </w:r>
      <w:r w:rsidR="004F25FD">
        <w:rPr>
          <w:sz w:val="22"/>
          <w:szCs w:val="22"/>
        </w:rPr>
        <w:t xml:space="preserve"> through</w:t>
      </w:r>
      <w:r w:rsidR="00D2293F">
        <w:rPr>
          <w:sz w:val="22"/>
          <w:szCs w:val="22"/>
        </w:rPr>
        <w:t xml:space="preserve"> the vicious conditions imposed in work capability assessments</w:t>
      </w:r>
      <w:r w:rsidR="0061126A" w:rsidRPr="000A119B">
        <w:rPr>
          <w:sz w:val="22"/>
          <w:szCs w:val="22"/>
        </w:rPr>
        <w:t>.</w:t>
      </w:r>
      <w:r w:rsidR="00D2293F">
        <w:rPr>
          <w:sz w:val="22"/>
          <w:szCs w:val="22"/>
        </w:rPr>
        <w:t xml:space="preserve"> </w:t>
      </w:r>
      <w:r w:rsidR="0061126A" w:rsidRPr="000A119B">
        <w:rPr>
          <w:sz w:val="22"/>
          <w:szCs w:val="22"/>
        </w:rPr>
        <w:t xml:space="preserve"> </w:t>
      </w:r>
      <w:r w:rsidR="00240D21" w:rsidRPr="000A119B">
        <w:rPr>
          <w:sz w:val="22"/>
          <w:szCs w:val="22"/>
        </w:rPr>
        <w:t>Another distinct pattern of death</w:t>
      </w:r>
      <w:r w:rsidR="00243984" w:rsidRPr="000A119B">
        <w:rPr>
          <w:sz w:val="22"/>
          <w:szCs w:val="22"/>
        </w:rPr>
        <w:t xml:space="preserve"> </w:t>
      </w:r>
      <w:r w:rsidR="00240D21" w:rsidRPr="000A119B">
        <w:rPr>
          <w:sz w:val="22"/>
          <w:szCs w:val="22"/>
        </w:rPr>
        <w:t xml:space="preserve">emerging is the rise in </w:t>
      </w:r>
      <w:r w:rsidR="00243984" w:rsidRPr="000A119B">
        <w:rPr>
          <w:sz w:val="22"/>
          <w:szCs w:val="22"/>
        </w:rPr>
        <w:t>mortality</w:t>
      </w:r>
      <w:r w:rsidR="00240D21" w:rsidRPr="000A119B">
        <w:rPr>
          <w:sz w:val="22"/>
          <w:szCs w:val="22"/>
        </w:rPr>
        <w:t xml:space="preserve"> among the elderly</w:t>
      </w:r>
      <w:r w:rsidR="00243984" w:rsidRPr="000A119B">
        <w:rPr>
          <w:sz w:val="22"/>
          <w:szCs w:val="22"/>
        </w:rPr>
        <w:t>,</w:t>
      </w:r>
      <w:r w:rsidR="00240D21" w:rsidRPr="000A119B">
        <w:rPr>
          <w:sz w:val="22"/>
          <w:szCs w:val="22"/>
        </w:rPr>
        <w:t xml:space="preserve"> </w:t>
      </w:r>
      <w:r w:rsidR="000D7A0E">
        <w:rPr>
          <w:sz w:val="22"/>
          <w:szCs w:val="22"/>
        </w:rPr>
        <w:t>who are dying</w:t>
      </w:r>
      <w:r w:rsidR="00243984" w:rsidRPr="000A119B">
        <w:rPr>
          <w:sz w:val="22"/>
          <w:szCs w:val="22"/>
        </w:rPr>
        <w:t xml:space="preserve"> prematurely at a time when</w:t>
      </w:r>
      <w:r w:rsidR="00240D21" w:rsidRPr="000A119B">
        <w:rPr>
          <w:sz w:val="22"/>
          <w:szCs w:val="22"/>
        </w:rPr>
        <w:t xml:space="preserve"> </w:t>
      </w:r>
      <w:r w:rsidR="000D7A0E">
        <w:rPr>
          <w:sz w:val="22"/>
          <w:szCs w:val="22"/>
        </w:rPr>
        <w:t xml:space="preserve">the provision of </w:t>
      </w:r>
      <w:r w:rsidR="00240D21" w:rsidRPr="000A119B">
        <w:rPr>
          <w:sz w:val="22"/>
          <w:szCs w:val="22"/>
        </w:rPr>
        <w:t>social care</w:t>
      </w:r>
      <w:r w:rsidR="000D7A0E">
        <w:rPr>
          <w:sz w:val="22"/>
          <w:szCs w:val="22"/>
        </w:rPr>
        <w:t xml:space="preserve"> is</w:t>
      </w:r>
      <w:r w:rsidR="00240D21" w:rsidRPr="000A119B">
        <w:rPr>
          <w:sz w:val="22"/>
          <w:szCs w:val="22"/>
        </w:rPr>
        <w:t xml:space="preserve"> in steep decline</w:t>
      </w:r>
      <w:r w:rsidR="000D7A0E">
        <w:rPr>
          <w:sz w:val="22"/>
          <w:szCs w:val="22"/>
        </w:rPr>
        <w:t xml:space="preserve"> (Dorling, 2017)</w:t>
      </w:r>
      <w:r w:rsidR="00243984" w:rsidRPr="000A119B">
        <w:rPr>
          <w:sz w:val="22"/>
          <w:szCs w:val="22"/>
        </w:rPr>
        <w:t xml:space="preserve">. </w:t>
      </w:r>
    </w:p>
    <w:p w14:paraId="5F6F0DDD" w14:textId="77777777" w:rsidR="00B03809" w:rsidRPr="000A119B" w:rsidRDefault="00B03809" w:rsidP="003E02A2">
      <w:pPr>
        <w:jc w:val="both"/>
        <w:rPr>
          <w:sz w:val="22"/>
          <w:szCs w:val="22"/>
        </w:rPr>
      </w:pPr>
    </w:p>
    <w:p w14:paraId="6A93B804" w14:textId="18870E01" w:rsidR="00B514F8" w:rsidRDefault="008678F2" w:rsidP="00410FC6">
      <w:pPr>
        <w:jc w:val="both"/>
        <w:rPr>
          <w:sz w:val="22"/>
          <w:szCs w:val="22"/>
          <w:lang w:val="en-US"/>
        </w:rPr>
      </w:pPr>
      <w:r w:rsidRPr="000A119B">
        <w:rPr>
          <w:sz w:val="22"/>
          <w:szCs w:val="22"/>
        </w:rPr>
        <w:t>T</w:t>
      </w:r>
      <w:r w:rsidR="006D50C2" w:rsidRPr="000A119B">
        <w:rPr>
          <w:sz w:val="22"/>
          <w:szCs w:val="22"/>
        </w:rPr>
        <w:t>he</w:t>
      </w:r>
      <w:r w:rsidR="00354B66" w:rsidRPr="000A119B">
        <w:rPr>
          <w:sz w:val="22"/>
          <w:szCs w:val="22"/>
        </w:rPr>
        <w:t xml:space="preserve"> violent effects of austerity are equally bleak and </w:t>
      </w:r>
      <w:r w:rsidR="001975E8" w:rsidRPr="000A119B">
        <w:rPr>
          <w:sz w:val="22"/>
          <w:szCs w:val="22"/>
        </w:rPr>
        <w:t>protracted</w:t>
      </w:r>
      <w:r w:rsidRPr="000A119B">
        <w:rPr>
          <w:sz w:val="22"/>
          <w:szCs w:val="22"/>
        </w:rPr>
        <w:t xml:space="preserve"> when we examine the everyday practices of our housing institutions</w:t>
      </w:r>
      <w:r w:rsidR="00B514F8" w:rsidRPr="000A119B">
        <w:rPr>
          <w:sz w:val="22"/>
          <w:szCs w:val="22"/>
        </w:rPr>
        <w:t>. In particular, the</w:t>
      </w:r>
      <w:r w:rsidR="00B514F8" w:rsidRPr="000A119B">
        <w:rPr>
          <w:sz w:val="22"/>
          <w:szCs w:val="22"/>
          <w:lang w:val="en-US"/>
        </w:rPr>
        <w:t xml:space="preserve"> ideological attack on social housin</w:t>
      </w:r>
      <w:r w:rsidR="005F51B5" w:rsidRPr="000A119B">
        <w:rPr>
          <w:sz w:val="22"/>
          <w:szCs w:val="22"/>
          <w:lang w:val="en-US"/>
        </w:rPr>
        <w:t xml:space="preserve">g tenants has been palpable and </w:t>
      </w:r>
      <w:r w:rsidR="00570C85" w:rsidRPr="000A119B">
        <w:rPr>
          <w:sz w:val="22"/>
          <w:szCs w:val="22"/>
          <w:lang w:val="en-US"/>
        </w:rPr>
        <w:t xml:space="preserve">indeed </w:t>
      </w:r>
      <w:r w:rsidR="005F51B5" w:rsidRPr="000A119B">
        <w:rPr>
          <w:sz w:val="22"/>
          <w:szCs w:val="22"/>
          <w:lang w:val="en-US"/>
        </w:rPr>
        <w:t xml:space="preserve">had a direct impact on </w:t>
      </w:r>
      <w:r w:rsidR="00B514F8" w:rsidRPr="000A119B">
        <w:rPr>
          <w:sz w:val="22"/>
          <w:szCs w:val="22"/>
        </w:rPr>
        <w:t>Grenfell</w:t>
      </w:r>
      <w:r w:rsidR="00570C85" w:rsidRPr="000A119B">
        <w:rPr>
          <w:sz w:val="22"/>
          <w:szCs w:val="22"/>
        </w:rPr>
        <w:t xml:space="preserve"> Tower</w:t>
      </w:r>
      <w:r w:rsidR="00B514F8" w:rsidRPr="000A119B">
        <w:rPr>
          <w:sz w:val="22"/>
          <w:szCs w:val="22"/>
        </w:rPr>
        <w:t xml:space="preserve"> tenants. </w:t>
      </w:r>
      <w:r w:rsidR="005F51B5" w:rsidRPr="000A119B">
        <w:rPr>
          <w:sz w:val="22"/>
          <w:szCs w:val="22"/>
        </w:rPr>
        <w:t>Under conditions of austerity,</w:t>
      </w:r>
      <w:r w:rsidR="00B514F8" w:rsidRPr="000A119B">
        <w:rPr>
          <w:sz w:val="22"/>
          <w:szCs w:val="22"/>
          <w:lang w:val="en-US"/>
        </w:rPr>
        <w:t xml:space="preserve"> social housing</w:t>
      </w:r>
      <w:r w:rsidR="005F51B5" w:rsidRPr="000A119B">
        <w:rPr>
          <w:sz w:val="22"/>
          <w:szCs w:val="22"/>
          <w:lang w:val="en-US"/>
        </w:rPr>
        <w:t xml:space="preserve"> investment has declined by 60%, </w:t>
      </w:r>
      <w:r w:rsidR="00B514F8" w:rsidRPr="000A119B">
        <w:rPr>
          <w:sz w:val="22"/>
          <w:szCs w:val="22"/>
          <w:lang w:val="en-US"/>
        </w:rPr>
        <w:t>social rent</w:t>
      </w:r>
      <w:r w:rsidR="00AA2FBF" w:rsidRPr="000A119B">
        <w:rPr>
          <w:sz w:val="22"/>
          <w:szCs w:val="22"/>
          <w:lang w:val="en-US"/>
        </w:rPr>
        <w:t>s</w:t>
      </w:r>
      <w:r w:rsidR="005F51B5" w:rsidRPr="000A119B">
        <w:rPr>
          <w:sz w:val="22"/>
          <w:szCs w:val="22"/>
          <w:lang w:val="en-US"/>
        </w:rPr>
        <w:t xml:space="preserve"> </w:t>
      </w:r>
      <w:r w:rsidR="00DD2166" w:rsidRPr="000A119B">
        <w:rPr>
          <w:sz w:val="22"/>
          <w:szCs w:val="22"/>
          <w:lang w:val="en-US"/>
        </w:rPr>
        <w:t>in vacant properties have increased</w:t>
      </w:r>
      <w:r w:rsidR="00DC0484">
        <w:rPr>
          <w:sz w:val="22"/>
          <w:szCs w:val="22"/>
          <w:lang w:val="en-US"/>
        </w:rPr>
        <w:t xml:space="preserve"> by</w:t>
      </w:r>
      <w:r w:rsidR="005E08A4" w:rsidRPr="000A119B">
        <w:rPr>
          <w:sz w:val="22"/>
          <w:szCs w:val="22"/>
          <w:lang w:val="en-US"/>
        </w:rPr>
        <w:t xml:space="preserve"> </w:t>
      </w:r>
      <w:r w:rsidR="00DD2166" w:rsidRPr="000A119B">
        <w:rPr>
          <w:sz w:val="22"/>
          <w:szCs w:val="22"/>
          <w:lang w:val="en-US"/>
        </w:rPr>
        <w:t xml:space="preserve">up </w:t>
      </w:r>
      <w:r w:rsidR="005F51B5" w:rsidRPr="000A119B">
        <w:rPr>
          <w:sz w:val="22"/>
          <w:szCs w:val="22"/>
          <w:lang w:val="en-US"/>
        </w:rPr>
        <w:t xml:space="preserve">to </w:t>
      </w:r>
      <w:r w:rsidR="00410FC6" w:rsidRPr="000A119B">
        <w:rPr>
          <w:sz w:val="22"/>
          <w:szCs w:val="22"/>
          <w:lang w:val="en-US"/>
        </w:rPr>
        <w:t xml:space="preserve">80% of </w:t>
      </w:r>
      <w:r w:rsidR="00DD2166" w:rsidRPr="000A119B">
        <w:rPr>
          <w:sz w:val="22"/>
          <w:szCs w:val="22"/>
          <w:lang w:val="en-US"/>
        </w:rPr>
        <w:t xml:space="preserve">private </w:t>
      </w:r>
      <w:r w:rsidR="005F51B5" w:rsidRPr="000A119B">
        <w:rPr>
          <w:sz w:val="22"/>
          <w:szCs w:val="22"/>
          <w:lang w:val="en-US"/>
        </w:rPr>
        <w:t>market rate</w:t>
      </w:r>
      <w:r w:rsidR="00DD2166" w:rsidRPr="000A119B">
        <w:rPr>
          <w:sz w:val="22"/>
          <w:szCs w:val="22"/>
          <w:lang w:val="en-US"/>
        </w:rPr>
        <w:t xml:space="preserve">s, </w:t>
      </w:r>
      <w:r w:rsidR="006D50C2" w:rsidRPr="000A119B">
        <w:rPr>
          <w:sz w:val="22"/>
          <w:szCs w:val="22"/>
          <w:lang w:val="en-US"/>
        </w:rPr>
        <w:t>and</w:t>
      </w:r>
      <w:r w:rsidR="00B514F8" w:rsidRPr="000A119B">
        <w:rPr>
          <w:sz w:val="22"/>
          <w:szCs w:val="22"/>
          <w:lang w:val="en-US"/>
        </w:rPr>
        <w:t xml:space="preserve"> </w:t>
      </w:r>
      <w:r w:rsidR="005F51B5" w:rsidRPr="000A119B">
        <w:rPr>
          <w:sz w:val="22"/>
          <w:szCs w:val="22"/>
          <w:lang w:val="en-US"/>
        </w:rPr>
        <w:t xml:space="preserve">a </w:t>
      </w:r>
      <w:r w:rsidR="006D50C2" w:rsidRPr="000A119B">
        <w:rPr>
          <w:sz w:val="22"/>
          <w:szCs w:val="22"/>
          <w:lang w:val="en-US"/>
        </w:rPr>
        <w:t>suite of welfare reforms, such</w:t>
      </w:r>
      <w:r w:rsidR="00B514F8" w:rsidRPr="000A119B">
        <w:rPr>
          <w:sz w:val="22"/>
          <w:szCs w:val="22"/>
          <w:lang w:val="en-US"/>
        </w:rPr>
        <w:t xml:space="preserve"> as the Bedroom Tax and Benefit Cap</w:t>
      </w:r>
      <w:r w:rsidR="005F51B5" w:rsidRPr="000A119B">
        <w:rPr>
          <w:sz w:val="22"/>
          <w:szCs w:val="22"/>
          <w:lang w:val="en-US"/>
        </w:rPr>
        <w:t>, have</w:t>
      </w:r>
      <w:r w:rsidR="006D50C2" w:rsidRPr="000A119B">
        <w:rPr>
          <w:sz w:val="22"/>
          <w:szCs w:val="22"/>
          <w:lang w:val="en-US"/>
        </w:rPr>
        <w:t xml:space="preserve"> </w:t>
      </w:r>
      <w:r w:rsidR="004F25FD">
        <w:rPr>
          <w:sz w:val="22"/>
          <w:szCs w:val="22"/>
          <w:lang w:val="en-US"/>
        </w:rPr>
        <w:t>targeted</w:t>
      </w:r>
      <w:r w:rsidR="005F51B5" w:rsidRPr="000A119B">
        <w:rPr>
          <w:sz w:val="22"/>
          <w:szCs w:val="22"/>
          <w:lang w:val="en-US"/>
        </w:rPr>
        <w:t xml:space="preserve"> </w:t>
      </w:r>
      <w:r w:rsidR="006D50C2" w:rsidRPr="000A119B">
        <w:rPr>
          <w:sz w:val="22"/>
          <w:szCs w:val="22"/>
          <w:lang w:val="en-US"/>
        </w:rPr>
        <w:t>social housing tenants</w:t>
      </w:r>
      <w:r w:rsidR="004F25FD" w:rsidRPr="004F25FD">
        <w:rPr>
          <w:sz w:val="22"/>
          <w:szCs w:val="22"/>
          <w:lang w:val="en-US"/>
        </w:rPr>
        <w:t xml:space="preserve"> </w:t>
      </w:r>
      <w:r w:rsidR="004F25FD" w:rsidRPr="000A119B">
        <w:rPr>
          <w:sz w:val="22"/>
          <w:szCs w:val="22"/>
          <w:lang w:val="en-US"/>
        </w:rPr>
        <w:t>disproportionately</w:t>
      </w:r>
      <w:r w:rsidR="006D50C2" w:rsidRPr="000A119B">
        <w:rPr>
          <w:sz w:val="22"/>
          <w:szCs w:val="22"/>
          <w:lang w:val="en-US"/>
        </w:rPr>
        <w:t xml:space="preserve">. </w:t>
      </w:r>
      <w:r w:rsidR="00270E54" w:rsidRPr="000A119B">
        <w:rPr>
          <w:sz w:val="22"/>
          <w:szCs w:val="22"/>
          <w:lang w:val="en-US"/>
        </w:rPr>
        <w:t>Given the impact</w:t>
      </w:r>
      <w:r w:rsidR="00AA2FBF" w:rsidRPr="000A119B">
        <w:rPr>
          <w:sz w:val="22"/>
          <w:szCs w:val="22"/>
          <w:lang w:val="en-US"/>
        </w:rPr>
        <w:t xml:space="preserve"> of these reforms, </w:t>
      </w:r>
      <w:r w:rsidR="00A2107D" w:rsidRPr="000A119B">
        <w:rPr>
          <w:sz w:val="22"/>
          <w:szCs w:val="22"/>
          <w:lang w:val="en-US"/>
        </w:rPr>
        <w:t>one Housing Association was</w:t>
      </w:r>
      <w:r w:rsidR="006038F0" w:rsidRPr="000A119B">
        <w:rPr>
          <w:sz w:val="22"/>
          <w:szCs w:val="22"/>
          <w:lang w:val="en-US"/>
        </w:rPr>
        <w:t xml:space="preserve"> </w:t>
      </w:r>
      <w:r w:rsidR="00270E54" w:rsidRPr="000A119B">
        <w:rPr>
          <w:sz w:val="22"/>
          <w:szCs w:val="22"/>
          <w:lang w:val="en-US"/>
        </w:rPr>
        <w:t xml:space="preserve">initially </w:t>
      </w:r>
      <w:r w:rsidR="006038F0" w:rsidRPr="000A119B">
        <w:rPr>
          <w:sz w:val="22"/>
          <w:szCs w:val="22"/>
          <w:lang w:val="en-US"/>
        </w:rPr>
        <w:t>pu</w:t>
      </w:r>
      <w:r w:rsidR="00270E54" w:rsidRPr="000A119B">
        <w:rPr>
          <w:sz w:val="22"/>
          <w:szCs w:val="22"/>
          <w:lang w:val="en-US"/>
        </w:rPr>
        <w:t>t on ‘suicide watch’, following a</w:t>
      </w:r>
      <w:r w:rsidR="00243984" w:rsidRPr="000A119B">
        <w:rPr>
          <w:sz w:val="22"/>
          <w:szCs w:val="22"/>
          <w:lang w:val="en-US"/>
        </w:rPr>
        <w:t xml:space="preserve"> survey </w:t>
      </w:r>
      <w:r w:rsidR="00270E54" w:rsidRPr="000A119B">
        <w:rPr>
          <w:sz w:val="22"/>
          <w:szCs w:val="22"/>
          <w:lang w:val="en-US"/>
        </w:rPr>
        <w:t xml:space="preserve">that </w:t>
      </w:r>
      <w:r w:rsidR="00DC0484">
        <w:rPr>
          <w:sz w:val="22"/>
          <w:szCs w:val="22"/>
          <w:lang w:val="en-US"/>
        </w:rPr>
        <w:t>found</w:t>
      </w:r>
      <w:r w:rsidR="00243984" w:rsidRPr="000A119B">
        <w:rPr>
          <w:sz w:val="22"/>
          <w:szCs w:val="22"/>
          <w:lang w:val="en-US"/>
        </w:rPr>
        <w:t xml:space="preserve"> 45% of housing staff </w:t>
      </w:r>
      <w:r w:rsidR="005E08A4" w:rsidRPr="000A119B">
        <w:rPr>
          <w:sz w:val="22"/>
          <w:szCs w:val="22"/>
          <w:lang w:val="en-US"/>
        </w:rPr>
        <w:t xml:space="preserve">in </w:t>
      </w:r>
      <w:r w:rsidR="00243984" w:rsidRPr="000A119B">
        <w:rPr>
          <w:sz w:val="22"/>
          <w:szCs w:val="22"/>
          <w:lang w:val="en-US"/>
        </w:rPr>
        <w:t>the North-West</w:t>
      </w:r>
      <w:r w:rsidR="005E08A4" w:rsidRPr="000A119B">
        <w:rPr>
          <w:sz w:val="22"/>
          <w:szCs w:val="22"/>
          <w:lang w:val="en-US"/>
        </w:rPr>
        <w:t xml:space="preserve"> of England</w:t>
      </w:r>
      <w:r w:rsidR="00243984" w:rsidRPr="000A119B">
        <w:rPr>
          <w:sz w:val="22"/>
          <w:szCs w:val="22"/>
          <w:lang w:val="en-US"/>
        </w:rPr>
        <w:t xml:space="preserve"> </w:t>
      </w:r>
      <w:r w:rsidR="00DC0484">
        <w:rPr>
          <w:sz w:val="22"/>
          <w:szCs w:val="22"/>
          <w:lang w:val="en-US"/>
        </w:rPr>
        <w:t xml:space="preserve">had </w:t>
      </w:r>
      <w:r w:rsidR="00A2107D" w:rsidRPr="000A119B">
        <w:rPr>
          <w:sz w:val="22"/>
          <w:szCs w:val="22"/>
          <w:lang w:val="en-US"/>
        </w:rPr>
        <w:t xml:space="preserve">experienced their tenants making suicide threats </w:t>
      </w:r>
      <w:r w:rsidR="006038F0" w:rsidRPr="000A119B">
        <w:rPr>
          <w:sz w:val="22"/>
          <w:szCs w:val="22"/>
          <w:lang w:val="en-US"/>
        </w:rPr>
        <w:t>(</w:t>
      </w:r>
      <w:r w:rsidR="006038F0" w:rsidRPr="000A119B">
        <w:rPr>
          <w:sz w:val="22"/>
          <w:szCs w:val="22"/>
        </w:rPr>
        <w:t>Straightforward and Northern Housing Consortium, 2013)</w:t>
      </w:r>
      <w:r w:rsidR="006038F0" w:rsidRPr="000A119B">
        <w:rPr>
          <w:sz w:val="22"/>
          <w:szCs w:val="22"/>
          <w:lang w:val="en-US"/>
        </w:rPr>
        <w:t xml:space="preserve">. </w:t>
      </w:r>
      <w:r w:rsidR="00B67A6B">
        <w:rPr>
          <w:sz w:val="22"/>
          <w:szCs w:val="22"/>
          <w:lang w:val="en-US"/>
        </w:rPr>
        <w:t xml:space="preserve"> Tenants in both the privately rented and social housing sectors </w:t>
      </w:r>
      <w:r w:rsidR="00AA2FBF" w:rsidRPr="000A119B">
        <w:rPr>
          <w:sz w:val="22"/>
          <w:szCs w:val="22"/>
          <w:lang w:val="en-US"/>
        </w:rPr>
        <w:t>have every reason</w:t>
      </w:r>
      <w:r w:rsidR="00A4382C" w:rsidRPr="000A119B">
        <w:rPr>
          <w:sz w:val="22"/>
          <w:szCs w:val="22"/>
          <w:lang w:val="en-US"/>
        </w:rPr>
        <w:t xml:space="preserve"> to feel anxious and distressed:</w:t>
      </w:r>
      <w:r w:rsidR="00AA2FBF" w:rsidRPr="000A119B">
        <w:rPr>
          <w:sz w:val="22"/>
          <w:szCs w:val="22"/>
          <w:lang w:val="en-US"/>
        </w:rPr>
        <w:t xml:space="preserve"> </w:t>
      </w:r>
      <w:r w:rsidR="00A4382C" w:rsidRPr="000A119B">
        <w:rPr>
          <w:sz w:val="22"/>
          <w:szCs w:val="22"/>
          <w:lang w:val="en-US"/>
        </w:rPr>
        <w:t>t</w:t>
      </w:r>
      <w:r w:rsidR="00B514F8" w:rsidRPr="000A119B">
        <w:rPr>
          <w:sz w:val="22"/>
          <w:szCs w:val="22"/>
          <w:lang w:val="en-US"/>
        </w:rPr>
        <w:t>hese housing reforms send a clear messa</w:t>
      </w:r>
      <w:r w:rsidR="005F51B5" w:rsidRPr="000A119B">
        <w:rPr>
          <w:sz w:val="22"/>
          <w:szCs w:val="22"/>
          <w:lang w:val="en-US"/>
        </w:rPr>
        <w:t xml:space="preserve">ge </w:t>
      </w:r>
      <w:r w:rsidR="00B514F8" w:rsidRPr="000A119B">
        <w:rPr>
          <w:sz w:val="22"/>
          <w:szCs w:val="22"/>
          <w:lang w:val="en-US"/>
        </w:rPr>
        <w:t xml:space="preserve">that they are no longer entitled to the same housing rights and conditions </w:t>
      </w:r>
      <w:r w:rsidR="00DC0484">
        <w:rPr>
          <w:sz w:val="22"/>
          <w:szCs w:val="22"/>
          <w:lang w:val="en-US"/>
        </w:rPr>
        <w:t>provided</w:t>
      </w:r>
      <w:r w:rsidR="002D1305">
        <w:rPr>
          <w:sz w:val="22"/>
          <w:szCs w:val="22"/>
          <w:lang w:val="en-US"/>
        </w:rPr>
        <w:t xml:space="preserve"> under</w:t>
      </w:r>
      <w:r w:rsidR="00B514F8" w:rsidRPr="000A119B">
        <w:rPr>
          <w:sz w:val="22"/>
          <w:szCs w:val="22"/>
          <w:lang w:val="en-US"/>
        </w:rPr>
        <w:t xml:space="preserve"> previous governments. </w:t>
      </w:r>
    </w:p>
    <w:p w14:paraId="73CC034F" w14:textId="77777777" w:rsidR="00B514F8" w:rsidRPr="000A119B" w:rsidRDefault="00B514F8" w:rsidP="00410FC6">
      <w:pPr>
        <w:jc w:val="both"/>
        <w:rPr>
          <w:sz w:val="22"/>
          <w:szCs w:val="22"/>
          <w:lang w:val="en-US"/>
        </w:rPr>
      </w:pPr>
    </w:p>
    <w:p w14:paraId="6947F000" w14:textId="4768DAD4" w:rsidR="00C8424C" w:rsidRDefault="00BC7CB6" w:rsidP="00410FC6">
      <w:pPr>
        <w:jc w:val="both"/>
        <w:rPr>
          <w:sz w:val="22"/>
          <w:szCs w:val="22"/>
          <w:lang w:val="en-US"/>
        </w:rPr>
      </w:pPr>
      <w:r>
        <w:rPr>
          <w:sz w:val="22"/>
          <w:szCs w:val="22"/>
          <w:lang w:val="en-US"/>
        </w:rPr>
        <w:t>A combination of</w:t>
      </w:r>
      <w:r w:rsidRPr="000A119B">
        <w:rPr>
          <w:sz w:val="22"/>
          <w:szCs w:val="22"/>
          <w:lang w:val="en-US"/>
        </w:rPr>
        <w:t xml:space="preserve"> </w:t>
      </w:r>
      <w:r w:rsidR="00C8424C">
        <w:rPr>
          <w:sz w:val="22"/>
          <w:szCs w:val="22"/>
          <w:lang w:val="en-US"/>
        </w:rPr>
        <w:t>national and local</w:t>
      </w:r>
      <w:r w:rsidR="00D82435" w:rsidRPr="00D82435">
        <w:rPr>
          <w:sz w:val="22"/>
          <w:szCs w:val="22"/>
          <w:lang w:val="en-US"/>
        </w:rPr>
        <w:t xml:space="preserve"> </w:t>
      </w:r>
      <w:r w:rsidR="00D82435">
        <w:rPr>
          <w:sz w:val="22"/>
          <w:szCs w:val="22"/>
          <w:lang w:val="en-US"/>
        </w:rPr>
        <w:t>austerity policies</w:t>
      </w:r>
      <w:r w:rsidR="00C8424C">
        <w:rPr>
          <w:sz w:val="22"/>
          <w:szCs w:val="22"/>
          <w:lang w:val="en-US"/>
        </w:rPr>
        <w:t>,</w:t>
      </w:r>
      <w:r w:rsidR="00C8424C" w:rsidRPr="000A119B">
        <w:rPr>
          <w:sz w:val="22"/>
          <w:szCs w:val="22"/>
          <w:lang w:val="en-US"/>
        </w:rPr>
        <w:t xml:space="preserve"> </w:t>
      </w:r>
      <w:r w:rsidR="00B67A6B">
        <w:rPr>
          <w:sz w:val="22"/>
          <w:szCs w:val="22"/>
          <w:lang w:val="en-US"/>
        </w:rPr>
        <w:t xml:space="preserve">have culminated in a form of social cleansing </w:t>
      </w:r>
      <w:r w:rsidR="005F51B5" w:rsidRPr="000A119B">
        <w:rPr>
          <w:sz w:val="22"/>
          <w:szCs w:val="22"/>
          <w:lang w:val="en-US"/>
        </w:rPr>
        <w:t>(Minton, 2017)</w:t>
      </w:r>
      <w:r w:rsidR="00340491">
        <w:rPr>
          <w:sz w:val="22"/>
          <w:szCs w:val="22"/>
          <w:lang w:val="en-US"/>
        </w:rPr>
        <w:t xml:space="preserve">, </w:t>
      </w:r>
      <w:r w:rsidR="00D82435">
        <w:rPr>
          <w:sz w:val="22"/>
          <w:szCs w:val="22"/>
          <w:lang w:val="en-US"/>
        </w:rPr>
        <w:t>that targets working class</w:t>
      </w:r>
      <w:r w:rsidR="005F51B5" w:rsidRPr="000A119B">
        <w:rPr>
          <w:sz w:val="22"/>
          <w:szCs w:val="22"/>
          <w:lang w:val="en-US"/>
        </w:rPr>
        <w:t xml:space="preserve"> </w:t>
      </w:r>
      <w:r w:rsidR="00A4382C" w:rsidRPr="000A119B">
        <w:rPr>
          <w:sz w:val="22"/>
          <w:szCs w:val="22"/>
          <w:lang w:val="en-US"/>
        </w:rPr>
        <w:t>communities</w:t>
      </w:r>
      <w:r w:rsidR="00D82435">
        <w:rPr>
          <w:sz w:val="22"/>
          <w:szCs w:val="22"/>
          <w:lang w:val="en-US"/>
        </w:rPr>
        <w:t>, like people living in North Kensington,</w:t>
      </w:r>
      <w:r w:rsidR="00A4382C" w:rsidRPr="000A119B">
        <w:rPr>
          <w:sz w:val="22"/>
          <w:szCs w:val="22"/>
          <w:lang w:val="en-US"/>
        </w:rPr>
        <w:t xml:space="preserve"> </w:t>
      </w:r>
      <w:r w:rsidR="00D82435">
        <w:rPr>
          <w:sz w:val="22"/>
          <w:szCs w:val="22"/>
          <w:lang w:val="en-US"/>
        </w:rPr>
        <w:t>and</w:t>
      </w:r>
      <w:r w:rsidR="005F51B5" w:rsidRPr="000A119B">
        <w:rPr>
          <w:sz w:val="22"/>
          <w:szCs w:val="22"/>
          <w:lang w:val="en-US"/>
        </w:rPr>
        <w:t xml:space="preserve"> </w:t>
      </w:r>
      <w:r w:rsidR="00161E55" w:rsidRPr="000A119B">
        <w:rPr>
          <w:sz w:val="22"/>
          <w:szCs w:val="22"/>
          <w:lang w:val="en-US"/>
        </w:rPr>
        <w:t>displace</w:t>
      </w:r>
      <w:r w:rsidR="00D82435">
        <w:rPr>
          <w:sz w:val="22"/>
          <w:szCs w:val="22"/>
          <w:lang w:val="en-US"/>
        </w:rPr>
        <w:t>s them</w:t>
      </w:r>
      <w:r w:rsidR="00161E55" w:rsidRPr="000A119B">
        <w:rPr>
          <w:sz w:val="22"/>
          <w:szCs w:val="22"/>
          <w:lang w:val="en-US"/>
        </w:rPr>
        <w:t xml:space="preserve"> en masse</w:t>
      </w:r>
      <w:r w:rsidR="005F51B5" w:rsidRPr="000A119B">
        <w:rPr>
          <w:sz w:val="22"/>
          <w:szCs w:val="22"/>
          <w:lang w:val="en-US"/>
        </w:rPr>
        <w:t xml:space="preserve">.  </w:t>
      </w:r>
      <w:r w:rsidR="006038F0" w:rsidRPr="000A119B">
        <w:rPr>
          <w:sz w:val="22"/>
          <w:szCs w:val="22"/>
          <w:lang w:val="en-US"/>
        </w:rPr>
        <w:t>E</w:t>
      </w:r>
      <w:r w:rsidR="006B1678" w:rsidRPr="000A119B">
        <w:rPr>
          <w:sz w:val="22"/>
          <w:szCs w:val="22"/>
          <w:lang w:val="en-US"/>
        </w:rPr>
        <w:t>viction</w:t>
      </w:r>
      <w:r w:rsidR="00A4382C" w:rsidRPr="000A119B">
        <w:rPr>
          <w:sz w:val="22"/>
          <w:szCs w:val="22"/>
          <w:lang w:val="en-US"/>
        </w:rPr>
        <w:t xml:space="preserve"> </w:t>
      </w:r>
      <w:r w:rsidR="00AA2FBF" w:rsidRPr="000A119B">
        <w:rPr>
          <w:sz w:val="22"/>
          <w:szCs w:val="22"/>
          <w:lang w:val="en-US"/>
        </w:rPr>
        <w:t xml:space="preserve">is now the most common </w:t>
      </w:r>
      <w:r w:rsidR="00A4382C" w:rsidRPr="000A119B">
        <w:rPr>
          <w:sz w:val="22"/>
          <w:szCs w:val="22"/>
          <w:lang w:val="en-US"/>
        </w:rPr>
        <w:t>weapon</w:t>
      </w:r>
      <w:r w:rsidR="0082316D" w:rsidRPr="000A119B">
        <w:rPr>
          <w:sz w:val="22"/>
          <w:szCs w:val="22"/>
          <w:lang w:val="en-US"/>
        </w:rPr>
        <w:t xml:space="preserve"> </w:t>
      </w:r>
      <w:r w:rsidR="00732CC5" w:rsidRPr="000A119B">
        <w:rPr>
          <w:sz w:val="22"/>
          <w:szCs w:val="22"/>
          <w:lang w:val="en-US"/>
        </w:rPr>
        <w:t xml:space="preserve">routinely </w:t>
      </w:r>
      <w:r w:rsidR="00A4382C" w:rsidRPr="000A119B">
        <w:rPr>
          <w:sz w:val="22"/>
          <w:szCs w:val="22"/>
          <w:lang w:val="en-US"/>
        </w:rPr>
        <w:t>used by housing institutions to force out</w:t>
      </w:r>
      <w:r w:rsidR="006038F0" w:rsidRPr="000A119B">
        <w:rPr>
          <w:sz w:val="22"/>
          <w:szCs w:val="22"/>
          <w:lang w:val="en-US"/>
        </w:rPr>
        <w:t xml:space="preserve"> working class families</w:t>
      </w:r>
      <w:r w:rsidR="00A4382C" w:rsidRPr="000A119B">
        <w:rPr>
          <w:sz w:val="22"/>
          <w:szCs w:val="22"/>
          <w:lang w:val="en-US"/>
        </w:rPr>
        <w:t xml:space="preserve"> and</w:t>
      </w:r>
      <w:r w:rsidR="006038F0" w:rsidRPr="000A119B">
        <w:rPr>
          <w:sz w:val="22"/>
          <w:szCs w:val="22"/>
          <w:lang w:val="en-US"/>
        </w:rPr>
        <w:t xml:space="preserve"> free-up land value</w:t>
      </w:r>
      <w:r w:rsidR="00161E55" w:rsidRPr="000A119B">
        <w:rPr>
          <w:sz w:val="22"/>
          <w:szCs w:val="22"/>
          <w:lang w:val="en-US"/>
        </w:rPr>
        <w:t xml:space="preserve">, often involving the forced removal of whole </w:t>
      </w:r>
      <w:r w:rsidR="0082316D" w:rsidRPr="000A119B">
        <w:rPr>
          <w:sz w:val="22"/>
          <w:szCs w:val="22"/>
          <w:lang w:val="en-US"/>
        </w:rPr>
        <w:t xml:space="preserve">housing </w:t>
      </w:r>
      <w:r w:rsidR="00161E55" w:rsidRPr="000A119B">
        <w:rPr>
          <w:sz w:val="22"/>
          <w:szCs w:val="22"/>
          <w:lang w:val="en-US"/>
        </w:rPr>
        <w:t>estates</w:t>
      </w:r>
      <w:r w:rsidR="00DF20AE">
        <w:rPr>
          <w:sz w:val="22"/>
          <w:szCs w:val="22"/>
          <w:lang w:val="en-US"/>
        </w:rPr>
        <w:t xml:space="preserve"> </w:t>
      </w:r>
      <w:r w:rsidR="00FA16D2">
        <w:rPr>
          <w:sz w:val="22"/>
          <w:szCs w:val="22"/>
          <w:lang w:val="en-US"/>
        </w:rPr>
        <w:t xml:space="preserve">(Paton </w:t>
      </w:r>
      <w:r w:rsidR="00DF20AE">
        <w:rPr>
          <w:sz w:val="22"/>
          <w:szCs w:val="22"/>
          <w:lang w:val="en-US"/>
        </w:rPr>
        <w:t>and</w:t>
      </w:r>
      <w:r w:rsidR="00FA16D2">
        <w:rPr>
          <w:sz w:val="22"/>
          <w:szCs w:val="22"/>
          <w:lang w:val="en-US"/>
        </w:rPr>
        <w:t xml:space="preserve"> Cooper</w:t>
      </w:r>
      <w:r w:rsidR="006038F0" w:rsidRPr="000A119B">
        <w:rPr>
          <w:sz w:val="22"/>
          <w:szCs w:val="22"/>
          <w:lang w:val="en-US"/>
        </w:rPr>
        <w:t xml:space="preserve">, 2016). </w:t>
      </w:r>
      <w:r w:rsidR="00161E55" w:rsidRPr="000A119B">
        <w:rPr>
          <w:sz w:val="22"/>
          <w:szCs w:val="22"/>
          <w:lang w:val="en-US"/>
        </w:rPr>
        <w:t>Eviction</w:t>
      </w:r>
      <w:r w:rsidR="00A4382C" w:rsidRPr="000A119B">
        <w:rPr>
          <w:sz w:val="22"/>
          <w:szCs w:val="22"/>
          <w:lang w:val="en-US"/>
        </w:rPr>
        <w:t xml:space="preserve"> is, in essence, </w:t>
      </w:r>
      <w:r w:rsidR="002D376D" w:rsidRPr="000A119B">
        <w:rPr>
          <w:sz w:val="22"/>
          <w:szCs w:val="22"/>
          <w:lang w:val="en-US"/>
        </w:rPr>
        <w:t xml:space="preserve">a violent </w:t>
      </w:r>
      <w:r w:rsidR="00A4382C" w:rsidRPr="000A119B">
        <w:rPr>
          <w:sz w:val="22"/>
          <w:szCs w:val="22"/>
          <w:lang w:val="en-US"/>
        </w:rPr>
        <w:t>me</w:t>
      </w:r>
      <w:r w:rsidR="00732CC5" w:rsidRPr="000A119B">
        <w:rPr>
          <w:sz w:val="22"/>
          <w:szCs w:val="22"/>
          <w:lang w:val="en-US"/>
        </w:rPr>
        <w:t>asure</w:t>
      </w:r>
      <w:r w:rsidR="00A4382C" w:rsidRPr="000A119B">
        <w:rPr>
          <w:sz w:val="22"/>
          <w:szCs w:val="22"/>
          <w:lang w:val="en-US"/>
        </w:rPr>
        <w:t>,</w:t>
      </w:r>
      <w:r w:rsidR="002D376D" w:rsidRPr="000A119B">
        <w:rPr>
          <w:sz w:val="22"/>
          <w:szCs w:val="22"/>
          <w:lang w:val="en-US"/>
        </w:rPr>
        <w:t xml:space="preserve"> involving techniques of forced entry and the physical removal of people</w:t>
      </w:r>
      <w:r w:rsidR="00B74AED" w:rsidRPr="000A119B">
        <w:rPr>
          <w:sz w:val="22"/>
          <w:szCs w:val="22"/>
          <w:lang w:val="en-US"/>
        </w:rPr>
        <w:t xml:space="preserve"> </w:t>
      </w:r>
      <w:r w:rsidR="002D376D" w:rsidRPr="000A119B">
        <w:rPr>
          <w:sz w:val="22"/>
          <w:szCs w:val="22"/>
          <w:lang w:val="en-US"/>
        </w:rPr>
        <w:t>from their homes carried out by baili</w:t>
      </w:r>
      <w:r w:rsidR="00441785" w:rsidRPr="000A119B">
        <w:rPr>
          <w:sz w:val="22"/>
          <w:szCs w:val="22"/>
          <w:lang w:val="en-US"/>
        </w:rPr>
        <w:t>ffs and enforcement agents</w:t>
      </w:r>
      <w:r w:rsidR="00A245EF">
        <w:rPr>
          <w:sz w:val="22"/>
          <w:szCs w:val="22"/>
          <w:lang w:val="en-US"/>
        </w:rPr>
        <w:t xml:space="preserve"> (ibid</w:t>
      </w:r>
      <w:r w:rsidR="0082316D" w:rsidRPr="000A119B">
        <w:rPr>
          <w:sz w:val="22"/>
          <w:szCs w:val="22"/>
          <w:lang w:val="en-US"/>
        </w:rPr>
        <w:t>.)</w:t>
      </w:r>
      <w:r w:rsidR="00441785" w:rsidRPr="000A119B">
        <w:rPr>
          <w:sz w:val="22"/>
          <w:szCs w:val="22"/>
          <w:lang w:val="en-US"/>
        </w:rPr>
        <w:t xml:space="preserve">. </w:t>
      </w:r>
      <w:r w:rsidR="001A688C" w:rsidRPr="000A119B">
        <w:rPr>
          <w:sz w:val="22"/>
          <w:szCs w:val="22"/>
          <w:lang w:val="en-US"/>
        </w:rPr>
        <w:t xml:space="preserve"> </w:t>
      </w:r>
      <w:r w:rsidR="00441785" w:rsidRPr="000A119B">
        <w:rPr>
          <w:sz w:val="22"/>
          <w:szCs w:val="22"/>
          <w:lang w:val="en-US"/>
        </w:rPr>
        <w:t>T</w:t>
      </w:r>
      <w:r w:rsidR="00877120" w:rsidRPr="000A119B">
        <w:rPr>
          <w:sz w:val="22"/>
          <w:szCs w:val="22"/>
          <w:lang w:val="en-US"/>
        </w:rPr>
        <w:t>hese violent effects</w:t>
      </w:r>
      <w:r w:rsidR="00441785" w:rsidRPr="000A119B">
        <w:rPr>
          <w:sz w:val="22"/>
          <w:szCs w:val="22"/>
          <w:lang w:val="en-US"/>
        </w:rPr>
        <w:t xml:space="preserve"> also manifest</w:t>
      </w:r>
      <w:r w:rsidR="002D376D" w:rsidRPr="000A119B">
        <w:rPr>
          <w:sz w:val="22"/>
          <w:szCs w:val="22"/>
          <w:lang w:val="en-US"/>
        </w:rPr>
        <w:t xml:space="preserve"> in the build-up to the eviction, where the threat of being evicted induces psychological stress, anxiety and may even trigger the onset of suicidal thoughts (</w:t>
      </w:r>
      <w:r w:rsidR="0082316D" w:rsidRPr="000A119B">
        <w:rPr>
          <w:rFonts w:eastAsia="Times New Roman"/>
          <w:sz w:val="22"/>
          <w:szCs w:val="22"/>
        </w:rPr>
        <w:t>Yerko, 2017</w:t>
      </w:r>
      <w:r w:rsidR="002D376D" w:rsidRPr="000A119B">
        <w:rPr>
          <w:rFonts w:eastAsia="Times New Roman"/>
          <w:sz w:val="22"/>
          <w:szCs w:val="22"/>
        </w:rPr>
        <w:t>).</w:t>
      </w:r>
      <w:r w:rsidR="00F03E14" w:rsidRPr="000A119B">
        <w:rPr>
          <w:rFonts w:eastAsia="Times New Roman"/>
          <w:sz w:val="22"/>
          <w:szCs w:val="22"/>
        </w:rPr>
        <w:t xml:space="preserve"> </w:t>
      </w:r>
    </w:p>
    <w:p w14:paraId="079AC207" w14:textId="5750F499" w:rsidR="00A2107D" w:rsidRPr="000A119B" w:rsidRDefault="00A2107D" w:rsidP="00410FC6">
      <w:pPr>
        <w:jc w:val="both"/>
        <w:rPr>
          <w:sz w:val="22"/>
          <w:szCs w:val="22"/>
          <w:lang w:val="en-US"/>
        </w:rPr>
      </w:pPr>
    </w:p>
    <w:p w14:paraId="5A4AAE6F" w14:textId="4004F041" w:rsidR="00007722" w:rsidRDefault="00C40DBE" w:rsidP="000702F1">
      <w:pPr>
        <w:shd w:val="clear" w:color="auto" w:fill="FFFFFF"/>
        <w:jc w:val="both"/>
        <w:rPr>
          <w:sz w:val="22"/>
          <w:szCs w:val="22"/>
          <w:lang w:eastAsia="ja-JP"/>
        </w:rPr>
      </w:pPr>
      <w:r>
        <w:rPr>
          <w:sz w:val="22"/>
          <w:szCs w:val="22"/>
          <w:lang w:val="en-US"/>
        </w:rPr>
        <w:t>We argue that</w:t>
      </w:r>
      <w:r w:rsidR="00A2107D" w:rsidRPr="000A119B">
        <w:rPr>
          <w:sz w:val="22"/>
          <w:szCs w:val="22"/>
          <w:lang w:val="en-US"/>
        </w:rPr>
        <w:t xml:space="preserve"> Grenfell Tower fire </w:t>
      </w:r>
      <w:r w:rsidR="00F93111" w:rsidRPr="000A119B">
        <w:rPr>
          <w:sz w:val="22"/>
          <w:szCs w:val="22"/>
          <w:lang w:val="en-US"/>
        </w:rPr>
        <w:t xml:space="preserve">occurred in </w:t>
      </w:r>
      <w:r w:rsidR="006D4FE5" w:rsidRPr="000A119B">
        <w:rPr>
          <w:sz w:val="22"/>
          <w:szCs w:val="22"/>
          <w:lang w:val="en-US"/>
        </w:rPr>
        <w:t xml:space="preserve">this </w:t>
      </w:r>
      <w:r w:rsidR="00F93111" w:rsidRPr="000A119B">
        <w:rPr>
          <w:sz w:val="22"/>
          <w:szCs w:val="22"/>
          <w:lang w:val="en-US"/>
        </w:rPr>
        <w:t>context of institutional violen</w:t>
      </w:r>
      <w:r w:rsidR="00C101D3">
        <w:rPr>
          <w:sz w:val="22"/>
          <w:szCs w:val="22"/>
          <w:lang w:val="en-US"/>
        </w:rPr>
        <w:t xml:space="preserve">ce, </w:t>
      </w:r>
      <w:r w:rsidR="00D2293F">
        <w:rPr>
          <w:sz w:val="22"/>
          <w:szCs w:val="22"/>
          <w:lang w:val="en-US"/>
        </w:rPr>
        <w:t xml:space="preserve">a context in which </w:t>
      </w:r>
      <w:r w:rsidR="009F1298">
        <w:rPr>
          <w:sz w:val="22"/>
          <w:szCs w:val="22"/>
          <w:lang w:val="en-US"/>
        </w:rPr>
        <w:t xml:space="preserve">the </w:t>
      </w:r>
      <w:r w:rsidR="00DE6121" w:rsidRPr="000A119B">
        <w:rPr>
          <w:sz w:val="22"/>
          <w:szCs w:val="22"/>
          <w:lang w:val="en-US"/>
        </w:rPr>
        <w:t>palpable disdain for socia</w:t>
      </w:r>
      <w:r w:rsidR="009F1298">
        <w:rPr>
          <w:sz w:val="22"/>
          <w:szCs w:val="22"/>
          <w:lang w:val="en-US"/>
        </w:rPr>
        <w:t>l housing tenant</w:t>
      </w:r>
      <w:r w:rsidR="00D96ACB">
        <w:rPr>
          <w:sz w:val="22"/>
          <w:szCs w:val="22"/>
          <w:lang w:val="en-US"/>
        </w:rPr>
        <w:t>s</w:t>
      </w:r>
      <w:r w:rsidR="009F1298">
        <w:rPr>
          <w:sz w:val="22"/>
          <w:szCs w:val="22"/>
          <w:lang w:val="en-US"/>
        </w:rPr>
        <w:t xml:space="preserve"> </w:t>
      </w:r>
      <w:r w:rsidR="001E7953" w:rsidRPr="000A119B">
        <w:rPr>
          <w:sz w:val="22"/>
          <w:szCs w:val="22"/>
          <w:lang w:val="en-US"/>
        </w:rPr>
        <w:t xml:space="preserve">undoubtedly amplified </w:t>
      </w:r>
      <w:r w:rsidR="00D2293F">
        <w:rPr>
          <w:sz w:val="22"/>
          <w:szCs w:val="22"/>
          <w:lang w:val="en-US"/>
        </w:rPr>
        <w:t xml:space="preserve">a </w:t>
      </w:r>
      <w:r w:rsidR="001E7953" w:rsidRPr="000A119B">
        <w:rPr>
          <w:sz w:val="22"/>
          <w:szCs w:val="22"/>
          <w:lang w:val="en-US"/>
        </w:rPr>
        <w:t>culture of negligence and institutional disregard</w:t>
      </w:r>
      <w:r w:rsidR="00600977">
        <w:rPr>
          <w:sz w:val="22"/>
          <w:szCs w:val="22"/>
          <w:lang w:val="en-US"/>
        </w:rPr>
        <w:t xml:space="preserve"> directed at </w:t>
      </w:r>
      <w:r w:rsidR="009F1298">
        <w:rPr>
          <w:sz w:val="22"/>
          <w:szCs w:val="22"/>
          <w:lang w:val="en-US"/>
        </w:rPr>
        <w:t>Grenfell tenants</w:t>
      </w:r>
      <w:r w:rsidR="001E7953" w:rsidRPr="000A119B">
        <w:rPr>
          <w:sz w:val="22"/>
          <w:szCs w:val="22"/>
          <w:lang w:val="en-US"/>
        </w:rPr>
        <w:t xml:space="preserve">. Evidently, this institutional violence is set to continue. </w:t>
      </w:r>
      <w:r w:rsidR="00FA19FA">
        <w:rPr>
          <w:sz w:val="22"/>
          <w:szCs w:val="22"/>
        </w:rPr>
        <w:t>By the end of March 2018, 294 Grenfell households, including those from the surrounding area were accommodated in temporary accommodation, some of them left without</w:t>
      </w:r>
      <w:r w:rsidR="001311A4" w:rsidRPr="000A119B">
        <w:rPr>
          <w:sz w:val="22"/>
          <w:szCs w:val="22"/>
          <w:lang w:eastAsia="ja-JP"/>
        </w:rPr>
        <w:t xml:space="preserve"> kitchen facilities or proper living conditions. </w:t>
      </w:r>
      <w:r w:rsidR="006E41A8">
        <w:rPr>
          <w:sz w:val="22"/>
          <w:szCs w:val="22"/>
          <w:lang w:eastAsia="ja-JP"/>
        </w:rPr>
        <w:t xml:space="preserve">  </w:t>
      </w:r>
      <w:r w:rsidR="00D96ACB">
        <w:rPr>
          <w:sz w:val="22"/>
          <w:szCs w:val="22"/>
          <w:lang w:eastAsia="ja-JP"/>
        </w:rPr>
        <w:t xml:space="preserve"> </w:t>
      </w:r>
      <w:r w:rsidR="001311A4" w:rsidRPr="000A119B">
        <w:rPr>
          <w:sz w:val="22"/>
          <w:szCs w:val="22"/>
          <w:lang w:eastAsia="ja-JP"/>
        </w:rPr>
        <w:t xml:space="preserve">Grenfell </w:t>
      </w:r>
      <w:r w:rsidR="00FA19FA">
        <w:rPr>
          <w:sz w:val="22"/>
          <w:szCs w:val="22"/>
          <w:lang w:eastAsia="ja-JP"/>
        </w:rPr>
        <w:t>survivors</w:t>
      </w:r>
      <w:r w:rsidR="00FA19FA" w:rsidRPr="000A119B">
        <w:rPr>
          <w:sz w:val="22"/>
          <w:szCs w:val="22"/>
          <w:lang w:eastAsia="ja-JP"/>
        </w:rPr>
        <w:t xml:space="preserve"> </w:t>
      </w:r>
      <w:r w:rsidR="001311A4" w:rsidRPr="000A119B">
        <w:rPr>
          <w:sz w:val="22"/>
          <w:szCs w:val="22"/>
          <w:lang w:eastAsia="ja-JP"/>
        </w:rPr>
        <w:t xml:space="preserve">now count towards the </w:t>
      </w:r>
      <w:r w:rsidR="00AC5156">
        <w:rPr>
          <w:sz w:val="22"/>
          <w:szCs w:val="22"/>
          <w:lang w:eastAsia="ja-JP"/>
        </w:rPr>
        <w:t>60</w:t>
      </w:r>
      <w:r w:rsidR="001311A4" w:rsidRPr="000A119B">
        <w:rPr>
          <w:sz w:val="22"/>
          <w:szCs w:val="22"/>
          <w:lang w:eastAsia="ja-JP"/>
        </w:rPr>
        <w:t xml:space="preserve">% increase in the number of homeless families living in </w:t>
      </w:r>
      <w:r w:rsidR="004932ED">
        <w:rPr>
          <w:sz w:val="22"/>
          <w:szCs w:val="22"/>
          <w:lang w:eastAsia="ja-JP"/>
        </w:rPr>
        <w:t>temporary</w:t>
      </w:r>
      <w:r w:rsidR="004932ED" w:rsidRPr="000A119B">
        <w:rPr>
          <w:sz w:val="22"/>
          <w:szCs w:val="22"/>
          <w:lang w:eastAsia="ja-JP"/>
        </w:rPr>
        <w:t xml:space="preserve"> </w:t>
      </w:r>
      <w:r w:rsidR="001311A4" w:rsidRPr="000A119B">
        <w:rPr>
          <w:sz w:val="22"/>
          <w:szCs w:val="22"/>
          <w:lang w:eastAsia="ja-JP"/>
        </w:rPr>
        <w:t>a</w:t>
      </w:r>
      <w:r w:rsidR="001E7953" w:rsidRPr="000A119B">
        <w:rPr>
          <w:sz w:val="22"/>
          <w:szCs w:val="22"/>
          <w:lang w:eastAsia="ja-JP"/>
        </w:rPr>
        <w:t>ccommodation</w:t>
      </w:r>
      <w:r w:rsidR="00217053">
        <w:rPr>
          <w:sz w:val="22"/>
          <w:szCs w:val="22"/>
          <w:lang w:eastAsia="ja-JP"/>
        </w:rPr>
        <w:t xml:space="preserve"> since 2011</w:t>
      </w:r>
      <w:r w:rsidR="00AC5156">
        <w:rPr>
          <w:sz w:val="22"/>
          <w:szCs w:val="22"/>
          <w:lang w:eastAsia="ja-JP"/>
        </w:rPr>
        <w:t xml:space="preserve"> </w:t>
      </w:r>
      <w:r w:rsidR="004932ED">
        <w:rPr>
          <w:sz w:val="22"/>
          <w:szCs w:val="22"/>
          <w:lang w:eastAsia="ja-JP"/>
        </w:rPr>
        <w:t>(</w:t>
      </w:r>
      <w:r w:rsidR="00217053">
        <w:rPr>
          <w:sz w:val="22"/>
          <w:szCs w:val="22"/>
          <w:lang w:eastAsia="ja-JP"/>
        </w:rPr>
        <w:t>House of Commons 2018</w:t>
      </w:r>
      <w:r w:rsidR="00AC5156">
        <w:rPr>
          <w:sz w:val="22"/>
          <w:szCs w:val="22"/>
          <w:lang w:eastAsia="ja-JP"/>
        </w:rPr>
        <w:t>)</w:t>
      </w:r>
      <w:r w:rsidR="001E7953" w:rsidRPr="000A119B">
        <w:rPr>
          <w:sz w:val="22"/>
          <w:szCs w:val="22"/>
          <w:lang w:eastAsia="ja-JP"/>
        </w:rPr>
        <w:t xml:space="preserve">. And when they are </w:t>
      </w:r>
      <w:r w:rsidR="001311A4" w:rsidRPr="000A119B">
        <w:rPr>
          <w:sz w:val="22"/>
          <w:szCs w:val="22"/>
          <w:lang w:eastAsia="ja-JP"/>
        </w:rPr>
        <w:t>rehoused, they w</w:t>
      </w:r>
      <w:r w:rsidR="001E7953" w:rsidRPr="000A119B">
        <w:rPr>
          <w:sz w:val="22"/>
          <w:szCs w:val="22"/>
          <w:lang w:eastAsia="ja-JP"/>
        </w:rPr>
        <w:t xml:space="preserve">ill not be exempt from the </w:t>
      </w:r>
      <w:r w:rsidR="001311A4" w:rsidRPr="000A119B">
        <w:rPr>
          <w:sz w:val="22"/>
          <w:szCs w:val="22"/>
          <w:lang w:eastAsia="ja-JP"/>
        </w:rPr>
        <w:t>harmful housing policies (</w:t>
      </w:r>
      <w:r w:rsidR="001E7953" w:rsidRPr="000A119B">
        <w:rPr>
          <w:sz w:val="22"/>
          <w:szCs w:val="22"/>
          <w:lang w:eastAsia="ja-JP"/>
        </w:rPr>
        <w:t xml:space="preserve">e.g </w:t>
      </w:r>
      <w:r w:rsidR="001311A4" w:rsidRPr="000A119B">
        <w:rPr>
          <w:sz w:val="22"/>
          <w:szCs w:val="22"/>
          <w:lang w:eastAsia="ja-JP"/>
        </w:rPr>
        <w:t xml:space="preserve">Bedroom Tax and Benefit Cap) that have culminated in the violent, forced removal of people from their homes. Despite </w:t>
      </w:r>
      <w:r w:rsidR="001E7953" w:rsidRPr="000A119B">
        <w:rPr>
          <w:sz w:val="22"/>
          <w:szCs w:val="22"/>
          <w:lang w:eastAsia="ja-JP"/>
        </w:rPr>
        <w:t xml:space="preserve">the scale of harm already done to Grenfell </w:t>
      </w:r>
      <w:r w:rsidR="001311A4" w:rsidRPr="000A119B">
        <w:rPr>
          <w:sz w:val="22"/>
          <w:szCs w:val="22"/>
          <w:lang w:eastAsia="ja-JP"/>
        </w:rPr>
        <w:t xml:space="preserve">tenants, the everyday, routine institutional violence will continue and Grenfell tenants will still subject to all the same austerity policies and anti-immigration laws, as before. </w:t>
      </w:r>
    </w:p>
    <w:p w14:paraId="6F8E157F" w14:textId="77777777" w:rsidR="0021384B" w:rsidRPr="000A119B" w:rsidRDefault="0021384B" w:rsidP="000702F1">
      <w:pPr>
        <w:shd w:val="clear" w:color="auto" w:fill="FFFFFF"/>
        <w:jc w:val="both"/>
        <w:rPr>
          <w:sz w:val="22"/>
          <w:szCs w:val="22"/>
          <w:lang w:val="en-US" w:eastAsia="ja-JP"/>
        </w:rPr>
      </w:pPr>
    </w:p>
    <w:p w14:paraId="30BCA752" w14:textId="1C24F6F5" w:rsidR="002F7EC7" w:rsidRPr="000A119B" w:rsidDel="006D4FE5" w:rsidRDefault="00A3212B" w:rsidP="001A0A18">
      <w:pPr>
        <w:rPr>
          <w:b/>
          <w:sz w:val="22"/>
          <w:szCs w:val="22"/>
          <w:lang w:val="en-US" w:eastAsia="ar-SA"/>
        </w:rPr>
      </w:pPr>
      <w:r w:rsidRPr="000A119B" w:rsidDel="006D4FE5">
        <w:rPr>
          <w:b/>
          <w:sz w:val="22"/>
          <w:szCs w:val="22"/>
          <w:lang w:val="en-US" w:eastAsia="ar-SA"/>
        </w:rPr>
        <w:t>Conclusion</w:t>
      </w:r>
    </w:p>
    <w:p w14:paraId="6558B0F8" w14:textId="77777777" w:rsidR="00B74AED" w:rsidRPr="000A119B" w:rsidRDefault="00B74AED" w:rsidP="003E755F">
      <w:pPr>
        <w:jc w:val="both"/>
        <w:rPr>
          <w:b/>
          <w:sz w:val="22"/>
          <w:szCs w:val="22"/>
          <w:lang w:val="en-US" w:eastAsia="ar-SA"/>
        </w:rPr>
      </w:pPr>
    </w:p>
    <w:p w14:paraId="531BEF28" w14:textId="77777777" w:rsidR="004170E5" w:rsidRDefault="00B74AED" w:rsidP="003E755F">
      <w:pPr>
        <w:jc w:val="both"/>
        <w:rPr>
          <w:sz w:val="22"/>
          <w:szCs w:val="22"/>
          <w:lang w:eastAsia="ar-SA"/>
        </w:rPr>
      </w:pPr>
      <w:r w:rsidRPr="000A119B">
        <w:rPr>
          <w:sz w:val="22"/>
          <w:szCs w:val="22"/>
          <w:lang w:eastAsia="ar-SA"/>
        </w:rPr>
        <w:t>We should have no difficulty at this point in human history in recognising the intimate relationship between violence and politics.   The very long line of 20</w:t>
      </w:r>
      <w:r w:rsidRPr="000A119B">
        <w:rPr>
          <w:sz w:val="22"/>
          <w:szCs w:val="22"/>
          <w:vertAlign w:val="superscript"/>
          <w:lang w:eastAsia="ar-SA"/>
        </w:rPr>
        <w:t>th</w:t>
      </w:r>
      <w:r w:rsidRPr="000A119B">
        <w:rPr>
          <w:sz w:val="22"/>
          <w:szCs w:val="22"/>
          <w:lang w:eastAsia="ar-SA"/>
        </w:rPr>
        <w:t xml:space="preserve"> century thinkers that have exposed in detail the intrinsically violent foundations of the state’s political power include Walter Benjamin (1978), Emma Goldman (2003), Vandana Shiva (1989), Max Weber (2004) and C Wright Mills (2000). Hannah Arendt, whose essay </w:t>
      </w:r>
      <w:r w:rsidRPr="000A119B">
        <w:rPr>
          <w:i/>
          <w:sz w:val="22"/>
          <w:szCs w:val="22"/>
          <w:lang w:eastAsia="ar-SA"/>
        </w:rPr>
        <w:t>On Violence</w:t>
      </w:r>
      <w:r w:rsidRPr="000A119B">
        <w:rPr>
          <w:sz w:val="22"/>
          <w:szCs w:val="22"/>
          <w:lang w:eastAsia="ar-SA"/>
        </w:rPr>
        <w:t xml:space="preserve"> (1970) sought to dissect the relation between political power and the organisation of violence, argued that the use of force to achieve political ends had become so naturalised that the “enormous role that violence plays in human affairs” had become “taken for granted and therefore neglected” (p. 8).</w:t>
      </w:r>
    </w:p>
    <w:p w14:paraId="3872CE86" w14:textId="77777777" w:rsidR="00483312" w:rsidRDefault="00483312" w:rsidP="003E755F">
      <w:pPr>
        <w:jc w:val="both"/>
        <w:rPr>
          <w:sz w:val="22"/>
          <w:szCs w:val="22"/>
          <w:lang w:eastAsia="ar-SA"/>
        </w:rPr>
      </w:pPr>
    </w:p>
    <w:p w14:paraId="1DF5C764" w14:textId="77777777" w:rsidR="00483312" w:rsidRPr="000A119B" w:rsidRDefault="00483312" w:rsidP="00483312">
      <w:pPr>
        <w:jc w:val="both"/>
        <w:rPr>
          <w:sz w:val="22"/>
          <w:szCs w:val="22"/>
          <w:lang w:eastAsia="ar-SA"/>
        </w:rPr>
      </w:pPr>
      <w:r w:rsidRPr="000A119B">
        <w:rPr>
          <w:sz w:val="22"/>
          <w:szCs w:val="22"/>
          <w:lang w:eastAsia="ar-SA"/>
        </w:rPr>
        <w:t xml:space="preserve">The Grenfell fire represents a rare moment in which the violence of contemporary capitalism comes into full view, for all to see.  But in the aftermath, we need to think about how Grenfell is the product of a much larger complex of institutional violence that we are in danger of taking for granted.   The ‘bonfire of red tape’, the sustained attack on social housing and the demonization of the tenants of social housing as undeserving, scroungers and so, are constituent elements that caused the fire, just as the particular decisions to cut corners and use cheap materials were. </w:t>
      </w:r>
    </w:p>
    <w:p w14:paraId="2769B948" w14:textId="77777777" w:rsidR="00483312" w:rsidRDefault="00483312" w:rsidP="003E755F">
      <w:pPr>
        <w:jc w:val="both"/>
        <w:rPr>
          <w:sz w:val="22"/>
          <w:szCs w:val="22"/>
          <w:lang w:eastAsia="ar-SA"/>
        </w:rPr>
      </w:pPr>
    </w:p>
    <w:p w14:paraId="00121483" w14:textId="21876A45" w:rsidR="006F4C15" w:rsidRDefault="006F4C15" w:rsidP="006F4C15">
      <w:pPr>
        <w:jc w:val="both"/>
        <w:rPr>
          <w:sz w:val="22"/>
          <w:szCs w:val="22"/>
          <w:lang w:eastAsia="ar-SA"/>
        </w:rPr>
      </w:pPr>
      <w:r>
        <w:rPr>
          <w:sz w:val="22"/>
          <w:szCs w:val="22"/>
          <w:lang w:eastAsia="ar-SA"/>
        </w:rPr>
        <w:t xml:space="preserve">We can only </w:t>
      </w:r>
      <w:r w:rsidRPr="000A119B">
        <w:rPr>
          <w:sz w:val="22"/>
          <w:szCs w:val="22"/>
        </w:rPr>
        <w:t xml:space="preserve">understand what </w:t>
      </w:r>
      <w:r>
        <w:rPr>
          <w:sz w:val="22"/>
          <w:szCs w:val="22"/>
        </w:rPr>
        <w:t>happened at Grenfell</w:t>
      </w:r>
      <w:r w:rsidRPr="000A119B">
        <w:rPr>
          <w:sz w:val="22"/>
          <w:szCs w:val="22"/>
        </w:rPr>
        <w:t xml:space="preserve"> as </w:t>
      </w:r>
      <w:r>
        <w:rPr>
          <w:sz w:val="22"/>
          <w:szCs w:val="22"/>
        </w:rPr>
        <w:t xml:space="preserve">an institutional chain of events that </w:t>
      </w:r>
      <w:r w:rsidR="00483312">
        <w:rPr>
          <w:sz w:val="22"/>
          <w:szCs w:val="22"/>
        </w:rPr>
        <w:t xml:space="preserve">was </w:t>
      </w:r>
      <w:r w:rsidRPr="000A119B">
        <w:rPr>
          <w:sz w:val="22"/>
          <w:szCs w:val="22"/>
        </w:rPr>
        <w:t xml:space="preserve">framed </w:t>
      </w:r>
      <w:r w:rsidR="00483312">
        <w:rPr>
          <w:sz w:val="22"/>
          <w:szCs w:val="22"/>
        </w:rPr>
        <w:t>by a neo-liberal politics</w:t>
      </w:r>
      <w:r>
        <w:rPr>
          <w:sz w:val="22"/>
          <w:szCs w:val="22"/>
        </w:rPr>
        <w:t xml:space="preserve"> that </w:t>
      </w:r>
      <w:r w:rsidR="00483312">
        <w:rPr>
          <w:sz w:val="22"/>
          <w:szCs w:val="22"/>
        </w:rPr>
        <w:t>promotes</w:t>
      </w:r>
      <w:r>
        <w:rPr>
          <w:sz w:val="22"/>
          <w:szCs w:val="22"/>
        </w:rPr>
        <w:t xml:space="preserve"> the withdrawal of health and safety regulation as a</w:t>
      </w:r>
      <w:r w:rsidR="006645F5">
        <w:rPr>
          <w:sz w:val="22"/>
          <w:szCs w:val="22"/>
        </w:rPr>
        <w:t>n efficient way to ‘improve business’</w:t>
      </w:r>
      <w:r>
        <w:rPr>
          <w:sz w:val="22"/>
          <w:szCs w:val="22"/>
        </w:rPr>
        <w:t>,</w:t>
      </w:r>
      <w:r w:rsidR="006645F5">
        <w:rPr>
          <w:sz w:val="22"/>
          <w:szCs w:val="22"/>
        </w:rPr>
        <w:t xml:space="preserve"> and,</w:t>
      </w:r>
      <w:r>
        <w:rPr>
          <w:sz w:val="22"/>
          <w:szCs w:val="22"/>
        </w:rPr>
        <w:t xml:space="preserve"> under the banner of austerity, </w:t>
      </w:r>
      <w:r w:rsidR="00483312">
        <w:rPr>
          <w:sz w:val="22"/>
          <w:szCs w:val="22"/>
        </w:rPr>
        <w:t xml:space="preserve">permits </w:t>
      </w:r>
      <w:r>
        <w:rPr>
          <w:sz w:val="22"/>
          <w:szCs w:val="22"/>
        </w:rPr>
        <w:t xml:space="preserve">institutions to increase the vulnerability of working-class communities in order to </w:t>
      </w:r>
      <w:r w:rsidR="00483312">
        <w:rPr>
          <w:sz w:val="22"/>
          <w:szCs w:val="22"/>
        </w:rPr>
        <w:t>create</w:t>
      </w:r>
      <w:r>
        <w:rPr>
          <w:sz w:val="22"/>
          <w:szCs w:val="22"/>
        </w:rPr>
        <w:t xml:space="preserve"> </w:t>
      </w:r>
      <w:r w:rsidR="00483312">
        <w:rPr>
          <w:sz w:val="22"/>
          <w:szCs w:val="22"/>
        </w:rPr>
        <w:t>new spaces of accumulation</w:t>
      </w:r>
      <w:r>
        <w:rPr>
          <w:sz w:val="22"/>
          <w:szCs w:val="22"/>
        </w:rPr>
        <w:t xml:space="preserve">. These mundane decisions and targets set by government and administered at institutional level are rarely thought of as violent, but they are. </w:t>
      </w:r>
      <w:r w:rsidR="004170E5">
        <w:rPr>
          <w:sz w:val="22"/>
          <w:szCs w:val="22"/>
          <w:lang w:eastAsia="ar-SA"/>
        </w:rPr>
        <w:t xml:space="preserve">Although the </w:t>
      </w:r>
      <w:r w:rsidR="00911CA2">
        <w:rPr>
          <w:sz w:val="22"/>
          <w:szCs w:val="22"/>
          <w:lang w:eastAsia="ar-SA"/>
        </w:rPr>
        <w:t xml:space="preserve">Grenfell Tower </w:t>
      </w:r>
      <w:r w:rsidR="004170E5">
        <w:rPr>
          <w:sz w:val="22"/>
          <w:szCs w:val="22"/>
          <w:lang w:eastAsia="ar-SA"/>
        </w:rPr>
        <w:t>fire was an exceptional display of extreme violence,</w:t>
      </w:r>
      <w:r w:rsidR="00911CA2">
        <w:rPr>
          <w:sz w:val="22"/>
          <w:szCs w:val="22"/>
          <w:lang w:eastAsia="ar-SA"/>
        </w:rPr>
        <w:t xml:space="preserve"> </w:t>
      </w:r>
      <w:r>
        <w:rPr>
          <w:sz w:val="22"/>
          <w:szCs w:val="22"/>
          <w:lang w:eastAsia="ar-SA"/>
        </w:rPr>
        <w:t xml:space="preserve">the series of events that led to the fire were routine and mundane – the driving down of costs, undercutting health and safety measures and </w:t>
      </w:r>
      <w:r w:rsidR="004469C1">
        <w:rPr>
          <w:sz w:val="22"/>
          <w:szCs w:val="22"/>
          <w:lang w:eastAsia="ar-SA"/>
        </w:rPr>
        <w:t>the systematic refusal to listen to</w:t>
      </w:r>
      <w:r>
        <w:rPr>
          <w:sz w:val="22"/>
          <w:szCs w:val="22"/>
          <w:lang w:eastAsia="ar-SA"/>
        </w:rPr>
        <w:t xml:space="preserve"> tenants</w:t>
      </w:r>
      <w:r w:rsidR="004469C1">
        <w:rPr>
          <w:sz w:val="22"/>
          <w:szCs w:val="22"/>
          <w:lang w:eastAsia="ar-SA"/>
        </w:rPr>
        <w:t xml:space="preserve"> when they warned of the deadly risks they faced.  </w:t>
      </w:r>
      <w:r w:rsidR="00483312">
        <w:rPr>
          <w:sz w:val="22"/>
          <w:szCs w:val="22"/>
          <w:lang w:eastAsia="ar-SA"/>
        </w:rPr>
        <w:t>Precisely the</w:t>
      </w:r>
      <w:r w:rsidR="004469C1">
        <w:rPr>
          <w:sz w:val="22"/>
          <w:szCs w:val="22"/>
          <w:lang w:eastAsia="ar-SA"/>
        </w:rPr>
        <w:t xml:space="preserve"> same experiences of institutional violence </w:t>
      </w:r>
      <w:r w:rsidR="00483312">
        <w:rPr>
          <w:sz w:val="22"/>
          <w:szCs w:val="22"/>
          <w:lang w:eastAsia="ar-SA"/>
        </w:rPr>
        <w:t>can be</w:t>
      </w:r>
      <w:r w:rsidR="004469C1">
        <w:rPr>
          <w:sz w:val="22"/>
          <w:szCs w:val="22"/>
          <w:lang w:eastAsia="ar-SA"/>
        </w:rPr>
        <w:t xml:space="preserve"> found across the country in countless communities.  This is why Grenfell Tower has become such a powerful emblem of austerity Britain.</w:t>
      </w:r>
    </w:p>
    <w:p w14:paraId="6D982ABF" w14:textId="18411E2A" w:rsidR="006F4C15" w:rsidRDefault="006F4C15" w:rsidP="00C97708">
      <w:pPr>
        <w:jc w:val="both"/>
        <w:rPr>
          <w:sz w:val="22"/>
          <w:szCs w:val="22"/>
          <w:lang w:eastAsia="ar-SA"/>
        </w:rPr>
      </w:pPr>
    </w:p>
    <w:p w14:paraId="20FC5300" w14:textId="77777777" w:rsidR="006F4C15" w:rsidRDefault="006F4C15" w:rsidP="00C97708">
      <w:pPr>
        <w:jc w:val="both"/>
        <w:rPr>
          <w:sz w:val="22"/>
          <w:szCs w:val="22"/>
          <w:lang w:eastAsia="ar-SA"/>
        </w:rPr>
      </w:pPr>
    </w:p>
    <w:p w14:paraId="26D6D40B" w14:textId="77777777" w:rsidR="00C94C20" w:rsidRDefault="00C94C20" w:rsidP="00BC7E09">
      <w:pPr>
        <w:jc w:val="both"/>
        <w:rPr>
          <w:sz w:val="22"/>
          <w:szCs w:val="22"/>
          <w:lang w:eastAsia="ar-SA"/>
        </w:rPr>
      </w:pPr>
    </w:p>
    <w:p w14:paraId="741A7F11" w14:textId="77777777" w:rsidR="00E966BA" w:rsidRPr="000A119B" w:rsidRDefault="00E966BA" w:rsidP="003E755F">
      <w:pPr>
        <w:jc w:val="both"/>
        <w:rPr>
          <w:sz w:val="22"/>
          <w:szCs w:val="22"/>
          <w:lang w:eastAsia="ar-SA"/>
        </w:rPr>
      </w:pPr>
    </w:p>
    <w:p w14:paraId="380D16DD" w14:textId="77777777" w:rsidR="007178B7" w:rsidRPr="000A119B" w:rsidRDefault="007178B7" w:rsidP="003E755F">
      <w:pPr>
        <w:jc w:val="both"/>
        <w:rPr>
          <w:sz w:val="22"/>
          <w:szCs w:val="22"/>
          <w:lang w:val="en-US"/>
        </w:rPr>
      </w:pPr>
    </w:p>
    <w:p w14:paraId="6932FDB1" w14:textId="633D9410" w:rsidR="00194ACF" w:rsidRPr="000A119B" w:rsidRDefault="00964B6F" w:rsidP="003E755F">
      <w:pPr>
        <w:jc w:val="both"/>
        <w:rPr>
          <w:b/>
          <w:sz w:val="22"/>
          <w:szCs w:val="22"/>
        </w:rPr>
      </w:pPr>
      <w:r w:rsidRPr="000A119B">
        <w:rPr>
          <w:b/>
          <w:sz w:val="22"/>
          <w:szCs w:val="22"/>
        </w:rPr>
        <w:t>Bibliography</w:t>
      </w:r>
    </w:p>
    <w:p w14:paraId="41793D9D" w14:textId="77777777" w:rsidR="00964B6F" w:rsidRPr="000A119B" w:rsidRDefault="00964B6F" w:rsidP="003E755F">
      <w:pPr>
        <w:jc w:val="both"/>
        <w:rPr>
          <w:sz w:val="22"/>
          <w:szCs w:val="22"/>
        </w:rPr>
      </w:pPr>
    </w:p>
    <w:p w14:paraId="3B8D6891" w14:textId="67DA47E7" w:rsidR="000A119B" w:rsidRPr="000A119B" w:rsidRDefault="001F4675" w:rsidP="000A119B">
      <w:pPr>
        <w:jc w:val="both"/>
        <w:rPr>
          <w:sz w:val="22"/>
          <w:szCs w:val="22"/>
        </w:rPr>
      </w:pPr>
      <w:r>
        <w:rPr>
          <w:sz w:val="22"/>
          <w:szCs w:val="22"/>
        </w:rPr>
        <w:t>ARENDT, H</w:t>
      </w:r>
      <w:r w:rsidR="000A119B" w:rsidRPr="000A119B">
        <w:rPr>
          <w:sz w:val="22"/>
          <w:szCs w:val="22"/>
        </w:rPr>
        <w:t xml:space="preserve"> (1970) </w:t>
      </w:r>
      <w:r w:rsidR="000A119B" w:rsidRPr="002625B3">
        <w:rPr>
          <w:i/>
          <w:sz w:val="22"/>
          <w:szCs w:val="22"/>
        </w:rPr>
        <w:t>On Violence</w:t>
      </w:r>
      <w:r w:rsidR="000A119B" w:rsidRPr="000A119B">
        <w:rPr>
          <w:sz w:val="22"/>
          <w:szCs w:val="22"/>
        </w:rPr>
        <w:t>. New York: Harcourt.</w:t>
      </w:r>
    </w:p>
    <w:p w14:paraId="3AF156E6" w14:textId="77777777" w:rsidR="000A119B" w:rsidRPr="000A119B" w:rsidRDefault="000A119B" w:rsidP="000A119B">
      <w:pPr>
        <w:jc w:val="both"/>
        <w:rPr>
          <w:sz w:val="22"/>
          <w:szCs w:val="22"/>
        </w:rPr>
      </w:pPr>
    </w:p>
    <w:p w14:paraId="3100087A" w14:textId="780E719F" w:rsidR="00D001FB" w:rsidRDefault="00D001FB" w:rsidP="000A119B">
      <w:pPr>
        <w:jc w:val="both"/>
        <w:rPr>
          <w:sz w:val="22"/>
          <w:szCs w:val="22"/>
        </w:rPr>
      </w:pPr>
      <w:r>
        <w:rPr>
          <w:sz w:val="22"/>
          <w:szCs w:val="22"/>
        </w:rPr>
        <w:t>BENJAMIN, J (2017</w:t>
      </w:r>
      <w:r w:rsidRPr="000A119B">
        <w:rPr>
          <w:sz w:val="22"/>
          <w:szCs w:val="22"/>
        </w:rPr>
        <w:t xml:space="preserve">) </w:t>
      </w:r>
      <w:r w:rsidRPr="00D001FB">
        <w:rPr>
          <w:sz w:val="22"/>
          <w:szCs w:val="22"/>
        </w:rPr>
        <w:t>Grenfell Tower and RBKC – victims of austerity? or exponents of shock doctrine?</w:t>
      </w:r>
      <w:r>
        <w:rPr>
          <w:sz w:val="22"/>
          <w:szCs w:val="22"/>
        </w:rPr>
        <w:t xml:space="preserve"> Research for Action blog, 31</w:t>
      </w:r>
      <w:r w:rsidRPr="00D001FB">
        <w:rPr>
          <w:sz w:val="22"/>
          <w:szCs w:val="22"/>
          <w:vertAlign w:val="superscript"/>
        </w:rPr>
        <w:t>st</w:t>
      </w:r>
      <w:r>
        <w:rPr>
          <w:sz w:val="22"/>
          <w:szCs w:val="22"/>
        </w:rPr>
        <w:t xml:space="preserve"> July, 2017. Available online: </w:t>
      </w:r>
      <w:r w:rsidRPr="00D001FB">
        <w:rPr>
          <w:sz w:val="22"/>
          <w:szCs w:val="22"/>
        </w:rPr>
        <w:t>https://researchforaction.uk/grenfell-tower-and-rbkc-victim-of-austerity-or-proponent-of-shock-doctrine</w:t>
      </w:r>
    </w:p>
    <w:p w14:paraId="2B63D20B" w14:textId="77777777" w:rsidR="00D001FB" w:rsidRDefault="00D001FB" w:rsidP="000A119B">
      <w:pPr>
        <w:jc w:val="both"/>
        <w:rPr>
          <w:sz w:val="22"/>
          <w:szCs w:val="22"/>
        </w:rPr>
      </w:pPr>
    </w:p>
    <w:p w14:paraId="579F7ACA" w14:textId="08FF6348" w:rsidR="000A119B" w:rsidRPr="000A119B" w:rsidRDefault="001F4675" w:rsidP="000A119B">
      <w:pPr>
        <w:jc w:val="both"/>
        <w:rPr>
          <w:sz w:val="22"/>
          <w:szCs w:val="22"/>
        </w:rPr>
      </w:pPr>
      <w:r>
        <w:rPr>
          <w:sz w:val="22"/>
          <w:szCs w:val="22"/>
        </w:rPr>
        <w:t>BENJAMIN, W</w:t>
      </w:r>
      <w:r w:rsidR="000A119B" w:rsidRPr="000A119B">
        <w:rPr>
          <w:sz w:val="22"/>
          <w:szCs w:val="22"/>
        </w:rPr>
        <w:t xml:space="preserve"> (1978) Critique of Violence. In Demetz, P. (Ed) </w:t>
      </w:r>
      <w:r w:rsidR="000A119B" w:rsidRPr="002625B3">
        <w:rPr>
          <w:i/>
          <w:sz w:val="22"/>
          <w:szCs w:val="22"/>
        </w:rPr>
        <w:t>Reflections: Essays, Aphorisms and Autobiographical Writings</w:t>
      </w:r>
      <w:r w:rsidR="000A119B" w:rsidRPr="000A119B">
        <w:rPr>
          <w:sz w:val="22"/>
          <w:szCs w:val="22"/>
        </w:rPr>
        <w:t>. New York: Schocken.</w:t>
      </w:r>
    </w:p>
    <w:p w14:paraId="5556428B" w14:textId="77777777" w:rsidR="00494795" w:rsidRPr="00494795" w:rsidRDefault="00494795" w:rsidP="00494795">
      <w:pPr>
        <w:jc w:val="both"/>
        <w:rPr>
          <w:sz w:val="22"/>
          <w:szCs w:val="22"/>
        </w:rPr>
      </w:pPr>
    </w:p>
    <w:p w14:paraId="6943BE36" w14:textId="723D50AC" w:rsidR="00494795" w:rsidRPr="00494795" w:rsidRDefault="00494795" w:rsidP="00494795">
      <w:pPr>
        <w:jc w:val="both"/>
        <w:rPr>
          <w:sz w:val="22"/>
          <w:szCs w:val="22"/>
        </w:rPr>
      </w:pPr>
      <w:r>
        <w:rPr>
          <w:sz w:val="22"/>
          <w:szCs w:val="22"/>
        </w:rPr>
        <w:t xml:space="preserve">BOOTH, R. (2017) </w:t>
      </w:r>
      <w:r w:rsidRPr="00494795">
        <w:rPr>
          <w:sz w:val="22"/>
          <w:szCs w:val="22"/>
        </w:rPr>
        <w:t>Failure to rehouse Grenfell surviv</w:t>
      </w:r>
      <w:r>
        <w:rPr>
          <w:sz w:val="22"/>
          <w:szCs w:val="22"/>
        </w:rPr>
        <w:t xml:space="preserve">ors 'could worsen mental health.  </w:t>
      </w:r>
      <w:r w:rsidRPr="00494795">
        <w:rPr>
          <w:i/>
          <w:sz w:val="22"/>
          <w:szCs w:val="22"/>
        </w:rPr>
        <w:t>The Guardian</w:t>
      </w:r>
      <w:r>
        <w:rPr>
          <w:sz w:val="22"/>
          <w:szCs w:val="22"/>
        </w:rPr>
        <w:t>. 14</w:t>
      </w:r>
      <w:r w:rsidRPr="00494795">
        <w:rPr>
          <w:sz w:val="22"/>
          <w:szCs w:val="22"/>
          <w:vertAlign w:val="superscript"/>
        </w:rPr>
        <w:t>th</w:t>
      </w:r>
      <w:r>
        <w:rPr>
          <w:sz w:val="22"/>
          <w:szCs w:val="22"/>
        </w:rPr>
        <w:t xml:space="preserve"> December.</w:t>
      </w:r>
    </w:p>
    <w:p w14:paraId="66E51726" w14:textId="77777777" w:rsidR="00494795" w:rsidRPr="00494795" w:rsidRDefault="00494795" w:rsidP="00494795">
      <w:pPr>
        <w:jc w:val="both"/>
        <w:rPr>
          <w:sz w:val="22"/>
          <w:szCs w:val="22"/>
        </w:rPr>
      </w:pPr>
    </w:p>
    <w:p w14:paraId="6EB0F43D" w14:textId="690164BD" w:rsidR="000A119B" w:rsidRPr="000A119B" w:rsidRDefault="001F4675" w:rsidP="00494795">
      <w:pPr>
        <w:jc w:val="both"/>
        <w:rPr>
          <w:sz w:val="22"/>
          <w:szCs w:val="22"/>
        </w:rPr>
      </w:pPr>
      <w:r>
        <w:rPr>
          <w:sz w:val="22"/>
          <w:szCs w:val="22"/>
        </w:rPr>
        <w:t>BURNETT</w:t>
      </w:r>
      <w:r w:rsidR="00324FDF">
        <w:rPr>
          <w:sz w:val="22"/>
          <w:szCs w:val="22"/>
        </w:rPr>
        <w:t>,</w:t>
      </w:r>
      <w:r>
        <w:rPr>
          <w:sz w:val="22"/>
          <w:szCs w:val="22"/>
        </w:rPr>
        <w:t xml:space="preserve"> J</w:t>
      </w:r>
      <w:r w:rsidR="00324FDF">
        <w:rPr>
          <w:sz w:val="22"/>
          <w:szCs w:val="22"/>
        </w:rPr>
        <w:t>.</w:t>
      </w:r>
      <w:r>
        <w:rPr>
          <w:sz w:val="22"/>
          <w:szCs w:val="22"/>
        </w:rPr>
        <w:t xml:space="preserve"> </w:t>
      </w:r>
      <w:r w:rsidR="000A119B" w:rsidRPr="000A119B">
        <w:rPr>
          <w:sz w:val="22"/>
          <w:szCs w:val="22"/>
        </w:rPr>
        <w:t xml:space="preserve">(2017) Austerity and the Production of Hate. In Cooper, V. and Whyte, D. (2017) (Eds) </w:t>
      </w:r>
      <w:r w:rsidR="000A119B" w:rsidRPr="002625B3">
        <w:rPr>
          <w:i/>
          <w:sz w:val="22"/>
          <w:szCs w:val="22"/>
        </w:rPr>
        <w:t>The Violence of Austerity</w:t>
      </w:r>
      <w:r w:rsidR="000A119B" w:rsidRPr="000A119B">
        <w:rPr>
          <w:sz w:val="22"/>
          <w:szCs w:val="22"/>
        </w:rPr>
        <w:t>. London: Pluto Press.</w:t>
      </w:r>
    </w:p>
    <w:p w14:paraId="6C262B3F" w14:textId="77777777" w:rsidR="00324FDF" w:rsidRPr="000A119B" w:rsidRDefault="00324FDF" w:rsidP="000A119B">
      <w:pPr>
        <w:jc w:val="both"/>
        <w:rPr>
          <w:sz w:val="22"/>
          <w:szCs w:val="22"/>
        </w:rPr>
      </w:pPr>
    </w:p>
    <w:p w14:paraId="09516791" w14:textId="6CA77BC9" w:rsidR="00324FDF" w:rsidRPr="00324FDF" w:rsidRDefault="00324FDF" w:rsidP="00324FDF">
      <w:pPr>
        <w:jc w:val="both"/>
        <w:rPr>
          <w:sz w:val="22"/>
          <w:szCs w:val="22"/>
        </w:rPr>
      </w:pPr>
      <w:r w:rsidRPr="00324FDF">
        <w:rPr>
          <w:sz w:val="22"/>
          <w:szCs w:val="22"/>
        </w:rPr>
        <w:t xml:space="preserve">CARR, </w:t>
      </w:r>
      <w:r>
        <w:rPr>
          <w:sz w:val="22"/>
          <w:szCs w:val="22"/>
        </w:rPr>
        <w:t xml:space="preserve">H., </w:t>
      </w:r>
      <w:r w:rsidRPr="00324FDF">
        <w:rPr>
          <w:sz w:val="22"/>
          <w:szCs w:val="22"/>
        </w:rPr>
        <w:t xml:space="preserve">COWAN, </w:t>
      </w:r>
      <w:r>
        <w:rPr>
          <w:sz w:val="22"/>
          <w:szCs w:val="22"/>
        </w:rPr>
        <w:t xml:space="preserve">D., </w:t>
      </w:r>
      <w:r w:rsidRPr="00324FDF">
        <w:rPr>
          <w:sz w:val="22"/>
          <w:szCs w:val="22"/>
        </w:rPr>
        <w:t>KIRTON-DARLING, E.</w:t>
      </w:r>
      <w:r>
        <w:rPr>
          <w:sz w:val="22"/>
          <w:szCs w:val="22"/>
        </w:rPr>
        <w:t xml:space="preserve"> and</w:t>
      </w:r>
      <w:r w:rsidRPr="00324FDF">
        <w:rPr>
          <w:sz w:val="22"/>
          <w:szCs w:val="22"/>
        </w:rPr>
        <w:t xml:space="preserve"> BURTONSHAW-GUNN</w:t>
      </w:r>
      <w:r>
        <w:rPr>
          <w:sz w:val="22"/>
          <w:szCs w:val="22"/>
        </w:rPr>
        <w:t xml:space="preserve">, E (2018) </w:t>
      </w:r>
      <w:r w:rsidRPr="00BC1FFE">
        <w:rPr>
          <w:i/>
          <w:sz w:val="22"/>
          <w:szCs w:val="22"/>
        </w:rPr>
        <w:t>Closing The Gaps: Health And Safety At Home</w:t>
      </w:r>
      <w:r>
        <w:rPr>
          <w:sz w:val="22"/>
          <w:szCs w:val="22"/>
        </w:rPr>
        <w:t xml:space="preserve">, Canterbury and Bristol: Universities of Kent and Bristol, available online at: </w:t>
      </w:r>
      <w:r w:rsidRPr="00324FDF">
        <w:rPr>
          <w:sz w:val="22"/>
          <w:szCs w:val="22"/>
        </w:rPr>
        <w:t>https://england.shelter.org.uk/__data/assets/pdf_file/0010/1457551/2017_11_14_Closing_the_Gaps_-_Health_and_Safety_at_Home.pdf.</w:t>
      </w:r>
    </w:p>
    <w:p w14:paraId="31D48465" w14:textId="77777777" w:rsidR="00324FDF" w:rsidRDefault="00324FDF" w:rsidP="000A119B">
      <w:pPr>
        <w:jc w:val="both"/>
        <w:rPr>
          <w:sz w:val="22"/>
          <w:szCs w:val="22"/>
        </w:rPr>
      </w:pPr>
    </w:p>
    <w:p w14:paraId="115F1887" w14:textId="471551EC" w:rsidR="000A119B" w:rsidRPr="000A119B" w:rsidRDefault="001F4675" w:rsidP="000A119B">
      <w:pPr>
        <w:jc w:val="both"/>
        <w:rPr>
          <w:sz w:val="22"/>
          <w:szCs w:val="22"/>
        </w:rPr>
      </w:pPr>
      <w:r>
        <w:rPr>
          <w:sz w:val="22"/>
          <w:szCs w:val="22"/>
        </w:rPr>
        <w:t>CONFORTINI, C</w:t>
      </w:r>
      <w:r w:rsidR="000A119B" w:rsidRPr="000A119B">
        <w:rPr>
          <w:sz w:val="22"/>
          <w:szCs w:val="22"/>
        </w:rPr>
        <w:t xml:space="preserve"> (2006). Galtung, violence, and gender: The case for a peace studies/feminism alliance. </w:t>
      </w:r>
      <w:r w:rsidR="000A119B" w:rsidRPr="002625B3">
        <w:rPr>
          <w:i/>
          <w:sz w:val="22"/>
          <w:szCs w:val="22"/>
        </w:rPr>
        <w:t>Peace and Change</w:t>
      </w:r>
      <w:r w:rsidR="002625B3">
        <w:rPr>
          <w:i/>
          <w:sz w:val="22"/>
          <w:szCs w:val="22"/>
        </w:rPr>
        <w:t>,</w:t>
      </w:r>
      <w:r w:rsidR="000A119B" w:rsidRPr="000A119B">
        <w:rPr>
          <w:sz w:val="22"/>
          <w:szCs w:val="22"/>
        </w:rPr>
        <w:t xml:space="preserve"> </w:t>
      </w:r>
      <w:r w:rsidR="002625B3">
        <w:rPr>
          <w:sz w:val="22"/>
          <w:szCs w:val="22"/>
        </w:rPr>
        <w:t>Vol.</w:t>
      </w:r>
      <w:r w:rsidR="000A119B" w:rsidRPr="000A119B">
        <w:rPr>
          <w:sz w:val="22"/>
          <w:szCs w:val="22"/>
        </w:rPr>
        <w:t>31</w:t>
      </w:r>
      <w:r w:rsidR="002625B3">
        <w:rPr>
          <w:sz w:val="22"/>
          <w:szCs w:val="22"/>
        </w:rPr>
        <w:t>, No.3, p.</w:t>
      </w:r>
      <w:r w:rsidR="000A119B" w:rsidRPr="000A119B">
        <w:rPr>
          <w:sz w:val="22"/>
          <w:szCs w:val="22"/>
        </w:rPr>
        <w:t>333–67</w:t>
      </w:r>
      <w:r w:rsidR="002625B3">
        <w:rPr>
          <w:sz w:val="22"/>
          <w:szCs w:val="22"/>
        </w:rPr>
        <w:t>.</w:t>
      </w:r>
    </w:p>
    <w:p w14:paraId="083CAA1E" w14:textId="77777777" w:rsidR="000A119B" w:rsidRPr="000A119B" w:rsidRDefault="000A119B" w:rsidP="000A119B">
      <w:pPr>
        <w:jc w:val="both"/>
        <w:rPr>
          <w:sz w:val="22"/>
          <w:szCs w:val="22"/>
        </w:rPr>
      </w:pPr>
    </w:p>
    <w:p w14:paraId="023477D8" w14:textId="17BC48E2" w:rsidR="00FA16D2" w:rsidRDefault="00FA16D2" w:rsidP="000A119B">
      <w:pPr>
        <w:jc w:val="both"/>
        <w:rPr>
          <w:sz w:val="22"/>
          <w:szCs w:val="22"/>
        </w:rPr>
      </w:pPr>
      <w:r>
        <w:rPr>
          <w:sz w:val="22"/>
          <w:szCs w:val="22"/>
        </w:rPr>
        <w:t xml:space="preserve">COOPER, V (2015) </w:t>
      </w:r>
      <w:r w:rsidRPr="00FA16D2">
        <w:rPr>
          <w:sz w:val="22"/>
          <w:szCs w:val="22"/>
        </w:rPr>
        <w:t xml:space="preserve">Austerity as bureaucratized and organized violence </w:t>
      </w:r>
      <w:r>
        <w:rPr>
          <w:sz w:val="22"/>
          <w:szCs w:val="22"/>
        </w:rPr>
        <w:t>Open Democracy. 10</w:t>
      </w:r>
      <w:r w:rsidRPr="00FA16D2">
        <w:rPr>
          <w:sz w:val="22"/>
          <w:szCs w:val="22"/>
          <w:vertAlign w:val="superscript"/>
        </w:rPr>
        <w:t>th</w:t>
      </w:r>
      <w:r>
        <w:rPr>
          <w:sz w:val="22"/>
          <w:szCs w:val="22"/>
        </w:rPr>
        <w:t xml:space="preserve"> August.  Available online at: </w:t>
      </w:r>
      <w:r w:rsidRPr="00FA16D2">
        <w:rPr>
          <w:sz w:val="22"/>
          <w:szCs w:val="22"/>
        </w:rPr>
        <w:t>https://www.opendemocracy.net/ourkingdom/vickie-cooper/austerity-as-bureaucratized-and-organized-violence</w:t>
      </w:r>
    </w:p>
    <w:p w14:paraId="6A483B6A" w14:textId="77777777" w:rsidR="00FA16D2" w:rsidRDefault="00FA16D2" w:rsidP="000A119B">
      <w:pPr>
        <w:jc w:val="both"/>
        <w:rPr>
          <w:sz w:val="22"/>
          <w:szCs w:val="22"/>
        </w:rPr>
      </w:pPr>
    </w:p>
    <w:p w14:paraId="1A5707C9" w14:textId="31E64740" w:rsidR="000A119B" w:rsidRPr="000A119B" w:rsidRDefault="009C55ED" w:rsidP="000A119B">
      <w:pPr>
        <w:jc w:val="both"/>
        <w:rPr>
          <w:sz w:val="22"/>
          <w:szCs w:val="22"/>
        </w:rPr>
      </w:pPr>
      <w:r>
        <w:rPr>
          <w:sz w:val="22"/>
          <w:szCs w:val="22"/>
        </w:rPr>
        <w:t>COOPER, V</w:t>
      </w:r>
      <w:r w:rsidR="00DF20AE">
        <w:rPr>
          <w:sz w:val="22"/>
          <w:szCs w:val="22"/>
        </w:rPr>
        <w:t xml:space="preserve"> </w:t>
      </w:r>
      <w:r w:rsidR="002625B3">
        <w:rPr>
          <w:sz w:val="22"/>
          <w:szCs w:val="22"/>
        </w:rPr>
        <w:t>a</w:t>
      </w:r>
      <w:r w:rsidR="0078246A">
        <w:rPr>
          <w:sz w:val="22"/>
          <w:szCs w:val="22"/>
        </w:rPr>
        <w:t xml:space="preserve">nd </w:t>
      </w:r>
      <w:r>
        <w:rPr>
          <w:sz w:val="22"/>
          <w:szCs w:val="22"/>
        </w:rPr>
        <w:t>WHYTE, D (eds.)</w:t>
      </w:r>
      <w:r w:rsidR="0078246A">
        <w:rPr>
          <w:sz w:val="22"/>
          <w:szCs w:val="22"/>
        </w:rPr>
        <w:t xml:space="preserve"> (2017)</w:t>
      </w:r>
      <w:r>
        <w:rPr>
          <w:sz w:val="22"/>
          <w:szCs w:val="22"/>
        </w:rPr>
        <w:t xml:space="preserve"> </w:t>
      </w:r>
      <w:r w:rsidRPr="009C55ED">
        <w:rPr>
          <w:i/>
          <w:sz w:val="22"/>
          <w:szCs w:val="22"/>
        </w:rPr>
        <w:t>The Violence of Austerity</w:t>
      </w:r>
      <w:r>
        <w:rPr>
          <w:sz w:val="22"/>
          <w:szCs w:val="22"/>
        </w:rPr>
        <w:t>, London: Pluto Press.</w:t>
      </w:r>
    </w:p>
    <w:p w14:paraId="17D2570E" w14:textId="77777777" w:rsidR="000A119B" w:rsidRPr="000A119B" w:rsidRDefault="000A119B" w:rsidP="000A119B">
      <w:pPr>
        <w:jc w:val="both"/>
        <w:rPr>
          <w:sz w:val="22"/>
          <w:szCs w:val="22"/>
        </w:rPr>
      </w:pPr>
    </w:p>
    <w:p w14:paraId="7B626DED" w14:textId="443C1500" w:rsidR="000A119B" w:rsidRPr="000A119B" w:rsidRDefault="001F4675" w:rsidP="000A119B">
      <w:pPr>
        <w:jc w:val="both"/>
        <w:rPr>
          <w:sz w:val="22"/>
          <w:szCs w:val="22"/>
        </w:rPr>
      </w:pPr>
      <w:r>
        <w:rPr>
          <w:sz w:val="22"/>
          <w:szCs w:val="22"/>
        </w:rPr>
        <w:t>DORLING, D</w:t>
      </w:r>
      <w:r w:rsidR="000A119B" w:rsidRPr="000A119B">
        <w:rPr>
          <w:sz w:val="22"/>
          <w:szCs w:val="22"/>
        </w:rPr>
        <w:t xml:space="preserve"> (2017). Austerity and Mortality. In Cooper, V. and Whyte, D. (2017) (Eds) The Violence of Austerity. London: Pluto Press.</w:t>
      </w:r>
    </w:p>
    <w:p w14:paraId="0A2025FF" w14:textId="77777777" w:rsidR="000A119B" w:rsidRPr="000A119B" w:rsidRDefault="000A119B" w:rsidP="000A119B">
      <w:pPr>
        <w:jc w:val="both"/>
        <w:rPr>
          <w:sz w:val="22"/>
          <w:szCs w:val="22"/>
        </w:rPr>
      </w:pPr>
    </w:p>
    <w:p w14:paraId="1C841E29" w14:textId="74E6A058" w:rsidR="00536F29" w:rsidRDefault="00536F29" w:rsidP="00536F29">
      <w:pPr>
        <w:jc w:val="both"/>
        <w:rPr>
          <w:sz w:val="22"/>
          <w:szCs w:val="22"/>
        </w:rPr>
      </w:pPr>
      <w:r>
        <w:rPr>
          <w:sz w:val="22"/>
          <w:szCs w:val="22"/>
        </w:rPr>
        <w:t xml:space="preserve">FARMER, P. (2004) An Anthropology of </w:t>
      </w:r>
      <w:r w:rsidRPr="00536F29">
        <w:rPr>
          <w:sz w:val="22"/>
          <w:szCs w:val="22"/>
        </w:rPr>
        <w:t>Structural Violence</w:t>
      </w:r>
      <w:r>
        <w:rPr>
          <w:sz w:val="22"/>
          <w:szCs w:val="22"/>
        </w:rPr>
        <w:t xml:space="preserve">, Current Anthropology, vol. </w:t>
      </w:r>
      <w:r w:rsidRPr="00536F29">
        <w:rPr>
          <w:sz w:val="22"/>
          <w:szCs w:val="22"/>
        </w:rPr>
        <w:t xml:space="preserve">45, </w:t>
      </w:r>
      <w:r>
        <w:rPr>
          <w:sz w:val="22"/>
          <w:szCs w:val="22"/>
        </w:rPr>
        <w:t>no.</w:t>
      </w:r>
      <w:r w:rsidRPr="00536F29">
        <w:rPr>
          <w:sz w:val="22"/>
          <w:szCs w:val="22"/>
        </w:rPr>
        <w:t xml:space="preserve"> 3, </w:t>
      </w:r>
      <w:r>
        <w:rPr>
          <w:sz w:val="22"/>
          <w:szCs w:val="22"/>
        </w:rPr>
        <w:t>pp. 305-325.</w:t>
      </w:r>
    </w:p>
    <w:p w14:paraId="71BCD93B" w14:textId="77777777" w:rsidR="00536F29" w:rsidRDefault="00536F29" w:rsidP="00536F29">
      <w:pPr>
        <w:jc w:val="both"/>
        <w:rPr>
          <w:sz w:val="22"/>
          <w:szCs w:val="22"/>
        </w:rPr>
      </w:pPr>
    </w:p>
    <w:p w14:paraId="0E5E55B9" w14:textId="489879C4" w:rsidR="000A119B" w:rsidRPr="000A119B" w:rsidRDefault="001F4675" w:rsidP="00536F29">
      <w:pPr>
        <w:jc w:val="both"/>
        <w:rPr>
          <w:sz w:val="22"/>
          <w:szCs w:val="22"/>
        </w:rPr>
      </w:pPr>
      <w:r>
        <w:rPr>
          <w:sz w:val="22"/>
          <w:szCs w:val="22"/>
        </w:rPr>
        <w:t>GALTUNG, J</w:t>
      </w:r>
      <w:r w:rsidR="000A119B" w:rsidRPr="000A119B">
        <w:rPr>
          <w:sz w:val="22"/>
          <w:szCs w:val="22"/>
        </w:rPr>
        <w:t xml:space="preserve"> (1969) Violence, Peace, and Peace Research. </w:t>
      </w:r>
      <w:r w:rsidR="000A119B" w:rsidRPr="002625B3">
        <w:rPr>
          <w:i/>
          <w:sz w:val="22"/>
          <w:szCs w:val="22"/>
        </w:rPr>
        <w:t>Journal of Peace Research</w:t>
      </w:r>
      <w:r w:rsidR="000A119B" w:rsidRPr="000A119B">
        <w:rPr>
          <w:sz w:val="22"/>
          <w:szCs w:val="22"/>
        </w:rPr>
        <w:t xml:space="preserve">, </w:t>
      </w:r>
      <w:r w:rsidR="002625B3">
        <w:rPr>
          <w:sz w:val="22"/>
          <w:szCs w:val="22"/>
        </w:rPr>
        <w:t>Vol.</w:t>
      </w:r>
      <w:r w:rsidR="000A119B" w:rsidRPr="000A119B">
        <w:rPr>
          <w:sz w:val="22"/>
          <w:szCs w:val="22"/>
        </w:rPr>
        <w:t>6</w:t>
      </w:r>
      <w:r w:rsidR="002625B3">
        <w:rPr>
          <w:sz w:val="22"/>
          <w:szCs w:val="22"/>
        </w:rPr>
        <w:t>,  No.3, p.</w:t>
      </w:r>
      <w:r w:rsidR="000A119B" w:rsidRPr="000A119B">
        <w:rPr>
          <w:sz w:val="22"/>
          <w:szCs w:val="22"/>
        </w:rPr>
        <w:t xml:space="preserve">167–91. </w:t>
      </w:r>
    </w:p>
    <w:p w14:paraId="540B4284" w14:textId="77777777" w:rsidR="000A119B" w:rsidRPr="000A119B" w:rsidRDefault="000A119B" w:rsidP="000A119B">
      <w:pPr>
        <w:jc w:val="both"/>
        <w:rPr>
          <w:sz w:val="22"/>
          <w:szCs w:val="22"/>
        </w:rPr>
      </w:pPr>
    </w:p>
    <w:p w14:paraId="4F03B784" w14:textId="0F75FE02" w:rsidR="000A119B" w:rsidRPr="000A119B" w:rsidRDefault="000A119B" w:rsidP="000A119B">
      <w:pPr>
        <w:jc w:val="both"/>
        <w:rPr>
          <w:sz w:val="22"/>
          <w:szCs w:val="22"/>
        </w:rPr>
      </w:pPr>
      <w:r w:rsidRPr="000A119B">
        <w:rPr>
          <w:sz w:val="22"/>
          <w:szCs w:val="22"/>
        </w:rPr>
        <w:t xml:space="preserve">GRAEBER, </w:t>
      </w:r>
      <w:r w:rsidR="001F4675">
        <w:rPr>
          <w:sz w:val="22"/>
          <w:szCs w:val="22"/>
        </w:rPr>
        <w:t>D</w:t>
      </w:r>
      <w:r w:rsidRPr="000A119B">
        <w:rPr>
          <w:sz w:val="22"/>
          <w:szCs w:val="22"/>
        </w:rPr>
        <w:t xml:space="preserve"> (2012) Dead zones of the imagination: On violence, bureaucracy, and interpretive labor. </w:t>
      </w:r>
      <w:r w:rsidR="002625B3" w:rsidRPr="002625B3">
        <w:rPr>
          <w:i/>
          <w:sz w:val="22"/>
          <w:szCs w:val="22"/>
        </w:rPr>
        <w:t>Journal of Ethnographic Theory</w:t>
      </w:r>
      <w:r w:rsidR="002625B3">
        <w:rPr>
          <w:sz w:val="22"/>
          <w:szCs w:val="22"/>
        </w:rPr>
        <w:t xml:space="preserve">, Vol. </w:t>
      </w:r>
      <w:r w:rsidRPr="000A119B">
        <w:rPr>
          <w:sz w:val="22"/>
          <w:szCs w:val="22"/>
        </w:rPr>
        <w:t>2</w:t>
      </w:r>
      <w:r w:rsidR="002625B3">
        <w:rPr>
          <w:sz w:val="22"/>
          <w:szCs w:val="22"/>
        </w:rPr>
        <w:t>, No. 2, p.</w:t>
      </w:r>
      <w:r w:rsidRPr="000A119B">
        <w:rPr>
          <w:sz w:val="22"/>
          <w:szCs w:val="22"/>
        </w:rPr>
        <w:t>105–28.</w:t>
      </w:r>
    </w:p>
    <w:p w14:paraId="5CA41C91" w14:textId="77777777" w:rsidR="000A119B" w:rsidRPr="000A119B" w:rsidRDefault="000A119B" w:rsidP="000A119B">
      <w:pPr>
        <w:jc w:val="both"/>
        <w:rPr>
          <w:sz w:val="22"/>
          <w:szCs w:val="22"/>
        </w:rPr>
      </w:pPr>
    </w:p>
    <w:p w14:paraId="1EE8C9CF" w14:textId="6E17F40E" w:rsidR="000A119B" w:rsidRPr="000A119B" w:rsidRDefault="001F4675" w:rsidP="000A119B">
      <w:pPr>
        <w:jc w:val="both"/>
        <w:rPr>
          <w:sz w:val="22"/>
          <w:szCs w:val="22"/>
        </w:rPr>
      </w:pPr>
      <w:r>
        <w:rPr>
          <w:sz w:val="22"/>
          <w:szCs w:val="22"/>
        </w:rPr>
        <w:t>GOLDMAN, E</w:t>
      </w:r>
      <w:r w:rsidR="000A119B" w:rsidRPr="000A119B">
        <w:rPr>
          <w:sz w:val="22"/>
          <w:szCs w:val="22"/>
        </w:rPr>
        <w:t xml:space="preserve"> (2003) My Disillusionment In Russia. Mineola, New York: Dover.</w:t>
      </w:r>
    </w:p>
    <w:p w14:paraId="6392C996" w14:textId="77777777" w:rsidR="000A119B" w:rsidRPr="000A119B" w:rsidRDefault="000A119B" w:rsidP="000A119B">
      <w:pPr>
        <w:jc w:val="both"/>
        <w:rPr>
          <w:sz w:val="22"/>
          <w:szCs w:val="22"/>
        </w:rPr>
      </w:pPr>
    </w:p>
    <w:p w14:paraId="3A12DF73" w14:textId="4671B668" w:rsidR="00A143E9" w:rsidRDefault="00A143E9" w:rsidP="000A119B">
      <w:pPr>
        <w:jc w:val="both"/>
        <w:rPr>
          <w:sz w:val="22"/>
          <w:szCs w:val="22"/>
        </w:rPr>
      </w:pPr>
      <w:r>
        <w:rPr>
          <w:sz w:val="22"/>
          <w:szCs w:val="22"/>
        </w:rPr>
        <w:t xml:space="preserve">GUPTA, A. (2012) </w:t>
      </w:r>
      <w:r w:rsidRPr="00A143E9">
        <w:rPr>
          <w:i/>
          <w:sz w:val="22"/>
          <w:szCs w:val="22"/>
        </w:rPr>
        <w:t>Red Tape: Bureaucracy, Structural Violence, and Poverty in India</w:t>
      </w:r>
      <w:r>
        <w:rPr>
          <w:sz w:val="22"/>
          <w:szCs w:val="22"/>
        </w:rPr>
        <w:t>, Durham And London: Duke University Press.</w:t>
      </w:r>
    </w:p>
    <w:p w14:paraId="4528B12E" w14:textId="77777777" w:rsidR="00AC5156" w:rsidRDefault="00AC5156" w:rsidP="000A119B">
      <w:pPr>
        <w:jc w:val="both"/>
        <w:rPr>
          <w:sz w:val="22"/>
          <w:szCs w:val="22"/>
        </w:rPr>
      </w:pPr>
    </w:p>
    <w:p w14:paraId="4578E88D" w14:textId="7D01EAC1" w:rsidR="00AC5156" w:rsidRPr="00217053" w:rsidRDefault="00AC5156" w:rsidP="00AC5156">
      <w:pPr>
        <w:jc w:val="both"/>
        <w:rPr>
          <w:sz w:val="22"/>
          <w:szCs w:val="22"/>
          <w:lang w:val="en-US"/>
        </w:rPr>
      </w:pPr>
      <w:r>
        <w:rPr>
          <w:sz w:val="22"/>
          <w:szCs w:val="22"/>
        </w:rPr>
        <w:t xml:space="preserve">HOUSE OF COMMONS. (2018) </w:t>
      </w:r>
      <w:r w:rsidR="00217053" w:rsidRPr="00217053">
        <w:rPr>
          <w:bCs/>
          <w:i/>
          <w:sz w:val="22"/>
          <w:szCs w:val="22"/>
          <w:lang w:val="en-US"/>
        </w:rPr>
        <w:t>Briefing Paper</w:t>
      </w:r>
      <w:r w:rsidR="00217053">
        <w:rPr>
          <w:bCs/>
          <w:i/>
          <w:sz w:val="22"/>
          <w:szCs w:val="22"/>
          <w:lang w:val="en-US"/>
        </w:rPr>
        <w:t xml:space="preserve">, </w:t>
      </w:r>
      <w:r w:rsidR="00217053" w:rsidRPr="00217053">
        <w:rPr>
          <w:i/>
          <w:sz w:val="22"/>
          <w:szCs w:val="22"/>
          <w:lang w:val="en-US"/>
        </w:rPr>
        <w:t>Number 02110:</w:t>
      </w:r>
      <w:r w:rsidR="00217053">
        <w:rPr>
          <w:sz w:val="22"/>
          <w:szCs w:val="22"/>
          <w:lang w:val="en-US"/>
        </w:rPr>
        <w:t xml:space="preserve"> </w:t>
      </w:r>
      <w:r w:rsidRPr="00AC5156">
        <w:rPr>
          <w:i/>
          <w:sz w:val="22"/>
          <w:szCs w:val="22"/>
          <w:lang w:val="en-US" w:eastAsia="ja-JP"/>
        </w:rPr>
        <w:t>Households in temporary accommodation (England)</w:t>
      </w:r>
      <w:r w:rsidR="00217053">
        <w:rPr>
          <w:i/>
          <w:sz w:val="22"/>
          <w:szCs w:val="22"/>
          <w:lang w:val="en-US" w:eastAsia="ja-JP"/>
        </w:rPr>
        <w:t xml:space="preserve"> </w:t>
      </w:r>
      <w:r w:rsidR="00217053">
        <w:rPr>
          <w:sz w:val="22"/>
          <w:szCs w:val="22"/>
          <w:lang w:val="en-US" w:eastAsia="ja-JP"/>
        </w:rPr>
        <w:t xml:space="preserve">London: House of Commons. </w:t>
      </w:r>
      <w:r w:rsidR="00217053">
        <w:rPr>
          <w:sz w:val="22"/>
          <w:szCs w:val="22"/>
        </w:rPr>
        <w:t xml:space="preserve">Available online: </w:t>
      </w:r>
      <w:r w:rsidR="00217053" w:rsidRPr="00217053">
        <w:rPr>
          <w:sz w:val="22"/>
          <w:szCs w:val="22"/>
        </w:rPr>
        <w:t>https://researchbriefings.parliament.uk/ResearchBriefing/Summary/SN02110</w:t>
      </w:r>
    </w:p>
    <w:p w14:paraId="45220C39" w14:textId="7BECC61B" w:rsidR="00AC5156" w:rsidRDefault="00AC5156" w:rsidP="000A119B">
      <w:pPr>
        <w:jc w:val="both"/>
        <w:rPr>
          <w:sz w:val="22"/>
          <w:szCs w:val="22"/>
        </w:rPr>
      </w:pPr>
    </w:p>
    <w:p w14:paraId="64DDDA09" w14:textId="119320E2" w:rsidR="00E472C6" w:rsidRPr="00E472C6" w:rsidRDefault="00E472C6" w:rsidP="00E472C6">
      <w:pPr>
        <w:jc w:val="both"/>
        <w:rPr>
          <w:sz w:val="22"/>
          <w:szCs w:val="22"/>
        </w:rPr>
      </w:pPr>
      <w:r w:rsidRPr="00E472C6">
        <w:rPr>
          <w:sz w:val="22"/>
          <w:szCs w:val="22"/>
        </w:rPr>
        <w:t xml:space="preserve">JAMES, </w:t>
      </w:r>
      <w:r>
        <w:rPr>
          <w:sz w:val="22"/>
          <w:szCs w:val="22"/>
        </w:rPr>
        <w:t xml:space="preserve">P., </w:t>
      </w:r>
      <w:r w:rsidRPr="00E472C6">
        <w:rPr>
          <w:sz w:val="22"/>
          <w:szCs w:val="22"/>
        </w:rPr>
        <w:t xml:space="preserve">TOMBS, </w:t>
      </w:r>
      <w:r>
        <w:rPr>
          <w:sz w:val="22"/>
          <w:szCs w:val="22"/>
        </w:rPr>
        <w:t xml:space="preserve">S., </w:t>
      </w:r>
      <w:r w:rsidRPr="00E472C6">
        <w:rPr>
          <w:sz w:val="22"/>
          <w:szCs w:val="22"/>
        </w:rPr>
        <w:t>WALTERS</w:t>
      </w:r>
      <w:r>
        <w:rPr>
          <w:sz w:val="22"/>
          <w:szCs w:val="22"/>
        </w:rPr>
        <w:t>, D.</w:t>
      </w:r>
      <w:r w:rsidRPr="00E472C6">
        <w:rPr>
          <w:sz w:val="22"/>
          <w:szCs w:val="22"/>
        </w:rPr>
        <w:t xml:space="preserve"> AND </w:t>
      </w:r>
      <w:r>
        <w:rPr>
          <w:sz w:val="22"/>
          <w:szCs w:val="22"/>
        </w:rPr>
        <w:t xml:space="preserve">WHYTE, D. (2018) </w:t>
      </w:r>
      <w:r w:rsidRPr="00E472C6">
        <w:rPr>
          <w:sz w:val="22"/>
          <w:szCs w:val="22"/>
        </w:rPr>
        <w:t>Submission to the House of Commons Regulatory Reform Committee Inquiry into the</w:t>
      </w:r>
      <w:r>
        <w:rPr>
          <w:sz w:val="22"/>
          <w:szCs w:val="22"/>
        </w:rPr>
        <w:t xml:space="preserve"> </w:t>
      </w:r>
      <w:r w:rsidRPr="00E472C6">
        <w:rPr>
          <w:sz w:val="22"/>
          <w:szCs w:val="22"/>
        </w:rPr>
        <w:t>Government Deregulation Agenda</w:t>
      </w:r>
      <w:r>
        <w:rPr>
          <w:sz w:val="22"/>
          <w:szCs w:val="22"/>
        </w:rPr>
        <w:t xml:space="preserve">, Liverpool: Institute of Employment Rights. Available on line: </w:t>
      </w:r>
      <w:r w:rsidRPr="00E472C6">
        <w:rPr>
          <w:sz w:val="22"/>
          <w:szCs w:val="22"/>
        </w:rPr>
        <w:t>http://www.ier.org.uk/resources/submission-house-commons-regulatory-reform-committee-inquiry-government-deregulation-agend</w:t>
      </w:r>
    </w:p>
    <w:p w14:paraId="541FFD05" w14:textId="77777777" w:rsidR="00A143E9" w:rsidRDefault="00A143E9" w:rsidP="000A119B">
      <w:pPr>
        <w:jc w:val="both"/>
        <w:rPr>
          <w:sz w:val="22"/>
          <w:szCs w:val="22"/>
        </w:rPr>
      </w:pPr>
    </w:p>
    <w:p w14:paraId="114C72F6" w14:textId="0113152D" w:rsidR="000A119B" w:rsidRPr="000A119B" w:rsidRDefault="001F4675" w:rsidP="000A119B">
      <w:pPr>
        <w:jc w:val="both"/>
        <w:rPr>
          <w:sz w:val="22"/>
          <w:szCs w:val="22"/>
        </w:rPr>
      </w:pPr>
      <w:r>
        <w:rPr>
          <w:sz w:val="22"/>
          <w:szCs w:val="22"/>
        </w:rPr>
        <w:t>JENSEN, T. and Tyler, I</w:t>
      </w:r>
      <w:r w:rsidR="000A119B" w:rsidRPr="000A119B">
        <w:rPr>
          <w:sz w:val="22"/>
          <w:szCs w:val="22"/>
        </w:rPr>
        <w:t xml:space="preserve"> (2015) “Benefits Broods”: The Cultural and Political Crafting of Anti-Welfare Commonsense. </w:t>
      </w:r>
      <w:r w:rsidR="000A119B" w:rsidRPr="002625B3">
        <w:rPr>
          <w:i/>
          <w:sz w:val="22"/>
          <w:szCs w:val="22"/>
        </w:rPr>
        <w:t>Critical Social Policy</w:t>
      </w:r>
      <w:r w:rsidR="002625B3">
        <w:rPr>
          <w:i/>
          <w:sz w:val="22"/>
          <w:szCs w:val="22"/>
        </w:rPr>
        <w:t xml:space="preserve">, </w:t>
      </w:r>
      <w:r w:rsidR="002625B3">
        <w:rPr>
          <w:sz w:val="22"/>
          <w:szCs w:val="22"/>
        </w:rPr>
        <w:t xml:space="preserve">Vol. </w:t>
      </w:r>
      <w:r w:rsidR="000A119B" w:rsidRPr="000A119B">
        <w:rPr>
          <w:sz w:val="22"/>
          <w:szCs w:val="22"/>
        </w:rPr>
        <w:t>35</w:t>
      </w:r>
      <w:r w:rsidR="002625B3">
        <w:rPr>
          <w:sz w:val="22"/>
          <w:szCs w:val="22"/>
        </w:rPr>
        <w:t>, No.4, p.</w:t>
      </w:r>
      <w:r w:rsidR="000A119B" w:rsidRPr="000A119B">
        <w:rPr>
          <w:sz w:val="22"/>
          <w:szCs w:val="22"/>
        </w:rPr>
        <w:t>470-491.</w:t>
      </w:r>
    </w:p>
    <w:p w14:paraId="3CE2F752" w14:textId="77777777" w:rsidR="000A119B" w:rsidRPr="000A119B" w:rsidRDefault="000A119B" w:rsidP="000A119B">
      <w:pPr>
        <w:jc w:val="both"/>
        <w:rPr>
          <w:sz w:val="22"/>
          <w:szCs w:val="22"/>
        </w:rPr>
      </w:pPr>
    </w:p>
    <w:p w14:paraId="6A36E837" w14:textId="37962785" w:rsidR="000A119B" w:rsidRPr="000A119B" w:rsidRDefault="001F4675" w:rsidP="000A119B">
      <w:pPr>
        <w:jc w:val="both"/>
        <w:rPr>
          <w:sz w:val="22"/>
          <w:szCs w:val="22"/>
        </w:rPr>
      </w:pPr>
      <w:r>
        <w:rPr>
          <w:sz w:val="22"/>
          <w:szCs w:val="22"/>
        </w:rPr>
        <w:t>MINTON, A</w:t>
      </w:r>
      <w:r w:rsidR="000A119B" w:rsidRPr="000A119B">
        <w:rPr>
          <w:sz w:val="22"/>
          <w:szCs w:val="22"/>
        </w:rPr>
        <w:t xml:space="preserve"> (2017) Big Capital: Who is London For? London: Penguin Books.</w:t>
      </w:r>
    </w:p>
    <w:p w14:paraId="5777879B" w14:textId="77777777" w:rsidR="000A119B" w:rsidRPr="000A119B" w:rsidRDefault="000A119B" w:rsidP="000A119B">
      <w:pPr>
        <w:jc w:val="both"/>
        <w:rPr>
          <w:sz w:val="22"/>
          <w:szCs w:val="22"/>
        </w:rPr>
      </w:pPr>
    </w:p>
    <w:p w14:paraId="6D2F160F" w14:textId="4C325DDD" w:rsidR="00324FDF" w:rsidRDefault="00324FDF" w:rsidP="000A119B">
      <w:pPr>
        <w:jc w:val="both"/>
        <w:rPr>
          <w:sz w:val="22"/>
          <w:szCs w:val="22"/>
        </w:rPr>
      </w:pPr>
      <w:r>
        <w:rPr>
          <w:sz w:val="22"/>
          <w:szCs w:val="22"/>
        </w:rPr>
        <w:t xml:space="preserve">NIXON, R. (2013) </w:t>
      </w:r>
      <w:r w:rsidRPr="00324FDF">
        <w:rPr>
          <w:i/>
          <w:sz w:val="22"/>
          <w:szCs w:val="22"/>
        </w:rPr>
        <w:t>Slow Violence and the Environmentalism of the Poor</w:t>
      </w:r>
      <w:r>
        <w:rPr>
          <w:sz w:val="22"/>
          <w:szCs w:val="22"/>
        </w:rPr>
        <w:t>, Boston: Harvard University Press.</w:t>
      </w:r>
    </w:p>
    <w:p w14:paraId="1640AF75" w14:textId="77777777" w:rsidR="00324FDF" w:rsidRDefault="00324FDF" w:rsidP="000A119B">
      <w:pPr>
        <w:jc w:val="both"/>
        <w:rPr>
          <w:sz w:val="22"/>
          <w:szCs w:val="22"/>
        </w:rPr>
      </w:pPr>
    </w:p>
    <w:p w14:paraId="1F9A284B" w14:textId="426E22FA" w:rsidR="000A119B" w:rsidRPr="000A119B" w:rsidRDefault="001F4675" w:rsidP="000A119B">
      <w:pPr>
        <w:jc w:val="both"/>
        <w:rPr>
          <w:sz w:val="22"/>
          <w:szCs w:val="22"/>
        </w:rPr>
      </w:pPr>
      <w:r>
        <w:rPr>
          <w:sz w:val="22"/>
          <w:szCs w:val="22"/>
        </w:rPr>
        <w:t>OSBORNE, G</w:t>
      </w:r>
      <w:r w:rsidR="000A119B" w:rsidRPr="000A119B">
        <w:rPr>
          <w:sz w:val="22"/>
          <w:szCs w:val="22"/>
        </w:rPr>
        <w:t xml:space="preserve"> (2010) Financial Statement, Hansard, 22 June. Available online: www.parliament.uk/business/news/2010/06/emergency-budget-2010-statement/</w:t>
      </w:r>
    </w:p>
    <w:p w14:paraId="780876B2" w14:textId="77777777" w:rsidR="000A119B" w:rsidRPr="000A119B" w:rsidRDefault="000A119B" w:rsidP="000A119B">
      <w:pPr>
        <w:jc w:val="both"/>
        <w:rPr>
          <w:sz w:val="22"/>
          <w:szCs w:val="22"/>
        </w:rPr>
      </w:pPr>
    </w:p>
    <w:p w14:paraId="6335C027" w14:textId="6351B38E" w:rsidR="000A119B" w:rsidRDefault="00FA16D2" w:rsidP="000A119B">
      <w:pPr>
        <w:jc w:val="both"/>
        <w:rPr>
          <w:sz w:val="22"/>
          <w:szCs w:val="22"/>
        </w:rPr>
      </w:pPr>
      <w:r>
        <w:rPr>
          <w:sz w:val="22"/>
          <w:szCs w:val="22"/>
        </w:rPr>
        <w:t xml:space="preserve">PATON, K AND COOPER, V </w:t>
      </w:r>
      <w:r w:rsidR="009C55ED">
        <w:rPr>
          <w:sz w:val="22"/>
          <w:szCs w:val="22"/>
        </w:rPr>
        <w:t xml:space="preserve">(2016) </w:t>
      </w:r>
      <w:r w:rsidR="009C55ED" w:rsidRPr="009C55ED">
        <w:rPr>
          <w:sz w:val="22"/>
          <w:szCs w:val="22"/>
        </w:rPr>
        <w:t>It’s the state, stupid: 21st gentrif</w:t>
      </w:r>
      <w:r w:rsidR="009C55ED">
        <w:rPr>
          <w:sz w:val="22"/>
          <w:szCs w:val="22"/>
        </w:rPr>
        <w:t>ication and state-led evictions</w:t>
      </w:r>
      <w:r w:rsidR="009C55ED" w:rsidRPr="009C55ED">
        <w:rPr>
          <w:sz w:val="22"/>
          <w:szCs w:val="22"/>
        </w:rPr>
        <w:t xml:space="preserve">, </w:t>
      </w:r>
      <w:r w:rsidR="009C55ED" w:rsidRPr="009C55ED">
        <w:rPr>
          <w:i/>
          <w:sz w:val="22"/>
          <w:szCs w:val="22"/>
        </w:rPr>
        <w:t>Sociological Research Online</w:t>
      </w:r>
      <w:r w:rsidR="009C55ED" w:rsidRPr="009C55ED">
        <w:rPr>
          <w:sz w:val="22"/>
          <w:szCs w:val="22"/>
        </w:rPr>
        <w:t>, 21 (3)</w:t>
      </w:r>
      <w:r>
        <w:rPr>
          <w:sz w:val="22"/>
          <w:szCs w:val="22"/>
        </w:rPr>
        <w:t>, 9.</w:t>
      </w:r>
    </w:p>
    <w:p w14:paraId="74CB378B" w14:textId="77777777" w:rsidR="009C55ED" w:rsidRPr="000A119B" w:rsidRDefault="009C55ED" w:rsidP="000A119B">
      <w:pPr>
        <w:jc w:val="both"/>
        <w:rPr>
          <w:sz w:val="22"/>
          <w:szCs w:val="22"/>
        </w:rPr>
      </w:pPr>
    </w:p>
    <w:p w14:paraId="201989B0" w14:textId="77777777" w:rsidR="000A119B" w:rsidRPr="000A119B" w:rsidRDefault="000A119B" w:rsidP="000A119B">
      <w:pPr>
        <w:jc w:val="both"/>
        <w:rPr>
          <w:sz w:val="22"/>
          <w:szCs w:val="22"/>
        </w:rPr>
      </w:pPr>
      <w:r w:rsidRPr="000A119B">
        <w:rPr>
          <w:sz w:val="22"/>
          <w:szCs w:val="22"/>
        </w:rPr>
        <w:t xml:space="preserve">STRAIGHTFORWARD AND NORTHERN HOUSING CONSORTIUM (2013) Impact of Welfare Reform on Housing Employees. Available online: </w:t>
      </w:r>
    </w:p>
    <w:p w14:paraId="0EC3DF89" w14:textId="77777777" w:rsidR="000A119B" w:rsidRPr="000A119B" w:rsidRDefault="000A119B" w:rsidP="000A119B">
      <w:pPr>
        <w:jc w:val="both"/>
        <w:rPr>
          <w:sz w:val="22"/>
          <w:szCs w:val="22"/>
        </w:rPr>
      </w:pPr>
      <w:r w:rsidRPr="000A119B">
        <w:rPr>
          <w:sz w:val="22"/>
          <w:szCs w:val="22"/>
        </w:rPr>
        <w:t>http://www.straight-forward.co.uk/impact-welfare-reform-housing-employees/</w:t>
      </w:r>
    </w:p>
    <w:p w14:paraId="71D72E16" w14:textId="77777777" w:rsidR="008134C5" w:rsidRDefault="008134C5" w:rsidP="000A119B">
      <w:pPr>
        <w:jc w:val="both"/>
        <w:rPr>
          <w:rFonts w:ascii="Times" w:hAnsi="Times"/>
          <w:iCs/>
          <w:sz w:val="20"/>
          <w:szCs w:val="20"/>
        </w:rPr>
      </w:pPr>
    </w:p>
    <w:p w14:paraId="799705B6" w14:textId="7FD6E334" w:rsidR="000A119B" w:rsidRPr="000A119B" w:rsidRDefault="001F4675" w:rsidP="000A119B">
      <w:pPr>
        <w:jc w:val="both"/>
        <w:rPr>
          <w:sz w:val="22"/>
          <w:szCs w:val="22"/>
        </w:rPr>
      </w:pPr>
      <w:r>
        <w:rPr>
          <w:sz w:val="22"/>
          <w:szCs w:val="22"/>
        </w:rPr>
        <w:t>SHIVA, V</w:t>
      </w:r>
      <w:r w:rsidR="000A119B" w:rsidRPr="000A119B">
        <w:rPr>
          <w:sz w:val="22"/>
          <w:szCs w:val="22"/>
        </w:rPr>
        <w:t xml:space="preserve"> (1989) Staying Alive: Women, Ecology, and Survival in India. London: Zed.</w:t>
      </w:r>
    </w:p>
    <w:p w14:paraId="31C308EF" w14:textId="77777777" w:rsidR="000A119B" w:rsidRPr="000A119B" w:rsidRDefault="000A119B" w:rsidP="000A119B">
      <w:pPr>
        <w:jc w:val="both"/>
        <w:rPr>
          <w:sz w:val="22"/>
          <w:szCs w:val="22"/>
        </w:rPr>
      </w:pPr>
    </w:p>
    <w:p w14:paraId="223A8F5E" w14:textId="2271FFA1" w:rsidR="000A119B" w:rsidRPr="000A119B" w:rsidRDefault="001F4675" w:rsidP="000A119B">
      <w:pPr>
        <w:jc w:val="both"/>
        <w:rPr>
          <w:sz w:val="22"/>
          <w:szCs w:val="22"/>
        </w:rPr>
      </w:pPr>
      <w:r>
        <w:rPr>
          <w:sz w:val="22"/>
          <w:szCs w:val="22"/>
        </w:rPr>
        <w:t>TILLY, C</w:t>
      </w:r>
      <w:r w:rsidR="000A119B" w:rsidRPr="000A119B">
        <w:rPr>
          <w:sz w:val="22"/>
          <w:szCs w:val="22"/>
        </w:rPr>
        <w:t xml:space="preserve"> (2003) The Politics of Collective Violence. Cambridge: Cambridge University Press.</w:t>
      </w:r>
    </w:p>
    <w:p w14:paraId="3B9ADB1F" w14:textId="77777777" w:rsidR="000A119B" w:rsidRPr="000A119B" w:rsidRDefault="000A119B" w:rsidP="000A119B">
      <w:pPr>
        <w:jc w:val="both"/>
        <w:rPr>
          <w:sz w:val="22"/>
          <w:szCs w:val="22"/>
        </w:rPr>
      </w:pPr>
    </w:p>
    <w:p w14:paraId="3ED50329" w14:textId="7B96D55B" w:rsidR="000A119B" w:rsidRPr="000A119B" w:rsidRDefault="001F4675" w:rsidP="000A119B">
      <w:pPr>
        <w:jc w:val="both"/>
        <w:rPr>
          <w:sz w:val="22"/>
          <w:szCs w:val="22"/>
        </w:rPr>
      </w:pPr>
      <w:r>
        <w:rPr>
          <w:sz w:val="22"/>
          <w:szCs w:val="22"/>
        </w:rPr>
        <w:t>TOMBS, S</w:t>
      </w:r>
      <w:r w:rsidR="000A119B" w:rsidRPr="000A119B">
        <w:rPr>
          <w:sz w:val="22"/>
          <w:szCs w:val="22"/>
        </w:rPr>
        <w:t xml:space="preserve"> (2006) ‘Violence’, Safety Crimes and Criminology. </w:t>
      </w:r>
      <w:r w:rsidR="000A119B" w:rsidRPr="000A119B">
        <w:rPr>
          <w:i/>
          <w:sz w:val="22"/>
          <w:szCs w:val="22"/>
        </w:rPr>
        <w:t>British Journal of Criminology</w:t>
      </w:r>
      <w:r w:rsidR="000A119B" w:rsidRPr="000A119B">
        <w:rPr>
          <w:sz w:val="22"/>
          <w:szCs w:val="22"/>
        </w:rPr>
        <w:t xml:space="preserve">. </w:t>
      </w:r>
      <w:r w:rsidR="002625B3">
        <w:rPr>
          <w:sz w:val="22"/>
          <w:szCs w:val="22"/>
        </w:rPr>
        <w:t xml:space="preserve">Vol. 47, No. 4, p. </w:t>
      </w:r>
      <w:r w:rsidR="000A119B" w:rsidRPr="000A119B">
        <w:rPr>
          <w:sz w:val="22"/>
          <w:szCs w:val="22"/>
        </w:rPr>
        <w:t>531–550.</w:t>
      </w:r>
    </w:p>
    <w:p w14:paraId="0CE72001" w14:textId="77777777" w:rsidR="000A119B" w:rsidRPr="000A119B" w:rsidRDefault="000A119B" w:rsidP="000A119B">
      <w:pPr>
        <w:jc w:val="both"/>
        <w:rPr>
          <w:sz w:val="22"/>
          <w:szCs w:val="22"/>
        </w:rPr>
      </w:pPr>
    </w:p>
    <w:p w14:paraId="19C36D41" w14:textId="2EC02E05" w:rsidR="000A119B" w:rsidRPr="000A119B" w:rsidRDefault="000A119B" w:rsidP="000A119B">
      <w:pPr>
        <w:jc w:val="both"/>
        <w:rPr>
          <w:sz w:val="22"/>
          <w:szCs w:val="22"/>
        </w:rPr>
      </w:pPr>
      <w:r w:rsidRPr="000A119B">
        <w:rPr>
          <w:sz w:val="22"/>
          <w:szCs w:val="22"/>
        </w:rPr>
        <w:t xml:space="preserve">TOMBS, S (2016) </w:t>
      </w:r>
      <w:r w:rsidRPr="002625B3">
        <w:rPr>
          <w:i/>
          <w:sz w:val="22"/>
          <w:szCs w:val="22"/>
        </w:rPr>
        <w:t>Social Protection After the Crisis: regulation without enforcement</w:t>
      </w:r>
      <w:r w:rsidRPr="000A119B">
        <w:rPr>
          <w:sz w:val="22"/>
          <w:szCs w:val="22"/>
        </w:rPr>
        <w:t>, Bristol: Policy Press.</w:t>
      </w:r>
    </w:p>
    <w:p w14:paraId="79431480" w14:textId="77777777" w:rsidR="000A119B" w:rsidRPr="000A119B" w:rsidRDefault="000A119B" w:rsidP="000A119B">
      <w:pPr>
        <w:jc w:val="both"/>
        <w:rPr>
          <w:sz w:val="22"/>
          <w:szCs w:val="22"/>
        </w:rPr>
      </w:pPr>
    </w:p>
    <w:p w14:paraId="644EF2CF" w14:textId="4F2E5253" w:rsidR="000A119B" w:rsidRDefault="009C55ED" w:rsidP="000A119B">
      <w:pPr>
        <w:jc w:val="both"/>
        <w:rPr>
          <w:sz w:val="22"/>
          <w:szCs w:val="22"/>
        </w:rPr>
      </w:pPr>
      <w:r>
        <w:rPr>
          <w:sz w:val="22"/>
          <w:szCs w:val="22"/>
        </w:rPr>
        <w:t>TOMBS, S AND WHYTE, D</w:t>
      </w:r>
      <w:r w:rsidRPr="009C55ED">
        <w:rPr>
          <w:sz w:val="22"/>
          <w:szCs w:val="22"/>
        </w:rPr>
        <w:t xml:space="preserve"> (2010) </w:t>
      </w:r>
      <w:r w:rsidRPr="009C55ED">
        <w:rPr>
          <w:i/>
          <w:sz w:val="22"/>
          <w:szCs w:val="22"/>
        </w:rPr>
        <w:t>Regulatory Surrender: death, injury and the non-enforcement of law</w:t>
      </w:r>
      <w:r w:rsidRPr="009C55ED">
        <w:rPr>
          <w:sz w:val="22"/>
          <w:szCs w:val="22"/>
        </w:rPr>
        <w:t>, London:</w:t>
      </w:r>
      <w:r>
        <w:rPr>
          <w:sz w:val="22"/>
          <w:szCs w:val="22"/>
        </w:rPr>
        <w:t xml:space="preserve"> Institute of Employment Rights.</w:t>
      </w:r>
    </w:p>
    <w:p w14:paraId="4D6484ED" w14:textId="77777777" w:rsidR="009C55ED" w:rsidRPr="000A119B" w:rsidRDefault="009C55ED" w:rsidP="000A119B">
      <w:pPr>
        <w:jc w:val="both"/>
        <w:rPr>
          <w:sz w:val="22"/>
          <w:szCs w:val="22"/>
        </w:rPr>
      </w:pPr>
    </w:p>
    <w:p w14:paraId="43C5D21B" w14:textId="59931523" w:rsidR="000A119B" w:rsidRPr="000A119B" w:rsidRDefault="001F4675" w:rsidP="000A119B">
      <w:pPr>
        <w:jc w:val="both"/>
        <w:rPr>
          <w:sz w:val="22"/>
          <w:szCs w:val="22"/>
        </w:rPr>
      </w:pPr>
      <w:r>
        <w:rPr>
          <w:sz w:val="22"/>
          <w:szCs w:val="22"/>
        </w:rPr>
        <w:t>WEBER, M</w:t>
      </w:r>
      <w:r w:rsidR="000A119B" w:rsidRPr="000A119B">
        <w:rPr>
          <w:sz w:val="22"/>
          <w:szCs w:val="22"/>
        </w:rPr>
        <w:t xml:space="preserve"> (2004) </w:t>
      </w:r>
      <w:r w:rsidR="000A119B" w:rsidRPr="002625B3">
        <w:rPr>
          <w:i/>
          <w:sz w:val="22"/>
          <w:szCs w:val="22"/>
        </w:rPr>
        <w:t>The Vocation Lectures</w:t>
      </w:r>
      <w:r w:rsidR="000A119B" w:rsidRPr="000A119B">
        <w:rPr>
          <w:sz w:val="22"/>
          <w:szCs w:val="22"/>
        </w:rPr>
        <w:t>. Indianapolis: Hackett.</w:t>
      </w:r>
    </w:p>
    <w:p w14:paraId="3AB86ACB" w14:textId="77777777" w:rsidR="00F51B51" w:rsidRDefault="00F51B51" w:rsidP="000A119B">
      <w:pPr>
        <w:jc w:val="both"/>
        <w:rPr>
          <w:sz w:val="22"/>
          <w:szCs w:val="22"/>
        </w:rPr>
      </w:pPr>
    </w:p>
    <w:p w14:paraId="338BC267" w14:textId="21541E39" w:rsidR="00EB4517" w:rsidRDefault="00EB4517" w:rsidP="00EB4517">
      <w:pPr>
        <w:rPr>
          <w:sz w:val="22"/>
          <w:szCs w:val="22"/>
          <w:lang w:val="en-US"/>
        </w:rPr>
      </w:pPr>
      <w:r w:rsidRPr="00F5156C">
        <w:rPr>
          <w:sz w:val="22"/>
          <w:szCs w:val="22"/>
          <w:lang w:val="en-US"/>
        </w:rPr>
        <w:t>WILMORE, J. (2017) Grenfell Tower: Rydon replaced Leadbitter as contractor.  Construction News. 16th June.  Available online: https://www.constructionnews.co.uk/10020848.article?search=https%3a%2f%2fwww.constructionnews.co.uk%2fsearcharticles%3fqsearch%3d1%26keywords%3dGrenfell+Tower%3a+Rydon+replaced+Leadbitter+as+contractor.</w:t>
      </w:r>
    </w:p>
    <w:p w14:paraId="13ADB673" w14:textId="77777777" w:rsidR="00EB4517" w:rsidRDefault="00EB4517" w:rsidP="000A119B">
      <w:pPr>
        <w:jc w:val="both"/>
        <w:rPr>
          <w:sz w:val="22"/>
          <w:szCs w:val="22"/>
        </w:rPr>
      </w:pPr>
    </w:p>
    <w:p w14:paraId="6149D47E" w14:textId="1BD8F059" w:rsidR="000A119B" w:rsidRPr="000A119B" w:rsidRDefault="009C55ED" w:rsidP="000A119B">
      <w:pPr>
        <w:jc w:val="both"/>
        <w:rPr>
          <w:sz w:val="22"/>
          <w:szCs w:val="22"/>
        </w:rPr>
      </w:pPr>
      <w:r>
        <w:rPr>
          <w:sz w:val="22"/>
          <w:szCs w:val="22"/>
        </w:rPr>
        <w:t>WHYTE, D</w:t>
      </w:r>
      <w:r w:rsidR="00F51B51">
        <w:rPr>
          <w:sz w:val="22"/>
          <w:szCs w:val="22"/>
        </w:rPr>
        <w:t xml:space="preserve"> (2017)</w:t>
      </w:r>
      <w:r w:rsidRPr="009C55ED">
        <w:rPr>
          <w:sz w:val="22"/>
          <w:szCs w:val="22"/>
        </w:rPr>
        <w:t xml:space="preserve"> Crime as a Social Relationship of Power: Reframing the ‘Ideal Victim’ of Corporate Crimes, in Walklate, S. (ed.) </w:t>
      </w:r>
      <w:r w:rsidRPr="009C55ED">
        <w:rPr>
          <w:i/>
          <w:sz w:val="22"/>
          <w:szCs w:val="22"/>
        </w:rPr>
        <w:t>A Handbook of Victimology</w:t>
      </w:r>
      <w:r w:rsidRPr="009C55ED">
        <w:rPr>
          <w:sz w:val="22"/>
          <w:szCs w:val="22"/>
        </w:rPr>
        <w:t>, Abingdon: Routledge.</w:t>
      </w:r>
    </w:p>
    <w:p w14:paraId="6869E154" w14:textId="77777777" w:rsidR="000A119B" w:rsidRPr="000A119B" w:rsidRDefault="000A119B" w:rsidP="000A119B">
      <w:pPr>
        <w:jc w:val="both"/>
        <w:rPr>
          <w:sz w:val="22"/>
          <w:szCs w:val="22"/>
        </w:rPr>
      </w:pPr>
    </w:p>
    <w:p w14:paraId="40F64183" w14:textId="0DCD6BE7" w:rsidR="000A119B" w:rsidRPr="000A119B" w:rsidRDefault="000A119B" w:rsidP="000A119B">
      <w:pPr>
        <w:jc w:val="both"/>
        <w:rPr>
          <w:sz w:val="22"/>
          <w:szCs w:val="22"/>
        </w:rPr>
      </w:pPr>
      <w:r w:rsidRPr="000A119B">
        <w:rPr>
          <w:sz w:val="22"/>
          <w:szCs w:val="22"/>
        </w:rPr>
        <w:t>WRIGHT MILLS,</w:t>
      </w:r>
      <w:r w:rsidR="001F4675">
        <w:rPr>
          <w:sz w:val="22"/>
          <w:szCs w:val="22"/>
        </w:rPr>
        <w:t xml:space="preserve"> C</w:t>
      </w:r>
      <w:r w:rsidRPr="000A119B">
        <w:rPr>
          <w:sz w:val="22"/>
          <w:szCs w:val="22"/>
        </w:rPr>
        <w:t xml:space="preserve"> (2000) </w:t>
      </w:r>
      <w:r w:rsidRPr="002625B3">
        <w:rPr>
          <w:i/>
          <w:sz w:val="22"/>
          <w:szCs w:val="22"/>
        </w:rPr>
        <w:t>The Power Elite</w:t>
      </w:r>
      <w:r w:rsidRPr="000A119B">
        <w:rPr>
          <w:sz w:val="22"/>
          <w:szCs w:val="22"/>
        </w:rPr>
        <w:t>. Oxford: Oxford University Press.</w:t>
      </w:r>
    </w:p>
    <w:p w14:paraId="423C0AF1" w14:textId="77777777" w:rsidR="000A119B" w:rsidRPr="000A119B" w:rsidRDefault="000A119B" w:rsidP="000A119B">
      <w:pPr>
        <w:jc w:val="both"/>
        <w:rPr>
          <w:sz w:val="22"/>
          <w:szCs w:val="22"/>
        </w:rPr>
      </w:pPr>
    </w:p>
    <w:p w14:paraId="147C9CEA" w14:textId="5594791C" w:rsidR="000A119B" w:rsidRPr="000A119B" w:rsidRDefault="001F4675" w:rsidP="000A119B">
      <w:pPr>
        <w:jc w:val="both"/>
        <w:rPr>
          <w:sz w:val="22"/>
          <w:szCs w:val="22"/>
        </w:rPr>
      </w:pPr>
      <w:r>
        <w:rPr>
          <w:sz w:val="22"/>
          <w:szCs w:val="22"/>
        </w:rPr>
        <w:t>YERKO, R</w:t>
      </w:r>
      <w:r w:rsidR="000A119B" w:rsidRPr="000A119B">
        <w:rPr>
          <w:sz w:val="22"/>
          <w:szCs w:val="22"/>
        </w:rPr>
        <w:t xml:space="preserve"> (2017) Evictions and short-term all-cause mortality: a 3-year follow-up study of a middle-aged Swedish population. </w:t>
      </w:r>
      <w:r w:rsidR="000A119B" w:rsidRPr="000A119B">
        <w:rPr>
          <w:i/>
          <w:sz w:val="22"/>
          <w:szCs w:val="22"/>
        </w:rPr>
        <w:t>International Journal of Public Health.</w:t>
      </w:r>
      <w:r w:rsidR="000A119B" w:rsidRPr="000A119B">
        <w:rPr>
          <w:sz w:val="22"/>
          <w:szCs w:val="22"/>
        </w:rPr>
        <w:t xml:space="preserve"> 62(3): 343–351. </w:t>
      </w:r>
    </w:p>
    <w:p w14:paraId="090E3AEC" w14:textId="62E04765" w:rsidR="00C1049D" w:rsidRPr="000A119B" w:rsidRDefault="00C1049D" w:rsidP="00C1049D">
      <w:pPr>
        <w:jc w:val="both"/>
        <w:rPr>
          <w:sz w:val="22"/>
          <w:szCs w:val="22"/>
        </w:rPr>
      </w:pPr>
    </w:p>
    <w:p w14:paraId="4277B44B" w14:textId="77777777" w:rsidR="00C1049D" w:rsidRPr="000A119B" w:rsidRDefault="00C1049D" w:rsidP="00C1049D">
      <w:pPr>
        <w:jc w:val="both"/>
        <w:rPr>
          <w:sz w:val="22"/>
          <w:szCs w:val="22"/>
        </w:rPr>
      </w:pPr>
    </w:p>
    <w:p w14:paraId="06DCD21B" w14:textId="579486BB" w:rsidR="00E37009" w:rsidRPr="00C1049D" w:rsidRDefault="007F6A09" w:rsidP="00E37009">
      <w:pPr>
        <w:jc w:val="both"/>
        <w:rPr>
          <w:sz w:val="22"/>
          <w:szCs w:val="22"/>
        </w:rPr>
      </w:pPr>
      <w:r>
        <w:rPr>
          <w:sz w:val="22"/>
          <w:szCs w:val="22"/>
        </w:rPr>
        <w:t xml:space="preserve">Word count: </w:t>
      </w:r>
      <w:r w:rsidR="00217053">
        <w:rPr>
          <w:sz w:val="22"/>
          <w:szCs w:val="22"/>
        </w:rPr>
        <w:t>417</w:t>
      </w:r>
      <w:r w:rsidR="000702F1">
        <w:rPr>
          <w:sz w:val="22"/>
          <w:szCs w:val="22"/>
        </w:rPr>
        <w:t>7</w:t>
      </w:r>
    </w:p>
    <w:p w14:paraId="3B4A188F" w14:textId="77777777" w:rsidR="00E37009" w:rsidRDefault="00E37009" w:rsidP="00E37009">
      <w:pPr>
        <w:jc w:val="both"/>
        <w:rPr>
          <w:rFonts w:asciiTheme="majorHAnsi" w:hAnsiTheme="majorHAnsi"/>
          <w:sz w:val="22"/>
          <w:szCs w:val="22"/>
        </w:rPr>
      </w:pPr>
    </w:p>
    <w:p w14:paraId="0ACB4B7A" w14:textId="77777777" w:rsidR="00E37009" w:rsidRPr="00E37009" w:rsidRDefault="00E37009" w:rsidP="00E37009">
      <w:pPr>
        <w:jc w:val="both"/>
        <w:rPr>
          <w:rFonts w:asciiTheme="majorHAnsi" w:hAnsiTheme="majorHAnsi"/>
          <w:sz w:val="22"/>
          <w:szCs w:val="22"/>
        </w:rPr>
      </w:pPr>
    </w:p>
    <w:p w14:paraId="1680DC8F" w14:textId="77777777" w:rsidR="00E37009" w:rsidRPr="00E37009" w:rsidRDefault="00E37009" w:rsidP="00E37009">
      <w:pPr>
        <w:jc w:val="both"/>
        <w:rPr>
          <w:rFonts w:asciiTheme="majorHAnsi" w:hAnsiTheme="majorHAnsi"/>
          <w:sz w:val="22"/>
          <w:szCs w:val="22"/>
        </w:rPr>
      </w:pPr>
    </w:p>
    <w:p w14:paraId="7A0EAB80" w14:textId="77777777" w:rsidR="00E37009" w:rsidRDefault="00E37009" w:rsidP="00E37009">
      <w:pPr>
        <w:jc w:val="both"/>
        <w:rPr>
          <w:rFonts w:asciiTheme="majorHAnsi" w:hAnsiTheme="majorHAnsi"/>
          <w:sz w:val="22"/>
          <w:szCs w:val="22"/>
        </w:rPr>
      </w:pPr>
    </w:p>
    <w:p w14:paraId="6F11CF78" w14:textId="77777777" w:rsidR="00E37009" w:rsidRDefault="00E37009" w:rsidP="003E755F">
      <w:pPr>
        <w:jc w:val="both"/>
        <w:rPr>
          <w:rFonts w:asciiTheme="majorHAnsi" w:hAnsiTheme="majorHAnsi"/>
          <w:sz w:val="22"/>
          <w:szCs w:val="22"/>
        </w:rPr>
      </w:pPr>
    </w:p>
    <w:p w14:paraId="15488CF0" w14:textId="606036FF" w:rsidR="005F4E9A" w:rsidRPr="004A6403" w:rsidRDefault="005F4E9A" w:rsidP="003E755F">
      <w:pPr>
        <w:jc w:val="both"/>
        <w:rPr>
          <w:rFonts w:asciiTheme="majorHAnsi" w:hAnsiTheme="majorHAnsi"/>
          <w:sz w:val="22"/>
          <w:szCs w:val="22"/>
        </w:rPr>
      </w:pPr>
    </w:p>
    <w:sectPr w:rsidR="005F4E9A" w:rsidRPr="004A6403" w:rsidSect="00194ACF">
      <w:footerReference w:type="even" r:id="rId8"/>
      <w:footerReference w:type="default" r:id="rId9"/>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96E10C" w14:textId="77777777" w:rsidR="000834B4" w:rsidRDefault="000834B4" w:rsidP="007178B7">
      <w:r>
        <w:separator/>
      </w:r>
    </w:p>
  </w:endnote>
  <w:endnote w:type="continuationSeparator" w:id="0">
    <w:p w14:paraId="12CFA206" w14:textId="77777777" w:rsidR="000834B4" w:rsidRDefault="000834B4" w:rsidP="00717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198862" w14:textId="77777777" w:rsidR="000834B4" w:rsidRDefault="000834B4" w:rsidP="009A52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9FCA1D" w14:textId="77777777" w:rsidR="000834B4" w:rsidRDefault="000834B4" w:rsidP="00BE0A8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0BC0C7" w14:textId="77777777" w:rsidR="000834B4" w:rsidRDefault="000834B4" w:rsidP="009A52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D1ABF">
      <w:rPr>
        <w:rStyle w:val="PageNumber"/>
        <w:noProof/>
      </w:rPr>
      <w:t>1</w:t>
    </w:r>
    <w:r>
      <w:rPr>
        <w:rStyle w:val="PageNumber"/>
      </w:rPr>
      <w:fldChar w:fldCharType="end"/>
    </w:r>
  </w:p>
  <w:p w14:paraId="2B12BDE5" w14:textId="77777777" w:rsidR="000834B4" w:rsidRDefault="000834B4" w:rsidP="00BE0A8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3532F4" w14:textId="77777777" w:rsidR="000834B4" w:rsidRDefault="000834B4" w:rsidP="007178B7">
      <w:r>
        <w:separator/>
      </w:r>
    </w:p>
  </w:footnote>
  <w:footnote w:type="continuationSeparator" w:id="0">
    <w:p w14:paraId="756B1717" w14:textId="77777777" w:rsidR="000834B4" w:rsidRDefault="000834B4" w:rsidP="007178B7">
      <w:r>
        <w:continuationSeparator/>
      </w:r>
    </w:p>
  </w:footnote>
  <w:footnote w:id="1">
    <w:p w14:paraId="7591B66F" w14:textId="1254A17F" w:rsidR="000834B4" w:rsidRPr="00FA16D2" w:rsidRDefault="000834B4">
      <w:pPr>
        <w:pStyle w:val="FootnoteText"/>
        <w:rPr>
          <w:lang w:val="en-US"/>
        </w:rPr>
      </w:pPr>
      <w:r>
        <w:rPr>
          <w:rStyle w:val="FootnoteReference"/>
        </w:rPr>
        <w:footnoteRef/>
      </w:r>
      <w:r>
        <w:t xml:space="preserve"> </w:t>
      </w:r>
      <w:r>
        <w:rPr>
          <w:lang w:val="en-US"/>
        </w:rPr>
        <w:t>See the blog postings in the Grenfell Action Group archive, especially the post dated 20</w:t>
      </w:r>
      <w:r w:rsidRPr="006B31B1">
        <w:rPr>
          <w:vertAlign w:val="superscript"/>
          <w:lang w:val="en-US"/>
        </w:rPr>
        <w:t>th</w:t>
      </w:r>
      <w:r>
        <w:rPr>
          <w:lang w:val="en-US"/>
        </w:rPr>
        <w:t xml:space="preserve"> November.  Available online at: </w:t>
      </w:r>
      <w:r w:rsidRPr="006B31B1">
        <w:rPr>
          <w:lang w:val="en-US"/>
        </w:rPr>
        <w:t>https://grenfellactiongroup.wordpress.com/2016/11/20/kctmo-playing-with-fire/</w:t>
      </w:r>
    </w:p>
  </w:footnote>
  <w:footnote w:id="2">
    <w:p w14:paraId="4A57534D" w14:textId="77777777" w:rsidR="000834B4" w:rsidRPr="00544432" w:rsidRDefault="000834B4" w:rsidP="00EB4517">
      <w:pPr>
        <w:pStyle w:val="FootnoteText"/>
        <w:rPr>
          <w:lang w:val="en-US"/>
        </w:rPr>
      </w:pPr>
      <w:r>
        <w:rPr>
          <w:rStyle w:val="FootnoteReference"/>
        </w:rPr>
        <w:footnoteRef/>
      </w:r>
      <w:r>
        <w:t xml:space="preserve"> </w:t>
      </w:r>
      <w:r>
        <w:rPr>
          <w:rFonts w:ascii="Times New Roman" w:hAnsi="Times New Roman"/>
        </w:rPr>
        <w:t xml:space="preserve">Reported in </w:t>
      </w:r>
      <w:r>
        <w:rPr>
          <w:rFonts w:ascii="Times New Roman" w:hAnsi="Times New Roman"/>
          <w:i/>
        </w:rPr>
        <w:t>Independent</w:t>
      </w:r>
      <w:r>
        <w:rPr>
          <w:rFonts w:ascii="Times New Roman" w:hAnsi="Times New Roman"/>
        </w:rPr>
        <w:t>, 30</w:t>
      </w:r>
      <w:r w:rsidRPr="00964B6F">
        <w:rPr>
          <w:rFonts w:ascii="Times New Roman" w:hAnsi="Times New Roman"/>
          <w:vertAlign w:val="superscript"/>
        </w:rPr>
        <w:t>th</w:t>
      </w:r>
      <w:r>
        <w:rPr>
          <w:rFonts w:ascii="Times New Roman" w:hAnsi="Times New Roman"/>
        </w:rPr>
        <w:t xml:space="preserve"> June 2017.  </w:t>
      </w:r>
    </w:p>
  </w:footnote>
  <w:footnote w:id="3">
    <w:p w14:paraId="132383D9" w14:textId="77777777" w:rsidR="000834B4" w:rsidRPr="00D7078E" w:rsidRDefault="000834B4" w:rsidP="00EB4517">
      <w:pPr>
        <w:pStyle w:val="FootnoteText"/>
        <w:rPr>
          <w:rFonts w:ascii="Times New Roman" w:hAnsi="Times New Roman"/>
          <w:lang w:val="en-US"/>
        </w:rPr>
      </w:pPr>
      <w:r w:rsidRPr="00433CE3">
        <w:rPr>
          <w:rStyle w:val="FootnoteReference"/>
          <w:rFonts w:ascii="Times New Roman" w:hAnsi="Times New Roman"/>
        </w:rPr>
        <w:footnoteRef/>
      </w:r>
      <w:r w:rsidRPr="00433CE3">
        <w:rPr>
          <w:rFonts w:ascii="Times New Roman" w:hAnsi="Times New Roman"/>
        </w:rPr>
        <w:t xml:space="preserve"> </w:t>
      </w:r>
      <w:r>
        <w:rPr>
          <w:rFonts w:ascii="Times New Roman" w:hAnsi="Times New Roman"/>
        </w:rPr>
        <w:t xml:space="preserve">Reported in </w:t>
      </w:r>
      <w:r w:rsidRPr="00964B6F">
        <w:rPr>
          <w:rFonts w:ascii="Times New Roman" w:hAnsi="Times New Roman"/>
          <w:i/>
        </w:rPr>
        <w:t>The Guardian</w:t>
      </w:r>
      <w:r>
        <w:rPr>
          <w:rFonts w:ascii="Times New Roman" w:hAnsi="Times New Roman"/>
        </w:rPr>
        <w:t>, 30</w:t>
      </w:r>
      <w:r w:rsidRPr="00964B6F">
        <w:rPr>
          <w:rFonts w:ascii="Times New Roman" w:hAnsi="Times New Roman"/>
          <w:vertAlign w:val="superscript"/>
        </w:rPr>
        <w:t>th</w:t>
      </w:r>
      <w:r>
        <w:rPr>
          <w:rFonts w:ascii="Times New Roman" w:hAnsi="Times New Roman"/>
        </w:rPr>
        <w:t xml:space="preserve"> June 2017.  </w:t>
      </w:r>
    </w:p>
  </w:footnote>
  <w:footnote w:id="4">
    <w:p w14:paraId="5485CB43" w14:textId="77777777" w:rsidR="000834B4" w:rsidRPr="00964B6F" w:rsidRDefault="000834B4" w:rsidP="00EB4517">
      <w:pPr>
        <w:pStyle w:val="FootnoteText"/>
        <w:rPr>
          <w:lang w:val="en-US"/>
        </w:rPr>
      </w:pPr>
      <w:r>
        <w:rPr>
          <w:rStyle w:val="FootnoteReference"/>
        </w:rPr>
        <w:footnoteRef/>
      </w:r>
      <w:r>
        <w:t xml:space="preserve"> </w:t>
      </w:r>
      <w:r>
        <w:rPr>
          <w:lang w:val="en-US"/>
        </w:rPr>
        <w:t>as footnote 1 above.</w:t>
      </w:r>
    </w:p>
  </w:footnote>
  <w:footnote w:id="5">
    <w:p w14:paraId="2BD3A25B" w14:textId="77777777" w:rsidR="000834B4" w:rsidRPr="00964B6F" w:rsidRDefault="000834B4" w:rsidP="00EB4517">
      <w:pPr>
        <w:pStyle w:val="FootnoteText"/>
        <w:rPr>
          <w:lang w:val="en-US"/>
        </w:rPr>
      </w:pPr>
      <w:r>
        <w:rPr>
          <w:rStyle w:val="FootnoteReference"/>
        </w:rPr>
        <w:footnoteRef/>
      </w:r>
      <w:r>
        <w:t xml:space="preserve"> </w:t>
      </w:r>
      <w:r>
        <w:rPr>
          <w:lang w:val="en-US"/>
        </w:rPr>
        <w:t>as footnote 1 above.</w:t>
      </w:r>
    </w:p>
  </w:footnote>
  <w:footnote w:id="6">
    <w:p w14:paraId="66C41531" w14:textId="77777777" w:rsidR="000834B4" w:rsidRPr="00D7078E" w:rsidRDefault="000834B4" w:rsidP="00EB4517">
      <w:pPr>
        <w:pStyle w:val="FootnoteText"/>
        <w:rPr>
          <w:rFonts w:ascii="Times New Roman" w:hAnsi="Times New Roman"/>
          <w:lang w:val="en-US"/>
        </w:rPr>
      </w:pPr>
      <w:r w:rsidRPr="00D7078E">
        <w:rPr>
          <w:rStyle w:val="FootnoteReference"/>
          <w:rFonts w:ascii="Times New Roman" w:hAnsi="Times New Roman"/>
        </w:rPr>
        <w:footnoteRef/>
      </w:r>
      <w:r w:rsidRPr="00D7078E">
        <w:rPr>
          <w:rFonts w:ascii="Times New Roman" w:hAnsi="Times New Roman"/>
        </w:rPr>
        <w:t xml:space="preserve"> </w:t>
      </w:r>
      <w:r>
        <w:rPr>
          <w:rFonts w:ascii="Times New Roman" w:hAnsi="Times New Roman"/>
        </w:rPr>
        <w:t xml:space="preserve">The full blog is at: </w:t>
      </w:r>
      <w:r w:rsidRPr="00D7078E">
        <w:rPr>
          <w:rFonts w:ascii="Times New Roman" w:hAnsi="Times New Roman"/>
        </w:rPr>
        <w:t>https://grenfellactiongroup.wordpress.com/2016/11/20/kctmo-playing-with-fire/</w:t>
      </w:r>
    </w:p>
  </w:footnote>
  <w:footnote w:id="7">
    <w:p w14:paraId="0B6DE96C" w14:textId="77777777" w:rsidR="000834B4" w:rsidRPr="00EA0303" w:rsidRDefault="000834B4" w:rsidP="00EB4517">
      <w:pPr>
        <w:pStyle w:val="FootnoteText"/>
        <w:rPr>
          <w:lang w:val="en-US"/>
        </w:rPr>
      </w:pPr>
      <w:r>
        <w:rPr>
          <w:rStyle w:val="FootnoteReference"/>
        </w:rPr>
        <w:footnoteRef/>
      </w:r>
      <w:r>
        <w:t xml:space="preserve"> </w:t>
      </w:r>
      <w:r>
        <w:rPr>
          <w:lang w:val="en-US"/>
        </w:rPr>
        <w:t>from Freedom of Information requests supplied to the Sunday People and published, 17</w:t>
      </w:r>
      <w:r w:rsidRPr="00EA0303">
        <w:rPr>
          <w:vertAlign w:val="superscript"/>
          <w:lang w:val="en-US"/>
        </w:rPr>
        <w:t>th</w:t>
      </w:r>
      <w:r>
        <w:rPr>
          <w:lang w:val="en-US"/>
        </w:rPr>
        <w:t xml:space="preserve"> June, 2017.</w:t>
      </w:r>
    </w:p>
  </w:footnote>
  <w:footnote w:id="8">
    <w:p w14:paraId="6142E1AF" w14:textId="08F4D741" w:rsidR="000834B4" w:rsidRPr="00E11B0B" w:rsidRDefault="000834B4">
      <w:pPr>
        <w:pStyle w:val="FootnoteText"/>
        <w:rPr>
          <w:lang w:val="en-US"/>
        </w:rPr>
      </w:pPr>
      <w:r>
        <w:rPr>
          <w:rStyle w:val="FootnoteReference"/>
        </w:rPr>
        <w:footnoteRef/>
      </w:r>
      <w:r>
        <w:t xml:space="preserve"> Office of National Statistics, </w:t>
      </w:r>
      <w:r w:rsidRPr="00BF7C67">
        <w:rPr>
          <w:i/>
        </w:rPr>
        <w:t>datasheet KS101EW Usual resident population, local authorities in England and Wales</w:t>
      </w:r>
      <w:r>
        <w:t xml:space="preserve">.  Available online, here: </w:t>
      </w:r>
      <w:r w:rsidRPr="00BF7C67">
        <w:t>https://www.ons.gov.uk/peoplepopulationandcommunity/populationandmigration/populationestimates/datasets/2011censuskeystatisticsforlocalauthoritiesinenglandandwales</w:t>
      </w:r>
    </w:p>
  </w:footnote>
  <w:footnote w:id="9">
    <w:p w14:paraId="38FB4F76" w14:textId="3754DDC7" w:rsidR="000834B4" w:rsidRPr="00B67A6B" w:rsidRDefault="000834B4">
      <w:pPr>
        <w:pStyle w:val="FootnoteText"/>
        <w:rPr>
          <w:lang w:val="en-US"/>
        </w:rPr>
      </w:pPr>
      <w:r>
        <w:rPr>
          <w:rStyle w:val="FootnoteReference"/>
        </w:rPr>
        <w:footnoteRef/>
      </w:r>
      <w:r>
        <w:t xml:space="preserve"> </w:t>
      </w:r>
      <w:r>
        <w:rPr>
          <w:lang w:val="en-US"/>
        </w:rPr>
        <w:t xml:space="preserve">George Osborne’s speech to the 2010 Conservative Party Conference; full speech available online here: </w:t>
      </w:r>
      <w:r w:rsidRPr="00B67A6B">
        <w:rPr>
          <w:lang w:val="en-US"/>
        </w:rPr>
        <w:t>https://www.theguardian.com/politics/2010/oct/04/george-osborne-speech-conservative-conference</w:t>
      </w:r>
      <w:r>
        <w:rPr>
          <w:lang w:val="en-US"/>
        </w:rP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83281B"/>
    <w:multiLevelType w:val="hybridMultilevel"/>
    <w:tmpl w:val="78ACF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8B7"/>
    <w:rsid w:val="00003A5C"/>
    <w:rsid w:val="00007722"/>
    <w:rsid w:val="000212A3"/>
    <w:rsid w:val="00023DDF"/>
    <w:rsid w:val="00023F56"/>
    <w:rsid w:val="000279D5"/>
    <w:rsid w:val="00035C7F"/>
    <w:rsid w:val="00040541"/>
    <w:rsid w:val="000415E9"/>
    <w:rsid w:val="00043373"/>
    <w:rsid w:val="000467FA"/>
    <w:rsid w:val="00056881"/>
    <w:rsid w:val="00061E49"/>
    <w:rsid w:val="0006549A"/>
    <w:rsid w:val="000702F1"/>
    <w:rsid w:val="000834B4"/>
    <w:rsid w:val="000900FB"/>
    <w:rsid w:val="000962D2"/>
    <w:rsid w:val="00096499"/>
    <w:rsid w:val="000A119B"/>
    <w:rsid w:val="000A7001"/>
    <w:rsid w:val="000C020B"/>
    <w:rsid w:val="000D7A0E"/>
    <w:rsid w:val="000E42B2"/>
    <w:rsid w:val="00105EA2"/>
    <w:rsid w:val="00125D31"/>
    <w:rsid w:val="00126C0F"/>
    <w:rsid w:val="001311A4"/>
    <w:rsid w:val="00155C9B"/>
    <w:rsid w:val="00161E55"/>
    <w:rsid w:val="00173EBD"/>
    <w:rsid w:val="0017443B"/>
    <w:rsid w:val="00194ACF"/>
    <w:rsid w:val="001975E8"/>
    <w:rsid w:val="001A0A18"/>
    <w:rsid w:val="001A688C"/>
    <w:rsid w:val="001C4B13"/>
    <w:rsid w:val="001E7953"/>
    <w:rsid w:val="001F4675"/>
    <w:rsid w:val="001F543E"/>
    <w:rsid w:val="0021384B"/>
    <w:rsid w:val="00214076"/>
    <w:rsid w:val="002153F4"/>
    <w:rsid w:val="00217053"/>
    <w:rsid w:val="00236401"/>
    <w:rsid w:val="002409E9"/>
    <w:rsid w:val="00240D21"/>
    <w:rsid w:val="00243984"/>
    <w:rsid w:val="0025530B"/>
    <w:rsid w:val="002625B3"/>
    <w:rsid w:val="00263744"/>
    <w:rsid w:val="00270E54"/>
    <w:rsid w:val="00277E72"/>
    <w:rsid w:val="002C6516"/>
    <w:rsid w:val="002D1305"/>
    <w:rsid w:val="002D376D"/>
    <w:rsid w:val="002D6340"/>
    <w:rsid w:val="002E13E7"/>
    <w:rsid w:val="002F44F7"/>
    <w:rsid w:val="002F7EC7"/>
    <w:rsid w:val="00307FB3"/>
    <w:rsid w:val="00313941"/>
    <w:rsid w:val="00321663"/>
    <w:rsid w:val="00324010"/>
    <w:rsid w:val="00324FDF"/>
    <w:rsid w:val="00340491"/>
    <w:rsid w:val="00340AAA"/>
    <w:rsid w:val="00347C7E"/>
    <w:rsid w:val="003532D3"/>
    <w:rsid w:val="00354B66"/>
    <w:rsid w:val="00376337"/>
    <w:rsid w:val="00394260"/>
    <w:rsid w:val="003C619F"/>
    <w:rsid w:val="003D5F2F"/>
    <w:rsid w:val="003E02A2"/>
    <w:rsid w:val="003E755F"/>
    <w:rsid w:val="003F5397"/>
    <w:rsid w:val="00410FC6"/>
    <w:rsid w:val="0041180E"/>
    <w:rsid w:val="004159D3"/>
    <w:rsid w:val="004170E5"/>
    <w:rsid w:val="00433CE3"/>
    <w:rsid w:val="004406D6"/>
    <w:rsid w:val="00441785"/>
    <w:rsid w:val="00442039"/>
    <w:rsid w:val="00445EF5"/>
    <w:rsid w:val="004469C1"/>
    <w:rsid w:val="00483312"/>
    <w:rsid w:val="004932ED"/>
    <w:rsid w:val="00494795"/>
    <w:rsid w:val="004956AA"/>
    <w:rsid w:val="004962BE"/>
    <w:rsid w:val="004977E4"/>
    <w:rsid w:val="004A6403"/>
    <w:rsid w:val="004B37B9"/>
    <w:rsid w:val="004B6D7B"/>
    <w:rsid w:val="004F25FD"/>
    <w:rsid w:val="005020F8"/>
    <w:rsid w:val="0050740B"/>
    <w:rsid w:val="00532DB0"/>
    <w:rsid w:val="00536F29"/>
    <w:rsid w:val="00544432"/>
    <w:rsid w:val="00544B54"/>
    <w:rsid w:val="00570C85"/>
    <w:rsid w:val="0057228C"/>
    <w:rsid w:val="00581647"/>
    <w:rsid w:val="00583DE1"/>
    <w:rsid w:val="0059412A"/>
    <w:rsid w:val="005A0500"/>
    <w:rsid w:val="005A542F"/>
    <w:rsid w:val="005C1BA9"/>
    <w:rsid w:val="005D3827"/>
    <w:rsid w:val="005E08A4"/>
    <w:rsid w:val="005E56B9"/>
    <w:rsid w:val="005F171F"/>
    <w:rsid w:val="005F4E9A"/>
    <w:rsid w:val="005F51B5"/>
    <w:rsid w:val="005F7090"/>
    <w:rsid w:val="00600977"/>
    <w:rsid w:val="006038F0"/>
    <w:rsid w:val="00604ACF"/>
    <w:rsid w:val="00605D10"/>
    <w:rsid w:val="00605E5F"/>
    <w:rsid w:val="0061126A"/>
    <w:rsid w:val="00641E52"/>
    <w:rsid w:val="006645F5"/>
    <w:rsid w:val="00675BA9"/>
    <w:rsid w:val="006852DD"/>
    <w:rsid w:val="006967EB"/>
    <w:rsid w:val="006A0596"/>
    <w:rsid w:val="006B1678"/>
    <w:rsid w:val="006B31B1"/>
    <w:rsid w:val="006C4A79"/>
    <w:rsid w:val="006D1C9D"/>
    <w:rsid w:val="006D4FE5"/>
    <w:rsid w:val="006D50C2"/>
    <w:rsid w:val="006D5A24"/>
    <w:rsid w:val="006E41A8"/>
    <w:rsid w:val="006F44F9"/>
    <w:rsid w:val="006F4C15"/>
    <w:rsid w:val="00712ABE"/>
    <w:rsid w:val="007178B7"/>
    <w:rsid w:val="00732CC5"/>
    <w:rsid w:val="007435E5"/>
    <w:rsid w:val="00774CFA"/>
    <w:rsid w:val="0078246A"/>
    <w:rsid w:val="007A7641"/>
    <w:rsid w:val="007E0053"/>
    <w:rsid w:val="007F6A09"/>
    <w:rsid w:val="008134C5"/>
    <w:rsid w:val="008152FF"/>
    <w:rsid w:val="00817346"/>
    <w:rsid w:val="0082316D"/>
    <w:rsid w:val="00844FC7"/>
    <w:rsid w:val="00845DC2"/>
    <w:rsid w:val="008678F2"/>
    <w:rsid w:val="00867D23"/>
    <w:rsid w:val="00877120"/>
    <w:rsid w:val="00884DBB"/>
    <w:rsid w:val="008850DF"/>
    <w:rsid w:val="008B1356"/>
    <w:rsid w:val="008B358B"/>
    <w:rsid w:val="008C11D7"/>
    <w:rsid w:val="008D19D8"/>
    <w:rsid w:val="008E15AD"/>
    <w:rsid w:val="008E1B9B"/>
    <w:rsid w:val="008E4E1E"/>
    <w:rsid w:val="008F168D"/>
    <w:rsid w:val="009028B3"/>
    <w:rsid w:val="0091008A"/>
    <w:rsid w:val="00911CA2"/>
    <w:rsid w:val="009227DC"/>
    <w:rsid w:val="00941CF2"/>
    <w:rsid w:val="00957393"/>
    <w:rsid w:val="00964B6F"/>
    <w:rsid w:val="00964E0C"/>
    <w:rsid w:val="0097479D"/>
    <w:rsid w:val="009A52E6"/>
    <w:rsid w:val="009B54CE"/>
    <w:rsid w:val="009B7E3A"/>
    <w:rsid w:val="009C55ED"/>
    <w:rsid w:val="009E6061"/>
    <w:rsid w:val="009F1298"/>
    <w:rsid w:val="00A143E9"/>
    <w:rsid w:val="00A15B93"/>
    <w:rsid w:val="00A2107D"/>
    <w:rsid w:val="00A245EF"/>
    <w:rsid w:val="00A25F1B"/>
    <w:rsid w:val="00A3212B"/>
    <w:rsid w:val="00A376E1"/>
    <w:rsid w:val="00A4382C"/>
    <w:rsid w:val="00A45045"/>
    <w:rsid w:val="00A46043"/>
    <w:rsid w:val="00A6289C"/>
    <w:rsid w:val="00A943C4"/>
    <w:rsid w:val="00AA2F89"/>
    <w:rsid w:val="00AA2FBF"/>
    <w:rsid w:val="00AC5156"/>
    <w:rsid w:val="00AD741B"/>
    <w:rsid w:val="00AE56A1"/>
    <w:rsid w:val="00AF25D8"/>
    <w:rsid w:val="00AF379D"/>
    <w:rsid w:val="00B025DE"/>
    <w:rsid w:val="00B03809"/>
    <w:rsid w:val="00B104EE"/>
    <w:rsid w:val="00B348E9"/>
    <w:rsid w:val="00B514F8"/>
    <w:rsid w:val="00B5680A"/>
    <w:rsid w:val="00B66473"/>
    <w:rsid w:val="00B67A6B"/>
    <w:rsid w:val="00B74AED"/>
    <w:rsid w:val="00B82505"/>
    <w:rsid w:val="00B86498"/>
    <w:rsid w:val="00B9571F"/>
    <w:rsid w:val="00BB582C"/>
    <w:rsid w:val="00BC1FFE"/>
    <w:rsid w:val="00BC7CB6"/>
    <w:rsid w:val="00BC7E09"/>
    <w:rsid w:val="00BD1ABF"/>
    <w:rsid w:val="00BE0A8B"/>
    <w:rsid w:val="00BE1756"/>
    <w:rsid w:val="00BF31F2"/>
    <w:rsid w:val="00BF7C67"/>
    <w:rsid w:val="00C014DC"/>
    <w:rsid w:val="00C101D3"/>
    <w:rsid w:val="00C1049D"/>
    <w:rsid w:val="00C1755E"/>
    <w:rsid w:val="00C25780"/>
    <w:rsid w:val="00C331C9"/>
    <w:rsid w:val="00C40DBE"/>
    <w:rsid w:val="00C45A60"/>
    <w:rsid w:val="00C46641"/>
    <w:rsid w:val="00C56EF2"/>
    <w:rsid w:val="00C67B40"/>
    <w:rsid w:val="00C8424C"/>
    <w:rsid w:val="00C87775"/>
    <w:rsid w:val="00C91901"/>
    <w:rsid w:val="00C9219B"/>
    <w:rsid w:val="00C93A43"/>
    <w:rsid w:val="00C94C20"/>
    <w:rsid w:val="00C97708"/>
    <w:rsid w:val="00CC3ACA"/>
    <w:rsid w:val="00CE19D7"/>
    <w:rsid w:val="00D001FB"/>
    <w:rsid w:val="00D00CBA"/>
    <w:rsid w:val="00D1014C"/>
    <w:rsid w:val="00D1292F"/>
    <w:rsid w:val="00D12A84"/>
    <w:rsid w:val="00D2155F"/>
    <w:rsid w:val="00D2293F"/>
    <w:rsid w:val="00D366E0"/>
    <w:rsid w:val="00D66F0B"/>
    <w:rsid w:val="00D7078E"/>
    <w:rsid w:val="00D82435"/>
    <w:rsid w:val="00D96ACB"/>
    <w:rsid w:val="00DA16A7"/>
    <w:rsid w:val="00DC0484"/>
    <w:rsid w:val="00DC16FB"/>
    <w:rsid w:val="00DD2166"/>
    <w:rsid w:val="00DE6121"/>
    <w:rsid w:val="00DF20AE"/>
    <w:rsid w:val="00DF7D31"/>
    <w:rsid w:val="00E11B0B"/>
    <w:rsid w:val="00E141DA"/>
    <w:rsid w:val="00E37009"/>
    <w:rsid w:val="00E37C4E"/>
    <w:rsid w:val="00E472C6"/>
    <w:rsid w:val="00E56421"/>
    <w:rsid w:val="00E64D52"/>
    <w:rsid w:val="00E966BA"/>
    <w:rsid w:val="00EA0303"/>
    <w:rsid w:val="00EB4517"/>
    <w:rsid w:val="00EB6AFF"/>
    <w:rsid w:val="00EC27CA"/>
    <w:rsid w:val="00EE4C27"/>
    <w:rsid w:val="00F03E14"/>
    <w:rsid w:val="00F51B51"/>
    <w:rsid w:val="00F63A4A"/>
    <w:rsid w:val="00F861E2"/>
    <w:rsid w:val="00F8733F"/>
    <w:rsid w:val="00F87F59"/>
    <w:rsid w:val="00F93111"/>
    <w:rsid w:val="00FA16D2"/>
    <w:rsid w:val="00FA19FA"/>
    <w:rsid w:val="00FA5CF7"/>
    <w:rsid w:val="00FC5F27"/>
    <w:rsid w:val="00FD29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7580E37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8B7"/>
    <w:rPr>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178B7"/>
    <w:rPr>
      <w:vertAlign w:val="superscript"/>
    </w:rPr>
  </w:style>
  <w:style w:type="paragraph" w:styleId="FootnoteText">
    <w:name w:val="footnote text"/>
    <w:basedOn w:val="Normal"/>
    <w:link w:val="FootnoteTextChar"/>
    <w:semiHidden/>
    <w:rsid w:val="007178B7"/>
    <w:rPr>
      <w:rFonts w:ascii="Times" w:eastAsia="ＭＳ 明朝" w:hAnsi="Times"/>
      <w:sz w:val="20"/>
      <w:szCs w:val="20"/>
    </w:rPr>
  </w:style>
  <w:style w:type="character" w:customStyle="1" w:styleId="FootnoteTextChar">
    <w:name w:val="Footnote Text Char"/>
    <w:basedOn w:val="DefaultParagraphFont"/>
    <w:link w:val="FootnoteText"/>
    <w:semiHidden/>
    <w:rsid w:val="007178B7"/>
    <w:rPr>
      <w:rFonts w:ascii="Times" w:eastAsia="ＭＳ 明朝" w:hAnsi="Times"/>
      <w:lang w:val="en-GB" w:eastAsia="en-US"/>
    </w:rPr>
  </w:style>
  <w:style w:type="character" w:styleId="CommentReference">
    <w:name w:val="annotation reference"/>
    <w:basedOn w:val="DefaultParagraphFont"/>
    <w:uiPriority w:val="99"/>
    <w:semiHidden/>
    <w:unhideWhenUsed/>
    <w:rsid w:val="007178B7"/>
    <w:rPr>
      <w:sz w:val="18"/>
      <w:szCs w:val="18"/>
    </w:rPr>
  </w:style>
  <w:style w:type="paragraph" w:styleId="CommentText">
    <w:name w:val="annotation text"/>
    <w:basedOn w:val="Normal"/>
    <w:link w:val="CommentTextChar"/>
    <w:uiPriority w:val="99"/>
    <w:semiHidden/>
    <w:unhideWhenUsed/>
    <w:rsid w:val="007178B7"/>
  </w:style>
  <w:style w:type="character" w:customStyle="1" w:styleId="CommentTextChar">
    <w:name w:val="Comment Text Char"/>
    <w:basedOn w:val="DefaultParagraphFont"/>
    <w:link w:val="CommentText"/>
    <w:uiPriority w:val="99"/>
    <w:semiHidden/>
    <w:rsid w:val="007178B7"/>
    <w:rPr>
      <w:sz w:val="24"/>
      <w:szCs w:val="24"/>
      <w:lang w:val="en-GB" w:eastAsia="en-US"/>
    </w:rPr>
  </w:style>
  <w:style w:type="paragraph" w:styleId="EndnoteText">
    <w:name w:val="endnote text"/>
    <w:basedOn w:val="Normal"/>
    <w:link w:val="EndnoteTextChar"/>
    <w:uiPriority w:val="99"/>
    <w:unhideWhenUsed/>
    <w:rsid w:val="007178B7"/>
  </w:style>
  <w:style w:type="character" w:customStyle="1" w:styleId="EndnoteTextChar">
    <w:name w:val="Endnote Text Char"/>
    <w:basedOn w:val="DefaultParagraphFont"/>
    <w:link w:val="EndnoteText"/>
    <w:uiPriority w:val="99"/>
    <w:rsid w:val="007178B7"/>
    <w:rPr>
      <w:sz w:val="24"/>
      <w:szCs w:val="24"/>
      <w:lang w:val="en-GB" w:eastAsia="en-US"/>
    </w:rPr>
  </w:style>
  <w:style w:type="paragraph" w:styleId="BalloonText">
    <w:name w:val="Balloon Text"/>
    <w:basedOn w:val="Normal"/>
    <w:link w:val="BalloonTextChar"/>
    <w:uiPriority w:val="99"/>
    <w:semiHidden/>
    <w:unhideWhenUsed/>
    <w:rsid w:val="007178B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78B7"/>
    <w:rPr>
      <w:rFonts w:ascii="Lucida Grande" w:hAnsi="Lucida Grande" w:cs="Lucida Grande"/>
      <w:sz w:val="18"/>
      <w:szCs w:val="18"/>
      <w:lang w:val="en-GB" w:eastAsia="en-US"/>
    </w:rPr>
  </w:style>
  <w:style w:type="paragraph" w:styleId="ListParagraph">
    <w:name w:val="List Paragraph"/>
    <w:basedOn w:val="Normal"/>
    <w:uiPriority w:val="34"/>
    <w:qFormat/>
    <w:rsid w:val="00F8733F"/>
    <w:pPr>
      <w:ind w:left="720"/>
      <w:contextualSpacing/>
    </w:pPr>
  </w:style>
  <w:style w:type="paragraph" w:styleId="CommentSubject">
    <w:name w:val="annotation subject"/>
    <w:basedOn w:val="CommentText"/>
    <w:next w:val="CommentText"/>
    <w:link w:val="CommentSubjectChar"/>
    <w:uiPriority w:val="99"/>
    <w:semiHidden/>
    <w:unhideWhenUsed/>
    <w:rsid w:val="00867D23"/>
    <w:rPr>
      <w:b/>
      <w:bCs/>
      <w:sz w:val="20"/>
      <w:szCs w:val="20"/>
    </w:rPr>
  </w:style>
  <w:style w:type="character" w:customStyle="1" w:styleId="CommentSubjectChar">
    <w:name w:val="Comment Subject Char"/>
    <w:basedOn w:val="CommentTextChar"/>
    <w:link w:val="CommentSubject"/>
    <w:uiPriority w:val="99"/>
    <w:semiHidden/>
    <w:rsid w:val="00867D23"/>
    <w:rPr>
      <w:b/>
      <w:bCs/>
      <w:sz w:val="24"/>
      <w:szCs w:val="24"/>
      <w:lang w:val="en-GB" w:eastAsia="en-US"/>
    </w:rPr>
  </w:style>
  <w:style w:type="character" w:customStyle="1" w:styleId="apple-converted-space">
    <w:name w:val="apple-converted-space"/>
    <w:basedOn w:val="DefaultParagraphFont"/>
    <w:rsid w:val="009B7E3A"/>
  </w:style>
  <w:style w:type="paragraph" w:styleId="Footer">
    <w:name w:val="footer"/>
    <w:basedOn w:val="Normal"/>
    <w:link w:val="FooterChar"/>
    <w:uiPriority w:val="99"/>
    <w:unhideWhenUsed/>
    <w:rsid w:val="00BE0A8B"/>
    <w:pPr>
      <w:tabs>
        <w:tab w:val="center" w:pos="4320"/>
        <w:tab w:val="right" w:pos="8640"/>
      </w:tabs>
    </w:pPr>
  </w:style>
  <w:style w:type="character" w:customStyle="1" w:styleId="FooterChar">
    <w:name w:val="Footer Char"/>
    <w:basedOn w:val="DefaultParagraphFont"/>
    <w:link w:val="Footer"/>
    <w:uiPriority w:val="99"/>
    <w:rsid w:val="00BE0A8B"/>
    <w:rPr>
      <w:sz w:val="24"/>
      <w:szCs w:val="24"/>
      <w:lang w:val="en-GB" w:eastAsia="en-US"/>
    </w:rPr>
  </w:style>
  <w:style w:type="character" w:styleId="PageNumber">
    <w:name w:val="page number"/>
    <w:basedOn w:val="DefaultParagraphFont"/>
    <w:uiPriority w:val="99"/>
    <w:semiHidden/>
    <w:unhideWhenUsed/>
    <w:rsid w:val="00BE0A8B"/>
  </w:style>
  <w:style w:type="character" w:styleId="Hyperlink">
    <w:name w:val="Hyperlink"/>
    <w:basedOn w:val="DefaultParagraphFont"/>
    <w:uiPriority w:val="99"/>
    <w:unhideWhenUsed/>
    <w:rsid w:val="000A119B"/>
    <w:rPr>
      <w:color w:val="0000FF" w:themeColor="hyperlink"/>
      <w:u w:val="single"/>
    </w:rPr>
  </w:style>
  <w:style w:type="paragraph" w:styleId="Revision">
    <w:name w:val="Revision"/>
    <w:hidden/>
    <w:uiPriority w:val="99"/>
    <w:semiHidden/>
    <w:rsid w:val="001F543E"/>
    <w:rPr>
      <w:lang w:val="en-GB"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8B7"/>
    <w:rPr>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178B7"/>
    <w:rPr>
      <w:vertAlign w:val="superscript"/>
    </w:rPr>
  </w:style>
  <w:style w:type="paragraph" w:styleId="FootnoteText">
    <w:name w:val="footnote text"/>
    <w:basedOn w:val="Normal"/>
    <w:link w:val="FootnoteTextChar"/>
    <w:semiHidden/>
    <w:rsid w:val="007178B7"/>
    <w:rPr>
      <w:rFonts w:ascii="Times" w:eastAsia="ＭＳ 明朝" w:hAnsi="Times"/>
      <w:sz w:val="20"/>
      <w:szCs w:val="20"/>
    </w:rPr>
  </w:style>
  <w:style w:type="character" w:customStyle="1" w:styleId="FootnoteTextChar">
    <w:name w:val="Footnote Text Char"/>
    <w:basedOn w:val="DefaultParagraphFont"/>
    <w:link w:val="FootnoteText"/>
    <w:semiHidden/>
    <w:rsid w:val="007178B7"/>
    <w:rPr>
      <w:rFonts w:ascii="Times" w:eastAsia="ＭＳ 明朝" w:hAnsi="Times"/>
      <w:lang w:val="en-GB" w:eastAsia="en-US"/>
    </w:rPr>
  </w:style>
  <w:style w:type="character" w:styleId="CommentReference">
    <w:name w:val="annotation reference"/>
    <w:basedOn w:val="DefaultParagraphFont"/>
    <w:uiPriority w:val="99"/>
    <w:semiHidden/>
    <w:unhideWhenUsed/>
    <w:rsid w:val="007178B7"/>
    <w:rPr>
      <w:sz w:val="18"/>
      <w:szCs w:val="18"/>
    </w:rPr>
  </w:style>
  <w:style w:type="paragraph" w:styleId="CommentText">
    <w:name w:val="annotation text"/>
    <w:basedOn w:val="Normal"/>
    <w:link w:val="CommentTextChar"/>
    <w:uiPriority w:val="99"/>
    <w:semiHidden/>
    <w:unhideWhenUsed/>
    <w:rsid w:val="007178B7"/>
  </w:style>
  <w:style w:type="character" w:customStyle="1" w:styleId="CommentTextChar">
    <w:name w:val="Comment Text Char"/>
    <w:basedOn w:val="DefaultParagraphFont"/>
    <w:link w:val="CommentText"/>
    <w:uiPriority w:val="99"/>
    <w:semiHidden/>
    <w:rsid w:val="007178B7"/>
    <w:rPr>
      <w:sz w:val="24"/>
      <w:szCs w:val="24"/>
      <w:lang w:val="en-GB" w:eastAsia="en-US"/>
    </w:rPr>
  </w:style>
  <w:style w:type="paragraph" w:styleId="EndnoteText">
    <w:name w:val="endnote text"/>
    <w:basedOn w:val="Normal"/>
    <w:link w:val="EndnoteTextChar"/>
    <w:uiPriority w:val="99"/>
    <w:unhideWhenUsed/>
    <w:rsid w:val="007178B7"/>
  </w:style>
  <w:style w:type="character" w:customStyle="1" w:styleId="EndnoteTextChar">
    <w:name w:val="Endnote Text Char"/>
    <w:basedOn w:val="DefaultParagraphFont"/>
    <w:link w:val="EndnoteText"/>
    <w:uiPriority w:val="99"/>
    <w:rsid w:val="007178B7"/>
    <w:rPr>
      <w:sz w:val="24"/>
      <w:szCs w:val="24"/>
      <w:lang w:val="en-GB" w:eastAsia="en-US"/>
    </w:rPr>
  </w:style>
  <w:style w:type="paragraph" w:styleId="BalloonText">
    <w:name w:val="Balloon Text"/>
    <w:basedOn w:val="Normal"/>
    <w:link w:val="BalloonTextChar"/>
    <w:uiPriority w:val="99"/>
    <w:semiHidden/>
    <w:unhideWhenUsed/>
    <w:rsid w:val="007178B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78B7"/>
    <w:rPr>
      <w:rFonts w:ascii="Lucida Grande" w:hAnsi="Lucida Grande" w:cs="Lucida Grande"/>
      <w:sz w:val="18"/>
      <w:szCs w:val="18"/>
      <w:lang w:val="en-GB" w:eastAsia="en-US"/>
    </w:rPr>
  </w:style>
  <w:style w:type="paragraph" w:styleId="ListParagraph">
    <w:name w:val="List Paragraph"/>
    <w:basedOn w:val="Normal"/>
    <w:uiPriority w:val="34"/>
    <w:qFormat/>
    <w:rsid w:val="00F8733F"/>
    <w:pPr>
      <w:ind w:left="720"/>
      <w:contextualSpacing/>
    </w:pPr>
  </w:style>
  <w:style w:type="paragraph" w:styleId="CommentSubject">
    <w:name w:val="annotation subject"/>
    <w:basedOn w:val="CommentText"/>
    <w:next w:val="CommentText"/>
    <w:link w:val="CommentSubjectChar"/>
    <w:uiPriority w:val="99"/>
    <w:semiHidden/>
    <w:unhideWhenUsed/>
    <w:rsid w:val="00867D23"/>
    <w:rPr>
      <w:b/>
      <w:bCs/>
      <w:sz w:val="20"/>
      <w:szCs w:val="20"/>
    </w:rPr>
  </w:style>
  <w:style w:type="character" w:customStyle="1" w:styleId="CommentSubjectChar">
    <w:name w:val="Comment Subject Char"/>
    <w:basedOn w:val="CommentTextChar"/>
    <w:link w:val="CommentSubject"/>
    <w:uiPriority w:val="99"/>
    <w:semiHidden/>
    <w:rsid w:val="00867D23"/>
    <w:rPr>
      <w:b/>
      <w:bCs/>
      <w:sz w:val="24"/>
      <w:szCs w:val="24"/>
      <w:lang w:val="en-GB" w:eastAsia="en-US"/>
    </w:rPr>
  </w:style>
  <w:style w:type="character" w:customStyle="1" w:styleId="apple-converted-space">
    <w:name w:val="apple-converted-space"/>
    <w:basedOn w:val="DefaultParagraphFont"/>
    <w:rsid w:val="009B7E3A"/>
  </w:style>
  <w:style w:type="paragraph" w:styleId="Footer">
    <w:name w:val="footer"/>
    <w:basedOn w:val="Normal"/>
    <w:link w:val="FooterChar"/>
    <w:uiPriority w:val="99"/>
    <w:unhideWhenUsed/>
    <w:rsid w:val="00BE0A8B"/>
    <w:pPr>
      <w:tabs>
        <w:tab w:val="center" w:pos="4320"/>
        <w:tab w:val="right" w:pos="8640"/>
      </w:tabs>
    </w:pPr>
  </w:style>
  <w:style w:type="character" w:customStyle="1" w:styleId="FooterChar">
    <w:name w:val="Footer Char"/>
    <w:basedOn w:val="DefaultParagraphFont"/>
    <w:link w:val="Footer"/>
    <w:uiPriority w:val="99"/>
    <w:rsid w:val="00BE0A8B"/>
    <w:rPr>
      <w:sz w:val="24"/>
      <w:szCs w:val="24"/>
      <w:lang w:val="en-GB" w:eastAsia="en-US"/>
    </w:rPr>
  </w:style>
  <w:style w:type="character" w:styleId="PageNumber">
    <w:name w:val="page number"/>
    <w:basedOn w:val="DefaultParagraphFont"/>
    <w:uiPriority w:val="99"/>
    <w:semiHidden/>
    <w:unhideWhenUsed/>
    <w:rsid w:val="00BE0A8B"/>
  </w:style>
  <w:style w:type="character" w:styleId="Hyperlink">
    <w:name w:val="Hyperlink"/>
    <w:basedOn w:val="DefaultParagraphFont"/>
    <w:uiPriority w:val="99"/>
    <w:unhideWhenUsed/>
    <w:rsid w:val="000A119B"/>
    <w:rPr>
      <w:color w:val="0000FF" w:themeColor="hyperlink"/>
      <w:u w:val="single"/>
    </w:rPr>
  </w:style>
  <w:style w:type="paragraph" w:styleId="Revision">
    <w:name w:val="Revision"/>
    <w:hidden/>
    <w:uiPriority w:val="99"/>
    <w:semiHidden/>
    <w:rsid w:val="001F543E"/>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0836">
      <w:bodyDiv w:val="1"/>
      <w:marLeft w:val="0"/>
      <w:marRight w:val="0"/>
      <w:marTop w:val="0"/>
      <w:marBottom w:val="0"/>
      <w:divBdr>
        <w:top w:val="none" w:sz="0" w:space="0" w:color="auto"/>
        <w:left w:val="none" w:sz="0" w:space="0" w:color="auto"/>
        <w:bottom w:val="none" w:sz="0" w:space="0" w:color="auto"/>
        <w:right w:val="none" w:sz="0" w:space="0" w:color="auto"/>
      </w:divBdr>
      <w:divsChild>
        <w:div w:id="374231947">
          <w:marLeft w:val="0"/>
          <w:marRight w:val="0"/>
          <w:marTop w:val="0"/>
          <w:marBottom w:val="0"/>
          <w:divBdr>
            <w:top w:val="none" w:sz="0" w:space="0" w:color="auto"/>
            <w:left w:val="none" w:sz="0" w:space="0" w:color="auto"/>
            <w:bottom w:val="none" w:sz="0" w:space="0" w:color="auto"/>
            <w:right w:val="none" w:sz="0" w:space="0" w:color="auto"/>
          </w:divBdr>
          <w:divsChild>
            <w:div w:id="1492522750">
              <w:marLeft w:val="0"/>
              <w:marRight w:val="0"/>
              <w:marTop w:val="0"/>
              <w:marBottom w:val="0"/>
              <w:divBdr>
                <w:top w:val="none" w:sz="0" w:space="0" w:color="auto"/>
                <w:left w:val="none" w:sz="0" w:space="0" w:color="auto"/>
                <w:bottom w:val="none" w:sz="0" w:space="0" w:color="auto"/>
                <w:right w:val="none" w:sz="0" w:space="0" w:color="auto"/>
              </w:divBdr>
            </w:div>
          </w:divsChild>
        </w:div>
        <w:div w:id="1202552524">
          <w:marLeft w:val="0"/>
          <w:marRight w:val="0"/>
          <w:marTop w:val="0"/>
          <w:marBottom w:val="0"/>
          <w:divBdr>
            <w:top w:val="none" w:sz="0" w:space="0" w:color="auto"/>
            <w:left w:val="none" w:sz="0" w:space="0" w:color="auto"/>
            <w:bottom w:val="none" w:sz="0" w:space="0" w:color="auto"/>
            <w:right w:val="none" w:sz="0" w:space="0" w:color="auto"/>
          </w:divBdr>
          <w:divsChild>
            <w:div w:id="1761608132">
              <w:marLeft w:val="0"/>
              <w:marRight w:val="0"/>
              <w:marTop w:val="0"/>
              <w:marBottom w:val="0"/>
              <w:divBdr>
                <w:top w:val="none" w:sz="0" w:space="0" w:color="auto"/>
                <w:left w:val="none" w:sz="0" w:space="0" w:color="auto"/>
                <w:bottom w:val="none" w:sz="0" w:space="0" w:color="auto"/>
                <w:right w:val="none" w:sz="0" w:space="0" w:color="auto"/>
              </w:divBdr>
              <w:divsChild>
                <w:div w:id="79791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334335">
      <w:bodyDiv w:val="1"/>
      <w:marLeft w:val="0"/>
      <w:marRight w:val="0"/>
      <w:marTop w:val="0"/>
      <w:marBottom w:val="0"/>
      <w:divBdr>
        <w:top w:val="none" w:sz="0" w:space="0" w:color="auto"/>
        <w:left w:val="none" w:sz="0" w:space="0" w:color="auto"/>
        <w:bottom w:val="none" w:sz="0" w:space="0" w:color="auto"/>
        <w:right w:val="none" w:sz="0" w:space="0" w:color="auto"/>
      </w:divBdr>
    </w:div>
    <w:div w:id="524829648">
      <w:bodyDiv w:val="1"/>
      <w:marLeft w:val="0"/>
      <w:marRight w:val="0"/>
      <w:marTop w:val="0"/>
      <w:marBottom w:val="0"/>
      <w:divBdr>
        <w:top w:val="none" w:sz="0" w:space="0" w:color="auto"/>
        <w:left w:val="none" w:sz="0" w:space="0" w:color="auto"/>
        <w:bottom w:val="none" w:sz="0" w:space="0" w:color="auto"/>
        <w:right w:val="none" w:sz="0" w:space="0" w:color="auto"/>
      </w:divBdr>
    </w:div>
    <w:div w:id="862134583">
      <w:bodyDiv w:val="1"/>
      <w:marLeft w:val="0"/>
      <w:marRight w:val="0"/>
      <w:marTop w:val="0"/>
      <w:marBottom w:val="0"/>
      <w:divBdr>
        <w:top w:val="none" w:sz="0" w:space="0" w:color="auto"/>
        <w:left w:val="none" w:sz="0" w:space="0" w:color="auto"/>
        <w:bottom w:val="none" w:sz="0" w:space="0" w:color="auto"/>
        <w:right w:val="none" w:sz="0" w:space="0" w:color="auto"/>
      </w:divBdr>
    </w:div>
    <w:div w:id="1526408653">
      <w:bodyDiv w:val="1"/>
      <w:marLeft w:val="0"/>
      <w:marRight w:val="0"/>
      <w:marTop w:val="0"/>
      <w:marBottom w:val="0"/>
      <w:divBdr>
        <w:top w:val="none" w:sz="0" w:space="0" w:color="auto"/>
        <w:left w:val="none" w:sz="0" w:space="0" w:color="auto"/>
        <w:bottom w:val="none" w:sz="0" w:space="0" w:color="auto"/>
        <w:right w:val="none" w:sz="0" w:space="0" w:color="auto"/>
      </w:divBdr>
      <w:divsChild>
        <w:div w:id="505173756">
          <w:marLeft w:val="0"/>
          <w:marRight w:val="0"/>
          <w:marTop w:val="0"/>
          <w:marBottom w:val="0"/>
          <w:divBdr>
            <w:top w:val="none" w:sz="0" w:space="0" w:color="auto"/>
            <w:left w:val="none" w:sz="0" w:space="0" w:color="auto"/>
            <w:bottom w:val="none" w:sz="0" w:space="0" w:color="auto"/>
            <w:right w:val="none" w:sz="0" w:space="0" w:color="auto"/>
          </w:divBdr>
        </w:div>
        <w:div w:id="795373598">
          <w:marLeft w:val="0"/>
          <w:marRight w:val="0"/>
          <w:marTop w:val="0"/>
          <w:marBottom w:val="0"/>
          <w:divBdr>
            <w:top w:val="none" w:sz="0" w:space="0" w:color="auto"/>
            <w:left w:val="none" w:sz="0" w:space="0" w:color="auto"/>
            <w:bottom w:val="none" w:sz="0" w:space="0" w:color="auto"/>
            <w:right w:val="none" w:sz="0" w:space="0" w:color="auto"/>
          </w:divBdr>
        </w:div>
        <w:div w:id="1210411451">
          <w:marLeft w:val="0"/>
          <w:marRight w:val="0"/>
          <w:marTop w:val="0"/>
          <w:marBottom w:val="0"/>
          <w:divBdr>
            <w:top w:val="none" w:sz="0" w:space="0" w:color="auto"/>
            <w:left w:val="none" w:sz="0" w:space="0" w:color="auto"/>
            <w:bottom w:val="none" w:sz="0" w:space="0" w:color="auto"/>
            <w:right w:val="none" w:sz="0" w:space="0" w:color="auto"/>
          </w:divBdr>
        </w:div>
      </w:divsChild>
    </w:div>
    <w:div w:id="1724405667">
      <w:bodyDiv w:val="1"/>
      <w:marLeft w:val="0"/>
      <w:marRight w:val="0"/>
      <w:marTop w:val="0"/>
      <w:marBottom w:val="0"/>
      <w:divBdr>
        <w:top w:val="none" w:sz="0" w:space="0" w:color="auto"/>
        <w:left w:val="none" w:sz="0" w:space="0" w:color="auto"/>
        <w:bottom w:val="none" w:sz="0" w:space="0" w:color="auto"/>
        <w:right w:val="none" w:sz="0" w:space="0" w:color="auto"/>
      </w:divBdr>
    </w:div>
    <w:div w:id="1750273115">
      <w:bodyDiv w:val="1"/>
      <w:marLeft w:val="0"/>
      <w:marRight w:val="0"/>
      <w:marTop w:val="0"/>
      <w:marBottom w:val="0"/>
      <w:divBdr>
        <w:top w:val="none" w:sz="0" w:space="0" w:color="auto"/>
        <w:left w:val="none" w:sz="0" w:space="0" w:color="auto"/>
        <w:bottom w:val="none" w:sz="0" w:space="0" w:color="auto"/>
        <w:right w:val="none" w:sz="0" w:space="0" w:color="auto"/>
      </w:divBdr>
      <w:divsChild>
        <w:div w:id="872503165">
          <w:marLeft w:val="0"/>
          <w:marRight w:val="0"/>
          <w:marTop w:val="0"/>
          <w:marBottom w:val="0"/>
          <w:divBdr>
            <w:top w:val="none" w:sz="0" w:space="0" w:color="auto"/>
            <w:left w:val="none" w:sz="0" w:space="0" w:color="auto"/>
            <w:bottom w:val="none" w:sz="0" w:space="0" w:color="auto"/>
            <w:right w:val="none" w:sz="0" w:space="0" w:color="auto"/>
          </w:divBdr>
          <w:divsChild>
            <w:div w:id="579144900">
              <w:marLeft w:val="0"/>
              <w:marRight w:val="0"/>
              <w:marTop w:val="0"/>
              <w:marBottom w:val="0"/>
              <w:divBdr>
                <w:top w:val="none" w:sz="0" w:space="0" w:color="auto"/>
                <w:left w:val="none" w:sz="0" w:space="0" w:color="auto"/>
                <w:bottom w:val="none" w:sz="0" w:space="0" w:color="auto"/>
                <w:right w:val="none" w:sz="0" w:space="0" w:color="auto"/>
              </w:divBdr>
            </w:div>
          </w:divsChild>
        </w:div>
        <w:div w:id="1065882299">
          <w:marLeft w:val="0"/>
          <w:marRight w:val="0"/>
          <w:marTop w:val="0"/>
          <w:marBottom w:val="0"/>
          <w:divBdr>
            <w:top w:val="none" w:sz="0" w:space="0" w:color="auto"/>
            <w:left w:val="none" w:sz="0" w:space="0" w:color="auto"/>
            <w:bottom w:val="none" w:sz="0" w:space="0" w:color="auto"/>
            <w:right w:val="none" w:sz="0" w:space="0" w:color="auto"/>
          </w:divBdr>
          <w:divsChild>
            <w:div w:id="343826727">
              <w:marLeft w:val="0"/>
              <w:marRight w:val="0"/>
              <w:marTop w:val="0"/>
              <w:marBottom w:val="0"/>
              <w:divBdr>
                <w:top w:val="none" w:sz="0" w:space="0" w:color="auto"/>
                <w:left w:val="none" w:sz="0" w:space="0" w:color="auto"/>
                <w:bottom w:val="none" w:sz="0" w:space="0" w:color="auto"/>
                <w:right w:val="none" w:sz="0" w:space="0" w:color="auto"/>
              </w:divBdr>
              <w:divsChild>
                <w:div w:id="1420371317">
                  <w:marLeft w:val="0"/>
                  <w:marRight w:val="0"/>
                  <w:marTop w:val="0"/>
                  <w:marBottom w:val="0"/>
                  <w:divBdr>
                    <w:top w:val="none" w:sz="0" w:space="0" w:color="auto"/>
                    <w:left w:val="none" w:sz="0" w:space="0" w:color="auto"/>
                    <w:bottom w:val="none" w:sz="0" w:space="0" w:color="auto"/>
                    <w:right w:val="none" w:sz="0" w:space="0" w:color="auto"/>
                  </w:divBdr>
                </w:div>
              </w:divsChild>
            </w:div>
            <w:div w:id="1417904052">
              <w:marLeft w:val="0"/>
              <w:marRight w:val="0"/>
              <w:marTop w:val="0"/>
              <w:marBottom w:val="0"/>
              <w:divBdr>
                <w:top w:val="none" w:sz="0" w:space="0" w:color="auto"/>
                <w:left w:val="none" w:sz="0" w:space="0" w:color="auto"/>
                <w:bottom w:val="none" w:sz="0" w:space="0" w:color="auto"/>
                <w:right w:val="none" w:sz="0" w:space="0" w:color="auto"/>
              </w:divBdr>
              <w:divsChild>
                <w:div w:id="124449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013046">
      <w:bodyDiv w:val="1"/>
      <w:marLeft w:val="0"/>
      <w:marRight w:val="0"/>
      <w:marTop w:val="0"/>
      <w:marBottom w:val="0"/>
      <w:divBdr>
        <w:top w:val="none" w:sz="0" w:space="0" w:color="auto"/>
        <w:left w:val="none" w:sz="0" w:space="0" w:color="auto"/>
        <w:bottom w:val="none" w:sz="0" w:space="0" w:color="auto"/>
        <w:right w:val="none" w:sz="0" w:space="0" w:color="auto"/>
      </w:divBdr>
    </w:div>
    <w:div w:id="1838419977">
      <w:bodyDiv w:val="1"/>
      <w:marLeft w:val="0"/>
      <w:marRight w:val="0"/>
      <w:marTop w:val="0"/>
      <w:marBottom w:val="0"/>
      <w:divBdr>
        <w:top w:val="none" w:sz="0" w:space="0" w:color="auto"/>
        <w:left w:val="none" w:sz="0" w:space="0" w:color="auto"/>
        <w:bottom w:val="none" w:sz="0" w:space="0" w:color="auto"/>
        <w:right w:val="none" w:sz="0" w:space="0" w:color="auto"/>
      </w:divBdr>
    </w:div>
    <w:div w:id="1979416010">
      <w:bodyDiv w:val="1"/>
      <w:marLeft w:val="0"/>
      <w:marRight w:val="0"/>
      <w:marTop w:val="0"/>
      <w:marBottom w:val="0"/>
      <w:divBdr>
        <w:top w:val="none" w:sz="0" w:space="0" w:color="auto"/>
        <w:left w:val="none" w:sz="0" w:space="0" w:color="auto"/>
        <w:bottom w:val="none" w:sz="0" w:space="0" w:color="auto"/>
        <w:right w:val="none" w:sz="0" w:space="0" w:color="auto"/>
      </w:divBdr>
      <w:divsChild>
        <w:div w:id="857962911">
          <w:marLeft w:val="0"/>
          <w:marRight w:val="0"/>
          <w:marTop w:val="0"/>
          <w:marBottom w:val="0"/>
          <w:divBdr>
            <w:top w:val="none" w:sz="0" w:space="0" w:color="auto"/>
            <w:left w:val="none" w:sz="0" w:space="0" w:color="auto"/>
            <w:bottom w:val="none" w:sz="0" w:space="0" w:color="auto"/>
            <w:right w:val="none" w:sz="0" w:space="0" w:color="auto"/>
          </w:divBdr>
        </w:div>
      </w:divsChild>
    </w:div>
    <w:div w:id="2118670070">
      <w:bodyDiv w:val="1"/>
      <w:marLeft w:val="0"/>
      <w:marRight w:val="0"/>
      <w:marTop w:val="0"/>
      <w:marBottom w:val="0"/>
      <w:divBdr>
        <w:top w:val="none" w:sz="0" w:space="0" w:color="auto"/>
        <w:left w:val="none" w:sz="0" w:space="0" w:color="auto"/>
        <w:bottom w:val="none" w:sz="0" w:space="0" w:color="auto"/>
        <w:right w:val="none" w:sz="0" w:space="0" w:color="auto"/>
      </w:divBdr>
      <w:divsChild>
        <w:div w:id="1231117168">
          <w:marLeft w:val="0"/>
          <w:marRight w:val="0"/>
          <w:marTop w:val="0"/>
          <w:marBottom w:val="0"/>
          <w:divBdr>
            <w:top w:val="none" w:sz="0" w:space="0" w:color="auto"/>
            <w:left w:val="none" w:sz="0" w:space="0" w:color="auto"/>
            <w:bottom w:val="none" w:sz="0" w:space="0" w:color="auto"/>
            <w:right w:val="none" w:sz="0" w:space="0" w:color="auto"/>
          </w:divBdr>
          <w:divsChild>
            <w:div w:id="2047019421">
              <w:marLeft w:val="0"/>
              <w:marRight w:val="0"/>
              <w:marTop w:val="0"/>
              <w:marBottom w:val="0"/>
              <w:divBdr>
                <w:top w:val="none" w:sz="0" w:space="0" w:color="auto"/>
                <w:left w:val="none" w:sz="0" w:space="0" w:color="auto"/>
                <w:bottom w:val="none" w:sz="0" w:space="0" w:color="auto"/>
                <w:right w:val="none" w:sz="0" w:space="0" w:color="auto"/>
              </w:divBdr>
              <w:divsChild>
                <w:div w:id="999119324">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21326737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4249</Words>
  <Characters>24221</Characters>
  <Application>Microsoft Macintosh Word</Application>
  <DocSecurity>0</DocSecurity>
  <Lines>201</Lines>
  <Paragraphs>56</Paragraphs>
  <ScaleCrop>false</ScaleCrop>
  <Company/>
  <LinksUpToDate>false</LinksUpToDate>
  <CharactersWithSpaces>28414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V</dc:creator>
  <cp:keywords/>
  <dc:description/>
  <cp:lastModifiedBy>David Whyte</cp:lastModifiedBy>
  <cp:revision>2</cp:revision>
  <dcterms:created xsi:type="dcterms:W3CDTF">2018-08-21T11:17:00Z</dcterms:created>
  <dcterms:modified xsi:type="dcterms:W3CDTF">2018-08-21T11:17:00Z</dcterms:modified>
</cp:coreProperties>
</file>