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3F" w:rsidRDefault="0023233F" w:rsidP="0023233F">
      <w:pPr>
        <w:shd w:val="clear" w:color="auto" w:fill="FFFFFF"/>
        <w:textAlignment w:val="top"/>
        <w:rPr>
          <w:rFonts w:ascii="inherit" w:hAnsi="inherit" w:cs="Arial"/>
          <w:color w:val="787878"/>
          <w:sz w:val="27"/>
          <w:szCs w:val="27"/>
        </w:rPr>
      </w:pPr>
    </w:p>
    <w:p w:rsidR="0023233F" w:rsidRPr="0023233F" w:rsidRDefault="0023233F" w:rsidP="0023233F">
      <w:pPr>
        <w:shd w:val="clear" w:color="auto" w:fill="FFFFFF"/>
        <w:textAlignment w:val="top"/>
        <w:rPr>
          <w:rFonts w:ascii="inherit" w:hAnsi="inherit" w:cs="Arial"/>
          <w:color w:val="787878"/>
          <w:sz w:val="21"/>
          <w:szCs w:val="21"/>
        </w:rPr>
      </w:pPr>
      <w:bookmarkStart w:id="0" w:name="_GoBack"/>
      <w:bookmarkEnd w:id="0"/>
      <w:proofErr w:type="gramStart"/>
      <w:r w:rsidRPr="0023233F">
        <w:rPr>
          <w:rFonts w:ascii="inherit" w:hAnsi="inherit" w:cs="Arial"/>
          <w:color w:val="787878"/>
          <w:sz w:val="21"/>
          <w:szCs w:val="21"/>
        </w:rPr>
        <w:t>SURGICAL MANAGEMENT OF PEDIATRIC OVARIAN TUMORS – CLASSICAL ’OPEN’ OR MINIMALLY INVASIVE SURGERY?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t xml:space="preserve"> </w:t>
      </w:r>
    </w:p>
    <w:p w:rsidR="0023233F" w:rsidRPr="0023233F" w:rsidRDefault="0023233F" w:rsidP="0023233F">
      <w:pPr>
        <w:shd w:val="clear" w:color="auto" w:fill="FFFFFF"/>
        <w:spacing w:after="150"/>
        <w:textAlignment w:val="top"/>
        <w:rPr>
          <w:rFonts w:ascii="inherit" w:hAnsi="inherit" w:cs="Arial"/>
          <w:color w:val="787878"/>
          <w:sz w:val="21"/>
          <w:szCs w:val="21"/>
        </w:rPr>
      </w:pPr>
      <w:r w:rsidRPr="0023233F">
        <w:rPr>
          <w:rFonts w:ascii="inherit" w:hAnsi="inherit" w:cs="Arial"/>
          <w:color w:val="787878"/>
          <w:sz w:val="21"/>
          <w:szCs w:val="21"/>
          <w:u w:val="single"/>
        </w:rPr>
        <w:t>S. Braungart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1</w:t>
      </w:r>
      <w:r w:rsidRPr="0023233F">
        <w:rPr>
          <w:rFonts w:ascii="inherit" w:hAnsi="inherit" w:cs="Arial"/>
          <w:color w:val="787878"/>
          <w:sz w:val="21"/>
          <w:szCs w:val="21"/>
        </w:rPr>
        <w:t>, P. Losty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2</w:t>
      </w:r>
      <w:r w:rsidRPr="0023233F">
        <w:rPr>
          <w:rFonts w:ascii="inherit" w:hAnsi="inherit" w:cs="Arial"/>
          <w:color w:val="787878"/>
          <w:sz w:val="21"/>
          <w:szCs w:val="21"/>
        </w:rPr>
        <w:t>, P. Farrelly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1</w:t>
      </w:r>
      <w:r w:rsidRPr="0023233F">
        <w:rPr>
          <w:rFonts w:ascii="inherit" w:hAnsi="inherit" w:cs="Arial"/>
          <w:color w:val="787878"/>
          <w:sz w:val="21"/>
          <w:szCs w:val="21"/>
        </w:rPr>
        <w:t>, J. Andrews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3</w:t>
      </w:r>
      <w:r w:rsidRPr="0023233F">
        <w:rPr>
          <w:rFonts w:ascii="inherit" w:hAnsi="inherit" w:cs="Arial"/>
          <w:color w:val="787878"/>
          <w:sz w:val="21"/>
          <w:szCs w:val="21"/>
        </w:rPr>
        <w:t>, K. Burnand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4</w:t>
      </w:r>
      <w:r w:rsidRPr="0023233F">
        <w:rPr>
          <w:rFonts w:ascii="inherit" w:hAnsi="inherit" w:cs="Arial"/>
          <w:color w:val="787878"/>
          <w:sz w:val="21"/>
          <w:szCs w:val="21"/>
        </w:rPr>
        <w:t>, D. Colvin/ Ervine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5</w:t>
      </w:r>
      <w:r w:rsidRPr="0023233F">
        <w:rPr>
          <w:rFonts w:ascii="inherit" w:hAnsi="inherit" w:cs="Arial"/>
          <w:color w:val="787878"/>
          <w:sz w:val="21"/>
          <w:szCs w:val="21"/>
        </w:rPr>
        <w:t>, K. Cross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4</w:t>
      </w:r>
      <w:r w:rsidRPr="0023233F">
        <w:rPr>
          <w:rFonts w:ascii="inherit" w:hAnsi="inherit" w:cs="Arial"/>
          <w:color w:val="787878"/>
          <w:sz w:val="21"/>
          <w:szCs w:val="21"/>
        </w:rPr>
        <w:t>, B. Okoye/ Dawson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6</w:t>
      </w:r>
      <w:r w:rsidRPr="0023233F">
        <w:rPr>
          <w:rFonts w:ascii="inherit" w:hAnsi="inherit" w:cs="Arial"/>
          <w:color w:val="787878"/>
          <w:sz w:val="21"/>
          <w:szCs w:val="21"/>
        </w:rPr>
        <w:t>, A. Dick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5</w:t>
      </w:r>
      <w:r w:rsidRPr="0023233F">
        <w:rPr>
          <w:rFonts w:ascii="inherit" w:hAnsi="inherit" w:cs="Arial"/>
          <w:color w:val="787878"/>
          <w:sz w:val="21"/>
          <w:szCs w:val="21"/>
        </w:rPr>
        <w:t>, H. Gabra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7</w:t>
      </w:r>
      <w:r w:rsidRPr="0023233F">
        <w:rPr>
          <w:rFonts w:ascii="inherit" w:hAnsi="inherit" w:cs="Arial"/>
          <w:color w:val="787878"/>
          <w:sz w:val="21"/>
          <w:szCs w:val="21"/>
        </w:rPr>
        <w:t>, P. Hammond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8</w:t>
      </w:r>
      <w:r w:rsidRPr="0023233F">
        <w:rPr>
          <w:rFonts w:ascii="inherit" w:hAnsi="inherit" w:cs="Arial"/>
          <w:color w:val="787878"/>
          <w:sz w:val="21"/>
          <w:szCs w:val="21"/>
        </w:rPr>
        <w:t>, C. Jackson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9</w:t>
      </w:r>
      <w:r w:rsidRPr="0023233F">
        <w:rPr>
          <w:rFonts w:ascii="inherit" w:hAnsi="inherit" w:cs="Arial"/>
          <w:color w:val="787878"/>
          <w:sz w:val="21"/>
          <w:szCs w:val="21"/>
        </w:rPr>
        <w:t>, M. Jacovides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3</w:t>
      </w:r>
      <w:r w:rsidRPr="0023233F">
        <w:rPr>
          <w:rFonts w:ascii="inherit" w:hAnsi="inherit" w:cs="Arial"/>
          <w:color w:val="787878"/>
          <w:sz w:val="21"/>
          <w:szCs w:val="21"/>
        </w:rPr>
        <w:t>, K. Kuti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8</w:t>
      </w:r>
      <w:r w:rsidRPr="0023233F">
        <w:rPr>
          <w:rFonts w:ascii="inherit" w:hAnsi="inherit" w:cs="Arial"/>
          <w:color w:val="787878"/>
          <w:sz w:val="21"/>
          <w:szCs w:val="21"/>
        </w:rPr>
        <w:t>, A. Mohamed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7</w:t>
      </w:r>
      <w:r w:rsidRPr="0023233F">
        <w:rPr>
          <w:rFonts w:ascii="inherit" w:hAnsi="inherit" w:cs="Arial"/>
          <w:color w:val="787878"/>
          <w:sz w:val="21"/>
          <w:szCs w:val="21"/>
        </w:rPr>
        <w:t>, T. Rogers/ Mostafa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10</w:t>
      </w:r>
      <w:r w:rsidRPr="0023233F">
        <w:rPr>
          <w:rFonts w:ascii="inherit" w:hAnsi="inherit" w:cs="Arial"/>
          <w:color w:val="787878"/>
          <w:sz w:val="21"/>
          <w:szCs w:val="21"/>
        </w:rPr>
        <w:t>, M. Powis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11</w:t>
      </w:r>
      <w:r w:rsidRPr="0023233F">
        <w:rPr>
          <w:rFonts w:ascii="inherit" w:hAnsi="inherit" w:cs="Arial"/>
          <w:color w:val="787878"/>
          <w:sz w:val="21"/>
          <w:szCs w:val="21"/>
        </w:rPr>
        <w:t>, G. Winter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12</w:t>
      </w:r>
      <w:r w:rsidRPr="0023233F">
        <w:rPr>
          <w:rFonts w:ascii="inherit" w:hAnsi="inherit" w:cs="Arial"/>
          <w:color w:val="787878"/>
          <w:sz w:val="21"/>
          <w:szCs w:val="21"/>
        </w:rPr>
        <w:t>, R. Craigie</w:t>
      </w:r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1</w:t>
      </w:r>
      <w:r w:rsidRPr="0023233F">
        <w:rPr>
          <w:rFonts w:ascii="inherit" w:hAnsi="inherit" w:cs="Arial"/>
          <w:color w:val="787878"/>
          <w:sz w:val="21"/>
          <w:szCs w:val="21"/>
        </w:rPr>
        <w:t>.</w:t>
      </w:r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1</w:t>
      </w:r>
      <w:r w:rsidRPr="0023233F">
        <w:rPr>
          <w:rFonts w:ascii="inherit" w:hAnsi="inherit" w:cs="Arial"/>
          <w:color w:val="787878"/>
          <w:sz w:val="21"/>
          <w:szCs w:val="21"/>
        </w:rPr>
        <w:t>Royal Manchester Children's Hospital, Department of Paediatric Surgery, Manchester,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2</w:t>
      </w:r>
      <w:r w:rsidRPr="0023233F">
        <w:rPr>
          <w:rFonts w:ascii="inherit" w:hAnsi="inherit" w:cs="Arial"/>
          <w:color w:val="787878"/>
          <w:sz w:val="21"/>
          <w:szCs w:val="21"/>
        </w:rPr>
        <w:t>University of Liverpool, Division of Child Health, Liverpool,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3</w:t>
      </w:r>
      <w:r w:rsidRPr="0023233F">
        <w:rPr>
          <w:rFonts w:ascii="inherit" w:hAnsi="inherit" w:cs="Arial"/>
          <w:color w:val="787878"/>
          <w:sz w:val="21"/>
          <w:szCs w:val="21"/>
        </w:rPr>
        <w:t>Royal Hospital for Children, Department of Paediatric Surgery, Glasgow,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4</w:t>
      </w:r>
      <w:r w:rsidRPr="0023233F">
        <w:rPr>
          <w:rFonts w:ascii="inherit" w:hAnsi="inherit" w:cs="Arial"/>
          <w:color w:val="787878"/>
          <w:sz w:val="21"/>
          <w:szCs w:val="21"/>
        </w:rPr>
        <w:t>Great Ormond Street Hospital, Department of Paediatric Surgery, London,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5</w:t>
      </w:r>
      <w:r w:rsidRPr="0023233F">
        <w:rPr>
          <w:rFonts w:ascii="inherit" w:hAnsi="inherit" w:cs="Arial"/>
          <w:color w:val="787878"/>
          <w:sz w:val="21"/>
          <w:szCs w:val="21"/>
        </w:rPr>
        <w:t>Royal Belfast Hospital for Sick Children, Department of Paediatric Surgery, Belfast,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6</w:t>
      </w:r>
      <w:r w:rsidRPr="0023233F">
        <w:rPr>
          <w:rFonts w:ascii="inherit" w:hAnsi="inherit" w:cs="Arial"/>
          <w:color w:val="787878"/>
          <w:sz w:val="21"/>
          <w:szCs w:val="21"/>
        </w:rPr>
        <w:t>St George's Hospital, Department of Paediatric Surgery, London,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7</w:t>
      </w:r>
      <w:r w:rsidRPr="0023233F">
        <w:rPr>
          <w:rFonts w:ascii="inherit" w:hAnsi="inherit" w:cs="Arial"/>
          <w:color w:val="787878"/>
          <w:sz w:val="21"/>
          <w:szCs w:val="21"/>
        </w:rPr>
        <w:t>The Royal Victoria Infirmary, Department of Paediatric Surgery, Newcastle,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8</w:t>
      </w:r>
      <w:r w:rsidRPr="0023233F">
        <w:rPr>
          <w:rFonts w:ascii="inherit" w:hAnsi="inherit" w:cs="Arial"/>
          <w:color w:val="787878"/>
          <w:sz w:val="21"/>
          <w:szCs w:val="21"/>
        </w:rPr>
        <w:t>Royal Hospital for Sick Children, Department of Paediatric Surgery, Edinburgh,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9</w:t>
      </w:r>
      <w:r w:rsidRPr="0023233F">
        <w:rPr>
          <w:rFonts w:ascii="inherit" w:hAnsi="inherit" w:cs="Arial"/>
          <w:color w:val="787878"/>
          <w:sz w:val="21"/>
          <w:szCs w:val="21"/>
        </w:rPr>
        <w:t>Addenbrookes Hospital, Department of Paediatric Surgery, Cambridge,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10</w:t>
      </w:r>
      <w:r w:rsidRPr="0023233F">
        <w:rPr>
          <w:rFonts w:ascii="inherit" w:hAnsi="inherit" w:cs="Arial"/>
          <w:color w:val="787878"/>
          <w:sz w:val="21"/>
          <w:szCs w:val="21"/>
        </w:rPr>
        <w:t>Bristol Children's Hospital, Department of Paediatric Surgery, Bristol,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11</w:t>
      </w:r>
      <w:r w:rsidRPr="0023233F">
        <w:rPr>
          <w:rFonts w:ascii="inherit" w:hAnsi="inherit" w:cs="Arial"/>
          <w:color w:val="787878"/>
          <w:sz w:val="21"/>
          <w:szCs w:val="21"/>
        </w:rPr>
        <w:t>Leeds General Infirmary, Department of Paediatric Surgery, Leeds,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proofErr w:type="gramStart"/>
      <w:r w:rsidRPr="0023233F">
        <w:rPr>
          <w:rFonts w:ascii="inherit" w:hAnsi="inherit" w:cs="Arial"/>
          <w:color w:val="787878"/>
          <w:sz w:val="16"/>
          <w:szCs w:val="16"/>
          <w:vertAlign w:val="superscript"/>
        </w:rPr>
        <w:t>12</w:t>
      </w:r>
      <w:r w:rsidRPr="0023233F">
        <w:rPr>
          <w:rFonts w:ascii="inherit" w:hAnsi="inherit" w:cs="Arial"/>
          <w:color w:val="787878"/>
          <w:sz w:val="21"/>
          <w:szCs w:val="21"/>
        </w:rPr>
        <w:t>Aberdeen Royal Infirmary, Department of Paediatric Surgery, Aberdeen, United Kingdom.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br/>
      </w:r>
      <w:r w:rsidRPr="0023233F">
        <w:rPr>
          <w:rFonts w:ascii="inherit" w:hAnsi="inherit" w:cs="Arial"/>
          <w:color w:val="787878"/>
          <w:sz w:val="21"/>
          <w:szCs w:val="21"/>
        </w:rPr>
        <w:br/>
      </w:r>
      <w:r w:rsidRPr="0023233F">
        <w:rPr>
          <w:rFonts w:ascii="inherit" w:hAnsi="inherit" w:cs="Arial"/>
          <w:b/>
          <w:bCs/>
          <w:color w:val="787878"/>
          <w:sz w:val="21"/>
          <w:szCs w:val="21"/>
        </w:rPr>
        <w:t>Background / Objectives:</w:t>
      </w:r>
    </w:p>
    <w:p w:rsidR="0023233F" w:rsidRPr="0023233F" w:rsidRDefault="0023233F" w:rsidP="0023233F">
      <w:pPr>
        <w:shd w:val="clear" w:color="auto" w:fill="FFFFFF"/>
        <w:spacing w:after="150"/>
        <w:textAlignment w:val="top"/>
        <w:rPr>
          <w:rFonts w:ascii="inherit" w:hAnsi="inherit" w:cs="Arial"/>
          <w:color w:val="787878"/>
          <w:sz w:val="21"/>
          <w:szCs w:val="21"/>
        </w:rPr>
      </w:pPr>
      <w:r w:rsidRPr="0023233F">
        <w:rPr>
          <w:rFonts w:ascii="inherit" w:hAnsi="inherit" w:cs="Arial"/>
          <w:color w:val="787878"/>
          <w:sz w:val="21"/>
          <w:szCs w:val="21"/>
        </w:rPr>
        <w:t xml:space="preserve">Ovarian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tumors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 in the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pediatric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 age group are rare. A significant number of children with ovarian mass lesions present “out of hours</w:t>
      </w:r>
      <w:proofErr w:type="gramStart"/>
      <w:r w:rsidRPr="0023233F">
        <w:rPr>
          <w:rFonts w:ascii="inherit" w:hAnsi="inherit" w:cs="Arial"/>
          <w:color w:val="787878"/>
          <w:sz w:val="21"/>
          <w:szCs w:val="21"/>
        </w:rPr>
        <w:t>“ as</w:t>
      </w:r>
      <w:proofErr w:type="gramEnd"/>
      <w:r w:rsidRPr="0023233F">
        <w:rPr>
          <w:rFonts w:ascii="inherit" w:hAnsi="inherit" w:cs="Arial"/>
          <w:color w:val="787878"/>
          <w:sz w:val="21"/>
          <w:szCs w:val="21"/>
        </w:rPr>
        <w:t xml:space="preserve"> surgical emergencies. Surgical management may involve specialty services notably surgical oncologists or general surgeons. This multi-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center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 study herein reports how the mode of clinical presentation may influence (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i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>) operation (classical ‘open’ vs minimally invasive surgery (MIS)) and (ii) examines if young females presenting as surgical emergency(s) are more likely to undergo radical oophorectomy vs ovarian-sparing surgery.</w:t>
      </w:r>
    </w:p>
    <w:p w:rsidR="0023233F" w:rsidRPr="0023233F" w:rsidRDefault="0023233F" w:rsidP="0023233F">
      <w:pPr>
        <w:shd w:val="clear" w:color="auto" w:fill="FFFFFF"/>
        <w:textAlignment w:val="top"/>
        <w:rPr>
          <w:rFonts w:ascii="inherit" w:hAnsi="inherit" w:cs="Arial"/>
          <w:color w:val="787878"/>
          <w:sz w:val="21"/>
          <w:szCs w:val="21"/>
        </w:rPr>
      </w:pPr>
      <w:r w:rsidRPr="0023233F">
        <w:rPr>
          <w:rFonts w:ascii="inherit" w:hAnsi="inherit" w:cs="Arial"/>
          <w:b/>
          <w:bCs/>
          <w:color w:val="787878"/>
          <w:sz w:val="21"/>
          <w:szCs w:val="21"/>
        </w:rPr>
        <w:t>Design / Methods:</w:t>
      </w:r>
    </w:p>
    <w:p w:rsidR="0023233F" w:rsidRPr="0023233F" w:rsidRDefault="0023233F" w:rsidP="0023233F">
      <w:pPr>
        <w:shd w:val="clear" w:color="auto" w:fill="FFFFFF"/>
        <w:spacing w:after="150"/>
        <w:textAlignment w:val="top"/>
        <w:rPr>
          <w:rFonts w:ascii="inherit" w:hAnsi="inherit" w:cs="Arial"/>
          <w:color w:val="787878"/>
          <w:sz w:val="21"/>
          <w:szCs w:val="21"/>
        </w:rPr>
      </w:pPr>
      <w:r w:rsidRPr="0023233F">
        <w:rPr>
          <w:rFonts w:ascii="inherit" w:hAnsi="inherit" w:cs="Arial"/>
          <w:color w:val="787878"/>
          <w:sz w:val="21"/>
          <w:szCs w:val="21"/>
        </w:rPr>
        <w:t xml:space="preserve">Nationwide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multicenter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 voluntary data study registry amongst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pediatric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 oncology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centers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. Females &lt;16 years with an index diagnosis of ovarian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tumor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 (excluding functional/neonatal ovarian cysts) during 2006 - 2016 were recruited and data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analyzed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>.</w:t>
      </w:r>
    </w:p>
    <w:p w:rsidR="0023233F" w:rsidRPr="0023233F" w:rsidRDefault="0023233F" w:rsidP="0023233F">
      <w:pPr>
        <w:shd w:val="clear" w:color="auto" w:fill="FFFFFF"/>
        <w:textAlignment w:val="top"/>
        <w:rPr>
          <w:rFonts w:ascii="inherit" w:hAnsi="inherit" w:cs="Arial"/>
          <w:color w:val="787878"/>
          <w:sz w:val="21"/>
          <w:szCs w:val="21"/>
        </w:rPr>
      </w:pPr>
      <w:r w:rsidRPr="0023233F">
        <w:rPr>
          <w:rFonts w:ascii="inherit" w:hAnsi="inherit" w:cs="Arial"/>
          <w:b/>
          <w:bCs/>
          <w:color w:val="787878"/>
          <w:sz w:val="21"/>
          <w:szCs w:val="21"/>
        </w:rPr>
        <w:t>Results</w:t>
      </w:r>
    </w:p>
    <w:p w:rsidR="0023233F" w:rsidRPr="0023233F" w:rsidRDefault="0023233F" w:rsidP="0023233F">
      <w:pPr>
        <w:shd w:val="clear" w:color="auto" w:fill="FFFFFF"/>
        <w:spacing w:after="150"/>
        <w:textAlignment w:val="top"/>
        <w:rPr>
          <w:rFonts w:ascii="inherit" w:hAnsi="inherit" w:cs="Arial"/>
          <w:color w:val="787878"/>
          <w:sz w:val="21"/>
          <w:szCs w:val="21"/>
        </w:rPr>
      </w:pPr>
      <w:r w:rsidRPr="0023233F">
        <w:rPr>
          <w:rFonts w:ascii="inherit" w:hAnsi="inherit" w:cs="Arial"/>
          <w:color w:val="787878"/>
          <w:sz w:val="21"/>
          <w:szCs w:val="21"/>
        </w:rPr>
        <w:t xml:space="preserve">271 patients with ovarian pathology were identified. Mean age at surgery was 11 years [IQR 8–13]. 68% of cases underwent classical open surgery and 26% had minimally invasive operations. 2.2% surgeries were initially MIS and then converted to open operation(s). 31% of MIS operations were performed as emergency procedures vs 35% as classical open procedures (p=0.65; Fisher’s Exact Test).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Tumor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 size in MIS operations was smaller: median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tumor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 size was 6.5cm [IQR 4.5-10] vs 11cm [IQR 7.25-17.5] in the classical open group (p&lt;0.00001, t-test). Ovary-sparing surgery was significantly more common with MIS (45% ovary-sparing, vs 14.1% in the classical open group, (p&lt;0.00001; Fishers exact test)). Female patients who underwent emergency resection(s) were less likely to have ovarian-sparing surgery.</w:t>
      </w:r>
    </w:p>
    <w:p w:rsidR="0023233F" w:rsidRPr="0023233F" w:rsidRDefault="0023233F" w:rsidP="0023233F">
      <w:pPr>
        <w:shd w:val="clear" w:color="auto" w:fill="FFFFFF"/>
        <w:textAlignment w:val="top"/>
        <w:rPr>
          <w:rFonts w:ascii="inherit" w:hAnsi="inherit" w:cs="Arial"/>
          <w:color w:val="787878"/>
          <w:sz w:val="21"/>
          <w:szCs w:val="21"/>
        </w:rPr>
      </w:pPr>
      <w:r w:rsidRPr="0023233F">
        <w:rPr>
          <w:rFonts w:ascii="inherit" w:hAnsi="inherit" w:cs="Arial"/>
          <w:b/>
          <w:bCs/>
          <w:color w:val="787878"/>
          <w:sz w:val="21"/>
          <w:szCs w:val="21"/>
        </w:rPr>
        <w:t>Conclusions:</w:t>
      </w:r>
    </w:p>
    <w:p w:rsidR="0023233F" w:rsidRPr="0023233F" w:rsidRDefault="0023233F" w:rsidP="0023233F">
      <w:pPr>
        <w:shd w:val="clear" w:color="auto" w:fill="FFFFFF"/>
        <w:spacing w:after="150"/>
        <w:textAlignment w:val="top"/>
        <w:rPr>
          <w:rFonts w:ascii="inherit" w:hAnsi="inherit" w:cs="Arial"/>
          <w:color w:val="787878"/>
          <w:sz w:val="21"/>
          <w:szCs w:val="21"/>
        </w:rPr>
      </w:pPr>
      <w:r w:rsidRPr="0023233F">
        <w:rPr>
          <w:rFonts w:ascii="inherit" w:hAnsi="inherit" w:cs="Arial"/>
          <w:color w:val="787878"/>
          <w:sz w:val="21"/>
          <w:szCs w:val="21"/>
        </w:rPr>
        <w:t xml:space="preserve">The majority of female patients reported in this voluntary national study registry underwent open classical surgery for resection of ovarian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tumor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 and had a total oophorectomy. Cases having MIS were more likely to receive ovarian-sparing surgery. Small </w:t>
      </w:r>
      <w:proofErr w:type="spellStart"/>
      <w:r w:rsidRPr="0023233F">
        <w:rPr>
          <w:rFonts w:ascii="inherit" w:hAnsi="inherit" w:cs="Arial"/>
          <w:color w:val="787878"/>
          <w:sz w:val="21"/>
          <w:szCs w:val="21"/>
        </w:rPr>
        <w:t>tumor</w:t>
      </w:r>
      <w:proofErr w:type="spellEnd"/>
      <w:r w:rsidRPr="0023233F">
        <w:rPr>
          <w:rFonts w:ascii="inherit" w:hAnsi="inherit" w:cs="Arial"/>
          <w:color w:val="787878"/>
          <w:sz w:val="21"/>
          <w:szCs w:val="21"/>
        </w:rPr>
        <w:t xml:space="preserve"> size in the MIS group cohort may have facilitated fertility-preserving outcomes.</w:t>
      </w:r>
    </w:p>
    <w:p w:rsidR="00892447" w:rsidRDefault="00892447"/>
    <w:sectPr w:rsidR="00892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F"/>
    <w:rsid w:val="0023233F"/>
    <w:rsid w:val="008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3233F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33F"/>
    <w:rPr>
      <w:rFonts w:ascii="inherit" w:hAnsi="inherit"/>
      <w:sz w:val="27"/>
      <w:szCs w:val="27"/>
    </w:rPr>
  </w:style>
  <w:style w:type="paragraph" w:styleId="NormalWeb">
    <w:name w:val="Normal (Web)"/>
    <w:basedOn w:val="Normal"/>
    <w:uiPriority w:val="99"/>
    <w:unhideWhenUsed/>
    <w:rsid w:val="0023233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3233F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33F"/>
    <w:rPr>
      <w:rFonts w:ascii="inherit" w:hAnsi="inherit"/>
      <w:sz w:val="27"/>
      <w:szCs w:val="27"/>
    </w:rPr>
  </w:style>
  <w:style w:type="paragraph" w:styleId="NormalWeb">
    <w:name w:val="Normal (Web)"/>
    <w:basedOn w:val="Normal"/>
    <w:uiPriority w:val="99"/>
    <w:unhideWhenUsed/>
    <w:rsid w:val="0023233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86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5052">
                                                  <w:marLeft w:val="3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2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6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56892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9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90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0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40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18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2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single" w:sz="6" w:space="15" w:color="EEEEEE"/>
                                                                                            <w:left w:val="single" w:sz="36" w:space="15" w:color="EEEEEE"/>
                                                                                            <w:bottom w:val="single" w:sz="6" w:space="15" w:color="EEEEEE"/>
                                                                                            <w:right w:val="single" w:sz="6" w:space="15" w:color="EEEEEE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18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60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Department</dc:creator>
  <cp:lastModifiedBy>IM&amp;T Department</cp:lastModifiedBy>
  <cp:revision>1</cp:revision>
  <dcterms:created xsi:type="dcterms:W3CDTF">2018-10-11T11:16:00Z</dcterms:created>
  <dcterms:modified xsi:type="dcterms:W3CDTF">2018-10-11T11:17:00Z</dcterms:modified>
</cp:coreProperties>
</file>