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D6" w:rsidRDefault="003661D6" w:rsidP="003661D6">
      <w:pPr>
        <w:shd w:val="clear" w:color="auto" w:fill="FFFFFF"/>
        <w:textAlignment w:val="top"/>
        <w:rPr>
          <w:rFonts w:ascii="inherit" w:hAnsi="inherit" w:cs="Arial"/>
          <w:color w:val="787878"/>
          <w:sz w:val="21"/>
          <w:szCs w:val="21"/>
        </w:rPr>
      </w:pPr>
      <w:r>
        <w:rPr>
          <w:rFonts w:ascii="inherit" w:hAnsi="inherit" w:cs="Arial"/>
          <w:color w:val="787878"/>
          <w:sz w:val="21"/>
          <w:szCs w:val="21"/>
        </w:rPr>
        <w:t xml:space="preserve">OVARIAN TUMORS IN CHILDREN: HOW COMMON ARE LESION RECURRENCE(S) AND METACHRONOUS DISEASE? RESULTS OF A NATIONWIDE STUDY </w:t>
      </w:r>
    </w:p>
    <w:p w:rsidR="003661D6" w:rsidRDefault="003661D6" w:rsidP="003661D6">
      <w:pPr>
        <w:pStyle w:val="NormalWeb"/>
        <w:shd w:val="clear" w:color="auto" w:fill="FFFFFF"/>
        <w:textAlignment w:val="top"/>
        <w:rPr>
          <w:rFonts w:ascii="inherit" w:hAnsi="inherit" w:cs="Arial"/>
          <w:color w:val="787878"/>
          <w:sz w:val="21"/>
          <w:szCs w:val="21"/>
        </w:rPr>
      </w:pPr>
      <w:r>
        <w:rPr>
          <w:rFonts w:ascii="inherit" w:hAnsi="inherit" w:cs="Arial"/>
          <w:color w:val="787878"/>
          <w:sz w:val="21"/>
          <w:szCs w:val="21"/>
          <w:u w:val="single"/>
        </w:rPr>
        <w:t>S. Braungart</w:t>
      </w:r>
      <w:r>
        <w:rPr>
          <w:rFonts w:ascii="inherit" w:hAnsi="inherit" w:cs="Arial"/>
          <w:color w:val="787878"/>
          <w:sz w:val="16"/>
          <w:szCs w:val="16"/>
          <w:vertAlign w:val="superscript"/>
        </w:rPr>
        <w:t>1</w:t>
      </w:r>
      <w:r>
        <w:rPr>
          <w:rFonts w:ascii="inherit" w:hAnsi="inherit" w:cs="Arial"/>
          <w:color w:val="787878"/>
          <w:sz w:val="21"/>
          <w:szCs w:val="21"/>
        </w:rPr>
        <w:t>, R. Craigie</w:t>
      </w:r>
      <w:r>
        <w:rPr>
          <w:rFonts w:ascii="inherit" w:hAnsi="inherit" w:cs="Arial"/>
          <w:color w:val="787878"/>
          <w:sz w:val="16"/>
          <w:szCs w:val="16"/>
          <w:vertAlign w:val="superscript"/>
        </w:rPr>
        <w:t>1</w:t>
      </w:r>
      <w:r>
        <w:rPr>
          <w:rFonts w:ascii="inherit" w:hAnsi="inherit" w:cs="Arial"/>
          <w:color w:val="787878"/>
          <w:sz w:val="21"/>
          <w:szCs w:val="21"/>
        </w:rPr>
        <w:t>, P. Farrelly</w:t>
      </w:r>
      <w:r>
        <w:rPr>
          <w:rFonts w:ascii="inherit" w:hAnsi="inherit" w:cs="Arial"/>
          <w:color w:val="787878"/>
          <w:sz w:val="16"/>
          <w:szCs w:val="16"/>
          <w:vertAlign w:val="superscript"/>
        </w:rPr>
        <w:t>1</w:t>
      </w:r>
      <w:r>
        <w:rPr>
          <w:rFonts w:ascii="inherit" w:hAnsi="inherit" w:cs="Arial"/>
          <w:color w:val="787878"/>
          <w:sz w:val="21"/>
          <w:szCs w:val="21"/>
        </w:rPr>
        <w:t>, J. Andrews</w:t>
      </w:r>
      <w:r>
        <w:rPr>
          <w:rFonts w:ascii="inherit" w:hAnsi="inherit" w:cs="Arial"/>
          <w:color w:val="787878"/>
          <w:sz w:val="16"/>
          <w:szCs w:val="16"/>
          <w:vertAlign w:val="superscript"/>
        </w:rPr>
        <w:t>2</w:t>
      </w:r>
      <w:r>
        <w:rPr>
          <w:rFonts w:ascii="inherit" w:hAnsi="inherit" w:cs="Arial"/>
          <w:color w:val="787878"/>
          <w:sz w:val="21"/>
          <w:szCs w:val="21"/>
        </w:rPr>
        <w:t>, K. Burnand</w:t>
      </w:r>
      <w:r>
        <w:rPr>
          <w:rFonts w:ascii="inherit" w:hAnsi="inherit" w:cs="Arial"/>
          <w:color w:val="787878"/>
          <w:sz w:val="16"/>
          <w:szCs w:val="16"/>
          <w:vertAlign w:val="superscript"/>
        </w:rPr>
        <w:t>3</w:t>
      </w:r>
      <w:r>
        <w:rPr>
          <w:rFonts w:ascii="inherit" w:hAnsi="inherit" w:cs="Arial"/>
          <w:color w:val="787878"/>
          <w:sz w:val="21"/>
          <w:szCs w:val="21"/>
        </w:rPr>
        <w:t>, D. Colvin/ Ervine</w:t>
      </w:r>
      <w:r>
        <w:rPr>
          <w:rFonts w:ascii="inherit" w:hAnsi="inherit" w:cs="Arial"/>
          <w:color w:val="787878"/>
          <w:sz w:val="16"/>
          <w:szCs w:val="16"/>
          <w:vertAlign w:val="superscript"/>
        </w:rPr>
        <w:t>4</w:t>
      </w:r>
      <w:r>
        <w:rPr>
          <w:rFonts w:ascii="inherit" w:hAnsi="inherit" w:cs="Arial"/>
          <w:color w:val="787878"/>
          <w:sz w:val="21"/>
          <w:szCs w:val="21"/>
        </w:rPr>
        <w:t>, K. Cross</w:t>
      </w:r>
      <w:r>
        <w:rPr>
          <w:rFonts w:ascii="inherit" w:hAnsi="inherit" w:cs="Arial"/>
          <w:color w:val="787878"/>
          <w:sz w:val="16"/>
          <w:szCs w:val="16"/>
          <w:vertAlign w:val="superscript"/>
        </w:rPr>
        <w:t>3</w:t>
      </w:r>
      <w:r>
        <w:rPr>
          <w:rFonts w:ascii="inherit" w:hAnsi="inherit" w:cs="Arial"/>
          <w:color w:val="787878"/>
          <w:sz w:val="21"/>
          <w:szCs w:val="21"/>
        </w:rPr>
        <w:t>, B. Okoye/ Dawson</w:t>
      </w:r>
      <w:r>
        <w:rPr>
          <w:rFonts w:ascii="inherit" w:hAnsi="inherit" w:cs="Arial"/>
          <w:color w:val="787878"/>
          <w:sz w:val="16"/>
          <w:szCs w:val="16"/>
          <w:vertAlign w:val="superscript"/>
        </w:rPr>
        <w:t>5</w:t>
      </w:r>
      <w:r>
        <w:rPr>
          <w:rFonts w:ascii="inherit" w:hAnsi="inherit" w:cs="Arial"/>
          <w:color w:val="787878"/>
          <w:sz w:val="21"/>
          <w:szCs w:val="21"/>
        </w:rPr>
        <w:t>, A. Dick</w:t>
      </w:r>
      <w:r>
        <w:rPr>
          <w:rFonts w:ascii="inherit" w:hAnsi="inherit" w:cs="Arial"/>
          <w:color w:val="787878"/>
          <w:sz w:val="16"/>
          <w:szCs w:val="16"/>
          <w:vertAlign w:val="superscript"/>
        </w:rPr>
        <w:t>4</w:t>
      </w:r>
      <w:r>
        <w:rPr>
          <w:rFonts w:ascii="inherit" w:hAnsi="inherit" w:cs="Arial"/>
          <w:color w:val="787878"/>
          <w:sz w:val="21"/>
          <w:szCs w:val="21"/>
        </w:rPr>
        <w:t>, H. Gabra</w:t>
      </w:r>
      <w:r>
        <w:rPr>
          <w:rFonts w:ascii="inherit" w:hAnsi="inherit" w:cs="Arial"/>
          <w:color w:val="787878"/>
          <w:sz w:val="16"/>
          <w:szCs w:val="16"/>
          <w:vertAlign w:val="superscript"/>
        </w:rPr>
        <w:t>6</w:t>
      </w:r>
      <w:r>
        <w:rPr>
          <w:rFonts w:ascii="inherit" w:hAnsi="inherit" w:cs="Arial"/>
          <w:color w:val="787878"/>
          <w:sz w:val="21"/>
          <w:szCs w:val="21"/>
        </w:rPr>
        <w:t>, P. Hammond</w:t>
      </w:r>
      <w:r>
        <w:rPr>
          <w:rFonts w:ascii="inherit" w:hAnsi="inherit" w:cs="Arial"/>
          <w:color w:val="787878"/>
          <w:sz w:val="16"/>
          <w:szCs w:val="16"/>
          <w:vertAlign w:val="superscript"/>
        </w:rPr>
        <w:t>7</w:t>
      </w:r>
      <w:r>
        <w:rPr>
          <w:rFonts w:ascii="inherit" w:hAnsi="inherit" w:cs="Arial"/>
          <w:color w:val="787878"/>
          <w:sz w:val="21"/>
          <w:szCs w:val="21"/>
        </w:rPr>
        <w:t>, C. Jackson</w:t>
      </w:r>
      <w:r>
        <w:rPr>
          <w:rFonts w:ascii="inherit" w:hAnsi="inherit" w:cs="Arial"/>
          <w:color w:val="787878"/>
          <w:sz w:val="16"/>
          <w:szCs w:val="16"/>
          <w:vertAlign w:val="superscript"/>
        </w:rPr>
        <w:t>8</w:t>
      </w:r>
      <w:r>
        <w:rPr>
          <w:rFonts w:ascii="inherit" w:hAnsi="inherit" w:cs="Arial"/>
          <w:color w:val="787878"/>
          <w:sz w:val="21"/>
          <w:szCs w:val="21"/>
        </w:rPr>
        <w:t>, M. Jacovides</w:t>
      </w:r>
      <w:r>
        <w:rPr>
          <w:rFonts w:ascii="inherit" w:hAnsi="inherit" w:cs="Arial"/>
          <w:color w:val="787878"/>
          <w:sz w:val="16"/>
          <w:szCs w:val="16"/>
          <w:vertAlign w:val="superscript"/>
        </w:rPr>
        <w:t>2</w:t>
      </w:r>
      <w:r>
        <w:rPr>
          <w:rFonts w:ascii="inherit" w:hAnsi="inherit" w:cs="Arial"/>
          <w:color w:val="787878"/>
          <w:sz w:val="21"/>
          <w:szCs w:val="21"/>
        </w:rPr>
        <w:t>, K. Kuti</w:t>
      </w:r>
      <w:r>
        <w:rPr>
          <w:rFonts w:ascii="inherit" w:hAnsi="inherit" w:cs="Arial"/>
          <w:color w:val="787878"/>
          <w:sz w:val="16"/>
          <w:szCs w:val="16"/>
          <w:vertAlign w:val="superscript"/>
        </w:rPr>
        <w:t>7</w:t>
      </w:r>
      <w:r>
        <w:rPr>
          <w:rFonts w:ascii="inherit" w:hAnsi="inherit" w:cs="Arial"/>
          <w:color w:val="787878"/>
          <w:sz w:val="21"/>
          <w:szCs w:val="21"/>
        </w:rPr>
        <w:t>, A. Mohamed</w:t>
      </w:r>
      <w:r>
        <w:rPr>
          <w:rFonts w:ascii="inherit" w:hAnsi="inherit" w:cs="Arial"/>
          <w:color w:val="787878"/>
          <w:sz w:val="16"/>
          <w:szCs w:val="16"/>
          <w:vertAlign w:val="superscript"/>
        </w:rPr>
        <w:t>6</w:t>
      </w:r>
      <w:r>
        <w:rPr>
          <w:rFonts w:ascii="inherit" w:hAnsi="inherit" w:cs="Arial"/>
          <w:color w:val="787878"/>
          <w:sz w:val="21"/>
          <w:szCs w:val="21"/>
        </w:rPr>
        <w:t>, T. Rogers/ Mostafa</w:t>
      </w:r>
      <w:r>
        <w:rPr>
          <w:rFonts w:ascii="inherit" w:hAnsi="inherit" w:cs="Arial"/>
          <w:color w:val="787878"/>
          <w:sz w:val="16"/>
          <w:szCs w:val="16"/>
          <w:vertAlign w:val="superscript"/>
        </w:rPr>
        <w:t>9</w:t>
      </w:r>
      <w:r>
        <w:rPr>
          <w:rFonts w:ascii="inherit" w:hAnsi="inherit" w:cs="Arial"/>
          <w:color w:val="787878"/>
          <w:sz w:val="21"/>
          <w:szCs w:val="21"/>
        </w:rPr>
        <w:t>, M. Powis</w:t>
      </w:r>
      <w:r>
        <w:rPr>
          <w:rFonts w:ascii="inherit" w:hAnsi="inherit" w:cs="Arial"/>
          <w:color w:val="787878"/>
          <w:sz w:val="16"/>
          <w:szCs w:val="16"/>
          <w:vertAlign w:val="superscript"/>
        </w:rPr>
        <w:t>10</w:t>
      </w:r>
      <w:r>
        <w:rPr>
          <w:rFonts w:ascii="inherit" w:hAnsi="inherit" w:cs="Arial"/>
          <w:color w:val="787878"/>
          <w:sz w:val="21"/>
          <w:szCs w:val="21"/>
        </w:rPr>
        <w:t>, G. Winter</w:t>
      </w:r>
      <w:r>
        <w:rPr>
          <w:rFonts w:ascii="inherit" w:hAnsi="inherit" w:cs="Arial"/>
          <w:color w:val="787878"/>
          <w:sz w:val="16"/>
          <w:szCs w:val="16"/>
          <w:vertAlign w:val="superscript"/>
        </w:rPr>
        <w:t>11</w:t>
      </w:r>
      <w:r>
        <w:rPr>
          <w:rFonts w:ascii="inherit" w:hAnsi="inherit" w:cs="Arial"/>
          <w:color w:val="787878"/>
          <w:sz w:val="21"/>
          <w:szCs w:val="21"/>
        </w:rPr>
        <w:t>, P. Losty</w:t>
      </w:r>
      <w:r>
        <w:rPr>
          <w:rFonts w:ascii="inherit" w:hAnsi="inherit" w:cs="Arial"/>
          <w:color w:val="787878"/>
          <w:sz w:val="16"/>
          <w:szCs w:val="16"/>
          <w:vertAlign w:val="superscript"/>
        </w:rPr>
        <w:t>12</w:t>
      </w:r>
      <w:r>
        <w:rPr>
          <w:rFonts w:ascii="inherit" w:hAnsi="inherit" w:cs="Arial"/>
          <w:color w:val="787878"/>
          <w:sz w:val="21"/>
          <w:szCs w:val="21"/>
        </w:rPr>
        <w:t>.</w:t>
      </w:r>
      <w:r>
        <w:rPr>
          <w:rFonts w:ascii="inherit" w:hAnsi="inherit" w:cs="Arial"/>
          <w:color w:val="787878"/>
          <w:sz w:val="21"/>
          <w:szCs w:val="21"/>
        </w:rPr>
        <w:br/>
      </w:r>
      <w:proofErr w:type="gramStart"/>
      <w:r>
        <w:rPr>
          <w:rFonts w:ascii="inherit" w:hAnsi="inherit" w:cs="Arial"/>
          <w:color w:val="787878"/>
          <w:sz w:val="16"/>
          <w:szCs w:val="16"/>
          <w:vertAlign w:val="superscript"/>
        </w:rPr>
        <w:t>1</w:t>
      </w:r>
      <w:r>
        <w:rPr>
          <w:rFonts w:ascii="inherit" w:hAnsi="inherit" w:cs="Arial"/>
          <w:color w:val="787878"/>
          <w:sz w:val="21"/>
          <w:szCs w:val="21"/>
        </w:rPr>
        <w:t>Royal Manchester Children's Hospital, Department of Paediatric Surgery, Manchester, United Kingdom.</w:t>
      </w:r>
      <w:proofErr w:type="gramEnd"/>
      <w:r>
        <w:rPr>
          <w:rFonts w:ascii="inherit" w:hAnsi="inherit" w:cs="Arial"/>
          <w:color w:val="787878"/>
          <w:sz w:val="21"/>
          <w:szCs w:val="21"/>
        </w:rPr>
        <w:br/>
      </w:r>
      <w:proofErr w:type="gramStart"/>
      <w:r>
        <w:rPr>
          <w:rFonts w:ascii="inherit" w:hAnsi="inherit" w:cs="Arial"/>
          <w:color w:val="787878"/>
          <w:sz w:val="16"/>
          <w:szCs w:val="16"/>
          <w:vertAlign w:val="superscript"/>
        </w:rPr>
        <w:t>2</w:t>
      </w:r>
      <w:r>
        <w:rPr>
          <w:rFonts w:ascii="inherit" w:hAnsi="inherit" w:cs="Arial"/>
          <w:color w:val="787878"/>
          <w:sz w:val="21"/>
          <w:szCs w:val="21"/>
        </w:rPr>
        <w:t>Royal Hospital for Children, Department of Paediatric Surgery, Glasgow, United Kingdom.</w:t>
      </w:r>
      <w:proofErr w:type="gramEnd"/>
      <w:r>
        <w:rPr>
          <w:rFonts w:ascii="inherit" w:hAnsi="inherit" w:cs="Arial"/>
          <w:color w:val="787878"/>
          <w:sz w:val="21"/>
          <w:szCs w:val="21"/>
        </w:rPr>
        <w:br/>
      </w:r>
      <w:proofErr w:type="gramStart"/>
      <w:r>
        <w:rPr>
          <w:rFonts w:ascii="inherit" w:hAnsi="inherit" w:cs="Arial"/>
          <w:color w:val="787878"/>
          <w:sz w:val="16"/>
          <w:szCs w:val="16"/>
          <w:vertAlign w:val="superscript"/>
        </w:rPr>
        <w:t>3</w:t>
      </w:r>
      <w:r>
        <w:rPr>
          <w:rFonts w:ascii="inherit" w:hAnsi="inherit" w:cs="Arial"/>
          <w:color w:val="787878"/>
          <w:sz w:val="21"/>
          <w:szCs w:val="21"/>
        </w:rPr>
        <w:t>Great Ormond Street Hospital, Department of Paediatric Surgery, London, United Kingdom.</w:t>
      </w:r>
      <w:proofErr w:type="gramEnd"/>
      <w:r>
        <w:rPr>
          <w:rFonts w:ascii="inherit" w:hAnsi="inherit" w:cs="Arial"/>
          <w:color w:val="787878"/>
          <w:sz w:val="21"/>
          <w:szCs w:val="21"/>
        </w:rPr>
        <w:br/>
      </w:r>
      <w:proofErr w:type="gramStart"/>
      <w:r>
        <w:rPr>
          <w:rFonts w:ascii="inherit" w:hAnsi="inherit" w:cs="Arial"/>
          <w:color w:val="787878"/>
          <w:sz w:val="16"/>
          <w:szCs w:val="16"/>
          <w:vertAlign w:val="superscript"/>
        </w:rPr>
        <w:t>4</w:t>
      </w:r>
      <w:r>
        <w:rPr>
          <w:rFonts w:ascii="inherit" w:hAnsi="inherit" w:cs="Arial"/>
          <w:color w:val="787878"/>
          <w:sz w:val="21"/>
          <w:szCs w:val="21"/>
        </w:rPr>
        <w:t>Royal Belfast Hospital for Sick Children, Department of Paediatric Surgery, Belfast, United Kingdom.</w:t>
      </w:r>
      <w:proofErr w:type="gramEnd"/>
      <w:r>
        <w:rPr>
          <w:rFonts w:ascii="inherit" w:hAnsi="inherit" w:cs="Arial"/>
          <w:color w:val="787878"/>
          <w:sz w:val="21"/>
          <w:szCs w:val="21"/>
        </w:rPr>
        <w:br/>
      </w:r>
      <w:proofErr w:type="gramStart"/>
      <w:r>
        <w:rPr>
          <w:rFonts w:ascii="inherit" w:hAnsi="inherit" w:cs="Arial"/>
          <w:color w:val="787878"/>
          <w:sz w:val="16"/>
          <w:szCs w:val="16"/>
          <w:vertAlign w:val="superscript"/>
        </w:rPr>
        <w:t>5</w:t>
      </w:r>
      <w:r>
        <w:rPr>
          <w:rFonts w:ascii="inherit" w:hAnsi="inherit" w:cs="Arial"/>
          <w:color w:val="787878"/>
          <w:sz w:val="21"/>
          <w:szCs w:val="21"/>
        </w:rPr>
        <w:t>St George's Hospital, Department of Paediatric Surgery, London, United Kingdom.</w:t>
      </w:r>
      <w:proofErr w:type="gramEnd"/>
      <w:r>
        <w:rPr>
          <w:rFonts w:ascii="inherit" w:hAnsi="inherit" w:cs="Arial"/>
          <w:color w:val="787878"/>
          <w:sz w:val="21"/>
          <w:szCs w:val="21"/>
        </w:rPr>
        <w:br/>
      </w:r>
      <w:proofErr w:type="gramStart"/>
      <w:r>
        <w:rPr>
          <w:rFonts w:ascii="inherit" w:hAnsi="inherit" w:cs="Arial"/>
          <w:color w:val="787878"/>
          <w:sz w:val="16"/>
          <w:szCs w:val="16"/>
          <w:vertAlign w:val="superscript"/>
        </w:rPr>
        <w:t>6</w:t>
      </w:r>
      <w:r>
        <w:rPr>
          <w:rFonts w:ascii="inherit" w:hAnsi="inherit" w:cs="Arial"/>
          <w:color w:val="787878"/>
          <w:sz w:val="21"/>
          <w:szCs w:val="21"/>
        </w:rPr>
        <w:t>The Royal Victoria Infirmary, Department of Paediatric Surgery, Newcastle, United Kingdom.</w:t>
      </w:r>
      <w:proofErr w:type="gramEnd"/>
      <w:r>
        <w:rPr>
          <w:rFonts w:ascii="inherit" w:hAnsi="inherit" w:cs="Arial"/>
          <w:color w:val="787878"/>
          <w:sz w:val="21"/>
          <w:szCs w:val="21"/>
        </w:rPr>
        <w:br/>
      </w:r>
      <w:proofErr w:type="gramStart"/>
      <w:r>
        <w:rPr>
          <w:rFonts w:ascii="inherit" w:hAnsi="inherit" w:cs="Arial"/>
          <w:color w:val="787878"/>
          <w:sz w:val="16"/>
          <w:szCs w:val="16"/>
          <w:vertAlign w:val="superscript"/>
        </w:rPr>
        <w:t>7</w:t>
      </w:r>
      <w:r>
        <w:rPr>
          <w:rFonts w:ascii="inherit" w:hAnsi="inherit" w:cs="Arial"/>
          <w:color w:val="787878"/>
          <w:sz w:val="21"/>
          <w:szCs w:val="21"/>
        </w:rPr>
        <w:t>Royal Hospital for Sick Children, Department of Paediatric Surgery, Edinburgh, United Kingdom.</w:t>
      </w:r>
      <w:proofErr w:type="gramEnd"/>
      <w:r>
        <w:rPr>
          <w:rFonts w:ascii="inherit" w:hAnsi="inherit" w:cs="Arial"/>
          <w:color w:val="787878"/>
          <w:sz w:val="21"/>
          <w:szCs w:val="21"/>
        </w:rPr>
        <w:br/>
      </w:r>
      <w:proofErr w:type="gramStart"/>
      <w:r>
        <w:rPr>
          <w:rFonts w:ascii="inherit" w:hAnsi="inherit" w:cs="Arial"/>
          <w:color w:val="787878"/>
          <w:sz w:val="16"/>
          <w:szCs w:val="16"/>
          <w:vertAlign w:val="superscript"/>
        </w:rPr>
        <w:t>8</w:t>
      </w:r>
      <w:r>
        <w:rPr>
          <w:rFonts w:ascii="inherit" w:hAnsi="inherit" w:cs="Arial"/>
          <w:color w:val="787878"/>
          <w:sz w:val="21"/>
          <w:szCs w:val="21"/>
        </w:rPr>
        <w:t>Addenbrookes Hospital, Department of Paediatric Surgery, Cambridge, United Kingdom.</w:t>
      </w:r>
      <w:proofErr w:type="gramEnd"/>
      <w:r>
        <w:rPr>
          <w:rFonts w:ascii="inherit" w:hAnsi="inherit" w:cs="Arial"/>
          <w:color w:val="787878"/>
          <w:sz w:val="21"/>
          <w:szCs w:val="21"/>
        </w:rPr>
        <w:br/>
      </w:r>
      <w:proofErr w:type="gramStart"/>
      <w:r>
        <w:rPr>
          <w:rFonts w:ascii="inherit" w:hAnsi="inherit" w:cs="Arial"/>
          <w:color w:val="787878"/>
          <w:sz w:val="16"/>
          <w:szCs w:val="16"/>
          <w:vertAlign w:val="superscript"/>
        </w:rPr>
        <w:t>9</w:t>
      </w:r>
      <w:r>
        <w:rPr>
          <w:rFonts w:ascii="inherit" w:hAnsi="inherit" w:cs="Arial"/>
          <w:color w:val="787878"/>
          <w:sz w:val="21"/>
          <w:szCs w:val="21"/>
        </w:rPr>
        <w:t>Bristol Children’s Hospital, Department of Paediatric Surgery, Bristol, United Kingdom.</w:t>
      </w:r>
      <w:proofErr w:type="gramEnd"/>
      <w:r>
        <w:rPr>
          <w:rFonts w:ascii="inherit" w:hAnsi="inherit" w:cs="Arial"/>
          <w:color w:val="787878"/>
          <w:sz w:val="21"/>
          <w:szCs w:val="21"/>
        </w:rPr>
        <w:br/>
      </w:r>
      <w:proofErr w:type="gramStart"/>
      <w:r>
        <w:rPr>
          <w:rFonts w:ascii="inherit" w:hAnsi="inherit" w:cs="Arial"/>
          <w:color w:val="787878"/>
          <w:sz w:val="16"/>
          <w:szCs w:val="16"/>
          <w:vertAlign w:val="superscript"/>
        </w:rPr>
        <w:t>10</w:t>
      </w:r>
      <w:r>
        <w:rPr>
          <w:rFonts w:ascii="inherit" w:hAnsi="inherit" w:cs="Arial"/>
          <w:color w:val="787878"/>
          <w:sz w:val="21"/>
          <w:szCs w:val="21"/>
        </w:rPr>
        <w:t>Leeds General Infirmary, Department of Paediatric Surgery, Leeds, United Kingdom.</w:t>
      </w:r>
      <w:proofErr w:type="gramEnd"/>
      <w:r>
        <w:rPr>
          <w:rFonts w:ascii="inherit" w:hAnsi="inherit" w:cs="Arial"/>
          <w:color w:val="787878"/>
          <w:sz w:val="21"/>
          <w:szCs w:val="21"/>
        </w:rPr>
        <w:br/>
      </w:r>
      <w:proofErr w:type="gramStart"/>
      <w:r>
        <w:rPr>
          <w:rFonts w:ascii="inherit" w:hAnsi="inherit" w:cs="Arial"/>
          <w:color w:val="787878"/>
          <w:sz w:val="16"/>
          <w:szCs w:val="16"/>
          <w:vertAlign w:val="superscript"/>
        </w:rPr>
        <w:t>11</w:t>
      </w:r>
      <w:r>
        <w:rPr>
          <w:rFonts w:ascii="inherit" w:hAnsi="inherit" w:cs="Arial"/>
          <w:color w:val="787878"/>
          <w:sz w:val="21"/>
          <w:szCs w:val="21"/>
        </w:rPr>
        <w:t>Aberdeen Royal Infirmary, Department of Paediatric Surgery, Aberdeen, United Kingdom.</w:t>
      </w:r>
      <w:proofErr w:type="gramEnd"/>
      <w:r>
        <w:rPr>
          <w:rFonts w:ascii="inherit" w:hAnsi="inherit" w:cs="Arial"/>
          <w:color w:val="787878"/>
          <w:sz w:val="21"/>
          <w:szCs w:val="21"/>
        </w:rPr>
        <w:br/>
      </w:r>
      <w:proofErr w:type="gramStart"/>
      <w:r>
        <w:rPr>
          <w:rFonts w:ascii="inherit" w:hAnsi="inherit" w:cs="Arial"/>
          <w:color w:val="787878"/>
          <w:sz w:val="16"/>
          <w:szCs w:val="16"/>
          <w:vertAlign w:val="superscript"/>
        </w:rPr>
        <w:t>12</w:t>
      </w:r>
      <w:r>
        <w:rPr>
          <w:rFonts w:ascii="inherit" w:hAnsi="inherit" w:cs="Arial"/>
          <w:color w:val="787878"/>
          <w:sz w:val="21"/>
          <w:szCs w:val="21"/>
        </w:rPr>
        <w:t>University of Liverpool, Division of Child Health, Liverpool, United Kingdom.</w:t>
      </w:r>
      <w:proofErr w:type="gramEnd"/>
      <w:r>
        <w:rPr>
          <w:rFonts w:ascii="inherit" w:hAnsi="inherit" w:cs="Arial"/>
          <w:color w:val="787878"/>
          <w:sz w:val="21"/>
          <w:szCs w:val="21"/>
        </w:rPr>
        <w:br/>
      </w:r>
      <w:r>
        <w:rPr>
          <w:rFonts w:ascii="inherit" w:hAnsi="inherit" w:cs="Arial"/>
          <w:color w:val="787878"/>
          <w:sz w:val="21"/>
          <w:szCs w:val="21"/>
        </w:rPr>
        <w:br/>
      </w:r>
      <w:r>
        <w:rPr>
          <w:rFonts w:ascii="inherit" w:hAnsi="inherit" w:cs="Arial"/>
          <w:b/>
          <w:bCs/>
          <w:color w:val="787878"/>
          <w:sz w:val="21"/>
          <w:szCs w:val="21"/>
        </w:rPr>
        <w:t>Background / Objectives:</w:t>
      </w:r>
    </w:p>
    <w:p w:rsidR="003661D6" w:rsidRDefault="003661D6" w:rsidP="003661D6">
      <w:pPr>
        <w:pStyle w:val="NormalWeb"/>
        <w:shd w:val="clear" w:color="auto" w:fill="FFFFFF"/>
        <w:textAlignment w:val="top"/>
        <w:rPr>
          <w:rFonts w:ascii="inherit" w:hAnsi="inherit" w:cs="Arial"/>
          <w:color w:val="787878"/>
          <w:sz w:val="21"/>
          <w:szCs w:val="21"/>
        </w:rPr>
      </w:pPr>
      <w:r>
        <w:rPr>
          <w:rFonts w:ascii="inherit" w:hAnsi="inherit" w:cs="Arial"/>
          <w:color w:val="787878"/>
          <w:sz w:val="21"/>
          <w:szCs w:val="21"/>
        </w:rPr>
        <w:t xml:space="preserve">Ovarian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tumors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in children are rare; incidence depends on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tumor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biology and patient age. Robust protocol guidelines to aid patient follow-up after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tumor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excision are distinctly lacking. Published work shows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metachronous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tumor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recurrence(s) can occur in some 2.5%–23% patients. Nevertheless, there are surgeons who recommend that no patient follow-up is required after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tumor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excision as the outlook for many children is considered excellent. Therefore, we performed a nationwide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multicenter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study to investigate the incidence of (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i</w:t>
      </w:r>
      <w:proofErr w:type="spellEnd"/>
      <w:proofErr w:type="gramStart"/>
      <w:r>
        <w:rPr>
          <w:rFonts w:ascii="inherit" w:hAnsi="inherit" w:cs="Arial"/>
          <w:color w:val="787878"/>
          <w:sz w:val="21"/>
          <w:szCs w:val="21"/>
        </w:rPr>
        <w:t>)recurrence</w:t>
      </w:r>
      <w:proofErr w:type="gramEnd"/>
      <w:r>
        <w:rPr>
          <w:rFonts w:ascii="inherit" w:hAnsi="inherit" w:cs="Arial"/>
          <w:color w:val="787878"/>
          <w:sz w:val="21"/>
          <w:szCs w:val="21"/>
        </w:rPr>
        <w:t xml:space="preserve"> and (ii)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metachronous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disease in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pediatric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patients following ovarian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tumor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resection.</w:t>
      </w:r>
    </w:p>
    <w:p w:rsidR="003661D6" w:rsidRDefault="003661D6" w:rsidP="003661D6">
      <w:pPr>
        <w:shd w:val="clear" w:color="auto" w:fill="FFFFFF"/>
        <w:textAlignment w:val="top"/>
        <w:rPr>
          <w:rFonts w:ascii="inherit" w:hAnsi="inherit" w:cs="Arial"/>
          <w:color w:val="787878"/>
          <w:sz w:val="21"/>
          <w:szCs w:val="21"/>
        </w:rPr>
      </w:pPr>
      <w:r>
        <w:rPr>
          <w:rFonts w:ascii="inherit" w:hAnsi="inherit" w:cs="Arial"/>
          <w:b/>
          <w:bCs/>
          <w:color w:val="787878"/>
          <w:sz w:val="21"/>
          <w:szCs w:val="21"/>
        </w:rPr>
        <w:t>Design / Methods:</w:t>
      </w:r>
    </w:p>
    <w:p w:rsidR="003661D6" w:rsidRDefault="003661D6" w:rsidP="003661D6">
      <w:pPr>
        <w:pStyle w:val="NormalWeb"/>
        <w:shd w:val="clear" w:color="auto" w:fill="FFFFFF"/>
        <w:textAlignment w:val="top"/>
        <w:rPr>
          <w:rFonts w:ascii="inherit" w:hAnsi="inherit" w:cs="Arial"/>
          <w:color w:val="787878"/>
          <w:sz w:val="21"/>
          <w:szCs w:val="21"/>
        </w:rPr>
      </w:pPr>
      <w:r>
        <w:rPr>
          <w:rFonts w:ascii="inherit" w:hAnsi="inherit" w:cs="Arial"/>
          <w:color w:val="787878"/>
          <w:sz w:val="21"/>
          <w:szCs w:val="21"/>
        </w:rPr>
        <w:t xml:space="preserve">Nationwide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multicenter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voluntary data study registry amongst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pediatric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oncology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centers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. Female patients &lt;16years with index diagnosis of ovarian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tumor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from 2006-2016 were identified. Functional/neonatal ovarian cysts were excluded. ‘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Tumor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recurrence(s)’ was defined as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tumor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occurring in the same ovary following primary resection; ‘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metachronous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disease’ as new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tumor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occurring in the contralateral ovary after primary operation.</w:t>
      </w:r>
    </w:p>
    <w:p w:rsidR="003661D6" w:rsidRDefault="003661D6" w:rsidP="003661D6">
      <w:pPr>
        <w:shd w:val="clear" w:color="auto" w:fill="FFFFFF"/>
        <w:textAlignment w:val="top"/>
        <w:rPr>
          <w:rFonts w:ascii="inherit" w:hAnsi="inherit" w:cs="Arial"/>
          <w:color w:val="787878"/>
          <w:sz w:val="21"/>
          <w:szCs w:val="21"/>
        </w:rPr>
      </w:pPr>
      <w:r>
        <w:rPr>
          <w:rFonts w:ascii="inherit" w:hAnsi="inherit" w:cs="Arial"/>
          <w:b/>
          <w:bCs/>
          <w:color w:val="787878"/>
          <w:sz w:val="21"/>
          <w:szCs w:val="21"/>
        </w:rPr>
        <w:t>Results</w:t>
      </w:r>
    </w:p>
    <w:p w:rsidR="003661D6" w:rsidRDefault="003661D6" w:rsidP="003661D6">
      <w:pPr>
        <w:pStyle w:val="NormalWeb"/>
        <w:shd w:val="clear" w:color="auto" w:fill="FFFFFF"/>
        <w:textAlignment w:val="top"/>
        <w:rPr>
          <w:rFonts w:ascii="inherit" w:hAnsi="inherit" w:cs="Arial"/>
          <w:color w:val="787878"/>
          <w:sz w:val="21"/>
          <w:szCs w:val="21"/>
        </w:rPr>
      </w:pPr>
      <w:r>
        <w:rPr>
          <w:rFonts w:ascii="inherit" w:hAnsi="inherit" w:cs="Arial"/>
          <w:color w:val="787878"/>
          <w:sz w:val="21"/>
          <w:szCs w:val="21"/>
        </w:rPr>
        <w:t xml:space="preserve">271 patients with ovarian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tumors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from 10 surgical oncology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centers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were identified. Mean age at surgery was 11years [IQR8-13]. 46% patients presented as surgical emergencies, 51% had elective presentation, unclear history in 3%. 3% children were found to have bilateral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tumors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at first primary operation. Most common diagnosis were mature </w:t>
      </w:r>
      <w:proofErr w:type="spellStart"/>
      <w:proofErr w:type="gramStart"/>
      <w:r>
        <w:rPr>
          <w:rFonts w:ascii="inherit" w:hAnsi="inherit" w:cs="Arial"/>
          <w:color w:val="787878"/>
          <w:sz w:val="21"/>
          <w:szCs w:val="21"/>
        </w:rPr>
        <w:t>teratoma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>(</w:t>
      </w:r>
      <w:proofErr w:type="gramEnd"/>
      <w:r>
        <w:rPr>
          <w:rFonts w:ascii="inherit" w:hAnsi="inherit" w:cs="Arial"/>
          <w:color w:val="787878"/>
          <w:sz w:val="21"/>
          <w:szCs w:val="21"/>
        </w:rPr>
        <w:t xml:space="preserve">55%), immature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teratoma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(12%), serous/mucinous cystadenoma(8.8%) and dysgerminoma(4.1%). 8.5% of females were identified with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tumor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recurrence(s) or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metachronous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disease. Majority(78%) of patients with recurrent or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metachronous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disease were diagnosed from routine clinic follow-up, 4.3% incidentally (‘lesions’ on imaging following road traffic accident), 4.3% due to “new symptoms”, 8.6% unclear. Mean time to detection of recurrent and/or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metachronous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disease was 13.5 months [IQR8.75-19.75].</w:t>
      </w:r>
    </w:p>
    <w:p w:rsidR="003661D6" w:rsidRDefault="003661D6" w:rsidP="003661D6">
      <w:pPr>
        <w:shd w:val="clear" w:color="auto" w:fill="FFFFFF"/>
        <w:textAlignment w:val="top"/>
        <w:rPr>
          <w:rFonts w:ascii="inherit" w:hAnsi="inherit" w:cs="Arial"/>
          <w:color w:val="787878"/>
          <w:sz w:val="21"/>
          <w:szCs w:val="21"/>
        </w:rPr>
      </w:pPr>
      <w:r>
        <w:rPr>
          <w:rFonts w:ascii="inherit" w:hAnsi="inherit" w:cs="Arial"/>
          <w:b/>
          <w:bCs/>
          <w:color w:val="787878"/>
          <w:sz w:val="21"/>
          <w:szCs w:val="21"/>
        </w:rPr>
        <w:t>Conclusions:</w:t>
      </w:r>
    </w:p>
    <w:p w:rsidR="003661D6" w:rsidRDefault="003661D6" w:rsidP="003661D6">
      <w:pPr>
        <w:pStyle w:val="NormalWeb"/>
        <w:shd w:val="clear" w:color="auto" w:fill="FFFFFF"/>
        <w:textAlignment w:val="top"/>
        <w:rPr>
          <w:rFonts w:ascii="inherit" w:hAnsi="inherit" w:cs="Arial"/>
          <w:color w:val="787878"/>
          <w:sz w:val="21"/>
          <w:szCs w:val="21"/>
        </w:rPr>
      </w:pPr>
      <w:r>
        <w:rPr>
          <w:rFonts w:ascii="inherit" w:hAnsi="inherit" w:cs="Arial"/>
          <w:color w:val="787878"/>
          <w:sz w:val="21"/>
          <w:szCs w:val="21"/>
        </w:rPr>
        <w:t xml:space="preserve">This nationwide study clearly shows that ovarian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tumor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recurrence(s) and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metachronous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disease occur. The majority of patients with recurrent and/or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metachronous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disease were detected at routine clinic follow-up. We strongly advocate ALL female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pediatric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 xml:space="preserve"> patients should have robust follow-up care plans after diagnosis and resection of ovarian </w:t>
      </w:r>
      <w:proofErr w:type="spellStart"/>
      <w:r>
        <w:rPr>
          <w:rFonts w:ascii="inherit" w:hAnsi="inherit" w:cs="Arial"/>
          <w:color w:val="787878"/>
          <w:sz w:val="21"/>
          <w:szCs w:val="21"/>
        </w:rPr>
        <w:t>tumor</w:t>
      </w:r>
      <w:proofErr w:type="spellEnd"/>
      <w:r>
        <w:rPr>
          <w:rFonts w:ascii="inherit" w:hAnsi="inherit" w:cs="Arial"/>
          <w:color w:val="787878"/>
          <w:sz w:val="21"/>
          <w:szCs w:val="21"/>
        </w:rPr>
        <w:t>(s).</w:t>
      </w:r>
    </w:p>
    <w:p w:rsidR="00BC0A8E" w:rsidRDefault="00BC0A8E">
      <w:bookmarkStart w:id="0" w:name="_GoBack"/>
      <w:bookmarkEnd w:id="0"/>
    </w:p>
    <w:sectPr w:rsidR="00BC0A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D6"/>
    <w:rsid w:val="003661D6"/>
    <w:rsid w:val="00BC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1D6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1D6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534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8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33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361685">
                                                  <w:marLeft w:val="3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27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03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78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0" w:color="auto"/>
                                                                <w:bottom w:val="single" w:sz="6" w:space="0" w:color="auto"/>
                                                                <w:right w:val="single" w:sz="6" w:space="0" w:color="auto"/>
                                                              </w:divBdr>
                                                              <w:divsChild>
                                                                <w:div w:id="207916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946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370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314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497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14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981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single" w:sz="6" w:space="15" w:color="EEEEEE"/>
                                                                                            <w:left w:val="single" w:sz="36" w:space="15" w:color="EEEEEE"/>
                                                                                            <w:bottom w:val="single" w:sz="6" w:space="15" w:color="EEEEEE"/>
                                                                                            <w:right w:val="single" w:sz="6" w:space="15" w:color="EEEEEE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1744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4706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IM&amp;T Department</dc:creator>
  <cp:lastModifiedBy>IM&amp;T Department</cp:lastModifiedBy>
  <cp:revision>1</cp:revision>
  <dcterms:created xsi:type="dcterms:W3CDTF">2018-10-11T11:17:00Z</dcterms:created>
  <dcterms:modified xsi:type="dcterms:W3CDTF">2018-10-11T11:18:00Z</dcterms:modified>
</cp:coreProperties>
</file>