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0406" w14:textId="77777777" w:rsidR="009D073C" w:rsidRPr="00EC6A08" w:rsidRDefault="009D073C" w:rsidP="009D073C">
      <w:pPr>
        <w:spacing w:after="0" w:line="360" w:lineRule="auto"/>
        <w:contextualSpacing/>
        <w:jc w:val="center"/>
        <w:rPr>
          <w:rFonts w:ascii="Garamond" w:hAnsi="Garamond" w:cs="Times New Roman"/>
          <w:b/>
          <w:sz w:val="36"/>
          <w:szCs w:val="36"/>
        </w:rPr>
      </w:pPr>
      <w:r w:rsidRPr="00EC6A08">
        <w:rPr>
          <w:rFonts w:ascii="Garamond" w:hAnsi="Garamond" w:cs="Times New Roman"/>
          <w:b/>
          <w:sz w:val="36"/>
          <w:szCs w:val="36"/>
        </w:rPr>
        <w:t xml:space="preserve">The British Labour Party and Leadership Election Mandate(s) of Jeremy Corbyn: </w:t>
      </w:r>
    </w:p>
    <w:p w14:paraId="4D6F2A0E" w14:textId="77777777" w:rsidR="009D073C" w:rsidRPr="00EC6A08" w:rsidRDefault="009D073C" w:rsidP="009D073C">
      <w:pPr>
        <w:spacing w:after="0" w:line="360" w:lineRule="auto"/>
        <w:contextualSpacing/>
        <w:jc w:val="center"/>
        <w:rPr>
          <w:rFonts w:ascii="Garamond" w:hAnsi="Garamond" w:cs="Times New Roman"/>
          <w:b/>
          <w:sz w:val="36"/>
          <w:szCs w:val="36"/>
        </w:rPr>
      </w:pPr>
      <w:r w:rsidRPr="00EC6A08">
        <w:rPr>
          <w:rFonts w:ascii="Garamond" w:hAnsi="Garamond" w:cs="Times New Roman"/>
          <w:b/>
          <w:sz w:val="36"/>
          <w:szCs w:val="36"/>
        </w:rPr>
        <w:t xml:space="preserve">Patterns of Opinion and Opposition within the Parliamentary Labour Party </w:t>
      </w:r>
    </w:p>
    <w:p w14:paraId="3CAD26B0" w14:textId="77777777" w:rsidR="009D073C" w:rsidRPr="00EC6A08" w:rsidRDefault="009D073C" w:rsidP="009D073C">
      <w:pPr>
        <w:spacing w:after="0" w:line="360" w:lineRule="auto"/>
        <w:contextualSpacing/>
        <w:rPr>
          <w:rFonts w:ascii="Garamond" w:hAnsi="Garamond" w:cs="Times New Roman"/>
        </w:rPr>
      </w:pPr>
    </w:p>
    <w:p w14:paraId="6832D759" w14:textId="77777777" w:rsidR="009F3D1A" w:rsidRPr="00EC6A08" w:rsidRDefault="009F3D1A" w:rsidP="00E02108">
      <w:pPr>
        <w:spacing w:after="0" w:line="360" w:lineRule="auto"/>
        <w:contextualSpacing/>
        <w:jc w:val="center"/>
        <w:rPr>
          <w:rFonts w:ascii="Garamond" w:hAnsi="Garamond" w:cs="Times New Roman"/>
        </w:rPr>
      </w:pPr>
    </w:p>
    <w:p w14:paraId="3B7652C3" w14:textId="4AF68A55" w:rsidR="00E02108" w:rsidRPr="00EC6A08" w:rsidRDefault="00E02108" w:rsidP="00E02108">
      <w:pPr>
        <w:spacing w:after="0" w:line="360" w:lineRule="auto"/>
        <w:contextualSpacing/>
        <w:jc w:val="center"/>
        <w:rPr>
          <w:rFonts w:ascii="Garamond" w:hAnsi="Garamond" w:cs="Times New Roman"/>
          <w:b/>
          <w:sz w:val="24"/>
          <w:szCs w:val="24"/>
        </w:rPr>
      </w:pPr>
      <w:r w:rsidRPr="00EC6A08">
        <w:rPr>
          <w:rFonts w:ascii="Garamond" w:hAnsi="Garamond" w:cs="Times New Roman"/>
          <w:b/>
          <w:sz w:val="24"/>
          <w:szCs w:val="24"/>
        </w:rPr>
        <w:t xml:space="preserve">Abstract </w:t>
      </w:r>
    </w:p>
    <w:p w14:paraId="3EF8E62A" w14:textId="1B741BD3" w:rsidR="007F5773" w:rsidRPr="00EC6A08" w:rsidRDefault="007F5773" w:rsidP="009D073C">
      <w:pPr>
        <w:spacing w:after="0" w:line="360" w:lineRule="auto"/>
        <w:contextualSpacing/>
        <w:rPr>
          <w:rFonts w:ascii="Garamond" w:hAnsi="Garamond" w:cs="Times New Roman"/>
        </w:rPr>
      </w:pPr>
    </w:p>
    <w:p w14:paraId="3AC80714" w14:textId="46AD6EA7" w:rsidR="009D073C" w:rsidRPr="00EC6A08" w:rsidRDefault="009D073C" w:rsidP="009D073C">
      <w:pPr>
        <w:shd w:val="clear" w:color="auto" w:fill="FFFFFF"/>
        <w:spacing w:after="0" w:line="360" w:lineRule="auto"/>
        <w:jc w:val="both"/>
        <w:textAlignment w:val="center"/>
        <w:rPr>
          <w:rFonts w:ascii="Garamond" w:eastAsia="Times New Roman" w:hAnsi="Garamond" w:cs="Times New Roman"/>
          <w:i/>
          <w:iCs/>
          <w:sz w:val="24"/>
          <w:szCs w:val="24"/>
          <w:lang w:eastAsia="en-GB"/>
        </w:rPr>
      </w:pPr>
      <w:r w:rsidRPr="00EC6A08">
        <w:rPr>
          <w:rFonts w:ascii="Garamond" w:eastAsia="Times New Roman" w:hAnsi="Garamond" w:cs="Times New Roman"/>
          <w:i/>
          <w:iCs/>
          <w:sz w:val="24"/>
          <w:szCs w:val="24"/>
          <w:lang w:eastAsia="en-GB"/>
        </w:rPr>
        <w:t xml:space="preserve">This paper offers the first systematic evaluation of opinion </w:t>
      </w:r>
      <w:proofErr w:type="gramStart"/>
      <w:r w:rsidRPr="00EC6A08">
        <w:rPr>
          <w:rFonts w:ascii="Garamond" w:eastAsia="Times New Roman" w:hAnsi="Garamond" w:cs="Times New Roman"/>
          <w:i/>
          <w:iCs/>
          <w:sz w:val="24"/>
          <w:szCs w:val="24"/>
          <w:lang w:eastAsia="en-GB"/>
        </w:rPr>
        <w:t xml:space="preserve">within the </w:t>
      </w:r>
      <w:r w:rsidR="00F379F4" w:rsidRPr="00EC6A08">
        <w:rPr>
          <w:rFonts w:ascii="Garamond" w:eastAsia="Times New Roman" w:hAnsi="Garamond" w:cs="Times New Roman"/>
          <w:i/>
          <w:iCs/>
          <w:sz w:val="24"/>
          <w:szCs w:val="24"/>
          <w:lang w:eastAsia="en-GB"/>
        </w:rPr>
        <w:t xml:space="preserve">2015-17 </w:t>
      </w:r>
      <w:r w:rsidRPr="00EC6A08">
        <w:rPr>
          <w:rFonts w:ascii="Garamond" w:eastAsia="Times New Roman" w:hAnsi="Garamond" w:cs="Times New Roman"/>
          <w:i/>
          <w:iCs/>
          <w:sz w:val="24"/>
          <w:szCs w:val="24"/>
          <w:lang w:eastAsia="en-GB"/>
        </w:rPr>
        <w:t>parliamentary Labour Party (PLP) tow</w:t>
      </w:r>
      <w:r w:rsidR="006937DD" w:rsidRPr="00EC6A08">
        <w:rPr>
          <w:rFonts w:ascii="Garamond" w:eastAsia="Times New Roman" w:hAnsi="Garamond" w:cs="Times New Roman"/>
          <w:i/>
          <w:iCs/>
          <w:sz w:val="24"/>
          <w:szCs w:val="24"/>
          <w:lang w:eastAsia="en-GB"/>
        </w:rPr>
        <w:t>ards the leadership of</w:t>
      </w:r>
      <w:r w:rsidRPr="00EC6A08">
        <w:rPr>
          <w:rFonts w:ascii="Garamond" w:eastAsia="Times New Roman" w:hAnsi="Garamond" w:cs="Times New Roman"/>
          <w:i/>
          <w:iCs/>
          <w:sz w:val="24"/>
          <w:szCs w:val="24"/>
          <w:lang w:eastAsia="en-GB"/>
        </w:rPr>
        <w:t xml:space="preserve"> Jeremy Corbyn</w:t>
      </w:r>
      <w:proofErr w:type="gramEnd"/>
      <w:r w:rsidRPr="00EC6A08">
        <w:rPr>
          <w:rFonts w:ascii="Garamond" w:eastAsia="Times New Roman" w:hAnsi="Garamond" w:cs="Times New Roman"/>
          <w:i/>
          <w:iCs/>
          <w:sz w:val="24"/>
          <w:szCs w:val="24"/>
          <w:lang w:eastAsia="en-GB"/>
        </w:rPr>
        <w:t>. We do this by identifying whether individual parliamentarians remained supportive of Corbyn as their party leader</w:t>
      </w:r>
      <w:bookmarkStart w:id="0" w:name="_GoBack"/>
      <w:bookmarkEnd w:id="0"/>
      <w:r w:rsidRPr="00EC6A08">
        <w:rPr>
          <w:rFonts w:ascii="Garamond" w:eastAsia="Times New Roman" w:hAnsi="Garamond" w:cs="Times New Roman"/>
          <w:i/>
          <w:iCs/>
          <w:sz w:val="24"/>
          <w:szCs w:val="24"/>
          <w:lang w:eastAsia="en-GB"/>
        </w:rPr>
        <w:t xml:space="preserve"> or not</w:t>
      </w:r>
      <w:r w:rsidR="00F379F4" w:rsidRPr="00EC6A08">
        <w:rPr>
          <w:rFonts w:ascii="Garamond" w:eastAsia="Times New Roman" w:hAnsi="Garamond" w:cs="Times New Roman"/>
          <w:i/>
          <w:iCs/>
          <w:sz w:val="24"/>
          <w:szCs w:val="24"/>
          <w:lang w:eastAsia="en-GB"/>
        </w:rPr>
        <w:t>,</w:t>
      </w:r>
      <w:r w:rsidRPr="00EC6A08">
        <w:rPr>
          <w:rFonts w:ascii="Garamond" w:eastAsia="Times New Roman" w:hAnsi="Garamond" w:cs="Times New Roman"/>
          <w:i/>
          <w:iCs/>
          <w:sz w:val="24"/>
          <w:szCs w:val="24"/>
          <w:lang w:eastAsia="en-GB"/>
        </w:rPr>
        <w:t xml:space="preserve"> and then r</w:t>
      </w:r>
      <w:r w:rsidR="001A7189" w:rsidRPr="00EC6A08">
        <w:rPr>
          <w:rFonts w:ascii="Garamond" w:eastAsia="Times New Roman" w:hAnsi="Garamond" w:cs="Times New Roman"/>
          <w:i/>
          <w:iCs/>
          <w:sz w:val="24"/>
          <w:szCs w:val="24"/>
          <w:lang w:eastAsia="en-GB"/>
        </w:rPr>
        <w:t>elating opinion on this to a series of</w:t>
      </w:r>
      <w:r w:rsidRPr="00EC6A08">
        <w:rPr>
          <w:rFonts w:ascii="Garamond" w:eastAsia="Times New Roman" w:hAnsi="Garamond" w:cs="Times New Roman"/>
          <w:i/>
          <w:iCs/>
          <w:sz w:val="24"/>
          <w:szCs w:val="24"/>
          <w:lang w:eastAsia="en-GB"/>
        </w:rPr>
        <w:t xml:space="preserve"> variables </w:t>
      </w:r>
      <w:r w:rsidR="001A7189" w:rsidRPr="00EC6A08">
        <w:rPr>
          <w:rFonts w:ascii="Garamond" w:eastAsia="Times New Roman" w:hAnsi="Garamond" w:cs="Times New Roman"/>
          <w:i/>
          <w:iCs/>
          <w:sz w:val="24"/>
          <w:szCs w:val="24"/>
          <w:lang w:eastAsia="en-GB"/>
        </w:rPr>
        <w:t>that form the basis of</w:t>
      </w:r>
      <w:r w:rsidRPr="00EC6A08">
        <w:rPr>
          <w:rFonts w:ascii="Garamond" w:eastAsia="Times New Roman" w:hAnsi="Garamond" w:cs="Times New Roman"/>
          <w:i/>
          <w:iCs/>
          <w:sz w:val="24"/>
          <w:szCs w:val="24"/>
          <w:lang w:eastAsia="en-GB"/>
        </w:rPr>
        <w:t xml:space="preserve"> a unique dataset on the PLP. By constructing this dataset we are able to test, via multivariate analysis, a series of hypotheses based around (1) social background variables such as age</w:t>
      </w:r>
      <w:r w:rsidR="002E03E2" w:rsidRPr="00EC6A08">
        <w:rPr>
          <w:rFonts w:ascii="Garamond" w:eastAsia="Times New Roman" w:hAnsi="Garamond" w:cs="Times New Roman"/>
          <w:i/>
          <w:iCs/>
          <w:sz w:val="24"/>
          <w:szCs w:val="24"/>
          <w:lang w:eastAsia="en-GB"/>
        </w:rPr>
        <w:t xml:space="preserve"> and gender</w:t>
      </w:r>
      <w:r w:rsidRPr="00EC6A08">
        <w:rPr>
          <w:rFonts w:ascii="Garamond" w:eastAsia="Times New Roman" w:hAnsi="Garamond" w:cs="Times New Roman"/>
          <w:i/>
          <w:iCs/>
          <w:sz w:val="24"/>
          <w:szCs w:val="24"/>
          <w:lang w:eastAsia="en-GB"/>
        </w:rPr>
        <w:t xml:space="preserve">; (2) </w:t>
      </w:r>
      <w:r w:rsidR="00E144FB" w:rsidRPr="00EC6A08">
        <w:rPr>
          <w:rFonts w:ascii="Garamond" w:eastAsia="Times New Roman" w:hAnsi="Garamond" w:cs="Times New Roman"/>
          <w:i/>
          <w:iCs/>
          <w:sz w:val="24"/>
          <w:szCs w:val="24"/>
          <w:lang w:eastAsia="en-GB"/>
        </w:rPr>
        <w:t>political background variables such as year of entry, cons</w:t>
      </w:r>
      <w:r w:rsidR="00F379F4" w:rsidRPr="00EC6A08">
        <w:rPr>
          <w:rFonts w:ascii="Garamond" w:eastAsia="Times New Roman" w:hAnsi="Garamond" w:cs="Times New Roman"/>
          <w:i/>
          <w:iCs/>
          <w:sz w:val="24"/>
          <w:szCs w:val="24"/>
          <w:lang w:eastAsia="en-GB"/>
        </w:rPr>
        <w:t>tituency region, marginality,</w:t>
      </w:r>
      <w:r w:rsidR="00E144FB" w:rsidRPr="00EC6A08">
        <w:rPr>
          <w:rFonts w:ascii="Garamond" w:eastAsia="Times New Roman" w:hAnsi="Garamond" w:cs="Times New Roman"/>
          <w:i/>
          <w:iCs/>
          <w:sz w:val="24"/>
          <w:szCs w:val="24"/>
          <w:lang w:eastAsia="en-GB"/>
        </w:rPr>
        <w:t xml:space="preserve"> </w:t>
      </w:r>
      <w:r w:rsidR="00E374DA" w:rsidRPr="00EC6A08">
        <w:rPr>
          <w:rFonts w:ascii="Garamond" w:eastAsia="Times New Roman" w:hAnsi="Garamond" w:cs="Times New Roman"/>
          <w:i/>
          <w:iCs/>
          <w:sz w:val="24"/>
          <w:szCs w:val="24"/>
          <w:lang w:eastAsia="en-GB"/>
        </w:rPr>
        <w:t xml:space="preserve">main competition, </w:t>
      </w:r>
      <w:r w:rsidR="00E144FB" w:rsidRPr="00EC6A08">
        <w:rPr>
          <w:rFonts w:ascii="Garamond" w:eastAsia="Times New Roman" w:hAnsi="Garamond" w:cs="Times New Roman"/>
          <w:i/>
          <w:iCs/>
          <w:sz w:val="24"/>
          <w:szCs w:val="24"/>
          <w:lang w:eastAsia="en-GB"/>
        </w:rPr>
        <w:t>endorsement of their constituency Labour Party (CLP) in the leadership election of 2016</w:t>
      </w:r>
      <w:r w:rsidR="00E374DA" w:rsidRPr="00EC6A08">
        <w:rPr>
          <w:rFonts w:ascii="Garamond" w:eastAsia="Times New Roman" w:hAnsi="Garamond" w:cs="Times New Roman"/>
          <w:i/>
          <w:iCs/>
          <w:sz w:val="24"/>
          <w:szCs w:val="24"/>
          <w:lang w:eastAsia="en-GB"/>
        </w:rPr>
        <w:t>, position on the infa</w:t>
      </w:r>
      <w:r w:rsidR="001121C2" w:rsidRPr="00EC6A08">
        <w:rPr>
          <w:rFonts w:ascii="Garamond" w:eastAsia="Times New Roman" w:hAnsi="Garamond" w:cs="Times New Roman"/>
          <w:i/>
          <w:iCs/>
          <w:sz w:val="24"/>
          <w:szCs w:val="24"/>
          <w:lang w:eastAsia="en-GB"/>
        </w:rPr>
        <w:t>mous leaked ‘loyalty list’ and Trade U</w:t>
      </w:r>
      <w:r w:rsidR="00E374DA" w:rsidRPr="00EC6A08">
        <w:rPr>
          <w:rFonts w:ascii="Garamond" w:eastAsia="Times New Roman" w:hAnsi="Garamond" w:cs="Times New Roman"/>
          <w:i/>
          <w:iCs/>
          <w:sz w:val="24"/>
          <w:szCs w:val="24"/>
          <w:lang w:eastAsia="en-GB"/>
        </w:rPr>
        <w:t>nion membership</w:t>
      </w:r>
      <w:r w:rsidR="00E144FB" w:rsidRPr="00EC6A08">
        <w:rPr>
          <w:rFonts w:ascii="Garamond" w:eastAsia="Times New Roman" w:hAnsi="Garamond" w:cs="Times New Roman"/>
          <w:i/>
          <w:iCs/>
          <w:sz w:val="24"/>
          <w:szCs w:val="24"/>
          <w:lang w:eastAsia="en-GB"/>
        </w:rPr>
        <w:t xml:space="preserve">; </w:t>
      </w:r>
      <w:r w:rsidRPr="00EC6A08">
        <w:rPr>
          <w:rFonts w:ascii="Garamond" w:eastAsia="Times New Roman" w:hAnsi="Garamond" w:cs="Times New Roman"/>
          <w:i/>
          <w:iCs/>
          <w:sz w:val="24"/>
          <w:szCs w:val="24"/>
          <w:lang w:eastAsia="en-GB"/>
        </w:rPr>
        <w:t>and (3) ideological background variables such as views on continued European Union</w:t>
      </w:r>
      <w:r w:rsidR="00D52DD4" w:rsidRPr="00EC6A08">
        <w:rPr>
          <w:rFonts w:ascii="Garamond" w:eastAsia="Times New Roman" w:hAnsi="Garamond" w:cs="Times New Roman"/>
          <w:i/>
          <w:iCs/>
          <w:sz w:val="24"/>
          <w:szCs w:val="24"/>
          <w:lang w:eastAsia="en-GB"/>
        </w:rPr>
        <w:t xml:space="preserve"> [EU]</w:t>
      </w:r>
      <w:r w:rsidRPr="00EC6A08">
        <w:rPr>
          <w:rFonts w:ascii="Garamond" w:eastAsia="Times New Roman" w:hAnsi="Garamond" w:cs="Times New Roman"/>
          <w:i/>
          <w:iCs/>
          <w:sz w:val="24"/>
          <w:szCs w:val="24"/>
          <w:lang w:eastAsia="en-GB"/>
        </w:rPr>
        <w:t xml:space="preserve"> membership, immigration, intervention in Syria and the renewal of Trident. </w:t>
      </w:r>
    </w:p>
    <w:p w14:paraId="5578260B" w14:textId="77777777" w:rsidR="009D073C" w:rsidRPr="00EC6A08" w:rsidRDefault="009D073C" w:rsidP="009D073C">
      <w:pPr>
        <w:spacing w:after="0" w:line="360" w:lineRule="auto"/>
        <w:contextualSpacing/>
        <w:rPr>
          <w:rFonts w:ascii="Garamond" w:hAnsi="Garamond" w:cs="Times New Roman"/>
          <w:b/>
          <w:sz w:val="24"/>
          <w:szCs w:val="24"/>
        </w:rPr>
      </w:pPr>
    </w:p>
    <w:p w14:paraId="74CC6040" w14:textId="77777777" w:rsidR="007E5354" w:rsidRPr="00EC6A08" w:rsidRDefault="007E5354" w:rsidP="009D073C">
      <w:pPr>
        <w:spacing w:after="0" w:line="360" w:lineRule="auto"/>
        <w:contextualSpacing/>
        <w:rPr>
          <w:rFonts w:ascii="Garamond" w:hAnsi="Garamond" w:cs="Times New Roman"/>
          <w:b/>
          <w:sz w:val="24"/>
          <w:szCs w:val="24"/>
        </w:rPr>
      </w:pPr>
    </w:p>
    <w:p w14:paraId="6EE43BA8" w14:textId="6BBE454A" w:rsidR="00E374DA" w:rsidRPr="00EC6A08" w:rsidRDefault="00142C08" w:rsidP="009D073C">
      <w:pPr>
        <w:spacing w:after="0" w:line="360" w:lineRule="auto"/>
        <w:contextualSpacing/>
        <w:rPr>
          <w:rFonts w:ascii="Garamond" w:hAnsi="Garamond" w:cs="Times New Roman"/>
          <w:b/>
          <w:sz w:val="24"/>
          <w:szCs w:val="24"/>
        </w:rPr>
      </w:pPr>
      <w:r w:rsidRPr="00EC6A08">
        <w:rPr>
          <w:rFonts w:ascii="Garamond" w:hAnsi="Garamond" w:cs="Times New Roman"/>
          <w:b/>
          <w:sz w:val="24"/>
          <w:szCs w:val="24"/>
        </w:rPr>
        <w:t>Introduction</w:t>
      </w:r>
    </w:p>
    <w:p w14:paraId="4E9CADA4" w14:textId="77777777" w:rsidR="00142C08" w:rsidRPr="00EC6A08" w:rsidRDefault="00142C08" w:rsidP="009D073C">
      <w:pPr>
        <w:spacing w:after="0" w:line="360" w:lineRule="auto"/>
        <w:contextualSpacing/>
        <w:rPr>
          <w:rFonts w:ascii="Garamond" w:hAnsi="Garamond" w:cs="Times New Roman"/>
          <w:b/>
          <w:sz w:val="24"/>
          <w:szCs w:val="24"/>
        </w:rPr>
      </w:pPr>
    </w:p>
    <w:p w14:paraId="73D049E1" w14:textId="3AB3E5BC" w:rsidR="00142C08" w:rsidRPr="00EC6A08" w:rsidRDefault="00142C08"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This paper provides the first systematic academic evaluation of the relationship between </w:t>
      </w:r>
      <w:proofErr w:type="gramStart"/>
      <w:r w:rsidRPr="00EC6A08">
        <w:rPr>
          <w:rFonts w:ascii="Garamond" w:hAnsi="Garamond" w:cs="Times New Roman"/>
          <w:sz w:val="24"/>
          <w:szCs w:val="24"/>
        </w:rPr>
        <w:t xml:space="preserve">the </w:t>
      </w:r>
      <w:r w:rsidR="00F379F4" w:rsidRPr="00EC6A08">
        <w:rPr>
          <w:rFonts w:ascii="Garamond" w:hAnsi="Garamond" w:cs="Times New Roman"/>
          <w:sz w:val="24"/>
          <w:szCs w:val="24"/>
        </w:rPr>
        <w:t xml:space="preserve">2015-17 </w:t>
      </w:r>
      <w:r w:rsidRPr="00EC6A08">
        <w:rPr>
          <w:rFonts w:ascii="Garamond" w:hAnsi="Garamond" w:cs="Times New Roman"/>
          <w:sz w:val="24"/>
          <w:szCs w:val="24"/>
        </w:rPr>
        <w:t>parliamentary Labour Party (PLP)</w:t>
      </w:r>
      <w:proofErr w:type="gramEnd"/>
      <w:r w:rsidRPr="00EC6A08">
        <w:rPr>
          <w:rFonts w:ascii="Garamond" w:hAnsi="Garamond" w:cs="Times New Roman"/>
          <w:sz w:val="24"/>
          <w:szCs w:val="24"/>
        </w:rPr>
        <w:t xml:space="preserve"> and their democratically elected leader, Jeremy Corbyn</w:t>
      </w:r>
      <w:r w:rsidR="00E7483A" w:rsidRPr="00EC6A08">
        <w:rPr>
          <w:rFonts w:ascii="Garamond" w:hAnsi="Garamond" w:cs="Times New Roman"/>
          <w:sz w:val="24"/>
          <w:szCs w:val="24"/>
        </w:rPr>
        <w:t>. The rationale for this</w:t>
      </w:r>
      <w:r w:rsidRPr="00EC6A08">
        <w:rPr>
          <w:rFonts w:ascii="Garamond" w:hAnsi="Garamond" w:cs="Times New Roman"/>
          <w:sz w:val="24"/>
          <w:szCs w:val="24"/>
        </w:rPr>
        <w:t xml:space="preserve"> stems from the tumultuous events of the summer of 2016 when mass resignations from the shadow ministerial ranks (</w:t>
      </w:r>
      <w:proofErr w:type="spellStart"/>
      <w:r w:rsidRPr="00EC6A08">
        <w:rPr>
          <w:rFonts w:ascii="Garamond" w:hAnsi="Garamond" w:cs="Times New Roman"/>
          <w:sz w:val="24"/>
          <w:szCs w:val="24"/>
        </w:rPr>
        <w:t>Syal</w:t>
      </w:r>
      <w:proofErr w:type="spellEnd"/>
      <w:r w:rsidRPr="00EC6A08">
        <w:rPr>
          <w:rFonts w:ascii="Garamond" w:hAnsi="Garamond" w:cs="Times New Roman"/>
          <w:sz w:val="24"/>
          <w:szCs w:val="24"/>
        </w:rPr>
        <w:t xml:space="preserve">, </w:t>
      </w:r>
      <w:proofErr w:type="spellStart"/>
      <w:r w:rsidRPr="00EC6A08">
        <w:rPr>
          <w:rFonts w:ascii="Garamond" w:hAnsi="Garamond" w:cs="Times New Roman"/>
          <w:sz w:val="24"/>
          <w:szCs w:val="24"/>
        </w:rPr>
        <w:t>Perraudin</w:t>
      </w:r>
      <w:proofErr w:type="spellEnd"/>
      <w:r w:rsidRPr="00EC6A08">
        <w:rPr>
          <w:rFonts w:ascii="Garamond" w:hAnsi="Garamond" w:cs="Times New Roman"/>
          <w:sz w:val="24"/>
          <w:szCs w:val="24"/>
        </w:rPr>
        <w:t xml:space="preserve"> and </w:t>
      </w:r>
      <w:proofErr w:type="spellStart"/>
      <w:r w:rsidRPr="00EC6A08">
        <w:rPr>
          <w:rFonts w:ascii="Garamond" w:hAnsi="Garamond" w:cs="Times New Roman"/>
          <w:sz w:val="24"/>
          <w:szCs w:val="24"/>
        </w:rPr>
        <w:t>Slawson</w:t>
      </w:r>
      <w:proofErr w:type="spellEnd"/>
      <w:r w:rsidRPr="00EC6A08">
        <w:rPr>
          <w:rFonts w:ascii="Garamond" w:hAnsi="Garamond" w:cs="Times New Roman"/>
          <w:sz w:val="24"/>
          <w:szCs w:val="24"/>
        </w:rPr>
        <w:t xml:space="preserve"> 2</w:t>
      </w:r>
      <w:r w:rsidR="00F379F4" w:rsidRPr="00EC6A08">
        <w:rPr>
          <w:rFonts w:ascii="Garamond" w:hAnsi="Garamond" w:cs="Times New Roman"/>
          <w:sz w:val="24"/>
          <w:szCs w:val="24"/>
        </w:rPr>
        <w:t xml:space="preserve">016) led to a confidence ballot. Although </w:t>
      </w:r>
      <w:r w:rsidRPr="00EC6A08">
        <w:rPr>
          <w:rFonts w:ascii="Garamond" w:hAnsi="Garamond" w:cs="Times New Roman"/>
          <w:sz w:val="24"/>
          <w:szCs w:val="24"/>
        </w:rPr>
        <w:t>not pro</w:t>
      </w:r>
      <w:r w:rsidR="00F379F4" w:rsidRPr="00EC6A08">
        <w:rPr>
          <w:rFonts w:ascii="Garamond" w:hAnsi="Garamond" w:cs="Times New Roman"/>
          <w:sz w:val="24"/>
          <w:szCs w:val="24"/>
        </w:rPr>
        <w:t>cedurally binding,</w:t>
      </w:r>
      <w:r w:rsidR="00673CD7" w:rsidRPr="00EC6A08">
        <w:rPr>
          <w:rFonts w:ascii="Garamond" w:hAnsi="Garamond" w:cs="Times New Roman"/>
          <w:sz w:val="24"/>
          <w:szCs w:val="24"/>
        </w:rPr>
        <w:t xml:space="preserve"> 170</w:t>
      </w:r>
      <w:r w:rsidRPr="00EC6A08">
        <w:rPr>
          <w:rFonts w:ascii="Garamond" w:hAnsi="Garamond" w:cs="Times New Roman"/>
          <w:sz w:val="24"/>
          <w:szCs w:val="24"/>
        </w:rPr>
        <w:t xml:space="preserve"> out of 230 Labour parliamentarians indicated their view that Corbyn should not continue as leader of the Labour Party (Stone 2016). His unwillingness to step aside triggered a formal leadership challenge by Owen Smith. Corbyn defeated Smith by 319,209 votes to 193,229 votes (or 61.8 to 38.2 percent), thus securing an even more impressive margin of victory than he had in his initial election to the leadership the previous September – when Corbyn secured 251,417 votes at 59.5 percent (Mason 2015, Sparrow 2016). </w:t>
      </w:r>
    </w:p>
    <w:p w14:paraId="0A1123F2" w14:textId="77777777" w:rsidR="00142C08" w:rsidRPr="00EC6A08" w:rsidRDefault="00142C08" w:rsidP="00142C08">
      <w:pPr>
        <w:spacing w:after="0" w:line="360" w:lineRule="auto"/>
        <w:contextualSpacing/>
        <w:jc w:val="both"/>
        <w:rPr>
          <w:rFonts w:ascii="Garamond" w:hAnsi="Garamond" w:cs="Times New Roman"/>
          <w:sz w:val="24"/>
          <w:szCs w:val="24"/>
        </w:rPr>
      </w:pPr>
    </w:p>
    <w:p w14:paraId="18AF2471" w14:textId="322B2AB0" w:rsidR="00142C08" w:rsidRPr="00EC6A08" w:rsidRDefault="00142C08"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As Dorey and Denham have noted the original selection of Corbyn ‘plunged the PLP into turmoil’ (Dorey and Denham 2017), and left them ‘at war’ not only with t</w:t>
      </w:r>
      <w:r w:rsidR="00F832D1" w:rsidRPr="00EC6A08">
        <w:rPr>
          <w:rFonts w:ascii="Garamond" w:hAnsi="Garamond" w:cs="Times New Roman"/>
          <w:sz w:val="24"/>
          <w:szCs w:val="24"/>
        </w:rPr>
        <w:t xml:space="preserve">heir leader but also with their </w:t>
      </w:r>
      <w:r w:rsidRPr="00EC6A08">
        <w:rPr>
          <w:rFonts w:ascii="Garamond" w:hAnsi="Garamond" w:cs="Times New Roman"/>
          <w:sz w:val="24"/>
          <w:szCs w:val="24"/>
        </w:rPr>
        <w:t xml:space="preserve">members (Blakey 2016). </w:t>
      </w:r>
      <w:r w:rsidR="00E8681E" w:rsidRPr="00EC6A08">
        <w:rPr>
          <w:rFonts w:ascii="Garamond" w:hAnsi="Garamond" w:cs="Times New Roman"/>
          <w:sz w:val="24"/>
          <w:szCs w:val="24"/>
        </w:rPr>
        <w:t>The PLP concluded that Corbyn had been propelled to the leadership at the behest of an increasingly hard left membership (Bale, Webb and Poletti, 2016)</w:t>
      </w:r>
      <w:proofErr w:type="gramStart"/>
      <w:r w:rsidR="00E8681E" w:rsidRPr="00EC6A08">
        <w:rPr>
          <w:rFonts w:ascii="Garamond" w:hAnsi="Garamond" w:cs="Times New Roman"/>
          <w:sz w:val="24"/>
          <w:szCs w:val="24"/>
        </w:rPr>
        <w:t>,</w:t>
      </w:r>
      <w:proofErr w:type="gramEnd"/>
      <w:r w:rsidR="00E8681E" w:rsidRPr="00EC6A08">
        <w:rPr>
          <w:rFonts w:ascii="Garamond" w:hAnsi="Garamond" w:cs="Times New Roman"/>
          <w:sz w:val="24"/>
          <w:szCs w:val="24"/>
        </w:rPr>
        <w:t xml:space="preserve"> but that the membership was more concerned with ideological purity and control over the party, as opposed to the compromises necessary to win power (</w:t>
      </w:r>
      <w:r w:rsidR="00E8681E" w:rsidRPr="00EC6A08">
        <w:rPr>
          <w:rFonts w:ascii="Garamond" w:hAnsi="Garamond"/>
          <w:sz w:val="24"/>
          <w:szCs w:val="24"/>
          <w:lang w:val="en"/>
        </w:rPr>
        <w:t xml:space="preserve">Blakey 2016). </w:t>
      </w:r>
      <w:r w:rsidR="00E8681E" w:rsidRPr="00EC6A08">
        <w:rPr>
          <w:rFonts w:ascii="Garamond" w:hAnsi="Garamond" w:cs="Times New Roman"/>
          <w:sz w:val="24"/>
          <w:szCs w:val="24"/>
        </w:rPr>
        <w:t>The membership, however,</w:t>
      </w:r>
      <w:r w:rsidRPr="00EC6A08">
        <w:rPr>
          <w:rFonts w:ascii="Garamond" w:hAnsi="Garamond" w:cs="Times New Roman"/>
          <w:sz w:val="24"/>
          <w:szCs w:val="24"/>
        </w:rPr>
        <w:t xml:space="preserve"> s</w:t>
      </w:r>
      <w:r w:rsidR="00D76722" w:rsidRPr="00EC6A08">
        <w:rPr>
          <w:rFonts w:ascii="Garamond" w:hAnsi="Garamond" w:cs="Times New Roman"/>
          <w:sz w:val="24"/>
          <w:szCs w:val="24"/>
        </w:rPr>
        <w:t>upported Corbyn because they saw</w:t>
      </w:r>
      <w:r w:rsidRPr="00EC6A08">
        <w:rPr>
          <w:rFonts w:ascii="Garamond" w:hAnsi="Garamond" w:cs="Times New Roman"/>
          <w:sz w:val="24"/>
          <w:szCs w:val="24"/>
        </w:rPr>
        <w:t xml:space="preserve"> him as a ‘prin</w:t>
      </w:r>
      <w:r w:rsidR="00E8681E" w:rsidRPr="00EC6A08">
        <w:rPr>
          <w:rFonts w:ascii="Garamond" w:hAnsi="Garamond" w:cs="Times New Roman"/>
          <w:sz w:val="24"/>
          <w:szCs w:val="24"/>
        </w:rPr>
        <w:t>cipled, honest and decent’ who stood ‘</w:t>
      </w:r>
      <w:r w:rsidRPr="00EC6A08">
        <w:rPr>
          <w:rFonts w:ascii="Garamond" w:hAnsi="Garamond" w:cs="Times New Roman"/>
          <w:sz w:val="24"/>
          <w:szCs w:val="24"/>
        </w:rPr>
        <w:t>for genuinely left-wing progressive politics’, as opposed to the ‘establishment, careerist politicians’ o</w:t>
      </w:r>
      <w:r w:rsidR="00E8681E" w:rsidRPr="00EC6A08">
        <w:rPr>
          <w:rFonts w:ascii="Garamond" w:hAnsi="Garamond" w:cs="Times New Roman"/>
          <w:sz w:val="24"/>
          <w:szCs w:val="24"/>
        </w:rPr>
        <w:t>f the PLP (Blakey 2016). The membership came to view</w:t>
      </w:r>
      <w:r w:rsidRPr="00EC6A08">
        <w:rPr>
          <w:rFonts w:ascii="Garamond" w:hAnsi="Garamond" w:cs="Times New Roman"/>
          <w:sz w:val="24"/>
          <w:szCs w:val="24"/>
        </w:rPr>
        <w:t xml:space="preserve"> the PLP as ‘rebels’ who have attempted to subvert internal party democracy in their attempts to force Corbyn to resign, (through coordinated resignations from the frontbench and via the confidence motion), and by trying to prevent Corbyn from being on the leadership ballot by arguing that he needed the support of 20 percent of the PLP before being allowed to participate</w:t>
      </w:r>
      <w:r w:rsidR="006433FB" w:rsidRPr="00EC6A08">
        <w:rPr>
          <w:rFonts w:ascii="Garamond" w:hAnsi="Garamond" w:cs="Times New Roman"/>
          <w:sz w:val="24"/>
          <w:szCs w:val="24"/>
        </w:rPr>
        <w:t xml:space="preserve"> (</w:t>
      </w:r>
      <w:r w:rsidRPr="00EC6A08">
        <w:rPr>
          <w:rFonts w:ascii="Garamond" w:hAnsi="Garamond" w:cs="Times New Roman"/>
          <w:sz w:val="24"/>
          <w:szCs w:val="24"/>
        </w:rPr>
        <w:t>Blakey 2016)</w:t>
      </w:r>
      <w:r w:rsidR="006433FB" w:rsidRPr="00EC6A08">
        <w:rPr>
          <w:rFonts w:ascii="Garamond" w:hAnsi="Garamond" w:cs="Times New Roman"/>
          <w:sz w:val="24"/>
          <w:szCs w:val="24"/>
        </w:rPr>
        <w:t>.</w:t>
      </w:r>
      <w:r w:rsidRPr="00EC6A08">
        <w:rPr>
          <w:rFonts w:ascii="Garamond" w:hAnsi="Garamond" w:cs="Times New Roman"/>
          <w:sz w:val="24"/>
          <w:szCs w:val="24"/>
        </w:rPr>
        <w:t xml:space="preserve"> (The rules suggested challengers needed 20 percent PLP support and that for vacancies all candidates needed 15 percent PLP support, but it was left unclear as to whether an incumbent needed nominations to participate). </w:t>
      </w:r>
    </w:p>
    <w:p w14:paraId="1215C584" w14:textId="77777777" w:rsidR="00142C08" w:rsidRPr="00EC6A08" w:rsidRDefault="00142C08" w:rsidP="00142C08">
      <w:pPr>
        <w:spacing w:after="0" w:line="360" w:lineRule="auto"/>
        <w:contextualSpacing/>
        <w:jc w:val="both"/>
        <w:rPr>
          <w:rFonts w:ascii="Garamond" w:hAnsi="Garamond"/>
          <w:sz w:val="24"/>
          <w:szCs w:val="24"/>
          <w:lang w:val="en"/>
        </w:rPr>
      </w:pPr>
    </w:p>
    <w:p w14:paraId="7F3D3D20" w14:textId="3C78226B" w:rsidR="00142C08" w:rsidRPr="00EC6A08" w:rsidRDefault="00142C08" w:rsidP="00142C08">
      <w:pPr>
        <w:spacing w:after="0" w:line="360" w:lineRule="auto"/>
        <w:contextualSpacing/>
        <w:jc w:val="both"/>
        <w:rPr>
          <w:rFonts w:ascii="Garamond" w:hAnsi="Garamond"/>
          <w:sz w:val="24"/>
          <w:szCs w:val="24"/>
          <w:lang w:val="en"/>
        </w:rPr>
      </w:pPr>
      <w:r w:rsidRPr="00EC6A08">
        <w:rPr>
          <w:rFonts w:ascii="Garamond" w:hAnsi="Garamond"/>
          <w:sz w:val="24"/>
          <w:szCs w:val="24"/>
          <w:lang w:val="en"/>
        </w:rPr>
        <w:t xml:space="preserve">The dysfunctional relationship between </w:t>
      </w:r>
      <w:r w:rsidRPr="00EC6A08">
        <w:rPr>
          <w:rFonts w:ascii="Garamond" w:hAnsi="Garamond"/>
          <w:sz w:val="24"/>
          <w:szCs w:val="24"/>
        </w:rPr>
        <w:t>Corbyn</w:t>
      </w:r>
      <w:r w:rsidRPr="00EC6A08">
        <w:rPr>
          <w:rFonts w:ascii="Garamond" w:hAnsi="Garamond"/>
          <w:sz w:val="24"/>
          <w:szCs w:val="24"/>
          <w:lang w:val="en"/>
        </w:rPr>
        <w:t xml:space="preserve"> and the PLP has dominated media coverage of </w:t>
      </w:r>
      <w:proofErr w:type="spellStart"/>
      <w:r w:rsidRPr="00EC6A08">
        <w:rPr>
          <w:rFonts w:ascii="Garamond" w:hAnsi="Garamond"/>
          <w:sz w:val="24"/>
          <w:szCs w:val="24"/>
          <w:lang w:val="en"/>
        </w:rPr>
        <w:t>Labour</w:t>
      </w:r>
      <w:proofErr w:type="spellEnd"/>
      <w:r w:rsidRPr="00EC6A08">
        <w:rPr>
          <w:rFonts w:ascii="Garamond" w:hAnsi="Garamond"/>
          <w:sz w:val="24"/>
          <w:szCs w:val="24"/>
          <w:lang w:val="en"/>
        </w:rPr>
        <w:t xml:space="preserve"> politics since September 2015. However, to date there has been no academic research that seeks to explain opinion and opposition within the PLP towards Corbyn. This paper fills that gap. Our rationale is to establish the following: first, not just the number who support</w:t>
      </w:r>
      <w:r w:rsidR="00F379F4" w:rsidRPr="00EC6A08">
        <w:rPr>
          <w:rFonts w:ascii="Garamond" w:hAnsi="Garamond"/>
          <w:sz w:val="24"/>
          <w:szCs w:val="24"/>
          <w:lang w:val="en"/>
        </w:rPr>
        <w:t>ed</w:t>
      </w:r>
      <w:r w:rsidRPr="00EC6A08">
        <w:rPr>
          <w:rFonts w:ascii="Garamond" w:hAnsi="Garamond"/>
          <w:sz w:val="24"/>
          <w:szCs w:val="24"/>
          <w:lang w:val="en"/>
        </w:rPr>
        <w:t xml:space="preserve"> and oppose</w:t>
      </w:r>
      <w:r w:rsidR="00F379F4" w:rsidRPr="00EC6A08">
        <w:rPr>
          <w:rFonts w:ascii="Garamond" w:hAnsi="Garamond"/>
          <w:sz w:val="24"/>
          <w:szCs w:val="24"/>
          <w:lang w:val="en"/>
        </w:rPr>
        <w:t>d</w:t>
      </w:r>
      <w:r w:rsidRPr="00EC6A08">
        <w:rPr>
          <w:rFonts w:ascii="Garamond" w:hAnsi="Garamond"/>
          <w:sz w:val="24"/>
          <w:szCs w:val="24"/>
          <w:lang w:val="en"/>
        </w:rPr>
        <w:t xml:space="preserve"> Co</w:t>
      </w:r>
      <w:r w:rsidR="00F379F4" w:rsidRPr="00EC6A08">
        <w:rPr>
          <w:rFonts w:ascii="Garamond" w:hAnsi="Garamond"/>
          <w:sz w:val="24"/>
          <w:szCs w:val="24"/>
          <w:lang w:val="en"/>
        </w:rPr>
        <w:t>rbyn within the PLP</w:t>
      </w:r>
      <w:r w:rsidRPr="00EC6A08">
        <w:rPr>
          <w:rFonts w:ascii="Garamond" w:hAnsi="Garamond"/>
          <w:sz w:val="24"/>
          <w:szCs w:val="24"/>
          <w:lang w:val="en"/>
        </w:rPr>
        <w:t xml:space="preserve">; and, second, whether there are any background social, political or ideological variables that bind together those who support or oppose Corbyn within the PLP. To address </w:t>
      </w:r>
      <w:r w:rsidR="00F832D1" w:rsidRPr="00EC6A08">
        <w:rPr>
          <w:rFonts w:ascii="Garamond" w:hAnsi="Garamond"/>
          <w:sz w:val="24"/>
          <w:szCs w:val="24"/>
          <w:lang w:val="en"/>
        </w:rPr>
        <w:t>this</w:t>
      </w:r>
      <w:r w:rsidRPr="00EC6A08">
        <w:rPr>
          <w:rFonts w:ascii="Garamond" w:hAnsi="Garamond"/>
          <w:sz w:val="24"/>
          <w:szCs w:val="24"/>
          <w:lang w:val="en"/>
        </w:rPr>
        <w:t xml:space="preserve"> we will construct a dataset on the PLP that identifies support or opposition to Corbyn. This can then be used to test a series of hypotheses in relation to the following (1) social backgrounds variables such as age and gender; (2) political background relating to their constituencies covering year of entry, region, marginality and main competition;</w:t>
      </w:r>
      <w:r w:rsidRPr="00EC6A08">
        <w:rPr>
          <w:rFonts w:ascii="Garamond" w:eastAsia="Times New Roman" w:hAnsi="Garamond" w:cs="Times New Roman"/>
          <w:i/>
          <w:iCs/>
          <w:sz w:val="24"/>
          <w:szCs w:val="24"/>
          <w:lang w:val="en" w:eastAsia="en-GB"/>
        </w:rPr>
        <w:t xml:space="preserve"> </w:t>
      </w:r>
      <w:r w:rsidRPr="00EC6A08">
        <w:rPr>
          <w:rFonts w:ascii="Garamond" w:eastAsia="Times New Roman" w:hAnsi="Garamond" w:cs="Times New Roman"/>
          <w:iCs/>
          <w:sz w:val="24"/>
          <w:szCs w:val="24"/>
          <w:lang w:eastAsia="en-GB"/>
        </w:rPr>
        <w:t>the endorsement of their CLP in the leadership election of 2016;</w:t>
      </w:r>
      <w:r w:rsidRPr="00EC6A08">
        <w:rPr>
          <w:rFonts w:ascii="Garamond" w:hAnsi="Garamond"/>
          <w:sz w:val="24"/>
          <w:szCs w:val="24"/>
          <w:lang w:val="en"/>
        </w:rPr>
        <w:t xml:space="preserve"> position on the leaked ‘loyalty list’ (see Asthana and Stewart, 2016)</w:t>
      </w:r>
      <w:r w:rsidR="006937DD" w:rsidRPr="00EC6A08">
        <w:rPr>
          <w:rFonts w:ascii="Garamond" w:hAnsi="Garamond"/>
          <w:sz w:val="24"/>
          <w:szCs w:val="24"/>
          <w:lang w:val="en"/>
        </w:rPr>
        <w:t xml:space="preserve"> and Trade U</w:t>
      </w:r>
      <w:r w:rsidRPr="00EC6A08">
        <w:rPr>
          <w:rFonts w:ascii="Garamond" w:hAnsi="Garamond"/>
          <w:sz w:val="24"/>
          <w:szCs w:val="24"/>
          <w:lang w:val="en"/>
        </w:rPr>
        <w:t>nion affiliation, and (3) ideological background variables which will cover attitudes towards Brexit, immigration, intervention in Syria and Trident renewal.</w:t>
      </w:r>
    </w:p>
    <w:p w14:paraId="0BDED926" w14:textId="77777777" w:rsidR="00142C08" w:rsidRPr="00EC6A08" w:rsidRDefault="00142C08" w:rsidP="00142C08">
      <w:pPr>
        <w:spacing w:after="0" w:line="360" w:lineRule="auto"/>
        <w:contextualSpacing/>
        <w:jc w:val="both"/>
        <w:rPr>
          <w:rFonts w:ascii="Garamond" w:hAnsi="Garamond"/>
          <w:sz w:val="24"/>
          <w:szCs w:val="24"/>
          <w:lang w:val="en"/>
        </w:rPr>
      </w:pPr>
    </w:p>
    <w:p w14:paraId="6285CFFD" w14:textId="09A8BEF9" w:rsidR="00024E48" w:rsidRPr="00EC6A08" w:rsidRDefault="00142C08" w:rsidP="00142C08">
      <w:pPr>
        <w:spacing w:after="0" w:line="360" w:lineRule="auto"/>
        <w:contextualSpacing/>
        <w:jc w:val="both"/>
        <w:rPr>
          <w:rFonts w:ascii="Garamond" w:hAnsi="Garamond"/>
          <w:sz w:val="24"/>
          <w:szCs w:val="24"/>
          <w:lang w:val="en"/>
        </w:rPr>
      </w:pPr>
      <w:r w:rsidRPr="00EC6A08">
        <w:rPr>
          <w:rFonts w:ascii="Garamond" w:hAnsi="Garamond"/>
          <w:sz w:val="24"/>
          <w:szCs w:val="24"/>
          <w:lang w:val="en"/>
        </w:rPr>
        <w:t xml:space="preserve">The paper will be split into the following sections. The first section will identify how the rise of Corbyn challenges established academic assumptions about party political leadership selection. </w:t>
      </w:r>
      <w:r w:rsidRPr="00EC6A08">
        <w:rPr>
          <w:rFonts w:ascii="Garamond" w:hAnsi="Garamond"/>
          <w:sz w:val="24"/>
          <w:szCs w:val="24"/>
          <w:lang w:val="en"/>
        </w:rPr>
        <w:lastRenderedPageBreak/>
        <w:t>The second section will identify and explain our social, political and ideological hypotheses, and how our data w</w:t>
      </w:r>
      <w:r w:rsidR="006433FB" w:rsidRPr="00EC6A08">
        <w:rPr>
          <w:rFonts w:ascii="Garamond" w:hAnsi="Garamond"/>
          <w:sz w:val="24"/>
          <w:szCs w:val="24"/>
          <w:lang w:val="en"/>
        </w:rPr>
        <w:t>as</w:t>
      </w:r>
      <w:r w:rsidRPr="00EC6A08">
        <w:rPr>
          <w:rFonts w:ascii="Garamond" w:hAnsi="Garamond"/>
          <w:sz w:val="24"/>
          <w:szCs w:val="24"/>
          <w:lang w:val="en"/>
        </w:rPr>
        <w:t xml:space="preserve"> collected and coded. The third section presents our research findings and demonstrates which of our social, political and ideolog</w:t>
      </w:r>
      <w:r w:rsidR="00E7483A" w:rsidRPr="00EC6A08">
        <w:rPr>
          <w:rFonts w:ascii="Garamond" w:hAnsi="Garamond"/>
          <w:sz w:val="24"/>
          <w:szCs w:val="24"/>
          <w:lang w:val="en"/>
        </w:rPr>
        <w:t>ical hypotheses have been supported</w:t>
      </w:r>
      <w:r w:rsidR="007A3194" w:rsidRPr="00EC6A08">
        <w:rPr>
          <w:rFonts w:ascii="Garamond" w:hAnsi="Garamond"/>
          <w:sz w:val="24"/>
          <w:szCs w:val="24"/>
          <w:lang w:val="en"/>
        </w:rPr>
        <w:t>.  O</w:t>
      </w:r>
      <w:r w:rsidR="00024E48" w:rsidRPr="00EC6A08">
        <w:rPr>
          <w:rFonts w:ascii="Garamond" w:hAnsi="Garamond"/>
          <w:sz w:val="24"/>
          <w:szCs w:val="24"/>
          <w:lang w:val="en"/>
        </w:rPr>
        <w:t xml:space="preserve">ur fourth section offers some analysis on what this might tell us about the relationship between Corbyn and the 2015 to 2017 PLP. </w:t>
      </w:r>
    </w:p>
    <w:p w14:paraId="0A86E5B7" w14:textId="77777777" w:rsidR="00142C08" w:rsidRPr="00EC6A08" w:rsidRDefault="00142C08" w:rsidP="00142C08">
      <w:pPr>
        <w:spacing w:after="0" w:line="360" w:lineRule="auto"/>
        <w:contextualSpacing/>
        <w:jc w:val="both"/>
        <w:rPr>
          <w:rFonts w:ascii="Garamond" w:hAnsi="Garamond" w:cs="Times New Roman"/>
          <w:sz w:val="24"/>
          <w:szCs w:val="24"/>
        </w:rPr>
      </w:pPr>
    </w:p>
    <w:p w14:paraId="74275946" w14:textId="77777777" w:rsidR="00142C08" w:rsidRPr="00EC6A08" w:rsidRDefault="00142C08" w:rsidP="00142C08">
      <w:pPr>
        <w:spacing w:after="0" w:line="360" w:lineRule="auto"/>
        <w:jc w:val="both"/>
        <w:rPr>
          <w:rFonts w:ascii="Garamond" w:hAnsi="Garamond" w:cs="Times New Roman"/>
          <w:b/>
          <w:sz w:val="24"/>
          <w:szCs w:val="24"/>
        </w:rPr>
      </w:pPr>
      <w:r w:rsidRPr="00EC6A08">
        <w:rPr>
          <w:rFonts w:ascii="Garamond" w:hAnsi="Garamond" w:cs="Times New Roman"/>
          <w:b/>
          <w:sz w:val="24"/>
          <w:szCs w:val="24"/>
        </w:rPr>
        <w:t>Electing Corbyn: Challenging Academic Assumptions about Leadership Selection</w:t>
      </w:r>
    </w:p>
    <w:p w14:paraId="2498B7FA" w14:textId="77777777" w:rsidR="00142C08" w:rsidRPr="00EC6A08" w:rsidRDefault="00142C08" w:rsidP="00142C08">
      <w:pPr>
        <w:spacing w:after="0" w:line="360" w:lineRule="auto"/>
        <w:contextualSpacing/>
        <w:jc w:val="both"/>
        <w:rPr>
          <w:rFonts w:ascii="Garamond" w:hAnsi="Garamond" w:cs="Times New Roman"/>
          <w:sz w:val="24"/>
          <w:szCs w:val="24"/>
        </w:rPr>
      </w:pPr>
    </w:p>
    <w:p w14:paraId="11D6C8AA" w14:textId="782840AD" w:rsidR="00142C08" w:rsidRPr="00EC6A08" w:rsidRDefault="00D52DD4"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T</w:t>
      </w:r>
      <w:r w:rsidR="00142C08" w:rsidRPr="00EC6A08">
        <w:rPr>
          <w:rFonts w:ascii="Garamond" w:hAnsi="Garamond" w:cs="Times New Roman"/>
          <w:sz w:val="24"/>
          <w:szCs w:val="24"/>
        </w:rPr>
        <w:t>he election and then re-election of Corbyn def</w:t>
      </w:r>
      <w:r w:rsidR="007A3194" w:rsidRPr="00EC6A08">
        <w:rPr>
          <w:rFonts w:ascii="Garamond" w:hAnsi="Garamond" w:cs="Times New Roman"/>
          <w:sz w:val="24"/>
          <w:szCs w:val="24"/>
        </w:rPr>
        <w:t>ied</w:t>
      </w:r>
      <w:r w:rsidR="00142C08" w:rsidRPr="00EC6A08">
        <w:rPr>
          <w:rFonts w:ascii="Garamond" w:hAnsi="Garamond" w:cs="Times New Roman"/>
          <w:sz w:val="24"/>
          <w:szCs w:val="24"/>
        </w:rPr>
        <w:t xml:space="preserve"> the traditional assumptions that have been mapped out in the academic literature on leadership selection. The ‘Stark criteria’ are referred to often within the leadership literature on Labour Party leadership selection</w:t>
      </w:r>
      <w:r w:rsidR="00FD3B0B" w:rsidRPr="00EC6A08">
        <w:rPr>
          <w:rFonts w:ascii="Garamond" w:hAnsi="Garamond" w:cs="Times New Roman"/>
          <w:sz w:val="24"/>
          <w:szCs w:val="24"/>
        </w:rPr>
        <w:t xml:space="preserve"> (see for example, Quinn 2004, 2005, </w:t>
      </w:r>
      <w:r w:rsidR="00024E48" w:rsidRPr="00EC6A08">
        <w:rPr>
          <w:rFonts w:ascii="Garamond" w:hAnsi="Garamond" w:cs="Times New Roman"/>
          <w:sz w:val="24"/>
          <w:szCs w:val="24"/>
        </w:rPr>
        <w:t>2010, 2012, 2017, Heppell 2010</w:t>
      </w:r>
      <w:r w:rsidR="00FD3B0B" w:rsidRPr="00EC6A08">
        <w:rPr>
          <w:rFonts w:ascii="Garamond" w:hAnsi="Garamond" w:cs="Times New Roman"/>
          <w:sz w:val="24"/>
          <w:szCs w:val="24"/>
        </w:rPr>
        <w:t xml:space="preserve">, Dorey and Denham 2011, 2017) </w:t>
      </w:r>
      <w:r w:rsidR="00142C08" w:rsidRPr="00EC6A08">
        <w:rPr>
          <w:rFonts w:ascii="Garamond" w:hAnsi="Garamond" w:cs="Times New Roman"/>
          <w:sz w:val="24"/>
          <w:szCs w:val="24"/>
        </w:rPr>
        <w:t>and they capture the dominant strategic considerations for parties that are operating within parliamentary systems: first, the need to re</w:t>
      </w:r>
      <w:r w:rsidR="007A3194" w:rsidRPr="00EC6A08">
        <w:rPr>
          <w:rFonts w:ascii="Garamond" w:hAnsi="Garamond" w:cs="Times New Roman"/>
          <w:sz w:val="24"/>
          <w:szCs w:val="24"/>
        </w:rPr>
        <w:t>main unified; second, their primary motivation is</w:t>
      </w:r>
      <w:r w:rsidR="00142C08" w:rsidRPr="00EC6A08">
        <w:rPr>
          <w:rFonts w:ascii="Garamond" w:hAnsi="Garamond" w:cs="Times New Roman"/>
          <w:sz w:val="24"/>
          <w:szCs w:val="24"/>
        </w:rPr>
        <w:t xml:space="preserve"> to win elections; and third,</w:t>
      </w:r>
      <w:r w:rsidR="007A3194" w:rsidRPr="00EC6A08">
        <w:rPr>
          <w:rFonts w:ascii="Garamond" w:hAnsi="Garamond" w:cs="Times New Roman"/>
          <w:sz w:val="24"/>
          <w:szCs w:val="24"/>
        </w:rPr>
        <w:t xml:space="preserve"> they seek office </w:t>
      </w:r>
      <w:r w:rsidR="00142C08" w:rsidRPr="00EC6A08">
        <w:rPr>
          <w:rFonts w:ascii="Garamond" w:hAnsi="Garamond" w:cs="Times New Roman"/>
          <w:sz w:val="24"/>
          <w:szCs w:val="24"/>
        </w:rPr>
        <w:t>to implement policies (Stark 1996).</w:t>
      </w:r>
    </w:p>
    <w:p w14:paraId="77DCE93C" w14:textId="77777777" w:rsidR="00142C08" w:rsidRPr="00EC6A08" w:rsidRDefault="00142C08" w:rsidP="00142C08">
      <w:pPr>
        <w:spacing w:after="0" w:line="360" w:lineRule="auto"/>
        <w:contextualSpacing/>
        <w:jc w:val="both"/>
        <w:rPr>
          <w:rFonts w:ascii="Garamond" w:hAnsi="Garamond" w:cs="Times New Roman"/>
          <w:sz w:val="24"/>
          <w:szCs w:val="24"/>
        </w:rPr>
      </w:pPr>
    </w:p>
    <w:p w14:paraId="70ECADF0" w14:textId="2EAE5D72" w:rsidR="00142C08" w:rsidRPr="00EC6A08" w:rsidRDefault="00142C08"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Based on these considerations, Stark argues that candidates for the party leadership are assessed in terms of their acceptability (can they unify); their electability (are they an asset or a liability in terms of gaining voter approval); and are they competent (do they possess the political skills to ensure that their policy goals can be implemented once in office) (Stark 1996). Built into the Stark criteria is the assumption that parties will regard acceptability as the first order consideration – i.e. a leader who will divide the party should be rejected on the basis that a divided party will be an unelectable party (Stark, 1996). After removing divisive candidates, electors will then move to the second order criteria – the candidate who appears the most electorally appealing; and should candidates be equally matched on </w:t>
      </w:r>
      <w:proofErr w:type="gramStart"/>
      <w:r w:rsidRPr="00EC6A08">
        <w:rPr>
          <w:rFonts w:ascii="Garamond" w:hAnsi="Garamond" w:cs="Times New Roman"/>
          <w:sz w:val="24"/>
          <w:szCs w:val="24"/>
        </w:rPr>
        <w:t>this criteria</w:t>
      </w:r>
      <w:proofErr w:type="gramEnd"/>
      <w:r w:rsidRPr="00EC6A08">
        <w:rPr>
          <w:rFonts w:ascii="Garamond" w:hAnsi="Garamond" w:cs="Times New Roman"/>
          <w:sz w:val="24"/>
          <w:szCs w:val="24"/>
        </w:rPr>
        <w:t xml:space="preserve">, then party voters would turn to the candidate who appears to be the most competent and effective as Prime Minister (Stark 1996). </w:t>
      </w:r>
    </w:p>
    <w:p w14:paraId="42D9B5DE" w14:textId="77777777" w:rsidR="00142C08" w:rsidRPr="00EC6A08" w:rsidRDefault="00142C08" w:rsidP="00142C08">
      <w:pPr>
        <w:spacing w:after="0" w:line="360" w:lineRule="auto"/>
        <w:contextualSpacing/>
        <w:jc w:val="both"/>
        <w:rPr>
          <w:rFonts w:ascii="Garamond" w:hAnsi="Garamond" w:cs="Times New Roman"/>
          <w:sz w:val="24"/>
          <w:szCs w:val="24"/>
        </w:rPr>
      </w:pPr>
    </w:p>
    <w:p w14:paraId="7464435D" w14:textId="48A119FE" w:rsidR="00024E48" w:rsidRPr="00EC6A08" w:rsidRDefault="00142C08"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The Stark criteria of how electors should vote appears to be valid irrespective of the type of selection system used by the Labour Party, be that the parliamentary ballots used up until 1980, and the tripartite Electoral College used between 1983 and 2010</w:t>
      </w:r>
      <w:r w:rsidR="00C64A34" w:rsidRPr="00EC6A08">
        <w:rPr>
          <w:rFonts w:ascii="Garamond" w:hAnsi="Garamond" w:cs="Times New Roman"/>
          <w:sz w:val="24"/>
          <w:szCs w:val="24"/>
        </w:rPr>
        <w:t xml:space="preserve"> </w:t>
      </w:r>
      <w:r w:rsidRPr="00EC6A08">
        <w:rPr>
          <w:rFonts w:ascii="Garamond" w:hAnsi="Garamond" w:cs="Times New Roman"/>
          <w:sz w:val="24"/>
          <w:szCs w:val="24"/>
        </w:rPr>
        <w:t xml:space="preserve">(Quinn 2012). However, the Stark </w:t>
      </w:r>
      <w:proofErr w:type="gramStart"/>
      <w:r w:rsidRPr="00EC6A08">
        <w:rPr>
          <w:rFonts w:ascii="Garamond" w:hAnsi="Garamond" w:cs="Times New Roman"/>
          <w:sz w:val="24"/>
          <w:szCs w:val="24"/>
        </w:rPr>
        <w:t>criteria appears</w:t>
      </w:r>
      <w:proofErr w:type="gramEnd"/>
      <w:r w:rsidRPr="00EC6A08">
        <w:rPr>
          <w:rFonts w:ascii="Garamond" w:hAnsi="Garamond" w:cs="Times New Roman"/>
          <w:sz w:val="24"/>
          <w:szCs w:val="24"/>
        </w:rPr>
        <w:t xml:space="preserve"> to be invalidated by the selection of Corbyn. As a habitual rebel across a range of policy issues over many decades, any attempt to demand loyalty to him from his </w:t>
      </w:r>
      <w:r w:rsidRPr="00EC6A08">
        <w:rPr>
          <w:rFonts w:ascii="Garamond" w:hAnsi="Garamond" w:cs="Times New Roman"/>
          <w:sz w:val="24"/>
          <w:szCs w:val="24"/>
        </w:rPr>
        <w:lastRenderedPageBreak/>
        <w:t xml:space="preserve">parliamentary colleagues will look hypocritical, whilst his electability and competence have also been widely questioned (Diamond </w:t>
      </w:r>
      <w:r w:rsidR="00C64A34" w:rsidRPr="00EC6A08">
        <w:rPr>
          <w:rFonts w:ascii="Garamond" w:hAnsi="Garamond" w:cs="Times New Roman"/>
          <w:sz w:val="24"/>
          <w:szCs w:val="24"/>
        </w:rPr>
        <w:t>2016</w:t>
      </w:r>
      <w:r w:rsidRPr="00EC6A08">
        <w:rPr>
          <w:rFonts w:ascii="Garamond" w:hAnsi="Garamond" w:cs="Times New Roman"/>
          <w:sz w:val="24"/>
          <w:szCs w:val="24"/>
        </w:rPr>
        <w:t xml:space="preserve">). </w:t>
      </w:r>
    </w:p>
    <w:p w14:paraId="3B462AF4" w14:textId="77777777" w:rsidR="007A3194" w:rsidRPr="00EC6A08" w:rsidRDefault="007A3194" w:rsidP="00142C08">
      <w:pPr>
        <w:spacing w:after="0" w:line="360" w:lineRule="auto"/>
        <w:contextualSpacing/>
        <w:jc w:val="both"/>
        <w:rPr>
          <w:rFonts w:ascii="Garamond" w:hAnsi="Garamond" w:cs="Times New Roman"/>
          <w:sz w:val="24"/>
          <w:szCs w:val="24"/>
        </w:rPr>
      </w:pPr>
    </w:p>
    <w:p w14:paraId="2067EFAB" w14:textId="0DEAA118" w:rsidR="00142C08" w:rsidRPr="00EC6A08" w:rsidRDefault="00142C08" w:rsidP="00142C0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However, the Stark criteria predate the new leadership selection rules that the Labour Party created in 2014, and which aid</w:t>
      </w:r>
      <w:r w:rsidR="007A3194" w:rsidRPr="00EC6A08">
        <w:rPr>
          <w:rFonts w:ascii="Garamond" w:hAnsi="Garamond" w:cs="Times New Roman"/>
          <w:sz w:val="24"/>
          <w:szCs w:val="24"/>
        </w:rPr>
        <w:t>ed</w:t>
      </w:r>
      <w:r w:rsidRPr="00EC6A08">
        <w:rPr>
          <w:rFonts w:ascii="Garamond" w:hAnsi="Garamond" w:cs="Times New Roman"/>
          <w:sz w:val="24"/>
          <w:szCs w:val="24"/>
        </w:rPr>
        <w:t xml:space="preserve"> Corbyn as an outsider candidate. The abolition of the tripartite Electoral College – built around equal weighting attached to opinion within the PLP and MEPs, the CLP, and affiliated Trade Unions – diluted the influence of elected representatives, and Corbyn would have been unable to win had this remained in place (Russell 2016, 20-2).  The new selection system was to be based on one member, one vote for three categories of members</w:t>
      </w:r>
      <w:r w:rsidRPr="00EC6A08">
        <w:rPr>
          <w:rStyle w:val="EndnoteReference"/>
          <w:rFonts w:ascii="Garamond" w:hAnsi="Garamond" w:cs="Times New Roman"/>
          <w:sz w:val="24"/>
          <w:szCs w:val="24"/>
        </w:rPr>
        <w:endnoteReference w:id="1"/>
      </w:r>
      <w:r w:rsidRPr="00EC6A08">
        <w:rPr>
          <w:rFonts w:ascii="Garamond" w:hAnsi="Garamond" w:cs="Times New Roman"/>
          <w:sz w:val="24"/>
          <w:szCs w:val="24"/>
        </w:rPr>
        <w:t xml:space="preserve"> – first, fully paid up members; second, affiliated supporters (i.e. those who were members of organisations affiliat</w:t>
      </w:r>
      <w:r w:rsidR="006937DD" w:rsidRPr="00EC6A08">
        <w:rPr>
          <w:rFonts w:ascii="Garamond" w:hAnsi="Garamond" w:cs="Times New Roman"/>
          <w:sz w:val="24"/>
          <w:szCs w:val="24"/>
        </w:rPr>
        <w:t>ed to the Labour Party such as Trade U</w:t>
      </w:r>
      <w:r w:rsidRPr="00EC6A08">
        <w:rPr>
          <w:rFonts w:ascii="Garamond" w:hAnsi="Garamond" w:cs="Times New Roman"/>
          <w:sz w:val="24"/>
          <w:szCs w:val="24"/>
        </w:rPr>
        <w:t>nions, but voting rights were</w:t>
      </w:r>
      <w:r w:rsidR="006937DD" w:rsidRPr="00EC6A08">
        <w:rPr>
          <w:rFonts w:ascii="Garamond" w:hAnsi="Garamond" w:cs="Times New Roman"/>
          <w:sz w:val="24"/>
          <w:szCs w:val="24"/>
        </w:rPr>
        <w:t xml:space="preserve"> not automatically granted via Trade U</w:t>
      </w:r>
      <w:r w:rsidRPr="00EC6A08">
        <w:rPr>
          <w:rFonts w:ascii="Garamond" w:hAnsi="Garamond" w:cs="Times New Roman"/>
          <w:sz w:val="24"/>
          <w:szCs w:val="24"/>
        </w:rPr>
        <w:t>nion membership and to participate you would need to register); and third, registered supporters (i.e. although not fully paid up members of the party, registered supporters could pay a nominal fee and declare their support of the party (Collins 2014, 23). That meant that a newly paid up registered supporter would have the same significance as one Labour parliamentarian, meaning that the balance of influence had shifted sign</w:t>
      </w:r>
      <w:r w:rsidR="006937DD" w:rsidRPr="00EC6A08">
        <w:rPr>
          <w:rFonts w:ascii="Garamond" w:hAnsi="Garamond" w:cs="Times New Roman"/>
          <w:sz w:val="24"/>
          <w:szCs w:val="24"/>
        </w:rPr>
        <w:t>ificantly from the PLP and the Trade U</w:t>
      </w:r>
      <w:r w:rsidRPr="00EC6A08">
        <w:rPr>
          <w:rFonts w:ascii="Garamond" w:hAnsi="Garamond" w:cs="Times New Roman"/>
          <w:sz w:val="24"/>
          <w:szCs w:val="24"/>
        </w:rPr>
        <w:t>nions, to the extra-parliamentary party (if even the PLP retained their gatekeeper role in terms of nominations for the standing for the leadership and in terms of activating a challenge to the incumbent</w:t>
      </w:r>
      <w:r w:rsidRPr="00EC6A08">
        <w:rPr>
          <w:rStyle w:val="EndnoteReference"/>
          <w:rFonts w:ascii="Garamond" w:hAnsi="Garamond" w:cs="Times New Roman"/>
          <w:sz w:val="24"/>
          <w:szCs w:val="24"/>
        </w:rPr>
        <w:endnoteReference w:id="2"/>
      </w:r>
      <w:r w:rsidRPr="00EC6A08">
        <w:rPr>
          <w:rFonts w:ascii="Garamond" w:hAnsi="Garamond" w:cs="Times New Roman"/>
          <w:sz w:val="24"/>
          <w:szCs w:val="24"/>
        </w:rPr>
        <w:t xml:space="preserve">, Dorey and Denham 2017). </w:t>
      </w:r>
    </w:p>
    <w:p w14:paraId="4E622BEB" w14:textId="77777777" w:rsidR="00142C08" w:rsidRPr="00EC6A08" w:rsidRDefault="00142C08" w:rsidP="00142C08">
      <w:pPr>
        <w:spacing w:after="0" w:line="360" w:lineRule="auto"/>
        <w:contextualSpacing/>
        <w:jc w:val="both"/>
        <w:rPr>
          <w:rFonts w:ascii="Garamond" w:hAnsi="Garamond" w:cs="Times New Roman"/>
          <w:sz w:val="24"/>
          <w:szCs w:val="24"/>
        </w:rPr>
      </w:pPr>
    </w:p>
    <w:p w14:paraId="6A20DFF3" w14:textId="7D32D002" w:rsidR="00D52DD4" w:rsidRPr="00EC6A08" w:rsidRDefault="00142C08"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The development of these new leadership selection rules created the opportunity for a revolt of the grassroots</w:t>
      </w:r>
      <w:r w:rsidRPr="00EC6A08">
        <w:rPr>
          <w:rStyle w:val="EndnoteReference"/>
          <w:rFonts w:ascii="Garamond" w:hAnsi="Garamond" w:cs="Times New Roman"/>
          <w:sz w:val="24"/>
          <w:szCs w:val="24"/>
        </w:rPr>
        <w:endnoteReference w:id="3"/>
      </w:r>
      <w:r w:rsidRPr="00EC6A08">
        <w:rPr>
          <w:rFonts w:ascii="Garamond" w:hAnsi="Garamond" w:cs="Times New Roman"/>
          <w:sz w:val="24"/>
          <w:szCs w:val="24"/>
        </w:rPr>
        <w:t xml:space="preserve"> that was not as feasible under the previous Electoral College system (Diamond 2016, 16-7). Corbyn was also aided by the behaviour of the PLP at the nomination stage in 2015. As it was for a vacancy</w:t>
      </w:r>
      <w:r w:rsidR="007A3194" w:rsidRPr="00EC6A08">
        <w:rPr>
          <w:rFonts w:ascii="Garamond" w:hAnsi="Garamond" w:cs="Times New Roman"/>
          <w:sz w:val="24"/>
          <w:szCs w:val="24"/>
        </w:rPr>
        <w:t>,</w:t>
      </w:r>
      <w:r w:rsidRPr="00EC6A08">
        <w:rPr>
          <w:rFonts w:ascii="Garamond" w:hAnsi="Garamond" w:cs="Times New Roman"/>
          <w:sz w:val="24"/>
          <w:szCs w:val="24"/>
        </w:rPr>
        <w:t xml:space="preserve"> candidates required 15 percent PLP support or 35 nominations in order to participate. A number of PLP members ‘lent’ their support to Corbyn to ensure that the fullest and widest debate could take place (although 35 PLP members nominated Corbyn, only 14 then actually voted for him the leadership ballot, see Dorey and Denham 2017). Their calculation was that it was cost free to allow a symbolic left wing candidate to proceed as it was inconceivable that Corbyn would win (Dorey and Denham 2017). It was this miscalculation – for which Margaret Beckett later felt she had been a ‘moron’ for doing (</w:t>
      </w:r>
      <w:proofErr w:type="spellStart"/>
      <w:r w:rsidRPr="00EC6A08">
        <w:rPr>
          <w:rFonts w:ascii="Garamond" w:hAnsi="Garamond" w:cs="Times New Roman"/>
          <w:sz w:val="24"/>
          <w:szCs w:val="24"/>
        </w:rPr>
        <w:t>Cowburn</w:t>
      </w:r>
      <w:proofErr w:type="spellEnd"/>
      <w:r w:rsidRPr="00EC6A08">
        <w:rPr>
          <w:rFonts w:ascii="Garamond" w:hAnsi="Garamond" w:cs="Times New Roman"/>
          <w:sz w:val="24"/>
          <w:szCs w:val="24"/>
        </w:rPr>
        <w:t xml:space="preserve"> 2016) – that created the opportunity for Corbyn to win and create the split electoral mandate between the PLP and the extra-parliamentary party that has been so damaging.</w:t>
      </w:r>
    </w:p>
    <w:p w14:paraId="07B7B658" w14:textId="77777777" w:rsidR="00E8681E" w:rsidRPr="00EC6A08" w:rsidRDefault="00E8681E" w:rsidP="009D073C">
      <w:pPr>
        <w:spacing w:after="0" w:line="360" w:lineRule="auto"/>
        <w:contextualSpacing/>
        <w:jc w:val="both"/>
        <w:rPr>
          <w:rFonts w:ascii="Garamond" w:hAnsi="Garamond" w:cs="Times New Roman"/>
          <w:sz w:val="24"/>
          <w:szCs w:val="24"/>
        </w:rPr>
      </w:pPr>
    </w:p>
    <w:p w14:paraId="46F85F32" w14:textId="00C55BEF" w:rsidR="009D073C" w:rsidRPr="00EC6A08" w:rsidRDefault="00F43B38" w:rsidP="00C62250">
      <w:pPr>
        <w:spacing w:after="0" w:line="360" w:lineRule="auto"/>
        <w:jc w:val="both"/>
        <w:rPr>
          <w:rFonts w:ascii="Garamond" w:hAnsi="Garamond" w:cs="Times New Roman"/>
          <w:b/>
          <w:sz w:val="24"/>
          <w:szCs w:val="24"/>
        </w:rPr>
      </w:pPr>
      <w:r w:rsidRPr="00EC6A08">
        <w:rPr>
          <w:rFonts w:ascii="Garamond" w:hAnsi="Garamond" w:cs="Times New Roman"/>
          <w:b/>
          <w:sz w:val="24"/>
          <w:szCs w:val="24"/>
        </w:rPr>
        <w:t>Hypotheses and Data Collection</w:t>
      </w:r>
    </w:p>
    <w:p w14:paraId="4168CB58" w14:textId="77777777" w:rsidR="009D073C" w:rsidRPr="00EC6A08" w:rsidRDefault="009D073C" w:rsidP="009D073C">
      <w:pPr>
        <w:spacing w:after="0" w:line="360" w:lineRule="auto"/>
        <w:jc w:val="both"/>
        <w:rPr>
          <w:rFonts w:ascii="Garamond" w:hAnsi="Garamond" w:cs="Times New Roman"/>
          <w:sz w:val="24"/>
          <w:szCs w:val="24"/>
        </w:rPr>
      </w:pPr>
    </w:p>
    <w:p w14:paraId="6C4DC210" w14:textId="77777777" w:rsidR="009D073C" w:rsidRPr="00EC6A08" w:rsidRDefault="009D073C" w:rsidP="009D073C">
      <w:pPr>
        <w:spacing w:after="0" w:line="360" w:lineRule="auto"/>
        <w:contextualSpacing/>
        <w:jc w:val="both"/>
        <w:rPr>
          <w:rFonts w:ascii="Garamond" w:hAnsi="Garamond"/>
          <w:sz w:val="24"/>
          <w:szCs w:val="24"/>
          <w:lang w:val="en"/>
        </w:rPr>
      </w:pPr>
      <w:r w:rsidRPr="00EC6A08">
        <w:rPr>
          <w:rFonts w:ascii="Garamond" w:hAnsi="Garamond"/>
          <w:sz w:val="24"/>
          <w:szCs w:val="24"/>
          <w:lang w:val="en"/>
        </w:rPr>
        <w:t>Our aim was to explore that dysfunctional relationship between Corbyn and the PLP in order to establish what binds together those that support or oppose him. In an effort to identify those correlations we put forward a range of social, political and ideological background variables that we could test.</w:t>
      </w:r>
    </w:p>
    <w:p w14:paraId="7E1ACA82" w14:textId="77777777" w:rsidR="009D073C" w:rsidRPr="00EC6A08" w:rsidRDefault="009D073C" w:rsidP="009D073C">
      <w:pPr>
        <w:spacing w:after="0" w:line="360" w:lineRule="auto"/>
        <w:contextualSpacing/>
        <w:jc w:val="both"/>
        <w:rPr>
          <w:rFonts w:ascii="Garamond" w:hAnsi="Garamond"/>
          <w:sz w:val="24"/>
          <w:szCs w:val="24"/>
          <w:lang w:val="en"/>
        </w:rPr>
      </w:pPr>
    </w:p>
    <w:p w14:paraId="64D7D03D" w14:textId="4DB39BE6" w:rsidR="009D073C" w:rsidRPr="00EC6A08" w:rsidRDefault="009D073C" w:rsidP="009D073C">
      <w:pPr>
        <w:spacing w:after="0" w:line="360" w:lineRule="auto"/>
        <w:jc w:val="both"/>
        <w:rPr>
          <w:rFonts w:ascii="Garamond" w:hAnsi="Garamond" w:cs="Times New Roman"/>
          <w:sz w:val="24"/>
          <w:szCs w:val="24"/>
        </w:rPr>
      </w:pPr>
      <w:r w:rsidRPr="00EC6A08">
        <w:rPr>
          <w:rFonts w:ascii="Garamond" w:hAnsi="Garamond" w:cs="Times New Roman"/>
          <w:sz w:val="24"/>
          <w:szCs w:val="24"/>
        </w:rPr>
        <w:t>In relation to our social background hypotheses we were influenced by t</w:t>
      </w:r>
      <w:r w:rsidR="00864CBA" w:rsidRPr="00EC6A08">
        <w:rPr>
          <w:rFonts w:ascii="Garamond" w:hAnsi="Garamond" w:cs="Times New Roman"/>
          <w:sz w:val="24"/>
          <w:szCs w:val="24"/>
        </w:rPr>
        <w:t>he following. O</w:t>
      </w:r>
      <w:r w:rsidRPr="00EC6A08">
        <w:rPr>
          <w:rFonts w:ascii="Garamond" w:hAnsi="Garamond" w:cs="Times New Roman"/>
          <w:sz w:val="24"/>
          <w:szCs w:val="24"/>
        </w:rPr>
        <w:t xml:space="preserve">pinion polling data </w:t>
      </w:r>
      <w:r w:rsidR="007A3194" w:rsidRPr="00EC6A08">
        <w:rPr>
          <w:rFonts w:ascii="Garamond" w:hAnsi="Garamond" w:cs="Times New Roman"/>
          <w:sz w:val="24"/>
          <w:szCs w:val="24"/>
        </w:rPr>
        <w:t>on age suggested</w:t>
      </w:r>
      <w:r w:rsidR="00864CBA" w:rsidRPr="00EC6A08">
        <w:rPr>
          <w:rFonts w:ascii="Garamond" w:hAnsi="Garamond" w:cs="Times New Roman"/>
          <w:sz w:val="24"/>
          <w:szCs w:val="24"/>
        </w:rPr>
        <w:t xml:space="preserve"> </w:t>
      </w:r>
      <w:r w:rsidRPr="00EC6A08">
        <w:rPr>
          <w:rFonts w:ascii="Garamond" w:hAnsi="Garamond" w:cs="Times New Roman"/>
          <w:sz w:val="24"/>
          <w:szCs w:val="24"/>
        </w:rPr>
        <w:t>that voters aged between 25 and 39 in the Labour leadership election of 2016 showed a stronger tendency towards voting Corbyn than Smith (by 63 to 36 percent) but that amongst the over 60s Corbyn held a smaller lead (55 to 44 percent) (</w:t>
      </w:r>
      <w:proofErr w:type="spellStart"/>
      <w:r w:rsidRPr="00EC6A08">
        <w:rPr>
          <w:rFonts w:ascii="Garamond" w:hAnsi="Garamond" w:cs="Times New Roman"/>
          <w:sz w:val="24"/>
          <w:szCs w:val="24"/>
        </w:rPr>
        <w:t>YouGov</w:t>
      </w:r>
      <w:proofErr w:type="spellEnd"/>
      <w:r w:rsidRPr="00EC6A08">
        <w:rPr>
          <w:rFonts w:ascii="Garamond" w:hAnsi="Garamond" w:cs="Times New Roman"/>
          <w:sz w:val="24"/>
          <w:szCs w:val="24"/>
        </w:rPr>
        <w:t xml:space="preserve"> 2016). On gender the appeal of Corbyn amongst female members was larger (64 to 35 percent) than it</w:t>
      </w:r>
      <w:r w:rsidR="00864CBA" w:rsidRPr="00EC6A08">
        <w:rPr>
          <w:rFonts w:ascii="Garamond" w:hAnsi="Garamond" w:cs="Times New Roman"/>
          <w:sz w:val="24"/>
          <w:szCs w:val="24"/>
        </w:rPr>
        <w:t xml:space="preserve"> was</w:t>
      </w:r>
      <w:r w:rsidRPr="00EC6A08">
        <w:rPr>
          <w:rFonts w:ascii="Garamond" w:hAnsi="Garamond" w:cs="Times New Roman"/>
          <w:sz w:val="24"/>
          <w:szCs w:val="24"/>
        </w:rPr>
        <w:t xml:space="preserve"> for males (53 to 46 percent). </w:t>
      </w:r>
      <w:proofErr w:type="gramStart"/>
      <w:r w:rsidRPr="00EC6A08">
        <w:rPr>
          <w:rFonts w:ascii="Garamond" w:hAnsi="Garamond" w:cs="Times New Roman"/>
          <w:sz w:val="24"/>
          <w:szCs w:val="24"/>
        </w:rPr>
        <w:t>(</w:t>
      </w:r>
      <w:proofErr w:type="spellStart"/>
      <w:r w:rsidRPr="00EC6A08">
        <w:rPr>
          <w:rFonts w:ascii="Garamond" w:hAnsi="Garamond" w:cs="Times New Roman"/>
          <w:sz w:val="24"/>
          <w:szCs w:val="24"/>
        </w:rPr>
        <w:t>YouGov</w:t>
      </w:r>
      <w:proofErr w:type="spellEnd"/>
      <w:r w:rsidRPr="00EC6A08">
        <w:rPr>
          <w:rFonts w:ascii="Garamond" w:hAnsi="Garamond" w:cs="Times New Roman"/>
          <w:sz w:val="24"/>
          <w:szCs w:val="24"/>
        </w:rPr>
        <w:t xml:space="preserve"> 2016).</w:t>
      </w:r>
      <w:proofErr w:type="gramEnd"/>
      <w:r w:rsidRPr="00EC6A08">
        <w:rPr>
          <w:rFonts w:ascii="Garamond" w:hAnsi="Garamond" w:cs="Times New Roman"/>
          <w:sz w:val="24"/>
          <w:szCs w:val="24"/>
        </w:rPr>
        <w:t xml:space="preserve"> On the basis of these two patterns we constructed the following hypotheses:  </w:t>
      </w:r>
    </w:p>
    <w:p w14:paraId="465CAD78" w14:textId="77777777" w:rsidR="009D073C" w:rsidRPr="00EC6A08" w:rsidRDefault="009D073C" w:rsidP="009D073C">
      <w:pPr>
        <w:spacing w:after="0" w:line="360" w:lineRule="auto"/>
        <w:jc w:val="both"/>
        <w:rPr>
          <w:rFonts w:ascii="Garamond" w:hAnsi="Garamond" w:cs="Times New Roman"/>
          <w:sz w:val="24"/>
          <w:szCs w:val="24"/>
        </w:rPr>
      </w:pPr>
    </w:p>
    <w:p w14:paraId="2822BEB0" w14:textId="77777777" w:rsidR="002D79F0" w:rsidRPr="00EC6A08" w:rsidRDefault="002D79F0" w:rsidP="002D79F0">
      <w:pPr>
        <w:shd w:val="clear" w:color="auto" w:fill="FFFFFF"/>
        <w:spacing w:before="240" w:line="360" w:lineRule="auto"/>
        <w:ind w:left="720"/>
        <w:contextualSpacing/>
        <w:jc w:val="both"/>
        <w:rPr>
          <w:rFonts w:ascii="Garamond" w:hAnsi="Garamond"/>
          <w:i/>
          <w:sz w:val="24"/>
          <w:szCs w:val="24"/>
        </w:rPr>
      </w:pPr>
      <w:r w:rsidRPr="00EC6A08">
        <w:rPr>
          <w:rFonts w:ascii="Garamond" w:eastAsia="Times New Roman" w:hAnsi="Garamond"/>
          <w:i/>
          <w:sz w:val="24"/>
          <w:szCs w:val="24"/>
          <w:shd w:val="clear" w:color="auto" w:fill="FFFFFF"/>
          <w:lang w:val="en" w:eastAsia="en-GB"/>
        </w:rPr>
        <w:t xml:space="preserve">[H1] On age we assume that </w:t>
      </w:r>
      <w:r w:rsidRPr="00EC6A08">
        <w:rPr>
          <w:rFonts w:ascii="Garamond" w:hAnsi="Garamond"/>
          <w:i/>
          <w:sz w:val="24"/>
          <w:szCs w:val="24"/>
        </w:rPr>
        <w:t>younger Labour parliamentarians will show a stronger likelihood for supporting Corbyn than older Labour parliamentarians.</w:t>
      </w:r>
    </w:p>
    <w:p w14:paraId="57FA1C7C" w14:textId="77777777" w:rsidR="002D79F0" w:rsidRPr="00EC6A08" w:rsidRDefault="002D79F0" w:rsidP="002D79F0">
      <w:pPr>
        <w:shd w:val="clear" w:color="auto" w:fill="FFFFFF"/>
        <w:spacing w:before="240" w:line="360" w:lineRule="auto"/>
        <w:ind w:left="720"/>
        <w:contextualSpacing/>
        <w:jc w:val="both"/>
        <w:rPr>
          <w:rFonts w:ascii="Garamond" w:eastAsia="Times New Roman" w:hAnsi="Garamond"/>
          <w:i/>
          <w:sz w:val="24"/>
          <w:szCs w:val="24"/>
          <w:shd w:val="clear" w:color="auto" w:fill="FFFFFF"/>
          <w:lang w:val="en" w:eastAsia="en-GB"/>
        </w:rPr>
      </w:pPr>
    </w:p>
    <w:p w14:paraId="3123A3E1" w14:textId="77777777" w:rsidR="002D79F0" w:rsidRPr="00EC6A08" w:rsidRDefault="002D79F0" w:rsidP="002D79F0">
      <w:pPr>
        <w:shd w:val="clear" w:color="auto" w:fill="FFFFFF"/>
        <w:spacing w:before="240" w:line="360" w:lineRule="auto"/>
        <w:ind w:left="720"/>
        <w:contextualSpacing/>
        <w:jc w:val="both"/>
        <w:rPr>
          <w:rFonts w:ascii="Garamond" w:eastAsia="Times New Roman" w:hAnsi="Garamond"/>
          <w:i/>
          <w:sz w:val="24"/>
          <w:szCs w:val="24"/>
          <w:shd w:val="clear" w:color="auto" w:fill="FFFFFF"/>
          <w:lang w:eastAsia="en-GB"/>
        </w:rPr>
      </w:pPr>
      <w:r w:rsidRPr="00EC6A08">
        <w:rPr>
          <w:rFonts w:ascii="Garamond" w:eastAsia="Times New Roman" w:hAnsi="Garamond"/>
          <w:i/>
          <w:sz w:val="24"/>
          <w:szCs w:val="24"/>
          <w:shd w:val="clear" w:color="auto" w:fill="FFFFFF"/>
          <w:lang w:val="en" w:eastAsia="en-GB"/>
        </w:rPr>
        <w:t xml:space="preserve">[H2] On gender we assume that female </w:t>
      </w:r>
      <w:r w:rsidRPr="00EC6A08">
        <w:rPr>
          <w:rFonts w:ascii="Garamond" w:hAnsi="Garamond"/>
          <w:i/>
          <w:sz w:val="24"/>
          <w:szCs w:val="24"/>
        </w:rPr>
        <w:t xml:space="preserve">Labour parliamentarians will show a stronger likelihood for supporting Corbyn than male Labour parliamentarians. </w:t>
      </w:r>
    </w:p>
    <w:p w14:paraId="5325C275"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i/>
          <w:sz w:val="24"/>
          <w:szCs w:val="24"/>
          <w:shd w:val="clear" w:color="auto" w:fill="FFFFFF"/>
          <w:lang w:eastAsia="en-GB"/>
        </w:rPr>
      </w:pPr>
    </w:p>
    <w:p w14:paraId="046A9D20" w14:textId="260A4B05" w:rsidR="00E144FB" w:rsidRPr="00EC6A08" w:rsidRDefault="00E144FB" w:rsidP="00E144F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Our political variab</w:t>
      </w:r>
      <w:r w:rsidR="00E7483A" w:rsidRPr="00EC6A08">
        <w:rPr>
          <w:rFonts w:ascii="Garamond" w:eastAsia="Times New Roman" w:hAnsi="Garamond" w:cs="Times New Roman"/>
          <w:sz w:val="24"/>
          <w:szCs w:val="24"/>
          <w:shd w:val="clear" w:color="auto" w:fill="FFFFFF"/>
          <w:lang w:eastAsia="en-GB"/>
        </w:rPr>
        <w:t xml:space="preserve">les covered year of entry and </w:t>
      </w:r>
      <w:r w:rsidRPr="00EC6A08">
        <w:rPr>
          <w:rFonts w:ascii="Garamond" w:eastAsia="Times New Roman" w:hAnsi="Garamond" w:cs="Times New Roman"/>
          <w:sz w:val="24"/>
          <w:szCs w:val="24"/>
          <w:shd w:val="clear" w:color="auto" w:fill="FFFFFF"/>
          <w:lang w:eastAsia="en-GB"/>
        </w:rPr>
        <w:t>constituency</w:t>
      </w:r>
      <w:r w:rsidR="00E7483A" w:rsidRPr="00EC6A08">
        <w:rPr>
          <w:rFonts w:ascii="Garamond" w:eastAsia="Times New Roman" w:hAnsi="Garamond" w:cs="Times New Roman"/>
          <w:sz w:val="24"/>
          <w:szCs w:val="24"/>
          <w:shd w:val="clear" w:color="auto" w:fill="FFFFFF"/>
          <w:lang w:eastAsia="en-GB"/>
        </w:rPr>
        <w:t xml:space="preserve"> influences</w:t>
      </w:r>
      <w:r w:rsidRPr="00EC6A08">
        <w:rPr>
          <w:rFonts w:ascii="Garamond" w:eastAsia="Times New Roman" w:hAnsi="Garamond" w:cs="Times New Roman"/>
          <w:sz w:val="24"/>
          <w:szCs w:val="24"/>
          <w:shd w:val="clear" w:color="auto" w:fill="FFFFFF"/>
          <w:lang w:eastAsia="en-GB"/>
        </w:rPr>
        <w:t xml:space="preserve"> – </w:t>
      </w:r>
      <w:r w:rsidR="00E7483A" w:rsidRPr="00EC6A08">
        <w:rPr>
          <w:rFonts w:ascii="Garamond" w:eastAsia="Times New Roman" w:hAnsi="Garamond" w:cs="Times New Roman"/>
          <w:sz w:val="24"/>
          <w:szCs w:val="24"/>
          <w:shd w:val="clear" w:color="auto" w:fill="FFFFFF"/>
          <w:lang w:eastAsia="en-GB"/>
        </w:rPr>
        <w:t xml:space="preserve">i.e. </w:t>
      </w:r>
      <w:r w:rsidRPr="00EC6A08">
        <w:rPr>
          <w:rFonts w:ascii="Garamond" w:eastAsia="Times New Roman" w:hAnsi="Garamond" w:cs="Times New Roman"/>
          <w:sz w:val="24"/>
          <w:szCs w:val="24"/>
          <w:shd w:val="clear" w:color="auto" w:fill="FFFFFF"/>
          <w:lang w:eastAsia="en-GB"/>
        </w:rPr>
        <w:t>region; ma</w:t>
      </w:r>
      <w:r w:rsidR="001D506C" w:rsidRPr="00EC6A08">
        <w:rPr>
          <w:rFonts w:ascii="Garamond" w:eastAsia="Times New Roman" w:hAnsi="Garamond" w:cs="Times New Roman"/>
          <w:sz w:val="24"/>
          <w:szCs w:val="24"/>
          <w:shd w:val="clear" w:color="auto" w:fill="FFFFFF"/>
          <w:lang w:eastAsia="en-GB"/>
        </w:rPr>
        <w:t>rginality; main compe</w:t>
      </w:r>
      <w:r w:rsidR="00E7483A" w:rsidRPr="00EC6A08">
        <w:rPr>
          <w:rFonts w:ascii="Garamond" w:eastAsia="Times New Roman" w:hAnsi="Garamond" w:cs="Times New Roman"/>
          <w:sz w:val="24"/>
          <w:szCs w:val="24"/>
          <w:shd w:val="clear" w:color="auto" w:fill="FFFFFF"/>
          <w:lang w:eastAsia="en-GB"/>
        </w:rPr>
        <w:t xml:space="preserve">tition, who their CLP endorsed – as well as </w:t>
      </w:r>
      <w:r w:rsidR="001D506C" w:rsidRPr="00EC6A08">
        <w:rPr>
          <w:rFonts w:ascii="Garamond" w:eastAsia="Times New Roman" w:hAnsi="Garamond" w:cs="Times New Roman"/>
          <w:sz w:val="24"/>
          <w:szCs w:val="24"/>
          <w:shd w:val="clear" w:color="auto" w:fill="FFFFFF"/>
          <w:lang w:eastAsia="en-GB"/>
        </w:rPr>
        <w:t xml:space="preserve">position </w:t>
      </w:r>
      <w:r w:rsidR="001121C2" w:rsidRPr="00EC6A08">
        <w:rPr>
          <w:rFonts w:ascii="Garamond" w:eastAsia="Times New Roman" w:hAnsi="Garamond" w:cs="Times New Roman"/>
          <w:sz w:val="24"/>
          <w:szCs w:val="24"/>
          <w:shd w:val="clear" w:color="auto" w:fill="FFFFFF"/>
          <w:lang w:eastAsia="en-GB"/>
        </w:rPr>
        <w:t>on the leaked loyalty list and Trade U</w:t>
      </w:r>
      <w:r w:rsidR="001D506C" w:rsidRPr="00EC6A08">
        <w:rPr>
          <w:rFonts w:ascii="Garamond" w:eastAsia="Times New Roman" w:hAnsi="Garamond" w:cs="Times New Roman"/>
          <w:sz w:val="24"/>
          <w:szCs w:val="24"/>
          <w:shd w:val="clear" w:color="auto" w:fill="FFFFFF"/>
          <w:lang w:eastAsia="en-GB"/>
        </w:rPr>
        <w:t>nion affiliation.</w:t>
      </w:r>
      <w:r w:rsidRPr="00EC6A08">
        <w:rPr>
          <w:rFonts w:ascii="Garamond" w:eastAsia="Times New Roman" w:hAnsi="Garamond" w:cs="Times New Roman"/>
          <w:sz w:val="24"/>
          <w:szCs w:val="24"/>
          <w:shd w:val="clear" w:color="auto" w:fill="FFFFFF"/>
          <w:lang w:eastAsia="en-GB"/>
        </w:rPr>
        <w:t xml:space="preserve"> We considered year of entry to assess a cohort effect – i.e. was it the case that those entering Parliament in the intakes of 1997, 2001 and 2005 were more modernising and Blairite, and that those for 2010 and 2015 (after the supposed discrediting of New Labour and their electoral decline) might tend more to the left. Region was of significance because of the repeated insinuation that Corbyn is too London centric and part of a narrow metropolitan liberal elite (see for example, Ramesh 2015, Wilkinson 2016 and for the wider literature on link between leadership candidates and regional appeal in Labour Party leadership contests, see Johnston, Pattie, Pemberton and Wickham-Jones 2016; and Johnston, Wickham-Jones, Pattie and </w:t>
      </w:r>
      <w:proofErr w:type="spellStart"/>
      <w:r w:rsidRPr="00EC6A08">
        <w:rPr>
          <w:rFonts w:ascii="Garamond" w:eastAsia="Times New Roman" w:hAnsi="Garamond" w:cs="Times New Roman"/>
          <w:sz w:val="24"/>
          <w:szCs w:val="24"/>
          <w:shd w:val="clear" w:color="auto" w:fill="FFFFFF"/>
          <w:lang w:eastAsia="en-GB"/>
        </w:rPr>
        <w:t>Cutts</w:t>
      </w:r>
      <w:proofErr w:type="spellEnd"/>
      <w:r w:rsidRPr="00EC6A08">
        <w:rPr>
          <w:rFonts w:ascii="Garamond" w:eastAsia="Times New Roman" w:hAnsi="Garamond" w:cs="Times New Roman"/>
          <w:sz w:val="24"/>
          <w:szCs w:val="24"/>
          <w:shd w:val="clear" w:color="auto" w:fill="FFFFFF"/>
          <w:lang w:eastAsia="en-GB"/>
        </w:rPr>
        <w:t xml:space="preserve"> 2016). </w:t>
      </w:r>
    </w:p>
    <w:p w14:paraId="091A7B97" w14:textId="77777777" w:rsidR="00E144FB" w:rsidRPr="00EC6A08" w:rsidRDefault="00E144FB" w:rsidP="00E144F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
    <w:p w14:paraId="676EFC57" w14:textId="42C308FC" w:rsidR="00545B1F" w:rsidRPr="00EC6A08" w:rsidRDefault="00E144FB" w:rsidP="00E144F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Marginality was selected on the basis that Labour parliamentarians might hold different views depending upon whether they held marginal constituencies or not. Given that the vast majority </w:t>
      </w:r>
      <w:r w:rsidRPr="00EC6A08">
        <w:rPr>
          <w:rFonts w:ascii="Garamond" w:eastAsia="Times New Roman" w:hAnsi="Garamond" w:cs="Times New Roman"/>
          <w:sz w:val="24"/>
          <w:szCs w:val="24"/>
          <w:shd w:val="clear" w:color="auto" w:fill="FFFFFF"/>
          <w:lang w:eastAsia="en-GB"/>
        </w:rPr>
        <w:lastRenderedPageBreak/>
        <w:t>of parliamentarians normally seek re-election they should be sensitive to voter opinion within their constituency, and that such sensitivity would be more significant in marginal constituencies</w:t>
      </w:r>
      <w:r w:rsidR="00482C8D" w:rsidRPr="00EC6A08">
        <w:rPr>
          <w:rStyle w:val="EndnoteReference"/>
          <w:rFonts w:ascii="Garamond" w:eastAsia="Times New Roman" w:hAnsi="Garamond" w:cs="Times New Roman"/>
          <w:sz w:val="24"/>
          <w:szCs w:val="24"/>
          <w:shd w:val="clear" w:color="auto" w:fill="FFFFFF"/>
          <w:lang w:eastAsia="en-GB"/>
        </w:rPr>
        <w:endnoteReference w:id="4"/>
      </w:r>
      <w:r w:rsidRPr="00EC6A08">
        <w:rPr>
          <w:rFonts w:ascii="Garamond" w:eastAsia="Times New Roman" w:hAnsi="Garamond" w:cs="Times New Roman"/>
          <w:sz w:val="24"/>
          <w:szCs w:val="24"/>
          <w:shd w:val="clear" w:color="auto" w:fill="FFFFFF"/>
          <w:lang w:eastAsia="en-GB"/>
        </w:rPr>
        <w:t xml:space="preserve"> (see </w:t>
      </w:r>
      <w:proofErr w:type="spellStart"/>
      <w:r w:rsidRPr="00EC6A08">
        <w:rPr>
          <w:rFonts w:ascii="Garamond" w:eastAsia="Times New Roman" w:hAnsi="Garamond" w:cs="Times New Roman"/>
          <w:sz w:val="24"/>
          <w:szCs w:val="24"/>
          <w:shd w:val="clear" w:color="auto" w:fill="FFFFFF"/>
          <w:lang w:eastAsia="en-GB"/>
        </w:rPr>
        <w:t>Matland</w:t>
      </w:r>
      <w:proofErr w:type="spellEnd"/>
      <w:r w:rsidRPr="00EC6A08">
        <w:rPr>
          <w:rFonts w:ascii="Garamond" w:eastAsia="Times New Roman" w:hAnsi="Garamond" w:cs="Times New Roman"/>
          <w:sz w:val="24"/>
          <w:szCs w:val="24"/>
          <w:shd w:val="clear" w:color="auto" w:fill="FFFFFF"/>
          <w:lang w:eastAsia="en-GB"/>
        </w:rPr>
        <w:t xml:space="preserve"> and </w:t>
      </w:r>
      <w:proofErr w:type="spellStart"/>
      <w:r w:rsidRPr="00EC6A08">
        <w:rPr>
          <w:rFonts w:ascii="Garamond" w:eastAsia="Times New Roman" w:hAnsi="Garamond" w:cs="Times New Roman"/>
          <w:sz w:val="24"/>
          <w:szCs w:val="24"/>
          <w:shd w:val="clear" w:color="auto" w:fill="FFFFFF"/>
          <w:lang w:eastAsia="en-GB"/>
        </w:rPr>
        <w:t>Studlar</w:t>
      </w:r>
      <w:proofErr w:type="spellEnd"/>
      <w:r w:rsidRPr="00EC6A08">
        <w:rPr>
          <w:rFonts w:ascii="Garamond" w:eastAsia="Times New Roman" w:hAnsi="Garamond" w:cs="Times New Roman"/>
          <w:sz w:val="24"/>
          <w:szCs w:val="24"/>
          <w:shd w:val="clear" w:color="auto" w:fill="FFFFFF"/>
          <w:lang w:eastAsia="en-GB"/>
        </w:rPr>
        <w:t xml:space="preserve"> 2004 and Baughman 2004). Not only was marginality potentially relevant to opin</w:t>
      </w:r>
      <w:r w:rsidR="007A3194" w:rsidRPr="00EC6A08">
        <w:rPr>
          <w:rFonts w:ascii="Garamond" w:eastAsia="Times New Roman" w:hAnsi="Garamond" w:cs="Times New Roman"/>
          <w:sz w:val="24"/>
          <w:szCs w:val="24"/>
          <w:shd w:val="clear" w:color="auto" w:fill="FFFFFF"/>
          <w:lang w:eastAsia="en-GB"/>
        </w:rPr>
        <w:t xml:space="preserve">ion towards the leadership, </w:t>
      </w:r>
      <w:r w:rsidRPr="00EC6A08">
        <w:rPr>
          <w:rFonts w:ascii="Garamond" w:eastAsia="Times New Roman" w:hAnsi="Garamond" w:cs="Times New Roman"/>
          <w:sz w:val="24"/>
          <w:szCs w:val="24"/>
          <w:shd w:val="clear" w:color="auto" w:fill="FFFFFF"/>
          <w:lang w:eastAsia="en-GB"/>
        </w:rPr>
        <w:t xml:space="preserve">we also assumed that incumbents might be influenced by who their main challenger was – whether an incumbent held a marginal where the threat was from the Liberal Democrats as opposed to UKIP might alter their positioning and their rhetoric on certain policy issues. </w:t>
      </w:r>
      <w:r w:rsidR="00C75804" w:rsidRPr="00EC6A08">
        <w:rPr>
          <w:rFonts w:ascii="Garamond" w:eastAsia="Times New Roman" w:hAnsi="Garamond" w:cs="Times New Roman"/>
          <w:sz w:val="24"/>
          <w:szCs w:val="24"/>
          <w:shd w:val="clear" w:color="auto" w:fill="FFFFFF"/>
          <w:lang w:eastAsia="en-GB"/>
        </w:rPr>
        <w:t>Our assumption was that if the party of the right is the main c</w:t>
      </w:r>
      <w:r w:rsidR="007E5354" w:rsidRPr="00EC6A08">
        <w:rPr>
          <w:rFonts w:ascii="Garamond" w:eastAsia="Times New Roman" w:hAnsi="Garamond" w:cs="Times New Roman"/>
          <w:sz w:val="24"/>
          <w:szCs w:val="24"/>
          <w:shd w:val="clear" w:color="auto" w:fill="FFFFFF"/>
          <w:lang w:eastAsia="en-GB"/>
        </w:rPr>
        <w:t xml:space="preserve">hallenger, then </w:t>
      </w:r>
      <w:r w:rsidR="00C75804" w:rsidRPr="00EC6A08">
        <w:rPr>
          <w:rFonts w:ascii="Garamond" w:eastAsia="Times New Roman" w:hAnsi="Garamond" w:cs="Times New Roman"/>
          <w:sz w:val="24"/>
          <w:szCs w:val="24"/>
          <w:shd w:val="clear" w:color="auto" w:fill="FFFFFF"/>
          <w:lang w:eastAsia="en-GB"/>
        </w:rPr>
        <w:t xml:space="preserve">it might be inadvisable for the incumbent to show himself/herself to be a radical leftist. </w:t>
      </w:r>
      <w:r w:rsidR="00F27E08" w:rsidRPr="00EC6A08">
        <w:rPr>
          <w:rFonts w:ascii="Garamond" w:eastAsia="Times New Roman" w:hAnsi="Garamond" w:cs="Times New Roman"/>
          <w:sz w:val="24"/>
          <w:szCs w:val="24"/>
          <w:shd w:val="clear" w:color="auto" w:fill="FFFFFF"/>
          <w:lang w:eastAsia="en-GB"/>
        </w:rPr>
        <w:t>We</w:t>
      </w:r>
      <w:r w:rsidR="001D506C" w:rsidRPr="00EC6A08">
        <w:rPr>
          <w:rFonts w:ascii="Garamond" w:eastAsia="Times New Roman" w:hAnsi="Garamond" w:cs="Times New Roman"/>
          <w:sz w:val="24"/>
          <w:szCs w:val="24"/>
          <w:shd w:val="clear" w:color="auto" w:fill="FFFFFF"/>
          <w:lang w:eastAsia="en-GB"/>
        </w:rPr>
        <w:t xml:space="preserve"> </w:t>
      </w:r>
      <w:r w:rsidRPr="00EC6A08">
        <w:rPr>
          <w:rFonts w:ascii="Garamond" w:eastAsia="Times New Roman" w:hAnsi="Garamond" w:cs="Times New Roman"/>
          <w:sz w:val="24"/>
          <w:szCs w:val="24"/>
          <w:shd w:val="clear" w:color="auto" w:fill="FFFFFF"/>
          <w:lang w:eastAsia="en-GB"/>
        </w:rPr>
        <w:t xml:space="preserve">assumed that the CLP endorsement would constitute an issue of concern for Labour parliamentarians – i.e. </w:t>
      </w:r>
      <w:r w:rsidR="00864CBA" w:rsidRPr="00EC6A08">
        <w:rPr>
          <w:rFonts w:ascii="Garamond" w:eastAsia="Times New Roman" w:hAnsi="Garamond" w:cs="Times New Roman"/>
          <w:sz w:val="24"/>
          <w:szCs w:val="24"/>
          <w:shd w:val="clear" w:color="auto" w:fill="FFFFFF"/>
          <w:lang w:eastAsia="en-GB"/>
        </w:rPr>
        <w:t xml:space="preserve">if they chose to vote against Corbyn when their CLP had endorsed him it would </w:t>
      </w:r>
      <w:r w:rsidRPr="00EC6A08">
        <w:rPr>
          <w:rFonts w:ascii="Garamond" w:eastAsia="Times New Roman" w:hAnsi="Garamond" w:cs="Times New Roman"/>
          <w:sz w:val="24"/>
          <w:szCs w:val="24"/>
          <w:shd w:val="clear" w:color="auto" w:fill="FFFFFF"/>
          <w:lang w:eastAsia="en-GB"/>
        </w:rPr>
        <w:t xml:space="preserve">increase the risk of deselection (Watts 2016). </w:t>
      </w:r>
    </w:p>
    <w:p w14:paraId="75C8F5B0" w14:textId="77777777" w:rsidR="00545B1F" w:rsidRPr="00EC6A08" w:rsidRDefault="00545B1F" w:rsidP="00E144F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
    <w:p w14:paraId="580414B7" w14:textId="076FF2A1" w:rsidR="00E144FB" w:rsidRPr="00EC6A08" w:rsidRDefault="006937DD" w:rsidP="00E144F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We</w:t>
      </w:r>
      <w:r w:rsidR="00F27E08" w:rsidRPr="00EC6A08">
        <w:rPr>
          <w:rFonts w:ascii="Garamond" w:eastAsia="Times New Roman" w:hAnsi="Garamond" w:cs="Times New Roman"/>
          <w:sz w:val="24"/>
          <w:szCs w:val="24"/>
          <w:shd w:val="clear" w:color="auto" w:fill="FFFFFF"/>
          <w:lang w:eastAsia="en-GB"/>
        </w:rPr>
        <w:t xml:space="preserve"> include</w:t>
      </w:r>
      <w:r w:rsidRPr="00EC6A08">
        <w:rPr>
          <w:rFonts w:ascii="Garamond" w:eastAsia="Times New Roman" w:hAnsi="Garamond" w:cs="Times New Roman"/>
          <w:sz w:val="24"/>
          <w:szCs w:val="24"/>
          <w:shd w:val="clear" w:color="auto" w:fill="FFFFFF"/>
          <w:lang w:eastAsia="en-GB"/>
        </w:rPr>
        <w:t>d</w:t>
      </w:r>
      <w:r w:rsidR="00F27E08" w:rsidRPr="00EC6A08">
        <w:rPr>
          <w:rFonts w:ascii="Garamond" w:eastAsia="Times New Roman" w:hAnsi="Garamond" w:cs="Times New Roman"/>
          <w:sz w:val="24"/>
          <w:szCs w:val="24"/>
          <w:shd w:val="clear" w:color="auto" w:fill="FFFFFF"/>
          <w:lang w:eastAsia="en-GB"/>
        </w:rPr>
        <w:t xml:space="preserve"> the leaked loyalty list</w:t>
      </w:r>
      <w:r w:rsidR="00742317" w:rsidRPr="00EC6A08">
        <w:rPr>
          <w:rFonts w:ascii="Garamond" w:eastAsia="Times New Roman" w:hAnsi="Garamond" w:cs="Times New Roman"/>
          <w:sz w:val="24"/>
          <w:szCs w:val="24"/>
          <w:shd w:val="clear" w:color="auto" w:fill="FFFFFF"/>
          <w:lang w:eastAsia="en-GB"/>
        </w:rPr>
        <w:t xml:space="preserve"> (compiled by Corbyn’s </w:t>
      </w:r>
      <w:r w:rsidR="00D52DD4" w:rsidRPr="00EC6A08">
        <w:rPr>
          <w:rFonts w:ascii="Garamond" w:eastAsia="Times New Roman" w:hAnsi="Garamond" w:cs="Times New Roman"/>
          <w:sz w:val="24"/>
          <w:szCs w:val="24"/>
          <w:shd w:val="clear" w:color="auto" w:fill="FFFFFF"/>
          <w:lang w:eastAsia="en-GB"/>
        </w:rPr>
        <w:t xml:space="preserve">inner circle) </w:t>
      </w:r>
      <w:r w:rsidR="00F27E08" w:rsidRPr="00EC6A08">
        <w:rPr>
          <w:rFonts w:ascii="Garamond" w:eastAsia="Times New Roman" w:hAnsi="Garamond" w:cs="Times New Roman"/>
          <w:sz w:val="24"/>
          <w:szCs w:val="24"/>
          <w:shd w:val="clear" w:color="auto" w:fill="FFFFFF"/>
          <w:lang w:eastAsia="en-GB"/>
        </w:rPr>
        <w:t xml:space="preserve">to see how </w:t>
      </w:r>
      <w:r w:rsidR="0098258D" w:rsidRPr="00EC6A08">
        <w:rPr>
          <w:rFonts w:ascii="Garamond" w:eastAsia="Times New Roman" w:hAnsi="Garamond" w:cs="Times New Roman"/>
          <w:sz w:val="24"/>
          <w:szCs w:val="24"/>
          <w:shd w:val="clear" w:color="auto" w:fill="FFFFFF"/>
          <w:lang w:eastAsia="en-GB"/>
        </w:rPr>
        <w:t xml:space="preserve">positioning on the list – whether loyalist, neutral or hostile </w:t>
      </w:r>
      <w:r w:rsidR="00742317" w:rsidRPr="00EC6A08">
        <w:rPr>
          <w:rFonts w:ascii="Garamond" w:eastAsia="Times New Roman" w:hAnsi="Garamond" w:cs="Times New Roman"/>
          <w:sz w:val="24"/>
          <w:szCs w:val="24"/>
          <w:shd w:val="clear" w:color="auto" w:fill="FFFFFF"/>
          <w:lang w:eastAsia="en-GB"/>
        </w:rPr>
        <w:t>– mapped onto positioning on the confidence motion</w:t>
      </w:r>
      <w:r w:rsidR="00742317" w:rsidRPr="00EC6A08">
        <w:rPr>
          <w:rFonts w:ascii="Garamond" w:hAnsi="Garamond"/>
          <w:sz w:val="24"/>
          <w:szCs w:val="24"/>
          <w:lang w:val="en"/>
        </w:rPr>
        <w:t xml:space="preserve"> (Asthana and Stewart, 2016)</w:t>
      </w:r>
      <w:r w:rsidR="00545B1F" w:rsidRPr="00EC6A08">
        <w:rPr>
          <w:rFonts w:ascii="Garamond" w:eastAsia="Times New Roman" w:hAnsi="Garamond" w:cs="Times New Roman"/>
          <w:sz w:val="24"/>
          <w:szCs w:val="24"/>
          <w:shd w:val="clear" w:color="auto" w:fill="FFFFFF"/>
          <w:lang w:eastAsia="en-GB"/>
        </w:rPr>
        <w:t>. W</w:t>
      </w:r>
      <w:r w:rsidR="00742317" w:rsidRPr="00EC6A08">
        <w:rPr>
          <w:rFonts w:ascii="Garamond" w:eastAsia="Times New Roman" w:hAnsi="Garamond" w:cs="Times New Roman"/>
          <w:sz w:val="24"/>
          <w:szCs w:val="24"/>
          <w:shd w:val="clear" w:color="auto" w:fill="FFFFFF"/>
          <w:lang w:eastAsia="en-GB"/>
        </w:rPr>
        <w:t>e also thought its inclusion as part of the dataset</w:t>
      </w:r>
      <w:r w:rsidRPr="00EC6A08">
        <w:rPr>
          <w:rFonts w:ascii="Garamond" w:eastAsia="Times New Roman" w:hAnsi="Garamond" w:cs="Times New Roman"/>
          <w:sz w:val="24"/>
          <w:szCs w:val="24"/>
          <w:shd w:val="clear" w:color="auto" w:fill="FFFFFF"/>
          <w:lang w:eastAsia="en-GB"/>
        </w:rPr>
        <w:t xml:space="preserve"> of</w:t>
      </w:r>
      <w:r w:rsidR="00742317" w:rsidRPr="00EC6A08">
        <w:rPr>
          <w:rFonts w:ascii="Garamond" w:eastAsia="Times New Roman" w:hAnsi="Garamond" w:cs="Times New Roman"/>
          <w:sz w:val="24"/>
          <w:szCs w:val="24"/>
          <w:shd w:val="clear" w:color="auto" w:fill="FFFFFF"/>
          <w:lang w:eastAsia="en-GB"/>
        </w:rPr>
        <w:t xml:space="preserve"> ideological variables, might help us to understand the emergence of d</w:t>
      </w:r>
      <w:r w:rsidR="00DE428B" w:rsidRPr="00EC6A08">
        <w:rPr>
          <w:rFonts w:ascii="Garamond" w:eastAsia="Times New Roman" w:hAnsi="Garamond" w:cs="Times New Roman"/>
          <w:sz w:val="24"/>
          <w:szCs w:val="24"/>
          <w:shd w:val="clear" w:color="auto" w:fill="FFFFFF"/>
          <w:lang w:eastAsia="en-GB"/>
        </w:rPr>
        <w:t>istinctive ideological</w:t>
      </w:r>
      <w:r w:rsidR="00D756B6" w:rsidRPr="00EC6A08">
        <w:rPr>
          <w:rFonts w:ascii="Garamond" w:eastAsia="Times New Roman" w:hAnsi="Garamond" w:cs="Times New Roman"/>
          <w:sz w:val="24"/>
          <w:szCs w:val="24"/>
          <w:shd w:val="clear" w:color="auto" w:fill="FFFFFF"/>
          <w:lang w:eastAsia="en-GB"/>
        </w:rPr>
        <w:t xml:space="preserve"> groupings within the PLP. Could we find evidence of ‘factions’ in line with the classic Rose definition – i.e. an ‘ideologically motivated’ and ‘bound together’ group that is ‘cohesive’ and ‘disciplined’</w:t>
      </w:r>
      <w:r w:rsidR="00DB351B" w:rsidRPr="00EC6A08">
        <w:rPr>
          <w:rFonts w:ascii="Garamond" w:eastAsia="Times New Roman" w:hAnsi="Garamond" w:cs="Times New Roman"/>
          <w:sz w:val="24"/>
          <w:szCs w:val="24"/>
          <w:shd w:val="clear" w:color="auto" w:fill="FFFFFF"/>
          <w:lang w:eastAsia="en-GB"/>
        </w:rPr>
        <w:t>?</w:t>
      </w:r>
      <w:r w:rsidR="00D756B6" w:rsidRPr="00EC6A08">
        <w:rPr>
          <w:rFonts w:ascii="Garamond" w:eastAsia="Times New Roman" w:hAnsi="Garamond" w:cs="Times New Roman"/>
          <w:sz w:val="24"/>
          <w:szCs w:val="24"/>
          <w:shd w:val="clear" w:color="auto" w:fill="FFFFFF"/>
          <w:lang w:eastAsia="en-GB"/>
        </w:rPr>
        <w:t xml:space="preserve"> (Rose, 1964, 37) Or was it characterised by the looser definition of ‘tendencies’, i.e. in which parli</w:t>
      </w:r>
      <w:r w:rsidR="009F3D1A" w:rsidRPr="00EC6A08">
        <w:rPr>
          <w:rFonts w:ascii="Garamond" w:eastAsia="Times New Roman" w:hAnsi="Garamond" w:cs="Times New Roman"/>
          <w:sz w:val="24"/>
          <w:szCs w:val="24"/>
          <w:shd w:val="clear" w:color="auto" w:fill="FFFFFF"/>
          <w:lang w:eastAsia="en-GB"/>
        </w:rPr>
        <w:t>amentarians can coalesce</w:t>
      </w:r>
      <w:r w:rsidR="001D628C" w:rsidRPr="00EC6A08">
        <w:rPr>
          <w:rFonts w:ascii="Garamond" w:eastAsia="Times New Roman" w:hAnsi="Garamond" w:cs="Times New Roman"/>
          <w:sz w:val="24"/>
          <w:szCs w:val="24"/>
          <w:shd w:val="clear" w:color="auto" w:fill="FFFFFF"/>
          <w:lang w:eastAsia="en-GB"/>
        </w:rPr>
        <w:t>, (</w:t>
      </w:r>
      <w:r w:rsidR="009F3D1A" w:rsidRPr="00EC6A08">
        <w:rPr>
          <w:rFonts w:ascii="Garamond" w:eastAsia="Times New Roman" w:hAnsi="Garamond" w:cs="Times New Roman"/>
          <w:sz w:val="24"/>
          <w:szCs w:val="24"/>
          <w:shd w:val="clear" w:color="auto" w:fill="FFFFFF"/>
          <w:lang w:eastAsia="en-GB"/>
        </w:rPr>
        <w:t>or not</w:t>
      </w:r>
      <w:r w:rsidR="001D628C" w:rsidRPr="00EC6A08">
        <w:rPr>
          <w:rFonts w:ascii="Garamond" w:eastAsia="Times New Roman" w:hAnsi="Garamond" w:cs="Times New Roman"/>
          <w:sz w:val="24"/>
          <w:szCs w:val="24"/>
          <w:shd w:val="clear" w:color="auto" w:fill="FFFFFF"/>
          <w:lang w:eastAsia="en-GB"/>
        </w:rPr>
        <w:t>),</w:t>
      </w:r>
      <w:r w:rsidR="00D756B6" w:rsidRPr="00EC6A08">
        <w:rPr>
          <w:rFonts w:ascii="Garamond" w:eastAsia="Times New Roman" w:hAnsi="Garamond" w:cs="Times New Roman"/>
          <w:sz w:val="24"/>
          <w:szCs w:val="24"/>
          <w:shd w:val="clear" w:color="auto" w:fill="FFFFFF"/>
          <w:lang w:eastAsia="en-GB"/>
        </w:rPr>
        <w:t xml:space="preserve"> depending on the issue and thus they amount to ad hoc alliances? </w:t>
      </w:r>
      <w:proofErr w:type="gramStart"/>
      <w:r w:rsidR="00D756B6" w:rsidRPr="00EC6A08">
        <w:rPr>
          <w:rFonts w:ascii="Garamond" w:eastAsia="Times New Roman" w:hAnsi="Garamond" w:cs="Times New Roman"/>
          <w:sz w:val="24"/>
          <w:szCs w:val="24"/>
          <w:shd w:val="clear" w:color="auto" w:fill="FFFFFF"/>
          <w:lang w:eastAsia="en-GB"/>
        </w:rPr>
        <w:t>(Rose, 1964, 38).</w:t>
      </w:r>
      <w:proofErr w:type="gramEnd"/>
      <w:r w:rsidR="00D756B6" w:rsidRPr="00EC6A08">
        <w:rPr>
          <w:rFonts w:ascii="Garamond" w:eastAsia="Times New Roman" w:hAnsi="Garamond" w:cs="Times New Roman"/>
          <w:sz w:val="24"/>
          <w:szCs w:val="24"/>
          <w:shd w:val="clear" w:color="auto" w:fill="FFFFFF"/>
          <w:lang w:eastAsia="en-GB"/>
        </w:rPr>
        <w:t xml:space="preserve"> Beyond that we focused on </w:t>
      </w:r>
      <w:r w:rsidR="001121C2" w:rsidRPr="00EC6A08">
        <w:rPr>
          <w:rFonts w:ascii="Garamond" w:eastAsia="Times New Roman" w:hAnsi="Garamond" w:cs="Times New Roman"/>
          <w:sz w:val="24"/>
          <w:szCs w:val="24"/>
          <w:shd w:val="clear" w:color="auto" w:fill="FFFFFF"/>
          <w:lang w:eastAsia="en-GB"/>
        </w:rPr>
        <w:t>Trade U</w:t>
      </w:r>
      <w:r w:rsidR="00A23ADB" w:rsidRPr="00EC6A08">
        <w:rPr>
          <w:rFonts w:ascii="Garamond" w:eastAsia="Times New Roman" w:hAnsi="Garamond" w:cs="Times New Roman"/>
          <w:sz w:val="24"/>
          <w:szCs w:val="24"/>
          <w:shd w:val="clear" w:color="auto" w:fill="FFFFFF"/>
          <w:lang w:eastAsia="en-GB"/>
        </w:rPr>
        <w:t xml:space="preserve">nion membership </w:t>
      </w:r>
      <w:r w:rsidR="00D756B6" w:rsidRPr="00EC6A08">
        <w:rPr>
          <w:rFonts w:ascii="Garamond" w:eastAsia="Times New Roman" w:hAnsi="Garamond" w:cs="Times New Roman"/>
          <w:sz w:val="24"/>
          <w:szCs w:val="24"/>
          <w:shd w:val="clear" w:color="auto" w:fill="FFFFFF"/>
          <w:lang w:eastAsia="en-GB"/>
        </w:rPr>
        <w:t xml:space="preserve">as it </w:t>
      </w:r>
      <w:r w:rsidR="00A23ADB" w:rsidRPr="00EC6A08">
        <w:rPr>
          <w:rFonts w:ascii="Garamond" w:eastAsia="Times New Roman" w:hAnsi="Garamond" w:cs="Times New Roman"/>
          <w:sz w:val="24"/>
          <w:szCs w:val="24"/>
          <w:shd w:val="clear" w:color="auto" w:fill="FFFFFF"/>
          <w:lang w:eastAsia="en-GB"/>
        </w:rPr>
        <w:t>could also be important given the strong defence of the historical link between the Labour Party and trade</w:t>
      </w:r>
      <w:r w:rsidR="00512A94" w:rsidRPr="00EC6A08">
        <w:rPr>
          <w:rFonts w:ascii="Garamond" w:eastAsia="Times New Roman" w:hAnsi="Garamond" w:cs="Times New Roman"/>
          <w:sz w:val="24"/>
          <w:szCs w:val="24"/>
          <w:shd w:val="clear" w:color="auto" w:fill="FFFFFF"/>
          <w:lang w:eastAsia="en-GB"/>
        </w:rPr>
        <w:t xml:space="preserve"> unionism made by Corbyn (Corbyn, 2016</w:t>
      </w:r>
      <w:r w:rsidR="00A23ADB" w:rsidRPr="00EC6A08">
        <w:rPr>
          <w:rFonts w:ascii="Garamond" w:eastAsia="Times New Roman" w:hAnsi="Garamond" w:cs="Times New Roman"/>
          <w:sz w:val="24"/>
          <w:szCs w:val="24"/>
          <w:shd w:val="clear" w:color="auto" w:fill="FFFFFF"/>
          <w:lang w:eastAsia="en-GB"/>
        </w:rPr>
        <w:t>), and the association between loosening the ties that characterised those of a New La</w:t>
      </w:r>
      <w:r w:rsidR="004A3B87" w:rsidRPr="00EC6A08">
        <w:rPr>
          <w:rFonts w:ascii="Garamond" w:eastAsia="Times New Roman" w:hAnsi="Garamond" w:cs="Times New Roman"/>
          <w:sz w:val="24"/>
          <w:szCs w:val="24"/>
          <w:shd w:val="clear" w:color="auto" w:fill="FFFFFF"/>
          <w:lang w:eastAsia="en-GB"/>
        </w:rPr>
        <w:t>bour persuasion (see Cou</w:t>
      </w:r>
      <w:r w:rsidR="00DA135B" w:rsidRPr="00EC6A08">
        <w:rPr>
          <w:rFonts w:ascii="Garamond" w:eastAsia="Times New Roman" w:hAnsi="Garamond" w:cs="Times New Roman"/>
          <w:sz w:val="24"/>
          <w:szCs w:val="24"/>
          <w:shd w:val="clear" w:color="auto" w:fill="FFFFFF"/>
          <w:lang w:eastAsia="en-GB"/>
        </w:rPr>
        <w:t>l</w:t>
      </w:r>
      <w:r w:rsidR="004A3B87" w:rsidRPr="00EC6A08">
        <w:rPr>
          <w:rFonts w:ascii="Garamond" w:eastAsia="Times New Roman" w:hAnsi="Garamond" w:cs="Times New Roman"/>
          <w:sz w:val="24"/>
          <w:szCs w:val="24"/>
          <w:shd w:val="clear" w:color="auto" w:fill="FFFFFF"/>
          <w:lang w:eastAsia="en-GB"/>
        </w:rPr>
        <w:t>ter, 2014).</w:t>
      </w:r>
      <w:r w:rsidR="00A23ADB" w:rsidRPr="00EC6A08">
        <w:rPr>
          <w:rFonts w:ascii="Garamond" w:eastAsia="Times New Roman" w:hAnsi="Garamond" w:cs="Times New Roman"/>
          <w:sz w:val="24"/>
          <w:szCs w:val="24"/>
          <w:shd w:val="clear" w:color="auto" w:fill="FFFFFF"/>
          <w:lang w:eastAsia="en-GB"/>
        </w:rPr>
        <w:t xml:space="preserve"> </w:t>
      </w:r>
      <w:r w:rsidR="00E144FB" w:rsidRPr="00EC6A08">
        <w:rPr>
          <w:rFonts w:ascii="Garamond" w:eastAsia="Times New Roman" w:hAnsi="Garamond" w:cs="Times New Roman"/>
          <w:sz w:val="24"/>
          <w:szCs w:val="24"/>
          <w:shd w:val="clear" w:color="auto" w:fill="FFFFFF"/>
          <w:lang w:eastAsia="en-GB"/>
        </w:rPr>
        <w:t xml:space="preserve">On the basis of the above we constructed the following political background based hypotheses: </w:t>
      </w:r>
    </w:p>
    <w:p w14:paraId="52BFD6BE" w14:textId="77777777" w:rsidR="00512A94" w:rsidRPr="00EC6A08" w:rsidRDefault="00512A94" w:rsidP="00E144FB">
      <w:pPr>
        <w:shd w:val="clear" w:color="auto" w:fill="FFFFFF"/>
        <w:spacing w:before="240" w:line="360" w:lineRule="auto"/>
        <w:contextualSpacing/>
        <w:jc w:val="both"/>
        <w:rPr>
          <w:rFonts w:ascii="Garamond" w:eastAsia="Times New Roman" w:hAnsi="Garamond" w:cs="Times New Roman"/>
          <w:i/>
          <w:sz w:val="24"/>
          <w:szCs w:val="24"/>
          <w:shd w:val="clear" w:color="auto" w:fill="FFFFFF"/>
          <w:lang w:eastAsia="en-GB"/>
        </w:rPr>
      </w:pPr>
    </w:p>
    <w:p w14:paraId="7CABE23E" w14:textId="2092C677"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 xml:space="preserve">[H3] On year of entry we assume that the post-New Labour parliamentary cohorts of 2010 and 2015 will show a stronger likelihood for supporting Corbyn than other cohorts of Labour parliamentarians. </w:t>
      </w:r>
    </w:p>
    <w:p w14:paraId="6913634D" w14:textId="77777777"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27D567B3" w14:textId="2A58C735"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[H4] On region we assume that those parliamentarians from London based constituencies will show a stronger likelihood for supporting Corbyn than non-London constituency based parliamentarians.</w:t>
      </w:r>
    </w:p>
    <w:p w14:paraId="40F818FE" w14:textId="77777777"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08E38F62" w14:textId="48F56432"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 xml:space="preserve">[H5] On marginality we assume that those with safer seats (i.e. larger majorities) will show a stronger likelihood for supporting Corbyn than those with smaller majorities. </w:t>
      </w:r>
    </w:p>
    <w:p w14:paraId="1D00648A" w14:textId="77777777"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331DD5FB" w14:textId="067C0E7A" w:rsidR="00E144FB" w:rsidRPr="00EC6A08" w:rsidRDefault="00E144FB" w:rsidP="00E144FB">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 xml:space="preserve">[H6] On constituency competition we assume that those whose main competition is the Conservatives will show a weaker likelihood for supporting Corbyn than those with constituencies which do not have the Conservatives in second place. </w:t>
      </w:r>
    </w:p>
    <w:p w14:paraId="1AA6BB7A" w14:textId="7F96D8A9" w:rsidR="00E144FB" w:rsidRPr="00EC6A08" w:rsidRDefault="00E144FB" w:rsidP="00E144FB">
      <w:pPr>
        <w:shd w:val="clear" w:color="auto" w:fill="FFFFFF"/>
        <w:spacing w:before="240" w:line="360" w:lineRule="auto"/>
        <w:contextualSpacing/>
        <w:jc w:val="both"/>
        <w:rPr>
          <w:rFonts w:ascii="Garamond" w:eastAsia="Times New Roman" w:hAnsi="Garamond"/>
          <w:i/>
          <w:shd w:val="clear" w:color="auto" w:fill="FFFFFF"/>
          <w:lang w:eastAsia="en-GB"/>
        </w:rPr>
      </w:pPr>
    </w:p>
    <w:p w14:paraId="7B403F5B" w14:textId="77777777" w:rsidR="002D79F0" w:rsidRPr="00EC6A08" w:rsidRDefault="00E144FB" w:rsidP="002D79F0">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 xml:space="preserve">[H7] On constituency Labour Party endorsements we assume that Labour parliamentarians </w:t>
      </w:r>
      <w:proofErr w:type="gramStart"/>
      <w:r w:rsidRPr="00EC6A08">
        <w:rPr>
          <w:rFonts w:ascii="Garamond" w:eastAsia="Times New Roman" w:hAnsi="Garamond" w:cs="Times New Roman"/>
          <w:i/>
          <w:sz w:val="24"/>
          <w:szCs w:val="24"/>
          <w:shd w:val="clear" w:color="auto" w:fill="FFFFFF"/>
          <w:lang w:eastAsia="en-GB"/>
        </w:rPr>
        <w:t>whose</w:t>
      </w:r>
      <w:proofErr w:type="gramEnd"/>
      <w:r w:rsidRPr="00EC6A08">
        <w:rPr>
          <w:rFonts w:ascii="Garamond" w:eastAsia="Times New Roman" w:hAnsi="Garamond" w:cs="Times New Roman"/>
          <w:i/>
          <w:sz w:val="24"/>
          <w:szCs w:val="24"/>
          <w:shd w:val="clear" w:color="auto" w:fill="FFFFFF"/>
          <w:lang w:eastAsia="en-GB"/>
        </w:rPr>
        <w:t xml:space="preserve"> CLP endorse Corbyn will show a stronger likelihood for endorsing Corbyn than those CLPs who endorsed Smith. </w:t>
      </w:r>
    </w:p>
    <w:p w14:paraId="7CB21D93" w14:textId="77777777" w:rsidR="002D79F0" w:rsidRPr="00EC6A08" w:rsidRDefault="002D79F0" w:rsidP="002D79F0">
      <w:pPr>
        <w:shd w:val="clear" w:color="auto" w:fill="FFFFFF"/>
        <w:spacing w:before="240" w:line="360" w:lineRule="auto"/>
        <w:ind w:left="720"/>
        <w:contextualSpacing/>
        <w:jc w:val="both"/>
        <w:rPr>
          <w:rFonts w:ascii="Garamond" w:hAnsi="Garamond"/>
          <w:b/>
          <w:i/>
          <w:iCs/>
          <w:shd w:val="clear" w:color="auto" w:fill="FFFFFF"/>
        </w:rPr>
      </w:pPr>
    </w:p>
    <w:p w14:paraId="63EE1F5C" w14:textId="2818F426" w:rsidR="002D79F0" w:rsidRPr="00EC6A08" w:rsidRDefault="002D79F0" w:rsidP="002D79F0">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hAnsi="Garamond"/>
          <w:i/>
          <w:iCs/>
          <w:sz w:val="24"/>
          <w:szCs w:val="24"/>
          <w:shd w:val="clear" w:color="auto" w:fill="FFFFFF"/>
        </w:rPr>
        <w:t xml:space="preserve">[H8] On loyalty list placement, we assume that those who were placed in the loyal category would show a stronger likelihood for endorsing Corbyn than those who were labelled neutral or negative. </w:t>
      </w:r>
    </w:p>
    <w:p w14:paraId="582587FD" w14:textId="77777777" w:rsidR="002D79F0" w:rsidRPr="00EC6A08" w:rsidRDefault="002D79F0" w:rsidP="002D79F0">
      <w:pPr>
        <w:shd w:val="clear" w:color="auto" w:fill="FFFFFF"/>
        <w:spacing w:before="240" w:line="360" w:lineRule="auto"/>
        <w:ind w:left="720"/>
        <w:contextualSpacing/>
        <w:jc w:val="both"/>
        <w:rPr>
          <w:rFonts w:ascii="Garamond" w:eastAsia="Times New Roman" w:hAnsi="Garamond"/>
          <w:i/>
          <w:sz w:val="24"/>
          <w:szCs w:val="24"/>
          <w:shd w:val="clear" w:color="auto" w:fill="FFFFFF"/>
          <w:lang w:eastAsia="en-GB"/>
        </w:rPr>
      </w:pPr>
    </w:p>
    <w:p w14:paraId="4135E656" w14:textId="247E7E90" w:rsidR="002D79F0" w:rsidRPr="00EC6A08" w:rsidRDefault="001121C2" w:rsidP="002D79F0">
      <w:pPr>
        <w:shd w:val="clear" w:color="auto" w:fill="FFFFFF"/>
        <w:spacing w:before="240" w:line="360" w:lineRule="auto"/>
        <w:ind w:left="720"/>
        <w:contextualSpacing/>
        <w:jc w:val="both"/>
        <w:rPr>
          <w:rFonts w:ascii="Garamond" w:eastAsia="Times New Roman" w:hAnsi="Garamond"/>
          <w:i/>
          <w:sz w:val="24"/>
          <w:szCs w:val="24"/>
          <w:shd w:val="clear" w:color="auto" w:fill="FFFFFF"/>
          <w:lang w:eastAsia="en-GB"/>
        </w:rPr>
      </w:pPr>
      <w:r w:rsidRPr="00EC6A08">
        <w:rPr>
          <w:rFonts w:ascii="Garamond" w:eastAsia="Times New Roman" w:hAnsi="Garamond"/>
          <w:i/>
          <w:sz w:val="24"/>
          <w:szCs w:val="24"/>
          <w:shd w:val="clear" w:color="auto" w:fill="FFFFFF"/>
          <w:lang w:eastAsia="en-GB"/>
        </w:rPr>
        <w:t>[H9] On Trade U</w:t>
      </w:r>
      <w:r w:rsidR="002D79F0" w:rsidRPr="00EC6A08">
        <w:rPr>
          <w:rFonts w:ascii="Garamond" w:eastAsia="Times New Roman" w:hAnsi="Garamond"/>
          <w:i/>
          <w:sz w:val="24"/>
          <w:szCs w:val="24"/>
          <w:shd w:val="clear" w:color="auto" w:fill="FFFFFF"/>
          <w:lang w:eastAsia="en-GB"/>
        </w:rPr>
        <w:t xml:space="preserve">nion membership we assume that those </w:t>
      </w:r>
      <w:r w:rsidR="006109C8" w:rsidRPr="00EC6A08">
        <w:rPr>
          <w:rFonts w:ascii="Garamond" w:eastAsia="Times New Roman" w:hAnsi="Garamond"/>
          <w:i/>
          <w:sz w:val="24"/>
          <w:szCs w:val="24"/>
          <w:shd w:val="clear" w:color="auto" w:fill="FFFFFF"/>
          <w:lang w:eastAsia="en-GB"/>
        </w:rPr>
        <w:t xml:space="preserve">who are members of a </w:t>
      </w:r>
      <w:r w:rsidR="002D79F0" w:rsidRPr="00EC6A08">
        <w:rPr>
          <w:rFonts w:ascii="Garamond" w:eastAsia="Times New Roman" w:hAnsi="Garamond"/>
          <w:i/>
          <w:sz w:val="24"/>
          <w:szCs w:val="24"/>
          <w:shd w:val="clear" w:color="auto" w:fill="FFFFFF"/>
          <w:lang w:eastAsia="en-GB"/>
        </w:rPr>
        <w:t>union will show a stronger likelihood for supporting Corbyn than those Labour parliamentarians who are not members.</w:t>
      </w:r>
    </w:p>
    <w:p w14:paraId="333164A8" w14:textId="77777777" w:rsidR="002D79F0" w:rsidRPr="00EC6A08" w:rsidRDefault="002D79F0" w:rsidP="009D073C">
      <w:pPr>
        <w:shd w:val="clear" w:color="auto" w:fill="FFFFFF"/>
        <w:spacing w:before="240" w:line="360" w:lineRule="auto"/>
        <w:contextualSpacing/>
        <w:jc w:val="both"/>
        <w:rPr>
          <w:rFonts w:ascii="Garamond" w:eastAsia="Times New Roman" w:hAnsi="Garamond" w:cs="Times New Roman"/>
          <w:i/>
          <w:sz w:val="24"/>
          <w:szCs w:val="24"/>
          <w:shd w:val="clear" w:color="auto" w:fill="FFFFFF"/>
          <w:lang w:eastAsia="en-GB"/>
        </w:rPr>
      </w:pPr>
    </w:p>
    <w:p w14:paraId="0A17B1AD" w14:textId="60471F5B" w:rsidR="00CA07D2" w:rsidRPr="00EC6A08" w:rsidRDefault="00E144FB"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Our</w:t>
      </w:r>
      <w:r w:rsidR="009D073C" w:rsidRPr="00EC6A08">
        <w:rPr>
          <w:rFonts w:ascii="Garamond" w:eastAsia="Times New Roman" w:hAnsi="Garamond" w:cs="Times New Roman"/>
          <w:sz w:val="24"/>
          <w:szCs w:val="24"/>
          <w:shd w:val="clear" w:color="auto" w:fill="FFFFFF"/>
          <w:lang w:eastAsia="en-GB"/>
        </w:rPr>
        <w:t xml:space="preserve"> ideological </w:t>
      </w:r>
      <w:r w:rsidR="00D52DD4" w:rsidRPr="00EC6A08">
        <w:rPr>
          <w:rFonts w:ascii="Garamond" w:eastAsia="Times New Roman" w:hAnsi="Garamond" w:cs="Times New Roman"/>
          <w:sz w:val="24"/>
          <w:szCs w:val="24"/>
          <w:shd w:val="clear" w:color="auto" w:fill="FFFFFF"/>
          <w:lang w:eastAsia="en-GB"/>
        </w:rPr>
        <w:t>distinctions were EU</w:t>
      </w:r>
      <w:r w:rsidR="009D073C" w:rsidRPr="00EC6A08">
        <w:rPr>
          <w:rFonts w:ascii="Garamond" w:eastAsia="Times New Roman" w:hAnsi="Garamond" w:cs="Times New Roman"/>
          <w:sz w:val="24"/>
          <w:szCs w:val="24"/>
          <w:shd w:val="clear" w:color="auto" w:fill="FFFFFF"/>
          <w:lang w:eastAsia="en-GB"/>
        </w:rPr>
        <w:t xml:space="preserve"> membership, immigration, intervention in Syria and Trident renewal. The various </w:t>
      </w:r>
      <w:r w:rsidR="00864CBA" w:rsidRPr="00EC6A08">
        <w:rPr>
          <w:rFonts w:ascii="Garamond" w:eastAsia="Times New Roman" w:hAnsi="Garamond" w:cs="Times New Roman"/>
          <w:sz w:val="24"/>
          <w:szCs w:val="24"/>
          <w:shd w:val="clear" w:color="auto" w:fill="FFFFFF"/>
          <w:lang w:eastAsia="en-GB"/>
        </w:rPr>
        <w:t>dilemmas</w:t>
      </w:r>
      <w:r w:rsidR="009D073C" w:rsidRPr="00EC6A08">
        <w:rPr>
          <w:rFonts w:ascii="Garamond" w:eastAsia="Times New Roman" w:hAnsi="Garamond" w:cs="Times New Roman"/>
          <w:sz w:val="24"/>
          <w:szCs w:val="24"/>
          <w:shd w:val="clear" w:color="auto" w:fill="FFFFFF"/>
          <w:lang w:eastAsia="en-GB"/>
        </w:rPr>
        <w:t xml:space="preserve"> associated with the European question(s) had long cause</w:t>
      </w:r>
      <w:r w:rsidR="007347DC" w:rsidRPr="00EC6A08">
        <w:rPr>
          <w:rFonts w:ascii="Garamond" w:eastAsia="Times New Roman" w:hAnsi="Garamond" w:cs="Times New Roman"/>
          <w:sz w:val="24"/>
          <w:szCs w:val="24"/>
          <w:shd w:val="clear" w:color="auto" w:fill="FFFFFF"/>
          <w:lang w:eastAsia="en-GB"/>
        </w:rPr>
        <w:t>d problems for the Labour Party</w:t>
      </w:r>
      <w:r w:rsidR="007E5354" w:rsidRPr="00EC6A08">
        <w:rPr>
          <w:rFonts w:ascii="Garamond" w:eastAsia="Times New Roman" w:hAnsi="Garamond" w:cs="Times New Roman"/>
          <w:sz w:val="24"/>
          <w:szCs w:val="24"/>
          <w:shd w:val="clear" w:color="auto" w:fill="FFFFFF"/>
          <w:lang w:eastAsia="en-GB"/>
        </w:rPr>
        <w:t xml:space="preserve"> from the 1960s to 1980s</w:t>
      </w:r>
      <w:r w:rsidR="007347DC" w:rsidRPr="00EC6A08">
        <w:rPr>
          <w:rFonts w:ascii="Garamond" w:eastAsia="Times New Roman" w:hAnsi="Garamond" w:cs="Times New Roman"/>
          <w:sz w:val="24"/>
          <w:szCs w:val="24"/>
          <w:shd w:val="clear" w:color="auto" w:fill="FFFFFF"/>
          <w:lang w:eastAsia="en-GB"/>
        </w:rPr>
        <w:t>, although p</w:t>
      </w:r>
      <w:r w:rsidR="00864CBA" w:rsidRPr="00EC6A08">
        <w:rPr>
          <w:rFonts w:ascii="Garamond" w:eastAsia="Times New Roman" w:hAnsi="Garamond" w:cs="Times New Roman"/>
          <w:sz w:val="24"/>
          <w:szCs w:val="24"/>
          <w:shd w:val="clear" w:color="auto" w:fill="FFFFFF"/>
          <w:lang w:eastAsia="en-GB"/>
        </w:rPr>
        <w:t xml:space="preserve">ro-Europeanism proved to be a key characteristic of New Labour, confirming </w:t>
      </w:r>
      <w:r w:rsidR="00EB6028" w:rsidRPr="00EC6A08">
        <w:rPr>
          <w:rFonts w:ascii="Garamond" w:eastAsia="Times New Roman" w:hAnsi="Garamond" w:cs="Times New Roman"/>
          <w:sz w:val="24"/>
          <w:szCs w:val="24"/>
          <w:shd w:val="clear" w:color="auto" w:fill="FFFFFF"/>
          <w:lang w:eastAsia="en-GB"/>
        </w:rPr>
        <w:t xml:space="preserve">the move towards a more positive mentality towards Europe </w:t>
      </w:r>
      <w:r w:rsidR="00864CBA" w:rsidRPr="00EC6A08">
        <w:rPr>
          <w:rFonts w:ascii="Garamond" w:eastAsia="Times New Roman" w:hAnsi="Garamond" w:cs="Times New Roman"/>
          <w:sz w:val="24"/>
          <w:szCs w:val="24"/>
          <w:shd w:val="clear" w:color="auto" w:fill="FFFFFF"/>
          <w:lang w:eastAsia="en-GB"/>
        </w:rPr>
        <w:t xml:space="preserve">that had </w:t>
      </w:r>
      <w:r w:rsidR="00EB6028" w:rsidRPr="00EC6A08">
        <w:rPr>
          <w:rFonts w:ascii="Garamond" w:eastAsia="Times New Roman" w:hAnsi="Garamond" w:cs="Times New Roman"/>
          <w:sz w:val="24"/>
          <w:szCs w:val="24"/>
          <w:shd w:val="clear" w:color="auto" w:fill="FFFFFF"/>
          <w:lang w:eastAsia="en-GB"/>
        </w:rPr>
        <w:t>occurred in the Kinnock era</w:t>
      </w:r>
      <w:r w:rsidR="009D073C" w:rsidRPr="00EC6A08">
        <w:rPr>
          <w:rFonts w:ascii="Garamond" w:eastAsia="Times New Roman" w:hAnsi="Garamond" w:cs="Times New Roman"/>
          <w:sz w:val="24"/>
          <w:szCs w:val="24"/>
          <w:shd w:val="clear" w:color="auto" w:fill="FFFFFF"/>
          <w:lang w:eastAsia="en-GB"/>
        </w:rPr>
        <w:t xml:space="preserve"> (see </w:t>
      </w:r>
      <w:proofErr w:type="spellStart"/>
      <w:r w:rsidR="009D073C" w:rsidRPr="00EC6A08">
        <w:rPr>
          <w:rFonts w:ascii="Garamond" w:eastAsia="Times New Roman" w:hAnsi="Garamond" w:cs="Times New Roman"/>
          <w:sz w:val="24"/>
          <w:szCs w:val="24"/>
          <w:shd w:val="clear" w:color="auto" w:fill="FFFFFF"/>
          <w:lang w:eastAsia="en-GB"/>
        </w:rPr>
        <w:t>Daddow</w:t>
      </w:r>
      <w:proofErr w:type="spellEnd"/>
      <w:r w:rsidR="009D073C" w:rsidRPr="00EC6A08">
        <w:rPr>
          <w:rFonts w:ascii="Garamond" w:eastAsia="Times New Roman" w:hAnsi="Garamond" w:cs="Times New Roman"/>
          <w:sz w:val="24"/>
          <w:szCs w:val="24"/>
          <w:shd w:val="clear" w:color="auto" w:fill="FFFFFF"/>
          <w:lang w:eastAsia="en-GB"/>
        </w:rPr>
        <w:t xml:space="preserve"> 2011). Criticism of further integration within </w:t>
      </w:r>
      <w:r w:rsidR="00D163BC" w:rsidRPr="00EC6A08">
        <w:rPr>
          <w:rFonts w:ascii="Garamond" w:eastAsia="Times New Roman" w:hAnsi="Garamond" w:cs="Times New Roman"/>
          <w:sz w:val="24"/>
          <w:szCs w:val="24"/>
          <w:shd w:val="clear" w:color="auto" w:fill="FFFFFF"/>
          <w:lang w:eastAsia="en-GB"/>
        </w:rPr>
        <w:t>Europe and of the EU</w:t>
      </w:r>
      <w:r w:rsidR="009D073C" w:rsidRPr="00EC6A08">
        <w:rPr>
          <w:rFonts w:ascii="Garamond" w:eastAsia="Times New Roman" w:hAnsi="Garamond" w:cs="Times New Roman"/>
          <w:sz w:val="24"/>
          <w:szCs w:val="24"/>
          <w:shd w:val="clear" w:color="auto" w:fill="FFFFFF"/>
          <w:lang w:eastAsia="en-GB"/>
        </w:rPr>
        <w:t xml:space="preserve"> had been a frequent component part of the left for many generations – for example, Corbyn himself voted to leave in the 1975 Referendum</w:t>
      </w:r>
      <w:r w:rsidR="007C3FBE" w:rsidRPr="00EC6A08">
        <w:rPr>
          <w:rFonts w:ascii="Garamond" w:eastAsia="Times New Roman" w:hAnsi="Garamond" w:cs="Times New Roman"/>
          <w:sz w:val="24"/>
          <w:szCs w:val="24"/>
          <w:shd w:val="clear" w:color="auto" w:fill="FFFFFF"/>
          <w:lang w:eastAsia="en-GB"/>
        </w:rPr>
        <w:t xml:space="preserve"> (</w:t>
      </w:r>
      <w:proofErr w:type="spellStart"/>
      <w:r w:rsidR="007C3FBE" w:rsidRPr="00EC6A08">
        <w:rPr>
          <w:rFonts w:ascii="Garamond" w:eastAsia="Times New Roman" w:hAnsi="Garamond" w:cs="Times New Roman"/>
          <w:sz w:val="24"/>
          <w:szCs w:val="24"/>
          <w:shd w:val="clear" w:color="auto" w:fill="FFFFFF"/>
          <w:lang w:eastAsia="en-GB"/>
        </w:rPr>
        <w:t>Perraudin</w:t>
      </w:r>
      <w:proofErr w:type="spellEnd"/>
      <w:r w:rsidR="007C3FBE" w:rsidRPr="00EC6A08">
        <w:rPr>
          <w:rFonts w:ascii="Garamond" w:eastAsia="Times New Roman" w:hAnsi="Garamond" w:cs="Times New Roman"/>
          <w:sz w:val="24"/>
          <w:szCs w:val="24"/>
          <w:shd w:val="clear" w:color="auto" w:fill="FFFFFF"/>
          <w:lang w:eastAsia="en-GB"/>
        </w:rPr>
        <w:t>, 2016)</w:t>
      </w:r>
      <w:r w:rsidR="009D073C" w:rsidRPr="00EC6A08">
        <w:rPr>
          <w:rFonts w:ascii="Garamond" w:eastAsia="Times New Roman" w:hAnsi="Garamond" w:cs="Times New Roman"/>
          <w:sz w:val="24"/>
          <w:szCs w:val="24"/>
          <w:shd w:val="clear" w:color="auto" w:fill="FFFFFF"/>
          <w:lang w:eastAsia="en-GB"/>
        </w:rPr>
        <w:t xml:space="preserve">. </w:t>
      </w:r>
      <w:r w:rsidR="00CA07D2" w:rsidRPr="00EC6A08">
        <w:rPr>
          <w:rFonts w:ascii="Garamond" w:eastAsia="Times New Roman" w:hAnsi="Garamond" w:cs="Times New Roman"/>
          <w:sz w:val="24"/>
          <w:szCs w:val="24"/>
          <w:shd w:val="clear" w:color="auto" w:fill="FFFFFF"/>
          <w:lang w:eastAsia="en-GB"/>
        </w:rPr>
        <w:t xml:space="preserve"> </w:t>
      </w:r>
      <w:r w:rsidR="009D073C" w:rsidRPr="00EC6A08">
        <w:rPr>
          <w:rFonts w:ascii="Garamond" w:eastAsia="Times New Roman" w:hAnsi="Garamond" w:cs="Times New Roman"/>
          <w:sz w:val="24"/>
          <w:szCs w:val="24"/>
          <w:shd w:val="clear" w:color="auto" w:fill="FFFFFF"/>
          <w:lang w:eastAsia="en-GB"/>
        </w:rPr>
        <w:t>Althoug</w:t>
      </w:r>
      <w:r w:rsidR="00A43253" w:rsidRPr="00EC6A08">
        <w:rPr>
          <w:rFonts w:ascii="Garamond" w:eastAsia="Times New Roman" w:hAnsi="Garamond" w:cs="Times New Roman"/>
          <w:sz w:val="24"/>
          <w:szCs w:val="24"/>
          <w:shd w:val="clear" w:color="auto" w:fill="FFFFFF"/>
          <w:lang w:eastAsia="en-GB"/>
        </w:rPr>
        <w:t>h Corbyn formally campaigned for remain</w:t>
      </w:r>
      <w:r w:rsidR="009D073C" w:rsidRPr="00EC6A08">
        <w:rPr>
          <w:rFonts w:ascii="Garamond" w:eastAsia="Times New Roman" w:hAnsi="Garamond" w:cs="Times New Roman"/>
          <w:sz w:val="24"/>
          <w:szCs w:val="24"/>
          <w:shd w:val="clear" w:color="auto" w:fill="FFFFFF"/>
          <w:lang w:eastAsia="en-GB"/>
        </w:rPr>
        <w:t xml:space="preserve"> it was widely felt that he was a reluctant advocate. </w:t>
      </w:r>
      <w:r w:rsidR="00247210" w:rsidRPr="00EC6A08">
        <w:rPr>
          <w:rFonts w:ascii="Garamond" w:eastAsia="Times New Roman" w:hAnsi="Garamond" w:cs="Times New Roman"/>
          <w:sz w:val="24"/>
          <w:szCs w:val="24"/>
          <w:shd w:val="clear" w:color="auto" w:fill="FFFFFF"/>
          <w:lang w:eastAsia="en-GB"/>
        </w:rPr>
        <w:t>Indeed, h</w:t>
      </w:r>
      <w:r w:rsidR="009D073C" w:rsidRPr="00EC6A08">
        <w:rPr>
          <w:rFonts w:ascii="Garamond" w:eastAsia="Times New Roman" w:hAnsi="Garamond" w:cs="Times New Roman"/>
          <w:sz w:val="24"/>
          <w:szCs w:val="24"/>
          <w:shd w:val="clear" w:color="auto" w:fill="FFFFFF"/>
          <w:lang w:eastAsia="en-GB"/>
        </w:rPr>
        <w:t xml:space="preserve">is timid campaigning was one of the triggers for the mass shadow ministerial resignations </w:t>
      </w:r>
      <w:r w:rsidR="00CA07D2" w:rsidRPr="00EC6A08">
        <w:rPr>
          <w:rFonts w:ascii="Garamond" w:eastAsia="Times New Roman" w:hAnsi="Garamond" w:cs="Times New Roman"/>
          <w:sz w:val="24"/>
          <w:szCs w:val="24"/>
          <w:shd w:val="clear" w:color="auto" w:fill="FFFFFF"/>
          <w:lang w:eastAsia="en-GB"/>
        </w:rPr>
        <w:t xml:space="preserve">that resulted in </w:t>
      </w:r>
      <w:r w:rsidR="009D073C" w:rsidRPr="00EC6A08">
        <w:rPr>
          <w:rFonts w:ascii="Garamond" w:eastAsia="Times New Roman" w:hAnsi="Garamond" w:cs="Times New Roman"/>
          <w:sz w:val="24"/>
          <w:szCs w:val="24"/>
          <w:shd w:val="clear" w:color="auto" w:fill="FFFFFF"/>
          <w:lang w:eastAsia="en-GB"/>
        </w:rPr>
        <w:t>t</w:t>
      </w:r>
      <w:r w:rsidR="00CA07D2" w:rsidRPr="00EC6A08">
        <w:rPr>
          <w:rFonts w:ascii="Garamond" w:eastAsia="Times New Roman" w:hAnsi="Garamond" w:cs="Times New Roman"/>
          <w:sz w:val="24"/>
          <w:szCs w:val="24"/>
          <w:shd w:val="clear" w:color="auto" w:fill="FFFFFF"/>
          <w:lang w:eastAsia="en-GB"/>
        </w:rPr>
        <w:t>he confidence motion and ultimately</w:t>
      </w:r>
      <w:r w:rsidR="009D073C" w:rsidRPr="00EC6A08">
        <w:rPr>
          <w:rFonts w:ascii="Garamond" w:eastAsia="Times New Roman" w:hAnsi="Garamond" w:cs="Times New Roman"/>
          <w:sz w:val="24"/>
          <w:szCs w:val="24"/>
          <w:shd w:val="clear" w:color="auto" w:fill="FFFFFF"/>
          <w:lang w:eastAsia="en-GB"/>
        </w:rPr>
        <w:t xml:space="preserve"> the Smith challen</w:t>
      </w:r>
      <w:r w:rsidR="00CA07D2" w:rsidRPr="00EC6A08">
        <w:rPr>
          <w:rFonts w:ascii="Garamond" w:eastAsia="Times New Roman" w:hAnsi="Garamond" w:cs="Times New Roman"/>
          <w:sz w:val="24"/>
          <w:szCs w:val="24"/>
          <w:shd w:val="clear" w:color="auto" w:fill="FFFFFF"/>
          <w:lang w:eastAsia="en-GB"/>
        </w:rPr>
        <w:t>ge (</w:t>
      </w:r>
      <w:proofErr w:type="spellStart"/>
      <w:r w:rsidR="00CA07D2" w:rsidRPr="00EC6A08">
        <w:rPr>
          <w:rFonts w:ascii="Garamond" w:eastAsia="Times New Roman" w:hAnsi="Garamond" w:cs="Times New Roman"/>
          <w:sz w:val="24"/>
          <w:szCs w:val="24"/>
          <w:shd w:val="clear" w:color="auto" w:fill="FFFFFF"/>
          <w:lang w:eastAsia="en-GB"/>
        </w:rPr>
        <w:t>McSmith</w:t>
      </w:r>
      <w:proofErr w:type="spellEnd"/>
      <w:r w:rsidR="00CA07D2" w:rsidRPr="00EC6A08">
        <w:rPr>
          <w:rFonts w:ascii="Garamond" w:eastAsia="Times New Roman" w:hAnsi="Garamond" w:cs="Times New Roman"/>
          <w:sz w:val="24"/>
          <w:szCs w:val="24"/>
          <w:shd w:val="clear" w:color="auto" w:fill="FFFFFF"/>
          <w:lang w:eastAsia="en-GB"/>
        </w:rPr>
        <w:t>, 2016).</w:t>
      </w:r>
    </w:p>
    <w:p w14:paraId="4A07F139" w14:textId="77777777" w:rsidR="00A43253" w:rsidRPr="00EC6A08" w:rsidRDefault="00A43253"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
    <w:p w14:paraId="68A63783" w14:textId="34D03EAF" w:rsidR="007B2297" w:rsidRPr="00EC6A08" w:rsidRDefault="009D073C" w:rsidP="009D073C">
      <w:pPr>
        <w:shd w:val="clear" w:color="auto" w:fill="FFFFFF"/>
        <w:spacing w:before="240" w:line="360" w:lineRule="auto"/>
        <w:contextualSpacing/>
        <w:jc w:val="both"/>
        <w:rPr>
          <w:rFonts w:ascii="Garamond" w:hAnsi="Garamond" w:cs="Times New Roman"/>
          <w:sz w:val="24"/>
          <w:szCs w:val="24"/>
        </w:rPr>
      </w:pPr>
      <w:r w:rsidRPr="00EC6A08">
        <w:rPr>
          <w:rFonts w:ascii="Garamond" w:eastAsia="Times New Roman" w:hAnsi="Garamond" w:cs="Times New Roman"/>
          <w:sz w:val="24"/>
          <w:szCs w:val="24"/>
          <w:shd w:val="clear" w:color="auto" w:fill="FFFFFF"/>
          <w:lang w:eastAsia="en-GB"/>
        </w:rPr>
        <w:t>W</w:t>
      </w:r>
      <w:r w:rsidRPr="00EC6A08">
        <w:rPr>
          <w:rFonts w:ascii="Garamond" w:hAnsi="Garamond" w:cs="Times New Roman"/>
          <w:sz w:val="24"/>
          <w:szCs w:val="24"/>
        </w:rPr>
        <w:t xml:space="preserve">e selected immigration because it was one of the most intriguing dividing lines in the post New Labour era. Some Labour parliamentarians were concerned that they had lost office in 2010 in part due to the perception that they were not listening to the concerns of traditional Labour voters about immigration (Evans and </w:t>
      </w:r>
      <w:proofErr w:type="spellStart"/>
      <w:r w:rsidR="00864CBA" w:rsidRPr="00EC6A08">
        <w:rPr>
          <w:rFonts w:ascii="Garamond" w:hAnsi="Garamond" w:cs="Times New Roman"/>
          <w:sz w:val="24"/>
          <w:szCs w:val="24"/>
        </w:rPr>
        <w:t>Chzhen</w:t>
      </w:r>
      <w:proofErr w:type="spellEnd"/>
      <w:r w:rsidR="00864CBA" w:rsidRPr="00EC6A08">
        <w:rPr>
          <w:rFonts w:ascii="Garamond" w:hAnsi="Garamond" w:cs="Times New Roman"/>
          <w:sz w:val="24"/>
          <w:szCs w:val="24"/>
        </w:rPr>
        <w:t>, 2013)</w:t>
      </w:r>
      <w:r w:rsidRPr="00EC6A08">
        <w:rPr>
          <w:rFonts w:ascii="Garamond" w:hAnsi="Garamond" w:cs="Times New Roman"/>
          <w:sz w:val="24"/>
          <w:szCs w:val="24"/>
        </w:rPr>
        <w:t xml:space="preserve"> and to fail to respond (and adapt their tone and position) risked them losing support to UKIP (Dennison and</w:t>
      </w:r>
      <w:r w:rsidR="007A3194" w:rsidRPr="00EC6A08">
        <w:rPr>
          <w:rFonts w:ascii="Garamond" w:hAnsi="Garamond" w:cs="Times New Roman"/>
          <w:sz w:val="24"/>
          <w:szCs w:val="24"/>
        </w:rPr>
        <w:t xml:space="preserve"> Goodwin, 2015). Opposing them wa</w:t>
      </w:r>
      <w:r w:rsidRPr="00EC6A08">
        <w:rPr>
          <w:rFonts w:ascii="Garamond" w:hAnsi="Garamond" w:cs="Times New Roman"/>
          <w:sz w:val="24"/>
          <w:szCs w:val="24"/>
        </w:rPr>
        <w:t>s the open door immigration mentalit</w:t>
      </w:r>
      <w:r w:rsidR="007A3194" w:rsidRPr="00EC6A08">
        <w:rPr>
          <w:rFonts w:ascii="Garamond" w:hAnsi="Garamond" w:cs="Times New Roman"/>
          <w:sz w:val="24"/>
          <w:szCs w:val="24"/>
        </w:rPr>
        <w:t>y that captured</w:t>
      </w:r>
      <w:r w:rsidR="00935AE0" w:rsidRPr="00EC6A08">
        <w:rPr>
          <w:rFonts w:ascii="Garamond" w:hAnsi="Garamond" w:cs="Times New Roman"/>
          <w:sz w:val="24"/>
          <w:szCs w:val="24"/>
        </w:rPr>
        <w:t xml:space="preserve"> the </w:t>
      </w:r>
      <w:r w:rsidRPr="00EC6A08">
        <w:rPr>
          <w:rFonts w:ascii="Garamond" w:hAnsi="Garamond" w:cs="Times New Roman"/>
          <w:sz w:val="24"/>
          <w:szCs w:val="24"/>
        </w:rPr>
        <w:t xml:space="preserve">mind set of Corbyn and their association of immigration with inclusivity, diversity and multiculturalism (Freedland 2016). We </w:t>
      </w:r>
      <w:r w:rsidRPr="00EC6A08">
        <w:rPr>
          <w:rFonts w:ascii="Garamond" w:hAnsi="Garamond" w:cs="Times New Roman"/>
          <w:sz w:val="24"/>
          <w:szCs w:val="24"/>
        </w:rPr>
        <w:lastRenderedPageBreak/>
        <w:t>selected the parliamentary division on intervening in Syria as it reopened the conflicts of the New Labour</w:t>
      </w:r>
      <w:r w:rsidR="001F1671" w:rsidRPr="00EC6A08">
        <w:rPr>
          <w:rFonts w:ascii="Garamond" w:hAnsi="Garamond" w:cs="Times New Roman"/>
          <w:sz w:val="24"/>
          <w:szCs w:val="24"/>
        </w:rPr>
        <w:t xml:space="preserve"> era about Iraq, </w:t>
      </w:r>
      <w:r w:rsidR="00935AE0" w:rsidRPr="00EC6A08">
        <w:rPr>
          <w:rFonts w:ascii="Garamond" w:hAnsi="Garamond" w:cs="Times New Roman"/>
          <w:sz w:val="24"/>
          <w:szCs w:val="24"/>
        </w:rPr>
        <w:t xml:space="preserve">and </w:t>
      </w:r>
      <w:r w:rsidR="001F1671" w:rsidRPr="00EC6A08">
        <w:rPr>
          <w:rFonts w:ascii="Garamond" w:hAnsi="Garamond" w:cs="Times New Roman"/>
          <w:sz w:val="24"/>
          <w:szCs w:val="24"/>
        </w:rPr>
        <w:t>although Corbyn</w:t>
      </w:r>
      <w:r w:rsidRPr="00EC6A08">
        <w:rPr>
          <w:rFonts w:ascii="Garamond" w:hAnsi="Garamond" w:cs="Times New Roman"/>
          <w:sz w:val="24"/>
          <w:szCs w:val="24"/>
        </w:rPr>
        <w:t xml:space="preserve"> chose to offer a free vote on this as it was clear that many Labour parliamentarians would defy being whipped to vote against intervention (Diamond 2016, 16-22).</w:t>
      </w:r>
      <w:r w:rsidR="006C2118" w:rsidRPr="00EC6A08">
        <w:rPr>
          <w:rFonts w:ascii="Garamond" w:hAnsi="Garamond" w:cs="Times New Roman"/>
          <w:sz w:val="24"/>
          <w:szCs w:val="24"/>
        </w:rPr>
        <w:t xml:space="preserve"> A similar rationale explained our selection of Trident renewal as </w:t>
      </w:r>
      <w:r w:rsidR="008A155A" w:rsidRPr="00EC6A08">
        <w:rPr>
          <w:rFonts w:ascii="Garamond" w:hAnsi="Garamond" w:cs="Times New Roman"/>
          <w:sz w:val="24"/>
          <w:szCs w:val="24"/>
        </w:rPr>
        <w:t xml:space="preserve">the election of Corbyn and his commitment to unilateralism appeared to reopen </w:t>
      </w:r>
      <w:r w:rsidR="001F1671" w:rsidRPr="00EC6A08">
        <w:rPr>
          <w:rFonts w:ascii="Garamond" w:hAnsi="Garamond" w:cs="Times New Roman"/>
          <w:sz w:val="24"/>
          <w:szCs w:val="24"/>
        </w:rPr>
        <w:t xml:space="preserve">a </w:t>
      </w:r>
      <w:r w:rsidR="008A155A" w:rsidRPr="00EC6A08">
        <w:rPr>
          <w:rFonts w:ascii="Garamond" w:hAnsi="Garamond" w:cs="Times New Roman"/>
          <w:sz w:val="24"/>
          <w:szCs w:val="24"/>
        </w:rPr>
        <w:t xml:space="preserve">long dormant </w:t>
      </w:r>
      <w:r w:rsidR="006C2118" w:rsidRPr="00EC6A08">
        <w:rPr>
          <w:rFonts w:ascii="Garamond" w:hAnsi="Garamond" w:cs="Times New Roman"/>
          <w:sz w:val="24"/>
          <w:szCs w:val="24"/>
        </w:rPr>
        <w:t xml:space="preserve">fissure </w:t>
      </w:r>
      <w:r w:rsidR="008A155A" w:rsidRPr="00EC6A08">
        <w:rPr>
          <w:rFonts w:ascii="Garamond" w:hAnsi="Garamond" w:cs="Times New Roman"/>
          <w:sz w:val="24"/>
          <w:szCs w:val="24"/>
        </w:rPr>
        <w:t>within the Labour Party over defence policy (</w:t>
      </w:r>
      <w:r w:rsidR="007B2297" w:rsidRPr="00EC6A08">
        <w:rPr>
          <w:rFonts w:ascii="Garamond" w:hAnsi="Garamond" w:cs="Times New Roman"/>
          <w:sz w:val="24"/>
          <w:szCs w:val="24"/>
        </w:rPr>
        <w:t xml:space="preserve">Stewart, 2016; </w:t>
      </w:r>
      <w:r w:rsidR="007347DC" w:rsidRPr="00EC6A08">
        <w:rPr>
          <w:rFonts w:ascii="Garamond" w:hAnsi="Garamond" w:cs="Times New Roman"/>
          <w:sz w:val="24"/>
          <w:szCs w:val="24"/>
        </w:rPr>
        <w:t>for an overview of</w:t>
      </w:r>
      <w:r w:rsidR="007B2297" w:rsidRPr="00EC6A08">
        <w:rPr>
          <w:rFonts w:ascii="Garamond" w:hAnsi="Garamond" w:cs="Times New Roman"/>
          <w:sz w:val="24"/>
          <w:szCs w:val="24"/>
        </w:rPr>
        <w:t xml:space="preserve"> post war Labour Party foreign and defence polic</w:t>
      </w:r>
      <w:r w:rsidR="006058A7" w:rsidRPr="00EC6A08">
        <w:rPr>
          <w:rFonts w:ascii="Garamond" w:hAnsi="Garamond" w:cs="Times New Roman"/>
          <w:sz w:val="24"/>
          <w:szCs w:val="24"/>
        </w:rPr>
        <w:t>y</w:t>
      </w:r>
      <w:r w:rsidR="007347DC" w:rsidRPr="00EC6A08">
        <w:rPr>
          <w:rFonts w:ascii="Garamond" w:hAnsi="Garamond" w:cs="Times New Roman"/>
          <w:sz w:val="24"/>
          <w:szCs w:val="24"/>
        </w:rPr>
        <w:t xml:space="preserve">, see </w:t>
      </w:r>
      <w:r w:rsidR="007B2297" w:rsidRPr="00EC6A08">
        <w:rPr>
          <w:rFonts w:ascii="Garamond" w:hAnsi="Garamond" w:cs="Times New Roman"/>
          <w:sz w:val="24"/>
          <w:szCs w:val="24"/>
        </w:rPr>
        <w:t>Vickers, 2011). Pulling the above themes together, o</w:t>
      </w:r>
      <w:r w:rsidR="008A155A" w:rsidRPr="00EC6A08">
        <w:rPr>
          <w:rFonts w:ascii="Garamond" w:hAnsi="Garamond" w:cs="Times New Roman"/>
          <w:sz w:val="24"/>
          <w:szCs w:val="24"/>
        </w:rPr>
        <w:t xml:space="preserve">ur ideologically driven hypotheses were as follows: </w:t>
      </w:r>
    </w:p>
    <w:p w14:paraId="55CF5381" w14:textId="77777777" w:rsidR="00EB6028" w:rsidRPr="00EC6A08" w:rsidRDefault="00EB6028" w:rsidP="009D073C">
      <w:pPr>
        <w:shd w:val="clear" w:color="auto" w:fill="FFFFFF"/>
        <w:spacing w:before="240" w:line="360" w:lineRule="auto"/>
        <w:contextualSpacing/>
        <w:jc w:val="both"/>
        <w:rPr>
          <w:rFonts w:ascii="Garamond" w:hAnsi="Garamond" w:cs="Times New Roman"/>
          <w:sz w:val="24"/>
          <w:szCs w:val="24"/>
        </w:rPr>
      </w:pPr>
    </w:p>
    <w:p w14:paraId="354D68D8" w14:textId="4CF35DFA" w:rsidR="009D073C" w:rsidRPr="00EC6A08" w:rsidRDefault="002D79F0" w:rsidP="001F1671">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[H10</w:t>
      </w:r>
      <w:r w:rsidR="009D073C" w:rsidRPr="00EC6A08">
        <w:rPr>
          <w:rFonts w:ascii="Garamond" w:eastAsia="Times New Roman" w:hAnsi="Garamond" w:cs="Times New Roman"/>
          <w:i/>
          <w:sz w:val="24"/>
          <w:szCs w:val="24"/>
          <w:shd w:val="clear" w:color="auto" w:fill="FFFFFF"/>
          <w:lang w:eastAsia="en-GB"/>
        </w:rPr>
        <w:t xml:space="preserve">] On continued </w:t>
      </w:r>
      <w:r w:rsidR="00D163BC" w:rsidRPr="00EC6A08">
        <w:rPr>
          <w:rFonts w:ascii="Garamond" w:eastAsia="Times New Roman" w:hAnsi="Garamond" w:cs="Times New Roman"/>
          <w:i/>
          <w:sz w:val="24"/>
          <w:szCs w:val="24"/>
          <w:shd w:val="clear" w:color="auto" w:fill="FFFFFF"/>
          <w:lang w:eastAsia="en-GB"/>
        </w:rPr>
        <w:t xml:space="preserve">EU membership </w:t>
      </w:r>
      <w:r w:rsidR="009D073C" w:rsidRPr="00EC6A08">
        <w:rPr>
          <w:rFonts w:ascii="Garamond" w:eastAsia="Times New Roman" w:hAnsi="Garamond" w:cs="Times New Roman"/>
          <w:i/>
          <w:sz w:val="24"/>
          <w:szCs w:val="24"/>
          <w:shd w:val="clear" w:color="auto" w:fill="FFFFFF"/>
          <w:lang w:eastAsia="en-GB"/>
        </w:rPr>
        <w:t>we assume that those that advocate Brexit will show a stronger likelihood for supporting Corbyn than those Labour parliamentarians advocating remain</w:t>
      </w:r>
      <w:r w:rsidR="001F1671" w:rsidRPr="00EC6A08">
        <w:rPr>
          <w:rFonts w:ascii="Garamond" w:eastAsia="Times New Roman" w:hAnsi="Garamond" w:cs="Times New Roman"/>
          <w:i/>
          <w:sz w:val="24"/>
          <w:szCs w:val="24"/>
          <w:shd w:val="clear" w:color="auto" w:fill="FFFFFF"/>
          <w:lang w:eastAsia="en-GB"/>
        </w:rPr>
        <w:t>.</w:t>
      </w:r>
    </w:p>
    <w:p w14:paraId="60A054DB" w14:textId="77777777" w:rsidR="002E03E2" w:rsidRPr="00EC6A08" w:rsidRDefault="002E03E2"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75BC03D4" w14:textId="5A99709A" w:rsidR="009D073C" w:rsidRPr="00EC6A08" w:rsidRDefault="002D79F0"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[H11</w:t>
      </w:r>
      <w:r w:rsidR="009D073C" w:rsidRPr="00EC6A08">
        <w:rPr>
          <w:rFonts w:ascii="Garamond" w:eastAsia="Times New Roman" w:hAnsi="Garamond" w:cs="Times New Roman"/>
          <w:i/>
          <w:sz w:val="24"/>
          <w:szCs w:val="24"/>
          <w:shd w:val="clear" w:color="auto" w:fill="FFFFFF"/>
          <w:lang w:eastAsia="en-GB"/>
        </w:rPr>
        <w:t>] On immigration we assume that those who advocate an open door position vis-à-vis immigration will show a stronger likelihood for supporting Corbyn than those Labour parliamentarians advocating controls.</w:t>
      </w:r>
    </w:p>
    <w:p w14:paraId="48EBC24B" w14:textId="77777777" w:rsidR="009D073C" w:rsidRPr="00EC6A08" w:rsidRDefault="009D073C"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17898ED7" w14:textId="4843E609" w:rsidR="009D073C" w:rsidRPr="00EC6A08" w:rsidRDefault="002D79F0"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[H12</w:t>
      </w:r>
      <w:r w:rsidR="009D073C" w:rsidRPr="00EC6A08">
        <w:rPr>
          <w:rFonts w:ascii="Garamond" w:eastAsia="Times New Roman" w:hAnsi="Garamond" w:cs="Times New Roman"/>
          <w:i/>
          <w:sz w:val="24"/>
          <w:szCs w:val="24"/>
          <w:shd w:val="clear" w:color="auto" w:fill="FFFFFF"/>
          <w:lang w:eastAsia="en-GB"/>
        </w:rPr>
        <w:t xml:space="preserve">] On Syria we assume that those opposing intervention will show a stronger likelihood for supporting Corbyn than those Labour parliamentarians who backed the Conservatives and advocated intervening. </w:t>
      </w:r>
    </w:p>
    <w:p w14:paraId="13398E8C" w14:textId="77777777" w:rsidR="009D073C" w:rsidRPr="00EC6A08" w:rsidRDefault="009D073C"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p>
    <w:p w14:paraId="221E4C6E" w14:textId="00F4F75A" w:rsidR="009D073C" w:rsidRPr="00EC6A08" w:rsidRDefault="002D79F0" w:rsidP="009D073C">
      <w:pPr>
        <w:shd w:val="clear" w:color="auto" w:fill="FFFFFF"/>
        <w:spacing w:before="240" w:line="360" w:lineRule="auto"/>
        <w:ind w:left="720"/>
        <w:contextualSpacing/>
        <w:jc w:val="both"/>
        <w:rPr>
          <w:rFonts w:ascii="Garamond" w:eastAsia="Times New Roman" w:hAnsi="Garamond" w:cs="Times New Roman"/>
          <w:i/>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[H13</w:t>
      </w:r>
      <w:r w:rsidR="009D073C" w:rsidRPr="00EC6A08">
        <w:rPr>
          <w:rFonts w:ascii="Garamond" w:eastAsia="Times New Roman" w:hAnsi="Garamond" w:cs="Times New Roman"/>
          <w:i/>
          <w:sz w:val="24"/>
          <w:szCs w:val="24"/>
          <w:shd w:val="clear" w:color="auto" w:fill="FFFFFF"/>
          <w:lang w:eastAsia="en-GB"/>
        </w:rPr>
        <w:t xml:space="preserve">] On Trident we assume that those opposing renewal will show a stronger likelihood for supporting Corbyn than those Labour parliamentarians who backed the Conservatives and advocated renewal. </w:t>
      </w:r>
    </w:p>
    <w:p w14:paraId="7F66DAF1" w14:textId="77777777" w:rsidR="008A155A" w:rsidRPr="00EC6A08" w:rsidRDefault="008A155A" w:rsidP="009D073C">
      <w:pPr>
        <w:shd w:val="clear" w:color="auto" w:fill="FFFFFF"/>
        <w:spacing w:before="240" w:line="360" w:lineRule="auto"/>
        <w:contextualSpacing/>
        <w:jc w:val="both"/>
        <w:rPr>
          <w:rFonts w:ascii="Garamond" w:eastAsia="Times New Roman" w:hAnsi="Garamond" w:cs="Times New Roman"/>
          <w:i/>
          <w:sz w:val="24"/>
          <w:szCs w:val="24"/>
          <w:shd w:val="clear" w:color="auto" w:fill="FFFFFF"/>
          <w:lang w:eastAsia="en-GB"/>
        </w:rPr>
      </w:pPr>
    </w:p>
    <w:p w14:paraId="27EA5E97" w14:textId="031E0A89"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We could only test our hypotheses if we could determine who was supportive of Corbyn and who was not. </w:t>
      </w:r>
      <w:r w:rsidRPr="00EC6A08">
        <w:rPr>
          <w:rFonts w:ascii="Garamond" w:hAnsi="Garamond" w:cs="Times New Roman"/>
          <w:sz w:val="24"/>
          <w:szCs w:val="24"/>
        </w:rPr>
        <w:t>We had a number of different votes to consider – i.e. nominating or voting in the 2015 leadership election, the confidence motion vote; or nominating (for Smith only as Corbyn was automatically on the ballot) in the 2016 leadership election. As our aim was to assess the dysfunctionality of the leader-PLP relationship – as evidenced by the mass resignations of late June 2016 – we focused our attention on establishing voting behaviour in the confidenc</w:t>
      </w:r>
      <w:r w:rsidR="00935AE0" w:rsidRPr="00EC6A08">
        <w:rPr>
          <w:rFonts w:ascii="Garamond" w:hAnsi="Garamond" w:cs="Times New Roman"/>
          <w:sz w:val="24"/>
          <w:szCs w:val="24"/>
        </w:rPr>
        <w:t xml:space="preserve">e motion, also of late June 2016. </w:t>
      </w:r>
    </w:p>
    <w:p w14:paraId="653B9740" w14:textId="77777777" w:rsidR="009D073C" w:rsidRPr="00EC6A08" w:rsidRDefault="009D073C" w:rsidP="009D073C">
      <w:pPr>
        <w:spacing w:after="0" w:line="360" w:lineRule="auto"/>
        <w:jc w:val="both"/>
        <w:rPr>
          <w:rFonts w:ascii="Garamond" w:hAnsi="Garamond" w:cs="Times New Roman"/>
          <w:sz w:val="24"/>
          <w:szCs w:val="24"/>
        </w:rPr>
      </w:pPr>
    </w:p>
    <w:p w14:paraId="3A266EA2" w14:textId="515DCEAA" w:rsidR="009D073C" w:rsidRPr="00EC6A08" w:rsidRDefault="009D073C" w:rsidP="009D073C">
      <w:pPr>
        <w:spacing w:after="0" w:line="360" w:lineRule="auto"/>
        <w:jc w:val="both"/>
        <w:rPr>
          <w:rFonts w:ascii="Garamond" w:hAnsi="Garamond" w:cs="Times New Roman"/>
          <w:sz w:val="24"/>
          <w:szCs w:val="24"/>
        </w:rPr>
      </w:pPr>
      <w:r w:rsidRPr="00EC6A08">
        <w:rPr>
          <w:rFonts w:ascii="Garamond" w:hAnsi="Garamond" w:cs="Times New Roman"/>
          <w:sz w:val="24"/>
          <w:szCs w:val="24"/>
        </w:rPr>
        <w:t>For each individual Labour parliamentarian we positioned them a</w:t>
      </w:r>
      <w:r w:rsidR="00864CBA" w:rsidRPr="00EC6A08">
        <w:rPr>
          <w:rFonts w:ascii="Garamond" w:hAnsi="Garamond" w:cs="Times New Roman"/>
          <w:sz w:val="24"/>
          <w:szCs w:val="24"/>
        </w:rPr>
        <w:t>s</w:t>
      </w:r>
      <w:r w:rsidRPr="00EC6A08">
        <w:rPr>
          <w:rFonts w:ascii="Garamond" w:hAnsi="Garamond" w:cs="Times New Roman"/>
          <w:sz w:val="24"/>
          <w:szCs w:val="24"/>
        </w:rPr>
        <w:t xml:space="preserve"> pro-Corbyn or anti-Corbyn based on declarations of support/opposition to Corbyn prior to the c</w:t>
      </w:r>
      <w:r w:rsidR="00935AE0" w:rsidRPr="00EC6A08">
        <w:rPr>
          <w:rFonts w:ascii="Garamond" w:hAnsi="Garamond" w:cs="Times New Roman"/>
          <w:sz w:val="24"/>
          <w:szCs w:val="24"/>
        </w:rPr>
        <w:t>onfidence motion</w:t>
      </w:r>
      <w:r w:rsidRPr="00EC6A08">
        <w:rPr>
          <w:rFonts w:ascii="Garamond" w:hAnsi="Garamond" w:cs="Times New Roman"/>
          <w:sz w:val="24"/>
          <w:szCs w:val="24"/>
        </w:rPr>
        <w:t xml:space="preserve"> – these were identified from declarations that they made through either their personal websites or via </w:t>
      </w:r>
      <w:r w:rsidRPr="00EC6A08">
        <w:rPr>
          <w:rFonts w:ascii="Garamond" w:hAnsi="Garamond" w:cs="Times New Roman"/>
          <w:sz w:val="24"/>
          <w:szCs w:val="24"/>
        </w:rPr>
        <w:lastRenderedPageBreak/>
        <w:t>mainstream media. We cross referenced these findings by checking</w:t>
      </w:r>
      <w:r w:rsidR="00935AE0" w:rsidRPr="00EC6A08">
        <w:rPr>
          <w:rFonts w:ascii="Garamond" w:hAnsi="Garamond" w:cs="Times New Roman"/>
          <w:sz w:val="24"/>
          <w:szCs w:val="24"/>
        </w:rPr>
        <w:t xml:space="preserve"> them against declared lists </w:t>
      </w:r>
      <w:r w:rsidRPr="00EC6A08">
        <w:rPr>
          <w:rFonts w:ascii="Garamond" w:hAnsi="Garamond" w:cs="Times New Roman"/>
          <w:sz w:val="24"/>
          <w:szCs w:val="24"/>
        </w:rPr>
        <w:t xml:space="preserve">that were compiled by </w:t>
      </w:r>
      <w:r w:rsidR="00935AE0" w:rsidRPr="00EC6A08">
        <w:rPr>
          <w:rFonts w:ascii="Garamond" w:hAnsi="Garamond" w:cs="Times New Roman"/>
          <w:sz w:val="24"/>
          <w:szCs w:val="24"/>
        </w:rPr>
        <w:t xml:space="preserve">various </w:t>
      </w:r>
      <w:r w:rsidRPr="00EC6A08">
        <w:rPr>
          <w:rFonts w:ascii="Garamond" w:hAnsi="Garamond" w:cs="Times New Roman"/>
          <w:sz w:val="24"/>
          <w:szCs w:val="24"/>
        </w:rPr>
        <w:t>media organisations. Through this process we identified all 40 pro-Corbyn Labour parliamentarians who voted for Corbyn in the confidence motion, and those who ref</w:t>
      </w:r>
      <w:r w:rsidR="00EB6028" w:rsidRPr="00EC6A08">
        <w:rPr>
          <w:rFonts w:ascii="Garamond" w:hAnsi="Garamond" w:cs="Times New Roman"/>
          <w:sz w:val="24"/>
          <w:szCs w:val="24"/>
        </w:rPr>
        <w:t>used to support Corbyn – the 172</w:t>
      </w:r>
      <w:r w:rsidRPr="00EC6A08">
        <w:rPr>
          <w:rFonts w:ascii="Garamond" w:hAnsi="Garamond" w:cs="Times New Roman"/>
          <w:sz w:val="24"/>
          <w:szCs w:val="24"/>
        </w:rPr>
        <w:t xml:space="preserve"> who voted against, and the 1</w:t>
      </w:r>
      <w:r w:rsidR="00935AE0" w:rsidRPr="00EC6A08">
        <w:rPr>
          <w:rFonts w:ascii="Garamond" w:hAnsi="Garamond" w:cs="Times New Roman"/>
          <w:sz w:val="24"/>
          <w:szCs w:val="24"/>
        </w:rPr>
        <w:t>8</w:t>
      </w:r>
      <w:r w:rsidRPr="00EC6A08">
        <w:rPr>
          <w:rFonts w:ascii="Garamond" w:hAnsi="Garamond" w:cs="Times New Roman"/>
          <w:sz w:val="24"/>
          <w:szCs w:val="24"/>
        </w:rPr>
        <w:t xml:space="preserve"> who</w:t>
      </w:r>
      <w:r w:rsidR="00935AE0" w:rsidRPr="00EC6A08">
        <w:rPr>
          <w:rFonts w:ascii="Garamond" w:hAnsi="Garamond" w:cs="Times New Roman"/>
          <w:sz w:val="24"/>
          <w:szCs w:val="24"/>
        </w:rPr>
        <w:t xml:space="preserve"> abstained – those who were non Corbyn supporters.</w:t>
      </w:r>
    </w:p>
    <w:p w14:paraId="6F6F0468" w14:textId="77777777" w:rsidR="009D073C" w:rsidRPr="00EC6A08" w:rsidRDefault="009D073C" w:rsidP="009D073C">
      <w:pPr>
        <w:spacing w:after="0" w:line="360" w:lineRule="auto"/>
        <w:jc w:val="both"/>
        <w:rPr>
          <w:rFonts w:ascii="Garamond" w:hAnsi="Garamond" w:cs="Times New Roman"/>
          <w:sz w:val="24"/>
          <w:szCs w:val="24"/>
        </w:rPr>
      </w:pPr>
    </w:p>
    <w:p w14:paraId="283F4353" w14:textId="1B0841ED" w:rsidR="009D073C" w:rsidRPr="00EC6A08" w:rsidRDefault="009D073C" w:rsidP="009D073C">
      <w:pPr>
        <w:spacing w:after="0" w:line="360" w:lineRule="auto"/>
        <w:jc w:val="both"/>
        <w:rPr>
          <w:rFonts w:ascii="Garamond" w:hAnsi="Garamond"/>
          <w:sz w:val="24"/>
          <w:szCs w:val="24"/>
        </w:rPr>
      </w:pPr>
      <w:r w:rsidRPr="00EC6A08">
        <w:rPr>
          <w:rFonts w:ascii="Garamond" w:hAnsi="Garamond" w:cs="Times New Roman"/>
          <w:sz w:val="24"/>
          <w:szCs w:val="24"/>
        </w:rPr>
        <w:t xml:space="preserve">In terms of our social background variables differentiating according gender requires no explanation, </w:t>
      </w:r>
      <w:r w:rsidR="00BC2BE3" w:rsidRPr="00EC6A08">
        <w:rPr>
          <w:rFonts w:ascii="Garamond" w:hAnsi="Garamond" w:cs="Times New Roman"/>
          <w:sz w:val="24"/>
          <w:szCs w:val="24"/>
        </w:rPr>
        <w:t>whilst age wa</w:t>
      </w:r>
      <w:r w:rsidR="00B83FBF" w:rsidRPr="00EC6A08">
        <w:rPr>
          <w:rFonts w:ascii="Garamond" w:hAnsi="Garamond" w:cs="Times New Roman"/>
          <w:sz w:val="24"/>
          <w:szCs w:val="24"/>
        </w:rPr>
        <w:t xml:space="preserve">s presented as a continuous variable, ranging from </w:t>
      </w:r>
      <w:r w:rsidR="00B127E0" w:rsidRPr="00EC6A08">
        <w:rPr>
          <w:rFonts w:ascii="Garamond" w:hAnsi="Garamond" w:cs="Times New Roman"/>
          <w:sz w:val="24"/>
          <w:szCs w:val="24"/>
        </w:rPr>
        <w:t xml:space="preserve">30 to </w:t>
      </w:r>
      <w:r w:rsidR="006A4914" w:rsidRPr="00EC6A08">
        <w:rPr>
          <w:rFonts w:ascii="Garamond" w:hAnsi="Garamond" w:cs="Times New Roman"/>
          <w:sz w:val="24"/>
          <w:szCs w:val="24"/>
        </w:rPr>
        <w:t>87</w:t>
      </w:r>
      <w:r w:rsidRPr="00EC6A08">
        <w:rPr>
          <w:rFonts w:ascii="Garamond" w:hAnsi="Garamond" w:cs="Times New Roman"/>
          <w:sz w:val="24"/>
          <w:szCs w:val="24"/>
        </w:rPr>
        <w:t xml:space="preserve">. </w:t>
      </w:r>
      <w:r w:rsidRPr="00EC6A08">
        <w:rPr>
          <w:rFonts w:ascii="Garamond" w:hAnsi="Garamond"/>
          <w:sz w:val="24"/>
          <w:szCs w:val="24"/>
        </w:rPr>
        <w:t>For our background political variables we differentiated in the following way for year of entry into Parliament</w:t>
      </w:r>
      <w:r w:rsidRPr="00EC6A08">
        <w:rPr>
          <w:rFonts w:ascii="Garamond" w:hAnsi="Garamond" w:cs="Times New Roman"/>
          <w:sz w:val="24"/>
          <w:szCs w:val="24"/>
        </w:rPr>
        <w:t xml:space="preserve">: </w:t>
      </w:r>
      <w:r w:rsidR="00F2606A" w:rsidRPr="00EC6A08">
        <w:rPr>
          <w:rFonts w:ascii="Garamond" w:hAnsi="Garamond" w:cs="Times New Roman"/>
          <w:sz w:val="24"/>
          <w:szCs w:val="24"/>
        </w:rPr>
        <w:t>those who entered before the 2010 general election and those who entered as a result of, or after, the 2015 general election</w:t>
      </w:r>
      <w:r w:rsidRPr="00EC6A08">
        <w:rPr>
          <w:rFonts w:ascii="Garamond" w:hAnsi="Garamond" w:cs="Times New Roman"/>
          <w:sz w:val="24"/>
          <w:szCs w:val="24"/>
        </w:rPr>
        <w:t xml:space="preserve">. With respect to region we differentiated </w:t>
      </w:r>
      <w:r w:rsidR="00F2606A" w:rsidRPr="00EC6A08">
        <w:rPr>
          <w:rFonts w:ascii="Garamond" w:hAnsi="Garamond" w:cs="Times New Roman"/>
          <w:sz w:val="24"/>
          <w:szCs w:val="24"/>
        </w:rPr>
        <w:t>between those representing a London constituency and those who were outside of London</w:t>
      </w:r>
      <w:r w:rsidRPr="00EC6A08">
        <w:rPr>
          <w:rFonts w:ascii="Garamond" w:hAnsi="Garamond" w:cs="Times New Roman"/>
          <w:sz w:val="24"/>
          <w:szCs w:val="24"/>
        </w:rPr>
        <w:t xml:space="preserve">. For marginality our coding was based around the following: </w:t>
      </w:r>
      <w:r w:rsidR="00376535" w:rsidRPr="00EC6A08">
        <w:rPr>
          <w:rFonts w:ascii="Garamond" w:hAnsi="Garamond" w:cs="Times New Roman"/>
          <w:sz w:val="24"/>
          <w:szCs w:val="24"/>
        </w:rPr>
        <w:t xml:space="preserve">a </w:t>
      </w:r>
      <w:r w:rsidRPr="00EC6A08">
        <w:rPr>
          <w:rFonts w:ascii="Garamond" w:hAnsi="Garamond" w:cs="Times New Roman"/>
          <w:sz w:val="24"/>
          <w:szCs w:val="24"/>
        </w:rPr>
        <w:t xml:space="preserve">majority </w:t>
      </w:r>
      <w:r w:rsidR="00376535" w:rsidRPr="00EC6A08">
        <w:rPr>
          <w:rFonts w:ascii="Garamond" w:hAnsi="Garamond" w:cs="Times New Roman"/>
          <w:sz w:val="24"/>
          <w:szCs w:val="24"/>
        </w:rPr>
        <w:t>less than or equal to</w:t>
      </w:r>
      <w:r w:rsidRPr="00EC6A08">
        <w:rPr>
          <w:rFonts w:ascii="Garamond" w:hAnsi="Garamond" w:cs="Times New Roman"/>
          <w:sz w:val="24"/>
          <w:szCs w:val="24"/>
        </w:rPr>
        <w:t xml:space="preserve"> 5,000; </w:t>
      </w:r>
      <w:r w:rsidR="00376535" w:rsidRPr="00EC6A08">
        <w:rPr>
          <w:rFonts w:ascii="Garamond" w:hAnsi="Garamond" w:cs="Times New Roman"/>
          <w:sz w:val="24"/>
          <w:szCs w:val="24"/>
        </w:rPr>
        <w:t xml:space="preserve">a </w:t>
      </w:r>
      <w:r w:rsidRPr="00EC6A08">
        <w:rPr>
          <w:rFonts w:ascii="Garamond" w:hAnsi="Garamond" w:cs="Times New Roman"/>
          <w:sz w:val="24"/>
          <w:szCs w:val="24"/>
        </w:rPr>
        <w:t xml:space="preserve">majority between 5,001 and 10,000 and then the safest seats – i.e. those with majorities over 10,000. </w:t>
      </w:r>
    </w:p>
    <w:p w14:paraId="1E0699F3" w14:textId="77777777" w:rsidR="009D073C" w:rsidRPr="00EC6A08" w:rsidRDefault="009D073C" w:rsidP="009D073C">
      <w:pPr>
        <w:spacing w:after="0" w:line="360" w:lineRule="auto"/>
        <w:jc w:val="both"/>
        <w:rPr>
          <w:rFonts w:ascii="Garamond" w:hAnsi="Garamond" w:cs="Times New Roman"/>
          <w:sz w:val="24"/>
          <w:szCs w:val="24"/>
        </w:rPr>
      </w:pPr>
    </w:p>
    <w:p w14:paraId="6165F88B" w14:textId="24DAA9AE" w:rsidR="001D0E87" w:rsidRPr="00EC6A08" w:rsidRDefault="009D073C" w:rsidP="009D073C">
      <w:pPr>
        <w:spacing w:after="0" w:line="360" w:lineRule="auto"/>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lang w:eastAsia="en-GB"/>
        </w:rPr>
        <w:t>With respect to our social and political backg</w:t>
      </w:r>
      <w:r w:rsidR="00864CBA" w:rsidRPr="00EC6A08">
        <w:rPr>
          <w:rFonts w:ascii="Garamond" w:eastAsia="Times New Roman" w:hAnsi="Garamond" w:cs="Times New Roman"/>
          <w:sz w:val="24"/>
          <w:szCs w:val="24"/>
          <w:lang w:eastAsia="en-GB"/>
        </w:rPr>
        <w:t>round variables we acquired d</w:t>
      </w:r>
      <w:r w:rsidRPr="00EC6A08">
        <w:rPr>
          <w:rFonts w:ascii="Garamond" w:eastAsia="Times New Roman" w:hAnsi="Garamond" w:cs="Times New Roman"/>
          <w:sz w:val="24"/>
          <w:szCs w:val="24"/>
          <w:lang w:eastAsia="en-GB"/>
        </w:rPr>
        <w:t>ata that enabled us to catego</w:t>
      </w:r>
      <w:r w:rsidR="00E144FB" w:rsidRPr="00EC6A08">
        <w:rPr>
          <w:rFonts w:ascii="Garamond" w:eastAsia="Times New Roman" w:hAnsi="Garamond" w:cs="Times New Roman"/>
          <w:sz w:val="24"/>
          <w:szCs w:val="24"/>
          <w:lang w:eastAsia="en-GB"/>
        </w:rPr>
        <w:t>rise and code on age</w:t>
      </w:r>
      <w:r w:rsidRPr="00EC6A08">
        <w:rPr>
          <w:rFonts w:ascii="Garamond" w:eastAsia="Times New Roman" w:hAnsi="Garamond" w:cs="Times New Roman"/>
          <w:sz w:val="24"/>
          <w:szCs w:val="24"/>
          <w:lang w:eastAsia="en-GB"/>
        </w:rPr>
        <w:t xml:space="preserve">, year of entry, region, marginality and main competition, by trawling through the parliamentary profiles of each Labour parliamentarian as listed in the Parliament website – see </w:t>
      </w:r>
      <w:hyperlink r:id="rId9" w:history="1">
        <w:r w:rsidRPr="00EC6A08">
          <w:rPr>
            <w:rStyle w:val="Hyperlink"/>
            <w:rFonts w:ascii="Garamond" w:eastAsia="Calibri" w:hAnsi="Garamond" w:cs="Times New Roman"/>
            <w:color w:val="auto"/>
            <w:sz w:val="24"/>
            <w:szCs w:val="24"/>
            <w:u w:val="single"/>
            <w:lang w:eastAsia="en-GB"/>
          </w:rPr>
          <w:t>http://www.parliament.uk/mps-lords-and-offices/mps/</w:t>
        </w:r>
      </w:hyperlink>
      <w:r w:rsidRPr="00EC6A08">
        <w:rPr>
          <w:rFonts w:ascii="Garamond" w:eastAsia="Calibri" w:hAnsi="Garamond" w:cs="Times New Roman"/>
          <w:sz w:val="24"/>
          <w:szCs w:val="24"/>
          <w:lang w:eastAsia="en-GB"/>
        </w:rPr>
        <w:t xml:space="preserve">. We were able to code the position of CLPs as their endorsements were publicly declared and lists were made available at labour list – see </w:t>
      </w:r>
      <w:hyperlink r:id="rId10" w:history="1">
        <w:r w:rsidRPr="00EC6A08">
          <w:rPr>
            <w:rStyle w:val="Hyperlink"/>
            <w:rFonts w:ascii="Garamond" w:hAnsi="Garamond" w:cs="Times New Roman"/>
            <w:color w:val="auto"/>
            <w:sz w:val="24"/>
            <w:szCs w:val="24"/>
          </w:rPr>
          <w:t>http://labourlist.org/2016/07/which-constituencies-have-had-confidence-votes-in-jeremy-corbyns-leadership/</w:t>
        </w:r>
      </w:hyperlink>
      <w:r w:rsidRPr="00EC6A08">
        <w:rPr>
          <w:rFonts w:ascii="Garamond" w:hAnsi="Garamond" w:cs="Times New Roman"/>
          <w:sz w:val="24"/>
          <w:szCs w:val="24"/>
        </w:rPr>
        <w:t xml:space="preserve">. </w:t>
      </w:r>
      <w:r w:rsidR="00A23ADB" w:rsidRPr="00EC6A08">
        <w:rPr>
          <w:rFonts w:ascii="Garamond" w:hAnsi="Garamond" w:cs="Times New Roman"/>
          <w:sz w:val="24"/>
          <w:szCs w:val="24"/>
        </w:rPr>
        <w:t xml:space="preserve">Coding </w:t>
      </w:r>
      <w:r w:rsidR="00D163BC" w:rsidRPr="00EC6A08">
        <w:rPr>
          <w:rFonts w:ascii="Garamond" w:hAnsi="Garamond" w:cs="Times New Roman"/>
          <w:sz w:val="24"/>
          <w:szCs w:val="24"/>
        </w:rPr>
        <w:t xml:space="preserve">for </w:t>
      </w:r>
      <w:r w:rsidR="00A23ADB" w:rsidRPr="00EC6A08">
        <w:rPr>
          <w:rFonts w:ascii="Garamond" w:hAnsi="Garamond" w:cs="Times New Roman"/>
          <w:sz w:val="24"/>
          <w:szCs w:val="24"/>
        </w:rPr>
        <w:t xml:space="preserve">the loyalty list was straightforward as full listings were printed in the </w:t>
      </w:r>
      <w:r w:rsidR="00A23ADB" w:rsidRPr="00EC6A08">
        <w:rPr>
          <w:rFonts w:ascii="Garamond" w:hAnsi="Garamond" w:cs="Times New Roman"/>
          <w:i/>
          <w:sz w:val="24"/>
          <w:szCs w:val="24"/>
        </w:rPr>
        <w:t>Guardian</w:t>
      </w:r>
      <w:r w:rsidR="00A23ADB" w:rsidRPr="00EC6A08">
        <w:rPr>
          <w:rFonts w:ascii="Garamond" w:hAnsi="Garamond"/>
          <w:sz w:val="24"/>
          <w:szCs w:val="24"/>
          <w:lang w:val="en"/>
        </w:rPr>
        <w:t xml:space="preserve">, </w:t>
      </w:r>
      <w:r w:rsidR="001F3FB4" w:rsidRPr="00EC6A08">
        <w:rPr>
          <w:rFonts w:ascii="Garamond" w:hAnsi="Garamond"/>
          <w:sz w:val="24"/>
          <w:szCs w:val="24"/>
          <w:lang w:val="en"/>
        </w:rPr>
        <w:t xml:space="preserve">showing that breakdown </w:t>
      </w:r>
      <w:r w:rsidR="00411808" w:rsidRPr="00EC6A08">
        <w:rPr>
          <w:rFonts w:ascii="Garamond" w:hAnsi="Garamond"/>
          <w:sz w:val="24"/>
          <w:szCs w:val="24"/>
          <w:lang w:val="en"/>
        </w:rPr>
        <w:t>to be as follows: 74 as loyal</w:t>
      </w:r>
      <w:r w:rsidR="00376535" w:rsidRPr="00EC6A08">
        <w:rPr>
          <w:rFonts w:ascii="Garamond" w:hAnsi="Garamond"/>
          <w:sz w:val="24"/>
          <w:szCs w:val="24"/>
          <w:lang w:val="en"/>
        </w:rPr>
        <w:t xml:space="preserve"> (either listed as ‘core group </w:t>
      </w:r>
      <w:proofErr w:type="spellStart"/>
      <w:r w:rsidR="00376535" w:rsidRPr="00EC6A08">
        <w:rPr>
          <w:rFonts w:ascii="Garamond" w:hAnsi="Garamond"/>
          <w:sz w:val="24"/>
          <w:szCs w:val="24"/>
          <w:lang w:val="en"/>
        </w:rPr>
        <w:t>plus’</w:t>
      </w:r>
      <w:proofErr w:type="spellEnd"/>
      <w:r w:rsidR="00376535" w:rsidRPr="00EC6A08">
        <w:rPr>
          <w:rFonts w:ascii="Garamond" w:hAnsi="Garamond"/>
          <w:sz w:val="24"/>
          <w:szCs w:val="24"/>
          <w:lang w:val="en"/>
        </w:rPr>
        <w:t xml:space="preserve"> or ‘core group’)</w:t>
      </w:r>
      <w:r w:rsidR="001F3FB4" w:rsidRPr="00EC6A08">
        <w:rPr>
          <w:rFonts w:ascii="Garamond" w:hAnsi="Garamond"/>
          <w:sz w:val="24"/>
          <w:szCs w:val="24"/>
          <w:lang w:val="en"/>
        </w:rPr>
        <w:t>; 68 as neutral, and 79 as hostile (</w:t>
      </w:r>
      <w:r w:rsidR="00376535" w:rsidRPr="00EC6A08">
        <w:rPr>
          <w:rFonts w:ascii="Garamond" w:hAnsi="Garamond"/>
          <w:sz w:val="24"/>
          <w:szCs w:val="24"/>
          <w:lang w:val="en"/>
        </w:rPr>
        <w:t xml:space="preserve">listed as ‘core group hostile’ or ‘hostile’ - </w:t>
      </w:r>
      <w:r w:rsidR="001F3FB4" w:rsidRPr="00EC6A08">
        <w:rPr>
          <w:rFonts w:ascii="Garamond" w:hAnsi="Garamond"/>
          <w:sz w:val="24"/>
          <w:szCs w:val="24"/>
          <w:lang w:val="en"/>
        </w:rPr>
        <w:t>with an additional 9 not placed)</w:t>
      </w:r>
      <w:r w:rsidR="00A23ADB" w:rsidRPr="00EC6A08">
        <w:rPr>
          <w:rFonts w:ascii="Garamond" w:eastAsia="Times New Roman" w:hAnsi="Garamond" w:cs="Times New Roman"/>
          <w:sz w:val="24"/>
          <w:szCs w:val="24"/>
          <w:shd w:val="clear" w:color="auto" w:fill="FFFFFF"/>
          <w:lang w:eastAsia="en-GB"/>
        </w:rPr>
        <w:t xml:space="preserve"> </w:t>
      </w:r>
      <w:r w:rsidR="007347DC" w:rsidRPr="00EC6A08">
        <w:rPr>
          <w:rFonts w:ascii="Garamond" w:hAnsi="Garamond" w:cs="Times New Roman"/>
          <w:sz w:val="24"/>
          <w:szCs w:val="24"/>
        </w:rPr>
        <w:t>(</w:t>
      </w:r>
      <w:r w:rsidR="001D0E87" w:rsidRPr="00EC6A08">
        <w:rPr>
          <w:rFonts w:ascii="Garamond" w:hAnsi="Garamond"/>
          <w:sz w:val="24"/>
          <w:szCs w:val="24"/>
          <w:lang w:val="en"/>
        </w:rPr>
        <w:t xml:space="preserve">Asthana and Stewart, 2016). </w:t>
      </w:r>
      <w:r w:rsidR="00EB6028" w:rsidRPr="00EC6A08">
        <w:rPr>
          <w:rFonts w:ascii="Garamond" w:hAnsi="Garamond"/>
          <w:sz w:val="24"/>
          <w:szCs w:val="24"/>
          <w:lang w:val="en"/>
        </w:rPr>
        <w:t>On Trade U</w:t>
      </w:r>
      <w:r w:rsidR="001D0E87" w:rsidRPr="00EC6A08">
        <w:rPr>
          <w:rFonts w:ascii="Garamond" w:hAnsi="Garamond"/>
          <w:sz w:val="24"/>
          <w:szCs w:val="24"/>
          <w:lang w:val="en"/>
        </w:rPr>
        <w:t xml:space="preserve">nion membership we relied on public declarations by </w:t>
      </w:r>
      <w:proofErr w:type="spellStart"/>
      <w:r w:rsidR="001D0E87" w:rsidRPr="00EC6A08">
        <w:rPr>
          <w:rFonts w:ascii="Garamond" w:hAnsi="Garamond"/>
          <w:sz w:val="24"/>
          <w:szCs w:val="24"/>
          <w:lang w:val="en"/>
        </w:rPr>
        <w:t>Labour</w:t>
      </w:r>
      <w:proofErr w:type="spellEnd"/>
      <w:r w:rsidR="001D0E87" w:rsidRPr="00EC6A08">
        <w:rPr>
          <w:rFonts w:ascii="Garamond" w:hAnsi="Garamond"/>
          <w:sz w:val="24"/>
          <w:szCs w:val="24"/>
          <w:lang w:val="en"/>
        </w:rPr>
        <w:t xml:space="preserve"> parliamentarians, identifiable by exhaustive research of personal websites, social media and articles or interviews made in the mainstream media. </w:t>
      </w:r>
    </w:p>
    <w:p w14:paraId="2D909CC9" w14:textId="77777777" w:rsidR="00DA135B" w:rsidRPr="00EC6A08" w:rsidRDefault="00DA135B" w:rsidP="009D073C">
      <w:pPr>
        <w:spacing w:after="0" w:line="360" w:lineRule="auto"/>
        <w:jc w:val="both"/>
        <w:rPr>
          <w:rFonts w:ascii="Garamond" w:hAnsi="Garamond" w:cs="Times New Roman"/>
          <w:sz w:val="24"/>
          <w:szCs w:val="24"/>
        </w:rPr>
      </w:pPr>
    </w:p>
    <w:p w14:paraId="7D695D93" w14:textId="6C6F33F6" w:rsidR="009D073C" w:rsidRPr="00EC6A08" w:rsidRDefault="009D073C" w:rsidP="009D073C">
      <w:pPr>
        <w:spacing w:after="0" w:line="360" w:lineRule="auto"/>
        <w:jc w:val="both"/>
        <w:rPr>
          <w:rFonts w:ascii="Garamond" w:eastAsia="Calibri" w:hAnsi="Garamond" w:cs="Times New Roman"/>
          <w:sz w:val="24"/>
          <w:szCs w:val="24"/>
          <w:lang w:eastAsia="en-GB"/>
        </w:rPr>
      </w:pPr>
      <w:r w:rsidRPr="00EC6A08">
        <w:rPr>
          <w:rFonts w:ascii="Garamond" w:hAnsi="Garamond" w:cs="Times New Roman"/>
          <w:sz w:val="24"/>
          <w:szCs w:val="24"/>
        </w:rPr>
        <w:t>Our approach was different with regard to our ideological variab</w:t>
      </w:r>
      <w:r w:rsidR="00D163BC" w:rsidRPr="00EC6A08">
        <w:rPr>
          <w:rFonts w:ascii="Garamond" w:hAnsi="Garamond" w:cs="Times New Roman"/>
          <w:sz w:val="24"/>
          <w:szCs w:val="24"/>
        </w:rPr>
        <w:t>les. On continued EU</w:t>
      </w:r>
      <w:r w:rsidRPr="00EC6A08">
        <w:rPr>
          <w:rFonts w:ascii="Garamond" w:hAnsi="Garamond" w:cs="Times New Roman"/>
          <w:sz w:val="24"/>
          <w:szCs w:val="24"/>
        </w:rPr>
        <w:t xml:space="preserve"> membership we differentiated between Labour parliamentarians who campaigned for remain and leave in the June 2016 referendum, with an added category of undeclared included for those who kept their opinion private. This data was relatively easy to construct as the vast majority of PLP members stated whether they were leavers or remain advocates on their constituency websites </w:t>
      </w:r>
      <w:r w:rsidRPr="00EC6A08">
        <w:rPr>
          <w:rFonts w:ascii="Garamond" w:hAnsi="Garamond" w:cs="Times New Roman"/>
          <w:sz w:val="24"/>
          <w:szCs w:val="24"/>
        </w:rPr>
        <w:lastRenderedPageBreak/>
        <w:t>(also a high proportion of them were publicly aligned to one of the following groups – Labour Leave (</w:t>
      </w:r>
      <w:hyperlink r:id="rId11" w:history="1">
        <w:r w:rsidRPr="00EC6A08">
          <w:rPr>
            <w:rStyle w:val="Hyperlink"/>
            <w:rFonts w:ascii="Garamond" w:hAnsi="Garamond" w:cs="Times New Roman"/>
            <w:color w:val="auto"/>
            <w:sz w:val="24"/>
            <w:szCs w:val="24"/>
          </w:rPr>
          <w:t>www.labourleave.org</w:t>
        </w:r>
      </w:hyperlink>
      <w:r w:rsidRPr="00EC6A08">
        <w:rPr>
          <w:rFonts w:ascii="Garamond" w:hAnsi="Garamond" w:cs="Times New Roman"/>
          <w:sz w:val="24"/>
          <w:szCs w:val="24"/>
        </w:rPr>
        <w:t>) and Labour in for Britain (</w:t>
      </w:r>
      <w:hyperlink r:id="rId12" w:history="1">
        <w:r w:rsidRPr="00EC6A08">
          <w:rPr>
            <w:rStyle w:val="Hyperlink"/>
            <w:rFonts w:ascii="Garamond" w:hAnsi="Garamond" w:cs="Times New Roman"/>
            <w:color w:val="auto"/>
            <w:sz w:val="24"/>
            <w:szCs w:val="24"/>
          </w:rPr>
          <w:t>www.labourinforbritain.org.uk</w:t>
        </w:r>
      </w:hyperlink>
      <w:r w:rsidRPr="00EC6A08">
        <w:rPr>
          <w:rFonts w:ascii="Garamond" w:hAnsi="Garamond" w:cs="Times New Roman"/>
          <w:sz w:val="24"/>
          <w:szCs w:val="24"/>
        </w:rPr>
        <w:t>)</w:t>
      </w:r>
      <w:r w:rsidR="006A4914" w:rsidRPr="00EC6A08">
        <w:rPr>
          <w:rFonts w:ascii="Garamond" w:hAnsi="Garamond" w:cs="Times New Roman"/>
          <w:sz w:val="24"/>
          <w:szCs w:val="24"/>
        </w:rPr>
        <w:t>)</w:t>
      </w:r>
      <w:r w:rsidRPr="00EC6A08">
        <w:rPr>
          <w:rFonts w:ascii="Garamond" w:hAnsi="Garamond" w:cs="Times New Roman"/>
          <w:sz w:val="24"/>
          <w:szCs w:val="24"/>
        </w:rPr>
        <w:t>. On immigration we identified and coded Labour parliamentarians as either first, open door immigration should be viewed as desirable, second, reluctant advocates of controls and third, neutral/unknown. We determined the views of Labour parliamentarians by examining statements posted on each of them on their constituency webpages. We selected the issue of air strikes against so called Islamic State – on which the House of Commons voted in favour of in December 2015 – as Labour parliamentarians were granted a free vote and a significant proportion of them voted with the government or abstained, rather than vote against as Corbyn</w:t>
      </w:r>
      <w:r w:rsidR="00D163BC" w:rsidRPr="00EC6A08">
        <w:rPr>
          <w:rFonts w:ascii="Garamond" w:hAnsi="Garamond" w:cs="Times New Roman"/>
          <w:sz w:val="24"/>
          <w:szCs w:val="24"/>
        </w:rPr>
        <w:t xml:space="preserve"> did</w:t>
      </w:r>
      <w:r w:rsidRPr="00EC6A08">
        <w:rPr>
          <w:rFonts w:ascii="Garamond" w:hAnsi="Garamond" w:cs="Times New Roman"/>
          <w:sz w:val="24"/>
          <w:szCs w:val="24"/>
        </w:rPr>
        <w:t>. We thereby coded PLP members as voting with the government, abstaining or voting with Corbyn, with that data obtained from the division lists published by Hansard online (HC Deb, 2 December 2015). Finally, we selected the issue of the renewal of Trident from the parliamentary debate and division of July 2016, where once again the PLP</w:t>
      </w:r>
      <w:r w:rsidR="00864CBA" w:rsidRPr="00EC6A08">
        <w:rPr>
          <w:rFonts w:ascii="Garamond" w:hAnsi="Garamond" w:cs="Times New Roman"/>
          <w:sz w:val="24"/>
          <w:szCs w:val="24"/>
        </w:rPr>
        <w:t xml:space="preserve"> was split down the middle. Here </w:t>
      </w:r>
      <w:r w:rsidRPr="00EC6A08">
        <w:rPr>
          <w:rFonts w:ascii="Garamond" w:hAnsi="Garamond" w:cs="Times New Roman"/>
          <w:sz w:val="24"/>
          <w:szCs w:val="24"/>
        </w:rPr>
        <w:t>we code</w:t>
      </w:r>
      <w:r w:rsidR="00864CBA" w:rsidRPr="00EC6A08">
        <w:rPr>
          <w:rFonts w:ascii="Garamond" w:hAnsi="Garamond" w:cs="Times New Roman"/>
          <w:sz w:val="24"/>
          <w:szCs w:val="24"/>
        </w:rPr>
        <w:t>d</w:t>
      </w:r>
      <w:r w:rsidRPr="00EC6A08">
        <w:rPr>
          <w:rFonts w:ascii="Garamond" w:hAnsi="Garamond" w:cs="Times New Roman"/>
          <w:sz w:val="24"/>
          <w:szCs w:val="24"/>
        </w:rPr>
        <w:t xml:space="preserve"> according to those PLP members who voted with the government, those who abstained, and those who took the Corbyn position of opposing renewal – again we used the published division lists from Hansard (HC Deb, 16 July 2016). </w:t>
      </w:r>
    </w:p>
    <w:p w14:paraId="4E37BB40" w14:textId="77777777" w:rsidR="009D073C" w:rsidRPr="00EC6A08" w:rsidRDefault="009D073C" w:rsidP="009D073C">
      <w:pPr>
        <w:spacing w:after="0" w:line="360" w:lineRule="auto"/>
        <w:rPr>
          <w:rFonts w:ascii="Garamond" w:hAnsi="Garamond" w:cs="Times New Roman"/>
          <w:b/>
          <w:sz w:val="24"/>
          <w:szCs w:val="24"/>
        </w:rPr>
      </w:pPr>
    </w:p>
    <w:p w14:paraId="587B9934" w14:textId="77777777" w:rsidR="006058A7" w:rsidRPr="00EC6A08" w:rsidRDefault="009D073C" w:rsidP="009D073C">
      <w:pPr>
        <w:spacing w:after="0" w:line="360" w:lineRule="auto"/>
        <w:jc w:val="both"/>
        <w:rPr>
          <w:rFonts w:ascii="Garamond" w:hAnsi="Garamond" w:cs="Times New Roman"/>
          <w:b/>
          <w:sz w:val="24"/>
          <w:szCs w:val="24"/>
        </w:rPr>
      </w:pPr>
      <w:r w:rsidRPr="00EC6A08">
        <w:rPr>
          <w:rFonts w:ascii="Garamond" w:hAnsi="Garamond" w:cs="Times New Roman"/>
          <w:b/>
          <w:sz w:val="24"/>
          <w:szCs w:val="24"/>
        </w:rPr>
        <w:t>Research Findings</w:t>
      </w:r>
      <w:r w:rsidRPr="00EC6A08">
        <w:rPr>
          <w:rFonts w:ascii="Garamond" w:hAnsi="Garamond" w:cs="Times New Roman"/>
          <w:b/>
          <w:sz w:val="24"/>
          <w:szCs w:val="24"/>
        </w:rPr>
        <w:tab/>
      </w:r>
    </w:p>
    <w:p w14:paraId="6511494C" w14:textId="77777777" w:rsidR="006058A7" w:rsidRPr="00EC6A08" w:rsidRDefault="006058A7" w:rsidP="009D073C">
      <w:pPr>
        <w:spacing w:after="0" w:line="360" w:lineRule="auto"/>
        <w:jc w:val="both"/>
        <w:rPr>
          <w:rFonts w:ascii="Garamond" w:hAnsi="Garamond" w:cs="Times New Roman"/>
          <w:b/>
          <w:sz w:val="28"/>
          <w:szCs w:val="28"/>
        </w:rPr>
      </w:pPr>
    </w:p>
    <w:p w14:paraId="2810B99A" w14:textId="535F9698" w:rsidR="00FE3678" w:rsidRPr="00EC6A08" w:rsidRDefault="00D163BC" w:rsidP="00FE3678">
      <w:pPr>
        <w:shd w:val="clear" w:color="auto" w:fill="FFFFFF"/>
        <w:spacing w:after="0" w:line="360" w:lineRule="auto"/>
        <w:jc w:val="both"/>
        <w:textAlignment w:val="center"/>
        <w:rPr>
          <w:rFonts w:ascii="Garamond" w:hAnsi="Garamond"/>
          <w:sz w:val="24"/>
          <w:szCs w:val="24"/>
        </w:rPr>
      </w:pPr>
      <w:r w:rsidRPr="00EC6A08">
        <w:rPr>
          <w:rFonts w:ascii="Garamond" w:eastAsia="Times New Roman" w:hAnsi="Garamond" w:cs="Times New Roman"/>
          <w:sz w:val="24"/>
          <w:szCs w:val="24"/>
          <w:lang w:eastAsia="en-GB"/>
        </w:rPr>
        <w:t>T</w:t>
      </w:r>
      <w:r w:rsidR="006058A7" w:rsidRPr="00EC6A08">
        <w:rPr>
          <w:rFonts w:ascii="Garamond" w:eastAsia="Times New Roman" w:hAnsi="Garamond" w:cs="Times New Roman"/>
          <w:sz w:val="24"/>
          <w:szCs w:val="24"/>
          <w:lang w:eastAsia="en-GB"/>
        </w:rPr>
        <w:t xml:space="preserve">able </w:t>
      </w:r>
      <w:r w:rsidR="00DA3895" w:rsidRPr="00EC6A08">
        <w:rPr>
          <w:rFonts w:ascii="Garamond" w:eastAsia="Times New Roman" w:hAnsi="Garamond" w:cs="Times New Roman"/>
          <w:sz w:val="24"/>
          <w:szCs w:val="24"/>
          <w:lang w:eastAsia="en-GB"/>
        </w:rPr>
        <w:t>one</w:t>
      </w:r>
      <w:r w:rsidR="006058A7" w:rsidRPr="00EC6A08">
        <w:rPr>
          <w:rFonts w:ascii="Garamond" w:eastAsia="Times New Roman" w:hAnsi="Garamond" w:cs="Times New Roman"/>
          <w:sz w:val="24"/>
          <w:szCs w:val="24"/>
          <w:lang w:eastAsia="en-GB"/>
        </w:rPr>
        <w:t xml:space="preserve"> </w:t>
      </w:r>
      <w:proofErr w:type="gramStart"/>
      <w:r w:rsidR="00DA3895" w:rsidRPr="00EC6A08">
        <w:rPr>
          <w:rFonts w:ascii="Garamond" w:eastAsia="Times New Roman" w:hAnsi="Garamond" w:cs="Times New Roman"/>
          <w:sz w:val="24"/>
          <w:szCs w:val="24"/>
          <w:lang w:eastAsia="en-GB"/>
        </w:rPr>
        <w:t>report</w:t>
      </w:r>
      <w:r w:rsidRPr="00EC6A08">
        <w:rPr>
          <w:rFonts w:ascii="Garamond" w:eastAsia="Times New Roman" w:hAnsi="Garamond" w:cs="Times New Roman"/>
          <w:sz w:val="24"/>
          <w:szCs w:val="24"/>
          <w:lang w:eastAsia="en-GB"/>
        </w:rPr>
        <w:t>s</w:t>
      </w:r>
      <w:proofErr w:type="gramEnd"/>
      <w:r w:rsidR="006058A7" w:rsidRPr="00EC6A08">
        <w:rPr>
          <w:rFonts w:ascii="Garamond" w:eastAsia="Times New Roman" w:hAnsi="Garamond" w:cs="Times New Roman"/>
          <w:sz w:val="24"/>
          <w:szCs w:val="24"/>
          <w:lang w:eastAsia="en-GB"/>
        </w:rPr>
        <w:t xml:space="preserve"> at the basic level of descriptive </w:t>
      </w:r>
      <w:r w:rsidR="00DA3895" w:rsidRPr="00EC6A08">
        <w:rPr>
          <w:rFonts w:ascii="Garamond" w:eastAsia="Times New Roman" w:hAnsi="Garamond" w:cs="Times New Roman"/>
          <w:sz w:val="24"/>
          <w:szCs w:val="24"/>
          <w:lang w:eastAsia="en-GB"/>
        </w:rPr>
        <w:t>statistics the pattern of support for Corbyn in the confidence motion in relation to</w:t>
      </w:r>
      <w:r w:rsidR="006058A7" w:rsidRPr="00EC6A08">
        <w:rPr>
          <w:rFonts w:ascii="Garamond" w:eastAsia="Times New Roman" w:hAnsi="Garamond" w:cs="Times New Roman"/>
          <w:sz w:val="24"/>
          <w:szCs w:val="24"/>
          <w:lang w:eastAsia="en-GB"/>
        </w:rPr>
        <w:t xml:space="preserve"> the variables that we were considering. </w:t>
      </w:r>
      <w:r w:rsidR="00FE3678" w:rsidRPr="00EC6A08">
        <w:rPr>
          <w:rFonts w:ascii="Garamond" w:hAnsi="Garamond"/>
          <w:sz w:val="24"/>
          <w:szCs w:val="24"/>
        </w:rPr>
        <w:t>Table two shows the output for our logistic regression model examining the relationship between our social, political, and ideological variables and support for Corbyn in the confidence vote. It shows the increased likelihood of voting for Corbyn in the leadership election, relative to the reference category for each variable.</w:t>
      </w:r>
    </w:p>
    <w:p w14:paraId="747AC699" w14:textId="77777777" w:rsidR="00C06DE1" w:rsidRPr="00EC6A08" w:rsidRDefault="00C06DE1" w:rsidP="00E02108">
      <w:pPr>
        <w:spacing w:after="0" w:line="360" w:lineRule="auto"/>
        <w:jc w:val="both"/>
        <w:rPr>
          <w:rFonts w:ascii="Garamond" w:hAnsi="Garamond" w:cs="Times New Roman"/>
          <w:sz w:val="24"/>
          <w:szCs w:val="24"/>
        </w:rPr>
      </w:pPr>
    </w:p>
    <w:p w14:paraId="1E5422F2" w14:textId="77777777" w:rsidR="00E02108" w:rsidRPr="00EC6A08" w:rsidRDefault="00E02108" w:rsidP="00E02108">
      <w:pPr>
        <w:spacing w:after="0" w:line="360" w:lineRule="auto"/>
        <w:jc w:val="center"/>
        <w:rPr>
          <w:rFonts w:ascii="Garamond" w:eastAsia="Times New Roman" w:hAnsi="Garamond"/>
          <w:b/>
          <w:sz w:val="24"/>
          <w:szCs w:val="24"/>
          <w:lang w:eastAsia="en-GB"/>
        </w:rPr>
      </w:pPr>
      <w:r w:rsidRPr="00EC6A08">
        <w:rPr>
          <w:rFonts w:ascii="Garamond" w:hAnsi="Garamond"/>
          <w:b/>
          <w:sz w:val="24"/>
          <w:szCs w:val="24"/>
        </w:rPr>
        <w:t xml:space="preserve">Table One: </w:t>
      </w:r>
      <w:r w:rsidRPr="00EC6A08">
        <w:rPr>
          <w:rFonts w:ascii="Garamond" w:eastAsia="Times New Roman" w:hAnsi="Garamond"/>
          <w:b/>
          <w:sz w:val="24"/>
          <w:szCs w:val="24"/>
          <w:lang w:eastAsia="en-GB"/>
        </w:rPr>
        <w:t xml:space="preserve">Opinion and Opposition in the PLP Confidence Motion of 2016: </w:t>
      </w:r>
    </w:p>
    <w:p w14:paraId="0FD50780" w14:textId="7A8D6495" w:rsidR="00E02023" w:rsidRPr="00EC6A08" w:rsidRDefault="00E02108" w:rsidP="00E02023">
      <w:pPr>
        <w:spacing w:after="0" w:line="360" w:lineRule="auto"/>
        <w:jc w:val="center"/>
        <w:rPr>
          <w:rFonts w:ascii="Garamond" w:eastAsia="Times New Roman" w:hAnsi="Garamond"/>
          <w:sz w:val="24"/>
          <w:szCs w:val="24"/>
          <w:lang w:eastAsia="en-GB"/>
        </w:rPr>
      </w:pPr>
      <w:r w:rsidRPr="00EC6A08">
        <w:rPr>
          <w:rFonts w:ascii="Garamond" w:eastAsia="Times New Roman" w:hAnsi="Garamond"/>
          <w:b/>
          <w:sz w:val="24"/>
          <w:szCs w:val="24"/>
          <w:lang w:eastAsia="en-GB"/>
        </w:rPr>
        <w:t>Social, Political and Ideological Determinants</w:t>
      </w:r>
      <w:r w:rsidR="00E02023" w:rsidRPr="00EC6A08">
        <w:rPr>
          <w:rFonts w:ascii="Garamond" w:eastAsia="Times New Roman" w:hAnsi="Garamond"/>
          <w:sz w:val="24"/>
          <w:szCs w:val="24"/>
          <w:lang w:eastAsia="en-GB"/>
        </w:rPr>
        <w:t xml:space="preserve">  </w:t>
      </w:r>
    </w:p>
    <w:p w14:paraId="1D5892FB" w14:textId="77777777" w:rsidR="00E02023" w:rsidRPr="00EC6A08" w:rsidRDefault="00E02023" w:rsidP="00E02023">
      <w:pPr>
        <w:spacing w:after="0" w:line="360" w:lineRule="auto"/>
        <w:jc w:val="center"/>
        <w:rPr>
          <w:rFonts w:ascii="Garamond" w:eastAsia="Times New Roman" w:hAnsi="Garamond"/>
          <w:sz w:val="24"/>
          <w:szCs w:val="24"/>
          <w:lang w:eastAsia="en-GB"/>
        </w:rPr>
      </w:pP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894"/>
        <w:gridCol w:w="1328"/>
      </w:tblGrid>
      <w:tr w:rsidR="00EC6A08" w:rsidRPr="00EC6A08" w14:paraId="498FD8D5" w14:textId="77777777" w:rsidTr="00404EAC">
        <w:trPr>
          <w:trHeight w:val="340"/>
          <w:jc w:val="center"/>
        </w:trPr>
        <w:tc>
          <w:tcPr>
            <w:tcW w:w="2689" w:type="dxa"/>
            <w:shd w:val="clear" w:color="auto" w:fill="auto"/>
            <w:noWrap/>
            <w:vAlign w:val="center"/>
            <w:hideMark/>
          </w:tcPr>
          <w:p w14:paraId="0C1156FF"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Variable</w:t>
            </w:r>
          </w:p>
        </w:tc>
        <w:tc>
          <w:tcPr>
            <w:tcW w:w="1842" w:type="dxa"/>
            <w:shd w:val="clear" w:color="auto" w:fill="auto"/>
            <w:noWrap/>
            <w:vAlign w:val="center"/>
            <w:hideMark/>
          </w:tcPr>
          <w:p w14:paraId="10431B01" w14:textId="2BD46500" w:rsidR="00E02108" w:rsidRPr="00EC6A08" w:rsidRDefault="00404EAC" w:rsidP="00404EAC">
            <w:pPr>
              <w:pStyle w:val="NoSpacing"/>
              <w:contextualSpacing/>
              <w:rPr>
                <w:rFonts w:ascii="Garamond" w:hAnsi="Garamond"/>
                <w:lang w:val="en-GB"/>
              </w:rPr>
            </w:pPr>
            <w:r w:rsidRPr="00EC6A08">
              <w:rPr>
                <w:rFonts w:ascii="Garamond" w:hAnsi="Garamond"/>
                <w:lang w:val="en-GB"/>
              </w:rPr>
              <w:t>Voted for Smith</w:t>
            </w:r>
          </w:p>
        </w:tc>
        <w:tc>
          <w:tcPr>
            <w:tcW w:w="1894" w:type="dxa"/>
            <w:vAlign w:val="center"/>
          </w:tcPr>
          <w:p w14:paraId="796FA8D6" w14:textId="690C1B2A" w:rsidR="00E02108" w:rsidRPr="00EC6A08" w:rsidRDefault="00404EAC" w:rsidP="00404EAC">
            <w:pPr>
              <w:pStyle w:val="NoSpacing"/>
              <w:contextualSpacing/>
              <w:jc w:val="center"/>
              <w:rPr>
                <w:rFonts w:ascii="Garamond" w:hAnsi="Garamond"/>
                <w:lang w:val="en-GB"/>
              </w:rPr>
            </w:pPr>
            <w:r w:rsidRPr="00EC6A08">
              <w:rPr>
                <w:rFonts w:ascii="Garamond" w:hAnsi="Garamond"/>
                <w:lang w:val="en-GB"/>
              </w:rPr>
              <w:t>Voted for Corbyn</w:t>
            </w:r>
          </w:p>
        </w:tc>
        <w:tc>
          <w:tcPr>
            <w:tcW w:w="1328" w:type="dxa"/>
            <w:shd w:val="clear" w:color="auto" w:fill="auto"/>
            <w:noWrap/>
            <w:vAlign w:val="center"/>
            <w:hideMark/>
          </w:tcPr>
          <w:p w14:paraId="4BAD11C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Total</w:t>
            </w:r>
          </w:p>
        </w:tc>
      </w:tr>
      <w:tr w:rsidR="00EC6A08" w:rsidRPr="00EC6A08" w14:paraId="31213BC2" w14:textId="77777777" w:rsidTr="00404EAC">
        <w:trPr>
          <w:trHeight w:val="320"/>
          <w:jc w:val="center"/>
        </w:trPr>
        <w:tc>
          <w:tcPr>
            <w:tcW w:w="2689" w:type="dxa"/>
            <w:shd w:val="clear" w:color="auto" w:fill="auto"/>
            <w:noWrap/>
            <w:vAlign w:val="bottom"/>
            <w:hideMark/>
          </w:tcPr>
          <w:p w14:paraId="35A1DBF3"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center"/>
            <w:hideMark/>
          </w:tcPr>
          <w:p w14:paraId="1D7FC78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190 (82.6%)</w:t>
            </w:r>
          </w:p>
        </w:tc>
        <w:tc>
          <w:tcPr>
            <w:tcW w:w="1894" w:type="dxa"/>
            <w:vAlign w:val="center"/>
          </w:tcPr>
          <w:p w14:paraId="4A156B9E"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40 (17.4%)</w:t>
            </w:r>
          </w:p>
        </w:tc>
        <w:tc>
          <w:tcPr>
            <w:tcW w:w="1328" w:type="dxa"/>
            <w:shd w:val="clear" w:color="auto" w:fill="auto"/>
            <w:noWrap/>
            <w:vAlign w:val="center"/>
            <w:hideMark/>
          </w:tcPr>
          <w:p w14:paraId="32CE586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230 (100%)</w:t>
            </w:r>
          </w:p>
        </w:tc>
      </w:tr>
      <w:tr w:rsidR="00EC6A08" w:rsidRPr="00EC6A08" w14:paraId="1CBEB7B5" w14:textId="77777777" w:rsidTr="00404EAC">
        <w:trPr>
          <w:trHeight w:val="320"/>
          <w:jc w:val="center"/>
        </w:trPr>
        <w:tc>
          <w:tcPr>
            <w:tcW w:w="2689" w:type="dxa"/>
            <w:shd w:val="clear" w:color="auto" w:fill="auto"/>
            <w:noWrap/>
            <w:vAlign w:val="center"/>
            <w:hideMark/>
          </w:tcPr>
          <w:p w14:paraId="62FE55FE" w14:textId="77777777" w:rsidR="00E02108" w:rsidRPr="00EC6A08" w:rsidRDefault="00E02108" w:rsidP="001D0E87">
            <w:pPr>
              <w:pStyle w:val="NoSpacing"/>
              <w:contextualSpacing/>
              <w:rPr>
                <w:rFonts w:ascii="Garamond" w:hAnsi="Garamond"/>
                <w:b/>
                <w:i/>
                <w:lang w:val="en-GB"/>
              </w:rPr>
            </w:pPr>
            <w:r w:rsidRPr="00EC6A08">
              <w:rPr>
                <w:rFonts w:ascii="Garamond" w:hAnsi="Garamond"/>
                <w:b/>
                <w:i/>
                <w:lang w:val="en-GB"/>
              </w:rPr>
              <w:t>Social</w:t>
            </w:r>
          </w:p>
        </w:tc>
        <w:tc>
          <w:tcPr>
            <w:tcW w:w="1842" w:type="dxa"/>
            <w:shd w:val="clear" w:color="auto" w:fill="auto"/>
            <w:noWrap/>
            <w:vAlign w:val="bottom"/>
            <w:hideMark/>
          </w:tcPr>
          <w:p w14:paraId="5235ED47"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79DCAE3B"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22150DCA" w14:textId="77777777" w:rsidR="00E02108" w:rsidRPr="00EC6A08" w:rsidRDefault="00E02108" w:rsidP="001D0E87">
            <w:pPr>
              <w:pStyle w:val="NoSpacing"/>
              <w:contextualSpacing/>
              <w:jc w:val="right"/>
              <w:rPr>
                <w:rFonts w:ascii="Garamond" w:hAnsi="Garamond"/>
                <w:lang w:val="en-GB"/>
              </w:rPr>
            </w:pPr>
          </w:p>
        </w:tc>
      </w:tr>
      <w:tr w:rsidR="00EC6A08" w:rsidRPr="00EC6A08" w14:paraId="53349061" w14:textId="77777777" w:rsidTr="00404EAC">
        <w:trPr>
          <w:trHeight w:val="320"/>
          <w:jc w:val="center"/>
        </w:trPr>
        <w:tc>
          <w:tcPr>
            <w:tcW w:w="2689" w:type="dxa"/>
            <w:shd w:val="clear" w:color="auto" w:fill="auto"/>
            <w:noWrap/>
            <w:vAlign w:val="bottom"/>
            <w:hideMark/>
          </w:tcPr>
          <w:p w14:paraId="5B9A4C81"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hideMark/>
          </w:tcPr>
          <w:p w14:paraId="4975E214"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4A6F04B6"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2014A617" w14:textId="77777777" w:rsidR="00E02108" w:rsidRPr="00EC6A08" w:rsidRDefault="00E02108" w:rsidP="001D0E87">
            <w:pPr>
              <w:pStyle w:val="NoSpacing"/>
              <w:contextualSpacing/>
              <w:jc w:val="right"/>
              <w:rPr>
                <w:rFonts w:ascii="Garamond" w:hAnsi="Garamond"/>
                <w:lang w:val="en-GB"/>
              </w:rPr>
            </w:pPr>
          </w:p>
        </w:tc>
      </w:tr>
      <w:tr w:rsidR="00EC6A08" w:rsidRPr="00EC6A08" w14:paraId="79F3308C" w14:textId="77777777" w:rsidTr="00404EAC">
        <w:trPr>
          <w:trHeight w:val="320"/>
          <w:jc w:val="center"/>
        </w:trPr>
        <w:tc>
          <w:tcPr>
            <w:tcW w:w="2689" w:type="dxa"/>
            <w:shd w:val="clear" w:color="auto" w:fill="auto"/>
            <w:noWrap/>
            <w:vAlign w:val="center"/>
            <w:hideMark/>
          </w:tcPr>
          <w:p w14:paraId="2293B2C8"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Gender</w:t>
            </w:r>
          </w:p>
        </w:tc>
        <w:tc>
          <w:tcPr>
            <w:tcW w:w="1842" w:type="dxa"/>
            <w:shd w:val="clear" w:color="auto" w:fill="auto"/>
            <w:noWrap/>
            <w:vAlign w:val="bottom"/>
            <w:hideMark/>
          </w:tcPr>
          <w:p w14:paraId="173E5875"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4DD44404"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63421A2E" w14:textId="77777777" w:rsidR="00E02108" w:rsidRPr="00EC6A08" w:rsidRDefault="00E02108" w:rsidP="001D0E87">
            <w:pPr>
              <w:pStyle w:val="NoSpacing"/>
              <w:contextualSpacing/>
              <w:jc w:val="right"/>
              <w:rPr>
                <w:rFonts w:ascii="Garamond" w:hAnsi="Garamond"/>
                <w:lang w:val="en-GB"/>
              </w:rPr>
            </w:pPr>
          </w:p>
        </w:tc>
      </w:tr>
      <w:tr w:rsidR="00EC6A08" w:rsidRPr="00EC6A08" w14:paraId="559B045B" w14:textId="77777777" w:rsidTr="00404EAC">
        <w:trPr>
          <w:trHeight w:val="320"/>
          <w:jc w:val="center"/>
        </w:trPr>
        <w:tc>
          <w:tcPr>
            <w:tcW w:w="2689" w:type="dxa"/>
            <w:shd w:val="clear" w:color="auto" w:fill="auto"/>
            <w:noWrap/>
            <w:vAlign w:val="center"/>
            <w:hideMark/>
          </w:tcPr>
          <w:p w14:paraId="6DC1F2E7"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Male</w:t>
            </w:r>
          </w:p>
        </w:tc>
        <w:tc>
          <w:tcPr>
            <w:tcW w:w="1842" w:type="dxa"/>
            <w:shd w:val="clear" w:color="auto" w:fill="auto"/>
            <w:noWrap/>
            <w:vAlign w:val="center"/>
            <w:hideMark/>
          </w:tcPr>
          <w:p w14:paraId="44907DD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109 (83.9%)</w:t>
            </w:r>
          </w:p>
        </w:tc>
        <w:tc>
          <w:tcPr>
            <w:tcW w:w="1894" w:type="dxa"/>
            <w:vAlign w:val="center"/>
          </w:tcPr>
          <w:p w14:paraId="763910CC"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21 (16.2%)</w:t>
            </w:r>
          </w:p>
        </w:tc>
        <w:tc>
          <w:tcPr>
            <w:tcW w:w="1328" w:type="dxa"/>
            <w:shd w:val="clear" w:color="auto" w:fill="auto"/>
            <w:noWrap/>
            <w:vAlign w:val="center"/>
            <w:hideMark/>
          </w:tcPr>
          <w:p w14:paraId="064664F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130 (100%)</w:t>
            </w:r>
          </w:p>
        </w:tc>
      </w:tr>
      <w:tr w:rsidR="00EC6A08" w:rsidRPr="00EC6A08" w14:paraId="30C66D5A" w14:textId="77777777" w:rsidTr="00404EAC">
        <w:trPr>
          <w:trHeight w:val="320"/>
          <w:jc w:val="center"/>
        </w:trPr>
        <w:tc>
          <w:tcPr>
            <w:tcW w:w="2689" w:type="dxa"/>
            <w:shd w:val="clear" w:color="auto" w:fill="auto"/>
            <w:noWrap/>
            <w:vAlign w:val="center"/>
            <w:hideMark/>
          </w:tcPr>
          <w:p w14:paraId="3703079A"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lastRenderedPageBreak/>
              <w:t>Female</w:t>
            </w:r>
          </w:p>
        </w:tc>
        <w:tc>
          <w:tcPr>
            <w:tcW w:w="1842" w:type="dxa"/>
            <w:shd w:val="clear" w:color="auto" w:fill="auto"/>
            <w:noWrap/>
            <w:vAlign w:val="center"/>
            <w:hideMark/>
          </w:tcPr>
          <w:p w14:paraId="0A47720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81 (81.0%)</w:t>
            </w:r>
          </w:p>
        </w:tc>
        <w:tc>
          <w:tcPr>
            <w:tcW w:w="1894" w:type="dxa"/>
            <w:vAlign w:val="center"/>
          </w:tcPr>
          <w:p w14:paraId="71EED454"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19 (19.0%)</w:t>
            </w:r>
          </w:p>
        </w:tc>
        <w:tc>
          <w:tcPr>
            <w:tcW w:w="1328" w:type="dxa"/>
            <w:shd w:val="clear" w:color="auto" w:fill="auto"/>
            <w:noWrap/>
            <w:vAlign w:val="center"/>
            <w:hideMark/>
          </w:tcPr>
          <w:p w14:paraId="72548D8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100 (100%)</w:t>
            </w:r>
          </w:p>
        </w:tc>
      </w:tr>
      <w:tr w:rsidR="00EC6A08" w:rsidRPr="00EC6A08" w14:paraId="2002F116" w14:textId="77777777" w:rsidTr="00404EAC">
        <w:trPr>
          <w:trHeight w:val="320"/>
          <w:jc w:val="center"/>
        </w:trPr>
        <w:tc>
          <w:tcPr>
            <w:tcW w:w="2689" w:type="dxa"/>
            <w:shd w:val="clear" w:color="auto" w:fill="auto"/>
            <w:noWrap/>
            <w:vAlign w:val="bottom"/>
            <w:hideMark/>
          </w:tcPr>
          <w:p w14:paraId="5C0A835A"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hideMark/>
          </w:tcPr>
          <w:p w14:paraId="1A5E08D0" w14:textId="77777777" w:rsidR="00E02108" w:rsidRPr="00EC6A08" w:rsidRDefault="00E02108" w:rsidP="001D0E87">
            <w:pPr>
              <w:pStyle w:val="NoSpacing"/>
              <w:contextualSpacing/>
              <w:rPr>
                <w:rFonts w:ascii="Garamond" w:hAnsi="Garamond"/>
                <w:lang w:val="en-GB"/>
              </w:rPr>
            </w:pPr>
          </w:p>
        </w:tc>
        <w:tc>
          <w:tcPr>
            <w:tcW w:w="1894" w:type="dxa"/>
            <w:vAlign w:val="bottom"/>
          </w:tcPr>
          <w:p w14:paraId="2484C35E"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1447C2A5" w14:textId="77777777" w:rsidR="00E02108" w:rsidRPr="00EC6A08" w:rsidRDefault="00E02108" w:rsidP="001D0E87">
            <w:pPr>
              <w:pStyle w:val="NoSpacing"/>
              <w:contextualSpacing/>
              <w:jc w:val="right"/>
              <w:rPr>
                <w:rFonts w:ascii="Garamond" w:hAnsi="Garamond"/>
                <w:lang w:val="en-GB"/>
              </w:rPr>
            </w:pPr>
          </w:p>
        </w:tc>
      </w:tr>
      <w:tr w:rsidR="00EC6A08" w:rsidRPr="00EC6A08" w14:paraId="13435DDE" w14:textId="77777777" w:rsidTr="00404EAC">
        <w:trPr>
          <w:trHeight w:val="320"/>
          <w:jc w:val="center"/>
        </w:trPr>
        <w:tc>
          <w:tcPr>
            <w:tcW w:w="2689" w:type="dxa"/>
            <w:shd w:val="clear" w:color="auto" w:fill="auto"/>
            <w:noWrap/>
            <w:vAlign w:val="center"/>
            <w:hideMark/>
          </w:tcPr>
          <w:p w14:paraId="2BE794DD" w14:textId="77777777" w:rsidR="00E02108" w:rsidRPr="00EC6A08" w:rsidRDefault="00E02108" w:rsidP="001D0E87">
            <w:pPr>
              <w:pStyle w:val="NoSpacing"/>
              <w:contextualSpacing/>
              <w:rPr>
                <w:rFonts w:ascii="Garamond" w:hAnsi="Garamond"/>
                <w:b/>
                <w:i/>
                <w:lang w:val="en-GB"/>
              </w:rPr>
            </w:pPr>
            <w:r w:rsidRPr="00EC6A08">
              <w:rPr>
                <w:rFonts w:ascii="Garamond" w:hAnsi="Garamond"/>
                <w:b/>
                <w:i/>
                <w:lang w:val="en-GB"/>
              </w:rPr>
              <w:t>Political</w:t>
            </w:r>
          </w:p>
        </w:tc>
        <w:tc>
          <w:tcPr>
            <w:tcW w:w="1842" w:type="dxa"/>
            <w:shd w:val="clear" w:color="auto" w:fill="auto"/>
            <w:noWrap/>
            <w:vAlign w:val="bottom"/>
            <w:hideMark/>
          </w:tcPr>
          <w:p w14:paraId="6E469AC7" w14:textId="77777777" w:rsidR="00E02108" w:rsidRPr="00EC6A08" w:rsidRDefault="00E02108" w:rsidP="001D0E87">
            <w:pPr>
              <w:pStyle w:val="NoSpacing"/>
              <w:contextualSpacing/>
              <w:rPr>
                <w:rFonts w:ascii="Garamond" w:hAnsi="Garamond"/>
                <w:lang w:val="en-GB"/>
              </w:rPr>
            </w:pPr>
          </w:p>
        </w:tc>
        <w:tc>
          <w:tcPr>
            <w:tcW w:w="1894" w:type="dxa"/>
            <w:vAlign w:val="bottom"/>
          </w:tcPr>
          <w:p w14:paraId="25ACC2D9"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6FBBD0BA" w14:textId="77777777" w:rsidR="00E02108" w:rsidRPr="00EC6A08" w:rsidRDefault="00E02108" w:rsidP="001D0E87">
            <w:pPr>
              <w:pStyle w:val="NoSpacing"/>
              <w:contextualSpacing/>
              <w:jc w:val="right"/>
              <w:rPr>
                <w:rFonts w:ascii="Garamond" w:hAnsi="Garamond"/>
                <w:lang w:val="en-GB"/>
              </w:rPr>
            </w:pPr>
          </w:p>
        </w:tc>
      </w:tr>
      <w:tr w:rsidR="00EC6A08" w:rsidRPr="00EC6A08" w14:paraId="5FFB60AB" w14:textId="77777777" w:rsidTr="00404EAC">
        <w:trPr>
          <w:trHeight w:val="320"/>
          <w:jc w:val="center"/>
        </w:trPr>
        <w:tc>
          <w:tcPr>
            <w:tcW w:w="2689" w:type="dxa"/>
            <w:shd w:val="clear" w:color="auto" w:fill="auto"/>
            <w:noWrap/>
            <w:vAlign w:val="bottom"/>
            <w:hideMark/>
          </w:tcPr>
          <w:p w14:paraId="1A74CF83"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hideMark/>
          </w:tcPr>
          <w:p w14:paraId="0E49A178" w14:textId="77777777" w:rsidR="00E02108" w:rsidRPr="00EC6A08" w:rsidRDefault="00E02108" w:rsidP="001D0E87">
            <w:pPr>
              <w:pStyle w:val="NoSpacing"/>
              <w:contextualSpacing/>
              <w:rPr>
                <w:rFonts w:ascii="Garamond" w:hAnsi="Garamond"/>
                <w:lang w:val="en-GB"/>
              </w:rPr>
            </w:pPr>
          </w:p>
        </w:tc>
        <w:tc>
          <w:tcPr>
            <w:tcW w:w="1894" w:type="dxa"/>
            <w:vAlign w:val="bottom"/>
          </w:tcPr>
          <w:p w14:paraId="39C43A02"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37F22828" w14:textId="77777777" w:rsidR="00E02108" w:rsidRPr="00EC6A08" w:rsidRDefault="00E02108" w:rsidP="001D0E87">
            <w:pPr>
              <w:pStyle w:val="NoSpacing"/>
              <w:contextualSpacing/>
              <w:jc w:val="right"/>
              <w:rPr>
                <w:rFonts w:ascii="Garamond" w:hAnsi="Garamond"/>
                <w:lang w:val="en-GB"/>
              </w:rPr>
            </w:pPr>
          </w:p>
        </w:tc>
      </w:tr>
      <w:tr w:rsidR="00EC6A08" w:rsidRPr="00EC6A08" w14:paraId="1504FC95" w14:textId="77777777" w:rsidTr="00404EAC">
        <w:trPr>
          <w:trHeight w:val="320"/>
          <w:jc w:val="center"/>
        </w:trPr>
        <w:tc>
          <w:tcPr>
            <w:tcW w:w="2689" w:type="dxa"/>
            <w:shd w:val="clear" w:color="auto" w:fill="auto"/>
            <w:noWrap/>
            <w:vAlign w:val="bottom"/>
          </w:tcPr>
          <w:p w14:paraId="49B86DAA"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Entered Parliament</w:t>
            </w:r>
          </w:p>
        </w:tc>
        <w:tc>
          <w:tcPr>
            <w:tcW w:w="1842" w:type="dxa"/>
            <w:shd w:val="clear" w:color="auto" w:fill="auto"/>
            <w:noWrap/>
            <w:vAlign w:val="bottom"/>
          </w:tcPr>
          <w:p w14:paraId="43540207" w14:textId="77777777" w:rsidR="00E02108" w:rsidRPr="00EC6A08" w:rsidRDefault="00E02108" w:rsidP="001D0E87">
            <w:pPr>
              <w:pStyle w:val="NoSpacing"/>
              <w:contextualSpacing/>
              <w:rPr>
                <w:rFonts w:ascii="Garamond" w:hAnsi="Garamond"/>
                <w:lang w:val="en-GB"/>
              </w:rPr>
            </w:pPr>
          </w:p>
        </w:tc>
        <w:tc>
          <w:tcPr>
            <w:tcW w:w="1894" w:type="dxa"/>
            <w:vAlign w:val="bottom"/>
          </w:tcPr>
          <w:p w14:paraId="08DE9645"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5E3792BB" w14:textId="77777777" w:rsidR="00E02108" w:rsidRPr="00EC6A08" w:rsidRDefault="00E02108" w:rsidP="001D0E87">
            <w:pPr>
              <w:pStyle w:val="NoSpacing"/>
              <w:contextualSpacing/>
              <w:jc w:val="right"/>
              <w:rPr>
                <w:rFonts w:ascii="Garamond" w:hAnsi="Garamond"/>
                <w:lang w:val="en-GB"/>
              </w:rPr>
            </w:pPr>
          </w:p>
        </w:tc>
      </w:tr>
      <w:tr w:rsidR="00EC6A08" w:rsidRPr="00EC6A08" w14:paraId="73173AF5" w14:textId="77777777" w:rsidTr="00404EAC">
        <w:trPr>
          <w:trHeight w:val="320"/>
          <w:jc w:val="center"/>
        </w:trPr>
        <w:tc>
          <w:tcPr>
            <w:tcW w:w="2689" w:type="dxa"/>
            <w:shd w:val="clear" w:color="auto" w:fill="auto"/>
            <w:noWrap/>
            <w:vAlign w:val="bottom"/>
            <w:hideMark/>
          </w:tcPr>
          <w:p w14:paraId="2075236D"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2010 onwards</w:t>
            </w:r>
          </w:p>
        </w:tc>
        <w:tc>
          <w:tcPr>
            <w:tcW w:w="1842" w:type="dxa"/>
            <w:shd w:val="clear" w:color="auto" w:fill="auto"/>
            <w:noWrap/>
            <w:vAlign w:val="bottom"/>
            <w:hideMark/>
          </w:tcPr>
          <w:p w14:paraId="48DCE038"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92 (77.3%)</w:t>
            </w:r>
          </w:p>
        </w:tc>
        <w:tc>
          <w:tcPr>
            <w:tcW w:w="1894" w:type="dxa"/>
            <w:vAlign w:val="bottom"/>
          </w:tcPr>
          <w:p w14:paraId="5C929318"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27 (22.7%)</w:t>
            </w:r>
          </w:p>
        </w:tc>
        <w:tc>
          <w:tcPr>
            <w:tcW w:w="1328" w:type="dxa"/>
            <w:shd w:val="clear" w:color="auto" w:fill="auto"/>
            <w:noWrap/>
            <w:vAlign w:val="bottom"/>
            <w:hideMark/>
          </w:tcPr>
          <w:p w14:paraId="7E21D5E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119 (100%)</w:t>
            </w:r>
          </w:p>
        </w:tc>
      </w:tr>
      <w:tr w:rsidR="00EC6A08" w:rsidRPr="00EC6A08" w14:paraId="7424D736" w14:textId="77777777" w:rsidTr="00404EAC">
        <w:trPr>
          <w:trHeight w:val="320"/>
          <w:jc w:val="center"/>
        </w:trPr>
        <w:tc>
          <w:tcPr>
            <w:tcW w:w="2689" w:type="dxa"/>
            <w:shd w:val="clear" w:color="auto" w:fill="auto"/>
            <w:noWrap/>
            <w:vAlign w:val="bottom"/>
            <w:hideMark/>
          </w:tcPr>
          <w:p w14:paraId="5D3DAC95"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Before 2010</w:t>
            </w:r>
          </w:p>
        </w:tc>
        <w:tc>
          <w:tcPr>
            <w:tcW w:w="1842" w:type="dxa"/>
            <w:shd w:val="clear" w:color="auto" w:fill="auto"/>
            <w:noWrap/>
            <w:vAlign w:val="center"/>
            <w:hideMark/>
          </w:tcPr>
          <w:p w14:paraId="2212B968"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98 (88.3%)</w:t>
            </w:r>
          </w:p>
        </w:tc>
        <w:tc>
          <w:tcPr>
            <w:tcW w:w="1894" w:type="dxa"/>
            <w:vAlign w:val="center"/>
          </w:tcPr>
          <w:p w14:paraId="435F862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 (11.7%)</w:t>
            </w:r>
          </w:p>
        </w:tc>
        <w:tc>
          <w:tcPr>
            <w:tcW w:w="1328" w:type="dxa"/>
            <w:shd w:val="clear" w:color="auto" w:fill="auto"/>
            <w:noWrap/>
            <w:vAlign w:val="center"/>
            <w:hideMark/>
          </w:tcPr>
          <w:p w14:paraId="42A94E1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111 (100%)</w:t>
            </w:r>
          </w:p>
        </w:tc>
      </w:tr>
      <w:tr w:rsidR="00EC6A08" w:rsidRPr="00EC6A08" w14:paraId="359ACFCC" w14:textId="77777777" w:rsidTr="00404EAC">
        <w:trPr>
          <w:trHeight w:val="320"/>
          <w:jc w:val="center"/>
        </w:trPr>
        <w:tc>
          <w:tcPr>
            <w:tcW w:w="2689" w:type="dxa"/>
            <w:shd w:val="clear" w:color="auto" w:fill="auto"/>
            <w:noWrap/>
            <w:vAlign w:val="bottom"/>
          </w:tcPr>
          <w:p w14:paraId="6CA9B601" w14:textId="77777777" w:rsidR="00ED697E" w:rsidRPr="00EC6A08" w:rsidRDefault="00ED697E" w:rsidP="001D0E87">
            <w:pPr>
              <w:pStyle w:val="NoSpacing"/>
              <w:contextualSpacing/>
              <w:rPr>
                <w:rFonts w:ascii="Garamond" w:hAnsi="Garamond"/>
                <w:lang w:val="en-GB"/>
              </w:rPr>
            </w:pPr>
          </w:p>
        </w:tc>
        <w:tc>
          <w:tcPr>
            <w:tcW w:w="1842" w:type="dxa"/>
            <w:shd w:val="clear" w:color="auto" w:fill="auto"/>
            <w:noWrap/>
            <w:vAlign w:val="center"/>
          </w:tcPr>
          <w:p w14:paraId="45B82313" w14:textId="77777777" w:rsidR="00ED697E" w:rsidRPr="00EC6A08" w:rsidRDefault="00ED697E" w:rsidP="001D0E87">
            <w:pPr>
              <w:pStyle w:val="NoSpacing"/>
              <w:contextualSpacing/>
              <w:jc w:val="right"/>
              <w:rPr>
                <w:rFonts w:ascii="Garamond" w:hAnsi="Garamond"/>
                <w:lang w:val="en-GB"/>
              </w:rPr>
            </w:pPr>
          </w:p>
        </w:tc>
        <w:tc>
          <w:tcPr>
            <w:tcW w:w="1894" w:type="dxa"/>
            <w:vAlign w:val="center"/>
          </w:tcPr>
          <w:p w14:paraId="44265A28" w14:textId="77777777" w:rsidR="00ED697E" w:rsidRPr="00EC6A08" w:rsidRDefault="00ED697E" w:rsidP="001D0E87">
            <w:pPr>
              <w:pStyle w:val="NoSpacing"/>
              <w:contextualSpacing/>
              <w:jc w:val="right"/>
              <w:rPr>
                <w:rFonts w:ascii="Garamond" w:hAnsi="Garamond"/>
                <w:lang w:val="en-GB"/>
              </w:rPr>
            </w:pPr>
          </w:p>
        </w:tc>
        <w:tc>
          <w:tcPr>
            <w:tcW w:w="1328" w:type="dxa"/>
            <w:shd w:val="clear" w:color="auto" w:fill="auto"/>
            <w:noWrap/>
            <w:vAlign w:val="center"/>
          </w:tcPr>
          <w:p w14:paraId="0E5D8A99" w14:textId="77777777" w:rsidR="00ED697E" w:rsidRPr="00EC6A08" w:rsidRDefault="00ED697E" w:rsidP="001D0E87">
            <w:pPr>
              <w:pStyle w:val="NoSpacing"/>
              <w:contextualSpacing/>
              <w:jc w:val="right"/>
              <w:rPr>
                <w:rFonts w:ascii="Garamond" w:hAnsi="Garamond"/>
                <w:lang w:val="en-GB"/>
              </w:rPr>
            </w:pPr>
          </w:p>
        </w:tc>
      </w:tr>
      <w:tr w:rsidR="00EC6A08" w:rsidRPr="00EC6A08" w14:paraId="1BFBFC10" w14:textId="77777777" w:rsidTr="00404EAC">
        <w:trPr>
          <w:trHeight w:val="320"/>
          <w:jc w:val="center"/>
        </w:trPr>
        <w:tc>
          <w:tcPr>
            <w:tcW w:w="2689" w:type="dxa"/>
            <w:shd w:val="clear" w:color="auto" w:fill="auto"/>
            <w:noWrap/>
            <w:vAlign w:val="center"/>
            <w:hideMark/>
          </w:tcPr>
          <w:p w14:paraId="0F229224" w14:textId="77777777" w:rsidR="00ED697E" w:rsidRPr="00EC6A08" w:rsidRDefault="00ED697E" w:rsidP="0051742B">
            <w:pPr>
              <w:pStyle w:val="NoSpacing"/>
              <w:contextualSpacing/>
              <w:rPr>
                <w:rFonts w:ascii="Garamond" w:hAnsi="Garamond"/>
                <w:lang w:val="en-GB"/>
              </w:rPr>
            </w:pPr>
            <w:r w:rsidRPr="00EC6A08">
              <w:rPr>
                <w:rFonts w:ascii="Garamond" w:hAnsi="Garamond"/>
                <w:lang w:val="en-GB"/>
              </w:rPr>
              <w:t>Region</w:t>
            </w:r>
          </w:p>
        </w:tc>
        <w:tc>
          <w:tcPr>
            <w:tcW w:w="1842" w:type="dxa"/>
            <w:shd w:val="clear" w:color="auto" w:fill="auto"/>
            <w:noWrap/>
            <w:vAlign w:val="center"/>
            <w:hideMark/>
          </w:tcPr>
          <w:p w14:paraId="3C4D1811" w14:textId="77777777" w:rsidR="00ED697E" w:rsidRPr="00EC6A08" w:rsidRDefault="00ED697E" w:rsidP="0051742B">
            <w:pPr>
              <w:pStyle w:val="NoSpacing"/>
              <w:contextualSpacing/>
              <w:jc w:val="right"/>
              <w:rPr>
                <w:rFonts w:ascii="Garamond" w:hAnsi="Garamond"/>
                <w:lang w:val="en-GB"/>
              </w:rPr>
            </w:pPr>
          </w:p>
        </w:tc>
        <w:tc>
          <w:tcPr>
            <w:tcW w:w="1894" w:type="dxa"/>
            <w:vAlign w:val="center"/>
          </w:tcPr>
          <w:p w14:paraId="74A1055C" w14:textId="77777777" w:rsidR="00ED697E" w:rsidRPr="00EC6A08" w:rsidRDefault="00ED697E" w:rsidP="0051742B">
            <w:pPr>
              <w:pStyle w:val="NoSpacing"/>
              <w:contextualSpacing/>
              <w:jc w:val="right"/>
              <w:rPr>
                <w:rFonts w:ascii="Garamond" w:hAnsi="Garamond"/>
                <w:lang w:val="en-GB"/>
              </w:rPr>
            </w:pPr>
          </w:p>
        </w:tc>
        <w:tc>
          <w:tcPr>
            <w:tcW w:w="1328" w:type="dxa"/>
            <w:shd w:val="clear" w:color="auto" w:fill="auto"/>
            <w:noWrap/>
            <w:vAlign w:val="center"/>
            <w:hideMark/>
          </w:tcPr>
          <w:p w14:paraId="60579BAC" w14:textId="77777777" w:rsidR="00ED697E" w:rsidRPr="00EC6A08" w:rsidRDefault="00ED697E" w:rsidP="0051742B">
            <w:pPr>
              <w:pStyle w:val="NoSpacing"/>
              <w:contextualSpacing/>
              <w:jc w:val="right"/>
              <w:rPr>
                <w:rFonts w:ascii="Garamond" w:hAnsi="Garamond"/>
                <w:lang w:val="en-GB"/>
              </w:rPr>
            </w:pPr>
          </w:p>
        </w:tc>
      </w:tr>
      <w:tr w:rsidR="00EC6A08" w:rsidRPr="00EC6A08" w14:paraId="718557EC" w14:textId="77777777" w:rsidTr="00404EAC">
        <w:trPr>
          <w:trHeight w:val="320"/>
          <w:jc w:val="center"/>
        </w:trPr>
        <w:tc>
          <w:tcPr>
            <w:tcW w:w="2689" w:type="dxa"/>
            <w:shd w:val="clear" w:color="auto" w:fill="auto"/>
            <w:noWrap/>
            <w:vAlign w:val="center"/>
            <w:hideMark/>
          </w:tcPr>
          <w:p w14:paraId="4FC7719C" w14:textId="77777777" w:rsidR="00ED697E" w:rsidRPr="00EC6A08" w:rsidRDefault="00ED697E" w:rsidP="0051742B">
            <w:pPr>
              <w:pStyle w:val="NoSpacing"/>
              <w:contextualSpacing/>
              <w:rPr>
                <w:rFonts w:ascii="Garamond" w:hAnsi="Garamond"/>
                <w:lang w:val="en-GB"/>
              </w:rPr>
            </w:pPr>
            <w:r w:rsidRPr="00EC6A08">
              <w:rPr>
                <w:rFonts w:ascii="Garamond" w:hAnsi="Garamond"/>
                <w:lang w:val="en-GB"/>
              </w:rPr>
              <w:t>London</w:t>
            </w:r>
          </w:p>
        </w:tc>
        <w:tc>
          <w:tcPr>
            <w:tcW w:w="1842" w:type="dxa"/>
            <w:shd w:val="clear" w:color="auto" w:fill="auto"/>
            <w:noWrap/>
            <w:vAlign w:val="bottom"/>
            <w:hideMark/>
          </w:tcPr>
          <w:p w14:paraId="315E4125"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35 (77.8%)</w:t>
            </w:r>
          </w:p>
        </w:tc>
        <w:tc>
          <w:tcPr>
            <w:tcW w:w="1894" w:type="dxa"/>
            <w:vAlign w:val="bottom"/>
          </w:tcPr>
          <w:p w14:paraId="07F5E942"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10 (22.2%)</w:t>
            </w:r>
          </w:p>
        </w:tc>
        <w:tc>
          <w:tcPr>
            <w:tcW w:w="1328" w:type="dxa"/>
            <w:shd w:val="clear" w:color="auto" w:fill="auto"/>
            <w:noWrap/>
            <w:vAlign w:val="bottom"/>
            <w:hideMark/>
          </w:tcPr>
          <w:p w14:paraId="00024107"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45 (100%)</w:t>
            </w:r>
          </w:p>
        </w:tc>
      </w:tr>
      <w:tr w:rsidR="00EC6A08" w:rsidRPr="00EC6A08" w14:paraId="0ED13EB7" w14:textId="77777777" w:rsidTr="00404EAC">
        <w:trPr>
          <w:trHeight w:val="320"/>
          <w:jc w:val="center"/>
        </w:trPr>
        <w:tc>
          <w:tcPr>
            <w:tcW w:w="2689" w:type="dxa"/>
            <w:shd w:val="clear" w:color="auto" w:fill="auto"/>
            <w:noWrap/>
            <w:vAlign w:val="center"/>
            <w:hideMark/>
          </w:tcPr>
          <w:p w14:paraId="238AE349" w14:textId="77777777" w:rsidR="00ED697E" w:rsidRPr="00EC6A08" w:rsidRDefault="00ED697E" w:rsidP="0051742B">
            <w:pPr>
              <w:pStyle w:val="NoSpacing"/>
              <w:contextualSpacing/>
              <w:rPr>
                <w:rFonts w:ascii="Garamond" w:hAnsi="Garamond"/>
                <w:lang w:val="en-GB"/>
              </w:rPr>
            </w:pPr>
            <w:r w:rsidRPr="00EC6A08">
              <w:rPr>
                <w:rFonts w:ascii="Garamond" w:hAnsi="Garamond"/>
                <w:lang w:val="en-GB"/>
              </w:rPr>
              <w:t>Not London</w:t>
            </w:r>
          </w:p>
        </w:tc>
        <w:tc>
          <w:tcPr>
            <w:tcW w:w="1842" w:type="dxa"/>
            <w:shd w:val="clear" w:color="auto" w:fill="auto"/>
            <w:noWrap/>
            <w:vAlign w:val="bottom"/>
            <w:hideMark/>
          </w:tcPr>
          <w:p w14:paraId="223E342C"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155 (83.8%)</w:t>
            </w:r>
          </w:p>
        </w:tc>
        <w:tc>
          <w:tcPr>
            <w:tcW w:w="1894" w:type="dxa"/>
            <w:vAlign w:val="bottom"/>
          </w:tcPr>
          <w:p w14:paraId="47644EDB"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30 (16.2%)</w:t>
            </w:r>
          </w:p>
        </w:tc>
        <w:tc>
          <w:tcPr>
            <w:tcW w:w="1328" w:type="dxa"/>
            <w:shd w:val="clear" w:color="auto" w:fill="auto"/>
            <w:noWrap/>
            <w:vAlign w:val="bottom"/>
            <w:hideMark/>
          </w:tcPr>
          <w:p w14:paraId="6E31FD59" w14:textId="77777777" w:rsidR="00ED697E" w:rsidRPr="00EC6A08" w:rsidRDefault="00ED697E" w:rsidP="0051742B">
            <w:pPr>
              <w:pStyle w:val="NoSpacing"/>
              <w:contextualSpacing/>
              <w:jc w:val="right"/>
              <w:rPr>
                <w:rFonts w:ascii="Garamond" w:hAnsi="Garamond"/>
                <w:lang w:val="en-GB"/>
              </w:rPr>
            </w:pPr>
            <w:r w:rsidRPr="00EC6A08">
              <w:rPr>
                <w:rFonts w:ascii="Garamond" w:hAnsi="Garamond"/>
                <w:lang w:val="en-GB"/>
              </w:rPr>
              <w:t>185 (100%)</w:t>
            </w:r>
          </w:p>
        </w:tc>
      </w:tr>
      <w:tr w:rsidR="00EC6A08" w:rsidRPr="00EC6A08" w14:paraId="3D22326D" w14:textId="77777777" w:rsidTr="00404EAC">
        <w:trPr>
          <w:trHeight w:val="320"/>
          <w:jc w:val="center"/>
        </w:trPr>
        <w:tc>
          <w:tcPr>
            <w:tcW w:w="2689" w:type="dxa"/>
            <w:shd w:val="clear" w:color="auto" w:fill="auto"/>
            <w:noWrap/>
            <w:vAlign w:val="center"/>
          </w:tcPr>
          <w:p w14:paraId="7F30D4C0" w14:textId="77777777" w:rsidR="00ED697E" w:rsidRPr="00EC6A08" w:rsidRDefault="00ED697E" w:rsidP="0051742B">
            <w:pPr>
              <w:pStyle w:val="NoSpacing"/>
              <w:contextualSpacing/>
              <w:rPr>
                <w:rFonts w:ascii="Garamond" w:hAnsi="Garamond"/>
                <w:lang w:val="en-GB"/>
              </w:rPr>
            </w:pPr>
          </w:p>
        </w:tc>
        <w:tc>
          <w:tcPr>
            <w:tcW w:w="1842" w:type="dxa"/>
            <w:shd w:val="clear" w:color="auto" w:fill="auto"/>
            <w:noWrap/>
            <w:vAlign w:val="bottom"/>
          </w:tcPr>
          <w:p w14:paraId="0F5ED3FF" w14:textId="77777777" w:rsidR="00ED697E" w:rsidRPr="00EC6A08" w:rsidRDefault="00ED697E" w:rsidP="0051742B">
            <w:pPr>
              <w:pStyle w:val="NoSpacing"/>
              <w:contextualSpacing/>
              <w:jc w:val="right"/>
              <w:rPr>
                <w:rFonts w:ascii="Garamond" w:hAnsi="Garamond"/>
                <w:lang w:val="en-GB"/>
              </w:rPr>
            </w:pPr>
          </w:p>
        </w:tc>
        <w:tc>
          <w:tcPr>
            <w:tcW w:w="1894" w:type="dxa"/>
            <w:vAlign w:val="bottom"/>
          </w:tcPr>
          <w:p w14:paraId="43F7960F" w14:textId="77777777" w:rsidR="00ED697E" w:rsidRPr="00EC6A08" w:rsidRDefault="00ED697E" w:rsidP="0051742B">
            <w:pPr>
              <w:pStyle w:val="NoSpacing"/>
              <w:contextualSpacing/>
              <w:jc w:val="right"/>
              <w:rPr>
                <w:rFonts w:ascii="Garamond" w:hAnsi="Garamond"/>
                <w:lang w:val="en-GB"/>
              </w:rPr>
            </w:pPr>
          </w:p>
        </w:tc>
        <w:tc>
          <w:tcPr>
            <w:tcW w:w="1328" w:type="dxa"/>
            <w:shd w:val="clear" w:color="auto" w:fill="auto"/>
            <w:noWrap/>
            <w:vAlign w:val="bottom"/>
          </w:tcPr>
          <w:p w14:paraId="0C448EAD" w14:textId="77777777" w:rsidR="00ED697E" w:rsidRPr="00EC6A08" w:rsidRDefault="00ED697E" w:rsidP="0051742B">
            <w:pPr>
              <w:pStyle w:val="NoSpacing"/>
              <w:contextualSpacing/>
              <w:jc w:val="right"/>
              <w:rPr>
                <w:rFonts w:ascii="Garamond" w:hAnsi="Garamond"/>
                <w:lang w:val="en-GB"/>
              </w:rPr>
            </w:pPr>
          </w:p>
        </w:tc>
      </w:tr>
      <w:tr w:rsidR="00EC6A08" w:rsidRPr="00EC6A08" w14:paraId="17F9FE3F" w14:textId="77777777" w:rsidTr="00404EAC">
        <w:trPr>
          <w:trHeight w:val="320"/>
          <w:jc w:val="center"/>
        </w:trPr>
        <w:tc>
          <w:tcPr>
            <w:tcW w:w="2689" w:type="dxa"/>
            <w:shd w:val="clear" w:color="auto" w:fill="auto"/>
            <w:noWrap/>
            <w:vAlign w:val="bottom"/>
          </w:tcPr>
          <w:p w14:paraId="474DF439"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Marginality (Majority)</w:t>
            </w:r>
          </w:p>
        </w:tc>
        <w:tc>
          <w:tcPr>
            <w:tcW w:w="1842" w:type="dxa"/>
            <w:shd w:val="clear" w:color="auto" w:fill="auto"/>
            <w:noWrap/>
            <w:vAlign w:val="center"/>
          </w:tcPr>
          <w:p w14:paraId="149F0B79" w14:textId="77777777" w:rsidR="00E02108" w:rsidRPr="00EC6A08" w:rsidRDefault="00E02108" w:rsidP="001D0E87">
            <w:pPr>
              <w:pStyle w:val="NoSpacing"/>
              <w:contextualSpacing/>
              <w:rPr>
                <w:rFonts w:ascii="Garamond" w:hAnsi="Garamond"/>
                <w:lang w:val="en-GB"/>
              </w:rPr>
            </w:pPr>
          </w:p>
        </w:tc>
        <w:tc>
          <w:tcPr>
            <w:tcW w:w="1894" w:type="dxa"/>
            <w:vAlign w:val="center"/>
          </w:tcPr>
          <w:p w14:paraId="3487CF7D"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center"/>
          </w:tcPr>
          <w:p w14:paraId="592FC088" w14:textId="77777777" w:rsidR="00E02108" w:rsidRPr="00EC6A08" w:rsidRDefault="00E02108" w:rsidP="001D0E87">
            <w:pPr>
              <w:pStyle w:val="NoSpacing"/>
              <w:contextualSpacing/>
              <w:jc w:val="right"/>
              <w:rPr>
                <w:rFonts w:ascii="Garamond" w:hAnsi="Garamond"/>
                <w:lang w:val="en-GB"/>
              </w:rPr>
            </w:pPr>
          </w:p>
        </w:tc>
      </w:tr>
      <w:tr w:rsidR="00EC6A08" w:rsidRPr="00EC6A08" w14:paraId="1D25B9EC" w14:textId="77777777" w:rsidTr="00404EAC">
        <w:trPr>
          <w:trHeight w:val="320"/>
          <w:jc w:val="center"/>
        </w:trPr>
        <w:tc>
          <w:tcPr>
            <w:tcW w:w="2689" w:type="dxa"/>
            <w:shd w:val="clear" w:color="auto" w:fill="auto"/>
            <w:noWrap/>
            <w:vAlign w:val="center"/>
            <w:hideMark/>
          </w:tcPr>
          <w:p w14:paraId="19A517C8"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≤5000</w:t>
            </w:r>
          </w:p>
        </w:tc>
        <w:tc>
          <w:tcPr>
            <w:tcW w:w="1842" w:type="dxa"/>
            <w:shd w:val="clear" w:color="auto" w:fill="auto"/>
            <w:noWrap/>
            <w:vAlign w:val="bottom"/>
            <w:hideMark/>
          </w:tcPr>
          <w:p w14:paraId="6D8E16DD"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57 (91.9%)</w:t>
            </w:r>
          </w:p>
        </w:tc>
        <w:tc>
          <w:tcPr>
            <w:tcW w:w="1894" w:type="dxa"/>
            <w:vAlign w:val="bottom"/>
          </w:tcPr>
          <w:p w14:paraId="7F1019DD"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5 (8.1%)</w:t>
            </w:r>
          </w:p>
        </w:tc>
        <w:tc>
          <w:tcPr>
            <w:tcW w:w="1328" w:type="dxa"/>
            <w:shd w:val="clear" w:color="auto" w:fill="auto"/>
            <w:noWrap/>
            <w:vAlign w:val="bottom"/>
            <w:hideMark/>
          </w:tcPr>
          <w:p w14:paraId="27BD1D9C"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62 (100%)</w:t>
            </w:r>
          </w:p>
        </w:tc>
      </w:tr>
      <w:tr w:rsidR="00EC6A08" w:rsidRPr="00EC6A08" w14:paraId="07CEB543" w14:textId="77777777" w:rsidTr="00404EAC">
        <w:trPr>
          <w:trHeight w:val="320"/>
          <w:jc w:val="center"/>
        </w:trPr>
        <w:tc>
          <w:tcPr>
            <w:tcW w:w="2689" w:type="dxa"/>
            <w:shd w:val="clear" w:color="auto" w:fill="auto"/>
            <w:noWrap/>
            <w:vAlign w:val="center"/>
            <w:hideMark/>
          </w:tcPr>
          <w:p w14:paraId="4B5A5AD1"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5001-10000</w:t>
            </w:r>
          </w:p>
        </w:tc>
        <w:tc>
          <w:tcPr>
            <w:tcW w:w="1842" w:type="dxa"/>
            <w:shd w:val="clear" w:color="auto" w:fill="auto"/>
            <w:noWrap/>
            <w:vAlign w:val="bottom"/>
            <w:hideMark/>
          </w:tcPr>
          <w:p w14:paraId="645AD3B9"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46 (82.1%)</w:t>
            </w:r>
          </w:p>
        </w:tc>
        <w:tc>
          <w:tcPr>
            <w:tcW w:w="1894" w:type="dxa"/>
            <w:vAlign w:val="center"/>
          </w:tcPr>
          <w:p w14:paraId="0B794B3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10 (17.9%)</w:t>
            </w:r>
          </w:p>
        </w:tc>
        <w:tc>
          <w:tcPr>
            <w:tcW w:w="1328" w:type="dxa"/>
            <w:shd w:val="clear" w:color="auto" w:fill="auto"/>
            <w:noWrap/>
            <w:vAlign w:val="bottom"/>
            <w:hideMark/>
          </w:tcPr>
          <w:p w14:paraId="4746F26A"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56 (100%)</w:t>
            </w:r>
          </w:p>
        </w:tc>
      </w:tr>
      <w:tr w:rsidR="00EC6A08" w:rsidRPr="00EC6A08" w14:paraId="4AD153C8" w14:textId="77777777" w:rsidTr="00404EAC">
        <w:trPr>
          <w:trHeight w:val="320"/>
          <w:jc w:val="center"/>
        </w:trPr>
        <w:tc>
          <w:tcPr>
            <w:tcW w:w="2689" w:type="dxa"/>
            <w:shd w:val="clear" w:color="auto" w:fill="auto"/>
            <w:noWrap/>
            <w:vAlign w:val="center"/>
            <w:hideMark/>
          </w:tcPr>
          <w:p w14:paraId="200C7C45"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&gt;10000</w:t>
            </w:r>
          </w:p>
        </w:tc>
        <w:tc>
          <w:tcPr>
            <w:tcW w:w="1842" w:type="dxa"/>
            <w:shd w:val="clear" w:color="auto" w:fill="auto"/>
            <w:noWrap/>
            <w:vAlign w:val="bottom"/>
            <w:hideMark/>
          </w:tcPr>
          <w:p w14:paraId="1A082DF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87 (77.7%)</w:t>
            </w:r>
          </w:p>
        </w:tc>
        <w:tc>
          <w:tcPr>
            <w:tcW w:w="1894" w:type="dxa"/>
            <w:vAlign w:val="center"/>
          </w:tcPr>
          <w:p w14:paraId="46D95BB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25 (22.3%)</w:t>
            </w:r>
          </w:p>
        </w:tc>
        <w:tc>
          <w:tcPr>
            <w:tcW w:w="1328" w:type="dxa"/>
            <w:shd w:val="clear" w:color="auto" w:fill="auto"/>
            <w:noWrap/>
            <w:vAlign w:val="center"/>
            <w:hideMark/>
          </w:tcPr>
          <w:p w14:paraId="1B9F56CA"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112 (100%)</w:t>
            </w:r>
          </w:p>
        </w:tc>
      </w:tr>
      <w:tr w:rsidR="00EC6A08" w:rsidRPr="00EC6A08" w14:paraId="150E3091" w14:textId="77777777" w:rsidTr="00404EAC">
        <w:trPr>
          <w:trHeight w:val="320"/>
          <w:jc w:val="center"/>
        </w:trPr>
        <w:tc>
          <w:tcPr>
            <w:tcW w:w="2689" w:type="dxa"/>
            <w:shd w:val="clear" w:color="auto" w:fill="auto"/>
            <w:noWrap/>
            <w:vAlign w:val="center"/>
            <w:hideMark/>
          </w:tcPr>
          <w:p w14:paraId="5B87F5AC"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center"/>
            <w:hideMark/>
          </w:tcPr>
          <w:p w14:paraId="09E8B568" w14:textId="77777777" w:rsidR="00E02108" w:rsidRPr="00EC6A08" w:rsidRDefault="00E02108" w:rsidP="001D0E87">
            <w:pPr>
              <w:pStyle w:val="NoSpacing"/>
              <w:contextualSpacing/>
              <w:rPr>
                <w:rFonts w:ascii="Garamond" w:hAnsi="Garamond"/>
                <w:lang w:val="en-GB"/>
              </w:rPr>
            </w:pPr>
          </w:p>
        </w:tc>
        <w:tc>
          <w:tcPr>
            <w:tcW w:w="1894" w:type="dxa"/>
            <w:vAlign w:val="center"/>
          </w:tcPr>
          <w:p w14:paraId="3F841C2A"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center"/>
            <w:hideMark/>
          </w:tcPr>
          <w:p w14:paraId="4A3958BD" w14:textId="77777777" w:rsidR="00E02108" w:rsidRPr="00EC6A08" w:rsidRDefault="00E02108" w:rsidP="001D0E87">
            <w:pPr>
              <w:pStyle w:val="NoSpacing"/>
              <w:contextualSpacing/>
              <w:jc w:val="right"/>
              <w:rPr>
                <w:rFonts w:ascii="Garamond" w:hAnsi="Garamond"/>
                <w:lang w:val="en-GB"/>
              </w:rPr>
            </w:pPr>
          </w:p>
        </w:tc>
      </w:tr>
      <w:tr w:rsidR="00EC6A08" w:rsidRPr="00EC6A08" w14:paraId="1591D372" w14:textId="77777777" w:rsidTr="00404EAC">
        <w:trPr>
          <w:trHeight w:val="320"/>
          <w:jc w:val="center"/>
        </w:trPr>
        <w:tc>
          <w:tcPr>
            <w:tcW w:w="2689" w:type="dxa"/>
            <w:shd w:val="clear" w:color="auto" w:fill="auto"/>
            <w:noWrap/>
            <w:vAlign w:val="center"/>
          </w:tcPr>
          <w:p w14:paraId="5C69DF59"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Second Place Party</w:t>
            </w:r>
          </w:p>
        </w:tc>
        <w:tc>
          <w:tcPr>
            <w:tcW w:w="1842" w:type="dxa"/>
            <w:shd w:val="clear" w:color="auto" w:fill="auto"/>
            <w:noWrap/>
            <w:vAlign w:val="center"/>
          </w:tcPr>
          <w:p w14:paraId="64AA4DC5" w14:textId="77777777" w:rsidR="00E02108" w:rsidRPr="00EC6A08" w:rsidRDefault="00E02108" w:rsidP="001D0E87">
            <w:pPr>
              <w:pStyle w:val="NoSpacing"/>
              <w:contextualSpacing/>
              <w:rPr>
                <w:rFonts w:ascii="Garamond" w:hAnsi="Garamond"/>
                <w:lang w:val="en-GB"/>
              </w:rPr>
            </w:pPr>
          </w:p>
        </w:tc>
        <w:tc>
          <w:tcPr>
            <w:tcW w:w="1894" w:type="dxa"/>
            <w:vAlign w:val="center"/>
          </w:tcPr>
          <w:p w14:paraId="747662BE"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center"/>
          </w:tcPr>
          <w:p w14:paraId="7CB70D9A" w14:textId="77777777" w:rsidR="00E02108" w:rsidRPr="00EC6A08" w:rsidRDefault="00E02108" w:rsidP="001D0E87">
            <w:pPr>
              <w:pStyle w:val="NoSpacing"/>
              <w:contextualSpacing/>
              <w:jc w:val="right"/>
              <w:rPr>
                <w:rFonts w:ascii="Garamond" w:hAnsi="Garamond"/>
                <w:lang w:val="en-GB"/>
              </w:rPr>
            </w:pPr>
          </w:p>
        </w:tc>
      </w:tr>
      <w:tr w:rsidR="00EC6A08" w:rsidRPr="00EC6A08" w14:paraId="1470826B" w14:textId="77777777" w:rsidTr="00404EAC">
        <w:trPr>
          <w:trHeight w:val="320"/>
          <w:jc w:val="center"/>
        </w:trPr>
        <w:tc>
          <w:tcPr>
            <w:tcW w:w="2689" w:type="dxa"/>
            <w:shd w:val="clear" w:color="auto" w:fill="auto"/>
            <w:noWrap/>
            <w:vAlign w:val="center"/>
            <w:hideMark/>
          </w:tcPr>
          <w:p w14:paraId="45B240D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Conservative</w:t>
            </w:r>
          </w:p>
        </w:tc>
        <w:tc>
          <w:tcPr>
            <w:tcW w:w="1842" w:type="dxa"/>
            <w:shd w:val="clear" w:color="auto" w:fill="auto"/>
            <w:noWrap/>
            <w:vAlign w:val="bottom"/>
            <w:hideMark/>
          </w:tcPr>
          <w:p w14:paraId="626E393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142 (85.0%)</w:t>
            </w:r>
          </w:p>
        </w:tc>
        <w:tc>
          <w:tcPr>
            <w:tcW w:w="1894" w:type="dxa"/>
            <w:vAlign w:val="bottom"/>
          </w:tcPr>
          <w:p w14:paraId="3995ED44"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25 (15.0%)</w:t>
            </w:r>
          </w:p>
        </w:tc>
        <w:tc>
          <w:tcPr>
            <w:tcW w:w="1328" w:type="dxa"/>
            <w:shd w:val="clear" w:color="auto" w:fill="auto"/>
            <w:noWrap/>
            <w:vAlign w:val="bottom"/>
            <w:hideMark/>
          </w:tcPr>
          <w:p w14:paraId="47BC0DF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167 (100%)</w:t>
            </w:r>
          </w:p>
        </w:tc>
      </w:tr>
      <w:tr w:rsidR="00EC6A08" w:rsidRPr="00EC6A08" w14:paraId="4DF24456" w14:textId="77777777" w:rsidTr="00404EAC">
        <w:trPr>
          <w:trHeight w:val="320"/>
          <w:jc w:val="center"/>
        </w:trPr>
        <w:tc>
          <w:tcPr>
            <w:tcW w:w="2689" w:type="dxa"/>
            <w:shd w:val="clear" w:color="auto" w:fill="auto"/>
            <w:noWrap/>
            <w:vAlign w:val="bottom"/>
            <w:hideMark/>
          </w:tcPr>
          <w:p w14:paraId="3B47F380"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UKIP</w:t>
            </w:r>
          </w:p>
        </w:tc>
        <w:tc>
          <w:tcPr>
            <w:tcW w:w="1842" w:type="dxa"/>
            <w:shd w:val="clear" w:color="auto" w:fill="auto"/>
            <w:noWrap/>
            <w:vAlign w:val="bottom"/>
            <w:hideMark/>
          </w:tcPr>
          <w:p w14:paraId="52554AE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32 (74.4%)</w:t>
            </w:r>
          </w:p>
        </w:tc>
        <w:tc>
          <w:tcPr>
            <w:tcW w:w="1894" w:type="dxa"/>
            <w:vAlign w:val="center"/>
          </w:tcPr>
          <w:p w14:paraId="2D27F5E9"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11 (25.6%)</w:t>
            </w:r>
          </w:p>
        </w:tc>
        <w:tc>
          <w:tcPr>
            <w:tcW w:w="1328" w:type="dxa"/>
            <w:shd w:val="clear" w:color="auto" w:fill="auto"/>
            <w:noWrap/>
            <w:vAlign w:val="bottom"/>
            <w:hideMark/>
          </w:tcPr>
          <w:p w14:paraId="7111ABA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43 (100%)</w:t>
            </w:r>
          </w:p>
        </w:tc>
      </w:tr>
      <w:tr w:rsidR="00EC6A08" w:rsidRPr="00EC6A08" w14:paraId="3819F370" w14:textId="77777777" w:rsidTr="00404EAC">
        <w:trPr>
          <w:trHeight w:val="320"/>
          <w:jc w:val="center"/>
        </w:trPr>
        <w:tc>
          <w:tcPr>
            <w:tcW w:w="2689" w:type="dxa"/>
            <w:shd w:val="clear" w:color="auto" w:fill="auto"/>
            <w:noWrap/>
            <w:vAlign w:val="center"/>
            <w:hideMark/>
          </w:tcPr>
          <w:p w14:paraId="62347307"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Liberal Democrats</w:t>
            </w:r>
          </w:p>
        </w:tc>
        <w:tc>
          <w:tcPr>
            <w:tcW w:w="1842" w:type="dxa"/>
            <w:shd w:val="clear" w:color="auto" w:fill="auto"/>
            <w:noWrap/>
            <w:vAlign w:val="bottom"/>
            <w:hideMark/>
          </w:tcPr>
          <w:p w14:paraId="112DC0F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 (66.7%)</w:t>
            </w:r>
          </w:p>
        </w:tc>
        <w:tc>
          <w:tcPr>
            <w:tcW w:w="1894" w:type="dxa"/>
            <w:vAlign w:val="bottom"/>
          </w:tcPr>
          <w:p w14:paraId="234F988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 (33.3%)</w:t>
            </w:r>
          </w:p>
        </w:tc>
        <w:tc>
          <w:tcPr>
            <w:tcW w:w="1328" w:type="dxa"/>
            <w:shd w:val="clear" w:color="auto" w:fill="auto"/>
            <w:noWrap/>
            <w:vAlign w:val="bottom"/>
            <w:hideMark/>
          </w:tcPr>
          <w:p w14:paraId="3F9AFE48"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9 (100%)</w:t>
            </w:r>
          </w:p>
        </w:tc>
      </w:tr>
      <w:tr w:rsidR="00EC6A08" w:rsidRPr="00EC6A08" w14:paraId="41D7C84A" w14:textId="77777777" w:rsidTr="00404EAC">
        <w:trPr>
          <w:trHeight w:val="320"/>
          <w:jc w:val="center"/>
        </w:trPr>
        <w:tc>
          <w:tcPr>
            <w:tcW w:w="2689" w:type="dxa"/>
            <w:shd w:val="clear" w:color="auto" w:fill="auto"/>
            <w:noWrap/>
            <w:vAlign w:val="center"/>
            <w:hideMark/>
          </w:tcPr>
          <w:p w14:paraId="569CDD03"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Other</w:t>
            </w:r>
          </w:p>
        </w:tc>
        <w:tc>
          <w:tcPr>
            <w:tcW w:w="1842" w:type="dxa"/>
            <w:shd w:val="clear" w:color="auto" w:fill="auto"/>
            <w:noWrap/>
            <w:vAlign w:val="center"/>
            <w:hideMark/>
          </w:tcPr>
          <w:p w14:paraId="5AD7A75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10 (90.9%)</w:t>
            </w:r>
          </w:p>
        </w:tc>
        <w:tc>
          <w:tcPr>
            <w:tcW w:w="1894" w:type="dxa"/>
            <w:vAlign w:val="center"/>
          </w:tcPr>
          <w:p w14:paraId="1E3A7F2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 (9.1%)</w:t>
            </w:r>
          </w:p>
        </w:tc>
        <w:tc>
          <w:tcPr>
            <w:tcW w:w="1328" w:type="dxa"/>
            <w:shd w:val="clear" w:color="auto" w:fill="auto"/>
            <w:noWrap/>
            <w:vAlign w:val="center"/>
            <w:hideMark/>
          </w:tcPr>
          <w:p w14:paraId="452BF16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11 (100%)</w:t>
            </w:r>
          </w:p>
        </w:tc>
      </w:tr>
      <w:tr w:rsidR="00EC6A08" w:rsidRPr="00EC6A08" w14:paraId="7C0F2032" w14:textId="77777777" w:rsidTr="00404EAC">
        <w:trPr>
          <w:trHeight w:val="320"/>
          <w:jc w:val="center"/>
        </w:trPr>
        <w:tc>
          <w:tcPr>
            <w:tcW w:w="2689" w:type="dxa"/>
            <w:shd w:val="clear" w:color="auto" w:fill="auto"/>
            <w:noWrap/>
            <w:vAlign w:val="center"/>
          </w:tcPr>
          <w:p w14:paraId="0E2BA59D"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center"/>
          </w:tcPr>
          <w:p w14:paraId="3B7D2CA3" w14:textId="77777777" w:rsidR="00E02108" w:rsidRPr="00EC6A08" w:rsidRDefault="00E02108" w:rsidP="001D0E87">
            <w:pPr>
              <w:pStyle w:val="NoSpacing"/>
              <w:contextualSpacing/>
              <w:rPr>
                <w:rFonts w:ascii="Garamond" w:hAnsi="Garamond"/>
                <w:lang w:val="en-GB"/>
              </w:rPr>
            </w:pPr>
          </w:p>
        </w:tc>
        <w:tc>
          <w:tcPr>
            <w:tcW w:w="1894" w:type="dxa"/>
            <w:vAlign w:val="center"/>
          </w:tcPr>
          <w:p w14:paraId="4C263052"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center"/>
          </w:tcPr>
          <w:p w14:paraId="7018A216" w14:textId="77777777" w:rsidR="00E02108" w:rsidRPr="00EC6A08" w:rsidRDefault="00E02108" w:rsidP="001D0E87">
            <w:pPr>
              <w:pStyle w:val="NoSpacing"/>
              <w:contextualSpacing/>
              <w:jc w:val="right"/>
              <w:rPr>
                <w:rFonts w:ascii="Garamond" w:hAnsi="Garamond"/>
                <w:lang w:val="en-GB"/>
              </w:rPr>
            </w:pPr>
          </w:p>
        </w:tc>
      </w:tr>
      <w:tr w:rsidR="00EC6A08" w:rsidRPr="00EC6A08" w14:paraId="57AC921C" w14:textId="77777777" w:rsidTr="00404EAC">
        <w:trPr>
          <w:trHeight w:val="320"/>
          <w:jc w:val="center"/>
        </w:trPr>
        <w:tc>
          <w:tcPr>
            <w:tcW w:w="2689" w:type="dxa"/>
            <w:shd w:val="clear" w:color="auto" w:fill="auto"/>
            <w:noWrap/>
            <w:vAlign w:val="bottom"/>
            <w:hideMark/>
          </w:tcPr>
          <w:p w14:paraId="6B532841"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CLP Endorsement</w:t>
            </w:r>
          </w:p>
        </w:tc>
        <w:tc>
          <w:tcPr>
            <w:tcW w:w="1842" w:type="dxa"/>
            <w:shd w:val="clear" w:color="auto" w:fill="auto"/>
            <w:noWrap/>
            <w:vAlign w:val="bottom"/>
            <w:hideMark/>
          </w:tcPr>
          <w:p w14:paraId="703C3CD2" w14:textId="77777777" w:rsidR="00E02108" w:rsidRPr="00EC6A08" w:rsidRDefault="00E02108" w:rsidP="001D0E87">
            <w:pPr>
              <w:pStyle w:val="NoSpacing"/>
              <w:contextualSpacing/>
              <w:rPr>
                <w:rFonts w:ascii="Garamond" w:hAnsi="Garamond"/>
                <w:lang w:val="en-GB"/>
              </w:rPr>
            </w:pPr>
          </w:p>
        </w:tc>
        <w:tc>
          <w:tcPr>
            <w:tcW w:w="1894" w:type="dxa"/>
            <w:vAlign w:val="bottom"/>
          </w:tcPr>
          <w:p w14:paraId="51F64431"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6FA2E809" w14:textId="77777777" w:rsidR="00E02108" w:rsidRPr="00EC6A08" w:rsidRDefault="00E02108" w:rsidP="001D0E87">
            <w:pPr>
              <w:pStyle w:val="NoSpacing"/>
              <w:contextualSpacing/>
              <w:jc w:val="right"/>
              <w:rPr>
                <w:rFonts w:ascii="Garamond" w:hAnsi="Garamond"/>
                <w:lang w:val="en-GB"/>
              </w:rPr>
            </w:pPr>
          </w:p>
        </w:tc>
      </w:tr>
      <w:tr w:rsidR="00EC6A08" w:rsidRPr="00EC6A08" w14:paraId="5B5E68F1" w14:textId="77777777" w:rsidTr="00404EAC">
        <w:trPr>
          <w:trHeight w:val="320"/>
          <w:jc w:val="center"/>
        </w:trPr>
        <w:tc>
          <w:tcPr>
            <w:tcW w:w="2689" w:type="dxa"/>
            <w:shd w:val="clear" w:color="auto" w:fill="auto"/>
            <w:noWrap/>
            <w:vAlign w:val="bottom"/>
          </w:tcPr>
          <w:p w14:paraId="126E2B4B"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Corbyn</w:t>
            </w:r>
          </w:p>
        </w:tc>
        <w:tc>
          <w:tcPr>
            <w:tcW w:w="1842" w:type="dxa"/>
            <w:shd w:val="clear" w:color="auto" w:fill="auto"/>
            <w:noWrap/>
            <w:vAlign w:val="bottom"/>
          </w:tcPr>
          <w:p w14:paraId="277F9E09"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52 (68.4%)</w:t>
            </w:r>
          </w:p>
        </w:tc>
        <w:tc>
          <w:tcPr>
            <w:tcW w:w="1894" w:type="dxa"/>
            <w:vAlign w:val="bottom"/>
          </w:tcPr>
          <w:p w14:paraId="65DE852D"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24 (31.6%)</w:t>
            </w:r>
          </w:p>
        </w:tc>
        <w:tc>
          <w:tcPr>
            <w:tcW w:w="1328" w:type="dxa"/>
            <w:shd w:val="clear" w:color="auto" w:fill="auto"/>
            <w:noWrap/>
            <w:vAlign w:val="bottom"/>
          </w:tcPr>
          <w:p w14:paraId="24A7FB3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76 (100%)</w:t>
            </w:r>
          </w:p>
        </w:tc>
      </w:tr>
      <w:tr w:rsidR="00EC6A08" w:rsidRPr="00EC6A08" w14:paraId="7228B328" w14:textId="77777777" w:rsidTr="00404EAC">
        <w:trPr>
          <w:trHeight w:val="320"/>
          <w:jc w:val="center"/>
        </w:trPr>
        <w:tc>
          <w:tcPr>
            <w:tcW w:w="2689" w:type="dxa"/>
            <w:shd w:val="clear" w:color="auto" w:fill="auto"/>
            <w:noWrap/>
            <w:vAlign w:val="bottom"/>
          </w:tcPr>
          <w:p w14:paraId="4FECC33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Smith</w:t>
            </w:r>
          </w:p>
        </w:tc>
        <w:tc>
          <w:tcPr>
            <w:tcW w:w="1842" w:type="dxa"/>
            <w:shd w:val="clear" w:color="auto" w:fill="auto"/>
            <w:noWrap/>
            <w:vAlign w:val="bottom"/>
          </w:tcPr>
          <w:p w14:paraId="4909CA6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18 (85.7%)</w:t>
            </w:r>
          </w:p>
        </w:tc>
        <w:tc>
          <w:tcPr>
            <w:tcW w:w="1894" w:type="dxa"/>
            <w:vAlign w:val="bottom"/>
          </w:tcPr>
          <w:p w14:paraId="17A6BED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 (14.3%)</w:t>
            </w:r>
          </w:p>
        </w:tc>
        <w:tc>
          <w:tcPr>
            <w:tcW w:w="1328" w:type="dxa"/>
            <w:shd w:val="clear" w:color="auto" w:fill="auto"/>
            <w:noWrap/>
            <w:vAlign w:val="bottom"/>
          </w:tcPr>
          <w:p w14:paraId="72F312E4"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21 (100%)</w:t>
            </w:r>
          </w:p>
        </w:tc>
      </w:tr>
      <w:tr w:rsidR="00EC6A08" w:rsidRPr="00EC6A08" w14:paraId="0404A383" w14:textId="77777777" w:rsidTr="00404EAC">
        <w:trPr>
          <w:trHeight w:val="320"/>
          <w:jc w:val="center"/>
        </w:trPr>
        <w:tc>
          <w:tcPr>
            <w:tcW w:w="2689" w:type="dxa"/>
            <w:shd w:val="clear" w:color="auto" w:fill="auto"/>
            <w:noWrap/>
            <w:vAlign w:val="bottom"/>
          </w:tcPr>
          <w:p w14:paraId="1E6DE8F7"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No Endorsement</w:t>
            </w:r>
          </w:p>
        </w:tc>
        <w:tc>
          <w:tcPr>
            <w:tcW w:w="1842" w:type="dxa"/>
            <w:shd w:val="clear" w:color="auto" w:fill="auto"/>
            <w:noWrap/>
            <w:vAlign w:val="bottom"/>
          </w:tcPr>
          <w:p w14:paraId="798F00B4"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120 (90.2%)</w:t>
            </w:r>
          </w:p>
        </w:tc>
        <w:tc>
          <w:tcPr>
            <w:tcW w:w="1894" w:type="dxa"/>
            <w:vAlign w:val="bottom"/>
          </w:tcPr>
          <w:p w14:paraId="7E1AE35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 (9.8%)</w:t>
            </w:r>
          </w:p>
        </w:tc>
        <w:tc>
          <w:tcPr>
            <w:tcW w:w="1328" w:type="dxa"/>
            <w:shd w:val="clear" w:color="auto" w:fill="auto"/>
            <w:noWrap/>
            <w:vAlign w:val="bottom"/>
          </w:tcPr>
          <w:p w14:paraId="68905473"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133 (100%)</w:t>
            </w:r>
          </w:p>
        </w:tc>
      </w:tr>
      <w:tr w:rsidR="00EC6A08" w:rsidRPr="00EC6A08" w14:paraId="528CB3ED" w14:textId="77777777" w:rsidTr="00404EAC">
        <w:trPr>
          <w:trHeight w:val="320"/>
          <w:jc w:val="center"/>
        </w:trPr>
        <w:tc>
          <w:tcPr>
            <w:tcW w:w="2689" w:type="dxa"/>
            <w:shd w:val="clear" w:color="auto" w:fill="auto"/>
            <w:noWrap/>
            <w:vAlign w:val="bottom"/>
          </w:tcPr>
          <w:p w14:paraId="41018300"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tcPr>
          <w:p w14:paraId="720B697E"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3ADB0674"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7F935765" w14:textId="77777777" w:rsidR="00E02108" w:rsidRPr="00EC6A08" w:rsidRDefault="00E02108" w:rsidP="001D0E87">
            <w:pPr>
              <w:pStyle w:val="NoSpacing"/>
              <w:contextualSpacing/>
              <w:jc w:val="right"/>
              <w:rPr>
                <w:rFonts w:ascii="Garamond" w:hAnsi="Garamond"/>
                <w:lang w:val="en-GB"/>
              </w:rPr>
            </w:pPr>
          </w:p>
        </w:tc>
      </w:tr>
      <w:tr w:rsidR="00EC6A08" w:rsidRPr="00EC6A08" w14:paraId="28728DD8" w14:textId="77777777" w:rsidTr="00404EAC">
        <w:trPr>
          <w:trHeight w:val="320"/>
          <w:jc w:val="center"/>
        </w:trPr>
        <w:tc>
          <w:tcPr>
            <w:tcW w:w="2689" w:type="dxa"/>
            <w:shd w:val="clear" w:color="auto" w:fill="auto"/>
            <w:noWrap/>
            <w:vAlign w:val="bottom"/>
          </w:tcPr>
          <w:p w14:paraId="7ADF7D3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Loyalty List Placement</w:t>
            </w:r>
          </w:p>
        </w:tc>
        <w:tc>
          <w:tcPr>
            <w:tcW w:w="1842" w:type="dxa"/>
            <w:shd w:val="clear" w:color="auto" w:fill="auto"/>
            <w:noWrap/>
            <w:vAlign w:val="bottom"/>
          </w:tcPr>
          <w:p w14:paraId="6AD372F5"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4CEE0209"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61D0F5CC" w14:textId="77777777" w:rsidR="00E02108" w:rsidRPr="00EC6A08" w:rsidRDefault="00E02108" w:rsidP="001D0E87">
            <w:pPr>
              <w:pStyle w:val="NoSpacing"/>
              <w:contextualSpacing/>
              <w:jc w:val="right"/>
              <w:rPr>
                <w:rFonts w:ascii="Garamond" w:hAnsi="Garamond"/>
                <w:lang w:val="en-GB"/>
              </w:rPr>
            </w:pPr>
          </w:p>
        </w:tc>
      </w:tr>
      <w:tr w:rsidR="00EC6A08" w:rsidRPr="00EC6A08" w14:paraId="35F31CB8" w14:textId="77777777" w:rsidTr="00404EAC">
        <w:trPr>
          <w:trHeight w:val="320"/>
          <w:jc w:val="center"/>
        </w:trPr>
        <w:tc>
          <w:tcPr>
            <w:tcW w:w="2689" w:type="dxa"/>
            <w:shd w:val="clear" w:color="auto" w:fill="auto"/>
            <w:noWrap/>
            <w:vAlign w:val="bottom"/>
          </w:tcPr>
          <w:p w14:paraId="66599FDB"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Positive (Core Group Plus or Core Group)</w:t>
            </w:r>
          </w:p>
        </w:tc>
        <w:tc>
          <w:tcPr>
            <w:tcW w:w="1842" w:type="dxa"/>
            <w:shd w:val="clear" w:color="auto" w:fill="auto"/>
            <w:noWrap/>
            <w:vAlign w:val="bottom"/>
          </w:tcPr>
          <w:p w14:paraId="1756837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44 (59.5%)</w:t>
            </w:r>
          </w:p>
        </w:tc>
        <w:tc>
          <w:tcPr>
            <w:tcW w:w="1894" w:type="dxa"/>
            <w:vAlign w:val="bottom"/>
          </w:tcPr>
          <w:p w14:paraId="6CFDCC6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30 (40.5%)</w:t>
            </w:r>
          </w:p>
        </w:tc>
        <w:tc>
          <w:tcPr>
            <w:tcW w:w="1328" w:type="dxa"/>
            <w:shd w:val="clear" w:color="auto" w:fill="auto"/>
            <w:noWrap/>
            <w:vAlign w:val="bottom"/>
          </w:tcPr>
          <w:p w14:paraId="5F96C43C"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74 (100%)</w:t>
            </w:r>
          </w:p>
        </w:tc>
      </w:tr>
      <w:tr w:rsidR="00EC6A08" w:rsidRPr="00EC6A08" w14:paraId="12C705A7" w14:textId="77777777" w:rsidTr="00404EAC">
        <w:trPr>
          <w:trHeight w:val="320"/>
          <w:jc w:val="center"/>
        </w:trPr>
        <w:tc>
          <w:tcPr>
            <w:tcW w:w="2689" w:type="dxa"/>
            <w:shd w:val="clear" w:color="auto" w:fill="auto"/>
            <w:noWrap/>
            <w:vAlign w:val="bottom"/>
          </w:tcPr>
          <w:p w14:paraId="4AA1A06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Neutral</w:t>
            </w:r>
          </w:p>
        </w:tc>
        <w:tc>
          <w:tcPr>
            <w:tcW w:w="1842" w:type="dxa"/>
            <w:shd w:val="clear" w:color="auto" w:fill="auto"/>
            <w:noWrap/>
            <w:vAlign w:val="bottom"/>
          </w:tcPr>
          <w:p w14:paraId="359355ED"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61 (89.7%)</w:t>
            </w:r>
          </w:p>
        </w:tc>
        <w:tc>
          <w:tcPr>
            <w:tcW w:w="1894" w:type="dxa"/>
            <w:vAlign w:val="bottom"/>
          </w:tcPr>
          <w:p w14:paraId="70543C03"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 (10.3%)</w:t>
            </w:r>
          </w:p>
        </w:tc>
        <w:tc>
          <w:tcPr>
            <w:tcW w:w="1328" w:type="dxa"/>
            <w:shd w:val="clear" w:color="auto" w:fill="auto"/>
            <w:noWrap/>
            <w:vAlign w:val="bottom"/>
          </w:tcPr>
          <w:p w14:paraId="6A8F33E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68 (100%)</w:t>
            </w:r>
          </w:p>
        </w:tc>
      </w:tr>
      <w:tr w:rsidR="00EC6A08" w:rsidRPr="00EC6A08" w14:paraId="3F919BD6" w14:textId="77777777" w:rsidTr="00404EAC">
        <w:trPr>
          <w:trHeight w:val="320"/>
          <w:jc w:val="center"/>
        </w:trPr>
        <w:tc>
          <w:tcPr>
            <w:tcW w:w="2689" w:type="dxa"/>
            <w:shd w:val="clear" w:color="auto" w:fill="auto"/>
            <w:noWrap/>
            <w:vAlign w:val="bottom"/>
          </w:tcPr>
          <w:p w14:paraId="78309E3F"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 xml:space="preserve">Negative (Core Group Hostile or Hostile) </w:t>
            </w:r>
          </w:p>
        </w:tc>
        <w:tc>
          <w:tcPr>
            <w:tcW w:w="1842" w:type="dxa"/>
            <w:shd w:val="clear" w:color="auto" w:fill="auto"/>
            <w:noWrap/>
            <w:vAlign w:val="bottom"/>
          </w:tcPr>
          <w:p w14:paraId="7C33DB2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78 (98.7%)</w:t>
            </w:r>
          </w:p>
        </w:tc>
        <w:tc>
          <w:tcPr>
            <w:tcW w:w="1894" w:type="dxa"/>
            <w:vAlign w:val="bottom"/>
          </w:tcPr>
          <w:p w14:paraId="6C6A981E"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 (1.3%)</w:t>
            </w:r>
          </w:p>
        </w:tc>
        <w:tc>
          <w:tcPr>
            <w:tcW w:w="1328" w:type="dxa"/>
            <w:shd w:val="clear" w:color="auto" w:fill="auto"/>
            <w:noWrap/>
            <w:vAlign w:val="bottom"/>
          </w:tcPr>
          <w:p w14:paraId="505A9EF9"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79 (100%)</w:t>
            </w:r>
          </w:p>
        </w:tc>
      </w:tr>
      <w:tr w:rsidR="00EC6A08" w:rsidRPr="00EC6A08" w14:paraId="0A429AF6" w14:textId="77777777" w:rsidTr="00404EAC">
        <w:trPr>
          <w:trHeight w:val="320"/>
          <w:jc w:val="center"/>
        </w:trPr>
        <w:tc>
          <w:tcPr>
            <w:tcW w:w="2689" w:type="dxa"/>
            <w:shd w:val="clear" w:color="auto" w:fill="auto"/>
            <w:noWrap/>
            <w:vAlign w:val="bottom"/>
          </w:tcPr>
          <w:p w14:paraId="5014315D" w14:textId="1D536710" w:rsidR="00E02108" w:rsidRPr="00EC6A08" w:rsidRDefault="00ED697E" w:rsidP="00ED697E">
            <w:pPr>
              <w:pStyle w:val="NoSpacing"/>
              <w:contextualSpacing/>
              <w:rPr>
                <w:rFonts w:ascii="Garamond" w:hAnsi="Garamond"/>
                <w:lang w:val="en-GB"/>
              </w:rPr>
            </w:pPr>
            <w:r w:rsidRPr="00EC6A08">
              <w:rPr>
                <w:rFonts w:ascii="Garamond" w:hAnsi="Garamond"/>
                <w:lang w:val="en-GB"/>
              </w:rPr>
              <w:t>Not Listed</w:t>
            </w:r>
          </w:p>
        </w:tc>
        <w:tc>
          <w:tcPr>
            <w:tcW w:w="1842" w:type="dxa"/>
            <w:shd w:val="clear" w:color="auto" w:fill="auto"/>
            <w:noWrap/>
            <w:vAlign w:val="bottom"/>
          </w:tcPr>
          <w:p w14:paraId="31B6A7B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7 (77.8%)</w:t>
            </w:r>
          </w:p>
        </w:tc>
        <w:tc>
          <w:tcPr>
            <w:tcW w:w="1894" w:type="dxa"/>
            <w:vAlign w:val="bottom"/>
          </w:tcPr>
          <w:p w14:paraId="474CAC4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 (22.2%)</w:t>
            </w:r>
          </w:p>
        </w:tc>
        <w:tc>
          <w:tcPr>
            <w:tcW w:w="1328" w:type="dxa"/>
            <w:shd w:val="clear" w:color="auto" w:fill="auto"/>
            <w:noWrap/>
            <w:vAlign w:val="bottom"/>
          </w:tcPr>
          <w:p w14:paraId="637B3F9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9 (100%)</w:t>
            </w:r>
          </w:p>
        </w:tc>
      </w:tr>
      <w:tr w:rsidR="00EC6A08" w:rsidRPr="00EC6A08" w14:paraId="315608D3" w14:textId="77777777" w:rsidTr="00404EAC">
        <w:trPr>
          <w:trHeight w:val="320"/>
          <w:jc w:val="center"/>
        </w:trPr>
        <w:tc>
          <w:tcPr>
            <w:tcW w:w="2689" w:type="dxa"/>
            <w:shd w:val="clear" w:color="auto" w:fill="auto"/>
            <w:noWrap/>
            <w:vAlign w:val="bottom"/>
          </w:tcPr>
          <w:p w14:paraId="383F7774"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tcPr>
          <w:p w14:paraId="75D67DCC"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40A4E116"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105BEB14" w14:textId="77777777" w:rsidR="00E02108" w:rsidRPr="00EC6A08" w:rsidRDefault="00E02108" w:rsidP="001D0E87">
            <w:pPr>
              <w:pStyle w:val="NoSpacing"/>
              <w:contextualSpacing/>
              <w:jc w:val="right"/>
              <w:rPr>
                <w:rFonts w:ascii="Garamond" w:hAnsi="Garamond"/>
                <w:lang w:val="en-GB"/>
              </w:rPr>
            </w:pPr>
          </w:p>
        </w:tc>
      </w:tr>
      <w:tr w:rsidR="00EC6A08" w:rsidRPr="00EC6A08" w14:paraId="64ACD009" w14:textId="77777777" w:rsidTr="00404EAC">
        <w:trPr>
          <w:trHeight w:val="320"/>
          <w:jc w:val="center"/>
        </w:trPr>
        <w:tc>
          <w:tcPr>
            <w:tcW w:w="2689" w:type="dxa"/>
            <w:shd w:val="clear" w:color="auto" w:fill="auto"/>
            <w:noWrap/>
            <w:vAlign w:val="bottom"/>
          </w:tcPr>
          <w:p w14:paraId="4C9D671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Member of a Trade Union</w:t>
            </w:r>
          </w:p>
        </w:tc>
        <w:tc>
          <w:tcPr>
            <w:tcW w:w="1842" w:type="dxa"/>
            <w:shd w:val="clear" w:color="auto" w:fill="auto"/>
            <w:noWrap/>
            <w:vAlign w:val="bottom"/>
          </w:tcPr>
          <w:p w14:paraId="4D888810" w14:textId="77777777" w:rsidR="00E02108" w:rsidRPr="00EC6A08" w:rsidRDefault="00E02108" w:rsidP="001D0E87">
            <w:pPr>
              <w:pStyle w:val="NoSpacing"/>
              <w:contextualSpacing/>
              <w:jc w:val="right"/>
              <w:rPr>
                <w:rFonts w:ascii="Garamond" w:hAnsi="Garamond"/>
                <w:lang w:val="en-GB"/>
              </w:rPr>
            </w:pPr>
          </w:p>
        </w:tc>
        <w:tc>
          <w:tcPr>
            <w:tcW w:w="1894" w:type="dxa"/>
            <w:vAlign w:val="bottom"/>
          </w:tcPr>
          <w:p w14:paraId="09D8BC2F"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5AB81FE7" w14:textId="77777777" w:rsidR="00E02108" w:rsidRPr="00EC6A08" w:rsidRDefault="00E02108" w:rsidP="001D0E87">
            <w:pPr>
              <w:pStyle w:val="NoSpacing"/>
              <w:contextualSpacing/>
              <w:jc w:val="right"/>
              <w:rPr>
                <w:rFonts w:ascii="Garamond" w:hAnsi="Garamond"/>
                <w:lang w:val="en-GB"/>
              </w:rPr>
            </w:pPr>
          </w:p>
        </w:tc>
      </w:tr>
      <w:tr w:rsidR="00EC6A08" w:rsidRPr="00EC6A08" w14:paraId="7D5A23C2" w14:textId="77777777" w:rsidTr="00404EAC">
        <w:trPr>
          <w:trHeight w:val="320"/>
          <w:jc w:val="center"/>
        </w:trPr>
        <w:tc>
          <w:tcPr>
            <w:tcW w:w="2689" w:type="dxa"/>
            <w:shd w:val="clear" w:color="auto" w:fill="auto"/>
            <w:noWrap/>
            <w:vAlign w:val="bottom"/>
          </w:tcPr>
          <w:p w14:paraId="0240F0EE"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Member</w:t>
            </w:r>
          </w:p>
        </w:tc>
        <w:tc>
          <w:tcPr>
            <w:tcW w:w="1842" w:type="dxa"/>
            <w:shd w:val="clear" w:color="auto" w:fill="auto"/>
            <w:noWrap/>
            <w:vAlign w:val="bottom"/>
          </w:tcPr>
          <w:p w14:paraId="10679D8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168 (83.2%)</w:t>
            </w:r>
          </w:p>
        </w:tc>
        <w:tc>
          <w:tcPr>
            <w:tcW w:w="1894" w:type="dxa"/>
            <w:vAlign w:val="bottom"/>
          </w:tcPr>
          <w:p w14:paraId="7212E6F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34 (16.8%)</w:t>
            </w:r>
          </w:p>
        </w:tc>
        <w:tc>
          <w:tcPr>
            <w:tcW w:w="1328" w:type="dxa"/>
            <w:shd w:val="clear" w:color="auto" w:fill="auto"/>
            <w:noWrap/>
            <w:vAlign w:val="bottom"/>
          </w:tcPr>
          <w:p w14:paraId="5A334E9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202 (100%)</w:t>
            </w:r>
          </w:p>
        </w:tc>
      </w:tr>
      <w:tr w:rsidR="00EC6A08" w:rsidRPr="00EC6A08" w14:paraId="73534E22" w14:textId="77777777" w:rsidTr="00404EAC">
        <w:trPr>
          <w:trHeight w:val="320"/>
          <w:jc w:val="center"/>
        </w:trPr>
        <w:tc>
          <w:tcPr>
            <w:tcW w:w="2689" w:type="dxa"/>
            <w:shd w:val="clear" w:color="auto" w:fill="auto"/>
            <w:noWrap/>
            <w:vAlign w:val="bottom"/>
          </w:tcPr>
          <w:p w14:paraId="061AB8D3"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Non-member</w:t>
            </w:r>
          </w:p>
        </w:tc>
        <w:tc>
          <w:tcPr>
            <w:tcW w:w="1842" w:type="dxa"/>
            <w:shd w:val="clear" w:color="auto" w:fill="auto"/>
            <w:noWrap/>
            <w:vAlign w:val="bottom"/>
          </w:tcPr>
          <w:p w14:paraId="4A31272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22 (78.6%)</w:t>
            </w:r>
          </w:p>
        </w:tc>
        <w:tc>
          <w:tcPr>
            <w:tcW w:w="1894" w:type="dxa"/>
            <w:vAlign w:val="bottom"/>
          </w:tcPr>
          <w:p w14:paraId="5AB70AD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 (21.4%)</w:t>
            </w:r>
          </w:p>
        </w:tc>
        <w:tc>
          <w:tcPr>
            <w:tcW w:w="1328" w:type="dxa"/>
            <w:shd w:val="clear" w:color="auto" w:fill="auto"/>
            <w:noWrap/>
            <w:vAlign w:val="bottom"/>
          </w:tcPr>
          <w:p w14:paraId="3B277228"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28 (100%)</w:t>
            </w:r>
          </w:p>
        </w:tc>
      </w:tr>
      <w:tr w:rsidR="00EC6A08" w:rsidRPr="00EC6A08" w14:paraId="6BC38377" w14:textId="77777777" w:rsidTr="00404EAC">
        <w:trPr>
          <w:trHeight w:val="320"/>
          <w:jc w:val="center"/>
        </w:trPr>
        <w:tc>
          <w:tcPr>
            <w:tcW w:w="2689" w:type="dxa"/>
            <w:shd w:val="clear" w:color="auto" w:fill="auto"/>
            <w:noWrap/>
            <w:vAlign w:val="bottom"/>
          </w:tcPr>
          <w:p w14:paraId="5DE953E1"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tcPr>
          <w:p w14:paraId="5B43BD5F" w14:textId="77777777" w:rsidR="00E02108" w:rsidRPr="00EC6A08" w:rsidRDefault="00E02108" w:rsidP="001D0E87">
            <w:pPr>
              <w:pStyle w:val="NoSpacing"/>
              <w:contextualSpacing/>
              <w:rPr>
                <w:rFonts w:ascii="Garamond" w:hAnsi="Garamond"/>
                <w:lang w:val="en-GB"/>
              </w:rPr>
            </w:pPr>
          </w:p>
        </w:tc>
        <w:tc>
          <w:tcPr>
            <w:tcW w:w="1894" w:type="dxa"/>
            <w:vAlign w:val="bottom"/>
          </w:tcPr>
          <w:p w14:paraId="50C4CF29"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294C3615" w14:textId="77777777" w:rsidR="00E02108" w:rsidRPr="00EC6A08" w:rsidRDefault="00E02108" w:rsidP="001D0E87">
            <w:pPr>
              <w:pStyle w:val="NoSpacing"/>
              <w:contextualSpacing/>
              <w:jc w:val="right"/>
              <w:rPr>
                <w:rFonts w:ascii="Garamond" w:hAnsi="Garamond"/>
                <w:lang w:val="en-GB"/>
              </w:rPr>
            </w:pPr>
          </w:p>
        </w:tc>
      </w:tr>
      <w:tr w:rsidR="00EC6A08" w:rsidRPr="00EC6A08" w14:paraId="42B74ABD" w14:textId="77777777" w:rsidTr="00404EAC">
        <w:trPr>
          <w:trHeight w:val="320"/>
          <w:jc w:val="center"/>
        </w:trPr>
        <w:tc>
          <w:tcPr>
            <w:tcW w:w="2689" w:type="dxa"/>
            <w:shd w:val="clear" w:color="auto" w:fill="auto"/>
            <w:noWrap/>
            <w:vAlign w:val="bottom"/>
            <w:hideMark/>
          </w:tcPr>
          <w:p w14:paraId="46976324" w14:textId="77777777" w:rsidR="00E02108" w:rsidRPr="00EC6A08" w:rsidRDefault="00E02108" w:rsidP="001D0E87">
            <w:pPr>
              <w:pStyle w:val="NoSpacing"/>
              <w:contextualSpacing/>
              <w:rPr>
                <w:rFonts w:ascii="Garamond" w:hAnsi="Garamond"/>
                <w:lang w:val="en-GB"/>
              </w:rPr>
            </w:pPr>
          </w:p>
          <w:p w14:paraId="38C3401C"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Ideological</w:t>
            </w:r>
          </w:p>
        </w:tc>
        <w:tc>
          <w:tcPr>
            <w:tcW w:w="1842" w:type="dxa"/>
            <w:shd w:val="clear" w:color="auto" w:fill="auto"/>
            <w:noWrap/>
            <w:vAlign w:val="bottom"/>
            <w:hideMark/>
          </w:tcPr>
          <w:p w14:paraId="357F3875" w14:textId="77777777" w:rsidR="00E02108" w:rsidRPr="00EC6A08" w:rsidRDefault="00E02108" w:rsidP="001D0E87">
            <w:pPr>
              <w:pStyle w:val="NoSpacing"/>
              <w:contextualSpacing/>
              <w:rPr>
                <w:rFonts w:ascii="Garamond" w:hAnsi="Garamond"/>
                <w:lang w:val="en-GB"/>
              </w:rPr>
            </w:pPr>
          </w:p>
        </w:tc>
        <w:tc>
          <w:tcPr>
            <w:tcW w:w="1894" w:type="dxa"/>
            <w:vAlign w:val="bottom"/>
          </w:tcPr>
          <w:p w14:paraId="6CA5A283"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29587CC5" w14:textId="77777777" w:rsidR="00E02108" w:rsidRPr="00EC6A08" w:rsidRDefault="00E02108" w:rsidP="001D0E87">
            <w:pPr>
              <w:pStyle w:val="NoSpacing"/>
              <w:contextualSpacing/>
              <w:jc w:val="right"/>
              <w:rPr>
                <w:rFonts w:ascii="Garamond" w:hAnsi="Garamond"/>
                <w:lang w:val="en-GB"/>
              </w:rPr>
            </w:pPr>
          </w:p>
        </w:tc>
      </w:tr>
      <w:tr w:rsidR="00EC6A08" w:rsidRPr="00EC6A08" w14:paraId="3FB23893" w14:textId="77777777" w:rsidTr="00404EAC">
        <w:trPr>
          <w:trHeight w:val="320"/>
          <w:jc w:val="center"/>
        </w:trPr>
        <w:tc>
          <w:tcPr>
            <w:tcW w:w="2689" w:type="dxa"/>
            <w:shd w:val="clear" w:color="auto" w:fill="auto"/>
            <w:noWrap/>
            <w:vAlign w:val="bottom"/>
          </w:tcPr>
          <w:p w14:paraId="44B1C235"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EU Referendum Vote</w:t>
            </w:r>
          </w:p>
        </w:tc>
        <w:tc>
          <w:tcPr>
            <w:tcW w:w="1842" w:type="dxa"/>
            <w:shd w:val="clear" w:color="auto" w:fill="auto"/>
            <w:noWrap/>
            <w:vAlign w:val="bottom"/>
          </w:tcPr>
          <w:p w14:paraId="72745247" w14:textId="77777777" w:rsidR="00E02108" w:rsidRPr="00EC6A08" w:rsidRDefault="00E02108" w:rsidP="001D0E87">
            <w:pPr>
              <w:pStyle w:val="NoSpacing"/>
              <w:contextualSpacing/>
              <w:rPr>
                <w:rFonts w:ascii="Garamond" w:hAnsi="Garamond"/>
                <w:lang w:val="en-GB"/>
              </w:rPr>
            </w:pPr>
          </w:p>
        </w:tc>
        <w:tc>
          <w:tcPr>
            <w:tcW w:w="1894" w:type="dxa"/>
            <w:vAlign w:val="bottom"/>
          </w:tcPr>
          <w:p w14:paraId="738564A0"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5F72519F" w14:textId="77777777" w:rsidR="00E02108" w:rsidRPr="00EC6A08" w:rsidRDefault="00E02108" w:rsidP="001D0E87">
            <w:pPr>
              <w:pStyle w:val="NoSpacing"/>
              <w:contextualSpacing/>
              <w:jc w:val="right"/>
              <w:rPr>
                <w:rFonts w:ascii="Garamond" w:hAnsi="Garamond"/>
                <w:lang w:val="en-GB"/>
              </w:rPr>
            </w:pPr>
          </w:p>
        </w:tc>
      </w:tr>
      <w:tr w:rsidR="00EC6A08" w:rsidRPr="00EC6A08" w14:paraId="1F2E2E8E" w14:textId="77777777" w:rsidTr="00404EAC">
        <w:trPr>
          <w:trHeight w:val="320"/>
          <w:jc w:val="center"/>
        </w:trPr>
        <w:tc>
          <w:tcPr>
            <w:tcW w:w="2689" w:type="dxa"/>
            <w:shd w:val="clear" w:color="auto" w:fill="auto"/>
            <w:noWrap/>
            <w:vAlign w:val="bottom"/>
            <w:hideMark/>
          </w:tcPr>
          <w:p w14:paraId="7442FF11"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lastRenderedPageBreak/>
              <w:t>Remain</w:t>
            </w:r>
          </w:p>
        </w:tc>
        <w:tc>
          <w:tcPr>
            <w:tcW w:w="1842" w:type="dxa"/>
            <w:shd w:val="clear" w:color="auto" w:fill="auto"/>
            <w:noWrap/>
            <w:vAlign w:val="bottom"/>
            <w:hideMark/>
          </w:tcPr>
          <w:p w14:paraId="4940135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181 (83.4%)</w:t>
            </w:r>
          </w:p>
        </w:tc>
        <w:tc>
          <w:tcPr>
            <w:tcW w:w="1894" w:type="dxa"/>
            <w:vAlign w:val="bottom"/>
          </w:tcPr>
          <w:p w14:paraId="3A335E5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36 (16.6%)</w:t>
            </w:r>
          </w:p>
        </w:tc>
        <w:tc>
          <w:tcPr>
            <w:tcW w:w="1328" w:type="dxa"/>
            <w:shd w:val="clear" w:color="auto" w:fill="auto"/>
            <w:noWrap/>
            <w:vAlign w:val="bottom"/>
            <w:hideMark/>
          </w:tcPr>
          <w:p w14:paraId="5FB789CC"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217 (100%)</w:t>
            </w:r>
          </w:p>
        </w:tc>
      </w:tr>
      <w:tr w:rsidR="00EC6A08" w:rsidRPr="00EC6A08" w14:paraId="12735CF7" w14:textId="77777777" w:rsidTr="00404EAC">
        <w:trPr>
          <w:trHeight w:val="320"/>
          <w:jc w:val="center"/>
        </w:trPr>
        <w:tc>
          <w:tcPr>
            <w:tcW w:w="2689" w:type="dxa"/>
            <w:shd w:val="clear" w:color="auto" w:fill="auto"/>
            <w:noWrap/>
            <w:vAlign w:val="bottom"/>
            <w:hideMark/>
          </w:tcPr>
          <w:p w14:paraId="49BCB016"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Not Remain</w:t>
            </w:r>
          </w:p>
        </w:tc>
        <w:tc>
          <w:tcPr>
            <w:tcW w:w="1842" w:type="dxa"/>
            <w:shd w:val="clear" w:color="auto" w:fill="auto"/>
            <w:noWrap/>
            <w:vAlign w:val="bottom"/>
            <w:hideMark/>
          </w:tcPr>
          <w:p w14:paraId="66BC262A"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9 (69.2%)</w:t>
            </w:r>
          </w:p>
        </w:tc>
        <w:tc>
          <w:tcPr>
            <w:tcW w:w="1894" w:type="dxa"/>
            <w:vAlign w:val="bottom"/>
          </w:tcPr>
          <w:p w14:paraId="5B1101D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 (30.8%)</w:t>
            </w:r>
          </w:p>
        </w:tc>
        <w:tc>
          <w:tcPr>
            <w:tcW w:w="1328" w:type="dxa"/>
            <w:shd w:val="clear" w:color="auto" w:fill="auto"/>
            <w:noWrap/>
            <w:vAlign w:val="bottom"/>
            <w:hideMark/>
          </w:tcPr>
          <w:p w14:paraId="36811E4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 (100%)</w:t>
            </w:r>
          </w:p>
        </w:tc>
      </w:tr>
      <w:tr w:rsidR="00EC6A08" w:rsidRPr="00EC6A08" w14:paraId="5DE8E74E" w14:textId="77777777" w:rsidTr="00404EAC">
        <w:trPr>
          <w:trHeight w:val="320"/>
          <w:jc w:val="center"/>
        </w:trPr>
        <w:tc>
          <w:tcPr>
            <w:tcW w:w="2689" w:type="dxa"/>
            <w:shd w:val="clear" w:color="auto" w:fill="auto"/>
            <w:noWrap/>
            <w:vAlign w:val="bottom"/>
          </w:tcPr>
          <w:p w14:paraId="6EC23B08"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tcPr>
          <w:p w14:paraId="2C5F90CD" w14:textId="77777777" w:rsidR="00E02108" w:rsidRPr="00EC6A08" w:rsidRDefault="00E02108" w:rsidP="001D0E87">
            <w:pPr>
              <w:pStyle w:val="NoSpacing"/>
              <w:contextualSpacing/>
              <w:rPr>
                <w:rFonts w:ascii="Garamond" w:hAnsi="Garamond"/>
                <w:lang w:val="en-GB"/>
              </w:rPr>
            </w:pPr>
          </w:p>
        </w:tc>
        <w:tc>
          <w:tcPr>
            <w:tcW w:w="1894" w:type="dxa"/>
            <w:vAlign w:val="bottom"/>
          </w:tcPr>
          <w:p w14:paraId="6942DBB7"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44F3F41D" w14:textId="77777777" w:rsidR="00E02108" w:rsidRPr="00EC6A08" w:rsidRDefault="00E02108" w:rsidP="001D0E87">
            <w:pPr>
              <w:pStyle w:val="NoSpacing"/>
              <w:contextualSpacing/>
              <w:jc w:val="right"/>
              <w:rPr>
                <w:rFonts w:ascii="Garamond" w:hAnsi="Garamond"/>
                <w:lang w:val="en-GB"/>
              </w:rPr>
            </w:pPr>
          </w:p>
        </w:tc>
      </w:tr>
      <w:tr w:rsidR="00EC6A08" w:rsidRPr="00EC6A08" w14:paraId="2716CB61" w14:textId="77777777" w:rsidTr="00404EAC">
        <w:trPr>
          <w:trHeight w:val="320"/>
          <w:jc w:val="center"/>
        </w:trPr>
        <w:tc>
          <w:tcPr>
            <w:tcW w:w="2689" w:type="dxa"/>
            <w:shd w:val="clear" w:color="auto" w:fill="auto"/>
            <w:noWrap/>
            <w:vAlign w:val="bottom"/>
          </w:tcPr>
          <w:p w14:paraId="6936DD57"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Immigration</w:t>
            </w:r>
          </w:p>
        </w:tc>
        <w:tc>
          <w:tcPr>
            <w:tcW w:w="1842" w:type="dxa"/>
            <w:shd w:val="clear" w:color="auto" w:fill="auto"/>
            <w:noWrap/>
            <w:vAlign w:val="bottom"/>
          </w:tcPr>
          <w:p w14:paraId="78D63ECC" w14:textId="77777777" w:rsidR="00E02108" w:rsidRPr="00EC6A08" w:rsidRDefault="00E02108" w:rsidP="001D0E87">
            <w:pPr>
              <w:pStyle w:val="NoSpacing"/>
              <w:contextualSpacing/>
              <w:rPr>
                <w:rFonts w:ascii="Garamond" w:hAnsi="Garamond"/>
                <w:lang w:val="en-GB"/>
              </w:rPr>
            </w:pPr>
          </w:p>
        </w:tc>
        <w:tc>
          <w:tcPr>
            <w:tcW w:w="1894" w:type="dxa"/>
            <w:vAlign w:val="bottom"/>
          </w:tcPr>
          <w:p w14:paraId="4E342367"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413EF3AB" w14:textId="77777777" w:rsidR="00E02108" w:rsidRPr="00EC6A08" w:rsidRDefault="00E02108" w:rsidP="001D0E87">
            <w:pPr>
              <w:pStyle w:val="NoSpacing"/>
              <w:contextualSpacing/>
              <w:jc w:val="right"/>
              <w:rPr>
                <w:rFonts w:ascii="Garamond" w:hAnsi="Garamond"/>
                <w:lang w:val="en-GB"/>
              </w:rPr>
            </w:pPr>
          </w:p>
        </w:tc>
      </w:tr>
      <w:tr w:rsidR="00EC6A08" w:rsidRPr="00EC6A08" w14:paraId="3B69B47B" w14:textId="77777777" w:rsidTr="00404EAC">
        <w:trPr>
          <w:trHeight w:val="320"/>
          <w:jc w:val="center"/>
        </w:trPr>
        <w:tc>
          <w:tcPr>
            <w:tcW w:w="2689" w:type="dxa"/>
            <w:shd w:val="clear" w:color="auto" w:fill="auto"/>
            <w:noWrap/>
            <w:vAlign w:val="bottom"/>
          </w:tcPr>
          <w:p w14:paraId="042C7FC8"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Open Door</w:t>
            </w:r>
          </w:p>
        </w:tc>
        <w:tc>
          <w:tcPr>
            <w:tcW w:w="1842" w:type="dxa"/>
            <w:shd w:val="clear" w:color="auto" w:fill="auto"/>
            <w:noWrap/>
            <w:vAlign w:val="bottom"/>
          </w:tcPr>
          <w:p w14:paraId="3A2EDFD7"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135 (79.9%)</w:t>
            </w:r>
          </w:p>
        </w:tc>
        <w:tc>
          <w:tcPr>
            <w:tcW w:w="1894" w:type="dxa"/>
            <w:vAlign w:val="bottom"/>
          </w:tcPr>
          <w:p w14:paraId="334E202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34 (20.1%)</w:t>
            </w:r>
          </w:p>
        </w:tc>
        <w:tc>
          <w:tcPr>
            <w:tcW w:w="1328" w:type="dxa"/>
            <w:shd w:val="clear" w:color="auto" w:fill="auto"/>
            <w:noWrap/>
            <w:vAlign w:val="bottom"/>
          </w:tcPr>
          <w:p w14:paraId="5735863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169 (100%)</w:t>
            </w:r>
          </w:p>
        </w:tc>
      </w:tr>
      <w:tr w:rsidR="00EC6A08" w:rsidRPr="00EC6A08" w14:paraId="5DFDE5B9" w14:textId="77777777" w:rsidTr="00404EAC">
        <w:trPr>
          <w:trHeight w:val="320"/>
          <w:jc w:val="center"/>
        </w:trPr>
        <w:tc>
          <w:tcPr>
            <w:tcW w:w="2689" w:type="dxa"/>
            <w:shd w:val="clear" w:color="auto" w:fill="auto"/>
            <w:noWrap/>
            <w:vAlign w:val="bottom"/>
            <w:hideMark/>
          </w:tcPr>
          <w:p w14:paraId="613DB2BD"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Controls Necessary</w:t>
            </w:r>
          </w:p>
        </w:tc>
        <w:tc>
          <w:tcPr>
            <w:tcW w:w="1842" w:type="dxa"/>
            <w:shd w:val="clear" w:color="auto" w:fill="auto"/>
            <w:noWrap/>
            <w:vAlign w:val="bottom"/>
            <w:hideMark/>
          </w:tcPr>
          <w:p w14:paraId="16FEF79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38 (88.4%)</w:t>
            </w:r>
          </w:p>
        </w:tc>
        <w:tc>
          <w:tcPr>
            <w:tcW w:w="1894" w:type="dxa"/>
            <w:vAlign w:val="bottom"/>
          </w:tcPr>
          <w:p w14:paraId="4E6E450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5 (11.6%)</w:t>
            </w:r>
          </w:p>
        </w:tc>
        <w:tc>
          <w:tcPr>
            <w:tcW w:w="1328" w:type="dxa"/>
            <w:shd w:val="clear" w:color="auto" w:fill="auto"/>
            <w:noWrap/>
            <w:vAlign w:val="bottom"/>
            <w:hideMark/>
          </w:tcPr>
          <w:p w14:paraId="775A4B0B"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43 (100%)</w:t>
            </w:r>
          </w:p>
        </w:tc>
      </w:tr>
      <w:tr w:rsidR="00EC6A08" w:rsidRPr="00EC6A08" w14:paraId="75FEF015" w14:textId="77777777" w:rsidTr="00404EAC">
        <w:trPr>
          <w:trHeight w:val="320"/>
          <w:jc w:val="center"/>
        </w:trPr>
        <w:tc>
          <w:tcPr>
            <w:tcW w:w="2689" w:type="dxa"/>
            <w:shd w:val="clear" w:color="auto" w:fill="auto"/>
            <w:noWrap/>
            <w:vAlign w:val="bottom"/>
          </w:tcPr>
          <w:p w14:paraId="7062C671"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Undeclared</w:t>
            </w:r>
          </w:p>
        </w:tc>
        <w:tc>
          <w:tcPr>
            <w:tcW w:w="1842" w:type="dxa"/>
            <w:shd w:val="clear" w:color="auto" w:fill="auto"/>
            <w:noWrap/>
            <w:vAlign w:val="bottom"/>
          </w:tcPr>
          <w:p w14:paraId="1863CDE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17 (94.4%)</w:t>
            </w:r>
          </w:p>
        </w:tc>
        <w:tc>
          <w:tcPr>
            <w:tcW w:w="1894" w:type="dxa"/>
            <w:vAlign w:val="bottom"/>
          </w:tcPr>
          <w:p w14:paraId="47DE92F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 (5.6%)</w:t>
            </w:r>
          </w:p>
        </w:tc>
        <w:tc>
          <w:tcPr>
            <w:tcW w:w="1328" w:type="dxa"/>
            <w:shd w:val="clear" w:color="auto" w:fill="auto"/>
            <w:noWrap/>
            <w:vAlign w:val="bottom"/>
          </w:tcPr>
          <w:p w14:paraId="40B83611"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18 (100%)</w:t>
            </w:r>
          </w:p>
        </w:tc>
      </w:tr>
      <w:tr w:rsidR="00EC6A08" w:rsidRPr="00EC6A08" w14:paraId="65DC17AB" w14:textId="77777777" w:rsidTr="00404EAC">
        <w:trPr>
          <w:trHeight w:val="320"/>
          <w:jc w:val="center"/>
        </w:trPr>
        <w:tc>
          <w:tcPr>
            <w:tcW w:w="2689" w:type="dxa"/>
            <w:shd w:val="clear" w:color="auto" w:fill="auto"/>
            <w:noWrap/>
            <w:vAlign w:val="bottom"/>
          </w:tcPr>
          <w:p w14:paraId="504D4186" w14:textId="77777777" w:rsidR="00E02108" w:rsidRPr="00EC6A08" w:rsidRDefault="00E02108" w:rsidP="001D0E87">
            <w:pPr>
              <w:pStyle w:val="NoSpacing"/>
              <w:contextualSpacing/>
              <w:rPr>
                <w:rFonts w:ascii="Garamond" w:hAnsi="Garamond"/>
                <w:lang w:val="en-GB"/>
              </w:rPr>
            </w:pPr>
          </w:p>
        </w:tc>
        <w:tc>
          <w:tcPr>
            <w:tcW w:w="1842" w:type="dxa"/>
            <w:shd w:val="clear" w:color="auto" w:fill="auto"/>
            <w:noWrap/>
            <w:vAlign w:val="bottom"/>
          </w:tcPr>
          <w:p w14:paraId="3ED7A119" w14:textId="77777777" w:rsidR="00E02108" w:rsidRPr="00EC6A08" w:rsidRDefault="00E02108" w:rsidP="001D0E87">
            <w:pPr>
              <w:pStyle w:val="NoSpacing"/>
              <w:contextualSpacing/>
              <w:rPr>
                <w:rFonts w:ascii="Garamond" w:hAnsi="Garamond"/>
                <w:lang w:val="en-GB"/>
              </w:rPr>
            </w:pPr>
          </w:p>
        </w:tc>
        <w:tc>
          <w:tcPr>
            <w:tcW w:w="1894" w:type="dxa"/>
            <w:vAlign w:val="bottom"/>
          </w:tcPr>
          <w:p w14:paraId="714C19BD"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tcPr>
          <w:p w14:paraId="0F8469D0" w14:textId="77777777" w:rsidR="00E02108" w:rsidRPr="00EC6A08" w:rsidRDefault="00E02108" w:rsidP="001D0E87">
            <w:pPr>
              <w:pStyle w:val="NoSpacing"/>
              <w:contextualSpacing/>
              <w:jc w:val="right"/>
              <w:rPr>
                <w:rFonts w:ascii="Garamond" w:hAnsi="Garamond"/>
                <w:lang w:val="en-GB"/>
              </w:rPr>
            </w:pPr>
          </w:p>
        </w:tc>
      </w:tr>
      <w:tr w:rsidR="00EC6A08" w:rsidRPr="00EC6A08" w14:paraId="1E7783C1" w14:textId="77777777" w:rsidTr="00404EAC">
        <w:trPr>
          <w:trHeight w:val="320"/>
          <w:jc w:val="center"/>
        </w:trPr>
        <w:tc>
          <w:tcPr>
            <w:tcW w:w="2689" w:type="dxa"/>
            <w:shd w:val="clear" w:color="auto" w:fill="auto"/>
            <w:noWrap/>
            <w:vAlign w:val="bottom"/>
            <w:hideMark/>
          </w:tcPr>
          <w:p w14:paraId="4784E36C"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Syria*</w:t>
            </w:r>
          </w:p>
        </w:tc>
        <w:tc>
          <w:tcPr>
            <w:tcW w:w="1842" w:type="dxa"/>
            <w:shd w:val="clear" w:color="auto" w:fill="auto"/>
            <w:noWrap/>
            <w:vAlign w:val="bottom"/>
            <w:hideMark/>
          </w:tcPr>
          <w:p w14:paraId="50157A14" w14:textId="77777777" w:rsidR="00E02108" w:rsidRPr="00EC6A08" w:rsidRDefault="00E02108" w:rsidP="001D0E87">
            <w:pPr>
              <w:pStyle w:val="NoSpacing"/>
              <w:contextualSpacing/>
              <w:rPr>
                <w:rFonts w:ascii="Garamond" w:hAnsi="Garamond"/>
                <w:lang w:val="en-GB"/>
              </w:rPr>
            </w:pPr>
          </w:p>
        </w:tc>
        <w:tc>
          <w:tcPr>
            <w:tcW w:w="1894" w:type="dxa"/>
            <w:vAlign w:val="bottom"/>
          </w:tcPr>
          <w:p w14:paraId="62F934EB" w14:textId="77777777" w:rsidR="00E02108" w:rsidRPr="00EC6A08" w:rsidRDefault="00E02108" w:rsidP="001D0E87">
            <w:pPr>
              <w:pStyle w:val="NoSpacing"/>
              <w:contextualSpacing/>
              <w:jc w:val="right"/>
              <w:rPr>
                <w:rFonts w:ascii="Garamond" w:hAnsi="Garamond"/>
                <w:lang w:val="en-GB"/>
              </w:rPr>
            </w:pPr>
          </w:p>
        </w:tc>
        <w:tc>
          <w:tcPr>
            <w:tcW w:w="1328" w:type="dxa"/>
            <w:shd w:val="clear" w:color="auto" w:fill="auto"/>
            <w:noWrap/>
            <w:vAlign w:val="bottom"/>
            <w:hideMark/>
          </w:tcPr>
          <w:p w14:paraId="0D700B8B" w14:textId="77777777" w:rsidR="00E02108" w:rsidRPr="00EC6A08" w:rsidRDefault="00E02108" w:rsidP="001D0E87">
            <w:pPr>
              <w:pStyle w:val="NoSpacing"/>
              <w:contextualSpacing/>
              <w:jc w:val="right"/>
              <w:rPr>
                <w:rFonts w:ascii="Garamond" w:hAnsi="Garamond"/>
                <w:lang w:val="en-GB"/>
              </w:rPr>
            </w:pPr>
          </w:p>
        </w:tc>
      </w:tr>
      <w:tr w:rsidR="00EC6A08" w:rsidRPr="00EC6A08" w14:paraId="2633888D" w14:textId="77777777" w:rsidTr="00404EAC">
        <w:trPr>
          <w:trHeight w:val="320"/>
          <w:jc w:val="center"/>
        </w:trPr>
        <w:tc>
          <w:tcPr>
            <w:tcW w:w="2689" w:type="dxa"/>
            <w:shd w:val="clear" w:color="auto" w:fill="auto"/>
            <w:noWrap/>
            <w:vAlign w:val="bottom"/>
            <w:hideMark/>
          </w:tcPr>
          <w:p w14:paraId="6A0635B0"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Against</w:t>
            </w:r>
          </w:p>
        </w:tc>
        <w:tc>
          <w:tcPr>
            <w:tcW w:w="1842" w:type="dxa"/>
            <w:shd w:val="clear" w:color="auto" w:fill="auto"/>
            <w:noWrap/>
            <w:vAlign w:val="bottom"/>
            <w:hideMark/>
          </w:tcPr>
          <w:p w14:paraId="0B469215"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123 (75.5%)</w:t>
            </w:r>
          </w:p>
        </w:tc>
        <w:tc>
          <w:tcPr>
            <w:tcW w:w="1894" w:type="dxa"/>
            <w:vAlign w:val="bottom"/>
          </w:tcPr>
          <w:p w14:paraId="2D5EEDBF"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40 (24.5%)</w:t>
            </w:r>
          </w:p>
        </w:tc>
        <w:tc>
          <w:tcPr>
            <w:tcW w:w="1328" w:type="dxa"/>
            <w:shd w:val="clear" w:color="auto" w:fill="auto"/>
            <w:noWrap/>
            <w:vAlign w:val="bottom"/>
            <w:hideMark/>
          </w:tcPr>
          <w:p w14:paraId="2DD3821E"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163 (100%)</w:t>
            </w:r>
          </w:p>
        </w:tc>
      </w:tr>
      <w:tr w:rsidR="00EC6A08" w:rsidRPr="00EC6A08" w14:paraId="5E000EC6" w14:textId="77777777" w:rsidTr="00404EAC">
        <w:trPr>
          <w:trHeight w:val="320"/>
          <w:jc w:val="center"/>
        </w:trPr>
        <w:tc>
          <w:tcPr>
            <w:tcW w:w="2689" w:type="dxa"/>
            <w:shd w:val="clear" w:color="auto" w:fill="auto"/>
            <w:noWrap/>
            <w:vAlign w:val="bottom"/>
            <w:hideMark/>
          </w:tcPr>
          <w:p w14:paraId="220A3FEC"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For</w:t>
            </w:r>
          </w:p>
        </w:tc>
        <w:tc>
          <w:tcPr>
            <w:tcW w:w="1842" w:type="dxa"/>
            <w:shd w:val="clear" w:color="auto" w:fill="auto"/>
            <w:noWrap/>
            <w:vAlign w:val="bottom"/>
            <w:hideMark/>
          </w:tcPr>
          <w:p w14:paraId="7E430B2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66 (100%)</w:t>
            </w:r>
          </w:p>
        </w:tc>
        <w:tc>
          <w:tcPr>
            <w:tcW w:w="1894" w:type="dxa"/>
            <w:vAlign w:val="bottom"/>
          </w:tcPr>
          <w:p w14:paraId="6D0F25B6"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0 (0%)</w:t>
            </w:r>
          </w:p>
        </w:tc>
        <w:tc>
          <w:tcPr>
            <w:tcW w:w="1328" w:type="dxa"/>
            <w:shd w:val="clear" w:color="auto" w:fill="auto"/>
            <w:noWrap/>
            <w:vAlign w:val="bottom"/>
            <w:hideMark/>
          </w:tcPr>
          <w:p w14:paraId="7926BBD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66 (100%)</w:t>
            </w:r>
          </w:p>
        </w:tc>
      </w:tr>
      <w:tr w:rsidR="00EC6A08" w:rsidRPr="00EC6A08" w14:paraId="330BB2CC" w14:textId="77777777" w:rsidTr="00404EAC">
        <w:trPr>
          <w:trHeight w:val="320"/>
          <w:jc w:val="center"/>
        </w:trPr>
        <w:tc>
          <w:tcPr>
            <w:tcW w:w="2689" w:type="dxa"/>
            <w:shd w:val="clear" w:color="auto" w:fill="auto"/>
            <w:noWrap/>
            <w:vAlign w:val="bottom"/>
            <w:hideMark/>
          </w:tcPr>
          <w:p w14:paraId="4343B7A4" w14:textId="77777777" w:rsidR="00E02108" w:rsidRPr="00EC6A08" w:rsidRDefault="00E02108" w:rsidP="001D0E87">
            <w:pPr>
              <w:pStyle w:val="NoSpacing"/>
              <w:contextualSpacing/>
              <w:rPr>
                <w:rFonts w:ascii="Garamond" w:hAnsi="Garamond"/>
                <w:lang w:val="en-GB"/>
              </w:rPr>
            </w:pPr>
            <w:r w:rsidRPr="00EC6A08">
              <w:rPr>
                <w:rFonts w:ascii="Garamond" w:hAnsi="Garamond"/>
                <w:lang w:val="en-GB"/>
              </w:rPr>
              <w:t>Abstain</w:t>
            </w:r>
          </w:p>
        </w:tc>
        <w:tc>
          <w:tcPr>
            <w:tcW w:w="1842" w:type="dxa"/>
            <w:shd w:val="clear" w:color="auto" w:fill="auto"/>
            <w:noWrap/>
            <w:vAlign w:val="bottom"/>
            <w:hideMark/>
          </w:tcPr>
          <w:p w14:paraId="17E8F622"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 (100%)</w:t>
            </w:r>
          </w:p>
        </w:tc>
        <w:tc>
          <w:tcPr>
            <w:tcW w:w="1894" w:type="dxa"/>
            <w:vAlign w:val="bottom"/>
          </w:tcPr>
          <w:p w14:paraId="5F372AE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0 (0%)</w:t>
            </w:r>
          </w:p>
        </w:tc>
        <w:tc>
          <w:tcPr>
            <w:tcW w:w="1328" w:type="dxa"/>
            <w:shd w:val="clear" w:color="auto" w:fill="auto"/>
            <w:noWrap/>
            <w:vAlign w:val="bottom"/>
            <w:hideMark/>
          </w:tcPr>
          <w:p w14:paraId="6274B9E0" w14:textId="77777777" w:rsidR="00E02108" w:rsidRPr="00EC6A08" w:rsidRDefault="00E02108" w:rsidP="001D0E87">
            <w:pPr>
              <w:pStyle w:val="NoSpacing"/>
              <w:contextualSpacing/>
              <w:jc w:val="right"/>
              <w:rPr>
                <w:rFonts w:ascii="Garamond" w:hAnsi="Garamond"/>
                <w:lang w:val="en-GB"/>
              </w:rPr>
            </w:pPr>
            <w:r w:rsidRPr="00EC6A08">
              <w:rPr>
                <w:rFonts w:ascii="Garamond" w:hAnsi="Garamond"/>
                <w:lang w:val="en-GB"/>
              </w:rPr>
              <w:t>1 (100%)</w:t>
            </w:r>
          </w:p>
        </w:tc>
      </w:tr>
      <w:tr w:rsidR="00EC6A08" w:rsidRPr="00EC6A08" w14:paraId="00769EA4" w14:textId="77777777" w:rsidTr="00404EAC">
        <w:trPr>
          <w:trHeight w:val="320"/>
          <w:jc w:val="center"/>
        </w:trPr>
        <w:tc>
          <w:tcPr>
            <w:tcW w:w="2689" w:type="dxa"/>
            <w:shd w:val="clear" w:color="auto" w:fill="auto"/>
            <w:noWrap/>
            <w:vAlign w:val="bottom"/>
          </w:tcPr>
          <w:p w14:paraId="4ACAC412" w14:textId="77777777" w:rsidR="00145948" w:rsidRPr="00EC6A08" w:rsidRDefault="00145948" w:rsidP="001D0E87">
            <w:pPr>
              <w:pStyle w:val="NoSpacing"/>
              <w:contextualSpacing/>
              <w:rPr>
                <w:rFonts w:ascii="Garamond" w:hAnsi="Garamond"/>
                <w:lang w:val="en-GB"/>
              </w:rPr>
            </w:pPr>
          </w:p>
        </w:tc>
        <w:tc>
          <w:tcPr>
            <w:tcW w:w="1842" w:type="dxa"/>
            <w:shd w:val="clear" w:color="auto" w:fill="auto"/>
            <w:noWrap/>
            <w:vAlign w:val="bottom"/>
          </w:tcPr>
          <w:p w14:paraId="5FD0C9AB" w14:textId="77777777" w:rsidR="00145948" w:rsidRPr="00EC6A08" w:rsidRDefault="00145948" w:rsidP="001D0E87">
            <w:pPr>
              <w:pStyle w:val="NoSpacing"/>
              <w:contextualSpacing/>
              <w:jc w:val="right"/>
              <w:rPr>
                <w:rFonts w:ascii="Garamond" w:hAnsi="Garamond"/>
                <w:lang w:val="en-GB"/>
              </w:rPr>
            </w:pPr>
          </w:p>
        </w:tc>
        <w:tc>
          <w:tcPr>
            <w:tcW w:w="1894" w:type="dxa"/>
            <w:vAlign w:val="bottom"/>
          </w:tcPr>
          <w:p w14:paraId="67D58ADF" w14:textId="77777777" w:rsidR="00145948" w:rsidRPr="00EC6A08" w:rsidRDefault="00145948" w:rsidP="001D0E87">
            <w:pPr>
              <w:pStyle w:val="NoSpacing"/>
              <w:contextualSpacing/>
              <w:jc w:val="right"/>
              <w:rPr>
                <w:rFonts w:ascii="Garamond" w:hAnsi="Garamond"/>
                <w:lang w:val="en-GB"/>
              </w:rPr>
            </w:pPr>
          </w:p>
        </w:tc>
        <w:tc>
          <w:tcPr>
            <w:tcW w:w="1328" w:type="dxa"/>
            <w:shd w:val="clear" w:color="auto" w:fill="auto"/>
            <w:noWrap/>
            <w:vAlign w:val="bottom"/>
          </w:tcPr>
          <w:p w14:paraId="063D807B" w14:textId="77777777" w:rsidR="00145948" w:rsidRPr="00EC6A08" w:rsidRDefault="00145948" w:rsidP="001D0E87">
            <w:pPr>
              <w:pStyle w:val="NoSpacing"/>
              <w:contextualSpacing/>
              <w:jc w:val="right"/>
              <w:rPr>
                <w:rFonts w:ascii="Garamond" w:hAnsi="Garamond"/>
                <w:lang w:val="en-GB"/>
              </w:rPr>
            </w:pPr>
          </w:p>
        </w:tc>
      </w:tr>
      <w:tr w:rsidR="00EC6A08" w:rsidRPr="00EC6A08" w14:paraId="32E7FD95" w14:textId="77777777" w:rsidTr="00404EAC">
        <w:trPr>
          <w:trHeight w:val="320"/>
          <w:jc w:val="center"/>
        </w:trPr>
        <w:tc>
          <w:tcPr>
            <w:tcW w:w="2689" w:type="dxa"/>
            <w:shd w:val="clear" w:color="auto" w:fill="auto"/>
            <w:noWrap/>
            <w:vAlign w:val="bottom"/>
          </w:tcPr>
          <w:p w14:paraId="6646B5E2" w14:textId="27C7667F" w:rsidR="00145948" w:rsidRPr="00EC6A08" w:rsidRDefault="00145948" w:rsidP="00145948">
            <w:pPr>
              <w:pStyle w:val="NoSpacing"/>
              <w:contextualSpacing/>
              <w:rPr>
                <w:rFonts w:ascii="Garamond" w:hAnsi="Garamond"/>
                <w:lang w:val="en-GB"/>
              </w:rPr>
            </w:pPr>
            <w:r w:rsidRPr="00EC6A08">
              <w:rPr>
                <w:rFonts w:ascii="Garamond" w:hAnsi="Garamond"/>
                <w:lang w:val="en-GB"/>
              </w:rPr>
              <w:t>Trident</w:t>
            </w:r>
          </w:p>
        </w:tc>
        <w:tc>
          <w:tcPr>
            <w:tcW w:w="1842" w:type="dxa"/>
            <w:shd w:val="clear" w:color="auto" w:fill="auto"/>
            <w:noWrap/>
            <w:vAlign w:val="bottom"/>
          </w:tcPr>
          <w:p w14:paraId="41BC83BB" w14:textId="77777777" w:rsidR="00145948" w:rsidRPr="00EC6A08" w:rsidRDefault="00145948" w:rsidP="00145948">
            <w:pPr>
              <w:pStyle w:val="NoSpacing"/>
              <w:contextualSpacing/>
              <w:jc w:val="right"/>
              <w:rPr>
                <w:rFonts w:ascii="Garamond" w:hAnsi="Garamond"/>
                <w:lang w:val="en-GB"/>
              </w:rPr>
            </w:pPr>
          </w:p>
        </w:tc>
        <w:tc>
          <w:tcPr>
            <w:tcW w:w="1894" w:type="dxa"/>
            <w:vAlign w:val="bottom"/>
          </w:tcPr>
          <w:p w14:paraId="78167499" w14:textId="77777777" w:rsidR="00145948" w:rsidRPr="00EC6A08" w:rsidRDefault="00145948" w:rsidP="00145948">
            <w:pPr>
              <w:pStyle w:val="NoSpacing"/>
              <w:contextualSpacing/>
              <w:jc w:val="right"/>
              <w:rPr>
                <w:rFonts w:ascii="Garamond" w:hAnsi="Garamond"/>
                <w:lang w:val="en-GB"/>
              </w:rPr>
            </w:pPr>
          </w:p>
        </w:tc>
        <w:tc>
          <w:tcPr>
            <w:tcW w:w="1328" w:type="dxa"/>
            <w:shd w:val="clear" w:color="auto" w:fill="auto"/>
            <w:noWrap/>
            <w:vAlign w:val="bottom"/>
          </w:tcPr>
          <w:p w14:paraId="1083FF5B" w14:textId="77777777" w:rsidR="00145948" w:rsidRPr="00EC6A08" w:rsidRDefault="00145948" w:rsidP="00145948">
            <w:pPr>
              <w:pStyle w:val="NoSpacing"/>
              <w:contextualSpacing/>
              <w:jc w:val="right"/>
              <w:rPr>
                <w:rFonts w:ascii="Garamond" w:hAnsi="Garamond"/>
                <w:lang w:val="en-GB"/>
              </w:rPr>
            </w:pPr>
          </w:p>
        </w:tc>
      </w:tr>
      <w:tr w:rsidR="00EC6A08" w:rsidRPr="00EC6A08" w14:paraId="22425D71" w14:textId="77777777" w:rsidTr="00404EAC">
        <w:trPr>
          <w:trHeight w:val="320"/>
          <w:jc w:val="center"/>
        </w:trPr>
        <w:tc>
          <w:tcPr>
            <w:tcW w:w="2689" w:type="dxa"/>
            <w:shd w:val="clear" w:color="auto" w:fill="auto"/>
            <w:noWrap/>
            <w:vAlign w:val="bottom"/>
          </w:tcPr>
          <w:p w14:paraId="57C4D2CD" w14:textId="67077CE8" w:rsidR="00145948" w:rsidRPr="00EC6A08" w:rsidRDefault="00145948" w:rsidP="00145948">
            <w:pPr>
              <w:pStyle w:val="NoSpacing"/>
              <w:contextualSpacing/>
              <w:rPr>
                <w:rFonts w:ascii="Garamond" w:hAnsi="Garamond"/>
                <w:lang w:val="en-GB"/>
              </w:rPr>
            </w:pPr>
            <w:r w:rsidRPr="00EC6A08">
              <w:rPr>
                <w:rFonts w:ascii="Garamond" w:hAnsi="Garamond"/>
                <w:lang w:val="en-GB"/>
              </w:rPr>
              <w:t>For</w:t>
            </w:r>
          </w:p>
        </w:tc>
        <w:tc>
          <w:tcPr>
            <w:tcW w:w="1842" w:type="dxa"/>
            <w:shd w:val="clear" w:color="auto" w:fill="auto"/>
            <w:noWrap/>
            <w:vAlign w:val="bottom"/>
          </w:tcPr>
          <w:p w14:paraId="34D7E3CE" w14:textId="254FCDB7"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162 (89.0%)</w:t>
            </w:r>
          </w:p>
        </w:tc>
        <w:tc>
          <w:tcPr>
            <w:tcW w:w="1894" w:type="dxa"/>
            <w:vAlign w:val="bottom"/>
          </w:tcPr>
          <w:p w14:paraId="594B2DCD" w14:textId="01939B82"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20 (11.0%)</w:t>
            </w:r>
          </w:p>
        </w:tc>
        <w:tc>
          <w:tcPr>
            <w:tcW w:w="1328" w:type="dxa"/>
            <w:shd w:val="clear" w:color="auto" w:fill="auto"/>
            <w:noWrap/>
            <w:vAlign w:val="bottom"/>
          </w:tcPr>
          <w:p w14:paraId="3428F4C1" w14:textId="16C17C48"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182 (100%)</w:t>
            </w:r>
          </w:p>
        </w:tc>
      </w:tr>
      <w:tr w:rsidR="00145948" w:rsidRPr="00EC6A08" w14:paraId="043D2C8D" w14:textId="77777777" w:rsidTr="00404EAC">
        <w:trPr>
          <w:trHeight w:val="320"/>
          <w:jc w:val="center"/>
        </w:trPr>
        <w:tc>
          <w:tcPr>
            <w:tcW w:w="2689" w:type="dxa"/>
            <w:shd w:val="clear" w:color="auto" w:fill="auto"/>
            <w:noWrap/>
            <w:vAlign w:val="bottom"/>
          </w:tcPr>
          <w:p w14:paraId="05D0A484" w14:textId="39E2C310" w:rsidR="00145948" w:rsidRPr="00EC6A08" w:rsidRDefault="00145948" w:rsidP="00145948">
            <w:pPr>
              <w:pStyle w:val="NoSpacing"/>
              <w:contextualSpacing/>
              <w:rPr>
                <w:rFonts w:ascii="Garamond" w:hAnsi="Garamond"/>
                <w:lang w:val="en-GB"/>
              </w:rPr>
            </w:pPr>
            <w:r w:rsidRPr="00EC6A08">
              <w:rPr>
                <w:rFonts w:ascii="Garamond" w:hAnsi="Garamond"/>
                <w:lang w:val="en-GB"/>
              </w:rPr>
              <w:t>Not For</w:t>
            </w:r>
          </w:p>
        </w:tc>
        <w:tc>
          <w:tcPr>
            <w:tcW w:w="1842" w:type="dxa"/>
            <w:shd w:val="clear" w:color="auto" w:fill="auto"/>
            <w:noWrap/>
            <w:vAlign w:val="bottom"/>
          </w:tcPr>
          <w:p w14:paraId="3043FF19" w14:textId="4B620C3C"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28 (58.3%)</w:t>
            </w:r>
          </w:p>
        </w:tc>
        <w:tc>
          <w:tcPr>
            <w:tcW w:w="1894" w:type="dxa"/>
            <w:vAlign w:val="bottom"/>
          </w:tcPr>
          <w:p w14:paraId="3B9E1CD4" w14:textId="0B7C4852"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20 (41.7%)</w:t>
            </w:r>
          </w:p>
        </w:tc>
        <w:tc>
          <w:tcPr>
            <w:tcW w:w="1328" w:type="dxa"/>
            <w:shd w:val="clear" w:color="auto" w:fill="auto"/>
            <w:noWrap/>
            <w:vAlign w:val="bottom"/>
          </w:tcPr>
          <w:p w14:paraId="3BC4B414" w14:textId="39EF2232" w:rsidR="00145948" w:rsidRPr="00EC6A08" w:rsidRDefault="00145948" w:rsidP="00145948">
            <w:pPr>
              <w:pStyle w:val="NoSpacing"/>
              <w:contextualSpacing/>
              <w:jc w:val="right"/>
              <w:rPr>
                <w:rFonts w:ascii="Garamond" w:hAnsi="Garamond"/>
                <w:lang w:val="en-GB"/>
              </w:rPr>
            </w:pPr>
            <w:r w:rsidRPr="00EC6A08">
              <w:rPr>
                <w:rFonts w:ascii="Garamond" w:hAnsi="Garamond"/>
                <w:lang w:val="en-GB"/>
              </w:rPr>
              <w:t>48 (100%)</w:t>
            </w:r>
          </w:p>
        </w:tc>
      </w:tr>
    </w:tbl>
    <w:p w14:paraId="6F7D87F0" w14:textId="77777777" w:rsidR="00E02108" w:rsidRPr="00EC6A08" w:rsidRDefault="00E02108" w:rsidP="00E02108">
      <w:pPr>
        <w:spacing w:line="240" w:lineRule="auto"/>
        <w:contextualSpacing/>
        <w:rPr>
          <w:rFonts w:ascii="Garamond" w:hAnsi="Garamond"/>
          <w:sz w:val="24"/>
          <w:szCs w:val="24"/>
        </w:rPr>
      </w:pPr>
    </w:p>
    <w:p w14:paraId="5746A41E" w14:textId="6A0B5B8E" w:rsidR="00E02108" w:rsidRPr="00EC6A08" w:rsidRDefault="00E02108" w:rsidP="00E02023">
      <w:pPr>
        <w:spacing w:line="240" w:lineRule="auto"/>
        <w:contextualSpacing/>
        <w:jc w:val="both"/>
        <w:rPr>
          <w:rFonts w:ascii="Garamond" w:hAnsi="Garamond"/>
          <w:sz w:val="24"/>
          <w:szCs w:val="24"/>
        </w:rPr>
      </w:pPr>
      <w:r w:rsidRPr="00EC6A08">
        <w:rPr>
          <w:rFonts w:ascii="Garamond" w:hAnsi="Garamond"/>
          <w:sz w:val="24"/>
          <w:szCs w:val="24"/>
        </w:rPr>
        <w:t>*Due to the fa</w:t>
      </w:r>
      <w:r w:rsidR="00145948" w:rsidRPr="00EC6A08">
        <w:rPr>
          <w:rFonts w:ascii="Garamond" w:hAnsi="Garamond"/>
          <w:sz w:val="24"/>
          <w:szCs w:val="24"/>
        </w:rPr>
        <w:t xml:space="preserve">ct that there </w:t>
      </w:r>
      <w:proofErr w:type="gramStart"/>
      <w:r w:rsidR="00145948" w:rsidRPr="00EC6A08">
        <w:rPr>
          <w:rFonts w:ascii="Garamond" w:hAnsi="Garamond"/>
          <w:sz w:val="24"/>
          <w:szCs w:val="24"/>
        </w:rPr>
        <w:t>were</w:t>
      </w:r>
      <w:proofErr w:type="gramEnd"/>
      <w:r w:rsidR="00145948" w:rsidRPr="00EC6A08">
        <w:rPr>
          <w:rFonts w:ascii="Garamond" w:hAnsi="Garamond"/>
          <w:sz w:val="24"/>
          <w:szCs w:val="24"/>
        </w:rPr>
        <w:t xml:space="preserve"> no Labour parliamentarians who voted both for </w:t>
      </w:r>
      <w:r w:rsidRPr="00EC6A08">
        <w:rPr>
          <w:rFonts w:ascii="Garamond" w:hAnsi="Garamond"/>
          <w:sz w:val="24"/>
          <w:szCs w:val="24"/>
        </w:rPr>
        <w:t xml:space="preserve">Corbyn in the confidence vote and for intervention in Syria, this variable </w:t>
      </w:r>
      <w:r w:rsidR="008E534D" w:rsidRPr="00EC6A08">
        <w:rPr>
          <w:rFonts w:ascii="Garamond" w:hAnsi="Garamond"/>
          <w:sz w:val="24"/>
          <w:szCs w:val="24"/>
        </w:rPr>
        <w:t>has not been included in the regression analysis.</w:t>
      </w:r>
    </w:p>
    <w:p w14:paraId="04F6101A" w14:textId="77777777" w:rsidR="00187A53" w:rsidRPr="00EC6A08" w:rsidRDefault="00187A53" w:rsidP="00A52D0D">
      <w:pPr>
        <w:rPr>
          <w:rFonts w:ascii="Garamond" w:hAnsi="Garamond"/>
          <w:sz w:val="24"/>
          <w:szCs w:val="24"/>
        </w:rPr>
      </w:pPr>
    </w:p>
    <w:p w14:paraId="4656BF5D" w14:textId="24C5BD5F" w:rsidR="00A52D0D" w:rsidRPr="00EC6A08" w:rsidRDefault="00A52D0D" w:rsidP="00A52D0D">
      <w:pPr>
        <w:jc w:val="center"/>
        <w:rPr>
          <w:rFonts w:ascii="Garamond" w:hAnsi="Garamond"/>
          <w:b/>
          <w:sz w:val="24"/>
          <w:szCs w:val="24"/>
        </w:rPr>
      </w:pPr>
      <w:r w:rsidRPr="00EC6A08">
        <w:rPr>
          <w:rFonts w:ascii="Garamond" w:hAnsi="Garamond"/>
          <w:b/>
          <w:sz w:val="24"/>
          <w:szCs w:val="24"/>
        </w:rPr>
        <w:t>Table Two - Logistic Regressi</w:t>
      </w:r>
      <w:r w:rsidR="00404EAC" w:rsidRPr="00EC6A08">
        <w:rPr>
          <w:rFonts w:ascii="Garamond" w:hAnsi="Garamond"/>
          <w:b/>
          <w:sz w:val="24"/>
          <w:szCs w:val="24"/>
        </w:rPr>
        <w:t xml:space="preserve">on Model for Support for </w:t>
      </w:r>
      <w:r w:rsidRPr="00EC6A08">
        <w:rPr>
          <w:rFonts w:ascii="Garamond" w:hAnsi="Garamond"/>
          <w:b/>
          <w:sz w:val="24"/>
          <w:szCs w:val="24"/>
        </w:rPr>
        <w:t>Corbyn</w:t>
      </w:r>
    </w:p>
    <w:p w14:paraId="59D01FE3" w14:textId="2EA9C595" w:rsidR="00E02108" w:rsidRPr="00EC6A08" w:rsidRDefault="00404EAC" w:rsidP="00E02108">
      <w:pPr>
        <w:jc w:val="center"/>
        <w:rPr>
          <w:rFonts w:ascii="Garamond" w:hAnsi="Garamond"/>
          <w:sz w:val="24"/>
          <w:szCs w:val="24"/>
        </w:rPr>
      </w:pPr>
      <w:r w:rsidRPr="00EC6A08">
        <w:rPr>
          <w:rFonts w:ascii="Garamond" w:hAnsi="Garamond"/>
          <w:sz w:val="24"/>
          <w:szCs w:val="24"/>
        </w:rPr>
        <w:t xml:space="preserve"> (0 = Voted for</w:t>
      </w:r>
      <w:r w:rsidR="00E02108" w:rsidRPr="00EC6A08">
        <w:rPr>
          <w:rFonts w:ascii="Garamond" w:hAnsi="Garamond"/>
          <w:sz w:val="24"/>
          <w:szCs w:val="24"/>
        </w:rPr>
        <w:t xml:space="preserve"> Smith, 1 = Voted for Corbyn)</w:t>
      </w:r>
    </w:p>
    <w:tbl>
      <w:tblPr>
        <w:tblW w:w="0" w:type="auto"/>
        <w:jc w:val="center"/>
        <w:tblLook w:val="04A0" w:firstRow="1" w:lastRow="0" w:firstColumn="1" w:lastColumn="0" w:noHBand="0" w:noVBand="1"/>
      </w:tblPr>
      <w:tblGrid>
        <w:gridCol w:w="3286"/>
        <w:gridCol w:w="1738"/>
        <w:gridCol w:w="782"/>
        <w:gridCol w:w="1491"/>
      </w:tblGrid>
      <w:tr w:rsidR="00EC6A08" w:rsidRPr="00EC6A08" w14:paraId="44D64C34" w14:textId="77777777" w:rsidTr="00F27E08">
        <w:trPr>
          <w:trHeight w:val="320"/>
          <w:jc w:val="center"/>
        </w:trPr>
        <w:tc>
          <w:tcPr>
            <w:tcW w:w="0" w:type="auto"/>
            <w:shd w:val="clear" w:color="auto" w:fill="auto"/>
            <w:noWrap/>
            <w:vAlign w:val="bottom"/>
            <w:hideMark/>
          </w:tcPr>
          <w:p w14:paraId="206434F0"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F4F9D20"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w:t>
            </w:r>
          </w:p>
        </w:tc>
        <w:tc>
          <w:tcPr>
            <w:tcW w:w="0" w:type="auto"/>
            <w:shd w:val="clear" w:color="auto" w:fill="auto"/>
            <w:vAlign w:val="bottom"/>
          </w:tcPr>
          <w:p w14:paraId="6C4BA87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230</w:t>
            </w:r>
          </w:p>
        </w:tc>
        <w:tc>
          <w:tcPr>
            <w:tcW w:w="0" w:type="auto"/>
            <w:shd w:val="clear" w:color="auto" w:fill="auto"/>
            <w:noWrap/>
            <w:vAlign w:val="bottom"/>
          </w:tcPr>
          <w:p w14:paraId="2D8AE740" w14:textId="77777777" w:rsidR="00E02108" w:rsidRPr="00EC6A08" w:rsidRDefault="00E02108" w:rsidP="00F27E08">
            <w:pPr>
              <w:spacing w:after="0"/>
              <w:rPr>
                <w:rFonts w:ascii="Garamond" w:eastAsia="Times New Roman" w:hAnsi="Garamond"/>
                <w:sz w:val="24"/>
                <w:szCs w:val="24"/>
              </w:rPr>
            </w:pPr>
          </w:p>
        </w:tc>
      </w:tr>
      <w:tr w:rsidR="00EC6A08" w:rsidRPr="00EC6A08" w14:paraId="6BABFBE4" w14:textId="77777777" w:rsidTr="00F27E08">
        <w:trPr>
          <w:trHeight w:val="320"/>
          <w:jc w:val="center"/>
        </w:trPr>
        <w:tc>
          <w:tcPr>
            <w:tcW w:w="0" w:type="auto"/>
            <w:shd w:val="clear" w:color="auto" w:fill="auto"/>
            <w:noWrap/>
            <w:vAlign w:val="bottom"/>
            <w:hideMark/>
          </w:tcPr>
          <w:p w14:paraId="6C364B71"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79F9251C" w14:textId="77777777" w:rsidR="00E02108" w:rsidRPr="00EC6A08" w:rsidRDefault="00E02108" w:rsidP="00F27E08">
            <w:pPr>
              <w:spacing w:after="0"/>
              <w:rPr>
                <w:rFonts w:ascii="Garamond" w:eastAsia="Times New Roman" w:hAnsi="Garamond"/>
                <w:sz w:val="24"/>
                <w:szCs w:val="24"/>
              </w:rPr>
            </w:pPr>
            <w:proofErr w:type="spellStart"/>
            <w:r w:rsidRPr="00EC6A08">
              <w:rPr>
                <w:rFonts w:ascii="Garamond" w:eastAsia="Times New Roman" w:hAnsi="Garamond"/>
                <w:sz w:val="24"/>
                <w:szCs w:val="24"/>
              </w:rPr>
              <w:t>Prob</w:t>
            </w:r>
            <w:proofErr w:type="spellEnd"/>
            <w:r w:rsidRPr="00EC6A08">
              <w:rPr>
                <w:rFonts w:ascii="Garamond" w:eastAsia="Times New Roman" w:hAnsi="Garamond"/>
                <w:sz w:val="24"/>
                <w:szCs w:val="24"/>
              </w:rPr>
              <w:t xml:space="preserve"> &gt; chi2</w:t>
            </w:r>
          </w:p>
        </w:tc>
        <w:tc>
          <w:tcPr>
            <w:tcW w:w="0" w:type="auto"/>
            <w:shd w:val="clear" w:color="auto" w:fill="auto"/>
            <w:vAlign w:val="bottom"/>
          </w:tcPr>
          <w:p w14:paraId="6611952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w:t>
            </w:r>
          </w:p>
        </w:tc>
        <w:tc>
          <w:tcPr>
            <w:tcW w:w="0" w:type="auto"/>
            <w:shd w:val="clear" w:color="auto" w:fill="auto"/>
            <w:noWrap/>
            <w:vAlign w:val="bottom"/>
          </w:tcPr>
          <w:p w14:paraId="4B934431" w14:textId="77777777" w:rsidR="00E02108" w:rsidRPr="00EC6A08" w:rsidRDefault="00E02108" w:rsidP="00F27E08">
            <w:pPr>
              <w:spacing w:after="0"/>
              <w:rPr>
                <w:rFonts w:ascii="Garamond" w:eastAsia="Times New Roman" w:hAnsi="Garamond"/>
                <w:sz w:val="24"/>
                <w:szCs w:val="24"/>
              </w:rPr>
            </w:pPr>
          </w:p>
        </w:tc>
      </w:tr>
      <w:tr w:rsidR="00EC6A08" w:rsidRPr="00EC6A08" w14:paraId="038BED41" w14:textId="77777777" w:rsidTr="00F27E08">
        <w:trPr>
          <w:trHeight w:val="320"/>
          <w:jc w:val="center"/>
        </w:trPr>
        <w:tc>
          <w:tcPr>
            <w:tcW w:w="0" w:type="auto"/>
            <w:shd w:val="clear" w:color="auto" w:fill="auto"/>
            <w:noWrap/>
            <w:vAlign w:val="bottom"/>
            <w:hideMark/>
          </w:tcPr>
          <w:p w14:paraId="3FEB4FD7"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4162C83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Pseudo R2</w:t>
            </w:r>
          </w:p>
        </w:tc>
        <w:tc>
          <w:tcPr>
            <w:tcW w:w="0" w:type="auto"/>
            <w:shd w:val="clear" w:color="auto" w:fill="auto"/>
            <w:vAlign w:val="bottom"/>
          </w:tcPr>
          <w:p w14:paraId="05A8C3E6"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0.42</w:t>
            </w:r>
          </w:p>
        </w:tc>
        <w:tc>
          <w:tcPr>
            <w:tcW w:w="0" w:type="auto"/>
            <w:shd w:val="clear" w:color="auto" w:fill="auto"/>
            <w:noWrap/>
            <w:vAlign w:val="bottom"/>
          </w:tcPr>
          <w:p w14:paraId="36700C12" w14:textId="77777777" w:rsidR="00E02108" w:rsidRPr="00EC6A08" w:rsidRDefault="00E02108" w:rsidP="00F27E08">
            <w:pPr>
              <w:spacing w:after="0"/>
              <w:rPr>
                <w:rFonts w:ascii="Garamond" w:eastAsia="Times New Roman" w:hAnsi="Garamond"/>
                <w:sz w:val="24"/>
                <w:szCs w:val="24"/>
              </w:rPr>
            </w:pPr>
          </w:p>
        </w:tc>
      </w:tr>
      <w:tr w:rsidR="00EC6A08" w:rsidRPr="00EC6A08" w14:paraId="596E4FB9" w14:textId="77777777" w:rsidTr="00F27E08">
        <w:trPr>
          <w:trHeight w:val="320"/>
          <w:jc w:val="center"/>
        </w:trPr>
        <w:tc>
          <w:tcPr>
            <w:tcW w:w="0" w:type="auto"/>
            <w:shd w:val="clear" w:color="auto" w:fill="auto"/>
            <w:noWrap/>
            <w:vAlign w:val="bottom"/>
            <w:hideMark/>
          </w:tcPr>
          <w:p w14:paraId="2A197A81"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2E7D80EE"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1FC7EAAD"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5382BBE0" w14:textId="77777777" w:rsidR="00E02108" w:rsidRPr="00EC6A08" w:rsidRDefault="00E02108" w:rsidP="00F27E08">
            <w:pPr>
              <w:spacing w:after="0"/>
              <w:rPr>
                <w:rFonts w:ascii="Garamond" w:eastAsia="Times New Roman" w:hAnsi="Garamond"/>
                <w:sz w:val="24"/>
                <w:szCs w:val="24"/>
              </w:rPr>
            </w:pPr>
          </w:p>
        </w:tc>
      </w:tr>
      <w:tr w:rsidR="00EC6A08" w:rsidRPr="00EC6A08" w14:paraId="5181B0E9" w14:textId="77777777" w:rsidTr="00F27E08">
        <w:trPr>
          <w:trHeight w:val="320"/>
          <w:jc w:val="center"/>
        </w:trPr>
        <w:tc>
          <w:tcPr>
            <w:tcW w:w="0" w:type="auto"/>
            <w:shd w:val="clear" w:color="auto" w:fill="auto"/>
            <w:noWrap/>
            <w:vAlign w:val="bottom"/>
            <w:hideMark/>
          </w:tcPr>
          <w:p w14:paraId="77F553C1"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199B145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Coefficient</w:t>
            </w:r>
          </w:p>
        </w:tc>
        <w:tc>
          <w:tcPr>
            <w:tcW w:w="0" w:type="auto"/>
            <w:shd w:val="clear" w:color="auto" w:fill="auto"/>
            <w:noWrap/>
            <w:vAlign w:val="bottom"/>
            <w:hideMark/>
          </w:tcPr>
          <w:p w14:paraId="6D691A5C"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74252EC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Std. Error</w:t>
            </w:r>
          </w:p>
        </w:tc>
      </w:tr>
      <w:tr w:rsidR="00EC6A08" w:rsidRPr="00EC6A08" w14:paraId="6A592B9B" w14:textId="77777777" w:rsidTr="00F27E08">
        <w:trPr>
          <w:trHeight w:val="320"/>
          <w:jc w:val="center"/>
        </w:trPr>
        <w:tc>
          <w:tcPr>
            <w:tcW w:w="0" w:type="auto"/>
            <w:shd w:val="clear" w:color="auto" w:fill="auto"/>
            <w:noWrap/>
            <w:vAlign w:val="bottom"/>
            <w:hideMark/>
          </w:tcPr>
          <w:p w14:paraId="776CC244"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2265B2ED"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28DEA44"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09610713" w14:textId="77777777" w:rsidR="00E02108" w:rsidRPr="00EC6A08" w:rsidRDefault="00E02108" w:rsidP="00F27E08">
            <w:pPr>
              <w:spacing w:after="0"/>
              <w:rPr>
                <w:rFonts w:ascii="Garamond" w:eastAsia="Times New Roman" w:hAnsi="Garamond"/>
                <w:sz w:val="24"/>
                <w:szCs w:val="24"/>
              </w:rPr>
            </w:pPr>
          </w:p>
        </w:tc>
      </w:tr>
      <w:tr w:rsidR="00EC6A08" w:rsidRPr="00EC6A08" w14:paraId="0E10D070" w14:textId="77777777" w:rsidTr="00F27E08">
        <w:trPr>
          <w:trHeight w:val="320"/>
          <w:jc w:val="center"/>
        </w:trPr>
        <w:tc>
          <w:tcPr>
            <w:tcW w:w="0" w:type="auto"/>
            <w:shd w:val="clear" w:color="auto" w:fill="auto"/>
            <w:noWrap/>
            <w:vAlign w:val="bottom"/>
            <w:hideMark/>
          </w:tcPr>
          <w:p w14:paraId="79EAD2FD"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Age</w:t>
            </w:r>
          </w:p>
        </w:tc>
        <w:tc>
          <w:tcPr>
            <w:tcW w:w="0" w:type="auto"/>
            <w:shd w:val="clear" w:color="auto" w:fill="auto"/>
            <w:noWrap/>
            <w:vAlign w:val="bottom"/>
            <w:hideMark/>
          </w:tcPr>
          <w:p w14:paraId="40AD3383"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0.05</w:t>
            </w:r>
          </w:p>
        </w:tc>
        <w:tc>
          <w:tcPr>
            <w:tcW w:w="0" w:type="auto"/>
            <w:shd w:val="clear" w:color="auto" w:fill="auto"/>
            <w:noWrap/>
            <w:vAlign w:val="bottom"/>
            <w:hideMark/>
          </w:tcPr>
          <w:p w14:paraId="4F9E0F51"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7DBE716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(0.03)</w:t>
            </w:r>
          </w:p>
        </w:tc>
      </w:tr>
      <w:tr w:rsidR="00EC6A08" w:rsidRPr="00EC6A08" w14:paraId="6ED23871" w14:textId="77777777" w:rsidTr="00F27E08">
        <w:trPr>
          <w:trHeight w:val="320"/>
          <w:jc w:val="center"/>
        </w:trPr>
        <w:tc>
          <w:tcPr>
            <w:tcW w:w="0" w:type="auto"/>
            <w:shd w:val="clear" w:color="auto" w:fill="auto"/>
            <w:noWrap/>
            <w:vAlign w:val="bottom"/>
          </w:tcPr>
          <w:p w14:paraId="36191AB3"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7C221FD6"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tcPr>
          <w:p w14:paraId="442C5AA4"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749E0FD4" w14:textId="77777777" w:rsidR="00E02108" w:rsidRPr="00EC6A08" w:rsidRDefault="00E02108" w:rsidP="00F27E08">
            <w:pPr>
              <w:spacing w:after="0"/>
              <w:rPr>
                <w:rFonts w:ascii="Garamond" w:eastAsia="Times New Roman" w:hAnsi="Garamond"/>
                <w:sz w:val="24"/>
                <w:szCs w:val="24"/>
              </w:rPr>
            </w:pPr>
          </w:p>
        </w:tc>
      </w:tr>
      <w:tr w:rsidR="00EC6A08" w:rsidRPr="00EC6A08" w14:paraId="2F13E883" w14:textId="77777777" w:rsidTr="00F27E08">
        <w:trPr>
          <w:trHeight w:val="320"/>
          <w:jc w:val="center"/>
        </w:trPr>
        <w:tc>
          <w:tcPr>
            <w:tcW w:w="0" w:type="auto"/>
            <w:shd w:val="clear" w:color="auto" w:fill="auto"/>
            <w:noWrap/>
            <w:vAlign w:val="bottom"/>
            <w:hideMark/>
          </w:tcPr>
          <w:p w14:paraId="11CC2DC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Gender (relative to male)</w:t>
            </w:r>
          </w:p>
        </w:tc>
        <w:tc>
          <w:tcPr>
            <w:tcW w:w="0" w:type="auto"/>
            <w:shd w:val="clear" w:color="auto" w:fill="auto"/>
            <w:noWrap/>
            <w:vAlign w:val="bottom"/>
            <w:hideMark/>
          </w:tcPr>
          <w:p w14:paraId="61050654"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-0.10</w:t>
            </w:r>
          </w:p>
        </w:tc>
        <w:tc>
          <w:tcPr>
            <w:tcW w:w="0" w:type="auto"/>
            <w:shd w:val="clear" w:color="auto" w:fill="auto"/>
            <w:noWrap/>
            <w:vAlign w:val="bottom"/>
            <w:hideMark/>
          </w:tcPr>
          <w:p w14:paraId="18D0B8F5"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1A544CD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(0.54)</w:t>
            </w:r>
          </w:p>
        </w:tc>
      </w:tr>
      <w:tr w:rsidR="00EC6A08" w:rsidRPr="00EC6A08" w14:paraId="1B280B93" w14:textId="77777777" w:rsidTr="00F27E08">
        <w:trPr>
          <w:trHeight w:val="320"/>
          <w:jc w:val="center"/>
        </w:trPr>
        <w:tc>
          <w:tcPr>
            <w:tcW w:w="0" w:type="auto"/>
            <w:shd w:val="clear" w:color="auto" w:fill="auto"/>
            <w:noWrap/>
            <w:vAlign w:val="bottom"/>
            <w:hideMark/>
          </w:tcPr>
          <w:p w14:paraId="29CBA35C"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0446DBFD"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2D722B0A"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0FE9E5F8" w14:textId="77777777" w:rsidR="00E02108" w:rsidRPr="00EC6A08" w:rsidRDefault="00E02108" w:rsidP="00F27E08">
            <w:pPr>
              <w:spacing w:after="0"/>
              <w:rPr>
                <w:rFonts w:ascii="Garamond" w:eastAsia="Times New Roman" w:hAnsi="Garamond"/>
                <w:sz w:val="24"/>
                <w:szCs w:val="24"/>
              </w:rPr>
            </w:pPr>
          </w:p>
        </w:tc>
      </w:tr>
      <w:tr w:rsidR="00EC6A08" w:rsidRPr="00EC6A08" w14:paraId="38F73BE2" w14:textId="77777777" w:rsidTr="00F27E08">
        <w:trPr>
          <w:trHeight w:val="320"/>
          <w:jc w:val="center"/>
        </w:trPr>
        <w:tc>
          <w:tcPr>
            <w:tcW w:w="0" w:type="auto"/>
            <w:gridSpan w:val="4"/>
            <w:shd w:val="clear" w:color="auto" w:fill="auto"/>
            <w:noWrap/>
            <w:vAlign w:val="bottom"/>
            <w:hideMark/>
          </w:tcPr>
          <w:p w14:paraId="6A50CDE2"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Constituency location (relative to London)</w:t>
            </w:r>
          </w:p>
        </w:tc>
      </w:tr>
      <w:tr w:rsidR="00EC6A08" w:rsidRPr="00EC6A08" w14:paraId="4F8BD259" w14:textId="77777777" w:rsidTr="00F27E08">
        <w:trPr>
          <w:trHeight w:val="320"/>
          <w:jc w:val="center"/>
        </w:trPr>
        <w:tc>
          <w:tcPr>
            <w:tcW w:w="0" w:type="auto"/>
            <w:shd w:val="clear" w:color="auto" w:fill="auto"/>
            <w:noWrap/>
            <w:vAlign w:val="bottom"/>
            <w:hideMark/>
          </w:tcPr>
          <w:p w14:paraId="7FC10C56"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Not-London</w:t>
            </w:r>
          </w:p>
        </w:tc>
        <w:tc>
          <w:tcPr>
            <w:tcW w:w="0" w:type="auto"/>
            <w:shd w:val="clear" w:color="auto" w:fill="auto"/>
            <w:noWrap/>
            <w:vAlign w:val="bottom"/>
            <w:hideMark/>
          </w:tcPr>
          <w:p w14:paraId="2C034B23"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-0.18</w:t>
            </w:r>
          </w:p>
        </w:tc>
        <w:tc>
          <w:tcPr>
            <w:tcW w:w="0" w:type="auto"/>
            <w:shd w:val="clear" w:color="auto" w:fill="auto"/>
            <w:noWrap/>
            <w:vAlign w:val="bottom"/>
            <w:hideMark/>
          </w:tcPr>
          <w:p w14:paraId="156635FD"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0D31EE3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(0.65)</w:t>
            </w:r>
          </w:p>
        </w:tc>
      </w:tr>
      <w:tr w:rsidR="00EC6A08" w:rsidRPr="00EC6A08" w14:paraId="59EB9081" w14:textId="77777777" w:rsidTr="00F27E08">
        <w:trPr>
          <w:trHeight w:val="320"/>
          <w:jc w:val="center"/>
        </w:trPr>
        <w:tc>
          <w:tcPr>
            <w:tcW w:w="0" w:type="auto"/>
            <w:shd w:val="clear" w:color="auto" w:fill="auto"/>
            <w:noWrap/>
            <w:vAlign w:val="bottom"/>
            <w:hideMark/>
          </w:tcPr>
          <w:p w14:paraId="42118689"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35630652"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2F63562"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2A6AAFEB" w14:textId="77777777" w:rsidR="00E02108" w:rsidRPr="00EC6A08" w:rsidRDefault="00E02108" w:rsidP="00F27E08">
            <w:pPr>
              <w:spacing w:after="0"/>
              <w:rPr>
                <w:rFonts w:ascii="Garamond" w:eastAsia="Times New Roman" w:hAnsi="Garamond"/>
                <w:sz w:val="24"/>
                <w:szCs w:val="24"/>
              </w:rPr>
            </w:pPr>
          </w:p>
        </w:tc>
      </w:tr>
      <w:tr w:rsidR="00EC6A08" w:rsidRPr="00EC6A08" w14:paraId="30079007" w14:textId="77777777" w:rsidTr="00F27E08">
        <w:trPr>
          <w:trHeight w:val="320"/>
          <w:jc w:val="center"/>
        </w:trPr>
        <w:tc>
          <w:tcPr>
            <w:tcW w:w="0" w:type="auto"/>
            <w:gridSpan w:val="4"/>
            <w:shd w:val="clear" w:color="auto" w:fill="auto"/>
            <w:noWrap/>
            <w:vAlign w:val="bottom"/>
            <w:hideMark/>
          </w:tcPr>
          <w:p w14:paraId="3D137F4D"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Year of entry (relative to those entering from 2010 onwards)</w:t>
            </w:r>
          </w:p>
        </w:tc>
      </w:tr>
      <w:tr w:rsidR="00EC6A08" w:rsidRPr="00EC6A08" w14:paraId="15D6A910" w14:textId="77777777" w:rsidTr="00F27E08">
        <w:trPr>
          <w:trHeight w:val="320"/>
          <w:jc w:val="center"/>
        </w:trPr>
        <w:tc>
          <w:tcPr>
            <w:tcW w:w="0" w:type="auto"/>
            <w:shd w:val="clear" w:color="auto" w:fill="auto"/>
            <w:noWrap/>
            <w:vAlign w:val="bottom"/>
            <w:hideMark/>
          </w:tcPr>
          <w:p w14:paraId="2D2D3B54"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Before 2010</w:t>
            </w:r>
          </w:p>
        </w:tc>
        <w:tc>
          <w:tcPr>
            <w:tcW w:w="0" w:type="auto"/>
            <w:shd w:val="clear" w:color="auto" w:fill="auto"/>
            <w:noWrap/>
            <w:vAlign w:val="bottom"/>
            <w:hideMark/>
          </w:tcPr>
          <w:p w14:paraId="3B49D6BD"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-1.35</w:t>
            </w:r>
          </w:p>
        </w:tc>
        <w:tc>
          <w:tcPr>
            <w:tcW w:w="0" w:type="auto"/>
            <w:shd w:val="clear" w:color="auto" w:fill="auto"/>
            <w:noWrap/>
            <w:vAlign w:val="bottom"/>
            <w:hideMark/>
          </w:tcPr>
          <w:p w14:paraId="1ABFE69B"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4EFE88E5"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(0.66)</w:t>
            </w:r>
          </w:p>
        </w:tc>
      </w:tr>
      <w:tr w:rsidR="00EC6A08" w:rsidRPr="00EC6A08" w14:paraId="45DCC9E8" w14:textId="77777777" w:rsidTr="00F27E08">
        <w:trPr>
          <w:trHeight w:val="320"/>
          <w:jc w:val="center"/>
        </w:trPr>
        <w:tc>
          <w:tcPr>
            <w:tcW w:w="0" w:type="auto"/>
            <w:shd w:val="clear" w:color="auto" w:fill="auto"/>
            <w:noWrap/>
            <w:vAlign w:val="bottom"/>
            <w:hideMark/>
          </w:tcPr>
          <w:p w14:paraId="6720858E"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65B08202"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F78765F"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0B61E6B8" w14:textId="77777777" w:rsidR="00E02108" w:rsidRPr="00EC6A08" w:rsidRDefault="00E02108" w:rsidP="00F27E08">
            <w:pPr>
              <w:spacing w:after="0"/>
              <w:rPr>
                <w:rFonts w:ascii="Garamond" w:eastAsia="Times New Roman" w:hAnsi="Garamond"/>
                <w:sz w:val="24"/>
                <w:szCs w:val="24"/>
              </w:rPr>
            </w:pPr>
          </w:p>
        </w:tc>
      </w:tr>
      <w:tr w:rsidR="00EC6A08" w:rsidRPr="00EC6A08" w14:paraId="5BEA4C74" w14:textId="77777777" w:rsidTr="00F27E08">
        <w:trPr>
          <w:trHeight w:val="320"/>
          <w:jc w:val="center"/>
        </w:trPr>
        <w:tc>
          <w:tcPr>
            <w:tcW w:w="0" w:type="auto"/>
            <w:gridSpan w:val="4"/>
            <w:shd w:val="clear" w:color="auto" w:fill="auto"/>
            <w:noWrap/>
            <w:vAlign w:val="bottom"/>
            <w:hideMark/>
          </w:tcPr>
          <w:p w14:paraId="423A9170"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Majority (relative to those with majorities of 5000 or under)</w:t>
            </w:r>
          </w:p>
        </w:tc>
      </w:tr>
      <w:tr w:rsidR="00EC6A08" w:rsidRPr="00EC6A08" w14:paraId="441001D2" w14:textId="77777777" w:rsidTr="00F27E08">
        <w:trPr>
          <w:trHeight w:val="320"/>
          <w:jc w:val="center"/>
        </w:trPr>
        <w:tc>
          <w:tcPr>
            <w:tcW w:w="0" w:type="auto"/>
            <w:shd w:val="clear" w:color="auto" w:fill="auto"/>
            <w:noWrap/>
            <w:vAlign w:val="bottom"/>
            <w:hideMark/>
          </w:tcPr>
          <w:p w14:paraId="4683E504"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5001-10000</w:t>
            </w:r>
          </w:p>
        </w:tc>
        <w:tc>
          <w:tcPr>
            <w:tcW w:w="0" w:type="auto"/>
            <w:shd w:val="clear" w:color="auto" w:fill="auto"/>
            <w:noWrap/>
            <w:vAlign w:val="bottom"/>
            <w:hideMark/>
          </w:tcPr>
          <w:p w14:paraId="4CF5B35A"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0.78</w:t>
            </w:r>
          </w:p>
        </w:tc>
        <w:tc>
          <w:tcPr>
            <w:tcW w:w="0" w:type="auto"/>
            <w:shd w:val="clear" w:color="auto" w:fill="auto"/>
            <w:noWrap/>
            <w:vAlign w:val="bottom"/>
            <w:hideMark/>
          </w:tcPr>
          <w:p w14:paraId="08EE68ED"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3D3C0EC9"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(0.76)</w:t>
            </w:r>
          </w:p>
        </w:tc>
      </w:tr>
      <w:tr w:rsidR="00EC6A08" w:rsidRPr="00EC6A08" w14:paraId="6B29CCF4" w14:textId="77777777" w:rsidTr="00F27E08">
        <w:trPr>
          <w:trHeight w:val="320"/>
          <w:jc w:val="center"/>
        </w:trPr>
        <w:tc>
          <w:tcPr>
            <w:tcW w:w="0" w:type="auto"/>
            <w:shd w:val="clear" w:color="auto" w:fill="auto"/>
            <w:noWrap/>
            <w:vAlign w:val="bottom"/>
            <w:hideMark/>
          </w:tcPr>
          <w:p w14:paraId="3522B619"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10001+</w:t>
            </w:r>
          </w:p>
        </w:tc>
        <w:tc>
          <w:tcPr>
            <w:tcW w:w="0" w:type="auto"/>
            <w:shd w:val="clear" w:color="auto" w:fill="auto"/>
            <w:noWrap/>
            <w:vAlign w:val="bottom"/>
            <w:hideMark/>
          </w:tcPr>
          <w:p w14:paraId="0FB0AAA3"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0.89</w:t>
            </w:r>
          </w:p>
        </w:tc>
        <w:tc>
          <w:tcPr>
            <w:tcW w:w="0" w:type="auto"/>
            <w:shd w:val="clear" w:color="auto" w:fill="auto"/>
            <w:noWrap/>
            <w:vAlign w:val="bottom"/>
            <w:hideMark/>
          </w:tcPr>
          <w:p w14:paraId="078EE29F"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0F98921B"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(0.66)</w:t>
            </w:r>
          </w:p>
        </w:tc>
      </w:tr>
      <w:tr w:rsidR="00EC6A08" w:rsidRPr="00EC6A08" w14:paraId="7A5A0834" w14:textId="77777777" w:rsidTr="00F27E08">
        <w:trPr>
          <w:trHeight w:val="320"/>
          <w:jc w:val="center"/>
        </w:trPr>
        <w:tc>
          <w:tcPr>
            <w:tcW w:w="0" w:type="auto"/>
            <w:shd w:val="clear" w:color="auto" w:fill="auto"/>
            <w:noWrap/>
            <w:vAlign w:val="bottom"/>
            <w:hideMark/>
          </w:tcPr>
          <w:p w14:paraId="3DA8A0DB"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092FC0E9"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08086BD6"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461DA544" w14:textId="77777777" w:rsidR="00E02108" w:rsidRPr="00EC6A08" w:rsidRDefault="00E02108" w:rsidP="00F27E08">
            <w:pPr>
              <w:spacing w:after="0"/>
              <w:rPr>
                <w:rFonts w:ascii="Garamond" w:eastAsia="Times New Roman" w:hAnsi="Garamond"/>
                <w:sz w:val="24"/>
                <w:szCs w:val="24"/>
              </w:rPr>
            </w:pPr>
          </w:p>
        </w:tc>
      </w:tr>
      <w:tr w:rsidR="00EC6A08" w:rsidRPr="00EC6A08" w14:paraId="0561939D" w14:textId="77777777" w:rsidTr="00F27E08">
        <w:trPr>
          <w:trHeight w:val="320"/>
          <w:jc w:val="center"/>
        </w:trPr>
        <w:tc>
          <w:tcPr>
            <w:tcW w:w="0" w:type="auto"/>
            <w:gridSpan w:val="4"/>
            <w:shd w:val="clear" w:color="auto" w:fill="auto"/>
            <w:noWrap/>
            <w:vAlign w:val="bottom"/>
            <w:hideMark/>
          </w:tcPr>
          <w:p w14:paraId="6AF99F4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Second Placed Party (relative to the Conservatives)</w:t>
            </w:r>
          </w:p>
        </w:tc>
      </w:tr>
      <w:tr w:rsidR="00EC6A08" w:rsidRPr="00EC6A08" w14:paraId="0CD1F717" w14:textId="77777777" w:rsidTr="00F27E08">
        <w:trPr>
          <w:trHeight w:val="320"/>
          <w:jc w:val="center"/>
        </w:trPr>
        <w:tc>
          <w:tcPr>
            <w:tcW w:w="0" w:type="auto"/>
            <w:shd w:val="clear" w:color="auto" w:fill="auto"/>
            <w:noWrap/>
            <w:vAlign w:val="bottom"/>
            <w:hideMark/>
          </w:tcPr>
          <w:p w14:paraId="0B688F8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UKIP</w:t>
            </w:r>
          </w:p>
        </w:tc>
        <w:tc>
          <w:tcPr>
            <w:tcW w:w="0" w:type="auto"/>
            <w:shd w:val="clear" w:color="auto" w:fill="auto"/>
            <w:noWrap/>
            <w:vAlign w:val="bottom"/>
            <w:hideMark/>
          </w:tcPr>
          <w:p w14:paraId="45570F4D"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0.80</w:t>
            </w:r>
          </w:p>
        </w:tc>
        <w:tc>
          <w:tcPr>
            <w:tcW w:w="0" w:type="auto"/>
            <w:shd w:val="clear" w:color="auto" w:fill="auto"/>
            <w:noWrap/>
            <w:vAlign w:val="bottom"/>
            <w:hideMark/>
          </w:tcPr>
          <w:p w14:paraId="37F2CDF9"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78D48A7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(0.61)</w:t>
            </w:r>
          </w:p>
        </w:tc>
      </w:tr>
      <w:tr w:rsidR="00EC6A08" w:rsidRPr="00EC6A08" w14:paraId="6319F2B1" w14:textId="77777777" w:rsidTr="00F27E08">
        <w:trPr>
          <w:trHeight w:val="320"/>
          <w:jc w:val="center"/>
        </w:trPr>
        <w:tc>
          <w:tcPr>
            <w:tcW w:w="0" w:type="auto"/>
            <w:shd w:val="clear" w:color="auto" w:fill="auto"/>
            <w:noWrap/>
            <w:vAlign w:val="bottom"/>
            <w:hideMark/>
          </w:tcPr>
          <w:p w14:paraId="6E00F5C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Lib Dem</w:t>
            </w:r>
          </w:p>
        </w:tc>
        <w:tc>
          <w:tcPr>
            <w:tcW w:w="0" w:type="auto"/>
            <w:shd w:val="clear" w:color="auto" w:fill="auto"/>
            <w:noWrap/>
            <w:vAlign w:val="bottom"/>
            <w:hideMark/>
          </w:tcPr>
          <w:p w14:paraId="35E2F8D7"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1.44</w:t>
            </w:r>
          </w:p>
        </w:tc>
        <w:tc>
          <w:tcPr>
            <w:tcW w:w="0" w:type="auto"/>
            <w:shd w:val="clear" w:color="auto" w:fill="auto"/>
            <w:noWrap/>
            <w:vAlign w:val="bottom"/>
            <w:hideMark/>
          </w:tcPr>
          <w:p w14:paraId="5F7126A5"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12E4804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(1.23)</w:t>
            </w:r>
          </w:p>
        </w:tc>
      </w:tr>
      <w:tr w:rsidR="00EC6A08" w:rsidRPr="00EC6A08" w14:paraId="5CBEFD88" w14:textId="77777777" w:rsidTr="00F27E08">
        <w:trPr>
          <w:trHeight w:val="320"/>
          <w:jc w:val="center"/>
        </w:trPr>
        <w:tc>
          <w:tcPr>
            <w:tcW w:w="0" w:type="auto"/>
            <w:shd w:val="clear" w:color="auto" w:fill="auto"/>
            <w:noWrap/>
            <w:vAlign w:val="bottom"/>
            <w:hideMark/>
          </w:tcPr>
          <w:p w14:paraId="75805467"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Other</w:t>
            </w:r>
          </w:p>
        </w:tc>
        <w:tc>
          <w:tcPr>
            <w:tcW w:w="0" w:type="auto"/>
            <w:shd w:val="clear" w:color="auto" w:fill="auto"/>
            <w:noWrap/>
            <w:vAlign w:val="bottom"/>
            <w:hideMark/>
          </w:tcPr>
          <w:p w14:paraId="5732E708"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-0.44</w:t>
            </w:r>
          </w:p>
        </w:tc>
        <w:tc>
          <w:tcPr>
            <w:tcW w:w="0" w:type="auto"/>
            <w:shd w:val="clear" w:color="auto" w:fill="auto"/>
            <w:noWrap/>
            <w:vAlign w:val="bottom"/>
            <w:hideMark/>
          </w:tcPr>
          <w:p w14:paraId="56D6023C"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6B2099F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(1.26)</w:t>
            </w:r>
          </w:p>
        </w:tc>
      </w:tr>
      <w:tr w:rsidR="00EC6A08" w:rsidRPr="00EC6A08" w14:paraId="0AA7B98D" w14:textId="77777777" w:rsidTr="00F27E08">
        <w:trPr>
          <w:trHeight w:val="320"/>
          <w:jc w:val="center"/>
        </w:trPr>
        <w:tc>
          <w:tcPr>
            <w:tcW w:w="0" w:type="auto"/>
            <w:shd w:val="clear" w:color="auto" w:fill="auto"/>
            <w:noWrap/>
            <w:vAlign w:val="bottom"/>
            <w:hideMark/>
          </w:tcPr>
          <w:p w14:paraId="261126CB"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7B0A1228"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4C67959F"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CE3CFCD" w14:textId="77777777" w:rsidR="00E02108" w:rsidRPr="00EC6A08" w:rsidRDefault="00E02108" w:rsidP="00F27E08">
            <w:pPr>
              <w:spacing w:after="0"/>
              <w:rPr>
                <w:rFonts w:ascii="Garamond" w:eastAsia="Times New Roman" w:hAnsi="Garamond"/>
                <w:sz w:val="24"/>
                <w:szCs w:val="24"/>
              </w:rPr>
            </w:pPr>
          </w:p>
        </w:tc>
      </w:tr>
      <w:tr w:rsidR="00EC6A08" w:rsidRPr="00EC6A08" w14:paraId="35BB97DA" w14:textId="77777777" w:rsidTr="00F27E08">
        <w:trPr>
          <w:trHeight w:val="320"/>
          <w:jc w:val="center"/>
        </w:trPr>
        <w:tc>
          <w:tcPr>
            <w:tcW w:w="0" w:type="auto"/>
            <w:gridSpan w:val="4"/>
            <w:shd w:val="clear" w:color="auto" w:fill="auto"/>
            <w:noWrap/>
            <w:vAlign w:val="bottom"/>
            <w:hideMark/>
          </w:tcPr>
          <w:p w14:paraId="5F861409"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CLP endorsement (relative to those CLPs who endorsed Corbyn)</w:t>
            </w:r>
          </w:p>
        </w:tc>
      </w:tr>
      <w:tr w:rsidR="00EC6A08" w:rsidRPr="00EC6A08" w14:paraId="4B86D3F9" w14:textId="77777777" w:rsidTr="00F27E08">
        <w:trPr>
          <w:trHeight w:val="320"/>
          <w:jc w:val="center"/>
        </w:trPr>
        <w:tc>
          <w:tcPr>
            <w:tcW w:w="0" w:type="auto"/>
            <w:shd w:val="clear" w:color="auto" w:fill="auto"/>
            <w:noWrap/>
            <w:vAlign w:val="bottom"/>
            <w:hideMark/>
          </w:tcPr>
          <w:p w14:paraId="78BD6653"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Pro-Smith CLP</w:t>
            </w:r>
          </w:p>
        </w:tc>
        <w:tc>
          <w:tcPr>
            <w:tcW w:w="0" w:type="auto"/>
            <w:shd w:val="clear" w:color="auto" w:fill="auto"/>
            <w:noWrap/>
            <w:vAlign w:val="bottom"/>
            <w:hideMark/>
          </w:tcPr>
          <w:p w14:paraId="150B8015"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-1.33</w:t>
            </w:r>
          </w:p>
        </w:tc>
        <w:tc>
          <w:tcPr>
            <w:tcW w:w="0" w:type="auto"/>
            <w:shd w:val="clear" w:color="auto" w:fill="auto"/>
            <w:noWrap/>
            <w:vAlign w:val="bottom"/>
            <w:hideMark/>
          </w:tcPr>
          <w:p w14:paraId="753D57E7"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4D62348D"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(0.90)</w:t>
            </w:r>
          </w:p>
        </w:tc>
      </w:tr>
      <w:tr w:rsidR="00EC6A08" w:rsidRPr="00EC6A08" w14:paraId="26C988AA" w14:textId="77777777" w:rsidTr="00F27E08">
        <w:trPr>
          <w:trHeight w:val="320"/>
          <w:jc w:val="center"/>
        </w:trPr>
        <w:tc>
          <w:tcPr>
            <w:tcW w:w="0" w:type="auto"/>
            <w:shd w:val="clear" w:color="auto" w:fill="auto"/>
            <w:noWrap/>
            <w:vAlign w:val="bottom"/>
            <w:hideMark/>
          </w:tcPr>
          <w:p w14:paraId="0E7ECDA1"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 Endorsement</w:t>
            </w:r>
          </w:p>
        </w:tc>
        <w:tc>
          <w:tcPr>
            <w:tcW w:w="0" w:type="auto"/>
            <w:shd w:val="clear" w:color="auto" w:fill="auto"/>
            <w:noWrap/>
            <w:vAlign w:val="bottom"/>
            <w:hideMark/>
          </w:tcPr>
          <w:p w14:paraId="31A3489F"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-1.83</w:t>
            </w:r>
          </w:p>
        </w:tc>
        <w:tc>
          <w:tcPr>
            <w:tcW w:w="0" w:type="auto"/>
            <w:shd w:val="clear" w:color="auto" w:fill="auto"/>
            <w:noWrap/>
            <w:vAlign w:val="bottom"/>
            <w:hideMark/>
          </w:tcPr>
          <w:p w14:paraId="6025B8E7"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22335827"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(0.54)</w:t>
            </w:r>
          </w:p>
        </w:tc>
      </w:tr>
      <w:tr w:rsidR="00EC6A08" w:rsidRPr="00EC6A08" w14:paraId="1481837E" w14:textId="77777777" w:rsidTr="00F27E08">
        <w:trPr>
          <w:trHeight w:val="320"/>
          <w:jc w:val="center"/>
        </w:trPr>
        <w:tc>
          <w:tcPr>
            <w:tcW w:w="0" w:type="auto"/>
            <w:shd w:val="clear" w:color="auto" w:fill="auto"/>
            <w:noWrap/>
            <w:vAlign w:val="bottom"/>
            <w:hideMark/>
          </w:tcPr>
          <w:p w14:paraId="1C8CB9F3"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5DC67119"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20EDB369"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5A088920" w14:textId="77777777" w:rsidR="00E02108" w:rsidRPr="00EC6A08" w:rsidRDefault="00E02108" w:rsidP="00F27E08">
            <w:pPr>
              <w:spacing w:after="0"/>
              <w:rPr>
                <w:rFonts w:ascii="Garamond" w:eastAsia="Times New Roman" w:hAnsi="Garamond"/>
                <w:sz w:val="24"/>
                <w:szCs w:val="24"/>
              </w:rPr>
            </w:pPr>
          </w:p>
        </w:tc>
      </w:tr>
      <w:tr w:rsidR="00EC6A08" w:rsidRPr="00EC6A08" w14:paraId="1CB226CB" w14:textId="77777777" w:rsidTr="00F27E08">
        <w:trPr>
          <w:trHeight w:val="320"/>
          <w:jc w:val="center"/>
        </w:trPr>
        <w:tc>
          <w:tcPr>
            <w:tcW w:w="0" w:type="auto"/>
            <w:gridSpan w:val="4"/>
            <w:shd w:val="clear" w:color="auto" w:fill="auto"/>
            <w:noWrap/>
            <w:vAlign w:val="bottom"/>
            <w:hideMark/>
          </w:tcPr>
          <w:p w14:paraId="479E3DB5"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Position on the loyalty list (relative to those who were in a positive category)</w:t>
            </w:r>
          </w:p>
        </w:tc>
      </w:tr>
      <w:tr w:rsidR="00EC6A08" w:rsidRPr="00EC6A08" w14:paraId="1FA2A861" w14:textId="77777777" w:rsidTr="00F27E08">
        <w:trPr>
          <w:trHeight w:val="320"/>
          <w:jc w:val="center"/>
        </w:trPr>
        <w:tc>
          <w:tcPr>
            <w:tcW w:w="0" w:type="auto"/>
            <w:shd w:val="clear" w:color="auto" w:fill="auto"/>
            <w:noWrap/>
            <w:vAlign w:val="bottom"/>
            <w:hideMark/>
          </w:tcPr>
          <w:p w14:paraId="7986EBA5"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Neutral</w:t>
            </w:r>
          </w:p>
        </w:tc>
        <w:tc>
          <w:tcPr>
            <w:tcW w:w="0" w:type="auto"/>
            <w:shd w:val="clear" w:color="auto" w:fill="auto"/>
            <w:noWrap/>
            <w:vAlign w:val="bottom"/>
            <w:hideMark/>
          </w:tcPr>
          <w:p w14:paraId="480B1818"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-1.79</w:t>
            </w:r>
          </w:p>
        </w:tc>
        <w:tc>
          <w:tcPr>
            <w:tcW w:w="0" w:type="auto"/>
            <w:shd w:val="clear" w:color="auto" w:fill="auto"/>
            <w:noWrap/>
            <w:vAlign w:val="bottom"/>
            <w:hideMark/>
          </w:tcPr>
          <w:p w14:paraId="6CA833FF"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0BDFB154"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(0.59)</w:t>
            </w:r>
          </w:p>
        </w:tc>
      </w:tr>
      <w:tr w:rsidR="00EC6A08" w:rsidRPr="00EC6A08" w14:paraId="4914E872" w14:textId="77777777" w:rsidTr="00F27E08">
        <w:trPr>
          <w:trHeight w:val="320"/>
          <w:jc w:val="center"/>
        </w:trPr>
        <w:tc>
          <w:tcPr>
            <w:tcW w:w="0" w:type="auto"/>
            <w:shd w:val="clear" w:color="auto" w:fill="auto"/>
            <w:noWrap/>
            <w:vAlign w:val="bottom"/>
            <w:hideMark/>
          </w:tcPr>
          <w:p w14:paraId="3E2241F1"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Hostile</w:t>
            </w:r>
          </w:p>
        </w:tc>
        <w:tc>
          <w:tcPr>
            <w:tcW w:w="0" w:type="auto"/>
            <w:shd w:val="clear" w:color="auto" w:fill="auto"/>
            <w:noWrap/>
            <w:vAlign w:val="bottom"/>
            <w:hideMark/>
          </w:tcPr>
          <w:p w14:paraId="434896F0"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-3.78</w:t>
            </w:r>
          </w:p>
        </w:tc>
        <w:tc>
          <w:tcPr>
            <w:tcW w:w="0" w:type="auto"/>
            <w:shd w:val="clear" w:color="auto" w:fill="auto"/>
            <w:noWrap/>
            <w:vAlign w:val="bottom"/>
            <w:hideMark/>
          </w:tcPr>
          <w:p w14:paraId="52D34D9A"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0F54F3AD"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(1.14)</w:t>
            </w:r>
          </w:p>
        </w:tc>
      </w:tr>
      <w:tr w:rsidR="00EC6A08" w:rsidRPr="00EC6A08" w14:paraId="6AFEFC70" w14:textId="77777777" w:rsidTr="00F27E08">
        <w:trPr>
          <w:trHeight w:val="320"/>
          <w:jc w:val="center"/>
        </w:trPr>
        <w:tc>
          <w:tcPr>
            <w:tcW w:w="0" w:type="auto"/>
            <w:shd w:val="clear" w:color="auto" w:fill="auto"/>
            <w:noWrap/>
            <w:vAlign w:val="bottom"/>
            <w:hideMark/>
          </w:tcPr>
          <w:p w14:paraId="42264AE2"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Not Listed</w:t>
            </w:r>
          </w:p>
        </w:tc>
        <w:tc>
          <w:tcPr>
            <w:tcW w:w="0" w:type="auto"/>
            <w:shd w:val="clear" w:color="auto" w:fill="auto"/>
            <w:noWrap/>
            <w:vAlign w:val="bottom"/>
            <w:hideMark/>
          </w:tcPr>
          <w:p w14:paraId="5213A867"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-0.82</w:t>
            </w:r>
          </w:p>
        </w:tc>
        <w:tc>
          <w:tcPr>
            <w:tcW w:w="0" w:type="auto"/>
            <w:shd w:val="clear" w:color="auto" w:fill="auto"/>
            <w:noWrap/>
            <w:vAlign w:val="bottom"/>
            <w:hideMark/>
          </w:tcPr>
          <w:p w14:paraId="57304B43"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72C42CF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(0.97)</w:t>
            </w:r>
          </w:p>
        </w:tc>
      </w:tr>
      <w:tr w:rsidR="00EC6A08" w:rsidRPr="00EC6A08" w14:paraId="3201538B" w14:textId="77777777" w:rsidTr="00F27E08">
        <w:trPr>
          <w:trHeight w:val="320"/>
          <w:jc w:val="center"/>
        </w:trPr>
        <w:tc>
          <w:tcPr>
            <w:tcW w:w="0" w:type="auto"/>
            <w:shd w:val="clear" w:color="auto" w:fill="auto"/>
            <w:noWrap/>
            <w:vAlign w:val="bottom"/>
            <w:hideMark/>
          </w:tcPr>
          <w:p w14:paraId="532751BE"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2677C602"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5BF4085A"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BF1456E" w14:textId="77777777" w:rsidR="00E02108" w:rsidRPr="00EC6A08" w:rsidRDefault="00E02108" w:rsidP="00F27E08">
            <w:pPr>
              <w:spacing w:after="0"/>
              <w:rPr>
                <w:rFonts w:ascii="Garamond" w:eastAsia="Times New Roman" w:hAnsi="Garamond"/>
                <w:sz w:val="24"/>
                <w:szCs w:val="24"/>
              </w:rPr>
            </w:pPr>
          </w:p>
        </w:tc>
      </w:tr>
      <w:tr w:rsidR="00EC6A08" w:rsidRPr="00EC6A08" w14:paraId="21164EEF" w14:textId="77777777" w:rsidTr="00F27E08">
        <w:trPr>
          <w:trHeight w:val="320"/>
          <w:jc w:val="center"/>
        </w:trPr>
        <w:tc>
          <w:tcPr>
            <w:tcW w:w="0" w:type="auto"/>
            <w:gridSpan w:val="4"/>
            <w:shd w:val="clear" w:color="auto" w:fill="auto"/>
            <w:noWrap/>
            <w:vAlign w:val="bottom"/>
            <w:hideMark/>
          </w:tcPr>
          <w:p w14:paraId="77EED961"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Trade union membership (relative to those who are members)</w:t>
            </w:r>
          </w:p>
        </w:tc>
      </w:tr>
      <w:tr w:rsidR="00EC6A08" w:rsidRPr="00EC6A08" w14:paraId="201719EB" w14:textId="77777777" w:rsidTr="00F27E08">
        <w:trPr>
          <w:trHeight w:val="320"/>
          <w:jc w:val="center"/>
        </w:trPr>
        <w:tc>
          <w:tcPr>
            <w:tcW w:w="0" w:type="auto"/>
            <w:shd w:val="clear" w:color="auto" w:fill="auto"/>
            <w:noWrap/>
            <w:vAlign w:val="bottom"/>
            <w:hideMark/>
          </w:tcPr>
          <w:p w14:paraId="6FDEE17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Non-member</w:t>
            </w:r>
          </w:p>
        </w:tc>
        <w:tc>
          <w:tcPr>
            <w:tcW w:w="0" w:type="auto"/>
            <w:shd w:val="clear" w:color="auto" w:fill="auto"/>
            <w:noWrap/>
            <w:vAlign w:val="bottom"/>
            <w:hideMark/>
          </w:tcPr>
          <w:p w14:paraId="547D813A"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1.32</w:t>
            </w:r>
          </w:p>
        </w:tc>
        <w:tc>
          <w:tcPr>
            <w:tcW w:w="0" w:type="auto"/>
            <w:shd w:val="clear" w:color="auto" w:fill="auto"/>
            <w:noWrap/>
            <w:vAlign w:val="bottom"/>
            <w:hideMark/>
          </w:tcPr>
          <w:p w14:paraId="6DD381FB"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662E7A4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(0.71)</w:t>
            </w:r>
          </w:p>
        </w:tc>
      </w:tr>
      <w:tr w:rsidR="00EC6A08" w:rsidRPr="00EC6A08" w14:paraId="78F43D11" w14:textId="77777777" w:rsidTr="00F27E08">
        <w:trPr>
          <w:trHeight w:val="320"/>
          <w:jc w:val="center"/>
        </w:trPr>
        <w:tc>
          <w:tcPr>
            <w:tcW w:w="0" w:type="auto"/>
            <w:shd w:val="clear" w:color="auto" w:fill="auto"/>
            <w:noWrap/>
            <w:vAlign w:val="bottom"/>
          </w:tcPr>
          <w:p w14:paraId="314A1175"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tcPr>
          <w:p w14:paraId="018C7B1E"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055BD790"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2F69627E" w14:textId="77777777" w:rsidR="00E02108" w:rsidRPr="00EC6A08" w:rsidRDefault="00E02108" w:rsidP="00F27E08">
            <w:pPr>
              <w:spacing w:after="0"/>
              <w:rPr>
                <w:rFonts w:ascii="Garamond" w:eastAsia="Times New Roman" w:hAnsi="Garamond"/>
                <w:sz w:val="24"/>
                <w:szCs w:val="24"/>
              </w:rPr>
            </w:pPr>
          </w:p>
        </w:tc>
      </w:tr>
      <w:tr w:rsidR="00EC6A08" w:rsidRPr="00EC6A08" w14:paraId="080A4679" w14:textId="77777777" w:rsidTr="00F27E08">
        <w:trPr>
          <w:trHeight w:val="320"/>
          <w:jc w:val="center"/>
        </w:trPr>
        <w:tc>
          <w:tcPr>
            <w:tcW w:w="0" w:type="auto"/>
            <w:gridSpan w:val="4"/>
            <w:shd w:val="clear" w:color="auto" w:fill="auto"/>
            <w:noWrap/>
            <w:vAlign w:val="bottom"/>
            <w:hideMark/>
          </w:tcPr>
          <w:p w14:paraId="4CD7A60E"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Position in the EU Referendum (relative to those who backed Remain)</w:t>
            </w:r>
          </w:p>
        </w:tc>
      </w:tr>
      <w:tr w:rsidR="00EC6A08" w:rsidRPr="00EC6A08" w14:paraId="122D737F" w14:textId="77777777" w:rsidTr="00F27E08">
        <w:trPr>
          <w:trHeight w:val="320"/>
          <w:jc w:val="center"/>
        </w:trPr>
        <w:tc>
          <w:tcPr>
            <w:tcW w:w="0" w:type="auto"/>
            <w:shd w:val="clear" w:color="auto" w:fill="auto"/>
            <w:noWrap/>
            <w:vAlign w:val="bottom"/>
            <w:hideMark/>
          </w:tcPr>
          <w:p w14:paraId="0D3E4C34"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Not Remain</w:t>
            </w:r>
          </w:p>
        </w:tc>
        <w:tc>
          <w:tcPr>
            <w:tcW w:w="0" w:type="auto"/>
            <w:shd w:val="clear" w:color="auto" w:fill="auto"/>
            <w:noWrap/>
            <w:vAlign w:val="bottom"/>
            <w:hideMark/>
          </w:tcPr>
          <w:p w14:paraId="29FE1BDE"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-0.48</w:t>
            </w:r>
          </w:p>
        </w:tc>
        <w:tc>
          <w:tcPr>
            <w:tcW w:w="0" w:type="auto"/>
            <w:shd w:val="clear" w:color="auto" w:fill="auto"/>
            <w:noWrap/>
            <w:vAlign w:val="bottom"/>
            <w:hideMark/>
          </w:tcPr>
          <w:p w14:paraId="147FD73D"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0770EC7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(1.04)</w:t>
            </w:r>
          </w:p>
        </w:tc>
      </w:tr>
      <w:tr w:rsidR="00EC6A08" w:rsidRPr="00EC6A08" w14:paraId="0D95716F" w14:textId="77777777" w:rsidTr="00F27E08">
        <w:trPr>
          <w:trHeight w:val="320"/>
          <w:jc w:val="center"/>
        </w:trPr>
        <w:tc>
          <w:tcPr>
            <w:tcW w:w="0" w:type="auto"/>
            <w:shd w:val="clear" w:color="auto" w:fill="auto"/>
            <w:noWrap/>
            <w:vAlign w:val="bottom"/>
            <w:hideMark/>
          </w:tcPr>
          <w:p w14:paraId="74B47AD1"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4AD8A028"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7384FEA9"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502A9B52" w14:textId="77777777" w:rsidR="00E02108" w:rsidRPr="00EC6A08" w:rsidRDefault="00E02108" w:rsidP="00F27E08">
            <w:pPr>
              <w:spacing w:after="0"/>
              <w:rPr>
                <w:rFonts w:ascii="Garamond" w:eastAsia="Times New Roman" w:hAnsi="Garamond"/>
                <w:sz w:val="24"/>
                <w:szCs w:val="24"/>
              </w:rPr>
            </w:pPr>
          </w:p>
        </w:tc>
      </w:tr>
      <w:tr w:rsidR="00EC6A08" w:rsidRPr="00EC6A08" w14:paraId="1C84CC09" w14:textId="77777777" w:rsidTr="00F27E08">
        <w:trPr>
          <w:trHeight w:val="320"/>
          <w:jc w:val="center"/>
        </w:trPr>
        <w:tc>
          <w:tcPr>
            <w:tcW w:w="0" w:type="auto"/>
            <w:gridSpan w:val="4"/>
            <w:shd w:val="clear" w:color="auto" w:fill="auto"/>
            <w:noWrap/>
            <w:vAlign w:val="bottom"/>
            <w:hideMark/>
          </w:tcPr>
          <w:p w14:paraId="392D5E3B"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Immigration (relative to those who advocated for an ‘open door’ policy)</w:t>
            </w:r>
          </w:p>
        </w:tc>
      </w:tr>
      <w:tr w:rsidR="00EC6A08" w:rsidRPr="00EC6A08" w14:paraId="7E1774EA" w14:textId="77777777" w:rsidTr="00F27E08">
        <w:trPr>
          <w:trHeight w:val="320"/>
          <w:jc w:val="center"/>
        </w:trPr>
        <w:tc>
          <w:tcPr>
            <w:tcW w:w="0" w:type="auto"/>
            <w:shd w:val="clear" w:color="auto" w:fill="auto"/>
            <w:noWrap/>
            <w:vAlign w:val="bottom"/>
            <w:hideMark/>
          </w:tcPr>
          <w:p w14:paraId="2D943D80"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Controls Necessary</w:t>
            </w:r>
          </w:p>
        </w:tc>
        <w:tc>
          <w:tcPr>
            <w:tcW w:w="0" w:type="auto"/>
            <w:shd w:val="clear" w:color="auto" w:fill="auto"/>
            <w:noWrap/>
            <w:vAlign w:val="bottom"/>
            <w:hideMark/>
          </w:tcPr>
          <w:p w14:paraId="2B08353D"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0.87</w:t>
            </w:r>
          </w:p>
        </w:tc>
        <w:tc>
          <w:tcPr>
            <w:tcW w:w="0" w:type="auto"/>
            <w:shd w:val="clear" w:color="auto" w:fill="auto"/>
            <w:noWrap/>
            <w:vAlign w:val="bottom"/>
            <w:hideMark/>
          </w:tcPr>
          <w:p w14:paraId="74EF218D"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14E70780"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(0.77)</w:t>
            </w:r>
          </w:p>
        </w:tc>
      </w:tr>
      <w:tr w:rsidR="00EC6A08" w:rsidRPr="00EC6A08" w14:paraId="535CE446" w14:textId="77777777" w:rsidTr="00F27E08">
        <w:trPr>
          <w:trHeight w:val="320"/>
          <w:jc w:val="center"/>
        </w:trPr>
        <w:tc>
          <w:tcPr>
            <w:tcW w:w="0" w:type="auto"/>
            <w:shd w:val="clear" w:color="auto" w:fill="auto"/>
            <w:noWrap/>
            <w:vAlign w:val="bottom"/>
            <w:hideMark/>
          </w:tcPr>
          <w:p w14:paraId="64ED36C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Undeclared</w:t>
            </w:r>
          </w:p>
        </w:tc>
        <w:tc>
          <w:tcPr>
            <w:tcW w:w="0" w:type="auto"/>
            <w:shd w:val="clear" w:color="auto" w:fill="auto"/>
            <w:noWrap/>
            <w:vAlign w:val="bottom"/>
            <w:hideMark/>
          </w:tcPr>
          <w:p w14:paraId="7B5B8792" w14:textId="77777777" w:rsidR="00E02108" w:rsidRPr="00EC6A08" w:rsidRDefault="00E02108" w:rsidP="00F27E08">
            <w:pPr>
              <w:spacing w:after="0"/>
              <w:jc w:val="right"/>
              <w:rPr>
                <w:rFonts w:ascii="Garamond" w:eastAsia="Times New Roman" w:hAnsi="Garamond"/>
                <w:sz w:val="24"/>
                <w:szCs w:val="24"/>
              </w:rPr>
            </w:pPr>
            <w:r w:rsidRPr="00EC6A08">
              <w:rPr>
                <w:rFonts w:ascii="Garamond" w:eastAsia="Times New Roman" w:hAnsi="Garamond"/>
                <w:sz w:val="24"/>
                <w:szCs w:val="24"/>
              </w:rPr>
              <w:t>-1.02</w:t>
            </w:r>
          </w:p>
        </w:tc>
        <w:tc>
          <w:tcPr>
            <w:tcW w:w="0" w:type="auto"/>
            <w:shd w:val="clear" w:color="auto" w:fill="auto"/>
            <w:noWrap/>
            <w:vAlign w:val="bottom"/>
            <w:hideMark/>
          </w:tcPr>
          <w:p w14:paraId="016CE1FB"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49260A10"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(1.43)</w:t>
            </w:r>
          </w:p>
        </w:tc>
      </w:tr>
      <w:tr w:rsidR="00EC6A08" w:rsidRPr="00EC6A08" w14:paraId="62AD5DCA" w14:textId="77777777" w:rsidTr="00F27E08">
        <w:trPr>
          <w:trHeight w:val="320"/>
          <w:jc w:val="center"/>
        </w:trPr>
        <w:tc>
          <w:tcPr>
            <w:tcW w:w="0" w:type="auto"/>
            <w:shd w:val="clear" w:color="auto" w:fill="auto"/>
            <w:noWrap/>
            <w:vAlign w:val="bottom"/>
            <w:hideMark/>
          </w:tcPr>
          <w:p w14:paraId="2DAE3C47"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hideMark/>
          </w:tcPr>
          <w:p w14:paraId="104B4A62"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33715C3B"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hideMark/>
          </w:tcPr>
          <w:p w14:paraId="1EEC19FA" w14:textId="77777777" w:rsidR="00E02108" w:rsidRPr="00EC6A08" w:rsidRDefault="00E02108" w:rsidP="00F27E08">
            <w:pPr>
              <w:spacing w:after="0"/>
              <w:rPr>
                <w:rFonts w:ascii="Garamond" w:eastAsia="Times New Roman" w:hAnsi="Garamond"/>
                <w:sz w:val="24"/>
                <w:szCs w:val="24"/>
              </w:rPr>
            </w:pPr>
          </w:p>
        </w:tc>
      </w:tr>
      <w:tr w:rsidR="00EC6A08" w:rsidRPr="00EC6A08" w14:paraId="3F3CB50C" w14:textId="77777777" w:rsidTr="00F27E08">
        <w:trPr>
          <w:trHeight w:val="320"/>
          <w:jc w:val="center"/>
        </w:trPr>
        <w:tc>
          <w:tcPr>
            <w:tcW w:w="0" w:type="auto"/>
            <w:gridSpan w:val="4"/>
            <w:shd w:val="clear" w:color="auto" w:fill="auto"/>
            <w:noWrap/>
            <w:vAlign w:val="bottom"/>
            <w:hideMark/>
          </w:tcPr>
          <w:p w14:paraId="2FF403A6"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Position on Trident (relative to those who voted in favour)</w:t>
            </w:r>
          </w:p>
        </w:tc>
      </w:tr>
      <w:tr w:rsidR="00EC6A08" w:rsidRPr="00EC6A08" w14:paraId="109ABE59" w14:textId="77777777" w:rsidTr="00F27E08">
        <w:trPr>
          <w:trHeight w:val="320"/>
          <w:jc w:val="center"/>
        </w:trPr>
        <w:tc>
          <w:tcPr>
            <w:tcW w:w="0" w:type="auto"/>
            <w:shd w:val="clear" w:color="auto" w:fill="auto"/>
            <w:noWrap/>
            <w:vAlign w:val="bottom"/>
            <w:hideMark/>
          </w:tcPr>
          <w:p w14:paraId="16FA5A9D"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Not in favour</w:t>
            </w:r>
          </w:p>
        </w:tc>
        <w:tc>
          <w:tcPr>
            <w:tcW w:w="0" w:type="auto"/>
            <w:shd w:val="clear" w:color="auto" w:fill="auto"/>
            <w:noWrap/>
            <w:vAlign w:val="bottom"/>
            <w:hideMark/>
          </w:tcPr>
          <w:p w14:paraId="1D72F6EE"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1.65</w:t>
            </w:r>
          </w:p>
        </w:tc>
        <w:tc>
          <w:tcPr>
            <w:tcW w:w="0" w:type="auto"/>
            <w:shd w:val="clear" w:color="auto" w:fill="auto"/>
            <w:noWrap/>
            <w:vAlign w:val="bottom"/>
            <w:hideMark/>
          </w:tcPr>
          <w:p w14:paraId="5E77BD49"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32A5758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(0.59)</w:t>
            </w:r>
          </w:p>
        </w:tc>
      </w:tr>
      <w:tr w:rsidR="00EC6A08" w:rsidRPr="00EC6A08" w14:paraId="3BDBD0B6" w14:textId="77777777" w:rsidTr="00F27E08">
        <w:trPr>
          <w:trHeight w:val="320"/>
          <w:jc w:val="center"/>
        </w:trPr>
        <w:tc>
          <w:tcPr>
            <w:tcW w:w="0" w:type="auto"/>
            <w:shd w:val="clear" w:color="auto" w:fill="auto"/>
            <w:noWrap/>
            <w:vAlign w:val="bottom"/>
          </w:tcPr>
          <w:p w14:paraId="1B850AF1"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5A017247" w14:textId="77777777" w:rsidR="00E02108" w:rsidRPr="00EC6A08" w:rsidRDefault="00E02108" w:rsidP="00F27E08">
            <w:pPr>
              <w:spacing w:after="0"/>
              <w:jc w:val="right"/>
              <w:rPr>
                <w:rFonts w:ascii="Garamond" w:eastAsia="Times New Roman" w:hAnsi="Garamond"/>
                <w:sz w:val="24"/>
                <w:szCs w:val="24"/>
              </w:rPr>
            </w:pPr>
          </w:p>
        </w:tc>
        <w:tc>
          <w:tcPr>
            <w:tcW w:w="0" w:type="auto"/>
            <w:shd w:val="clear" w:color="auto" w:fill="auto"/>
            <w:noWrap/>
            <w:vAlign w:val="bottom"/>
          </w:tcPr>
          <w:p w14:paraId="0489E683" w14:textId="77777777" w:rsidR="00E02108" w:rsidRPr="00EC6A08" w:rsidRDefault="00E02108" w:rsidP="00F27E08">
            <w:pPr>
              <w:spacing w:after="0"/>
              <w:rPr>
                <w:rFonts w:ascii="Garamond" w:eastAsia="Times New Roman" w:hAnsi="Garamond"/>
                <w:sz w:val="24"/>
                <w:szCs w:val="24"/>
              </w:rPr>
            </w:pPr>
          </w:p>
        </w:tc>
        <w:tc>
          <w:tcPr>
            <w:tcW w:w="0" w:type="auto"/>
            <w:shd w:val="clear" w:color="auto" w:fill="auto"/>
            <w:noWrap/>
            <w:vAlign w:val="bottom"/>
          </w:tcPr>
          <w:p w14:paraId="395CE577" w14:textId="77777777" w:rsidR="00E02108" w:rsidRPr="00EC6A08" w:rsidRDefault="00E02108" w:rsidP="00F27E08">
            <w:pPr>
              <w:spacing w:after="0"/>
              <w:rPr>
                <w:rFonts w:ascii="Garamond" w:eastAsia="Times New Roman" w:hAnsi="Garamond"/>
                <w:sz w:val="24"/>
                <w:szCs w:val="24"/>
              </w:rPr>
            </w:pPr>
          </w:p>
        </w:tc>
      </w:tr>
      <w:tr w:rsidR="00EC6A08" w:rsidRPr="00EC6A08" w14:paraId="24D009DA" w14:textId="77777777" w:rsidTr="00F27E08">
        <w:trPr>
          <w:trHeight w:val="320"/>
          <w:jc w:val="center"/>
        </w:trPr>
        <w:tc>
          <w:tcPr>
            <w:tcW w:w="0" w:type="auto"/>
            <w:shd w:val="clear" w:color="auto" w:fill="auto"/>
            <w:noWrap/>
            <w:vAlign w:val="bottom"/>
            <w:hideMark/>
          </w:tcPr>
          <w:p w14:paraId="7AE29EB8"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Constant</w:t>
            </w:r>
          </w:p>
        </w:tc>
        <w:tc>
          <w:tcPr>
            <w:tcW w:w="0" w:type="auto"/>
            <w:shd w:val="clear" w:color="auto" w:fill="auto"/>
            <w:noWrap/>
            <w:vAlign w:val="bottom"/>
            <w:hideMark/>
          </w:tcPr>
          <w:p w14:paraId="62EFF96B" w14:textId="77777777" w:rsidR="00E02108" w:rsidRPr="00EC6A08" w:rsidRDefault="00E02108" w:rsidP="00F27E08">
            <w:pPr>
              <w:spacing w:after="0"/>
              <w:jc w:val="right"/>
              <w:rPr>
                <w:rFonts w:ascii="Garamond" w:eastAsia="Times New Roman" w:hAnsi="Garamond"/>
                <w:b/>
                <w:sz w:val="24"/>
                <w:szCs w:val="24"/>
              </w:rPr>
            </w:pPr>
            <w:r w:rsidRPr="00EC6A08">
              <w:rPr>
                <w:rFonts w:ascii="Garamond" w:eastAsia="Times New Roman" w:hAnsi="Garamond"/>
                <w:b/>
                <w:sz w:val="24"/>
                <w:szCs w:val="24"/>
              </w:rPr>
              <w:t>-4.54</w:t>
            </w:r>
          </w:p>
        </w:tc>
        <w:tc>
          <w:tcPr>
            <w:tcW w:w="0" w:type="auto"/>
            <w:shd w:val="clear" w:color="auto" w:fill="auto"/>
            <w:noWrap/>
            <w:vAlign w:val="bottom"/>
            <w:hideMark/>
          </w:tcPr>
          <w:p w14:paraId="2B407263" w14:textId="77777777" w:rsidR="00E02108" w:rsidRPr="00EC6A08" w:rsidRDefault="00E02108" w:rsidP="00F27E08">
            <w:pPr>
              <w:spacing w:after="0"/>
              <w:rPr>
                <w:rFonts w:ascii="Garamond" w:eastAsia="Times New Roman" w:hAnsi="Garamond"/>
                <w:b/>
                <w:sz w:val="24"/>
                <w:szCs w:val="24"/>
              </w:rPr>
            </w:pPr>
            <w:r w:rsidRPr="00EC6A08">
              <w:rPr>
                <w:rFonts w:ascii="Garamond" w:eastAsia="Times New Roman" w:hAnsi="Garamond"/>
                <w:b/>
                <w:sz w:val="24"/>
                <w:szCs w:val="24"/>
              </w:rPr>
              <w:t>*</w:t>
            </w:r>
          </w:p>
        </w:tc>
        <w:tc>
          <w:tcPr>
            <w:tcW w:w="0" w:type="auto"/>
            <w:shd w:val="clear" w:color="auto" w:fill="auto"/>
            <w:noWrap/>
            <w:vAlign w:val="bottom"/>
            <w:hideMark/>
          </w:tcPr>
          <w:p w14:paraId="627104BF"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(2.12)</w:t>
            </w:r>
          </w:p>
        </w:tc>
      </w:tr>
      <w:tr w:rsidR="00E02108" w:rsidRPr="00EC6A08" w14:paraId="6C91A3A5" w14:textId="77777777" w:rsidTr="00F27E08">
        <w:trPr>
          <w:trHeight w:val="320"/>
          <w:jc w:val="center"/>
        </w:trPr>
        <w:tc>
          <w:tcPr>
            <w:tcW w:w="0" w:type="auto"/>
            <w:gridSpan w:val="4"/>
            <w:shd w:val="clear" w:color="auto" w:fill="auto"/>
            <w:noWrap/>
            <w:vAlign w:val="bottom"/>
          </w:tcPr>
          <w:p w14:paraId="5C16AA57" w14:textId="77777777" w:rsidR="00E02108" w:rsidRPr="00EC6A08" w:rsidRDefault="00E02108" w:rsidP="00F27E08">
            <w:pPr>
              <w:spacing w:after="0"/>
              <w:rPr>
                <w:rFonts w:ascii="Garamond" w:eastAsia="Times New Roman" w:hAnsi="Garamond"/>
                <w:sz w:val="24"/>
                <w:szCs w:val="24"/>
              </w:rPr>
            </w:pPr>
            <w:r w:rsidRPr="00EC6A08">
              <w:rPr>
                <w:rFonts w:ascii="Garamond" w:eastAsia="Times New Roman" w:hAnsi="Garamond"/>
                <w:sz w:val="24"/>
                <w:szCs w:val="24"/>
              </w:rPr>
              <w:t>***p&lt;0.001 **0.001 ≤ p ≤  0.01 *0.01 &lt; p ≤ 0.05</w:t>
            </w:r>
          </w:p>
        </w:tc>
      </w:tr>
    </w:tbl>
    <w:p w14:paraId="2A3FDB31" w14:textId="77777777" w:rsidR="00E02108" w:rsidRPr="00EC6A08" w:rsidRDefault="00E02108" w:rsidP="00E02108">
      <w:pPr>
        <w:rPr>
          <w:rFonts w:ascii="Calibri" w:hAnsi="Calibri"/>
        </w:rPr>
      </w:pPr>
    </w:p>
    <w:p w14:paraId="27191117" w14:textId="4706D498" w:rsidR="001D0E87" w:rsidRPr="00EC6A08" w:rsidRDefault="00FC4D1E" w:rsidP="00E02108">
      <w:pPr>
        <w:rPr>
          <w:rFonts w:ascii="Calibri" w:hAnsi="Calibri"/>
          <w:u w:val="single"/>
        </w:rPr>
      </w:pPr>
      <w:r w:rsidRPr="00EC6A08">
        <w:rPr>
          <w:rFonts w:ascii="Calibri" w:hAnsi="Calibri"/>
        </w:rPr>
        <w:tab/>
        <w:t xml:space="preserve">     </w:t>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r w:rsidRPr="00EC6A08">
        <w:rPr>
          <w:rFonts w:ascii="Calibri" w:hAnsi="Calibri"/>
          <w:u w:val="single"/>
        </w:rPr>
        <w:tab/>
      </w:r>
    </w:p>
    <w:p w14:paraId="0791FC90" w14:textId="77777777" w:rsidR="00FE3678" w:rsidRPr="00EC6A08" w:rsidRDefault="00FE3678" w:rsidP="00E02108">
      <w:pPr>
        <w:rPr>
          <w:rFonts w:ascii="Calibri" w:hAnsi="Calibri"/>
        </w:rPr>
      </w:pPr>
    </w:p>
    <w:p w14:paraId="56B10D21" w14:textId="2BC019D2" w:rsidR="00D946EE" w:rsidRPr="00EC6A08" w:rsidRDefault="00FE3678" w:rsidP="00E001E5">
      <w:pPr>
        <w:spacing w:after="0" w:line="360" w:lineRule="auto"/>
        <w:jc w:val="both"/>
        <w:rPr>
          <w:rFonts w:ascii="Garamond" w:hAnsi="Garamond"/>
          <w:sz w:val="24"/>
          <w:szCs w:val="24"/>
        </w:rPr>
      </w:pPr>
      <w:r w:rsidRPr="00EC6A08">
        <w:rPr>
          <w:rFonts w:ascii="Garamond" w:hAnsi="Garamond"/>
          <w:sz w:val="24"/>
          <w:szCs w:val="24"/>
        </w:rPr>
        <w:t xml:space="preserve">Tables one and two showcase the following in terms of our social variables. </w:t>
      </w:r>
      <w:r w:rsidR="00FC4D1E" w:rsidRPr="00EC6A08">
        <w:rPr>
          <w:rFonts w:ascii="Garamond" w:hAnsi="Garamond"/>
          <w:sz w:val="24"/>
          <w:szCs w:val="24"/>
        </w:rPr>
        <w:t xml:space="preserve">In terms of our age variable – i.e. </w:t>
      </w:r>
      <w:r w:rsidR="00FC4D1E" w:rsidRPr="00EC6A08">
        <w:rPr>
          <w:rFonts w:ascii="Garamond" w:hAnsi="Garamond"/>
          <w:i/>
          <w:sz w:val="24"/>
          <w:szCs w:val="24"/>
        </w:rPr>
        <w:t>[H1]</w:t>
      </w:r>
      <w:r w:rsidR="00FC4D1E" w:rsidRPr="00EC6A08">
        <w:rPr>
          <w:rFonts w:ascii="Garamond" w:hAnsi="Garamond"/>
          <w:sz w:val="24"/>
          <w:szCs w:val="24"/>
        </w:rPr>
        <w:t xml:space="preserve"> and the assumption </w:t>
      </w:r>
      <w:r w:rsidR="00FC4D1E" w:rsidRPr="00EC6A08">
        <w:rPr>
          <w:rFonts w:ascii="Garamond" w:eastAsia="Times New Roman" w:hAnsi="Garamond" w:cs="Times New Roman"/>
          <w:sz w:val="24"/>
          <w:szCs w:val="24"/>
          <w:lang w:eastAsia="en-GB"/>
        </w:rPr>
        <w:t xml:space="preserve">that younger Labour parliamentarians would demonstrate a stronger likelihood for backing Corbyn than older Labour parliamentarians – we actually found that </w:t>
      </w:r>
      <w:r w:rsidR="00FC4D1E" w:rsidRPr="00EC6A08">
        <w:rPr>
          <w:rFonts w:ascii="Garamond" w:hAnsi="Garamond"/>
          <w:sz w:val="24"/>
          <w:szCs w:val="24"/>
        </w:rPr>
        <w:t xml:space="preserve">for every year older a member of the PLP </w:t>
      </w:r>
      <w:proofErr w:type="gramStart"/>
      <w:r w:rsidR="00FC4D1E" w:rsidRPr="00EC6A08">
        <w:rPr>
          <w:rFonts w:ascii="Garamond" w:hAnsi="Garamond"/>
          <w:sz w:val="24"/>
          <w:szCs w:val="24"/>
        </w:rPr>
        <w:t>was,</w:t>
      </w:r>
      <w:proofErr w:type="gramEnd"/>
      <w:r w:rsidR="00FC4D1E" w:rsidRPr="00EC6A08">
        <w:rPr>
          <w:rFonts w:ascii="Garamond" w:hAnsi="Garamond"/>
          <w:sz w:val="24"/>
          <w:szCs w:val="24"/>
        </w:rPr>
        <w:t xml:space="preserve"> the log-odds of their supporting Corbyn increased by 0.05. Thus, holding all other variables constant, we would expect older parliamentarians to support Corbyn compared to </w:t>
      </w:r>
      <w:r w:rsidR="000A38BD" w:rsidRPr="00EC6A08">
        <w:rPr>
          <w:rFonts w:ascii="Garamond" w:hAnsi="Garamond"/>
          <w:sz w:val="24"/>
          <w:szCs w:val="24"/>
        </w:rPr>
        <w:t>younger Labour parliamentarians</w:t>
      </w:r>
      <w:r w:rsidR="00FC4D1E" w:rsidRPr="00EC6A08">
        <w:rPr>
          <w:rFonts w:ascii="Garamond" w:hAnsi="Garamond"/>
          <w:sz w:val="24"/>
          <w:szCs w:val="24"/>
        </w:rPr>
        <w:t xml:space="preserve">. </w:t>
      </w:r>
      <w:r w:rsidR="00DD3BE0" w:rsidRPr="00EC6A08">
        <w:rPr>
          <w:rFonts w:ascii="Garamond" w:hAnsi="Garamond"/>
          <w:sz w:val="24"/>
          <w:szCs w:val="24"/>
        </w:rPr>
        <w:t xml:space="preserve">On gender </w:t>
      </w:r>
      <w:r w:rsidR="00DD3BE0" w:rsidRPr="00EC6A08">
        <w:rPr>
          <w:rFonts w:ascii="Garamond" w:hAnsi="Garamond"/>
          <w:i/>
          <w:sz w:val="24"/>
          <w:szCs w:val="24"/>
        </w:rPr>
        <w:t>[H2]</w:t>
      </w:r>
      <w:r w:rsidR="00DD3BE0" w:rsidRPr="00EC6A08">
        <w:rPr>
          <w:rFonts w:ascii="Garamond" w:hAnsi="Garamond"/>
          <w:sz w:val="24"/>
          <w:szCs w:val="24"/>
        </w:rPr>
        <w:t xml:space="preserve"> the descriptive statistics in table one suggested that no significant difference existed </w:t>
      </w:r>
      <w:r w:rsidR="00DD3BE0" w:rsidRPr="00EC6A08">
        <w:rPr>
          <w:rFonts w:ascii="Garamond" w:hAnsi="Garamond"/>
          <w:sz w:val="24"/>
          <w:szCs w:val="24"/>
        </w:rPr>
        <w:lastRenderedPageBreak/>
        <w:t>between female and male Labour parliamentarians and opinion on Corbyn remaining as party leader – amongst males 16.2 percent backed Corbyn and amongst female 19.0 perce</w:t>
      </w:r>
      <w:r w:rsidR="006937DD" w:rsidRPr="00EC6A08">
        <w:rPr>
          <w:rFonts w:ascii="Garamond" w:hAnsi="Garamond"/>
          <w:sz w:val="24"/>
          <w:szCs w:val="24"/>
        </w:rPr>
        <w:t xml:space="preserve">nt backed him, and table two confirmed this meaning </w:t>
      </w:r>
      <w:r w:rsidR="006937DD" w:rsidRPr="00EC6A08">
        <w:rPr>
          <w:rFonts w:ascii="Garamond" w:hAnsi="Garamond"/>
          <w:i/>
          <w:sz w:val="24"/>
          <w:szCs w:val="24"/>
        </w:rPr>
        <w:t>[H2]</w:t>
      </w:r>
      <w:r w:rsidR="006937DD" w:rsidRPr="00EC6A08">
        <w:rPr>
          <w:rFonts w:ascii="Garamond" w:hAnsi="Garamond"/>
          <w:sz w:val="24"/>
          <w:szCs w:val="24"/>
        </w:rPr>
        <w:t xml:space="preserve"> was not supported. </w:t>
      </w:r>
      <w:r w:rsidR="00DD3BE0" w:rsidRPr="00EC6A08">
        <w:rPr>
          <w:rFonts w:ascii="Garamond" w:hAnsi="Garamond"/>
          <w:sz w:val="24"/>
          <w:szCs w:val="24"/>
        </w:rPr>
        <w:t xml:space="preserve"> </w:t>
      </w:r>
    </w:p>
    <w:p w14:paraId="15B00143" w14:textId="77777777" w:rsidR="00DD3BE0" w:rsidRPr="00EC6A08" w:rsidRDefault="00DD3BE0" w:rsidP="00E001E5">
      <w:pPr>
        <w:spacing w:after="0" w:line="360" w:lineRule="auto"/>
        <w:jc w:val="both"/>
        <w:rPr>
          <w:rFonts w:ascii="Garamond" w:eastAsia="Times New Roman" w:hAnsi="Garamond" w:cs="Times New Roman"/>
          <w:sz w:val="24"/>
          <w:szCs w:val="24"/>
          <w:lang w:eastAsia="en-GB"/>
        </w:rPr>
      </w:pPr>
    </w:p>
    <w:p w14:paraId="0E0F698C" w14:textId="47934FA8" w:rsidR="004B1AD7" w:rsidRPr="00EC6A08" w:rsidRDefault="00FC4D1E" w:rsidP="002C6A6D">
      <w:pPr>
        <w:spacing w:after="0" w:line="360" w:lineRule="auto"/>
        <w:jc w:val="both"/>
        <w:rPr>
          <w:rFonts w:ascii="Garamond" w:eastAsia="Times New Roman" w:hAnsi="Garamond" w:cs="Times New Roman"/>
          <w:iCs/>
          <w:sz w:val="24"/>
          <w:szCs w:val="24"/>
          <w:lang w:eastAsia="en-GB"/>
        </w:rPr>
      </w:pPr>
      <w:r w:rsidRPr="00EC6A08">
        <w:rPr>
          <w:rFonts w:ascii="Garamond" w:hAnsi="Garamond"/>
          <w:sz w:val="24"/>
          <w:szCs w:val="24"/>
        </w:rPr>
        <w:t xml:space="preserve">What of our political </w:t>
      </w:r>
      <w:r w:rsidR="00DD3BE0" w:rsidRPr="00EC6A08">
        <w:rPr>
          <w:rFonts w:ascii="Garamond" w:hAnsi="Garamond"/>
          <w:sz w:val="24"/>
          <w:szCs w:val="24"/>
        </w:rPr>
        <w:t>variables</w:t>
      </w:r>
      <w:r w:rsidRPr="00EC6A08">
        <w:rPr>
          <w:rFonts w:ascii="Garamond" w:hAnsi="Garamond"/>
          <w:sz w:val="24"/>
          <w:szCs w:val="24"/>
        </w:rPr>
        <w:t xml:space="preserve">? These were </w:t>
      </w:r>
      <w:r w:rsidR="00DD3BE0" w:rsidRPr="00EC6A08">
        <w:rPr>
          <w:rFonts w:ascii="Garamond" w:eastAsia="Times New Roman" w:hAnsi="Garamond" w:cs="Times New Roman"/>
          <w:iCs/>
          <w:sz w:val="24"/>
          <w:szCs w:val="24"/>
          <w:lang w:eastAsia="en-GB"/>
        </w:rPr>
        <w:t xml:space="preserve">year of entry </w:t>
      </w:r>
      <w:r w:rsidR="00DD3BE0" w:rsidRPr="00EC6A08">
        <w:rPr>
          <w:rFonts w:ascii="Garamond" w:eastAsia="Times New Roman" w:hAnsi="Garamond" w:cs="Times New Roman"/>
          <w:i/>
          <w:iCs/>
          <w:sz w:val="24"/>
          <w:szCs w:val="24"/>
          <w:lang w:eastAsia="en-GB"/>
        </w:rPr>
        <w:t>[H3]</w:t>
      </w:r>
      <w:r w:rsidR="00DD3BE0" w:rsidRPr="00EC6A08">
        <w:rPr>
          <w:rFonts w:ascii="Garamond" w:eastAsia="Times New Roman" w:hAnsi="Garamond" w:cs="Times New Roman"/>
          <w:iCs/>
          <w:sz w:val="24"/>
          <w:szCs w:val="24"/>
          <w:lang w:eastAsia="en-GB"/>
        </w:rPr>
        <w:t xml:space="preserve">, constituency region </w:t>
      </w:r>
      <w:r w:rsidR="00DD3BE0" w:rsidRPr="00EC6A08">
        <w:rPr>
          <w:rFonts w:ascii="Garamond" w:eastAsia="Times New Roman" w:hAnsi="Garamond" w:cs="Times New Roman"/>
          <w:i/>
          <w:iCs/>
          <w:sz w:val="24"/>
          <w:szCs w:val="24"/>
          <w:lang w:eastAsia="en-GB"/>
        </w:rPr>
        <w:t>[H4]</w:t>
      </w:r>
      <w:r w:rsidR="00DD3BE0" w:rsidRPr="00EC6A08">
        <w:rPr>
          <w:rFonts w:ascii="Garamond" w:eastAsia="Times New Roman" w:hAnsi="Garamond" w:cs="Times New Roman"/>
          <w:iCs/>
          <w:sz w:val="24"/>
          <w:szCs w:val="24"/>
          <w:lang w:eastAsia="en-GB"/>
        </w:rPr>
        <w:t xml:space="preserve">, constituency marginality </w:t>
      </w:r>
      <w:r w:rsidR="00DD3BE0" w:rsidRPr="00EC6A08">
        <w:rPr>
          <w:rFonts w:ascii="Garamond" w:eastAsia="Times New Roman" w:hAnsi="Garamond" w:cs="Times New Roman"/>
          <w:i/>
          <w:iCs/>
          <w:sz w:val="24"/>
          <w:szCs w:val="24"/>
          <w:lang w:eastAsia="en-GB"/>
        </w:rPr>
        <w:t>[H5]</w:t>
      </w:r>
      <w:r w:rsidR="00DD3BE0" w:rsidRPr="00EC6A08">
        <w:rPr>
          <w:rFonts w:ascii="Garamond" w:eastAsia="Times New Roman" w:hAnsi="Garamond" w:cs="Times New Roman"/>
          <w:iCs/>
          <w:sz w:val="24"/>
          <w:szCs w:val="24"/>
          <w:lang w:eastAsia="en-GB"/>
        </w:rPr>
        <w:t xml:space="preserve">, constituency main competition </w:t>
      </w:r>
      <w:r w:rsidR="00DD3BE0" w:rsidRPr="00EC6A08">
        <w:rPr>
          <w:rFonts w:ascii="Garamond" w:eastAsia="Times New Roman" w:hAnsi="Garamond" w:cs="Times New Roman"/>
          <w:i/>
          <w:iCs/>
          <w:sz w:val="24"/>
          <w:szCs w:val="24"/>
          <w:lang w:eastAsia="en-GB"/>
        </w:rPr>
        <w:t>[H6]</w:t>
      </w:r>
      <w:r w:rsidR="00DD3BE0" w:rsidRPr="00EC6A08">
        <w:rPr>
          <w:rFonts w:ascii="Garamond" w:eastAsia="Times New Roman" w:hAnsi="Garamond" w:cs="Times New Roman"/>
          <w:iCs/>
          <w:sz w:val="24"/>
          <w:szCs w:val="24"/>
          <w:lang w:eastAsia="en-GB"/>
        </w:rPr>
        <w:t xml:space="preserve">, CLP endorsement </w:t>
      </w:r>
      <w:r w:rsidR="00DD3BE0" w:rsidRPr="00EC6A08">
        <w:rPr>
          <w:rFonts w:ascii="Garamond" w:eastAsia="Times New Roman" w:hAnsi="Garamond" w:cs="Times New Roman"/>
          <w:i/>
          <w:iCs/>
          <w:sz w:val="24"/>
          <w:szCs w:val="24"/>
          <w:lang w:eastAsia="en-GB"/>
        </w:rPr>
        <w:t>[H7]</w:t>
      </w:r>
      <w:r w:rsidR="00DD3BE0" w:rsidRPr="00EC6A08">
        <w:rPr>
          <w:rFonts w:ascii="Garamond" w:eastAsia="Times New Roman" w:hAnsi="Garamond" w:cs="Times New Roman"/>
          <w:iCs/>
          <w:sz w:val="24"/>
          <w:szCs w:val="24"/>
          <w:lang w:eastAsia="en-GB"/>
        </w:rPr>
        <w:t xml:space="preserve">, loyalty list position </w:t>
      </w:r>
      <w:r w:rsidR="00DD3BE0" w:rsidRPr="00EC6A08">
        <w:rPr>
          <w:rFonts w:ascii="Garamond" w:eastAsia="Times New Roman" w:hAnsi="Garamond" w:cs="Times New Roman"/>
          <w:i/>
          <w:iCs/>
          <w:sz w:val="24"/>
          <w:szCs w:val="24"/>
          <w:lang w:eastAsia="en-GB"/>
        </w:rPr>
        <w:t>[H8]</w:t>
      </w:r>
      <w:r w:rsidR="00DD3BE0" w:rsidRPr="00EC6A08">
        <w:rPr>
          <w:rFonts w:ascii="Garamond" w:eastAsia="Times New Roman" w:hAnsi="Garamond" w:cs="Times New Roman"/>
          <w:iCs/>
          <w:sz w:val="24"/>
          <w:szCs w:val="24"/>
          <w:lang w:eastAsia="en-GB"/>
        </w:rPr>
        <w:t xml:space="preserve"> and Trade Union membership </w:t>
      </w:r>
      <w:r w:rsidR="00DD3BE0" w:rsidRPr="00EC6A08">
        <w:rPr>
          <w:rFonts w:ascii="Garamond" w:eastAsia="Times New Roman" w:hAnsi="Garamond" w:cs="Times New Roman"/>
          <w:i/>
          <w:iCs/>
          <w:sz w:val="24"/>
          <w:szCs w:val="24"/>
          <w:lang w:eastAsia="en-GB"/>
        </w:rPr>
        <w:t>[H9]</w:t>
      </w:r>
      <w:r w:rsidR="00DD3BE0" w:rsidRPr="00EC6A08">
        <w:rPr>
          <w:rFonts w:ascii="Garamond" w:eastAsia="Times New Roman" w:hAnsi="Garamond" w:cs="Times New Roman"/>
          <w:iCs/>
          <w:sz w:val="24"/>
          <w:szCs w:val="24"/>
          <w:lang w:eastAsia="en-GB"/>
        </w:rPr>
        <w:t xml:space="preserve">. </w:t>
      </w:r>
      <w:r w:rsidR="006937DD" w:rsidRPr="00EC6A08">
        <w:rPr>
          <w:rFonts w:ascii="Garamond" w:eastAsia="Times New Roman" w:hAnsi="Garamond" w:cs="Times New Roman"/>
          <w:iCs/>
          <w:sz w:val="24"/>
          <w:szCs w:val="24"/>
          <w:lang w:eastAsia="en-GB"/>
        </w:rPr>
        <w:t>Our findings did not support</w:t>
      </w:r>
      <w:r w:rsidR="002C6A6D" w:rsidRPr="00EC6A08">
        <w:rPr>
          <w:rFonts w:ascii="Garamond" w:eastAsia="Times New Roman" w:hAnsi="Garamond" w:cs="Times New Roman"/>
          <w:iCs/>
          <w:sz w:val="24"/>
          <w:szCs w:val="24"/>
          <w:lang w:eastAsia="en-GB"/>
        </w:rPr>
        <w:t xml:space="preserve"> our hypotheses in terms of constituency region </w:t>
      </w:r>
      <w:r w:rsidR="002C6A6D" w:rsidRPr="00EC6A08">
        <w:rPr>
          <w:rFonts w:ascii="Garamond" w:eastAsia="Times New Roman" w:hAnsi="Garamond" w:cs="Times New Roman"/>
          <w:i/>
          <w:iCs/>
          <w:sz w:val="24"/>
          <w:szCs w:val="24"/>
          <w:lang w:eastAsia="en-GB"/>
        </w:rPr>
        <w:t>[H4],</w:t>
      </w:r>
      <w:r w:rsidR="002C6A6D" w:rsidRPr="00EC6A08">
        <w:rPr>
          <w:rFonts w:ascii="Garamond" w:eastAsia="Times New Roman" w:hAnsi="Garamond" w:cs="Times New Roman"/>
          <w:iCs/>
          <w:sz w:val="24"/>
          <w:szCs w:val="24"/>
          <w:lang w:eastAsia="en-GB"/>
        </w:rPr>
        <w:t xml:space="preserve"> marginality </w:t>
      </w:r>
      <w:r w:rsidR="002C6A6D" w:rsidRPr="00EC6A08">
        <w:rPr>
          <w:rFonts w:ascii="Garamond" w:eastAsia="Times New Roman" w:hAnsi="Garamond" w:cs="Times New Roman"/>
          <w:i/>
          <w:iCs/>
          <w:sz w:val="24"/>
          <w:szCs w:val="24"/>
          <w:lang w:eastAsia="en-GB"/>
        </w:rPr>
        <w:t>[H5]</w:t>
      </w:r>
      <w:r w:rsidR="004B1AD7" w:rsidRPr="00EC6A08">
        <w:rPr>
          <w:rFonts w:ascii="Garamond" w:eastAsia="Times New Roman" w:hAnsi="Garamond" w:cs="Times New Roman"/>
          <w:iCs/>
          <w:sz w:val="24"/>
          <w:szCs w:val="24"/>
          <w:lang w:eastAsia="en-GB"/>
        </w:rPr>
        <w:t>;</w:t>
      </w:r>
      <w:r w:rsidR="002C6A6D" w:rsidRPr="00EC6A08">
        <w:rPr>
          <w:rFonts w:ascii="Garamond" w:eastAsia="Times New Roman" w:hAnsi="Garamond" w:cs="Times New Roman"/>
          <w:iCs/>
          <w:sz w:val="24"/>
          <w:szCs w:val="24"/>
          <w:lang w:eastAsia="en-GB"/>
        </w:rPr>
        <w:t xml:space="preserve"> competition </w:t>
      </w:r>
      <w:r w:rsidR="002C6A6D" w:rsidRPr="00EC6A08">
        <w:rPr>
          <w:rFonts w:ascii="Garamond" w:eastAsia="Times New Roman" w:hAnsi="Garamond" w:cs="Times New Roman"/>
          <w:i/>
          <w:iCs/>
          <w:sz w:val="24"/>
          <w:szCs w:val="24"/>
          <w:lang w:eastAsia="en-GB"/>
        </w:rPr>
        <w:t>[H6]</w:t>
      </w:r>
      <w:r w:rsidR="004B1AD7" w:rsidRPr="00EC6A08">
        <w:rPr>
          <w:rFonts w:ascii="Garamond" w:eastAsia="Times New Roman" w:hAnsi="Garamond" w:cs="Times New Roman"/>
          <w:i/>
          <w:iCs/>
          <w:sz w:val="24"/>
          <w:szCs w:val="24"/>
          <w:lang w:eastAsia="en-GB"/>
        </w:rPr>
        <w:t xml:space="preserve">; </w:t>
      </w:r>
      <w:r w:rsidR="004B1AD7" w:rsidRPr="00EC6A08">
        <w:rPr>
          <w:rFonts w:ascii="Garamond" w:eastAsia="Times New Roman" w:hAnsi="Garamond" w:cs="Times New Roman"/>
          <w:iCs/>
          <w:sz w:val="24"/>
          <w:szCs w:val="24"/>
          <w:lang w:eastAsia="en-GB"/>
        </w:rPr>
        <w:t xml:space="preserve">and Trade Union membership </w:t>
      </w:r>
      <w:r w:rsidR="004B1AD7" w:rsidRPr="00EC6A08">
        <w:rPr>
          <w:rFonts w:ascii="Garamond" w:eastAsia="Times New Roman" w:hAnsi="Garamond" w:cs="Times New Roman"/>
          <w:i/>
          <w:iCs/>
          <w:sz w:val="24"/>
          <w:szCs w:val="24"/>
          <w:lang w:eastAsia="en-GB"/>
        </w:rPr>
        <w:t>[H9]</w:t>
      </w:r>
      <w:r w:rsidR="002C6A6D" w:rsidRPr="00EC6A08">
        <w:rPr>
          <w:rFonts w:ascii="Garamond" w:eastAsia="Times New Roman" w:hAnsi="Garamond" w:cs="Times New Roman"/>
          <w:iCs/>
          <w:sz w:val="24"/>
          <w:szCs w:val="24"/>
          <w:lang w:eastAsia="en-GB"/>
        </w:rPr>
        <w:t xml:space="preserve"> as no statistically significant relationships with regard to these variables and opinion on Corbyn emerged. However, </w:t>
      </w:r>
      <w:r w:rsidR="002C6A6D" w:rsidRPr="00EC6A08">
        <w:rPr>
          <w:rFonts w:ascii="Garamond" w:eastAsia="Times New Roman" w:hAnsi="Garamond" w:cs="Times New Roman"/>
          <w:sz w:val="24"/>
          <w:szCs w:val="24"/>
          <w:shd w:val="clear" w:color="auto" w:fill="FFFFFF"/>
          <w:lang w:eastAsia="en-GB"/>
        </w:rPr>
        <w:t xml:space="preserve">in terms of year of entry the descriptive statistical findings appeared to be significant – i.e. of those that entered Parliament in either 2010 or 2015 (n= 119) the percentage supporting Corbyn was higher (27 or 22.7 percent) than was evident for those entering Parliament before 2010 (n=111 with 13 or 11.7 percent backing Corbyn). Table two confirms this </w:t>
      </w:r>
      <w:r w:rsidR="002C6A6D" w:rsidRPr="00EC6A08">
        <w:rPr>
          <w:rFonts w:ascii="Garamond" w:eastAsia="Times New Roman" w:hAnsi="Garamond" w:cs="Times New Roman"/>
          <w:sz w:val="24"/>
          <w:szCs w:val="24"/>
          <w:lang w:eastAsia="en-GB"/>
        </w:rPr>
        <w:t>as</w:t>
      </w:r>
      <w:r w:rsidR="002C6A6D" w:rsidRPr="00EC6A08">
        <w:rPr>
          <w:rFonts w:ascii="Garamond" w:eastAsia="Times New Roman" w:hAnsi="Garamond" w:cs="Times New Roman"/>
          <w:iCs/>
          <w:sz w:val="24"/>
          <w:szCs w:val="24"/>
          <w:lang w:eastAsia="en-GB"/>
        </w:rPr>
        <w:t xml:space="preserve"> </w:t>
      </w:r>
      <w:r w:rsidR="006937DD" w:rsidRPr="00EC6A08">
        <w:rPr>
          <w:rFonts w:ascii="Garamond" w:hAnsi="Garamond"/>
          <w:sz w:val="24"/>
          <w:szCs w:val="24"/>
        </w:rPr>
        <w:t>relative to those who entered P</w:t>
      </w:r>
      <w:r w:rsidR="002C6A6D" w:rsidRPr="00EC6A08">
        <w:rPr>
          <w:rFonts w:ascii="Garamond" w:hAnsi="Garamond"/>
          <w:sz w:val="24"/>
          <w:szCs w:val="24"/>
        </w:rPr>
        <w:t xml:space="preserve">arliament </w:t>
      </w:r>
      <w:r w:rsidR="00BD446D" w:rsidRPr="00EC6A08">
        <w:rPr>
          <w:rFonts w:ascii="Garamond" w:hAnsi="Garamond"/>
          <w:sz w:val="24"/>
          <w:szCs w:val="24"/>
        </w:rPr>
        <w:t>on or after</w:t>
      </w:r>
      <w:r w:rsidR="002C6A6D" w:rsidRPr="00EC6A08">
        <w:rPr>
          <w:rFonts w:ascii="Garamond" w:hAnsi="Garamond"/>
          <w:sz w:val="24"/>
          <w:szCs w:val="24"/>
        </w:rPr>
        <w:t xml:space="preserve"> 2010, those who entered </w:t>
      </w:r>
      <w:r w:rsidR="000A38BD" w:rsidRPr="00EC6A08">
        <w:rPr>
          <w:rFonts w:ascii="Garamond" w:hAnsi="Garamond"/>
          <w:sz w:val="24"/>
          <w:szCs w:val="24"/>
        </w:rPr>
        <w:t>P</w:t>
      </w:r>
      <w:r w:rsidR="00BD446D" w:rsidRPr="00EC6A08">
        <w:rPr>
          <w:rFonts w:ascii="Garamond" w:hAnsi="Garamond"/>
          <w:sz w:val="24"/>
          <w:szCs w:val="24"/>
        </w:rPr>
        <w:t xml:space="preserve">arliament </w:t>
      </w:r>
      <w:r w:rsidR="002C6A6D" w:rsidRPr="00EC6A08">
        <w:rPr>
          <w:rFonts w:ascii="Garamond" w:hAnsi="Garamond"/>
          <w:sz w:val="24"/>
          <w:szCs w:val="24"/>
        </w:rPr>
        <w:t xml:space="preserve">before have an expected </w:t>
      </w:r>
      <w:r w:rsidR="00BD446D" w:rsidRPr="00EC6A08">
        <w:rPr>
          <w:rFonts w:ascii="Garamond" w:hAnsi="Garamond"/>
          <w:sz w:val="24"/>
          <w:szCs w:val="24"/>
        </w:rPr>
        <w:t>decrease</w:t>
      </w:r>
      <w:r w:rsidR="002C6A6D" w:rsidRPr="00EC6A08">
        <w:rPr>
          <w:rFonts w:ascii="Garamond" w:hAnsi="Garamond"/>
          <w:sz w:val="24"/>
          <w:szCs w:val="24"/>
        </w:rPr>
        <w:t xml:space="preserve"> in the log-odds of </w:t>
      </w:r>
      <w:r w:rsidR="00BD446D" w:rsidRPr="00EC6A08">
        <w:rPr>
          <w:rFonts w:ascii="Garamond" w:hAnsi="Garamond"/>
          <w:sz w:val="24"/>
          <w:szCs w:val="24"/>
        </w:rPr>
        <w:t>supporting</w:t>
      </w:r>
      <w:r w:rsidR="002C6A6D" w:rsidRPr="00EC6A08">
        <w:rPr>
          <w:rFonts w:ascii="Garamond" w:hAnsi="Garamond"/>
          <w:sz w:val="24"/>
          <w:szCs w:val="24"/>
        </w:rPr>
        <w:t xml:space="preserve"> Corbyn of </w:t>
      </w:r>
      <w:r w:rsidR="004B1AD7" w:rsidRPr="00EC6A08">
        <w:rPr>
          <w:rFonts w:ascii="Garamond" w:hAnsi="Garamond"/>
          <w:sz w:val="24"/>
          <w:szCs w:val="24"/>
        </w:rPr>
        <w:t>1.3</w:t>
      </w:r>
      <w:r w:rsidR="002C6A6D" w:rsidRPr="00EC6A08">
        <w:rPr>
          <w:rFonts w:ascii="Garamond" w:hAnsi="Garamond"/>
          <w:sz w:val="24"/>
          <w:szCs w:val="24"/>
        </w:rPr>
        <w:t>5</w:t>
      </w:r>
      <w:r w:rsidR="0013682F" w:rsidRPr="00EC6A08">
        <w:rPr>
          <w:rFonts w:ascii="Garamond" w:hAnsi="Garamond"/>
          <w:sz w:val="24"/>
          <w:szCs w:val="24"/>
        </w:rPr>
        <w:t xml:space="preserve">. </w:t>
      </w:r>
      <w:r w:rsidR="006937DD" w:rsidRPr="00EC6A08">
        <w:rPr>
          <w:rFonts w:ascii="Garamond" w:hAnsi="Garamond"/>
          <w:sz w:val="24"/>
          <w:szCs w:val="24"/>
        </w:rPr>
        <w:t xml:space="preserve">This supports </w:t>
      </w:r>
      <w:r w:rsidR="006937DD" w:rsidRPr="00EC6A08">
        <w:rPr>
          <w:rFonts w:ascii="Garamond" w:hAnsi="Garamond"/>
          <w:i/>
          <w:sz w:val="24"/>
          <w:szCs w:val="24"/>
        </w:rPr>
        <w:t>[H4]</w:t>
      </w:r>
      <w:r w:rsidR="006937DD" w:rsidRPr="00EC6A08">
        <w:rPr>
          <w:rFonts w:ascii="Garamond" w:hAnsi="Garamond"/>
          <w:sz w:val="24"/>
          <w:szCs w:val="24"/>
        </w:rPr>
        <w:t xml:space="preserve"> and this </w:t>
      </w:r>
      <w:r w:rsidR="002C6A6D" w:rsidRPr="00EC6A08">
        <w:rPr>
          <w:rFonts w:ascii="Garamond" w:hAnsi="Garamond"/>
          <w:sz w:val="24"/>
          <w:szCs w:val="24"/>
        </w:rPr>
        <w:t xml:space="preserve">is also interesting because we have already controlled for age, so the length of time as a Labour parliamentarian is not simply acting as a proxy for age. </w:t>
      </w:r>
    </w:p>
    <w:p w14:paraId="438F717C" w14:textId="77777777" w:rsidR="00BC2BE3" w:rsidRPr="00EC6A08" w:rsidRDefault="00BC2BE3" w:rsidP="002C6A6D">
      <w:pPr>
        <w:spacing w:after="0" w:line="360" w:lineRule="auto"/>
        <w:jc w:val="both"/>
        <w:rPr>
          <w:rFonts w:ascii="Garamond" w:hAnsi="Garamond"/>
          <w:sz w:val="24"/>
          <w:szCs w:val="24"/>
        </w:rPr>
      </w:pPr>
    </w:p>
    <w:p w14:paraId="4B329BE6" w14:textId="11F8390F" w:rsidR="00FC4D1E" w:rsidRPr="00EC6A08" w:rsidRDefault="004B1AD7" w:rsidP="00FC4D1E">
      <w:pPr>
        <w:spacing w:after="0" w:line="360" w:lineRule="auto"/>
        <w:jc w:val="both"/>
        <w:rPr>
          <w:rFonts w:ascii="Garamond" w:hAnsi="Garamond"/>
          <w:sz w:val="24"/>
          <w:szCs w:val="24"/>
        </w:rPr>
      </w:pPr>
      <w:r w:rsidRPr="00EC6A08">
        <w:rPr>
          <w:rFonts w:ascii="Garamond" w:hAnsi="Garamond"/>
          <w:sz w:val="24"/>
          <w:szCs w:val="24"/>
        </w:rPr>
        <w:t>W</w:t>
      </w:r>
      <w:r w:rsidR="002C6A6D" w:rsidRPr="00EC6A08">
        <w:rPr>
          <w:rFonts w:ascii="Garamond" w:hAnsi="Garamond"/>
          <w:sz w:val="24"/>
          <w:szCs w:val="24"/>
        </w:rPr>
        <w:t>e can also see that there is some relation</w:t>
      </w:r>
      <w:r w:rsidR="00EB6028" w:rsidRPr="00EC6A08">
        <w:rPr>
          <w:rFonts w:ascii="Garamond" w:hAnsi="Garamond"/>
          <w:sz w:val="24"/>
          <w:szCs w:val="24"/>
        </w:rPr>
        <w:t>ship between the position of</w:t>
      </w:r>
      <w:r w:rsidR="002C6A6D" w:rsidRPr="00EC6A08">
        <w:rPr>
          <w:rFonts w:ascii="Garamond" w:hAnsi="Garamond"/>
          <w:sz w:val="24"/>
          <w:szCs w:val="24"/>
        </w:rPr>
        <w:t xml:space="preserve"> a Labour parliamentarian</w:t>
      </w:r>
      <w:r w:rsidR="0013682F" w:rsidRPr="00EC6A08">
        <w:rPr>
          <w:rFonts w:ascii="Garamond" w:hAnsi="Garamond"/>
          <w:sz w:val="24"/>
          <w:szCs w:val="24"/>
        </w:rPr>
        <w:t>’</w:t>
      </w:r>
      <w:r w:rsidR="002C6A6D" w:rsidRPr="00EC6A08">
        <w:rPr>
          <w:rFonts w:ascii="Garamond" w:hAnsi="Garamond"/>
          <w:sz w:val="24"/>
          <w:szCs w:val="24"/>
        </w:rPr>
        <w:t>s CLP in the leadership election of 2016 and how they expressed themselves in the confidence motion</w:t>
      </w:r>
      <w:r w:rsidR="006937DD" w:rsidRPr="00EC6A08">
        <w:rPr>
          <w:rFonts w:ascii="Garamond" w:hAnsi="Garamond"/>
          <w:sz w:val="24"/>
          <w:szCs w:val="24"/>
        </w:rPr>
        <w:t xml:space="preserve"> </w:t>
      </w:r>
      <w:r w:rsidRPr="00EC6A08">
        <w:rPr>
          <w:rFonts w:ascii="Garamond" w:hAnsi="Garamond"/>
          <w:i/>
          <w:sz w:val="24"/>
          <w:szCs w:val="24"/>
        </w:rPr>
        <w:t>[H7]</w:t>
      </w:r>
      <w:r w:rsidR="002C6A6D" w:rsidRPr="00EC6A08">
        <w:rPr>
          <w:rFonts w:ascii="Garamond" w:hAnsi="Garamond"/>
          <w:sz w:val="24"/>
          <w:szCs w:val="24"/>
        </w:rPr>
        <w:t>. Relative to those Labour parliamentarians from a CLP that endorsed Corbyn, there is no statistically significant relationship for those Labour parliamentarians from a CLP that endorsed Smith. However, those Labour parliamentarians from a C</w:t>
      </w:r>
      <w:r w:rsidR="00D46044" w:rsidRPr="00EC6A08">
        <w:rPr>
          <w:rFonts w:ascii="Garamond" w:hAnsi="Garamond"/>
          <w:sz w:val="24"/>
          <w:szCs w:val="24"/>
        </w:rPr>
        <w:t xml:space="preserve">LP that made no endorsement </w:t>
      </w:r>
      <w:r w:rsidRPr="00EC6A08">
        <w:rPr>
          <w:rFonts w:ascii="Garamond" w:hAnsi="Garamond"/>
          <w:sz w:val="24"/>
          <w:szCs w:val="24"/>
        </w:rPr>
        <w:t>had reduced log-odds of supporting Corbyn of 1.8</w:t>
      </w:r>
      <w:r w:rsidR="00D46044" w:rsidRPr="00EC6A08">
        <w:rPr>
          <w:rFonts w:ascii="Garamond" w:hAnsi="Garamond"/>
          <w:sz w:val="24"/>
          <w:szCs w:val="24"/>
        </w:rPr>
        <w:t>3. Finally, our findings suggest</w:t>
      </w:r>
      <w:r w:rsidRPr="00EC6A08">
        <w:rPr>
          <w:rFonts w:ascii="Garamond" w:hAnsi="Garamond"/>
          <w:sz w:val="24"/>
          <w:szCs w:val="24"/>
        </w:rPr>
        <w:t xml:space="preserve"> that positioning on the loyalty list was a strong predictor of behaviour in the confidence motion </w:t>
      </w:r>
      <w:r w:rsidRPr="00EC6A08">
        <w:rPr>
          <w:rFonts w:ascii="Garamond" w:hAnsi="Garamond"/>
          <w:i/>
          <w:sz w:val="24"/>
          <w:szCs w:val="24"/>
        </w:rPr>
        <w:t xml:space="preserve">[H9]. </w:t>
      </w:r>
      <w:r w:rsidRPr="00EC6A08">
        <w:rPr>
          <w:rFonts w:ascii="Garamond" w:hAnsi="Garamond" w:cs="Arial"/>
          <w:sz w:val="24"/>
          <w:szCs w:val="24"/>
        </w:rPr>
        <w:t>Relative to thos</w:t>
      </w:r>
      <w:r w:rsidR="0098258D" w:rsidRPr="00EC6A08">
        <w:rPr>
          <w:rFonts w:ascii="Garamond" w:hAnsi="Garamond" w:cs="Arial"/>
          <w:sz w:val="24"/>
          <w:szCs w:val="24"/>
        </w:rPr>
        <w:t xml:space="preserve">e who were placed in the loyalist </w:t>
      </w:r>
      <w:r w:rsidR="00D163BC" w:rsidRPr="00EC6A08">
        <w:rPr>
          <w:rFonts w:ascii="Garamond" w:hAnsi="Garamond" w:cs="Arial"/>
          <w:sz w:val="24"/>
          <w:szCs w:val="24"/>
        </w:rPr>
        <w:t>category in the list</w:t>
      </w:r>
      <w:r w:rsidRPr="00EC6A08">
        <w:rPr>
          <w:rFonts w:ascii="Garamond" w:hAnsi="Garamond" w:cs="Arial"/>
          <w:sz w:val="24"/>
          <w:szCs w:val="24"/>
        </w:rPr>
        <w:t>, those who were labelled neu</w:t>
      </w:r>
      <w:r w:rsidR="00D46044" w:rsidRPr="00EC6A08">
        <w:rPr>
          <w:rFonts w:ascii="Garamond" w:hAnsi="Garamond" w:cs="Arial"/>
          <w:sz w:val="24"/>
          <w:szCs w:val="24"/>
        </w:rPr>
        <w:t>t</w:t>
      </w:r>
      <w:r w:rsidRPr="00EC6A08">
        <w:rPr>
          <w:rFonts w:ascii="Garamond" w:hAnsi="Garamond" w:cs="Arial"/>
          <w:sz w:val="24"/>
          <w:szCs w:val="24"/>
        </w:rPr>
        <w:t xml:space="preserve">ral had 1.79 lower log-odds of supporting Corbyn, whilst those who were labelled negatively </w:t>
      </w:r>
      <w:r w:rsidR="00D46044" w:rsidRPr="00EC6A08">
        <w:rPr>
          <w:rFonts w:ascii="Garamond" w:hAnsi="Garamond" w:cs="Arial"/>
          <w:sz w:val="24"/>
          <w:szCs w:val="24"/>
        </w:rPr>
        <w:t>had 3.78 lower log-odds. There wa</w:t>
      </w:r>
      <w:r w:rsidRPr="00EC6A08">
        <w:rPr>
          <w:rFonts w:ascii="Garamond" w:hAnsi="Garamond" w:cs="Arial"/>
          <w:sz w:val="24"/>
          <w:szCs w:val="24"/>
        </w:rPr>
        <w:t>s no significant relationship for those who were not listed.</w:t>
      </w:r>
    </w:p>
    <w:p w14:paraId="0F406010" w14:textId="77777777" w:rsidR="00FC4D1E" w:rsidRPr="00EC6A08" w:rsidRDefault="00FC4D1E" w:rsidP="00FC4D1E">
      <w:pPr>
        <w:spacing w:after="0" w:line="360" w:lineRule="auto"/>
        <w:jc w:val="both"/>
        <w:rPr>
          <w:rFonts w:ascii="Garamond" w:hAnsi="Garamond"/>
          <w:sz w:val="24"/>
          <w:szCs w:val="24"/>
        </w:rPr>
      </w:pPr>
    </w:p>
    <w:p w14:paraId="4D1C2257" w14:textId="5E2C40A3" w:rsidR="00E02023" w:rsidRPr="00EC6A08" w:rsidRDefault="00FC4D1E" w:rsidP="00E02023">
      <w:pPr>
        <w:spacing w:after="0" w:line="360" w:lineRule="auto"/>
        <w:jc w:val="both"/>
        <w:rPr>
          <w:rFonts w:ascii="Garamond" w:hAnsi="Garamond"/>
          <w:sz w:val="24"/>
          <w:szCs w:val="24"/>
        </w:rPr>
      </w:pPr>
      <w:r w:rsidRPr="00EC6A08">
        <w:rPr>
          <w:rFonts w:ascii="Garamond" w:hAnsi="Garamond"/>
          <w:sz w:val="24"/>
          <w:szCs w:val="24"/>
        </w:rPr>
        <w:t>Our ideological</w:t>
      </w:r>
      <w:r w:rsidR="004258F1" w:rsidRPr="00EC6A08">
        <w:rPr>
          <w:rFonts w:ascii="Garamond" w:hAnsi="Garamond"/>
          <w:sz w:val="24"/>
          <w:szCs w:val="24"/>
        </w:rPr>
        <w:t xml:space="preserve"> background variables were </w:t>
      </w:r>
      <w:r w:rsidR="00D46044" w:rsidRPr="00EC6A08">
        <w:rPr>
          <w:rFonts w:ascii="Garamond" w:eastAsia="Times New Roman" w:hAnsi="Garamond" w:cs="Times New Roman"/>
          <w:iCs/>
          <w:sz w:val="24"/>
          <w:szCs w:val="24"/>
          <w:lang w:eastAsia="en-GB"/>
        </w:rPr>
        <w:t>continued EU</w:t>
      </w:r>
      <w:r w:rsidR="004258F1" w:rsidRPr="00EC6A08">
        <w:rPr>
          <w:rFonts w:ascii="Garamond" w:eastAsia="Times New Roman" w:hAnsi="Garamond" w:cs="Times New Roman"/>
          <w:iCs/>
          <w:sz w:val="24"/>
          <w:szCs w:val="24"/>
          <w:lang w:eastAsia="en-GB"/>
        </w:rPr>
        <w:t xml:space="preserve"> membership </w:t>
      </w:r>
      <w:r w:rsidR="004258F1" w:rsidRPr="00EC6A08">
        <w:rPr>
          <w:rFonts w:ascii="Garamond" w:eastAsia="Times New Roman" w:hAnsi="Garamond" w:cs="Times New Roman"/>
          <w:i/>
          <w:iCs/>
          <w:sz w:val="24"/>
          <w:szCs w:val="24"/>
          <w:lang w:eastAsia="en-GB"/>
        </w:rPr>
        <w:t>[H8]</w:t>
      </w:r>
      <w:r w:rsidR="004258F1" w:rsidRPr="00EC6A08">
        <w:rPr>
          <w:rFonts w:ascii="Garamond" w:eastAsia="Times New Roman" w:hAnsi="Garamond" w:cs="Times New Roman"/>
          <w:iCs/>
          <w:sz w:val="24"/>
          <w:szCs w:val="24"/>
          <w:lang w:eastAsia="en-GB"/>
        </w:rPr>
        <w:t xml:space="preserve">, immigration </w:t>
      </w:r>
      <w:r w:rsidR="004258F1" w:rsidRPr="00EC6A08">
        <w:rPr>
          <w:rFonts w:ascii="Garamond" w:eastAsia="Times New Roman" w:hAnsi="Garamond" w:cs="Times New Roman"/>
          <w:i/>
          <w:iCs/>
          <w:sz w:val="24"/>
          <w:szCs w:val="24"/>
          <w:lang w:eastAsia="en-GB"/>
        </w:rPr>
        <w:t>[H9]</w:t>
      </w:r>
      <w:r w:rsidR="004258F1" w:rsidRPr="00EC6A08">
        <w:rPr>
          <w:rFonts w:ascii="Garamond" w:eastAsia="Times New Roman" w:hAnsi="Garamond" w:cs="Times New Roman"/>
          <w:iCs/>
          <w:sz w:val="24"/>
          <w:szCs w:val="24"/>
          <w:lang w:eastAsia="en-GB"/>
        </w:rPr>
        <w:t xml:space="preserve">, intervention in Syria </w:t>
      </w:r>
      <w:r w:rsidR="004258F1" w:rsidRPr="00EC6A08">
        <w:rPr>
          <w:rFonts w:ascii="Garamond" w:eastAsia="Times New Roman" w:hAnsi="Garamond" w:cs="Times New Roman"/>
          <w:i/>
          <w:iCs/>
          <w:sz w:val="24"/>
          <w:szCs w:val="24"/>
          <w:lang w:eastAsia="en-GB"/>
        </w:rPr>
        <w:t xml:space="preserve">[H10] </w:t>
      </w:r>
      <w:r w:rsidR="004258F1" w:rsidRPr="00EC6A08">
        <w:rPr>
          <w:rFonts w:ascii="Garamond" w:eastAsia="Times New Roman" w:hAnsi="Garamond" w:cs="Times New Roman"/>
          <w:iCs/>
          <w:sz w:val="24"/>
          <w:szCs w:val="24"/>
          <w:lang w:eastAsia="en-GB"/>
        </w:rPr>
        <w:t xml:space="preserve">and the renewal of Trident </w:t>
      </w:r>
      <w:r w:rsidR="004258F1" w:rsidRPr="00EC6A08">
        <w:rPr>
          <w:rFonts w:ascii="Garamond" w:eastAsia="Times New Roman" w:hAnsi="Garamond" w:cs="Times New Roman"/>
          <w:i/>
          <w:iCs/>
          <w:sz w:val="24"/>
          <w:szCs w:val="24"/>
          <w:lang w:eastAsia="en-GB"/>
        </w:rPr>
        <w:t>[H11]</w:t>
      </w:r>
      <w:r w:rsidR="004258F1" w:rsidRPr="00EC6A08">
        <w:rPr>
          <w:rFonts w:ascii="Garamond" w:eastAsia="Times New Roman" w:hAnsi="Garamond" w:cs="Times New Roman"/>
          <w:iCs/>
          <w:sz w:val="24"/>
          <w:szCs w:val="24"/>
          <w:lang w:eastAsia="en-GB"/>
        </w:rPr>
        <w:t xml:space="preserve">. Table one demonstrates that support for Brexit within the PLP was incredibly small (only 10 publicly advocated exiting the EU), and table two demonstrated that no statistically significant </w:t>
      </w:r>
      <w:r w:rsidR="00864CBA" w:rsidRPr="00EC6A08">
        <w:rPr>
          <w:rFonts w:ascii="Garamond" w:eastAsia="Times New Roman" w:hAnsi="Garamond" w:cs="Times New Roman"/>
          <w:iCs/>
          <w:sz w:val="24"/>
          <w:szCs w:val="24"/>
          <w:lang w:eastAsia="en-GB"/>
        </w:rPr>
        <w:t xml:space="preserve">relationship </w:t>
      </w:r>
      <w:r w:rsidR="004258F1" w:rsidRPr="00EC6A08">
        <w:rPr>
          <w:rFonts w:ascii="Garamond" w:eastAsia="Times New Roman" w:hAnsi="Garamond" w:cs="Times New Roman"/>
          <w:iCs/>
          <w:sz w:val="24"/>
          <w:szCs w:val="24"/>
          <w:lang w:eastAsia="en-GB"/>
        </w:rPr>
        <w:t xml:space="preserve">existed in terms of </w:t>
      </w:r>
      <w:r w:rsidR="004258F1" w:rsidRPr="00EC6A08">
        <w:rPr>
          <w:rFonts w:ascii="Garamond" w:eastAsia="Times New Roman" w:hAnsi="Garamond" w:cs="Times New Roman"/>
          <w:iCs/>
          <w:sz w:val="24"/>
          <w:szCs w:val="24"/>
          <w:lang w:eastAsia="en-GB"/>
        </w:rPr>
        <w:lastRenderedPageBreak/>
        <w:t>this and op</w:t>
      </w:r>
      <w:r w:rsidR="00D46044" w:rsidRPr="00EC6A08">
        <w:rPr>
          <w:rFonts w:ascii="Garamond" w:eastAsia="Times New Roman" w:hAnsi="Garamond" w:cs="Times New Roman"/>
          <w:iCs/>
          <w:sz w:val="24"/>
          <w:szCs w:val="24"/>
          <w:lang w:eastAsia="en-GB"/>
        </w:rPr>
        <w:t>inion on Corbyn, meaning</w:t>
      </w:r>
      <w:r w:rsidR="004258F1" w:rsidRPr="00EC6A08">
        <w:rPr>
          <w:rFonts w:ascii="Garamond" w:eastAsia="Times New Roman" w:hAnsi="Garamond" w:cs="Times New Roman"/>
          <w:iCs/>
          <w:sz w:val="24"/>
          <w:szCs w:val="24"/>
          <w:lang w:eastAsia="en-GB"/>
        </w:rPr>
        <w:t xml:space="preserve"> </w:t>
      </w:r>
      <w:r w:rsidR="004258F1" w:rsidRPr="00EC6A08">
        <w:rPr>
          <w:rFonts w:ascii="Garamond" w:eastAsia="Times New Roman" w:hAnsi="Garamond" w:cs="Times New Roman"/>
          <w:i/>
          <w:iCs/>
          <w:sz w:val="24"/>
          <w:szCs w:val="24"/>
          <w:lang w:eastAsia="en-GB"/>
        </w:rPr>
        <w:t>[H8]</w:t>
      </w:r>
      <w:r w:rsidR="00D46044" w:rsidRPr="00EC6A08">
        <w:rPr>
          <w:rFonts w:ascii="Garamond" w:eastAsia="Times New Roman" w:hAnsi="Garamond" w:cs="Times New Roman"/>
          <w:iCs/>
          <w:sz w:val="24"/>
          <w:szCs w:val="24"/>
          <w:lang w:eastAsia="en-GB"/>
        </w:rPr>
        <w:t xml:space="preserve"> was not supported.</w:t>
      </w:r>
      <w:r w:rsidR="004258F1" w:rsidRPr="00EC6A08">
        <w:rPr>
          <w:rFonts w:ascii="Garamond" w:eastAsia="Times New Roman" w:hAnsi="Garamond" w:cs="Times New Roman"/>
          <w:iCs/>
          <w:sz w:val="24"/>
          <w:szCs w:val="24"/>
          <w:lang w:eastAsia="en-GB"/>
        </w:rPr>
        <w:t xml:space="preserve"> With regard to immigration table two demonstrated that no statistically significant rela</w:t>
      </w:r>
      <w:r w:rsidR="00D46044" w:rsidRPr="00EC6A08">
        <w:rPr>
          <w:rFonts w:ascii="Garamond" w:eastAsia="Times New Roman" w:hAnsi="Garamond" w:cs="Times New Roman"/>
          <w:iCs/>
          <w:sz w:val="24"/>
          <w:szCs w:val="24"/>
          <w:lang w:eastAsia="en-GB"/>
        </w:rPr>
        <w:t>tionship existed meaning</w:t>
      </w:r>
      <w:r w:rsidR="004258F1" w:rsidRPr="00EC6A08">
        <w:rPr>
          <w:rFonts w:ascii="Garamond" w:eastAsia="Times New Roman" w:hAnsi="Garamond" w:cs="Times New Roman"/>
          <w:iCs/>
          <w:sz w:val="24"/>
          <w:szCs w:val="24"/>
          <w:lang w:eastAsia="en-GB"/>
        </w:rPr>
        <w:t xml:space="preserve"> </w:t>
      </w:r>
      <w:r w:rsidR="004258F1" w:rsidRPr="00EC6A08">
        <w:rPr>
          <w:rFonts w:ascii="Garamond" w:eastAsia="Times New Roman" w:hAnsi="Garamond" w:cs="Times New Roman"/>
          <w:i/>
          <w:iCs/>
          <w:sz w:val="24"/>
          <w:szCs w:val="24"/>
          <w:lang w:eastAsia="en-GB"/>
        </w:rPr>
        <w:t>[H9]</w:t>
      </w:r>
      <w:r w:rsidR="00D46044" w:rsidRPr="00EC6A08">
        <w:rPr>
          <w:rFonts w:ascii="Garamond" w:eastAsia="Times New Roman" w:hAnsi="Garamond" w:cs="Times New Roman"/>
          <w:i/>
          <w:iCs/>
          <w:sz w:val="24"/>
          <w:szCs w:val="24"/>
          <w:lang w:eastAsia="en-GB"/>
        </w:rPr>
        <w:t xml:space="preserve"> </w:t>
      </w:r>
      <w:r w:rsidR="00D46044" w:rsidRPr="00EC6A08">
        <w:rPr>
          <w:rFonts w:ascii="Garamond" w:eastAsia="Times New Roman" w:hAnsi="Garamond" w:cs="Times New Roman"/>
          <w:iCs/>
          <w:sz w:val="24"/>
          <w:szCs w:val="24"/>
          <w:lang w:eastAsia="en-GB"/>
        </w:rPr>
        <w:t>was not supported</w:t>
      </w:r>
      <w:r w:rsidR="004258F1" w:rsidRPr="00EC6A08">
        <w:rPr>
          <w:rFonts w:ascii="Garamond" w:eastAsia="Times New Roman" w:hAnsi="Garamond" w:cs="Times New Roman"/>
          <w:i/>
          <w:iCs/>
          <w:sz w:val="24"/>
          <w:szCs w:val="24"/>
          <w:lang w:eastAsia="en-GB"/>
        </w:rPr>
        <w:t>.</w:t>
      </w:r>
      <w:r w:rsidR="004258F1" w:rsidRPr="00EC6A08">
        <w:rPr>
          <w:rFonts w:ascii="Garamond" w:eastAsia="Times New Roman" w:hAnsi="Garamond" w:cs="Times New Roman"/>
          <w:iCs/>
          <w:sz w:val="24"/>
          <w:szCs w:val="24"/>
          <w:lang w:eastAsia="en-GB"/>
        </w:rPr>
        <w:t xml:space="preserve"> The vast bulk of the PLP favoured an open door approach on immigration (n=169) but the distribution of opinion against Corbyn was roughly similar between those who were open door (n=135 or 79.9 percent) and those who argued controls were necessary (n=38 or 88.4 percent). With regard to military intervention in Syria only 66 members of the PLP endorsed this not one of them that did was found to back Corbyn in the confidence motion – see table one. However, it is worth noting that of those that wanted Corbyn to step down a significant number of them (n=123) did vote with him on this. Our hypotheses vis-</w:t>
      </w:r>
      <w:r w:rsidR="00D46044" w:rsidRPr="00EC6A08">
        <w:rPr>
          <w:rFonts w:ascii="Garamond" w:eastAsia="Times New Roman" w:hAnsi="Garamond" w:cs="Times New Roman"/>
          <w:iCs/>
          <w:sz w:val="24"/>
          <w:szCs w:val="24"/>
          <w:lang w:eastAsia="en-GB"/>
        </w:rPr>
        <w:t>à-vis Trident renewal was supported</w:t>
      </w:r>
      <w:r w:rsidR="004258F1" w:rsidRPr="00EC6A08">
        <w:rPr>
          <w:rFonts w:ascii="Garamond" w:eastAsia="Times New Roman" w:hAnsi="Garamond" w:cs="Times New Roman"/>
          <w:iCs/>
          <w:sz w:val="24"/>
          <w:szCs w:val="24"/>
          <w:lang w:eastAsia="en-GB"/>
        </w:rPr>
        <w:t xml:space="preserve"> [</w:t>
      </w:r>
      <w:r w:rsidR="004258F1" w:rsidRPr="00EC6A08">
        <w:rPr>
          <w:rFonts w:ascii="Garamond" w:eastAsia="Times New Roman" w:hAnsi="Garamond" w:cs="Times New Roman"/>
          <w:i/>
          <w:iCs/>
          <w:sz w:val="24"/>
          <w:szCs w:val="24"/>
          <w:lang w:eastAsia="en-GB"/>
        </w:rPr>
        <w:t>H10</w:t>
      </w:r>
      <w:r w:rsidR="004258F1" w:rsidRPr="00EC6A08">
        <w:rPr>
          <w:rFonts w:ascii="Garamond" w:eastAsia="Times New Roman" w:hAnsi="Garamond" w:cs="Times New Roman"/>
          <w:iCs/>
          <w:sz w:val="24"/>
          <w:szCs w:val="24"/>
          <w:lang w:eastAsia="en-GB"/>
        </w:rPr>
        <w:t xml:space="preserve">] – i.e. table two demonstrates that </w:t>
      </w:r>
      <w:r w:rsidR="0098258D" w:rsidRPr="00EC6A08">
        <w:rPr>
          <w:rFonts w:ascii="Garamond" w:hAnsi="Garamond"/>
          <w:sz w:val="24"/>
          <w:szCs w:val="24"/>
        </w:rPr>
        <w:t>r</w:t>
      </w:r>
      <w:r w:rsidR="00E02108" w:rsidRPr="00EC6A08">
        <w:rPr>
          <w:rFonts w:ascii="Garamond" w:hAnsi="Garamond"/>
          <w:sz w:val="24"/>
          <w:szCs w:val="24"/>
        </w:rPr>
        <w:t>elative to those who voted in favour, those who did not vote in favour, or abstained, had 1.65 higher</w:t>
      </w:r>
      <w:r w:rsidR="00E02023" w:rsidRPr="00EC6A08">
        <w:rPr>
          <w:rFonts w:ascii="Garamond" w:hAnsi="Garamond"/>
          <w:sz w:val="24"/>
          <w:szCs w:val="24"/>
        </w:rPr>
        <w:t xml:space="preserve"> log-odds of supporting Corbyn.</w:t>
      </w:r>
    </w:p>
    <w:p w14:paraId="4B5E349A" w14:textId="77777777" w:rsidR="00E02023" w:rsidRPr="00EC6A08" w:rsidRDefault="00E02023" w:rsidP="00E02023">
      <w:pPr>
        <w:spacing w:after="0" w:line="360" w:lineRule="auto"/>
        <w:jc w:val="both"/>
        <w:rPr>
          <w:rFonts w:ascii="Garamond" w:hAnsi="Garamond"/>
          <w:sz w:val="24"/>
          <w:szCs w:val="24"/>
        </w:rPr>
      </w:pPr>
    </w:p>
    <w:p w14:paraId="0B773D17" w14:textId="77777777" w:rsidR="00A6663B" w:rsidRPr="00EC6A08" w:rsidRDefault="00A6663B" w:rsidP="00A6663B">
      <w:pPr>
        <w:spacing w:after="0" w:line="360" w:lineRule="auto"/>
        <w:jc w:val="both"/>
        <w:rPr>
          <w:rFonts w:ascii="Garamond" w:hAnsi="Garamond"/>
          <w:b/>
          <w:sz w:val="24"/>
          <w:szCs w:val="24"/>
        </w:rPr>
      </w:pPr>
      <w:r w:rsidRPr="00EC6A08">
        <w:rPr>
          <w:rFonts w:ascii="Garamond" w:hAnsi="Garamond"/>
          <w:b/>
          <w:sz w:val="24"/>
          <w:szCs w:val="24"/>
        </w:rPr>
        <w:t xml:space="preserve">Analysis: Identifying Patterns of Opinion and Opposition  </w:t>
      </w:r>
    </w:p>
    <w:p w14:paraId="2AA2FA19" w14:textId="77777777" w:rsidR="004B1AD7" w:rsidRPr="00EC6A08" w:rsidRDefault="004B1AD7" w:rsidP="001D0E87">
      <w:pPr>
        <w:spacing w:after="0" w:line="480" w:lineRule="auto"/>
        <w:jc w:val="both"/>
        <w:rPr>
          <w:rFonts w:ascii="Calibri" w:hAnsi="Calibri"/>
        </w:rPr>
      </w:pPr>
    </w:p>
    <w:p w14:paraId="6A309F4A" w14:textId="12E90927" w:rsidR="00CF4A2A" w:rsidRPr="00EC6A08" w:rsidRDefault="0025590D" w:rsidP="00645705">
      <w:pPr>
        <w:spacing w:after="0" w:line="360" w:lineRule="auto"/>
        <w:jc w:val="both"/>
        <w:rPr>
          <w:rFonts w:ascii="Garamond" w:hAnsi="Garamond"/>
          <w:sz w:val="24"/>
          <w:szCs w:val="24"/>
        </w:rPr>
      </w:pPr>
      <w:r w:rsidRPr="00EC6A08">
        <w:rPr>
          <w:rFonts w:ascii="Garamond" w:hAnsi="Garamond"/>
          <w:sz w:val="24"/>
          <w:szCs w:val="24"/>
        </w:rPr>
        <w:t>Overall, o</w:t>
      </w:r>
      <w:r w:rsidR="0052471B" w:rsidRPr="00EC6A08">
        <w:rPr>
          <w:rFonts w:ascii="Garamond" w:hAnsi="Garamond"/>
          <w:sz w:val="24"/>
          <w:szCs w:val="24"/>
        </w:rPr>
        <w:t xml:space="preserve">ur </w:t>
      </w:r>
      <w:r w:rsidRPr="00EC6A08">
        <w:rPr>
          <w:rFonts w:ascii="Garamond" w:hAnsi="Garamond"/>
          <w:sz w:val="24"/>
          <w:szCs w:val="24"/>
        </w:rPr>
        <w:t>findings on opinion towards Co</w:t>
      </w:r>
      <w:r w:rsidR="00F62A51" w:rsidRPr="00EC6A08">
        <w:rPr>
          <w:rFonts w:ascii="Garamond" w:hAnsi="Garamond"/>
          <w:sz w:val="24"/>
          <w:szCs w:val="24"/>
        </w:rPr>
        <w:t>rbyn within the PLP indicate limited</w:t>
      </w:r>
      <w:r w:rsidR="00325008" w:rsidRPr="00EC6A08">
        <w:rPr>
          <w:rFonts w:ascii="Garamond" w:hAnsi="Garamond"/>
          <w:sz w:val="24"/>
          <w:szCs w:val="24"/>
        </w:rPr>
        <w:t xml:space="preserve"> evidence</w:t>
      </w:r>
      <w:r w:rsidRPr="00EC6A08">
        <w:rPr>
          <w:rFonts w:ascii="Garamond" w:hAnsi="Garamond"/>
          <w:sz w:val="24"/>
          <w:szCs w:val="24"/>
        </w:rPr>
        <w:t xml:space="preserve"> in terms of social, political or ideological patterns. Some evidence is forthcoming in terms of those who continue to </w:t>
      </w:r>
      <w:r w:rsidRPr="00EC6A08">
        <w:rPr>
          <w:rFonts w:ascii="Garamond" w:hAnsi="Garamond"/>
          <w:i/>
          <w:sz w:val="24"/>
          <w:szCs w:val="24"/>
        </w:rPr>
        <w:t>support</w:t>
      </w:r>
      <w:r w:rsidRPr="00EC6A08">
        <w:rPr>
          <w:rFonts w:ascii="Garamond" w:hAnsi="Garamond"/>
          <w:sz w:val="24"/>
          <w:szCs w:val="24"/>
        </w:rPr>
        <w:t xml:space="preserve"> Corbyn – i.e. they </w:t>
      </w:r>
      <w:r w:rsidR="00AE78B2" w:rsidRPr="00EC6A08">
        <w:rPr>
          <w:rFonts w:ascii="Garamond" w:hAnsi="Garamond" w:cs="Times New Roman"/>
          <w:sz w:val="24"/>
          <w:szCs w:val="24"/>
        </w:rPr>
        <w:t xml:space="preserve">do demonstrate some shared characteristics in the sense that </w:t>
      </w:r>
      <w:r w:rsidR="00AE78B2" w:rsidRPr="00EC6A08">
        <w:rPr>
          <w:rFonts w:ascii="Garamond" w:hAnsi="Garamond"/>
          <w:sz w:val="24"/>
          <w:szCs w:val="24"/>
        </w:rPr>
        <w:t xml:space="preserve">his parliamentary support comes from those who are older parliamentarians, who have been in Parliament since before 2010, and were anti-Trident. However, what is perhaps more interesting and significant is the </w:t>
      </w:r>
      <w:proofErr w:type="gramStart"/>
      <w:r w:rsidR="00AE78B2" w:rsidRPr="00EC6A08">
        <w:rPr>
          <w:rFonts w:ascii="Garamond" w:hAnsi="Garamond"/>
          <w:sz w:val="24"/>
          <w:szCs w:val="24"/>
        </w:rPr>
        <w:t>fact that are</w:t>
      </w:r>
      <w:proofErr w:type="gramEnd"/>
      <w:r w:rsidR="00AE78B2" w:rsidRPr="00EC6A08">
        <w:rPr>
          <w:rFonts w:ascii="Garamond" w:hAnsi="Garamond"/>
          <w:sz w:val="24"/>
          <w:szCs w:val="24"/>
        </w:rPr>
        <w:t xml:space="preserve"> few social, political and ideological background variables that </w:t>
      </w:r>
      <w:r w:rsidR="001121C2" w:rsidRPr="00EC6A08">
        <w:rPr>
          <w:rFonts w:ascii="Garamond" w:hAnsi="Garamond"/>
          <w:sz w:val="24"/>
          <w:szCs w:val="24"/>
        </w:rPr>
        <w:t xml:space="preserve">are shared by those who voted </w:t>
      </w:r>
      <w:r w:rsidR="001121C2" w:rsidRPr="00EC6A08">
        <w:rPr>
          <w:rFonts w:ascii="Garamond" w:hAnsi="Garamond"/>
          <w:i/>
          <w:sz w:val="24"/>
          <w:szCs w:val="24"/>
        </w:rPr>
        <w:t>against</w:t>
      </w:r>
      <w:r w:rsidR="001121C2" w:rsidRPr="00EC6A08">
        <w:rPr>
          <w:rFonts w:ascii="Garamond" w:hAnsi="Garamond"/>
          <w:sz w:val="24"/>
          <w:szCs w:val="24"/>
        </w:rPr>
        <w:t xml:space="preserve"> Corbyn in the confidence motion. </w:t>
      </w:r>
    </w:p>
    <w:p w14:paraId="35912BB4" w14:textId="77777777" w:rsidR="00A3072F" w:rsidRPr="00EC6A08" w:rsidRDefault="00A3072F" w:rsidP="00645705">
      <w:pPr>
        <w:spacing w:after="0" w:line="360" w:lineRule="auto"/>
        <w:jc w:val="both"/>
        <w:rPr>
          <w:rFonts w:ascii="Garamond" w:hAnsi="Garamond"/>
          <w:sz w:val="24"/>
          <w:szCs w:val="24"/>
        </w:rPr>
      </w:pPr>
    </w:p>
    <w:p w14:paraId="62B81220" w14:textId="3CC990C0" w:rsidR="00645705" w:rsidRPr="00EC6A08" w:rsidRDefault="00645705" w:rsidP="00645705">
      <w:pPr>
        <w:spacing w:after="0" w:line="360" w:lineRule="auto"/>
        <w:jc w:val="both"/>
        <w:rPr>
          <w:rFonts w:ascii="Garamond" w:hAnsi="Garamond"/>
          <w:sz w:val="24"/>
          <w:szCs w:val="24"/>
        </w:rPr>
      </w:pPr>
      <w:r w:rsidRPr="00EC6A08">
        <w:rPr>
          <w:rFonts w:ascii="Garamond" w:hAnsi="Garamond"/>
          <w:sz w:val="24"/>
          <w:szCs w:val="24"/>
        </w:rPr>
        <w:t>The accusation made by Corbyn backers is that Labour parliamentarians who have opposed him are motivated by self-interest – i.e. their personal career interests are best served by his removal and replacement</w:t>
      </w:r>
      <w:r w:rsidR="00A3072F" w:rsidRPr="00EC6A08">
        <w:rPr>
          <w:rFonts w:ascii="Garamond" w:hAnsi="Garamond"/>
          <w:sz w:val="24"/>
          <w:szCs w:val="24"/>
        </w:rPr>
        <w:t xml:space="preserve"> by a more ideological sympathetic</w:t>
      </w:r>
      <w:r w:rsidRPr="00EC6A08">
        <w:rPr>
          <w:rFonts w:ascii="Garamond" w:hAnsi="Garamond"/>
          <w:sz w:val="24"/>
          <w:szCs w:val="24"/>
        </w:rPr>
        <w:t xml:space="preserve"> leader of the party (</w:t>
      </w:r>
      <w:r w:rsidR="007347DC" w:rsidRPr="00EC6A08">
        <w:rPr>
          <w:rFonts w:ascii="Garamond" w:hAnsi="Garamond"/>
          <w:sz w:val="24"/>
          <w:szCs w:val="24"/>
        </w:rPr>
        <w:t>see</w:t>
      </w:r>
      <w:r w:rsidR="00394EC7" w:rsidRPr="00EC6A08">
        <w:rPr>
          <w:rFonts w:ascii="Garamond" w:hAnsi="Garamond"/>
          <w:sz w:val="24"/>
          <w:szCs w:val="24"/>
        </w:rPr>
        <w:t xml:space="preserve"> Seymour, 2016</w:t>
      </w:r>
      <w:r w:rsidRPr="00EC6A08">
        <w:rPr>
          <w:rFonts w:ascii="Garamond" w:hAnsi="Garamond"/>
          <w:sz w:val="24"/>
          <w:szCs w:val="24"/>
        </w:rPr>
        <w:t>).</w:t>
      </w:r>
      <w:r w:rsidR="00CF5190" w:rsidRPr="00EC6A08">
        <w:rPr>
          <w:rFonts w:ascii="Garamond" w:hAnsi="Garamond"/>
          <w:sz w:val="24"/>
          <w:szCs w:val="24"/>
        </w:rPr>
        <w:t xml:space="preserve"> If Labour parliamentarians were</w:t>
      </w:r>
      <w:r w:rsidR="00751CEB" w:rsidRPr="00EC6A08">
        <w:rPr>
          <w:rFonts w:ascii="Garamond" w:hAnsi="Garamond"/>
          <w:sz w:val="24"/>
          <w:szCs w:val="24"/>
        </w:rPr>
        <w:t xml:space="preserve"> motivated</w:t>
      </w:r>
      <w:r w:rsidR="00CF5190" w:rsidRPr="00EC6A08">
        <w:rPr>
          <w:rFonts w:ascii="Garamond" w:hAnsi="Garamond"/>
          <w:sz w:val="24"/>
          <w:szCs w:val="24"/>
        </w:rPr>
        <w:t xml:space="preserve"> solely </w:t>
      </w:r>
      <w:r w:rsidR="00751CEB" w:rsidRPr="00EC6A08">
        <w:rPr>
          <w:rFonts w:ascii="Garamond" w:hAnsi="Garamond"/>
          <w:sz w:val="24"/>
          <w:szCs w:val="24"/>
        </w:rPr>
        <w:t xml:space="preserve">by </w:t>
      </w:r>
      <w:r w:rsidR="00CF5190" w:rsidRPr="00EC6A08">
        <w:rPr>
          <w:rFonts w:ascii="Garamond" w:hAnsi="Garamond"/>
          <w:sz w:val="24"/>
          <w:szCs w:val="24"/>
        </w:rPr>
        <w:t xml:space="preserve">self-interested then they would fear losing their seat at the next General Election. Our findings do see a slightly stronger sense of urgency in terms of the need to remove Corbyn based on constituency marginality (see table one). It is indeed true that the percentage advocating his removal from the leadership is higher amongst those with constituencies with majorities under 5000, </w:t>
      </w:r>
      <w:r w:rsidR="000A39B9" w:rsidRPr="00EC6A08">
        <w:rPr>
          <w:rFonts w:ascii="Garamond" w:hAnsi="Garamond"/>
          <w:sz w:val="24"/>
          <w:szCs w:val="24"/>
        </w:rPr>
        <w:t>(at 91.9 percent, n=57 out of 62</w:t>
      </w:r>
      <w:r w:rsidR="00CF5190" w:rsidRPr="00EC6A08">
        <w:rPr>
          <w:rFonts w:ascii="Garamond" w:hAnsi="Garamond"/>
          <w:sz w:val="24"/>
          <w:szCs w:val="24"/>
        </w:rPr>
        <w:t xml:space="preserve">) than it is amongst those with safer seats in the 5001 to 10000 range </w:t>
      </w:r>
      <w:r w:rsidR="000A39B9" w:rsidRPr="00EC6A08">
        <w:rPr>
          <w:rFonts w:ascii="Garamond" w:hAnsi="Garamond"/>
          <w:sz w:val="24"/>
          <w:szCs w:val="24"/>
        </w:rPr>
        <w:t>(at 82.1 percent, n=46 out of 56</w:t>
      </w:r>
      <w:r w:rsidR="00CF5190" w:rsidRPr="00EC6A08">
        <w:rPr>
          <w:rFonts w:ascii="Garamond" w:hAnsi="Garamond"/>
          <w:sz w:val="24"/>
          <w:szCs w:val="24"/>
        </w:rPr>
        <w:t>), and that the percentage is lower still amongst those with majo</w:t>
      </w:r>
      <w:r w:rsidR="000A39B9" w:rsidRPr="00EC6A08">
        <w:rPr>
          <w:rFonts w:ascii="Garamond" w:hAnsi="Garamond"/>
          <w:sz w:val="24"/>
          <w:szCs w:val="24"/>
        </w:rPr>
        <w:t>rities over 10000 (at 77.7, n=87 out of 112</w:t>
      </w:r>
      <w:r w:rsidR="00145948" w:rsidRPr="00EC6A08">
        <w:rPr>
          <w:rFonts w:ascii="Garamond" w:hAnsi="Garamond"/>
          <w:sz w:val="24"/>
          <w:szCs w:val="24"/>
        </w:rPr>
        <w:t>). However,</w:t>
      </w:r>
      <w:r w:rsidR="00CF5190" w:rsidRPr="00EC6A08">
        <w:rPr>
          <w:rFonts w:ascii="Garamond" w:hAnsi="Garamond"/>
          <w:sz w:val="24"/>
          <w:szCs w:val="24"/>
        </w:rPr>
        <w:t xml:space="preserve"> the fact remains that even amongst the safest of </w:t>
      </w:r>
      <w:proofErr w:type="gramStart"/>
      <w:r w:rsidR="00CF5190" w:rsidRPr="00EC6A08">
        <w:rPr>
          <w:rFonts w:ascii="Garamond" w:hAnsi="Garamond"/>
          <w:sz w:val="24"/>
          <w:szCs w:val="24"/>
        </w:rPr>
        <w:t>constituencies,</w:t>
      </w:r>
      <w:proofErr w:type="gramEnd"/>
      <w:r w:rsidR="00CF5190" w:rsidRPr="00EC6A08">
        <w:rPr>
          <w:rFonts w:ascii="Garamond" w:hAnsi="Garamond"/>
          <w:sz w:val="24"/>
          <w:szCs w:val="24"/>
        </w:rPr>
        <w:t xml:space="preserve"> two thirds of Labour parliamentarians were seeking his removal from the leadership. </w:t>
      </w:r>
      <w:r w:rsidR="00751CEB" w:rsidRPr="00EC6A08">
        <w:rPr>
          <w:rFonts w:ascii="Garamond" w:hAnsi="Garamond"/>
          <w:sz w:val="24"/>
          <w:szCs w:val="24"/>
        </w:rPr>
        <w:t xml:space="preserve">If Labour </w:t>
      </w:r>
      <w:r w:rsidR="00751CEB" w:rsidRPr="00EC6A08">
        <w:rPr>
          <w:rFonts w:ascii="Garamond" w:hAnsi="Garamond"/>
          <w:sz w:val="24"/>
          <w:szCs w:val="24"/>
        </w:rPr>
        <w:lastRenderedPageBreak/>
        <w:t xml:space="preserve">parliamentarians were motivated solely </w:t>
      </w:r>
      <w:r w:rsidR="00D46044" w:rsidRPr="00EC6A08">
        <w:rPr>
          <w:rFonts w:ascii="Garamond" w:hAnsi="Garamond"/>
          <w:sz w:val="24"/>
          <w:szCs w:val="24"/>
        </w:rPr>
        <w:t>by self-interest then they might</w:t>
      </w:r>
      <w:r w:rsidR="00751CEB" w:rsidRPr="00EC6A08">
        <w:rPr>
          <w:rFonts w:ascii="Garamond" w:hAnsi="Garamond"/>
          <w:sz w:val="24"/>
          <w:szCs w:val="24"/>
        </w:rPr>
        <w:t xml:space="preserve"> fear antagonising their CLPs and increasing the possibility of deselection. </w:t>
      </w:r>
      <w:r w:rsidR="00145948" w:rsidRPr="00EC6A08">
        <w:rPr>
          <w:rFonts w:ascii="Garamond" w:hAnsi="Garamond"/>
          <w:sz w:val="24"/>
          <w:szCs w:val="24"/>
        </w:rPr>
        <w:t>However,</w:t>
      </w:r>
      <w:r w:rsidR="00394EC7" w:rsidRPr="00EC6A08">
        <w:rPr>
          <w:rFonts w:ascii="Garamond" w:hAnsi="Garamond"/>
          <w:sz w:val="24"/>
          <w:szCs w:val="24"/>
        </w:rPr>
        <w:t xml:space="preserve"> our findings on CLP endorsement and </w:t>
      </w:r>
      <w:r w:rsidR="00145948" w:rsidRPr="00EC6A08">
        <w:rPr>
          <w:rFonts w:ascii="Garamond" w:hAnsi="Garamond"/>
          <w:sz w:val="24"/>
          <w:szCs w:val="24"/>
        </w:rPr>
        <w:t xml:space="preserve">confidence motion position </w:t>
      </w:r>
      <w:r w:rsidR="00394EC7" w:rsidRPr="00EC6A08">
        <w:rPr>
          <w:rFonts w:ascii="Garamond" w:hAnsi="Garamond"/>
          <w:sz w:val="24"/>
          <w:szCs w:val="24"/>
        </w:rPr>
        <w:t xml:space="preserve">identified the following. A total of 76 CLPs publicly declared their support for Corbyn, and although in 24 of those constituencies the MP voted for Corbyn to remain, a total of 52 risked the wrath of their own members by voting against Corbyn. </w:t>
      </w:r>
    </w:p>
    <w:p w14:paraId="33870240" w14:textId="77777777" w:rsidR="00283E9B" w:rsidRPr="00EC6A08" w:rsidRDefault="00283E9B" w:rsidP="00645705">
      <w:pPr>
        <w:spacing w:after="0" w:line="360" w:lineRule="auto"/>
        <w:jc w:val="both"/>
        <w:rPr>
          <w:rFonts w:ascii="Garamond" w:hAnsi="Garamond"/>
          <w:sz w:val="24"/>
          <w:szCs w:val="24"/>
        </w:rPr>
      </w:pPr>
    </w:p>
    <w:p w14:paraId="59A90CE2" w14:textId="796BDFB4" w:rsidR="00633826" w:rsidRPr="00EC6A08" w:rsidRDefault="00D46044" w:rsidP="00D46044">
      <w:pPr>
        <w:spacing w:after="0" w:line="360" w:lineRule="auto"/>
        <w:jc w:val="both"/>
        <w:rPr>
          <w:rFonts w:ascii="Garamond" w:hAnsi="Garamond" w:cs="Times New Roman"/>
          <w:sz w:val="24"/>
          <w:szCs w:val="24"/>
        </w:rPr>
      </w:pPr>
      <w:r w:rsidRPr="00EC6A08">
        <w:rPr>
          <w:rFonts w:ascii="Garamond" w:hAnsi="Garamond"/>
          <w:sz w:val="24"/>
          <w:szCs w:val="24"/>
        </w:rPr>
        <w:t>W</w:t>
      </w:r>
      <w:r w:rsidR="00283E9B" w:rsidRPr="00EC6A08">
        <w:rPr>
          <w:rFonts w:ascii="Garamond" w:hAnsi="Garamond"/>
          <w:sz w:val="24"/>
          <w:szCs w:val="24"/>
        </w:rPr>
        <w:t>hat of the membership accusation that the PLP’s failure to back Corbyn is shape</w:t>
      </w:r>
      <w:r w:rsidR="00DA677B" w:rsidRPr="00EC6A08">
        <w:rPr>
          <w:rFonts w:ascii="Garamond" w:hAnsi="Garamond"/>
          <w:sz w:val="24"/>
          <w:szCs w:val="24"/>
        </w:rPr>
        <w:t>d by ideological considerations?</w:t>
      </w:r>
      <w:r w:rsidR="00283E9B" w:rsidRPr="00EC6A08">
        <w:rPr>
          <w:rFonts w:ascii="Garamond" w:hAnsi="Garamond"/>
          <w:sz w:val="24"/>
          <w:szCs w:val="24"/>
        </w:rPr>
        <w:t xml:space="preserve"> That critique </w:t>
      </w:r>
      <w:r w:rsidR="00283E9B" w:rsidRPr="00EC6A08">
        <w:rPr>
          <w:rFonts w:ascii="Garamond" w:hAnsi="Garamond" w:cs="Times New Roman"/>
          <w:sz w:val="24"/>
          <w:szCs w:val="24"/>
        </w:rPr>
        <w:t xml:space="preserve">suggests that an essentially centrist PLP could not accept that the more leftist membership had chosen a leader that the PLP did not ideologically approve of. </w:t>
      </w:r>
    </w:p>
    <w:p w14:paraId="15313076" w14:textId="77777777" w:rsidR="00633826" w:rsidRPr="00EC6A08" w:rsidRDefault="00633826" w:rsidP="00D46044">
      <w:pPr>
        <w:spacing w:after="0" w:line="360" w:lineRule="auto"/>
        <w:jc w:val="both"/>
        <w:rPr>
          <w:rFonts w:ascii="Garamond" w:hAnsi="Garamond" w:cs="Times New Roman"/>
          <w:sz w:val="24"/>
          <w:szCs w:val="24"/>
        </w:rPr>
      </w:pPr>
    </w:p>
    <w:p w14:paraId="30B5B441" w14:textId="1B456539" w:rsidR="001871D1" w:rsidRPr="00EC6A08" w:rsidRDefault="00633826" w:rsidP="001871D1">
      <w:pPr>
        <w:spacing w:after="0" w:line="360" w:lineRule="auto"/>
        <w:jc w:val="both"/>
        <w:rPr>
          <w:rFonts w:ascii="Garamond" w:hAnsi="Garamond" w:cs="Times New Roman"/>
          <w:sz w:val="24"/>
          <w:szCs w:val="24"/>
        </w:rPr>
      </w:pPr>
      <w:r w:rsidRPr="00EC6A08">
        <w:rPr>
          <w:rFonts w:ascii="Garamond" w:hAnsi="Garamond" w:cs="Times New Roman"/>
          <w:sz w:val="24"/>
          <w:szCs w:val="24"/>
        </w:rPr>
        <w:t>However, on this consider the following from our descriptive statistics. First, on Trident a total of 48 PLP members of the PLP opposed its renewal – i.e. agreed with Corbyn – and yet 28 of them used the confidence motion to express their view that Corbyn should step aside, and only 20 backed him. Second, 169 members of the PLP favour</w:t>
      </w:r>
      <w:r w:rsidR="00BC2BE3" w:rsidRPr="00EC6A08">
        <w:rPr>
          <w:rFonts w:ascii="Garamond" w:hAnsi="Garamond" w:cs="Times New Roman"/>
          <w:sz w:val="24"/>
          <w:szCs w:val="24"/>
        </w:rPr>
        <w:t>ed</w:t>
      </w:r>
      <w:r w:rsidRPr="00EC6A08">
        <w:rPr>
          <w:rFonts w:ascii="Garamond" w:hAnsi="Garamond" w:cs="Times New Roman"/>
          <w:sz w:val="24"/>
          <w:szCs w:val="24"/>
        </w:rPr>
        <w:t xml:space="preserve"> the position of Corbyn vis-à-vis open door immigration and only 43 have explicitly spoken of the need to impose controls, and yet Corbyn can only secure the backing of 40 members of the PLP. Third, on militarily intervening in Syria a total of 163 members of the PLP voted against this (and against the government, and agreed with Corbyn), but of those 40 indicated their wish that Corbyn remained in the leadership, and 123 expressed their feeling that they no longer had confidence in his continued leadership. It is also worth noting that the number of Labour parliamentarians in agreement with Corbyn across all three issues – i.e. against Trident renewal, opposing intervention in Syria and advocating an open door mentality vis-à-vis immigration – was 39. The diametric opposite of Corbyn across all three issues – advocating Trident renewal, making the case for intervention in Syria and arguing for immigration controls – is only 19. </w:t>
      </w:r>
      <w:r w:rsidR="005533BE" w:rsidRPr="00EC6A08">
        <w:rPr>
          <w:rFonts w:ascii="Garamond" w:hAnsi="Garamond" w:cs="Times New Roman"/>
          <w:sz w:val="24"/>
          <w:szCs w:val="24"/>
        </w:rPr>
        <w:t xml:space="preserve">The evidence of a </w:t>
      </w:r>
      <w:r w:rsidR="005533BE" w:rsidRPr="00EC6A08">
        <w:rPr>
          <w:rFonts w:ascii="Garamond" w:hAnsi="Garamond" w:cs="Times New Roman"/>
          <w:i/>
          <w:sz w:val="24"/>
          <w:szCs w:val="24"/>
        </w:rPr>
        <w:t>cohesive</w:t>
      </w:r>
      <w:r w:rsidR="005533BE" w:rsidRPr="00EC6A08">
        <w:rPr>
          <w:rFonts w:ascii="Garamond" w:hAnsi="Garamond" w:cs="Times New Roman"/>
          <w:sz w:val="24"/>
          <w:szCs w:val="24"/>
        </w:rPr>
        <w:t xml:space="preserve"> block of anti-Corbyn Labour parliamentarians in ideological terms is limited, and s</w:t>
      </w:r>
      <w:r w:rsidR="001871D1" w:rsidRPr="00EC6A08">
        <w:rPr>
          <w:rFonts w:ascii="Garamond" w:hAnsi="Garamond" w:cs="Times New Roman"/>
          <w:sz w:val="24"/>
          <w:szCs w:val="24"/>
        </w:rPr>
        <w:t>uch fi</w:t>
      </w:r>
      <w:r w:rsidR="005533BE" w:rsidRPr="00EC6A08">
        <w:rPr>
          <w:rFonts w:ascii="Garamond" w:hAnsi="Garamond" w:cs="Times New Roman"/>
          <w:sz w:val="24"/>
          <w:szCs w:val="24"/>
        </w:rPr>
        <w:t>ndings imply caution when</w:t>
      </w:r>
      <w:r w:rsidR="001871D1" w:rsidRPr="00EC6A08">
        <w:rPr>
          <w:rFonts w:ascii="Garamond" w:hAnsi="Garamond" w:cs="Times New Roman"/>
          <w:sz w:val="24"/>
          <w:szCs w:val="24"/>
        </w:rPr>
        <w:t xml:space="preserve"> claiming that an ideological plot was the driver of the attempts within the PLP to unseat Corbyn. </w:t>
      </w:r>
    </w:p>
    <w:p w14:paraId="4762B948" w14:textId="77777777" w:rsidR="00F52B5B" w:rsidRPr="00EC6A08" w:rsidRDefault="00F52B5B" w:rsidP="00D46044">
      <w:pPr>
        <w:spacing w:after="0" w:line="360" w:lineRule="auto"/>
        <w:jc w:val="both"/>
        <w:rPr>
          <w:rFonts w:ascii="Garamond" w:hAnsi="Garamond" w:cs="Times New Roman"/>
          <w:sz w:val="24"/>
          <w:szCs w:val="24"/>
        </w:rPr>
      </w:pPr>
    </w:p>
    <w:p w14:paraId="3473AF38" w14:textId="2E106D9C" w:rsidR="00936525" w:rsidRPr="00EC6A08" w:rsidRDefault="00F62A51" w:rsidP="00936525">
      <w:pPr>
        <w:spacing w:after="0" w:line="360" w:lineRule="auto"/>
        <w:jc w:val="both"/>
        <w:rPr>
          <w:rFonts w:ascii="Garamond" w:hAnsi="Garamond"/>
          <w:sz w:val="24"/>
          <w:szCs w:val="24"/>
        </w:rPr>
      </w:pPr>
      <w:r w:rsidRPr="00EC6A08">
        <w:rPr>
          <w:rFonts w:ascii="Garamond" w:hAnsi="Garamond"/>
          <w:sz w:val="24"/>
          <w:szCs w:val="24"/>
        </w:rPr>
        <w:t>Table 3</w:t>
      </w:r>
      <w:r w:rsidR="00936525" w:rsidRPr="00EC6A08">
        <w:rPr>
          <w:rFonts w:ascii="Garamond" w:hAnsi="Garamond"/>
          <w:sz w:val="24"/>
          <w:szCs w:val="24"/>
        </w:rPr>
        <w:t xml:space="preserve">: Patterns of Opinion and Opposition to Corbyn within the PLP: Voting according to the Loyalty List in relation to Ideological Considerations </w:t>
      </w:r>
    </w:p>
    <w:p w14:paraId="5515D1B5" w14:textId="77777777" w:rsidR="00936525" w:rsidRPr="00EC6A08" w:rsidRDefault="00936525" w:rsidP="00936525">
      <w:pPr>
        <w:spacing w:after="0" w:line="360" w:lineRule="auto"/>
        <w:jc w:val="both"/>
        <w:rPr>
          <w:rFonts w:ascii="Garamond" w:hAnsi="Garamond"/>
          <w:sz w:val="24"/>
          <w:szCs w:val="24"/>
        </w:rPr>
      </w:pPr>
    </w:p>
    <w:tbl>
      <w:tblPr>
        <w:tblStyle w:val="TableGrid"/>
        <w:tblW w:w="11482" w:type="dxa"/>
        <w:tblInd w:w="-1139" w:type="dxa"/>
        <w:tblLayout w:type="fixed"/>
        <w:tblLook w:val="04A0" w:firstRow="1" w:lastRow="0" w:firstColumn="1" w:lastColumn="0" w:noHBand="0" w:noVBand="1"/>
      </w:tblPr>
      <w:tblGrid>
        <w:gridCol w:w="1276"/>
        <w:gridCol w:w="709"/>
        <w:gridCol w:w="2693"/>
        <w:gridCol w:w="2693"/>
        <w:gridCol w:w="2552"/>
        <w:gridCol w:w="1559"/>
      </w:tblGrid>
      <w:tr w:rsidR="00EC6A08" w:rsidRPr="00EC6A08" w14:paraId="0DACCDB0" w14:textId="77777777" w:rsidTr="00F62A51">
        <w:tc>
          <w:tcPr>
            <w:tcW w:w="1276" w:type="dxa"/>
          </w:tcPr>
          <w:p w14:paraId="411AFFD8" w14:textId="77777777" w:rsidR="00936525" w:rsidRPr="00EC6A08" w:rsidRDefault="00936525" w:rsidP="00F62A51">
            <w:pPr>
              <w:spacing w:line="360" w:lineRule="auto"/>
              <w:rPr>
                <w:rFonts w:ascii="Garamond" w:hAnsi="Garamond"/>
              </w:rPr>
            </w:pPr>
            <w:r w:rsidRPr="00EC6A08">
              <w:rPr>
                <w:rFonts w:ascii="Garamond" w:hAnsi="Garamond"/>
              </w:rPr>
              <w:t>Loyalty List Position</w:t>
            </w:r>
          </w:p>
        </w:tc>
        <w:tc>
          <w:tcPr>
            <w:tcW w:w="709" w:type="dxa"/>
          </w:tcPr>
          <w:p w14:paraId="43D5DB4F" w14:textId="77777777" w:rsidR="00936525" w:rsidRPr="00EC6A08" w:rsidRDefault="00936525" w:rsidP="00F62A51">
            <w:pPr>
              <w:spacing w:line="360" w:lineRule="auto"/>
              <w:jc w:val="both"/>
              <w:rPr>
                <w:rFonts w:ascii="Garamond" w:hAnsi="Garamond"/>
              </w:rPr>
            </w:pPr>
            <w:r w:rsidRPr="00EC6A08">
              <w:rPr>
                <w:rFonts w:ascii="Garamond" w:hAnsi="Garamond"/>
              </w:rPr>
              <w:t>N=</w:t>
            </w:r>
          </w:p>
          <w:p w14:paraId="7E4B375E" w14:textId="77777777" w:rsidR="00936525" w:rsidRPr="00EC6A08" w:rsidRDefault="00936525" w:rsidP="00F62A51">
            <w:pPr>
              <w:spacing w:line="360" w:lineRule="auto"/>
              <w:jc w:val="both"/>
              <w:rPr>
                <w:rFonts w:ascii="Garamond" w:hAnsi="Garamond"/>
              </w:rPr>
            </w:pPr>
          </w:p>
        </w:tc>
        <w:tc>
          <w:tcPr>
            <w:tcW w:w="2693" w:type="dxa"/>
          </w:tcPr>
          <w:p w14:paraId="269810E7" w14:textId="77777777" w:rsidR="00936525" w:rsidRPr="00EC6A08" w:rsidRDefault="00936525" w:rsidP="00F62A51">
            <w:pPr>
              <w:spacing w:line="360" w:lineRule="auto"/>
              <w:jc w:val="center"/>
              <w:rPr>
                <w:rFonts w:ascii="Garamond" w:hAnsi="Garamond"/>
              </w:rPr>
            </w:pPr>
            <w:r w:rsidRPr="00EC6A08">
              <w:rPr>
                <w:rFonts w:ascii="Garamond" w:hAnsi="Garamond"/>
              </w:rPr>
              <w:t>Immigration</w:t>
            </w:r>
          </w:p>
          <w:p w14:paraId="32CD3C38" w14:textId="77777777" w:rsidR="00936525" w:rsidRPr="00EC6A08" w:rsidRDefault="00936525" w:rsidP="00F62A51">
            <w:pPr>
              <w:spacing w:line="360" w:lineRule="auto"/>
              <w:jc w:val="both"/>
              <w:rPr>
                <w:rFonts w:ascii="Garamond" w:hAnsi="Garamond"/>
              </w:rPr>
            </w:pPr>
            <w:r w:rsidRPr="00EC6A08">
              <w:rPr>
                <w:rFonts w:ascii="Garamond" w:hAnsi="Garamond"/>
              </w:rPr>
              <w:t xml:space="preserve">Open </w:t>
            </w:r>
          </w:p>
          <w:p w14:paraId="068C0312" w14:textId="77777777" w:rsidR="00936525" w:rsidRPr="00EC6A08" w:rsidRDefault="00936525" w:rsidP="00F62A51">
            <w:pPr>
              <w:spacing w:line="360" w:lineRule="auto"/>
              <w:jc w:val="both"/>
              <w:rPr>
                <w:rFonts w:ascii="Garamond" w:hAnsi="Garamond"/>
              </w:rPr>
            </w:pPr>
            <w:r w:rsidRPr="00EC6A08">
              <w:rPr>
                <w:rFonts w:ascii="Garamond" w:hAnsi="Garamond"/>
              </w:rPr>
              <w:lastRenderedPageBreak/>
              <w:t>Door       Neutral      Controls</w:t>
            </w:r>
          </w:p>
        </w:tc>
        <w:tc>
          <w:tcPr>
            <w:tcW w:w="2693" w:type="dxa"/>
          </w:tcPr>
          <w:p w14:paraId="445E6B08" w14:textId="77777777" w:rsidR="00936525" w:rsidRPr="00EC6A08" w:rsidRDefault="00936525" w:rsidP="00F62A51">
            <w:pPr>
              <w:spacing w:line="360" w:lineRule="auto"/>
              <w:jc w:val="center"/>
              <w:rPr>
                <w:rFonts w:ascii="Garamond" w:hAnsi="Garamond"/>
              </w:rPr>
            </w:pPr>
            <w:r w:rsidRPr="00EC6A08">
              <w:rPr>
                <w:rFonts w:ascii="Garamond" w:hAnsi="Garamond"/>
              </w:rPr>
              <w:lastRenderedPageBreak/>
              <w:t>Syrian Intervention</w:t>
            </w:r>
          </w:p>
          <w:p w14:paraId="753CF329" w14:textId="77777777" w:rsidR="00936525" w:rsidRPr="00EC6A08" w:rsidRDefault="00936525" w:rsidP="00F62A51">
            <w:pPr>
              <w:spacing w:line="360" w:lineRule="auto"/>
              <w:rPr>
                <w:rFonts w:ascii="Garamond" w:hAnsi="Garamond"/>
              </w:rPr>
            </w:pPr>
          </w:p>
          <w:p w14:paraId="3E496341" w14:textId="77777777" w:rsidR="00936525" w:rsidRPr="00EC6A08" w:rsidRDefault="00936525" w:rsidP="00F62A51">
            <w:pPr>
              <w:spacing w:line="360" w:lineRule="auto"/>
              <w:rPr>
                <w:rFonts w:ascii="Garamond" w:hAnsi="Garamond"/>
              </w:rPr>
            </w:pPr>
            <w:r w:rsidRPr="00EC6A08">
              <w:rPr>
                <w:rFonts w:ascii="Garamond" w:hAnsi="Garamond"/>
              </w:rPr>
              <w:lastRenderedPageBreak/>
              <w:t>Oppose   Neutral     Support</w:t>
            </w:r>
          </w:p>
        </w:tc>
        <w:tc>
          <w:tcPr>
            <w:tcW w:w="2552" w:type="dxa"/>
          </w:tcPr>
          <w:p w14:paraId="20719C17" w14:textId="77777777" w:rsidR="00936525" w:rsidRPr="00EC6A08" w:rsidRDefault="00936525" w:rsidP="00F62A51">
            <w:pPr>
              <w:spacing w:line="360" w:lineRule="auto"/>
              <w:jc w:val="center"/>
              <w:rPr>
                <w:rFonts w:ascii="Garamond" w:hAnsi="Garamond"/>
              </w:rPr>
            </w:pPr>
            <w:r w:rsidRPr="00EC6A08">
              <w:rPr>
                <w:rFonts w:ascii="Garamond" w:hAnsi="Garamond"/>
              </w:rPr>
              <w:lastRenderedPageBreak/>
              <w:t>Trident Renewal</w:t>
            </w:r>
          </w:p>
          <w:p w14:paraId="417DF247" w14:textId="77777777" w:rsidR="00936525" w:rsidRPr="00EC6A08" w:rsidRDefault="00936525" w:rsidP="00F62A51">
            <w:pPr>
              <w:spacing w:line="360" w:lineRule="auto"/>
              <w:rPr>
                <w:rFonts w:ascii="Garamond" w:hAnsi="Garamond"/>
              </w:rPr>
            </w:pPr>
          </w:p>
          <w:p w14:paraId="17C4520E" w14:textId="77777777" w:rsidR="00936525" w:rsidRPr="00EC6A08" w:rsidRDefault="00936525" w:rsidP="00F62A51">
            <w:pPr>
              <w:spacing w:line="360" w:lineRule="auto"/>
              <w:rPr>
                <w:rFonts w:ascii="Garamond" w:hAnsi="Garamond"/>
              </w:rPr>
            </w:pPr>
            <w:r w:rsidRPr="00EC6A08">
              <w:rPr>
                <w:rFonts w:ascii="Garamond" w:hAnsi="Garamond"/>
              </w:rPr>
              <w:lastRenderedPageBreak/>
              <w:t>Oppose Neutral    Support</w:t>
            </w:r>
          </w:p>
        </w:tc>
        <w:tc>
          <w:tcPr>
            <w:tcW w:w="1559" w:type="dxa"/>
          </w:tcPr>
          <w:p w14:paraId="618CA8C4" w14:textId="77777777" w:rsidR="00936525" w:rsidRPr="00EC6A08" w:rsidRDefault="00936525" w:rsidP="00F62A51">
            <w:pPr>
              <w:spacing w:line="360" w:lineRule="auto"/>
              <w:jc w:val="center"/>
              <w:rPr>
                <w:rFonts w:ascii="Garamond" w:hAnsi="Garamond"/>
              </w:rPr>
            </w:pPr>
            <w:r w:rsidRPr="00EC6A08">
              <w:rPr>
                <w:rFonts w:ascii="Garamond" w:hAnsi="Garamond"/>
              </w:rPr>
              <w:lastRenderedPageBreak/>
              <w:t>Confidence</w:t>
            </w:r>
          </w:p>
          <w:p w14:paraId="6C33648E" w14:textId="77777777" w:rsidR="00936525" w:rsidRPr="00EC6A08" w:rsidRDefault="00936525" w:rsidP="00F62A51">
            <w:pPr>
              <w:spacing w:line="360" w:lineRule="auto"/>
              <w:rPr>
                <w:rFonts w:ascii="Garamond" w:hAnsi="Garamond"/>
              </w:rPr>
            </w:pPr>
          </w:p>
          <w:p w14:paraId="0AA5975F" w14:textId="77777777" w:rsidR="00936525" w:rsidRPr="00EC6A08" w:rsidRDefault="00936525" w:rsidP="00F62A51">
            <w:pPr>
              <w:spacing w:line="360" w:lineRule="auto"/>
              <w:rPr>
                <w:rFonts w:ascii="Garamond" w:hAnsi="Garamond"/>
              </w:rPr>
            </w:pPr>
            <w:r w:rsidRPr="00EC6A08">
              <w:rPr>
                <w:rFonts w:ascii="Garamond" w:hAnsi="Garamond"/>
              </w:rPr>
              <w:lastRenderedPageBreak/>
              <w:t>No            Yes</w:t>
            </w:r>
          </w:p>
        </w:tc>
      </w:tr>
      <w:tr w:rsidR="00EC6A08" w:rsidRPr="00EC6A08" w14:paraId="48B9BAD3" w14:textId="77777777" w:rsidTr="00F62A51">
        <w:tc>
          <w:tcPr>
            <w:tcW w:w="1276" w:type="dxa"/>
          </w:tcPr>
          <w:p w14:paraId="395B98ED" w14:textId="77777777" w:rsidR="00936525" w:rsidRPr="00EC6A08" w:rsidRDefault="00936525" w:rsidP="00F62A51">
            <w:pPr>
              <w:spacing w:line="360" w:lineRule="auto"/>
              <w:jc w:val="both"/>
              <w:rPr>
                <w:rFonts w:ascii="Garamond" w:hAnsi="Garamond"/>
              </w:rPr>
            </w:pPr>
            <w:r w:rsidRPr="00EC6A08">
              <w:rPr>
                <w:rFonts w:ascii="Garamond" w:hAnsi="Garamond"/>
              </w:rPr>
              <w:lastRenderedPageBreak/>
              <w:t xml:space="preserve">Loyal </w:t>
            </w:r>
          </w:p>
        </w:tc>
        <w:tc>
          <w:tcPr>
            <w:tcW w:w="709" w:type="dxa"/>
          </w:tcPr>
          <w:p w14:paraId="54D01B88" w14:textId="41E25E42" w:rsidR="00936525" w:rsidRPr="00EC6A08" w:rsidRDefault="00936525" w:rsidP="00F62A51">
            <w:pPr>
              <w:spacing w:line="360" w:lineRule="auto"/>
              <w:jc w:val="both"/>
              <w:rPr>
                <w:rFonts w:ascii="Garamond" w:hAnsi="Garamond"/>
              </w:rPr>
            </w:pPr>
            <w:r w:rsidRPr="00EC6A08">
              <w:rPr>
                <w:rFonts w:ascii="Garamond" w:hAnsi="Garamond"/>
              </w:rPr>
              <w:t>74</w:t>
            </w:r>
          </w:p>
        </w:tc>
        <w:tc>
          <w:tcPr>
            <w:tcW w:w="2693" w:type="dxa"/>
          </w:tcPr>
          <w:p w14:paraId="5D753864" w14:textId="4FEEEB77" w:rsidR="00936525" w:rsidRPr="00EC6A08" w:rsidRDefault="00936525" w:rsidP="00F62A51">
            <w:pPr>
              <w:spacing w:line="360" w:lineRule="auto"/>
              <w:jc w:val="both"/>
              <w:rPr>
                <w:rFonts w:ascii="Garamond" w:hAnsi="Garamond"/>
              </w:rPr>
            </w:pPr>
            <w:r w:rsidRPr="00EC6A08">
              <w:rPr>
                <w:rFonts w:ascii="Garamond" w:hAnsi="Garamond"/>
              </w:rPr>
              <w:t xml:space="preserve">     65          3               6</w:t>
            </w:r>
          </w:p>
        </w:tc>
        <w:tc>
          <w:tcPr>
            <w:tcW w:w="2693" w:type="dxa"/>
          </w:tcPr>
          <w:p w14:paraId="61A137FA" w14:textId="23F28E44" w:rsidR="00936525" w:rsidRPr="00EC6A08" w:rsidRDefault="00936525" w:rsidP="00F62A51">
            <w:pPr>
              <w:spacing w:line="360" w:lineRule="auto"/>
              <w:jc w:val="both"/>
              <w:rPr>
                <w:rFonts w:ascii="Garamond" w:hAnsi="Garamond"/>
              </w:rPr>
            </w:pPr>
            <w:r w:rsidRPr="00EC6A08">
              <w:rPr>
                <w:rFonts w:ascii="Garamond" w:hAnsi="Garamond"/>
              </w:rPr>
              <w:t xml:space="preserve">   68             0              6</w:t>
            </w:r>
          </w:p>
        </w:tc>
        <w:tc>
          <w:tcPr>
            <w:tcW w:w="2552" w:type="dxa"/>
          </w:tcPr>
          <w:p w14:paraId="6B52211D" w14:textId="0214ED8D" w:rsidR="00936525" w:rsidRPr="00EC6A08" w:rsidRDefault="00936525" w:rsidP="00F62A51">
            <w:pPr>
              <w:spacing w:line="360" w:lineRule="auto"/>
              <w:jc w:val="both"/>
              <w:rPr>
                <w:rFonts w:ascii="Garamond" w:hAnsi="Garamond"/>
              </w:rPr>
            </w:pPr>
            <w:r w:rsidRPr="00EC6A08">
              <w:rPr>
                <w:rFonts w:ascii="Garamond" w:hAnsi="Garamond"/>
              </w:rPr>
              <w:t xml:space="preserve">   24           0             50</w:t>
            </w:r>
          </w:p>
        </w:tc>
        <w:tc>
          <w:tcPr>
            <w:tcW w:w="1559" w:type="dxa"/>
          </w:tcPr>
          <w:p w14:paraId="214755F7" w14:textId="45FFD180" w:rsidR="00145948" w:rsidRPr="00EC6A08" w:rsidRDefault="00936525" w:rsidP="00F62A51">
            <w:pPr>
              <w:spacing w:line="360" w:lineRule="auto"/>
              <w:jc w:val="both"/>
              <w:rPr>
                <w:rFonts w:ascii="Garamond" w:hAnsi="Garamond"/>
              </w:rPr>
            </w:pPr>
            <w:r w:rsidRPr="00EC6A08">
              <w:rPr>
                <w:rFonts w:ascii="Garamond" w:hAnsi="Garamond"/>
              </w:rPr>
              <w:t>44              30</w:t>
            </w:r>
          </w:p>
        </w:tc>
      </w:tr>
      <w:tr w:rsidR="00EC6A08" w:rsidRPr="00EC6A08" w14:paraId="24EC173B" w14:textId="77777777" w:rsidTr="00F62A51">
        <w:tc>
          <w:tcPr>
            <w:tcW w:w="1276" w:type="dxa"/>
          </w:tcPr>
          <w:p w14:paraId="1840FF2E" w14:textId="77777777" w:rsidR="00936525" w:rsidRPr="00EC6A08" w:rsidRDefault="00936525" w:rsidP="00F62A51">
            <w:pPr>
              <w:spacing w:line="360" w:lineRule="auto"/>
              <w:jc w:val="both"/>
              <w:rPr>
                <w:rFonts w:ascii="Garamond" w:hAnsi="Garamond"/>
              </w:rPr>
            </w:pPr>
            <w:r w:rsidRPr="00EC6A08">
              <w:rPr>
                <w:rFonts w:ascii="Garamond" w:hAnsi="Garamond"/>
              </w:rPr>
              <w:t>Neutral</w:t>
            </w:r>
          </w:p>
        </w:tc>
        <w:tc>
          <w:tcPr>
            <w:tcW w:w="709" w:type="dxa"/>
          </w:tcPr>
          <w:p w14:paraId="108A48FA" w14:textId="77777777" w:rsidR="00936525" w:rsidRPr="00EC6A08" w:rsidRDefault="00936525" w:rsidP="00F62A51">
            <w:pPr>
              <w:spacing w:line="360" w:lineRule="auto"/>
              <w:jc w:val="both"/>
              <w:rPr>
                <w:rFonts w:ascii="Garamond" w:hAnsi="Garamond"/>
              </w:rPr>
            </w:pPr>
            <w:r w:rsidRPr="00EC6A08">
              <w:rPr>
                <w:rFonts w:ascii="Garamond" w:hAnsi="Garamond"/>
              </w:rPr>
              <w:t>68</w:t>
            </w:r>
          </w:p>
        </w:tc>
        <w:tc>
          <w:tcPr>
            <w:tcW w:w="2693" w:type="dxa"/>
          </w:tcPr>
          <w:p w14:paraId="241E5A51" w14:textId="77777777" w:rsidR="00936525" w:rsidRPr="00EC6A08" w:rsidRDefault="00936525" w:rsidP="00F62A51">
            <w:pPr>
              <w:spacing w:line="360" w:lineRule="auto"/>
              <w:jc w:val="both"/>
              <w:rPr>
                <w:rFonts w:ascii="Garamond" w:hAnsi="Garamond"/>
              </w:rPr>
            </w:pPr>
            <w:r w:rsidRPr="00EC6A08">
              <w:rPr>
                <w:rFonts w:ascii="Garamond" w:hAnsi="Garamond"/>
              </w:rPr>
              <w:t xml:space="preserve">    48           5              15 </w:t>
            </w:r>
          </w:p>
        </w:tc>
        <w:tc>
          <w:tcPr>
            <w:tcW w:w="2693" w:type="dxa"/>
          </w:tcPr>
          <w:p w14:paraId="3B7B9172" w14:textId="77777777" w:rsidR="00936525" w:rsidRPr="00EC6A08" w:rsidRDefault="00936525" w:rsidP="00F62A51">
            <w:pPr>
              <w:spacing w:line="360" w:lineRule="auto"/>
              <w:jc w:val="both"/>
              <w:rPr>
                <w:rFonts w:ascii="Garamond" w:hAnsi="Garamond"/>
              </w:rPr>
            </w:pPr>
            <w:r w:rsidRPr="00EC6A08">
              <w:rPr>
                <w:rFonts w:ascii="Garamond" w:hAnsi="Garamond"/>
              </w:rPr>
              <w:t xml:space="preserve">   57             0            11</w:t>
            </w:r>
          </w:p>
        </w:tc>
        <w:tc>
          <w:tcPr>
            <w:tcW w:w="2552" w:type="dxa"/>
          </w:tcPr>
          <w:p w14:paraId="0E8788DA" w14:textId="77777777" w:rsidR="00936525" w:rsidRPr="00EC6A08" w:rsidRDefault="00936525" w:rsidP="00F62A51">
            <w:pPr>
              <w:spacing w:line="360" w:lineRule="auto"/>
              <w:jc w:val="both"/>
              <w:rPr>
                <w:rFonts w:ascii="Garamond" w:hAnsi="Garamond"/>
              </w:rPr>
            </w:pPr>
            <w:r w:rsidRPr="00EC6A08">
              <w:rPr>
                <w:rFonts w:ascii="Garamond" w:hAnsi="Garamond"/>
              </w:rPr>
              <w:t xml:space="preserve">   14            0            54</w:t>
            </w:r>
          </w:p>
        </w:tc>
        <w:tc>
          <w:tcPr>
            <w:tcW w:w="1559" w:type="dxa"/>
          </w:tcPr>
          <w:p w14:paraId="0099BCC9" w14:textId="77777777" w:rsidR="00936525" w:rsidRPr="00EC6A08" w:rsidRDefault="00936525" w:rsidP="00F62A51">
            <w:pPr>
              <w:spacing w:line="360" w:lineRule="auto"/>
              <w:jc w:val="both"/>
              <w:rPr>
                <w:rFonts w:ascii="Garamond" w:hAnsi="Garamond"/>
              </w:rPr>
            </w:pPr>
            <w:r w:rsidRPr="00EC6A08">
              <w:rPr>
                <w:rFonts w:ascii="Garamond" w:hAnsi="Garamond"/>
              </w:rPr>
              <w:t>61               7</w:t>
            </w:r>
          </w:p>
        </w:tc>
      </w:tr>
      <w:tr w:rsidR="00EC6A08" w:rsidRPr="00EC6A08" w14:paraId="260C6A3A" w14:textId="77777777" w:rsidTr="00F62A51">
        <w:tc>
          <w:tcPr>
            <w:tcW w:w="1276" w:type="dxa"/>
          </w:tcPr>
          <w:p w14:paraId="18CF2DB3" w14:textId="29ED9DF1" w:rsidR="00936525" w:rsidRPr="00EC6A08" w:rsidRDefault="00936525" w:rsidP="00F62A51">
            <w:pPr>
              <w:spacing w:line="360" w:lineRule="auto"/>
              <w:jc w:val="both"/>
              <w:rPr>
                <w:rFonts w:ascii="Garamond" w:hAnsi="Garamond"/>
              </w:rPr>
            </w:pPr>
            <w:r w:rsidRPr="00EC6A08">
              <w:rPr>
                <w:rFonts w:ascii="Garamond" w:hAnsi="Garamond"/>
              </w:rPr>
              <w:t xml:space="preserve">Hostile </w:t>
            </w:r>
          </w:p>
        </w:tc>
        <w:tc>
          <w:tcPr>
            <w:tcW w:w="709" w:type="dxa"/>
          </w:tcPr>
          <w:p w14:paraId="372E31BE" w14:textId="16152588" w:rsidR="00936525" w:rsidRPr="00EC6A08" w:rsidRDefault="00936525" w:rsidP="00F62A51">
            <w:pPr>
              <w:spacing w:line="360" w:lineRule="auto"/>
              <w:jc w:val="both"/>
              <w:rPr>
                <w:rFonts w:ascii="Garamond" w:hAnsi="Garamond"/>
              </w:rPr>
            </w:pPr>
            <w:r w:rsidRPr="00EC6A08">
              <w:rPr>
                <w:rFonts w:ascii="Garamond" w:hAnsi="Garamond"/>
              </w:rPr>
              <w:t>79</w:t>
            </w:r>
          </w:p>
        </w:tc>
        <w:tc>
          <w:tcPr>
            <w:tcW w:w="2693" w:type="dxa"/>
          </w:tcPr>
          <w:p w14:paraId="2B841785" w14:textId="519A5CF9" w:rsidR="00936525" w:rsidRPr="00EC6A08" w:rsidRDefault="00936525" w:rsidP="00F62A51">
            <w:pPr>
              <w:spacing w:line="360" w:lineRule="auto"/>
              <w:jc w:val="both"/>
              <w:rPr>
                <w:rFonts w:ascii="Garamond" w:hAnsi="Garamond"/>
              </w:rPr>
            </w:pPr>
            <w:r w:rsidRPr="00EC6A08">
              <w:rPr>
                <w:rFonts w:ascii="Garamond" w:hAnsi="Garamond"/>
              </w:rPr>
              <w:t xml:space="preserve">    48           9              22</w:t>
            </w:r>
          </w:p>
        </w:tc>
        <w:tc>
          <w:tcPr>
            <w:tcW w:w="2693" w:type="dxa"/>
          </w:tcPr>
          <w:p w14:paraId="79826043" w14:textId="516DDE0D" w:rsidR="00936525" w:rsidRPr="00EC6A08" w:rsidRDefault="00936525" w:rsidP="00F62A51">
            <w:pPr>
              <w:spacing w:line="360" w:lineRule="auto"/>
              <w:jc w:val="both"/>
              <w:rPr>
                <w:rFonts w:ascii="Garamond" w:hAnsi="Garamond"/>
              </w:rPr>
            </w:pPr>
            <w:r w:rsidRPr="00EC6A08">
              <w:rPr>
                <w:rFonts w:ascii="Garamond" w:hAnsi="Garamond"/>
              </w:rPr>
              <w:t xml:space="preserve">   32             1            46</w:t>
            </w:r>
          </w:p>
        </w:tc>
        <w:tc>
          <w:tcPr>
            <w:tcW w:w="2552" w:type="dxa"/>
          </w:tcPr>
          <w:p w14:paraId="1383CAF4" w14:textId="7AFBD9E1" w:rsidR="00936525" w:rsidRPr="00EC6A08" w:rsidRDefault="00936525" w:rsidP="00F62A51">
            <w:pPr>
              <w:spacing w:line="360" w:lineRule="auto"/>
              <w:jc w:val="both"/>
              <w:rPr>
                <w:rFonts w:ascii="Garamond" w:hAnsi="Garamond"/>
              </w:rPr>
            </w:pPr>
            <w:r w:rsidRPr="00EC6A08">
              <w:rPr>
                <w:rFonts w:ascii="Garamond" w:hAnsi="Garamond"/>
              </w:rPr>
              <w:t xml:space="preserve">     8            0            71</w:t>
            </w:r>
          </w:p>
        </w:tc>
        <w:tc>
          <w:tcPr>
            <w:tcW w:w="1559" w:type="dxa"/>
          </w:tcPr>
          <w:p w14:paraId="5C077B27" w14:textId="5C2B0F6E" w:rsidR="00936525" w:rsidRPr="00EC6A08" w:rsidRDefault="00936525" w:rsidP="00F62A51">
            <w:pPr>
              <w:spacing w:line="360" w:lineRule="auto"/>
              <w:jc w:val="both"/>
              <w:rPr>
                <w:rFonts w:ascii="Garamond" w:hAnsi="Garamond"/>
              </w:rPr>
            </w:pPr>
            <w:r w:rsidRPr="00EC6A08">
              <w:rPr>
                <w:rFonts w:ascii="Garamond" w:hAnsi="Garamond"/>
              </w:rPr>
              <w:t>78               1</w:t>
            </w:r>
          </w:p>
        </w:tc>
      </w:tr>
      <w:tr w:rsidR="00EC6A08" w:rsidRPr="00EC6A08" w14:paraId="2E6BD61D" w14:textId="77777777" w:rsidTr="00F62A51">
        <w:tc>
          <w:tcPr>
            <w:tcW w:w="1276" w:type="dxa"/>
          </w:tcPr>
          <w:p w14:paraId="4553EB7E" w14:textId="77777777" w:rsidR="00936525" w:rsidRPr="00EC6A08" w:rsidRDefault="00936525" w:rsidP="00F62A51">
            <w:pPr>
              <w:spacing w:line="360" w:lineRule="auto"/>
              <w:jc w:val="both"/>
              <w:rPr>
                <w:rFonts w:ascii="Garamond" w:hAnsi="Garamond"/>
              </w:rPr>
            </w:pPr>
            <w:r w:rsidRPr="00EC6A08">
              <w:rPr>
                <w:rFonts w:ascii="Garamond" w:hAnsi="Garamond"/>
              </w:rPr>
              <w:t xml:space="preserve">Not placed </w:t>
            </w:r>
          </w:p>
        </w:tc>
        <w:tc>
          <w:tcPr>
            <w:tcW w:w="709" w:type="dxa"/>
          </w:tcPr>
          <w:p w14:paraId="3F7E11FF" w14:textId="77777777" w:rsidR="00936525" w:rsidRPr="00EC6A08" w:rsidRDefault="00936525" w:rsidP="00F62A51">
            <w:pPr>
              <w:spacing w:line="360" w:lineRule="auto"/>
              <w:jc w:val="both"/>
              <w:rPr>
                <w:rFonts w:ascii="Garamond" w:hAnsi="Garamond"/>
              </w:rPr>
            </w:pPr>
            <w:r w:rsidRPr="00EC6A08">
              <w:rPr>
                <w:rFonts w:ascii="Garamond" w:hAnsi="Garamond"/>
              </w:rPr>
              <w:t>9</w:t>
            </w:r>
          </w:p>
        </w:tc>
        <w:tc>
          <w:tcPr>
            <w:tcW w:w="2693" w:type="dxa"/>
          </w:tcPr>
          <w:p w14:paraId="62853994" w14:textId="77777777" w:rsidR="00936525" w:rsidRPr="00EC6A08" w:rsidRDefault="00936525" w:rsidP="00F62A51">
            <w:pPr>
              <w:spacing w:line="360" w:lineRule="auto"/>
              <w:jc w:val="both"/>
              <w:rPr>
                <w:rFonts w:ascii="Garamond" w:hAnsi="Garamond"/>
              </w:rPr>
            </w:pPr>
            <w:r w:rsidRPr="00EC6A08">
              <w:rPr>
                <w:rFonts w:ascii="Garamond" w:hAnsi="Garamond"/>
              </w:rPr>
              <w:t xml:space="preserve">     8            1               0</w:t>
            </w:r>
          </w:p>
        </w:tc>
        <w:tc>
          <w:tcPr>
            <w:tcW w:w="2693" w:type="dxa"/>
          </w:tcPr>
          <w:p w14:paraId="2BFEC9B8" w14:textId="77777777" w:rsidR="00936525" w:rsidRPr="00EC6A08" w:rsidRDefault="00936525" w:rsidP="00F62A51">
            <w:pPr>
              <w:spacing w:line="360" w:lineRule="auto"/>
              <w:jc w:val="both"/>
              <w:rPr>
                <w:rFonts w:ascii="Garamond" w:hAnsi="Garamond"/>
              </w:rPr>
            </w:pPr>
            <w:r w:rsidRPr="00EC6A08">
              <w:rPr>
                <w:rFonts w:ascii="Garamond" w:hAnsi="Garamond"/>
              </w:rPr>
              <w:t xml:space="preserve">    6              0             3</w:t>
            </w:r>
          </w:p>
        </w:tc>
        <w:tc>
          <w:tcPr>
            <w:tcW w:w="2552" w:type="dxa"/>
          </w:tcPr>
          <w:p w14:paraId="688D6159" w14:textId="77777777" w:rsidR="00936525" w:rsidRPr="00EC6A08" w:rsidRDefault="00936525" w:rsidP="00F62A51">
            <w:pPr>
              <w:spacing w:line="360" w:lineRule="auto"/>
              <w:jc w:val="both"/>
              <w:rPr>
                <w:rFonts w:ascii="Garamond" w:hAnsi="Garamond"/>
              </w:rPr>
            </w:pPr>
            <w:r w:rsidRPr="00EC6A08">
              <w:rPr>
                <w:rFonts w:ascii="Garamond" w:hAnsi="Garamond"/>
              </w:rPr>
              <w:t xml:space="preserve">    2            0              7</w:t>
            </w:r>
          </w:p>
        </w:tc>
        <w:tc>
          <w:tcPr>
            <w:tcW w:w="1559" w:type="dxa"/>
          </w:tcPr>
          <w:p w14:paraId="12DC7471" w14:textId="77777777" w:rsidR="00936525" w:rsidRPr="00EC6A08" w:rsidRDefault="00936525" w:rsidP="00F62A51">
            <w:pPr>
              <w:spacing w:line="360" w:lineRule="auto"/>
              <w:jc w:val="both"/>
              <w:rPr>
                <w:rFonts w:ascii="Garamond" w:hAnsi="Garamond"/>
              </w:rPr>
            </w:pPr>
            <w:r w:rsidRPr="00EC6A08">
              <w:rPr>
                <w:rFonts w:ascii="Garamond" w:hAnsi="Garamond"/>
              </w:rPr>
              <w:t>7                 2</w:t>
            </w:r>
          </w:p>
        </w:tc>
      </w:tr>
      <w:tr w:rsidR="00EC6A08" w:rsidRPr="00EC6A08" w14:paraId="50E88DEF" w14:textId="77777777" w:rsidTr="00F62A51">
        <w:tc>
          <w:tcPr>
            <w:tcW w:w="1276" w:type="dxa"/>
          </w:tcPr>
          <w:p w14:paraId="7A01DFD0" w14:textId="77777777" w:rsidR="00936525" w:rsidRPr="00EC6A08" w:rsidRDefault="00936525" w:rsidP="00F62A51">
            <w:pPr>
              <w:spacing w:line="360" w:lineRule="auto"/>
              <w:jc w:val="both"/>
              <w:rPr>
                <w:rFonts w:ascii="Garamond" w:hAnsi="Garamond"/>
              </w:rPr>
            </w:pPr>
            <w:r w:rsidRPr="00EC6A08">
              <w:rPr>
                <w:rFonts w:ascii="Garamond" w:hAnsi="Garamond"/>
              </w:rPr>
              <w:t>N=</w:t>
            </w:r>
          </w:p>
        </w:tc>
        <w:tc>
          <w:tcPr>
            <w:tcW w:w="709" w:type="dxa"/>
          </w:tcPr>
          <w:p w14:paraId="34F42121" w14:textId="77777777" w:rsidR="00936525" w:rsidRPr="00EC6A08" w:rsidRDefault="00936525" w:rsidP="00F62A51">
            <w:pPr>
              <w:spacing w:line="360" w:lineRule="auto"/>
              <w:jc w:val="both"/>
              <w:rPr>
                <w:rFonts w:ascii="Garamond" w:hAnsi="Garamond"/>
              </w:rPr>
            </w:pPr>
            <w:r w:rsidRPr="00EC6A08">
              <w:rPr>
                <w:rFonts w:ascii="Garamond" w:hAnsi="Garamond"/>
              </w:rPr>
              <w:t>230</w:t>
            </w:r>
          </w:p>
        </w:tc>
        <w:tc>
          <w:tcPr>
            <w:tcW w:w="2693" w:type="dxa"/>
          </w:tcPr>
          <w:p w14:paraId="14A7BE7D" w14:textId="77777777" w:rsidR="00936525" w:rsidRPr="00EC6A08" w:rsidRDefault="00936525" w:rsidP="00F62A51">
            <w:pPr>
              <w:spacing w:line="360" w:lineRule="auto"/>
              <w:jc w:val="both"/>
              <w:rPr>
                <w:rFonts w:ascii="Garamond" w:hAnsi="Garamond"/>
              </w:rPr>
            </w:pPr>
            <w:r w:rsidRPr="00EC6A08">
              <w:rPr>
                <w:rFonts w:ascii="Garamond" w:hAnsi="Garamond"/>
              </w:rPr>
              <w:t xml:space="preserve">  169          18             43</w:t>
            </w:r>
          </w:p>
        </w:tc>
        <w:tc>
          <w:tcPr>
            <w:tcW w:w="2693" w:type="dxa"/>
          </w:tcPr>
          <w:p w14:paraId="0243908A" w14:textId="77777777" w:rsidR="00936525" w:rsidRPr="00EC6A08" w:rsidRDefault="00936525" w:rsidP="00F62A51">
            <w:pPr>
              <w:spacing w:line="360" w:lineRule="auto"/>
              <w:jc w:val="both"/>
              <w:rPr>
                <w:rFonts w:ascii="Garamond" w:hAnsi="Garamond"/>
              </w:rPr>
            </w:pPr>
            <w:r w:rsidRPr="00EC6A08">
              <w:rPr>
                <w:rFonts w:ascii="Garamond" w:hAnsi="Garamond"/>
              </w:rPr>
              <w:t xml:space="preserve">  163            1             66</w:t>
            </w:r>
          </w:p>
        </w:tc>
        <w:tc>
          <w:tcPr>
            <w:tcW w:w="2552" w:type="dxa"/>
          </w:tcPr>
          <w:p w14:paraId="750CAA6A" w14:textId="77777777" w:rsidR="00936525" w:rsidRPr="00EC6A08" w:rsidRDefault="00936525" w:rsidP="00F62A51">
            <w:pPr>
              <w:spacing w:line="360" w:lineRule="auto"/>
              <w:jc w:val="both"/>
              <w:rPr>
                <w:rFonts w:ascii="Garamond" w:hAnsi="Garamond"/>
              </w:rPr>
            </w:pPr>
            <w:r w:rsidRPr="00EC6A08">
              <w:rPr>
                <w:rFonts w:ascii="Garamond" w:hAnsi="Garamond"/>
              </w:rPr>
              <w:t xml:space="preserve">  48            0           182</w:t>
            </w:r>
          </w:p>
        </w:tc>
        <w:tc>
          <w:tcPr>
            <w:tcW w:w="1559" w:type="dxa"/>
          </w:tcPr>
          <w:p w14:paraId="01F28BC4" w14:textId="77777777" w:rsidR="00936525" w:rsidRPr="00EC6A08" w:rsidRDefault="00936525" w:rsidP="00F62A51">
            <w:pPr>
              <w:spacing w:line="360" w:lineRule="auto"/>
              <w:jc w:val="both"/>
              <w:rPr>
                <w:rFonts w:ascii="Garamond" w:hAnsi="Garamond"/>
              </w:rPr>
            </w:pPr>
            <w:r w:rsidRPr="00EC6A08">
              <w:rPr>
                <w:rFonts w:ascii="Garamond" w:hAnsi="Garamond"/>
              </w:rPr>
              <w:t>170            40</w:t>
            </w:r>
          </w:p>
        </w:tc>
      </w:tr>
    </w:tbl>
    <w:p w14:paraId="4A569420" w14:textId="77777777" w:rsidR="00F52B5B" w:rsidRPr="00EC6A08" w:rsidRDefault="00F52B5B" w:rsidP="00936525">
      <w:pPr>
        <w:spacing w:after="0" w:line="360" w:lineRule="auto"/>
        <w:jc w:val="both"/>
        <w:rPr>
          <w:rFonts w:ascii="Garamond" w:hAnsi="Garamond" w:cs="Times New Roman"/>
          <w:b/>
          <w:sz w:val="24"/>
          <w:szCs w:val="24"/>
        </w:rPr>
      </w:pPr>
    </w:p>
    <w:p w14:paraId="4578A49A" w14:textId="77777777" w:rsidR="008A220F" w:rsidRPr="00EC6A08" w:rsidRDefault="008A220F" w:rsidP="00936525">
      <w:pPr>
        <w:spacing w:after="0" w:line="360" w:lineRule="auto"/>
        <w:jc w:val="both"/>
        <w:rPr>
          <w:rFonts w:ascii="Garamond" w:hAnsi="Garamond" w:cs="Times New Roman"/>
          <w:b/>
          <w:sz w:val="24"/>
          <w:szCs w:val="24"/>
        </w:rPr>
      </w:pPr>
    </w:p>
    <w:p w14:paraId="6CB72D6D" w14:textId="404F878E" w:rsidR="00F52B5B" w:rsidRPr="00EC6A08" w:rsidRDefault="00F52B5B" w:rsidP="00F52B5B">
      <w:pPr>
        <w:spacing w:after="0" w:line="360" w:lineRule="auto"/>
        <w:jc w:val="both"/>
        <w:rPr>
          <w:rFonts w:ascii="Garamond" w:hAnsi="Garamond" w:cs="Times New Roman"/>
          <w:sz w:val="24"/>
          <w:szCs w:val="24"/>
        </w:rPr>
      </w:pPr>
      <w:r w:rsidRPr="00EC6A08">
        <w:rPr>
          <w:rFonts w:ascii="Garamond" w:hAnsi="Garamond" w:cs="Times New Roman"/>
          <w:sz w:val="24"/>
          <w:szCs w:val="24"/>
        </w:rPr>
        <w:t xml:space="preserve">When we look at those who are hostile to Corbyn on the loyalty list we acknowledge that only one from 79 of them voted for Corbyn to remain in office. Moreover, when we break it down (table three) we see that of those in the hostile group 71 advocated Trident </w:t>
      </w:r>
      <w:proofErr w:type="gramStart"/>
      <w:r w:rsidRPr="00EC6A08">
        <w:rPr>
          <w:rFonts w:ascii="Garamond" w:hAnsi="Garamond" w:cs="Times New Roman"/>
          <w:sz w:val="24"/>
          <w:szCs w:val="24"/>
        </w:rPr>
        <w:t>renewal</w:t>
      </w:r>
      <w:proofErr w:type="gramEnd"/>
      <w:r w:rsidRPr="00EC6A08">
        <w:rPr>
          <w:rFonts w:ascii="Garamond" w:hAnsi="Garamond" w:cs="Times New Roman"/>
          <w:sz w:val="24"/>
          <w:szCs w:val="24"/>
        </w:rPr>
        <w:t>, 46 of them opposed intervention in Syria, but only 22 of them advocated controls in terms of immigration. Meanwhile, of those supposedly loyal to Corbyn in the list (n=74) a total of 65 did agree with him on immigration (i.e. open door) and 68 agreed with him on Syrian intervention; but only 24 agreed with him on Trident renewal. The variance of opinion across the three ideological variables did not show clear evidence of clearly defined left and right wing factions, rather it shows a myriad or zig zagging of opinions within the PLP. When we put together the findings in table three, linking ideological disposition across the three variables of immigration, Syrian intervention and Trident renewal, it does show a propensity for those disagreeing with Corbyn to vote against him. However, it also shows that over half of those who were supposedly in the loyal grouping voted against him (44 against to 30 for)</w:t>
      </w:r>
      <w:r w:rsidR="008A220F" w:rsidRPr="00EC6A08">
        <w:rPr>
          <w:rFonts w:ascii="Garamond" w:hAnsi="Garamond" w:cs="Times New Roman"/>
          <w:sz w:val="24"/>
          <w:szCs w:val="24"/>
        </w:rPr>
        <w:t xml:space="preserve">. </w:t>
      </w:r>
      <w:r w:rsidRPr="00EC6A08">
        <w:rPr>
          <w:rFonts w:ascii="Garamond" w:hAnsi="Garamond" w:cs="Times New Roman"/>
          <w:sz w:val="24"/>
          <w:szCs w:val="24"/>
        </w:rPr>
        <w:t xml:space="preserve"> </w:t>
      </w:r>
    </w:p>
    <w:p w14:paraId="4F7B33AE" w14:textId="77777777" w:rsidR="00744832" w:rsidRPr="00EC6A08" w:rsidRDefault="00744832" w:rsidP="00D46044">
      <w:pPr>
        <w:spacing w:after="0" w:line="360" w:lineRule="auto"/>
        <w:jc w:val="both"/>
        <w:rPr>
          <w:rFonts w:ascii="Garamond" w:hAnsi="Garamond" w:cs="Times New Roman"/>
          <w:sz w:val="24"/>
          <w:szCs w:val="24"/>
        </w:rPr>
      </w:pPr>
    </w:p>
    <w:p w14:paraId="17FDF141" w14:textId="3832AB78" w:rsidR="009D073C" w:rsidRPr="00EC6A08" w:rsidRDefault="009F50F9" w:rsidP="009D073C">
      <w:pPr>
        <w:spacing w:after="0" w:line="360" w:lineRule="auto"/>
        <w:jc w:val="both"/>
        <w:rPr>
          <w:rFonts w:ascii="Garamond" w:hAnsi="Garamond" w:cs="Times New Roman"/>
          <w:b/>
          <w:sz w:val="24"/>
          <w:szCs w:val="24"/>
        </w:rPr>
      </w:pPr>
      <w:r w:rsidRPr="00EC6A08">
        <w:rPr>
          <w:rFonts w:ascii="Garamond" w:hAnsi="Garamond" w:cs="Times New Roman"/>
          <w:b/>
          <w:sz w:val="24"/>
          <w:szCs w:val="24"/>
        </w:rPr>
        <w:t>Conclusion</w:t>
      </w:r>
    </w:p>
    <w:p w14:paraId="603C5A29" w14:textId="77777777" w:rsidR="00D56CB5" w:rsidRPr="00EC6A08" w:rsidRDefault="00D56CB5" w:rsidP="009D073C">
      <w:pPr>
        <w:spacing w:after="0" w:line="360" w:lineRule="auto"/>
        <w:jc w:val="both"/>
        <w:rPr>
          <w:rFonts w:ascii="Garamond" w:hAnsi="Garamond" w:cs="Times New Roman"/>
          <w:sz w:val="24"/>
          <w:szCs w:val="24"/>
        </w:rPr>
      </w:pPr>
    </w:p>
    <w:p w14:paraId="75FD54C1" w14:textId="229778B3" w:rsidR="00A710A9" w:rsidRPr="00EC6A08" w:rsidRDefault="00C66279" w:rsidP="00A710A9">
      <w:pPr>
        <w:shd w:val="clear" w:color="auto" w:fill="FFFFFF"/>
        <w:spacing w:after="0" w:line="360" w:lineRule="auto"/>
        <w:jc w:val="both"/>
        <w:textAlignment w:val="center"/>
        <w:rPr>
          <w:rFonts w:ascii="Garamond" w:hAnsi="Garamond"/>
          <w:sz w:val="24"/>
          <w:szCs w:val="24"/>
        </w:rPr>
      </w:pPr>
      <w:r w:rsidRPr="00EC6A08">
        <w:rPr>
          <w:rFonts w:ascii="Garamond" w:hAnsi="Garamond"/>
          <w:sz w:val="24"/>
          <w:szCs w:val="24"/>
        </w:rPr>
        <w:t xml:space="preserve">This paper makes an original and distinctive contribution to the academic literature on the Labour Party and the selection(s) of Corbyn to the leadership. </w:t>
      </w:r>
      <w:r w:rsidR="00AA23CD" w:rsidRPr="00EC6A08">
        <w:rPr>
          <w:rFonts w:ascii="Garamond" w:hAnsi="Garamond"/>
          <w:sz w:val="24"/>
          <w:szCs w:val="24"/>
        </w:rPr>
        <w:t>Accounts do exist on how Corbyn was initially elected to the party leadership – see Dorey and Denh</w:t>
      </w:r>
      <w:r w:rsidR="001D628C" w:rsidRPr="00EC6A08">
        <w:rPr>
          <w:rFonts w:ascii="Garamond" w:hAnsi="Garamond"/>
          <w:sz w:val="24"/>
          <w:szCs w:val="24"/>
        </w:rPr>
        <w:t>am, 2017 and Quinn, 2017. Both imply</w:t>
      </w:r>
      <w:r w:rsidR="00A710A9" w:rsidRPr="00EC6A08">
        <w:rPr>
          <w:rFonts w:ascii="Garamond" w:hAnsi="Garamond" w:cs="Times New Roman"/>
          <w:sz w:val="24"/>
          <w:szCs w:val="24"/>
        </w:rPr>
        <w:t xml:space="preserve"> that </w:t>
      </w:r>
      <w:r w:rsidR="001D628C" w:rsidRPr="00EC6A08">
        <w:rPr>
          <w:rFonts w:ascii="Garamond" w:hAnsi="Garamond" w:cs="Times New Roman"/>
          <w:sz w:val="24"/>
          <w:szCs w:val="24"/>
        </w:rPr>
        <w:t xml:space="preserve">Corbyn’s </w:t>
      </w:r>
      <w:r w:rsidR="00A710A9" w:rsidRPr="00EC6A08">
        <w:rPr>
          <w:rFonts w:ascii="Garamond" w:hAnsi="Garamond" w:cs="Times New Roman"/>
          <w:sz w:val="24"/>
          <w:szCs w:val="24"/>
        </w:rPr>
        <w:t>success challenged the Stark criteria</w:t>
      </w:r>
      <w:r w:rsidR="001D628C" w:rsidRPr="00EC6A08">
        <w:rPr>
          <w:rFonts w:ascii="Garamond" w:hAnsi="Garamond" w:cs="Times New Roman"/>
          <w:sz w:val="24"/>
          <w:szCs w:val="24"/>
        </w:rPr>
        <w:t xml:space="preserve"> on party leadership selection</w:t>
      </w:r>
      <w:r w:rsidR="00A710A9" w:rsidRPr="00EC6A08">
        <w:rPr>
          <w:rFonts w:ascii="Garamond" w:hAnsi="Garamond" w:cs="Times New Roman"/>
          <w:sz w:val="24"/>
          <w:szCs w:val="24"/>
        </w:rPr>
        <w:t xml:space="preserve"> – </w:t>
      </w:r>
      <w:r w:rsidR="001D628C" w:rsidRPr="00EC6A08">
        <w:rPr>
          <w:rFonts w:ascii="Garamond" w:hAnsi="Garamond" w:cs="Times New Roman"/>
          <w:sz w:val="24"/>
          <w:szCs w:val="24"/>
        </w:rPr>
        <w:t xml:space="preserve">i.e. </w:t>
      </w:r>
      <w:r w:rsidR="00A710A9" w:rsidRPr="00EC6A08">
        <w:rPr>
          <w:rFonts w:ascii="Garamond" w:hAnsi="Garamond" w:cs="Times New Roman"/>
          <w:sz w:val="24"/>
          <w:szCs w:val="24"/>
        </w:rPr>
        <w:t>select the candidate who is the most ideological acceptable, most electable and most comp</w:t>
      </w:r>
      <w:r w:rsidR="001D628C" w:rsidRPr="00EC6A08">
        <w:rPr>
          <w:rFonts w:ascii="Garamond" w:hAnsi="Garamond" w:cs="Times New Roman"/>
          <w:sz w:val="24"/>
          <w:szCs w:val="24"/>
        </w:rPr>
        <w:t>etent (Stark, 1996). Rather, Corbyn’s</w:t>
      </w:r>
      <w:r w:rsidR="00A710A9" w:rsidRPr="00EC6A08">
        <w:rPr>
          <w:rFonts w:ascii="Garamond" w:hAnsi="Garamond" w:cs="Times New Roman"/>
          <w:sz w:val="24"/>
          <w:szCs w:val="24"/>
        </w:rPr>
        <w:t xml:space="preserve"> selecti</w:t>
      </w:r>
      <w:r w:rsidR="001D628C" w:rsidRPr="00EC6A08">
        <w:rPr>
          <w:rFonts w:ascii="Garamond" w:hAnsi="Garamond" w:cs="Times New Roman"/>
          <w:sz w:val="24"/>
          <w:szCs w:val="24"/>
        </w:rPr>
        <w:t>on by the membership seemed to be more</w:t>
      </w:r>
      <w:r w:rsidR="00A710A9" w:rsidRPr="00EC6A08">
        <w:rPr>
          <w:rFonts w:ascii="Garamond" w:hAnsi="Garamond" w:cs="Times New Roman"/>
          <w:sz w:val="24"/>
          <w:szCs w:val="24"/>
        </w:rPr>
        <w:t xml:space="preserve"> consistent </w:t>
      </w:r>
      <w:r w:rsidR="00A710A9" w:rsidRPr="00EC6A08">
        <w:rPr>
          <w:rFonts w:ascii="Garamond" w:hAnsi="Garamond"/>
          <w:sz w:val="24"/>
          <w:szCs w:val="24"/>
        </w:rPr>
        <w:t xml:space="preserve">with May’s ‘law of curvilinear disparity’ which assumes that party activists would be more ideological extreme (i.e. radical) than the more ideological moderate (i.e. pragmatic) parliamentarians (see May, 1973). That was significant as this was a theory that has been questioned within the </w:t>
      </w:r>
      <w:r w:rsidR="00A710A9" w:rsidRPr="00EC6A08">
        <w:rPr>
          <w:rFonts w:ascii="Garamond" w:hAnsi="Garamond"/>
          <w:sz w:val="24"/>
          <w:szCs w:val="24"/>
        </w:rPr>
        <w:lastRenderedPageBreak/>
        <w:t xml:space="preserve">academic literature on the selection of the leader of the Labour party in the era of the Electoral College (Quinn, 2010). </w:t>
      </w:r>
    </w:p>
    <w:p w14:paraId="3A1C45AE" w14:textId="77777777" w:rsidR="00A710A9" w:rsidRPr="00EC6A08" w:rsidRDefault="00A710A9" w:rsidP="00D56CB5">
      <w:pPr>
        <w:shd w:val="clear" w:color="auto" w:fill="FFFFFF"/>
        <w:spacing w:after="0" w:line="360" w:lineRule="auto"/>
        <w:jc w:val="both"/>
        <w:textAlignment w:val="center"/>
        <w:rPr>
          <w:rFonts w:ascii="Garamond" w:hAnsi="Garamond"/>
          <w:sz w:val="24"/>
          <w:szCs w:val="24"/>
        </w:rPr>
      </w:pPr>
    </w:p>
    <w:p w14:paraId="152A40CF" w14:textId="4BFDA5A9" w:rsidR="00936525" w:rsidRPr="00EC6A08" w:rsidRDefault="001D628C" w:rsidP="00D56CB5">
      <w:pPr>
        <w:shd w:val="clear" w:color="auto" w:fill="FFFFFF"/>
        <w:spacing w:after="0" w:line="360" w:lineRule="auto"/>
        <w:jc w:val="both"/>
        <w:textAlignment w:val="center"/>
        <w:rPr>
          <w:rFonts w:ascii="Garamond" w:hAnsi="Garamond"/>
          <w:sz w:val="24"/>
          <w:szCs w:val="24"/>
        </w:rPr>
      </w:pPr>
      <w:r w:rsidRPr="00EC6A08">
        <w:rPr>
          <w:rFonts w:ascii="Garamond" w:hAnsi="Garamond"/>
          <w:sz w:val="24"/>
          <w:szCs w:val="24"/>
        </w:rPr>
        <w:t>Upon acquiring the party leadership assessments on Corbyn’s performance and prospects as party leader have been overwhelmingly critical (see Crines, 2015, Richards, 2016, Diamond, 2016, Bale, 2016</w:t>
      </w:r>
      <w:r w:rsidR="00EB68EA" w:rsidRPr="00EC6A08">
        <w:rPr>
          <w:rFonts w:ascii="Garamond" w:hAnsi="Garamond"/>
          <w:sz w:val="24"/>
          <w:szCs w:val="24"/>
        </w:rPr>
        <w:t>), although academic assessment will now be adjusted to reflect the stronger than expectation in the 2017 General Election when the Labour vote increased from 9.3 to 12.8 million (30.4 to 40 percent) and they gained seats (229 to 262) despite still losing</w:t>
      </w:r>
      <w:r w:rsidRPr="00EC6A08">
        <w:rPr>
          <w:rFonts w:ascii="Garamond" w:hAnsi="Garamond"/>
          <w:sz w:val="24"/>
          <w:szCs w:val="24"/>
        </w:rPr>
        <w:t xml:space="preserve">. However, what </w:t>
      </w:r>
      <w:r w:rsidR="00D56CB5" w:rsidRPr="00EC6A08">
        <w:rPr>
          <w:rFonts w:ascii="Garamond" w:hAnsi="Garamond"/>
          <w:sz w:val="24"/>
          <w:szCs w:val="24"/>
        </w:rPr>
        <w:t>has been absent from th</w:t>
      </w:r>
      <w:r w:rsidRPr="00EC6A08">
        <w:rPr>
          <w:rFonts w:ascii="Garamond" w:hAnsi="Garamond"/>
          <w:sz w:val="24"/>
          <w:szCs w:val="24"/>
        </w:rPr>
        <w:t>e academic literature</w:t>
      </w:r>
      <w:r w:rsidR="00EB68EA" w:rsidRPr="00EC6A08">
        <w:rPr>
          <w:rFonts w:ascii="Garamond" w:hAnsi="Garamond"/>
          <w:sz w:val="24"/>
          <w:szCs w:val="24"/>
        </w:rPr>
        <w:t xml:space="preserve"> to date</w:t>
      </w:r>
      <w:r w:rsidRPr="00EC6A08">
        <w:rPr>
          <w:rFonts w:ascii="Garamond" w:hAnsi="Garamond"/>
          <w:sz w:val="24"/>
          <w:szCs w:val="24"/>
        </w:rPr>
        <w:t xml:space="preserve"> </w:t>
      </w:r>
      <w:r w:rsidR="00D56CB5" w:rsidRPr="00EC6A08">
        <w:rPr>
          <w:rFonts w:ascii="Garamond" w:hAnsi="Garamond"/>
          <w:sz w:val="24"/>
          <w:szCs w:val="24"/>
        </w:rPr>
        <w:t>is a detailed exploration of the relationship between Corbyn – elected at the behest of</w:t>
      </w:r>
      <w:r w:rsidR="00C62250" w:rsidRPr="00EC6A08">
        <w:rPr>
          <w:rFonts w:ascii="Garamond" w:hAnsi="Garamond"/>
          <w:sz w:val="24"/>
          <w:szCs w:val="24"/>
        </w:rPr>
        <w:t xml:space="preserve"> the membership – and the PLP</w:t>
      </w:r>
      <w:r w:rsidR="00D56CB5" w:rsidRPr="00EC6A08">
        <w:rPr>
          <w:rFonts w:ascii="Garamond" w:hAnsi="Garamond"/>
          <w:sz w:val="24"/>
          <w:szCs w:val="24"/>
        </w:rPr>
        <w:t>. By c</w:t>
      </w:r>
      <w:r w:rsidR="00864CBA" w:rsidRPr="00EC6A08">
        <w:rPr>
          <w:rFonts w:ascii="Garamond" w:hAnsi="Garamond"/>
          <w:sz w:val="24"/>
          <w:szCs w:val="24"/>
        </w:rPr>
        <w:t>onstructing</w:t>
      </w:r>
      <w:r w:rsidR="00D56CB5" w:rsidRPr="00EC6A08">
        <w:rPr>
          <w:rFonts w:ascii="Garamond" w:hAnsi="Garamond"/>
          <w:sz w:val="24"/>
          <w:szCs w:val="24"/>
        </w:rPr>
        <w:t xml:space="preserve"> a detailed dataset which identifies opinion within the PLP to Corbyn continuing as leader </w:t>
      </w:r>
      <w:r w:rsidR="00CF6E4B" w:rsidRPr="00EC6A08">
        <w:rPr>
          <w:rFonts w:ascii="Garamond" w:hAnsi="Garamond"/>
          <w:sz w:val="24"/>
          <w:szCs w:val="24"/>
        </w:rPr>
        <w:t>of the Labour Party, and relating this</w:t>
      </w:r>
      <w:r w:rsidR="00C62250" w:rsidRPr="00EC6A08">
        <w:rPr>
          <w:rFonts w:ascii="Garamond" w:hAnsi="Garamond"/>
          <w:sz w:val="24"/>
          <w:szCs w:val="24"/>
        </w:rPr>
        <w:t xml:space="preserve"> to a series of social</w:t>
      </w:r>
      <w:r w:rsidR="00D56CB5" w:rsidRPr="00EC6A08">
        <w:rPr>
          <w:rFonts w:ascii="Garamond" w:hAnsi="Garamond"/>
          <w:sz w:val="24"/>
          <w:szCs w:val="24"/>
        </w:rPr>
        <w:t xml:space="preserve">, political and ideological variables, we have been able to test the assumptions that have underpinned </w:t>
      </w:r>
      <w:r w:rsidRPr="00EC6A08">
        <w:rPr>
          <w:rFonts w:ascii="Garamond" w:hAnsi="Garamond"/>
          <w:sz w:val="24"/>
          <w:szCs w:val="24"/>
        </w:rPr>
        <w:t xml:space="preserve">the critical accounts on Corbyn identified above, (as well as </w:t>
      </w:r>
      <w:r w:rsidR="00D56CB5" w:rsidRPr="00EC6A08">
        <w:rPr>
          <w:rFonts w:ascii="Garamond" w:hAnsi="Garamond"/>
          <w:sz w:val="24"/>
          <w:szCs w:val="24"/>
        </w:rPr>
        <w:t>a myriad of journalistic accounts</w:t>
      </w:r>
      <w:r w:rsidRPr="00EC6A08">
        <w:rPr>
          <w:rFonts w:ascii="Garamond" w:hAnsi="Garamond"/>
          <w:sz w:val="24"/>
          <w:szCs w:val="24"/>
        </w:rPr>
        <w:t>),</w:t>
      </w:r>
      <w:r w:rsidR="00D56CB5" w:rsidRPr="00EC6A08">
        <w:rPr>
          <w:rFonts w:ascii="Garamond" w:hAnsi="Garamond"/>
          <w:sz w:val="24"/>
          <w:szCs w:val="24"/>
        </w:rPr>
        <w:t xml:space="preserve"> on the Corbyn-PLP relationship. </w:t>
      </w:r>
    </w:p>
    <w:p w14:paraId="0637FCDC" w14:textId="77777777" w:rsidR="00936525" w:rsidRPr="00EC6A08" w:rsidRDefault="00936525" w:rsidP="00D56CB5">
      <w:pPr>
        <w:shd w:val="clear" w:color="auto" w:fill="FFFFFF"/>
        <w:spacing w:after="0" w:line="360" w:lineRule="auto"/>
        <w:jc w:val="both"/>
        <w:textAlignment w:val="center"/>
        <w:rPr>
          <w:rFonts w:ascii="Garamond" w:hAnsi="Garamond"/>
          <w:sz w:val="24"/>
          <w:szCs w:val="24"/>
        </w:rPr>
      </w:pPr>
    </w:p>
    <w:p w14:paraId="15FF760A" w14:textId="055A9EE3" w:rsidR="00B8511B" w:rsidRPr="00EC6A08" w:rsidRDefault="00936525" w:rsidP="00B8511B">
      <w:pPr>
        <w:shd w:val="clear" w:color="auto" w:fill="FFFFFF"/>
        <w:spacing w:after="0" w:line="360" w:lineRule="auto"/>
        <w:jc w:val="both"/>
        <w:textAlignment w:val="center"/>
        <w:rPr>
          <w:rFonts w:ascii="Garamond" w:hAnsi="Garamond" w:cs="Times New Roman"/>
          <w:sz w:val="24"/>
          <w:szCs w:val="24"/>
        </w:rPr>
      </w:pPr>
      <w:r w:rsidRPr="00EC6A08">
        <w:rPr>
          <w:rFonts w:ascii="Garamond" w:hAnsi="Garamond"/>
          <w:sz w:val="24"/>
          <w:szCs w:val="24"/>
        </w:rPr>
        <w:t xml:space="preserve">From this </w:t>
      </w:r>
      <w:r w:rsidR="00055086" w:rsidRPr="00EC6A08">
        <w:rPr>
          <w:rFonts w:ascii="Garamond" w:hAnsi="Garamond"/>
          <w:sz w:val="24"/>
          <w:szCs w:val="24"/>
        </w:rPr>
        <w:t xml:space="preserve">a more complex pattern emerges in terms of opinion and opposition to Corbyn within the PLP. </w:t>
      </w:r>
      <w:r w:rsidRPr="00EC6A08">
        <w:rPr>
          <w:rFonts w:ascii="Garamond" w:hAnsi="Garamond"/>
          <w:sz w:val="24"/>
          <w:szCs w:val="24"/>
        </w:rPr>
        <w:t xml:space="preserve">In terms of those who voted for his removal our research found </w:t>
      </w:r>
      <w:r w:rsidR="00EB6028" w:rsidRPr="00EC6A08">
        <w:rPr>
          <w:rFonts w:ascii="Garamond" w:hAnsi="Garamond" w:cs="Times New Roman"/>
          <w:sz w:val="24"/>
          <w:szCs w:val="24"/>
        </w:rPr>
        <w:t>no significant social</w:t>
      </w:r>
      <w:r w:rsidR="003172CF" w:rsidRPr="00EC6A08">
        <w:rPr>
          <w:rFonts w:ascii="Garamond" w:hAnsi="Garamond" w:cs="Times New Roman"/>
          <w:sz w:val="24"/>
          <w:szCs w:val="24"/>
        </w:rPr>
        <w:t>, political or ideolog</w:t>
      </w:r>
      <w:r w:rsidR="00A710A9" w:rsidRPr="00EC6A08">
        <w:rPr>
          <w:rFonts w:ascii="Garamond" w:hAnsi="Garamond" w:cs="Times New Roman"/>
          <w:sz w:val="24"/>
          <w:szCs w:val="24"/>
        </w:rPr>
        <w:t>ical patterns at</w:t>
      </w:r>
      <w:r w:rsidRPr="00EC6A08">
        <w:rPr>
          <w:rFonts w:ascii="Garamond" w:hAnsi="Garamond" w:cs="Times New Roman"/>
          <w:sz w:val="24"/>
          <w:szCs w:val="24"/>
        </w:rPr>
        <w:t xml:space="preserve"> play. </w:t>
      </w:r>
      <w:r w:rsidR="00C16485" w:rsidRPr="00EC6A08">
        <w:rPr>
          <w:rFonts w:ascii="Garamond" w:hAnsi="Garamond" w:cs="Times New Roman"/>
          <w:sz w:val="24"/>
          <w:szCs w:val="24"/>
        </w:rPr>
        <w:t>The fear of deselection or t</w:t>
      </w:r>
      <w:r w:rsidR="00A710A9" w:rsidRPr="00EC6A08">
        <w:rPr>
          <w:rFonts w:ascii="Garamond" w:hAnsi="Garamond" w:cs="Times New Roman"/>
          <w:sz w:val="24"/>
          <w:szCs w:val="24"/>
        </w:rPr>
        <w:t>he fear of electoral defeat did</w:t>
      </w:r>
      <w:r w:rsidR="00C16485" w:rsidRPr="00EC6A08">
        <w:rPr>
          <w:rFonts w:ascii="Garamond" w:hAnsi="Garamond" w:cs="Times New Roman"/>
          <w:sz w:val="24"/>
          <w:szCs w:val="24"/>
        </w:rPr>
        <w:t xml:space="preserve"> not motivate L</w:t>
      </w:r>
      <w:r w:rsidR="00EB6028" w:rsidRPr="00EC6A08">
        <w:rPr>
          <w:rFonts w:ascii="Garamond" w:hAnsi="Garamond" w:cs="Times New Roman"/>
          <w:sz w:val="24"/>
          <w:szCs w:val="24"/>
        </w:rPr>
        <w:t>abour parliamentarians to remain</w:t>
      </w:r>
      <w:r w:rsidR="00A710A9" w:rsidRPr="00EC6A08">
        <w:rPr>
          <w:rFonts w:ascii="Garamond" w:hAnsi="Garamond" w:cs="Times New Roman"/>
          <w:sz w:val="24"/>
          <w:szCs w:val="24"/>
        </w:rPr>
        <w:t xml:space="preserve"> loyal to Corbyn, and nor wa</w:t>
      </w:r>
      <w:r w:rsidR="00C16485" w:rsidRPr="00EC6A08">
        <w:rPr>
          <w:rFonts w:ascii="Garamond" w:hAnsi="Garamond" w:cs="Times New Roman"/>
          <w:sz w:val="24"/>
          <w:szCs w:val="24"/>
        </w:rPr>
        <w:t xml:space="preserve">s it the case that the PLP is split down clearly defined left-right ideological terms, with the right voting against Corbyn, and the left supporting him. Our findings show that the mapping of immigration onto military intervention and nuclear capability creates a myriad of positions amongst the PLP, rather than clearly defined factional groupings. </w:t>
      </w:r>
      <w:r w:rsidR="00A710A9" w:rsidRPr="00EC6A08">
        <w:rPr>
          <w:rFonts w:ascii="Garamond" w:hAnsi="Garamond" w:cs="Times New Roman"/>
          <w:sz w:val="24"/>
          <w:szCs w:val="24"/>
        </w:rPr>
        <w:t>Significantly, th</w:t>
      </w:r>
      <w:r w:rsidR="004915C4" w:rsidRPr="00EC6A08">
        <w:rPr>
          <w:rFonts w:ascii="Garamond" w:hAnsi="Garamond" w:cs="Times New Roman"/>
          <w:sz w:val="24"/>
          <w:szCs w:val="24"/>
        </w:rPr>
        <w:t xml:space="preserve">ose advocating the removal of Corbyn do not confirm to the Rose definition of a cohesive and organised ideological faction (Rose, 1964). </w:t>
      </w:r>
      <w:r w:rsidR="001D628C" w:rsidRPr="00EC6A08">
        <w:rPr>
          <w:rFonts w:ascii="Garamond" w:hAnsi="Garamond" w:cs="Times New Roman"/>
          <w:sz w:val="24"/>
          <w:szCs w:val="24"/>
        </w:rPr>
        <w:t>Moreover, o</w:t>
      </w:r>
      <w:r w:rsidR="00A710A9" w:rsidRPr="00EC6A08">
        <w:rPr>
          <w:rFonts w:ascii="Garamond" w:hAnsi="Garamond"/>
          <w:sz w:val="24"/>
          <w:szCs w:val="24"/>
        </w:rPr>
        <w:t>ur research suggests</w:t>
      </w:r>
      <w:r w:rsidR="00E01309" w:rsidRPr="00EC6A08">
        <w:rPr>
          <w:rFonts w:ascii="Garamond" w:hAnsi="Garamond"/>
          <w:sz w:val="24"/>
          <w:szCs w:val="24"/>
        </w:rPr>
        <w:t xml:space="preserve"> that the motivation to unseat Corbyn </w:t>
      </w:r>
      <w:r w:rsidR="009F3D1A" w:rsidRPr="00EC6A08">
        <w:rPr>
          <w:rFonts w:ascii="Garamond" w:hAnsi="Garamond" w:cs="Times New Roman"/>
          <w:sz w:val="24"/>
          <w:szCs w:val="24"/>
        </w:rPr>
        <w:t xml:space="preserve">by the PLP should be seen as </w:t>
      </w:r>
      <w:r w:rsidR="00A710A9" w:rsidRPr="00EC6A08">
        <w:rPr>
          <w:rFonts w:ascii="Garamond" w:hAnsi="Garamond" w:cs="Times New Roman"/>
          <w:sz w:val="24"/>
          <w:szCs w:val="24"/>
        </w:rPr>
        <w:t>a</w:t>
      </w:r>
      <w:r w:rsidR="009F3D1A" w:rsidRPr="00EC6A08">
        <w:rPr>
          <w:rFonts w:ascii="Garamond" w:hAnsi="Garamond" w:cs="Times New Roman"/>
          <w:sz w:val="24"/>
          <w:szCs w:val="24"/>
        </w:rPr>
        <w:t xml:space="preserve"> reassertion of</w:t>
      </w:r>
      <w:r w:rsidR="00A710A9" w:rsidRPr="00EC6A08">
        <w:rPr>
          <w:rFonts w:ascii="Garamond" w:hAnsi="Garamond" w:cs="Times New Roman"/>
          <w:sz w:val="24"/>
          <w:szCs w:val="24"/>
        </w:rPr>
        <w:t xml:space="preserve"> the aforementioned Stark criteria</w:t>
      </w:r>
      <w:r w:rsidR="001D628C" w:rsidRPr="00EC6A08">
        <w:rPr>
          <w:rFonts w:ascii="Garamond" w:hAnsi="Garamond" w:cs="Times New Roman"/>
          <w:sz w:val="24"/>
          <w:szCs w:val="24"/>
        </w:rPr>
        <w:t xml:space="preserve"> </w:t>
      </w:r>
      <w:r w:rsidR="00844471" w:rsidRPr="00EC6A08">
        <w:rPr>
          <w:rFonts w:ascii="Garamond" w:hAnsi="Garamond" w:cs="Times New Roman"/>
          <w:sz w:val="24"/>
          <w:szCs w:val="24"/>
        </w:rPr>
        <w:t xml:space="preserve">– i.e. the PLP concluded that </w:t>
      </w:r>
      <w:r w:rsidR="00AE26A8" w:rsidRPr="00EC6A08">
        <w:rPr>
          <w:rFonts w:ascii="Garamond" w:hAnsi="Garamond" w:cs="Times New Roman"/>
          <w:sz w:val="24"/>
          <w:szCs w:val="24"/>
        </w:rPr>
        <w:t>the members had b</w:t>
      </w:r>
      <w:r w:rsidR="001D628C" w:rsidRPr="00EC6A08">
        <w:rPr>
          <w:rFonts w:ascii="Garamond" w:hAnsi="Garamond" w:cs="Times New Roman"/>
          <w:sz w:val="24"/>
          <w:szCs w:val="24"/>
        </w:rPr>
        <w:t>een mistaken in their choice.</w:t>
      </w:r>
      <w:r w:rsidR="00AE26A8" w:rsidRPr="00EC6A08">
        <w:rPr>
          <w:rFonts w:ascii="Garamond" w:hAnsi="Garamond" w:cs="Times New Roman"/>
          <w:sz w:val="24"/>
          <w:szCs w:val="24"/>
        </w:rPr>
        <w:t xml:space="preserve"> Corbyn</w:t>
      </w:r>
      <w:r w:rsidR="00FD3B0B" w:rsidRPr="00EC6A08">
        <w:rPr>
          <w:rFonts w:ascii="Garamond" w:hAnsi="Garamond" w:cs="Times New Roman"/>
          <w:sz w:val="24"/>
          <w:szCs w:val="24"/>
        </w:rPr>
        <w:t xml:space="preserve"> was too divisive, too unelectable, and his competence was too widely questioned, to make him a credible candidate to be Prime Minister. </w:t>
      </w:r>
    </w:p>
    <w:p w14:paraId="410B0A82" w14:textId="77777777" w:rsidR="00DF32E0" w:rsidRPr="00EC6A08" w:rsidRDefault="00DF32E0" w:rsidP="00B8511B">
      <w:pPr>
        <w:spacing w:after="0" w:line="360" w:lineRule="auto"/>
        <w:contextualSpacing/>
        <w:rPr>
          <w:rFonts w:ascii="Garamond" w:hAnsi="Garamond" w:cs="Times New Roman"/>
          <w:b/>
          <w:sz w:val="24"/>
          <w:szCs w:val="24"/>
        </w:rPr>
      </w:pPr>
    </w:p>
    <w:p w14:paraId="513F4741" w14:textId="77777777" w:rsidR="00DF32E0" w:rsidRPr="00EC6A08" w:rsidRDefault="00DF32E0" w:rsidP="00B8511B">
      <w:pPr>
        <w:spacing w:after="0" w:line="360" w:lineRule="auto"/>
        <w:contextualSpacing/>
        <w:rPr>
          <w:rFonts w:ascii="Garamond" w:hAnsi="Garamond" w:cs="Times New Roman"/>
          <w:sz w:val="24"/>
          <w:szCs w:val="24"/>
        </w:rPr>
      </w:pPr>
    </w:p>
    <w:p w14:paraId="08F93291" w14:textId="77777777" w:rsidR="00844471" w:rsidRPr="00EC6A08" w:rsidRDefault="00844471" w:rsidP="00B8511B">
      <w:pPr>
        <w:spacing w:after="0" w:line="360" w:lineRule="auto"/>
        <w:contextualSpacing/>
        <w:rPr>
          <w:rFonts w:ascii="Garamond" w:hAnsi="Garamond" w:cs="Times New Roman"/>
          <w:sz w:val="24"/>
          <w:szCs w:val="24"/>
        </w:rPr>
      </w:pPr>
    </w:p>
    <w:p w14:paraId="5B15A63D" w14:textId="77777777" w:rsidR="00844471" w:rsidRPr="00EC6A08" w:rsidRDefault="00844471" w:rsidP="00B8511B">
      <w:pPr>
        <w:spacing w:after="0" w:line="360" w:lineRule="auto"/>
        <w:contextualSpacing/>
        <w:rPr>
          <w:rFonts w:ascii="Garamond" w:hAnsi="Garamond" w:cs="Times New Roman"/>
          <w:sz w:val="24"/>
          <w:szCs w:val="24"/>
        </w:rPr>
      </w:pPr>
    </w:p>
    <w:p w14:paraId="68974986" w14:textId="77777777" w:rsidR="00844471" w:rsidRPr="00EC6A08" w:rsidRDefault="00844471" w:rsidP="00B8511B">
      <w:pPr>
        <w:spacing w:after="0" w:line="360" w:lineRule="auto"/>
        <w:contextualSpacing/>
        <w:rPr>
          <w:rFonts w:ascii="Garamond" w:hAnsi="Garamond" w:cs="Times New Roman"/>
          <w:sz w:val="24"/>
          <w:szCs w:val="24"/>
        </w:rPr>
      </w:pPr>
    </w:p>
    <w:p w14:paraId="0EEC91F1" w14:textId="77777777" w:rsidR="00844471" w:rsidRPr="00EC6A08" w:rsidRDefault="00844471" w:rsidP="00B8511B">
      <w:pPr>
        <w:spacing w:after="0" w:line="360" w:lineRule="auto"/>
        <w:contextualSpacing/>
        <w:rPr>
          <w:rFonts w:ascii="Garamond" w:hAnsi="Garamond" w:cs="Times New Roman"/>
          <w:b/>
          <w:sz w:val="24"/>
          <w:szCs w:val="24"/>
        </w:rPr>
      </w:pPr>
    </w:p>
    <w:p w14:paraId="039D6D19" w14:textId="77777777" w:rsidR="00DF32E0" w:rsidRPr="00EC6A08" w:rsidRDefault="00DF32E0" w:rsidP="00B8511B">
      <w:pPr>
        <w:spacing w:after="0" w:line="360" w:lineRule="auto"/>
        <w:contextualSpacing/>
        <w:rPr>
          <w:rFonts w:ascii="Garamond" w:hAnsi="Garamond" w:cs="Times New Roman"/>
          <w:b/>
          <w:sz w:val="24"/>
          <w:szCs w:val="24"/>
        </w:rPr>
      </w:pPr>
    </w:p>
    <w:p w14:paraId="496EFB73" w14:textId="77777777" w:rsidR="00DF32E0" w:rsidRPr="00EC6A08" w:rsidRDefault="00DF32E0" w:rsidP="00B8511B">
      <w:pPr>
        <w:spacing w:after="0" w:line="360" w:lineRule="auto"/>
        <w:contextualSpacing/>
        <w:rPr>
          <w:rFonts w:ascii="Garamond" w:hAnsi="Garamond" w:cs="Times New Roman"/>
          <w:b/>
          <w:sz w:val="24"/>
          <w:szCs w:val="24"/>
        </w:rPr>
      </w:pPr>
    </w:p>
    <w:p w14:paraId="722E8893" w14:textId="77777777" w:rsidR="009F3D1A" w:rsidRPr="00EC6A08" w:rsidRDefault="009F3D1A" w:rsidP="00B8511B">
      <w:pPr>
        <w:spacing w:after="0" w:line="360" w:lineRule="auto"/>
        <w:contextualSpacing/>
        <w:rPr>
          <w:rFonts w:ascii="Garamond" w:hAnsi="Garamond" w:cs="Times New Roman"/>
          <w:b/>
          <w:sz w:val="24"/>
          <w:szCs w:val="24"/>
        </w:rPr>
      </w:pPr>
    </w:p>
    <w:p w14:paraId="7E3A5A79" w14:textId="77777777" w:rsidR="009F3D1A" w:rsidRPr="00EC6A08" w:rsidRDefault="009F3D1A" w:rsidP="00B8511B">
      <w:pPr>
        <w:spacing w:after="0" w:line="360" w:lineRule="auto"/>
        <w:contextualSpacing/>
        <w:rPr>
          <w:rFonts w:ascii="Garamond" w:hAnsi="Garamond" w:cs="Times New Roman"/>
          <w:b/>
          <w:sz w:val="24"/>
          <w:szCs w:val="24"/>
        </w:rPr>
      </w:pPr>
    </w:p>
    <w:p w14:paraId="1FADC387" w14:textId="77777777" w:rsidR="009F3D1A" w:rsidRPr="00EC6A08" w:rsidRDefault="009F3D1A" w:rsidP="00B8511B">
      <w:pPr>
        <w:spacing w:after="0" w:line="360" w:lineRule="auto"/>
        <w:contextualSpacing/>
        <w:rPr>
          <w:rFonts w:ascii="Garamond" w:hAnsi="Garamond" w:cs="Times New Roman"/>
          <w:b/>
          <w:sz w:val="24"/>
          <w:szCs w:val="24"/>
        </w:rPr>
      </w:pPr>
    </w:p>
    <w:p w14:paraId="0DA5EF7B" w14:textId="77777777" w:rsidR="00B8511B" w:rsidRPr="00EC6A08" w:rsidRDefault="00B8511B" w:rsidP="00B8511B">
      <w:pPr>
        <w:spacing w:after="0" w:line="360" w:lineRule="auto"/>
        <w:contextualSpacing/>
        <w:rPr>
          <w:rFonts w:ascii="Garamond" w:hAnsi="Garamond" w:cs="Times New Roman"/>
        </w:rPr>
      </w:pPr>
    </w:p>
    <w:p w14:paraId="008E1B79" w14:textId="77777777" w:rsidR="001D628C" w:rsidRPr="00EC6A08" w:rsidRDefault="001D628C" w:rsidP="00B8511B">
      <w:pPr>
        <w:spacing w:after="0" w:line="360" w:lineRule="auto"/>
        <w:contextualSpacing/>
        <w:rPr>
          <w:rFonts w:ascii="Garamond" w:hAnsi="Garamond" w:cs="Times New Roman"/>
        </w:rPr>
      </w:pPr>
    </w:p>
    <w:p w14:paraId="66C09C7D" w14:textId="77777777" w:rsidR="001D628C" w:rsidRPr="00EC6A08" w:rsidRDefault="001D628C" w:rsidP="00B8511B">
      <w:pPr>
        <w:spacing w:after="0" w:line="360" w:lineRule="auto"/>
        <w:contextualSpacing/>
        <w:rPr>
          <w:rFonts w:ascii="Garamond" w:hAnsi="Garamond" w:cs="Times New Roman"/>
        </w:rPr>
      </w:pPr>
    </w:p>
    <w:p w14:paraId="064055B6" w14:textId="77777777" w:rsidR="001D628C" w:rsidRPr="00EC6A08" w:rsidRDefault="001D628C" w:rsidP="00B8511B">
      <w:pPr>
        <w:spacing w:after="0" w:line="360" w:lineRule="auto"/>
        <w:contextualSpacing/>
        <w:rPr>
          <w:rFonts w:ascii="Garamond" w:hAnsi="Garamond" w:cs="Times New Roman"/>
        </w:rPr>
      </w:pPr>
    </w:p>
    <w:p w14:paraId="0A821B30" w14:textId="2B600C8C" w:rsidR="00A710A9" w:rsidRPr="00EC6A08" w:rsidRDefault="00A710A9" w:rsidP="00B8511B">
      <w:pPr>
        <w:spacing w:line="360" w:lineRule="auto"/>
        <w:contextualSpacing/>
        <w:jc w:val="both"/>
        <w:rPr>
          <w:rFonts w:ascii="Garamond" w:hAnsi="Garamond" w:cs="Times New Roman"/>
        </w:rPr>
      </w:pPr>
    </w:p>
    <w:p w14:paraId="1ECE2071" w14:textId="77777777" w:rsidR="00EB68EA" w:rsidRPr="00EC6A08" w:rsidRDefault="00EB68EA" w:rsidP="00B8511B">
      <w:pPr>
        <w:spacing w:line="360" w:lineRule="auto"/>
        <w:contextualSpacing/>
        <w:jc w:val="both"/>
        <w:rPr>
          <w:rFonts w:ascii="Garamond" w:hAnsi="Garamond" w:cs="Times New Roman"/>
          <w:sz w:val="24"/>
          <w:szCs w:val="24"/>
        </w:rPr>
      </w:pPr>
    </w:p>
    <w:p w14:paraId="02DD9FF9" w14:textId="564AAF15" w:rsidR="009D073C" w:rsidRPr="00EC6A08" w:rsidRDefault="00780391" w:rsidP="009D073C">
      <w:pPr>
        <w:spacing w:after="0" w:line="360" w:lineRule="auto"/>
        <w:contextualSpacing/>
        <w:rPr>
          <w:rFonts w:ascii="Garamond" w:hAnsi="Garamond" w:cs="Times New Roman"/>
          <w:b/>
          <w:sz w:val="24"/>
          <w:szCs w:val="24"/>
        </w:rPr>
      </w:pPr>
      <w:r w:rsidRPr="00EC6A08">
        <w:rPr>
          <w:rFonts w:ascii="Garamond" w:hAnsi="Garamond" w:cs="Times New Roman"/>
          <w:b/>
          <w:sz w:val="24"/>
          <w:szCs w:val="24"/>
        </w:rPr>
        <w:t>Bibliography</w:t>
      </w:r>
    </w:p>
    <w:p w14:paraId="0B4EBC85" w14:textId="77777777" w:rsidR="009D073C" w:rsidRPr="00EC6A08" w:rsidRDefault="009D073C" w:rsidP="009D073C">
      <w:pPr>
        <w:spacing w:after="0" w:line="360" w:lineRule="auto"/>
        <w:contextualSpacing/>
        <w:rPr>
          <w:rFonts w:ascii="Garamond" w:hAnsi="Garamond" w:cs="Times New Roman"/>
          <w:sz w:val="24"/>
          <w:szCs w:val="24"/>
        </w:rPr>
      </w:pPr>
    </w:p>
    <w:p w14:paraId="35D3E7F5" w14:textId="2F6EFF3D" w:rsidR="00775E8B" w:rsidRPr="00EC6A08" w:rsidRDefault="00775E8B" w:rsidP="00762C57">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Asthana, A. and Stewart, H. (2016) ‘Labour MPs hostile to Corbyn named in leaked party document’, </w:t>
      </w:r>
      <w:r w:rsidRPr="00EC6A08">
        <w:rPr>
          <w:rFonts w:ascii="Garamond" w:hAnsi="Garamond" w:cs="Times New Roman"/>
          <w:i/>
          <w:sz w:val="24"/>
          <w:szCs w:val="24"/>
        </w:rPr>
        <w:t xml:space="preserve">The Guardian, </w:t>
      </w:r>
      <w:r w:rsidRPr="00EC6A08">
        <w:rPr>
          <w:rFonts w:ascii="Garamond" w:hAnsi="Garamond" w:cs="Times New Roman"/>
          <w:sz w:val="24"/>
          <w:szCs w:val="24"/>
        </w:rPr>
        <w:t>23</w:t>
      </w:r>
      <w:r w:rsidRPr="00EC6A08">
        <w:rPr>
          <w:rFonts w:ascii="Garamond" w:hAnsi="Garamond" w:cs="Times New Roman"/>
          <w:sz w:val="24"/>
          <w:szCs w:val="24"/>
          <w:vertAlign w:val="superscript"/>
        </w:rPr>
        <w:t>rd</w:t>
      </w:r>
      <w:r w:rsidRPr="00EC6A08">
        <w:rPr>
          <w:rFonts w:ascii="Garamond" w:hAnsi="Garamond" w:cs="Times New Roman"/>
          <w:sz w:val="24"/>
          <w:szCs w:val="24"/>
        </w:rPr>
        <w:t xml:space="preserve"> March. </w:t>
      </w:r>
    </w:p>
    <w:p w14:paraId="551B0BD7" w14:textId="71017001" w:rsidR="006058A7"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Baughman, J (2004) ‘Party, constituency, and representation: Votes on abortion in the British House of Commons’, </w:t>
      </w:r>
      <w:r w:rsidRPr="00EC6A08">
        <w:rPr>
          <w:rFonts w:ascii="Garamond" w:hAnsi="Garamond" w:cs="Times New Roman"/>
          <w:i/>
          <w:sz w:val="24"/>
          <w:szCs w:val="24"/>
        </w:rPr>
        <w:t>Public Choice</w:t>
      </w:r>
      <w:r w:rsidR="006058A7" w:rsidRPr="00EC6A08">
        <w:rPr>
          <w:rFonts w:ascii="Garamond" w:hAnsi="Garamond" w:cs="Times New Roman"/>
          <w:sz w:val="24"/>
          <w:szCs w:val="24"/>
        </w:rPr>
        <w:t xml:space="preserve"> 120: 1-2, 63-85.</w:t>
      </w:r>
    </w:p>
    <w:p w14:paraId="62610BC6"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Blakey, H. (2016) ‘Corbyn-Mania: Cult of Personality or Political Movement’, </w:t>
      </w:r>
      <w:r w:rsidRPr="00EC6A08">
        <w:rPr>
          <w:rFonts w:ascii="Garamond" w:hAnsi="Garamond" w:cs="Times New Roman"/>
          <w:i/>
          <w:sz w:val="24"/>
          <w:szCs w:val="24"/>
        </w:rPr>
        <w:t>Open Democracy</w:t>
      </w:r>
      <w:r w:rsidRPr="00EC6A08">
        <w:rPr>
          <w:rFonts w:ascii="Garamond" w:hAnsi="Garamond" w:cs="Times New Roman"/>
          <w:sz w:val="24"/>
          <w:szCs w:val="24"/>
        </w:rPr>
        <w:t xml:space="preserve">, 3 August. </w:t>
      </w:r>
    </w:p>
    <w:p w14:paraId="15C85E71" w14:textId="49CA5B23" w:rsidR="00AA23CD" w:rsidRPr="00EC6A08" w:rsidRDefault="00AA23CD" w:rsidP="009D073C">
      <w:pPr>
        <w:spacing w:after="0" w:line="360" w:lineRule="auto"/>
        <w:contextualSpacing/>
        <w:jc w:val="both"/>
        <w:rPr>
          <w:rFonts w:ascii="Garamond" w:hAnsi="Garamond" w:cs="Times New Roman"/>
          <w:sz w:val="24"/>
          <w:szCs w:val="24"/>
        </w:rPr>
      </w:pPr>
      <w:r w:rsidRPr="00EC6A08">
        <w:rPr>
          <w:rFonts w:ascii="Garamond" w:hAnsi="Garamond" w:cs="Tahoma"/>
          <w:sz w:val="24"/>
          <w:szCs w:val="24"/>
          <w:lang w:val="en"/>
        </w:rPr>
        <w:t xml:space="preserve">Bale T. (2016) ‘The Corbyn Problem and the Future of </w:t>
      </w:r>
      <w:proofErr w:type="spellStart"/>
      <w:r w:rsidRPr="00EC6A08">
        <w:rPr>
          <w:rFonts w:ascii="Garamond" w:hAnsi="Garamond" w:cs="Tahoma"/>
          <w:sz w:val="24"/>
          <w:szCs w:val="24"/>
          <w:lang w:val="en"/>
        </w:rPr>
        <w:t>Labour</w:t>
      </w:r>
      <w:proofErr w:type="spellEnd"/>
      <w:r w:rsidRPr="00EC6A08">
        <w:rPr>
          <w:rFonts w:ascii="Garamond" w:hAnsi="Garamond" w:cs="Tahoma"/>
          <w:sz w:val="24"/>
          <w:szCs w:val="24"/>
          <w:lang w:val="en"/>
        </w:rPr>
        <w:t xml:space="preserve">’, </w:t>
      </w:r>
      <w:r w:rsidRPr="00EC6A08">
        <w:rPr>
          <w:rFonts w:ascii="Garamond" w:hAnsi="Garamond" w:cs="Tahoma"/>
          <w:i/>
          <w:iCs/>
          <w:sz w:val="24"/>
          <w:szCs w:val="24"/>
          <w:lang w:val="en"/>
        </w:rPr>
        <w:t>Political Insight</w:t>
      </w:r>
      <w:r w:rsidRPr="00EC6A08">
        <w:rPr>
          <w:rFonts w:ascii="Garamond" w:hAnsi="Garamond" w:cs="Tahoma"/>
          <w:sz w:val="24"/>
          <w:szCs w:val="24"/>
          <w:lang w:val="en"/>
        </w:rPr>
        <w:t>, 7(3): 4–7</w:t>
      </w:r>
      <w:r w:rsidRPr="00EC6A08">
        <w:rPr>
          <w:rFonts w:ascii="Garamond" w:hAnsi="Garamond" w:cs="Times New Roman"/>
          <w:sz w:val="24"/>
          <w:szCs w:val="24"/>
        </w:rPr>
        <w:t xml:space="preserve">. </w:t>
      </w:r>
    </w:p>
    <w:p w14:paraId="75F41D3D" w14:textId="32A62E2B" w:rsidR="00F27E08" w:rsidRPr="00EC6A08" w:rsidRDefault="00F27E08" w:rsidP="009D073C">
      <w:pPr>
        <w:spacing w:after="0" w:line="360" w:lineRule="auto"/>
        <w:contextualSpacing/>
        <w:jc w:val="both"/>
        <w:rPr>
          <w:rFonts w:ascii="Garamond" w:hAnsi="Garamond"/>
          <w:sz w:val="24"/>
          <w:szCs w:val="24"/>
          <w:lang w:val="en"/>
        </w:rPr>
      </w:pPr>
      <w:r w:rsidRPr="00EC6A08">
        <w:rPr>
          <w:rFonts w:ascii="Garamond" w:hAnsi="Garamond"/>
          <w:sz w:val="24"/>
          <w:szCs w:val="24"/>
          <w:lang w:val="en"/>
        </w:rPr>
        <w:t xml:space="preserve">Bale, T., Webb, P. and Poletti, M. (2016) ‘Minority views? </w:t>
      </w:r>
      <w:proofErr w:type="spellStart"/>
      <w:r w:rsidRPr="00EC6A08">
        <w:rPr>
          <w:rFonts w:ascii="Garamond" w:hAnsi="Garamond"/>
          <w:sz w:val="24"/>
          <w:szCs w:val="24"/>
          <w:lang w:val="en"/>
        </w:rPr>
        <w:t>Labour</w:t>
      </w:r>
      <w:proofErr w:type="spellEnd"/>
      <w:r w:rsidRPr="00EC6A08">
        <w:rPr>
          <w:rFonts w:ascii="Garamond" w:hAnsi="Garamond"/>
          <w:sz w:val="24"/>
          <w:szCs w:val="24"/>
          <w:lang w:val="en"/>
        </w:rPr>
        <w:t xml:space="preserve"> members had been longing for someone like Corbyn before he was even on the ballot paper’, LSE Blog, March.</w:t>
      </w:r>
    </w:p>
    <w:p w14:paraId="400D8CDC" w14:textId="77777777" w:rsidR="009D073C" w:rsidRPr="00EC6A08" w:rsidRDefault="009D073C" w:rsidP="009D073C">
      <w:pPr>
        <w:spacing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Collins, R. (2014) </w:t>
      </w:r>
      <w:proofErr w:type="gramStart"/>
      <w:r w:rsidRPr="00EC6A08">
        <w:rPr>
          <w:rFonts w:ascii="Garamond" w:hAnsi="Garamond" w:cs="Times New Roman"/>
          <w:i/>
          <w:sz w:val="24"/>
          <w:szCs w:val="24"/>
        </w:rPr>
        <w:t>The</w:t>
      </w:r>
      <w:proofErr w:type="gramEnd"/>
      <w:r w:rsidRPr="00EC6A08">
        <w:rPr>
          <w:rFonts w:ascii="Garamond" w:hAnsi="Garamond" w:cs="Times New Roman"/>
          <w:i/>
          <w:sz w:val="24"/>
          <w:szCs w:val="24"/>
        </w:rPr>
        <w:t xml:space="preserve"> Collins Review into Labour Party Reform</w:t>
      </w:r>
      <w:r w:rsidRPr="00EC6A08">
        <w:rPr>
          <w:rFonts w:ascii="Garamond" w:hAnsi="Garamond" w:cs="Times New Roman"/>
          <w:sz w:val="24"/>
          <w:szCs w:val="24"/>
        </w:rPr>
        <w:t>, London: The Labour Party.</w:t>
      </w:r>
    </w:p>
    <w:p w14:paraId="11F0C508" w14:textId="51CD7C04" w:rsidR="001D0E87" w:rsidRPr="00EC6A08" w:rsidRDefault="001D0E87" w:rsidP="001D0E87">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Corbyn, J. (2016) ‘</w:t>
      </w:r>
      <w:r w:rsidRPr="00EC6A08">
        <w:rPr>
          <w:rFonts w:ascii="Garamond" w:hAnsi="Garamond" w:cs="Arial"/>
          <w:bCs/>
          <w:iCs/>
          <w:sz w:val="24"/>
          <w:szCs w:val="24"/>
          <w:lang w:val="en"/>
        </w:rPr>
        <w:t xml:space="preserve">Unions are the most effective force for social equality – which is why we should be proud of their link to the </w:t>
      </w:r>
      <w:proofErr w:type="spellStart"/>
      <w:r w:rsidRPr="00EC6A08">
        <w:rPr>
          <w:rFonts w:ascii="Garamond" w:hAnsi="Garamond" w:cs="Arial"/>
          <w:bCs/>
          <w:iCs/>
          <w:sz w:val="24"/>
          <w:szCs w:val="24"/>
          <w:lang w:val="en"/>
        </w:rPr>
        <w:t>Labour</w:t>
      </w:r>
      <w:proofErr w:type="spellEnd"/>
      <w:r w:rsidRPr="00EC6A08">
        <w:rPr>
          <w:rFonts w:ascii="Garamond" w:hAnsi="Garamond" w:cs="Arial"/>
          <w:bCs/>
          <w:iCs/>
          <w:sz w:val="24"/>
          <w:szCs w:val="24"/>
          <w:lang w:val="en"/>
        </w:rPr>
        <w:t xml:space="preserve"> Party’, </w:t>
      </w:r>
      <w:r w:rsidRPr="00EC6A08">
        <w:rPr>
          <w:rFonts w:ascii="Garamond" w:hAnsi="Garamond" w:cs="Arial"/>
          <w:bCs/>
          <w:i/>
          <w:iCs/>
          <w:sz w:val="24"/>
          <w:szCs w:val="24"/>
          <w:lang w:val="en"/>
        </w:rPr>
        <w:t>Morning Star</w:t>
      </w:r>
      <w:r w:rsidRPr="00EC6A08">
        <w:rPr>
          <w:rFonts w:ascii="Garamond" w:hAnsi="Garamond" w:cs="Arial"/>
          <w:bCs/>
          <w:iCs/>
          <w:sz w:val="24"/>
          <w:szCs w:val="24"/>
          <w:lang w:val="en"/>
        </w:rPr>
        <w:t>, 11 February.</w:t>
      </w:r>
    </w:p>
    <w:p w14:paraId="62E1BD45" w14:textId="77777777" w:rsidR="009D073C" w:rsidRPr="00EC6A08" w:rsidRDefault="009D073C" w:rsidP="009D073C">
      <w:pPr>
        <w:spacing w:after="0" w:line="360" w:lineRule="auto"/>
        <w:contextualSpacing/>
        <w:jc w:val="both"/>
        <w:rPr>
          <w:rFonts w:ascii="Garamond" w:hAnsi="Garamond"/>
          <w:bCs/>
          <w:kern w:val="36"/>
          <w:sz w:val="24"/>
          <w:szCs w:val="24"/>
        </w:rPr>
      </w:pPr>
      <w:proofErr w:type="spellStart"/>
      <w:r w:rsidRPr="00EC6A08">
        <w:rPr>
          <w:rFonts w:ascii="Garamond" w:hAnsi="Garamond"/>
          <w:bCs/>
          <w:kern w:val="36"/>
          <w:sz w:val="24"/>
          <w:szCs w:val="24"/>
        </w:rPr>
        <w:t>Cowburn</w:t>
      </w:r>
      <w:proofErr w:type="spellEnd"/>
      <w:r w:rsidRPr="00EC6A08">
        <w:rPr>
          <w:rFonts w:ascii="Garamond" w:hAnsi="Garamond"/>
          <w:bCs/>
          <w:kern w:val="36"/>
          <w:sz w:val="24"/>
          <w:szCs w:val="24"/>
        </w:rPr>
        <w:t xml:space="preserve">, A. (2016) ‘Former Labour leader Dame Margaret Beckett says Jeremy Corbyn must stand aside in emotional interview’, </w:t>
      </w:r>
      <w:r w:rsidRPr="00EC6A08">
        <w:rPr>
          <w:rFonts w:ascii="Garamond" w:hAnsi="Garamond"/>
          <w:bCs/>
          <w:i/>
          <w:kern w:val="36"/>
          <w:sz w:val="24"/>
          <w:szCs w:val="24"/>
        </w:rPr>
        <w:t>The Independent</w:t>
      </w:r>
      <w:r w:rsidRPr="00EC6A08">
        <w:rPr>
          <w:rFonts w:ascii="Garamond" w:hAnsi="Garamond"/>
          <w:bCs/>
          <w:kern w:val="36"/>
          <w:sz w:val="24"/>
          <w:szCs w:val="24"/>
        </w:rPr>
        <w:t>, 29 June.</w:t>
      </w:r>
    </w:p>
    <w:p w14:paraId="45393D71" w14:textId="01FD8EBC" w:rsidR="00DA135B" w:rsidRPr="00EC6A08" w:rsidRDefault="00DA135B" w:rsidP="00DA135B">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Coulter, S. (2014) </w:t>
      </w:r>
      <w:r w:rsidRPr="00EC6A08">
        <w:rPr>
          <w:rFonts w:ascii="Garamond" w:eastAsia="Times New Roman" w:hAnsi="Garamond" w:cs="Times New Roman"/>
          <w:i/>
          <w:sz w:val="24"/>
          <w:szCs w:val="24"/>
          <w:shd w:val="clear" w:color="auto" w:fill="FFFFFF"/>
          <w:lang w:eastAsia="en-GB"/>
        </w:rPr>
        <w:t>New Labour, Industrial Relations and Trade Unions</w:t>
      </w:r>
      <w:r w:rsidRPr="00EC6A08">
        <w:rPr>
          <w:rFonts w:ascii="Garamond" w:eastAsia="Times New Roman" w:hAnsi="Garamond" w:cs="Times New Roman"/>
          <w:sz w:val="24"/>
          <w:szCs w:val="24"/>
          <w:shd w:val="clear" w:color="auto" w:fill="FFFFFF"/>
          <w:lang w:eastAsia="en-GB"/>
        </w:rPr>
        <w:t xml:space="preserve"> (Basingstoke: Palgrave).</w:t>
      </w:r>
    </w:p>
    <w:p w14:paraId="24545928" w14:textId="170D76E7" w:rsidR="00AA23CD" w:rsidRPr="00EC6A08" w:rsidRDefault="00AA23CD" w:rsidP="00AA23CD">
      <w:pPr>
        <w:spacing w:after="0" w:line="360" w:lineRule="auto"/>
        <w:contextualSpacing/>
        <w:jc w:val="both"/>
        <w:rPr>
          <w:rFonts w:ascii="Garamond" w:hAnsi="Garamond"/>
          <w:bCs/>
          <w:kern w:val="36"/>
          <w:sz w:val="24"/>
          <w:szCs w:val="24"/>
        </w:rPr>
      </w:pPr>
      <w:r w:rsidRPr="00EC6A08">
        <w:rPr>
          <w:rFonts w:ascii="Garamond" w:hAnsi="Garamond"/>
          <w:bCs/>
          <w:kern w:val="36"/>
          <w:sz w:val="24"/>
          <w:szCs w:val="24"/>
        </w:rPr>
        <w:t xml:space="preserve">Crines, A. (2015) ‘Reforming Labour: The Leadership of Jeremy Corbyn’, </w:t>
      </w:r>
      <w:r w:rsidRPr="00EC6A08">
        <w:rPr>
          <w:rFonts w:ascii="Garamond" w:hAnsi="Garamond"/>
          <w:bCs/>
          <w:i/>
          <w:kern w:val="36"/>
          <w:sz w:val="24"/>
          <w:szCs w:val="24"/>
        </w:rPr>
        <w:t>Political Insight</w:t>
      </w:r>
      <w:r w:rsidRPr="00EC6A08">
        <w:rPr>
          <w:rFonts w:ascii="Garamond" w:hAnsi="Garamond"/>
          <w:bCs/>
          <w:kern w:val="36"/>
          <w:sz w:val="24"/>
          <w:szCs w:val="24"/>
        </w:rPr>
        <w:t>, 6(3): 4-7.</w:t>
      </w:r>
    </w:p>
    <w:p w14:paraId="0926E8BF"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roofErr w:type="spellStart"/>
      <w:r w:rsidRPr="00EC6A08">
        <w:rPr>
          <w:rFonts w:ascii="Garamond" w:eastAsia="Times New Roman" w:hAnsi="Garamond" w:cs="Times New Roman"/>
          <w:sz w:val="24"/>
          <w:szCs w:val="24"/>
          <w:shd w:val="clear" w:color="auto" w:fill="FFFFFF"/>
          <w:lang w:eastAsia="en-GB"/>
        </w:rPr>
        <w:t>Daddow</w:t>
      </w:r>
      <w:proofErr w:type="spellEnd"/>
      <w:r w:rsidRPr="00EC6A08">
        <w:rPr>
          <w:rFonts w:ascii="Garamond" w:eastAsia="Times New Roman" w:hAnsi="Garamond" w:cs="Times New Roman"/>
          <w:sz w:val="24"/>
          <w:szCs w:val="24"/>
          <w:shd w:val="clear" w:color="auto" w:fill="FFFFFF"/>
          <w:lang w:eastAsia="en-GB"/>
        </w:rPr>
        <w:t xml:space="preserve">, O. (2011) </w:t>
      </w:r>
      <w:r w:rsidRPr="00EC6A08">
        <w:rPr>
          <w:rFonts w:ascii="Garamond" w:eastAsia="Times New Roman" w:hAnsi="Garamond" w:cs="Times New Roman"/>
          <w:i/>
          <w:sz w:val="24"/>
          <w:szCs w:val="24"/>
          <w:shd w:val="clear" w:color="auto" w:fill="FFFFFF"/>
          <w:lang w:eastAsia="en-GB"/>
        </w:rPr>
        <w:t>New Labour and the European Union: Blair and Brown’s Logic of History</w:t>
      </w:r>
      <w:r w:rsidRPr="00EC6A08">
        <w:rPr>
          <w:rFonts w:ascii="Garamond" w:eastAsia="Times New Roman" w:hAnsi="Garamond" w:cs="Times New Roman"/>
          <w:sz w:val="24"/>
          <w:szCs w:val="24"/>
          <w:shd w:val="clear" w:color="auto" w:fill="FFFFFF"/>
          <w:lang w:eastAsia="en-GB"/>
        </w:rPr>
        <w:t xml:space="preserve">. Manchester: Manchester University Press. </w:t>
      </w:r>
    </w:p>
    <w:p w14:paraId="34BB9159" w14:textId="77777777" w:rsidR="009D073C" w:rsidRPr="00EC6A08" w:rsidRDefault="009D073C" w:rsidP="009D073C">
      <w:pPr>
        <w:shd w:val="clear" w:color="auto" w:fill="FFFFFF"/>
        <w:spacing w:before="240" w:line="360" w:lineRule="auto"/>
        <w:contextualSpacing/>
        <w:jc w:val="both"/>
        <w:rPr>
          <w:rFonts w:ascii="Garamond" w:hAnsi="Garamond"/>
          <w:sz w:val="24"/>
          <w:szCs w:val="24"/>
        </w:rPr>
      </w:pPr>
      <w:proofErr w:type="gramStart"/>
      <w:r w:rsidRPr="00EC6A08">
        <w:rPr>
          <w:rFonts w:ascii="Garamond" w:hAnsi="Garamond"/>
          <w:sz w:val="24"/>
          <w:szCs w:val="24"/>
        </w:rPr>
        <w:t xml:space="preserve">Dennison, J. and Goodwin, M. (2015) ‘Immigration, Issue Ownership and the Rise of UKIP’, </w:t>
      </w:r>
      <w:r w:rsidRPr="00EC6A08">
        <w:rPr>
          <w:rStyle w:val="Emphasis"/>
          <w:rFonts w:ascii="Garamond" w:hAnsi="Garamond"/>
          <w:sz w:val="24"/>
          <w:szCs w:val="24"/>
        </w:rPr>
        <w:t>Parliamentary Affairs</w:t>
      </w:r>
      <w:r w:rsidRPr="00EC6A08">
        <w:rPr>
          <w:rFonts w:ascii="Garamond" w:hAnsi="Garamond"/>
          <w:sz w:val="24"/>
          <w:szCs w:val="24"/>
        </w:rPr>
        <w:t>, 68(1), 168-87.</w:t>
      </w:r>
      <w:proofErr w:type="gramEnd"/>
      <w:r w:rsidRPr="00EC6A08">
        <w:rPr>
          <w:rFonts w:ascii="Garamond" w:hAnsi="Garamond"/>
          <w:sz w:val="24"/>
          <w:szCs w:val="24"/>
        </w:rPr>
        <w:t xml:space="preserve"> </w:t>
      </w:r>
    </w:p>
    <w:p w14:paraId="1AC3D262"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lastRenderedPageBreak/>
        <w:t xml:space="preserve">Diamond, P. (2016) ‘Assessing the Performance of UK Opposition Leaders: Jeremy Corbyn’s Straight Talking, Honest Politics’, </w:t>
      </w:r>
      <w:r w:rsidRPr="00EC6A08">
        <w:rPr>
          <w:rFonts w:ascii="Garamond" w:hAnsi="Garamond" w:cs="Times New Roman"/>
          <w:i/>
          <w:sz w:val="24"/>
          <w:szCs w:val="24"/>
        </w:rPr>
        <w:t>Politics and Governance</w:t>
      </w:r>
      <w:r w:rsidRPr="00EC6A08">
        <w:rPr>
          <w:rFonts w:ascii="Garamond" w:hAnsi="Garamond" w:cs="Times New Roman"/>
          <w:sz w:val="24"/>
          <w:szCs w:val="24"/>
        </w:rPr>
        <w:t xml:space="preserve">, 4 (2), 15-24. </w:t>
      </w:r>
    </w:p>
    <w:p w14:paraId="097D2653" w14:textId="63B4DD89" w:rsidR="00024E48" w:rsidRPr="00EC6A08" w:rsidRDefault="00024E48"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Dorey, P. and Denham, A. (2011) ‘O, brother, where art thou?’ The Labour Party leadership election of 2010’, </w:t>
      </w:r>
      <w:r w:rsidRPr="00EC6A08">
        <w:rPr>
          <w:rFonts w:ascii="Garamond" w:hAnsi="Garamond" w:cs="Times New Roman"/>
          <w:i/>
          <w:sz w:val="24"/>
          <w:szCs w:val="24"/>
        </w:rPr>
        <w:t>British Politics</w:t>
      </w:r>
      <w:r w:rsidRPr="00EC6A08">
        <w:rPr>
          <w:rFonts w:ascii="Garamond" w:hAnsi="Garamond" w:cs="Times New Roman"/>
          <w:sz w:val="24"/>
          <w:szCs w:val="24"/>
        </w:rPr>
        <w:t>, 6(3): 286-316.</w:t>
      </w:r>
    </w:p>
    <w:p w14:paraId="4C1F202A"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Dorey, P. and Denham, A. (2017)</w:t>
      </w:r>
      <w:r w:rsidRPr="00EC6A08">
        <w:rPr>
          <w:rFonts w:ascii="Garamond" w:eastAsia="Times New Roman" w:hAnsi="Garamond" w:cs="Times New Roman"/>
          <w:sz w:val="24"/>
          <w:szCs w:val="24"/>
          <w:lang w:eastAsia="en-GB"/>
        </w:rPr>
        <w:t xml:space="preserve"> ‘</w:t>
      </w:r>
      <w:proofErr w:type="gramStart"/>
      <w:r w:rsidRPr="00EC6A08">
        <w:rPr>
          <w:rFonts w:ascii="Garamond" w:eastAsia="Times New Roman" w:hAnsi="Garamond" w:cs="Times New Roman"/>
          <w:sz w:val="24"/>
          <w:szCs w:val="24"/>
          <w:lang w:eastAsia="en-GB"/>
        </w:rPr>
        <w:t>The</w:t>
      </w:r>
      <w:proofErr w:type="gramEnd"/>
      <w:r w:rsidRPr="00EC6A08">
        <w:rPr>
          <w:rFonts w:ascii="Garamond" w:eastAsia="Times New Roman" w:hAnsi="Garamond" w:cs="Times New Roman"/>
          <w:sz w:val="24"/>
          <w:szCs w:val="24"/>
          <w:lang w:eastAsia="en-GB"/>
        </w:rPr>
        <w:t xml:space="preserve"> Longest Suicide Note in History: The Labour Party Leadership Election of 2015’, </w:t>
      </w:r>
      <w:r w:rsidRPr="00EC6A08">
        <w:rPr>
          <w:rFonts w:ascii="Garamond" w:eastAsia="Times New Roman" w:hAnsi="Garamond" w:cs="Times New Roman"/>
          <w:i/>
          <w:iCs/>
          <w:sz w:val="24"/>
          <w:szCs w:val="24"/>
          <w:lang w:eastAsia="en-GB"/>
        </w:rPr>
        <w:t>British Politics</w:t>
      </w:r>
    </w:p>
    <w:p w14:paraId="6121D042"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Evans, G. and </w:t>
      </w:r>
      <w:proofErr w:type="spellStart"/>
      <w:r w:rsidRPr="00EC6A08">
        <w:rPr>
          <w:rFonts w:ascii="Garamond" w:eastAsia="Times New Roman" w:hAnsi="Garamond" w:cs="Times New Roman"/>
          <w:sz w:val="24"/>
          <w:szCs w:val="24"/>
          <w:shd w:val="clear" w:color="auto" w:fill="FFFFFF"/>
          <w:lang w:eastAsia="en-GB"/>
        </w:rPr>
        <w:t>Chzhen</w:t>
      </w:r>
      <w:proofErr w:type="spellEnd"/>
      <w:r w:rsidRPr="00EC6A08">
        <w:rPr>
          <w:rFonts w:ascii="Garamond" w:eastAsia="Times New Roman" w:hAnsi="Garamond" w:cs="Times New Roman"/>
          <w:sz w:val="24"/>
          <w:szCs w:val="24"/>
          <w:shd w:val="clear" w:color="auto" w:fill="FFFFFF"/>
          <w:lang w:eastAsia="en-GB"/>
        </w:rPr>
        <w:t>, K. (2013) ‘Explaining Voters’ Defection from Labour over the 2005–10 Electoral Cycle: Leadership, Economics and the Rising Importance of Immigration’, Political Studies, 61 (S1): 138-57.</w:t>
      </w:r>
    </w:p>
    <w:p w14:paraId="693F6E7B" w14:textId="77777777" w:rsidR="009D073C" w:rsidRPr="00EC6A08" w:rsidRDefault="009D073C" w:rsidP="009D073C">
      <w:pPr>
        <w:spacing w:after="0" w:line="360" w:lineRule="auto"/>
        <w:jc w:val="both"/>
        <w:rPr>
          <w:rFonts w:ascii="Garamond" w:hAnsi="Garamond"/>
          <w:sz w:val="24"/>
          <w:szCs w:val="24"/>
        </w:rPr>
      </w:pPr>
      <w:r w:rsidRPr="00EC6A08">
        <w:rPr>
          <w:rFonts w:ascii="Garamond" w:hAnsi="Garamond"/>
          <w:sz w:val="24"/>
          <w:szCs w:val="24"/>
        </w:rPr>
        <w:t xml:space="preserve">Freedland, J. (2016) ‘Jeremy Corbyn could heal Labour’s immigration divide. Sadly, he’s doing the opposite’, </w:t>
      </w:r>
      <w:r w:rsidRPr="00EC6A08">
        <w:rPr>
          <w:rFonts w:ascii="Garamond" w:hAnsi="Garamond"/>
          <w:i/>
          <w:sz w:val="24"/>
          <w:szCs w:val="24"/>
        </w:rPr>
        <w:t>The Guardian,</w:t>
      </w:r>
      <w:r w:rsidRPr="00EC6A08">
        <w:rPr>
          <w:rFonts w:ascii="Garamond" w:hAnsi="Garamond"/>
          <w:sz w:val="24"/>
          <w:szCs w:val="24"/>
        </w:rPr>
        <w:t xml:space="preserve"> 1 October. </w:t>
      </w:r>
    </w:p>
    <w:p w14:paraId="417E6436"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Heppell, T. (2010) </w:t>
      </w:r>
      <w:r w:rsidRPr="00EC6A08">
        <w:rPr>
          <w:rFonts w:ascii="Garamond" w:hAnsi="Garamond" w:cs="Times New Roman"/>
          <w:i/>
          <w:sz w:val="24"/>
          <w:szCs w:val="24"/>
        </w:rPr>
        <w:t>Choosing the Labour Leader: Labour Party Leadership Elections from Wilson to Brown</w:t>
      </w:r>
      <w:r w:rsidRPr="00EC6A08">
        <w:rPr>
          <w:rFonts w:ascii="Garamond" w:hAnsi="Garamond" w:cs="Times New Roman"/>
          <w:sz w:val="24"/>
          <w:szCs w:val="24"/>
        </w:rPr>
        <w:t xml:space="preserve">, London: IB Tauris. </w:t>
      </w:r>
    </w:p>
    <w:p w14:paraId="7B27B4FF"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Johnston, R., Pattie, C., Pemberton, H. and Wickham-Jones, M. (2016) ‘If You’ve Got Friends and Neighbours: Constituency Voting Patterns for the UK Labour Party Leader in 2010’, </w:t>
      </w:r>
      <w:r w:rsidRPr="00EC6A08">
        <w:rPr>
          <w:rFonts w:ascii="Garamond" w:eastAsia="Times New Roman" w:hAnsi="Garamond" w:cs="Times New Roman"/>
          <w:i/>
          <w:sz w:val="24"/>
          <w:szCs w:val="24"/>
          <w:shd w:val="clear" w:color="auto" w:fill="FFFFFF"/>
          <w:lang w:eastAsia="en-GB"/>
        </w:rPr>
        <w:t>Journal of Elections, Public Opinion and Parties</w:t>
      </w:r>
      <w:r w:rsidRPr="00EC6A08">
        <w:rPr>
          <w:rFonts w:ascii="Garamond" w:eastAsia="Times New Roman" w:hAnsi="Garamond" w:cs="Times New Roman"/>
          <w:sz w:val="24"/>
          <w:szCs w:val="24"/>
          <w:shd w:val="clear" w:color="auto" w:fill="FFFFFF"/>
          <w:lang w:eastAsia="en-GB"/>
        </w:rPr>
        <w:t>, 26 (1): 58-77.</w:t>
      </w:r>
    </w:p>
    <w:p w14:paraId="3D579106"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Johnston, R., Wickham-Jones, M., Pattie, C., and </w:t>
      </w:r>
      <w:proofErr w:type="spellStart"/>
      <w:r w:rsidRPr="00EC6A08">
        <w:rPr>
          <w:rFonts w:ascii="Garamond" w:eastAsia="Times New Roman" w:hAnsi="Garamond" w:cs="Times New Roman"/>
          <w:sz w:val="24"/>
          <w:szCs w:val="24"/>
          <w:shd w:val="clear" w:color="auto" w:fill="FFFFFF"/>
          <w:lang w:eastAsia="en-GB"/>
        </w:rPr>
        <w:t>Cutts</w:t>
      </w:r>
      <w:proofErr w:type="spellEnd"/>
      <w:r w:rsidRPr="00EC6A08">
        <w:rPr>
          <w:rFonts w:ascii="Garamond" w:eastAsia="Times New Roman" w:hAnsi="Garamond" w:cs="Times New Roman"/>
          <w:sz w:val="24"/>
          <w:szCs w:val="24"/>
          <w:shd w:val="clear" w:color="auto" w:fill="FFFFFF"/>
          <w:lang w:eastAsia="en-GB"/>
        </w:rPr>
        <w:t xml:space="preserve">, D. (2016) ‘Friends and Neighbours Revisited: The Geography of Support for Candidates to Lead the UK’s Labour Party’, </w:t>
      </w:r>
      <w:r w:rsidRPr="00EC6A08">
        <w:rPr>
          <w:rFonts w:ascii="Garamond" w:eastAsia="Times New Roman" w:hAnsi="Garamond" w:cs="Times New Roman"/>
          <w:i/>
          <w:sz w:val="24"/>
          <w:szCs w:val="24"/>
          <w:shd w:val="clear" w:color="auto" w:fill="FFFFFF"/>
          <w:lang w:eastAsia="en-GB"/>
        </w:rPr>
        <w:t xml:space="preserve">Political Geography, </w:t>
      </w:r>
      <w:r w:rsidRPr="00EC6A08">
        <w:rPr>
          <w:rFonts w:ascii="Garamond" w:eastAsia="Times New Roman" w:hAnsi="Garamond" w:cs="Times New Roman"/>
          <w:sz w:val="24"/>
          <w:szCs w:val="24"/>
          <w:shd w:val="clear" w:color="auto" w:fill="FFFFFF"/>
          <w:lang w:eastAsia="en-GB"/>
        </w:rPr>
        <w:t xml:space="preserve">55 (1): 1-9. </w:t>
      </w:r>
    </w:p>
    <w:p w14:paraId="63636CB8" w14:textId="77777777" w:rsidR="009D073C" w:rsidRPr="00EC6A08" w:rsidRDefault="009D073C" w:rsidP="007203C7">
      <w:pPr>
        <w:spacing w:after="0" w:line="360" w:lineRule="auto"/>
        <w:jc w:val="both"/>
        <w:rPr>
          <w:rFonts w:ascii="Garamond" w:hAnsi="Garamond" w:cs="Times New Roman"/>
          <w:sz w:val="24"/>
          <w:szCs w:val="24"/>
        </w:rPr>
      </w:pPr>
      <w:r w:rsidRPr="00EC6A08">
        <w:rPr>
          <w:rFonts w:ascii="Garamond" w:hAnsi="Garamond" w:cs="Times New Roman"/>
          <w:sz w:val="24"/>
          <w:szCs w:val="24"/>
        </w:rPr>
        <w:t xml:space="preserve">Katz, R. and </w:t>
      </w:r>
      <w:proofErr w:type="spellStart"/>
      <w:r w:rsidRPr="00EC6A08">
        <w:rPr>
          <w:rFonts w:ascii="Garamond" w:hAnsi="Garamond" w:cs="Times New Roman"/>
          <w:sz w:val="24"/>
          <w:szCs w:val="24"/>
        </w:rPr>
        <w:t>Mair</w:t>
      </w:r>
      <w:proofErr w:type="spellEnd"/>
      <w:r w:rsidRPr="00EC6A08">
        <w:rPr>
          <w:rFonts w:ascii="Garamond" w:hAnsi="Garamond" w:cs="Times New Roman"/>
          <w:sz w:val="24"/>
          <w:szCs w:val="24"/>
        </w:rPr>
        <w:t xml:space="preserve">, P. (1994) </w:t>
      </w:r>
      <w:r w:rsidRPr="00EC6A08">
        <w:rPr>
          <w:rFonts w:ascii="Garamond" w:hAnsi="Garamond" w:cs="Times New Roman"/>
          <w:i/>
          <w:sz w:val="24"/>
          <w:szCs w:val="24"/>
        </w:rPr>
        <w:t>How Parties Organise: Change and Adaptation in Party Organisations in Western Democracies</w:t>
      </w:r>
      <w:r w:rsidRPr="00EC6A08">
        <w:rPr>
          <w:rFonts w:ascii="Garamond" w:hAnsi="Garamond" w:cs="Times New Roman"/>
          <w:sz w:val="24"/>
          <w:szCs w:val="24"/>
        </w:rPr>
        <w:t>, London: Sage.</w:t>
      </w:r>
    </w:p>
    <w:p w14:paraId="784EAB01" w14:textId="77777777" w:rsidR="009D073C" w:rsidRPr="00EC6A08" w:rsidRDefault="009D073C" w:rsidP="007203C7">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Keen, R. and </w:t>
      </w:r>
      <w:proofErr w:type="spellStart"/>
      <w:r w:rsidRPr="00EC6A08">
        <w:rPr>
          <w:rFonts w:ascii="Garamond" w:hAnsi="Garamond" w:cs="Times New Roman"/>
          <w:sz w:val="24"/>
          <w:szCs w:val="24"/>
        </w:rPr>
        <w:t>Audickas</w:t>
      </w:r>
      <w:proofErr w:type="spellEnd"/>
      <w:r w:rsidRPr="00EC6A08">
        <w:rPr>
          <w:rFonts w:ascii="Garamond" w:hAnsi="Garamond" w:cs="Times New Roman"/>
          <w:sz w:val="24"/>
          <w:szCs w:val="24"/>
        </w:rPr>
        <w:t xml:space="preserve">, L. (2016) </w:t>
      </w:r>
      <w:r w:rsidRPr="00EC6A08">
        <w:rPr>
          <w:rFonts w:ascii="Garamond" w:hAnsi="Garamond" w:cs="Times New Roman"/>
          <w:i/>
          <w:sz w:val="24"/>
          <w:szCs w:val="24"/>
        </w:rPr>
        <w:t>Membership of UK Political Parties 2016,</w:t>
      </w:r>
      <w:r w:rsidRPr="00EC6A08">
        <w:rPr>
          <w:rFonts w:ascii="Garamond" w:hAnsi="Garamond" w:cs="Times New Roman"/>
          <w:sz w:val="24"/>
          <w:szCs w:val="24"/>
        </w:rPr>
        <w:t xml:space="preserve"> House of Commons Library 5</w:t>
      </w:r>
      <w:r w:rsidRPr="00EC6A08">
        <w:rPr>
          <w:rFonts w:ascii="Garamond" w:hAnsi="Garamond" w:cs="Times New Roman"/>
          <w:sz w:val="24"/>
          <w:szCs w:val="24"/>
          <w:vertAlign w:val="superscript"/>
        </w:rPr>
        <w:t>th</w:t>
      </w:r>
      <w:r w:rsidRPr="00EC6A08">
        <w:rPr>
          <w:rFonts w:ascii="Garamond" w:hAnsi="Garamond" w:cs="Times New Roman"/>
          <w:sz w:val="24"/>
          <w:szCs w:val="24"/>
        </w:rPr>
        <w:t xml:space="preserve"> August. </w:t>
      </w:r>
    </w:p>
    <w:p w14:paraId="7E3803F5"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Mason, R. (2015) ‘Labour leadership: Jeremy Corbyn elected with a huge mandate’, </w:t>
      </w:r>
      <w:r w:rsidRPr="00EC6A08">
        <w:rPr>
          <w:rFonts w:ascii="Garamond" w:hAnsi="Garamond" w:cs="Times New Roman"/>
          <w:i/>
          <w:sz w:val="24"/>
          <w:szCs w:val="24"/>
        </w:rPr>
        <w:t>The Guardian</w:t>
      </w:r>
      <w:r w:rsidRPr="00EC6A08">
        <w:rPr>
          <w:rFonts w:ascii="Garamond" w:hAnsi="Garamond" w:cs="Times New Roman"/>
          <w:sz w:val="24"/>
          <w:szCs w:val="24"/>
        </w:rPr>
        <w:t>, 12 September.</w:t>
      </w:r>
    </w:p>
    <w:p w14:paraId="651F8694" w14:textId="77777777" w:rsidR="00CA1CBB" w:rsidRPr="00EC6A08" w:rsidRDefault="009D073C" w:rsidP="00CA1CBB">
      <w:pPr>
        <w:spacing w:after="0" w:line="360" w:lineRule="auto"/>
        <w:contextualSpacing/>
        <w:jc w:val="both"/>
        <w:rPr>
          <w:rFonts w:ascii="Garamond" w:hAnsi="Garamond" w:cs="Times New Roman"/>
          <w:sz w:val="24"/>
          <w:szCs w:val="24"/>
        </w:rPr>
      </w:pPr>
      <w:proofErr w:type="spellStart"/>
      <w:r w:rsidRPr="00EC6A08">
        <w:rPr>
          <w:rFonts w:ascii="Garamond" w:hAnsi="Garamond" w:cs="Times New Roman"/>
          <w:sz w:val="24"/>
          <w:szCs w:val="24"/>
        </w:rPr>
        <w:t>Matland</w:t>
      </w:r>
      <w:proofErr w:type="spellEnd"/>
      <w:r w:rsidRPr="00EC6A08">
        <w:rPr>
          <w:rFonts w:ascii="Garamond" w:hAnsi="Garamond" w:cs="Times New Roman"/>
          <w:sz w:val="24"/>
          <w:szCs w:val="24"/>
        </w:rPr>
        <w:t xml:space="preserve">, R.E. and </w:t>
      </w:r>
      <w:proofErr w:type="spellStart"/>
      <w:r w:rsidRPr="00EC6A08">
        <w:rPr>
          <w:rFonts w:ascii="Garamond" w:hAnsi="Garamond" w:cs="Times New Roman"/>
          <w:sz w:val="24"/>
          <w:szCs w:val="24"/>
        </w:rPr>
        <w:t>Studlar</w:t>
      </w:r>
      <w:proofErr w:type="spellEnd"/>
      <w:r w:rsidRPr="00EC6A08">
        <w:rPr>
          <w:rFonts w:ascii="Garamond" w:hAnsi="Garamond" w:cs="Times New Roman"/>
          <w:sz w:val="24"/>
          <w:szCs w:val="24"/>
        </w:rPr>
        <w:t xml:space="preserve">, D.T. (2004) “Determinants of Legislative Turnover: A Cross-National Analysis”, </w:t>
      </w:r>
      <w:r w:rsidRPr="00EC6A08">
        <w:rPr>
          <w:rFonts w:ascii="Garamond" w:hAnsi="Garamond" w:cs="Times New Roman"/>
          <w:i/>
          <w:sz w:val="24"/>
          <w:szCs w:val="24"/>
        </w:rPr>
        <w:t>British Journal of Political Science</w:t>
      </w:r>
      <w:r w:rsidR="00CA1CBB" w:rsidRPr="00EC6A08">
        <w:rPr>
          <w:rFonts w:ascii="Garamond" w:hAnsi="Garamond" w:cs="Times New Roman"/>
          <w:sz w:val="24"/>
          <w:szCs w:val="24"/>
        </w:rPr>
        <w:t>, 34 (1), 87–108.</w:t>
      </w:r>
    </w:p>
    <w:p w14:paraId="59502828" w14:textId="0466F5C3" w:rsidR="00CA1CBB" w:rsidRPr="00EC6A08" w:rsidRDefault="00CA1CBB" w:rsidP="00CA1CBB">
      <w:pPr>
        <w:spacing w:after="0" w:line="360" w:lineRule="auto"/>
        <w:contextualSpacing/>
        <w:jc w:val="both"/>
        <w:rPr>
          <w:rFonts w:ascii="Garamond" w:hAnsi="Garamond" w:cs="Times New Roman"/>
          <w:sz w:val="24"/>
          <w:szCs w:val="24"/>
        </w:rPr>
      </w:pPr>
      <w:r w:rsidRPr="00EC6A08">
        <w:rPr>
          <w:rFonts w:ascii="Garamond" w:eastAsia="Times New Roman" w:hAnsi="Garamond" w:cs="Times New Roman"/>
          <w:iCs/>
          <w:sz w:val="24"/>
          <w:szCs w:val="24"/>
          <w:lang w:val="en" w:eastAsia="en-GB"/>
        </w:rPr>
        <w:t xml:space="preserve">May J. (1973) ‘Opinion Structure of Political Parties: The Special Law of Curvilinear Disparity’, </w:t>
      </w:r>
      <w:r w:rsidRPr="00EC6A08">
        <w:rPr>
          <w:rFonts w:ascii="Garamond" w:eastAsia="Times New Roman" w:hAnsi="Garamond" w:cs="Times New Roman"/>
          <w:i/>
          <w:iCs/>
          <w:sz w:val="24"/>
          <w:szCs w:val="24"/>
          <w:lang w:val="en" w:eastAsia="en-GB"/>
        </w:rPr>
        <w:t>Political Studies</w:t>
      </w:r>
      <w:r w:rsidRPr="00EC6A08">
        <w:rPr>
          <w:rFonts w:ascii="Garamond" w:eastAsia="Times New Roman" w:hAnsi="Garamond" w:cs="Times New Roman"/>
          <w:iCs/>
          <w:sz w:val="24"/>
          <w:szCs w:val="24"/>
          <w:lang w:val="en" w:eastAsia="en-GB"/>
        </w:rPr>
        <w:t>, 21(2):135–51</w:t>
      </w:r>
      <w:r w:rsidRPr="00EC6A08">
        <w:rPr>
          <w:rFonts w:ascii="Times New Roman" w:eastAsia="Times New Roman" w:hAnsi="Times New Roman" w:cs="Times New Roman"/>
          <w:i/>
          <w:iCs/>
          <w:sz w:val="24"/>
          <w:szCs w:val="24"/>
          <w:lang w:val="en" w:eastAsia="en-GB"/>
        </w:rPr>
        <w:t>.</w:t>
      </w:r>
    </w:p>
    <w:p w14:paraId="0F8DCCD9" w14:textId="77777777" w:rsidR="00A43253" w:rsidRPr="00EC6A08" w:rsidRDefault="00A43253" w:rsidP="00A43253">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roofErr w:type="spellStart"/>
      <w:r w:rsidRPr="00EC6A08">
        <w:rPr>
          <w:rFonts w:ascii="Garamond" w:eastAsia="Times New Roman" w:hAnsi="Garamond" w:cs="Times New Roman"/>
          <w:sz w:val="24"/>
          <w:szCs w:val="24"/>
          <w:shd w:val="clear" w:color="auto" w:fill="FFFFFF"/>
          <w:lang w:eastAsia="en-GB"/>
        </w:rPr>
        <w:t>McSmith</w:t>
      </w:r>
      <w:proofErr w:type="spellEnd"/>
      <w:r w:rsidRPr="00EC6A08">
        <w:rPr>
          <w:rFonts w:ascii="Garamond" w:eastAsia="Times New Roman" w:hAnsi="Garamond" w:cs="Times New Roman"/>
          <w:sz w:val="24"/>
          <w:szCs w:val="24"/>
          <w:shd w:val="clear" w:color="auto" w:fill="FFFFFF"/>
          <w:lang w:eastAsia="en-GB"/>
        </w:rPr>
        <w:t xml:space="preserve">, A. (2016) ‘The Jeremy Corbyn leadership challenge is reducing the most senior members of Labour to tears’, </w:t>
      </w:r>
      <w:r w:rsidRPr="00EC6A08">
        <w:rPr>
          <w:rFonts w:ascii="Garamond" w:eastAsia="Times New Roman" w:hAnsi="Garamond" w:cs="Times New Roman"/>
          <w:i/>
          <w:sz w:val="24"/>
          <w:szCs w:val="24"/>
          <w:shd w:val="clear" w:color="auto" w:fill="FFFFFF"/>
          <w:lang w:eastAsia="en-GB"/>
        </w:rPr>
        <w:t>The Independent</w:t>
      </w:r>
      <w:r w:rsidRPr="00EC6A08">
        <w:rPr>
          <w:rFonts w:ascii="Garamond" w:eastAsia="Times New Roman" w:hAnsi="Garamond" w:cs="Times New Roman"/>
          <w:sz w:val="24"/>
          <w:szCs w:val="24"/>
          <w:shd w:val="clear" w:color="auto" w:fill="FFFFFF"/>
          <w:lang w:eastAsia="en-GB"/>
        </w:rPr>
        <w:t>, 1 July.</w:t>
      </w:r>
    </w:p>
    <w:p w14:paraId="0C936BA1" w14:textId="43817F55" w:rsidR="00482C8D" w:rsidRPr="00EC6A08" w:rsidRDefault="00482C8D" w:rsidP="00A43253">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 xml:space="preserve">Miller, W. (1984) ‘There was no alternative: The British General Election of 1984’, </w:t>
      </w:r>
      <w:r w:rsidRPr="00EC6A08">
        <w:rPr>
          <w:rFonts w:ascii="Garamond" w:eastAsia="Times New Roman" w:hAnsi="Garamond" w:cs="Times New Roman"/>
          <w:i/>
          <w:sz w:val="24"/>
          <w:szCs w:val="24"/>
          <w:shd w:val="clear" w:color="auto" w:fill="FFFFFF"/>
          <w:lang w:eastAsia="en-GB"/>
        </w:rPr>
        <w:t xml:space="preserve">Parliamentary Affairs, </w:t>
      </w:r>
      <w:r w:rsidRPr="00EC6A08">
        <w:rPr>
          <w:rFonts w:ascii="Garamond" w:eastAsia="Times New Roman" w:hAnsi="Garamond" w:cs="Times New Roman"/>
          <w:sz w:val="24"/>
          <w:szCs w:val="24"/>
          <w:shd w:val="clear" w:color="auto" w:fill="FFFFFF"/>
          <w:lang w:eastAsia="en-GB"/>
        </w:rPr>
        <w:t xml:space="preserve">37 (1): 364-84. </w:t>
      </w:r>
    </w:p>
    <w:p w14:paraId="4DF85714" w14:textId="77777777" w:rsidR="009D073C" w:rsidRPr="00EC6A08" w:rsidRDefault="009D073C" w:rsidP="009D073C">
      <w:pPr>
        <w:spacing w:after="0" w:line="360" w:lineRule="auto"/>
        <w:contextualSpacing/>
        <w:jc w:val="both"/>
        <w:rPr>
          <w:rFonts w:ascii="Garamond" w:hAnsi="Garamond" w:cs="Times New Roman"/>
          <w:sz w:val="24"/>
          <w:szCs w:val="24"/>
        </w:rPr>
      </w:pPr>
      <w:proofErr w:type="spellStart"/>
      <w:r w:rsidRPr="00EC6A08">
        <w:rPr>
          <w:rFonts w:ascii="Garamond" w:hAnsi="Garamond" w:cs="Times New Roman"/>
          <w:sz w:val="24"/>
          <w:szCs w:val="24"/>
        </w:rPr>
        <w:lastRenderedPageBreak/>
        <w:t>Minkin</w:t>
      </w:r>
      <w:proofErr w:type="spellEnd"/>
      <w:r w:rsidRPr="00EC6A08">
        <w:rPr>
          <w:rFonts w:ascii="Garamond" w:hAnsi="Garamond" w:cs="Times New Roman"/>
          <w:sz w:val="24"/>
          <w:szCs w:val="24"/>
        </w:rPr>
        <w:t xml:space="preserve">, L. (2014) </w:t>
      </w:r>
      <w:r w:rsidRPr="00EC6A08">
        <w:rPr>
          <w:rFonts w:ascii="Garamond" w:hAnsi="Garamond" w:cs="Times New Roman"/>
          <w:i/>
          <w:sz w:val="24"/>
          <w:szCs w:val="24"/>
        </w:rPr>
        <w:t>The Blair supremacy: A study in the politics of Labour party management</w:t>
      </w:r>
      <w:r w:rsidRPr="00EC6A08">
        <w:rPr>
          <w:rFonts w:ascii="Garamond" w:hAnsi="Garamond" w:cs="Times New Roman"/>
          <w:sz w:val="24"/>
          <w:szCs w:val="24"/>
        </w:rPr>
        <w:t>. Manchester: Manchester University Press.</w:t>
      </w:r>
    </w:p>
    <w:p w14:paraId="409C0CD9" w14:textId="77777777" w:rsidR="00CA07D2" w:rsidRPr="00EC6A08" w:rsidRDefault="00CA07D2" w:rsidP="00CA07D2">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roofErr w:type="spellStart"/>
      <w:r w:rsidRPr="00EC6A08">
        <w:rPr>
          <w:rFonts w:ascii="Garamond" w:eastAsia="Times New Roman" w:hAnsi="Garamond" w:cs="Times New Roman"/>
          <w:sz w:val="24"/>
          <w:szCs w:val="24"/>
          <w:shd w:val="clear" w:color="auto" w:fill="FFFFFF"/>
          <w:lang w:eastAsia="en-GB"/>
        </w:rPr>
        <w:t>Perraudin</w:t>
      </w:r>
      <w:proofErr w:type="spellEnd"/>
      <w:r w:rsidRPr="00EC6A08">
        <w:rPr>
          <w:rFonts w:ascii="Garamond" w:eastAsia="Times New Roman" w:hAnsi="Garamond" w:cs="Times New Roman"/>
          <w:sz w:val="24"/>
          <w:szCs w:val="24"/>
          <w:shd w:val="clear" w:color="auto" w:fill="FFFFFF"/>
          <w:lang w:eastAsia="en-GB"/>
        </w:rPr>
        <w:t xml:space="preserve">, F. (2016) ‘Labour </w:t>
      </w:r>
      <w:proofErr w:type="spellStart"/>
      <w:r w:rsidRPr="00EC6A08">
        <w:rPr>
          <w:rFonts w:ascii="Garamond" w:eastAsia="Times New Roman" w:hAnsi="Garamond" w:cs="Times New Roman"/>
          <w:sz w:val="24"/>
          <w:szCs w:val="24"/>
          <w:shd w:val="clear" w:color="auto" w:fill="FFFFFF"/>
          <w:lang w:eastAsia="en-GB"/>
        </w:rPr>
        <w:t>Eurosceptics</w:t>
      </w:r>
      <w:proofErr w:type="spellEnd"/>
      <w:r w:rsidRPr="00EC6A08">
        <w:rPr>
          <w:rFonts w:ascii="Garamond" w:eastAsia="Times New Roman" w:hAnsi="Garamond" w:cs="Times New Roman"/>
          <w:sz w:val="24"/>
          <w:szCs w:val="24"/>
          <w:shd w:val="clear" w:color="auto" w:fill="FFFFFF"/>
          <w:lang w:eastAsia="en-GB"/>
        </w:rPr>
        <w:t xml:space="preserve"> accuse Corbyn of reversing his position on EU Referendum’, </w:t>
      </w:r>
      <w:r w:rsidRPr="00EC6A08">
        <w:rPr>
          <w:rFonts w:ascii="Garamond" w:eastAsia="Times New Roman" w:hAnsi="Garamond" w:cs="Times New Roman"/>
          <w:i/>
          <w:sz w:val="24"/>
          <w:szCs w:val="24"/>
          <w:shd w:val="clear" w:color="auto" w:fill="FFFFFF"/>
          <w:lang w:eastAsia="en-GB"/>
        </w:rPr>
        <w:t>The Guardian</w:t>
      </w:r>
      <w:r w:rsidRPr="00EC6A08">
        <w:rPr>
          <w:rFonts w:ascii="Garamond" w:eastAsia="Times New Roman" w:hAnsi="Garamond" w:cs="Times New Roman"/>
          <w:sz w:val="24"/>
          <w:szCs w:val="24"/>
          <w:shd w:val="clear" w:color="auto" w:fill="FFFFFF"/>
          <w:lang w:eastAsia="en-GB"/>
        </w:rPr>
        <w:t>, 20 January.</w:t>
      </w:r>
    </w:p>
    <w:p w14:paraId="189E39AE"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Quinn, T. (2004) Electing the leader: The British Labour Party’s Electoral College’, </w:t>
      </w:r>
      <w:r w:rsidRPr="00EC6A08">
        <w:rPr>
          <w:rFonts w:ascii="Garamond" w:hAnsi="Garamond" w:cs="Times New Roman"/>
          <w:i/>
          <w:sz w:val="24"/>
          <w:szCs w:val="24"/>
        </w:rPr>
        <w:t>British Journal of Politics and International Relations</w:t>
      </w:r>
      <w:r w:rsidRPr="00EC6A08">
        <w:rPr>
          <w:rFonts w:ascii="Garamond" w:hAnsi="Garamond" w:cs="Times New Roman"/>
          <w:sz w:val="24"/>
          <w:szCs w:val="24"/>
        </w:rPr>
        <w:t xml:space="preserve">, 6(3): 333-52. </w:t>
      </w:r>
    </w:p>
    <w:p w14:paraId="0917770B" w14:textId="77777777" w:rsidR="009D073C" w:rsidRPr="00EC6A08" w:rsidRDefault="009D073C" w:rsidP="009D073C">
      <w:pPr>
        <w:spacing w:after="0" w:line="360" w:lineRule="auto"/>
        <w:contextualSpacing/>
        <w:jc w:val="both"/>
        <w:rPr>
          <w:rFonts w:ascii="Garamond" w:hAnsi="Garamond" w:cs="Times New Roman"/>
          <w:sz w:val="24"/>
          <w:szCs w:val="24"/>
        </w:rPr>
      </w:pPr>
      <w:proofErr w:type="gramStart"/>
      <w:r w:rsidRPr="00EC6A08">
        <w:rPr>
          <w:rFonts w:ascii="Garamond" w:hAnsi="Garamond" w:cs="Times New Roman"/>
          <w:sz w:val="24"/>
          <w:szCs w:val="24"/>
        </w:rPr>
        <w:t>Quinn, T. (2005) ‘Leasehold or freehold?</w:t>
      </w:r>
      <w:proofErr w:type="gramEnd"/>
      <w:r w:rsidRPr="00EC6A08">
        <w:rPr>
          <w:rFonts w:ascii="Garamond" w:hAnsi="Garamond" w:cs="Times New Roman"/>
          <w:sz w:val="24"/>
          <w:szCs w:val="24"/>
        </w:rPr>
        <w:t xml:space="preserve"> Leader-eviction rules in the British Conservative and Labour Parties’, </w:t>
      </w:r>
      <w:r w:rsidRPr="00EC6A08">
        <w:rPr>
          <w:rFonts w:ascii="Garamond" w:hAnsi="Garamond" w:cs="Times New Roman"/>
          <w:i/>
          <w:sz w:val="24"/>
          <w:szCs w:val="24"/>
        </w:rPr>
        <w:t>Political Studies</w:t>
      </w:r>
      <w:r w:rsidRPr="00EC6A08">
        <w:rPr>
          <w:rFonts w:ascii="Garamond" w:hAnsi="Garamond" w:cs="Times New Roman"/>
          <w:sz w:val="24"/>
          <w:szCs w:val="24"/>
        </w:rPr>
        <w:t>, 53(4): 793–815.</w:t>
      </w:r>
    </w:p>
    <w:p w14:paraId="42DFC124" w14:textId="73F74BE0" w:rsidR="009B6D7A" w:rsidRPr="00EC6A08" w:rsidRDefault="005533BE" w:rsidP="009D073C">
      <w:pPr>
        <w:spacing w:after="0" w:line="360" w:lineRule="auto"/>
        <w:contextualSpacing/>
        <w:rPr>
          <w:rFonts w:ascii="Garamond" w:hAnsi="Garamond" w:cs="Times New Roman"/>
          <w:sz w:val="24"/>
          <w:szCs w:val="24"/>
        </w:rPr>
      </w:pPr>
      <w:r w:rsidRPr="00EC6A08">
        <w:rPr>
          <w:rFonts w:ascii="Garamond" w:hAnsi="Garamond" w:cs="Times New Roman"/>
          <w:sz w:val="24"/>
          <w:szCs w:val="24"/>
        </w:rPr>
        <w:t xml:space="preserve">Quinn, T. (2010) ‘Membership Ballots in Party Leadership Selection in Britain’, </w:t>
      </w:r>
      <w:r w:rsidRPr="00EC6A08">
        <w:rPr>
          <w:rFonts w:ascii="Garamond" w:hAnsi="Garamond" w:cs="Times New Roman"/>
          <w:i/>
          <w:sz w:val="24"/>
          <w:szCs w:val="24"/>
        </w:rPr>
        <w:t>Representation</w:t>
      </w:r>
      <w:r w:rsidRPr="00EC6A08">
        <w:rPr>
          <w:rFonts w:ascii="Garamond" w:hAnsi="Garamond" w:cs="Times New Roman"/>
          <w:sz w:val="24"/>
          <w:szCs w:val="24"/>
        </w:rPr>
        <w:t>, 46 (1): 101-17.</w:t>
      </w:r>
    </w:p>
    <w:p w14:paraId="643EA8A0" w14:textId="77777777" w:rsidR="009D073C" w:rsidRPr="00EC6A08" w:rsidRDefault="009D073C" w:rsidP="009D073C">
      <w:pPr>
        <w:spacing w:after="0" w:line="360" w:lineRule="auto"/>
        <w:contextualSpacing/>
        <w:rPr>
          <w:rFonts w:ascii="Garamond" w:hAnsi="Garamond" w:cs="Times New Roman"/>
          <w:sz w:val="24"/>
          <w:szCs w:val="24"/>
        </w:rPr>
      </w:pPr>
      <w:proofErr w:type="gramStart"/>
      <w:r w:rsidRPr="00EC6A08">
        <w:rPr>
          <w:rFonts w:ascii="Garamond" w:hAnsi="Garamond" w:cs="Times New Roman"/>
          <w:sz w:val="24"/>
          <w:szCs w:val="24"/>
        </w:rPr>
        <w:t xml:space="preserve">Quinn T (2012) </w:t>
      </w:r>
      <w:r w:rsidRPr="00EC6A08">
        <w:rPr>
          <w:rFonts w:ascii="Garamond" w:hAnsi="Garamond" w:cs="Times New Roman"/>
          <w:i/>
          <w:sz w:val="24"/>
          <w:szCs w:val="24"/>
        </w:rPr>
        <w:t>Electing and Ejecting Party Leaders in Britain</w:t>
      </w:r>
      <w:r w:rsidRPr="00EC6A08">
        <w:rPr>
          <w:rFonts w:ascii="Garamond" w:hAnsi="Garamond" w:cs="Times New Roman"/>
          <w:sz w:val="24"/>
          <w:szCs w:val="24"/>
        </w:rPr>
        <w:t>, Basingstoke: Palgrave.</w:t>
      </w:r>
      <w:proofErr w:type="gramEnd"/>
      <w:r w:rsidRPr="00EC6A08">
        <w:rPr>
          <w:rFonts w:ascii="Garamond" w:hAnsi="Garamond" w:cs="Times New Roman"/>
          <w:sz w:val="24"/>
          <w:szCs w:val="24"/>
        </w:rPr>
        <w:t xml:space="preserve"> </w:t>
      </w:r>
    </w:p>
    <w:p w14:paraId="52D7F4D7" w14:textId="3BA3E9A3" w:rsidR="00CA07D2" w:rsidRPr="00EC6A08" w:rsidRDefault="009D073C" w:rsidP="009D073C">
      <w:pPr>
        <w:spacing w:after="0" w:line="360" w:lineRule="auto"/>
        <w:contextualSpacing/>
        <w:jc w:val="both"/>
        <w:rPr>
          <w:rFonts w:ascii="Garamond" w:hAnsi="Garamond" w:cs="Times New Roman"/>
          <w:sz w:val="24"/>
          <w:szCs w:val="24"/>
        </w:rPr>
      </w:pPr>
      <w:proofErr w:type="gramStart"/>
      <w:r w:rsidRPr="00EC6A08">
        <w:rPr>
          <w:rFonts w:ascii="Garamond" w:hAnsi="Garamond" w:cs="Times New Roman"/>
          <w:sz w:val="24"/>
          <w:szCs w:val="24"/>
        </w:rPr>
        <w:t xml:space="preserve">Quinn, T. (2017) </w:t>
      </w:r>
      <w:r w:rsidR="001F1671" w:rsidRPr="00EC6A08">
        <w:rPr>
          <w:rFonts w:ascii="Garamond" w:hAnsi="Garamond" w:cs="Times New Roman"/>
          <w:sz w:val="24"/>
          <w:szCs w:val="24"/>
        </w:rPr>
        <w:t xml:space="preserve">‘The British Labour Leadership Election of 2015’, </w:t>
      </w:r>
      <w:r w:rsidR="001F1671" w:rsidRPr="00EC6A08">
        <w:rPr>
          <w:rFonts w:ascii="Garamond" w:hAnsi="Garamond" w:cs="Times New Roman"/>
          <w:i/>
          <w:sz w:val="24"/>
          <w:szCs w:val="24"/>
        </w:rPr>
        <w:t>British Journal of Politics and International Relations</w:t>
      </w:r>
      <w:r w:rsidR="001F1671" w:rsidRPr="00EC6A08">
        <w:rPr>
          <w:rFonts w:ascii="Garamond" w:hAnsi="Garamond" w:cs="Times New Roman"/>
          <w:sz w:val="24"/>
          <w:szCs w:val="24"/>
        </w:rPr>
        <w:t>, forthcoming.</w:t>
      </w:r>
      <w:proofErr w:type="gramEnd"/>
    </w:p>
    <w:p w14:paraId="41D8B977"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proofErr w:type="gramStart"/>
      <w:r w:rsidRPr="00EC6A08">
        <w:rPr>
          <w:rFonts w:ascii="Garamond" w:eastAsia="Times New Roman" w:hAnsi="Garamond" w:cs="Times New Roman"/>
          <w:sz w:val="24"/>
          <w:szCs w:val="24"/>
          <w:shd w:val="clear" w:color="auto" w:fill="FFFFFF"/>
          <w:lang w:eastAsia="en-GB"/>
        </w:rPr>
        <w:t xml:space="preserve">Ramesh, R. (2015) ‘Northern English Labour MPs criticise Corbyn for London focused speech’, </w:t>
      </w:r>
      <w:r w:rsidRPr="00EC6A08">
        <w:rPr>
          <w:rFonts w:ascii="Garamond" w:eastAsia="Times New Roman" w:hAnsi="Garamond" w:cs="Times New Roman"/>
          <w:i/>
          <w:sz w:val="24"/>
          <w:szCs w:val="24"/>
          <w:shd w:val="clear" w:color="auto" w:fill="FFFFFF"/>
          <w:lang w:eastAsia="en-GB"/>
        </w:rPr>
        <w:t>The Guardian</w:t>
      </w:r>
      <w:r w:rsidRPr="00EC6A08">
        <w:rPr>
          <w:rFonts w:ascii="Garamond" w:eastAsia="Times New Roman" w:hAnsi="Garamond" w:cs="Times New Roman"/>
          <w:sz w:val="24"/>
          <w:szCs w:val="24"/>
          <w:shd w:val="clear" w:color="auto" w:fill="FFFFFF"/>
          <w:lang w:eastAsia="en-GB"/>
        </w:rPr>
        <w:t>, 29 September.</w:t>
      </w:r>
      <w:proofErr w:type="gramEnd"/>
    </w:p>
    <w:p w14:paraId="40516B5A" w14:textId="4ACD7830" w:rsidR="00BB7FC8" w:rsidRPr="00EC6A08" w:rsidRDefault="00BB7FC8" w:rsidP="00BB7FC8">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Richards, S. (2016) ‘Leadership, loyalty and the rise of Jeremy Corbyn’, </w:t>
      </w:r>
      <w:r w:rsidRPr="00EC6A08">
        <w:rPr>
          <w:rFonts w:ascii="Garamond" w:hAnsi="Garamond" w:cs="Times New Roman"/>
          <w:i/>
          <w:sz w:val="24"/>
          <w:szCs w:val="24"/>
        </w:rPr>
        <w:t>Political Quarterly</w:t>
      </w:r>
      <w:r w:rsidRPr="00EC6A08">
        <w:rPr>
          <w:rFonts w:ascii="Garamond" w:hAnsi="Garamond" w:cs="Times New Roman"/>
          <w:sz w:val="24"/>
          <w:szCs w:val="24"/>
        </w:rPr>
        <w:t>, 87(1), 12-17.</w:t>
      </w:r>
    </w:p>
    <w:p w14:paraId="768A5EB2" w14:textId="562E266D" w:rsidR="00D756B6" w:rsidRPr="00EC6A08" w:rsidRDefault="00D756B6" w:rsidP="00BB7FC8">
      <w:pPr>
        <w:spacing w:after="0" w:line="360" w:lineRule="auto"/>
        <w:contextualSpacing/>
        <w:jc w:val="both"/>
        <w:rPr>
          <w:rFonts w:ascii="Garamond" w:hAnsi="Garamond" w:cs="Times New Roman"/>
          <w:sz w:val="24"/>
          <w:szCs w:val="24"/>
        </w:rPr>
      </w:pPr>
      <w:proofErr w:type="gramStart"/>
      <w:r w:rsidRPr="00EC6A08">
        <w:rPr>
          <w:rFonts w:ascii="Garamond" w:hAnsi="Garamond" w:cs="Times New Roman"/>
          <w:sz w:val="24"/>
          <w:szCs w:val="24"/>
        </w:rPr>
        <w:t>Rose</w:t>
      </w:r>
      <w:proofErr w:type="gramEnd"/>
      <w:r w:rsidRPr="00EC6A08">
        <w:rPr>
          <w:rFonts w:ascii="Garamond" w:hAnsi="Garamond" w:cs="Times New Roman"/>
          <w:sz w:val="24"/>
          <w:szCs w:val="24"/>
        </w:rPr>
        <w:t xml:space="preserve">, R. (1964) ‘Factions and Tendencies in Britain’, </w:t>
      </w:r>
      <w:r w:rsidRPr="00EC6A08">
        <w:rPr>
          <w:rFonts w:ascii="Garamond" w:hAnsi="Garamond" w:cs="Times New Roman"/>
          <w:i/>
          <w:sz w:val="24"/>
          <w:szCs w:val="24"/>
        </w:rPr>
        <w:t>Political Studies</w:t>
      </w:r>
      <w:r w:rsidRPr="00EC6A08">
        <w:rPr>
          <w:rFonts w:ascii="Garamond" w:hAnsi="Garamond" w:cs="Times New Roman"/>
          <w:sz w:val="24"/>
          <w:szCs w:val="24"/>
        </w:rPr>
        <w:t xml:space="preserve">, 12 (1): 33-46. </w:t>
      </w:r>
    </w:p>
    <w:p w14:paraId="3FCA82BE" w14:textId="77777777" w:rsidR="009D073C" w:rsidRPr="00EC6A08" w:rsidRDefault="009D073C" w:rsidP="009D073C">
      <w:pPr>
        <w:spacing w:after="0" w:line="360" w:lineRule="auto"/>
        <w:jc w:val="both"/>
        <w:rPr>
          <w:rFonts w:ascii="Garamond" w:hAnsi="Garamond" w:cs="Times New Roman"/>
          <w:sz w:val="24"/>
          <w:szCs w:val="24"/>
        </w:rPr>
      </w:pPr>
      <w:r w:rsidRPr="00EC6A08">
        <w:rPr>
          <w:rFonts w:ascii="Garamond" w:hAnsi="Garamond" w:cs="Times New Roman"/>
          <w:sz w:val="24"/>
          <w:szCs w:val="24"/>
        </w:rPr>
        <w:t xml:space="preserve">Russell, M. (2016) ‘Corbyn as an Organisational Phenomenon: A Response to Steve Richards’, </w:t>
      </w:r>
      <w:r w:rsidRPr="00EC6A08">
        <w:rPr>
          <w:rFonts w:ascii="Garamond" w:hAnsi="Garamond" w:cs="Times New Roman"/>
          <w:i/>
          <w:sz w:val="24"/>
          <w:szCs w:val="24"/>
        </w:rPr>
        <w:t>Political Quarterly</w:t>
      </w:r>
      <w:r w:rsidRPr="00EC6A08">
        <w:rPr>
          <w:rFonts w:ascii="Garamond" w:hAnsi="Garamond" w:cs="Times New Roman"/>
          <w:sz w:val="24"/>
          <w:szCs w:val="24"/>
        </w:rPr>
        <w:t>, 87 (1): 20-2.</w:t>
      </w:r>
    </w:p>
    <w:p w14:paraId="570692DB" w14:textId="77777777" w:rsidR="009D073C" w:rsidRPr="00EC6A08" w:rsidRDefault="009D073C" w:rsidP="009D073C">
      <w:pPr>
        <w:spacing w:after="0" w:line="360" w:lineRule="auto"/>
        <w:contextualSpacing/>
        <w:jc w:val="both"/>
        <w:rPr>
          <w:rFonts w:ascii="Garamond" w:hAnsi="Garamond" w:cs="Times New Roman"/>
          <w:sz w:val="24"/>
          <w:szCs w:val="24"/>
        </w:rPr>
      </w:pPr>
      <w:proofErr w:type="spellStart"/>
      <w:proofErr w:type="gramStart"/>
      <w:r w:rsidRPr="00EC6A08">
        <w:rPr>
          <w:rFonts w:ascii="Garamond" w:hAnsi="Garamond" w:cs="Times New Roman"/>
          <w:sz w:val="24"/>
          <w:szCs w:val="24"/>
        </w:rPr>
        <w:t>Scarrow</w:t>
      </w:r>
      <w:proofErr w:type="spellEnd"/>
      <w:r w:rsidRPr="00EC6A08">
        <w:rPr>
          <w:rFonts w:ascii="Garamond" w:hAnsi="Garamond" w:cs="Times New Roman"/>
          <w:sz w:val="24"/>
          <w:szCs w:val="24"/>
        </w:rPr>
        <w:t xml:space="preserve">, S. and </w:t>
      </w:r>
      <w:proofErr w:type="spellStart"/>
      <w:r w:rsidRPr="00EC6A08">
        <w:rPr>
          <w:rFonts w:ascii="Garamond" w:hAnsi="Garamond" w:cs="Times New Roman"/>
          <w:sz w:val="24"/>
          <w:szCs w:val="24"/>
        </w:rPr>
        <w:t>Gezgor</w:t>
      </w:r>
      <w:proofErr w:type="spellEnd"/>
      <w:r w:rsidRPr="00EC6A08">
        <w:rPr>
          <w:rFonts w:ascii="Garamond" w:hAnsi="Garamond" w:cs="Times New Roman"/>
          <w:sz w:val="24"/>
          <w:szCs w:val="24"/>
        </w:rPr>
        <w:t>, B. (2010) ‘Declining memberships, changing members?</w:t>
      </w:r>
      <w:proofErr w:type="gramEnd"/>
      <w:r w:rsidRPr="00EC6A08">
        <w:rPr>
          <w:rFonts w:ascii="Garamond" w:hAnsi="Garamond" w:cs="Times New Roman"/>
          <w:sz w:val="24"/>
          <w:szCs w:val="24"/>
        </w:rPr>
        <w:t xml:space="preserve"> </w:t>
      </w:r>
      <w:proofErr w:type="gramStart"/>
      <w:r w:rsidRPr="00EC6A08">
        <w:rPr>
          <w:rFonts w:ascii="Garamond" w:hAnsi="Garamond" w:cs="Times New Roman"/>
          <w:sz w:val="24"/>
          <w:szCs w:val="24"/>
        </w:rPr>
        <w:t xml:space="preserve">European political party members in a new era’, </w:t>
      </w:r>
      <w:r w:rsidRPr="00EC6A08">
        <w:rPr>
          <w:rFonts w:ascii="Garamond" w:hAnsi="Garamond" w:cs="Times New Roman"/>
          <w:i/>
          <w:sz w:val="24"/>
          <w:szCs w:val="24"/>
        </w:rPr>
        <w:t>Party Politics</w:t>
      </w:r>
      <w:r w:rsidRPr="00EC6A08">
        <w:rPr>
          <w:rFonts w:ascii="Garamond" w:hAnsi="Garamond" w:cs="Times New Roman"/>
          <w:sz w:val="24"/>
          <w:szCs w:val="24"/>
        </w:rPr>
        <w:t>.</w:t>
      </w:r>
      <w:proofErr w:type="gramEnd"/>
      <w:r w:rsidRPr="00EC6A08">
        <w:rPr>
          <w:rFonts w:ascii="Garamond" w:hAnsi="Garamond" w:cs="Times New Roman"/>
          <w:sz w:val="24"/>
          <w:szCs w:val="24"/>
        </w:rPr>
        <w:t xml:space="preserve"> 16(6), 823–843.</w:t>
      </w:r>
    </w:p>
    <w:p w14:paraId="323CC19D" w14:textId="77777777" w:rsidR="009D073C" w:rsidRPr="00EC6A08" w:rsidRDefault="009D073C" w:rsidP="009D073C">
      <w:pPr>
        <w:spacing w:after="0" w:line="360" w:lineRule="auto"/>
        <w:contextualSpacing/>
        <w:jc w:val="both"/>
        <w:rPr>
          <w:rFonts w:ascii="Garamond" w:hAnsi="Garamond" w:cs="Times New Roman"/>
          <w:sz w:val="24"/>
          <w:szCs w:val="24"/>
        </w:rPr>
      </w:pPr>
      <w:proofErr w:type="spellStart"/>
      <w:r w:rsidRPr="00EC6A08">
        <w:rPr>
          <w:rFonts w:ascii="Garamond" w:hAnsi="Garamond" w:cs="Times New Roman"/>
          <w:sz w:val="24"/>
          <w:szCs w:val="24"/>
        </w:rPr>
        <w:t>Seyd</w:t>
      </w:r>
      <w:proofErr w:type="spellEnd"/>
      <w:r w:rsidRPr="00EC6A08">
        <w:rPr>
          <w:rFonts w:ascii="Garamond" w:hAnsi="Garamond" w:cs="Times New Roman"/>
          <w:sz w:val="24"/>
          <w:szCs w:val="24"/>
        </w:rPr>
        <w:t xml:space="preserve">, P. and </w:t>
      </w:r>
      <w:proofErr w:type="spellStart"/>
      <w:r w:rsidRPr="00EC6A08">
        <w:rPr>
          <w:rFonts w:ascii="Garamond" w:hAnsi="Garamond" w:cs="Times New Roman"/>
          <w:sz w:val="24"/>
          <w:szCs w:val="24"/>
        </w:rPr>
        <w:t>Whiteley</w:t>
      </w:r>
      <w:proofErr w:type="spellEnd"/>
      <w:r w:rsidRPr="00EC6A08">
        <w:rPr>
          <w:rFonts w:ascii="Garamond" w:hAnsi="Garamond" w:cs="Times New Roman"/>
          <w:sz w:val="24"/>
          <w:szCs w:val="24"/>
        </w:rPr>
        <w:t xml:space="preserve">, P. (2004) ‘British party members: An overview’, </w:t>
      </w:r>
      <w:r w:rsidRPr="00EC6A08">
        <w:rPr>
          <w:rFonts w:ascii="Garamond" w:hAnsi="Garamond" w:cs="Times New Roman"/>
          <w:i/>
          <w:sz w:val="24"/>
          <w:szCs w:val="24"/>
        </w:rPr>
        <w:t>Party Politics</w:t>
      </w:r>
      <w:r w:rsidRPr="00EC6A08">
        <w:rPr>
          <w:rFonts w:ascii="Garamond" w:hAnsi="Garamond" w:cs="Times New Roman"/>
          <w:sz w:val="24"/>
          <w:szCs w:val="24"/>
        </w:rPr>
        <w:t>, 10(4): 355–366.</w:t>
      </w:r>
    </w:p>
    <w:p w14:paraId="70728E7B" w14:textId="2EF0166F" w:rsidR="004B1348" w:rsidRPr="00EC6A08" w:rsidRDefault="004B1348" w:rsidP="009D073C">
      <w:pPr>
        <w:spacing w:after="0" w:line="360" w:lineRule="auto"/>
        <w:jc w:val="both"/>
        <w:rPr>
          <w:rFonts w:ascii="Garamond" w:hAnsi="Garamond"/>
          <w:sz w:val="24"/>
          <w:szCs w:val="24"/>
        </w:rPr>
      </w:pPr>
      <w:r w:rsidRPr="00EC6A08">
        <w:rPr>
          <w:rFonts w:ascii="Garamond" w:hAnsi="Garamond"/>
          <w:sz w:val="24"/>
          <w:szCs w:val="24"/>
        </w:rPr>
        <w:t>Seymour, N. (2016) ‘Can Corbyn survive the coup?</w:t>
      </w:r>
      <w:proofErr w:type="gramStart"/>
      <w:r w:rsidRPr="00EC6A08">
        <w:rPr>
          <w:rFonts w:ascii="Garamond" w:hAnsi="Garamond"/>
          <w:sz w:val="24"/>
          <w:szCs w:val="24"/>
        </w:rPr>
        <w:t>’,</w:t>
      </w:r>
      <w:proofErr w:type="gramEnd"/>
      <w:r w:rsidRPr="00EC6A08">
        <w:rPr>
          <w:rFonts w:ascii="Garamond" w:hAnsi="Garamond"/>
          <w:sz w:val="24"/>
          <w:szCs w:val="24"/>
        </w:rPr>
        <w:t xml:space="preserve"> </w:t>
      </w:r>
      <w:r w:rsidRPr="00EC6A08">
        <w:rPr>
          <w:rFonts w:ascii="Garamond" w:hAnsi="Garamond"/>
          <w:i/>
          <w:sz w:val="24"/>
          <w:szCs w:val="24"/>
        </w:rPr>
        <w:t>Socialist Worker</w:t>
      </w:r>
      <w:r w:rsidRPr="00EC6A08">
        <w:rPr>
          <w:rFonts w:ascii="Garamond" w:hAnsi="Garamond"/>
          <w:sz w:val="24"/>
          <w:szCs w:val="24"/>
        </w:rPr>
        <w:t>, 21 September.</w:t>
      </w:r>
    </w:p>
    <w:p w14:paraId="255AB424" w14:textId="77777777" w:rsidR="009D073C" w:rsidRPr="00EC6A08" w:rsidRDefault="009D073C" w:rsidP="009D073C">
      <w:pPr>
        <w:spacing w:after="0" w:line="360" w:lineRule="auto"/>
        <w:contextualSpacing/>
        <w:jc w:val="both"/>
        <w:rPr>
          <w:rFonts w:ascii="Garamond" w:hAnsi="Garamond"/>
          <w:sz w:val="24"/>
          <w:szCs w:val="24"/>
        </w:rPr>
      </w:pPr>
      <w:r w:rsidRPr="00EC6A08">
        <w:rPr>
          <w:rFonts w:ascii="Garamond" w:hAnsi="Garamond" w:cs="Times New Roman"/>
          <w:sz w:val="24"/>
          <w:szCs w:val="24"/>
        </w:rPr>
        <w:t>Sparrow, A. (2016) ‘</w:t>
      </w:r>
      <w:r w:rsidRPr="00EC6A08">
        <w:rPr>
          <w:rFonts w:ascii="Garamond" w:hAnsi="Garamond"/>
          <w:sz w:val="24"/>
          <w:szCs w:val="24"/>
        </w:rPr>
        <w:t xml:space="preserve">Jeremy Corbyn sweeps to victory increasing his mandate as Labour leader’, </w:t>
      </w:r>
      <w:r w:rsidRPr="00EC6A08">
        <w:rPr>
          <w:rFonts w:ascii="Garamond" w:hAnsi="Garamond"/>
          <w:i/>
          <w:sz w:val="24"/>
          <w:szCs w:val="24"/>
        </w:rPr>
        <w:t>The Guardian</w:t>
      </w:r>
      <w:r w:rsidRPr="00EC6A08">
        <w:rPr>
          <w:rFonts w:ascii="Garamond" w:hAnsi="Garamond"/>
          <w:sz w:val="24"/>
          <w:szCs w:val="24"/>
        </w:rPr>
        <w:t>, 24 September.</w:t>
      </w:r>
    </w:p>
    <w:p w14:paraId="23BD87A5" w14:textId="77777777" w:rsidR="007B2297" w:rsidRPr="00EC6A08" w:rsidRDefault="009D073C" w:rsidP="009D073C">
      <w:pPr>
        <w:spacing w:after="0" w:line="360" w:lineRule="auto"/>
        <w:contextualSpacing/>
        <w:jc w:val="both"/>
        <w:rPr>
          <w:rFonts w:ascii="Garamond" w:hAnsi="Garamond" w:cs="Times New Roman"/>
          <w:i/>
          <w:sz w:val="24"/>
          <w:szCs w:val="24"/>
        </w:rPr>
      </w:pPr>
      <w:r w:rsidRPr="00EC6A08">
        <w:rPr>
          <w:rFonts w:ascii="Garamond" w:hAnsi="Garamond" w:cs="Times New Roman"/>
          <w:sz w:val="24"/>
          <w:szCs w:val="24"/>
        </w:rPr>
        <w:t xml:space="preserve">Stark L (1996) </w:t>
      </w:r>
      <w:r w:rsidRPr="00EC6A08">
        <w:rPr>
          <w:rFonts w:ascii="Garamond" w:hAnsi="Garamond" w:cs="Times New Roman"/>
          <w:i/>
          <w:sz w:val="24"/>
          <w:szCs w:val="24"/>
        </w:rPr>
        <w:t>Choosing a Leader: Party Leadership Contests in Britain from Macmillan to Blair</w:t>
      </w:r>
      <w:r w:rsidRPr="00EC6A08">
        <w:rPr>
          <w:rFonts w:ascii="Garamond" w:hAnsi="Garamond" w:cs="Times New Roman"/>
          <w:sz w:val="24"/>
          <w:szCs w:val="24"/>
        </w:rPr>
        <w:t>, Basingstoke: Macmillan</w:t>
      </w:r>
      <w:r w:rsidRPr="00EC6A08">
        <w:rPr>
          <w:rFonts w:ascii="Garamond" w:hAnsi="Garamond" w:cs="Times New Roman"/>
          <w:i/>
          <w:sz w:val="24"/>
          <w:szCs w:val="24"/>
        </w:rPr>
        <w:t>.</w:t>
      </w:r>
    </w:p>
    <w:p w14:paraId="3909921E" w14:textId="77777777" w:rsidR="007B2297" w:rsidRPr="00EC6A08" w:rsidRDefault="007B2297" w:rsidP="007B2297">
      <w:pPr>
        <w:shd w:val="clear" w:color="auto" w:fill="FFFFFF"/>
        <w:spacing w:before="240" w:line="360" w:lineRule="auto"/>
        <w:contextualSpacing/>
        <w:jc w:val="both"/>
        <w:rPr>
          <w:rFonts w:ascii="Garamond" w:hAnsi="Garamond" w:cs="Times New Roman"/>
          <w:sz w:val="24"/>
          <w:szCs w:val="24"/>
        </w:rPr>
      </w:pPr>
      <w:r w:rsidRPr="00EC6A08">
        <w:rPr>
          <w:rFonts w:ascii="Garamond" w:hAnsi="Garamond" w:cs="Times New Roman"/>
          <w:sz w:val="24"/>
          <w:szCs w:val="24"/>
        </w:rPr>
        <w:t>Stewart, H. (2016) ‘</w:t>
      </w:r>
      <w:r w:rsidRPr="00EC6A08">
        <w:rPr>
          <w:rFonts w:ascii="Garamond" w:hAnsi="Garamond"/>
          <w:sz w:val="24"/>
          <w:szCs w:val="24"/>
        </w:rPr>
        <w:t>Jeremy Corbyn vows to vote against Trident renewal as Labour divisions deepen’,</w:t>
      </w:r>
      <w:r w:rsidRPr="00EC6A08">
        <w:rPr>
          <w:rFonts w:ascii="Garamond" w:hAnsi="Garamond" w:cs="Times New Roman"/>
          <w:sz w:val="24"/>
          <w:szCs w:val="24"/>
        </w:rPr>
        <w:t xml:space="preserve"> </w:t>
      </w:r>
      <w:r w:rsidRPr="00EC6A08">
        <w:rPr>
          <w:rFonts w:ascii="Garamond" w:hAnsi="Garamond" w:cs="Times New Roman"/>
          <w:i/>
          <w:sz w:val="24"/>
          <w:szCs w:val="24"/>
        </w:rPr>
        <w:t>The Guardian</w:t>
      </w:r>
      <w:r w:rsidRPr="00EC6A08">
        <w:rPr>
          <w:rFonts w:ascii="Garamond" w:hAnsi="Garamond" w:cs="Times New Roman"/>
          <w:sz w:val="24"/>
          <w:szCs w:val="24"/>
        </w:rPr>
        <w:t xml:space="preserve">, 17 July. </w:t>
      </w:r>
    </w:p>
    <w:p w14:paraId="3F37662F" w14:textId="77777777" w:rsidR="009D073C" w:rsidRPr="00EC6A08" w:rsidRDefault="009D073C" w:rsidP="009D073C">
      <w:pPr>
        <w:spacing w:after="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Stone, J. (2016) ‘Jeremy Corbyn loses no confidence vote among Labour MPs by 172 to 40’, </w:t>
      </w:r>
      <w:r w:rsidRPr="00EC6A08">
        <w:rPr>
          <w:rFonts w:ascii="Garamond" w:hAnsi="Garamond" w:cs="Times New Roman"/>
          <w:i/>
          <w:sz w:val="24"/>
          <w:szCs w:val="24"/>
        </w:rPr>
        <w:t>The Independent</w:t>
      </w:r>
      <w:r w:rsidRPr="00EC6A08">
        <w:rPr>
          <w:rFonts w:ascii="Garamond" w:hAnsi="Garamond" w:cs="Times New Roman"/>
          <w:sz w:val="24"/>
          <w:szCs w:val="24"/>
        </w:rPr>
        <w:t xml:space="preserve">, 28 June. </w:t>
      </w:r>
    </w:p>
    <w:p w14:paraId="4B57F862" w14:textId="77777777" w:rsidR="009D073C" w:rsidRPr="00EC6A08" w:rsidRDefault="009D073C" w:rsidP="009D073C">
      <w:pPr>
        <w:spacing w:after="0" w:line="360" w:lineRule="auto"/>
        <w:contextualSpacing/>
        <w:jc w:val="both"/>
        <w:rPr>
          <w:rFonts w:ascii="Garamond" w:hAnsi="Garamond" w:cs="Times New Roman"/>
          <w:iCs/>
          <w:sz w:val="24"/>
          <w:szCs w:val="24"/>
          <w:lang w:val="en"/>
        </w:rPr>
      </w:pPr>
      <w:proofErr w:type="spellStart"/>
      <w:r w:rsidRPr="00EC6A08">
        <w:rPr>
          <w:rFonts w:ascii="Garamond" w:hAnsi="Garamond" w:cs="Times New Roman"/>
          <w:iCs/>
          <w:sz w:val="24"/>
          <w:szCs w:val="24"/>
          <w:lang w:val="en"/>
        </w:rPr>
        <w:lastRenderedPageBreak/>
        <w:t>Syal</w:t>
      </w:r>
      <w:proofErr w:type="spellEnd"/>
      <w:r w:rsidRPr="00EC6A08">
        <w:rPr>
          <w:rFonts w:ascii="Garamond" w:hAnsi="Garamond" w:cs="Times New Roman"/>
          <w:iCs/>
          <w:sz w:val="24"/>
          <w:szCs w:val="24"/>
          <w:lang w:val="en"/>
        </w:rPr>
        <w:t xml:space="preserve">, R., </w:t>
      </w:r>
      <w:proofErr w:type="spellStart"/>
      <w:r w:rsidRPr="00EC6A08">
        <w:rPr>
          <w:rFonts w:ascii="Garamond" w:hAnsi="Garamond" w:cs="Times New Roman"/>
          <w:iCs/>
          <w:sz w:val="24"/>
          <w:szCs w:val="24"/>
          <w:lang w:val="en"/>
        </w:rPr>
        <w:t>Perraudin</w:t>
      </w:r>
      <w:proofErr w:type="spellEnd"/>
      <w:r w:rsidRPr="00EC6A08">
        <w:rPr>
          <w:rFonts w:ascii="Garamond" w:hAnsi="Garamond" w:cs="Times New Roman"/>
          <w:iCs/>
          <w:sz w:val="24"/>
          <w:szCs w:val="24"/>
          <w:lang w:val="en"/>
        </w:rPr>
        <w:t xml:space="preserve">, F. and </w:t>
      </w:r>
      <w:proofErr w:type="spellStart"/>
      <w:r w:rsidRPr="00EC6A08">
        <w:rPr>
          <w:rFonts w:ascii="Garamond" w:hAnsi="Garamond" w:cs="Times New Roman"/>
          <w:iCs/>
          <w:sz w:val="24"/>
          <w:szCs w:val="24"/>
          <w:lang w:val="en"/>
        </w:rPr>
        <w:t>Slawson</w:t>
      </w:r>
      <w:proofErr w:type="spellEnd"/>
      <w:r w:rsidRPr="00EC6A08">
        <w:rPr>
          <w:rFonts w:ascii="Garamond" w:hAnsi="Garamond" w:cs="Times New Roman"/>
          <w:iCs/>
          <w:sz w:val="24"/>
          <w:szCs w:val="24"/>
          <w:lang w:val="en"/>
        </w:rPr>
        <w:t xml:space="preserve">, N. (2016) ‘Shadow Cabinet resignations: Who has gone and who is staying’, </w:t>
      </w:r>
      <w:r w:rsidRPr="00EC6A08">
        <w:rPr>
          <w:rFonts w:ascii="Garamond" w:hAnsi="Garamond" w:cs="Times New Roman"/>
          <w:i/>
          <w:iCs/>
          <w:sz w:val="24"/>
          <w:szCs w:val="24"/>
          <w:lang w:val="en"/>
        </w:rPr>
        <w:t>The Guardian</w:t>
      </w:r>
      <w:r w:rsidRPr="00EC6A08">
        <w:rPr>
          <w:rFonts w:ascii="Garamond" w:hAnsi="Garamond" w:cs="Times New Roman"/>
          <w:iCs/>
          <w:sz w:val="24"/>
          <w:szCs w:val="24"/>
          <w:lang w:val="en"/>
        </w:rPr>
        <w:t>, 27 June.</w:t>
      </w:r>
    </w:p>
    <w:p w14:paraId="08E0A33E" w14:textId="77777777" w:rsidR="009D073C" w:rsidRPr="00EC6A08" w:rsidRDefault="009D073C" w:rsidP="009D073C">
      <w:pPr>
        <w:spacing w:after="0" w:line="360" w:lineRule="auto"/>
        <w:contextualSpacing/>
        <w:jc w:val="both"/>
        <w:rPr>
          <w:rFonts w:ascii="Garamond" w:hAnsi="Garamond" w:cs="Times New Roman"/>
          <w:sz w:val="24"/>
          <w:szCs w:val="24"/>
        </w:rPr>
      </w:pPr>
      <w:proofErr w:type="gramStart"/>
      <w:r w:rsidRPr="00EC6A08">
        <w:rPr>
          <w:rFonts w:ascii="Garamond" w:hAnsi="Garamond" w:cs="Times New Roman"/>
          <w:sz w:val="24"/>
          <w:szCs w:val="24"/>
        </w:rPr>
        <w:t>van</w:t>
      </w:r>
      <w:proofErr w:type="gramEnd"/>
      <w:r w:rsidRPr="00EC6A08">
        <w:rPr>
          <w:rFonts w:ascii="Garamond" w:hAnsi="Garamond" w:cs="Times New Roman"/>
          <w:sz w:val="24"/>
          <w:szCs w:val="24"/>
        </w:rPr>
        <w:t xml:space="preserve"> </w:t>
      </w:r>
      <w:proofErr w:type="spellStart"/>
      <w:r w:rsidRPr="00EC6A08">
        <w:rPr>
          <w:rFonts w:ascii="Garamond" w:hAnsi="Garamond" w:cs="Times New Roman"/>
          <w:sz w:val="24"/>
          <w:szCs w:val="24"/>
        </w:rPr>
        <w:t>Biezen</w:t>
      </w:r>
      <w:proofErr w:type="spellEnd"/>
      <w:r w:rsidRPr="00EC6A08">
        <w:rPr>
          <w:rFonts w:ascii="Garamond" w:hAnsi="Garamond" w:cs="Times New Roman"/>
          <w:sz w:val="24"/>
          <w:szCs w:val="24"/>
        </w:rPr>
        <w:t xml:space="preserve">, I., </w:t>
      </w:r>
      <w:proofErr w:type="spellStart"/>
      <w:r w:rsidRPr="00EC6A08">
        <w:rPr>
          <w:rFonts w:ascii="Garamond" w:hAnsi="Garamond" w:cs="Times New Roman"/>
          <w:sz w:val="24"/>
          <w:szCs w:val="24"/>
        </w:rPr>
        <w:t>Mair</w:t>
      </w:r>
      <w:proofErr w:type="spellEnd"/>
      <w:r w:rsidRPr="00EC6A08">
        <w:rPr>
          <w:rFonts w:ascii="Garamond" w:hAnsi="Garamond" w:cs="Times New Roman"/>
          <w:sz w:val="24"/>
          <w:szCs w:val="24"/>
        </w:rPr>
        <w:t xml:space="preserve">, P. and </w:t>
      </w:r>
      <w:proofErr w:type="spellStart"/>
      <w:r w:rsidRPr="00EC6A08">
        <w:rPr>
          <w:rFonts w:ascii="Garamond" w:hAnsi="Garamond" w:cs="Times New Roman"/>
          <w:sz w:val="24"/>
          <w:szCs w:val="24"/>
        </w:rPr>
        <w:t>Poguntke</w:t>
      </w:r>
      <w:proofErr w:type="spellEnd"/>
      <w:r w:rsidRPr="00EC6A08">
        <w:rPr>
          <w:rFonts w:ascii="Garamond" w:hAnsi="Garamond" w:cs="Times New Roman"/>
          <w:sz w:val="24"/>
          <w:szCs w:val="24"/>
        </w:rPr>
        <w:t xml:space="preserve">, T. (2012) ‘Going, going, gone? The decline of party membership in contemporary Europe’, </w:t>
      </w:r>
      <w:r w:rsidRPr="00EC6A08">
        <w:rPr>
          <w:rFonts w:ascii="Garamond" w:hAnsi="Garamond" w:cs="Times New Roman"/>
          <w:i/>
          <w:sz w:val="24"/>
          <w:szCs w:val="24"/>
        </w:rPr>
        <w:t>European Journal of Political Research</w:t>
      </w:r>
      <w:r w:rsidRPr="00EC6A08">
        <w:rPr>
          <w:rFonts w:ascii="Garamond" w:hAnsi="Garamond" w:cs="Times New Roman"/>
          <w:sz w:val="24"/>
          <w:szCs w:val="24"/>
        </w:rPr>
        <w:t>, 51(1): 24–56.</w:t>
      </w:r>
    </w:p>
    <w:p w14:paraId="2CE33A9F" w14:textId="77777777" w:rsidR="007B2297" w:rsidRPr="00EC6A08" w:rsidRDefault="007B2297" w:rsidP="007B2297">
      <w:pPr>
        <w:shd w:val="clear" w:color="auto" w:fill="FFFFFF"/>
        <w:spacing w:before="240" w:line="360" w:lineRule="auto"/>
        <w:contextualSpacing/>
        <w:jc w:val="both"/>
        <w:rPr>
          <w:rFonts w:ascii="Garamond" w:hAnsi="Garamond" w:cs="Times New Roman"/>
          <w:sz w:val="24"/>
          <w:szCs w:val="24"/>
        </w:rPr>
      </w:pPr>
      <w:r w:rsidRPr="00EC6A08">
        <w:rPr>
          <w:rFonts w:ascii="Garamond" w:hAnsi="Garamond" w:cs="Times New Roman"/>
          <w:sz w:val="24"/>
          <w:szCs w:val="24"/>
        </w:rPr>
        <w:t xml:space="preserve">Vickers, R. (2011) </w:t>
      </w:r>
      <w:r w:rsidRPr="00EC6A08">
        <w:rPr>
          <w:rFonts w:ascii="Garamond" w:hAnsi="Garamond" w:cs="Times New Roman"/>
          <w:i/>
          <w:sz w:val="24"/>
          <w:szCs w:val="24"/>
        </w:rPr>
        <w:t>The Labour Party and the World: Labour’s Foreign Policy since 1951</w:t>
      </w:r>
      <w:r w:rsidRPr="00EC6A08">
        <w:rPr>
          <w:rFonts w:ascii="Garamond" w:hAnsi="Garamond" w:cs="Times New Roman"/>
          <w:sz w:val="24"/>
          <w:szCs w:val="24"/>
        </w:rPr>
        <w:t>. Manchester: Manchester University Press.</w:t>
      </w:r>
    </w:p>
    <w:p w14:paraId="244CA8F9"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Watts, J. (2016)</w:t>
      </w:r>
      <w:r w:rsidRPr="00EC6A08">
        <w:rPr>
          <w:rFonts w:ascii="Fira Sans" w:hAnsi="Fira Sans"/>
          <w:b/>
          <w:bCs/>
          <w:kern w:val="36"/>
          <w:sz w:val="48"/>
          <w:szCs w:val="48"/>
        </w:rPr>
        <w:t xml:space="preserve"> </w:t>
      </w:r>
      <w:r w:rsidRPr="00EC6A08">
        <w:rPr>
          <w:rFonts w:ascii="Garamond" w:hAnsi="Garamond"/>
          <w:bCs/>
          <w:kern w:val="36"/>
          <w:sz w:val="24"/>
          <w:szCs w:val="24"/>
        </w:rPr>
        <w:t>‘Jeremy Corbyn signals that some Labour MPs may lose their seats in reselections’</w:t>
      </w:r>
    </w:p>
    <w:p w14:paraId="2BFB2FAD" w14:textId="77777777" w:rsidR="009D073C" w:rsidRPr="00EC6A08" w:rsidRDefault="009D073C" w:rsidP="009D073C">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i/>
          <w:sz w:val="24"/>
          <w:szCs w:val="24"/>
          <w:shd w:val="clear" w:color="auto" w:fill="FFFFFF"/>
          <w:lang w:eastAsia="en-GB"/>
        </w:rPr>
        <w:t>The Independent</w:t>
      </w:r>
      <w:r w:rsidRPr="00EC6A08">
        <w:rPr>
          <w:rFonts w:ascii="Garamond" w:eastAsia="Times New Roman" w:hAnsi="Garamond" w:cs="Times New Roman"/>
          <w:sz w:val="24"/>
          <w:szCs w:val="24"/>
          <w:shd w:val="clear" w:color="auto" w:fill="FFFFFF"/>
          <w:lang w:eastAsia="en-GB"/>
        </w:rPr>
        <w:t>, 25 September.</w:t>
      </w:r>
    </w:p>
    <w:p w14:paraId="5E60C3CE" w14:textId="77777777" w:rsidR="009D073C" w:rsidRPr="00EC6A08" w:rsidRDefault="009D073C" w:rsidP="009D073C">
      <w:pPr>
        <w:spacing w:after="0" w:line="360" w:lineRule="auto"/>
        <w:contextualSpacing/>
        <w:jc w:val="both"/>
        <w:rPr>
          <w:rFonts w:ascii="Garamond" w:hAnsi="Garamond" w:cs="Times New Roman"/>
          <w:sz w:val="24"/>
          <w:szCs w:val="24"/>
        </w:rPr>
      </w:pPr>
      <w:proofErr w:type="spellStart"/>
      <w:r w:rsidRPr="00EC6A08">
        <w:rPr>
          <w:rFonts w:ascii="Garamond" w:hAnsi="Garamond" w:cs="Times New Roman"/>
          <w:sz w:val="24"/>
          <w:szCs w:val="24"/>
        </w:rPr>
        <w:t>Whiteley</w:t>
      </w:r>
      <w:proofErr w:type="spellEnd"/>
      <w:r w:rsidRPr="00EC6A08">
        <w:rPr>
          <w:rFonts w:ascii="Garamond" w:hAnsi="Garamond" w:cs="Times New Roman"/>
          <w:sz w:val="24"/>
          <w:szCs w:val="24"/>
        </w:rPr>
        <w:t>, P. (2009) ‘Where have all the members gone?</w:t>
      </w:r>
      <w:proofErr w:type="gramStart"/>
      <w:r w:rsidRPr="00EC6A08">
        <w:rPr>
          <w:rFonts w:ascii="Garamond" w:hAnsi="Garamond" w:cs="Times New Roman"/>
          <w:sz w:val="24"/>
          <w:szCs w:val="24"/>
        </w:rPr>
        <w:t>’,</w:t>
      </w:r>
      <w:proofErr w:type="gramEnd"/>
      <w:r w:rsidRPr="00EC6A08">
        <w:rPr>
          <w:rFonts w:ascii="Garamond" w:hAnsi="Garamond" w:cs="Times New Roman"/>
          <w:sz w:val="24"/>
          <w:szCs w:val="24"/>
        </w:rPr>
        <w:t xml:space="preserve"> </w:t>
      </w:r>
      <w:r w:rsidRPr="00EC6A08">
        <w:rPr>
          <w:rFonts w:ascii="Garamond" w:hAnsi="Garamond" w:cs="Times New Roman"/>
          <w:i/>
          <w:sz w:val="24"/>
          <w:szCs w:val="24"/>
        </w:rPr>
        <w:t>Parliamentary Affairs</w:t>
      </w:r>
      <w:r w:rsidRPr="00EC6A08">
        <w:rPr>
          <w:rFonts w:ascii="Garamond" w:hAnsi="Garamond" w:cs="Times New Roman"/>
          <w:sz w:val="24"/>
          <w:szCs w:val="24"/>
        </w:rPr>
        <w:t xml:space="preserve">, 62(2): 242–257. </w:t>
      </w:r>
    </w:p>
    <w:p w14:paraId="06088834" w14:textId="24A7927C" w:rsidR="00E02023" w:rsidRPr="00EC6A08" w:rsidRDefault="009D073C" w:rsidP="00864CBA">
      <w:pPr>
        <w:shd w:val="clear" w:color="auto" w:fill="FFFFFF"/>
        <w:spacing w:before="240" w:line="360" w:lineRule="auto"/>
        <w:contextualSpacing/>
        <w:jc w:val="both"/>
        <w:rPr>
          <w:rFonts w:ascii="Garamond" w:eastAsia="Times New Roman" w:hAnsi="Garamond" w:cs="Times New Roman"/>
          <w:sz w:val="24"/>
          <w:szCs w:val="24"/>
          <w:shd w:val="clear" w:color="auto" w:fill="FFFFFF"/>
          <w:lang w:eastAsia="en-GB"/>
        </w:rPr>
      </w:pPr>
      <w:r w:rsidRPr="00EC6A08">
        <w:rPr>
          <w:rFonts w:ascii="Garamond" w:eastAsia="Times New Roman" w:hAnsi="Garamond" w:cs="Times New Roman"/>
          <w:sz w:val="24"/>
          <w:szCs w:val="24"/>
          <w:shd w:val="clear" w:color="auto" w:fill="FFFFFF"/>
          <w:lang w:eastAsia="en-GB"/>
        </w:rPr>
        <w:t>Wilkinson, M. (2016) ‘</w:t>
      </w:r>
      <w:r w:rsidRPr="00EC6A08">
        <w:rPr>
          <w:rFonts w:ascii="Garamond" w:hAnsi="Garamond"/>
          <w:sz w:val="24"/>
          <w:szCs w:val="24"/>
          <w:lang w:val="en"/>
        </w:rPr>
        <w:t xml:space="preserve">Jeremy Corbyn's hard Left plotters branded ‘croissant-eating London-centric mansion owners’, </w:t>
      </w:r>
      <w:r w:rsidRPr="00EC6A08">
        <w:rPr>
          <w:rFonts w:ascii="Garamond" w:eastAsia="Times New Roman" w:hAnsi="Garamond" w:cs="Times New Roman"/>
          <w:i/>
          <w:sz w:val="24"/>
          <w:szCs w:val="24"/>
          <w:shd w:val="clear" w:color="auto" w:fill="FFFFFF"/>
          <w:lang w:eastAsia="en-GB"/>
        </w:rPr>
        <w:t>Daily Telegraph</w:t>
      </w:r>
      <w:r w:rsidRPr="00EC6A08">
        <w:rPr>
          <w:rFonts w:ascii="Garamond" w:eastAsia="Times New Roman" w:hAnsi="Garamond" w:cs="Times New Roman"/>
          <w:sz w:val="24"/>
          <w:szCs w:val="24"/>
          <w:shd w:val="clear" w:color="auto" w:fill="FFFFFF"/>
          <w:lang w:eastAsia="en-GB"/>
        </w:rPr>
        <w:t>, 12 January</w:t>
      </w:r>
      <w:r w:rsidR="007B2297" w:rsidRPr="00EC6A08">
        <w:rPr>
          <w:rFonts w:ascii="Garamond" w:eastAsia="Times New Roman" w:hAnsi="Garamond" w:cs="Times New Roman"/>
          <w:sz w:val="24"/>
          <w:szCs w:val="24"/>
          <w:shd w:val="clear" w:color="auto" w:fill="FFFFFF"/>
          <w:lang w:eastAsia="en-GB"/>
        </w:rPr>
        <w:t>.</w:t>
      </w:r>
    </w:p>
    <w:sectPr w:rsidR="00E02023" w:rsidRPr="00EC6A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C6E6" w14:textId="77777777" w:rsidR="005417BA" w:rsidRDefault="005417BA" w:rsidP="009D073C">
      <w:pPr>
        <w:spacing w:after="0" w:line="240" w:lineRule="auto"/>
      </w:pPr>
      <w:r>
        <w:separator/>
      </w:r>
    </w:p>
  </w:endnote>
  <w:endnote w:type="continuationSeparator" w:id="0">
    <w:p w14:paraId="6BF3970C" w14:textId="77777777" w:rsidR="005417BA" w:rsidRDefault="005417BA" w:rsidP="009D073C">
      <w:pPr>
        <w:spacing w:after="0" w:line="240" w:lineRule="auto"/>
      </w:pPr>
      <w:r>
        <w:continuationSeparator/>
      </w:r>
    </w:p>
  </w:endnote>
  <w:endnote w:id="1">
    <w:p w14:paraId="668069DF" w14:textId="4E3E30E1" w:rsidR="00F379F4" w:rsidRDefault="00F379F4" w:rsidP="00142C08">
      <w:pPr>
        <w:pStyle w:val="EndnoteText"/>
        <w:spacing w:line="360" w:lineRule="auto"/>
        <w:jc w:val="both"/>
        <w:rPr>
          <w:rFonts w:ascii="Garamond" w:hAnsi="Garamond" w:cs="Times New Roman"/>
          <w:sz w:val="24"/>
          <w:szCs w:val="24"/>
        </w:rPr>
      </w:pPr>
      <w:r>
        <w:rPr>
          <w:rStyle w:val="EndnoteReference"/>
        </w:rPr>
        <w:endnoteRef/>
      </w:r>
      <w:r>
        <w:t xml:space="preserve"> </w:t>
      </w:r>
      <w:r>
        <w:rPr>
          <w:rFonts w:ascii="Garamond" w:hAnsi="Garamond" w:cs="Times New Roman"/>
          <w:sz w:val="24"/>
          <w:szCs w:val="24"/>
        </w:rPr>
        <w:t>The election of Corbyn also challenged traditional academic assumptions about membership levels. Over recent decades the Labour Party has experienced a decline in membership levels – from 405,238 when they entered power in 1997 to only 156,205 as they approached the 2010 General Election (Pemberton and Wickham-Jones 2013). That decline in membership has not been specific to the Labour Party as decline has also been the trend across most European polities (</w:t>
      </w:r>
      <w:proofErr w:type="spellStart"/>
      <w:r>
        <w:rPr>
          <w:rFonts w:ascii="Garamond" w:hAnsi="Garamond" w:cs="Times New Roman"/>
          <w:sz w:val="24"/>
          <w:szCs w:val="24"/>
        </w:rPr>
        <w:t>Seyd</w:t>
      </w:r>
      <w:proofErr w:type="spellEnd"/>
      <w:r>
        <w:rPr>
          <w:rFonts w:ascii="Garamond" w:hAnsi="Garamond" w:cs="Times New Roman"/>
          <w:sz w:val="24"/>
          <w:szCs w:val="24"/>
        </w:rPr>
        <w:t xml:space="preserve"> and </w:t>
      </w:r>
      <w:proofErr w:type="spellStart"/>
      <w:r>
        <w:rPr>
          <w:rFonts w:ascii="Garamond" w:hAnsi="Garamond" w:cs="Times New Roman"/>
          <w:sz w:val="24"/>
          <w:szCs w:val="24"/>
        </w:rPr>
        <w:t>Whiteley</w:t>
      </w:r>
      <w:proofErr w:type="spellEnd"/>
      <w:r>
        <w:rPr>
          <w:rFonts w:ascii="Garamond" w:hAnsi="Garamond" w:cs="Times New Roman"/>
          <w:sz w:val="24"/>
          <w:szCs w:val="24"/>
        </w:rPr>
        <w:t xml:space="preserve"> 2004, 356; see also </w:t>
      </w:r>
      <w:proofErr w:type="spellStart"/>
      <w:r>
        <w:rPr>
          <w:rFonts w:ascii="Garamond" w:hAnsi="Garamond" w:cs="Times New Roman"/>
          <w:sz w:val="24"/>
          <w:szCs w:val="24"/>
        </w:rPr>
        <w:t>Scarrow</w:t>
      </w:r>
      <w:proofErr w:type="spellEnd"/>
      <w:r>
        <w:rPr>
          <w:rFonts w:ascii="Garamond" w:hAnsi="Garamond" w:cs="Times New Roman"/>
          <w:sz w:val="24"/>
          <w:szCs w:val="24"/>
        </w:rPr>
        <w:t xml:space="preserve"> and </w:t>
      </w:r>
      <w:proofErr w:type="spellStart"/>
      <w:r>
        <w:rPr>
          <w:rFonts w:ascii="Garamond" w:hAnsi="Garamond" w:cs="Times New Roman"/>
          <w:sz w:val="24"/>
          <w:szCs w:val="24"/>
        </w:rPr>
        <w:t>Gezgor</w:t>
      </w:r>
      <w:proofErr w:type="spellEnd"/>
      <w:r>
        <w:rPr>
          <w:rFonts w:ascii="Garamond" w:hAnsi="Garamond" w:cs="Times New Roman"/>
          <w:sz w:val="24"/>
          <w:szCs w:val="24"/>
        </w:rPr>
        <w:t xml:space="preserve"> 2010; van </w:t>
      </w:r>
      <w:proofErr w:type="spellStart"/>
      <w:r>
        <w:rPr>
          <w:rFonts w:ascii="Garamond" w:hAnsi="Garamond" w:cs="Times New Roman"/>
          <w:sz w:val="24"/>
          <w:szCs w:val="24"/>
        </w:rPr>
        <w:t>Biezen</w:t>
      </w:r>
      <w:proofErr w:type="spellEnd"/>
      <w:r>
        <w:rPr>
          <w:rFonts w:ascii="Garamond" w:hAnsi="Garamond" w:cs="Times New Roman"/>
          <w:sz w:val="24"/>
          <w:szCs w:val="24"/>
        </w:rPr>
        <w:t xml:space="preserve">, </w:t>
      </w:r>
      <w:proofErr w:type="spellStart"/>
      <w:r>
        <w:rPr>
          <w:rFonts w:ascii="Garamond" w:hAnsi="Garamond" w:cs="Times New Roman"/>
          <w:sz w:val="24"/>
          <w:szCs w:val="24"/>
        </w:rPr>
        <w:t>Mair</w:t>
      </w:r>
      <w:proofErr w:type="spellEnd"/>
      <w:r>
        <w:rPr>
          <w:rFonts w:ascii="Garamond" w:hAnsi="Garamond" w:cs="Times New Roman"/>
          <w:sz w:val="24"/>
          <w:szCs w:val="24"/>
        </w:rPr>
        <w:t xml:space="preserve"> and </w:t>
      </w:r>
      <w:proofErr w:type="spellStart"/>
      <w:r>
        <w:rPr>
          <w:rFonts w:ascii="Garamond" w:hAnsi="Garamond" w:cs="Times New Roman"/>
          <w:sz w:val="24"/>
          <w:szCs w:val="24"/>
        </w:rPr>
        <w:t>Poguntke</w:t>
      </w:r>
      <w:proofErr w:type="spellEnd"/>
      <w:r>
        <w:rPr>
          <w:rFonts w:ascii="Garamond" w:hAnsi="Garamond" w:cs="Times New Roman"/>
          <w:sz w:val="24"/>
          <w:szCs w:val="24"/>
        </w:rPr>
        <w:t xml:space="preserve"> 2012). </w:t>
      </w:r>
      <w:proofErr w:type="gramStart"/>
      <w:r>
        <w:rPr>
          <w:rFonts w:ascii="Garamond" w:hAnsi="Garamond" w:cs="Times New Roman"/>
          <w:sz w:val="24"/>
          <w:szCs w:val="24"/>
        </w:rPr>
        <w:t xml:space="preserve">However, after oscillating at around 190,000 during the 2010 to 2015 Parliament, Labour Party membership increased dramatically parallel to the respective leadership elections and the rise of Corbyn, reaching around 515,000 members at the onset of the Corbyn-Smith contest (Keen and </w:t>
      </w:r>
      <w:proofErr w:type="spellStart"/>
      <w:r>
        <w:rPr>
          <w:rFonts w:ascii="Garamond" w:hAnsi="Garamond" w:cs="Times New Roman"/>
          <w:sz w:val="24"/>
          <w:szCs w:val="24"/>
        </w:rPr>
        <w:t>Audickas</w:t>
      </w:r>
      <w:proofErr w:type="spellEnd"/>
      <w:r>
        <w:rPr>
          <w:rFonts w:ascii="Garamond" w:hAnsi="Garamond" w:cs="Times New Roman"/>
          <w:sz w:val="24"/>
          <w:szCs w:val="24"/>
        </w:rPr>
        <w:t xml:space="preserve"> 2016).</w:t>
      </w:r>
      <w:proofErr w:type="gramEnd"/>
    </w:p>
    <w:p w14:paraId="676A8FD6" w14:textId="77777777" w:rsidR="00F379F4" w:rsidRDefault="00F379F4" w:rsidP="00142C08">
      <w:pPr>
        <w:pStyle w:val="EndnoteText"/>
        <w:spacing w:line="360" w:lineRule="auto"/>
        <w:jc w:val="both"/>
      </w:pPr>
      <w:r>
        <w:rPr>
          <w:rFonts w:ascii="Garamond" w:hAnsi="Garamond" w:cs="Times New Roman"/>
          <w:sz w:val="24"/>
          <w:szCs w:val="24"/>
        </w:rPr>
        <w:t xml:space="preserve"> </w:t>
      </w:r>
    </w:p>
  </w:endnote>
  <w:endnote w:id="2">
    <w:p w14:paraId="7E1D004C" w14:textId="77777777" w:rsidR="00F379F4" w:rsidRDefault="00F379F4" w:rsidP="00142C08">
      <w:pPr>
        <w:spacing w:line="360" w:lineRule="auto"/>
        <w:jc w:val="both"/>
        <w:rPr>
          <w:rFonts w:ascii="Garamond" w:hAnsi="Garamond" w:cs="Times New Roman"/>
          <w:sz w:val="24"/>
          <w:szCs w:val="24"/>
        </w:rPr>
      </w:pPr>
      <w:r>
        <w:rPr>
          <w:rStyle w:val="EndnoteReference"/>
          <w:rFonts w:ascii="Garamond" w:hAnsi="Garamond"/>
          <w:sz w:val="24"/>
          <w:szCs w:val="24"/>
        </w:rPr>
        <w:endnoteRef/>
      </w:r>
      <w:r>
        <w:rPr>
          <w:rFonts w:ascii="Garamond" w:hAnsi="Garamond"/>
          <w:sz w:val="24"/>
          <w:szCs w:val="24"/>
        </w:rPr>
        <w:t xml:space="preserve"> </w:t>
      </w:r>
      <w:r>
        <w:rPr>
          <w:rFonts w:ascii="Garamond" w:hAnsi="Garamond" w:cs="Times New Roman"/>
          <w:sz w:val="24"/>
          <w:szCs w:val="24"/>
        </w:rPr>
        <w:t>The Collins Report concluded that Labour parliamentarians who decide to stand for the Labour leadership would need nominations from 15 percent of the PLP as opposed to former threshold of 12.5 percent (Collins 2014, 27).</w:t>
      </w:r>
    </w:p>
  </w:endnote>
  <w:endnote w:id="3">
    <w:p w14:paraId="39A1519B" w14:textId="6F3D8AF1" w:rsidR="00F379F4" w:rsidRPr="0036724E" w:rsidRDefault="00F379F4" w:rsidP="00142C08">
      <w:pPr>
        <w:spacing w:line="360" w:lineRule="auto"/>
        <w:contextualSpacing/>
        <w:jc w:val="both"/>
        <w:rPr>
          <w:rFonts w:ascii="Garamond" w:hAnsi="Garamond" w:cs="Times New Roman"/>
          <w:sz w:val="24"/>
          <w:szCs w:val="24"/>
        </w:rPr>
      </w:pPr>
      <w:r>
        <w:rPr>
          <w:rStyle w:val="EndnoteReference"/>
        </w:rPr>
        <w:endnoteRef/>
      </w:r>
      <w:r>
        <w:t xml:space="preserve"> </w:t>
      </w:r>
      <w:r>
        <w:rPr>
          <w:rFonts w:ascii="Garamond" w:hAnsi="Garamond" w:cs="Times New Roman"/>
          <w:sz w:val="24"/>
          <w:szCs w:val="24"/>
        </w:rPr>
        <w:t xml:space="preserve">The election of Corbyn challenged established assumption about the distribution of power within the Labour Party. This had been shaped by the organisational transformation initiated by under Blair, and how increasing centralisation led to a top down, command and control style of leadership in which members were subordinated. For New Labour modernisers the need to bypass the views of constituency Labour Party (CLP) members, and Trade Unions, was felt to be necessary as their views were deemed to be too left and out of sync with the views of the electorate and thus impediments to acquiring and remaining in office (for a strident critique of these assumptions, see </w:t>
      </w:r>
      <w:proofErr w:type="spellStart"/>
      <w:r>
        <w:rPr>
          <w:rFonts w:ascii="Garamond" w:hAnsi="Garamond" w:cs="Times New Roman"/>
          <w:sz w:val="24"/>
          <w:szCs w:val="24"/>
        </w:rPr>
        <w:t>Minkin</w:t>
      </w:r>
      <w:proofErr w:type="spellEnd"/>
      <w:r>
        <w:rPr>
          <w:rFonts w:ascii="Garamond" w:hAnsi="Garamond" w:cs="Times New Roman"/>
          <w:sz w:val="24"/>
          <w:szCs w:val="24"/>
        </w:rPr>
        <w:t xml:space="preserve"> 2014). This shift away from the grassroots and towards elite centralisation and the ‘party in office’ has been a trend across social democratic European parties, and was said to be reflective of the classical ‘cartel party’ thesis  (Katz and </w:t>
      </w:r>
      <w:proofErr w:type="spellStart"/>
      <w:r>
        <w:rPr>
          <w:rFonts w:ascii="Garamond" w:hAnsi="Garamond" w:cs="Times New Roman"/>
          <w:sz w:val="24"/>
          <w:szCs w:val="24"/>
        </w:rPr>
        <w:t>Mair</w:t>
      </w:r>
      <w:proofErr w:type="spellEnd"/>
      <w:r>
        <w:rPr>
          <w:rFonts w:ascii="Garamond" w:hAnsi="Garamond" w:cs="Times New Roman"/>
          <w:sz w:val="24"/>
          <w:szCs w:val="24"/>
        </w:rPr>
        <w:t xml:space="preserve"> 1994). </w:t>
      </w:r>
    </w:p>
  </w:endnote>
  <w:endnote w:id="4">
    <w:p w14:paraId="386032A9" w14:textId="55E17553" w:rsidR="00F379F4" w:rsidRPr="00482C8D" w:rsidRDefault="00F379F4" w:rsidP="00482C8D">
      <w:pPr>
        <w:pStyle w:val="EndnoteText"/>
        <w:spacing w:line="360" w:lineRule="auto"/>
        <w:jc w:val="both"/>
        <w:rPr>
          <w:color w:val="FF0000"/>
        </w:rPr>
      </w:pPr>
      <w:r>
        <w:rPr>
          <w:rStyle w:val="EndnoteReference"/>
        </w:rPr>
        <w:endnoteRef/>
      </w:r>
      <w:r>
        <w:t xml:space="preserve"> </w:t>
      </w:r>
      <w:r>
        <w:rPr>
          <w:rFonts w:ascii="Garamond" w:hAnsi="Garamond"/>
          <w:color w:val="FF0000"/>
          <w:sz w:val="24"/>
          <w:szCs w:val="24"/>
        </w:rPr>
        <w:t xml:space="preserve">We based this on </w:t>
      </w:r>
      <w:r w:rsidRPr="00482C8D">
        <w:rPr>
          <w:rFonts w:ascii="Garamond" w:hAnsi="Garamond"/>
          <w:color w:val="FF0000"/>
          <w:sz w:val="24"/>
          <w:szCs w:val="24"/>
        </w:rPr>
        <w:t xml:space="preserve">the historical precedent that the last time Labour elected </w:t>
      </w:r>
      <w:r>
        <w:rPr>
          <w:rFonts w:ascii="Garamond" w:hAnsi="Garamond"/>
          <w:color w:val="FF0000"/>
          <w:sz w:val="24"/>
          <w:szCs w:val="24"/>
        </w:rPr>
        <w:t>a leader so widely associated with</w:t>
      </w:r>
      <w:r w:rsidRPr="00482C8D">
        <w:rPr>
          <w:rFonts w:ascii="Garamond" w:hAnsi="Garamond"/>
          <w:color w:val="FF0000"/>
          <w:sz w:val="24"/>
          <w:szCs w:val="24"/>
        </w:rPr>
        <w:t xml:space="preserve"> their left – Michael Foot – it coincide</w:t>
      </w:r>
      <w:r>
        <w:rPr>
          <w:rFonts w:ascii="Garamond" w:hAnsi="Garamond"/>
          <w:color w:val="FF0000"/>
          <w:sz w:val="24"/>
          <w:szCs w:val="24"/>
        </w:rPr>
        <w:t xml:space="preserve">d with a leftwards shift policy, and </w:t>
      </w:r>
      <w:r w:rsidRPr="00482C8D">
        <w:rPr>
          <w:rFonts w:ascii="Garamond" w:hAnsi="Garamond"/>
          <w:color w:val="FF0000"/>
          <w:sz w:val="24"/>
          <w:szCs w:val="24"/>
        </w:rPr>
        <w:t>the infamous ‘longest suicide note in history’ manifest</w:t>
      </w:r>
      <w:r>
        <w:rPr>
          <w:rFonts w:ascii="Garamond" w:hAnsi="Garamond"/>
          <w:color w:val="FF0000"/>
          <w:sz w:val="24"/>
          <w:szCs w:val="24"/>
        </w:rPr>
        <w:t>o for the 1983 General Election</w:t>
      </w:r>
      <w:r w:rsidRPr="00482C8D">
        <w:rPr>
          <w:rFonts w:ascii="Garamond" w:hAnsi="Garamond"/>
          <w:color w:val="FF0000"/>
          <w:sz w:val="24"/>
          <w:szCs w:val="24"/>
        </w:rPr>
        <w:t xml:space="preserve">. </w:t>
      </w:r>
      <w:r>
        <w:rPr>
          <w:rFonts w:ascii="Garamond" w:hAnsi="Garamond"/>
          <w:color w:val="FF0000"/>
          <w:sz w:val="24"/>
          <w:szCs w:val="24"/>
        </w:rPr>
        <w:t>Due to t</w:t>
      </w:r>
      <w:r w:rsidRPr="00482C8D">
        <w:rPr>
          <w:rFonts w:ascii="Garamond" w:hAnsi="Garamond"/>
          <w:color w:val="FF0000"/>
          <w:sz w:val="24"/>
          <w:szCs w:val="24"/>
        </w:rPr>
        <w:t>he fact that a mor</w:t>
      </w:r>
      <w:r>
        <w:rPr>
          <w:rFonts w:ascii="Garamond" w:hAnsi="Garamond"/>
          <w:color w:val="FF0000"/>
          <w:sz w:val="24"/>
          <w:szCs w:val="24"/>
        </w:rPr>
        <w:t>e left wing leader and</w:t>
      </w:r>
      <w:r w:rsidRPr="00482C8D">
        <w:rPr>
          <w:rFonts w:ascii="Garamond" w:hAnsi="Garamond"/>
          <w:color w:val="FF0000"/>
          <w:sz w:val="24"/>
          <w:szCs w:val="24"/>
        </w:rPr>
        <w:t xml:space="preserve"> platform resulted in Labour losing three million votes relative to the 1979 General Election, and nearly nine percent of the vote as they lost</w:t>
      </w:r>
      <w:r>
        <w:rPr>
          <w:rFonts w:ascii="Garamond" w:hAnsi="Garamond"/>
          <w:color w:val="FF0000"/>
          <w:sz w:val="24"/>
          <w:szCs w:val="24"/>
        </w:rPr>
        <w:t xml:space="preserve"> 60 seats, we assumed that this</w:t>
      </w:r>
      <w:r w:rsidRPr="00482C8D">
        <w:rPr>
          <w:rFonts w:ascii="Garamond" w:hAnsi="Garamond"/>
          <w:color w:val="FF0000"/>
          <w:sz w:val="24"/>
          <w:szCs w:val="24"/>
        </w:rPr>
        <w:t xml:space="preserve"> historical precedent </w:t>
      </w:r>
      <w:r>
        <w:rPr>
          <w:rFonts w:ascii="Garamond" w:hAnsi="Garamond"/>
          <w:color w:val="FF0000"/>
          <w:sz w:val="24"/>
          <w:szCs w:val="24"/>
        </w:rPr>
        <w:t xml:space="preserve">would be </w:t>
      </w:r>
      <w:r w:rsidRPr="00482C8D">
        <w:rPr>
          <w:rFonts w:ascii="Garamond" w:hAnsi="Garamond"/>
          <w:color w:val="FF0000"/>
          <w:sz w:val="24"/>
          <w:szCs w:val="24"/>
        </w:rPr>
        <w:t>of greatest concern to those holding more marginal constituencies, and would be less concern to those holding safer constituencies</w:t>
      </w:r>
      <w:r>
        <w:rPr>
          <w:rFonts w:ascii="Garamond" w:hAnsi="Garamond"/>
          <w:color w:val="FF0000"/>
          <w:sz w:val="24"/>
          <w:szCs w:val="24"/>
        </w:rPr>
        <w:t xml:space="preserve"> (see Miller, 1984). </w:t>
      </w:r>
    </w:p>
    <w:p w14:paraId="72211BA6" w14:textId="77777777" w:rsidR="00F379F4" w:rsidRDefault="00F379F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37955"/>
      <w:docPartObj>
        <w:docPartGallery w:val="Page Numbers (Bottom of Page)"/>
        <w:docPartUnique/>
      </w:docPartObj>
    </w:sdtPr>
    <w:sdtEndPr>
      <w:rPr>
        <w:color w:val="7F7F7F" w:themeColor="background1" w:themeShade="7F"/>
        <w:spacing w:val="60"/>
      </w:rPr>
    </w:sdtEndPr>
    <w:sdtContent>
      <w:p w14:paraId="2D8B7B3A" w14:textId="212E46BB" w:rsidR="00F379F4" w:rsidRDefault="00F379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6A08" w:rsidRPr="00EC6A08">
          <w:rPr>
            <w:b/>
            <w:bCs/>
            <w:noProof/>
          </w:rPr>
          <w:t>22</w:t>
        </w:r>
        <w:r>
          <w:rPr>
            <w:b/>
            <w:bCs/>
            <w:noProof/>
          </w:rPr>
          <w:fldChar w:fldCharType="end"/>
        </w:r>
        <w:r>
          <w:rPr>
            <w:b/>
            <w:bCs/>
          </w:rPr>
          <w:t xml:space="preserve"> | </w:t>
        </w:r>
        <w:r>
          <w:rPr>
            <w:color w:val="7F7F7F" w:themeColor="background1" w:themeShade="7F"/>
            <w:spacing w:val="60"/>
          </w:rPr>
          <w:t>Page</w:t>
        </w:r>
      </w:p>
    </w:sdtContent>
  </w:sdt>
  <w:p w14:paraId="25CDE49B" w14:textId="77777777" w:rsidR="00F379F4" w:rsidRDefault="00F37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C13F" w14:textId="77777777" w:rsidR="005417BA" w:rsidRDefault="005417BA" w:rsidP="009D073C">
      <w:pPr>
        <w:spacing w:after="0" w:line="240" w:lineRule="auto"/>
      </w:pPr>
      <w:r>
        <w:separator/>
      </w:r>
    </w:p>
  </w:footnote>
  <w:footnote w:type="continuationSeparator" w:id="0">
    <w:p w14:paraId="05193946" w14:textId="77777777" w:rsidR="005417BA" w:rsidRDefault="005417BA" w:rsidP="009D0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898"/>
    <w:multiLevelType w:val="hybridMultilevel"/>
    <w:tmpl w:val="6268B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79081B"/>
    <w:multiLevelType w:val="multilevel"/>
    <w:tmpl w:val="5AE8D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A6726"/>
    <w:multiLevelType w:val="multilevel"/>
    <w:tmpl w:val="B5CCC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E0DBF"/>
    <w:multiLevelType w:val="hybridMultilevel"/>
    <w:tmpl w:val="B7BC1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F92176"/>
    <w:multiLevelType w:val="multilevel"/>
    <w:tmpl w:val="C1742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1"/>
    <w:rsid w:val="00002C02"/>
    <w:rsid w:val="00024E48"/>
    <w:rsid w:val="00045E24"/>
    <w:rsid w:val="00047700"/>
    <w:rsid w:val="00047BA1"/>
    <w:rsid w:val="00055086"/>
    <w:rsid w:val="00070013"/>
    <w:rsid w:val="00081A72"/>
    <w:rsid w:val="000A38BD"/>
    <w:rsid w:val="000A39B9"/>
    <w:rsid w:val="000A6BCE"/>
    <w:rsid w:val="000B1C74"/>
    <w:rsid w:val="000E37BB"/>
    <w:rsid w:val="000E475B"/>
    <w:rsid w:val="000E4D2C"/>
    <w:rsid w:val="00105368"/>
    <w:rsid w:val="001121C2"/>
    <w:rsid w:val="00135A30"/>
    <w:rsid w:val="0013682F"/>
    <w:rsid w:val="00142C08"/>
    <w:rsid w:val="00145948"/>
    <w:rsid w:val="00157928"/>
    <w:rsid w:val="00162E33"/>
    <w:rsid w:val="00165CF5"/>
    <w:rsid w:val="00180385"/>
    <w:rsid w:val="001871D1"/>
    <w:rsid w:val="00187A53"/>
    <w:rsid w:val="00194057"/>
    <w:rsid w:val="001A3368"/>
    <w:rsid w:val="001A7189"/>
    <w:rsid w:val="001C4659"/>
    <w:rsid w:val="001D0BB9"/>
    <w:rsid w:val="001D0E87"/>
    <w:rsid w:val="001D506C"/>
    <w:rsid w:val="001D628C"/>
    <w:rsid w:val="001F0A32"/>
    <w:rsid w:val="001F1671"/>
    <w:rsid w:val="001F3FB4"/>
    <w:rsid w:val="001F698A"/>
    <w:rsid w:val="00234E41"/>
    <w:rsid w:val="00247210"/>
    <w:rsid w:val="002510A8"/>
    <w:rsid w:val="0025590D"/>
    <w:rsid w:val="00257BA5"/>
    <w:rsid w:val="00263C9D"/>
    <w:rsid w:val="002670E9"/>
    <w:rsid w:val="002729B1"/>
    <w:rsid w:val="002759D0"/>
    <w:rsid w:val="00283E9B"/>
    <w:rsid w:val="0029205A"/>
    <w:rsid w:val="00295D76"/>
    <w:rsid w:val="002A5DFC"/>
    <w:rsid w:val="002C6A6D"/>
    <w:rsid w:val="002D5DCE"/>
    <w:rsid w:val="002D79F0"/>
    <w:rsid w:val="002E0166"/>
    <w:rsid w:val="002E03E2"/>
    <w:rsid w:val="002E5103"/>
    <w:rsid w:val="002F1A82"/>
    <w:rsid w:val="003064CF"/>
    <w:rsid w:val="003076FD"/>
    <w:rsid w:val="00317046"/>
    <w:rsid w:val="003172CF"/>
    <w:rsid w:val="0031778B"/>
    <w:rsid w:val="00320F44"/>
    <w:rsid w:val="003233DB"/>
    <w:rsid w:val="00323BD4"/>
    <w:rsid w:val="00325008"/>
    <w:rsid w:val="0033791B"/>
    <w:rsid w:val="003558E8"/>
    <w:rsid w:val="00360924"/>
    <w:rsid w:val="003639C9"/>
    <w:rsid w:val="0036724E"/>
    <w:rsid w:val="00372374"/>
    <w:rsid w:val="00375A26"/>
    <w:rsid w:val="00375C46"/>
    <w:rsid w:val="00376535"/>
    <w:rsid w:val="00385CF0"/>
    <w:rsid w:val="00394EC7"/>
    <w:rsid w:val="003A4D5C"/>
    <w:rsid w:val="003A4FDE"/>
    <w:rsid w:val="003A52E0"/>
    <w:rsid w:val="003A6DBB"/>
    <w:rsid w:val="003A7411"/>
    <w:rsid w:val="003B3C35"/>
    <w:rsid w:val="003B58CB"/>
    <w:rsid w:val="003F0E39"/>
    <w:rsid w:val="003F4A38"/>
    <w:rsid w:val="00404EAC"/>
    <w:rsid w:val="00406ECF"/>
    <w:rsid w:val="00411808"/>
    <w:rsid w:val="004258F1"/>
    <w:rsid w:val="00430231"/>
    <w:rsid w:val="0044310A"/>
    <w:rsid w:val="004452FA"/>
    <w:rsid w:val="00450A01"/>
    <w:rsid w:val="00462103"/>
    <w:rsid w:val="004637CC"/>
    <w:rsid w:val="00466FE2"/>
    <w:rsid w:val="004718C4"/>
    <w:rsid w:val="004728CF"/>
    <w:rsid w:val="00482C8D"/>
    <w:rsid w:val="004915C4"/>
    <w:rsid w:val="004A3B87"/>
    <w:rsid w:val="004A5AC2"/>
    <w:rsid w:val="004B1348"/>
    <w:rsid w:val="004B1AD7"/>
    <w:rsid w:val="004B307C"/>
    <w:rsid w:val="004C082D"/>
    <w:rsid w:val="004C3D47"/>
    <w:rsid w:val="004C6EA7"/>
    <w:rsid w:val="004D6685"/>
    <w:rsid w:val="004E1ED7"/>
    <w:rsid w:val="00512630"/>
    <w:rsid w:val="00512A94"/>
    <w:rsid w:val="0051742B"/>
    <w:rsid w:val="005239DF"/>
    <w:rsid w:val="0052471B"/>
    <w:rsid w:val="0052788A"/>
    <w:rsid w:val="005417BA"/>
    <w:rsid w:val="00545B1F"/>
    <w:rsid w:val="00547C48"/>
    <w:rsid w:val="005533BE"/>
    <w:rsid w:val="0059093F"/>
    <w:rsid w:val="00591130"/>
    <w:rsid w:val="0059702C"/>
    <w:rsid w:val="005B62DF"/>
    <w:rsid w:val="005D3690"/>
    <w:rsid w:val="005D47FB"/>
    <w:rsid w:val="006058A7"/>
    <w:rsid w:val="006109C8"/>
    <w:rsid w:val="00633826"/>
    <w:rsid w:val="006433FB"/>
    <w:rsid w:val="00645705"/>
    <w:rsid w:val="0064643F"/>
    <w:rsid w:val="00647205"/>
    <w:rsid w:val="00670937"/>
    <w:rsid w:val="00673CD7"/>
    <w:rsid w:val="00681E0C"/>
    <w:rsid w:val="006934A9"/>
    <w:rsid w:val="00693694"/>
    <w:rsid w:val="006937DD"/>
    <w:rsid w:val="006A0F50"/>
    <w:rsid w:val="006A28D9"/>
    <w:rsid w:val="006A4914"/>
    <w:rsid w:val="006C2118"/>
    <w:rsid w:val="006D05BC"/>
    <w:rsid w:val="006D1DF6"/>
    <w:rsid w:val="006D3961"/>
    <w:rsid w:val="006E1024"/>
    <w:rsid w:val="00701B8E"/>
    <w:rsid w:val="007203C7"/>
    <w:rsid w:val="007347DC"/>
    <w:rsid w:val="00740B5B"/>
    <w:rsid w:val="00742317"/>
    <w:rsid w:val="00744832"/>
    <w:rsid w:val="00751CEB"/>
    <w:rsid w:val="007603C7"/>
    <w:rsid w:val="00762999"/>
    <w:rsid w:val="00762C57"/>
    <w:rsid w:val="00773DA3"/>
    <w:rsid w:val="00775E8B"/>
    <w:rsid w:val="00780391"/>
    <w:rsid w:val="00785F12"/>
    <w:rsid w:val="00786C0D"/>
    <w:rsid w:val="00794CB4"/>
    <w:rsid w:val="007A3194"/>
    <w:rsid w:val="007B157D"/>
    <w:rsid w:val="007B2297"/>
    <w:rsid w:val="007C104D"/>
    <w:rsid w:val="007C2E7F"/>
    <w:rsid w:val="007C3FBE"/>
    <w:rsid w:val="007E5354"/>
    <w:rsid w:val="007E5E80"/>
    <w:rsid w:val="007F5773"/>
    <w:rsid w:val="00802BB0"/>
    <w:rsid w:val="008062A4"/>
    <w:rsid w:val="008070CB"/>
    <w:rsid w:val="008355BA"/>
    <w:rsid w:val="0083647E"/>
    <w:rsid w:val="00844471"/>
    <w:rsid w:val="0085133E"/>
    <w:rsid w:val="0086111A"/>
    <w:rsid w:val="00864AFA"/>
    <w:rsid w:val="00864CBA"/>
    <w:rsid w:val="00866368"/>
    <w:rsid w:val="0087162B"/>
    <w:rsid w:val="008815CA"/>
    <w:rsid w:val="008908DA"/>
    <w:rsid w:val="00893243"/>
    <w:rsid w:val="008A155A"/>
    <w:rsid w:val="008A195A"/>
    <w:rsid w:val="008A220F"/>
    <w:rsid w:val="008A39C4"/>
    <w:rsid w:val="008D5570"/>
    <w:rsid w:val="008E1F9B"/>
    <w:rsid w:val="008E534D"/>
    <w:rsid w:val="008F37A7"/>
    <w:rsid w:val="00901717"/>
    <w:rsid w:val="00903C54"/>
    <w:rsid w:val="00924420"/>
    <w:rsid w:val="00935AE0"/>
    <w:rsid w:val="00936525"/>
    <w:rsid w:val="00957DDD"/>
    <w:rsid w:val="009607B0"/>
    <w:rsid w:val="00963E39"/>
    <w:rsid w:val="009807A5"/>
    <w:rsid w:val="0098258D"/>
    <w:rsid w:val="0098778C"/>
    <w:rsid w:val="00987F3A"/>
    <w:rsid w:val="009A3E40"/>
    <w:rsid w:val="009B3FE0"/>
    <w:rsid w:val="009B6D7A"/>
    <w:rsid w:val="009D073C"/>
    <w:rsid w:val="009D4287"/>
    <w:rsid w:val="009E69BE"/>
    <w:rsid w:val="009F3D1A"/>
    <w:rsid w:val="009F4917"/>
    <w:rsid w:val="009F50F9"/>
    <w:rsid w:val="009F76EC"/>
    <w:rsid w:val="00A142F4"/>
    <w:rsid w:val="00A23ADB"/>
    <w:rsid w:val="00A3072F"/>
    <w:rsid w:val="00A34FFB"/>
    <w:rsid w:val="00A43253"/>
    <w:rsid w:val="00A52D0D"/>
    <w:rsid w:val="00A6663B"/>
    <w:rsid w:val="00A710A9"/>
    <w:rsid w:val="00A7538D"/>
    <w:rsid w:val="00A930CB"/>
    <w:rsid w:val="00AA23CD"/>
    <w:rsid w:val="00AD0935"/>
    <w:rsid w:val="00AE26A8"/>
    <w:rsid w:val="00AE78B2"/>
    <w:rsid w:val="00AF149A"/>
    <w:rsid w:val="00AF2076"/>
    <w:rsid w:val="00AF2DC9"/>
    <w:rsid w:val="00B004F6"/>
    <w:rsid w:val="00B127E0"/>
    <w:rsid w:val="00B24649"/>
    <w:rsid w:val="00B407D2"/>
    <w:rsid w:val="00B451D1"/>
    <w:rsid w:val="00B61B0A"/>
    <w:rsid w:val="00B7117F"/>
    <w:rsid w:val="00B80C5E"/>
    <w:rsid w:val="00B83E91"/>
    <w:rsid w:val="00B83FBF"/>
    <w:rsid w:val="00B8511B"/>
    <w:rsid w:val="00B90A7B"/>
    <w:rsid w:val="00BB379B"/>
    <w:rsid w:val="00BB7FC8"/>
    <w:rsid w:val="00BC1980"/>
    <w:rsid w:val="00BC2BE3"/>
    <w:rsid w:val="00BD446D"/>
    <w:rsid w:val="00BE03AF"/>
    <w:rsid w:val="00BF24EB"/>
    <w:rsid w:val="00C06DE1"/>
    <w:rsid w:val="00C16485"/>
    <w:rsid w:val="00C43B74"/>
    <w:rsid w:val="00C62250"/>
    <w:rsid w:val="00C64A34"/>
    <w:rsid w:val="00C66279"/>
    <w:rsid w:val="00C7326D"/>
    <w:rsid w:val="00C75804"/>
    <w:rsid w:val="00C8625E"/>
    <w:rsid w:val="00C93DE7"/>
    <w:rsid w:val="00CA07D2"/>
    <w:rsid w:val="00CA1CBB"/>
    <w:rsid w:val="00CB2268"/>
    <w:rsid w:val="00CC37AF"/>
    <w:rsid w:val="00CD0637"/>
    <w:rsid w:val="00CD0732"/>
    <w:rsid w:val="00CE1073"/>
    <w:rsid w:val="00CF219F"/>
    <w:rsid w:val="00CF4A2A"/>
    <w:rsid w:val="00CF5190"/>
    <w:rsid w:val="00CF6E4B"/>
    <w:rsid w:val="00D006F0"/>
    <w:rsid w:val="00D015B8"/>
    <w:rsid w:val="00D163BC"/>
    <w:rsid w:val="00D214FC"/>
    <w:rsid w:val="00D46044"/>
    <w:rsid w:val="00D50007"/>
    <w:rsid w:val="00D52DD4"/>
    <w:rsid w:val="00D54F8B"/>
    <w:rsid w:val="00D56CB5"/>
    <w:rsid w:val="00D7158C"/>
    <w:rsid w:val="00D756B6"/>
    <w:rsid w:val="00D76722"/>
    <w:rsid w:val="00D90F00"/>
    <w:rsid w:val="00D946EE"/>
    <w:rsid w:val="00D96FCD"/>
    <w:rsid w:val="00DA135B"/>
    <w:rsid w:val="00DA3895"/>
    <w:rsid w:val="00DA45E9"/>
    <w:rsid w:val="00DA677B"/>
    <w:rsid w:val="00DA6C58"/>
    <w:rsid w:val="00DB070C"/>
    <w:rsid w:val="00DB351B"/>
    <w:rsid w:val="00DC132D"/>
    <w:rsid w:val="00DC3A6F"/>
    <w:rsid w:val="00DC4437"/>
    <w:rsid w:val="00DD3BE0"/>
    <w:rsid w:val="00DE428B"/>
    <w:rsid w:val="00DF32E0"/>
    <w:rsid w:val="00E001E5"/>
    <w:rsid w:val="00E003FE"/>
    <w:rsid w:val="00E01309"/>
    <w:rsid w:val="00E02023"/>
    <w:rsid w:val="00E02108"/>
    <w:rsid w:val="00E144FB"/>
    <w:rsid w:val="00E31AD7"/>
    <w:rsid w:val="00E374DA"/>
    <w:rsid w:val="00E47365"/>
    <w:rsid w:val="00E62B56"/>
    <w:rsid w:val="00E66866"/>
    <w:rsid w:val="00E7483A"/>
    <w:rsid w:val="00E75EFA"/>
    <w:rsid w:val="00E76923"/>
    <w:rsid w:val="00E81256"/>
    <w:rsid w:val="00E8681E"/>
    <w:rsid w:val="00E9376C"/>
    <w:rsid w:val="00E96884"/>
    <w:rsid w:val="00EA767A"/>
    <w:rsid w:val="00EB0DC6"/>
    <w:rsid w:val="00EB1441"/>
    <w:rsid w:val="00EB6028"/>
    <w:rsid w:val="00EB68EA"/>
    <w:rsid w:val="00EC6A08"/>
    <w:rsid w:val="00ED697E"/>
    <w:rsid w:val="00EF21D4"/>
    <w:rsid w:val="00EF3716"/>
    <w:rsid w:val="00EF57A3"/>
    <w:rsid w:val="00EF792C"/>
    <w:rsid w:val="00F00275"/>
    <w:rsid w:val="00F01557"/>
    <w:rsid w:val="00F201E8"/>
    <w:rsid w:val="00F23480"/>
    <w:rsid w:val="00F2606A"/>
    <w:rsid w:val="00F27E08"/>
    <w:rsid w:val="00F379F4"/>
    <w:rsid w:val="00F43B38"/>
    <w:rsid w:val="00F52B5B"/>
    <w:rsid w:val="00F61438"/>
    <w:rsid w:val="00F62A51"/>
    <w:rsid w:val="00F66E6E"/>
    <w:rsid w:val="00F82094"/>
    <w:rsid w:val="00F832D1"/>
    <w:rsid w:val="00F841F7"/>
    <w:rsid w:val="00FB6FB3"/>
    <w:rsid w:val="00FC4D1E"/>
    <w:rsid w:val="00FC51EE"/>
    <w:rsid w:val="00FD36FC"/>
    <w:rsid w:val="00FD3B0B"/>
    <w:rsid w:val="00FE3678"/>
    <w:rsid w:val="00FF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73C"/>
    <w:rPr>
      <w:strike w:val="0"/>
      <w:dstrike w:val="0"/>
      <w:color w:val="0061BF"/>
      <w:u w:val="none"/>
      <w:effect w:val="none"/>
    </w:rPr>
  </w:style>
  <w:style w:type="paragraph" w:styleId="NormalWeb">
    <w:name w:val="Normal (Web)"/>
    <w:basedOn w:val="Normal"/>
    <w:uiPriority w:val="99"/>
    <w:unhideWhenUsed/>
    <w:rsid w:val="009D07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9D073C"/>
    <w:pPr>
      <w:spacing w:after="0" w:line="240" w:lineRule="auto"/>
    </w:pPr>
    <w:rPr>
      <w:sz w:val="20"/>
      <w:szCs w:val="20"/>
    </w:rPr>
  </w:style>
  <w:style w:type="character" w:customStyle="1" w:styleId="EndnoteTextChar">
    <w:name w:val="Endnote Text Char"/>
    <w:basedOn w:val="DefaultParagraphFont"/>
    <w:link w:val="EndnoteText"/>
    <w:uiPriority w:val="99"/>
    <w:rsid w:val="009D073C"/>
    <w:rPr>
      <w:sz w:val="20"/>
      <w:szCs w:val="20"/>
    </w:rPr>
  </w:style>
  <w:style w:type="paragraph" w:styleId="ListParagraph">
    <w:name w:val="List Paragraph"/>
    <w:basedOn w:val="Normal"/>
    <w:uiPriority w:val="34"/>
    <w:qFormat/>
    <w:rsid w:val="009D073C"/>
    <w:pPr>
      <w:ind w:left="720"/>
      <w:contextualSpacing/>
    </w:pPr>
  </w:style>
  <w:style w:type="character" w:styleId="EndnoteReference">
    <w:name w:val="endnote reference"/>
    <w:basedOn w:val="DefaultParagraphFont"/>
    <w:uiPriority w:val="99"/>
    <w:semiHidden/>
    <w:unhideWhenUsed/>
    <w:rsid w:val="009D073C"/>
    <w:rPr>
      <w:vertAlign w:val="superscript"/>
    </w:rPr>
  </w:style>
  <w:style w:type="character" w:customStyle="1" w:styleId="personname2">
    <w:name w:val="person_name2"/>
    <w:basedOn w:val="DefaultParagraphFont"/>
    <w:rsid w:val="009D073C"/>
  </w:style>
  <w:style w:type="character" w:styleId="Emphasis">
    <w:name w:val="Emphasis"/>
    <w:basedOn w:val="DefaultParagraphFont"/>
    <w:uiPriority w:val="20"/>
    <w:qFormat/>
    <w:rsid w:val="009D073C"/>
    <w:rPr>
      <w:i/>
      <w:iCs/>
    </w:rPr>
  </w:style>
  <w:style w:type="table" w:styleId="TableGrid">
    <w:name w:val="Table Grid"/>
    <w:basedOn w:val="TableNormal"/>
    <w:uiPriority w:val="59"/>
    <w:rsid w:val="009D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024"/>
    <w:rPr>
      <w:sz w:val="16"/>
      <w:szCs w:val="16"/>
    </w:rPr>
  </w:style>
  <w:style w:type="paragraph" w:styleId="CommentText">
    <w:name w:val="annotation text"/>
    <w:basedOn w:val="Normal"/>
    <w:link w:val="CommentTextChar"/>
    <w:uiPriority w:val="99"/>
    <w:semiHidden/>
    <w:unhideWhenUsed/>
    <w:rsid w:val="006E1024"/>
    <w:pPr>
      <w:spacing w:line="240" w:lineRule="auto"/>
    </w:pPr>
    <w:rPr>
      <w:sz w:val="20"/>
      <w:szCs w:val="20"/>
    </w:rPr>
  </w:style>
  <w:style w:type="character" w:customStyle="1" w:styleId="CommentTextChar">
    <w:name w:val="Comment Text Char"/>
    <w:basedOn w:val="DefaultParagraphFont"/>
    <w:link w:val="CommentText"/>
    <w:uiPriority w:val="99"/>
    <w:semiHidden/>
    <w:rsid w:val="006E1024"/>
    <w:rPr>
      <w:sz w:val="20"/>
      <w:szCs w:val="20"/>
    </w:rPr>
  </w:style>
  <w:style w:type="paragraph" w:styleId="CommentSubject">
    <w:name w:val="annotation subject"/>
    <w:basedOn w:val="CommentText"/>
    <w:next w:val="CommentText"/>
    <w:link w:val="CommentSubjectChar"/>
    <w:uiPriority w:val="99"/>
    <w:semiHidden/>
    <w:unhideWhenUsed/>
    <w:rsid w:val="006E1024"/>
    <w:rPr>
      <w:b/>
      <w:bCs/>
    </w:rPr>
  </w:style>
  <w:style w:type="character" w:customStyle="1" w:styleId="CommentSubjectChar">
    <w:name w:val="Comment Subject Char"/>
    <w:basedOn w:val="CommentTextChar"/>
    <w:link w:val="CommentSubject"/>
    <w:uiPriority w:val="99"/>
    <w:semiHidden/>
    <w:rsid w:val="006E1024"/>
    <w:rPr>
      <w:b/>
      <w:bCs/>
      <w:sz w:val="20"/>
      <w:szCs w:val="20"/>
    </w:rPr>
  </w:style>
  <w:style w:type="paragraph" w:styleId="BalloonText">
    <w:name w:val="Balloon Text"/>
    <w:basedOn w:val="Normal"/>
    <w:link w:val="BalloonTextChar"/>
    <w:uiPriority w:val="99"/>
    <w:semiHidden/>
    <w:unhideWhenUsed/>
    <w:rsid w:val="006E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24"/>
    <w:rPr>
      <w:rFonts w:ascii="Tahoma" w:hAnsi="Tahoma" w:cs="Tahoma"/>
      <w:sz w:val="16"/>
      <w:szCs w:val="16"/>
    </w:rPr>
  </w:style>
  <w:style w:type="paragraph" w:styleId="NoSpacing">
    <w:name w:val="No Spacing"/>
    <w:uiPriority w:val="1"/>
    <w:qFormat/>
    <w:rsid w:val="003F4A38"/>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24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210"/>
  </w:style>
  <w:style w:type="paragraph" w:styleId="Footer">
    <w:name w:val="footer"/>
    <w:basedOn w:val="Normal"/>
    <w:link w:val="FooterChar"/>
    <w:uiPriority w:val="99"/>
    <w:unhideWhenUsed/>
    <w:rsid w:val="0024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210"/>
  </w:style>
  <w:style w:type="character" w:styleId="HTMLCite">
    <w:name w:val="HTML Cite"/>
    <w:basedOn w:val="DefaultParagraphFont"/>
    <w:uiPriority w:val="99"/>
    <w:semiHidden/>
    <w:unhideWhenUsed/>
    <w:rsid w:val="00E81256"/>
    <w:rPr>
      <w:i/>
      <w:iCs/>
    </w:rPr>
  </w:style>
  <w:style w:type="character" w:customStyle="1" w:styleId="nlmstring-name">
    <w:name w:val="nlm_string-name"/>
    <w:basedOn w:val="DefaultParagraphFont"/>
    <w:rsid w:val="00A23ADB"/>
  </w:style>
  <w:style w:type="character" w:customStyle="1" w:styleId="nlmyear">
    <w:name w:val="nlm_year"/>
    <w:basedOn w:val="DefaultParagraphFont"/>
    <w:rsid w:val="00A23ADB"/>
  </w:style>
  <w:style w:type="character" w:customStyle="1" w:styleId="nlmarticle-title">
    <w:name w:val="nlm_article-title"/>
    <w:basedOn w:val="DefaultParagraphFont"/>
    <w:rsid w:val="00A23ADB"/>
  </w:style>
  <w:style w:type="character" w:customStyle="1" w:styleId="nlmpublisher-loc">
    <w:name w:val="nlm_publisher-loc"/>
    <w:basedOn w:val="DefaultParagraphFont"/>
    <w:rsid w:val="00A23ADB"/>
  </w:style>
  <w:style w:type="character" w:customStyle="1" w:styleId="nlmpublisher-name">
    <w:name w:val="nlm_publisher-name"/>
    <w:basedOn w:val="DefaultParagraphFont"/>
    <w:rsid w:val="00A23ADB"/>
  </w:style>
  <w:style w:type="character" w:customStyle="1" w:styleId="nlmfpage">
    <w:name w:val="nlm_fpage"/>
    <w:basedOn w:val="DefaultParagraphFont"/>
    <w:rsid w:val="00A23ADB"/>
  </w:style>
  <w:style w:type="character" w:customStyle="1" w:styleId="nlmlpage">
    <w:name w:val="nlm_lpage"/>
    <w:basedOn w:val="DefaultParagraphFont"/>
    <w:rsid w:val="00A23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73C"/>
    <w:rPr>
      <w:strike w:val="0"/>
      <w:dstrike w:val="0"/>
      <w:color w:val="0061BF"/>
      <w:u w:val="none"/>
      <w:effect w:val="none"/>
    </w:rPr>
  </w:style>
  <w:style w:type="paragraph" w:styleId="NormalWeb">
    <w:name w:val="Normal (Web)"/>
    <w:basedOn w:val="Normal"/>
    <w:uiPriority w:val="99"/>
    <w:unhideWhenUsed/>
    <w:rsid w:val="009D07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9D073C"/>
    <w:pPr>
      <w:spacing w:after="0" w:line="240" w:lineRule="auto"/>
    </w:pPr>
    <w:rPr>
      <w:sz w:val="20"/>
      <w:szCs w:val="20"/>
    </w:rPr>
  </w:style>
  <w:style w:type="character" w:customStyle="1" w:styleId="EndnoteTextChar">
    <w:name w:val="Endnote Text Char"/>
    <w:basedOn w:val="DefaultParagraphFont"/>
    <w:link w:val="EndnoteText"/>
    <w:uiPriority w:val="99"/>
    <w:rsid w:val="009D073C"/>
    <w:rPr>
      <w:sz w:val="20"/>
      <w:szCs w:val="20"/>
    </w:rPr>
  </w:style>
  <w:style w:type="paragraph" w:styleId="ListParagraph">
    <w:name w:val="List Paragraph"/>
    <w:basedOn w:val="Normal"/>
    <w:uiPriority w:val="34"/>
    <w:qFormat/>
    <w:rsid w:val="009D073C"/>
    <w:pPr>
      <w:ind w:left="720"/>
      <w:contextualSpacing/>
    </w:pPr>
  </w:style>
  <w:style w:type="character" w:styleId="EndnoteReference">
    <w:name w:val="endnote reference"/>
    <w:basedOn w:val="DefaultParagraphFont"/>
    <w:uiPriority w:val="99"/>
    <w:semiHidden/>
    <w:unhideWhenUsed/>
    <w:rsid w:val="009D073C"/>
    <w:rPr>
      <w:vertAlign w:val="superscript"/>
    </w:rPr>
  </w:style>
  <w:style w:type="character" w:customStyle="1" w:styleId="personname2">
    <w:name w:val="person_name2"/>
    <w:basedOn w:val="DefaultParagraphFont"/>
    <w:rsid w:val="009D073C"/>
  </w:style>
  <w:style w:type="character" w:styleId="Emphasis">
    <w:name w:val="Emphasis"/>
    <w:basedOn w:val="DefaultParagraphFont"/>
    <w:uiPriority w:val="20"/>
    <w:qFormat/>
    <w:rsid w:val="009D073C"/>
    <w:rPr>
      <w:i/>
      <w:iCs/>
    </w:rPr>
  </w:style>
  <w:style w:type="table" w:styleId="TableGrid">
    <w:name w:val="Table Grid"/>
    <w:basedOn w:val="TableNormal"/>
    <w:uiPriority w:val="59"/>
    <w:rsid w:val="009D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024"/>
    <w:rPr>
      <w:sz w:val="16"/>
      <w:szCs w:val="16"/>
    </w:rPr>
  </w:style>
  <w:style w:type="paragraph" w:styleId="CommentText">
    <w:name w:val="annotation text"/>
    <w:basedOn w:val="Normal"/>
    <w:link w:val="CommentTextChar"/>
    <w:uiPriority w:val="99"/>
    <w:semiHidden/>
    <w:unhideWhenUsed/>
    <w:rsid w:val="006E1024"/>
    <w:pPr>
      <w:spacing w:line="240" w:lineRule="auto"/>
    </w:pPr>
    <w:rPr>
      <w:sz w:val="20"/>
      <w:szCs w:val="20"/>
    </w:rPr>
  </w:style>
  <w:style w:type="character" w:customStyle="1" w:styleId="CommentTextChar">
    <w:name w:val="Comment Text Char"/>
    <w:basedOn w:val="DefaultParagraphFont"/>
    <w:link w:val="CommentText"/>
    <w:uiPriority w:val="99"/>
    <w:semiHidden/>
    <w:rsid w:val="006E1024"/>
    <w:rPr>
      <w:sz w:val="20"/>
      <w:szCs w:val="20"/>
    </w:rPr>
  </w:style>
  <w:style w:type="paragraph" w:styleId="CommentSubject">
    <w:name w:val="annotation subject"/>
    <w:basedOn w:val="CommentText"/>
    <w:next w:val="CommentText"/>
    <w:link w:val="CommentSubjectChar"/>
    <w:uiPriority w:val="99"/>
    <w:semiHidden/>
    <w:unhideWhenUsed/>
    <w:rsid w:val="006E1024"/>
    <w:rPr>
      <w:b/>
      <w:bCs/>
    </w:rPr>
  </w:style>
  <w:style w:type="character" w:customStyle="1" w:styleId="CommentSubjectChar">
    <w:name w:val="Comment Subject Char"/>
    <w:basedOn w:val="CommentTextChar"/>
    <w:link w:val="CommentSubject"/>
    <w:uiPriority w:val="99"/>
    <w:semiHidden/>
    <w:rsid w:val="006E1024"/>
    <w:rPr>
      <w:b/>
      <w:bCs/>
      <w:sz w:val="20"/>
      <w:szCs w:val="20"/>
    </w:rPr>
  </w:style>
  <w:style w:type="paragraph" w:styleId="BalloonText">
    <w:name w:val="Balloon Text"/>
    <w:basedOn w:val="Normal"/>
    <w:link w:val="BalloonTextChar"/>
    <w:uiPriority w:val="99"/>
    <w:semiHidden/>
    <w:unhideWhenUsed/>
    <w:rsid w:val="006E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24"/>
    <w:rPr>
      <w:rFonts w:ascii="Tahoma" w:hAnsi="Tahoma" w:cs="Tahoma"/>
      <w:sz w:val="16"/>
      <w:szCs w:val="16"/>
    </w:rPr>
  </w:style>
  <w:style w:type="paragraph" w:styleId="NoSpacing">
    <w:name w:val="No Spacing"/>
    <w:uiPriority w:val="1"/>
    <w:qFormat/>
    <w:rsid w:val="003F4A38"/>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24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210"/>
  </w:style>
  <w:style w:type="paragraph" w:styleId="Footer">
    <w:name w:val="footer"/>
    <w:basedOn w:val="Normal"/>
    <w:link w:val="FooterChar"/>
    <w:uiPriority w:val="99"/>
    <w:unhideWhenUsed/>
    <w:rsid w:val="0024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210"/>
  </w:style>
  <w:style w:type="character" w:styleId="HTMLCite">
    <w:name w:val="HTML Cite"/>
    <w:basedOn w:val="DefaultParagraphFont"/>
    <w:uiPriority w:val="99"/>
    <w:semiHidden/>
    <w:unhideWhenUsed/>
    <w:rsid w:val="00E81256"/>
    <w:rPr>
      <w:i/>
      <w:iCs/>
    </w:rPr>
  </w:style>
  <w:style w:type="character" w:customStyle="1" w:styleId="nlmstring-name">
    <w:name w:val="nlm_string-name"/>
    <w:basedOn w:val="DefaultParagraphFont"/>
    <w:rsid w:val="00A23ADB"/>
  </w:style>
  <w:style w:type="character" w:customStyle="1" w:styleId="nlmyear">
    <w:name w:val="nlm_year"/>
    <w:basedOn w:val="DefaultParagraphFont"/>
    <w:rsid w:val="00A23ADB"/>
  </w:style>
  <w:style w:type="character" w:customStyle="1" w:styleId="nlmarticle-title">
    <w:name w:val="nlm_article-title"/>
    <w:basedOn w:val="DefaultParagraphFont"/>
    <w:rsid w:val="00A23ADB"/>
  </w:style>
  <w:style w:type="character" w:customStyle="1" w:styleId="nlmpublisher-loc">
    <w:name w:val="nlm_publisher-loc"/>
    <w:basedOn w:val="DefaultParagraphFont"/>
    <w:rsid w:val="00A23ADB"/>
  </w:style>
  <w:style w:type="character" w:customStyle="1" w:styleId="nlmpublisher-name">
    <w:name w:val="nlm_publisher-name"/>
    <w:basedOn w:val="DefaultParagraphFont"/>
    <w:rsid w:val="00A23ADB"/>
  </w:style>
  <w:style w:type="character" w:customStyle="1" w:styleId="nlmfpage">
    <w:name w:val="nlm_fpage"/>
    <w:basedOn w:val="DefaultParagraphFont"/>
    <w:rsid w:val="00A23ADB"/>
  </w:style>
  <w:style w:type="character" w:customStyle="1" w:styleId="nlmlpage">
    <w:name w:val="nlm_lpage"/>
    <w:basedOn w:val="DefaultParagraphFont"/>
    <w:rsid w:val="00A2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1392">
      <w:bodyDiv w:val="1"/>
      <w:marLeft w:val="0"/>
      <w:marRight w:val="0"/>
      <w:marTop w:val="0"/>
      <w:marBottom w:val="0"/>
      <w:divBdr>
        <w:top w:val="none" w:sz="0" w:space="0" w:color="auto"/>
        <w:left w:val="none" w:sz="0" w:space="0" w:color="auto"/>
        <w:bottom w:val="none" w:sz="0" w:space="0" w:color="auto"/>
        <w:right w:val="none" w:sz="0" w:space="0" w:color="auto"/>
      </w:divBdr>
      <w:divsChild>
        <w:div w:id="356735570">
          <w:marLeft w:val="0"/>
          <w:marRight w:val="0"/>
          <w:marTop w:val="0"/>
          <w:marBottom w:val="0"/>
          <w:divBdr>
            <w:top w:val="none" w:sz="0" w:space="0" w:color="auto"/>
            <w:left w:val="none" w:sz="0" w:space="0" w:color="auto"/>
            <w:bottom w:val="none" w:sz="0" w:space="0" w:color="auto"/>
            <w:right w:val="none" w:sz="0" w:space="0" w:color="auto"/>
          </w:divBdr>
          <w:divsChild>
            <w:div w:id="1943995786">
              <w:marLeft w:val="0"/>
              <w:marRight w:val="0"/>
              <w:marTop w:val="0"/>
              <w:marBottom w:val="0"/>
              <w:divBdr>
                <w:top w:val="none" w:sz="0" w:space="0" w:color="auto"/>
                <w:left w:val="none" w:sz="0" w:space="0" w:color="auto"/>
                <w:bottom w:val="none" w:sz="0" w:space="0" w:color="auto"/>
                <w:right w:val="none" w:sz="0" w:space="0" w:color="auto"/>
              </w:divBdr>
              <w:divsChild>
                <w:div w:id="443304905">
                  <w:marLeft w:val="0"/>
                  <w:marRight w:val="0"/>
                  <w:marTop w:val="223"/>
                  <w:marBottom w:val="223"/>
                  <w:divBdr>
                    <w:top w:val="none" w:sz="0" w:space="0" w:color="auto"/>
                    <w:left w:val="none" w:sz="0" w:space="0" w:color="auto"/>
                    <w:bottom w:val="none" w:sz="0" w:space="0" w:color="auto"/>
                    <w:right w:val="none" w:sz="0" w:space="0" w:color="auto"/>
                  </w:divBdr>
                  <w:divsChild>
                    <w:div w:id="236787884">
                      <w:marLeft w:val="0"/>
                      <w:marRight w:val="0"/>
                      <w:marTop w:val="0"/>
                      <w:marBottom w:val="0"/>
                      <w:divBdr>
                        <w:top w:val="none" w:sz="0" w:space="0" w:color="auto"/>
                        <w:left w:val="none" w:sz="0" w:space="0" w:color="auto"/>
                        <w:bottom w:val="none" w:sz="0" w:space="0" w:color="auto"/>
                        <w:right w:val="none" w:sz="0" w:space="0" w:color="auto"/>
                      </w:divBdr>
                      <w:divsChild>
                        <w:div w:id="1720324330">
                          <w:marLeft w:val="0"/>
                          <w:marRight w:val="0"/>
                          <w:marTop w:val="0"/>
                          <w:marBottom w:val="0"/>
                          <w:divBdr>
                            <w:top w:val="none" w:sz="0" w:space="0" w:color="auto"/>
                            <w:left w:val="none" w:sz="0" w:space="0" w:color="auto"/>
                            <w:bottom w:val="none" w:sz="0" w:space="0" w:color="auto"/>
                            <w:right w:val="none" w:sz="0" w:space="0" w:color="auto"/>
                          </w:divBdr>
                        </w:div>
                        <w:div w:id="1630479565">
                          <w:marLeft w:val="0"/>
                          <w:marRight w:val="0"/>
                          <w:marTop w:val="0"/>
                          <w:marBottom w:val="0"/>
                          <w:divBdr>
                            <w:top w:val="none" w:sz="0" w:space="0" w:color="auto"/>
                            <w:left w:val="none" w:sz="0" w:space="0" w:color="auto"/>
                            <w:bottom w:val="none" w:sz="0" w:space="0" w:color="auto"/>
                            <w:right w:val="none" w:sz="0" w:space="0" w:color="auto"/>
                          </w:divBdr>
                        </w:div>
                        <w:div w:id="1740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20659">
      <w:bodyDiv w:val="1"/>
      <w:marLeft w:val="0"/>
      <w:marRight w:val="0"/>
      <w:marTop w:val="0"/>
      <w:marBottom w:val="0"/>
      <w:divBdr>
        <w:top w:val="none" w:sz="0" w:space="0" w:color="auto"/>
        <w:left w:val="none" w:sz="0" w:space="0" w:color="auto"/>
        <w:bottom w:val="none" w:sz="0" w:space="0" w:color="auto"/>
        <w:right w:val="none" w:sz="0" w:space="0" w:color="auto"/>
      </w:divBdr>
    </w:div>
    <w:div w:id="1499541196">
      <w:bodyDiv w:val="1"/>
      <w:marLeft w:val="0"/>
      <w:marRight w:val="0"/>
      <w:marTop w:val="0"/>
      <w:marBottom w:val="0"/>
      <w:divBdr>
        <w:top w:val="none" w:sz="0" w:space="0" w:color="auto"/>
        <w:left w:val="none" w:sz="0" w:space="0" w:color="auto"/>
        <w:bottom w:val="none" w:sz="0" w:space="0" w:color="auto"/>
        <w:right w:val="none" w:sz="0" w:space="0" w:color="auto"/>
      </w:divBdr>
      <w:divsChild>
        <w:div w:id="1908882121">
          <w:marLeft w:val="0"/>
          <w:marRight w:val="0"/>
          <w:marTop w:val="0"/>
          <w:marBottom w:val="0"/>
          <w:divBdr>
            <w:top w:val="single" w:sz="6" w:space="0" w:color="EBEBEB"/>
            <w:left w:val="none" w:sz="0" w:space="0" w:color="auto"/>
            <w:bottom w:val="none" w:sz="0" w:space="0" w:color="auto"/>
            <w:right w:val="none" w:sz="0" w:space="0" w:color="auto"/>
          </w:divBdr>
          <w:divsChild>
            <w:div w:id="436406322">
              <w:marLeft w:val="0"/>
              <w:marRight w:val="0"/>
              <w:marTop w:val="0"/>
              <w:marBottom w:val="0"/>
              <w:divBdr>
                <w:top w:val="none" w:sz="0" w:space="0" w:color="auto"/>
                <w:left w:val="none" w:sz="0" w:space="0" w:color="auto"/>
                <w:bottom w:val="none" w:sz="0" w:space="0" w:color="auto"/>
                <w:right w:val="none" w:sz="0" w:space="0" w:color="auto"/>
              </w:divBdr>
              <w:divsChild>
                <w:div w:id="1298222413">
                  <w:marLeft w:val="0"/>
                  <w:marRight w:val="0"/>
                  <w:marTop w:val="0"/>
                  <w:marBottom w:val="0"/>
                  <w:divBdr>
                    <w:top w:val="none" w:sz="0" w:space="0" w:color="auto"/>
                    <w:left w:val="none" w:sz="0" w:space="0" w:color="auto"/>
                    <w:bottom w:val="none" w:sz="0" w:space="0" w:color="auto"/>
                    <w:right w:val="none" w:sz="0" w:space="0" w:color="auto"/>
                  </w:divBdr>
                  <w:divsChild>
                    <w:div w:id="154535184">
                      <w:marLeft w:val="0"/>
                      <w:marRight w:val="0"/>
                      <w:marTop w:val="630"/>
                      <w:marBottom w:val="0"/>
                      <w:divBdr>
                        <w:top w:val="single" w:sz="12" w:space="0" w:color="auto"/>
                        <w:left w:val="none" w:sz="0" w:space="0" w:color="auto"/>
                        <w:bottom w:val="none" w:sz="0" w:space="0" w:color="auto"/>
                        <w:right w:val="none" w:sz="0" w:space="0" w:color="auto"/>
                      </w:divBdr>
                      <w:divsChild>
                        <w:div w:id="877207264">
                          <w:marLeft w:val="0"/>
                          <w:marRight w:val="0"/>
                          <w:marTop w:val="0"/>
                          <w:marBottom w:val="0"/>
                          <w:divBdr>
                            <w:top w:val="none" w:sz="0" w:space="0" w:color="auto"/>
                            <w:left w:val="none" w:sz="0" w:space="0" w:color="auto"/>
                            <w:bottom w:val="none" w:sz="0" w:space="0" w:color="auto"/>
                            <w:right w:val="none" w:sz="0" w:space="0" w:color="auto"/>
                          </w:divBdr>
                          <w:divsChild>
                            <w:div w:id="27875909">
                              <w:marLeft w:val="0"/>
                              <w:marRight w:val="150"/>
                              <w:marTop w:val="0"/>
                              <w:marBottom w:val="90"/>
                              <w:divBdr>
                                <w:top w:val="none" w:sz="0" w:space="0" w:color="auto"/>
                                <w:left w:val="none" w:sz="0" w:space="0" w:color="auto"/>
                                <w:bottom w:val="none" w:sz="0" w:space="0" w:color="auto"/>
                                <w:right w:val="none" w:sz="0" w:space="0" w:color="auto"/>
                              </w:divBdr>
                              <w:divsChild>
                                <w:div w:id="17970247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794619">
      <w:bodyDiv w:val="1"/>
      <w:marLeft w:val="0"/>
      <w:marRight w:val="0"/>
      <w:marTop w:val="0"/>
      <w:marBottom w:val="0"/>
      <w:divBdr>
        <w:top w:val="none" w:sz="0" w:space="0" w:color="auto"/>
        <w:left w:val="none" w:sz="0" w:space="0" w:color="auto"/>
        <w:bottom w:val="none" w:sz="0" w:space="0" w:color="auto"/>
        <w:right w:val="none" w:sz="0" w:space="0" w:color="auto"/>
      </w:divBdr>
      <w:divsChild>
        <w:div w:id="464591573">
          <w:marLeft w:val="0"/>
          <w:marRight w:val="0"/>
          <w:marTop w:val="0"/>
          <w:marBottom w:val="0"/>
          <w:divBdr>
            <w:top w:val="none" w:sz="0" w:space="0" w:color="auto"/>
            <w:left w:val="none" w:sz="0" w:space="0" w:color="auto"/>
            <w:bottom w:val="none" w:sz="0" w:space="0" w:color="auto"/>
            <w:right w:val="none" w:sz="0" w:space="0" w:color="auto"/>
          </w:divBdr>
          <w:divsChild>
            <w:div w:id="1691908088">
              <w:marLeft w:val="0"/>
              <w:marRight w:val="0"/>
              <w:marTop w:val="0"/>
              <w:marBottom w:val="0"/>
              <w:divBdr>
                <w:top w:val="none" w:sz="0" w:space="0" w:color="auto"/>
                <w:left w:val="none" w:sz="0" w:space="0" w:color="auto"/>
                <w:bottom w:val="none" w:sz="0" w:space="0" w:color="auto"/>
                <w:right w:val="none" w:sz="0" w:space="0" w:color="auto"/>
              </w:divBdr>
              <w:divsChild>
                <w:div w:id="1822773430">
                  <w:marLeft w:val="0"/>
                  <w:marRight w:val="0"/>
                  <w:marTop w:val="0"/>
                  <w:marBottom w:val="0"/>
                  <w:divBdr>
                    <w:top w:val="none" w:sz="0" w:space="0" w:color="auto"/>
                    <w:left w:val="none" w:sz="0" w:space="0" w:color="auto"/>
                    <w:bottom w:val="none" w:sz="0" w:space="0" w:color="auto"/>
                    <w:right w:val="none" w:sz="0" w:space="0" w:color="auto"/>
                  </w:divBdr>
                  <w:divsChild>
                    <w:div w:id="118765258">
                      <w:marLeft w:val="0"/>
                      <w:marRight w:val="0"/>
                      <w:marTop w:val="0"/>
                      <w:marBottom w:val="0"/>
                      <w:divBdr>
                        <w:top w:val="none" w:sz="0" w:space="0" w:color="auto"/>
                        <w:left w:val="none" w:sz="0" w:space="0" w:color="auto"/>
                        <w:bottom w:val="none" w:sz="0" w:space="0" w:color="auto"/>
                        <w:right w:val="none" w:sz="0" w:space="0" w:color="auto"/>
                      </w:divBdr>
                      <w:divsChild>
                        <w:div w:id="400099786">
                          <w:marLeft w:val="0"/>
                          <w:marRight w:val="0"/>
                          <w:marTop w:val="0"/>
                          <w:marBottom w:val="0"/>
                          <w:divBdr>
                            <w:top w:val="none" w:sz="0" w:space="0" w:color="auto"/>
                            <w:left w:val="none" w:sz="0" w:space="0" w:color="auto"/>
                            <w:bottom w:val="none" w:sz="0" w:space="0" w:color="auto"/>
                            <w:right w:val="none" w:sz="0" w:space="0" w:color="auto"/>
                          </w:divBdr>
                          <w:divsChild>
                            <w:div w:id="17823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76568">
      <w:bodyDiv w:val="1"/>
      <w:marLeft w:val="0"/>
      <w:marRight w:val="0"/>
      <w:marTop w:val="0"/>
      <w:marBottom w:val="0"/>
      <w:divBdr>
        <w:top w:val="none" w:sz="0" w:space="0" w:color="auto"/>
        <w:left w:val="none" w:sz="0" w:space="0" w:color="auto"/>
        <w:bottom w:val="none" w:sz="0" w:space="0" w:color="auto"/>
        <w:right w:val="none" w:sz="0" w:space="0" w:color="auto"/>
      </w:divBdr>
      <w:divsChild>
        <w:div w:id="1856262819">
          <w:marLeft w:val="0"/>
          <w:marRight w:val="0"/>
          <w:marTop w:val="0"/>
          <w:marBottom w:val="0"/>
          <w:divBdr>
            <w:top w:val="none" w:sz="0" w:space="0" w:color="auto"/>
            <w:left w:val="none" w:sz="0" w:space="0" w:color="auto"/>
            <w:bottom w:val="none" w:sz="0" w:space="0" w:color="auto"/>
            <w:right w:val="none" w:sz="0" w:space="0" w:color="auto"/>
          </w:divBdr>
          <w:divsChild>
            <w:div w:id="702365613">
              <w:marLeft w:val="0"/>
              <w:marRight w:val="0"/>
              <w:marTop w:val="0"/>
              <w:marBottom w:val="0"/>
              <w:divBdr>
                <w:top w:val="none" w:sz="0" w:space="0" w:color="auto"/>
                <w:left w:val="none" w:sz="0" w:space="0" w:color="auto"/>
                <w:bottom w:val="none" w:sz="0" w:space="0" w:color="auto"/>
                <w:right w:val="none" w:sz="0" w:space="0" w:color="auto"/>
              </w:divBdr>
              <w:divsChild>
                <w:div w:id="1596209647">
                  <w:marLeft w:val="0"/>
                  <w:marRight w:val="0"/>
                  <w:marTop w:val="0"/>
                  <w:marBottom w:val="0"/>
                  <w:divBdr>
                    <w:top w:val="none" w:sz="0" w:space="0" w:color="auto"/>
                    <w:left w:val="none" w:sz="0" w:space="0" w:color="auto"/>
                    <w:bottom w:val="none" w:sz="0" w:space="0" w:color="auto"/>
                    <w:right w:val="none" w:sz="0" w:space="0" w:color="auto"/>
                  </w:divBdr>
                  <w:divsChild>
                    <w:div w:id="178740626">
                      <w:marLeft w:val="0"/>
                      <w:marRight w:val="0"/>
                      <w:marTop w:val="0"/>
                      <w:marBottom w:val="0"/>
                      <w:divBdr>
                        <w:top w:val="none" w:sz="0" w:space="0" w:color="auto"/>
                        <w:left w:val="none" w:sz="0" w:space="0" w:color="auto"/>
                        <w:bottom w:val="none" w:sz="0" w:space="0" w:color="auto"/>
                        <w:right w:val="none" w:sz="0" w:space="0" w:color="auto"/>
                      </w:divBdr>
                      <w:divsChild>
                        <w:div w:id="2103334144">
                          <w:marLeft w:val="0"/>
                          <w:marRight w:val="0"/>
                          <w:marTop w:val="0"/>
                          <w:marBottom w:val="0"/>
                          <w:divBdr>
                            <w:top w:val="none" w:sz="0" w:space="0" w:color="auto"/>
                            <w:left w:val="none" w:sz="0" w:space="0" w:color="auto"/>
                            <w:bottom w:val="none" w:sz="0" w:space="0" w:color="auto"/>
                            <w:right w:val="none" w:sz="0" w:space="0" w:color="auto"/>
                          </w:divBdr>
                          <w:divsChild>
                            <w:div w:id="2017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88929">
      <w:bodyDiv w:val="1"/>
      <w:marLeft w:val="0"/>
      <w:marRight w:val="0"/>
      <w:marTop w:val="0"/>
      <w:marBottom w:val="0"/>
      <w:divBdr>
        <w:top w:val="none" w:sz="0" w:space="0" w:color="auto"/>
        <w:left w:val="none" w:sz="0" w:space="0" w:color="auto"/>
        <w:bottom w:val="none" w:sz="0" w:space="0" w:color="auto"/>
        <w:right w:val="none" w:sz="0" w:space="0" w:color="auto"/>
      </w:divBdr>
      <w:divsChild>
        <w:div w:id="55055108">
          <w:marLeft w:val="0"/>
          <w:marRight w:val="0"/>
          <w:marTop w:val="0"/>
          <w:marBottom w:val="0"/>
          <w:divBdr>
            <w:top w:val="none" w:sz="0" w:space="0" w:color="auto"/>
            <w:left w:val="none" w:sz="0" w:space="0" w:color="auto"/>
            <w:bottom w:val="none" w:sz="0" w:space="0" w:color="auto"/>
            <w:right w:val="none" w:sz="0" w:space="0" w:color="auto"/>
          </w:divBdr>
          <w:divsChild>
            <w:div w:id="1933279201">
              <w:marLeft w:val="0"/>
              <w:marRight w:val="0"/>
              <w:marTop w:val="0"/>
              <w:marBottom w:val="0"/>
              <w:divBdr>
                <w:top w:val="none" w:sz="0" w:space="0" w:color="auto"/>
                <w:left w:val="none" w:sz="0" w:space="0" w:color="auto"/>
                <w:bottom w:val="none" w:sz="0" w:space="0" w:color="auto"/>
                <w:right w:val="none" w:sz="0" w:space="0" w:color="auto"/>
              </w:divBdr>
              <w:divsChild>
                <w:div w:id="22100886">
                  <w:marLeft w:val="0"/>
                  <w:marRight w:val="0"/>
                  <w:marTop w:val="0"/>
                  <w:marBottom w:val="0"/>
                  <w:divBdr>
                    <w:top w:val="none" w:sz="0" w:space="0" w:color="auto"/>
                    <w:left w:val="none" w:sz="0" w:space="0" w:color="auto"/>
                    <w:bottom w:val="none" w:sz="0" w:space="0" w:color="auto"/>
                    <w:right w:val="none" w:sz="0" w:space="0" w:color="auto"/>
                  </w:divBdr>
                  <w:divsChild>
                    <w:div w:id="852497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ourinforbritai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leav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bourlist.org/2016/07/which-constituencies-have-had-confidence-votes-in-jeremy-corbyns-leadership/" TargetMode="External"/><Relationship Id="rId4" Type="http://schemas.microsoft.com/office/2007/relationships/stylesWithEffects" Target="stylesWithEffects.xml"/><Relationship Id="rId9" Type="http://schemas.openxmlformats.org/officeDocument/2006/relationships/hyperlink" Target="http://www.parliament.uk/mps-lords-and-offices/m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B33C-109B-45EB-8B26-B244DA65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7417</Words>
  <Characters>42279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Heppell</dc:creator>
  <cp:lastModifiedBy>Crines, Andrew</cp:lastModifiedBy>
  <cp:revision>3</cp:revision>
  <cp:lastPrinted>2017-05-16T08:55:00Z</cp:lastPrinted>
  <dcterms:created xsi:type="dcterms:W3CDTF">2017-06-12T09:57:00Z</dcterms:created>
  <dcterms:modified xsi:type="dcterms:W3CDTF">2018-10-12T06:39:00Z</dcterms:modified>
</cp:coreProperties>
</file>