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50" w:type="dxa"/>
          <w:left w:w="50" w:type="dxa"/>
          <w:bottom w:w="50" w:type="dxa"/>
          <w:right w:w="50" w:type="dxa"/>
        </w:tblCellMar>
        <w:tblLook w:val="04A0" w:firstRow="1" w:lastRow="0" w:firstColumn="1" w:lastColumn="0" w:noHBand="0" w:noVBand="1"/>
      </w:tblPr>
      <w:tblGrid>
        <w:gridCol w:w="1302"/>
        <w:gridCol w:w="7724"/>
      </w:tblGrid>
      <w:tr w:rsidR="00E1116A" w:rsidTr="00E1116A">
        <w:tc>
          <w:tcPr>
            <w:tcW w:w="0" w:type="auto"/>
            <w:hideMark/>
          </w:tcPr>
          <w:p w:rsidR="00E1116A" w:rsidRDefault="00E1116A">
            <w:pPr>
              <w:rPr>
                <w:rFonts w:ascii="Arial" w:eastAsia="Times New Roman" w:hAnsi="Arial" w:cs="Arial"/>
                <w:sz w:val="18"/>
                <w:szCs w:val="18"/>
              </w:rPr>
            </w:pPr>
            <w:r>
              <w:rPr>
                <w:rFonts w:ascii="Arial" w:eastAsia="Times New Roman" w:hAnsi="Arial" w:cs="Arial"/>
                <w:sz w:val="18"/>
                <w:szCs w:val="18"/>
              </w:rPr>
              <w:t>Track</w:t>
            </w: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Abstract submission: RTT</w:t>
            </w:r>
          </w:p>
        </w:tc>
      </w:tr>
      <w:tr w:rsidR="00E1116A" w:rsidTr="00E1116A">
        <w:tc>
          <w:tcPr>
            <w:tcW w:w="0" w:type="auto"/>
            <w:hideMark/>
          </w:tcPr>
          <w:p w:rsidR="00E1116A" w:rsidRDefault="00E1116A">
            <w:pPr>
              <w:rPr>
                <w:rFonts w:ascii="Arial" w:eastAsia="Times New Roman" w:hAnsi="Arial" w:cs="Arial"/>
                <w:sz w:val="18"/>
                <w:szCs w:val="18"/>
              </w:rPr>
            </w:pPr>
            <w:r>
              <w:rPr>
                <w:rFonts w:ascii="Arial" w:eastAsia="Times New Roman" w:hAnsi="Arial" w:cs="Arial"/>
                <w:sz w:val="18"/>
                <w:szCs w:val="18"/>
              </w:rPr>
              <w:t>Topic</w:t>
            </w: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RTT track: Treatment planning and dose calculation / QC and QA</w:t>
            </w:r>
          </w:p>
        </w:tc>
      </w:tr>
      <w:tr w:rsidR="00E1116A" w:rsidTr="00E1116A">
        <w:tc>
          <w:tcPr>
            <w:tcW w:w="0" w:type="auto"/>
            <w:hideMark/>
          </w:tcPr>
          <w:p w:rsidR="00E1116A" w:rsidRDefault="00E1116A">
            <w:pPr>
              <w:rPr>
                <w:rFonts w:ascii="Arial" w:eastAsia="Times New Roman" w:hAnsi="Arial" w:cs="Arial"/>
                <w:sz w:val="18"/>
                <w:szCs w:val="18"/>
              </w:rPr>
            </w:pPr>
            <w:r>
              <w:rPr>
                <w:rFonts w:ascii="Arial" w:eastAsia="Times New Roman" w:hAnsi="Arial" w:cs="Arial"/>
                <w:sz w:val="18"/>
                <w:szCs w:val="18"/>
              </w:rPr>
              <w:t>Presentation preference</w:t>
            </w: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No preference</w:t>
            </w:r>
          </w:p>
        </w:tc>
      </w:tr>
      <w:tr w:rsidR="00E1116A" w:rsidTr="00E1116A">
        <w:tc>
          <w:tcPr>
            <w:tcW w:w="0" w:type="auto"/>
            <w:hideMark/>
          </w:tcPr>
          <w:p w:rsidR="00E1116A" w:rsidRDefault="00E1116A">
            <w:pPr>
              <w:rPr>
                <w:rFonts w:ascii="Arial" w:eastAsia="Times New Roman" w:hAnsi="Arial" w:cs="Arial"/>
                <w:sz w:val="18"/>
                <w:szCs w:val="18"/>
              </w:rPr>
            </w:pPr>
            <w:r>
              <w:rPr>
                <w:rFonts w:ascii="Arial" w:eastAsia="Times New Roman" w:hAnsi="Arial" w:cs="Arial"/>
                <w:sz w:val="18"/>
                <w:szCs w:val="18"/>
              </w:rPr>
              <w:t>Abstract title</w:t>
            </w: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Investigating online adaptive workflows for prostate patients on the MR-</w:t>
            </w:r>
            <w:proofErr w:type="spellStart"/>
            <w:r>
              <w:rPr>
                <w:rFonts w:ascii="Arial" w:eastAsia="Times New Roman" w:hAnsi="Arial" w:cs="Arial"/>
                <w:b/>
                <w:bCs/>
                <w:sz w:val="18"/>
                <w:szCs w:val="18"/>
              </w:rPr>
              <w:t>Linac</w:t>
            </w:r>
            <w:proofErr w:type="spellEnd"/>
            <w:r>
              <w:rPr>
                <w:rFonts w:ascii="Arial" w:eastAsia="Times New Roman" w:hAnsi="Arial" w:cs="Arial"/>
                <w:b/>
                <w:bCs/>
                <w:sz w:val="18"/>
                <w:szCs w:val="18"/>
              </w:rPr>
              <w:t>: an in-</w:t>
            </w:r>
            <w:proofErr w:type="spellStart"/>
            <w:r>
              <w:rPr>
                <w:rFonts w:ascii="Arial" w:eastAsia="Times New Roman" w:hAnsi="Arial" w:cs="Arial"/>
                <w:b/>
                <w:bCs/>
                <w:sz w:val="18"/>
                <w:szCs w:val="18"/>
              </w:rPr>
              <w:t>silico</w:t>
            </w:r>
            <w:proofErr w:type="spellEnd"/>
            <w:r>
              <w:rPr>
                <w:rFonts w:ascii="Arial" w:eastAsia="Times New Roman" w:hAnsi="Arial" w:cs="Arial"/>
                <w:b/>
                <w:bCs/>
                <w:sz w:val="18"/>
                <w:szCs w:val="18"/>
              </w:rPr>
              <w:t xml:space="preserve"> study</w:t>
            </w:r>
          </w:p>
        </w:tc>
      </w:tr>
      <w:tr w:rsidR="00E1116A" w:rsidTr="00E1116A">
        <w:tc>
          <w:tcPr>
            <w:tcW w:w="0" w:type="auto"/>
            <w:hideMark/>
          </w:tcPr>
          <w:p w:rsidR="00E1116A" w:rsidRDefault="00E1116A">
            <w:pPr>
              <w:rPr>
                <w:rFonts w:ascii="Arial" w:eastAsia="Times New Roman" w:hAnsi="Arial" w:cs="Arial"/>
                <w:b/>
                <w:bCs/>
                <w:sz w:val="18"/>
                <w:szCs w:val="18"/>
              </w:rPr>
            </w:pPr>
          </w:p>
        </w:tc>
        <w:tc>
          <w:tcPr>
            <w:tcW w:w="0" w:type="auto"/>
            <w:hideMark/>
          </w:tcPr>
          <w:p w:rsidR="00E1116A" w:rsidRDefault="00E1116A">
            <w:pPr>
              <w:rPr>
                <w:rFonts w:ascii="Arial" w:eastAsia="Times New Roman" w:hAnsi="Arial" w:cs="Arial"/>
                <w:sz w:val="18"/>
                <w:szCs w:val="18"/>
              </w:rPr>
            </w:pPr>
            <w:r>
              <w:rPr>
                <w:rFonts w:ascii="Arial" w:eastAsia="Times New Roman" w:hAnsi="Arial" w:cs="Arial"/>
                <w:sz w:val="18"/>
                <w:szCs w:val="18"/>
                <w:u w:val="single"/>
              </w:rPr>
              <w:t>S. Jones</w:t>
            </w:r>
            <w:r>
              <w:rPr>
                <w:rFonts w:ascii="Arial" w:eastAsia="Times New Roman" w:hAnsi="Arial" w:cs="Arial"/>
                <w:sz w:val="18"/>
                <w:szCs w:val="18"/>
                <w:vertAlign w:val="superscript"/>
              </w:rPr>
              <w:t>1</w:t>
            </w:r>
            <w:r>
              <w:rPr>
                <w:rFonts w:ascii="Arial" w:eastAsia="Times New Roman" w:hAnsi="Arial" w:cs="Arial"/>
                <w:sz w:val="18"/>
                <w:szCs w:val="18"/>
              </w:rPr>
              <w:t>, R. Chuter</w:t>
            </w:r>
            <w:r>
              <w:rPr>
                <w:rFonts w:ascii="Arial" w:eastAsia="Times New Roman" w:hAnsi="Arial" w:cs="Arial"/>
                <w:sz w:val="18"/>
                <w:szCs w:val="18"/>
                <w:vertAlign w:val="superscript"/>
              </w:rPr>
              <w:t>2</w:t>
            </w:r>
            <w:r>
              <w:rPr>
                <w:rFonts w:ascii="Arial" w:eastAsia="Times New Roman" w:hAnsi="Arial" w:cs="Arial"/>
                <w:sz w:val="18"/>
                <w:szCs w:val="18"/>
              </w:rPr>
              <w:t>, A.J. Pollitt</w:t>
            </w:r>
            <w:r>
              <w:rPr>
                <w:rFonts w:ascii="Arial" w:eastAsia="Times New Roman" w:hAnsi="Arial" w:cs="Arial"/>
                <w:sz w:val="18"/>
                <w:szCs w:val="18"/>
                <w:vertAlign w:val="superscript"/>
              </w:rPr>
              <w:t>2</w:t>
            </w:r>
            <w:r>
              <w:rPr>
                <w:rFonts w:ascii="Arial" w:eastAsia="Times New Roman" w:hAnsi="Arial" w:cs="Arial"/>
                <w:sz w:val="18"/>
                <w:szCs w:val="18"/>
              </w:rPr>
              <w:t>, M. Warren</w:t>
            </w:r>
            <w:r>
              <w:rPr>
                <w:rFonts w:ascii="Arial" w:eastAsia="Times New Roman" w:hAnsi="Arial" w:cs="Arial"/>
                <w:sz w:val="18"/>
                <w:szCs w:val="18"/>
                <w:vertAlign w:val="superscript"/>
              </w:rPr>
              <w:t>1</w:t>
            </w:r>
            <w:r>
              <w:rPr>
                <w:rFonts w:ascii="Arial" w:eastAsia="Times New Roman" w:hAnsi="Arial" w:cs="Arial"/>
                <w:sz w:val="18"/>
                <w:szCs w:val="18"/>
              </w:rPr>
              <w:t>, A. McWilliam</w:t>
            </w:r>
            <w:r>
              <w:rPr>
                <w:rFonts w:ascii="Arial" w:eastAsia="Times New Roman" w:hAnsi="Arial" w:cs="Arial"/>
                <w:sz w:val="18"/>
                <w:szCs w:val="18"/>
                <w:vertAlign w:val="superscript"/>
              </w:rPr>
              <w:t>2</w:t>
            </w:r>
            <w:r>
              <w:rPr>
                <w:rFonts w:ascii="Arial" w:eastAsia="Times New Roman" w:hAnsi="Arial" w:cs="Arial"/>
                <w:sz w:val="18"/>
                <w:szCs w:val="18"/>
              </w:rPr>
              <w:t>.</w:t>
            </w:r>
            <w:r>
              <w:rPr>
                <w:rFonts w:ascii="Arial" w:eastAsia="Times New Roman" w:hAnsi="Arial" w:cs="Arial"/>
                <w:sz w:val="18"/>
                <w:szCs w:val="18"/>
              </w:rPr>
              <w:br/>
            </w:r>
            <w:r>
              <w:rPr>
                <w:rFonts w:ascii="Arial" w:eastAsia="Times New Roman" w:hAnsi="Arial" w:cs="Arial"/>
                <w:sz w:val="18"/>
                <w:szCs w:val="18"/>
                <w:vertAlign w:val="superscript"/>
              </w:rPr>
              <w:t>1</w:t>
            </w:r>
            <w:r>
              <w:rPr>
                <w:rFonts w:ascii="Arial" w:eastAsia="Times New Roman" w:hAnsi="Arial" w:cs="Arial"/>
                <w:sz w:val="18"/>
                <w:szCs w:val="18"/>
              </w:rPr>
              <w:t>University of Liverpool, Directorate of Medical Imaging and Radiotherapy, Liverpool, United Kingdom.</w:t>
            </w:r>
            <w:r>
              <w:rPr>
                <w:rFonts w:ascii="Arial" w:eastAsia="Times New Roman" w:hAnsi="Arial" w:cs="Arial"/>
                <w:sz w:val="18"/>
                <w:szCs w:val="18"/>
              </w:rPr>
              <w:br/>
            </w:r>
            <w:r>
              <w:rPr>
                <w:rFonts w:ascii="Arial" w:eastAsia="Times New Roman" w:hAnsi="Arial" w:cs="Arial"/>
                <w:sz w:val="18"/>
                <w:szCs w:val="18"/>
                <w:vertAlign w:val="superscript"/>
              </w:rPr>
              <w:t>2</w:t>
            </w:r>
            <w:r>
              <w:rPr>
                <w:rFonts w:ascii="Arial" w:eastAsia="Times New Roman" w:hAnsi="Arial" w:cs="Arial"/>
                <w:sz w:val="18"/>
                <w:szCs w:val="18"/>
              </w:rPr>
              <w:t>The Christie NHS Foundation Trust, Christie Medical Physics and Engineering, Manchester, United Kingdom.</w:t>
            </w:r>
          </w:p>
        </w:tc>
      </w:tr>
      <w:tr w:rsidR="00E1116A" w:rsidTr="00E1116A">
        <w:tc>
          <w:tcPr>
            <w:tcW w:w="0" w:type="auto"/>
            <w:hideMark/>
          </w:tcPr>
          <w:p w:rsidR="00E1116A" w:rsidRDefault="00E1116A">
            <w:pPr>
              <w:rPr>
                <w:rFonts w:ascii="Arial" w:eastAsia="Times New Roman" w:hAnsi="Arial" w:cs="Arial"/>
                <w:sz w:val="18"/>
                <w:szCs w:val="18"/>
              </w:rPr>
            </w:pP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Purpose or Objective</w:t>
            </w:r>
          </w:p>
          <w:p w:rsidR="00E1116A" w:rsidRDefault="00E1116A">
            <w:pPr>
              <w:pStyle w:val="NormalWeb"/>
              <w:rPr>
                <w:b/>
                <w:bCs/>
              </w:rPr>
            </w:pPr>
            <w:r>
              <w:rPr>
                <w:b/>
                <w:bCs/>
              </w:rPr>
              <w:br/>
              <w:t>On the MR-</w:t>
            </w:r>
            <w:proofErr w:type="spellStart"/>
            <w:r>
              <w:rPr>
                <w:b/>
                <w:bCs/>
              </w:rPr>
              <w:t>Linac</w:t>
            </w:r>
            <w:proofErr w:type="spellEnd"/>
            <w:r>
              <w:rPr>
                <w:b/>
                <w:bCs/>
              </w:rPr>
              <w:t xml:space="preserve"> system (</w:t>
            </w:r>
            <w:proofErr w:type="spellStart"/>
            <w:r>
              <w:rPr>
                <w:b/>
                <w:bCs/>
              </w:rPr>
              <w:t>Elekta</w:t>
            </w:r>
            <w:proofErr w:type="spellEnd"/>
            <w:r>
              <w:rPr>
                <w:b/>
                <w:bCs/>
              </w:rPr>
              <w:t xml:space="preserve"> Unity, </w:t>
            </w:r>
            <w:proofErr w:type="spellStart"/>
            <w:r>
              <w:rPr>
                <w:b/>
                <w:bCs/>
              </w:rPr>
              <w:t>Elekta</w:t>
            </w:r>
            <w:proofErr w:type="spellEnd"/>
            <w:r>
              <w:rPr>
                <w:b/>
                <w:bCs/>
              </w:rPr>
              <w:t xml:space="preserve"> AB, Stockholm, Sweden) any change in patient set-up will be corrected for using a 'virtual couch shift”, where the defined MLC aperture shifts, rather than the couch. Additionally, segment weights and shapes may be re-optimised to account for daily anatomical changes. This study investigates swift, dosimetrically acceptable processes for re-optimisation of treatment plans for set-up and rectum volume changes for prostate patients.</w:t>
            </w:r>
          </w:p>
          <w:p w:rsidR="00E1116A" w:rsidRDefault="00E1116A">
            <w:pPr>
              <w:rPr>
                <w:rFonts w:ascii="Arial" w:eastAsia="Times New Roman" w:hAnsi="Arial" w:cs="Arial"/>
                <w:b/>
                <w:bCs/>
                <w:sz w:val="18"/>
                <w:szCs w:val="18"/>
              </w:rPr>
            </w:pPr>
            <w:r>
              <w:rPr>
                <w:rFonts w:ascii="Arial" w:eastAsia="Times New Roman" w:hAnsi="Arial" w:cs="Arial"/>
                <w:b/>
                <w:bCs/>
                <w:sz w:val="18"/>
                <w:szCs w:val="18"/>
              </w:rPr>
              <w:t>Material and Methods</w:t>
            </w:r>
          </w:p>
          <w:p w:rsidR="00E1116A" w:rsidRDefault="00E1116A">
            <w:pPr>
              <w:pStyle w:val="NormalWeb"/>
              <w:rPr>
                <w:b/>
                <w:bCs/>
              </w:rPr>
            </w:pPr>
            <w:r>
              <w:rPr>
                <w:b/>
                <w:bCs/>
              </w:rPr>
              <w:br/>
              <w:t xml:space="preserve">4 prostate step and shoot IMRT plans, optimised to 60Gy in 20 fractions, were created using a MR </w:t>
            </w:r>
            <w:proofErr w:type="spellStart"/>
            <w:r>
              <w:rPr>
                <w:b/>
                <w:bCs/>
              </w:rPr>
              <w:t>Linac</w:t>
            </w:r>
            <w:proofErr w:type="spellEnd"/>
            <w:r>
              <w:rPr>
                <w:b/>
                <w:bCs/>
              </w:rPr>
              <w:t xml:space="preserve"> beam model on Monaco research TPS v5.19.02 (</w:t>
            </w:r>
            <w:proofErr w:type="spellStart"/>
            <w:r>
              <w:rPr>
                <w:b/>
                <w:bCs/>
              </w:rPr>
              <w:t>Elekta</w:t>
            </w:r>
            <w:proofErr w:type="spellEnd"/>
            <w:r>
              <w:rPr>
                <w:b/>
                <w:bCs/>
              </w:rPr>
              <w:t xml:space="preserve"> AB, Stockholm, Sweden). The 1.5T magnetic field was included in the optimisation. For investigating the adaptive workflows, the reference CT was re-imported into Monaco with two changes introduced. 1) </w:t>
            </w:r>
            <w:proofErr w:type="gramStart"/>
            <w:r>
              <w:rPr>
                <w:b/>
                <w:bCs/>
              </w:rPr>
              <w:t>a</w:t>
            </w:r>
            <w:proofErr w:type="gramEnd"/>
            <w:r>
              <w:rPr>
                <w:b/>
                <w:bCs/>
              </w:rPr>
              <w:t xml:space="preserve"> 5mm and 10mm setup error 2) rectal volume variation +/- 20% (simulated by deforming the CT using </w:t>
            </w:r>
            <w:proofErr w:type="spellStart"/>
            <w:r>
              <w:rPr>
                <w:b/>
                <w:bCs/>
              </w:rPr>
              <w:t>ImSimQA</w:t>
            </w:r>
            <w:proofErr w:type="spellEnd"/>
            <w:r>
              <w:rPr>
                <w:b/>
                <w:bCs/>
              </w:rPr>
              <w:t>). </w:t>
            </w:r>
          </w:p>
          <w:p w:rsidR="00E1116A" w:rsidRDefault="00E1116A">
            <w:pPr>
              <w:pStyle w:val="NormalWeb"/>
              <w:rPr>
                <w:b/>
                <w:bCs/>
              </w:rPr>
            </w:pPr>
            <w:r>
              <w:rPr>
                <w:b/>
                <w:bCs/>
              </w:rPr>
              <w:t>To correct for translational and anatomical changes, three re-optimisation methods were tested: Shift-only (SO); Segment Weight Optimization (SWO); and Segment Weight and Shape Optimization (SSO). The time taken to re-optimise and the resulting DVH values were recorded, with the change in dose from the original plan calculated.</w:t>
            </w:r>
          </w:p>
          <w:p w:rsidR="00E1116A" w:rsidRDefault="00E1116A">
            <w:pPr>
              <w:rPr>
                <w:rFonts w:ascii="Arial" w:eastAsia="Times New Roman" w:hAnsi="Arial" w:cs="Arial"/>
                <w:b/>
                <w:bCs/>
                <w:sz w:val="18"/>
                <w:szCs w:val="18"/>
              </w:rPr>
            </w:pPr>
            <w:r>
              <w:rPr>
                <w:rFonts w:ascii="Arial" w:eastAsia="Times New Roman" w:hAnsi="Arial" w:cs="Arial"/>
                <w:b/>
                <w:bCs/>
                <w:sz w:val="18"/>
                <w:szCs w:val="18"/>
              </w:rPr>
              <w:t>Results</w:t>
            </w:r>
          </w:p>
          <w:p w:rsidR="00E1116A" w:rsidRDefault="00E1116A">
            <w:pPr>
              <w:pStyle w:val="NormalWeb"/>
              <w:rPr>
                <w:b/>
                <w:bCs/>
              </w:rPr>
            </w:pPr>
            <w:r>
              <w:rPr>
                <w:b/>
                <w:bCs/>
                <w:noProof/>
              </w:rPr>
              <mc:AlternateContent>
                <mc:Choice Requires="wps">
                  <w:drawing>
                    <wp:inline distT="0" distB="0" distL="0" distR="0">
                      <wp:extent cx="306070" cy="306070"/>
                      <wp:effectExtent l="0" t="0" r="0" b="0"/>
                      <wp:docPr id="2" name="Rectangle 2" descr="Figure 1. Figure showing PTV dose difference: 0.5cm set up erro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BFF123" id="Rectangle 2" o:spid="_x0000_s1026" alt="Figure 1. Figure showing PTV dose difference: 0.5cm set up error "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" filled="f" stroked="f">
                      <o:lock v:ext="edit" aspectratio="t"/>
                      <w10:anchorlock/>
                    </v:rect>
                  </w:pict>
                </mc:Fallback>
              </mc:AlternateContent>
            </w:r>
            <w:r>
              <w:rPr>
                <w:b/>
                <w:bCs/>
                <w:noProof/>
              </w:rPr>
              <mc:AlternateContent>
                <mc:Choice Requires="wps">
                  <w:drawing>
                    <wp:inline distT="0" distB="0" distL="0" distR="0">
                      <wp:extent cx="306070" cy="306070"/>
                      <wp:effectExtent l="0" t="0" r="0" b="0"/>
                      <wp:docPr id="1" name="Rectangle 1" descr="Figure 2. Figure showing PTV dose difference: 1cm set up error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6ADAB6" id="Rectangle 1" o:spid="_x0000_s1026" alt="Figure 2. Figure showing PTV dose difference: 1cm set up error "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" filled="f" stroked="f">
                      <o:lock v:ext="edit" aspectratio="t"/>
                      <w10:anchorlock/>
                    </v:rect>
                  </w:pict>
                </mc:Fallback>
              </mc:AlternateContent>
            </w:r>
            <w:r>
              <w:rPr>
                <w:b/>
                <w:bCs/>
              </w:rPr>
              <w:br/>
              <w:t>Figure 1 and 2 show individual and mean difference in PTV coverage (D95%) from the original plan using the 3 optimisation methods. With no change in the rectal size, mean difference in PTV dose for each optimisation method varied between 0.06-3.48Gy for 0.5cm setup error, and 0.25-13.4Gy for 1cm setup error. For small and large rectal changes, the mean change in dose varied between 0.26-4.21Gy for 0.5cm setup error and 0.15-14Gy for 1cm setup error. SSO optimisation produced the smallest difference in PTV dose for all setup conditions, whilst SO optimisation produced the largest. Overall, recovered plans had a lower maximum dose to 2cc of rectum. The mean difference for SO, SWO and SSO was 1.84Gy, 0.85Gy and 0.71Gy respectively.</w:t>
            </w:r>
          </w:p>
          <w:p w:rsidR="00E1116A" w:rsidRDefault="00E1116A">
            <w:pPr>
              <w:pStyle w:val="NormalWeb"/>
              <w:rPr>
                <w:b/>
                <w:bCs/>
              </w:rPr>
            </w:pPr>
            <w:r>
              <w:rPr>
                <w:b/>
                <w:bCs/>
              </w:rPr>
              <w:t>The mean time taken to complete each of the 3 methods of plan re-optimisation are 61, 64 and 239 seconds for SO, SW and SSO respectively.</w:t>
            </w:r>
          </w:p>
          <w:p w:rsidR="00E1116A" w:rsidRDefault="00E1116A">
            <w:pPr>
              <w:rPr>
                <w:rFonts w:ascii="Arial" w:eastAsia="Times New Roman" w:hAnsi="Arial" w:cs="Arial"/>
                <w:b/>
                <w:bCs/>
                <w:sz w:val="18"/>
                <w:szCs w:val="18"/>
              </w:rPr>
            </w:pPr>
            <w:r>
              <w:rPr>
                <w:rFonts w:ascii="Arial" w:eastAsia="Times New Roman" w:hAnsi="Arial" w:cs="Arial"/>
                <w:b/>
                <w:bCs/>
                <w:sz w:val="18"/>
                <w:szCs w:val="18"/>
              </w:rPr>
              <w:t>Conclusion</w:t>
            </w:r>
          </w:p>
          <w:p w:rsidR="00E1116A" w:rsidRDefault="00E1116A">
            <w:pPr>
              <w:pStyle w:val="NormalWeb"/>
              <w:rPr>
                <w:b/>
                <w:bCs/>
              </w:rPr>
            </w:pPr>
            <w:r>
              <w:rPr>
                <w:b/>
                <w:bCs/>
              </w:rPr>
              <w:br/>
              <w:t>This preliminary study suggests available optimisation methods can be used for daily strategies. However, SO struggled to recover PTV dose when large translations of 1cm were introduced, this is unsurprising as the MR-</w:t>
            </w:r>
            <w:proofErr w:type="spellStart"/>
            <w:r>
              <w:rPr>
                <w:b/>
                <w:bCs/>
              </w:rPr>
              <w:t>Linac</w:t>
            </w:r>
            <w:proofErr w:type="spellEnd"/>
            <w:r>
              <w:rPr>
                <w:b/>
                <w:bCs/>
              </w:rPr>
              <w:t xml:space="preserve"> uses an </w:t>
            </w:r>
            <w:proofErr w:type="spellStart"/>
            <w:r>
              <w:rPr>
                <w:b/>
                <w:bCs/>
              </w:rPr>
              <w:t>unflattened</w:t>
            </w:r>
            <w:proofErr w:type="spellEnd"/>
            <w:r>
              <w:rPr>
                <w:b/>
                <w:bCs/>
              </w:rPr>
              <w:t xml:space="preserve"> beam. SSO was the optimal method for recovering the original parameters of the plan, however there was a mean time increase of 3 minutes between this and the other methods. </w:t>
            </w:r>
          </w:p>
          <w:p w:rsidR="00E1116A" w:rsidRDefault="00E1116A">
            <w:pPr>
              <w:pStyle w:val="NormalWeb"/>
              <w:rPr>
                <w:b/>
                <w:bCs/>
              </w:rPr>
            </w:pPr>
            <w:r>
              <w:rPr>
                <w:b/>
                <w:bCs/>
              </w:rPr>
              <w:lastRenderedPageBreak/>
              <w:t>The efficiency of treatment speed and quality could therefore be assured by ensuring good immobilisation strategies in the pre-treatment stages. Given the time differential between optimisation strategies, further work is needed to determine which cases are best suited to each method.</w:t>
            </w:r>
          </w:p>
        </w:tc>
      </w:tr>
      <w:tr w:rsidR="00E1116A" w:rsidTr="00E1116A">
        <w:tc>
          <w:tcPr>
            <w:tcW w:w="0" w:type="auto"/>
            <w:hideMark/>
          </w:tcPr>
          <w:p w:rsidR="00E1116A" w:rsidRDefault="00E1116A">
            <w:pPr>
              <w:rPr>
                <w:b/>
                <w:bCs/>
              </w:rPr>
            </w:pP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I have no potential conflict of interest to disclose</w:t>
            </w:r>
            <w:r>
              <w:rPr>
                <w:rFonts w:ascii="Arial" w:eastAsia="Times New Roman" w:hAnsi="Arial" w:cs="Arial"/>
                <w:b/>
                <w:bCs/>
                <w:sz w:val="18"/>
                <w:szCs w:val="18"/>
              </w:rPr>
              <w:br/>
            </w:r>
          </w:p>
        </w:tc>
      </w:tr>
      <w:tr w:rsidR="00E1116A" w:rsidTr="00E1116A">
        <w:tc>
          <w:tcPr>
            <w:tcW w:w="0" w:type="auto"/>
            <w:hideMark/>
          </w:tcPr>
          <w:p w:rsidR="00E1116A" w:rsidRDefault="00E1116A">
            <w:pPr>
              <w:rPr>
                <w:rFonts w:ascii="Arial" w:eastAsia="Times New Roman" w:hAnsi="Arial" w:cs="Arial"/>
                <w:sz w:val="18"/>
                <w:szCs w:val="18"/>
              </w:rPr>
            </w:pPr>
            <w:r>
              <w:rPr>
                <w:rFonts w:ascii="Arial" w:eastAsia="Times New Roman" w:hAnsi="Arial" w:cs="Arial"/>
                <w:sz w:val="18"/>
                <w:szCs w:val="18"/>
              </w:rPr>
              <w:t>Keyword</w:t>
            </w:r>
          </w:p>
        </w:tc>
        <w:tc>
          <w:tcPr>
            <w:tcW w:w="0" w:type="auto"/>
            <w:hideMark/>
          </w:tcPr>
          <w:p w:rsidR="00E1116A" w:rsidRDefault="00E1116A">
            <w:pPr>
              <w:rPr>
                <w:rFonts w:ascii="Arial" w:eastAsia="Times New Roman" w:hAnsi="Arial" w:cs="Arial"/>
                <w:b/>
                <w:bCs/>
                <w:sz w:val="18"/>
                <w:szCs w:val="18"/>
              </w:rPr>
            </w:pPr>
            <w:r>
              <w:rPr>
                <w:rFonts w:ascii="Arial" w:eastAsia="Times New Roman" w:hAnsi="Arial" w:cs="Arial"/>
                <w:b/>
                <w:bCs/>
                <w:sz w:val="18"/>
                <w:szCs w:val="18"/>
              </w:rPr>
              <w:t>MRI-</w:t>
            </w:r>
            <w:proofErr w:type="spellStart"/>
            <w:r>
              <w:rPr>
                <w:rFonts w:ascii="Arial" w:eastAsia="Times New Roman" w:hAnsi="Arial" w:cs="Arial"/>
                <w:b/>
                <w:bCs/>
                <w:sz w:val="18"/>
                <w:szCs w:val="18"/>
              </w:rPr>
              <w:t>Linac</w:t>
            </w:r>
            <w:proofErr w:type="spellEnd"/>
          </w:p>
        </w:tc>
      </w:tr>
    </w:tbl>
    <w:p w:rsidR="00FE7541" w:rsidRDefault="00FE7541">
      <w:bookmarkStart w:id="0" w:name="_GoBack"/>
      <w:bookmarkEnd w:id="0"/>
    </w:p>
    <w:sectPr w:rsidR="00FE7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6A"/>
    <w:rsid w:val="00E1116A"/>
    <w:rsid w:val="00FE7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2DB06-17C5-4CE9-98B8-3B732BFE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16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16A"/>
    <w:pPr>
      <w:spacing w:before="240" w:after="24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Mark</dc:creator>
  <cp:keywords/>
  <dc:description/>
  <cp:lastModifiedBy>Warren, Mark</cp:lastModifiedBy>
  <cp:revision>1</cp:revision>
  <dcterms:created xsi:type="dcterms:W3CDTF">2018-10-12T10:33:00Z</dcterms:created>
  <dcterms:modified xsi:type="dcterms:W3CDTF">2018-10-12T10:34:00Z</dcterms:modified>
</cp:coreProperties>
</file>