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DAE81" w14:textId="74945CE7" w:rsidR="006A6B26" w:rsidRPr="006A6B26" w:rsidRDefault="006A6B26" w:rsidP="006A6B26">
      <w:pPr>
        <w:rPr>
          <w:b/>
          <w:i/>
          <w:sz w:val="24"/>
          <w:szCs w:val="24"/>
        </w:rPr>
      </w:pPr>
      <w:bookmarkStart w:id="0" w:name="_GoBack"/>
      <w:r w:rsidRPr="00EB1528">
        <w:rPr>
          <w:b/>
          <w:i/>
          <w:sz w:val="24"/>
          <w:szCs w:val="24"/>
        </w:rPr>
        <w:t xml:space="preserve">Tracking the Gendered </w:t>
      </w:r>
      <w:r w:rsidRPr="00EB1528">
        <w:rPr>
          <w:b/>
          <w:i/>
          <w:sz w:val="24"/>
          <w:szCs w:val="24"/>
          <w:lang w:val="en-US"/>
        </w:rPr>
        <w:t xml:space="preserve">Life Courses of Care Leavers in </w:t>
      </w:r>
      <w:r w:rsidR="009501CE">
        <w:rPr>
          <w:b/>
          <w:i/>
          <w:sz w:val="24"/>
          <w:szCs w:val="24"/>
          <w:lang w:val="en-US"/>
        </w:rPr>
        <w:t>19</w:t>
      </w:r>
      <w:r w:rsidR="009501CE" w:rsidRPr="00267044">
        <w:rPr>
          <w:b/>
          <w:i/>
          <w:sz w:val="24"/>
          <w:szCs w:val="24"/>
          <w:lang w:val="en-US"/>
        </w:rPr>
        <w:t>th</w:t>
      </w:r>
      <w:r w:rsidR="00E41C4B">
        <w:rPr>
          <w:b/>
          <w:i/>
          <w:sz w:val="24"/>
          <w:szCs w:val="24"/>
          <w:lang w:val="en-US"/>
        </w:rPr>
        <w:t>-C</w:t>
      </w:r>
      <w:r w:rsidRPr="00EB1528">
        <w:rPr>
          <w:b/>
          <w:i/>
          <w:sz w:val="24"/>
          <w:szCs w:val="24"/>
          <w:lang w:val="en-US"/>
        </w:rPr>
        <w:t>entury Britain</w:t>
      </w:r>
    </w:p>
    <w:p w14:paraId="266C35E0" w14:textId="77777777" w:rsidR="006A6B26" w:rsidRDefault="006A6B26" w:rsidP="006A6B26">
      <w:pPr>
        <w:spacing w:line="360" w:lineRule="auto"/>
        <w:rPr>
          <w:sz w:val="24"/>
          <w:szCs w:val="24"/>
        </w:rPr>
      </w:pPr>
      <w:r w:rsidRPr="00EB1528">
        <w:rPr>
          <w:b/>
          <w:sz w:val="24"/>
          <w:szCs w:val="24"/>
        </w:rPr>
        <w:t xml:space="preserve">Authors: </w:t>
      </w:r>
      <w:r w:rsidRPr="00EB1528">
        <w:rPr>
          <w:sz w:val="24"/>
          <w:szCs w:val="24"/>
        </w:rPr>
        <w:t>Pamela Cox</w:t>
      </w:r>
      <w:r>
        <w:rPr>
          <w:sz w:val="24"/>
          <w:szCs w:val="24"/>
        </w:rPr>
        <w:t>*</w:t>
      </w:r>
      <w:r w:rsidRPr="00EB1528">
        <w:rPr>
          <w:sz w:val="24"/>
          <w:szCs w:val="24"/>
        </w:rPr>
        <w:t xml:space="preserve"> (University of Essex), Heather Shore (Leeds Beckett University), Zoe Alker (University of Liverpool) and Barry Godfrey (University of Liverpool)</w:t>
      </w:r>
    </w:p>
    <w:bookmarkEnd w:id="0"/>
    <w:p w14:paraId="6F58BC07" w14:textId="142B5B03" w:rsidR="00702585" w:rsidRDefault="00B12C83" w:rsidP="00825C25">
      <w:pPr>
        <w:spacing w:line="360" w:lineRule="auto"/>
        <w:rPr>
          <w:b/>
          <w:sz w:val="24"/>
          <w:szCs w:val="24"/>
        </w:rPr>
      </w:pPr>
      <w:r>
        <w:fldChar w:fldCharType="begin"/>
      </w:r>
      <w:r>
        <w:instrText xml:space="preserve"> HYPERLINK "mailto:pamcox@essex.ac.uk" </w:instrText>
      </w:r>
      <w:r>
        <w:fldChar w:fldCharType="separate"/>
      </w:r>
      <w:r w:rsidR="00702585" w:rsidRPr="00D56F3E">
        <w:rPr>
          <w:rStyle w:val="Hyperlink"/>
          <w:b/>
          <w:sz w:val="24"/>
          <w:szCs w:val="24"/>
        </w:rPr>
        <w:t>pamcox@essex.ac.uk</w:t>
      </w:r>
      <w:r>
        <w:rPr>
          <w:rStyle w:val="Hyperlink"/>
          <w:b/>
          <w:sz w:val="24"/>
          <w:szCs w:val="24"/>
        </w:rPr>
        <w:fldChar w:fldCharType="end"/>
      </w:r>
    </w:p>
    <w:p w14:paraId="128CE1BC" w14:textId="77777777" w:rsidR="00702585" w:rsidRDefault="00702585" w:rsidP="00825C25">
      <w:pPr>
        <w:spacing w:line="360" w:lineRule="auto"/>
        <w:rPr>
          <w:b/>
          <w:sz w:val="24"/>
          <w:szCs w:val="24"/>
        </w:rPr>
      </w:pPr>
    </w:p>
    <w:p w14:paraId="4652B177" w14:textId="77777777" w:rsidR="004A3F26" w:rsidRPr="00EB1528" w:rsidRDefault="004A3F26" w:rsidP="00825C25">
      <w:pPr>
        <w:spacing w:line="360" w:lineRule="auto"/>
        <w:rPr>
          <w:b/>
          <w:sz w:val="24"/>
          <w:szCs w:val="24"/>
        </w:rPr>
      </w:pPr>
      <w:r w:rsidRPr="00EB1528">
        <w:rPr>
          <w:b/>
          <w:sz w:val="24"/>
          <w:szCs w:val="24"/>
        </w:rPr>
        <w:t>Abstract</w:t>
      </w:r>
    </w:p>
    <w:p w14:paraId="6D6EF5B3" w14:textId="77777777" w:rsidR="00126189" w:rsidRPr="00EB1528" w:rsidRDefault="00A605FF" w:rsidP="00825C25">
      <w:pPr>
        <w:spacing w:line="360" w:lineRule="auto"/>
        <w:rPr>
          <w:sz w:val="24"/>
          <w:szCs w:val="24"/>
        </w:rPr>
      </w:pPr>
      <w:r w:rsidRPr="00EB1528">
        <w:rPr>
          <w:sz w:val="24"/>
          <w:szCs w:val="24"/>
        </w:rPr>
        <w:t xml:space="preserve">The adult outcomes of children raised in care </w:t>
      </w:r>
      <w:r w:rsidR="00C26AEB" w:rsidRPr="00EB1528">
        <w:rPr>
          <w:sz w:val="24"/>
          <w:szCs w:val="24"/>
        </w:rPr>
        <w:t>are</w:t>
      </w:r>
      <w:r w:rsidRPr="00EB1528">
        <w:rPr>
          <w:sz w:val="24"/>
          <w:szCs w:val="24"/>
        </w:rPr>
        <w:t xml:space="preserve"> a matter of much concern in Britain today. </w:t>
      </w:r>
      <w:r w:rsidR="00DC4B88" w:rsidRPr="00EB1528">
        <w:rPr>
          <w:sz w:val="24"/>
          <w:szCs w:val="24"/>
        </w:rPr>
        <w:t>Care leavers account for a quarter of the adult prison population, a tenth of the young homeless population</w:t>
      </w:r>
      <w:r w:rsidR="009B4D7F" w:rsidRPr="00EB1528">
        <w:rPr>
          <w:sz w:val="24"/>
          <w:szCs w:val="24"/>
        </w:rPr>
        <w:t>,</w:t>
      </w:r>
      <w:r w:rsidR="00DC4B88" w:rsidRPr="00EB1528">
        <w:rPr>
          <w:sz w:val="24"/>
          <w:szCs w:val="24"/>
        </w:rPr>
        <w:t xml:space="preserve"> and over two thirds of sex workers (</w:t>
      </w:r>
      <w:r w:rsidR="0001366A" w:rsidRPr="00EB1528">
        <w:rPr>
          <w:sz w:val="24"/>
          <w:szCs w:val="24"/>
          <w:lang w:val="en-US"/>
        </w:rPr>
        <w:t>Centre for Social Justice</w:t>
      </w:r>
      <w:r w:rsidR="00DC4B88" w:rsidRPr="00EB1528">
        <w:rPr>
          <w:sz w:val="24"/>
          <w:szCs w:val="24"/>
        </w:rPr>
        <w:t xml:space="preserve">, 2015: 4). This article argues that, by contrast, the first generation of boys and girls passing through the early care system </w:t>
      </w:r>
      <w:r w:rsidR="00995BAE" w:rsidRPr="00EB1528">
        <w:rPr>
          <w:sz w:val="24"/>
          <w:szCs w:val="24"/>
        </w:rPr>
        <w:t>were</w:t>
      </w:r>
      <w:r w:rsidR="00DC4B88" w:rsidRPr="00EB1528">
        <w:rPr>
          <w:sz w:val="24"/>
          <w:szCs w:val="24"/>
        </w:rPr>
        <w:t xml:space="preserve"> more likely to have experienced a modest improvement in their life chances. </w:t>
      </w:r>
      <w:r w:rsidR="00126189" w:rsidRPr="00EB1528">
        <w:rPr>
          <w:sz w:val="24"/>
          <w:szCs w:val="24"/>
        </w:rPr>
        <w:t xml:space="preserve">It explores three key questions. First, </w:t>
      </w:r>
      <w:r w:rsidR="00CE3498" w:rsidRPr="00EB1528">
        <w:rPr>
          <w:sz w:val="24"/>
          <w:szCs w:val="24"/>
        </w:rPr>
        <w:t>what mechanisms</w:t>
      </w:r>
      <w:r w:rsidR="00126189" w:rsidRPr="00EB1528">
        <w:rPr>
          <w:sz w:val="24"/>
          <w:szCs w:val="24"/>
        </w:rPr>
        <w:t xml:space="preserve"> </w:t>
      </w:r>
      <w:r w:rsidR="00CE3498" w:rsidRPr="00EB1528">
        <w:rPr>
          <w:sz w:val="24"/>
          <w:szCs w:val="24"/>
        </w:rPr>
        <w:t>shaped</w:t>
      </w:r>
      <w:r w:rsidR="009D486F" w:rsidRPr="00EB1528">
        <w:rPr>
          <w:sz w:val="24"/>
          <w:szCs w:val="24"/>
        </w:rPr>
        <w:t xml:space="preserve"> </w:t>
      </w:r>
      <w:r w:rsidR="00126189" w:rsidRPr="00EB1528">
        <w:rPr>
          <w:sz w:val="24"/>
          <w:szCs w:val="24"/>
        </w:rPr>
        <w:t xml:space="preserve">adult outcomes </w:t>
      </w:r>
      <w:r w:rsidR="00CE3498" w:rsidRPr="00EB1528">
        <w:rPr>
          <w:sz w:val="24"/>
          <w:szCs w:val="24"/>
        </w:rPr>
        <w:t xml:space="preserve">of care in the past? </w:t>
      </w:r>
      <w:r w:rsidR="00126189" w:rsidRPr="00EB1528">
        <w:rPr>
          <w:sz w:val="24"/>
          <w:szCs w:val="24"/>
        </w:rPr>
        <w:t xml:space="preserve">Second, </w:t>
      </w:r>
      <w:r w:rsidR="00CE3498" w:rsidRPr="00EB1528">
        <w:rPr>
          <w:sz w:val="24"/>
          <w:szCs w:val="24"/>
        </w:rPr>
        <w:t>did these</w:t>
      </w:r>
      <w:r w:rsidR="00126189" w:rsidRPr="00EB1528">
        <w:rPr>
          <w:sz w:val="24"/>
          <w:szCs w:val="24"/>
        </w:rPr>
        <w:t xml:space="preserve"> vary by gender? Third, what might life course approaches to these issues gain from engaging both with historical</w:t>
      </w:r>
      <w:r w:rsidR="00995BAE" w:rsidRPr="00EB1528">
        <w:rPr>
          <w:sz w:val="24"/>
          <w:szCs w:val="24"/>
        </w:rPr>
        <w:t>-</w:t>
      </w:r>
      <w:r w:rsidR="00126189" w:rsidRPr="00EB1528">
        <w:rPr>
          <w:sz w:val="24"/>
          <w:szCs w:val="24"/>
        </w:rPr>
        <w:t xml:space="preserve"> and gender</w:t>
      </w:r>
      <w:r w:rsidR="00995BAE" w:rsidRPr="00EB1528">
        <w:rPr>
          <w:sz w:val="24"/>
          <w:szCs w:val="24"/>
        </w:rPr>
        <w:t>-inflected</w:t>
      </w:r>
      <w:r w:rsidR="00126189" w:rsidRPr="00EB1528">
        <w:rPr>
          <w:sz w:val="24"/>
          <w:szCs w:val="24"/>
        </w:rPr>
        <w:t xml:space="preserve"> analysis?</w:t>
      </w:r>
      <w:r w:rsidR="004A3F26" w:rsidRPr="00EB1528">
        <w:rPr>
          <w:sz w:val="24"/>
          <w:szCs w:val="24"/>
        </w:rPr>
        <w:t xml:space="preserve"> The article draws on </w:t>
      </w:r>
      <w:r w:rsidR="00FC46BC" w:rsidRPr="00EB1528">
        <w:rPr>
          <w:sz w:val="24"/>
          <w:szCs w:val="24"/>
        </w:rPr>
        <w:t>our</w:t>
      </w:r>
      <w:r w:rsidR="004A3F26" w:rsidRPr="00EB1528">
        <w:rPr>
          <w:sz w:val="24"/>
          <w:szCs w:val="24"/>
        </w:rPr>
        <w:t xml:space="preserve"> wider analysis of the life courses and life chances of 400 </w:t>
      </w:r>
      <w:r w:rsidR="00313975" w:rsidRPr="00EB1528">
        <w:rPr>
          <w:sz w:val="24"/>
          <w:szCs w:val="24"/>
        </w:rPr>
        <w:t>adults who passed</w:t>
      </w:r>
      <w:r w:rsidR="004A3F26" w:rsidRPr="00EB1528">
        <w:rPr>
          <w:sz w:val="24"/>
          <w:szCs w:val="24"/>
        </w:rPr>
        <w:t xml:space="preserve"> through </w:t>
      </w:r>
      <w:r w:rsidR="00313975" w:rsidRPr="00EB1528">
        <w:rPr>
          <w:sz w:val="24"/>
          <w:szCs w:val="24"/>
        </w:rPr>
        <w:t>the early youth justice and care systems as children in the northwest of England from the 1860s to the 1920s. These systems were closely interlinked. Within that, the article focuses on the experiences of a subgroup sent to a more care-oriented institution. It compares their collective outcomes with those of the wider group and</w:t>
      </w:r>
      <w:r w:rsidR="00FF5FD1" w:rsidRPr="00EB1528">
        <w:rPr>
          <w:sz w:val="24"/>
          <w:szCs w:val="24"/>
        </w:rPr>
        <w:t xml:space="preserve"> </w:t>
      </w:r>
      <w:r w:rsidR="009D486F" w:rsidRPr="00EB1528">
        <w:rPr>
          <w:sz w:val="24"/>
          <w:szCs w:val="24"/>
        </w:rPr>
        <w:t xml:space="preserve">within-group </w:t>
      </w:r>
      <w:r w:rsidR="00FF5FD1" w:rsidRPr="00EB1528">
        <w:rPr>
          <w:sz w:val="24"/>
          <w:szCs w:val="24"/>
        </w:rPr>
        <w:t xml:space="preserve">by gender. It offers a selection of case studies of </w:t>
      </w:r>
      <w:r w:rsidR="00FC46BC" w:rsidRPr="00EB1528">
        <w:rPr>
          <w:sz w:val="24"/>
          <w:szCs w:val="24"/>
        </w:rPr>
        <w:t>women’s lives before and after care</w:t>
      </w:r>
      <w:r w:rsidR="00FF5FD1" w:rsidRPr="00EB1528">
        <w:rPr>
          <w:sz w:val="24"/>
          <w:szCs w:val="24"/>
        </w:rPr>
        <w:t xml:space="preserve"> to highlight the value of, and challenges involved in, undertaking gender analysis in life course research of this kind.</w:t>
      </w:r>
    </w:p>
    <w:p w14:paraId="54D4BB34" w14:textId="77777777" w:rsidR="00EB1528" w:rsidRDefault="00EB1528" w:rsidP="00825C25">
      <w:pPr>
        <w:spacing w:line="360" w:lineRule="auto"/>
        <w:rPr>
          <w:sz w:val="24"/>
          <w:szCs w:val="24"/>
        </w:rPr>
      </w:pPr>
    </w:p>
    <w:p w14:paraId="001E9861" w14:textId="7ABD0A44" w:rsidR="0090128D" w:rsidRPr="00EB1528" w:rsidRDefault="0090128D" w:rsidP="00825C25">
      <w:pPr>
        <w:spacing w:line="360" w:lineRule="auto"/>
        <w:rPr>
          <w:sz w:val="24"/>
          <w:szCs w:val="24"/>
        </w:rPr>
      </w:pPr>
      <w:r w:rsidRPr="00EB1528">
        <w:rPr>
          <w:sz w:val="24"/>
          <w:szCs w:val="24"/>
        </w:rPr>
        <w:t>Key words: adult outcomes of care; life</w:t>
      </w:r>
      <w:r w:rsidR="006A6B26">
        <w:rPr>
          <w:sz w:val="24"/>
          <w:szCs w:val="24"/>
        </w:rPr>
        <w:t xml:space="preserve"> </w:t>
      </w:r>
      <w:r w:rsidRPr="00EB1528">
        <w:rPr>
          <w:sz w:val="24"/>
          <w:szCs w:val="24"/>
        </w:rPr>
        <w:t>course; gender; child removal</w:t>
      </w:r>
    </w:p>
    <w:p w14:paraId="30C87697" w14:textId="77777777" w:rsidR="00EB1528" w:rsidRDefault="00EB1528" w:rsidP="00825C25">
      <w:pPr>
        <w:spacing w:line="360" w:lineRule="auto"/>
        <w:rPr>
          <w:sz w:val="24"/>
          <w:szCs w:val="24"/>
        </w:rPr>
      </w:pPr>
    </w:p>
    <w:p w14:paraId="157A3EEC" w14:textId="77777777" w:rsidR="00820613" w:rsidRPr="00EB1528" w:rsidRDefault="00820613" w:rsidP="00825C25">
      <w:pPr>
        <w:spacing w:line="360" w:lineRule="auto"/>
        <w:rPr>
          <w:sz w:val="24"/>
          <w:szCs w:val="24"/>
        </w:rPr>
      </w:pPr>
      <w:r w:rsidRPr="00EB1528">
        <w:rPr>
          <w:sz w:val="24"/>
          <w:szCs w:val="24"/>
        </w:rPr>
        <w:t>Funding: This article is based on research funded by the Leverhulme Trust.</w:t>
      </w:r>
    </w:p>
    <w:p w14:paraId="0DCCB137" w14:textId="77777777" w:rsidR="0090128D" w:rsidRDefault="0090128D" w:rsidP="00825C25">
      <w:pPr>
        <w:spacing w:line="360" w:lineRule="auto"/>
        <w:rPr>
          <w:sz w:val="24"/>
          <w:szCs w:val="24"/>
        </w:rPr>
      </w:pPr>
    </w:p>
    <w:p w14:paraId="00B7376B" w14:textId="77777777" w:rsidR="00EB1528" w:rsidRDefault="00EB1528" w:rsidP="00825C25">
      <w:pPr>
        <w:spacing w:line="360" w:lineRule="auto"/>
        <w:rPr>
          <w:sz w:val="24"/>
          <w:szCs w:val="24"/>
        </w:rPr>
      </w:pPr>
    </w:p>
    <w:p w14:paraId="3DBE3016" w14:textId="77777777" w:rsidR="00B13511" w:rsidRPr="00EB1528" w:rsidRDefault="00B13511" w:rsidP="00825C25">
      <w:pPr>
        <w:spacing w:line="360" w:lineRule="auto"/>
        <w:rPr>
          <w:sz w:val="24"/>
          <w:szCs w:val="24"/>
        </w:rPr>
      </w:pPr>
    </w:p>
    <w:p w14:paraId="0FD5AC56" w14:textId="77777777" w:rsidR="005B76DA" w:rsidRPr="00EB1528" w:rsidRDefault="004A3F26" w:rsidP="00825C25">
      <w:pPr>
        <w:spacing w:line="360" w:lineRule="auto"/>
        <w:rPr>
          <w:b/>
          <w:sz w:val="24"/>
          <w:szCs w:val="24"/>
        </w:rPr>
      </w:pPr>
      <w:r w:rsidRPr="00EB1528">
        <w:rPr>
          <w:b/>
          <w:sz w:val="24"/>
          <w:szCs w:val="24"/>
        </w:rPr>
        <w:t>Introduction</w:t>
      </w:r>
      <w:r w:rsidR="009D486F" w:rsidRPr="00EB1528">
        <w:rPr>
          <w:b/>
          <w:sz w:val="24"/>
          <w:szCs w:val="24"/>
        </w:rPr>
        <w:t xml:space="preserve"> and context</w:t>
      </w:r>
    </w:p>
    <w:p w14:paraId="13411605" w14:textId="1DF073D7" w:rsidR="00CE7F90" w:rsidRPr="00EB1528" w:rsidRDefault="00A81E3E" w:rsidP="00825C25">
      <w:pPr>
        <w:spacing w:line="360" w:lineRule="auto"/>
        <w:rPr>
          <w:sz w:val="24"/>
          <w:szCs w:val="24"/>
        </w:rPr>
      </w:pPr>
      <w:r w:rsidRPr="00EB1528">
        <w:rPr>
          <w:sz w:val="24"/>
          <w:szCs w:val="24"/>
        </w:rPr>
        <w:t xml:space="preserve">Over the course of the </w:t>
      </w:r>
      <w:r w:rsidR="009501CE">
        <w:rPr>
          <w:sz w:val="24"/>
          <w:szCs w:val="24"/>
        </w:rPr>
        <w:t>19th</w:t>
      </w:r>
      <w:r w:rsidR="009501CE" w:rsidRPr="00EB1528">
        <w:rPr>
          <w:sz w:val="24"/>
          <w:szCs w:val="24"/>
        </w:rPr>
        <w:t xml:space="preserve"> </w:t>
      </w:r>
      <w:r w:rsidRPr="00EB1528">
        <w:rPr>
          <w:sz w:val="24"/>
          <w:szCs w:val="24"/>
        </w:rPr>
        <w:t xml:space="preserve">and </w:t>
      </w:r>
      <w:r w:rsidR="00D0787B" w:rsidRPr="00EB1528">
        <w:rPr>
          <w:sz w:val="24"/>
          <w:szCs w:val="24"/>
        </w:rPr>
        <w:t xml:space="preserve">early </w:t>
      </w:r>
      <w:r w:rsidR="009501CE">
        <w:rPr>
          <w:sz w:val="24"/>
          <w:szCs w:val="24"/>
        </w:rPr>
        <w:t>20th</w:t>
      </w:r>
      <w:r w:rsidR="009501CE" w:rsidRPr="00EB1528">
        <w:rPr>
          <w:sz w:val="24"/>
          <w:szCs w:val="24"/>
        </w:rPr>
        <w:t xml:space="preserve"> </w:t>
      </w:r>
      <w:r w:rsidRPr="00EB1528">
        <w:rPr>
          <w:sz w:val="24"/>
          <w:szCs w:val="24"/>
        </w:rPr>
        <w:t xml:space="preserve">centuries, </w:t>
      </w:r>
      <w:r w:rsidR="00772268" w:rsidRPr="00EB1528">
        <w:rPr>
          <w:sz w:val="24"/>
          <w:szCs w:val="24"/>
        </w:rPr>
        <w:t>over half a million</w:t>
      </w:r>
      <w:r w:rsidRPr="00EB1528">
        <w:rPr>
          <w:sz w:val="24"/>
          <w:szCs w:val="24"/>
        </w:rPr>
        <w:t xml:space="preserve"> children passed through institutional care in Britain. To date, no study has attem</w:t>
      </w:r>
      <w:r w:rsidR="00C92F5A" w:rsidRPr="00EB1528">
        <w:rPr>
          <w:sz w:val="24"/>
          <w:szCs w:val="24"/>
        </w:rPr>
        <w:t>pt</w:t>
      </w:r>
      <w:r w:rsidR="00772268" w:rsidRPr="00EB1528">
        <w:rPr>
          <w:sz w:val="24"/>
          <w:szCs w:val="24"/>
        </w:rPr>
        <w:t>ed</w:t>
      </w:r>
      <w:r w:rsidR="00C92F5A" w:rsidRPr="00EB1528">
        <w:rPr>
          <w:sz w:val="24"/>
          <w:szCs w:val="24"/>
        </w:rPr>
        <w:t xml:space="preserve"> to assess the </w:t>
      </w:r>
      <w:r w:rsidR="006C621F" w:rsidRPr="00EB1528">
        <w:rPr>
          <w:sz w:val="24"/>
          <w:szCs w:val="24"/>
        </w:rPr>
        <w:t xml:space="preserve">adult outcomes for </w:t>
      </w:r>
      <w:r w:rsidR="00DD133D" w:rsidRPr="00EB1528">
        <w:rPr>
          <w:sz w:val="24"/>
          <w:szCs w:val="24"/>
        </w:rPr>
        <w:t>those involved. U</w:t>
      </w:r>
      <w:r w:rsidR="00D0787B" w:rsidRPr="00EB1528">
        <w:rPr>
          <w:sz w:val="24"/>
          <w:szCs w:val="24"/>
        </w:rPr>
        <w:t xml:space="preserve">ntil recently, such an approach was </w:t>
      </w:r>
      <w:r w:rsidR="00CE7F90" w:rsidRPr="00EB1528">
        <w:rPr>
          <w:sz w:val="24"/>
          <w:szCs w:val="24"/>
        </w:rPr>
        <w:t xml:space="preserve">practically </w:t>
      </w:r>
      <w:r w:rsidR="00D0787B" w:rsidRPr="00EB1528">
        <w:rPr>
          <w:sz w:val="24"/>
          <w:szCs w:val="24"/>
        </w:rPr>
        <w:t xml:space="preserve">impossible, given the difficulties of </w:t>
      </w:r>
      <w:r w:rsidR="00C92F5A" w:rsidRPr="00EB1528">
        <w:rPr>
          <w:sz w:val="24"/>
          <w:szCs w:val="24"/>
        </w:rPr>
        <w:t>tracing the</w:t>
      </w:r>
      <w:r w:rsidR="00D0787B" w:rsidRPr="00EB1528">
        <w:rPr>
          <w:sz w:val="24"/>
          <w:szCs w:val="24"/>
        </w:rPr>
        <w:t xml:space="preserve"> trajectories of individuals born in that period, </w:t>
      </w:r>
      <w:r w:rsidR="0002339C" w:rsidRPr="00EB1528">
        <w:rPr>
          <w:sz w:val="24"/>
          <w:szCs w:val="24"/>
        </w:rPr>
        <w:t xml:space="preserve">and </w:t>
      </w:r>
      <w:r w:rsidR="00D0787B" w:rsidRPr="00EB1528">
        <w:rPr>
          <w:sz w:val="24"/>
          <w:szCs w:val="24"/>
        </w:rPr>
        <w:t xml:space="preserve">especially given that the vast majority were drawn from socially marginal </w:t>
      </w:r>
      <w:r w:rsidR="00D526D7" w:rsidRPr="00EB1528">
        <w:rPr>
          <w:sz w:val="24"/>
          <w:szCs w:val="24"/>
        </w:rPr>
        <w:t xml:space="preserve">but also mobile </w:t>
      </w:r>
      <w:r w:rsidR="00D0787B" w:rsidRPr="00EB1528">
        <w:rPr>
          <w:sz w:val="24"/>
          <w:szCs w:val="24"/>
        </w:rPr>
        <w:t>households.</w:t>
      </w:r>
      <w:r w:rsidR="00C92F5A" w:rsidRPr="00EB1528">
        <w:rPr>
          <w:sz w:val="24"/>
          <w:szCs w:val="24"/>
        </w:rPr>
        <w:t xml:space="preserve"> In recent decades, however, the large</w:t>
      </w:r>
      <w:r w:rsidR="006C621F" w:rsidRPr="00EB1528">
        <w:rPr>
          <w:sz w:val="24"/>
          <w:szCs w:val="24"/>
        </w:rPr>
        <w:t>-</w:t>
      </w:r>
      <w:r w:rsidR="00C92F5A" w:rsidRPr="00EB1528">
        <w:rPr>
          <w:sz w:val="24"/>
          <w:szCs w:val="24"/>
        </w:rPr>
        <w:t>scale digitisation of historical sources has opened u</w:t>
      </w:r>
      <w:r w:rsidR="0002339C" w:rsidRPr="00EB1528">
        <w:rPr>
          <w:sz w:val="24"/>
          <w:szCs w:val="24"/>
        </w:rPr>
        <w:t>p new research methodologies that can generate new kinds of data to answer new kinds of research questions</w:t>
      </w:r>
      <w:r w:rsidR="00C92F5A" w:rsidRPr="00EB1528">
        <w:rPr>
          <w:sz w:val="24"/>
          <w:szCs w:val="24"/>
        </w:rPr>
        <w:t>.</w:t>
      </w:r>
      <w:r w:rsidR="0002339C" w:rsidRPr="00EB1528">
        <w:rPr>
          <w:sz w:val="24"/>
          <w:szCs w:val="24"/>
        </w:rPr>
        <w:t xml:space="preserve"> </w:t>
      </w:r>
      <w:r w:rsidR="003C6128" w:rsidRPr="00EB1528">
        <w:rPr>
          <w:sz w:val="24"/>
          <w:szCs w:val="24"/>
        </w:rPr>
        <w:t>Crime historians have been at the forefront of both digitisation and life course approaches in Britain</w:t>
      </w:r>
      <w:r w:rsidR="00670353" w:rsidRPr="00EB1528">
        <w:rPr>
          <w:sz w:val="24"/>
          <w:szCs w:val="24"/>
        </w:rPr>
        <w:t xml:space="preserve"> (</w:t>
      </w:r>
      <w:r w:rsidR="00191562" w:rsidRPr="00EB1528">
        <w:rPr>
          <w:sz w:val="24"/>
          <w:szCs w:val="24"/>
        </w:rPr>
        <w:t>for overview</w:t>
      </w:r>
      <w:r w:rsidR="00267044">
        <w:rPr>
          <w:sz w:val="24"/>
          <w:szCs w:val="24"/>
        </w:rPr>
        <w:t>,</w:t>
      </w:r>
      <w:r w:rsidR="00191562" w:rsidRPr="00EB1528">
        <w:rPr>
          <w:sz w:val="24"/>
          <w:szCs w:val="24"/>
        </w:rPr>
        <w:t xml:space="preserve"> see </w:t>
      </w:r>
      <w:r w:rsidR="009A5B20" w:rsidRPr="00EB1528">
        <w:rPr>
          <w:sz w:val="24"/>
          <w:szCs w:val="24"/>
        </w:rPr>
        <w:t xml:space="preserve">Hitchcock, 2013; </w:t>
      </w:r>
      <w:r w:rsidR="00191562" w:rsidRPr="00EB1528">
        <w:rPr>
          <w:sz w:val="24"/>
          <w:szCs w:val="24"/>
        </w:rPr>
        <w:t>Godfrey</w:t>
      </w:r>
      <w:r w:rsidR="009501CE">
        <w:rPr>
          <w:sz w:val="24"/>
          <w:szCs w:val="24"/>
        </w:rPr>
        <w:t>,</w:t>
      </w:r>
      <w:r w:rsidR="00191562" w:rsidRPr="00EB1528">
        <w:rPr>
          <w:sz w:val="24"/>
          <w:szCs w:val="24"/>
        </w:rPr>
        <w:t xml:space="preserve"> </w:t>
      </w:r>
      <w:r w:rsidR="009A5B20" w:rsidRPr="00EB1528">
        <w:rPr>
          <w:sz w:val="24"/>
          <w:szCs w:val="24"/>
        </w:rPr>
        <w:t>2016</w:t>
      </w:r>
      <w:r w:rsidR="00191562" w:rsidRPr="00EB1528">
        <w:rPr>
          <w:sz w:val="24"/>
          <w:szCs w:val="24"/>
        </w:rPr>
        <w:t xml:space="preserve">). </w:t>
      </w:r>
      <w:r w:rsidR="00890C47" w:rsidRPr="00EB1528">
        <w:rPr>
          <w:sz w:val="24"/>
          <w:szCs w:val="24"/>
        </w:rPr>
        <w:t xml:space="preserve">Historical research into the development, delivery and impacts of the care system has </w:t>
      </w:r>
      <w:r w:rsidR="006C01B8" w:rsidRPr="00EB1528">
        <w:rPr>
          <w:sz w:val="24"/>
          <w:szCs w:val="24"/>
        </w:rPr>
        <w:t xml:space="preserve">also </w:t>
      </w:r>
      <w:r w:rsidR="006E272E" w:rsidRPr="00EB1528">
        <w:rPr>
          <w:sz w:val="24"/>
          <w:szCs w:val="24"/>
        </w:rPr>
        <w:t xml:space="preserve">been extremely </w:t>
      </w:r>
      <w:r w:rsidR="006C01B8" w:rsidRPr="00EB1528">
        <w:rPr>
          <w:sz w:val="24"/>
          <w:szCs w:val="24"/>
        </w:rPr>
        <w:t>insightful</w:t>
      </w:r>
      <w:r w:rsidR="006E272E" w:rsidRPr="00EB1528">
        <w:rPr>
          <w:sz w:val="24"/>
          <w:szCs w:val="24"/>
        </w:rPr>
        <w:t xml:space="preserve"> (</w:t>
      </w:r>
      <w:r w:rsidR="002859F3" w:rsidRPr="00EB1528">
        <w:rPr>
          <w:sz w:val="24"/>
          <w:szCs w:val="24"/>
        </w:rPr>
        <w:t>Hendrick, 1994;</w:t>
      </w:r>
      <w:r w:rsidR="000531C7" w:rsidRPr="00EB1528">
        <w:rPr>
          <w:sz w:val="24"/>
          <w:szCs w:val="24"/>
        </w:rPr>
        <w:t xml:space="preserve"> Murdoch, 2006</w:t>
      </w:r>
      <w:r w:rsidR="006E272E" w:rsidRPr="00EB1528">
        <w:rPr>
          <w:sz w:val="24"/>
          <w:szCs w:val="24"/>
        </w:rPr>
        <w:t xml:space="preserve">) but has </w:t>
      </w:r>
      <w:r w:rsidR="00890C47" w:rsidRPr="00EB1528">
        <w:rPr>
          <w:sz w:val="24"/>
          <w:szCs w:val="24"/>
        </w:rPr>
        <w:t>not, thus far, made extensive use of these new approaches.</w:t>
      </w:r>
    </w:p>
    <w:p w14:paraId="42F67454" w14:textId="35358682" w:rsidR="00C57122" w:rsidRPr="00EB1528" w:rsidRDefault="00AD70FC" w:rsidP="00825C25">
      <w:pPr>
        <w:spacing w:line="360" w:lineRule="auto"/>
        <w:rPr>
          <w:sz w:val="24"/>
          <w:szCs w:val="24"/>
        </w:rPr>
      </w:pPr>
      <w:r w:rsidRPr="00EB1528">
        <w:rPr>
          <w:sz w:val="24"/>
          <w:szCs w:val="24"/>
        </w:rPr>
        <w:t xml:space="preserve">This article draws on a wider project investigating the </w:t>
      </w:r>
      <w:r w:rsidR="00772268" w:rsidRPr="00EB1528">
        <w:rPr>
          <w:sz w:val="24"/>
          <w:szCs w:val="24"/>
        </w:rPr>
        <w:t>i</w:t>
      </w:r>
      <w:r w:rsidR="00683E62" w:rsidRPr="00EB1528">
        <w:rPr>
          <w:sz w:val="24"/>
          <w:szCs w:val="24"/>
        </w:rPr>
        <w:t xml:space="preserve">mpact </w:t>
      </w:r>
      <w:r w:rsidRPr="00EB1528">
        <w:rPr>
          <w:sz w:val="24"/>
          <w:szCs w:val="24"/>
        </w:rPr>
        <w:t xml:space="preserve">of Britain’s early </w:t>
      </w:r>
      <w:r w:rsidR="00C57122" w:rsidRPr="00EB1528">
        <w:rPr>
          <w:sz w:val="24"/>
          <w:szCs w:val="24"/>
        </w:rPr>
        <w:t xml:space="preserve">state-sponsored </w:t>
      </w:r>
      <w:r w:rsidRPr="00EB1528">
        <w:rPr>
          <w:sz w:val="24"/>
          <w:szCs w:val="24"/>
        </w:rPr>
        <w:t>youth justice and care systems</w:t>
      </w:r>
      <w:r w:rsidR="00772268" w:rsidRPr="00EB1528">
        <w:rPr>
          <w:sz w:val="24"/>
          <w:szCs w:val="24"/>
        </w:rPr>
        <w:t xml:space="preserve"> across the life</w:t>
      </w:r>
      <w:r w:rsidR="009501CE">
        <w:rPr>
          <w:sz w:val="24"/>
          <w:szCs w:val="24"/>
        </w:rPr>
        <w:t xml:space="preserve"> </w:t>
      </w:r>
      <w:r w:rsidR="00772268" w:rsidRPr="00EB1528">
        <w:rPr>
          <w:sz w:val="24"/>
          <w:szCs w:val="24"/>
        </w:rPr>
        <w:t>course</w:t>
      </w:r>
      <w:r w:rsidRPr="00EB1528">
        <w:rPr>
          <w:sz w:val="24"/>
          <w:szCs w:val="24"/>
        </w:rPr>
        <w:t>.</w:t>
      </w:r>
      <w:r w:rsidR="00C57122" w:rsidRPr="00EB1528">
        <w:rPr>
          <w:sz w:val="24"/>
          <w:szCs w:val="24"/>
        </w:rPr>
        <w:t xml:space="preserve"> These two systems were closely interlinked in the </w:t>
      </w:r>
      <w:r w:rsidR="009501CE">
        <w:rPr>
          <w:sz w:val="24"/>
          <w:szCs w:val="24"/>
        </w:rPr>
        <w:t>19th</w:t>
      </w:r>
      <w:r w:rsidR="009501CE" w:rsidRPr="00EB1528">
        <w:rPr>
          <w:sz w:val="24"/>
          <w:szCs w:val="24"/>
        </w:rPr>
        <w:t xml:space="preserve"> </w:t>
      </w:r>
      <w:r w:rsidR="00C57122" w:rsidRPr="00EB1528">
        <w:rPr>
          <w:sz w:val="24"/>
          <w:szCs w:val="24"/>
        </w:rPr>
        <w:t xml:space="preserve">and early </w:t>
      </w:r>
      <w:r w:rsidR="009501CE">
        <w:rPr>
          <w:sz w:val="24"/>
          <w:szCs w:val="24"/>
        </w:rPr>
        <w:t>20th</w:t>
      </w:r>
      <w:r w:rsidR="009501CE" w:rsidRPr="00EB1528">
        <w:rPr>
          <w:sz w:val="24"/>
          <w:szCs w:val="24"/>
        </w:rPr>
        <w:t xml:space="preserve"> </w:t>
      </w:r>
      <w:r w:rsidR="00C57122" w:rsidRPr="00EB1528">
        <w:rPr>
          <w:sz w:val="24"/>
          <w:szCs w:val="24"/>
        </w:rPr>
        <w:t>centuries</w:t>
      </w:r>
      <w:r w:rsidR="00A1158C" w:rsidRPr="00EB1528">
        <w:rPr>
          <w:sz w:val="24"/>
          <w:szCs w:val="24"/>
        </w:rPr>
        <w:t xml:space="preserve">, indeed they were imagined </w:t>
      </w:r>
      <w:r w:rsidR="00EC6589" w:rsidRPr="00EB1528">
        <w:rPr>
          <w:sz w:val="24"/>
          <w:szCs w:val="24"/>
        </w:rPr>
        <w:t xml:space="preserve">by </w:t>
      </w:r>
      <w:r w:rsidR="004E6124" w:rsidRPr="00EB1528">
        <w:rPr>
          <w:sz w:val="24"/>
          <w:szCs w:val="24"/>
        </w:rPr>
        <w:t xml:space="preserve">many </w:t>
      </w:r>
      <w:r w:rsidR="00EC6589" w:rsidRPr="00EB1528">
        <w:rPr>
          <w:sz w:val="24"/>
          <w:szCs w:val="24"/>
        </w:rPr>
        <w:t xml:space="preserve">reformers </w:t>
      </w:r>
      <w:r w:rsidR="00A1158C" w:rsidRPr="00EB1528">
        <w:rPr>
          <w:sz w:val="24"/>
          <w:szCs w:val="24"/>
        </w:rPr>
        <w:t xml:space="preserve">at the time to be part of a </w:t>
      </w:r>
      <w:r w:rsidR="00EC6589" w:rsidRPr="00EB1528">
        <w:rPr>
          <w:sz w:val="24"/>
          <w:szCs w:val="24"/>
        </w:rPr>
        <w:t>necessarily unified</w:t>
      </w:r>
      <w:r w:rsidR="00A1158C" w:rsidRPr="00EB1528">
        <w:rPr>
          <w:sz w:val="24"/>
          <w:szCs w:val="24"/>
        </w:rPr>
        <w:t xml:space="preserve"> response to the </w:t>
      </w:r>
      <w:r w:rsidR="00EC6589" w:rsidRPr="00EB1528">
        <w:rPr>
          <w:sz w:val="24"/>
          <w:szCs w:val="24"/>
        </w:rPr>
        <w:t>interconnected</w:t>
      </w:r>
      <w:r w:rsidR="00A1158C" w:rsidRPr="00EB1528">
        <w:rPr>
          <w:sz w:val="24"/>
          <w:szCs w:val="24"/>
        </w:rPr>
        <w:t xml:space="preserve"> challenges of child poverty, child neglect and child crime</w:t>
      </w:r>
      <w:r w:rsidR="00CD239B" w:rsidRPr="00EB1528">
        <w:rPr>
          <w:sz w:val="24"/>
          <w:szCs w:val="24"/>
        </w:rPr>
        <w:t xml:space="preserve">. </w:t>
      </w:r>
      <w:r w:rsidR="00A1158C" w:rsidRPr="00EB1528">
        <w:rPr>
          <w:sz w:val="24"/>
          <w:szCs w:val="24"/>
        </w:rPr>
        <w:t xml:space="preserve">One </w:t>
      </w:r>
      <w:r w:rsidR="00832590" w:rsidRPr="00EB1528">
        <w:rPr>
          <w:sz w:val="24"/>
          <w:szCs w:val="24"/>
        </w:rPr>
        <w:t xml:space="preserve">concrete manifestation of these interconnections came in the form of </w:t>
      </w:r>
      <w:r w:rsidR="003967EA" w:rsidRPr="00EB1528">
        <w:rPr>
          <w:sz w:val="24"/>
          <w:szCs w:val="24"/>
        </w:rPr>
        <w:t xml:space="preserve">two </w:t>
      </w:r>
      <w:r w:rsidR="00832590" w:rsidRPr="00EB1528">
        <w:rPr>
          <w:sz w:val="24"/>
          <w:szCs w:val="24"/>
        </w:rPr>
        <w:t>new training institutions set up for children</w:t>
      </w:r>
      <w:r w:rsidR="00101ABA" w:rsidRPr="00EB1528">
        <w:rPr>
          <w:sz w:val="24"/>
          <w:szCs w:val="24"/>
        </w:rPr>
        <w:t xml:space="preserve"> in the 1850s: </w:t>
      </w:r>
      <w:r w:rsidR="00432AC0" w:rsidRPr="00EB1528">
        <w:rPr>
          <w:sz w:val="24"/>
          <w:szCs w:val="24"/>
        </w:rPr>
        <w:t>industrial</w:t>
      </w:r>
      <w:r w:rsidR="006C621F" w:rsidRPr="00EB1528">
        <w:rPr>
          <w:sz w:val="24"/>
          <w:szCs w:val="24"/>
        </w:rPr>
        <w:t xml:space="preserve"> </w:t>
      </w:r>
      <w:r w:rsidR="00432AC0" w:rsidRPr="00EB1528">
        <w:rPr>
          <w:sz w:val="24"/>
          <w:szCs w:val="24"/>
        </w:rPr>
        <w:t xml:space="preserve">and </w:t>
      </w:r>
      <w:r w:rsidR="00832590" w:rsidRPr="00EB1528">
        <w:rPr>
          <w:sz w:val="24"/>
          <w:szCs w:val="24"/>
        </w:rPr>
        <w:t>ref</w:t>
      </w:r>
      <w:r w:rsidR="00101ABA" w:rsidRPr="00EB1528">
        <w:rPr>
          <w:sz w:val="24"/>
          <w:szCs w:val="24"/>
        </w:rPr>
        <w:t>ormatory schools.</w:t>
      </w:r>
      <w:r w:rsidR="00CD239B" w:rsidRPr="00EB1528">
        <w:rPr>
          <w:sz w:val="24"/>
          <w:szCs w:val="24"/>
        </w:rPr>
        <w:t xml:space="preserve"> O</w:t>
      </w:r>
      <w:r w:rsidR="00DD133D" w:rsidRPr="00EB1528">
        <w:rPr>
          <w:sz w:val="24"/>
          <w:szCs w:val="24"/>
        </w:rPr>
        <w:t xml:space="preserve">ur wider study </w:t>
      </w:r>
      <w:r w:rsidR="00CD239B" w:rsidRPr="00EB1528">
        <w:rPr>
          <w:sz w:val="24"/>
          <w:szCs w:val="24"/>
        </w:rPr>
        <w:t xml:space="preserve">focuses on the experiences of 400 children passing through </w:t>
      </w:r>
      <w:r w:rsidR="006C621F" w:rsidRPr="00EB1528">
        <w:rPr>
          <w:sz w:val="24"/>
          <w:szCs w:val="24"/>
        </w:rPr>
        <w:t xml:space="preserve">three </w:t>
      </w:r>
      <w:r w:rsidR="00CD239B" w:rsidRPr="00EB1528">
        <w:rPr>
          <w:sz w:val="24"/>
          <w:szCs w:val="24"/>
        </w:rPr>
        <w:t>of these institutions</w:t>
      </w:r>
      <w:r w:rsidR="006C621F" w:rsidRPr="00EB1528">
        <w:rPr>
          <w:sz w:val="24"/>
          <w:szCs w:val="24"/>
        </w:rPr>
        <w:t xml:space="preserve"> and one allied independent institution</w:t>
      </w:r>
      <w:r w:rsidR="00CD239B" w:rsidRPr="00EB1528">
        <w:rPr>
          <w:sz w:val="24"/>
          <w:szCs w:val="24"/>
        </w:rPr>
        <w:t xml:space="preserve"> in the northwest of Engl</w:t>
      </w:r>
      <w:r w:rsidR="00EC0B4A" w:rsidRPr="00EB1528">
        <w:rPr>
          <w:sz w:val="24"/>
          <w:szCs w:val="24"/>
        </w:rPr>
        <w:t>and from the 18</w:t>
      </w:r>
      <w:r w:rsidR="006C621F" w:rsidRPr="00EB1528">
        <w:rPr>
          <w:sz w:val="24"/>
          <w:szCs w:val="24"/>
        </w:rPr>
        <w:t>5</w:t>
      </w:r>
      <w:r w:rsidR="00EC0B4A" w:rsidRPr="00EB1528">
        <w:rPr>
          <w:sz w:val="24"/>
          <w:szCs w:val="24"/>
        </w:rPr>
        <w:t>0s to the 1920s</w:t>
      </w:r>
      <w:r w:rsidR="00852FB2" w:rsidRPr="00EB1528">
        <w:rPr>
          <w:sz w:val="24"/>
          <w:szCs w:val="24"/>
        </w:rPr>
        <w:t xml:space="preserve"> (Godfrey</w:t>
      </w:r>
      <w:r w:rsidR="00267044">
        <w:rPr>
          <w:sz w:val="24"/>
          <w:szCs w:val="24"/>
        </w:rPr>
        <w:t xml:space="preserve">, Cox, Shore &amp; Alker, </w:t>
      </w:r>
      <w:r w:rsidR="00852FB2" w:rsidRPr="00EB1528">
        <w:rPr>
          <w:sz w:val="24"/>
          <w:szCs w:val="24"/>
        </w:rPr>
        <w:t>2017)</w:t>
      </w:r>
      <w:r w:rsidR="00683E62" w:rsidRPr="00EB1528">
        <w:rPr>
          <w:sz w:val="24"/>
          <w:szCs w:val="24"/>
        </w:rPr>
        <w:t>. T</w:t>
      </w:r>
      <w:r w:rsidR="00EC0B4A" w:rsidRPr="00EB1528">
        <w:rPr>
          <w:sz w:val="24"/>
          <w:szCs w:val="24"/>
        </w:rPr>
        <w:t xml:space="preserve">his article focuses on </w:t>
      </w:r>
      <w:r w:rsidR="00B20C9E" w:rsidRPr="00EB1528">
        <w:rPr>
          <w:sz w:val="24"/>
          <w:szCs w:val="24"/>
        </w:rPr>
        <w:t xml:space="preserve">the </w:t>
      </w:r>
      <w:r w:rsidR="008A5936" w:rsidRPr="00EB1528">
        <w:rPr>
          <w:sz w:val="24"/>
          <w:szCs w:val="24"/>
        </w:rPr>
        <w:t>17</w:t>
      </w:r>
      <w:r w:rsidR="00683E62" w:rsidRPr="00EB1528">
        <w:rPr>
          <w:sz w:val="24"/>
          <w:szCs w:val="24"/>
        </w:rPr>
        <w:t>1</w:t>
      </w:r>
      <w:r w:rsidR="008A5936" w:rsidRPr="00EB1528">
        <w:rPr>
          <w:sz w:val="24"/>
          <w:szCs w:val="24"/>
        </w:rPr>
        <w:t xml:space="preserve"> </w:t>
      </w:r>
      <w:r w:rsidR="00B20C9E" w:rsidRPr="00EB1528">
        <w:rPr>
          <w:sz w:val="24"/>
          <w:szCs w:val="24"/>
        </w:rPr>
        <w:t xml:space="preserve">children within our sample who were </w:t>
      </w:r>
      <w:r w:rsidR="00EC0B4A" w:rsidRPr="00EB1528">
        <w:rPr>
          <w:sz w:val="24"/>
          <w:szCs w:val="24"/>
        </w:rPr>
        <w:t>sent to Stockport Industrial School</w:t>
      </w:r>
      <w:r w:rsidR="00683E62" w:rsidRPr="00EB1528">
        <w:rPr>
          <w:sz w:val="24"/>
          <w:szCs w:val="24"/>
        </w:rPr>
        <w:t xml:space="preserve">, </w:t>
      </w:r>
      <w:r w:rsidR="00B61963" w:rsidRPr="00EB1528">
        <w:rPr>
          <w:sz w:val="24"/>
          <w:szCs w:val="24"/>
        </w:rPr>
        <w:t>a residential training home set up</w:t>
      </w:r>
      <w:r w:rsidR="00683E62" w:rsidRPr="00EB1528">
        <w:rPr>
          <w:sz w:val="24"/>
          <w:szCs w:val="24"/>
        </w:rPr>
        <w:t xml:space="preserve"> to care for vulnerable children</w:t>
      </w:r>
      <w:r w:rsidR="00B61963" w:rsidRPr="00EB1528">
        <w:rPr>
          <w:sz w:val="24"/>
          <w:szCs w:val="24"/>
        </w:rPr>
        <w:t xml:space="preserve"> considered </w:t>
      </w:r>
      <w:r w:rsidR="00683E62" w:rsidRPr="00EB1528">
        <w:rPr>
          <w:sz w:val="24"/>
          <w:szCs w:val="24"/>
        </w:rPr>
        <w:t>at risk of falling into a life of crime</w:t>
      </w:r>
      <w:r w:rsidR="00EC0B4A" w:rsidRPr="00EB1528">
        <w:rPr>
          <w:sz w:val="24"/>
          <w:szCs w:val="24"/>
        </w:rPr>
        <w:t>.</w:t>
      </w:r>
      <w:r w:rsidR="000034A6">
        <w:rPr>
          <w:rStyle w:val="FootnoteReference"/>
          <w:sz w:val="24"/>
          <w:szCs w:val="24"/>
        </w:rPr>
        <w:footnoteReference w:id="1"/>
      </w:r>
      <w:r w:rsidR="000034A6" w:rsidRPr="00EB1528">
        <w:rPr>
          <w:sz w:val="24"/>
          <w:szCs w:val="24"/>
        </w:rPr>
        <w:t xml:space="preserve"> </w:t>
      </w:r>
      <w:r w:rsidR="001700DF" w:rsidRPr="00EB1528">
        <w:rPr>
          <w:sz w:val="24"/>
          <w:szCs w:val="24"/>
        </w:rPr>
        <w:t xml:space="preserve">Overviews of these </w:t>
      </w:r>
      <w:r w:rsidR="001700DF" w:rsidRPr="00EB1528">
        <w:rPr>
          <w:sz w:val="24"/>
          <w:szCs w:val="24"/>
        </w:rPr>
        <w:lastRenderedPageBreak/>
        <w:t xml:space="preserve">institutions, together with a summary of our method of researching them and their impacts, are </w:t>
      </w:r>
      <w:r w:rsidR="004E6124" w:rsidRPr="00EB1528">
        <w:rPr>
          <w:sz w:val="24"/>
          <w:szCs w:val="24"/>
        </w:rPr>
        <w:t>set out in more detail below.</w:t>
      </w:r>
    </w:p>
    <w:p w14:paraId="03D986AF" w14:textId="09D7A1BC" w:rsidR="00FF4A89" w:rsidRPr="00EB1528" w:rsidRDefault="00432AC0" w:rsidP="00825C25">
      <w:pPr>
        <w:spacing w:line="360" w:lineRule="auto"/>
        <w:rPr>
          <w:sz w:val="24"/>
          <w:szCs w:val="24"/>
        </w:rPr>
      </w:pPr>
      <w:r w:rsidRPr="00EB1528">
        <w:rPr>
          <w:sz w:val="24"/>
          <w:szCs w:val="24"/>
        </w:rPr>
        <w:t>Industrial and reformatory schools were</w:t>
      </w:r>
      <w:r w:rsidR="00DC4FF8" w:rsidRPr="00EB1528">
        <w:rPr>
          <w:sz w:val="24"/>
          <w:szCs w:val="24"/>
        </w:rPr>
        <w:t xml:space="preserve"> </w:t>
      </w:r>
      <w:r w:rsidRPr="00EB1528">
        <w:rPr>
          <w:sz w:val="24"/>
          <w:szCs w:val="24"/>
        </w:rPr>
        <w:t xml:space="preserve">just two among a large variety of institutions involved as ‘providers’ of care to children. </w:t>
      </w:r>
      <w:r w:rsidR="003967EA" w:rsidRPr="00EB1528">
        <w:rPr>
          <w:sz w:val="24"/>
          <w:szCs w:val="24"/>
        </w:rPr>
        <w:t>The largest provider was</w:t>
      </w:r>
      <w:r w:rsidR="00F82C10" w:rsidRPr="00EB1528">
        <w:rPr>
          <w:sz w:val="24"/>
          <w:szCs w:val="24"/>
        </w:rPr>
        <w:t xml:space="preserve"> the local state through </w:t>
      </w:r>
      <w:r w:rsidR="00237D74" w:rsidRPr="00EB1528">
        <w:rPr>
          <w:sz w:val="24"/>
          <w:szCs w:val="24"/>
        </w:rPr>
        <w:t>its</w:t>
      </w:r>
      <w:r w:rsidR="00F82C10" w:rsidRPr="00EB1528">
        <w:rPr>
          <w:sz w:val="24"/>
          <w:szCs w:val="24"/>
        </w:rPr>
        <w:t xml:space="preserve"> local </w:t>
      </w:r>
      <w:r w:rsidR="00956597" w:rsidRPr="00EB1528">
        <w:rPr>
          <w:sz w:val="24"/>
          <w:szCs w:val="24"/>
        </w:rPr>
        <w:t xml:space="preserve">iteration of the national </w:t>
      </w:r>
      <w:r w:rsidR="00F82C10" w:rsidRPr="00EB1528">
        <w:rPr>
          <w:sz w:val="24"/>
          <w:szCs w:val="24"/>
        </w:rPr>
        <w:t>poor law system.</w:t>
      </w:r>
      <w:r w:rsidR="003967EA" w:rsidRPr="00EB1528">
        <w:rPr>
          <w:sz w:val="24"/>
          <w:szCs w:val="24"/>
        </w:rPr>
        <w:t xml:space="preserve"> </w:t>
      </w:r>
      <w:r w:rsidR="00FC0F79" w:rsidRPr="00EB1528">
        <w:rPr>
          <w:sz w:val="24"/>
          <w:szCs w:val="24"/>
        </w:rPr>
        <w:t xml:space="preserve">From the 1830s on, local poor law officials were encouraged </w:t>
      </w:r>
      <w:r w:rsidR="008D4119" w:rsidRPr="00EB1528">
        <w:rPr>
          <w:sz w:val="24"/>
          <w:szCs w:val="24"/>
        </w:rPr>
        <w:t>by central government – but also by their own rate</w:t>
      </w:r>
      <w:r w:rsidR="00DC4FF8" w:rsidRPr="00EB1528">
        <w:rPr>
          <w:sz w:val="24"/>
          <w:szCs w:val="24"/>
        </w:rPr>
        <w:t>-</w:t>
      </w:r>
      <w:r w:rsidR="008D4119" w:rsidRPr="00EB1528">
        <w:rPr>
          <w:sz w:val="24"/>
          <w:szCs w:val="24"/>
        </w:rPr>
        <w:t xml:space="preserve">payers </w:t>
      </w:r>
      <w:r w:rsidR="009501CE">
        <w:rPr>
          <w:sz w:val="24"/>
          <w:szCs w:val="24"/>
        </w:rPr>
        <w:softHyphen/>
        <w:t>–</w:t>
      </w:r>
      <w:r w:rsidR="009501CE" w:rsidRPr="00EB1528">
        <w:rPr>
          <w:sz w:val="24"/>
          <w:szCs w:val="24"/>
        </w:rPr>
        <w:t xml:space="preserve"> </w:t>
      </w:r>
      <w:r w:rsidR="00FC0F79" w:rsidRPr="00EB1528">
        <w:rPr>
          <w:sz w:val="24"/>
          <w:szCs w:val="24"/>
        </w:rPr>
        <w:t>to move away from ‘outdoor relief’ in favour of ‘indoor relief’</w:t>
      </w:r>
      <w:r w:rsidR="008D4119" w:rsidRPr="00EB1528">
        <w:rPr>
          <w:sz w:val="24"/>
          <w:szCs w:val="24"/>
        </w:rPr>
        <w:t xml:space="preserve"> in an </w:t>
      </w:r>
      <w:r w:rsidR="003F0BF1" w:rsidRPr="00EB1528">
        <w:rPr>
          <w:sz w:val="24"/>
          <w:szCs w:val="24"/>
        </w:rPr>
        <w:t xml:space="preserve">effort to curb spiralling </w:t>
      </w:r>
      <w:r w:rsidR="00F57211" w:rsidRPr="00EB1528">
        <w:rPr>
          <w:sz w:val="24"/>
          <w:szCs w:val="24"/>
        </w:rPr>
        <w:t xml:space="preserve">relief </w:t>
      </w:r>
      <w:r w:rsidR="003F0BF1" w:rsidRPr="00EB1528">
        <w:rPr>
          <w:sz w:val="24"/>
          <w:szCs w:val="24"/>
        </w:rPr>
        <w:t>costs and to break perceived patterns of dependency.</w:t>
      </w:r>
      <w:r w:rsidR="00FC0F79" w:rsidRPr="00EB1528">
        <w:rPr>
          <w:sz w:val="24"/>
          <w:szCs w:val="24"/>
        </w:rPr>
        <w:t xml:space="preserve"> In practice, this meant that </w:t>
      </w:r>
      <w:r w:rsidR="00F57211" w:rsidRPr="00EB1528">
        <w:rPr>
          <w:sz w:val="24"/>
          <w:szCs w:val="24"/>
        </w:rPr>
        <w:t>thereafter, they</w:t>
      </w:r>
      <w:r w:rsidR="00FC0F79" w:rsidRPr="00EB1528">
        <w:rPr>
          <w:sz w:val="24"/>
          <w:szCs w:val="24"/>
        </w:rPr>
        <w:t xml:space="preserve"> </w:t>
      </w:r>
      <w:r w:rsidR="00E22872" w:rsidRPr="00EB1528">
        <w:rPr>
          <w:sz w:val="24"/>
          <w:szCs w:val="24"/>
        </w:rPr>
        <w:t>opted,</w:t>
      </w:r>
      <w:r w:rsidR="00FC0F79" w:rsidRPr="00EB1528">
        <w:rPr>
          <w:sz w:val="24"/>
          <w:szCs w:val="24"/>
        </w:rPr>
        <w:t xml:space="preserve"> </w:t>
      </w:r>
      <w:r w:rsidR="00F57211" w:rsidRPr="00EB1528">
        <w:rPr>
          <w:sz w:val="24"/>
          <w:szCs w:val="24"/>
        </w:rPr>
        <w:t>where possible</w:t>
      </w:r>
      <w:r w:rsidR="00E22872" w:rsidRPr="00EB1528">
        <w:rPr>
          <w:sz w:val="24"/>
          <w:szCs w:val="24"/>
        </w:rPr>
        <w:t>,</w:t>
      </w:r>
      <w:r w:rsidR="00F57211" w:rsidRPr="00EB1528">
        <w:rPr>
          <w:sz w:val="24"/>
          <w:szCs w:val="24"/>
        </w:rPr>
        <w:t xml:space="preserve"> </w:t>
      </w:r>
      <w:r w:rsidR="00FC0F79" w:rsidRPr="00EB1528">
        <w:rPr>
          <w:sz w:val="24"/>
          <w:szCs w:val="24"/>
        </w:rPr>
        <w:t xml:space="preserve">to assist pauper families by admitting them to their local workhouse rather than giving them cash or in-kind </w:t>
      </w:r>
      <w:r w:rsidR="00765194" w:rsidRPr="00EB1528">
        <w:rPr>
          <w:sz w:val="24"/>
          <w:szCs w:val="24"/>
        </w:rPr>
        <w:t>support</w:t>
      </w:r>
      <w:r w:rsidR="00FC0F79" w:rsidRPr="00EB1528">
        <w:rPr>
          <w:sz w:val="24"/>
          <w:szCs w:val="24"/>
        </w:rPr>
        <w:t xml:space="preserve"> </w:t>
      </w:r>
      <w:r w:rsidR="00F57211" w:rsidRPr="00EB1528">
        <w:rPr>
          <w:sz w:val="24"/>
          <w:szCs w:val="24"/>
        </w:rPr>
        <w:t xml:space="preserve">and allowing </w:t>
      </w:r>
      <w:r w:rsidR="00FC0F79" w:rsidRPr="00EB1528">
        <w:rPr>
          <w:sz w:val="24"/>
          <w:szCs w:val="24"/>
        </w:rPr>
        <w:t>th</w:t>
      </w:r>
      <w:r w:rsidR="00AF7C15" w:rsidRPr="00EB1528">
        <w:rPr>
          <w:sz w:val="24"/>
          <w:szCs w:val="24"/>
        </w:rPr>
        <w:t>em to remain in their own homes (</w:t>
      </w:r>
      <w:r w:rsidR="00241055" w:rsidRPr="00EB1528">
        <w:rPr>
          <w:sz w:val="24"/>
          <w:szCs w:val="24"/>
        </w:rPr>
        <w:t>Crompton, 1997; Crowther, 1983; Humphries, 2013; Murdoch 2006; Sheldon, 2013</w:t>
      </w:r>
      <w:r w:rsidR="00AF7C15" w:rsidRPr="00EB1528">
        <w:rPr>
          <w:sz w:val="24"/>
          <w:szCs w:val="24"/>
        </w:rPr>
        <w:t>).</w:t>
      </w:r>
      <w:r w:rsidR="0041559F" w:rsidRPr="00EB1528">
        <w:rPr>
          <w:sz w:val="24"/>
          <w:szCs w:val="24"/>
        </w:rPr>
        <w:t xml:space="preserve"> Families admitted to the workhouse were routinely separated, with the children sent to </w:t>
      </w:r>
      <w:r w:rsidR="00E22872" w:rsidRPr="00EB1528">
        <w:rPr>
          <w:sz w:val="24"/>
          <w:szCs w:val="24"/>
        </w:rPr>
        <w:t>separate wards or, as the century progressed, to separate institutions or poor law ‘cottage homes’.</w:t>
      </w:r>
      <w:r w:rsidR="005D0131" w:rsidRPr="00EB1528">
        <w:rPr>
          <w:sz w:val="24"/>
          <w:szCs w:val="24"/>
        </w:rPr>
        <w:t xml:space="preserve"> Some have argued that this orchestrated </w:t>
      </w:r>
      <w:r w:rsidR="00310844" w:rsidRPr="00EB1528">
        <w:rPr>
          <w:sz w:val="24"/>
          <w:szCs w:val="24"/>
        </w:rPr>
        <w:t>and widespread ‘</w:t>
      </w:r>
      <w:r w:rsidR="005D0131" w:rsidRPr="00EB1528">
        <w:rPr>
          <w:sz w:val="24"/>
          <w:szCs w:val="24"/>
        </w:rPr>
        <w:t>child removal</w:t>
      </w:r>
      <w:r w:rsidR="00310844" w:rsidRPr="00EB1528">
        <w:rPr>
          <w:sz w:val="24"/>
          <w:szCs w:val="24"/>
        </w:rPr>
        <w:t>’</w:t>
      </w:r>
      <w:r w:rsidR="005D0131" w:rsidRPr="00EB1528">
        <w:rPr>
          <w:sz w:val="24"/>
          <w:szCs w:val="24"/>
        </w:rPr>
        <w:t xml:space="preserve"> was used as a deliberate tactic of governance to</w:t>
      </w:r>
      <w:r w:rsidR="00310844" w:rsidRPr="00EB1528">
        <w:rPr>
          <w:sz w:val="24"/>
          <w:szCs w:val="24"/>
        </w:rPr>
        <w:t xml:space="preserve"> ‘incentivise’ the destitute to change their habits (</w:t>
      </w:r>
      <w:r w:rsidR="00447E38" w:rsidRPr="00EB1528">
        <w:rPr>
          <w:sz w:val="24"/>
          <w:szCs w:val="24"/>
        </w:rPr>
        <w:t>Doolittle</w:t>
      </w:r>
      <w:r w:rsidR="00623103">
        <w:rPr>
          <w:sz w:val="24"/>
          <w:szCs w:val="24"/>
        </w:rPr>
        <w:t>,</w:t>
      </w:r>
      <w:r w:rsidR="00447E38" w:rsidRPr="00EB1528">
        <w:rPr>
          <w:sz w:val="24"/>
          <w:szCs w:val="24"/>
        </w:rPr>
        <w:t xml:space="preserve"> 2014; </w:t>
      </w:r>
      <w:r w:rsidR="002B3A5F" w:rsidRPr="00EB1528">
        <w:rPr>
          <w:sz w:val="24"/>
          <w:szCs w:val="24"/>
        </w:rPr>
        <w:t>Ward, 1990</w:t>
      </w:r>
      <w:r w:rsidR="00176AED" w:rsidRPr="00EB1528">
        <w:rPr>
          <w:sz w:val="24"/>
          <w:szCs w:val="24"/>
        </w:rPr>
        <w:t>, 2016</w:t>
      </w:r>
      <w:r w:rsidR="00310844" w:rsidRPr="00EB1528">
        <w:rPr>
          <w:sz w:val="24"/>
          <w:szCs w:val="24"/>
        </w:rPr>
        <w:t xml:space="preserve">). </w:t>
      </w:r>
      <w:r w:rsidR="00FF4A89" w:rsidRPr="00EB1528">
        <w:rPr>
          <w:sz w:val="24"/>
          <w:szCs w:val="24"/>
        </w:rPr>
        <w:t xml:space="preserve">Certainly, this practice did a great deal to cement child removal as a </w:t>
      </w:r>
      <w:r w:rsidR="0014516B" w:rsidRPr="00EB1528">
        <w:rPr>
          <w:sz w:val="24"/>
          <w:szCs w:val="24"/>
        </w:rPr>
        <w:t xml:space="preserve">troubling </w:t>
      </w:r>
      <w:r w:rsidR="00FF4A89" w:rsidRPr="00EB1528">
        <w:rPr>
          <w:sz w:val="24"/>
          <w:szCs w:val="24"/>
        </w:rPr>
        <w:t>policy norm in the early British welfare state. In turn, this is likely to have helped to lay the normative foundations of child removal across British colonies</w:t>
      </w:r>
      <w:r w:rsidR="00B61963" w:rsidRPr="00EB1528">
        <w:rPr>
          <w:sz w:val="24"/>
          <w:szCs w:val="24"/>
        </w:rPr>
        <w:t xml:space="preserve"> and </w:t>
      </w:r>
      <w:r w:rsidR="00FF3EBA" w:rsidRPr="00EB1528">
        <w:rPr>
          <w:sz w:val="24"/>
          <w:szCs w:val="24"/>
        </w:rPr>
        <w:t xml:space="preserve">provided </w:t>
      </w:r>
      <w:r w:rsidR="003458D6" w:rsidRPr="00EB1528">
        <w:rPr>
          <w:sz w:val="24"/>
          <w:szCs w:val="24"/>
        </w:rPr>
        <w:t>a core</w:t>
      </w:r>
      <w:r w:rsidR="00FF3EBA" w:rsidRPr="00EB1528">
        <w:rPr>
          <w:sz w:val="24"/>
          <w:szCs w:val="24"/>
        </w:rPr>
        <w:t xml:space="preserve"> model for the </w:t>
      </w:r>
      <w:r w:rsidR="00125B48" w:rsidRPr="00EB1528">
        <w:rPr>
          <w:sz w:val="24"/>
          <w:szCs w:val="24"/>
        </w:rPr>
        <w:t xml:space="preserve">later </w:t>
      </w:r>
      <w:r w:rsidR="00FF3EBA" w:rsidRPr="00EB1528">
        <w:rPr>
          <w:sz w:val="24"/>
          <w:szCs w:val="24"/>
        </w:rPr>
        <w:t xml:space="preserve">removal of </w:t>
      </w:r>
      <w:r w:rsidR="00B61963" w:rsidRPr="00EB1528">
        <w:rPr>
          <w:sz w:val="24"/>
          <w:szCs w:val="24"/>
        </w:rPr>
        <w:t xml:space="preserve">large numbers of </w:t>
      </w:r>
      <w:r w:rsidR="00FF3EBA" w:rsidRPr="00EB1528">
        <w:rPr>
          <w:sz w:val="24"/>
          <w:szCs w:val="24"/>
        </w:rPr>
        <w:t>indigenous children by settler populations</w:t>
      </w:r>
      <w:r w:rsidR="00B61963" w:rsidRPr="00EB1528">
        <w:rPr>
          <w:sz w:val="24"/>
          <w:szCs w:val="24"/>
        </w:rPr>
        <w:t xml:space="preserve"> in Australia and Canada</w:t>
      </w:r>
      <w:r w:rsidR="00FF4A89" w:rsidRPr="00EB1528">
        <w:rPr>
          <w:sz w:val="24"/>
          <w:szCs w:val="24"/>
        </w:rPr>
        <w:t xml:space="preserve"> </w:t>
      </w:r>
      <w:r w:rsidR="00DC4FF8" w:rsidRPr="00EB1528">
        <w:rPr>
          <w:sz w:val="24"/>
          <w:szCs w:val="24"/>
        </w:rPr>
        <w:t>(</w:t>
      </w:r>
      <w:r w:rsidR="00FF4A89" w:rsidRPr="00EB1528">
        <w:rPr>
          <w:sz w:val="24"/>
          <w:szCs w:val="24"/>
        </w:rPr>
        <w:t xml:space="preserve">Cuthbert, Spark </w:t>
      </w:r>
      <w:r w:rsidR="00267044">
        <w:rPr>
          <w:sz w:val="24"/>
          <w:szCs w:val="24"/>
        </w:rPr>
        <w:t>&amp;</w:t>
      </w:r>
      <w:r w:rsidR="00267044" w:rsidRPr="00EB1528">
        <w:rPr>
          <w:sz w:val="24"/>
          <w:szCs w:val="24"/>
        </w:rPr>
        <w:t xml:space="preserve"> </w:t>
      </w:r>
      <w:r w:rsidR="00FF4A89" w:rsidRPr="00EB1528">
        <w:rPr>
          <w:sz w:val="24"/>
          <w:szCs w:val="24"/>
        </w:rPr>
        <w:t>Murphy, 2010</w:t>
      </w:r>
      <w:r w:rsidR="006634C5" w:rsidRPr="00EB1528">
        <w:rPr>
          <w:sz w:val="24"/>
          <w:szCs w:val="24"/>
        </w:rPr>
        <w:t>;</w:t>
      </w:r>
      <w:r w:rsidR="00EB335F" w:rsidRPr="00EB1528">
        <w:rPr>
          <w:sz w:val="24"/>
          <w:szCs w:val="24"/>
        </w:rPr>
        <w:t xml:space="preserve"> </w:t>
      </w:r>
      <w:r w:rsidR="00FF3EBA" w:rsidRPr="00EB1528">
        <w:rPr>
          <w:sz w:val="24"/>
          <w:szCs w:val="24"/>
        </w:rPr>
        <w:t xml:space="preserve">Jacobs, 2009; </w:t>
      </w:r>
      <w:r w:rsidR="00EB335F" w:rsidRPr="00EB1528">
        <w:rPr>
          <w:sz w:val="24"/>
          <w:szCs w:val="24"/>
        </w:rPr>
        <w:t xml:space="preserve">Swain </w:t>
      </w:r>
      <w:r w:rsidR="00267044">
        <w:rPr>
          <w:sz w:val="24"/>
          <w:szCs w:val="24"/>
        </w:rPr>
        <w:t>&amp;</w:t>
      </w:r>
      <w:r w:rsidR="00267044" w:rsidRPr="00EB1528">
        <w:rPr>
          <w:sz w:val="24"/>
          <w:szCs w:val="24"/>
        </w:rPr>
        <w:t xml:space="preserve"> </w:t>
      </w:r>
      <w:r w:rsidR="00EB335F" w:rsidRPr="00EB1528">
        <w:rPr>
          <w:sz w:val="24"/>
          <w:szCs w:val="24"/>
        </w:rPr>
        <w:t>Hillel, 2010</w:t>
      </w:r>
      <w:r w:rsidR="00FF4A89" w:rsidRPr="00EB1528">
        <w:rPr>
          <w:sz w:val="24"/>
          <w:szCs w:val="24"/>
        </w:rPr>
        <w:t>).</w:t>
      </w:r>
      <w:r w:rsidR="00902189" w:rsidRPr="00EB1528">
        <w:rPr>
          <w:sz w:val="24"/>
          <w:szCs w:val="24"/>
        </w:rPr>
        <w:t xml:space="preserve"> There has been no large-scale study yet completed of the adult outcomes of Britain’s workhouse children</w:t>
      </w:r>
      <w:r w:rsidR="001D458B" w:rsidRPr="00EB1528">
        <w:rPr>
          <w:sz w:val="24"/>
          <w:szCs w:val="24"/>
        </w:rPr>
        <w:t xml:space="preserve"> – one of the largest groups to experience institutional care</w:t>
      </w:r>
      <w:r w:rsidR="00902189" w:rsidRPr="00EB1528">
        <w:rPr>
          <w:sz w:val="24"/>
          <w:szCs w:val="24"/>
        </w:rPr>
        <w:t xml:space="preserve">. </w:t>
      </w:r>
    </w:p>
    <w:p w14:paraId="4B10A05F" w14:textId="173C131A" w:rsidR="001A5DC2" w:rsidRPr="00EB1528" w:rsidRDefault="001A5DC2" w:rsidP="00825C25">
      <w:pPr>
        <w:spacing w:line="360" w:lineRule="auto"/>
        <w:rPr>
          <w:sz w:val="24"/>
          <w:szCs w:val="24"/>
        </w:rPr>
      </w:pPr>
      <w:r w:rsidRPr="00EB1528">
        <w:rPr>
          <w:sz w:val="24"/>
          <w:szCs w:val="24"/>
        </w:rPr>
        <w:t xml:space="preserve">More studies have, however, been undertaken around the experiences of another large group of historical ‘care leavers’: those sent, again on a massive scale, to </w:t>
      </w:r>
      <w:r w:rsidR="00465F0F" w:rsidRPr="00EB1528">
        <w:rPr>
          <w:sz w:val="24"/>
          <w:szCs w:val="24"/>
        </w:rPr>
        <w:t xml:space="preserve">homes, orphanages and </w:t>
      </w:r>
      <w:r w:rsidRPr="00EB1528">
        <w:rPr>
          <w:sz w:val="24"/>
          <w:szCs w:val="24"/>
        </w:rPr>
        <w:t>institutions provided by the voluntary sector across this period.</w:t>
      </w:r>
      <w:r w:rsidR="00EA3CC1" w:rsidRPr="00EB1528">
        <w:rPr>
          <w:sz w:val="24"/>
          <w:szCs w:val="24"/>
        </w:rPr>
        <w:t xml:space="preserve"> Most of that provision was made by faith-based charities, many of who came to view child removal as one of their core activities.</w:t>
      </w:r>
      <w:r w:rsidR="00465F0F" w:rsidRPr="00EB1528">
        <w:rPr>
          <w:sz w:val="24"/>
          <w:szCs w:val="24"/>
        </w:rPr>
        <w:t xml:space="preserve"> </w:t>
      </w:r>
      <w:r w:rsidR="008C7485" w:rsidRPr="00EB1528">
        <w:rPr>
          <w:sz w:val="24"/>
          <w:szCs w:val="24"/>
        </w:rPr>
        <w:t>From the 1870s on, the scale of this work expanded further as large charities moved to operate on a more</w:t>
      </w:r>
      <w:r w:rsidR="00435BF5" w:rsidRPr="00EB1528">
        <w:rPr>
          <w:sz w:val="24"/>
          <w:szCs w:val="24"/>
        </w:rPr>
        <w:t xml:space="preserve"> corporate footing and on </w:t>
      </w:r>
      <w:r w:rsidR="008C7485" w:rsidRPr="00EB1528">
        <w:rPr>
          <w:sz w:val="24"/>
          <w:szCs w:val="24"/>
        </w:rPr>
        <w:t>a more national scale.</w:t>
      </w:r>
      <w:r w:rsidR="00285E65">
        <w:rPr>
          <w:sz w:val="24"/>
          <w:szCs w:val="24"/>
        </w:rPr>
        <w:t xml:space="preserve"> </w:t>
      </w:r>
      <w:r w:rsidR="00114D99" w:rsidRPr="00EB1528">
        <w:rPr>
          <w:sz w:val="24"/>
          <w:szCs w:val="24"/>
        </w:rPr>
        <w:t xml:space="preserve">The Church of England’s Incorporated Society for </w:t>
      </w:r>
      <w:r w:rsidR="00CF0E59" w:rsidRPr="00EB1528">
        <w:rPr>
          <w:sz w:val="24"/>
          <w:szCs w:val="24"/>
        </w:rPr>
        <w:t xml:space="preserve">Providing Homes for </w:t>
      </w:r>
      <w:r w:rsidR="00114D99" w:rsidRPr="00EB1528">
        <w:rPr>
          <w:sz w:val="24"/>
          <w:szCs w:val="24"/>
        </w:rPr>
        <w:t>Waifs and St</w:t>
      </w:r>
      <w:r w:rsidR="009676E8" w:rsidRPr="00EB1528">
        <w:rPr>
          <w:sz w:val="24"/>
          <w:szCs w:val="24"/>
        </w:rPr>
        <w:t>rays</w:t>
      </w:r>
      <w:r w:rsidR="007F1E37" w:rsidRPr="00EB1528">
        <w:rPr>
          <w:sz w:val="24"/>
          <w:szCs w:val="24"/>
        </w:rPr>
        <w:t>, for example,</w:t>
      </w:r>
      <w:r w:rsidR="009676E8" w:rsidRPr="00EB1528">
        <w:rPr>
          <w:sz w:val="24"/>
          <w:szCs w:val="24"/>
        </w:rPr>
        <w:t xml:space="preserve"> was set up in the 1880s and would go on to </w:t>
      </w:r>
      <w:r w:rsidR="00592FB9" w:rsidRPr="00EB1528">
        <w:rPr>
          <w:sz w:val="24"/>
          <w:szCs w:val="24"/>
        </w:rPr>
        <w:t xml:space="preserve">house thousands of children </w:t>
      </w:r>
      <w:r w:rsidR="00CF0E59" w:rsidRPr="00EB1528">
        <w:rPr>
          <w:sz w:val="24"/>
          <w:szCs w:val="24"/>
        </w:rPr>
        <w:t>in</w:t>
      </w:r>
      <w:r w:rsidR="00592FB9" w:rsidRPr="00EB1528">
        <w:rPr>
          <w:sz w:val="24"/>
          <w:szCs w:val="24"/>
        </w:rPr>
        <w:t xml:space="preserve"> an</w:t>
      </w:r>
      <w:r w:rsidR="009676E8" w:rsidRPr="00EB1528">
        <w:rPr>
          <w:sz w:val="24"/>
          <w:szCs w:val="24"/>
        </w:rPr>
        <w:t xml:space="preserve"> </w:t>
      </w:r>
      <w:r w:rsidR="006B3C63" w:rsidRPr="00EB1528">
        <w:rPr>
          <w:sz w:val="24"/>
          <w:szCs w:val="24"/>
        </w:rPr>
        <w:lastRenderedPageBreak/>
        <w:t>(inter)</w:t>
      </w:r>
      <w:r w:rsidR="009676E8" w:rsidRPr="00EB1528">
        <w:rPr>
          <w:sz w:val="24"/>
          <w:szCs w:val="24"/>
        </w:rPr>
        <w:t xml:space="preserve">national network of </w:t>
      </w:r>
      <w:r w:rsidR="00CF0E59" w:rsidRPr="00EB1528">
        <w:rPr>
          <w:sz w:val="24"/>
          <w:szCs w:val="24"/>
        </w:rPr>
        <w:t>institutions</w:t>
      </w:r>
      <w:r w:rsidR="006B3C63" w:rsidRPr="00EB1528">
        <w:rPr>
          <w:sz w:val="24"/>
          <w:szCs w:val="24"/>
        </w:rPr>
        <w:t xml:space="preserve"> and fostering schemes</w:t>
      </w:r>
      <w:r w:rsidR="00C41E3F" w:rsidRPr="00EB1528">
        <w:rPr>
          <w:sz w:val="24"/>
          <w:szCs w:val="24"/>
        </w:rPr>
        <w:t xml:space="preserve"> spanning Britain, Australia and Canada</w:t>
      </w:r>
      <w:r w:rsidR="009676E8" w:rsidRPr="00EB1528">
        <w:rPr>
          <w:sz w:val="24"/>
          <w:szCs w:val="24"/>
        </w:rPr>
        <w:t>.</w:t>
      </w:r>
      <w:r w:rsidR="007F1E37" w:rsidRPr="00EB1528">
        <w:rPr>
          <w:sz w:val="24"/>
          <w:szCs w:val="24"/>
        </w:rPr>
        <w:t xml:space="preserve"> Still operating today as the Children’s Society</w:t>
      </w:r>
      <w:r w:rsidR="002F004D" w:rsidRPr="00EB1528">
        <w:rPr>
          <w:sz w:val="24"/>
          <w:szCs w:val="24"/>
        </w:rPr>
        <w:t>,</w:t>
      </w:r>
      <w:r w:rsidR="007F1E37" w:rsidRPr="00EB1528">
        <w:rPr>
          <w:sz w:val="24"/>
          <w:szCs w:val="24"/>
        </w:rPr>
        <w:t xml:space="preserve"> and still a major care and child service provider, this organisation’s archives </w:t>
      </w:r>
      <w:r w:rsidR="002F004D" w:rsidRPr="00EB1528">
        <w:rPr>
          <w:sz w:val="24"/>
          <w:szCs w:val="24"/>
        </w:rPr>
        <w:t xml:space="preserve">and personal case files </w:t>
      </w:r>
      <w:r w:rsidR="007F1E37" w:rsidRPr="00EB1528">
        <w:rPr>
          <w:sz w:val="24"/>
          <w:szCs w:val="24"/>
        </w:rPr>
        <w:t>have been used extensively by historians</w:t>
      </w:r>
      <w:r w:rsidR="002F004D" w:rsidRPr="00EB1528">
        <w:rPr>
          <w:sz w:val="24"/>
          <w:szCs w:val="24"/>
        </w:rPr>
        <w:t xml:space="preserve"> (Cox, 2003; </w:t>
      </w:r>
      <w:r w:rsidR="00BD56FD" w:rsidRPr="00EB1528">
        <w:rPr>
          <w:sz w:val="24"/>
          <w:szCs w:val="24"/>
        </w:rPr>
        <w:t xml:space="preserve">Murdoch, 2006; </w:t>
      </w:r>
      <w:r w:rsidR="007E352F" w:rsidRPr="00EB1528">
        <w:rPr>
          <w:sz w:val="24"/>
          <w:szCs w:val="24"/>
        </w:rPr>
        <w:t xml:space="preserve">Sheldon, 2013; </w:t>
      </w:r>
      <w:r w:rsidR="002F004D" w:rsidRPr="00EB1528">
        <w:rPr>
          <w:sz w:val="24"/>
          <w:szCs w:val="24"/>
        </w:rPr>
        <w:t>Ward, 1990</w:t>
      </w:r>
      <w:r w:rsidR="00CD79F7" w:rsidRPr="00EB1528">
        <w:rPr>
          <w:sz w:val="24"/>
          <w:szCs w:val="24"/>
        </w:rPr>
        <w:t>; Soares, 2016</w:t>
      </w:r>
      <w:r w:rsidR="002F004D" w:rsidRPr="00EB1528">
        <w:rPr>
          <w:sz w:val="24"/>
          <w:szCs w:val="24"/>
        </w:rPr>
        <w:t>)</w:t>
      </w:r>
      <w:r w:rsidR="007F1E37" w:rsidRPr="00EB1528">
        <w:rPr>
          <w:sz w:val="24"/>
          <w:szCs w:val="24"/>
        </w:rPr>
        <w:t>.</w:t>
      </w:r>
      <w:r w:rsidR="002F004D" w:rsidRPr="00EB1528">
        <w:rPr>
          <w:sz w:val="24"/>
          <w:szCs w:val="24"/>
        </w:rPr>
        <w:t xml:space="preserve"> Current studies </w:t>
      </w:r>
      <w:r w:rsidR="00DD133D" w:rsidRPr="00EB1528">
        <w:rPr>
          <w:sz w:val="24"/>
          <w:szCs w:val="24"/>
        </w:rPr>
        <w:t>that cross-reference</w:t>
      </w:r>
      <w:r w:rsidR="00D47B6B" w:rsidRPr="00EB1528">
        <w:rPr>
          <w:sz w:val="24"/>
          <w:szCs w:val="24"/>
        </w:rPr>
        <w:t xml:space="preserve"> this </w:t>
      </w:r>
      <w:r w:rsidR="002F004D" w:rsidRPr="00EB1528">
        <w:rPr>
          <w:sz w:val="24"/>
          <w:szCs w:val="24"/>
        </w:rPr>
        <w:t>archive</w:t>
      </w:r>
      <w:r w:rsidR="00D47B6B" w:rsidRPr="00EB1528">
        <w:rPr>
          <w:sz w:val="24"/>
          <w:szCs w:val="24"/>
        </w:rPr>
        <w:t xml:space="preserve"> with others</w:t>
      </w:r>
      <w:r w:rsidR="00DD133D" w:rsidRPr="00EB1528">
        <w:rPr>
          <w:sz w:val="24"/>
          <w:szCs w:val="24"/>
        </w:rPr>
        <w:t xml:space="preserve"> are</w:t>
      </w:r>
      <w:r w:rsidR="002F004D" w:rsidRPr="00EB1528">
        <w:rPr>
          <w:sz w:val="24"/>
          <w:szCs w:val="24"/>
        </w:rPr>
        <w:t xml:space="preserve"> </w:t>
      </w:r>
      <w:r w:rsidR="00CD79F7" w:rsidRPr="00EB1528">
        <w:rPr>
          <w:sz w:val="24"/>
          <w:szCs w:val="24"/>
        </w:rPr>
        <w:t>begin</w:t>
      </w:r>
      <w:r w:rsidR="00DD133D" w:rsidRPr="00EB1528">
        <w:rPr>
          <w:sz w:val="24"/>
          <w:szCs w:val="24"/>
        </w:rPr>
        <w:t>ning</w:t>
      </w:r>
      <w:r w:rsidR="00CD79F7" w:rsidRPr="00EB1528">
        <w:rPr>
          <w:sz w:val="24"/>
          <w:szCs w:val="24"/>
        </w:rPr>
        <w:t xml:space="preserve"> to </w:t>
      </w:r>
      <w:r w:rsidR="002F004D" w:rsidRPr="00EB1528">
        <w:rPr>
          <w:sz w:val="24"/>
          <w:szCs w:val="24"/>
        </w:rPr>
        <w:t>address the issue of the adult impacts of care</w:t>
      </w:r>
      <w:r w:rsidR="00CD79F7" w:rsidRPr="00EB1528">
        <w:rPr>
          <w:sz w:val="24"/>
          <w:szCs w:val="24"/>
        </w:rPr>
        <w:t xml:space="preserve"> (</w:t>
      </w:r>
      <w:r w:rsidR="00CF47E6" w:rsidRPr="00EB1528">
        <w:rPr>
          <w:sz w:val="24"/>
          <w:szCs w:val="24"/>
        </w:rPr>
        <w:t xml:space="preserve">Skinner, </w:t>
      </w:r>
      <w:r w:rsidR="00BD56FD" w:rsidRPr="00EB1528">
        <w:rPr>
          <w:sz w:val="24"/>
          <w:szCs w:val="24"/>
        </w:rPr>
        <w:t>201</w:t>
      </w:r>
      <w:r w:rsidR="00D47B6B" w:rsidRPr="00EB1528">
        <w:rPr>
          <w:sz w:val="24"/>
          <w:szCs w:val="24"/>
        </w:rPr>
        <w:t>6</w:t>
      </w:r>
      <w:r w:rsidR="00CF47E6" w:rsidRPr="00EB1528">
        <w:rPr>
          <w:sz w:val="24"/>
          <w:szCs w:val="24"/>
        </w:rPr>
        <w:t>)</w:t>
      </w:r>
      <w:r w:rsidR="002F004D" w:rsidRPr="00EB1528">
        <w:rPr>
          <w:sz w:val="24"/>
          <w:szCs w:val="24"/>
        </w:rPr>
        <w:t>.</w:t>
      </w:r>
    </w:p>
    <w:p w14:paraId="57E52A36" w14:textId="6F0D0CAC" w:rsidR="009C6AEA" w:rsidRDefault="00654C04" w:rsidP="00825C25">
      <w:pPr>
        <w:spacing w:line="360" w:lineRule="auto"/>
        <w:rPr>
          <w:sz w:val="24"/>
          <w:szCs w:val="24"/>
        </w:rPr>
      </w:pPr>
      <w:r w:rsidRPr="00EB1528">
        <w:rPr>
          <w:sz w:val="24"/>
          <w:szCs w:val="24"/>
        </w:rPr>
        <w:t xml:space="preserve">Industrial and reformatory schools were </w:t>
      </w:r>
      <w:r w:rsidR="00672437" w:rsidRPr="00EB1528">
        <w:rPr>
          <w:sz w:val="24"/>
          <w:szCs w:val="24"/>
        </w:rPr>
        <w:t xml:space="preserve">set up by statute in the 1850s and </w:t>
      </w:r>
      <w:r w:rsidRPr="00EB1528">
        <w:rPr>
          <w:sz w:val="24"/>
          <w:szCs w:val="24"/>
        </w:rPr>
        <w:t xml:space="preserve">modelled on </w:t>
      </w:r>
      <w:r w:rsidR="00672437" w:rsidRPr="00EB1528">
        <w:rPr>
          <w:sz w:val="24"/>
          <w:szCs w:val="24"/>
        </w:rPr>
        <w:t xml:space="preserve">existing </w:t>
      </w:r>
      <w:r w:rsidRPr="00EB1528">
        <w:rPr>
          <w:sz w:val="24"/>
          <w:szCs w:val="24"/>
        </w:rPr>
        <w:t xml:space="preserve">child institutions </w:t>
      </w:r>
      <w:r w:rsidR="00672437" w:rsidRPr="00EB1528">
        <w:rPr>
          <w:sz w:val="24"/>
          <w:szCs w:val="24"/>
        </w:rPr>
        <w:t>run within</w:t>
      </w:r>
      <w:r w:rsidRPr="00EB1528">
        <w:rPr>
          <w:sz w:val="24"/>
          <w:szCs w:val="24"/>
        </w:rPr>
        <w:t xml:space="preserve"> </w:t>
      </w:r>
      <w:r w:rsidR="00780757" w:rsidRPr="00EB1528">
        <w:rPr>
          <w:sz w:val="24"/>
          <w:szCs w:val="24"/>
        </w:rPr>
        <w:t xml:space="preserve">the </w:t>
      </w:r>
      <w:r w:rsidRPr="00EB1528">
        <w:rPr>
          <w:sz w:val="24"/>
          <w:szCs w:val="24"/>
        </w:rPr>
        <w:t>poor law and the voluntary sector</w:t>
      </w:r>
      <w:r w:rsidR="00672437" w:rsidRPr="00EB1528">
        <w:rPr>
          <w:sz w:val="24"/>
          <w:szCs w:val="24"/>
        </w:rPr>
        <w:t xml:space="preserve"> as well as on previous juvenile prison experiments</w:t>
      </w:r>
      <w:r w:rsidRPr="00EB1528">
        <w:rPr>
          <w:sz w:val="24"/>
          <w:szCs w:val="24"/>
        </w:rPr>
        <w:t>. All were certified, inspected and part-funded by the state. However, the majority were managed, staffed and mostly funded by the faith-based voluntary sector.</w:t>
      </w:r>
      <w:r w:rsidR="00672437" w:rsidRPr="00EB1528">
        <w:rPr>
          <w:sz w:val="24"/>
          <w:szCs w:val="24"/>
        </w:rPr>
        <w:t xml:space="preserve"> Industrial schools admitted those under the age of </w:t>
      </w:r>
      <w:r w:rsidR="00623103">
        <w:rPr>
          <w:sz w:val="24"/>
          <w:szCs w:val="24"/>
        </w:rPr>
        <w:t>14</w:t>
      </w:r>
      <w:r w:rsidR="00623103" w:rsidRPr="00EB1528">
        <w:rPr>
          <w:sz w:val="24"/>
          <w:szCs w:val="24"/>
        </w:rPr>
        <w:t xml:space="preserve"> </w:t>
      </w:r>
      <w:r w:rsidR="00672437" w:rsidRPr="00EB1528">
        <w:rPr>
          <w:sz w:val="24"/>
          <w:szCs w:val="24"/>
        </w:rPr>
        <w:t xml:space="preserve">found guilty of committing an offence or judged to be in need of protection. Reformatories admitted offenders up to the age of </w:t>
      </w:r>
      <w:r w:rsidR="00623103">
        <w:rPr>
          <w:sz w:val="24"/>
          <w:szCs w:val="24"/>
        </w:rPr>
        <w:t>16</w:t>
      </w:r>
      <w:r w:rsidR="00672437" w:rsidRPr="00EB1528">
        <w:rPr>
          <w:sz w:val="24"/>
          <w:szCs w:val="24"/>
        </w:rPr>
        <w:t xml:space="preserve">. They offered basic education and training in a trade and most offered post-custodial supervised employment on release. </w:t>
      </w:r>
      <w:r w:rsidR="00A04ACC" w:rsidRPr="00EB1528">
        <w:rPr>
          <w:sz w:val="24"/>
          <w:szCs w:val="24"/>
        </w:rPr>
        <w:t xml:space="preserve">The two institutions were amalgamated to form ‘approved schools’ in 1933. Thereafter, and notably with the expansion of the welfare state after 1945, they were much more firmly associated with the </w:t>
      </w:r>
      <w:r w:rsidR="009C6AEA" w:rsidRPr="00EB1528">
        <w:rPr>
          <w:sz w:val="24"/>
          <w:szCs w:val="24"/>
        </w:rPr>
        <w:t>justice system rather than the care system which</w:t>
      </w:r>
      <w:r w:rsidR="00BD64AD" w:rsidRPr="00EB1528">
        <w:rPr>
          <w:sz w:val="24"/>
          <w:szCs w:val="24"/>
        </w:rPr>
        <w:t>, in turn,</w:t>
      </w:r>
      <w:r w:rsidR="009C6AEA" w:rsidRPr="00EB1528">
        <w:rPr>
          <w:sz w:val="24"/>
          <w:szCs w:val="24"/>
        </w:rPr>
        <w:t xml:space="preserve"> </w:t>
      </w:r>
      <w:r w:rsidR="00BD64AD" w:rsidRPr="00EB1528">
        <w:rPr>
          <w:sz w:val="24"/>
          <w:szCs w:val="24"/>
        </w:rPr>
        <w:t>then</w:t>
      </w:r>
      <w:r w:rsidR="009C6AEA" w:rsidRPr="00EB1528">
        <w:rPr>
          <w:sz w:val="24"/>
          <w:szCs w:val="24"/>
        </w:rPr>
        <w:t xml:space="preserve"> </w:t>
      </w:r>
      <w:r w:rsidR="00BD64AD" w:rsidRPr="00EB1528">
        <w:rPr>
          <w:sz w:val="24"/>
          <w:szCs w:val="24"/>
        </w:rPr>
        <w:t>expanded</w:t>
      </w:r>
      <w:r w:rsidR="009C6AEA" w:rsidRPr="00EB1528">
        <w:rPr>
          <w:sz w:val="24"/>
          <w:szCs w:val="24"/>
        </w:rPr>
        <w:t xml:space="preserve"> its own institutional </w:t>
      </w:r>
      <w:r w:rsidR="00BD64AD" w:rsidRPr="00EB1528">
        <w:rPr>
          <w:sz w:val="24"/>
          <w:szCs w:val="24"/>
        </w:rPr>
        <w:t>provision</w:t>
      </w:r>
      <w:r w:rsidR="009C6AEA" w:rsidRPr="00EB1528">
        <w:rPr>
          <w:sz w:val="24"/>
          <w:szCs w:val="24"/>
        </w:rPr>
        <w:t>.</w:t>
      </w:r>
      <w:r w:rsidR="00BD51C5" w:rsidRPr="00EB1528">
        <w:rPr>
          <w:sz w:val="24"/>
          <w:szCs w:val="24"/>
        </w:rPr>
        <w:t xml:space="preserve"> </w:t>
      </w:r>
      <w:r w:rsidR="00672437" w:rsidRPr="00EB1528">
        <w:rPr>
          <w:sz w:val="24"/>
          <w:szCs w:val="24"/>
        </w:rPr>
        <w:t xml:space="preserve">Other historical accounts </w:t>
      </w:r>
      <w:r w:rsidR="009C6AEA" w:rsidRPr="00EB1528">
        <w:rPr>
          <w:sz w:val="24"/>
          <w:szCs w:val="24"/>
        </w:rPr>
        <w:t xml:space="preserve">of industrial and reformatory schools </w:t>
      </w:r>
      <w:r w:rsidR="00672437" w:rsidRPr="00EB1528">
        <w:rPr>
          <w:sz w:val="24"/>
          <w:szCs w:val="24"/>
        </w:rPr>
        <w:t xml:space="preserve">have examined their early </w:t>
      </w:r>
      <w:r w:rsidR="00A37D31" w:rsidRPr="00EB1528">
        <w:rPr>
          <w:sz w:val="24"/>
          <w:szCs w:val="24"/>
        </w:rPr>
        <w:t xml:space="preserve">influences and </w:t>
      </w:r>
      <w:r w:rsidR="00672437" w:rsidRPr="00EB1528">
        <w:rPr>
          <w:sz w:val="24"/>
          <w:szCs w:val="24"/>
        </w:rPr>
        <w:t xml:space="preserve">formation (Stack, 1994; </w:t>
      </w:r>
      <w:r w:rsidR="00A37D31" w:rsidRPr="00EB1528">
        <w:rPr>
          <w:sz w:val="24"/>
          <w:szCs w:val="24"/>
        </w:rPr>
        <w:t xml:space="preserve">Shore, 1999; </w:t>
      </w:r>
      <w:r w:rsidR="00672437" w:rsidRPr="00EB1528">
        <w:rPr>
          <w:sz w:val="24"/>
          <w:szCs w:val="24"/>
        </w:rPr>
        <w:t xml:space="preserve">Gear, 1999), later reform (Carlebach, 1970; Bailey, 1987) and experiences of staff and young inmates </w:t>
      </w:r>
      <w:proofErr w:type="gramStart"/>
      <w:r w:rsidR="00672437" w:rsidRPr="00EB1528">
        <w:rPr>
          <w:sz w:val="24"/>
          <w:szCs w:val="24"/>
        </w:rPr>
        <w:t>( Cox</w:t>
      </w:r>
      <w:proofErr w:type="gramEnd"/>
      <w:r w:rsidR="00672437" w:rsidRPr="00EB1528">
        <w:rPr>
          <w:sz w:val="24"/>
          <w:szCs w:val="24"/>
        </w:rPr>
        <w:t xml:space="preserve">, 2003; Sheldon, 2013). </w:t>
      </w:r>
      <w:r w:rsidR="00AD302F" w:rsidRPr="00EB1528">
        <w:rPr>
          <w:sz w:val="24"/>
          <w:szCs w:val="24"/>
        </w:rPr>
        <w:t xml:space="preserve">None, to date, have </w:t>
      </w:r>
      <w:r w:rsidR="00CC71AA" w:rsidRPr="00EB1528">
        <w:rPr>
          <w:sz w:val="24"/>
          <w:szCs w:val="24"/>
        </w:rPr>
        <w:t>used</w:t>
      </w:r>
      <w:r w:rsidR="00AD302F" w:rsidRPr="00EB1528">
        <w:rPr>
          <w:sz w:val="24"/>
          <w:szCs w:val="24"/>
        </w:rPr>
        <w:t xml:space="preserve"> li</w:t>
      </w:r>
      <w:r w:rsidR="009C6AEA" w:rsidRPr="00EB1528">
        <w:rPr>
          <w:sz w:val="24"/>
          <w:szCs w:val="24"/>
        </w:rPr>
        <w:t>fe course methods or conducted a systematic assessment of adult outcomes.</w:t>
      </w:r>
    </w:p>
    <w:p w14:paraId="0D914152" w14:textId="77777777" w:rsidR="00825C25" w:rsidRPr="00EB1528" w:rsidRDefault="00825C25" w:rsidP="00825C25">
      <w:pPr>
        <w:spacing w:line="360" w:lineRule="auto"/>
        <w:rPr>
          <w:sz w:val="24"/>
          <w:szCs w:val="24"/>
        </w:rPr>
      </w:pPr>
    </w:p>
    <w:p w14:paraId="1883A941" w14:textId="77777777" w:rsidR="00CF0E59" w:rsidRPr="00EB1528" w:rsidRDefault="00DD133D" w:rsidP="00825C25">
      <w:pPr>
        <w:spacing w:line="360" w:lineRule="auto"/>
        <w:rPr>
          <w:b/>
          <w:sz w:val="24"/>
          <w:szCs w:val="24"/>
        </w:rPr>
      </w:pPr>
      <w:r w:rsidRPr="00EB1528">
        <w:rPr>
          <w:b/>
          <w:sz w:val="24"/>
          <w:szCs w:val="24"/>
        </w:rPr>
        <w:t>H</w:t>
      </w:r>
      <w:r w:rsidR="001B1208" w:rsidRPr="00EB1528">
        <w:rPr>
          <w:b/>
          <w:sz w:val="24"/>
          <w:szCs w:val="24"/>
        </w:rPr>
        <w:t>istorical life course</w:t>
      </w:r>
      <w:r w:rsidR="00CF0E59" w:rsidRPr="00EB1528">
        <w:rPr>
          <w:b/>
          <w:sz w:val="24"/>
          <w:szCs w:val="24"/>
        </w:rPr>
        <w:t xml:space="preserve"> methodology</w:t>
      </w:r>
      <w:r w:rsidRPr="00EB1528">
        <w:rPr>
          <w:b/>
          <w:sz w:val="24"/>
          <w:szCs w:val="24"/>
        </w:rPr>
        <w:t xml:space="preserve"> and sample</w:t>
      </w:r>
    </w:p>
    <w:p w14:paraId="51CB9A65" w14:textId="3480294C" w:rsidR="00EB1528" w:rsidRPr="00B55229" w:rsidRDefault="00CF0E59" w:rsidP="00B55229">
      <w:pPr>
        <w:spacing w:line="360" w:lineRule="auto"/>
        <w:rPr>
          <w:lang w:val="en-US"/>
        </w:rPr>
      </w:pPr>
      <w:r w:rsidRPr="007B0677">
        <w:rPr>
          <w:sz w:val="24"/>
          <w:szCs w:val="24"/>
        </w:rPr>
        <w:t>This article analyses the adult out</w:t>
      </w:r>
      <w:r w:rsidRPr="000A089F">
        <w:rPr>
          <w:sz w:val="24"/>
          <w:szCs w:val="24"/>
        </w:rPr>
        <w:t>comes of 1</w:t>
      </w:r>
      <w:r w:rsidR="004A5B32" w:rsidRPr="00B55229">
        <w:rPr>
          <w:sz w:val="24"/>
          <w:szCs w:val="24"/>
        </w:rPr>
        <w:t>7</w:t>
      </w:r>
      <w:r w:rsidR="00683E62" w:rsidRPr="00B55229">
        <w:rPr>
          <w:sz w:val="24"/>
          <w:szCs w:val="24"/>
        </w:rPr>
        <w:t>1</w:t>
      </w:r>
      <w:r w:rsidRPr="00B55229">
        <w:rPr>
          <w:sz w:val="24"/>
          <w:szCs w:val="24"/>
        </w:rPr>
        <w:t xml:space="preserve"> children sent to Stockport Industrial School </w:t>
      </w:r>
      <w:r w:rsidR="00B85973" w:rsidRPr="00B55229">
        <w:rPr>
          <w:sz w:val="24"/>
          <w:szCs w:val="24"/>
        </w:rPr>
        <w:t xml:space="preserve">(SIS) </w:t>
      </w:r>
      <w:r w:rsidRPr="00B55229">
        <w:rPr>
          <w:sz w:val="24"/>
          <w:szCs w:val="24"/>
        </w:rPr>
        <w:t xml:space="preserve">in the northwest of England. These individuals were </w:t>
      </w:r>
      <w:r w:rsidR="006C554B" w:rsidRPr="00B55229">
        <w:rPr>
          <w:sz w:val="24"/>
          <w:szCs w:val="24"/>
        </w:rPr>
        <w:t xml:space="preserve">randomly </w:t>
      </w:r>
      <w:r w:rsidRPr="00B55229">
        <w:rPr>
          <w:sz w:val="24"/>
          <w:szCs w:val="24"/>
        </w:rPr>
        <w:t xml:space="preserve">selected from </w:t>
      </w:r>
      <w:r w:rsidR="00B85973" w:rsidRPr="00F2187C">
        <w:rPr>
          <w:sz w:val="24"/>
          <w:szCs w:val="24"/>
        </w:rPr>
        <w:t xml:space="preserve">entries within SIS </w:t>
      </w:r>
      <w:r w:rsidRPr="00033745">
        <w:rPr>
          <w:sz w:val="24"/>
          <w:szCs w:val="24"/>
        </w:rPr>
        <w:t xml:space="preserve">admissions </w:t>
      </w:r>
      <w:r w:rsidR="00B85973" w:rsidRPr="008A5547">
        <w:rPr>
          <w:sz w:val="24"/>
          <w:szCs w:val="24"/>
        </w:rPr>
        <w:t>register</w:t>
      </w:r>
      <w:r w:rsidR="00623103">
        <w:rPr>
          <w:sz w:val="24"/>
          <w:szCs w:val="24"/>
        </w:rPr>
        <w:t>s</w:t>
      </w:r>
      <w:r w:rsidR="00B85973" w:rsidRPr="008A5547">
        <w:rPr>
          <w:sz w:val="24"/>
          <w:szCs w:val="24"/>
        </w:rPr>
        <w:t xml:space="preserve"> </w:t>
      </w:r>
      <w:r w:rsidR="00432979" w:rsidRPr="008A5547">
        <w:rPr>
          <w:sz w:val="24"/>
          <w:szCs w:val="24"/>
        </w:rPr>
        <w:t>across</w:t>
      </w:r>
      <w:r w:rsidR="00B85973" w:rsidRPr="008A5547">
        <w:rPr>
          <w:sz w:val="24"/>
          <w:szCs w:val="24"/>
        </w:rPr>
        <w:t xml:space="preserve"> </w:t>
      </w:r>
      <w:r w:rsidR="00F076B4" w:rsidRPr="008A5547">
        <w:rPr>
          <w:sz w:val="24"/>
          <w:szCs w:val="24"/>
        </w:rPr>
        <w:t xml:space="preserve">the </w:t>
      </w:r>
      <w:proofErr w:type="gramStart"/>
      <w:r w:rsidR="00B85973" w:rsidRPr="008A5547">
        <w:rPr>
          <w:sz w:val="24"/>
          <w:szCs w:val="24"/>
        </w:rPr>
        <w:t>two time</w:t>
      </w:r>
      <w:proofErr w:type="gramEnd"/>
      <w:r w:rsidR="00B85973" w:rsidRPr="008A5547">
        <w:rPr>
          <w:sz w:val="24"/>
          <w:szCs w:val="24"/>
        </w:rPr>
        <w:t xml:space="preserve"> spans</w:t>
      </w:r>
      <w:r w:rsidR="00F076B4" w:rsidRPr="00701279">
        <w:rPr>
          <w:sz w:val="24"/>
          <w:szCs w:val="24"/>
        </w:rPr>
        <w:t xml:space="preserve"> used across our wider study</w:t>
      </w:r>
      <w:r w:rsidRPr="00A331ED">
        <w:rPr>
          <w:sz w:val="24"/>
          <w:szCs w:val="24"/>
        </w:rPr>
        <w:t xml:space="preserve">: </w:t>
      </w:r>
      <w:r w:rsidR="00D576C3" w:rsidRPr="00A331ED">
        <w:rPr>
          <w:sz w:val="24"/>
          <w:szCs w:val="24"/>
        </w:rPr>
        <w:t xml:space="preserve">(i) </w:t>
      </w:r>
      <w:r w:rsidR="00F076B4" w:rsidRPr="007929C2">
        <w:rPr>
          <w:sz w:val="24"/>
          <w:szCs w:val="24"/>
        </w:rPr>
        <w:t>1855</w:t>
      </w:r>
      <w:r w:rsidR="00623103">
        <w:rPr>
          <w:sz w:val="24"/>
          <w:szCs w:val="24"/>
        </w:rPr>
        <w:t>–</w:t>
      </w:r>
      <w:r w:rsidR="00F076B4" w:rsidRPr="007929C2">
        <w:rPr>
          <w:sz w:val="24"/>
          <w:szCs w:val="24"/>
        </w:rPr>
        <w:t>1870, (ii) 1890</w:t>
      </w:r>
      <w:r w:rsidR="00623103">
        <w:rPr>
          <w:sz w:val="24"/>
          <w:szCs w:val="24"/>
        </w:rPr>
        <w:t>–</w:t>
      </w:r>
      <w:r w:rsidR="00F076B4" w:rsidRPr="007929C2">
        <w:rPr>
          <w:sz w:val="24"/>
          <w:szCs w:val="24"/>
        </w:rPr>
        <w:t>19</w:t>
      </w:r>
      <w:r w:rsidR="00D47B6B" w:rsidRPr="00860139">
        <w:rPr>
          <w:sz w:val="24"/>
          <w:szCs w:val="24"/>
        </w:rPr>
        <w:t>27</w:t>
      </w:r>
      <w:r w:rsidR="00EB1528" w:rsidRPr="007B0677">
        <w:rPr>
          <w:sz w:val="24"/>
          <w:szCs w:val="24"/>
        </w:rPr>
        <w:t>.</w:t>
      </w:r>
      <w:r w:rsidR="00EB1528" w:rsidRPr="007B0677">
        <w:rPr>
          <w:rStyle w:val="FootnoteReference"/>
          <w:sz w:val="24"/>
          <w:szCs w:val="24"/>
        </w:rPr>
        <w:t xml:space="preserve"> </w:t>
      </w:r>
      <w:r w:rsidR="00EB1528" w:rsidRPr="009439E8">
        <w:rPr>
          <w:sz w:val="24"/>
          <w:szCs w:val="24"/>
        </w:rPr>
        <w:t xml:space="preserve">We chose 1855 as a start date to capture some of those sent to a state-certified reformatory during their first year of operation. We chose 1927 as an end date to capture some of those sent to a state-certified reformatory or industrial school in </w:t>
      </w:r>
      <w:r w:rsidR="00EB1528" w:rsidRPr="009439E8">
        <w:rPr>
          <w:sz w:val="24"/>
          <w:szCs w:val="24"/>
        </w:rPr>
        <w:lastRenderedPageBreak/>
        <w:t>the year that the Home Office recommended that these two institutions should be amalgamated – thus effectively ending this first phase of their history. Our core sample is therefore drawn from across the first generations of children to pass through these new youth justice and care institutions.</w:t>
      </w:r>
    </w:p>
    <w:p w14:paraId="0AEF077C" w14:textId="3779FD95" w:rsidR="00B55229" w:rsidRPr="009439E8" w:rsidRDefault="0029713A" w:rsidP="009439E8">
      <w:pPr>
        <w:pStyle w:val="Default"/>
        <w:spacing w:after="240" w:line="360" w:lineRule="auto"/>
        <w:jc w:val="both"/>
        <w:rPr>
          <w:rFonts w:asciiTheme="minorHAnsi" w:hAnsiTheme="minorHAnsi" w:cs="Times New Roman"/>
          <w:color w:val="000000" w:themeColor="text1"/>
          <w:sz w:val="24"/>
          <w:szCs w:val="24"/>
          <w:lang w:val="en-GB"/>
        </w:rPr>
      </w:pPr>
      <w:r w:rsidRPr="009439E8">
        <w:rPr>
          <w:rFonts w:asciiTheme="minorHAnsi" w:hAnsiTheme="minorHAnsi"/>
          <w:sz w:val="24"/>
          <w:szCs w:val="24"/>
        </w:rPr>
        <w:t>The sample is predominantly male: 1</w:t>
      </w:r>
      <w:r w:rsidR="00D576C3" w:rsidRPr="009439E8">
        <w:rPr>
          <w:rFonts w:asciiTheme="minorHAnsi" w:hAnsiTheme="minorHAnsi"/>
          <w:sz w:val="24"/>
          <w:szCs w:val="24"/>
        </w:rPr>
        <w:t xml:space="preserve">51 </w:t>
      </w:r>
      <w:r w:rsidRPr="009439E8">
        <w:rPr>
          <w:rFonts w:asciiTheme="minorHAnsi" w:hAnsiTheme="minorHAnsi"/>
          <w:sz w:val="24"/>
          <w:szCs w:val="24"/>
        </w:rPr>
        <w:t xml:space="preserve">boys and </w:t>
      </w:r>
      <w:r w:rsidR="00623103">
        <w:rPr>
          <w:rFonts w:asciiTheme="minorHAnsi" w:hAnsiTheme="minorHAnsi"/>
          <w:sz w:val="24"/>
          <w:szCs w:val="24"/>
        </w:rPr>
        <w:t>20</w:t>
      </w:r>
      <w:r w:rsidR="00623103" w:rsidRPr="009439E8">
        <w:rPr>
          <w:rFonts w:asciiTheme="minorHAnsi" w:hAnsiTheme="minorHAnsi"/>
          <w:sz w:val="24"/>
          <w:szCs w:val="24"/>
        </w:rPr>
        <w:t xml:space="preserve"> </w:t>
      </w:r>
      <w:r w:rsidR="004A5B32" w:rsidRPr="009439E8">
        <w:rPr>
          <w:rFonts w:asciiTheme="minorHAnsi" w:hAnsiTheme="minorHAnsi"/>
          <w:sz w:val="24"/>
          <w:szCs w:val="24"/>
        </w:rPr>
        <w:t>girls</w:t>
      </w:r>
      <w:r w:rsidR="00683E62" w:rsidRPr="009439E8">
        <w:rPr>
          <w:rFonts w:asciiTheme="minorHAnsi" w:hAnsiTheme="minorHAnsi"/>
          <w:sz w:val="24"/>
          <w:szCs w:val="24"/>
        </w:rPr>
        <w:t>.</w:t>
      </w:r>
      <w:r w:rsidR="004A5B32" w:rsidRPr="009439E8">
        <w:rPr>
          <w:rFonts w:asciiTheme="minorHAnsi" w:hAnsiTheme="minorHAnsi"/>
          <w:sz w:val="24"/>
          <w:szCs w:val="24"/>
        </w:rPr>
        <w:t xml:space="preserve"> </w:t>
      </w:r>
      <w:r w:rsidRPr="009439E8">
        <w:rPr>
          <w:rFonts w:asciiTheme="minorHAnsi" w:hAnsiTheme="minorHAnsi"/>
          <w:sz w:val="24"/>
          <w:szCs w:val="24"/>
        </w:rPr>
        <w:t xml:space="preserve">This is broadly reflective of gender ratios </w:t>
      </w:r>
      <w:r w:rsidR="000A1014" w:rsidRPr="009439E8">
        <w:rPr>
          <w:rFonts w:asciiTheme="minorHAnsi" w:hAnsiTheme="minorHAnsi"/>
          <w:sz w:val="24"/>
          <w:szCs w:val="24"/>
        </w:rPr>
        <w:t xml:space="preserve">within </w:t>
      </w:r>
      <w:r w:rsidRPr="009439E8">
        <w:rPr>
          <w:rFonts w:asciiTheme="minorHAnsi" w:hAnsiTheme="minorHAnsi"/>
          <w:sz w:val="24"/>
          <w:szCs w:val="24"/>
        </w:rPr>
        <w:t xml:space="preserve">admissions to </w:t>
      </w:r>
      <w:r w:rsidR="00874406" w:rsidRPr="009439E8">
        <w:rPr>
          <w:rFonts w:asciiTheme="minorHAnsi" w:hAnsiTheme="minorHAnsi"/>
          <w:sz w:val="24"/>
          <w:szCs w:val="24"/>
        </w:rPr>
        <w:t xml:space="preserve">all </w:t>
      </w:r>
      <w:r w:rsidRPr="009439E8">
        <w:rPr>
          <w:rFonts w:asciiTheme="minorHAnsi" w:hAnsiTheme="minorHAnsi"/>
          <w:sz w:val="24"/>
          <w:szCs w:val="24"/>
        </w:rPr>
        <w:t>ind</w:t>
      </w:r>
      <w:r w:rsidR="006E3370" w:rsidRPr="009439E8">
        <w:rPr>
          <w:rFonts w:asciiTheme="minorHAnsi" w:hAnsiTheme="minorHAnsi"/>
          <w:sz w:val="24"/>
          <w:szCs w:val="24"/>
        </w:rPr>
        <w:t xml:space="preserve">ustrial and reformatory schools across the period concerned and, indeed, of all </w:t>
      </w:r>
      <w:r w:rsidR="00874406" w:rsidRPr="009439E8">
        <w:rPr>
          <w:rFonts w:asciiTheme="minorHAnsi" w:hAnsiTheme="minorHAnsi"/>
          <w:sz w:val="24"/>
          <w:szCs w:val="24"/>
        </w:rPr>
        <w:t xml:space="preserve">court proceedings involving juveniles </w:t>
      </w:r>
      <w:r w:rsidR="006E3370" w:rsidRPr="009439E8">
        <w:rPr>
          <w:rFonts w:asciiTheme="minorHAnsi" w:hAnsiTheme="minorHAnsi"/>
          <w:sz w:val="24"/>
          <w:szCs w:val="24"/>
        </w:rPr>
        <w:t>across the same period</w:t>
      </w:r>
      <w:r w:rsidR="00302581" w:rsidRPr="009439E8">
        <w:rPr>
          <w:rFonts w:asciiTheme="minorHAnsi" w:hAnsiTheme="minorHAnsi"/>
          <w:sz w:val="24"/>
          <w:szCs w:val="24"/>
        </w:rPr>
        <w:t xml:space="preserve">, where </w:t>
      </w:r>
      <w:r w:rsidR="00F604BE" w:rsidRPr="009439E8">
        <w:rPr>
          <w:rFonts w:asciiTheme="minorHAnsi" w:hAnsiTheme="minorHAnsi"/>
          <w:sz w:val="24"/>
          <w:szCs w:val="24"/>
        </w:rPr>
        <w:t>gender is</w:t>
      </w:r>
      <w:r w:rsidR="00302581" w:rsidRPr="009439E8">
        <w:rPr>
          <w:rFonts w:asciiTheme="minorHAnsi" w:hAnsiTheme="minorHAnsi"/>
          <w:sz w:val="24"/>
          <w:szCs w:val="24"/>
        </w:rPr>
        <w:t xml:space="preserve"> documented</w:t>
      </w:r>
      <w:r w:rsidR="009B4A27" w:rsidRPr="009439E8">
        <w:rPr>
          <w:rFonts w:asciiTheme="minorHAnsi" w:hAnsiTheme="minorHAnsi"/>
          <w:sz w:val="24"/>
          <w:szCs w:val="24"/>
        </w:rPr>
        <w:t xml:space="preserve"> </w:t>
      </w:r>
      <w:r w:rsidR="006E3370" w:rsidRPr="009439E8">
        <w:rPr>
          <w:rFonts w:asciiTheme="minorHAnsi" w:hAnsiTheme="minorHAnsi"/>
          <w:sz w:val="24"/>
          <w:szCs w:val="24"/>
        </w:rPr>
        <w:t xml:space="preserve">(Cox, 2003). </w:t>
      </w:r>
      <w:r w:rsidR="00B55229" w:rsidRPr="009439E8">
        <w:rPr>
          <w:rFonts w:asciiTheme="minorHAnsi" w:hAnsiTheme="minorHAnsi" w:cs="Times New Roman"/>
          <w:color w:val="000000" w:themeColor="text1"/>
          <w:sz w:val="24"/>
          <w:szCs w:val="24"/>
          <w:lang w:val="en-GB"/>
        </w:rPr>
        <w:t xml:space="preserve">By contrast, women made up a larger proportion of adults appearing in court and of those sent to prison. </w:t>
      </w:r>
      <w:r w:rsidR="00DB0B9D">
        <w:rPr>
          <w:rFonts w:asciiTheme="minorHAnsi" w:hAnsiTheme="minorHAnsi" w:cs="Times New Roman"/>
          <w:color w:val="000000" w:themeColor="text1"/>
          <w:sz w:val="24"/>
          <w:szCs w:val="24"/>
          <w:lang w:val="en-GB"/>
        </w:rPr>
        <w:t>One recent historical study of adult criminal life courses in the same region covered by our analysis was based on a sample made up of 82% men and 18% women (G</w:t>
      </w:r>
      <w:r w:rsidR="00B55229" w:rsidRPr="009439E8">
        <w:rPr>
          <w:rFonts w:asciiTheme="minorHAnsi" w:hAnsiTheme="minorHAnsi" w:cs="Times New Roman"/>
          <w:color w:val="000000" w:themeColor="text1"/>
          <w:sz w:val="24"/>
          <w:szCs w:val="24"/>
          <w:lang w:val="en-GB"/>
        </w:rPr>
        <w:t xml:space="preserve">odfrey </w:t>
      </w:r>
      <w:r w:rsidR="00B55229" w:rsidRPr="00C16F41">
        <w:rPr>
          <w:rFonts w:asciiTheme="minorHAnsi" w:hAnsiTheme="minorHAnsi" w:cs="Times New Roman"/>
          <w:color w:val="000000" w:themeColor="text1"/>
          <w:sz w:val="24"/>
          <w:szCs w:val="24"/>
          <w:lang w:val="en-GB"/>
        </w:rPr>
        <w:t>et al</w:t>
      </w:r>
      <w:r w:rsidR="00623103">
        <w:rPr>
          <w:rFonts w:asciiTheme="minorHAnsi" w:hAnsiTheme="minorHAnsi" w:cs="Times New Roman"/>
          <w:color w:val="000000" w:themeColor="text1"/>
          <w:sz w:val="24"/>
          <w:szCs w:val="24"/>
          <w:lang w:val="en-GB"/>
        </w:rPr>
        <w:t>.,</w:t>
      </w:r>
      <w:r w:rsidR="00B55229" w:rsidRPr="009439E8">
        <w:rPr>
          <w:rFonts w:asciiTheme="minorHAnsi" w:hAnsiTheme="minorHAnsi" w:cs="Times New Roman"/>
          <w:color w:val="000000" w:themeColor="text1"/>
          <w:sz w:val="24"/>
          <w:szCs w:val="24"/>
          <w:lang w:val="en-GB"/>
        </w:rPr>
        <w:t xml:space="preserve"> 2007</w:t>
      </w:r>
      <w:r w:rsidR="000C588C">
        <w:rPr>
          <w:rFonts w:asciiTheme="minorHAnsi" w:hAnsiTheme="minorHAnsi" w:cs="Times New Roman"/>
          <w:color w:val="000000" w:themeColor="text1"/>
          <w:sz w:val="24"/>
          <w:szCs w:val="24"/>
          <w:lang w:val="en-GB"/>
        </w:rPr>
        <w:t>)</w:t>
      </w:r>
      <w:r w:rsidR="00DB0B9D">
        <w:rPr>
          <w:rFonts w:asciiTheme="minorHAnsi" w:hAnsiTheme="minorHAnsi" w:cs="Times New Roman"/>
          <w:color w:val="000000" w:themeColor="text1"/>
          <w:sz w:val="24"/>
          <w:szCs w:val="24"/>
          <w:lang w:val="en-GB"/>
        </w:rPr>
        <w:t>.</w:t>
      </w:r>
    </w:p>
    <w:p w14:paraId="0EFEDE04" w14:textId="4AC468FE" w:rsidR="00C72E71" w:rsidRPr="008A5547" w:rsidRDefault="000A1014" w:rsidP="00B55229">
      <w:pPr>
        <w:spacing w:line="360" w:lineRule="auto"/>
        <w:rPr>
          <w:sz w:val="24"/>
          <w:szCs w:val="24"/>
        </w:rPr>
      </w:pPr>
      <w:r w:rsidRPr="00B55229">
        <w:rPr>
          <w:sz w:val="24"/>
          <w:szCs w:val="24"/>
        </w:rPr>
        <w:t xml:space="preserve">Girls routinely accounted for between </w:t>
      </w:r>
      <w:r w:rsidR="00A622E1">
        <w:rPr>
          <w:sz w:val="24"/>
          <w:szCs w:val="24"/>
        </w:rPr>
        <w:t>5%</w:t>
      </w:r>
      <w:r w:rsidR="00A622E1" w:rsidRPr="004F658E">
        <w:rPr>
          <w:sz w:val="24"/>
          <w:szCs w:val="24"/>
        </w:rPr>
        <w:t xml:space="preserve"> </w:t>
      </w:r>
      <w:r w:rsidRPr="004F658E">
        <w:rPr>
          <w:sz w:val="24"/>
          <w:szCs w:val="24"/>
        </w:rPr>
        <w:t xml:space="preserve">and </w:t>
      </w:r>
      <w:r w:rsidR="00A622E1">
        <w:rPr>
          <w:sz w:val="24"/>
          <w:szCs w:val="24"/>
        </w:rPr>
        <w:t>10%</w:t>
      </w:r>
      <w:r w:rsidRPr="004F658E">
        <w:rPr>
          <w:sz w:val="24"/>
          <w:szCs w:val="24"/>
        </w:rPr>
        <w:t xml:space="preserve"> of both </w:t>
      </w:r>
      <w:r w:rsidR="003A309B" w:rsidRPr="005B54AA">
        <w:rPr>
          <w:sz w:val="24"/>
          <w:szCs w:val="24"/>
        </w:rPr>
        <w:t xml:space="preserve">court </w:t>
      </w:r>
      <w:r w:rsidRPr="005B54AA">
        <w:rPr>
          <w:sz w:val="24"/>
          <w:szCs w:val="24"/>
        </w:rPr>
        <w:t>proceedings and these institutional admissions</w:t>
      </w:r>
      <w:r w:rsidR="00086282" w:rsidRPr="00033745">
        <w:rPr>
          <w:sz w:val="24"/>
          <w:szCs w:val="24"/>
        </w:rPr>
        <w:t>, as the figures below illustrate:</w:t>
      </w:r>
      <w:r w:rsidR="00EF4F16" w:rsidRPr="008A5547">
        <w:rPr>
          <w:sz w:val="24"/>
          <w:szCs w:val="24"/>
        </w:rPr>
        <w:t xml:space="preserve"> </w:t>
      </w:r>
    </w:p>
    <w:p w14:paraId="6297FB3E" w14:textId="6BFCC48B" w:rsidR="000B1147" w:rsidRPr="00EB1528" w:rsidRDefault="000B1147" w:rsidP="00825C25">
      <w:pPr>
        <w:spacing w:line="360" w:lineRule="auto"/>
        <w:rPr>
          <w:sz w:val="24"/>
          <w:szCs w:val="24"/>
        </w:rPr>
      </w:pPr>
      <w:r w:rsidRPr="00EB1528">
        <w:rPr>
          <w:sz w:val="24"/>
          <w:szCs w:val="24"/>
        </w:rPr>
        <w:t>Fig</w:t>
      </w:r>
      <w:r w:rsidR="00A67635">
        <w:rPr>
          <w:sz w:val="24"/>
          <w:szCs w:val="24"/>
        </w:rPr>
        <w:t>ure</w:t>
      </w:r>
      <w:r w:rsidRPr="00EB1528">
        <w:rPr>
          <w:sz w:val="24"/>
          <w:szCs w:val="24"/>
        </w:rPr>
        <w:t xml:space="preserve"> 1. </w:t>
      </w:r>
      <w:r w:rsidR="00F75903" w:rsidRPr="00EB1528">
        <w:rPr>
          <w:sz w:val="24"/>
          <w:szCs w:val="24"/>
        </w:rPr>
        <w:t>Industrial</w:t>
      </w:r>
      <w:r w:rsidRPr="00EB1528">
        <w:rPr>
          <w:sz w:val="24"/>
          <w:szCs w:val="24"/>
        </w:rPr>
        <w:t xml:space="preserve"> school </w:t>
      </w:r>
      <w:r w:rsidR="00F75903" w:rsidRPr="00EB1528">
        <w:rPr>
          <w:sz w:val="24"/>
          <w:szCs w:val="24"/>
        </w:rPr>
        <w:t xml:space="preserve">population </w:t>
      </w:r>
      <w:r w:rsidRPr="00EB1528">
        <w:rPr>
          <w:sz w:val="24"/>
          <w:szCs w:val="24"/>
        </w:rPr>
        <w:t>by gender (boys, top line; girls</w:t>
      </w:r>
      <w:r w:rsidR="00A622E1">
        <w:rPr>
          <w:sz w:val="24"/>
          <w:szCs w:val="24"/>
        </w:rPr>
        <w:t>,</w:t>
      </w:r>
      <w:r w:rsidRPr="00EB1528">
        <w:rPr>
          <w:sz w:val="24"/>
          <w:szCs w:val="24"/>
        </w:rPr>
        <w:t xml:space="preserve"> bottom line), 18</w:t>
      </w:r>
      <w:r w:rsidR="00F75903" w:rsidRPr="00EB1528">
        <w:rPr>
          <w:sz w:val="24"/>
          <w:szCs w:val="24"/>
        </w:rPr>
        <w:t>60</w:t>
      </w:r>
      <w:r w:rsidR="00A622E1">
        <w:rPr>
          <w:sz w:val="24"/>
          <w:szCs w:val="24"/>
        </w:rPr>
        <w:t>–</w:t>
      </w:r>
      <w:r w:rsidR="00F75903" w:rsidRPr="00EB1528">
        <w:rPr>
          <w:sz w:val="24"/>
          <w:szCs w:val="24"/>
        </w:rPr>
        <w:t>1892</w:t>
      </w:r>
      <w:r w:rsidRPr="00EB1528">
        <w:rPr>
          <w:rStyle w:val="FootnoteReference"/>
          <w:sz w:val="24"/>
          <w:szCs w:val="24"/>
        </w:rPr>
        <w:footnoteReference w:id="2"/>
      </w:r>
    </w:p>
    <w:p w14:paraId="7B8E77C6" w14:textId="77777777" w:rsidR="00F75903" w:rsidRPr="00EB1528" w:rsidRDefault="00F75903" w:rsidP="00825C25">
      <w:pPr>
        <w:spacing w:line="360" w:lineRule="auto"/>
        <w:rPr>
          <w:sz w:val="24"/>
          <w:szCs w:val="24"/>
        </w:rPr>
      </w:pPr>
      <w:r w:rsidRPr="00EB1528">
        <w:rPr>
          <w:noProof/>
          <w:sz w:val="24"/>
          <w:szCs w:val="24"/>
        </w:rPr>
        <w:drawing>
          <wp:inline distT="0" distB="0" distL="0" distR="0" wp14:anchorId="29923F6F" wp14:editId="6A984A2E">
            <wp:extent cx="5731510" cy="3775710"/>
            <wp:effectExtent l="0" t="0" r="8890" b="88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95E99B" w14:textId="1B088FC0" w:rsidR="004F658E" w:rsidRPr="009439E8" w:rsidRDefault="00B55229" w:rsidP="00B13511">
      <w:pPr>
        <w:pStyle w:val="Default"/>
        <w:spacing w:after="240" w:line="360" w:lineRule="auto"/>
        <w:jc w:val="both"/>
        <w:rPr>
          <w:rFonts w:cs="Times New Roman"/>
          <w:color w:val="000000" w:themeColor="text1"/>
          <w:sz w:val="24"/>
          <w:szCs w:val="24"/>
          <w:lang w:val="en-GB"/>
        </w:rPr>
      </w:pPr>
      <w:r w:rsidRPr="009439E8">
        <w:rPr>
          <w:rFonts w:asciiTheme="minorHAnsi" w:hAnsiTheme="minorHAnsi" w:cs="Times New Roman"/>
          <w:color w:val="000000" w:themeColor="text1"/>
          <w:sz w:val="24"/>
          <w:szCs w:val="24"/>
          <w:lang w:val="en-GB"/>
        </w:rPr>
        <w:lastRenderedPageBreak/>
        <w:t>Aside fr</w:t>
      </w:r>
      <w:r w:rsidR="005B54AA" w:rsidRPr="009439E8">
        <w:rPr>
          <w:rFonts w:asciiTheme="minorHAnsi" w:hAnsiTheme="minorHAnsi" w:cs="Times New Roman"/>
          <w:color w:val="000000" w:themeColor="text1"/>
          <w:sz w:val="24"/>
          <w:szCs w:val="24"/>
          <w:lang w:val="en-GB"/>
        </w:rPr>
        <w:t xml:space="preserve">om the </w:t>
      </w:r>
      <w:r w:rsidR="00DB0B9D">
        <w:rPr>
          <w:rFonts w:asciiTheme="minorHAnsi" w:hAnsiTheme="minorHAnsi" w:cs="Times New Roman"/>
          <w:color w:val="000000" w:themeColor="text1"/>
          <w:sz w:val="24"/>
          <w:szCs w:val="24"/>
          <w:lang w:val="en-GB"/>
        </w:rPr>
        <w:t>fact that they were sent in</w:t>
      </w:r>
      <w:r w:rsidR="007A1081">
        <w:rPr>
          <w:rFonts w:asciiTheme="minorHAnsi" w:hAnsiTheme="minorHAnsi" w:cs="Times New Roman"/>
          <w:color w:val="000000" w:themeColor="text1"/>
          <w:sz w:val="24"/>
          <w:szCs w:val="24"/>
          <w:lang w:val="en-GB"/>
        </w:rPr>
        <w:t xml:space="preserve"> </w:t>
      </w:r>
      <w:r w:rsidR="005B54AA" w:rsidRPr="009439E8">
        <w:rPr>
          <w:rFonts w:asciiTheme="minorHAnsi" w:hAnsiTheme="minorHAnsi" w:cs="Times New Roman"/>
          <w:color w:val="000000" w:themeColor="text1"/>
          <w:sz w:val="24"/>
          <w:szCs w:val="24"/>
          <w:lang w:val="en-GB"/>
        </w:rPr>
        <w:t>low number</w:t>
      </w:r>
      <w:r w:rsidR="007A1081">
        <w:rPr>
          <w:rFonts w:asciiTheme="minorHAnsi" w:hAnsiTheme="minorHAnsi" w:cs="Times New Roman"/>
          <w:color w:val="000000" w:themeColor="text1"/>
          <w:sz w:val="24"/>
          <w:szCs w:val="24"/>
          <w:lang w:val="en-GB"/>
        </w:rPr>
        <w:t>s</w:t>
      </w:r>
      <w:r w:rsidR="005B54AA" w:rsidRPr="009439E8">
        <w:rPr>
          <w:rFonts w:asciiTheme="minorHAnsi" w:hAnsiTheme="minorHAnsi" w:cs="Times New Roman"/>
          <w:color w:val="000000" w:themeColor="text1"/>
          <w:sz w:val="24"/>
          <w:szCs w:val="24"/>
          <w:lang w:val="en-GB"/>
        </w:rPr>
        <w:t xml:space="preserve"> into </w:t>
      </w:r>
      <w:r w:rsidR="00DB0B9D">
        <w:rPr>
          <w:rFonts w:asciiTheme="minorHAnsi" w:hAnsiTheme="minorHAnsi" w:cs="Times New Roman"/>
          <w:color w:val="000000" w:themeColor="text1"/>
          <w:sz w:val="24"/>
          <w:szCs w:val="24"/>
          <w:lang w:val="en-GB"/>
        </w:rPr>
        <w:t xml:space="preserve">this form of </w:t>
      </w:r>
      <w:r w:rsidR="005B54AA" w:rsidRPr="009439E8">
        <w:rPr>
          <w:rFonts w:asciiTheme="minorHAnsi" w:hAnsiTheme="minorHAnsi" w:cs="Times New Roman"/>
          <w:color w:val="000000" w:themeColor="text1"/>
          <w:sz w:val="24"/>
          <w:szCs w:val="24"/>
          <w:lang w:val="en-GB"/>
        </w:rPr>
        <w:t>institutional care</w:t>
      </w:r>
      <w:r w:rsidRPr="009439E8">
        <w:rPr>
          <w:rFonts w:asciiTheme="minorHAnsi" w:hAnsiTheme="minorHAnsi" w:cs="Times New Roman"/>
          <w:color w:val="000000" w:themeColor="text1"/>
          <w:sz w:val="24"/>
          <w:szCs w:val="24"/>
          <w:lang w:val="en-GB"/>
        </w:rPr>
        <w:t xml:space="preserve">, </w:t>
      </w:r>
      <w:r w:rsidR="005B54AA" w:rsidRPr="009439E8">
        <w:rPr>
          <w:rFonts w:asciiTheme="minorHAnsi" w:hAnsiTheme="minorHAnsi" w:cs="Times New Roman"/>
          <w:color w:val="000000" w:themeColor="text1"/>
          <w:sz w:val="24"/>
          <w:szCs w:val="24"/>
          <w:lang w:val="en-GB"/>
        </w:rPr>
        <w:t xml:space="preserve">there are further challenges in </w:t>
      </w:r>
      <w:r w:rsidRPr="009439E8">
        <w:rPr>
          <w:rFonts w:asciiTheme="minorHAnsi" w:hAnsiTheme="minorHAnsi" w:cs="Times New Roman"/>
          <w:color w:val="000000" w:themeColor="text1"/>
          <w:sz w:val="24"/>
          <w:szCs w:val="24"/>
          <w:lang w:val="en-GB"/>
        </w:rPr>
        <w:t xml:space="preserve">studying </w:t>
      </w:r>
      <w:r w:rsidR="00A622E1">
        <w:rPr>
          <w:rFonts w:asciiTheme="minorHAnsi" w:hAnsiTheme="minorHAnsi" w:cs="Times New Roman"/>
          <w:color w:val="000000" w:themeColor="text1"/>
          <w:sz w:val="24"/>
          <w:szCs w:val="24"/>
          <w:lang w:val="en-GB"/>
        </w:rPr>
        <w:t xml:space="preserve">the </w:t>
      </w:r>
      <w:r w:rsidR="00DB0B9D">
        <w:rPr>
          <w:rFonts w:asciiTheme="minorHAnsi" w:hAnsiTheme="minorHAnsi" w:cs="Times New Roman"/>
          <w:color w:val="000000" w:themeColor="text1"/>
          <w:sz w:val="24"/>
          <w:szCs w:val="24"/>
          <w:lang w:val="en-GB"/>
        </w:rPr>
        <w:t>adult outcomes</w:t>
      </w:r>
      <w:r w:rsidRPr="009439E8">
        <w:rPr>
          <w:rFonts w:asciiTheme="minorHAnsi" w:hAnsiTheme="minorHAnsi" w:cs="Times New Roman"/>
          <w:color w:val="000000" w:themeColor="text1"/>
          <w:sz w:val="24"/>
          <w:szCs w:val="24"/>
          <w:lang w:val="en-GB"/>
        </w:rPr>
        <w:t xml:space="preserve"> </w:t>
      </w:r>
      <w:r w:rsidR="00B13511">
        <w:rPr>
          <w:rFonts w:asciiTheme="minorHAnsi" w:hAnsiTheme="minorHAnsi" w:cs="Times New Roman"/>
          <w:color w:val="000000" w:themeColor="text1"/>
          <w:sz w:val="24"/>
          <w:szCs w:val="24"/>
          <w:lang w:val="en-GB"/>
        </w:rPr>
        <w:t>of</w:t>
      </w:r>
      <w:r w:rsidR="00DB0B9D">
        <w:rPr>
          <w:rFonts w:asciiTheme="minorHAnsi" w:hAnsiTheme="minorHAnsi" w:cs="Times New Roman"/>
          <w:color w:val="000000" w:themeColor="text1"/>
          <w:sz w:val="24"/>
          <w:szCs w:val="24"/>
          <w:lang w:val="en-GB"/>
        </w:rPr>
        <w:t xml:space="preserve"> these girls.</w:t>
      </w:r>
      <w:r w:rsidRPr="009439E8">
        <w:rPr>
          <w:rFonts w:asciiTheme="minorHAnsi" w:hAnsiTheme="minorHAnsi" w:cs="Times New Roman"/>
          <w:color w:val="000000" w:themeColor="text1"/>
          <w:sz w:val="24"/>
          <w:szCs w:val="24"/>
          <w:lang w:val="en-GB"/>
        </w:rPr>
        <w:t xml:space="preserve"> </w:t>
      </w:r>
      <w:r w:rsidR="005B54AA" w:rsidRPr="009439E8">
        <w:rPr>
          <w:rFonts w:asciiTheme="minorHAnsi" w:hAnsiTheme="minorHAnsi" w:cs="Times New Roman"/>
          <w:color w:val="000000" w:themeColor="text1"/>
          <w:sz w:val="24"/>
          <w:szCs w:val="24"/>
          <w:lang w:val="en-GB"/>
        </w:rPr>
        <w:t>T</w:t>
      </w:r>
      <w:r w:rsidRPr="009439E8">
        <w:rPr>
          <w:rFonts w:asciiTheme="minorHAnsi" w:hAnsiTheme="minorHAnsi" w:cs="Times New Roman"/>
          <w:color w:val="000000" w:themeColor="text1"/>
          <w:sz w:val="24"/>
          <w:szCs w:val="24"/>
          <w:lang w:val="en-GB"/>
        </w:rPr>
        <w:t xml:space="preserve">he similarity of names and ages amongst </w:t>
      </w:r>
      <w:r w:rsidR="005B54AA" w:rsidRPr="009439E8">
        <w:rPr>
          <w:rFonts w:asciiTheme="minorHAnsi" w:hAnsiTheme="minorHAnsi" w:cs="Times New Roman"/>
          <w:color w:val="000000" w:themeColor="text1"/>
          <w:sz w:val="24"/>
          <w:szCs w:val="24"/>
          <w:lang w:val="en-GB"/>
        </w:rPr>
        <w:t>any</w:t>
      </w:r>
      <w:r w:rsidRPr="009439E8">
        <w:rPr>
          <w:rFonts w:asciiTheme="minorHAnsi" w:hAnsiTheme="minorHAnsi" w:cs="Times New Roman"/>
          <w:color w:val="000000" w:themeColor="text1"/>
          <w:sz w:val="24"/>
          <w:szCs w:val="24"/>
          <w:lang w:val="en-GB"/>
        </w:rPr>
        <w:t xml:space="preserve"> female cohort</w:t>
      </w:r>
      <w:r w:rsidR="005B54AA" w:rsidRPr="009439E8">
        <w:rPr>
          <w:rFonts w:asciiTheme="minorHAnsi" w:hAnsiTheme="minorHAnsi" w:cs="Times New Roman"/>
          <w:color w:val="000000" w:themeColor="text1"/>
          <w:sz w:val="24"/>
          <w:szCs w:val="24"/>
          <w:lang w:val="en-GB"/>
        </w:rPr>
        <w:t xml:space="preserve"> in prison, the workhouse, or a reform institution, </w:t>
      </w:r>
      <w:r w:rsidR="00DB0B9D">
        <w:rPr>
          <w:rFonts w:asciiTheme="minorHAnsi" w:hAnsiTheme="minorHAnsi" w:cs="Times New Roman"/>
          <w:color w:val="000000" w:themeColor="text1"/>
          <w:sz w:val="24"/>
          <w:szCs w:val="24"/>
          <w:lang w:val="en-GB"/>
        </w:rPr>
        <w:t xml:space="preserve">means that </w:t>
      </w:r>
      <w:r w:rsidR="005B54AA" w:rsidRPr="009439E8">
        <w:rPr>
          <w:rFonts w:asciiTheme="minorHAnsi" w:hAnsiTheme="minorHAnsi" w:cs="Times New Roman"/>
          <w:color w:val="000000" w:themeColor="text1"/>
          <w:sz w:val="24"/>
          <w:szCs w:val="24"/>
          <w:lang w:val="en-GB"/>
        </w:rPr>
        <w:t>identifying unique</w:t>
      </w:r>
      <w:r w:rsidRPr="009439E8">
        <w:rPr>
          <w:rFonts w:asciiTheme="minorHAnsi" w:hAnsiTheme="minorHAnsi" w:cs="Times New Roman"/>
          <w:color w:val="000000" w:themeColor="text1"/>
          <w:sz w:val="24"/>
          <w:szCs w:val="24"/>
          <w:lang w:val="en-GB"/>
        </w:rPr>
        <w:t xml:space="preserve"> </w:t>
      </w:r>
      <w:r w:rsidR="005B54AA" w:rsidRPr="009439E8">
        <w:rPr>
          <w:rFonts w:asciiTheme="minorHAnsi" w:hAnsiTheme="minorHAnsi" w:cs="Times New Roman"/>
          <w:color w:val="000000" w:themeColor="text1"/>
          <w:sz w:val="24"/>
          <w:szCs w:val="24"/>
          <w:lang w:val="en-GB"/>
        </w:rPr>
        <w:t>girls and women is difficult. I</w:t>
      </w:r>
      <w:r w:rsidRPr="009439E8">
        <w:rPr>
          <w:rFonts w:asciiTheme="minorHAnsi" w:hAnsiTheme="minorHAnsi" w:cs="Times New Roman"/>
          <w:color w:val="000000" w:themeColor="text1"/>
          <w:sz w:val="24"/>
          <w:szCs w:val="24"/>
          <w:lang w:val="en-GB"/>
        </w:rPr>
        <w:t>f they married</w:t>
      </w:r>
      <w:r w:rsidR="005B54AA" w:rsidRPr="009439E8">
        <w:rPr>
          <w:rFonts w:asciiTheme="minorHAnsi" w:hAnsiTheme="minorHAnsi" w:cs="Times New Roman"/>
          <w:color w:val="000000" w:themeColor="text1"/>
          <w:sz w:val="24"/>
          <w:szCs w:val="24"/>
          <w:lang w:val="en-GB"/>
        </w:rPr>
        <w:t>, and adopted their partner’s surname, this task is made even harder. The female</w:t>
      </w:r>
      <w:r w:rsidR="00B13511">
        <w:rPr>
          <w:rFonts w:asciiTheme="minorHAnsi" w:hAnsiTheme="minorHAnsi" w:cs="Times New Roman"/>
          <w:color w:val="000000" w:themeColor="text1"/>
          <w:sz w:val="24"/>
          <w:szCs w:val="24"/>
          <w:lang w:val="en-GB"/>
        </w:rPr>
        <w:t>s within our</w:t>
      </w:r>
      <w:r w:rsidR="005B54AA" w:rsidRPr="009439E8">
        <w:rPr>
          <w:rFonts w:asciiTheme="minorHAnsi" w:hAnsiTheme="minorHAnsi" w:cs="Times New Roman"/>
          <w:color w:val="000000" w:themeColor="text1"/>
          <w:sz w:val="24"/>
          <w:szCs w:val="24"/>
          <w:lang w:val="en-GB"/>
        </w:rPr>
        <w:t xml:space="preserve"> sample were unmarried but became harder to trace into adulthood as they formed relationships with men and</w:t>
      </w:r>
      <w:r w:rsidR="007A1081">
        <w:rPr>
          <w:rFonts w:asciiTheme="minorHAnsi" w:hAnsiTheme="minorHAnsi" w:cs="Times New Roman"/>
          <w:color w:val="000000" w:themeColor="text1"/>
          <w:sz w:val="24"/>
          <w:szCs w:val="24"/>
          <w:lang w:val="en-GB"/>
        </w:rPr>
        <w:t>, in many cases,</w:t>
      </w:r>
      <w:r w:rsidR="005B54AA" w:rsidRPr="009439E8">
        <w:rPr>
          <w:rFonts w:asciiTheme="minorHAnsi" w:hAnsiTheme="minorHAnsi" w:cs="Times New Roman"/>
          <w:color w:val="000000" w:themeColor="text1"/>
          <w:sz w:val="24"/>
          <w:szCs w:val="24"/>
          <w:lang w:val="en-GB"/>
        </w:rPr>
        <w:t xml:space="preserve"> </w:t>
      </w:r>
      <w:r w:rsidR="00B13511">
        <w:rPr>
          <w:rFonts w:asciiTheme="minorHAnsi" w:hAnsiTheme="minorHAnsi" w:cs="Times New Roman"/>
          <w:color w:val="000000" w:themeColor="text1"/>
          <w:sz w:val="24"/>
          <w:szCs w:val="24"/>
          <w:lang w:val="en-GB"/>
        </w:rPr>
        <w:t>went on to marry</w:t>
      </w:r>
      <w:r w:rsidR="007A1081">
        <w:rPr>
          <w:rFonts w:asciiTheme="minorHAnsi" w:hAnsiTheme="minorHAnsi" w:cs="Times New Roman"/>
          <w:color w:val="000000" w:themeColor="text1"/>
          <w:sz w:val="24"/>
          <w:szCs w:val="24"/>
          <w:lang w:val="en-GB"/>
        </w:rPr>
        <w:t>.</w:t>
      </w:r>
      <w:r w:rsidR="005B54AA" w:rsidRPr="009439E8">
        <w:rPr>
          <w:rFonts w:asciiTheme="minorHAnsi" w:hAnsiTheme="minorHAnsi" w:cs="Times New Roman"/>
          <w:color w:val="000000" w:themeColor="text1"/>
          <w:sz w:val="24"/>
          <w:szCs w:val="24"/>
          <w:lang w:val="en-GB"/>
        </w:rPr>
        <w:t xml:space="preserve"> Only now is recent historical work beginning to address the gender gap within wider historical life course studies (Williams, 2014; Williams </w:t>
      </w:r>
      <w:r w:rsidR="000C588C">
        <w:rPr>
          <w:rFonts w:asciiTheme="minorHAnsi" w:hAnsiTheme="minorHAnsi" w:cs="Times New Roman"/>
          <w:color w:val="000000" w:themeColor="text1"/>
          <w:sz w:val="24"/>
          <w:szCs w:val="24"/>
          <w:lang w:val="en-GB"/>
        </w:rPr>
        <w:t>&amp;</w:t>
      </w:r>
      <w:r w:rsidR="000C588C" w:rsidRPr="009439E8">
        <w:rPr>
          <w:rFonts w:asciiTheme="minorHAnsi" w:hAnsiTheme="minorHAnsi" w:cs="Times New Roman"/>
          <w:color w:val="000000" w:themeColor="text1"/>
          <w:sz w:val="24"/>
          <w:szCs w:val="24"/>
          <w:lang w:val="en-GB"/>
        </w:rPr>
        <w:t xml:space="preserve"> </w:t>
      </w:r>
      <w:r w:rsidR="005B54AA" w:rsidRPr="009439E8">
        <w:rPr>
          <w:rFonts w:asciiTheme="minorHAnsi" w:hAnsiTheme="minorHAnsi" w:cs="Times New Roman"/>
          <w:color w:val="000000" w:themeColor="text1"/>
          <w:sz w:val="24"/>
          <w:szCs w:val="24"/>
          <w:lang w:val="en-GB"/>
        </w:rPr>
        <w:t xml:space="preserve">Godfrey, 2015). However, our sample of </w:t>
      </w:r>
      <w:r w:rsidR="00F33636" w:rsidRPr="00A56E45">
        <w:rPr>
          <w:rFonts w:asciiTheme="minorHAnsi" w:hAnsiTheme="minorHAnsi" w:cs="Times New Roman"/>
          <w:color w:val="000000" w:themeColor="text1"/>
          <w:sz w:val="24"/>
          <w:szCs w:val="24"/>
          <w:lang w:val="en-GB"/>
        </w:rPr>
        <w:t>SIS</w:t>
      </w:r>
      <w:r w:rsidR="005B54AA" w:rsidRPr="009439E8">
        <w:rPr>
          <w:rFonts w:asciiTheme="minorHAnsi" w:hAnsiTheme="minorHAnsi" w:cs="Times New Roman"/>
          <w:color w:val="000000" w:themeColor="text1"/>
          <w:sz w:val="24"/>
          <w:szCs w:val="24"/>
          <w:lang w:val="en-GB"/>
        </w:rPr>
        <w:t xml:space="preserve"> children remains predominantly male, with females making up approximately 6% of the sample.</w:t>
      </w:r>
    </w:p>
    <w:p w14:paraId="492FB0C1" w14:textId="681470D6" w:rsidR="00BE44F8" w:rsidRPr="00EB1528" w:rsidRDefault="00BE44F8" w:rsidP="00825C25">
      <w:pPr>
        <w:spacing w:line="360" w:lineRule="auto"/>
        <w:rPr>
          <w:sz w:val="24"/>
          <w:szCs w:val="24"/>
        </w:rPr>
      </w:pPr>
      <w:r w:rsidRPr="00EB1528">
        <w:rPr>
          <w:sz w:val="24"/>
          <w:szCs w:val="24"/>
        </w:rPr>
        <w:t xml:space="preserve">SIS was </w:t>
      </w:r>
      <w:r w:rsidR="00854466" w:rsidRPr="00EB1528">
        <w:rPr>
          <w:sz w:val="24"/>
          <w:szCs w:val="24"/>
        </w:rPr>
        <w:t>certified as an industrial school in 18</w:t>
      </w:r>
      <w:r w:rsidR="00C57272" w:rsidRPr="00EB1528">
        <w:rPr>
          <w:sz w:val="24"/>
          <w:szCs w:val="24"/>
        </w:rPr>
        <w:t>66</w:t>
      </w:r>
      <w:r w:rsidR="006955DF" w:rsidRPr="00EB1528">
        <w:rPr>
          <w:sz w:val="24"/>
          <w:szCs w:val="24"/>
        </w:rPr>
        <w:t xml:space="preserve">, initially for the reception of </w:t>
      </w:r>
      <w:r w:rsidR="00213040" w:rsidRPr="00EB1528">
        <w:rPr>
          <w:sz w:val="24"/>
          <w:szCs w:val="24"/>
        </w:rPr>
        <w:t xml:space="preserve">around </w:t>
      </w:r>
      <w:r w:rsidR="00A622E1">
        <w:rPr>
          <w:sz w:val="24"/>
          <w:szCs w:val="24"/>
        </w:rPr>
        <w:t>30</w:t>
      </w:r>
      <w:r w:rsidR="00A622E1" w:rsidRPr="00EB1528">
        <w:rPr>
          <w:sz w:val="24"/>
          <w:szCs w:val="24"/>
        </w:rPr>
        <w:t xml:space="preserve"> </w:t>
      </w:r>
      <w:r w:rsidR="006955DF" w:rsidRPr="00EB1528">
        <w:rPr>
          <w:sz w:val="24"/>
          <w:szCs w:val="24"/>
        </w:rPr>
        <w:t>children</w:t>
      </w:r>
      <w:r w:rsidR="00225BB3" w:rsidRPr="00EB1528">
        <w:rPr>
          <w:sz w:val="24"/>
          <w:szCs w:val="24"/>
        </w:rPr>
        <w:t xml:space="preserve"> </w:t>
      </w:r>
      <w:r w:rsidR="00213040" w:rsidRPr="00EB1528">
        <w:rPr>
          <w:sz w:val="24"/>
          <w:szCs w:val="24"/>
        </w:rPr>
        <w:t>(Tenth Inspectors Report, 1867: 71</w:t>
      </w:r>
      <w:r w:rsidR="00225BB3" w:rsidRPr="00EB1528">
        <w:rPr>
          <w:sz w:val="24"/>
          <w:szCs w:val="24"/>
        </w:rPr>
        <w:t>)</w:t>
      </w:r>
      <w:r w:rsidR="003458D6" w:rsidRPr="00EB1528">
        <w:rPr>
          <w:sz w:val="24"/>
          <w:szCs w:val="24"/>
        </w:rPr>
        <w:t>.</w:t>
      </w:r>
      <w:r w:rsidR="001751A3" w:rsidRPr="00EB1528">
        <w:rPr>
          <w:sz w:val="24"/>
          <w:szCs w:val="24"/>
        </w:rPr>
        <w:t xml:space="preserve"> </w:t>
      </w:r>
      <w:r w:rsidR="003458D6" w:rsidRPr="00EB1528">
        <w:rPr>
          <w:sz w:val="24"/>
          <w:szCs w:val="24"/>
        </w:rPr>
        <w:t>B</w:t>
      </w:r>
      <w:r w:rsidR="001751A3" w:rsidRPr="00EB1528">
        <w:rPr>
          <w:sz w:val="24"/>
          <w:szCs w:val="24"/>
        </w:rPr>
        <w:t xml:space="preserve">y 1872, it housed </w:t>
      </w:r>
      <w:r w:rsidR="00D15D08" w:rsidRPr="00EB1528">
        <w:rPr>
          <w:sz w:val="24"/>
          <w:szCs w:val="24"/>
        </w:rPr>
        <w:t>107 children (Webster, 1973</w:t>
      </w:r>
      <w:r w:rsidR="001751A3" w:rsidRPr="00EB1528">
        <w:rPr>
          <w:sz w:val="24"/>
          <w:szCs w:val="24"/>
        </w:rPr>
        <w:t>: 283)</w:t>
      </w:r>
      <w:r w:rsidR="00B228CA" w:rsidRPr="00EB1528">
        <w:rPr>
          <w:sz w:val="24"/>
          <w:szCs w:val="24"/>
        </w:rPr>
        <w:t>. Prior to its certification by the Home Office</w:t>
      </w:r>
      <w:r w:rsidR="00854466" w:rsidRPr="00EB1528">
        <w:rPr>
          <w:sz w:val="24"/>
          <w:szCs w:val="24"/>
        </w:rPr>
        <w:t xml:space="preserve">, it had been a </w:t>
      </w:r>
      <w:r w:rsidR="004E59CB" w:rsidRPr="00EB1528">
        <w:rPr>
          <w:sz w:val="24"/>
          <w:szCs w:val="24"/>
        </w:rPr>
        <w:t>ragged school, founded in 1854</w:t>
      </w:r>
      <w:r w:rsidR="00225BB3" w:rsidRPr="00EB1528">
        <w:rPr>
          <w:sz w:val="24"/>
          <w:szCs w:val="24"/>
        </w:rPr>
        <w:t xml:space="preserve"> and </w:t>
      </w:r>
      <w:r w:rsidR="00854466" w:rsidRPr="00EB1528">
        <w:rPr>
          <w:sz w:val="24"/>
          <w:szCs w:val="24"/>
        </w:rPr>
        <w:t xml:space="preserve">run by </w:t>
      </w:r>
      <w:r w:rsidR="00C85EB6" w:rsidRPr="00EB1528">
        <w:rPr>
          <w:sz w:val="24"/>
          <w:szCs w:val="24"/>
        </w:rPr>
        <w:t>the Stockport Sunday School Union</w:t>
      </w:r>
      <w:r w:rsidR="001751A3" w:rsidRPr="00EB1528">
        <w:rPr>
          <w:sz w:val="24"/>
          <w:szCs w:val="24"/>
        </w:rPr>
        <w:t xml:space="preserve">, </w:t>
      </w:r>
      <w:r w:rsidR="00A622E1">
        <w:rPr>
          <w:sz w:val="24"/>
          <w:szCs w:val="24"/>
        </w:rPr>
        <w:t>which</w:t>
      </w:r>
      <w:r w:rsidR="00A622E1" w:rsidRPr="00EB1528">
        <w:rPr>
          <w:sz w:val="24"/>
          <w:szCs w:val="24"/>
        </w:rPr>
        <w:t xml:space="preserve"> </w:t>
      </w:r>
      <w:r w:rsidR="001751A3" w:rsidRPr="00EB1528">
        <w:rPr>
          <w:sz w:val="24"/>
          <w:szCs w:val="24"/>
        </w:rPr>
        <w:t>remained influential in the management of the School</w:t>
      </w:r>
      <w:r w:rsidR="00854466" w:rsidRPr="00EB1528">
        <w:rPr>
          <w:sz w:val="24"/>
          <w:szCs w:val="24"/>
        </w:rPr>
        <w:t>.</w:t>
      </w:r>
      <w:r w:rsidR="00AA4AC5" w:rsidRPr="00EB1528">
        <w:rPr>
          <w:sz w:val="24"/>
          <w:szCs w:val="24"/>
        </w:rPr>
        <w:t xml:space="preserve"> SIS </w:t>
      </w:r>
      <w:r w:rsidR="00854466" w:rsidRPr="00EB1528">
        <w:rPr>
          <w:sz w:val="24"/>
          <w:szCs w:val="24"/>
        </w:rPr>
        <w:t xml:space="preserve">was unusual </w:t>
      </w:r>
      <w:r w:rsidR="004B4369" w:rsidRPr="00EB1528">
        <w:rPr>
          <w:sz w:val="24"/>
          <w:szCs w:val="24"/>
        </w:rPr>
        <w:t>in that it was one of the few industrial schools to admit both boys and girls</w:t>
      </w:r>
      <w:r w:rsidR="00A622E1">
        <w:rPr>
          <w:sz w:val="24"/>
          <w:szCs w:val="24"/>
        </w:rPr>
        <w:t>,</w:t>
      </w:r>
      <w:r w:rsidR="004B4369" w:rsidRPr="00EB1528">
        <w:rPr>
          <w:sz w:val="24"/>
          <w:szCs w:val="24"/>
        </w:rPr>
        <w:t xml:space="preserve"> although it housed them in </w:t>
      </w:r>
      <w:r w:rsidR="00C171DD" w:rsidRPr="00EB1528">
        <w:rPr>
          <w:sz w:val="24"/>
          <w:szCs w:val="24"/>
        </w:rPr>
        <w:t>separate</w:t>
      </w:r>
      <w:r w:rsidR="004B4369" w:rsidRPr="00EB1528">
        <w:rPr>
          <w:sz w:val="24"/>
          <w:szCs w:val="24"/>
        </w:rPr>
        <w:t xml:space="preserve"> wings</w:t>
      </w:r>
      <w:r w:rsidR="006C4032" w:rsidRPr="00EB1528">
        <w:rPr>
          <w:sz w:val="24"/>
          <w:szCs w:val="24"/>
        </w:rPr>
        <w:t xml:space="preserve"> and put them through </w:t>
      </w:r>
      <w:r w:rsidR="0086729C" w:rsidRPr="00EB1528">
        <w:rPr>
          <w:sz w:val="24"/>
          <w:szCs w:val="24"/>
        </w:rPr>
        <w:t>distinct</w:t>
      </w:r>
      <w:r w:rsidR="006C4032" w:rsidRPr="00EB1528">
        <w:rPr>
          <w:sz w:val="24"/>
          <w:szCs w:val="24"/>
        </w:rPr>
        <w:t xml:space="preserve"> training regimes</w:t>
      </w:r>
      <w:r w:rsidR="00A50115" w:rsidRPr="00EB1528">
        <w:rPr>
          <w:sz w:val="24"/>
          <w:szCs w:val="24"/>
        </w:rPr>
        <w:t xml:space="preserve">: hatting, </w:t>
      </w:r>
      <w:r w:rsidR="00DD4377" w:rsidRPr="00EB1528">
        <w:rPr>
          <w:sz w:val="24"/>
          <w:szCs w:val="24"/>
        </w:rPr>
        <w:t>printing, cobbling and tailoring</w:t>
      </w:r>
      <w:r w:rsidR="008464F6" w:rsidRPr="00EB1528">
        <w:rPr>
          <w:sz w:val="24"/>
          <w:szCs w:val="24"/>
        </w:rPr>
        <w:t xml:space="preserve"> </w:t>
      </w:r>
      <w:r w:rsidR="00EF4F16" w:rsidRPr="00EB1528">
        <w:rPr>
          <w:sz w:val="24"/>
          <w:szCs w:val="24"/>
        </w:rPr>
        <w:t xml:space="preserve">for boys and domestic service training for girls. </w:t>
      </w:r>
      <w:r w:rsidR="004B4369" w:rsidRPr="00EB1528">
        <w:rPr>
          <w:sz w:val="24"/>
          <w:szCs w:val="24"/>
        </w:rPr>
        <w:t>In 18</w:t>
      </w:r>
      <w:r w:rsidR="00D15D08" w:rsidRPr="00EB1528">
        <w:rPr>
          <w:sz w:val="24"/>
          <w:szCs w:val="24"/>
        </w:rPr>
        <w:t>77</w:t>
      </w:r>
      <w:r w:rsidR="004B4369" w:rsidRPr="00EB1528">
        <w:rPr>
          <w:sz w:val="24"/>
          <w:szCs w:val="24"/>
        </w:rPr>
        <w:t xml:space="preserve">, a </w:t>
      </w:r>
      <w:r w:rsidR="0086729C" w:rsidRPr="00EB1528">
        <w:rPr>
          <w:sz w:val="24"/>
          <w:szCs w:val="24"/>
        </w:rPr>
        <w:t xml:space="preserve">separate </w:t>
      </w:r>
      <w:r w:rsidR="004B4369" w:rsidRPr="00EB1528">
        <w:rPr>
          <w:sz w:val="24"/>
          <w:szCs w:val="24"/>
        </w:rPr>
        <w:t>girls’ school was opened</w:t>
      </w:r>
      <w:r w:rsidR="0086729C" w:rsidRPr="00EB1528">
        <w:rPr>
          <w:sz w:val="24"/>
          <w:szCs w:val="24"/>
        </w:rPr>
        <w:t xml:space="preserve"> nearby</w:t>
      </w:r>
      <w:r w:rsidR="00D15D08" w:rsidRPr="00EB1528">
        <w:rPr>
          <w:sz w:val="24"/>
          <w:szCs w:val="24"/>
        </w:rPr>
        <w:t xml:space="preserve"> (Webster, 1973: 308)</w:t>
      </w:r>
      <w:r w:rsidR="004B4369" w:rsidRPr="00EB1528">
        <w:rPr>
          <w:sz w:val="24"/>
          <w:szCs w:val="24"/>
        </w:rPr>
        <w:t xml:space="preserve">. Our sample </w:t>
      </w:r>
      <w:r w:rsidR="0086729C" w:rsidRPr="00EB1528">
        <w:rPr>
          <w:sz w:val="24"/>
          <w:szCs w:val="24"/>
        </w:rPr>
        <w:t xml:space="preserve">also </w:t>
      </w:r>
      <w:r w:rsidR="004B4369" w:rsidRPr="00EB1528">
        <w:rPr>
          <w:sz w:val="24"/>
          <w:szCs w:val="24"/>
        </w:rPr>
        <w:t>includes a small number of girls sent there.</w:t>
      </w:r>
      <w:r w:rsidR="006955DF" w:rsidRPr="00EB1528">
        <w:rPr>
          <w:sz w:val="24"/>
          <w:szCs w:val="24"/>
        </w:rPr>
        <w:t xml:space="preserve"> </w:t>
      </w:r>
    </w:p>
    <w:p w14:paraId="459CC6F6" w14:textId="66991314" w:rsidR="00C72E71" w:rsidRPr="00EB1528" w:rsidRDefault="00EF7E55" w:rsidP="00825C25">
      <w:pPr>
        <w:spacing w:line="360" w:lineRule="auto"/>
        <w:rPr>
          <w:sz w:val="24"/>
          <w:szCs w:val="24"/>
        </w:rPr>
      </w:pPr>
      <w:r w:rsidRPr="00EB1528">
        <w:rPr>
          <w:sz w:val="24"/>
          <w:szCs w:val="24"/>
        </w:rPr>
        <w:t xml:space="preserve">SIS was a facility serving the population of </w:t>
      </w:r>
      <w:r w:rsidR="00DD133D" w:rsidRPr="00EB1528">
        <w:rPr>
          <w:sz w:val="24"/>
          <w:szCs w:val="24"/>
        </w:rPr>
        <w:t xml:space="preserve">the </w:t>
      </w:r>
      <w:r w:rsidRPr="00EB1528">
        <w:rPr>
          <w:sz w:val="24"/>
          <w:szCs w:val="24"/>
        </w:rPr>
        <w:t xml:space="preserve">fast-growing town of Stockport, </w:t>
      </w:r>
      <w:r w:rsidR="00EA19D1" w:rsidRPr="00EB1528">
        <w:rPr>
          <w:sz w:val="24"/>
          <w:szCs w:val="24"/>
        </w:rPr>
        <w:t>ten</w:t>
      </w:r>
      <w:r w:rsidR="0031584E" w:rsidRPr="00EB1528">
        <w:rPr>
          <w:sz w:val="24"/>
          <w:szCs w:val="24"/>
        </w:rPr>
        <w:t xml:space="preserve"> kilometres</w:t>
      </w:r>
      <w:r w:rsidRPr="00EB1528">
        <w:rPr>
          <w:sz w:val="24"/>
          <w:szCs w:val="24"/>
        </w:rPr>
        <w:t xml:space="preserve"> </w:t>
      </w:r>
      <w:r w:rsidR="0031584E" w:rsidRPr="00EB1528">
        <w:rPr>
          <w:sz w:val="24"/>
          <w:szCs w:val="24"/>
        </w:rPr>
        <w:t>southeast of</w:t>
      </w:r>
      <w:r w:rsidRPr="00EB1528">
        <w:rPr>
          <w:sz w:val="24"/>
          <w:szCs w:val="24"/>
        </w:rPr>
        <w:t xml:space="preserve"> Manchester.</w:t>
      </w:r>
      <w:r w:rsidR="00074765" w:rsidRPr="00EB1528">
        <w:rPr>
          <w:sz w:val="24"/>
          <w:szCs w:val="24"/>
        </w:rPr>
        <w:t xml:space="preserve"> Of our 17</w:t>
      </w:r>
      <w:r w:rsidR="00683E62" w:rsidRPr="00EB1528">
        <w:rPr>
          <w:sz w:val="24"/>
          <w:szCs w:val="24"/>
        </w:rPr>
        <w:t>1</w:t>
      </w:r>
      <w:r w:rsidR="004F184A" w:rsidRPr="00EB1528">
        <w:rPr>
          <w:sz w:val="24"/>
          <w:szCs w:val="24"/>
        </w:rPr>
        <w:t xml:space="preserve"> children, </w:t>
      </w:r>
      <w:r w:rsidR="00C72E71" w:rsidRPr="00EB1528">
        <w:rPr>
          <w:sz w:val="24"/>
          <w:szCs w:val="24"/>
        </w:rPr>
        <w:t xml:space="preserve">the majority were </w:t>
      </w:r>
      <w:r w:rsidR="00527AFA" w:rsidRPr="00EB1528">
        <w:rPr>
          <w:sz w:val="24"/>
          <w:szCs w:val="24"/>
        </w:rPr>
        <w:t>locally born</w:t>
      </w:r>
      <w:r w:rsidR="00074765" w:rsidRPr="00EB1528">
        <w:rPr>
          <w:sz w:val="24"/>
          <w:szCs w:val="24"/>
        </w:rPr>
        <w:t xml:space="preserve"> </w:t>
      </w:r>
      <w:r w:rsidR="008C5BC8" w:rsidRPr="00EB1528">
        <w:rPr>
          <w:sz w:val="24"/>
          <w:szCs w:val="24"/>
        </w:rPr>
        <w:t>and</w:t>
      </w:r>
      <w:r w:rsidR="00C72E71" w:rsidRPr="00EB1528">
        <w:rPr>
          <w:sz w:val="24"/>
          <w:szCs w:val="24"/>
        </w:rPr>
        <w:t xml:space="preserve"> had been </w:t>
      </w:r>
      <w:r w:rsidR="008C5BC8" w:rsidRPr="00EB1528">
        <w:rPr>
          <w:sz w:val="24"/>
          <w:szCs w:val="24"/>
        </w:rPr>
        <w:t xml:space="preserve">sent to the institution via </w:t>
      </w:r>
      <w:r w:rsidR="00C72E71" w:rsidRPr="00EB1528">
        <w:rPr>
          <w:sz w:val="24"/>
          <w:szCs w:val="24"/>
        </w:rPr>
        <w:t>local</w:t>
      </w:r>
      <w:r w:rsidR="008C5BC8" w:rsidRPr="00EB1528">
        <w:rPr>
          <w:sz w:val="24"/>
          <w:szCs w:val="24"/>
        </w:rPr>
        <w:t xml:space="preserve"> magistrates</w:t>
      </w:r>
      <w:r w:rsidR="00DD133D" w:rsidRPr="00EB1528">
        <w:rPr>
          <w:sz w:val="24"/>
          <w:szCs w:val="24"/>
        </w:rPr>
        <w:t>’</w:t>
      </w:r>
      <w:r w:rsidR="008C5BC8" w:rsidRPr="00EB1528">
        <w:rPr>
          <w:sz w:val="24"/>
          <w:szCs w:val="24"/>
        </w:rPr>
        <w:t xml:space="preserve"> court</w:t>
      </w:r>
      <w:r w:rsidR="00C72E71" w:rsidRPr="00EB1528">
        <w:rPr>
          <w:sz w:val="24"/>
          <w:szCs w:val="24"/>
        </w:rPr>
        <w:t>s</w:t>
      </w:r>
      <w:r w:rsidR="004F184A" w:rsidRPr="00EB1528">
        <w:rPr>
          <w:sz w:val="24"/>
          <w:szCs w:val="24"/>
        </w:rPr>
        <w:t xml:space="preserve">. The school later admitted a significant number of </w:t>
      </w:r>
      <w:r w:rsidR="00DB5609" w:rsidRPr="00EB1528">
        <w:rPr>
          <w:sz w:val="24"/>
          <w:szCs w:val="24"/>
        </w:rPr>
        <w:t xml:space="preserve">London-born </w:t>
      </w:r>
      <w:r w:rsidR="004F184A" w:rsidRPr="00EB1528">
        <w:rPr>
          <w:sz w:val="24"/>
          <w:szCs w:val="24"/>
        </w:rPr>
        <w:t>children</w:t>
      </w:r>
      <w:r w:rsidR="00DB5609" w:rsidRPr="00EB1528">
        <w:rPr>
          <w:sz w:val="24"/>
          <w:szCs w:val="24"/>
        </w:rPr>
        <w:t xml:space="preserve"> </w:t>
      </w:r>
      <w:r w:rsidR="004F184A" w:rsidRPr="00EB1528">
        <w:rPr>
          <w:sz w:val="24"/>
          <w:szCs w:val="24"/>
        </w:rPr>
        <w:t xml:space="preserve">sent by </w:t>
      </w:r>
      <w:r w:rsidR="003458D6" w:rsidRPr="00EB1528">
        <w:rPr>
          <w:sz w:val="24"/>
          <w:szCs w:val="24"/>
        </w:rPr>
        <w:t xml:space="preserve">the </w:t>
      </w:r>
      <w:r w:rsidR="004F184A" w:rsidRPr="00EB1528">
        <w:rPr>
          <w:sz w:val="24"/>
          <w:szCs w:val="24"/>
        </w:rPr>
        <w:t xml:space="preserve">London </w:t>
      </w:r>
      <w:r w:rsidR="003458D6" w:rsidRPr="00EB1528">
        <w:rPr>
          <w:sz w:val="24"/>
          <w:szCs w:val="24"/>
        </w:rPr>
        <w:t xml:space="preserve">School Board (and then its successor, the Education Committee of London </w:t>
      </w:r>
      <w:r w:rsidR="004F184A" w:rsidRPr="00EB1528">
        <w:rPr>
          <w:sz w:val="24"/>
          <w:szCs w:val="24"/>
        </w:rPr>
        <w:t>County Council</w:t>
      </w:r>
      <w:r w:rsidR="00527AFA" w:rsidRPr="00EB1528">
        <w:rPr>
          <w:sz w:val="24"/>
          <w:szCs w:val="24"/>
        </w:rPr>
        <w:t>), which</w:t>
      </w:r>
      <w:r w:rsidR="004F184A" w:rsidRPr="00EB1528">
        <w:rPr>
          <w:sz w:val="24"/>
          <w:szCs w:val="24"/>
        </w:rPr>
        <w:t xml:space="preserve"> regularly outsourced </w:t>
      </w:r>
      <w:r w:rsidR="0031584E" w:rsidRPr="00EB1528">
        <w:rPr>
          <w:sz w:val="24"/>
          <w:szCs w:val="24"/>
        </w:rPr>
        <w:t>its</w:t>
      </w:r>
      <w:r w:rsidR="004F184A" w:rsidRPr="00EB1528">
        <w:rPr>
          <w:sz w:val="24"/>
          <w:szCs w:val="24"/>
        </w:rPr>
        <w:t xml:space="preserve"> care </w:t>
      </w:r>
      <w:r w:rsidR="003D0E10" w:rsidRPr="00EB1528">
        <w:rPr>
          <w:sz w:val="24"/>
          <w:szCs w:val="24"/>
        </w:rPr>
        <w:t>and youth justice cases</w:t>
      </w:r>
      <w:r w:rsidR="004F184A" w:rsidRPr="00EB1528">
        <w:rPr>
          <w:sz w:val="24"/>
          <w:szCs w:val="24"/>
        </w:rPr>
        <w:t xml:space="preserve"> in this way</w:t>
      </w:r>
      <w:r w:rsidR="001D7EAD" w:rsidRPr="00EB1528">
        <w:rPr>
          <w:sz w:val="24"/>
          <w:szCs w:val="24"/>
        </w:rPr>
        <w:t xml:space="preserve">. </w:t>
      </w:r>
      <w:r w:rsidR="00467582" w:rsidRPr="00EB1528">
        <w:rPr>
          <w:sz w:val="24"/>
          <w:szCs w:val="24"/>
        </w:rPr>
        <w:t>Stockport was a textile town with several large cotton mills and many businesses linked to the textile and garment industries</w:t>
      </w:r>
      <w:r w:rsidR="009F5D8C" w:rsidRPr="00EB1528">
        <w:rPr>
          <w:sz w:val="24"/>
          <w:szCs w:val="24"/>
        </w:rPr>
        <w:t xml:space="preserve"> as well as to the distribution and transport industries</w:t>
      </w:r>
      <w:r w:rsidR="00467582" w:rsidRPr="00EB1528">
        <w:rPr>
          <w:sz w:val="24"/>
          <w:szCs w:val="24"/>
        </w:rPr>
        <w:t xml:space="preserve">. Between 1860 and 1920, its population </w:t>
      </w:r>
      <w:r w:rsidR="003458D6" w:rsidRPr="00EB1528">
        <w:rPr>
          <w:sz w:val="24"/>
          <w:szCs w:val="24"/>
        </w:rPr>
        <w:t>grew rapidly</w:t>
      </w:r>
      <w:r w:rsidR="00DB5609" w:rsidRPr="00EB1528">
        <w:rPr>
          <w:sz w:val="24"/>
          <w:szCs w:val="24"/>
        </w:rPr>
        <w:t xml:space="preserve"> and</w:t>
      </w:r>
      <w:r w:rsidR="00E14728" w:rsidRPr="00EB1528">
        <w:rPr>
          <w:sz w:val="24"/>
          <w:szCs w:val="24"/>
        </w:rPr>
        <w:t>, like many a</w:t>
      </w:r>
      <w:r w:rsidR="00DB5609" w:rsidRPr="00EB1528">
        <w:rPr>
          <w:sz w:val="24"/>
          <w:szCs w:val="24"/>
        </w:rPr>
        <w:t>r</w:t>
      </w:r>
      <w:r w:rsidR="00E14728" w:rsidRPr="00EB1528">
        <w:rPr>
          <w:sz w:val="24"/>
          <w:szCs w:val="24"/>
        </w:rPr>
        <w:t>e</w:t>
      </w:r>
      <w:r w:rsidR="00DB5609" w:rsidRPr="00EB1528">
        <w:rPr>
          <w:sz w:val="24"/>
          <w:szCs w:val="24"/>
        </w:rPr>
        <w:t xml:space="preserve">as in this region, </w:t>
      </w:r>
      <w:r w:rsidR="00AD75C5" w:rsidRPr="00EB1528">
        <w:rPr>
          <w:sz w:val="24"/>
          <w:szCs w:val="24"/>
        </w:rPr>
        <w:t xml:space="preserve">this </w:t>
      </w:r>
      <w:r w:rsidR="00DB5609" w:rsidRPr="00EB1528">
        <w:rPr>
          <w:sz w:val="24"/>
          <w:szCs w:val="24"/>
        </w:rPr>
        <w:t>included a substantial Irish Catholic minority</w:t>
      </w:r>
      <w:r w:rsidR="003458D6" w:rsidRPr="00EB1528">
        <w:rPr>
          <w:sz w:val="24"/>
          <w:szCs w:val="24"/>
        </w:rPr>
        <w:t xml:space="preserve">. </w:t>
      </w:r>
      <w:r w:rsidR="00B4774F" w:rsidRPr="00EB1528">
        <w:rPr>
          <w:sz w:val="24"/>
          <w:szCs w:val="24"/>
        </w:rPr>
        <w:t>Our sample is</w:t>
      </w:r>
      <w:r w:rsidR="00E10756" w:rsidRPr="00EB1528">
        <w:rPr>
          <w:sz w:val="24"/>
          <w:szCs w:val="24"/>
        </w:rPr>
        <w:t>, however,</w:t>
      </w:r>
      <w:r w:rsidR="00B4774F" w:rsidRPr="00EB1528">
        <w:rPr>
          <w:sz w:val="24"/>
          <w:szCs w:val="24"/>
        </w:rPr>
        <w:t xml:space="preserve"> primarily drawn from white, working</w:t>
      </w:r>
      <w:r w:rsidR="00D15D08" w:rsidRPr="00EB1528">
        <w:rPr>
          <w:sz w:val="24"/>
          <w:szCs w:val="24"/>
        </w:rPr>
        <w:t>-</w:t>
      </w:r>
      <w:r w:rsidR="00B4774F" w:rsidRPr="00EB1528">
        <w:rPr>
          <w:sz w:val="24"/>
          <w:szCs w:val="24"/>
        </w:rPr>
        <w:t>class Protestant</w:t>
      </w:r>
      <w:r w:rsidR="003458D6" w:rsidRPr="00EB1528">
        <w:rPr>
          <w:sz w:val="24"/>
          <w:szCs w:val="24"/>
        </w:rPr>
        <w:t xml:space="preserve"> </w:t>
      </w:r>
      <w:r w:rsidR="00B4774F" w:rsidRPr="00EB1528">
        <w:rPr>
          <w:sz w:val="24"/>
          <w:szCs w:val="24"/>
        </w:rPr>
        <w:t>families</w:t>
      </w:r>
      <w:r w:rsidR="003458D6" w:rsidRPr="00EB1528">
        <w:rPr>
          <w:sz w:val="24"/>
          <w:szCs w:val="24"/>
        </w:rPr>
        <w:t xml:space="preserve"> – and, more particularly, from non-conformist Protestant communities, name</w:t>
      </w:r>
      <w:r w:rsidR="00DD133D" w:rsidRPr="00EB1528">
        <w:rPr>
          <w:sz w:val="24"/>
          <w:szCs w:val="24"/>
        </w:rPr>
        <w:t>ly those with links to Methodism</w:t>
      </w:r>
      <w:r w:rsidR="00761316" w:rsidRPr="00EB1528">
        <w:rPr>
          <w:sz w:val="24"/>
          <w:szCs w:val="24"/>
        </w:rPr>
        <w:t>.</w:t>
      </w:r>
      <w:r w:rsidR="003458D6" w:rsidRPr="00EB1528">
        <w:rPr>
          <w:sz w:val="24"/>
          <w:szCs w:val="24"/>
        </w:rPr>
        <w:t xml:space="preserve"> </w:t>
      </w:r>
      <w:r w:rsidR="00914FB6" w:rsidRPr="00EB1528">
        <w:rPr>
          <w:sz w:val="24"/>
          <w:szCs w:val="24"/>
        </w:rPr>
        <w:t xml:space="preserve">Children from Catholic or Jewish families </w:t>
      </w:r>
      <w:r w:rsidR="006C554B" w:rsidRPr="00EB1528">
        <w:rPr>
          <w:sz w:val="24"/>
          <w:szCs w:val="24"/>
        </w:rPr>
        <w:t xml:space="preserve">appearing before Stockport’s </w:t>
      </w:r>
      <w:r w:rsidR="006C554B" w:rsidRPr="00EB1528">
        <w:rPr>
          <w:sz w:val="24"/>
          <w:szCs w:val="24"/>
        </w:rPr>
        <w:lastRenderedPageBreak/>
        <w:t xml:space="preserve">magistrates </w:t>
      </w:r>
      <w:r w:rsidR="00914FB6" w:rsidRPr="00EB1528">
        <w:rPr>
          <w:sz w:val="24"/>
          <w:szCs w:val="24"/>
        </w:rPr>
        <w:t xml:space="preserve">would have been sent to </w:t>
      </w:r>
      <w:r w:rsidR="00165029" w:rsidRPr="00EB1528">
        <w:rPr>
          <w:sz w:val="24"/>
          <w:szCs w:val="24"/>
        </w:rPr>
        <w:t>alternative</w:t>
      </w:r>
      <w:r w:rsidR="00914FB6" w:rsidRPr="00EB1528">
        <w:rPr>
          <w:sz w:val="24"/>
          <w:szCs w:val="24"/>
        </w:rPr>
        <w:t xml:space="preserve"> faith-based </w:t>
      </w:r>
      <w:r w:rsidR="00165029" w:rsidRPr="00EB1528">
        <w:rPr>
          <w:sz w:val="24"/>
          <w:szCs w:val="24"/>
        </w:rPr>
        <w:t>institutions</w:t>
      </w:r>
      <w:r w:rsidR="00914FB6" w:rsidRPr="00EB1528">
        <w:rPr>
          <w:sz w:val="24"/>
          <w:szCs w:val="24"/>
        </w:rPr>
        <w:t xml:space="preserve"> in Manchester or </w:t>
      </w:r>
      <w:r w:rsidR="00A048AF" w:rsidRPr="00EB1528">
        <w:rPr>
          <w:sz w:val="24"/>
          <w:szCs w:val="24"/>
        </w:rPr>
        <w:t>elsewhere</w:t>
      </w:r>
      <w:r w:rsidR="003458D6" w:rsidRPr="00EB1528">
        <w:rPr>
          <w:sz w:val="24"/>
          <w:szCs w:val="24"/>
        </w:rPr>
        <w:t>.</w:t>
      </w:r>
    </w:p>
    <w:p w14:paraId="2A89A5F5" w14:textId="08763B07" w:rsidR="00EF7E55" w:rsidRDefault="00CA5373" w:rsidP="00825C25">
      <w:pPr>
        <w:spacing w:line="360" w:lineRule="auto"/>
        <w:rPr>
          <w:sz w:val="24"/>
          <w:szCs w:val="24"/>
        </w:rPr>
      </w:pPr>
      <w:r w:rsidRPr="00EB1528">
        <w:rPr>
          <w:sz w:val="24"/>
          <w:szCs w:val="24"/>
        </w:rPr>
        <w:t xml:space="preserve">Children </w:t>
      </w:r>
      <w:r w:rsidR="001A1006" w:rsidRPr="00EB1528">
        <w:rPr>
          <w:sz w:val="24"/>
          <w:szCs w:val="24"/>
        </w:rPr>
        <w:t>were typically sent</w:t>
      </w:r>
      <w:r w:rsidRPr="00EB1528">
        <w:rPr>
          <w:sz w:val="24"/>
          <w:szCs w:val="24"/>
        </w:rPr>
        <w:t xml:space="preserve"> </w:t>
      </w:r>
      <w:r w:rsidR="00FA1ECA" w:rsidRPr="00EB1528">
        <w:rPr>
          <w:sz w:val="24"/>
          <w:szCs w:val="24"/>
        </w:rPr>
        <w:t xml:space="preserve">to </w:t>
      </w:r>
      <w:r w:rsidRPr="00EB1528">
        <w:rPr>
          <w:sz w:val="24"/>
          <w:szCs w:val="24"/>
        </w:rPr>
        <w:t xml:space="preserve">SIS (and other industrial schools) until they were </w:t>
      </w:r>
      <w:r w:rsidR="00CB4F94">
        <w:rPr>
          <w:sz w:val="24"/>
          <w:szCs w:val="24"/>
        </w:rPr>
        <w:t>16</w:t>
      </w:r>
      <w:r w:rsidR="00CB4F94" w:rsidRPr="00EB1528">
        <w:rPr>
          <w:sz w:val="24"/>
          <w:szCs w:val="24"/>
        </w:rPr>
        <w:t xml:space="preserve"> </w:t>
      </w:r>
      <w:r w:rsidRPr="00EB1528">
        <w:rPr>
          <w:sz w:val="24"/>
          <w:szCs w:val="24"/>
        </w:rPr>
        <w:t xml:space="preserve">years old, regardless of the reason for, or their age at, admission. This meant that they spent long periods in care. </w:t>
      </w:r>
      <w:r w:rsidR="002B23F0" w:rsidRPr="00EB1528">
        <w:rPr>
          <w:sz w:val="24"/>
          <w:szCs w:val="24"/>
        </w:rPr>
        <w:t xml:space="preserve">Those over the age of 14 could be </w:t>
      </w:r>
      <w:r w:rsidR="001A1006" w:rsidRPr="00EB1528">
        <w:rPr>
          <w:sz w:val="24"/>
          <w:szCs w:val="24"/>
        </w:rPr>
        <w:t>released ‘on licence’ from the institution itself and found work with a local employer. SIS staff</w:t>
      </w:r>
      <w:r w:rsidR="002B23F0" w:rsidRPr="00EB1528">
        <w:rPr>
          <w:sz w:val="24"/>
          <w:szCs w:val="24"/>
        </w:rPr>
        <w:t xml:space="preserve"> </w:t>
      </w:r>
      <w:r w:rsidR="00894FCF" w:rsidRPr="00EB1528">
        <w:rPr>
          <w:sz w:val="24"/>
          <w:szCs w:val="24"/>
        </w:rPr>
        <w:t>would maintain</w:t>
      </w:r>
      <w:r w:rsidR="00157D20" w:rsidRPr="00EB1528">
        <w:rPr>
          <w:sz w:val="24"/>
          <w:szCs w:val="24"/>
        </w:rPr>
        <w:t xml:space="preserve"> regular contact during this time with the young person </w:t>
      </w:r>
      <w:r w:rsidR="00894FCF" w:rsidRPr="00EB1528">
        <w:rPr>
          <w:sz w:val="24"/>
          <w:szCs w:val="24"/>
        </w:rPr>
        <w:t xml:space="preserve">concerned </w:t>
      </w:r>
      <w:r w:rsidR="00157D20" w:rsidRPr="00EB1528">
        <w:rPr>
          <w:sz w:val="24"/>
          <w:szCs w:val="24"/>
        </w:rPr>
        <w:t xml:space="preserve">and </w:t>
      </w:r>
      <w:r w:rsidR="00894FCF" w:rsidRPr="00EB1528">
        <w:rPr>
          <w:sz w:val="24"/>
          <w:szCs w:val="24"/>
        </w:rPr>
        <w:t xml:space="preserve">their </w:t>
      </w:r>
      <w:r w:rsidR="00157D20" w:rsidRPr="00EB1528">
        <w:rPr>
          <w:sz w:val="24"/>
          <w:szCs w:val="24"/>
        </w:rPr>
        <w:t>employer.</w:t>
      </w:r>
      <w:r w:rsidR="00894FCF" w:rsidRPr="00EB1528">
        <w:rPr>
          <w:sz w:val="24"/>
          <w:szCs w:val="24"/>
        </w:rPr>
        <w:t xml:space="preserve"> This contact </w:t>
      </w:r>
      <w:r w:rsidR="00AA7AD7" w:rsidRPr="00EB1528">
        <w:rPr>
          <w:sz w:val="24"/>
          <w:szCs w:val="24"/>
        </w:rPr>
        <w:t>took the</w:t>
      </w:r>
      <w:r w:rsidR="00894FCF" w:rsidRPr="00EB1528">
        <w:rPr>
          <w:sz w:val="24"/>
          <w:szCs w:val="24"/>
        </w:rPr>
        <w:t xml:space="preserve"> form of </w:t>
      </w:r>
      <w:r w:rsidR="00AA7AD7" w:rsidRPr="00EB1528">
        <w:rPr>
          <w:sz w:val="24"/>
          <w:szCs w:val="24"/>
        </w:rPr>
        <w:t xml:space="preserve">personal </w:t>
      </w:r>
      <w:r w:rsidR="00894FCF" w:rsidRPr="00EB1528">
        <w:rPr>
          <w:sz w:val="24"/>
          <w:szCs w:val="24"/>
        </w:rPr>
        <w:t xml:space="preserve">letters </w:t>
      </w:r>
      <w:r w:rsidR="00AA7AD7" w:rsidRPr="00EB1528">
        <w:rPr>
          <w:sz w:val="24"/>
          <w:szCs w:val="24"/>
        </w:rPr>
        <w:t>and</w:t>
      </w:r>
      <w:r w:rsidR="00894FCF" w:rsidRPr="00EB1528">
        <w:rPr>
          <w:sz w:val="24"/>
          <w:szCs w:val="24"/>
        </w:rPr>
        <w:t xml:space="preserve"> visits and</w:t>
      </w:r>
      <w:r w:rsidR="00AA7AD7" w:rsidRPr="00EB1528">
        <w:rPr>
          <w:sz w:val="24"/>
          <w:szCs w:val="24"/>
        </w:rPr>
        <w:t>, significantly,</w:t>
      </w:r>
      <w:r w:rsidR="00894FCF" w:rsidRPr="00EB1528">
        <w:rPr>
          <w:sz w:val="24"/>
          <w:szCs w:val="24"/>
        </w:rPr>
        <w:t xml:space="preserve"> was </w:t>
      </w:r>
      <w:r w:rsidR="00085E4F" w:rsidRPr="00EB1528">
        <w:rPr>
          <w:sz w:val="24"/>
          <w:szCs w:val="24"/>
        </w:rPr>
        <w:t>frequently</w:t>
      </w:r>
      <w:r w:rsidR="00894FCF" w:rsidRPr="00EB1528">
        <w:rPr>
          <w:sz w:val="24"/>
          <w:szCs w:val="24"/>
        </w:rPr>
        <w:t xml:space="preserve"> maintained</w:t>
      </w:r>
      <w:r w:rsidR="00AA7AD7" w:rsidRPr="00EB1528">
        <w:rPr>
          <w:sz w:val="24"/>
          <w:szCs w:val="24"/>
        </w:rPr>
        <w:t xml:space="preserve"> </w:t>
      </w:r>
      <w:r w:rsidR="00894FCF" w:rsidRPr="00EB1528">
        <w:rPr>
          <w:sz w:val="24"/>
          <w:szCs w:val="24"/>
        </w:rPr>
        <w:t xml:space="preserve">by mutual </w:t>
      </w:r>
      <w:r w:rsidR="00AA7AD7" w:rsidRPr="00EB1528">
        <w:rPr>
          <w:sz w:val="24"/>
          <w:szCs w:val="24"/>
        </w:rPr>
        <w:t xml:space="preserve">agreement </w:t>
      </w:r>
      <w:r w:rsidR="00894FCF" w:rsidRPr="00EB1528">
        <w:rPr>
          <w:sz w:val="24"/>
          <w:szCs w:val="24"/>
        </w:rPr>
        <w:t xml:space="preserve">for many years after the end of the licence period and formal </w:t>
      </w:r>
      <w:r w:rsidR="0037369A" w:rsidRPr="00EB1528">
        <w:rPr>
          <w:sz w:val="24"/>
          <w:szCs w:val="24"/>
        </w:rPr>
        <w:t>exit</w:t>
      </w:r>
      <w:r w:rsidR="00894FCF" w:rsidRPr="00EB1528">
        <w:rPr>
          <w:sz w:val="24"/>
          <w:szCs w:val="24"/>
        </w:rPr>
        <w:t xml:space="preserve"> from care.</w:t>
      </w:r>
      <w:r w:rsidR="00FA1ECA" w:rsidRPr="00EB1528">
        <w:rPr>
          <w:sz w:val="24"/>
          <w:szCs w:val="24"/>
        </w:rPr>
        <w:t xml:space="preserve"> </w:t>
      </w:r>
    </w:p>
    <w:p w14:paraId="7DB072A1" w14:textId="1CCB9960" w:rsidR="001F55D7" w:rsidRDefault="0063383C" w:rsidP="009439E8">
      <w:pPr>
        <w:spacing w:line="360" w:lineRule="auto"/>
        <w:rPr>
          <w:sz w:val="24"/>
          <w:szCs w:val="24"/>
        </w:rPr>
      </w:pPr>
      <w:r w:rsidRPr="00EB1528">
        <w:rPr>
          <w:sz w:val="24"/>
          <w:szCs w:val="24"/>
        </w:rPr>
        <w:t xml:space="preserve">Our study maps adult outcomes of care </w:t>
      </w:r>
      <w:r w:rsidR="00DE037E" w:rsidRPr="00EB1528">
        <w:rPr>
          <w:sz w:val="24"/>
          <w:szCs w:val="24"/>
        </w:rPr>
        <w:t>at the individual level</w:t>
      </w:r>
      <w:r w:rsidR="00085E4F" w:rsidRPr="00EB1528">
        <w:rPr>
          <w:sz w:val="24"/>
          <w:szCs w:val="24"/>
        </w:rPr>
        <w:t xml:space="preserve"> through the creation of </w:t>
      </w:r>
      <w:r w:rsidR="00DE037E" w:rsidRPr="00EB1528">
        <w:rPr>
          <w:sz w:val="24"/>
          <w:szCs w:val="24"/>
        </w:rPr>
        <w:t xml:space="preserve">personal </w:t>
      </w:r>
      <w:r w:rsidR="00085E4F" w:rsidRPr="00EB1528">
        <w:rPr>
          <w:sz w:val="24"/>
          <w:szCs w:val="24"/>
        </w:rPr>
        <w:t xml:space="preserve">life grids populated with details </w:t>
      </w:r>
      <w:r w:rsidR="00D6798C" w:rsidRPr="00EB1528">
        <w:rPr>
          <w:sz w:val="24"/>
          <w:szCs w:val="24"/>
        </w:rPr>
        <w:t>including</w:t>
      </w:r>
      <w:r w:rsidR="004B3479" w:rsidRPr="00EB1528">
        <w:rPr>
          <w:sz w:val="24"/>
          <w:szCs w:val="24"/>
        </w:rPr>
        <w:t>:</w:t>
      </w:r>
      <w:r w:rsidR="00D6798C" w:rsidRPr="00EB1528">
        <w:rPr>
          <w:sz w:val="24"/>
          <w:szCs w:val="24"/>
        </w:rPr>
        <w:t xml:space="preserve"> residential address, employment, household composition, marital </w:t>
      </w:r>
      <w:r w:rsidR="004B3479" w:rsidRPr="00EB1528">
        <w:rPr>
          <w:sz w:val="24"/>
          <w:szCs w:val="24"/>
        </w:rPr>
        <w:t>status,</w:t>
      </w:r>
      <w:r w:rsidR="00D6798C" w:rsidRPr="00EB1528">
        <w:rPr>
          <w:sz w:val="24"/>
          <w:szCs w:val="24"/>
        </w:rPr>
        <w:t xml:space="preserve"> parental status</w:t>
      </w:r>
      <w:r w:rsidR="004B3479" w:rsidRPr="00EB1528">
        <w:rPr>
          <w:sz w:val="24"/>
          <w:szCs w:val="24"/>
        </w:rPr>
        <w:t xml:space="preserve"> and military service;</w:t>
      </w:r>
      <w:r w:rsidR="00D6798C" w:rsidRPr="00EB1528">
        <w:rPr>
          <w:sz w:val="24"/>
          <w:szCs w:val="24"/>
        </w:rPr>
        <w:t xml:space="preserve"> </w:t>
      </w:r>
      <w:r w:rsidR="004B3479" w:rsidRPr="00EB1528">
        <w:rPr>
          <w:sz w:val="24"/>
          <w:szCs w:val="24"/>
        </w:rPr>
        <w:t xml:space="preserve">any </w:t>
      </w:r>
      <w:r w:rsidR="000645FD" w:rsidRPr="00EB1528">
        <w:rPr>
          <w:sz w:val="24"/>
          <w:szCs w:val="24"/>
        </w:rPr>
        <w:t>alleged offences</w:t>
      </w:r>
      <w:r w:rsidR="004B3479" w:rsidRPr="00EB1528">
        <w:rPr>
          <w:sz w:val="24"/>
          <w:szCs w:val="24"/>
        </w:rPr>
        <w:t xml:space="preserve">, convictions and further </w:t>
      </w:r>
      <w:r w:rsidR="000645FD" w:rsidRPr="00EB1528">
        <w:rPr>
          <w:sz w:val="24"/>
          <w:szCs w:val="24"/>
        </w:rPr>
        <w:t xml:space="preserve">engagement with </w:t>
      </w:r>
      <w:r w:rsidR="004B3479" w:rsidRPr="00EB1528">
        <w:rPr>
          <w:sz w:val="24"/>
          <w:szCs w:val="24"/>
        </w:rPr>
        <w:t xml:space="preserve">police or welfare </w:t>
      </w:r>
      <w:r w:rsidR="000645FD" w:rsidRPr="00EB1528">
        <w:rPr>
          <w:sz w:val="24"/>
          <w:szCs w:val="24"/>
        </w:rPr>
        <w:t>authori</w:t>
      </w:r>
      <w:r w:rsidR="004B3479" w:rsidRPr="00EB1528">
        <w:rPr>
          <w:sz w:val="24"/>
          <w:szCs w:val="24"/>
        </w:rPr>
        <w:t xml:space="preserve">ties; </w:t>
      </w:r>
      <w:r w:rsidR="000645FD" w:rsidRPr="00EB1528">
        <w:rPr>
          <w:sz w:val="24"/>
          <w:szCs w:val="24"/>
        </w:rPr>
        <w:t xml:space="preserve">and any personal </w:t>
      </w:r>
      <w:r w:rsidR="004B3479" w:rsidRPr="00EB1528">
        <w:rPr>
          <w:sz w:val="24"/>
          <w:szCs w:val="24"/>
        </w:rPr>
        <w:t xml:space="preserve">materials </w:t>
      </w:r>
      <w:r w:rsidR="000645FD" w:rsidRPr="00EB1528">
        <w:rPr>
          <w:sz w:val="24"/>
          <w:szCs w:val="24"/>
        </w:rPr>
        <w:t>surviving in other sources</w:t>
      </w:r>
      <w:r w:rsidR="00740B2C" w:rsidRPr="00EB1528">
        <w:rPr>
          <w:sz w:val="24"/>
          <w:szCs w:val="24"/>
        </w:rPr>
        <w:t>.</w:t>
      </w:r>
      <w:r w:rsidR="000645FD" w:rsidRPr="00EB1528">
        <w:rPr>
          <w:sz w:val="24"/>
          <w:szCs w:val="24"/>
        </w:rPr>
        <w:t xml:space="preserve"> These details</w:t>
      </w:r>
      <w:r w:rsidR="004B3479" w:rsidRPr="00EB1528">
        <w:rPr>
          <w:sz w:val="24"/>
          <w:szCs w:val="24"/>
        </w:rPr>
        <w:t xml:space="preserve"> have been </w:t>
      </w:r>
      <w:r w:rsidR="00DE037E" w:rsidRPr="00EB1528">
        <w:rPr>
          <w:sz w:val="24"/>
          <w:szCs w:val="24"/>
        </w:rPr>
        <w:t>assembled</w:t>
      </w:r>
      <w:r w:rsidR="004B3479" w:rsidRPr="00EB1528">
        <w:rPr>
          <w:sz w:val="24"/>
          <w:szCs w:val="24"/>
        </w:rPr>
        <w:t xml:space="preserve"> through the systematic</w:t>
      </w:r>
      <w:r w:rsidR="00F01B89" w:rsidRPr="00EB1528">
        <w:rPr>
          <w:sz w:val="24"/>
          <w:szCs w:val="24"/>
        </w:rPr>
        <w:t xml:space="preserve"> and cross-referenced</w:t>
      </w:r>
      <w:r w:rsidR="004B3479" w:rsidRPr="00EB1528">
        <w:rPr>
          <w:sz w:val="24"/>
          <w:szCs w:val="24"/>
        </w:rPr>
        <w:t xml:space="preserve"> search of avail</w:t>
      </w:r>
      <w:r w:rsidR="00E50612" w:rsidRPr="00EB1528">
        <w:rPr>
          <w:sz w:val="24"/>
          <w:szCs w:val="24"/>
        </w:rPr>
        <w:t xml:space="preserve">able digitised </w:t>
      </w:r>
      <w:r w:rsidR="00B13511">
        <w:rPr>
          <w:sz w:val="24"/>
          <w:szCs w:val="24"/>
        </w:rPr>
        <w:t xml:space="preserve">and institutional records. </w:t>
      </w:r>
      <w:r w:rsidR="0003608D" w:rsidRPr="00EB1528">
        <w:rPr>
          <w:sz w:val="24"/>
          <w:szCs w:val="24"/>
        </w:rPr>
        <w:t xml:space="preserve">Adult outcomes </w:t>
      </w:r>
      <w:r w:rsidR="000D529F" w:rsidRPr="00EB1528">
        <w:rPr>
          <w:sz w:val="24"/>
          <w:szCs w:val="24"/>
        </w:rPr>
        <w:t xml:space="preserve">of care </w:t>
      </w:r>
      <w:r w:rsidR="0003608D" w:rsidRPr="00EB1528">
        <w:rPr>
          <w:sz w:val="24"/>
          <w:szCs w:val="24"/>
        </w:rPr>
        <w:t xml:space="preserve">have then </w:t>
      </w:r>
      <w:r w:rsidR="00131BF7" w:rsidRPr="00EB1528">
        <w:rPr>
          <w:sz w:val="24"/>
          <w:szCs w:val="24"/>
        </w:rPr>
        <w:t xml:space="preserve">been </w:t>
      </w:r>
      <w:r w:rsidR="0003608D" w:rsidRPr="00EB1528">
        <w:rPr>
          <w:sz w:val="24"/>
          <w:szCs w:val="24"/>
        </w:rPr>
        <w:t xml:space="preserve">analysed at the cohort level </w:t>
      </w:r>
      <w:r w:rsidR="00131BF7" w:rsidRPr="00EB1528">
        <w:rPr>
          <w:sz w:val="24"/>
          <w:szCs w:val="24"/>
        </w:rPr>
        <w:t xml:space="preserve">using </w:t>
      </w:r>
      <w:r w:rsidR="0003608D" w:rsidRPr="00EB1528">
        <w:rPr>
          <w:sz w:val="24"/>
          <w:szCs w:val="24"/>
        </w:rPr>
        <w:t xml:space="preserve">multivariate analysis </w:t>
      </w:r>
      <w:r w:rsidR="00131BF7" w:rsidRPr="00EB1528">
        <w:rPr>
          <w:sz w:val="24"/>
          <w:szCs w:val="24"/>
        </w:rPr>
        <w:t>to identify</w:t>
      </w:r>
      <w:r w:rsidR="0003608D" w:rsidRPr="00EB1528">
        <w:rPr>
          <w:sz w:val="24"/>
          <w:szCs w:val="24"/>
        </w:rPr>
        <w:t xml:space="preserve"> key variables </w:t>
      </w:r>
      <w:r w:rsidR="00131BF7" w:rsidRPr="00EB1528">
        <w:rPr>
          <w:sz w:val="24"/>
          <w:szCs w:val="24"/>
        </w:rPr>
        <w:t xml:space="preserve">driving </w:t>
      </w:r>
      <w:r w:rsidR="00FB7ABE" w:rsidRPr="00EB1528">
        <w:rPr>
          <w:sz w:val="24"/>
          <w:szCs w:val="24"/>
        </w:rPr>
        <w:t>‘</w:t>
      </w:r>
      <w:r w:rsidR="00131BF7" w:rsidRPr="00EB1528">
        <w:rPr>
          <w:sz w:val="24"/>
          <w:szCs w:val="24"/>
        </w:rPr>
        <w:t>positive</w:t>
      </w:r>
      <w:r w:rsidR="00FB7ABE" w:rsidRPr="00EB1528">
        <w:rPr>
          <w:sz w:val="24"/>
          <w:szCs w:val="24"/>
        </w:rPr>
        <w:t>’</w:t>
      </w:r>
      <w:r w:rsidR="00131BF7" w:rsidRPr="00EB1528">
        <w:rPr>
          <w:sz w:val="24"/>
          <w:szCs w:val="24"/>
        </w:rPr>
        <w:t xml:space="preserve"> and </w:t>
      </w:r>
      <w:r w:rsidR="00FB7ABE" w:rsidRPr="00EB1528">
        <w:rPr>
          <w:sz w:val="24"/>
          <w:szCs w:val="24"/>
        </w:rPr>
        <w:t>‘</w:t>
      </w:r>
      <w:r w:rsidR="00131BF7" w:rsidRPr="00EB1528">
        <w:rPr>
          <w:sz w:val="24"/>
          <w:szCs w:val="24"/>
        </w:rPr>
        <w:t>negative</w:t>
      </w:r>
      <w:r w:rsidR="00FB7ABE" w:rsidRPr="00EB1528">
        <w:rPr>
          <w:sz w:val="24"/>
          <w:szCs w:val="24"/>
        </w:rPr>
        <w:t>’</w:t>
      </w:r>
      <w:r w:rsidR="00131BF7" w:rsidRPr="00EB1528">
        <w:rPr>
          <w:sz w:val="24"/>
          <w:szCs w:val="24"/>
        </w:rPr>
        <w:t xml:space="preserve"> </w:t>
      </w:r>
      <w:r w:rsidR="00FB7ABE" w:rsidRPr="00EB1528">
        <w:rPr>
          <w:sz w:val="24"/>
          <w:szCs w:val="24"/>
        </w:rPr>
        <w:t xml:space="preserve">adult </w:t>
      </w:r>
      <w:r w:rsidR="00131BF7" w:rsidRPr="00EB1528">
        <w:rPr>
          <w:sz w:val="24"/>
          <w:szCs w:val="24"/>
        </w:rPr>
        <w:t>outcomes</w:t>
      </w:r>
      <w:r w:rsidR="00B13511">
        <w:rPr>
          <w:sz w:val="24"/>
          <w:szCs w:val="24"/>
        </w:rPr>
        <w:t xml:space="preserve"> </w:t>
      </w:r>
      <w:r w:rsidR="00B13511" w:rsidRPr="00EB1528">
        <w:rPr>
          <w:sz w:val="24"/>
          <w:szCs w:val="24"/>
        </w:rPr>
        <w:t xml:space="preserve">(for full discussion, see Godfrey </w:t>
      </w:r>
      <w:r w:rsidR="00B13511" w:rsidRPr="00C16F41">
        <w:rPr>
          <w:sz w:val="24"/>
          <w:szCs w:val="24"/>
        </w:rPr>
        <w:t>et al</w:t>
      </w:r>
      <w:r w:rsidR="00CB4F94">
        <w:rPr>
          <w:sz w:val="24"/>
          <w:szCs w:val="24"/>
        </w:rPr>
        <w:t>.</w:t>
      </w:r>
      <w:r w:rsidR="00B13511" w:rsidRPr="00267044">
        <w:rPr>
          <w:sz w:val="24"/>
          <w:szCs w:val="24"/>
        </w:rPr>
        <w:t>,</w:t>
      </w:r>
      <w:r w:rsidR="00B13511">
        <w:rPr>
          <w:sz w:val="24"/>
          <w:szCs w:val="24"/>
        </w:rPr>
        <w:t xml:space="preserve"> 2017)</w:t>
      </w:r>
      <w:r w:rsidR="00E95FC4" w:rsidRPr="00EB1528">
        <w:rPr>
          <w:sz w:val="24"/>
          <w:szCs w:val="24"/>
        </w:rPr>
        <w:t>.</w:t>
      </w:r>
      <w:r w:rsidR="000D529F" w:rsidRPr="00EB1528">
        <w:rPr>
          <w:sz w:val="24"/>
          <w:szCs w:val="24"/>
        </w:rPr>
        <w:t xml:space="preserve"> </w:t>
      </w:r>
      <w:r w:rsidR="00131BF7" w:rsidRPr="00EB1528">
        <w:rPr>
          <w:sz w:val="24"/>
          <w:szCs w:val="24"/>
        </w:rPr>
        <w:t xml:space="preserve">These variables were </w:t>
      </w:r>
      <w:r w:rsidR="0003608D" w:rsidRPr="00EB1528">
        <w:rPr>
          <w:sz w:val="24"/>
          <w:szCs w:val="24"/>
        </w:rPr>
        <w:t>derived from</w:t>
      </w:r>
      <w:r w:rsidR="009803DF" w:rsidRPr="00EB1528">
        <w:rPr>
          <w:sz w:val="24"/>
          <w:szCs w:val="24"/>
        </w:rPr>
        <w:t xml:space="preserve"> research designs </w:t>
      </w:r>
      <w:r w:rsidR="0003608D" w:rsidRPr="00EB1528">
        <w:rPr>
          <w:sz w:val="24"/>
          <w:szCs w:val="24"/>
        </w:rPr>
        <w:t>developed</w:t>
      </w:r>
      <w:r w:rsidR="009803DF" w:rsidRPr="00EB1528">
        <w:rPr>
          <w:sz w:val="24"/>
          <w:szCs w:val="24"/>
        </w:rPr>
        <w:t xml:space="preserve"> within</w:t>
      </w:r>
      <w:r w:rsidR="00F04D40">
        <w:rPr>
          <w:sz w:val="24"/>
          <w:szCs w:val="24"/>
        </w:rPr>
        <w:t xml:space="preserve"> cognate studies in</w:t>
      </w:r>
      <w:r w:rsidR="009803DF" w:rsidRPr="00EB1528">
        <w:rPr>
          <w:sz w:val="24"/>
          <w:szCs w:val="24"/>
        </w:rPr>
        <w:t xml:space="preserve"> life course criminology, life course crime history and desistance studies</w:t>
      </w:r>
      <w:r w:rsidR="00F04D40">
        <w:rPr>
          <w:sz w:val="24"/>
          <w:szCs w:val="24"/>
        </w:rPr>
        <w:t xml:space="preserve"> (Sampson </w:t>
      </w:r>
      <w:r w:rsidR="000C588C">
        <w:rPr>
          <w:sz w:val="24"/>
          <w:szCs w:val="24"/>
        </w:rPr>
        <w:t xml:space="preserve">&amp; </w:t>
      </w:r>
      <w:r w:rsidR="00F04D40">
        <w:rPr>
          <w:sz w:val="24"/>
          <w:szCs w:val="24"/>
        </w:rPr>
        <w:t xml:space="preserve">Laub, </w:t>
      </w:r>
      <w:r w:rsidR="0089789B">
        <w:rPr>
          <w:sz w:val="24"/>
          <w:szCs w:val="24"/>
        </w:rPr>
        <w:t xml:space="preserve">2003, </w:t>
      </w:r>
      <w:r w:rsidR="00F04D40">
        <w:rPr>
          <w:sz w:val="24"/>
          <w:szCs w:val="24"/>
        </w:rPr>
        <w:t xml:space="preserve">2006; </w:t>
      </w:r>
      <w:r w:rsidR="00F04D40" w:rsidRPr="00F04D40">
        <w:rPr>
          <w:sz w:val="24"/>
          <w:szCs w:val="24"/>
        </w:rPr>
        <w:t>Bijleveld and Wijkman, 2009;</w:t>
      </w:r>
      <w:r w:rsidR="00F04D40">
        <w:rPr>
          <w:sz w:val="24"/>
          <w:szCs w:val="24"/>
        </w:rPr>
        <w:t xml:space="preserve"> Godfrey</w:t>
      </w:r>
      <w:r w:rsidR="000C588C">
        <w:rPr>
          <w:sz w:val="24"/>
          <w:szCs w:val="24"/>
        </w:rPr>
        <w:t xml:space="preserve">, Cox &amp; Farrall, </w:t>
      </w:r>
      <w:r w:rsidR="00F04D40">
        <w:rPr>
          <w:sz w:val="24"/>
          <w:szCs w:val="24"/>
        </w:rPr>
        <w:t>2007, 2010).</w:t>
      </w:r>
    </w:p>
    <w:p w14:paraId="752A8764" w14:textId="5C246BCC" w:rsidR="00033745" w:rsidRPr="00B13511" w:rsidRDefault="001F55D7" w:rsidP="009439E8">
      <w:pPr>
        <w:spacing w:line="360" w:lineRule="auto"/>
        <w:rPr>
          <w:rFonts w:eastAsia="Arial Unicode MS"/>
          <w:sz w:val="24"/>
          <w:szCs w:val="24"/>
          <w:bdr w:val="nil"/>
          <w:lang w:val="en-US"/>
        </w:rPr>
      </w:pPr>
      <w:r w:rsidRPr="009439E8">
        <w:rPr>
          <w:rFonts w:eastAsia="Arial Unicode MS"/>
          <w:sz w:val="24"/>
          <w:szCs w:val="24"/>
          <w:bdr w:val="nil"/>
          <w:lang w:val="en-US"/>
        </w:rPr>
        <w:t xml:space="preserve">Our unique evidence base </w:t>
      </w:r>
      <w:r w:rsidR="00033745">
        <w:rPr>
          <w:rFonts w:eastAsia="Arial Unicode MS"/>
          <w:sz w:val="24"/>
          <w:szCs w:val="24"/>
          <w:bdr w:val="nil"/>
          <w:lang w:val="en-US"/>
        </w:rPr>
        <w:t>allowed us to identify</w:t>
      </w:r>
      <w:r w:rsidRPr="009439E8">
        <w:rPr>
          <w:rFonts w:eastAsia="Arial Unicode MS"/>
          <w:sz w:val="24"/>
          <w:szCs w:val="24"/>
          <w:bdr w:val="nil"/>
          <w:lang w:val="en-US"/>
        </w:rPr>
        <w:t xml:space="preserve"> patterns of (re)offending on release and subsequent experiences of the criminal justice system and other interventions. We use these findings to explore the possibilities of applying adapted predictive risk methods within historical life course research and to identify factors beyond institutional corrections that shaped the broader life-chances of our group.</w:t>
      </w:r>
      <w:r w:rsidR="00033745" w:rsidRPr="00033745">
        <w:rPr>
          <w:rFonts w:eastAsia="Arial Unicode MS"/>
          <w:sz w:val="24"/>
          <w:szCs w:val="24"/>
          <w:bdr w:val="nil"/>
          <w:lang w:val="en-US"/>
        </w:rPr>
        <w:t xml:space="preserve"> For children who were sent to </w:t>
      </w:r>
      <w:r w:rsidR="00033745" w:rsidRPr="00B13511">
        <w:rPr>
          <w:rFonts w:cs="Times New Roman"/>
          <w:bCs/>
          <w:sz w:val="24"/>
          <w:szCs w:val="24"/>
        </w:rPr>
        <w:t>SIS, the majority (89%) never re-offended after release</w:t>
      </w:r>
      <w:r w:rsidR="007A1081" w:rsidRPr="00B13511">
        <w:rPr>
          <w:rFonts w:cs="Times New Roman"/>
          <w:bCs/>
          <w:sz w:val="24"/>
          <w:szCs w:val="24"/>
        </w:rPr>
        <w:t>;</w:t>
      </w:r>
      <w:r w:rsidR="00033745" w:rsidRPr="00B13511">
        <w:rPr>
          <w:rFonts w:cs="Times New Roman"/>
          <w:bCs/>
          <w:sz w:val="24"/>
          <w:szCs w:val="24"/>
        </w:rPr>
        <w:t xml:space="preserve"> </w:t>
      </w:r>
      <w:r w:rsidR="002860CE">
        <w:rPr>
          <w:rFonts w:cs="Times New Roman"/>
          <w:bCs/>
          <w:sz w:val="24"/>
          <w:szCs w:val="24"/>
        </w:rPr>
        <w:t>a minority (</w:t>
      </w:r>
      <w:r w:rsidR="00033745" w:rsidRPr="00B13511">
        <w:rPr>
          <w:rFonts w:cs="Times New Roman"/>
          <w:bCs/>
          <w:sz w:val="24"/>
          <w:szCs w:val="24"/>
        </w:rPr>
        <w:t>10%</w:t>
      </w:r>
      <w:r w:rsidR="002860CE">
        <w:rPr>
          <w:rFonts w:cs="Times New Roman"/>
          <w:bCs/>
          <w:sz w:val="24"/>
          <w:szCs w:val="24"/>
        </w:rPr>
        <w:t>)</w:t>
      </w:r>
      <w:r w:rsidR="00033745" w:rsidRPr="00B13511">
        <w:rPr>
          <w:rFonts w:cs="Times New Roman"/>
          <w:bCs/>
          <w:sz w:val="24"/>
          <w:szCs w:val="24"/>
        </w:rPr>
        <w:t xml:space="preserve"> did re-offend, but only one person committed more than five offences</w:t>
      </w:r>
      <w:r w:rsidR="00B13511">
        <w:rPr>
          <w:rFonts w:cs="Times New Roman"/>
          <w:bCs/>
          <w:sz w:val="24"/>
          <w:szCs w:val="24"/>
        </w:rPr>
        <w:t>.</w:t>
      </w:r>
    </w:p>
    <w:p w14:paraId="7B98FFBC" w14:textId="49C7BD8F" w:rsidR="00315B3F" w:rsidRPr="00EB1528" w:rsidRDefault="00DE304D" w:rsidP="00825C25">
      <w:pPr>
        <w:spacing w:line="360" w:lineRule="auto"/>
        <w:rPr>
          <w:sz w:val="24"/>
          <w:szCs w:val="24"/>
        </w:rPr>
      </w:pPr>
      <w:r>
        <w:rPr>
          <w:sz w:val="24"/>
          <w:szCs w:val="24"/>
        </w:rPr>
        <w:t>In addition to re-offending rates, w</w:t>
      </w:r>
      <w:r w:rsidR="00033745">
        <w:rPr>
          <w:sz w:val="24"/>
          <w:szCs w:val="24"/>
        </w:rPr>
        <w:t xml:space="preserve">e </w:t>
      </w:r>
      <w:r>
        <w:rPr>
          <w:sz w:val="24"/>
          <w:szCs w:val="24"/>
        </w:rPr>
        <w:t xml:space="preserve">also examined the experiences that children from SIS had whilst on work-placement and on licence; whether the children </w:t>
      </w:r>
      <w:r w:rsidR="007A1081">
        <w:rPr>
          <w:sz w:val="24"/>
          <w:szCs w:val="24"/>
        </w:rPr>
        <w:t xml:space="preserve">went on to </w:t>
      </w:r>
      <w:r>
        <w:rPr>
          <w:sz w:val="24"/>
          <w:szCs w:val="24"/>
        </w:rPr>
        <w:t>marr</w:t>
      </w:r>
      <w:r w:rsidR="007A1081">
        <w:rPr>
          <w:sz w:val="24"/>
          <w:szCs w:val="24"/>
        </w:rPr>
        <w:t>y</w:t>
      </w:r>
      <w:r>
        <w:rPr>
          <w:sz w:val="24"/>
          <w:szCs w:val="24"/>
        </w:rPr>
        <w:t xml:space="preserve"> </w:t>
      </w:r>
      <w:r w:rsidR="007A1081">
        <w:rPr>
          <w:sz w:val="24"/>
          <w:szCs w:val="24"/>
        </w:rPr>
        <w:lastRenderedPageBreak/>
        <w:t>and/</w:t>
      </w:r>
      <w:r>
        <w:rPr>
          <w:sz w:val="24"/>
          <w:szCs w:val="24"/>
        </w:rPr>
        <w:t xml:space="preserve">or </w:t>
      </w:r>
      <w:r w:rsidR="007A1081">
        <w:rPr>
          <w:sz w:val="24"/>
          <w:szCs w:val="24"/>
        </w:rPr>
        <w:t>to have</w:t>
      </w:r>
      <w:r>
        <w:rPr>
          <w:sz w:val="24"/>
          <w:szCs w:val="24"/>
        </w:rPr>
        <w:t xml:space="preserve"> children as adults; whether they secured employment; whether they moved around the country or stayed in one place for most of their </w:t>
      </w:r>
      <w:r w:rsidRPr="00B13511">
        <w:rPr>
          <w:sz w:val="24"/>
          <w:szCs w:val="24"/>
        </w:rPr>
        <w:t>lives</w:t>
      </w:r>
      <w:r w:rsidR="00E95FC4" w:rsidRPr="00B13511">
        <w:rPr>
          <w:sz w:val="24"/>
          <w:szCs w:val="24"/>
        </w:rPr>
        <w:t>.</w:t>
      </w:r>
      <w:r w:rsidRPr="00B13511">
        <w:rPr>
          <w:sz w:val="24"/>
          <w:szCs w:val="24"/>
        </w:rPr>
        <w:t xml:space="preserve"> The</w:t>
      </w:r>
      <w:r>
        <w:rPr>
          <w:sz w:val="24"/>
          <w:szCs w:val="24"/>
        </w:rPr>
        <w:t xml:space="preserve"> factors we identified as significant chime with those </w:t>
      </w:r>
      <w:r w:rsidR="00704C28" w:rsidRPr="00EB1528">
        <w:rPr>
          <w:sz w:val="24"/>
          <w:szCs w:val="24"/>
        </w:rPr>
        <w:t xml:space="preserve">derived from other studies of </w:t>
      </w:r>
      <w:r w:rsidR="003B7B0E" w:rsidRPr="00EB1528">
        <w:rPr>
          <w:sz w:val="24"/>
          <w:szCs w:val="24"/>
        </w:rPr>
        <w:t xml:space="preserve">contemporary </w:t>
      </w:r>
      <w:r w:rsidR="005118C4" w:rsidRPr="00EB1528">
        <w:rPr>
          <w:sz w:val="24"/>
          <w:szCs w:val="24"/>
        </w:rPr>
        <w:t>care outcomes</w:t>
      </w:r>
      <w:r w:rsidR="00704C28" w:rsidRPr="00EB1528">
        <w:rPr>
          <w:sz w:val="24"/>
          <w:szCs w:val="24"/>
        </w:rPr>
        <w:t>.</w:t>
      </w:r>
      <w:r w:rsidR="00DB321B" w:rsidRPr="00EB1528">
        <w:rPr>
          <w:sz w:val="24"/>
          <w:szCs w:val="24"/>
        </w:rPr>
        <w:t xml:space="preserve"> In particular, </w:t>
      </w:r>
      <w:r w:rsidRPr="00EB1528">
        <w:rPr>
          <w:sz w:val="24"/>
          <w:szCs w:val="24"/>
        </w:rPr>
        <w:t xml:space="preserve">these variables </w:t>
      </w:r>
      <w:r w:rsidR="00DB321B" w:rsidRPr="00EB1528">
        <w:rPr>
          <w:sz w:val="24"/>
          <w:szCs w:val="24"/>
        </w:rPr>
        <w:t xml:space="preserve">allow us to ask questions that are very pertinent to current debates within care provision, notably whether institutional care offers </w:t>
      </w:r>
      <w:r w:rsidR="003C0A1F" w:rsidRPr="00EB1528">
        <w:rPr>
          <w:sz w:val="24"/>
          <w:szCs w:val="24"/>
        </w:rPr>
        <w:t>‘</w:t>
      </w:r>
      <w:r w:rsidR="00DB321B" w:rsidRPr="00EB1528">
        <w:rPr>
          <w:sz w:val="24"/>
          <w:szCs w:val="24"/>
        </w:rPr>
        <w:t>protective</w:t>
      </w:r>
      <w:r w:rsidR="003C0A1F" w:rsidRPr="00EB1528">
        <w:rPr>
          <w:sz w:val="24"/>
          <w:szCs w:val="24"/>
        </w:rPr>
        <w:t>’</w:t>
      </w:r>
      <w:r w:rsidR="00DB321B" w:rsidRPr="00EB1528">
        <w:rPr>
          <w:sz w:val="24"/>
          <w:szCs w:val="24"/>
        </w:rPr>
        <w:t xml:space="preserve"> or </w:t>
      </w:r>
      <w:r w:rsidR="003C0A1F" w:rsidRPr="00EB1528">
        <w:rPr>
          <w:sz w:val="24"/>
          <w:szCs w:val="24"/>
        </w:rPr>
        <w:t>‘</w:t>
      </w:r>
      <w:r w:rsidR="00DB321B" w:rsidRPr="00EB1528">
        <w:rPr>
          <w:sz w:val="24"/>
          <w:szCs w:val="24"/>
        </w:rPr>
        <w:t>harmful</w:t>
      </w:r>
      <w:r w:rsidR="00A67635">
        <w:rPr>
          <w:sz w:val="24"/>
          <w:szCs w:val="24"/>
        </w:rPr>
        <w:t>’</w:t>
      </w:r>
      <w:r w:rsidR="00DB321B" w:rsidRPr="00EB1528">
        <w:rPr>
          <w:sz w:val="24"/>
          <w:szCs w:val="24"/>
        </w:rPr>
        <w:t xml:space="preserve"> effects</w:t>
      </w:r>
      <w:r w:rsidR="00D52D1F" w:rsidRPr="00EB1528">
        <w:rPr>
          <w:sz w:val="24"/>
          <w:szCs w:val="24"/>
        </w:rPr>
        <w:t xml:space="preserve"> and whether it contributes to or reduces ‘cumulative disadvantage’.</w:t>
      </w:r>
      <w:r w:rsidR="00DB321B" w:rsidRPr="00EB1528">
        <w:rPr>
          <w:sz w:val="24"/>
          <w:szCs w:val="24"/>
        </w:rPr>
        <w:t xml:space="preserve"> </w:t>
      </w:r>
      <w:r w:rsidR="00D52D1F" w:rsidRPr="00EB1528">
        <w:rPr>
          <w:sz w:val="24"/>
          <w:szCs w:val="24"/>
        </w:rPr>
        <w:t xml:space="preserve">Researchers are divided on this question. Some argue that ‘good care’ promotes resilience and thereby helps ‘looked after children’ to ‘overcome the odds’ created by their difficult early lives (see, for example, Stein, 2005). Others </w:t>
      </w:r>
      <w:r w:rsidR="00BE6C59" w:rsidRPr="00EB1528">
        <w:rPr>
          <w:sz w:val="24"/>
          <w:szCs w:val="24"/>
        </w:rPr>
        <w:t>counter</w:t>
      </w:r>
      <w:r w:rsidR="00D52D1F" w:rsidRPr="00EB1528">
        <w:rPr>
          <w:sz w:val="24"/>
          <w:szCs w:val="24"/>
        </w:rPr>
        <w:t xml:space="preserve"> that even ‘good care’ tends to damage future life chances (see, for example, C</w:t>
      </w:r>
      <w:r w:rsidR="00825C25">
        <w:rPr>
          <w:sz w:val="24"/>
          <w:szCs w:val="24"/>
        </w:rPr>
        <w:t>entre for Social Justice</w:t>
      </w:r>
      <w:r w:rsidR="00B13511">
        <w:rPr>
          <w:sz w:val="24"/>
          <w:szCs w:val="24"/>
        </w:rPr>
        <w:t xml:space="preserve">, 2015). </w:t>
      </w:r>
      <w:r w:rsidR="00D52D1F" w:rsidRPr="00EB1528">
        <w:rPr>
          <w:sz w:val="24"/>
          <w:szCs w:val="24"/>
        </w:rPr>
        <w:t xml:space="preserve">The concept of ‘cumulative disadvantage’, </w:t>
      </w:r>
      <w:r w:rsidR="00BE6C59" w:rsidRPr="00EB1528">
        <w:rPr>
          <w:sz w:val="24"/>
          <w:szCs w:val="24"/>
        </w:rPr>
        <w:t>used by</w:t>
      </w:r>
      <w:r w:rsidR="00D52D1F" w:rsidRPr="00EB1528">
        <w:rPr>
          <w:sz w:val="24"/>
          <w:szCs w:val="24"/>
        </w:rPr>
        <w:t xml:space="preserve"> Sampson and Laub (1993, 1997) to describe the accumulation of deficits that further decrease the probability of positive life chances for those already on the wrong side of the strain society</w:t>
      </w:r>
      <w:r w:rsidR="00BE6C59" w:rsidRPr="00EB1528">
        <w:rPr>
          <w:sz w:val="24"/>
          <w:szCs w:val="24"/>
        </w:rPr>
        <w:t xml:space="preserve">, is very useful in </w:t>
      </w:r>
      <w:r w:rsidR="00A461F5" w:rsidRPr="00EB1528">
        <w:rPr>
          <w:sz w:val="24"/>
          <w:szCs w:val="24"/>
        </w:rPr>
        <w:t>assessing</w:t>
      </w:r>
      <w:r w:rsidR="00BE6C59" w:rsidRPr="00EB1528">
        <w:rPr>
          <w:sz w:val="24"/>
          <w:szCs w:val="24"/>
        </w:rPr>
        <w:t xml:space="preserve"> adult outcomes of historical care (Godfrey </w:t>
      </w:r>
      <w:r w:rsidR="00BE6C59" w:rsidRPr="00C16F41">
        <w:rPr>
          <w:sz w:val="24"/>
          <w:szCs w:val="24"/>
        </w:rPr>
        <w:t>et al</w:t>
      </w:r>
      <w:r w:rsidR="00A67635">
        <w:rPr>
          <w:sz w:val="24"/>
          <w:szCs w:val="24"/>
        </w:rPr>
        <w:t>.</w:t>
      </w:r>
      <w:r w:rsidR="00BE6C59" w:rsidRPr="00267044">
        <w:rPr>
          <w:sz w:val="24"/>
          <w:szCs w:val="24"/>
        </w:rPr>
        <w:t>,</w:t>
      </w:r>
      <w:r w:rsidR="00BE6C59" w:rsidRPr="00EB1528">
        <w:rPr>
          <w:sz w:val="24"/>
          <w:szCs w:val="24"/>
        </w:rPr>
        <w:t xml:space="preserve"> 2017, chapter 1).</w:t>
      </w:r>
      <w:r w:rsidR="00A461F5" w:rsidRPr="00EB1528">
        <w:rPr>
          <w:sz w:val="24"/>
          <w:szCs w:val="24"/>
        </w:rPr>
        <w:t xml:space="preserve"> </w:t>
      </w:r>
      <w:r w:rsidR="00010385" w:rsidRPr="00EB1528">
        <w:rPr>
          <w:sz w:val="24"/>
          <w:szCs w:val="24"/>
        </w:rPr>
        <w:t>Th</w:t>
      </w:r>
      <w:r w:rsidR="00A461F5" w:rsidRPr="00EB1528">
        <w:rPr>
          <w:sz w:val="24"/>
          <w:szCs w:val="24"/>
        </w:rPr>
        <w:t>e remainder of this</w:t>
      </w:r>
      <w:r w:rsidR="00010385" w:rsidRPr="00EB1528">
        <w:rPr>
          <w:sz w:val="24"/>
          <w:szCs w:val="24"/>
        </w:rPr>
        <w:t xml:space="preserve"> article compares the</w:t>
      </w:r>
      <w:r w:rsidR="003B7B0E" w:rsidRPr="00EB1528">
        <w:rPr>
          <w:sz w:val="24"/>
          <w:szCs w:val="24"/>
        </w:rPr>
        <w:t xml:space="preserve"> collective out</w:t>
      </w:r>
      <w:r w:rsidR="00315B3F" w:rsidRPr="00EB1528">
        <w:rPr>
          <w:sz w:val="24"/>
          <w:szCs w:val="24"/>
        </w:rPr>
        <w:t>comes of our SIS sub</w:t>
      </w:r>
      <w:r w:rsidR="00010385" w:rsidRPr="00EB1528">
        <w:rPr>
          <w:sz w:val="24"/>
          <w:szCs w:val="24"/>
        </w:rPr>
        <w:t>group</w:t>
      </w:r>
      <w:r w:rsidR="00315B3F" w:rsidRPr="00EB1528">
        <w:rPr>
          <w:sz w:val="24"/>
          <w:szCs w:val="24"/>
        </w:rPr>
        <w:t xml:space="preserve"> (n=17</w:t>
      </w:r>
      <w:r w:rsidR="00E95FC4" w:rsidRPr="00EB1528">
        <w:rPr>
          <w:sz w:val="24"/>
          <w:szCs w:val="24"/>
        </w:rPr>
        <w:t>1</w:t>
      </w:r>
      <w:r w:rsidR="003B7B0E" w:rsidRPr="00EB1528">
        <w:rPr>
          <w:sz w:val="24"/>
          <w:szCs w:val="24"/>
        </w:rPr>
        <w:t>) with those of our full sample</w:t>
      </w:r>
      <w:r w:rsidR="005E7222" w:rsidRPr="00EB1528">
        <w:rPr>
          <w:sz w:val="24"/>
          <w:szCs w:val="24"/>
        </w:rPr>
        <w:t xml:space="preserve"> (n= 400). It also undertakes an exploratory </w:t>
      </w:r>
      <w:r w:rsidR="00854644" w:rsidRPr="00EB1528">
        <w:rPr>
          <w:sz w:val="24"/>
          <w:szCs w:val="24"/>
        </w:rPr>
        <w:t>‘</w:t>
      </w:r>
      <w:r w:rsidR="003B7B0E" w:rsidRPr="00EB1528">
        <w:rPr>
          <w:sz w:val="24"/>
          <w:szCs w:val="24"/>
        </w:rPr>
        <w:t>within-subgroup</w:t>
      </w:r>
      <w:r w:rsidR="00854644" w:rsidRPr="00EB1528">
        <w:rPr>
          <w:sz w:val="24"/>
          <w:szCs w:val="24"/>
        </w:rPr>
        <w:t>’</w:t>
      </w:r>
      <w:r w:rsidR="003B7B0E" w:rsidRPr="00EB1528">
        <w:rPr>
          <w:sz w:val="24"/>
          <w:szCs w:val="24"/>
        </w:rPr>
        <w:t xml:space="preserve"> comparison by gender</w:t>
      </w:r>
      <w:r w:rsidR="00C219FE" w:rsidRPr="00EB1528">
        <w:rPr>
          <w:sz w:val="24"/>
          <w:szCs w:val="24"/>
        </w:rPr>
        <w:t xml:space="preserve"> in order to </w:t>
      </w:r>
      <w:r w:rsidR="009E2451" w:rsidRPr="00EB1528">
        <w:rPr>
          <w:sz w:val="24"/>
          <w:szCs w:val="24"/>
        </w:rPr>
        <w:t>investigate</w:t>
      </w:r>
      <w:r w:rsidR="00C219FE" w:rsidRPr="00EB1528">
        <w:rPr>
          <w:sz w:val="24"/>
          <w:szCs w:val="24"/>
        </w:rPr>
        <w:t xml:space="preserve"> and </w:t>
      </w:r>
      <w:r w:rsidR="009E2451" w:rsidRPr="00EB1528">
        <w:rPr>
          <w:sz w:val="24"/>
          <w:szCs w:val="24"/>
        </w:rPr>
        <w:t>ameliorate</w:t>
      </w:r>
      <w:r w:rsidR="00C219FE" w:rsidRPr="00EB1528">
        <w:rPr>
          <w:sz w:val="24"/>
          <w:szCs w:val="24"/>
        </w:rPr>
        <w:t xml:space="preserve"> the relative neglect of gender differences in within life course studies of this kind</w:t>
      </w:r>
      <w:r w:rsidR="003B7B0E" w:rsidRPr="00EB1528">
        <w:rPr>
          <w:sz w:val="24"/>
          <w:szCs w:val="24"/>
        </w:rPr>
        <w:t xml:space="preserve">. </w:t>
      </w:r>
    </w:p>
    <w:p w14:paraId="3797CB9B" w14:textId="74180BF7" w:rsidR="008A5547" w:rsidRDefault="00D27734" w:rsidP="00C879A0">
      <w:pPr>
        <w:spacing w:line="360" w:lineRule="auto"/>
        <w:rPr>
          <w:sz w:val="24"/>
          <w:szCs w:val="24"/>
        </w:rPr>
      </w:pPr>
      <w:r w:rsidRPr="00EB1528">
        <w:rPr>
          <w:b/>
          <w:sz w:val="24"/>
          <w:szCs w:val="24"/>
        </w:rPr>
        <w:t xml:space="preserve">Findings: adult outcomes of care in </w:t>
      </w:r>
      <w:r w:rsidR="00E41C4B">
        <w:rPr>
          <w:b/>
          <w:sz w:val="24"/>
          <w:szCs w:val="24"/>
        </w:rPr>
        <w:t>19</w:t>
      </w:r>
      <w:r w:rsidR="00E41C4B" w:rsidRPr="00267044">
        <w:rPr>
          <w:b/>
          <w:sz w:val="24"/>
          <w:szCs w:val="24"/>
        </w:rPr>
        <w:t>th</w:t>
      </w:r>
      <w:r w:rsidR="00E41C4B">
        <w:rPr>
          <w:b/>
          <w:sz w:val="24"/>
          <w:szCs w:val="24"/>
        </w:rPr>
        <w:t>-</w:t>
      </w:r>
      <w:r w:rsidR="00A67635" w:rsidRPr="00EB1528">
        <w:rPr>
          <w:b/>
          <w:sz w:val="24"/>
          <w:szCs w:val="24"/>
        </w:rPr>
        <w:t xml:space="preserve"> </w:t>
      </w:r>
      <w:r w:rsidRPr="00EB1528">
        <w:rPr>
          <w:b/>
          <w:sz w:val="24"/>
          <w:szCs w:val="24"/>
        </w:rPr>
        <w:t xml:space="preserve">and early </w:t>
      </w:r>
      <w:r w:rsidR="00E41C4B">
        <w:rPr>
          <w:b/>
          <w:sz w:val="24"/>
          <w:szCs w:val="24"/>
        </w:rPr>
        <w:t>20</w:t>
      </w:r>
      <w:r w:rsidR="00E41C4B" w:rsidRPr="00267044">
        <w:rPr>
          <w:b/>
          <w:sz w:val="24"/>
          <w:szCs w:val="24"/>
        </w:rPr>
        <w:t>th</w:t>
      </w:r>
      <w:r w:rsidR="00E41C4B">
        <w:rPr>
          <w:b/>
          <w:sz w:val="24"/>
          <w:szCs w:val="24"/>
        </w:rPr>
        <w:t>-</w:t>
      </w:r>
      <w:r w:rsidRPr="00EB1528">
        <w:rPr>
          <w:b/>
          <w:sz w:val="24"/>
          <w:szCs w:val="24"/>
        </w:rPr>
        <w:t>century Stockport</w:t>
      </w:r>
    </w:p>
    <w:p w14:paraId="556AB9F9" w14:textId="599005A1" w:rsidR="003C7D8F" w:rsidRDefault="00C879A0" w:rsidP="00B13511">
      <w:pPr>
        <w:spacing w:line="360" w:lineRule="auto"/>
        <w:rPr>
          <w:rFonts w:eastAsia="Arial Unicode MS"/>
          <w:bdr w:val="nil"/>
          <w:lang w:val="en-US"/>
        </w:rPr>
      </w:pPr>
      <w:r w:rsidRPr="00EB1528">
        <w:rPr>
          <w:sz w:val="24"/>
          <w:szCs w:val="24"/>
        </w:rPr>
        <w:t xml:space="preserve">Of the 171 children in our sample passing through SIS from the 1850s to the 1920s, the vast </w:t>
      </w:r>
      <w:r w:rsidR="006B77B3" w:rsidRPr="00EB1528">
        <w:rPr>
          <w:sz w:val="24"/>
          <w:szCs w:val="24"/>
        </w:rPr>
        <w:t xml:space="preserve">majority </w:t>
      </w:r>
      <w:r w:rsidR="00D27734" w:rsidRPr="00EB1528">
        <w:rPr>
          <w:sz w:val="24"/>
          <w:szCs w:val="24"/>
        </w:rPr>
        <w:t xml:space="preserve">went on to lead what can be described as ‘regular’ </w:t>
      </w:r>
      <w:r w:rsidR="00E41C4B">
        <w:rPr>
          <w:sz w:val="24"/>
          <w:szCs w:val="24"/>
        </w:rPr>
        <w:t>working-class</w:t>
      </w:r>
      <w:r w:rsidR="00D27734" w:rsidRPr="00EB1528">
        <w:rPr>
          <w:sz w:val="24"/>
          <w:szCs w:val="24"/>
        </w:rPr>
        <w:t xml:space="preserve"> lives: they found work, they married, they lived in households, they earned enough to share rented accommodation in </w:t>
      </w:r>
      <w:r w:rsidR="00DD133D" w:rsidRPr="00EB1528">
        <w:rPr>
          <w:sz w:val="24"/>
          <w:szCs w:val="24"/>
        </w:rPr>
        <w:t>local</w:t>
      </w:r>
      <w:r w:rsidR="00D27734" w:rsidRPr="00EB1528">
        <w:rPr>
          <w:sz w:val="24"/>
          <w:szCs w:val="24"/>
        </w:rPr>
        <w:t xml:space="preserve"> neighbourhoods, they avoided significant later involvement with the police or welfare authorities. </w:t>
      </w:r>
      <w:r w:rsidR="00CA2588" w:rsidRPr="00EB1528">
        <w:rPr>
          <w:sz w:val="24"/>
          <w:szCs w:val="24"/>
        </w:rPr>
        <w:t xml:space="preserve">In stark contrast to care leavers today, few experienced long-term unemployment, homelessness or </w:t>
      </w:r>
      <w:r w:rsidR="00D27734" w:rsidRPr="00EB1528">
        <w:rPr>
          <w:sz w:val="24"/>
          <w:szCs w:val="24"/>
        </w:rPr>
        <w:t xml:space="preserve">significant </w:t>
      </w:r>
      <w:r w:rsidR="00CA2588" w:rsidRPr="00EB1528">
        <w:rPr>
          <w:sz w:val="24"/>
          <w:szCs w:val="24"/>
        </w:rPr>
        <w:t>later involvement with criminal justice or welfare system</w:t>
      </w:r>
      <w:r w:rsidR="0040246A" w:rsidRPr="00EB1528">
        <w:rPr>
          <w:sz w:val="24"/>
          <w:szCs w:val="24"/>
        </w:rPr>
        <w:t>s</w:t>
      </w:r>
      <w:r w:rsidR="00D27734" w:rsidRPr="00EB1528">
        <w:rPr>
          <w:sz w:val="24"/>
          <w:szCs w:val="24"/>
        </w:rPr>
        <w:t>.</w:t>
      </w:r>
      <w:r w:rsidR="00A27937">
        <w:rPr>
          <w:rFonts w:eastAsia="Arial Unicode MS"/>
          <w:bdr w:val="nil"/>
          <w:lang w:val="en-US"/>
        </w:rPr>
        <w:t xml:space="preserve"> </w:t>
      </w:r>
      <w:r w:rsidR="00A27937">
        <w:rPr>
          <w:rFonts w:eastAsia="Arial Unicode MS"/>
          <w:sz w:val="24"/>
          <w:bdr w:val="nil"/>
          <w:lang w:val="en-US"/>
        </w:rPr>
        <w:t>For these children</w:t>
      </w:r>
      <w:r w:rsidR="00A27937" w:rsidRPr="00A27937">
        <w:rPr>
          <w:rFonts w:eastAsia="Arial Unicode MS"/>
          <w:sz w:val="24"/>
          <w:bdr w:val="nil"/>
          <w:lang w:val="en-US"/>
        </w:rPr>
        <w:t>, their involvement in what Foucault famously termed the ‘great confinement’ (1</w:t>
      </w:r>
      <w:r w:rsidR="00EA1F60">
        <w:rPr>
          <w:rFonts w:eastAsia="Arial Unicode MS"/>
          <w:sz w:val="24"/>
          <w:bdr w:val="nil"/>
          <w:lang w:val="en-US"/>
        </w:rPr>
        <w:t>967</w:t>
      </w:r>
      <w:r w:rsidR="00A27937" w:rsidRPr="00A27937">
        <w:rPr>
          <w:rFonts w:eastAsia="Arial Unicode MS"/>
          <w:sz w:val="24"/>
          <w:bdr w:val="nil"/>
          <w:lang w:val="en-US"/>
        </w:rPr>
        <w:t>) was followed by what we might term the ‘great re-integration’.</w:t>
      </w:r>
    </w:p>
    <w:p w14:paraId="7A6D55ED" w14:textId="5F5F764E" w:rsidR="007A1081" w:rsidRDefault="003C7D8F" w:rsidP="00B13511">
      <w:pPr>
        <w:spacing w:line="360" w:lineRule="auto"/>
        <w:rPr>
          <w:sz w:val="24"/>
          <w:szCs w:val="24"/>
        </w:rPr>
      </w:pPr>
      <w:r w:rsidRPr="009439E8">
        <w:rPr>
          <w:rFonts w:eastAsia="Arial Unicode MS"/>
          <w:sz w:val="24"/>
          <w:szCs w:val="24"/>
          <w:bdr w:val="nil"/>
          <w:lang w:val="en-US"/>
        </w:rPr>
        <w:t xml:space="preserve">Our evidence suggests that very few of the children in our sample facing early childhood risk went on to become ‘life course persistent offenders’. This important finding is in line with </w:t>
      </w:r>
      <w:r w:rsidRPr="009439E8">
        <w:rPr>
          <w:rFonts w:eastAsia="Arial Unicode MS"/>
          <w:sz w:val="24"/>
          <w:szCs w:val="24"/>
          <w:bdr w:val="nil"/>
          <w:lang w:val="en-US"/>
        </w:rPr>
        <w:lastRenderedPageBreak/>
        <w:t>the conclusions reached by Sampson and Laub over several significant studies (1993, 2003</w:t>
      </w:r>
      <w:r w:rsidR="007A1081">
        <w:rPr>
          <w:rFonts w:eastAsia="Arial Unicode MS"/>
          <w:sz w:val="24"/>
          <w:szCs w:val="24"/>
          <w:bdr w:val="nil"/>
          <w:lang w:val="en-US"/>
        </w:rPr>
        <w:t>, 2006</w:t>
      </w:r>
      <w:r w:rsidRPr="009439E8">
        <w:rPr>
          <w:rFonts w:eastAsia="Arial Unicode MS"/>
          <w:sz w:val="24"/>
          <w:szCs w:val="24"/>
          <w:bdr w:val="nil"/>
          <w:lang w:val="en-US"/>
        </w:rPr>
        <w:t xml:space="preserve">). Our own study has been conducted with a different population over a different time period but reaches the same broad conclusion as Sampson and Laub. </w:t>
      </w:r>
      <w:r w:rsidR="009F0749" w:rsidRPr="00F57E1A">
        <w:rPr>
          <w:sz w:val="24"/>
          <w:szCs w:val="24"/>
        </w:rPr>
        <w:t xml:space="preserve">Only </w:t>
      </w:r>
      <w:r w:rsidR="00A67635">
        <w:rPr>
          <w:sz w:val="24"/>
          <w:szCs w:val="24"/>
        </w:rPr>
        <w:t>18</w:t>
      </w:r>
      <w:r w:rsidR="00A67635" w:rsidRPr="001405E8">
        <w:rPr>
          <w:sz w:val="24"/>
          <w:szCs w:val="24"/>
        </w:rPr>
        <w:t xml:space="preserve"> </w:t>
      </w:r>
      <w:r w:rsidR="009F0749" w:rsidRPr="001405E8">
        <w:rPr>
          <w:sz w:val="24"/>
          <w:szCs w:val="24"/>
        </w:rPr>
        <w:t>of the 17</w:t>
      </w:r>
      <w:r w:rsidR="00DA080F" w:rsidRPr="00A331ED">
        <w:rPr>
          <w:sz w:val="24"/>
          <w:szCs w:val="24"/>
        </w:rPr>
        <w:t>1</w:t>
      </w:r>
      <w:r w:rsidR="009F0749" w:rsidRPr="00A331ED">
        <w:rPr>
          <w:sz w:val="24"/>
          <w:szCs w:val="24"/>
        </w:rPr>
        <w:t xml:space="preserve"> </w:t>
      </w:r>
      <w:r w:rsidR="007A1081">
        <w:rPr>
          <w:sz w:val="24"/>
          <w:szCs w:val="24"/>
        </w:rPr>
        <w:t xml:space="preserve">SIS </w:t>
      </w:r>
      <w:r w:rsidR="009F0749" w:rsidRPr="00A331ED">
        <w:rPr>
          <w:sz w:val="24"/>
          <w:szCs w:val="24"/>
        </w:rPr>
        <w:t xml:space="preserve">individuals went on to offend after their release – in all cases committing only minor offences. </w:t>
      </w:r>
      <w:r w:rsidR="00701279" w:rsidRPr="007929C2">
        <w:rPr>
          <w:sz w:val="24"/>
          <w:szCs w:val="24"/>
        </w:rPr>
        <w:t>As stated earlier, r</w:t>
      </w:r>
      <w:r w:rsidR="00C34AD9" w:rsidRPr="00E622B9">
        <w:rPr>
          <w:sz w:val="24"/>
          <w:szCs w:val="24"/>
        </w:rPr>
        <w:t xml:space="preserve">emarkably, only </w:t>
      </w:r>
      <w:r w:rsidR="009F0749" w:rsidRPr="00E622B9">
        <w:rPr>
          <w:sz w:val="24"/>
          <w:szCs w:val="24"/>
        </w:rPr>
        <w:t>one young man went on to become a persistent offender</w:t>
      </w:r>
      <w:r w:rsidR="00701279" w:rsidRPr="00E622B9">
        <w:rPr>
          <w:sz w:val="24"/>
          <w:szCs w:val="24"/>
        </w:rPr>
        <w:t xml:space="preserve"> (see </w:t>
      </w:r>
      <w:r w:rsidR="00A67635">
        <w:rPr>
          <w:sz w:val="24"/>
          <w:szCs w:val="24"/>
        </w:rPr>
        <w:t>Figure</w:t>
      </w:r>
      <w:r w:rsidR="00701279" w:rsidRPr="00E622B9">
        <w:rPr>
          <w:sz w:val="24"/>
          <w:szCs w:val="24"/>
        </w:rPr>
        <w:t xml:space="preserve"> </w:t>
      </w:r>
      <w:r w:rsidR="007A1081">
        <w:rPr>
          <w:sz w:val="24"/>
          <w:szCs w:val="24"/>
        </w:rPr>
        <w:t>2</w:t>
      </w:r>
      <w:r w:rsidR="00701279" w:rsidRPr="00E622B9">
        <w:rPr>
          <w:sz w:val="24"/>
          <w:szCs w:val="24"/>
        </w:rPr>
        <w:t>)</w:t>
      </w:r>
      <w:r w:rsidR="009F0749" w:rsidRPr="00E622B9">
        <w:rPr>
          <w:sz w:val="24"/>
          <w:szCs w:val="24"/>
        </w:rPr>
        <w:t xml:space="preserve">. </w:t>
      </w:r>
    </w:p>
    <w:p w14:paraId="4F866872" w14:textId="77777777" w:rsidR="007A1081" w:rsidRDefault="007A1081">
      <w:pPr>
        <w:rPr>
          <w:sz w:val="24"/>
          <w:szCs w:val="24"/>
        </w:rPr>
      </w:pPr>
      <w:r>
        <w:rPr>
          <w:sz w:val="24"/>
          <w:szCs w:val="24"/>
        </w:rPr>
        <w:br w:type="page"/>
      </w:r>
    </w:p>
    <w:p w14:paraId="7261C749" w14:textId="77777777" w:rsidR="00701279" w:rsidRPr="00E622B9" w:rsidRDefault="00701279" w:rsidP="009439E8">
      <w:pPr>
        <w:spacing w:line="240" w:lineRule="auto"/>
        <w:rPr>
          <w:sz w:val="24"/>
          <w:szCs w:val="24"/>
        </w:rPr>
      </w:pPr>
    </w:p>
    <w:p w14:paraId="2C272E9C" w14:textId="6C4A7044" w:rsidR="00701279" w:rsidRPr="00B13511" w:rsidRDefault="00701279" w:rsidP="00701279">
      <w:pPr>
        <w:pStyle w:val="BodyA"/>
        <w:spacing w:after="200"/>
        <w:jc w:val="both"/>
        <w:outlineLvl w:val="0"/>
        <w:rPr>
          <w:rFonts w:asciiTheme="minorHAnsi" w:hAnsiTheme="minorHAnsi" w:cs="Times New Roman"/>
          <w:b/>
          <w:bCs/>
          <w:color w:val="auto"/>
          <w:sz w:val="24"/>
          <w:szCs w:val="24"/>
        </w:rPr>
      </w:pPr>
      <w:r w:rsidRPr="00B13511">
        <w:rPr>
          <w:rFonts w:asciiTheme="minorHAnsi" w:hAnsiTheme="minorHAnsi" w:cs="Times New Roman"/>
          <w:b/>
          <w:bCs/>
          <w:color w:val="auto"/>
          <w:sz w:val="24"/>
          <w:szCs w:val="24"/>
        </w:rPr>
        <w:t>Fig</w:t>
      </w:r>
      <w:r w:rsidR="00A67635">
        <w:rPr>
          <w:rFonts w:asciiTheme="minorHAnsi" w:hAnsiTheme="minorHAnsi" w:cs="Times New Roman"/>
          <w:b/>
          <w:bCs/>
          <w:color w:val="auto"/>
          <w:sz w:val="24"/>
          <w:szCs w:val="24"/>
        </w:rPr>
        <w:t>ure</w:t>
      </w:r>
      <w:r w:rsidRPr="00B13511">
        <w:rPr>
          <w:rFonts w:asciiTheme="minorHAnsi" w:hAnsiTheme="minorHAnsi" w:cs="Times New Roman"/>
          <w:b/>
          <w:bCs/>
          <w:color w:val="auto"/>
          <w:sz w:val="24"/>
          <w:szCs w:val="24"/>
        </w:rPr>
        <w:t xml:space="preserve"> </w:t>
      </w:r>
      <w:r w:rsidR="007A1081" w:rsidRPr="00B13511">
        <w:rPr>
          <w:rFonts w:asciiTheme="minorHAnsi" w:hAnsiTheme="minorHAnsi" w:cs="Times New Roman"/>
          <w:b/>
          <w:bCs/>
          <w:color w:val="auto"/>
          <w:sz w:val="24"/>
          <w:szCs w:val="24"/>
        </w:rPr>
        <w:t>2</w:t>
      </w:r>
      <w:r w:rsidRPr="00B13511">
        <w:rPr>
          <w:rFonts w:asciiTheme="minorHAnsi" w:hAnsiTheme="minorHAnsi" w:cs="Times New Roman"/>
          <w:b/>
          <w:bCs/>
          <w:color w:val="auto"/>
          <w:sz w:val="24"/>
          <w:szCs w:val="24"/>
        </w:rPr>
        <w:t>:</w:t>
      </w:r>
      <w:r w:rsidR="00C03E40">
        <w:rPr>
          <w:rFonts w:asciiTheme="minorHAnsi" w:hAnsiTheme="minorHAnsi" w:cs="Times New Roman"/>
          <w:b/>
          <w:bCs/>
          <w:color w:val="auto"/>
          <w:sz w:val="24"/>
          <w:szCs w:val="24"/>
        </w:rPr>
        <w:t xml:space="preserve"> </w:t>
      </w:r>
      <w:r w:rsidRPr="00B13511">
        <w:rPr>
          <w:rFonts w:asciiTheme="minorHAnsi" w:hAnsiTheme="minorHAnsi" w:cs="Times New Roman"/>
          <w:b/>
          <w:bCs/>
          <w:color w:val="auto"/>
          <w:sz w:val="24"/>
          <w:szCs w:val="24"/>
        </w:rPr>
        <w:t>Reconviction figures by institution</w:t>
      </w:r>
    </w:p>
    <w:tbl>
      <w:tblPr>
        <w:tblW w:w="916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532"/>
        <w:gridCol w:w="808"/>
        <w:gridCol w:w="973"/>
        <w:gridCol w:w="900"/>
        <w:gridCol w:w="990"/>
        <w:gridCol w:w="990"/>
        <w:gridCol w:w="990"/>
        <w:gridCol w:w="990"/>
        <w:gridCol w:w="990"/>
      </w:tblGrid>
      <w:tr w:rsidR="00B13511" w:rsidRPr="00B13511" w14:paraId="32BA326E" w14:textId="77777777" w:rsidTr="002C16F8">
        <w:trPr>
          <w:trHeight w:val="279"/>
          <w:tblHeader/>
        </w:trPr>
        <w:tc>
          <w:tcPr>
            <w:tcW w:w="1532"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7633F082" w14:textId="77777777" w:rsidR="00701279" w:rsidRPr="00B13511" w:rsidRDefault="00701279" w:rsidP="00FD1202">
            <w:pPr>
              <w:pStyle w:val="TableStyle1"/>
              <w:rPr>
                <w:rFonts w:asciiTheme="minorHAnsi" w:hAnsiTheme="minorHAnsi" w:cs="Times New Roman"/>
                <w:color w:val="auto"/>
                <w:sz w:val="24"/>
                <w:szCs w:val="24"/>
              </w:rPr>
            </w:pPr>
            <w:r w:rsidRPr="00B13511">
              <w:rPr>
                <w:rFonts w:asciiTheme="minorHAnsi" w:hAnsiTheme="minorHAnsi" w:cs="Times New Roman"/>
                <w:color w:val="auto"/>
                <w:sz w:val="24"/>
                <w:szCs w:val="24"/>
              </w:rPr>
              <w:t>Institution</w:t>
            </w:r>
          </w:p>
        </w:tc>
        <w:tc>
          <w:tcPr>
            <w:tcW w:w="1781" w:type="dxa"/>
            <w:gridSpan w:val="2"/>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419EA343" w14:textId="77777777" w:rsidR="00701279" w:rsidRPr="00B13511" w:rsidRDefault="00701279" w:rsidP="00FD1202">
            <w:pPr>
              <w:pStyle w:val="TableStyle1"/>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Non-offenders</w:t>
            </w:r>
          </w:p>
        </w:tc>
        <w:tc>
          <w:tcPr>
            <w:tcW w:w="1890" w:type="dxa"/>
            <w:gridSpan w:val="2"/>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7DEA1AE0" w14:textId="77777777" w:rsidR="00701279" w:rsidRPr="00B13511" w:rsidRDefault="00701279" w:rsidP="00FD1202">
            <w:pPr>
              <w:pStyle w:val="TableStyle1"/>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Occasional</w:t>
            </w:r>
          </w:p>
        </w:tc>
        <w:tc>
          <w:tcPr>
            <w:tcW w:w="1980" w:type="dxa"/>
            <w:gridSpan w:val="2"/>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191605E7" w14:textId="77777777" w:rsidR="00701279" w:rsidRPr="00B13511" w:rsidRDefault="00701279" w:rsidP="00FD1202">
            <w:pPr>
              <w:pStyle w:val="TableStyle1"/>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Persistent</w:t>
            </w:r>
          </w:p>
        </w:tc>
        <w:tc>
          <w:tcPr>
            <w:tcW w:w="1980" w:type="dxa"/>
            <w:gridSpan w:val="2"/>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7CED3293" w14:textId="77777777" w:rsidR="00701279" w:rsidRPr="00B13511" w:rsidRDefault="00701279" w:rsidP="00FD1202">
            <w:pPr>
              <w:pStyle w:val="TableStyle1"/>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Total:</w:t>
            </w:r>
          </w:p>
        </w:tc>
      </w:tr>
      <w:tr w:rsidR="00B13511" w:rsidRPr="00B13511" w14:paraId="200C306E" w14:textId="77777777" w:rsidTr="002C16F8">
        <w:trPr>
          <w:trHeight w:val="279"/>
        </w:trPr>
        <w:tc>
          <w:tcPr>
            <w:tcW w:w="1532" w:type="dxa"/>
            <w:tcBorders>
              <w:top w:val="single" w:sz="4" w:space="0" w:color="000000"/>
              <w:left w:val="single" w:sz="2" w:space="0" w:color="000000"/>
              <w:bottom w:val="single" w:sz="2" w:space="0" w:color="000000"/>
              <w:right w:val="single" w:sz="4" w:space="0" w:color="000000"/>
            </w:tcBorders>
            <w:shd w:val="clear" w:color="auto" w:fill="FBFBF8" w:themeFill="background2" w:themeFillTint="33"/>
            <w:tcMar>
              <w:top w:w="80" w:type="dxa"/>
              <w:left w:w="80" w:type="dxa"/>
              <w:bottom w:w="80" w:type="dxa"/>
              <w:right w:w="80" w:type="dxa"/>
            </w:tcMar>
          </w:tcPr>
          <w:p w14:paraId="2C2D77B6" w14:textId="77777777" w:rsidR="00701279" w:rsidRPr="00B13511" w:rsidRDefault="00701279" w:rsidP="00FD1202">
            <w:pPr>
              <w:pStyle w:val="TableStyle1"/>
              <w:rPr>
                <w:rFonts w:asciiTheme="minorHAnsi" w:hAnsiTheme="minorHAnsi" w:cs="Times New Roman"/>
                <w:color w:val="auto"/>
                <w:sz w:val="24"/>
                <w:szCs w:val="24"/>
              </w:rPr>
            </w:pPr>
          </w:p>
        </w:tc>
        <w:tc>
          <w:tcPr>
            <w:tcW w:w="808"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67563B1C"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No.</w:t>
            </w:r>
          </w:p>
        </w:tc>
        <w:tc>
          <w:tcPr>
            <w:tcW w:w="973" w:type="dxa"/>
            <w:tcBorders>
              <w:top w:val="single" w:sz="4" w:space="0" w:color="000000"/>
              <w:left w:val="single" w:sz="2" w:space="0" w:color="000000"/>
              <w:bottom w:val="single" w:sz="2" w:space="0" w:color="000000"/>
              <w:right w:val="single" w:sz="2" w:space="0" w:color="000000"/>
            </w:tcBorders>
          </w:tcPr>
          <w:p w14:paraId="722691A3"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w:t>
            </w:r>
          </w:p>
        </w:tc>
        <w:tc>
          <w:tcPr>
            <w:tcW w:w="90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AE0CB4"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No</w:t>
            </w:r>
          </w:p>
        </w:tc>
        <w:tc>
          <w:tcPr>
            <w:tcW w:w="990" w:type="dxa"/>
            <w:tcBorders>
              <w:top w:val="single" w:sz="4" w:space="0" w:color="000000"/>
              <w:left w:val="single" w:sz="2" w:space="0" w:color="000000"/>
              <w:bottom w:val="single" w:sz="2" w:space="0" w:color="000000"/>
              <w:right w:val="single" w:sz="2" w:space="0" w:color="000000"/>
            </w:tcBorders>
          </w:tcPr>
          <w:p w14:paraId="4C2A4436"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w:t>
            </w:r>
          </w:p>
        </w:tc>
        <w:tc>
          <w:tcPr>
            <w:tcW w:w="99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8797E6"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No</w:t>
            </w:r>
          </w:p>
        </w:tc>
        <w:tc>
          <w:tcPr>
            <w:tcW w:w="990" w:type="dxa"/>
            <w:tcBorders>
              <w:top w:val="single" w:sz="4" w:space="0" w:color="000000"/>
              <w:left w:val="single" w:sz="2" w:space="0" w:color="000000"/>
              <w:bottom w:val="single" w:sz="2" w:space="0" w:color="000000"/>
              <w:right w:val="single" w:sz="2" w:space="0" w:color="000000"/>
            </w:tcBorders>
          </w:tcPr>
          <w:p w14:paraId="48DB0295"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w:t>
            </w:r>
          </w:p>
        </w:tc>
        <w:tc>
          <w:tcPr>
            <w:tcW w:w="99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FEF888"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No</w:t>
            </w:r>
          </w:p>
        </w:tc>
        <w:tc>
          <w:tcPr>
            <w:tcW w:w="990" w:type="dxa"/>
            <w:tcBorders>
              <w:top w:val="single" w:sz="4" w:space="0" w:color="000000"/>
              <w:left w:val="single" w:sz="2" w:space="0" w:color="000000"/>
              <w:bottom w:val="single" w:sz="2" w:space="0" w:color="000000"/>
              <w:right w:val="single" w:sz="2" w:space="0" w:color="000000"/>
            </w:tcBorders>
          </w:tcPr>
          <w:p w14:paraId="14912A30"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w:t>
            </w:r>
          </w:p>
        </w:tc>
      </w:tr>
      <w:tr w:rsidR="00B13511" w:rsidRPr="00B13511" w14:paraId="4C3EF07C" w14:textId="77777777" w:rsidTr="002C16F8">
        <w:trPr>
          <w:trHeight w:val="279"/>
        </w:trPr>
        <w:tc>
          <w:tcPr>
            <w:tcW w:w="1532" w:type="dxa"/>
            <w:tcBorders>
              <w:top w:val="single" w:sz="4" w:space="0" w:color="000000"/>
              <w:left w:val="single" w:sz="2" w:space="0" w:color="000000"/>
              <w:bottom w:val="single" w:sz="2" w:space="0" w:color="000000"/>
              <w:right w:val="single" w:sz="4" w:space="0" w:color="000000"/>
            </w:tcBorders>
            <w:shd w:val="clear" w:color="auto" w:fill="FBFBF8" w:themeFill="background2" w:themeFillTint="33"/>
            <w:tcMar>
              <w:top w:w="80" w:type="dxa"/>
              <w:left w:w="80" w:type="dxa"/>
              <w:bottom w:w="80" w:type="dxa"/>
              <w:right w:w="80" w:type="dxa"/>
            </w:tcMar>
          </w:tcPr>
          <w:p w14:paraId="0EAAC042" w14:textId="77777777" w:rsidR="00701279" w:rsidRPr="00B13511" w:rsidRDefault="00701279" w:rsidP="00FD1202">
            <w:pPr>
              <w:pStyle w:val="TableStyle1"/>
              <w:rPr>
                <w:rFonts w:asciiTheme="minorHAnsi" w:hAnsiTheme="minorHAnsi" w:cs="Times New Roman"/>
                <w:b w:val="0"/>
                <w:color w:val="auto"/>
                <w:sz w:val="24"/>
                <w:szCs w:val="24"/>
              </w:rPr>
            </w:pPr>
            <w:r w:rsidRPr="00B13511">
              <w:rPr>
                <w:rFonts w:asciiTheme="minorHAnsi" w:hAnsiTheme="minorHAnsi" w:cs="Times New Roman"/>
                <w:b w:val="0"/>
                <w:color w:val="auto"/>
                <w:sz w:val="24"/>
                <w:szCs w:val="24"/>
              </w:rPr>
              <w:t>Akbar</w:t>
            </w:r>
          </w:p>
        </w:tc>
        <w:tc>
          <w:tcPr>
            <w:tcW w:w="808"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479E64B7"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 xml:space="preserve">  19</w:t>
            </w:r>
          </w:p>
        </w:tc>
        <w:tc>
          <w:tcPr>
            <w:tcW w:w="973" w:type="dxa"/>
            <w:tcBorders>
              <w:top w:val="single" w:sz="4" w:space="0" w:color="000000"/>
              <w:left w:val="single" w:sz="2" w:space="0" w:color="000000"/>
              <w:bottom w:val="single" w:sz="2" w:space="0" w:color="000000"/>
              <w:right w:val="single" w:sz="2" w:space="0" w:color="000000"/>
            </w:tcBorders>
          </w:tcPr>
          <w:p w14:paraId="228A97ED"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53</w:t>
            </w:r>
          </w:p>
        </w:tc>
        <w:tc>
          <w:tcPr>
            <w:tcW w:w="90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F3119A"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 xml:space="preserve">14 </w:t>
            </w:r>
          </w:p>
        </w:tc>
        <w:tc>
          <w:tcPr>
            <w:tcW w:w="990" w:type="dxa"/>
            <w:tcBorders>
              <w:top w:val="single" w:sz="4" w:space="0" w:color="000000"/>
              <w:left w:val="single" w:sz="2" w:space="0" w:color="000000"/>
              <w:bottom w:val="single" w:sz="2" w:space="0" w:color="000000"/>
              <w:right w:val="single" w:sz="2" w:space="0" w:color="000000"/>
            </w:tcBorders>
          </w:tcPr>
          <w:p w14:paraId="3CF704C2"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39</w:t>
            </w:r>
          </w:p>
        </w:tc>
        <w:tc>
          <w:tcPr>
            <w:tcW w:w="99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B7E48B6"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 xml:space="preserve">3 </w:t>
            </w:r>
          </w:p>
        </w:tc>
        <w:tc>
          <w:tcPr>
            <w:tcW w:w="990" w:type="dxa"/>
            <w:tcBorders>
              <w:top w:val="single" w:sz="4" w:space="0" w:color="000000"/>
              <w:left w:val="single" w:sz="2" w:space="0" w:color="000000"/>
              <w:bottom w:val="single" w:sz="2" w:space="0" w:color="000000"/>
              <w:right w:val="single" w:sz="2" w:space="0" w:color="000000"/>
            </w:tcBorders>
          </w:tcPr>
          <w:p w14:paraId="66B85DD5"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8</w:t>
            </w:r>
          </w:p>
        </w:tc>
        <w:tc>
          <w:tcPr>
            <w:tcW w:w="99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F4ADFD"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 xml:space="preserve">  36 </w:t>
            </w:r>
          </w:p>
        </w:tc>
        <w:tc>
          <w:tcPr>
            <w:tcW w:w="990" w:type="dxa"/>
            <w:tcBorders>
              <w:top w:val="single" w:sz="4" w:space="0" w:color="000000"/>
              <w:left w:val="single" w:sz="2" w:space="0" w:color="000000"/>
              <w:bottom w:val="single" w:sz="2" w:space="0" w:color="000000"/>
              <w:right w:val="single" w:sz="2" w:space="0" w:color="000000"/>
            </w:tcBorders>
          </w:tcPr>
          <w:p w14:paraId="4AC3952E"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100</w:t>
            </w:r>
          </w:p>
        </w:tc>
      </w:tr>
      <w:tr w:rsidR="00B13511" w:rsidRPr="00B13511" w14:paraId="72AC660E" w14:textId="77777777" w:rsidTr="002C16F8">
        <w:trPr>
          <w:trHeight w:val="279"/>
        </w:trPr>
        <w:tc>
          <w:tcPr>
            <w:tcW w:w="1532" w:type="dxa"/>
            <w:tcBorders>
              <w:top w:val="single" w:sz="2" w:space="0" w:color="000000"/>
              <w:left w:val="single" w:sz="2" w:space="0" w:color="000000"/>
              <w:bottom w:val="single" w:sz="2" w:space="0" w:color="000000"/>
              <w:right w:val="single" w:sz="4" w:space="0" w:color="000000"/>
            </w:tcBorders>
            <w:shd w:val="clear" w:color="auto" w:fill="FBFBF8" w:themeFill="background2" w:themeFillTint="33"/>
            <w:tcMar>
              <w:top w:w="80" w:type="dxa"/>
              <w:left w:w="80" w:type="dxa"/>
              <w:bottom w:w="80" w:type="dxa"/>
              <w:right w:w="80" w:type="dxa"/>
            </w:tcMar>
          </w:tcPr>
          <w:p w14:paraId="259C98AB" w14:textId="77777777" w:rsidR="00701279" w:rsidRPr="00B13511" w:rsidRDefault="00701279" w:rsidP="00FD1202">
            <w:pPr>
              <w:pStyle w:val="TableStyle1"/>
              <w:rPr>
                <w:rFonts w:asciiTheme="minorHAnsi" w:hAnsiTheme="minorHAnsi" w:cs="Times New Roman"/>
                <w:b w:val="0"/>
                <w:color w:val="auto"/>
                <w:sz w:val="24"/>
                <w:szCs w:val="24"/>
              </w:rPr>
            </w:pPr>
            <w:r w:rsidRPr="00B13511">
              <w:rPr>
                <w:rFonts w:asciiTheme="minorHAnsi" w:hAnsiTheme="minorHAnsi" w:cs="Times New Roman"/>
                <w:b w:val="0"/>
                <w:color w:val="auto"/>
                <w:sz w:val="24"/>
                <w:szCs w:val="24"/>
              </w:rPr>
              <w:t>Bradwall</w:t>
            </w:r>
          </w:p>
        </w:tc>
        <w:tc>
          <w:tcPr>
            <w:tcW w:w="808"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0399A6E0"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 xml:space="preserve">  95 </w:t>
            </w:r>
          </w:p>
        </w:tc>
        <w:tc>
          <w:tcPr>
            <w:tcW w:w="973" w:type="dxa"/>
            <w:tcBorders>
              <w:top w:val="single" w:sz="2" w:space="0" w:color="000000"/>
              <w:left w:val="single" w:sz="2" w:space="0" w:color="000000"/>
              <w:bottom w:val="single" w:sz="2" w:space="0" w:color="000000"/>
              <w:right w:val="single" w:sz="2" w:space="0" w:color="000000"/>
            </w:tcBorders>
          </w:tcPr>
          <w:p w14:paraId="38A38F2E"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67</w:t>
            </w:r>
          </w:p>
        </w:tc>
        <w:tc>
          <w:tcPr>
            <w:tcW w:w="9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B8AD33"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 xml:space="preserve">43 </w:t>
            </w:r>
          </w:p>
        </w:tc>
        <w:tc>
          <w:tcPr>
            <w:tcW w:w="990" w:type="dxa"/>
            <w:tcBorders>
              <w:top w:val="single" w:sz="2" w:space="0" w:color="000000"/>
              <w:left w:val="single" w:sz="2" w:space="0" w:color="000000"/>
              <w:bottom w:val="single" w:sz="2" w:space="0" w:color="000000"/>
              <w:right w:val="single" w:sz="2" w:space="0" w:color="000000"/>
            </w:tcBorders>
          </w:tcPr>
          <w:p w14:paraId="48D98765"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30</w:t>
            </w:r>
          </w:p>
        </w:tc>
        <w:tc>
          <w:tcPr>
            <w:tcW w:w="9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2C0FEC"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 xml:space="preserve">4 </w:t>
            </w:r>
          </w:p>
        </w:tc>
        <w:tc>
          <w:tcPr>
            <w:tcW w:w="990" w:type="dxa"/>
            <w:tcBorders>
              <w:top w:val="single" w:sz="2" w:space="0" w:color="000000"/>
              <w:left w:val="single" w:sz="2" w:space="0" w:color="000000"/>
              <w:bottom w:val="single" w:sz="2" w:space="0" w:color="000000"/>
              <w:right w:val="single" w:sz="2" w:space="0" w:color="000000"/>
            </w:tcBorders>
          </w:tcPr>
          <w:p w14:paraId="216BAF99"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3</w:t>
            </w:r>
          </w:p>
        </w:tc>
        <w:tc>
          <w:tcPr>
            <w:tcW w:w="9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3C3269"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 xml:space="preserve">142 </w:t>
            </w:r>
          </w:p>
        </w:tc>
        <w:tc>
          <w:tcPr>
            <w:tcW w:w="990" w:type="dxa"/>
            <w:tcBorders>
              <w:top w:val="single" w:sz="2" w:space="0" w:color="000000"/>
              <w:left w:val="single" w:sz="2" w:space="0" w:color="000000"/>
              <w:bottom w:val="single" w:sz="2" w:space="0" w:color="000000"/>
              <w:right w:val="single" w:sz="2" w:space="0" w:color="000000"/>
            </w:tcBorders>
          </w:tcPr>
          <w:p w14:paraId="0F66B7F8"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100</w:t>
            </w:r>
          </w:p>
        </w:tc>
      </w:tr>
      <w:tr w:rsidR="00B13511" w:rsidRPr="00B13511" w14:paraId="32ED754B" w14:textId="77777777" w:rsidTr="002C16F8">
        <w:trPr>
          <w:trHeight w:val="279"/>
        </w:trPr>
        <w:tc>
          <w:tcPr>
            <w:tcW w:w="1532" w:type="dxa"/>
            <w:tcBorders>
              <w:top w:val="single" w:sz="2" w:space="0" w:color="000000"/>
              <w:left w:val="single" w:sz="2" w:space="0" w:color="000000"/>
              <w:bottom w:val="single" w:sz="2" w:space="0" w:color="000000"/>
              <w:right w:val="single" w:sz="4" w:space="0" w:color="000000"/>
            </w:tcBorders>
            <w:shd w:val="clear" w:color="auto" w:fill="FBFBF8" w:themeFill="background2" w:themeFillTint="33"/>
            <w:tcMar>
              <w:top w:w="80" w:type="dxa"/>
              <w:left w:w="80" w:type="dxa"/>
              <w:bottom w:w="80" w:type="dxa"/>
              <w:right w:w="80" w:type="dxa"/>
            </w:tcMar>
          </w:tcPr>
          <w:p w14:paraId="5AD4136E" w14:textId="77777777" w:rsidR="00701279" w:rsidRPr="00B13511" w:rsidRDefault="00701279" w:rsidP="00FD1202">
            <w:pPr>
              <w:pStyle w:val="TableStyle1"/>
              <w:rPr>
                <w:rFonts w:asciiTheme="minorHAnsi" w:hAnsiTheme="minorHAnsi" w:cs="Times New Roman"/>
                <w:b w:val="0"/>
                <w:color w:val="auto"/>
                <w:sz w:val="24"/>
                <w:szCs w:val="24"/>
              </w:rPr>
            </w:pPr>
            <w:r w:rsidRPr="00B13511">
              <w:rPr>
                <w:rFonts w:asciiTheme="minorHAnsi" w:hAnsiTheme="minorHAnsi" w:cs="Times New Roman"/>
                <w:b w:val="0"/>
                <w:color w:val="auto"/>
                <w:sz w:val="24"/>
                <w:szCs w:val="24"/>
              </w:rPr>
              <w:t>Indefatigable</w:t>
            </w:r>
          </w:p>
        </w:tc>
        <w:tc>
          <w:tcPr>
            <w:tcW w:w="808"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14FA55FB"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 xml:space="preserve">  49 </w:t>
            </w:r>
          </w:p>
        </w:tc>
        <w:tc>
          <w:tcPr>
            <w:tcW w:w="973" w:type="dxa"/>
            <w:tcBorders>
              <w:top w:val="single" w:sz="2" w:space="0" w:color="000000"/>
              <w:left w:val="single" w:sz="2" w:space="0" w:color="000000"/>
              <w:bottom w:val="single" w:sz="2" w:space="0" w:color="000000"/>
              <w:right w:val="single" w:sz="2" w:space="0" w:color="000000"/>
            </w:tcBorders>
          </w:tcPr>
          <w:p w14:paraId="62C12AB0"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98</w:t>
            </w:r>
          </w:p>
        </w:tc>
        <w:tc>
          <w:tcPr>
            <w:tcW w:w="9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8F9E18"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 xml:space="preserve">  1 </w:t>
            </w:r>
          </w:p>
        </w:tc>
        <w:tc>
          <w:tcPr>
            <w:tcW w:w="990" w:type="dxa"/>
            <w:tcBorders>
              <w:top w:val="single" w:sz="2" w:space="0" w:color="000000"/>
              <w:left w:val="single" w:sz="2" w:space="0" w:color="000000"/>
              <w:bottom w:val="single" w:sz="2" w:space="0" w:color="000000"/>
              <w:right w:val="single" w:sz="2" w:space="0" w:color="000000"/>
            </w:tcBorders>
          </w:tcPr>
          <w:p w14:paraId="4BB0D7BC"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2</w:t>
            </w:r>
          </w:p>
        </w:tc>
        <w:tc>
          <w:tcPr>
            <w:tcW w:w="9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51190B"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 xml:space="preserve">0 </w:t>
            </w:r>
          </w:p>
        </w:tc>
        <w:tc>
          <w:tcPr>
            <w:tcW w:w="990" w:type="dxa"/>
            <w:tcBorders>
              <w:top w:val="single" w:sz="2" w:space="0" w:color="000000"/>
              <w:left w:val="single" w:sz="2" w:space="0" w:color="000000"/>
              <w:bottom w:val="single" w:sz="2" w:space="0" w:color="000000"/>
              <w:right w:val="single" w:sz="2" w:space="0" w:color="000000"/>
            </w:tcBorders>
          </w:tcPr>
          <w:p w14:paraId="743A9B5A"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0</w:t>
            </w:r>
          </w:p>
        </w:tc>
        <w:tc>
          <w:tcPr>
            <w:tcW w:w="9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66BC2B"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 xml:space="preserve">  50 </w:t>
            </w:r>
          </w:p>
        </w:tc>
        <w:tc>
          <w:tcPr>
            <w:tcW w:w="990" w:type="dxa"/>
            <w:tcBorders>
              <w:top w:val="single" w:sz="2" w:space="0" w:color="000000"/>
              <w:left w:val="single" w:sz="2" w:space="0" w:color="000000"/>
              <w:bottom w:val="single" w:sz="2" w:space="0" w:color="000000"/>
              <w:right w:val="single" w:sz="2" w:space="0" w:color="000000"/>
            </w:tcBorders>
          </w:tcPr>
          <w:p w14:paraId="0B4D6377"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100</w:t>
            </w:r>
          </w:p>
        </w:tc>
      </w:tr>
      <w:tr w:rsidR="00B13511" w:rsidRPr="00B13511" w14:paraId="247CFE98" w14:textId="77777777" w:rsidTr="002C16F8">
        <w:trPr>
          <w:trHeight w:val="320"/>
        </w:trPr>
        <w:tc>
          <w:tcPr>
            <w:tcW w:w="1532" w:type="dxa"/>
            <w:tcBorders>
              <w:top w:val="single" w:sz="2" w:space="0" w:color="000000"/>
              <w:left w:val="single" w:sz="2" w:space="0" w:color="000000"/>
              <w:bottom w:val="single" w:sz="2" w:space="0" w:color="000000"/>
              <w:right w:val="single" w:sz="4" w:space="0" w:color="000000"/>
            </w:tcBorders>
            <w:shd w:val="clear" w:color="auto" w:fill="FBFBF8" w:themeFill="background2" w:themeFillTint="33"/>
            <w:tcMar>
              <w:top w:w="80" w:type="dxa"/>
              <w:left w:w="80" w:type="dxa"/>
              <w:bottom w:w="80" w:type="dxa"/>
              <w:right w:w="80" w:type="dxa"/>
            </w:tcMar>
          </w:tcPr>
          <w:p w14:paraId="5AB98667" w14:textId="77777777" w:rsidR="00701279" w:rsidRPr="00B13511" w:rsidRDefault="00701279" w:rsidP="00FD1202">
            <w:pPr>
              <w:pStyle w:val="TableStyle1"/>
              <w:rPr>
                <w:rFonts w:asciiTheme="minorHAnsi" w:hAnsiTheme="minorHAnsi" w:cs="Times New Roman"/>
                <w:b w:val="0"/>
                <w:color w:val="auto"/>
                <w:sz w:val="24"/>
                <w:szCs w:val="24"/>
              </w:rPr>
            </w:pPr>
            <w:r w:rsidRPr="00B13511">
              <w:rPr>
                <w:rFonts w:asciiTheme="minorHAnsi" w:hAnsiTheme="minorHAnsi" w:cs="Times New Roman"/>
                <w:b w:val="0"/>
                <w:color w:val="auto"/>
                <w:sz w:val="24"/>
                <w:szCs w:val="24"/>
              </w:rPr>
              <w:t>Stockport</w:t>
            </w:r>
          </w:p>
        </w:tc>
        <w:tc>
          <w:tcPr>
            <w:tcW w:w="808"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1A65F430"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 xml:space="preserve">154 </w:t>
            </w:r>
          </w:p>
        </w:tc>
        <w:tc>
          <w:tcPr>
            <w:tcW w:w="973" w:type="dxa"/>
            <w:tcBorders>
              <w:top w:val="single" w:sz="2" w:space="0" w:color="000000"/>
              <w:left w:val="single" w:sz="2" w:space="0" w:color="000000"/>
              <w:bottom w:val="single" w:sz="2" w:space="0" w:color="000000"/>
              <w:right w:val="single" w:sz="2" w:space="0" w:color="000000"/>
            </w:tcBorders>
          </w:tcPr>
          <w:p w14:paraId="545595F3"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89</w:t>
            </w:r>
          </w:p>
        </w:tc>
        <w:tc>
          <w:tcPr>
            <w:tcW w:w="9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66742D"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 xml:space="preserve">17 </w:t>
            </w:r>
          </w:p>
        </w:tc>
        <w:tc>
          <w:tcPr>
            <w:tcW w:w="990" w:type="dxa"/>
            <w:tcBorders>
              <w:top w:val="single" w:sz="2" w:space="0" w:color="000000"/>
              <w:left w:val="single" w:sz="2" w:space="0" w:color="000000"/>
              <w:bottom w:val="single" w:sz="2" w:space="0" w:color="000000"/>
              <w:right w:val="single" w:sz="2" w:space="0" w:color="000000"/>
            </w:tcBorders>
          </w:tcPr>
          <w:p w14:paraId="5F83C793"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10</w:t>
            </w:r>
          </w:p>
        </w:tc>
        <w:tc>
          <w:tcPr>
            <w:tcW w:w="9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8C3B86"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 xml:space="preserve">1 </w:t>
            </w:r>
          </w:p>
        </w:tc>
        <w:tc>
          <w:tcPr>
            <w:tcW w:w="990" w:type="dxa"/>
            <w:tcBorders>
              <w:top w:val="single" w:sz="2" w:space="0" w:color="000000"/>
              <w:left w:val="single" w:sz="2" w:space="0" w:color="000000"/>
              <w:bottom w:val="single" w:sz="2" w:space="0" w:color="000000"/>
              <w:right w:val="single" w:sz="2" w:space="0" w:color="000000"/>
            </w:tcBorders>
          </w:tcPr>
          <w:p w14:paraId="67D47DD0"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1</w:t>
            </w:r>
          </w:p>
        </w:tc>
        <w:tc>
          <w:tcPr>
            <w:tcW w:w="9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EB713F"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 xml:space="preserve">172 </w:t>
            </w:r>
          </w:p>
        </w:tc>
        <w:tc>
          <w:tcPr>
            <w:tcW w:w="990" w:type="dxa"/>
            <w:tcBorders>
              <w:top w:val="single" w:sz="2" w:space="0" w:color="000000"/>
              <w:left w:val="single" w:sz="2" w:space="0" w:color="000000"/>
              <w:bottom w:val="single" w:sz="2" w:space="0" w:color="000000"/>
              <w:right w:val="single" w:sz="2" w:space="0" w:color="000000"/>
            </w:tcBorders>
          </w:tcPr>
          <w:p w14:paraId="2C64722D"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100</w:t>
            </w:r>
          </w:p>
        </w:tc>
      </w:tr>
      <w:tr w:rsidR="00B13511" w:rsidRPr="00B13511" w14:paraId="3FDC103B" w14:textId="77777777" w:rsidTr="002C16F8">
        <w:trPr>
          <w:trHeight w:val="279"/>
        </w:trPr>
        <w:tc>
          <w:tcPr>
            <w:tcW w:w="1532" w:type="dxa"/>
            <w:tcBorders>
              <w:top w:val="single" w:sz="2" w:space="0" w:color="000000"/>
              <w:left w:val="single" w:sz="2" w:space="0" w:color="000000"/>
              <w:bottom w:val="single" w:sz="2" w:space="0" w:color="000000"/>
              <w:right w:val="single" w:sz="4" w:space="0" w:color="000000"/>
            </w:tcBorders>
            <w:shd w:val="clear" w:color="auto" w:fill="FBFBF8" w:themeFill="background2" w:themeFillTint="33"/>
            <w:tcMar>
              <w:top w:w="80" w:type="dxa"/>
              <w:left w:w="80" w:type="dxa"/>
              <w:bottom w:w="80" w:type="dxa"/>
              <w:right w:w="80" w:type="dxa"/>
            </w:tcMar>
          </w:tcPr>
          <w:p w14:paraId="6A3FC351" w14:textId="77777777" w:rsidR="00701279" w:rsidRPr="00B13511" w:rsidRDefault="00701279" w:rsidP="00FD1202">
            <w:pPr>
              <w:pStyle w:val="TableStyle1"/>
              <w:rPr>
                <w:rFonts w:asciiTheme="minorHAnsi" w:hAnsiTheme="minorHAnsi" w:cs="Times New Roman"/>
                <w:b w:val="0"/>
                <w:color w:val="auto"/>
                <w:sz w:val="24"/>
                <w:szCs w:val="24"/>
              </w:rPr>
            </w:pPr>
            <w:r w:rsidRPr="00B13511">
              <w:rPr>
                <w:rFonts w:asciiTheme="minorHAnsi" w:hAnsiTheme="minorHAnsi" w:cs="Times New Roman"/>
                <w:b w:val="0"/>
                <w:color w:val="auto"/>
                <w:sz w:val="24"/>
                <w:szCs w:val="24"/>
              </w:rPr>
              <w:t>Totals</w:t>
            </w:r>
          </w:p>
        </w:tc>
        <w:tc>
          <w:tcPr>
            <w:tcW w:w="808"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2B34D9D0"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 xml:space="preserve">317 </w:t>
            </w:r>
          </w:p>
        </w:tc>
        <w:tc>
          <w:tcPr>
            <w:tcW w:w="973" w:type="dxa"/>
            <w:tcBorders>
              <w:top w:val="single" w:sz="2" w:space="0" w:color="000000"/>
              <w:left w:val="single" w:sz="2" w:space="0" w:color="000000"/>
              <w:bottom w:val="single" w:sz="2" w:space="0" w:color="000000"/>
              <w:right w:val="single" w:sz="2" w:space="0" w:color="000000"/>
            </w:tcBorders>
          </w:tcPr>
          <w:p w14:paraId="2594BCCF"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79</w:t>
            </w:r>
          </w:p>
        </w:tc>
        <w:tc>
          <w:tcPr>
            <w:tcW w:w="9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C062C"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 xml:space="preserve">75 </w:t>
            </w:r>
          </w:p>
        </w:tc>
        <w:tc>
          <w:tcPr>
            <w:tcW w:w="990" w:type="dxa"/>
            <w:tcBorders>
              <w:top w:val="single" w:sz="2" w:space="0" w:color="000000"/>
              <w:left w:val="single" w:sz="2" w:space="0" w:color="000000"/>
              <w:bottom w:val="single" w:sz="2" w:space="0" w:color="000000"/>
              <w:right w:val="single" w:sz="2" w:space="0" w:color="000000"/>
            </w:tcBorders>
          </w:tcPr>
          <w:p w14:paraId="0C25AFF0"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19</w:t>
            </w:r>
          </w:p>
        </w:tc>
        <w:tc>
          <w:tcPr>
            <w:tcW w:w="9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DB3786"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8</w:t>
            </w:r>
          </w:p>
        </w:tc>
        <w:tc>
          <w:tcPr>
            <w:tcW w:w="990" w:type="dxa"/>
            <w:tcBorders>
              <w:top w:val="single" w:sz="2" w:space="0" w:color="000000"/>
              <w:left w:val="single" w:sz="2" w:space="0" w:color="000000"/>
              <w:bottom w:val="single" w:sz="2" w:space="0" w:color="000000"/>
              <w:right w:val="single" w:sz="2" w:space="0" w:color="000000"/>
            </w:tcBorders>
          </w:tcPr>
          <w:p w14:paraId="20EDBF09"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2</w:t>
            </w:r>
          </w:p>
        </w:tc>
        <w:tc>
          <w:tcPr>
            <w:tcW w:w="9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C68E51"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 xml:space="preserve">400 </w:t>
            </w:r>
          </w:p>
        </w:tc>
        <w:tc>
          <w:tcPr>
            <w:tcW w:w="990" w:type="dxa"/>
            <w:tcBorders>
              <w:top w:val="single" w:sz="2" w:space="0" w:color="000000"/>
              <w:left w:val="single" w:sz="2" w:space="0" w:color="000000"/>
              <w:bottom w:val="single" w:sz="2" w:space="0" w:color="000000"/>
              <w:right w:val="single" w:sz="2" w:space="0" w:color="000000"/>
            </w:tcBorders>
          </w:tcPr>
          <w:p w14:paraId="6B4E8F4B" w14:textId="77777777" w:rsidR="00701279" w:rsidRPr="00B13511" w:rsidRDefault="00701279" w:rsidP="00FD1202">
            <w:pPr>
              <w:pStyle w:val="TableStyle2"/>
              <w:jc w:val="right"/>
              <w:rPr>
                <w:rFonts w:asciiTheme="minorHAnsi" w:hAnsiTheme="minorHAnsi" w:cs="Times New Roman"/>
                <w:color w:val="auto"/>
                <w:sz w:val="24"/>
                <w:szCs w:val="24"/>
              </w:rPr>
            </w:pPr>
            <w:r w:rsidRPr="00B13511">
              <w:rPr>
                <w:rFonts w:asciiTheme="minorHAnsi" w:hAnsiTheme="minorHAnsi" w:cs="Times New Roman"/>
                <w:color w:val="auto"/>
                <w:sz w:val="24"/>
                <w:szCs w:val="24"/>
              </w:rPr>
              <w:t>100</w:t>
            </w:r>
          </w:p>
        </w:tc>
      </w:tr>
    </w:tbl>
    <w:p w14:paraId="78677522" w14:textId="77777777" w:rsidR="00701279" w:rsidRPr="00B13511" w:rsidRDefault="00701279" w:rsidP="00825C25">
      <w:pPr>
        <w:spacing w:line="360" w:lineRule="auto"/>
        <w:rPr>
          <w:sz w:val="24"/>
          <w:szCs w:val="24"/>
        </w:rPr>
      </w:pPr>
    </w:p>
    <w:p w14:paraId="3405810E" w14:textId="54788E2D" w:rsidR="005A6E50" w:rsidRPr="00EB1528" w:rsidRDefault="009F0749" w:rsidP="00825C25">
      <w:pPr>
        <w:spacing w:line="360" w:lineRule="auto"/>
        <w:rPr>
          <w:sz w:val="24"/>
          <w:szCs w:val="24"/>
        </w:rPr>
      </w:pPr>
      <w:r w:rsidRPr="00EB1528">
        <w:rPr>
          <w:sz w:val="24"/>
          <w:szCs w:val="24"/>
        </w:rPr>
        <w:t xml:space="preserve">It is important to note here that </w:t>
      </w:r>
      <w:r w:rsidR="00742567" w:rsidRPr="00EB1528">
        <w:rPr>
          <w:sz w:val="24"/>
          <w:szCs w:val="24"/>
        </w:rPr>
        <w:t>only 25</w:t>
      </w:r>
      <w:r w:rsidR="00A67635">
        <w:rPr>
          <w:sz w:val="24"/>
          <w:szCs w:val="24"/>
        </w:rPr>
        <w:t>%</w:t>
      </w:r>
      <w:r w:rsidR="00742567" w:rsidRPr="00EB1528">
        <w:rPr>
          <w:sz w:val="24"/>
          <w:szCs w:val="24"/>
        </w:rPr>
        <w:t xml:space="preserve"> </w:t>
      </w:r>
      <w:r w:rsidRPr="00EB1528">
        <w:rPr>
          <w:sz w:val="24"/>
          <w:szCs w:val="24"/>
        </w:rPr>
        <w:t xml:space="preserve">of these children had offended </w:t>
      </w:r>
      <w:r w:rsidR="00E25767" w:rsidRPr="00EB1528">
        <w:rPr>
          <w:sz w:val="24"/>
          <w:szCs w:val="24"/>
        </w:rPr>
        <w:t xml:space="preserve">at all </w:t>
      </w:r>
      <w:r w:rsidRPr="00EB1528">
        <w:rPr>
          <w:sz w:val="24"/>
          <w:szCs w:val="24"/>
        </w:rPr>
        <w:t>prior to their admission to the institution</w:t>
      </w:r>
      <w:r w:rsidR="00742567" w:rsidRPr="00EB1528">
        <w:rPr>
          <w:sz w:val="24"/>
          <w:szCs w:val="24"/>
        </w:rPr>
        <w:t xml:space="preserve"> an</w:t>
      </w:r>
      <w:r w:rsidR="00E25767" w:rsidRPr="00EB1528">
        <w:rPr>
          <w:sz w:val="24"/>
          <w:szCs w:val="24"/>
        </w:rPr>
        <w:t xml:space="preserve">d that their offences were trivial </w:t>
      </w:r>
      <w:r w:rsidR="00742567" w:rsidRPr="00EB1528">
        <w:rPr>
          <w:sz w:val="24"/>
          <w:szCs w:val="24"/>
        </w:rPr>
        <w:t xml:space="preserve">involving minor theft, public order and regulatory offences, notably around street play. The remaining </w:t>
      </w:r>
      <w:r w:rsidR="00E25767" w:rsidRPr="00EB1528">
        <w:rPr>
          <w:sz w:val="24"/>
          <w:szCs w:val="24"/>
        </w:rPr>
        <w:t>75</w:t>
      </w:r>
      <w:r w:rsidR="00A67635">
        <w:rPr>
          <w:sz w:val="24"/>
          <w:szCs w:val="24"/>
        </w:rPr>
        <w:t>%</w:t>
      </w:r>
      <w:r w:rsidR="00E25767" w:rsidRPr="00EB1528">
        <w:rPr>
          <w:sz w:val="24"/>
          <w:szCs w:val="24"/>
        </w:rPr>
        <w:t xml:space="preserve"> had been sent to SIS for truancy (</w:t>
      </w:r>
      <w:r w:rsidR="00A67635">
        <w:rPr>
          <w:sz w:val="24"/>
          <w:szCs w:val="24"/>
        </w:rPr>
        <w:t>19%</w:t>
      </w:r>
      <w:r w:rsidR="00E25767" w:rsidRPr="00EB1528">
        <w:rPr>
          <w:sz w:val="24"/>
          <w:szCs w:val="24"/>
        </w:rPr>
        <w:t>), vagrancy (</w:t>
      </w:r>
      <w:r w:rsidR="00A67635">
        <w:rPr>
          <w:sz w:val="24"/>
          <w:szCs w:val="24"/>
        </w:rPr>
        <w:t>30%</w:t>
      </w:r>
      <w:r w:rsidR="00E25767" w:rsidRPr="00EB1528">
        <w:rPr>
          <w:sz w:val="24"/>
          <w:szCs w:val="24"/>
        </w:rPr>
        <w:t>), having inadequate parents (12</w:t>
      </w:r>
      <w:r w:rsidR="00A67635">
        <w:rPr>
          <w:sz w:val="24"/>
          <w:szCs w:val="24"/>
        </w:rPr>
        <w:t>%</w:t>
      </w:r>
      <w:r w:rsidR="00E25767" w:rsidRPr="00EB1528">
        <w:rPr>
          <w:sz w:val="24"/>
          <w:szCs w:val="24"/>
        </w:rPr>
        <w:t>), being out of control (10</w:t>
      </w:r>
      <w:r w:rsidR="00A67635">
        <w:rPr>
          <w:sz w:val="24"/>
          <w:szCs w:val="24"/>
        </w:rPr>
        <w:t>%</w:t>
      </w:r>
      <w:r w:rsidR="00E25767" w:rsidRPr="00EB1528">
        <w:rPr>
          <w:sz w:val="24"/>
          <w:szCs w:val="24"/>
        </w:rPr>
        <w:t>) or having bad associations (</w:t>
      </w:r>
      <w:r w:rsidR="00A67635">
        <w:rPr>
          <w:sz w:val="24"/>
          <w:szCs w:val="24"/>
        </w:rPr>
        <w:t>3%</w:t>
      </w:r>
      <w:r w:rsidR="00E25767" w:rsidRPr="00EB1528">
        <w:rPr>
          <w:sz w:val="24"/>
          <w:szCs w:val="24"/>
        </w:rPr>
        <w:t xml:space="preserve">). </w:t>
      </w:r>
      <w:r w:rsidR="00873337" w:rsidRPr="00EB1528">
        <w:rPr>
          <w:sz w:val="24"/>
          <w:szCs w:val="24"/>
        </w:rPr>
        <w:t xml:space="preserve">Together with the </w:t>
      </w:r>
      <w:r w:rsidR="00873337" w:rsidRPr="00EB1528">
        <w:rPr>
          <w:i/>
          <w:sz w:val="24"/>
          <w:szCs w:val="24"/>
        </w:rPr>
        <w:t>Indefatigable</w:t>
      </w:r>
      <w:r w:rsidR="00873337" w:rsidRPr="00EB1528">
        <w:rPr>
          <w:sz w:val="24"/>
          <w:szCs w:val="24"/>
        </w:rPr>
        <w:t xml:space="preserve"> training ship, </w:t>
      </w:r>
      <w:r w:rsidR="00E2209C" w:rsidRPr="00EB1528">
        <w:rPr>
          <w:sz w:val="24"/>
          <w:szCs w:val="24"/>
        </w:rPr>
        <w:t xml:space="preserve">which also admitted boys in need rather than young offenders, </w:t>
      </w:r>
      <w:r w:rsidR="005A6E50" w:rsidRPr="00EB1528">
        <w:rPr>
          <w:sz w:val="24"/>
          <w:szCs w:val="24"/>
        </w:rPr>
        <w:t xml:space="preserve">SIS </w:t>
      </w:r>
      <w:r w:rsidR="00E2209C" w:rsidRPr="00EB1528">
        <w:rPr>
          <w:sz w:val="24"/>
          <w:szCs w:val="24"/>
        </w:rPr>
        <w:t xml:space="preserve">– not surprisingly </w:t>
      </w:r>
      <w:r w:rsidR="00A67635">
        <w:rPr>
          <w:sz w:val="24"/>
          <w:szCs w:val="24"/>
        </w:rPr>
        <w:t xml:space="preserve">– </w:t>
      </w:r>
      <w:r w:rsidR="005A6E50" w:rsidRPr="00EB1528">
        <w:rPr>
          <w:sz w:val="24"/>
          <w:szCs w:val="24"/>
        </w:rPr>
        <w:t xml:space="preserve">produced the </w:t>
      </w:r>
      <w:r w:rsidR="00873337" w:rsidRPr="00EB1528">
        <w:rPr>
          <w:sz w:val="24"/>
          <w:szCs w:val="24"/>
        </w:rPr>
        <w:t>best</w:t>
      </w:r>
      <w:r w:rsidR="005A6E50" w:rsidRPr="00EB1528">
        <w:rPr>
          <w:sz w:val="24"/>
          <w:szCs w:val="24"/>
        </w:rPr>
        <w:t xml:space="preserve"> post-release offending rates within our group of four institutions. Only one </w:t>
      </w:r>
      <w:r w:rsidR="00873337" w:rsidRPr="00EB1528">
        <w:rPr>
          <w:sz w:val="24"/>
          <w:szCs w:val="24"/>
        </w:rPr>
        <w:t xml:space="preserve">of the </w:t>
      </w:r>
      <w:r w:rsidR="005A6E50" w:rsidRPr="00EB1528">
        <w:rPr>
          <w:sz w:val="24"/>
          <w:szCs w:val="24"/>
        </w:rPr>
        <w:t xml:space="preserve">50 </w:t>
      </w:r>
      <w:r w:rsidR="00873337" w:rsidRPr="00EB1528">
        <w:rPr>
          <w:i/>
          <w:sz w:val="24"/>
          <w:szCs w:val="24"/>
        </w:rPr>
        <w:t>Indefatigable</w:t>
      </w:r>
      <w:r w:rsidR="00873337" w:rsidRPr="00EB1528">
        <w:rPr>
          <w:sz w:val="24"/>
          <w:szCs w:val="24"/>
        </w:rPr>
        <w:t xml:space="preserve"> </w:t>
      </w:r>
      <w:r w:rsidR="005A6E50" w:rsidRPr="00EB1528">
        <w:rPr>
          <w:sz w:val="24"/>
          <w:szCs w:val="24"/>
        </w:rPr>
        <w:t xml:space="preserve">boys </w:t>
      </w:r>
      <w:r w:rsidR="00873337" w:rsidRPr="00EB1528">
        <w:rPr>
          <w:sz w:val="24"/>
          <w:szCs w:val="24"/>
        </w:rPr>
        <w:t>in our sample</w:t>
      </w:r>
      <w:r w:rsidR="005A6E50" w:rsidRPr="00EB1528">
        <w:rPr>
          <w:sz w:val="24"/>
          <w:szCs w:val="24"/>
        </w:rPr>
        <w:t xml:space="preserve"> is known to have offended post-release. </w:t>
      </w:r>
      <w:r w:rsidR="00873337" w:rsidRPr="00EB1528">
        <w:rPr>
          <w:sz w:val="24"/>
          <w:szCs w:val="24"/>
        </w:rPr>
        <w:t>Of the two reformatories in our study, Bradwall</w:t>
      </w:r>
      <w:r w:rsidR="002452F3" w:rsidRPr="00EB1528">
        <w:rPr>
          <w:sz w:val="24"/>
          <w:szCs w:val="24"/>
        </w:rPr>
        <w:t xml:space="preserve"> </w:t>
      </w:r>
      <w:r w:rsidR="00873337" w:rsidRPr="00EB1528">
        <w:rPr>
          <w:sz w:val="24"/>
          <w:szCs w:val="24"/>
        </w:rPr>
        <w:t xml:space="preserve">produced much more positive adult outcomes of care than the </w:t>
      </w:r>
      <w:r w:rsidR="00873337" w:rsidRPr="00EB1528">
        <w:rPr>
          <w:i/>
          <w:sz w:val="24"/>
          <w:szCs w:val="24"/>
        </w:rPr>
        <w:t>Akbar</w:t>
      </w:r>
      <w:r w:rsidR="00873337" w:rsidRPr="00EB1528">
        <w:rPr>
          <w:sz w:val="24"/>
          <w:szCs w:val="24"/>
        </w:rPr>
        <w:t xml:space="preserve"> training ship.</w:t>
      </w:r>
      <w:r w:rsidR="00B21A81" w:rsidRPr="00EB1528">
        <w:rPr>
          <w:sz w:val="24"/>
          <w:szCs w:val="24"/>
        </w:rPr>
        <w:t xml:space="preserve"> One third of the </w:t>
      </w:r>
      <w:r w:rsidR="00873337" w:rsidRPr="00EB1528">
        <w:rPr>
          <w:sz w:val="24"/>
          <w:szCs w:val="24"/>
        </w:rPr>
        <w:t xml:space="preserve">142 Bradwall boys </w:t>
      </w:r>
      <w:r w:rsidR="00B21A81" w:rsidRPr="00EB1528">
        <w:rPr>
          <w:sz w:val="24"/>
          <w:szCs w:val="24"/>
        </w:rPr>
        <w:t xml:space="preserve">in our sample </w:t>
      </w:r>
      <w:r w:rsidR="00873337" w:rsidRPr="00EB1528">
        <w:rPr>
          <w:sz w:val="24"/>
          <w:szCs w:val="24"/>
        </w:rPr>
        <w:t xml:space="preserve">were involved in post-release offending (compared with just over one tenth of Stockport children). </w:t>
      </w:r>
      <w:r w:rsidR="00B21A81" w:rsidRPr="00EB1528">
        <w:rPr>
          <w:sz w:val="24"/>
          <w:szCs w:val="24"/>
        </w:rPr>
        <w:t>Again,</w:t>
      </w:r>
      <w:r w:rsidR="00873337" w:rsidRPr="00EB1528">
        <w:rPr>
          <w:sz w:val="24"/>
          <w:szCs w:val="24"/>
        </w:rPr>
        <w:t xml:space="preserve"> most of these offences were minor and only </w:t>
      </w:r>
      <w:r w:rsidR="00DD5F78" w:rsidRPr="00EB1528">
        <w:rPr>
          <w:sz w:val="24"/>
          <w:szCs w:val="24"/>
        </w:rPr>
        <w:t>four</w:t>
      </w:r>
      <w:r w:rsidR="00873337" w:rsidRPr="00EB1528">
        <w:rPr>
          <w:sz w:val="24"/>
          <w:szCs w:val="24"/>
        </w:rPr>
        <w:t xml:space="preserve"> individuals went on to commit more than five offences over their life course.</w:t>
      </w:r>
      <w:r w:rsidR="00285E65">
        <w:rPr>
          <w:sz w:val="24"/>
          <w:szCs w:val="24"/>
        </w:rPr>
        <w:t xml:space="preserve"> </w:t>
      </w:r>
      <w:r w:rsidR="00B21A81" w:rsidRPr="00EB1528">
        <w:rPr>
          <w:sz w:val="24"/>
          <w:szCs w:val="24"/>
        </w:rPr>
        <w:t xml:space="preserve">The </w:t>
      </w:r>
      <w:r w:rsidR="00B21A81" w:rsidRPr="00EB1528">
        <w:rPr>
          <w:i/>
          <w:sz w:val="24"/>
          <w:szCs w:val="24"/>
        </w:rPr>
        <w:t>Akbar</w:t>
      </w:r>
      <w:r w:rsidR="00B21A81" w:rsidRPr="00EB1528">
        <w:rPr>
          <w:sz w:val="24"/>
          <w:szCs w:val="24"/>
        </w:rPr>
        <w:t xml:space="preserve"> produced the highest post-release offending rates involving n</w:t>
      </w:r>
      <w:r w:rsidR="005A6E50" w:rsidRPr="00EB1528">
        <w:rPr>
          <w:sz w:val="24"/>
          <w:szCs w:val="24"/>
        </w:rPr>
        <w:t>early half (47</w:t>
      </w:r>
      <w:r w:rsidR="00A67635">
        <w:rPr>
          <w:sz w:val="24"/>
          <w:szCs w:val="24"/>
        </w:rPr>
        <w:t>%</w:t>
      </w:r>
      <w:r w:rsidR="005A6E50" w:rsidRPr="00EB1528">
        <w:rPr>
          <w:sz w:val="24"/>
          <w:szCs w:val="24"/>
        </w:rPr>
        <w:t xml:space="preserve">) of the </w:t>
      </w:r>
      <w:r w:rsidR="00E2209C" w:rsidRPr="00EB1528">
        <w:rPr>
          <w:sz w:val="24"/>
          <w:szCs w:val="24"/>
        </w:rPr>
        <w:t>36</w:t>
      </w:r>
      <w:r w:rsidR="005A6E50" w:rsidRPr="00EB1528">
        <w:rPr>
          <w:sz w:val="24"/>
          <w:szCs w:val="24"/>
        </w:rPr>
        <w:t xml:space="preserve"> boys </w:t>
      </w:r>
      <w:r w:rsidR="002452F3" w:rsidRPr="00EB1528">
        <w:rPr>
          <w:sz w:val="24"/>
          <w:szCs w:val="24"/>
        </w:rPr>
        <w:t xml:space="preserve">in the sample </w:t>
      </w:r>
      <w:r w:rsidR="00B21A81" w:rsidRPr="00EB1528">
        <w:rPr>
          <w:sz w:val="24"/>
          <w:szCs w:val="24"/>
        </w:rPr>
        <w:t xml:space="preserve">although </w:t>
      </w:r>
      <w:r w:rsidR="005A6E50" w:rsidRPr="00EB1528">
        <w:rPr>
          <w:sz w:val="24"/>
          <w:szCs w:val="24"/>
        </w:rPr>
        <w:t xml:space="preserve">only </w:t>
      </w:r>
      <w:r w:rsidR="00DD5F78" w:rsidRPr="00EB1528">
        <w:rPr>
          <w:sz w:val="24"/>
          <w:szCs w:val="24"/>
        </w:rPr>
        <w:t>three</w:t>
      </w:r>
      <w:r w:rsidR="005A6E50" w:rsidRPr="00EB1528">
        <w:rPr>
          <w:sz w:val="24"/>
          <w:szCs w:val="24"/>
        </w:rPr>
        <w:t xml:space="preserve"> (</w:t>
      </w:r>
      <w:r w:rsidR="00E2209C" w:rsidRPr="00EB1528">
        <w:rPr>
          <w:sz w:val="24"/>
          <w:szCs w:val="24"/>
        </w:rPr>
        <w:t>8</w:t>
      </w:r>
      <w:r w:rsidR="00A67635">
        <w:rPr>
          <w:sz w:val="24"/>
          <w:szCs w:val="24"/>
        </w:rPr>
        <w:t>%</w:t>
      </w:r>
      <w:r w:rsidR="005A6E50" w:rsidRPr="00EB1528">
        <w:rPr>
          <w:sz w:val="24"/>
          <w:szCs w:val="24"/>
        </w:rPr>
        <w:t>) committed more than five recorded crimes</w:t>
      </w:r>
      <w:r w:rsidR="002452F3" w:rsidRPr="00EB1528">
        <w:rPr>
          <w:sz w:val="24"/>
          <w:szCs w:val="24"/>
        </w:rPr>
        <w:t xml:space="preserve"> over their life course</w:t>
      </w:r>
      <w:r w:rsidR="005A6E50" w:rsidRPr="00EB1528">
        <w:rPr>
          <w:sz w:val="24"/>
          <w:szCs w:val="24"/>
        </w:rPr>
        <w:t>.</w:t>
      </w:r>
      <w:r w:rsidR="004A5162" w:rsidRPr="00EB1528">
        <w:rPr>
          <w:sz w:val="24"/>
          <w:szCs w:val="24"/>
        </w:rPr>
        <w:t xml:space="preserve"> It is significant that the</w:t>
      </w:r>
      <w:r w:rsidR="005A6E50" w:rsidRPr="00EB1528">
        <w:rPr>
          <w:sz w:val="24"/>
          <w:szCs w:val="24"/>
        </w:rPr>
        <w:t xml:space="preserve"> </w:t>
      </w:r>
      <w:r w:rsidR="005A6E50" w:rsidRPr="00EB1528">
        <w:rPr>
          <w:i/>
          <w:sz w:val="24"/>
          <w:szCs w:val="24"/>
        </w:rPr>
        <w:t>Akbar</w:t>
      </w:r>
      <w:r w:rsidR="005A6E50" w:rsidRPr="00EB1528">
        <w:rPr>
          <w:sz w:val="24"/>
          <w:szCs w:val="24"/>
        </w:rPr>
        <w:t xml:space="preserve"> </w:t>
      </w:r>
      <w:r w:rsidR="001355EA" w:rsidRPr="00EB1528">
        <w:rPr>
          <w:sz w:val="24"/>
          <w:szCs w:val="24"/>
        </w:rPr>
        <w:t xml:space="preserve">was viewed locally as a reformatory </w:t>
      </w:r>
      <w:r w:rsidR="008B41D9" w:rsidRPr="00EB1528">
        <w:rPr>
          <w:sz w:val="24"/>
          <w:szCs w:val="24"/>
        </w:rPr>
        <w:t xml:space="preserve">for </w:t>
      </w:r>
      <w:r w:rsidR="00DD133D" w:rsidRPr="00EB1528">
        <w:rPr>
          <w:sz w:val="24"/>
          <w:szCs w:val="24"/>
        </w:rPr>
        <w:t>more ‘hardened’ young offenders</w:t>
      </w:r>
      <w:r w:rsidR="008B41D9" w:rsidRPr="00EB1528">
        <w:rPr>
          <w:sz w:val="24"/>
          <w:szCs w:val="24"/>
        </w:rPr>
        <w:t xml:space="preserve"> </w:t>
      </w:r>
      <w:r w:rsidR="00DD133D" w:rsidRPr="00EB1528">
        <w:rPr>
          <w:sz w:val="24"/>
          <w:szCs w:val="24"/>
        </w:rPr>
        <w:t>believed</w:t>
      </w:r>
      <w:r w:rsidR="008B41D9" w:rsidRPr="00EB1528">
        <w:rPr>
          <w:sz w:val="24"/>
          <w:szCs w:val="24"/>
        </w:rPr>
        <w:t xml:space="preserve"> able to bear the notoriously harsh naval discipline that was common to many of </w:t>
      </w:r>
      <w:r w:rsidR="00E2209C" w:rsidRPr="00EB1528">
        <w:rPr>
          <w:sz w:val="24"/>
          <w:szCs w:val="24"/>
        </w:rPr>
        <w:t xml:space="preserve">Britain’s juvenile </w:t>
      </w:r>
      <w:r w:rsidR="00DD133D" w:rsidRPr="00EB1528">
        <w:rPr>
          <w:sz w:val="24"/>
          <w:szCs w:val="24"/>
        </w:rPr>
        <w:t>training ships.</w:t>
      </w:r>
    </w:p>
    <w:p w14:paraId="5234B88C" w14:textId="1F882386" w:rsidR="00785B84" w:rsidRDefault="00CF62A4" w:rsidP="00825C25">
      <w:pPr>
        <w:spacing w:line="360" w:lineRule="auto"/>
        <w:rPr>
          <w:sz w:val="24"/>
          <w:szCs w:val="24"/>
          <w:lang w:val="en-US"/>
        </w:rPr>
      </w:pPr>
      <w:r w:rsidRPr="00EB1528">
        <w:rPr>
          <w:sz w:val="24"/>
          <w:szCs w:val="24"/>
          <w:lang w:val="en-US"/>
        </w:rPr>
        <w:t xml:space="preserve">In terms of wider life chances within these adult outcomes, </w:t>
      </w:r>
      <w:r w:rsidR="00CC6DBF" w:rsidRPr="00EB1528">
        <w:rPr>
          <w:sz w:val="24"/>
          <w:szCs w:val="24"/>
          <w:lang w:val="en-US"/>
        </w:rPr>
        <w:t xml:space="preserve">combined analysis of data taken from our </w:t>
      </w:r>
      <w:r w:rsidR="006F76F9" w:rsidRPr="00EB1528">
        <w:rPr>
          <w:sz w:val="24"/>
          <w:szCs w:val="24"/>
          <w:lang w:val="en-US"/>
        </w:rPr>
        <w:t>full</w:t>
      </w:r>
      <w:r w:rsidR="00722864" w:rsidRPr="00EB1528">
        <w:rPr>
          <w:sz w:val="24"/>
          <w:szCs w:val="24"/>
          <w:lang w:val="en-US"/>
        </w:rPr>
        <w:t xml:space="preserve"> </w:t>
      </w:r>
      <w:r w:rsidR="00CC6DBF" w:rsidRPr="00EB1528">
        <w:rPr>
          <w:sz w:val="24"/>
          <w:szCs w:val="24"/>
          <w:lang w:val="en-US"/>
        </w:rPr>
        <w:t>sample’s</w:t>
      </w:r>
      <w:r w:rsidR="00722864" w:rsidRPr="00EB1528">
        <w:rPr>
          <w:sz w:val="24"/>
          <w:szCs w:val="24"/>
          <w:lang w:val="en-US"/>
        </w:rPr>
        <w:t xml:space="preserve"> </w:t>
      </w:r>
      <w:r w:rsidR="00CC6DBF" w:rsidRPr="00EB1528">
        <w:rPr>
          <w:sz w:val="24"/>
          <w:szCs w:val="24"/>
          <w:lang w:val="en-US"/>
        </w:rPr>
        <w:t xml:space="preserve">license records and census entries shows that </w:t>
      </w:r>
      <w:r w:rsidR="006F76F9" w:rsidRPr="00EB1528">
        <w:rPr>
          <w:sz w:val="24"/>
          <w:szCs w:val="24"/>
          <w:lang w:val="en-US"/>
        </w:rPr>
        <w:t>most</w:t>
      </w:r>
      <w:r w:rsidR="00CC6DBF" w:rsidRPr="00EB1528">
        <w:rPr>
          <w:sz w:val="24"/>
          <w:szCs w:val="24"/>
          <w:lang w:val="en-US"/>
        </w:rPr>
        <w:t xml:space="preserve"> entered three </w:t>
      </w:r>
      <w:r w:rsidR="00CC6DBF" w:rsidRPr="00EB1528">
        <w:rPr>
          <w:sz w:val="24"/>
          <w:szCs w:val="24"/>
          <w:lang w:val="en-US"/>
        </w:rPr>
        <w:lastRenderedPageBreak/>
        <w:t>broad types of employment: ‘industrial’, ‘agricultural’, ‘seafaring’. Within these, boys took jobs as</w:t>
      </w:r>
      <w:r w:rsidR="00006B7A" w:rsidRPr="00EB1528">
        <w:rPr>
          <w:sz w:val="24"/>
          <w:szCs w:val="24"/>
          <w:lang w:val="en-US"/>
        </w:rPr>
        <w:t>, for example,</w:t>
      </w:r>
      <w:r w:rsidR="00CC6DBF" w:rsidRPr="00EB1528">
        <w:rPr>
          <w:sz w:val="24"/>
          <w:szCs w:val="24"/>
          <w:lang w:val="en-US"/>
        </w:rPr>
        <w:t xml:space="preserve"> porters, agricultural labourers, wireless operators, hatters, </w:t>
      </w:r>
      <w:r w:rsidR="00280494" w:rsidRPr="00EB1528">
        <w:rPr>
          <w:sz w:val="24"/>
          <w:szCs w:val="24"/>
          <w:lang w:val="en-US"/>
        </w:rPr>
        <w:t xml:space="preserve">printers, </w:t>
      </w:r>
      <w:r w:rsidR="00CC6DBF" w:rsidRPr="00EB1528">
        <w:rPr>
          <w:sz w:val="24"/>
          <w:szCs w:val="24"/>
          <w:lang w:val="en-US"/>
        </w:rPr>
        <w:t>shoemakers, railway workers, soldiers and sailors</w:t>
      </w:r>
      <w:r w:rsidR="00B43450" w:rsidRPr="00EB1528">
        <w:rPr>
          <w:sz w:val="24"/>
          <w:szCs w:val="24"/>
          <w:lang w:val="en-US"/>
        </w:rPr>
        <w:t xml:space="preserve">, or were </w:t>
      </w:r>
      <w:r w:rsidR="00CC6DBF" w:rsidRPr="00EB1528">
        <w:rPr>
          <w:sz w:val="24"/>
          <w:szCs w:val="24"/>
          <w:lang w:val="en-US"/>
        </w:rPr>
        <w:t>self-</w:t>
      </w:r>
      <w:r w:rsidR="00006B7A" w:rsidRPr="00EB1528">
        <w:rPr>
          <w:sz w:val="24"/>
          <w:szCs w:val="24"/>
          <w:lang w:val="en-US"/>
        </w:rPr>
        <w:t xml:space="preserve">employed </w:t>
      </w:r>
      <w:r w:rsidR="00B43450" w:rsidRPr="00EB1528">
        <w:rPr>
          <w:sz w:val="24"/>
          <w:szCs w:val="24"/>
          <w:lang w:val="en-US"/>
        </w:rPr>
        <w:t>across</w:t>
      </w:r>
      <w:r w:rsidR="00006B7A" w:rsidRPr="00EB1528">
        <w:rPr>
          <w:sz w:val="24"/>
          <w:szCs w:val="24"/>
          <w:lang w:val="en-US"/>
        </w:rPr>
        <w:t xml:space="preserve"> a variety of trades</w:t>
      </w:r>
      <w:r w:rsidR="00CC6DBF" w:rsidRPr="00EB1528">
        <w:rPr>
          <w:sz w:val="24"/>
          <w:szCs w:val="24"/>
          <w:lang w:val="en-US"/>
        </w:rPr>
        <w:t xml:space="preserve">. </w:t>
      </w:r>
      <w:r w:rsidR="00125B48" w:rsidRPr="00EB1528">
        <w:rPr>
          <w:sz w:val="24"/>
          <w:szCs w:val="24"/>
          <w:lang w:val="en-US"/>
        </w:rPr>
        <w:t>Girls typically worked in textile mills and related trades</w:t>
      </w:r>
      <w:r w:rsidR="0001366A" w:rsidRPr="00EB1528">
        <w:rPr>
          <w:sz w:val="24"/>
          <w:szCs w:val="24"/>
          <w:lang w:val="en-US"/>
        </w:rPr>
        <w:t>,</w:t>
      </w:r>
      <w:r w:rsidR="00125B48" w:rsidRPr="00EB1528">
        <w:rPr>
          <w:sz w:val="24"/>
          <w:szCs w:val="24"/>
          <w:lang w:val="en-US"/>
        </w:rPr>
        <w:t xml:space="preserve"> </w:t>
      </w:r>
      <w:r w:rsidR="0001366A" w:rsidRPr="00EB1528">
        <w:rPr>
          <w:sz w:val="24"/>
          <w:szCs w:val="24"/>
          <w:lang w:val="en-US"/>
        </w:rPr>
        <w:t>in</w:t>
      </w:r>
      <w:r w:rsidR="00125B48" w:rsidRPr="00EB1528">
        <w:rPr>
          <w:sz w:val="24"/>
          <w:szCs w:val="24"/>
          <w:lang w:val="en-US"/>
        </w:rPr>
        <w:t xml:space="preserve"> domestic service</w:t>
      </w:r>
      <w:r w:rsidR="0001366A" w:rsidRPr="00EB1528">
        <w:rPr>
          <w:sz w:val="24"/>
          <w:szCs w:val="24"/>
          <w:lang w:val="en-US"/>
        </w:rPr>
        <w:t xml:space="preserve"> or retail.</w:t>
      </w:r>
      <w:r w:rsidR="00125B48" w:rsidRPr="00EB1528">
        <w:rPr>
          <w:sz w:val="24"/>
          <w:szCs w:val="24"/>
          <w:lang w:val="en-US"/>
        </w:rPr>
        <w:t xml:space="preserve"> </w:t>
      </w:r>
      <w:r w:rsidR="00006B7A" w:rsidRPr="00EB1528">
        <w:rPr>
          <w:sz w:val="24"/>
          <w:szCs w:val="24"/>
          <w:lang w:val="en-US"/>
        </w:rPr>
        <w:t>These jobs were</w:t>
      </w:r>
      <w:r w:rsidR="00CC6DBF" w:rsidRPr="00EB1528">
        <w:rPr>
          <w:sz w:val="24"/>
          <w:szCs w:val="24"/>
          <w:lang w:val="en-US"/>
        </w:rPr>
        <w:t xml:space="preserve"> part of the occupational fabric of everyday </w:t>
      </w:r>
      <w:r w:rsidR="00E41C4B">
        <w:rPr>
          <w:sz w:val="24"/>
          <w:szCs w:val="24"/>
          <w:lang w:val="en-US"/>
        </w:rPr>
        <w:t>working-class</w:t>
      </w:r>
      <w:r w:rsidR="00006B7A" w:rsidRPr="00EB1528">
        <w:rPr>
          <w:sz w:val="24"/>
          <w:szCs w:val="24"/>
          <w:lang w:val="en-US"/>
        </w:rPr>
        <w:t xml:space="preserve"> </w:t>
      </w:r>
      <w:r w:rsidR="00CC6DBF" w:rsidRPr="00EB1528">
        <w:rPr>
          <w:sz w:val="24"/>
          <w:szCs w:val="24"/>
          <w:lang w:val="en-US"/>
        </w:rPr>
        <w:t xml:space="preserve">life in </w:t>
      </w:r>
      <w:r w:rsidR="00A67635">
        <w:rPr>
          <w:sz w:val="24"/>
          <w:szCs w:val="24"/>
          <w:lang w:val="en-US"/>
        </w:rPr>
        <w:t>19th</w:t>
      </w:r>
      <w:r w:rsidR="00A67635" w:rsidRPr="00EB1528">
        <w:rPr>
          <w:sz w:val="24"/>
          <w:szCs w:val="24"/>
          <w:lang w:val="en-US"/>
        </w:rPr>
        <w:t xml:space="preserve"> </w:t>
      </w:r>
      <w:r w:rsidR="00B43450" w:rsidRPr="00EB1528">
        <w:rPr>
          <w:sz w:val="24"/>
          <w:szCs w:val="24"/>
          <w:lang w:val="en-US"/>
        </w:rPr>
        <w:t xml:space="preserve">and </w:t>
      </w:r>
      <w:r w:rsidR="00A67635">
        <w:rPr>
          <w:sz w:val="24"/>
          <w:szCs w:val="24"/>
          <w:lang w:val="en-US"/>
        </w:rPr>
        <w:t>20th</w:t>
      </w:r>
      <w:r w:rsidR="00E41C4B">
        <w:rPr>
          <w:sz w:val="24"/>
          <w:szCs w:val="24"/>
          <w:lang w:val="en-US"/>
        </w:rPr>
        <w:t>-</w:t>
      </w:r>
      <w:r w:rsidR="00B43450" w:rsidRPr="00EB1528">
        <w:rPr>
          <w:sz w:val="24"/>
          <w:szCs w:val="24"/>
          <w:lang w:val="en-US"/>
        </w:rPr>
        <w:t>century Britain and their availability played a crucial part in shaping ‘successful’ adult care outcomes.</w:t>
      </w:r>
      <w:r w:rsidR="007A3788" w:rsidRPr="00EB1528">
        <w:rPr>
          <w:sz w:val="24"/>
          <w:szCs w:val="24"/>
          <w:lang w:val="en-US"/>
        </w:rPr>
        <w:t xml:space="preserve"> </w:t>
      </w:r>
    </w:p>
    <w:p w14:paraId="4B98B11E" w14:textId="44C79FE6" w:rsidR="00F57E1A" w:rsidRPr="00EB1528" w:rsidRDefault="00F57E1A" w:rsidP="00F57E1A">
      <w:pPr>
        <w:spacing w:line="360" w:lineRule="auto"/>
        <w:rPr>
          <w:sz w:val="24"/>
          <w:szCs w:val="24"/>
        </w:rPr>
      </w:pPr>
      <w:r>
        <w:rPr>
          <w:sz w:val="24"/>
          <w:szCs w:val="24"/>
        </w:rPr>
        <w:t xml:space="preserve">For example, </w:t>
      </w:r>
      <w:r w:rsidRPr="00EB1528">
        <w:rPr>
          <w:sz w:val="24"/>
          <w:szCs w:val="24"/>
        </w:rPr>
        <w:t xml:space="preserve">Amanda B was born in Manchester in 1866 and then moved with her family to Stockport. </w:t>
      </w:r>
      <w:r w:rsidR="006B1608">
        <w:rPr>
          <w:sz w:val="24"/>
          <w:szCs w:val="24"/>
        </w:rPr>
        <w:t>She</w:t>
      </w:r>
      <w:r w:rsidRPr="00EB1528">
        <w:rPr>
          <w:sz w:val="24"/>
          <w:szCs w:val="24"/>
        </w:rPr>
        <w:t xml:space="preserve"> was admitted to SIS in 1874 at the age of </w:t>
      </w:r>
      <w:r w:rsidR="00A67635">
        <w:rPr>
          <w:sz w:val="24"/>
          <w:szCs w:val="24"/>
        </w:rPr>
        <w:t>eight</w:t>
      </w:r>
      <w:r w:rsidRPr="00EB1528">
        <w:rPr>
          <w:sz w:val="24"/>
          <w:szCs w:val="24"/>
        </w:rPr>
        <w:t xml:space="preserve"> </w:t>
      </w:r>
      <w:r>
        <w:rPr>
          <w:sz w:val="24"/>
          <w:szCs w:val="24"/>
        </w:rPr>
        <w:t xml:space="preserve">for </w:t>
      </w:r>
      <w:r w:rsidRPr="00EB1528">
        <w:rPr>
          <w:sz w:val="24"/>
          <w:szCs w:val="24"/>
        </w:rPr>
        <w:t xml:space="preserve">‘being beyond control’. Her father had recently died and her mother had apparently been admitted to Macclesfield lunatic asylum (although we found no record of her there), leaving Amanda and her five siblings in the care of her grandmother, then in her early 70s. </w:t>
      </w:r>
      <w:r>
        <w:rPr>
          <w:sz w:val="24"/>
          <w:szCs w:val="24"/>
        </w:rPr>
        <w:t>She</w:t>
      </w:r>
      <w:r w:rsidRPr="00EB1528">
        <w:rPr>
          <w:sz w:val="24"/>
          <w:szCs w:val="24"/>
        </w:rPr>
        <w:t xml:space="preserve"> had </w:t>
      </w:r>
      <w:r>
        <w:rPr>
          <w:sz w:val="24"/>
          <w:szCs w:val="24"/>
        </w:rPr>
        <w:t xml:space="preserve">been </w:t>
      </w:r>
      <w:r w:rsidRPr="00EB1528">
        <w:rPr>
          <w:sz w:val="24"/>
          <w:szCs w:val="24"/>
        </w:rPr>
        <w:t>brought to court</w:t>
      </w:r>
      <w:r>
        <w:rPr>
          <w:sz w:val="24"/>
          <w:szCs w:val="24"/>
        </w:rPr>
        <w:t xml:space="preserve"> by her teenage siblings</w:t>
      </w:r>
      <w:r w:rsidRPr="00EB1528">
        <w:rPr>
          <w:sz w:val="24"/>
          <w:szCs w:val="24"/>
        </w:rPr>
        <w:t xml:space="preserve">. Amanda was described as having been ‘very troublesome’ in the past and as having ‘taken to pilfering and staying away from home’. On admission to SIS, she was noted to be ‘healthy, clean and well-clothed’. </w:t>
      </w:r>
      <w:r>
        <w:rPr>
          <w:sz w:val="24"/>
          <w:szCs w:val="24"/>
        </w:rPr>
        <w:t>She</w:t>
      </w:r>
      <w:r w:rsidRPr="00EB1528">
        <w:rPr>
          <w:sz w:val="24"/>
          <w:szCs w:val="24"/>
        </w:rPr>
        <w:t xml:space="preserve"> was discharged from SIS in 1882 at the age of 15 or 16</w:t>
      </w:r>
      <w:r>
        <w:rPr>
          <w:sz w:val="24"/>
          <w:szCs w:val="24"/>
        </w:rPr>
        <w:t xml:space="preserve"> and</w:t>
      </w:r>
      <w:r w:rsidRPr="00EB1528">
        <w:rPr>
          <w:sz w:val="24"/>
          <w:szCs w:val="24"/>
        </w:rPr>
        <w:t xml:space="preserve"> did not appear thereafter in local criminal registers or newspaper crime reports across the period covered by our study. The 1901 census lists her, at the age of 34, as a single woman working as a ‘general domestic servant’. She was living in Stockport with a widowed grocer, and his two sons. Ten years on, </w:t>
      </w:r>
      <w:proofErr w:type="gramStart"/>
      <w:r w:rsidRPr="00EB1528">
        <w:rPr>
          <w:sz w:val="24"/>
          <w:szCs w:val="24"/>
        </w:rPr>
        <w:t>44 year old</w:t>
      </w:r>
      <w:proofErr w:type="gramEnd"/>
      <w:r w:rsidRPr="00EB1528">
        <w:rPr>
          <w:sz w:val="24"/>
          <w:szCs w:val="24"/>
        </w:rPr>
        <w:t xml:space="preserve"> Amanda was listed as a grocer in her own right </w:t>
      </w:r>
      <w:r w:rsidR="002C16F8">
        <w:rPr>
          <w:sz w:val="24"/>
          <w:szCs w:val="24"/>
        </w:rPr>
        <w:t>in a different premises</w:t>
      </w:r>
      <w:r>
        <w:rPr>
          <w:sz w:val="24"/>
          <w:szCs w:val="24"/>
        </w:rPr>
        <w:t xml:space="preserve"> </w:t>
      </w:r>
      <w:r w:rsidRPr="00EB1528">
        <w:rPr>
          <w:sz w:val="24"/>
          <w:szCs w:val="24"/>
        </w:rPr>
        <w:t xml:space="preserve">and living in a multi-generational household comprising her sister (50), brother-in-law (54), niece (21), nephew (23), and great-niece (2). All the adults, aside from </w:t>
      </w:r>
      <w:r w:rsidR="006B1608">
        <w:rPr>
          <w:sz w:val="24"/>
          <w:szCs w:val="24"/>
        </w:rPr>
        <w:t>Amanda</w:t>
      </w:r>
      <w:r w:rsidRPr="00EB1528">
        <w:rPr>
          <w:sz w:val="24"/>
          <w:szCs w:val="24"/>
        </w:rPr>
        <w:t xml:space="preserve">, were working in the hat trade. </w:t>
      </w:r>
      <w:r w:rsidR="006B1608">
        <w:rPr>
          <w:sz w:val="24"/>
          <w:szCs w:val="24"/>
        </w:rPr>
        <w:t>She</w:t>
      </w:r>
      <w:r w:rsidRPr="00EB1528">
        <w:rPr>
          <w:sz w:val="24"/>
          <w:szCs w:val="24"/>
        </w:rPr>
        <w:t xml:space="preserve"> died in Stockport at the age of 74 in 1941</w:t>
      </w:r>
      <w:r w:rsidR="006B1608">
        <w:rPr>
          <w:sz w:val="24"/>
          <w:szCs w:val="24"/>
        </w:rPr>
        <w:t xml:space="preserve">, having </w:t>
      </w:r>
      <w:r w:rsidR="001405E8">
        <w:rPr>
          <w:sz w:val="24"/>
          <w:szCs w:val="24"/>
        </w:rPr>
        <w:t>progressed f</w:t>
      </w:r>
      <w:r w:rsidR="002C16F8">
        <w:rPr>
          <w:sz w:val="24"/>
          <w:szCs w:val="24"/>
        </w:rPr>
        <w:t>r</w:t>
      </w:r>
      <w:r w:rsidR="001405E8">
        <w:rPr>
          <w:sz w:val="24"/>
          <w:szCs w:val="24"/>
        </w:rPr>
        <w:t>om domestic servant to a small-trader. We suggest this stabilised her</w:t>
      </w:r>
      <w:r w:rsidR="002C16F8">
        <w:rPr>
          <w:sz w:val="24"/>
          <w:szCs w:val="24"/>
        </w:rPr>
        <w:t xml:space="preserve"> prospects and those of her extended family</w:t>
      </w:r>
      <w:r w:rsidR="001405E8">
        <w:rPr>
          <w:sz w:val="24"/>
          <w:szCs w:val="24"/>
        </w:rPr>
        <w:t>.</w:t>
      </w:r>
    </w:p>
    <w:p w14:paraId="3BCFB912" w14:textId="14EBDA9C" w:rsidR="000B051F" w:rsidRPr="00EB1528" w:rsidRDefault="001405E8" w:rsidP="00825C25">
      <w:pPr>
        <w:spacing w:line="360" w:lineRule="auto"/>
        <w:rPr>
          <w:sz w:val="24"/>
          <w:szCs w:val="24"/>
        </w:rPr>
      </w:pPr>
      <w:r>
        <w:rPr>
          <w:sz w:val="24"/>
          <w:szCs w:val="24"/>
          <w:lang w:val="en-US"/>
        </w:rPr>
        <w:t xml:space="preserve">Unlike </w:t>
      </w:r>
      <w:r w:rsidR="007879E1">
        <w:rPr>
          <w:sz w:val="24"/>
          <w:szCs w:val="24"/>
          <w:lang w:val="en-US"/>
        </w:rPr>
        <w:t>Amanda</w:t>
      </w:r>
      <w:r>
        <w:rPr>
          <w:sz w:val="24"/>
          <w:szCs w:val="24"/>
          <w:lang w:val="en-US"/>
        </w:rPr>
        <w:t>, most women did not manage to escape a low</w:t>
      </w:r>
      <w:r w:rsidR="002C16F8">
        <w:rPr>
          <w:sz w:val="24"/>
          <w:szCs w:val="24"/>
          <w:lang w:val="en-US"/>
        </w:rPr>
        <w:t xml:space="preserve"> </w:t>
      </w:r>
      <w:r>
        <w:rPr>
          <w:sz w:val="24"/>
          <w:szCs w:val="24"/>
          <w:lang w:val="en-US"/>
        </w:rPr>
        <w:t xml:space="preserve">position in the </w:t>
      </w:r>
      <w:r w:rsidR="002C16F8">
        <w:rPr>
          <w:sz w:val="24"/>
          <w:szCs w:val="24"/>
          <w:lang w:val="en-US"/>
        </w:rPr>
        <w:t>labour force</w:t>
      </w:r>
      <w:r>
        <w:rPr>
          <w:sz w:val="24"/>
          <w:szCs w:val="24"/>
          <w:lang w:val="en-US"/>
        </w:rPr>
        <w:t xml:space="preserve">. </w:t>
      </w:r>
      <w:r w:rsidR="001A145D" w:rsidRPr="00EB1528">
        <w:rPr>
          <w:sz w:val="24"/>
          <w:szCs w:val="24"/>
          <w:lang w:val="en-US"/>
        </w:rPr>
        <w:t xml:space="preserve">At the turn of the </w:t>
      </w:r>
      <w:r w:rsidR="00455C16">
        <w:rPr>
          <w:sz w:val="24"/>
          <w:szCs w:val="24"/>
          <w:lang w:val="en-US"/>
        </w:rPr>
        <w:t>20th</w:t>
      </w:r>
      <w:r w:rsidR="00455C16" w:rsidRPr="00EB1528">
        <w:rPr>
          <w:sz w:val="24"/>
          <w:szCs w:val="24"/>
          <w:lang w:val="en-US"/>
        </w:rPr>
        <w:t xml:space="preserve"> </w:t>
      </w:r>
      <w:r w:rsidR="001A145D" w:rsidRPr="00EB1528">
        <w:rPr>
          <w:sz w:val="24"/>
          <w:szCs w:val="24"/>
          <w:lang w:val="en-US"/>
        </w:rPr>
        <w:t>century, over half of all British workers worked in partly skilled or unskilled jobs and less than a third worked in skilled occupations (Crafts and Mills, 1994: 176).</w:t>
      </w:r>
      <w:r w:rsidR="00722864" w:rsidRPr="00EB1528">
        <w:rPr>
          <w:sz w:val="24"/>
          <w:szCs w:val="24"/>
          <w:lang w:val="en-US"/>
        </w:rPr>
        <w:t xml:space="preserve"> </w:t>
      </w:r>
      <w:r w:rsidR="000B051F" w:rsidRPr="00EB1528">
        <w:rPr>
          <w:sz w:val="24"/>
          <w:szCs w:val="24"/>
        </w:rPr>
        <w:t>Military service also played a significant part in the post-release lives of many of the boys sent industrial and reformatory schools as a whole. Thirty (</w:t>
      </w:r>
      <w:r w:rsidR="00E2209C" w:rsidRPr="00EB1528">
        <w:rPr>
          <w:sz w:val="24"/>
          <w:szCs w:val="24"/>
        </w:rPr>
        <w:t>17</w:t>
      </w:r>
      <w:r w:rsidR="00455C16">
        <w:rPr>
          <w:sz w:val="24"/>
          <w:szCs w:val="24"/>
        </w:rPr>
        <w:t>%</w:t>
      </w:r>
      <w:r w:rsidR="000B051F" w:rsidRPr="00EB1528">
        <w:rPr>
          <w:sz w:val="24"/>
          <w:szCs w:val="24"/>
        </w:rPr>
        <w:t>) of our SIS sample</w:t>
      </w:r>
      <w:r w:rsidR="00E2209C" w:rsidRPr="00EB1528">
        <w:rPr>
          <w:sz w:val="24"/>
          <w:szCs w:val="24"/>
        </w:rPr>
        <w:t xml:space="preserve"> </w:t>
      </w:r>
      <w:r w:rsidR="000B051F" w:rsidRPr="00EB1528">
        <w:rPr>
          <w:sz w:val="24"/>
          <w:szCs w:val="24"/>
        </w:rPr>
        <w:t>entered the army or navy, most of them during the First World War</w:t>
      </w:r>
      <w:r w:rsidR="00144054" w:rsidRPr="00EB1528">
        <w:rPr>
          <w:sz w:val="24"/>
          <w:szCs w:val="24"/>
        </w:rPr>
        <w:t xml:space="preserve"> (Alker </w:t>
      </w:r>
      <w:r w:rsidR="00C403C3">
        <w:rPr>
          <w:sz w:val="24"/>
          <w:szCs w:val="24"/>
        </w:rPr>
        <w:t>&amp;</w:t>
      </w:r>
      <w:r w:rsidR="00C403C3" w:rsidRPr="00EB1528">
        <w:rPr>
          <w:sz w:val="24"/>
          <w:szCs w:val="24"/>
        </w:rPr>
        <w:t xml:space="preserve"> </w:t>
      </w:r>
      <w:r w:rsidR="00144054" w:rsidRPr="00EB1528">
        <w:rPr>
          <w:sz w:val="24"/>
          <w:szCs w:val="24"/>
        </w:rPr>
        <w:t>Godfrey, 2014)</w:t>
      </w:r>
      <w:r w:rsidR="000B051F" w:rsidRPr="00EB1528">
        <w:rPr>
          <w:sz w:val="24"/>
          <w:szCs w:val="24"/>
        </w:rPr>
        <w:t>.</w:t>
      </w:r>
    </w:p>
    <w:p w14:paraId="2AFBB3F8" w14:textId="04D2F6A7" w:rsidR="00D27734" w:rsidRPr="00EB1528" w:rsidRDefault="000717A8" w:rsidP="00825C25">
      <w:pPr>
        <w:spacing w:line="360" w:lineRule="auto"/>
        <w:rPr>
          <w:sz w:val="24"/>
          <w:szCs w:val="24"/>
        </w:rPr>
      </w:pPr>
      <w:r w:rsidRPr="00EB1528">
        <w:rPr>
          <w:sz w:val="24"/>
          <w:szCs w:val="24"/>
        </w:rPr>
        <w:lastRenderedPageBreak/>
        <w:t>Overall, then, children sent to SIS between the 1850s and the 1920s did</w:t>
      </w:r>
      <w:r w:rsidR="00352345" w:rsidRPr="00EB1528">
        <w:rPr>
          <w:sz w:val="24"/>
          <w:szCs w:val="24"/>
        </w:rPr>
        <w:t xml:space="preserve"> not experience cumulative disadvantage </w:t>
      </w:r>
      <w:r w:rsidR="007751EE" w:rsidRPr="00EB1528">
        <w:rPr>
          <w:sz w:val="24"/>
          <w:szCs w:val="24"/>
        </w:rPr>
        <w:t xml:space="preserve">– as defined by Sampson and Laub </w:t>
      </w:r>
      <w:r w:rsidR="00455C16">
        <w:rPr>
          <w:sz w:val="24"/>
          <w:szCs w:val="24"/>
        </w:rPr>
        <w:t>–</w:t>
      </w:r>
      <w:r w:rsidR="00455C16" w:rsidRPr="00EB1528">
        <w:rPr>
          <w:sz w:val="24"/>
          <w:szCs w:val="24"/>
        </w:rPr>
        <w:t xml:space="preserve"> </w:t>
      </w:r>
      <w:r w:rsidR="00352345" w:rsidRPr="00EB1528">
        <w:rPr>
          <w:sz w:val="24"/>
          <w:szCs w:val="24"/>
        </w:rPr>
        <w:t xml:space="preserve">as a result of their period in care. If SIS ‘worked’ as an institution, it worked because of </w:t>
      </w:r>
      <w:r w:rsidR="007751EE" w:rsidRPr="00EB1528">
        <w:rPr>
          <w:sz w:val="24"/>
          <w:szCs w:val="24"/>
        </w:rPr>
        <w:t xml:space="preserve">three </w:t>
      </w:r>
      <w:r w:rsidR="00352345" w:rsidRPr="00EB1528">
        <w:rPr>
          <w:sz w:val="24"/>
          <w:szCs w:val="24"/>
        </w:rPr>
        <w:t xml:space="preserve">particular mechanisms operating in a particular social and economic context (Pawson </w:t>
      </w:r>
      <w:r w:rsidR="00C403C3">
        <w:rPr>
          <w:sz w:val="24"/>
          <w:szCs w:val="24"/>
        </w:rPr>
        <w:t>&amp;</w:t>
      </w:r>
      <w:r w:rsidR="00C403C3" w:rsidRPr="00EB1528">
        <w:rPr>
          <w:sz w:val="24"/>
          <w:szCs w:val="24"/>
        </w:rPr>
        <w:t xml:space="preserve"> </w:t>
      </w:r>
      <w:r w:rsidR="00352345" w:rsidRPr="00EB1528">
        <w:rPr>
          <w:sz w:val="24"/>
          <w:szCs w:val="24"/>
        </w:rPr>
        <w:t>Tilley, 1994, 1997</w:t>
      </w:r>
      <w:r w:rsidR="007751EE" w:rsidRPr="00EB1528">
        <w:rPr>
          <w:sz w:val="24"/>
          <w:szCs w:val="24"/>
        </w:rPr>
        <w:t xml:space="preserve">; Godfrey </w:t>
      </w:r>
      <w:r w:rsidR="007751EE" w:rsidRPr="00C16F41">
        <w:rPr>
          <w:sz w:val="24"/>
          <w:szCs w:val="24"/>
        </w:rPr>
        <w:t>et al</w:t>
      </w:r>
      <w:r w:rsidR="00455C16">
        <w:rPr>
          <w:sz w:val="24"/>
          <w:szCs w:val="24"/>
        </w:rPr>
        <w:t>.</w:t>
      </w:r>
      <w:r w:rsidR="007751EE" w:rsidRPr="00267044">
        <w:rPr>
          <w:sz w:val="24"/>
          <w:szCs w:val="24"/>
        </w:rPr>
        <w:t>,</w:t>
      </w:r>
      <w:r w:rsidR="007751EE" w:rsidRPr="00EB1528">
        <w:rPr>
          <w:sz w:val="24"/>
          <w:szCs w:val="24"/>
        </w:rPr>
        <w:t xml:space="preserve"> 2017</w:t>
      </w:r>
      <w:r w:rsidR="00352345" w:rsidRPr="00EB1528">
        <w:rPr>
          <w:sz w:val="24"/>
          <w:szCs w:val="24"/>
        </w:rPr>
        <w:t>). First, m</w:t>
      </w:r>
      <w:r w:rsidR="00D27734" w:rsidRPr="00EB1528">
        <w:rPr>
          <w:sz w:val="24"/>
          <w:szCs w:val="24"/>
        </w:rPr>
        <w:t xml:space="preserve">ost </w:t>
      </w:r>
      <w:r w:rsidR="00352345" w:rsidRPr="00EB1528">
        <w:rPr>
          <w:sz w:val="24"/>
          <w:szCs w:val="24"/>
        </w:rPr>
        <w:t xml:space="preserve">care leavers </w:t>
      </w:r>
      <w:r w:rsidR="00D27734" w:rsidRPr="00EB1528">
        <w:rPr>
          <w:sz w:val="24"/>
          <w:szCs w:val="24"/>
        </w:rPr>
        <w:t>were placed in what would today be termed ‘through the gate’ jobs – meaning that they passed straight from the institution into supervised employment</w:t>
      </w:r>
      <w:r w:rsidRPr="00EB1528">
        <w:rPr>
          <w:sz w:val="24"/>
          <w:szCs w:val="24"/>
        </w:rPr>
        <w:t xml:space="preserve"> within a buoyant local labour market.</w:t>
      </w:r>
      <w:r w:rsidR="00D27734" w:rsidRPr="00EB1528">
        <w:rPr>
          <w:sz w:val="24"/>
          <w:szCs w:val="24"/>
        </w:rPr>
        <w:t xml:space="preserve"> </w:t>
      </w:r>
      <w:r w:rsidRPr="00EB1528">
        <w:rPr>
          <w:sz w:val="24"/>
          <w:szCs w:val="24"/>
        </w:rPr>
        <w:t xml:space="preserve">Second, </w:t>
      </w:r>
      <w:r w:rsidR="008F5D6F" w:rsidRPr="00EB1528">
        <w:rPr>
          <w:sz w:val="24"/>
          <w:szCs w:val="24"/>
        </w:rPr>
        <w:t>that</w:t>
      </w:r>
      <w:r w:rsidRPr="00EB1528">
        <w:rPr>
          <w:sz w:val="24"/>
          <w:szCs w:val="24"/>
        </w:rPr>
        <w:t xml:space="preserve"> </w:t>
      </w:r>
      <w:r w:rsidR="00D27734" w:rsidRPr="00EB1528">
        <w:rPr>
          <w:sz w:val="24"/>
          <w:szCs w:val="24"/>
        </w:rPr>
        <w:t xml:space="preserve">supervision involved an important affective dimension. </w:t>
      </w:r>
      <w:r w:rsidR="00AB0632" w:rsidRPr="00EB1528">
        <w:rPr>
          <w:sz w:val="24"/>
          <w:szCs w:val="24"/>
        </w:rPr>
        <w:t>SIS</w:t>
      </w:r>
      <w:r w:rsidR="00D27734" w:rsidRPr="00EB1528">
        <w:rPr>
          <w:sz w:val="24"/>
          <w:szCs w:val="24"/>
        </w:rPr>
        <w:t xml:space="preserve"> – like almost all </w:t>
      </w:r>
      <w:proofErr w:type="gramStart"/>
      <w:r w:rsidR="00D27734" w:rsidRPr="00EB1528">
        <w:rPr>
          <w:sz w:val="24"/>
          <w:szCs w:val="24"/>
        </w:rPr>
        <w:t>others</w:t>
      </w:r>
      <w:proofErr w:type="gramEnd"/>
      <w:r w:rsidR="00AB0632" w:rsidRPr="00EB1528">
        <w:rPr>
          <w:sz w:val="24"/>
          <w:szCs w:val="24"/>
        </w:rPr>
        <w:t xml:space="preserve"> institutions of this type during this period</w:t>
      </w:r>
      <w:r w:rsidR="00D27734" w:rsidRPr="00EB1528">
        <w:rPr>
          <w:sz w:val="24"/>
          <w:szCs w:val="24"/>
        </w:rPr>
        <w:t xml:space="preserve"> –</w:t>
      </w:r>
      <w:r w:rsidR="00352345" w:rsidRPr="00EB1528">
        <w:rPr>
          <w:sz w:val="24"/>
          <w:szCs w:val="24"/>
        </w:rPr>
        <w:t xml:space="preserve"> </w:t>
      </w:r>
      <w:r w:rsidR="00D27734" w:rsidRPr="00EB1528">
        <w:rPr>
          <w:sz w:val="24"/>
          <w:szCs w:val="24"/>
        </w:rPr>
        <w:t>operated an after-care system in which staff maintained contact with young people after they left</w:t>
      </w:r>
      <w:r w:rsidR="007751EE" w:rsidRPr="00EB1528">
        <w:rPr>
          <w:sz w:val="24"/>
          <w:szCs w:val="24"/>
        </w:rPr>
        <w:t xml:space="preserve">. </w:t>
      </w:r>
      <w:r w:rsidR="00D27734" w:rsidRPr="00EB1528">
        <w:rPr>
          <w:sz w:val="24"/>
          <w:szCs w:val="24"/>
        </w:rPr>
        <w:t>In many cases, this contact could last for decades, with both parties exchanging regular letters, sometimes across continents. Some Stockport leavers returned to visit the institution as adults. In our wider study, we argue that these ongoing relationships are likely to have contributed to these broadly positive outcomes</w:t>
      </w:r>
      <w:r w:rsidR="007751EE" w:rsidRPr="00EB1528">
        <w:rPr>
          <w:sz w:val="24"/>
          <w:szCs w:val="24"/>
        </w:rPr>
        <w:t xml:space="preserve">. </w:t>
      </w:r>
      <w:r w:rsidR="00D27734" w:rsidRPr="00EB1528">
        <w:rPr>
          <w:sz w:val="24"/>
          <w:szCs w:val="24"/>
        </w:rPr>
        <w:t xml:space="preserve">While they can never be measured in the same way as a </w:t>
      </w:r>
      <w:r w:rsidR="007751EE" w:rsidRPr="00EB1528">
        <w:rPr>
          <w:sz w:val="24"/>
          <w:szCs w:val="24"/>
        </w:rPr>
        <w:t xml:space="preserve">documented </w:t>
      </w:r>
      <w:r w:rsidR="00D27734" w:rsidRPr="00EB1528">
        <w:rPr>
          <w:sz w:val="24"/>
          <w:szCs w:val="24"/>
        </w:rPr>
        <w:t xml:space="preserve">marriage, they nevertheless </w:t>
      </w:r>
      <w:r w:rsidR="006354E8" w:rsidRPr="00EB1528">
        <w:rPr>
          <w:sz w:val="24"/>
          <w:szCs w:val="24"/>
        </w:rPr>
        <w:t xml:space="preserve">seem to have </w:t>
      </w:r>
      <w:r w:rsidR="00D27734" w:rsidRPr="00EB1528">
        <w:rPr>
          <w:sz w:val="24"/>
          <w:szCs w:val="24"/>
        </w:rPr>
        <w:t>played a key part for many.</w:t>
      </w:r>
      <w:r w:rsidR="007751EE" w:rsidRPr="00EB1528">
        <w:rPr>
          <w:sz w:val="24"/>
          <w:szCs w:val="24"/>
        </w:rPr>
        <w:t xml:space="preserve"> Third, those leaving SIS </w:t>
      </w:r>
      <w:r w:rsidR="00FA1CDA" w:rsidRPr="00EB1528">
        <w:rPr>
          <w:sz w:val="24"/>
          <w:szCs w:val="24"/>
        </w:rPr>
        <w:t>were able to find affordable housing relatively close to their workplaces and often within, or close</w:t>
      </w:r>
      <w:r w:rsidR="000F04C6" w:rsidRPr="00EB1528">
        <w:rPr>
          <w:sz w:val="24"/>
          <w:szCs w:val="24"/>
        </w:rPr>
        <w:t xml:space="preserve"> to, familiar communities. Their</w:t>
      </w:r>
      <w:r w:rsidR="00FA1CDA" w:rsidRPr="00EB1528">
        <w:rPr>
          <w:sz w:val="24"/>
          <w:szCs w:val="24"/>
        </w:rPr>
        <w:t xml:space="preserve"> communities were often poor with few amenities and </w:t>
      </w:r>
      <w:r w:rsidR="000F04C6" w:rsidRPr="00EB1528">
        <w:rPr>
          <w:sz w:val="24"/>
          <w:szCs w:val="24"/>
        </w:rPr>
        <w:t>their r</w:t>
      </w:r>
      <w:r w:rsidR="00FA1CDA" w:rsidRPr="00EB1528">
        <w:rPr>
          <w:sz w:val="24"/>
          <w:szCs w:val="24"/>
        </w:rPr>
        <w:t>ented houses often over-crowded with few facilities. However, they provided a social and economic network and, just as important, an affective relational network</w:t>
      </w:r>
      <w:r w:rsidR="00E401CF" w:rsidRPr="00EB1528">
        <w:rPr>
          <w:sz w:val="24"/>
          <w:szCs w:val="24"/>
        </w:rPr>
        <w:t xml:space="preserve"> that together, promoted social inclusion rather than exclusion.</w:t>
      </w:r>
    </w:p>
    <w:p w14:paraId="1533EF10" w14:textId="2C4D2316" w:rsidR="00785B84" w:rsidRDefault="00D27734" w:rsidP="00825C25">
      <w:pPr>
        <w:spacing w:line="360" w:lineRule="auto"/>
        <w:rPr>
          <w:sz w:val="24"/>
          <w:szCs w:val="24"/>
        </w:rPr>
      </w:pPr>
      <w:r w:rsidRPr="00EB1528">
        <w:rPr>
          <w:sz w:val="24"/>
          <w:szCs w:val="24"/>
        </w:rPr>
        <w:t>We are also very mindful</w:t>
      </w:r>
      <w:r w:rsidR="000F04C6" w:rsidRPr="00EB1528">
        <w:rPr>
          <w:sz w:val="24"/>
          <w:szCs w:val="24"/>
        </w:rPr>
        <w:t>, however,</w:t>
      </w:r>
      <w:r w:rsidRPr="00EB1528">
        <w:rPr>
          <w:sz w:val="24"/>
          <w:szCs w:val="24"/>
        </w:rPr>
        <w:t xml:space="preserve"> of </w:t>
      </w:r>
      <w:r w:rsidR="00E401CF" w:rsidRPr="00EB1528">
        <w:rPr>
          <w:sz w:val="24"/>
          <w:szCs w:val="24"/>
        </w:rPr>
        <w:t xml:space="preserve">more negative </w:t>
      </w:r>
      <w:r w:rsidRPr="00EB1528">
        <w:rPr>
          <w:sz w:val="24"/>
          <w:szCs w:val="24"/>
        </w:rPr>
        <w:t xml:space="preserve">factors that cannot be easily measured – or even documented or articulated. Child removal may have offered some clear protective effects, as indicated above. However, it </w:t>
      </w:r>
      <w:r w:rsidR="008F5D6F" w:rsidRPr="00EB1528">
        <w:rPr>
          <w:sz w:val="24"/>
          <w:szCs w:val="24"/>
        </w:rPr>
        <w:t xml:space="preserve">is </w:t>
      </w:r>
      <w:r w:rsidRPr="00EB1528">
        <w:rPr>
          <w:sz w:val="24"/>
          <w:szCs w:val="24"/>
        </w:rPr>
        <w:t xml:space="preserve">also </w:t>
      </w:r>
      <w:r w:rsidR="008F5D6F" w:rsidRPr="00EB1528">
        <w:rPr>
          <w:sz w:val="24"/>
          <w:szCs w:val="24"/>
        </w:rPr>
        <w:t xml:space="preserve">likely to have </w:t>
      </w:r>
      <w:r w:rsidRPr="00EB1528">
        <w:rPr>
          <w:sz w:val="24"/>
          <w:szCs w:val="24"/>
        </w:rPr>
        <w:t xml:space="preserve">generated harmful effects that were not limited to measurable cumulative disadvantage. </w:t>
      </w:r>
      <w:r w:rsidR="008F5D6F" w:rsidRPr="00EB1528">
        <w:rPr>
          <w:sz w:val="24"/>
          <w:szCs w:val="24"/>
        </w:rPr>
        <w:t xml:space="preserve">A further mechanism central to the ‘success’ of SIS – </w:t>
      </w:r>
      <w:r w:rsidR="00593FB2" w:rsidRPr="00EB1528">
        <w:rPr>
          <w:sz w:val="24"/>
          <w:szCs w:val="24"/>
        </w:rPr>
        <w:t>in terms of preventing</w:t>
      </w:r>
      <w:r w:rsidR="008F5D6F" w:rsidRPr="00EB1528">
        <w:rPr>
          <w:sz w:val="24"/>
          <w:szCs w:val="24"/>
        </w:rPr>
        <w:t xml:space="preserve"> offending </w:t>
      </w:r>
      <w:r w:rsidR="00593FB2" w:rsidRPr="00EB1528">
        <w:rPr>
          <w:sz w:val="24"/>
          <w:szCs w:val="24"/>
        </w:rPr>
        <w:t xml:space="preserve">and giving young people time to acquire marketable skills </w:t>
      </w:r>
      <w:r w:rsidR="008F5D6F" w:rsidRPr="00EB1528">
        <w:rPr>
          <w:sz w:val="24"/>
          <w:szCs w:val="24"/>
        </w:rPr>
        <w:t>– was</w:t>
      </w:r>
      <w:r w:rsidR="00593FB2" w:rsidRPr="00EB1528">
        <w:rPr>
          <w:sz w:val="24"/>
          <w:szCs w:val="24"/>
        </w:rPr>
        <w:t xml:space="preserve"> the long ‘sentence’ served by the children sent there. This meant that they were effectively cut off from their families for up to several years – with untold effects. </w:t>
      </w:r>
      <w:r w:rsidRPr="00EB1528">
        <w:rPr>
          <w:sz w:val="24"/>
          <w:szCs w:val="24"/>
        </w:rPr>
        <w:t>It is</w:t>
      </w:r>
      <w:r w:rsidR="00593FB2" w:rsidRPr="00EB1528">
        <w:rPr>
          <w:sz w:val="24"/>
          <w:szCs w:val="24"/>
        </w:rPr>
        <w:t xml:space="preserve"> </w:t>
      </w:r>
      <w:r w:rsidRPr="00EB1528">
        <w:rPr>
          <w:sz w:val="24"/>
          <w:szCs w:val="24"/>
        </w:rPr>
        <w:t xml:space="preserve">very possible that those care leavers who went on to lead </w:t>
      </w:r>
      <w:r w:rsidR="00593FB2" w:rsidRPr="00EB1528">
        <w:rPr>
          <w:sz w:val="24"/>
          <w:szCs w:val="24"/>
        </w:rPr>
        <w:t>‘</w:t>
      </w:r>
      <w:r w:rsidRPr="00EB1528">
        <w:rPr>
          <w:sz w:val="24"/>
          <w:szCs w:val="24"/>
        </w:rPr>
        <w:t>regular</w:t>
      </w:r>
      <w:r w:rsidR="00593FB2" w:rsidRPr="00EB1528">
        <w:rPr>
          <w:sz w:val="24"/>
          <w:szCs w:val="24"/>
        </w:rPr>
        <w:t>’</w:t>
      </w:r>
      <w:r w:rsidRPr="00EB1528">
        <w:rPr>
          <w:sz w:val="24"/>
          <w:szCs w:val="24"/>
        </w:rPr>
        <w:t xml:space="preserve"> </w:t>
      </w:r>
      <w:r w:rsidR="00E41C4B">
        <w:rPr>
          <w:sz w:val="24"/>
          <w:szCs w:val="24"/>
        </w:rPr>
        <w:t>working-class</w:t>
      </w:r>
      <w:r w:rsidRPr="00EB1528">
        <w:rPr>
          <w:sz w:val="24"/>
          <w:szCs w:val="24"/>
        </w:rPr>
        <w:t xml:space="preserve"> lives also went on to carry significant personal trauma as well as to have transmitted this in some respect to their own children. </w:t>
      </w:r>
    </w:p>
    <w:p w14:paraId="0466F49C" w14:textId="2647C23C" w:rsidR="001405E8" w:rsidRPr="00EB1528" w:rsidRDefault="001405E8" w:rsidP="001405E8">
      <w:pPr>
        <w:spacing w:line="360" w:lineRule="auto"/>
        <w:rPr>
          <w:sz w:val="24"/>
          <w:szCs w:val="24"/>
        </w:rPr>
      </w:pPr>
      <w:r>
        <w:rPr>
          <w:sz w:val="24"/>
          <w:szCs w:val="24"/>
        </w:rPr>
        <w:lastRenderedPageBreak/>
        <w:t xml:space="preserve">For example, </w:t>
      </w:r>
      <w:r w:rsidRPr="00EB1528">
        <w:rPr>
          <w:sz w:val="24"/>
          <w:szCs w:val="24"/>
        </w:rPr>
        <w:t xml:space="preserve">Margaret L’s case could be presented as an example of </w:t>
      </w:r>
      <w:r>
        <w:rPr>
          <w:sz w:val="24"/>
          <w:szCs w:val="24"/>
        </w:rPr>
        <w:t xml:space="preserve">the </w:t>
      </w:r>
      <w:r w:rsidRPr="00EB1528">
        <w:rPr>
          <w:sz w:val="24"/>
          <w:szCs w:val="24"/>
        </w:rPr>
        <w:t xml:space="preserve">intergenerational transmission of delinquency </w:t>
      </w:r>
      <w:r>
        <w:rPr>
          <w:sz w:val="24"/>
          <w:szCs w:val="24"/>
        </w:rPr>
        <w:t>or, alternatively,</w:t>
      </w:r>
      <w:r w:rsidRPr="00EB1528">
        <w:rPr>
          <w:sz w:val="24"/>
          <w:szCs w:val="24"/>
        </w:rPr>
        <w:t xml:space="preserve"> an example of how women </w:t>
      </w:r>
      <w:r>
        <w:rPr>
          <w:sz w:val="24"/>
          <w:szCs w:val="24"/>
        </w:rPr>
        <w:t xml:space="preserve">like her </w:t>
      </w:r>
      <w:r w:rsidRPr="00EB1528">
        <w:rPr>
          <w:sz w:val="24"/>
          <w:szCs w:val="24"/>
        </w:rPr>
        <w:t>managed marginality and negotiated stigma. Margaret was born in Stockport in 1860 to a single mothe</w:t>
      </w:r>
      <w:r>
        <w:rPr>
          <w:sz w:val="24"/>
          <w:szCs w:val="24"/>
        </w:rPr>
        <w:t>r</w:t>
      </w:r>
      <w:r w:rsidRPr="00EB1528">
        <w:rPr>
          <w:sz w:val="24"/>
          <w:szCs w:val="24"/>
        </w:rPr>
        <w:t xml:space="preserve"> described as a ‘greengrocer’ in 1861 and later as a ‘hawker of fruit’. A decade on, she had moved with her mother and </w:t>
      </w:r>
      <w:proofErr w:type="gramStart"/>
      <w:r>
        <w:rPr>
          <w:sz w:val="24"/>
          <w:szCs w:val="24"/>
        </w:rPr>
        <w:t>two year-old</w:t>
      </w:r>
      <w:proofErr w:type="gramEnd"/>
      <w:r w:rsidRPr="00EB1528">
        <w:rPr>
          <w:sz w:val="24"/>
          <w:szCs w:val="24"/>
        </w:rPr>
        <w:t xml:space="preserve"> brother to a lodg</w:t>
      </w:r>
      <w:r>
        <w:rPr>
          <w:sz w:val="24"/>
          <w:szCs w:val="24"/>
        </w:rPr>
        <w:t>ing house</w:t>
      </w:r>
      <w:r w:rsidRPr="00EB1528">
        <w:rPr>
          <w:sz w:val="24"/>
          <w:szCs w:val="24"/>
        </w:rPr>
        <w:t xml:space="preserve">. Her father is said to have died </w:t>
      </w:r>
      <w:r>
        <w:rPr>
          <w:sz w:val="24"/>
          <w:szCs w:val="24"/>
        </w:rPr>
        <w:t xml:space="preserve">in 1870 </w:t>
      </w:r>
      <w:r w:rsidRPr="00EB1528">
        <w:rPr>
          <w:sz w:val="24"/>
          <w:szCs w:val="24"/>
        </w:rPr>
        <w:t>although it is not clear who he was or where he lived. In April 1872, at the age of 12, Margaret was convicted of theft at Stockport magistrates’ court</w:t>
      </w:r>
      <w:r>
        <w:rPr>
          <w:sz w:val="24"/>
          <w:szCs w:val="24"/>
        </w:rPr>
        <w:t xml:space="preserve">, seemingly part of a </w:t>
      </w:r>
      <w:r w:rsidRPr="00EB1528">
        <w:rPr>
          <w:sz w:val="24"/>
          <w:szCs w:val="24"/>
        </w:rPr>
        <w:t>pattern of behaviour</w:t>
      </w:r>
      <w:r>
        <w:rPr>
          <w:sz w:val="24"/>
          <w:szCs w:val="24"/>
        </w:rPr>
        <w:t>.</w:t>
      </w:r>
      <w:r w:rsidRPr="00EB1528">
        <w:rPr>
          <w:sz w:val="24"/>
          <w:szCs w:val="24"/>
        </w:rPr>
        <w:t xml:space="preserve"> </w:t>
      </w:r>
      <w:r>
        <w:rPr>
          <w:sz w:val="24"/>
          <w:szCs w:val="24"/>
        </w:rPr>
        <w:t>T</w:t>
      </w:r>
      <w:r w:rsidRPr="00EB1528">
        <w:rPr>
          <w:sz w:val="24"/>
          <w:szCs w:val="24"/>
        </w:rPr>
        <w:t>he court noted that she was ‘in the habit of stealing from her mother and her schoolmates’</w:t>
      </w:r>
      <w:r>
        <w:rPr>
          <w:sz w:val="24"/>
          <w:szCs w:val="24"/>
        </w:rPr>
        <w:t>, and they</w:t>
      </w:r>
      <w:r w:rsidRPr="00EB1528">
        <w:rPr>
          <w:sz w:val="24"/>
          <w:szCs w:val="24"/>
        </w:rPr>
        <w:t xml:space="preserve"> sent </w:t>
      </w:r>
      <w:r>
        <w:rPr>
          <w:sz w:val="24"/>
          <w:szCs w:val="24"/>
        </w:rPr>
        <w:t xml:space="preserve">her </w:t>
      </w:r>
      <w:r w:rsidRPr="00EB1528">
        <w:rPr>
          <w:sz w:val="24"/>
          <w:szCs w:val="24"/>
        </w:rPr>
        <w:t xml:space="preserve">to </w:t>
      </w:r>
      <w:r>
        <w:rPr>
          <w:sz w:val="24"/>
          <w:szCs w:val="24"/>
        </w:rPr>
        <w:t xml:space="preserve">the </w:t>
      </w:r>
      <w:r w:rsidRPr="00EB1528">
        <w:rPr>
          <w:sz w:val="24"/>
          <w:szCs w:val="24"/>
        </w:rPr>
        <w:t xml:space="preserve">reformatory </w:t>
      </w:r>
      <w:r>
        <w:rPr>
          <w:sz w:val="24"/>
          <w:szCs w:val="24"/>
        </w:rPr>
        <w:t xml:space="preserve">for </w:t>
      </w:r>
      <w:r w:rsidRPr="00EB1528">
        <w:rPr>
          <w:sz w:val="24"/>
          <w:szCs w:val="24"/>
        </w:rPr>
        <w:t>five years</w:t>
      </w:r>
      <w:r>
        <w:rPr>
          <w:sz w:val="24"/>
          <w:szCs w:val="24"/>
        </w:rPr>
        <w:t xml:space="preserve">. </w:t>
      </w:r>
      <w:r w:rsidRPr="00EB1528">
        <w:rPr>
          <w:sz w:val="24"/>
          <w:szCs w:val="24"/>
        </w:rPr>
        <w:t>As she was under the age of 14, Margaret served her sentence in Stockport Industrial School. By 1881, now 20, Margaret was employed as a live-in domestic servant to a tailor, his wife and young family in Blackburn</w:t>
      </w:r>
      <w:r w:rsidR="00B13511">
        <w:rPr>
          <w:sz w:val="24"/>
          <w:szCs w:val="24"/>
        </w:rPr>
        <w:t xml:space="preserve">, a town </w:t>
      </w:r>
      <w:r w:rsidR="00455C16">
        <w:rPr>
          <w:sz w:val="24"/>
          <w:szCs w:val="24"/>
        </w:rPr>
        <w:t xml:space="preserve">30 </w:t>
      </w:r>
      <w:r>
        <w:rPr>
          <w:sz w:val="24"/>
          <w:szCs w:val="24"/>
        </w:rPr>
        <w:t>miles away</w:t>
      </w:r>
      <w:r w:rsidRPr="00EB1528">
        <w:rPr>
          <w:sz w:val="24"/>
          <w:szCs w:val="24"/>
        </w:rPr>
        <w:t xml:space="preserve">. </w:t>
      </w:r>
      <w:r>
        <w:rPr>
          <w:sz w:val="24"/>
          <w:szCs w:val="24"/>
        </w:rPr>
        <w:t>By</w:t>
      </w:r>
      <w:r w:rsidRPr="00EB1528">
        <w:rPr>
          <w:sz w:val="24"/>
          <w:szCs w:val="24"/>
        </w:rPr>
        <w:t xml:space="preserve"> 1891</w:t>
      </w:r>
      <w:r>
        <w:rPr>
          <w:sz w:val="24"/>
          <w:szCs w:val="24"/>
        </w:rPr>
        <w:t>, aged</w:t>
      </w:r>
      <w:r w:rsidRPr="00EB1528">
        <w:rPr>
          <w:sz w:val="24"/>
          <w:szCs w:val="24"/>
        </w:rPr>
        <w:t xml:space="preserve"> 30, she had moved back to Stockport,</w:t>
      </w:r>
      <w:r>
        <w:rPr>
          <w:sz w:val="24"/>
          <w:szCs w:val="24"/>
        </w:rPr>
        <w:t xml:space="preserve"> and</w:t>
      </w:r>
      <w:r w:rsidRPr="00EB1528">
        <w:rPr>
          <w:sz w:val="24"/>
          <w:szCs w:val="24"/>
        </w:rPr>
        <w:t xml:space="preserve"> was working as a charwoman and living with her</w:t>
      </w:r>
      <w:r>
        <w:rPr>
          <w:sz w:val="24"/>
          <w:szCs w:val="24"/>
        </w:rPr>
        <w:t xml:space="preserve"> own</w:t>
      </w:r>
      <w:r w:rsidRPr="00EB1528">
        <w:rPr>
          <w:sz w:val="24"/>
          <w:szCs w:val="24"/>
        </w:rPr>
        <w:t xml:space="preserve"> two children, Sarah (</w:t>
      </w:r>
      <w:r>
        <w:rPr>
          <w:sz w:val="24"/>
          <w:szCs w:val="24"/>
        </w:rPr>
        <w:t xml:space="preserve">aged </w:t>
      </w:r>
      <w:r w:rsidRPr="00EB1528">
        <w:rPr>
          <w:sz w:val="24"/>
          <w:szCs w:val="24"/>
        </w:rPr>
        <w:t>15) and Herbert (</w:t>
      </w:r>
      <w:r>
        <w:rPr>
          <w:sz w:val="24"/>
          <w:szCs w:val="24"/>
        </w:rPr>
        <w:t xml:space="preserve">aged </w:t>
      </w:r>
      <w:r w:rsidRPr="00EB1528">
        <w:rPr>
          <w:sz w:val="24"/>
          <w:szCs w:val="24"/>
        </w:rPr>
        <w:t>6) in a two-room house.</w:t>
      </w:r>
    </w:p>
    <w:p w14:paraId="7CC2B632" w14:textId="26D6BBC8" w:rsidR="00785B84" w:rsidRDefault="001405E8" w:rsidP="00825C25">
      <w:pPr>
        <w:spacing w:line="360" w:lineRule="auto"/>
        <w:rPr>
          <w:sz w:val="24"/>
          <w:szCs w:val="24"/>
        </w:rPr>
      </w:pPr>
      <w:r w:rsidRPr="00EB1528">
        <w:rPr>
          <w:sz w:val="24"/>
          <w:szCs w:val="24"/>
        </w:rPr>
        <w:t>If these ages are correct, this suggests that Margaret had given birth to Sarah when she herself was 15 or 16 and that she had found a way to maintain her young daughter whilst working in domestic service. Margaret is listed as married in 1891 and 1901 but we have found no evidence of her marriage and no indications where her purported husband lived. In 1901, she was still living with her daughter, then aged 25 and also an unmarried charwoman, and her son, then aged 17 and working as a casual labourer and messenger. Her son, Herbert, had just been released from his own four</w:t>
      </w:r>
      <w:r w:rsidR="00455C16">
        <w:rPr>
          <w:sz w:val="24"/>
          <w:szCs w:val="24"/>
        </w:rPr>
        <w:t>-</w:t>
      </w:r>
      <w:r w:rsidRPr="00EB1528">
        <w:rPr>
          <w:sz w:val="24"/>
          <w:szCs w:val="24"/>
        </w:rPr>
        <w:t xml:space="preserve">year sentence in SIS where he had been sent having ‘been found begging’. During his court proceedings, his mother was described as ‘a charwoman fond of drink and a loose character’ – a common euphemism for a </w:t>
      </w:r>
      <w:r>
        <w:rPr>
          <w:sz w:val="24"/>
          <w:szCs w:val="24"/>
        </w:rPr>
        <w:t xml:space="preserve">professional or amateur </w:t>
      </w:r>
      <w:r w:rsidRPr="00EB1528">
        <w:rPr>
          <w:sz w:val="24"/>
          <w:szCs w:val="24"/>
        </w:rPr>
        <w:t>sex worker. His father was named as Walter L, a local man, who worked as a caster (likely within a local metal works), and was described as ‘a decent man’ who had ‘lived separate’ from Margaret for ‘several years’. Their shared surname may indicate an incestuous or at least a close familial connection between his parents. Herbert was discharged from SIS in 1899 at the age of 16. Unusually, he was ‘returned to mother’ as he was ‘too small to place in a situation’. This may possibly indicate that Herbert had grown up with some kind of physical disability or congenital condition.</w:t>
      </w:r>
      <w:r w:rsidR="00285E65">
        <w:rPr>
          <w:sz w:val="24"/>
          <w:szCs w:val="24"/>
        </w:rPr>
        <w:t xml:space="preserve"> </w:t>
      </w:r>
      <w:r w:rsidRPr="00EB1528">
        <w:rPr>
          <w:sz w:val="24"/>
          <w:szCs w:val="24"/>
        </w:rPr>
        <w:t xml:space="preserve">However, he was still able to work, and doubtless, had to in order to survive. The 1901 census lists him, as outlined </w:t>
      </w:r>
      <w:r w:rsidRPr="00EB1528">
        <w:rPr>
          <w:sz w:val="24"/>
          <w:szCs w:val="24"/>
        </w:rPr>
        <w:lastRenderedPageBreak/>
        <w:t>above, living with his mother and his sister and working as a casual labourer and messenger.</w:t>
      </w:r>
      <w:r w:rsidR="00285E65">
        <w:rPr>
          <w:sz w:val="24"/>
          <w:szCs w:val="24"/>
        </w:rPr>
        <w:t xml:space="preserve"> </w:t>
      </w:r>
      <w:r w:rsidRPr="00EB1528">
        <w:rPr>
          <w:sz w:val="24"/>
          <w:szCs w:val="24"/>
        </w:rPr>
        <w:t>The following year, Margaret died at the age of 48</w:t>
      </w:r>
      <w:r>
        <w:rPr>
          <w:sz w:val="24"/>
          <w:szCs w:val="24"/>
        </w:rPr>
        <w:t xml:space="preserve">. </w:t>
      </w:r>
    </w:p>
    <w:p w14:paraId="54D49ED7" w14:textId="22D456D1" w:rsidR="0050288D" w:rsidRPr="00EB1528" w:rsidRDefault="00D27734" w:rsidP="00825C25">
      <w:pPr>
        <w:spacing w:line="360" w:lineRule="auto"/>
        <w:rPr>
          <w:sz w:val="24"/>
          <w:szCs w:val="24"/>
        </w:rPr>
      </w:pPr>
      <w:r w:rsidRPr="00EB1528">
        <w:rPr>
          <w:sz w:val="24"/>
          <w:szCs w:val="24"/>
        </w:rPr>
        <w:t xml:space="preserve">The practice of child removal was established as a new norm in </w:t>
      </w:r>
      <w:r w:rsidR="00455C16">
        <w:rPr>
          <w:sz w:val="24"/>
          <w:szCs w:val="24"/>
        </w:rPr>
        <w:t>19</w:t>
      </w:r>
      <w:r w:rsidR="00455C16" w:rsidRPr="00C16F41">
        <w:rPr>
          <w:sz w:val="24"/>
          <w:szCs w:val="24"/>
          <w:vertAlign w:val="superscript"/>
        </w:rPr>
        <w:t>th</w:t>
      </w:r>
      <w:r w:rsidR="00455C16">
        <w:rPr>
          <w:sz w:val="24"/>
          <w:szCs w:val="24"/>
        </w:rPr>
        <w:t>-</w:t>
      </w:r>
      <w:r w:rsidRPr="00EB1528">
        <w:rPr>
          <w:sz w:val="24"/>
          <w:szCs w:val="24"/>
        </w:rPr>
        <w:t xml:space="preserve">century social policy but this did not mean that its effects were normalised among those directly experiencing it. Child separation </w:t>
      </w:r>
      <w:r w:rsidR="006354E8" w:rsidRPr="00EB1528">
        <w:rPr>
          <w:sz w:val="24"/>
          <w:szCs w:val="24"/>
        </w:rPr>
        <w:t>could be</w:t>
      </w:r>
      <w:r w:rsidRPr="00EB1528">
        <w:rPr>
          <w:sz w:val="24"/>
          <w:szCs w:val="24"/>
        </w:rPr>
        <w:t xml:space="preserve"> an emotionally brutal business, the ‘success’ of which was exacted at a high emotional price</w:t>
      </w:r>
      <w:r w:rsidR="006354E8" w:rsidRPr="00EB1528">
        <w:rPr>
          <w:sz w:val="24"/>
          <w:szCs w:val="24"/>
        </w:rPr>
        <w:t xml:space="preserve">, even where </w:t>
      </w:r>
      <w:r w:rsidRPr="00EB1528">
        <w:rPr>
          <w:sz w:val="24"/>
          <w:szCs w:val="24"/>
        </w:rPr>
        <w:t xml:space="preserve">it was carried out humanely and with the best of intentions. Stockport Industrial School was not among the many institutions </w:t>
      </w:r>
      <w:r w:rsidR="006354E8" w:rsidRPr="00EB1528">
        <w:rPr>
          <w:sz w:val="24"/>
          <w:szCs w:val="24"/>
        </w:rPr>
        <w:t xml:space="preserve">formally </w:t>
      </w:r>
      <w:r w:rsidRPr="00EB1528">
        <w:rPr>
          <w:sz w:val="24"/>
          <w:szCs w:val="24"/>
        </w:rPr>
        <w:t>investigated for child cruelty</w:t>
      </w:r>
      <w:r w:rsidR="006354E8" w:rsidRPr="00EB1528">
        <w:rPr>
          <w:sz w:val="24"/>
          <w:szCs w:val="24"/>
        </w:rPr>
        <w:t xml:space="preserve"> in the period covered by our study</w:t>
      </w:r>
      <w:r w:rsidRPr="00EB1528">
        <w:rPr>
          <w:sz w:val="24"/>
          <w:szCs w:val="24"/>
        </w:rPr>
        <w:t>. This does not mean</w:t>
      </w:r>
      <w:r w:rsidR="006354E8" w:rsidRPr="00EB1528">
        <w:rPr>
          <w:sz w:val="24"/>
          <w:szCs w:val="24"/>
        </w:rPr>
        <w:t>, however,</w:t>
      </w:r>
      <w:r w:rsidRPr="00EB1528">
        <w:rPr>
          <w:sz w:val="24"/>
          <w:szCs w:val="24"/>
        </w:rPr>
        <w:t xml:space="preserve"> that the children in its care did not experience that care as abusive</w:t>
      </w:r>
      <w:r w:rsidR="002707F4" w:rsidRPr="00EB1528">
        <w:rPr>
          <w:sz w:val="24"/>
          <w:szCs w:val="24"/>
        </w:rPr>
        <w:t xml:space="preserve"> (</w:t>
      </w:r>
      <w:proofErr w:type="gramStart"/>
      <w:r w:rsidR="00527AFA" w:rsidRPr="00EB1528">
        <w:rPr>
          <w:sz w:val="24"/>
          <w:szCs w:val="24"/>
        </w:rPr>
        <w:t>Bingham,</w:t>
      </w:r>
      <w:r w:rsidR="00AB2B9D">
        <w:rPr>
          <w:sz w:val="24"/>
          <w:szCs w:val="24"/>
        </w:rPr>
        <w:t>Dela</w:t>
      </w:r>
      <w:r w:rsidR="002F7895">
        <w:rPr>
          <w:sz w:val="24"/>
          <w:szCs w:val="24"/>
        </w:rPr>
        <w:t>p</w:t>
      </w:r>
      <w:proofErr w:type="gramEnd"/>
      <w:r w:rsidR="00AB2B9D">
        <w:rPr>
          <w:sz w:val="24"/>
          <w:szCs w:val="24"/>
        </w:rPr>
        <w:t>, Jackson &amp;</w:t>
      </w:r>
      <w:r w:rsidR="00807EA1">
        <w:rPr>
          <w:sz w:val="24"/>
          <w:szCs w:val="24"/>
        </w:rPr>
        <w:t xml:space="preserve"> </w:t>
      </w:r>
      <w:r w:rsidR="00AB2B9D">
        <w:rPr>
          <w:sz w:val="24"/>
          <w:szCs w:val="24"/>
        </w:rPr>
        <w:t>Settle,</w:t>
      </w:r>
      <w:r w:rsidR="00527AFA" w:rsidRPr="00EB1528">
        <w:rPr>
          <w:sz w:val="24"/>
          <w:szCs w:val="24"/>
        </w:rPr>
        <w:t xml:space="preserve"> </w:t>
      </w:r>
      <w:r w:rsidR="002707F4" w:rsidRPr="00EB1528">
        <w:rPr>
          <w:sz w:val="24"/>
          <w:szCs w:val="24"/>
        </w:rPr>
        <w:t>201</w:t>
      </w:r>
      <w:r w:rsidR="002F7895">
        <w:rPr>
          <w:sz w:val="24"/>
          <w:szCs w:val="24"/>
        </w:rPr>
        <w:t>6</w:t>
      </w:r>
      <w:r w:rsidRPr="00EB1528">
        <w:rPr>
          <w:sz w:val="24"/>
          <w:szCs w:val="24"/>
        </w:rPr>
        <w:t>.</w:t>
      </w:r>
    </w:p>
    <w:p w14:paraId="7BDE6F8D" w14:textId="77777777" w:rsidR="005E7222" w:rsidRPr="00EB1528" w:rsidRDefault="005E7222" w:rsidP="00825C25">
      <w:pPr>
        <w:spacing w:line="360" w:lineRule="auto"/>
        <w:rPr>
          <w:sz w:val="24"/>
          <w:szCs w:val="24"/>
        </w:rPr>
      </w:pPr>
    </w:p>
    <w:p w14:paraId="1F6A5F13" w14:textId="77777777" w:rsidR="005E7222" w:rsidRPr="00EB1528" w:rsidRDefault="005E7222" w:rsidP="00825C25">
      <w:pPr>
        <w:spacing w:line="360" w:lineRule="auto"/>
        <w:rPr>
          <w:b/>
          <w:sz w:val="24"/>
          <w:szCs w:val="24"/>
        </w:rPr>
      </w:pPr>
      <w:r w:rsidRPr="00EB1528">
        <w:rPr>
          <w:b/>
          <w:sz w:val="24"/>
          <w:szCs w:val="24"/>
        </w:rPr>
        <w:t>Gender and historical life course methodology</w:t>
      </w:r>
    </w:p>
    <w:p w14:paraId="4ECE1047" w14:textId="132F59C3" w:rsidR="00785B84" w:rsidRDefault="005E7222" w:rsidP="00825C25">
      <w:pPr>
        <w:spacing w:line="360" w:lineRule="auto"/>
        <w:rPr>
          <w:sz w:val="24"/>
          <w:szCs w:val="24"/>
        </w:rPr>
      </w:pPr>
      <w:r w:rsidRPr="00EB1528">
        <w:rPr>
          <w:sz w:val="24"/>
          <w:szCs w:val="24"/>
        </w:rPr>
        <w:t>Our exploratory ‘within-subgroup’ comparison by gender is undertaken here</w:t>
      </w:r>
      <w:r w:rsidR="003B7B0E" w:rsidRPr="00EB1528">
        <w:rPr>
          <w:sz w:val="24"/>
          <w:szCs w:val="24"/>
        </w:rPr>
        <w:t xml:space="preserve"> </w:t>
      </w:r>
      <w:r w:rsidR="00491025" w:rsidRPr="00EB1528">
        <w:rPr>
          <w:sz w:val="24"/>
          <w:szCs w:val="24"/>
        </w:rPr>
        <w:t xml:space="preserve">as </w:t>
      </w:r>
      <w:r w:rsidR="00435322" w:rsidRPr="00EB1528">
        <w:rPr>
          <w:sz w:val="24"/>
          <w:szCs w:val="24"/>
        </w:rPr>
        <w:t xml:space="preserve">a </w:t>
      </w:r>
      <w:r w:rsidR="00491025" w:rsidRPr="00EB1528">
        <w:rPr>
          <w:sz w:val="24"/>
          <w:szCs w:val="24"/>
        </w:rPr>
        <w:t xml:space="preserve">constructive effort to </w:t>
      </w:r>
      <w:r w:rsidR="003B7B0E" w:rsidRPr="00EB1528">
        <w:rPr>
          <w:sz w:val="24"/>
          <w:szCs w:val="24"/>
        </w:rPr>
        <w:t>address the neglect of gender issues within the broader field of life course cri</w:t>
      </w:r>
      <w:r w:rsidRPr="00EB1528">
        <w:rPr>
          <w:sz w:val="24"/>
          <w:szCs w:val="24"/>
        </w:rPr>
        <w:t>minology</w:t>
      </w:r>
      <w:r w:rsidR="0023109B" w:rsidRPr="00EB1528">
        <w:rPr>
          <w:sz w:val="24"/>
          <w:szCs w:val="24"/>
        </w:rPr>
        <w:t xml:space="preserve"> (one of our main points of references in our larger study). </w:t>
      </w:r>
      <w:r w:rsidR="00854644" w:rsidRPr="00EB1528">
        <w:rPr>
          <w:sz w:val="24"/>
          <w:szCs w:val="24"/>
        </w:rPr>
        <w:t>Justice systems around the world deal primarily with</w:t>
      </w:r>
      <w:r w:rsidR="004B0AA1" w:rsidRPr="00EB1528">
        <w:rPr>
          <w:sz w:val="24"/>
          <w:szCs w:val="24"/>
        </w:rPr>
        <w:t xml:space="preserve"> </w:t>
      </w:r>
      <w:r w:rsidR="00854644" w:rsidRPr="00EB1528">
        <w:rPr>
          <w:sz w:val="24"/>
          <w:szCs w:val="24"/>
        </w:rPr>
        <w:t>men. Longitudinal and life course studies</w:t>
      </w:r>
      <w:r w:rsidR="004B0AA1" w:rsidRPr="00EB1528">
        <w:rPr>
          <w:sz w:val="24"/>
          <w:szCs w:val="24"/>
        </w:rPr>
        <w:t xml:space="preserve"> deal primarily with large data sets.</w:t>
      </w:r>
      <w:r w:rsidR="00C9087C" w:rsidRPr="00EB1528">
        <w:rPr>
          <w:sz w:val="24"/>
          <w:szCs w:val="24"/>
        </w:rPr>
        <w:t xml:space="preserve"> As a minority within justice systems, women are rarely present in large enough numbers to be included in </w:t>
      </w:r>
      <w:r w:rsidR="000C5901" w:rsidRPr="00EB1528">
        <w:rPr>
          <w:sz w:val="24"/>
          <w:szCs w:val="24"/>
        </w:rPr>
        <w:t>their</w:t>
      </w:r>
      <w:r w:rsidR="005B636D" w:rsidRPr="00EB1528">
        <w:rPr>
          <w:sz w:val="24"/>
          <w:szCs w:val="24"/>
        </w:rPr>
        <w:t xml:space="preserve"> </w:t>
      </w:r>
      <w:r w:rsidR="00C9087C" w:rsidRPr="00EB1528">
        <w:rPr>
          <w:sz w:val="24"/>
          <w:szCs w:val="24"/>
        </w:rPr>
        <w:t>analysis. Our ow</w:t>
      </w:r>
      <w:r w:rsidR="003B2CF2" w:rsidRPr="00EB1528">
        <w:rPr>
          <w:sz w:val="24"/>
          <w:szCs w:val="24"/>
        </w:rPr>
        <w:t>n broader study is no exception: 96</w:t>
      </w:r>
      <w:r w:rsidR="0083122B">
        <w:rPr>
          <w:sz w:val="24"/>
          <w:szCs w:val="24"/>
        </w:rPr>
        <w:t xml:space="preserve">% </w:t>
      </w:r>
      <w:r w:rsidR="003B2CF2" w:rsidRPr="00EB1528">
        <w:rPr>
          <w:sz w:val="24"/>
          <w:szCs w:val="24"/>
        </w:rPr>
        <w:t>of our sample is male.</w:t>
      </w:r>
      <w:r w:rsidR="00C9087C" w:rsidRPr="00EB1528">
        <w:rPr>
          <w:sz w:val="24"/>
          <w:szCs w:val="24"/>
        </w:rPr>
        <w:t xml:space="preserve"> </w:t>
      </w:r>
      <w:r w:rsidR="005B636D" w:rsidRPr="00EB1528">
        <w:rPr>
          <w:sz w:val="24"/>
          <w:szCs w:val="24"/>
        </w:rPr>
        <w:t xml:space="preserve">However, the result of this is that life course </w:t>
      </w:r>
      <w:r w:rsidR="00303D73" w:rsidRPr="00EB1528">
        <w:rPr>
          <w:sz w:val="24"/>
          <w:szCs w:val="24"/>
        </w:rPr>
        <w:t xml:space="preserve">studies </w:t>
      </w:r>
      <w:r w:rsidR="005B636D" w:rsidRPr="00EB1528">
        <w:rPr>
          <w:sz w:val="24"/>
          <w:szCs w:val="24"/>
        </w:rPr>
        <w:t>ha</w:t>
      </w:r>
      <w:r w:rsidR="00303D73" w:rsidRPr="00EB1528">
        <w:rPr>
          <w:sz w:val="24"/>
          <w:szCs w:val="24"/>
        </w:rPr>
        <w:t>ve</w:t>
      </w:r>
      <w:r w:rsidR="00DC375F" w:rsidRPr="00EB1528">
        <w:rPr>
          <w:sz w:val="24"/>
          <w:szCs w:val="24"/>
        </w:rPr>
        <w:t xml:space="preserve"> had</w:t>
      </w:r>
      <w:r w:rsidR="005B636D" w:rsidRPr="00EB1528">
        <w:rPr>
          <w:sz w:val="24"/>
          <w:szCs w:val="24"/>
        </w:rPr>
        <w:t xml:space="preserve"> little t</w:t>
      </w:r>
      <w:r w:rsidR="00FF4A33" w:rsidRPr="00EB1528">
        <w:rPr>
          <w:sz w:val="24"/>
          <w:szCs w:val="24"/>
        </w:rPr>
        <w:t>o say about gender differences and how these might play out within pathways into and out of crime</w:t>
      </w:r>
      <w:r w:rsidR="00E61E2E" w:rsidRPr="00EB1528">
        <w:rPr>
          <w:sz w:val="24"/>
          <w:szCs w:val="24"/>
        </w:rPr>
        <w:t xml:space="preserve"> or cumulative disadvantage</w:t>
      </w:r>
      <w:r w:rsidR="00FF4A33" w:rsidRPr="00EB1528">
        <w:rPr>
          <w:sz w:val="24"/>
          <w:szCs w:val="24"/>
        </w:rPr>
        <w:t>.</w:t>
      </w:r>
      <w:r w:rsidR="00485535" w:rsidRPr="00EB1528">
        <w:rPr>
          <w:sz w:val="24"/>
          <w:szCs w:val="24"/>
        </w:rPr>
        <w:t xml:space="preserve"> </w:t>
      </w:r>
      <w:r w:rsidR="00E61E2E" w:rsidRPr="00EB1528">
        <w:rPr>
          <w:sz w:val="24"/>
          <w:szCs w:val="24"/>
        </w:rPr>
        <w:t>Life course desistance studies have argued, for example, that m</w:t>
      </w:r>
      <w:r w:rsidR="00C7578A" w:rsidRPr="00EB1528">
        <w:rPr>
          <w:sz w:val="24"/>
          <w:szCs w:val="24"/>
        </w:rPr>
        <w:t>arriage</w:t>
      </w:r>
      <w:r w:rsidR="00E61E2E" w:rsidRPr="00EB1528">
        <w:rPr>
          <w:sz w:val="24"/>
          <w:szCs w:val="24"/>
        </w:rPr>
        <w:t xml:space="preserve">, employment and social networks </w:t>
      </w:r>
      <w:r w:rsidR="00C7578A" w:rsidRPr="00EB1528">
        <w:rPr>
          <w:sz w:val="24"/>
          <w:szCs w:val="24"/>
        </w:rPr>
        <w:t>‘work’ for men</w:t>
      </w:r>
      <w:r w:rsidR="00E61E2E" w:rsidRPr="00EB1528">
        <w:rPr>
          <w:sz w:val="24"/>
          <w:szCs w:val="24"/>
        </w:rPr>
        <w:t xml:space="preserve"> (Sampson </w:t>
      </w:r>
      <w:r w:rsidR="0083122B">
        <w:rPr>
          <w:sz w:val="24"/>
          <w:szCs w:val="24"/>
        </w:rPr>
        <w:t>&amp;</w:t>
      </w:r>
      <w:r w:rsidR="0083122B" w:rsidRPr="00EB1528">
        <w:rPr>
          <w:sz w:val="24"/>
          <w:szCs w:val="24"/>
        </w:rPr>
        <w:t xml:space="preserve"> </w:t>
      </w:r>
      <w:r w:rsidR="00E61E2E" w:rsidRPr="00EB1528">
        <w:rPr>
          <w:sz w:val="24"/>
          <w:szCs w:val="24"/>
        </w:rPr>
        <w:t xml:space="preserve">Laub, 1993, 1997; </w:t>
      </w:r>
      <w:r w:rsidR="00F66126" w:rsidRPr="00EB1528">
        <w:rPr>
          <w:sz w:val="24"/>
          <w:szCs w:val="24"/>
        </w:rPr>
        <w:t xml:space="preserve">Maruna, 2001; </w:t>
      </w:r>
      <w:r w:rsidR="00E61E2E" w:rsidRPr="00EB1528">
        <w:rPr>
          <w:sz w:val="24"/>
          <w:szCs w:val="24"/>
        </w:rPr>
        <w:t>Godfrey et al</w:t>
      </w:r>
      <w:r w:rsidR="0083122B">
        <w:rPr>
          <w:sz w:val="24"/>
          <w:szCs w:val="24"/>
        </w:rPr>
        <w:t>.</w:t>
      </w:r>
      <w:r w:rsidR="00E61E2E" w:rsidRPr="00EB1528">
        <w:rPr>
          <w:sz w:val="24"/>
          <w:szCs w:val="24"/>
        </w:rPr>
        <w:t>, 2007, 2010</w:t>
      </w:r>
      <w:r w:rsidR="002E6352" w:rsidRPr="00EB1528">
        <w:rPr>
          <w:sz w:val="24"/>
          <w:szCs w:val="24"/>
        </w:rPr>
        <w:t xml:space="preserve">; </w:t>
      </w:r>
      <w:r w:rsidR="00797429" w:rsidRPr="00EB1528">
        <w:rPr>
          <w:sz w:val="24"/>
          <w:szCs w:val="24"/>
          <w:lang w:val="en-US"/>
        </w:rPr>
        <w:t xml:space="preserve">Farrall </w:t>
      </w:r>
      <w:r w:rsidR="0083122B">
        <w:rPr>
          <w:sz w:val="24"/>
          <w:szCs w:val="24"/>
          <w:lang w:val="en-US"/>
        </w:rPr>
        <w:t>&amp;</w:t>
      </w:r>
      <w:r w:rsidR="0083122B" w:rsidRPr="00EB1528">
        <w:rPr>
          <w:sz w:val="24"/>
          <w:szCs w:val="24"/>
          <w:lang w:val="en-US"/>
        </w:rPr>
        <w:t xml:space="preserve"> </w:t>
      </w:r>
      <w:r w:rsidR="00797429" w:rsidRPr="00EB1528">
        <w:rPr>
          <w:sz w:val="24"/>
          <w:szCs w:val="24"/>
          <w:lang w:val="en-US"/>
        </w:rPr>
        <w:t>Calverley, 2006</w:t>
      </w:r>
      <w:r w:rsidR="00E61E2E" w:rsidRPr="00EB1528">
        <w:rPr>
          <w:sz w:val="24"/>
          <w:szCs w:val="24"/>
        </w:rPr>
        <w:t>)</w:t>
      </w:r>
      <w:r w:rsidR="00303D73" w:rsidRPr="00EB1528">
        <w:rPr>
          <w:sz w:val="24"/>
          <w:szCs w:val="24"/>
        </w:rPr>
        <w:t>. B</w:t>
      </w:r>
      <w:r w:rsidR="00C7578A" w:rsidRPr="00EB1528">
        <w:rPr>
          <w:sz w:val="24"/>
          <w:szCs w:val="24"/>
        </w:rPr>
        <w:t xml:space="preserve">ut </w:t>
      </w:r>
      <w:r w:rsidR="00E61E2E" w:rsidRPr="00EB1528">
        <w:rPr>
          <w:sz w:val="24"/>
          <w:szCs w:val="24"/>
        </w:rPr>
        <w:t xml:space="preserve">do they </w:t>
      </w:r>
      <w:r w:rsidR="00C7578A" w:rsidRPr="00EB1528">
        <w:rPr>
          <w:sz w:val="24"/>
          <w:szCs w:val="24"/>
        </w:rPr>
        <w:t>‘work’ for women</w:t>
      </w:r>
      <w:r w:rsidR="00E61E2E" w:rsidRPr="00EB1528">
        <w:rPr>
          <w:sz w:val="24"/>
          <w:szCs w:val="24"/>
        </w:rPr>
        <w:t xml:space="preserve"> in the same way</w:t>
      </w:r>
      <w:r w:rsidR="00C7578A" w:rsidRPr="00EB1528">
        <w:rPr>
          <w:sz w:val="24"/>
          <w:szCs w:val="24"/>
        </w:rPr>
        <w:t xml:space="preserve">? </w:t>
      </w:r>
    </w:p>
    <w:p w14:paraId="52534C5B" w14:textId="6A54E053" w:rsidR="00F57E1A" w:rsidRDefault="00F57E1A" w:rsidP="00F57E1A">
      <w:pPr>
        <w:spacing w:line="360" w:lineRule="auto"/>
        <w:rPr>
          <w:sz w:val="24"/>
          <w:szCs w:val="24"/>
        </w:rPr>
      </w:pPr>
      <w:r w:rsidRPr="00EB1528">
        <w:rPr>
          <w:sz w:val="24"/>
          <w:szCs w:val="24"/>
        </w:rPr>
        <w:t xml:space="preserve">Alice C was born in 1865. At the age of </w:t>
      </w:r>
      <w:r w:rsidR="0083122B">
        <w:rPr>
          <w:sz w:val="24"/>
          <w:szCs w:val="24"/>
        </w:rPr>
        <w:t>eight</w:t>
      </w:r>
      <w:r w:rsidRPr="00EB1528">
        <w:rPr>
          <w:sz w:val="24"/>
          <w:szCs w:val="24"/>
        </w:rPr>
        <w:t xml:space="preserve">, she was sent by local magistrates to Stockport Industrial School for theft. Her previous character was noted in court to be ‘very bad’ and her mother, Martha C, a Stockport factory worker, was described as ‘well known to the police’. Alice was discharged from SIS in 1882 at the age of 16. We have no details of her address or occupation at this point. However, the 1891 census shows </w:t>
      </w:r>
      <w:proofErr w:type="gramStart"/>
      <w:r w:rsidRPr="00EB1528">
        <w:rPr>
          <w:sz w:val="24"/>
          <w:szCs w:val="24"/>
        </w:rPr>
        <w:t>26 year old</w:t>
      </w:r>
      <w:proofErr w:type="gramEnd"/>
      <w:r w:rsidRPr="00EB1528">
        <w:rPr>
          <w:sz w:val="24"/>
          <w:szCs w:val="24"/>
        </w:rPr>
        <w:t xml:space="preserve"> Alice living </w:t>
      </w:r>
      <w:r w:rsidRPr="00EB1528">
        <w:rPr>
          <w:sz w:val="24"/>
          <w:szCs w:val="24"/>
        </w:rPr>
        <w:lastRenderedPageBreak/>
        <w:t xml:space="preserve">back with her parents, her two teenage sisters, and her own </w:t>
      </w:r>
      <w:r w:rsidR="0083122B">
        <w:rPr>
          <w:sz w:val="24"/>
          <w:szCs w:val="24"/>
        </w:rPr>
        <w:t>eight-</w:t>
      </w:r>
      <w:r>
        <w:rPr>
          <w:sz w:val="24"/>
          <w:szCs w:val="24"/>
        </w:rPr>
        <w:t xml:space="preserve">month-old </w:t>
      </w:r>
      <w:r w:rsidRPr="00EB1528">
        <w:rPr>
          <w:sz w:val="24"/>
          <w:szCs w:val="24"/>
        </w:rPr>
        <w:t xml:space="preserve">daughter. Sharing the house with them was a lodger, </w:t>
      </w:r>
      <w:r>
        <w:rPr>
          <w:sz w:val="24"/>
          <w:szCs w:val="24"/>
        </w:rPr>
        <w:t>presumably to help out with the rent</w:t>
      </w:r>
      <w:r w:rsidRPr="00EB1528">
        <w:rPr>
          <w:sz w:val="24"/>
          <w:szCs w:val="24"/>
        </w:rPr>
        <w:t>. The whole household was employed in the local cotton mill. Later that year, Alice married</w:t>
      </w:r>
      <w:r>
        <w:rPr>
          <w:sz w:val="24"/>
          <w:szCs w:val="24"/>
        </w:rPr>
        <w:t xml:space="preserve"> the lodger, </w:t>
      </w:r>
      <w:r w:rsidRPr="00EB1528">
        <w:rPr>
          <w:sz w:val="24"/>
          <w:szCs w:val="24"/>
        </w:rPr>
        <w:t xml:space="preserve">who may or may not have been the father of her baby. Ten years on, </w:t>
      </w:r>
      <w:r>
        <w:rPr>
          <w:sz w:val="24"/>
          <w:szCs w:val="24"/>
        </w:rPr>
        <w:t>they were</w:t>
      </w:r>
      <w:r w:rsidRPr="00EB1528">
        <w:rPr>
          <w:sz w:val="24"/>
          <w:szCs w:val="24"/>
        </w:rPr>
        <w:t xml:space="preserve"> still married</w:t>
      </w:r>
      <w:r>
        <w:rPr>
          <w:sz w:val="24"/>
          <w:szCs w:val="24"/>
        </w:rPr>
        <w:t xml:space="preserve">, </w:t>
      </w:r>
      <w:r w:rsidRPr="00EB1528">
        <w:rPr>
          <w:sz w:val="24"/>
          <w:szCs w:val="24"/>
        </w:rPr>
        <w:t xml:space="preserve">living nearby with three more children. Alice, now 36, is not listed as being in paid work and is, we imagine, occupied as the mother of </w:t>
      </w:r>
      <w:r>
        <w:rPr>
          <w:sz w:val="24"/>
          <w:szCs w:val="24"/>
        </w:rPr>
        <w:t>young children</w:t>
      </w:r>
      <w:r w:rsidRPr="00EB1528">
        <w:rPr>
          <w:sz w:val="24"/>
          <w:szCs w:val="24"/>
        </w:rPr>
        <w:t xml:space="preserve">. </w:t>
      </w:r>
      <w:r>
        <w:rPr>
          <w:sz w:val="24"/>
          <w:szCs w:val="24"/>
        </w:rPr>
        <w:t xml:space="preserve">Her husband </w:t>
      </w:r>
      <w:r w:rsidRPr="00EB1528">
        <w:rPr>
          <w:sz w:val="24"/>
          <w:szCs w:val="24"/>
        </w:rPr>
        <w:t>had moved from the cotton mill to a printing firm where he was employed as a carter (or delivery driver).</w:t>
      </w:r>
      <w:r w:rsidR="00285E65">
        <w:rPr>
          <w:sz w:val="24"/>
          <w:szCs w:val="24"/>
        </w:rPr>
        <w:t xml:space="preserve"> </w:t>
      </w:r>
      <w:r w:rsidRPr="00EB1528">
        <w:rPr>
          <w:sz w:val="24"/>
          <w:szCs w:val="24"/>
        </w:rPr>
        <w:t>Alice died in Stockport in 1920 at the age of 55.</w:t>
      </w:r>
      <w:r>
        <w:rPr>
          <w:sz w:val="24"/>
          <w:szCs w:val="24"/>
        </w:rPr>
        <w:t xml:space="preserve"> In Alice’s case, the marriage </w:t>
      </w:r>
      <w:r w:rsidR="004A7740">
        <w:rPr>
          <w:sz w:val="24"/>
          <w:szCs w:val="24"/>
        </w:rPr>
        <w:t>is likely to have</w:t>
      </w:r>
      <w:r>
        <w:rPr>
          <w:sz w:val="24"/>
          <w:szCs w:val="24"/>
        </w:rPr>
        <w:t xml:space="preserve"> helped her to secure economic security after a precarious start in life.</w:t>
      </w:r>
      <w:r w:rsidR="00285E65">
        <w:rPr>
          <w:sz w:val="24"/>
          <w:szCs w:val="24"/>
        </w:rPr>
        <w:t xml:space="preserve"> </w:t>
      </w:r>
      <w:r w:rsidR="004A7740">
        <w:rPr>
          <w:sz w:val="24"/>
          <w:szCs w:val="24"/>
        </w:rPr>
        <w:t>However, her experience needs to be considered alongside that of Amanda B (outlined above), who achieved that security as a single, but working, woman. Their experiences clearly speak to the need for more historical life course work of this kind.</w:t>
      </w:r>
    </w:p>
    <w:p w14:paraId="60A533B8" w14:textId="1E78B7D5" w:rsidR="0022252F" w:rsidRPr="00EB1528" w:rsidRDefault="00435322" w:rsidP="00825C25">
      <w:pPr>
        <w:spacing w:line="360" w:lineRule="auto"/>
        <w:rPr>
          <w:sz w:val="24"/>
          <w:szCs w:val="24"/>
        </w:rPr>
      </w:pPr>
      <w:r w:rsidRPr="00EB1528">
        <w:rPr>
          <w:sz w:val="24"/>
          <w:szCs w:val="24"/>
        </w:rPr>
        <w:t>Bersani, Laub and Nieuwbeerta (2009</w:t>
      </w:r>
      <w:r w:rsidR="00F66126" w:rsidRPr="00EB1528">
        <w:rPr>
          <w:sz w:val="24"/>
          <w:szCs w:val="24"/>
        </w:rPr>
        <w:t>:3</w:t>
      </w:r>
      <w:r w:rsidRPr="00EB1528">
        <w:rPr>
          <w:sz w:val="24"/>
          <w:szCs w:val="24"/>
        </w:rPr>
        <w:t>)</w:t>
      </w:r>
      <w:r w:rsidR="00723E60" w:rsidRPr="00EB1528">
        <w:rPr>
          <w:sz w:val="24"/>
          <w:szCs w:val="24"/>
        </w:rPr>
        <w:t xml:space="preserve"> note that</w:t>
      </w:r>
      <w:r w:rsidR="00761D78">
        <w:rPr>
          <w:sz w:val="24"/>
          <w:szCs w:val="24"/>
        </w:rPr>
        <w:t xml:space="preserve"> </w:t>
      </w:r>
      <w:r w:rsidR="00723E60" w:rsidRPr="00EB1528">
        <w:rPr>
          <w:sz w:val="24"/>
          <w:szCs w:val="24"/>
        </w:rPr>
        <w:t xml:space="preserve">evidence from </w:t>
      </w:r>
      <w:r w:rsidR="00761D78">
        <w:rPr>
          <w:sz w:val="24"/>
          <w:szCs w:val="24"/>
        </w:rPr>
        <w:t xml:space="preserve">the past </w:t>
      </w:r>
      <w:r w:rsidR="00723E60" w:rsidRPr="00EB1528">
        <w:rPr>
          <w:sz w:val="24"/>
          <w:szCs w:val="24"/>
        </w:rPr>
        <w:t xml:space="preserve">two decades of life course criminological research </w:t>
      </w:r>
      <w:r w:rsidR="0083122B">
        <w:rPr>
          <w:sz w:val="24"/>
          <w:szCs w:val="24"/>
        </w:rPr>
        <w:t>“</w:t>
      </w:r>
      <w:r w:rsidR="00723E60" w:rsidRPr="00EB1528">
        <w:rPr>
          <w:sz w:val="24"/>
          <w:szCs w:val="24"/>
        </w:rPr>
        <w:t>consistently demonstrates that salient life events—in particular, marriage—are associated with a reduction of offending across the life course</w:t>
      </w:r>
      <w:r w:rsidR="0083122B">
        <w:rPr>
          <w:sz w:val="24"/>
          <w:szCs w:val="24"/>
        </w:rPr>
        <w:t>”</w:t>
      </w:r>
      <w:r w:rsidR="00723E60" w:rsidRPr="00EB1528">
        <w:rPr>
          <w:sz w:val="24"/>
          <w:szCs w:val="24"/>
        </w:rPr>
        <w:t xml:space="preserve"> but that this evidence is largely drawn from </w:t>
      </w:r>
      <w:r w:rsidR="0083122B">
        <w:rPr>
          <w:sz w:val="24"/>
          <w:szCs w:val="24"/>
        </w:rPr>
        <w:t>“</w:t>
      </w:r>
      <w:r w:rsidR="00723E60" w:rsidRPr="00EB1528">
        <w:rPr>
          <w:sz w:val="24"/>
          <w:szCs w:val="24"/>
        </w:rPr>
        <w:t>male samples in the United States</w:t>
      </w:r>
      <w:r w:rsidR="0083122B">
        <w:rPr>
          <w:sz w:val="24"/>
          <w:szCs w:val="24"/>
        </w:rPr>
        <w:t>”</w:t>
      </w:r>
      <w:r w:rsidR="00723E60" w:rsidRPr="00EB1528">
        <w:rPr>
          <w:sz w:val="24"/>
          <w:szCs w:val="24"/>
        </w:rPr>
        <w:t xml:space="preserve">. As a result, </w:t>
      </w:r>
      <w:r w:rsidR="0069129D" w:rsidRPr="00EB1528">
        <w:rPr>
          <w:sz w:val="24"/>
          <w:szCs w:val="24"/>
        </w:rPr>
        <w:t xml:space="preserve">they argue that </w:t>
      </w:r>
      <w:r w:rsidR="0083122B">
        <w:rPr>
          <w:sz w:val="24"/>
          <w:szCs w:val="24"/>
        </w:rPr>
        <w:t>“</w:t>
      </w:r>
      <w:r w:rsidR="00723E60" w:rsidRPr="00EB1528">
        <w:rPr>
          <w:sz w:val="24"/>
          <w:szCs w:val="24"/>
        </w:rPr>
        <w:t>questions regarding the universal effect of these relationships remain</w:t>
      </w:r>
      <w:r w:rsidR="0083122B">
        <w:rPr>
          <w:sz w:val="24"/>
          <w:szCs w:val="24"/>
        </w:rPr>
        <w:t>”</w:t>
      </w:r>
      <w:r w:rsidR="0069129D" w:rsidRPr="00EB1528">
        <w:rPr>
          <w:sz w:val="24"/>
          <w:szCs w:val="24"/>
        </w:rPr>
        <w:t xml:space="preserve"> and that </w:t>
      </w:r>
      <w:r w:rsidR="0083122B">
        <w:rPr>
          <w:sz w:val="24"/>
          <w:szCs w:val="24"/>
        </w:rPr>
        <w:t>“</w:t>
      </w:r>
      <w:r w:rsidR="0069129D" w:rsidRPr="00EB1528">
        <w:rPr>
          <w:sz w:val="24"/>
          <w:szCs w:val="24"/>
        </w:rPr>
        <w:t>[s]</w:t>
      </w:r>
      <w:r w:rsidR="00723E60" w:rsidRPr="00EB1528">
        <w:rPr>
          <w:sz w:val="24"/>
          <w:szCs w:val="24"/>
        </w:rPr>
        <w:t>pecifically, research is needed to assess whether the desistance effect of life events like marriage varies by gender and/or socio-historical context in countries other than the U.S.</w:t>
      </w:r>
      <w:r w:rsidR="0083122B">
        <w:rPr>
          <w:sz w:val="24"/>
          <w:szCs w:val="24"/>
        </w:rPr>
        <w:t>”</w:t>
      </w:r>
      <w:r w:rsidR="0069129D" w:rsidRPr="00EB1528">
        <w:rPr>
          <w:sz w:val="24"/>
          <w:szCs w:val="24"/>
        </w:rPr>
        <w:t>.</w:t>
      </w:r>
      <w:r w:rsidR="00C538EC" w:rsidRPr="00EB1528">
        <w:rPr>
          <w:sz w:val="24"/>
          <w:szCs w:val="24"/>
        </w:rPr>
        <w:t xml:space="preserve"> Their article addresses these gaps by exploring the relationship between marriage and criminal offending using data from the Criminal Car</w:t>
      </w:r>
      <w:r w:rsidR="00F66126" w:rsidRPr="00EB1528">
        <w:rPr>
          <w:sz w:val="24"/>
          <w:szCs w:val="24"/>
        </w:rPr>
        <w:t>eer and Life Course Study</w:t>
      </w:r>
      <w:r w:rsidR="00C538EC" w:rsidRPr="00EB1528">
        <w:rPr>
          <w:sz w:val="24"/>
          <w:szCs w:val="24"/>
        </w:rPr>
        <w:t xml:space="preserve">, a dataset </w:t>
      </w:r>
      <w:r w:rsidR="00B03082" w:rsidRPr="00EB1528">
        <w:rPr>
          <w:sz w:val="24"/>
          <w:szCs w:val="24"/>
        </w:rPr>
        <w:t>covering a</w:t>
      </w:r>
      <w:r w:rsidR="00C538EC" w:rsidRPr="00EB1528">
        <w:rPr>
          <w:sz w:val="24"/>
          <w:szCs w:val="24"/>
        </w:rPr>
        <w:t xml:space="preserve"> significant portion </w:t>
      </w:r>
      <w:r w:rsidR="00B03082" w:rsidRPr="00EB1528">
        <w:rPr>
          <w:sz w:val="24"/>
          <w:szCs w:val="24"/>
        </w:rPr>
        <w:t xml:space="preserve">of </w:t>
      </w:r>
      <w:r w:rsidR="00C538EC" w:rsidRPr="00EB1528">
        <w:rPr>
          <w:sz w:val="24"/>
          <w:szCs w:val="24"/>
        </w:rPr>
        <w:t>the life course</w:t>
      </w:r>
      <w:r w:rsidR="00B03082" w:rsidRPr="00EB1528">
        <w:rPr>
          <w:sz w:val="24"/>
          <w:szCs w:val="24"/>
        </w:rPr>
        <w:t>s</w:t>
      </w:r>
      <w:r w:rsidR="00C538EC" w:rsidRPr="00EB1528">
        <w:rPr>
          <w:sz w:val="24"/>
          <w:szCs w:val="24"/>
        </w:rPr>
        <w:t xml:space="preserve"> of c</w:t>
      </w:r>
      <w:r w:rsidR="00E115DE" w:rsidRPr="00EB1528">
        <w:rPr>
          <w:sz w:val="24"/>
          <w:szCs w:val="24"/>
        </w:rPr>
        <w:t>.</w:t>
      </w:r>
      <w:r w:rsidR="00C538EC" w:rsidRPr="00EB1528">
        <w:rPr>
          <w:sz w:val="24"/>
          <w:szCs w:val="24"/>
        </w:rPr>
        <w:t>5,000 men and women convicted in the Netherlands in 1977.</w:t>
      </w:r>
      <w:r w:rsidR="003F48DB" w:rsidRPr="00EB1528">
        <w:rPr>
          <w:sz w:val="24"/>
          <w:szCs w:val="24"/>
        </w:rPr>
        <w:t xml:space="preserve"> They found </w:t>
      </w:r>
      <w:r w:rsidR="0083122B">
        <w:rPr>
          <w:sz w:val="24"/>
          <w:szCs w:val="24"/>
        </w:rPr>
        <w:t>“</w:t>
      </w:r>
      <w:r w:rsidR="003F48DB" w:rsidRPr="00EB1528">
        <w:rPr>
          <w:sz w:val="24"/>
          <w:szCs w:val="24"/>
        </w:rPr>
        <w:t>consistent support for the idea that marriage reduces offending across gender and socio-historical context</w:t>
      </w:r>
      <w:r w:rsidR="0083122B">
        <w:rPr>
          <w:sz w:val="24"/>
          <w:szCs w:val="24"/>
        </w:rPr>
        <w:t>”</w:t>
      </w:r>
      <w:r w:rsidR="00F66126" w:rsidRPr="00EB1528">
        <w:rPr>
          <w:sz w:val="24"/>
          <w:szCs w:val="24"/>
        </w:rPr>
        <w:t xml:space="preserve"> (ibid</w:t>
      </w:r>
      <w:r w:rsidR="00303D73" w:rsidRPr="00EB1528">
        <w:rPr>
          <w:sz w:val="24"/>
          <w:szCs w:val="24"/>
        </w:rPr>
        <w:t>).</w:t>
      </w:r>
    </w:p>
    <w:p w14:paraId="3CBE12EE" w14:textId="4D6000FE" w:rsidR="0022252F" w:rsidRPr="00EB1528" w:rsidRDefault="003F48DB" w:rsidP="00825C25">
      <w:pPr>
        <w:spacing w:line="360" w:lineRule="auto"/>
        <w:rPr>
          <w:sz w:val="24"/>
          <w:szCs w:val="24"/>
        </w:rPr>
      </w:pPr>
      <w:r w:rsidRPr="00EB1528">
        <w:rPr>
          <w:sz w:val="24"/>
          <w:szCs w:val="24"/>
        </w:rPr>
        <w:t>Studies like th</w:t>
      </w:r>
      <w:r w:rsidR="004A7740">
        <w:rPr>
          <w:sz w:val="24"/>
          <w:szCs w:val="24"/>
        </w:rPr>
        <w:t>ese</w:t>
      </w:r>
      <w:r w:rsidRPr="00EB1528">
        <w:rPr>
          <w:sz w:val="24"/>
          <w:szCs w:val="24"/>
        </w:rPr>
        <w:t xml:space="preserve"> are </w:t>
      </w:r>
      <w:r w:rsidR="00E57FB7" w:rsidRPr="00EB1528">
        <w:rPr>
          <w:sz w:val="24"/>
          <w:szCs w:val="24"/>
        </w:rPr>
        <w:t xml:space="preserve">extending </w:t>
      </w:r>
      <w:r w:rsidR="001A6BD9" w:rsidRPr="00EB1528">
        <w:rPr>
          <w:sz w:val="24"/>
          <w:szCs w:val="24"/>
        </w:rPr>
        <w:t xml:space="preserve">welcome </w:t>
      </w:r>
      <w:r w:rsidRPr="00EB1528">
        <w:rPr>
          <w:sz w:val="24"/>
          <w:szCs w:val="24"/>
        </w:rPr>
        <w:t>new ground in life course studies</w:t>
      </w:r>
      <w:r w:rsidR="001108C7" w:rsidRPr="00EB1528">
        <w:rPr>
          <w:sz w:val="24"/>
          <w:szCs w:val="24"/>
        </w:rPr>
        <w:t xml:space="preserve"> </w:t>
      </w:r>
      <w:r w:rsidR="00226E13" w:rsidRPr="00EB1528">
        <w:rPr>
          <w:sz w:val="24"/>
          <w:szCs w:val="24"/>
        </w:rPr>
        <w:t>(</w:t>
      </w:r>
      <w:r w:rsidR="007D5EC6" w:rsidRPr="00EB1528">
        <w:rPr>
          <w:sz w:val="24"/>
          <w:szCs w:val="24"/>
        </w:rPr>
        <w:t xml:space="preserve">Uggen </w:t>
      </w:r>
      <w:r w:rsidR="0083122B">
        <w:rPr>
          <w:sz w:val="24"/>
          <w:szCs w:val="24"/>
        </w:rPr>
        <w:t>&amp;</w:t>
      </w:r>
      <w:r w:rsidR="0083122B" w:rsidRPr="00EB1528">
        <w:rPr>
          <w:sz w:val="24"/>
          <w:szCs w:val="24"/>
        </w:rPr>
        <w:t xml:space="preserve"> </w:t>
      </w:r>
      <w:r w:rsidR="007D5EC6" w:rsidRPr="00EB1528">
        <w:rPr>
          <w:sz w:val="24"/>
          <w:szCs w:val="24"/>
        </w:rPr>
        <w:t xml:space="preserve">Kruttschnitt, 1998; </w:t>
      </w:r>
      <w:r w:rsidR="00E1676B" w:rsidRPr="00EB1528">
        <w:rPr>
          <w:sz w:val="24"/>
          <w:szCs w:val="24"/>
        </w:rPr>
        <w:t xml:space="preserve">Giordano, Cernkovich </w:t>
      </w:r>
      <w:r w:rsidR="0083122B">
        <w:rPr>
          <w:sz w:val="24"/>
          <w:szCs w:val="24"/>
        </w:rPr>
        <w:t>&amp;</w:t>
      </w:r>
      <w:r w:rsidR="0083122B" w:rsidRPr="00EB1528">
        <w:rPr>
          <w:sz w:val="24"/>
          <w:szCs w:val="24"/>
        </w:rPr>
        <w:t xml:space="preserve"> </w:t>
      </w:r>
      <w:r w:rsidR="00E1676B" w:rsidRPr="00EB1528">
        <w:rPr>
          <w:sz w:val="24"/>
          <w:szCs w:val="24"/>
        </w:rPr>
        <w:t xml:space="preserve">Rudolph, 2002; Giordano, Deines </w:t>
      </w:r>
      <w:r w:rsidR="0083122B">
        <w:rPr>
          <w:sz w:val="24"/>
          <w:szCs w:val="24"/>
        </w:rPr>
        <w:t>&amp;</w:t>
      </w:r>
      <w:r w:rsidR="0083122B" w:rsidRPr="00EB1528">
        <w:rPr>
          <w:sz w:val="24"/>
          <w:szCs w:val="24"/>
        </w:rPr>
        <w:t xml:space="preserve"> </w:t>
      </w:r>
      <w:r w:rsidR="00E1676B" w:rsidRPr="00EB1528">
        <w:rPr>
          <w:sz w:val="24"/>
          <w:szCs w:val="24"/>
        </w:rPr>
        <w:t xml:space="preserve">Cernkovich 2006; </w:t>
      </w:r>
      <w:r w:rsidR="00226E13" w:rsidRPr="00EB1528">
        <w:rPr>
          <w:bCs/>
          <w:sz w:val="24"/>
          <w:szCs w:val="24"/>
        </w:rPr>
        <w:t xml:space="preserve">Barr, 2016) </w:t>
      </w:r>
      <w:r w:rsidRPr="00EB1528">
        <w:rPr>
          <w:sz w:val="24"/>
          <w:szCs w:val="24"/>
        </w:rPr>
        <w:t>but they also raise further questions</w:t>
      </w:r>
      <w:r w:rsidR="001A6BD9" w:rsidRPr="00EB1528">
        <w:rPr>
          <w:sz w:val="24"/>
          <w:szCs w:val="24"/>
        </w:rPr>
        <w:t xml:space="preserve"> about the definition and measurement of universal effects.</w:t>
      </w:r>
      <w:r w:rsidRPr="00EB1528">
        <w:rPr>
          <w:sz w:val="24"/>
          <w:szCs w:val="24"/>
        </w:rPr>
        <w:t xml:space="preserve"> </w:t>
      </w:r>
      <w:r w:rsidR="00FE06FF" w:rsidRPr="00EB1528">
        <w:rPr>
          <w:sz w:val="24"/>
          <w:szCs w:val="24"/>
        </w:rPr>
        <w:t>Marriage</w:t>
      </w:r>
      <w:r w:rsidR="0023586C" w:rsidRPr="00EB1528">
        <w:rPr>
          <w:sz w:val="24"/>
          <w:szCs w:val="24"/>
        </w:rPr>
        <w:t xml:space="preserve">, </w:t>
      </w:r>
      <w:r w:rsidR="00F66126" w:rsidRPr="00EB1528">
        <w:rPr>
          <w:sz w:val="24"/>
          <w:szCs w:val="24"/>
        </w:rPr>
        <w:t xml:space="preserve">parenting, </w:t>
      </w:r>
      <w:r w:rsidR="0023586C" w:rsidRPr="00EB1528">
        <w:rPr>
          <w:sz w:val="24"/>
          <w:szCs w:val="24"/>
        </w:rPr>
        <w:t>work</w:t>
      </w:r>
      <w:r w:rsidR="00FE06FF" w:rsidRPr="00EB1528">
        <w:rPr>
          <w:sz w:val="24"/>
          <w:szCs w:val="24"/>
        </w:rPr>
        <w:t xml:space="preserve"> </w:t>
      </w:r>
      <w:r w:rsidR="0023586C" w:rsidRPr="00EB1528">
        <w:rPr>
          <w:sz w:val="24"/>
          <w:szCs w:val="24"/>
        </w:rPr>
        <w:t xml:space="preserve">and relationships are </w:t>
      </w:r>
      <w:r w:rsidR="00FE06FF" w:rsidRPr="00EB1528">
        <w:rPr>
          <w:sz w:val="24"/>
          <w:szCs w:val="24"/>
        </w:rPr>
        <w:t>cultural practice</w:t>
      </w:r>
      <w:r w:rsidR="00F66126" w:rsidRPr="00EB1528">
        <w:rPr>
          <w:sz w:val="24"/>
          <w:szCs w:val="24"/>
        </w:rPr>
        <w:t>s</w:t>
      </w:r>
      <w:r w:rsidR="00FE06FF" w:rsidRPr="00EB1528">
        <w:rPr>
          <w:sz w:val="24"/>
          <w:szCs w:val="24"/>
        </w:rPr>
        <w:t xml:space="preserve"> and </w:t>
      </w:r>
      <w:r w:rsidR="0023586C" w:rsidRPr="00EB1528">
        <w:rPr>
          <w:sz w:val="24"/>
          <w:szCs w:val="24"/>
        </w:rPr>
        <w:t>their</w:t>
      </w:r>
      <w:r w:rsidR="00FE06FF" w:rsidRPr="00EB1528">
        <w:rPr>
          <w:sz w:val="24"/>
          <w:szCs w:val="24"/>
        </w:rPr>
        <w:t xml:space="preserve"> meanings change over time</w:t>
      </w:r>
      <w:r w:rsidR="002D135F" w:rsidRPr="00EB1528">
        <w:rPr>
          <w:sz w:val="24"/>
          <w:szCs w:val="24"/>
        </w:rPr>
        <w:t xml:space="preserve"> and space</w:t>
      </w:r>
      <w:r w:rsidR="00FE06FF" w:rsidRPr="00EB1528">
        <w:rPr>
          <w:sz w:val="24"/>
          <w:szCs w:val="24"/>
        </w:rPr>
        <w:t xml:space="preserve">. </w:t>
      </w:r>
      <w:r w:rsidR="00EB797C" w:rsidRPr="00EB1528">
        <w:rPr>
          <w:sz w:val="24"/>
          <w:szCs w:val="24"/>
        </w:rPr>
        <w:t xml:space="preserve">Most leading life course criminological studies analyse large cohorts of men born in the global north in the second half of the </w:t>
      </w:r>
      <w:r w:rsidR="0083122B">
        <w:rPr>
          <w:sz w:val="24"/>
          <w:szCs w:val="24"/>
        </w:rPr>
        <w:t>20th</w:t>
      </w:r>
      <w:r w:rsidR="0083122B" w:rsidRPr="00EB1528">
        <w:rPr>
          <w:sz w:val="24"/>
          <w:szCs w:val="24"/>
        </w:rPr>
        <w:t xml:space="preserve"> </w:t>
      </w:r>
      <w:r w:rsidR="00EB797C" w:rsidRPr="00EB1528">
        <w:rPr>
          <w:sz w:val="24"/>
          <w:szCs w:val="24"/>
        </w:rPr>
        <w:t>century</w:t>
      </w:r>
      <w:r w:rsidR="00303D73" w:rsidRPr="00EB1528">
        <w:rPr>
          <w:sz w:val="24"/>
          <w:szCs w:val="24"/>
        </w:rPr>
        <w:t xml:space="preserve"> (</w:t>
      </w:r>
      <w:r w:rsidR="00426C4A" w:rsidRPr="00EB1528">
        <w:rPr>
          <w:sz w:val="24"/>
          <w:szCs w:val="24"/>
        </w:rPr>
        <w:t>for two classic US and British examples</w:t>
      </w:r>
      <w:r w:rsidR="0083122B">
        <w:rPr>
          <w:sz w:val="24"/>
          <w:szCs w:val="24"/>
        </w:rPr>
        <w:t>,</w:t>
      </w:r>
      <w:r w:rsidR="00426C4A" w:rsidRPr="00EB1528">
        <w:rPr>
          <w:sz w:val="24"/>
          <w:szCs w:val="24"/>
        </w:rPr>
        <w:t xml:space="preserve"> see </w:t>
      </w:r>
      <w:r w:rsidR="00303D73" w:rsidRPr="00EB1528">
        <w:rPr>
          <w:sz w:val="24"/>
          <w:szCs w:val="24"/>
        </w:rPr>
        <w:t xml:space="preserve">Glueck </w:t>
      </w:r>
      <w:r w:rsidR="0083122B">
        <w:rPr>
          <w:sz w:val="24"/>
          <w:szCs w:val="24"/>
        </w:rPr>
        <w:t>&amp;</w:t>
      </w:r>
      <w:r w:rsidR="0083122B" w:rsidRPr="00EB1528">
        <w:rPr>
          <w:sz w:val="24"/>
          <w:szCs w:val="24"/>
        </w:rPr>
        <w:t xml:space="preserve"> </w:t>
      </w:r>
      <w:r w:rsidR="00303D73" w:rsidRPr="00EB1528">
        <w:rPr>
          <w:sz w:val="24"/>
          <w:szCs w:val="24"/>
        </w:rPr>
        <w:t xml:space="preserve">Glueck, 1968; </w:t>
      </w:r>
      <w:r w:rsidR="00426C4A" w:rsidRPr="00EB1528">
        <w:rPr>
          <w:sz w:val="24"/>
          <w:szCs w:val="24"/>
          <w:lang w:val="en-US"/>
        </w:rPr>
        <w:lastRenderedPageBreak/>
        <w:t xml:space="preserve">Farrington, Piquero </w:t>
      </w:r>
      <w:r w:rsidR="0083122B">
        <w:rPr>
          <w:sz w:val="24"/>
          <w:szCs w:val="24"/>
          <w:lang w:val="en-US"/>
        </w:rPr>
        <w:t>&amp;</w:t>
      </w:r>
      <w:r w:rsidR="0083122B" w:rsidRPr="00EB1528">
        <w:rPr>
          <w:sz w:val="24"/>
          <w:szCs w:val="24"/>
          <w:lang w:val="en-US"/>
        </w:rPr>
        <w:t xml:space="preserve"> </w:t>
      </w:r>
      <w:r w:rsidR="00426C4A" w:rsidRPr="00EB1528">
        <w:rPr>
          <w:sz w:val="24"/>
          <w:szCs w:val="24"/>
          <w:lang w:val="en-US"/>
        </w:rPr>
        <w:t>Jennings, 2013)</w:t>
      </w:r>
      <w:r w:rsidR="00EB797C" w:rsidRPr="00EB1528">
        <w:rPr>
          <w:sz w:val="24"/>
          <w:szCs w:val="24"/>
        </w:rPr>
        <w:t xml:space="preserve">. Their experience of </w:t>
      </w:r>
      <w:r w:rsidR="0023586C" w:rsidRPr="00EB1528">
        <w:rPr>
          <w:sz w:val="24"/>
          <w:szCs w:val="24"/>
        </w:rPr>
        <w:t xml:space="preserve">these practices is </w:t>
      </w:r>
      <w:r w:rsidR="00EB797C" w:rsidRPr="00EB1528">
        <w:rPr>
          <w:sz w:val="24"/>
          <w:szCs w:val="24"/>
        </w:rPr>
        <w:t>likely to be quite different in many respects from that of those born a century or more earlier or those born in other parts of the world. It is also likely to be quite different fr</w:t>
      </w:r>
      <w:r w:rsidR="00570986" w:rsidRPr="00EB1528">
        <w:rPr>
          <w:sz w:val="24"/>
          <w:szCs w:val="24"/>
        </w:rPr>
        <w:t xml:space="preserve">om that of their wives, </w:t>
      </w:r>
      <w:r w:rsidR="00EB797C" w:rsidRPr="00EB1528">
        <w:rPr>
          <w:sz w:val="24"/>
          <w:szCs w:val="24"/>
        </w:rPr>
        <w:t>mothers</w:t>
      </w:r>
      <w:r w:rsidR="00570986" w:rsidRPr="00EB1528">
        <w:rPr>
          <w:sz w:val="24"/>
          <w:szCs w:val="24"/>
        </w:rPr>
        <w:t xml:space="preserve"> and grandmothers</w:t>
      </w:r>
      <w:r w:rsidR="00EB797C" w:rsidRPr="00EB1528">
        <w:rPr>
          <w:sz w:val="24"/>
          <w:szCs w:val="24"/>
        </w:rPr>
        <w:t>.</w:t>
      </w:r>
      <w:r w:rsidR="00212232" w:rsidRPr="00EB1528">
        <w:rPr>
          <w:sz w:val="24"/>
          <w:szCs w:val="24"/>
        </w:rPr>
        <w:t xml:space="preserve"> Elements of these differences are highlighted in a</w:t>
      </w:r>
      <w:r w:rsidR="0022252F" w:rsidRPr="00EB1528">
        <w:rPr>
          <w:sz w:val="24"/>
          <w:szCs w:val="24"/>
        </w:rPr>
        <w:t xml:space="preserve"> further Dutch study of the effects of family formation on criminal careers for 540 high</w:t>
      </w:r>
      <w:r w:rsidR="0083122B">
        <w:rPr>
          <w:sz w:val="24"/>
          <w:szCs w:val="24"/>
        </w:rPr>
        <w:t>-</w:t>
      </w:r>
      <w:r w:rsidR="0022252F" w:rsidRPr="00EB1528">
        <w:rPr>
          <w:sz w:val="24"/>
          <w:szCs w:val="24"/>
        </w:rPr>
        <w:t xml:space="preserve">risk men and women </w:t>
      </w:r>
      <w:r w:rsidR="00627E0E" w:rsidRPr="00EB1528">
        <w:rPr>
          <w:sz w:val="24"/>
          <w:szCs w:val="24"/>
        </w:rPr>
        <w:t>that identifies</w:t>
      </w:r>
      <w:r w:rsidR="0022252F" w:rsidRPr="00EB1528">
        <w:rPr>
          <w:sz w:val="24"/>
          <w:szCs w:val="24"/>
        </w:rPr>
        <w:t xml:space="preserve"> </w:t>
      </w:r>
      <w:r w:rsidR="00627E0E" w:rsidRPr="00EB1528">
        <w:rPr>
          <w:sz w:val="24"/>
          <w:szCs w:val="24"/>
        </w:rPr>
        <w:t>important</w:t>
      </w:r>
      <w:r w:rsidR="0022252F" w:rsidRPr="00EB1528">
        <w:rPr>
          <w:sz w:val="24"/>
          <w:szCs w:val="24"/>
        </w:rPr>
        <w:t xml:space="preserve"> gender difference</w:t>
      </w:r>
      <w:r w:rsidR="0040774C" w:rsidRPr="00EB1528">
        <w:rPr>
          <w:sz w:val="24"/>
          <w:szCs w:val="24"/>
        </w:rPr>
        <w:t>s</w:t>
      </w:r>
      <w:r w:rsidR="0022252F" w:rsidRPr="00EB1528">
        <w:rPr>
          <w:sz w:val="24"/>
          <w:szCs w:val="24"/>
        </w:rPr>
        <w:t xml:space="preserve">: marriage and parenthood (particularly of a first child) promoted desistance for men, yet </w:t>
      </w:r>
      <w:r w:rsidR="0083122B">
        <w:rPr>
          <w:sz w:val="24"/>
          <w:szCs w:val="24"/>
        </w:rPr>
        <w:t>“</w:t>
      </w:r>
      <w:r w:rsidR="0022252F" w:rsidRPr="00EB1528">
        <w:rPr>
          <w:sz w:val="24"/>
          <w:szCs w:val="24"/>
        </w:rPr>
        <w:t>female offending patterns were not significantly influenced by marital status or motherhood</w:t>
      </w:r>
      <w:r w:rsidR="0083122B">
        <w:rPr>
          <w:sz w:val="24"/>
          <w:szCs w:val="24"/>
        </w:rPr>
        <w:t>”</w:t>
      </w:r>
      <w:r w:rsidR="00472029" w:rsidRPr="00EB1528">
        <w:rPr>
          <w:sz w:val="24"/>
          <w:szCs w:val="24"/>
        </w:rPr>
        <w:t xml:space="preserve"> (</w:t>
      </w:r>
      <w:r w:rsidR="000B5E61">
        <w:rPr>
          <w:sz w:val="24"/>
          <w:szCs w:val="24"/>
        </w:rPr>
        <w:t xml:space="preserve">Zoutewelle-Terovan, van der Geest, Liefbroer </w:t>
      </w:r>
      <w:r w:rsidR="000B5E61" w:rsidRPr="00EB1528">
        <w:rPr>
          <w:sz w:val="24"/>
          <w:szCs w:val="24"/>
        </w:rPr>
        <w:t>&amp; Bijleveld</w:t>
      </w:r>
      <w:r w:rsidR="00A36E21" w:rsidRPr="00EB1528">
        <w:rPr>
          <w:sz w:val="24"/>
          <w:szCs w:val="24"/>
        </w:rPr>
        <w:t>, 2014</w:t>
      </w:r>
      <w:r w:rsidR="00B47068" w:rsidRPr="00EB1528">
        <w:rPr>
          <w:sz w:val="24"/>
          <w:szCs w:val="24"/>
        </w:rPr>
        <w:t>:1209).</w:t>
      </w:r>
      <w:r w:rsidR="00B51AD1" w:rsidRPr="00EB1528">
        <w:rPr>
          <w:sz w:val="24"/>
          <w:szCs w:val="24"/>
        </w:rPr>
        <w:t xml:space="preserve"> We seek to apply insights from new </w:t>
      </w:r>
      <w:r w:rsidR="009C2191" w:rsidRPr="00EB1528">
        <w:rPr>
          <w:sz w:val="24"/>
          <w:szCs w:val="24"/>
        </w:rPr>
        <w:t>studies</w:t>
      </w:r>
      <w:r w:rsidR="00B51AD1" w:rsidRPr="00EB1528">
        <w:rPr>
          <w:sz w:val="24"/>
          <w:szCs w:val="24"/>
        </w:rPr>
        <w:t xml:space="preserve"> like this within </w:t>
      </w:r>
      <w:r w:rsidR="00CD6DE4">
        <w:rPr>
          <w:sz w:val="24"/>
          <w:szCs w:val="24"/>
        </w:rPr>
        <w:t>our</w:t>
      </w:r>
      <w:r w:rsidR="00CD6DE4" w:rsidRPr="00EB1528">
        <w:rPr>
          <w:sz w:val="24"/>
          <w:szCs w:val="24"/>
        </w:rPr>
        <w:t xml:space="preserve"> </w:t>
      </w:r>
      <w:r w:rsidR="00CD6DE4">
        <w:rPr>
          <w:sz w:val="24"/>
          <w:szCs w:val="24"/>
        </w:rPr>
        <w:t xml:space="preserve">exploratory </w:t>
      </w:r>
      <w:r w:rsidR="00B51AD1" w:rsidRPr="00EB1528">
        <w:rPr>
          <w:sz w:val="24"/>
          <w:szCs w:val="24"/>
        </w:rPr>
        <w:t xml:space="preserve">analysis of gender differences in adult outcomes of the early British youth justice and care systems. </w:t>
      </w:r>
    </w:p>
    <w:p w14:paraId="62E8FC51" w14:textId="55C9CC84" w:rsidR="009746B3" w:rsidRPr="00EB1528" w:rsidRDefault="00582E74" w:rsidP="00825C25">
      <w:pPr>
        <w:spacing w:line="360" w:lineRule="auto"/>
        <w:rPr>
          <w:sz w:val="24"/>
          <w:szCs w:val="24"/>
        </w:rPr>
      </w:pPr>
      <w:r w:rsidRPr="00EB1528">
        <w:rPr>
          <w:sz w:val="24"/>
          <w:szCs w:val="24"/>
        </w:rPr>
        <w:t>That said, undertaking this analysis is challenging within historical life course studies.</w:t>
      </w:r>
      <w:r w:rsidR="006C377E" w:rsidRPr="00EB1528">
        <w:rPr>
          <w:sz w:val="24"/>
          <w:szCs w:val="24"/>
        </w:rPr>
        <w:t xml:space="preserve"> </w:t>
      </w:r>
      <w:r w:rsidR="00CD6DE4">
        <w:rPr>
          <w:sz w:val="24"/>
          <w:szCs w:val="24"/>
        </w:rPr>
        <w:t>As outlined above, the numbers of women involved are small and many of them change their names on marriage.</w:t>
      </w:r>
      <w:r w:rsidR="00285E65">
        <w:rPr>
          <w:sz w:val="24"/>
          <w:szCs w:val="24"/>
        </w:rPr>
        <w:t xml:space="preserve"> </w:t>
      </w:r>
      <w:r w:rsidR="00F66126" w:rsidRPr="00EB1528">
        <w:rPr>
          <w:sz w:val="24"/>
          <w:szCs w:val="24"/>
        </w:rPr>
        <w:t xml:space="preserve">This difficulty is </w:t>
      </w:r>
      <w:r w:rsidR="00CD6DE4">
        <w:rPr>
          <w:sz w:val="24"/>
          <w:szCs w:val="24"/>
        </w:rPr>
        <w:t xml:space="preserve">further </w:t>
      </w:r>
      <w:r w:rsidR="00F66126" w:rsidRPr="00EB1528">
        <w:rPr>
          <w:sz w:val="24"/>
          <w:szCs w:val="24"/>
        </w:rPr>
        <w:t>compounded</w:t>
      </w:r>
      <w:r w:rsidR="00627E0E" w:rsidRPr="00EB1528">
        <w:rPr>
          <w:sz w:val="24"/>
          <w:szCs w:val="24"/>
        </w:rPr>
        <w:t xml:space="preserve"> by the </w:t>
      </w:r>
      <w:r w:rsidR="00F07EBB" w:rsidRPr="00EB1528">
        <w:rPr>
          <w:sz w:val="24"/>
          <w:szCs w:val="24"/>
        </w:rPr>
        <w:t xml:space="preserve">fact that </w:t>
      </w:r>
      <w:r w:rsidR="00F66126" w:rsidRPr="00EB1528">
        <w:rPr>
          <w:sz w:val="24"/>
          <w:szCs w:val="24"/>
        </w:rPr>
        <w:t>British</w:t>
      </w:r>
      <w:r w:rsidR="00F07EBB" w:rsidRPr="00EB1528">
        <w:rPr>
          <w:sz w:val="24"/>
          <w:szCs w:val="24"/>
        </w:rPr>
        <w:t xml:space="preserve"> censuses were only conducted every ten years and because undertaking digital research of </w:t>
      </w:r>
      <w:r w:rsidR="00F66126" w:rsidRPr="00EB1528">
        <w:rPr>
          <w:sz w:val="24"/>
          <w:szCs w:val="24"/>
        </w:rPr>
        <w:t xml:space="preserve">British </w:t>
      </w:r>
      <w:r w:rsidR="00947BFF" w:rsidRPr="00EB1528">
        <w:rPr>
          <w:sz w:val="24"/>
          <w:szCs w:val="24"/>
        </w:rPr>
        <w:t>public</w:t>
      </w:r>
      <w:r w:rsidR="00F07EBB" w:rsidRPr="00EB1528">
        <w:rPr>
          <w:sz w:val="24"/>
          <w:szCs w:val="24"/>
        </w:rPr>
        <w:t xml:space="preserve"> birth, marriage and death data incurs significant </w:t>
      </w:r>
      <w:r w:rsidR="00627E0E" w:rsidRPr="00EB1528">
        <w:rPr>
          <w:sz w:val="24"/>
          <w:szCs w:val="24"/>
        </w:rPr>
        <w:t xml:space="preserve">financial costs </w:t>
      </w:r>
      <w:r w:rsidR="00F07EBB" w:rsidRPr="00EB1528">
        <w:rPr>
          <w:sz w:val="24"/>
          <w:szCs w:val="24"/>
        </w:rPr>
        <w:t xml:space="preserve">as it is </w:t>
      </w:r>
      <w:r w:rsidR="00627E0E" w:rsidRPr="00EB1528">
        <w:rPr>
          <w:sz w:val="24"/>
          <w:szCs w:val="24"/>
        </w:rPr>
        <w:t xml:space="preserve">reliant on </w:t>
      </w:r>
      <w:r w:rsidR="00947BFF" w:rsidRPr="00EB1528">
        <w:rPr>
          <w:sz w:val="24"/>
          <w:szCs w:val="24"/>
        </w:rPr>
        <w:t xml:space="preserve">private </w:t>
      </w:r>
      <w:r w:rsidR="00627E0E" w:rsidRPr="00EB1528">
        <w:rPr>
          <w:sz w:val="24"/>
          <w:szCs w:val="24"/>
        </w:rPr>
        <w:t>commercial</w:t>
      </w:r>
      <w:r w:rsidR="00F07EBB" w:rsidRPr="00EB1528">
        <w:rPr>
          <w:sz w:val="24"/>
          <w:szCs w:val="24"/>
        </w:rPr>
        <w:t>ised</w:t>
      </w:r>
      <w:r w:rsidR="00627E0E" w:rsidRPr="00EB1528">
        <w:rPr>
          <w:sz w:val="24"/>
          <w:szCs w:val="24"/>
        </w:rPr>
        <w:t xml:space="preserve"> </w:t>
      </w:r>
      <w:r w:rsidR="00247AC9" w:rsidRPr="00EB1528">
        <w:rPr>
          <w:sz w:val="24"/>
          <w:szCs w:val="24"/>
        </w:rPr>
        <w:t xml:space="preserve">online </w:t>
      </w:r>
      <w:r w:rsidR="00627E0E" w:rsidRPr="00EB1528">
        <w:rPr>
          <w:sz w:val="24"/>
          <w:szCs w:val="24"/>
        </w:rPr>
        <w:t>archive platforms</w:t>
      </w:r>
      <w:r w:rsidR="00E115DE" w:rsidRPr="00EB1528">
        <w:rPr>
          <w:sz w:val="24"/>
          <w:szCs w:val="24"/>
        </w:rPr>
        <w:t xml:space="preserve"> (such as </w:t>
      </w:r>
      <w:hyperlink r:id="rId9" w:history="1">
        <w:r w:rsidR="00E115DE" w:rsidRPr="00EB1528">
          <w:rPr>
            <w:rStyle w:val="Hyperlink"/>
            <w:sz w:val="24"/>
            <w:szCs w:val="24"/>
          </w:rPr>
          <w:t>www.findmypast.co.uk</w:t>
        </w:r>
      </w:hyperlink>
      <w:r w:rsidR="00E115DE" w:rsidRPr="00EB1528">
        <w:rPr>
          <w:sz w:val="24"/>
          <w:szCs w:val="24"/>
        </w:rPr>
        <w:t xml:space="preserve"> and </w:t>
      </w:r>
      <w:hyperlink r:id="rId10" w:history="1">
        <w:r w:rsidR="00EB1528" w:rsidRPr="00930031">
          <w:rPr>
            <w:rStyle w:val="Hyperlink"/>
            <w:sz w:val="24"/>
            <w:szCs w:val="24"/>
          </w:rPr>
          <w:t>www.ancestry.co.uk</w:t>
        </w:r>
      </w:hyperlink>
      <w:r w:rsidR="00E115DE" w:rsidRPr="00EB1528">
        <w:rPr>
          <w:sz w:val="24"/>
          <w:szCs w:val="24"/>
        </w:rPr>
        <w:t>)</w:t>
      </w:r>
      <w:r w:rsidR="00627E0E" w:rsidRPr="00EB1528">
        <w:rPr>
          <w:sz w:val="24"/>
          <w:szCs w:val="24"/>
        </w:rPr>
        <w:t>.</w:t>
      </w:r>
      <w:r w:rsidR="002B18ED" w:rsidRPr="00EB1528">
        <w:rPr>
          <w:sz w:val="24"/>
          <w:szCs w:val="24"/>
        </w:rPr>
        <w:t xml:space="preserve"> </w:t>
      </w:r>
    </w:p>
    <w:p w14:paraId="58CF5A92" w14:textId="4BD98BA7" w:rsidR="00AA4007" w:rsidRPr="00737844" w:rsidRDefault="00B13511" w:rsidP="00825C25">
      <w:pPr>
        <w:spacing w:line="360" w:lineRule="auto"/>
        <w:rPr>
          <w:sz w:val="24"/>
          <w:szCs w:val="24"/>
        </w:rPr>
      </w:pPr>
      <w:r w:rsidRPr="00737844">
        <w:rPr>
          <w:sz w:val="24"/>
          <w:szCs w:val="24"/>
        </w:rPr>
        <w:t>Overall, h</w:t>
      </w:r>
      <w:r w:rsidR="00E1676B" w:rsidRPr="00737844">
        <w:rPr>
          <w:sz w:val="24"/>
          <w:szCs w:val="24"/>
        </w:rPr>
        <w:t>ow did the girls sent to SIS fare as adult women? They were sent in much smaller numbers yet their life courses are just as deserving of our attention – both in their own right and because they offer insight</w:t>
      </w:r>
      <w:r w:rsidR="00C47ECB" w:rsidRPr="00737844">
        <w:rPr>
          <w:sz w:val="24"/>
          <w:szCs w:val="24"/>
        </w:rPr>
        <w:t>s</w:t>
      </w:r>
      <w:r w:rsidR="00E1676B" w:rsidRPr="00737844">
        <w:rPr>
          <w:sz w:val="24"/>
          <w:szCs w:val="24"/>
        </w:rPr>
        <w:t xml:space="preserve"> into</w:t>
      </w:r>
      <w:r w:rsidR="002F3E8E" w:rsidRPr="00737844">
        <w:rPr>
          <w:sz w:val="24"/>
          <w:szCs w:val="24"/>
        </w:rPr>
        <w:t xml:space="preserve"> how we might adapt desistence frameworks to analyse the adult outcomes of thousands more girls (and boys) placed institutional care in this period, not because they were offenders but because they were destitute or judged to be in need of protection. Of the 20 girls within our SIS sample, the majority went on, like the boys in our sample, to live regular working</w:t>
      </w:r>
      <w:r w:rsidR="0083122B">
        <w:rPr>
          <w:sz w:val="24"/>
          <w:szCs w:val="24"/>
        </w:rPr>
        <w:t>-</w:t>
      </w:r>
      <w:r w:rsidR="002F3E8E" w:rsidRPr="00737844">
        <w:rPr>
          <w:sz w:val="24"/>
          <w:szCs w:val="24"/>
        </w:rPr>
        <w:t xml:space="preserve">class lives. </w:t>
      </w:r>
      <w:r w:rsidR="00826B54" w:rsidRPr="00737844">
        <w:rPr>
          <w:sz w:val="24"/>
          <w:szCs w:val="24"/>
        </w:rPr>
        <w:t xml:space="preserve">For women in this period, this typically involved working in an unskilled job until </w:t>
      </w:r>
      <w:r w:rsidR="009978FE" w:rsidRPr="00737844">
        <w:rPr>
          <w:sz w:val="24"/>
          <w:szCs w:val="24"/>
        </w:rPr>
        <w:t>they married</w:t>
      </w:r>
      <w:r w:rsidR="00826B54" w:rsidRPr="00737844">
        <w:rPr>
          <w:sz w:val="24"/>
          <w:szCs w:val="24"/>
        </w:rPr>
        <w:t xml:space="preserve"> and then, if they went on to have children, combining unpaid care work with </w:t>
      </w:r>
      <w:r w:rsidR="00504EAC" w:rsidRPr="00737844">
        <w:rPr>
          <w:sz w:val="24"/>
          <w:szCs w:val="24"/>
        </w:rPr>
        <w:t xml:space="preserve">informal </w:t>
      </w:r>
      <w:r w:rsidR="00826B54" w:rsidRPr="00737844">
        <w:rPr>
          <w:sz w:val="24"/>
          <w:szCs w:val="24"/>
        </w:rPr>
        <w:t>casual work</w:t>
      </w:r>
      <w:r w:rsidR="00504EAC" w:rsidRPr="00737844">
        <w:rPr>
          <w:sz w:val="24"/>
          <w:szCs w:val="24"/>
        </w:rPr>
        <w:t>, such as charing, cleaning, child-minding or taking in laundry</w:t>
      </w:r>
      <w:r w:rsidR="007B7D46" w:rsidRPr="00737844">
        <w:rPr>
          <w:sz w:val="24"/>
          <w:szCs w:val="24"/>
        </w:rPr>
        <w:t xml:space="preserve"> or piecework</w:t>
      </w:r>
      <w:r w:rsidR="00F66126" w:rsidRPr="00737844">
        <w:rPr>
          <w:sz w:val="24"/>
          <w:szCs w:val="24"/>
        </w:rPr>
        <w:t xml:space="preserve"> (</w:t>
      </w:r>
      <w:r w:rsidR="00BC1C81" w:rsidRPr="00737844">
        <w:rPr>
          <w:sz w:val="24"/>
          <w:szCs w:val="24"/>
        </w:rPr>
        <w:t>Holloway, 2007; Todd, 20</w:t>
      </w:r>
      <w:r w:rsidR="002228CA">
        <w:rPr>
          <w:sz w:val="24"/>
          <w:szCs w:val="24"/>
        </w:rPr>
        <w:t>0</w:t>
      </w:r>
      <w:r w:rsidR="00BC1C81" w:rsidRPr="00737844">
        <w:rPr>
          <w:sz w:val="24"/>
          <w:szCs w:val="24"/>
        </w:rPr>
        <w:t>5)</w:t>
      </w:r>
      <w:r w:rsidR="00826B54" w:rsidRPr="00737844">
        <w:rPr>
          <w:sz w:val="24"/>
          <w:szCs w:val="24"/>
        </w:rPr>
        <w:t xml:space="preserve">. </w:t>
      </w:r>
      <w:r w:rsidR="009978FE" w:rsidRPr="00737844">
        <w:rPr>
          <w:sz w:val="24"/>
          <w:szCs w:val="24"/>
        </w:rPr>
        <w:t xml:space="preserve">For </w:t>
      </w:r>
      <w:r w:rsidR="00E41C4B">
        <w:rPr>
          <w:sz w:val="24"/>
          <w:szCs w:val="24"/>
        </w:rPr>
        <w:t>working-class</w:t>
      </w:r>
      <w:r w:rsidR="00504EAC" w:rsidRPr="00737844">
        <w:rPr>
          <w:sz w:val="24"/>
          <w:szCs w:val="24"/>
        </w:rPr>
        <w:t xml:space="preserve"> </w:t>
      </w:r>
      <w:r w:rsidR="009978FE" w:rsidRPr="00737844">
        <w:rPr>
          <w:sz w:val="24"/>
          <w:szCs w:val="24"/>
        </w:rPr>
        <w:t xml:space="preserve">women, marriage and motherhood was as much a form of work as a set of affective relationships. </w:t>
      </w:r>
      <w:r w:rsidR="00504EAC" w:rsidRPr="00737844">
        <w:rPr>
          <w:sz w:val="24"/>
          <w:szCs w:val="24"/>
        </w:rPr>
        <w:t xml:space="preserve">Their route out of cumulative disadvantage was typically </w:t>
      </w:r>
      <w:r w:rsidR="007B7D46" w:rsidRPr="00737844">
        <w:rPr>
          <w:sz w:val="24"/>
          <w:szCs w:val="24"/>
        </w:rPr>
        <w:t xml:space="preserve">a </w:t>
      </w:r>
      <w:r w:rsidR="00AA4007" w:rsidRPr="00737844">
        <w:rPr>
          <w:sz w:val="24"/>
          <w:szCs w:val="24"/>
        </w:rPr>
        <w:t xml:space="preserve">more </w:t>
      </w:r>
      <w:r w:rsidR="00504EAC" w:rsidRPr="00737844">
        <w:rPr>
          <w:sz w:val="24"/>
          <w:szCs w:val="24"/>
        </w:rPr>
        <w:t>relational</w:t>
      </w:r>
      <w:r w:rsidR="00AA4007" w:rsidRPr="00737844">
        <w:rPr>
          <w:sz w:val="24"/>
          <w:szCs w:val="24"/>
        </w:rPr>
        <w:t>,</w:t>
      </w:r>
      <w:r w:rsidR="00504EAC" w:rsidRPr="00737844">
        <w:rPr>
          <w:sz w:val="24"/>
          <w:szCs w:val="24"/>
        </w:rPr>
        <w:t xml:space="preserve"> rather than</w:t>
      </w:r>
      <w:r w:rsidR="00BC1C81" w:rsidRPr="00737844">
        <w:rPr>
          <w:sz w:val="24"/>
          <w:szCs w:val="24"/>
        </w:rPr>
        <w:t xml:space="preserve"> </w:t>
      </w:r>
      <w:r w:rsidR="00AA4007" w:rsidRPr="00737844">
        <w:rPr>
          <w:sz w:val="24"/>
          <w:szCs w:val="24"/>
        </w:rPr>
        <w:t>a more</w:t>
      </w:r>
      <w:r w:rsidR="00504EAC" w:rsidRPr="00737844">
        <w:rPr>
          <w:sz w:val="24"/>
          <w:szCs w:val="24"/>
        </w:rPr>
        <w:t xml:space="preserve"> individual</w:t>
      </w:r>
      <w:r w:rsidR="00AA4007" w:rsidRPr="00737844">
        <w:rPr>
          <w:sz w:val="24"/>
          <w:szCs w:val="24"/>
        </w:rPr>
        <w:t>,</w:t>
      </w:r>
      <w:r w:rsidR="007B7D46" w:rsidRPr="00737844">
        <w:rPr>
          <w:sz w:val="24"/>
          <w:szCs w:val="24"/>
        </w:rPr>
        <w:t xml:space="preserve"> one</w:t>
      </w:r>
      <w:r w:rsidR="00504EAC" w:rsidRPr="00737844">
        <w:rPr>
          <w:sz w:val="24"/>
          <w:szCs w:val="24"/>
        </w:rPr>
        <w:t xml:space="preserve">. It was based on their </w:t>
      </w:r>
      <w:r w:rsidR="00504EAC" w:rsidRPr="00737844">
        <w:rPr>
          <w:i/>
          <w:sz w:val="24"/>
          <w:szCs w:val="24"/>
        </w:rPr>
        <w:t>dependence on</w:t>
      </w:r>
      <w:r w:rsidR="007B7D46" w:rsidRPr="00737844">
        <w:rPr>
          <w:sz w:val="24"/>
          <w:szCs w:val="24"/>
        </w:rPr>
        <w:t xml:space="preserve"> </w:t>
      </w:r>
      <w:r w:rsidR="00504EAC" w:rsidRPr="00737844">
        <w:rPr>
          <w:sz w:val="24"/>
          <w:szCs w:val="24"/>
        </w:rPr>
        <w:t>others</w:t>
      </w:r>
      <w:r w:rsidR="007B7D46" w:rsidRPr="00737844">
        <w:rPr>
          <w:sz w:val="24"/>
          <w:szCs w:val="24"/>
        </w:rPr>
        <w:t xml:space="preserve"> and </w:t>
      </w:r>
      <w:r w:rsidR="007B7D46" w:rsidRPr="00737844">
        <w:rPr>
          <w:i/>
          <w:sz w:val="24"/>
          <w:szCs w:val="24"/>
        </w:rPr>
        <w:lastRenderedPageBreak/>
        <w:t>interdependence with</w:t>
      </w:r>
      <w:r w:rsidR="007B7D46" w:rsidRPr="00737844">
        <w:rPr>
          <w:sz w:val="24"/>
          <w:szCs w:val="24"/>
        </w:rPr>
        <w:t xml:space="preserve"> others,</w:t>
      </w:r>
      <w:r w:rsidR="00504EAC" w:rsidRPr="00737844">
        <w:rPr>
          <w:sz w:val="24"/>
          <w:szCs w:val="24"/>
        </w:rPr>
        <w:t xml:space="preserve"> rather than their </w:t>
      </w:r>
      <w:r w:rsidR="00504EAC" w:rsidRPr="00737844">
        <w:rPr>
          <w:i/>
          <w:sz w:val="24"/>
          <w:szCs w:val="24"/>
        </w:rPr>
        <w:t>independence from</w:t>
      </w:r>
      <w:r w:rsidR="00504EAC" w:rsidRPr="00737844">
        <w:rPr>
          <w:sz w:val="24"/>
          <w:szCs w:val="24"/>
        </w:rPr>
        <w:t xml:space="preserve"> others</w:t>
      </w:r>
      <w:r w:rsidR="008B6C98">
        <w:rPr>
          <w:sz w:val="24"/>
          <w:szCs w:val="24"/>
        </w:rPr>
        <w:t xml:space="preserve"> (</w:t>
      </w:r>
      <w:r w:rsidR="008B6C98">
        <w:rPr>
          <w:sz w:val="24"/>
          <w:szCs w:val="24"/>
          <w:lang w:val="en-US"/>
        </w:rPr>
        <w:t xml:space="preserve">Mackenzie </w:t>
      </w:r>
      <w:r w:rsidR="00E41C4B">
        <w:rPr>
          <w:sz w:val="24"/>
          <w:szCs w:val="24"/>
          <w:lang w:val="en-US"/>
        </w:rPr>
        <w:t xml:space="preserve">&amp; </w:t>
      </w:r>
      <w:r w:rsidR="008B6C98">
        <w:rPr>
          <w:sz w:val="24"/>
          <w:szCs w:val="24"/>
          <w:lang w:val="en-US"/>
        </w:rPr>
        <w:t>Stoljar, 2000</w:t>
      </w:r>
      <w:r w:rsidR="008B6C98">
        <w:rPr>
          <w:sz w:val="24"/>
          <w:szCs w:val="24"/>
        </w:rPr>
        <w:t>)</w:t>
      </w:r>
      <w:r w:rsidR="00504EAC" w:rsidRPr="00737844">
        <w:rPr>
          <w:sz w:val="24"/>
          <w:szCs w:val="24"/>
        </w:rPr>
        <w:t>.</w:t>
      </w:r>
      <w:r w:rsidR="007B7D46" w:rsidRPr="00737844">
        <w:rPr>
          <w:sz w:val="24"/>
          <w:szCs w:val="24"/>
        </w:rPr>
        <w:t xml:space="preserve"> This is not to suggest that women actively chose this relational route in the way that a man in this period might more actively choose one pathway over another: on the contrary, </w:t>
      </w:r>
      <w:r w:rsidR="00E41C4B">
        <w:rPr>
          <w:sz w:val="24"/>
          <w:szCs w:val="24"/>
        </w:rPr>
        <w:t>working-class</w:t>
      </w:r>
      <w:r w:rsidR="007B7D46" w:rsidRPr="00737844">
        <w:rPr>
          <w:sz w:val="24"/>
          <w:szCs w:val="24"/>
        </w:rPr>
        <w:t xml:space="preserve"> women had far fewer options over</w:t>
      </w:r>
      <w:r w:rsidR="009B4C10" w:rsidRPr="00737844">
        <w:rPr>
          <w:sz w:val="24"/>
          <w:szCs w:val="24"/>
        </w:rPr>
        <w:t xml:space="preserve">, and </w:t>
      </w:r>
      <w:r w:rsidR="00AA4007" w:rsidRPr="00737844">
        <w:rPr>
          <w:sz w:val="24"/>
          <w:szCs w:val="24"/>
        </w:rPr>
        <w:t xml:space="preserve">exercised </w:t>
      </w:r>
      <w:r w:rsidR="009B4C10" w:rsidRPr="00737844">
        <w:rPr>
          <w:sz w:val="24"/>
          <w:szCs w:val="24"/>
        </w:rPr>
        <w:t>far less autonomy within,</w:t>
      </w:r>
      <w:r w:rsidR="007B7D46" w:rsidRPr="00737844">
        <w:rPr>
          <w:sz w:val="24"/>
          <w:szCs w:val="24"/>
        </w:rPr>
        <w:t xml:space="preserve"> their life course than working</w:t>
      </w:r>
      <w:r w:rsidR="00E41C4B">
        <w:rPr>
          <w:sz w:val="24"/>
          <w:szCs w:val="24"/>
        </w:rPr>
        <w:t>-</w:t>
      </w:r>
      <w:r w:rsidR="007B7D46" w:rsidRPr="00737844">
        <w:rPr>
          <w:sz w:val="24"/>
          <w:szCs w:val="24"/>
        </w:rPr>
        <w:t xml:space="preserve">class men. </w:t>
      </w:r>
      <w:r w:rsidR="00AA4007" w:rsidRPr="00737844">
        <w:rPr>
          <w:sz w:val="24"/>
          <w:szCs w:val="24"/>
        </w:rPr>
        <w:t xml:space="preserve">The range of full-time jobs open to them, for example, was much narrower and they were often expected to give up those jobs when they married. Their ability to live independently was greatly curtailed in a period when significant gender pay gaps were customary across </w:t>
      </w:r>
      <w:r w:rsidR="00CE3498" w:rsidRPr="00737844">
        <w:rPr>
          <w:sz w:val="24"/>
          <w:szCs w:val="24"/>
        </w:rPr>
        <w:t>all employment sectors and when they faced challenges renting or buying their own property.</w:t>
      </w:r>
    </w:p>
    <w:p w14:paraId="25D27A71" w14:textId="038E99A0" w:rsidR="00F57E1A" w:rsidRDefault="00184C5C" w:rsidP="00825C25">
      <w:pPr>
        <w:spacing w:line="360" w:lineRule="auto"/>
        <w:rPr>
          <w:sz w:val="24"/>
          <w:szCs w:val="24"/>
        </w:rPr>
      </w:pPr>
      <w:r w:rsidRPr="00737844">
        <w:rPr>
          <w:sz w:val="24"/>
          <w:szCs w:val="24"/>
        </w:rPr>
        <w:t>In a rare life course study of more</w:t>
      </w:r>
      <w:r w:rsidR="00E41C4B">
        <w:rPr>
          <w:sz w:val="24"/>
          <w:szCs w:val="24"/>
        </w:rPr>
        <w:t>-</w:t>
      </w:r>
      <w:r w:rsidRPr="00737844">
        <w:rPr>
          <w:sz w:val="24"/>
          <w:szCs w:val="24"/>
        </w:rPr>
        <w:t xml:space="preserve">recent care outcomes in Britain, Horrocks (2002) compares maturational accounts and socio-historical accounts of journeys in and out of care. She notes that the former </w:t>
      </w:r>
      <w:proofErr w:type="gramStart"/>
      <w:r w:rsidRPr="00737844">
        <w:rPr>
          <w:sz w:val="24"/>
          <w:szCs w:val="24"/>
        </w:rPr>
        <w:t>tend</w:t>
      </w:r>
      <w:proofErr w:type="gramEnd"/>
      <w:r w:rsidRPr="00737844">
        <w:rPr>
          <w:sz w:val="24"/>
          <w:szCs w:val="24"/>
        </w:rPr>
        <w:t xml:space="preserve"> to prioritise the concept of ‘independence’ as a desired outcome but argues that this </w:t>
      </w:r>
      <w:r w:rsidR="00E41C4B">
        <w:rPr>
          <w:sz w:val="24"/>
          <w:szCs w:val="24"/>
        </w:rPr>
        <w:t>“</w:t>
      </w:r>
      <w:r w:rsidRPr="00737844">
        <w:rPr>
          <w:sz w:val="24"/>
          <w:szCs w:val="24"/>
        </w:rPr>
        <w:t>carries with it a host of expectations: autonomy, self-r</w:t>
      </w:r>
      <w:r w:rsidR="00742ADD">
        <w:rPr>
          <w:sz w:val="24"/>
          <w:szCs w:val="24"/>
        </w:rPr>
        <w:t>eliance and obligation</w:t>
      </w:r>
      <w:r w:rsidR="00E41C4B">
        <w:rPr>
          <w:sz w:val="24"/>
          <w:szCs w:val="24"/>
        </w:rPr>
        <w:t>”</w:t>
      </w:r>
      <w:r w:rsidR="00742ADD">
        <w:rPr>
          <w:sz w:val="24"/>
          <w:szCs w:val="24"/>
        </w:rPr>
        <w:t xml:space="preserve"> (2002: 325</w:t>
      </w:r>
      <w:r w:rsidRPr="00737844">
        <w:rPr>
          <w:sz w:val="24"/>
          <w:szCs w:val="24"/>
        </w:rPr>
        <w:t>). Horrocks is concerned with the use of age rather than gender as a variable in these kinds studies and with the fact that children from different socio-cultural backgrounds will have grown up with different definitions of ‘independence’</w:t>
      </w:r>
      <w:r w:rsidR="00742ADD">
        <w:rPr>
          <w:sz w:val="24"/>
          <w:szCs w:val="24"/>
        </w:rPr>
        <w:t xml:space="preserve"> – and also notes that, as stressed by socio-historical accounts of care journeys, perceptions of independence change over time</w:t>
      </w:r>
      <w:r w:rsidRPr="00737844">
        <w:rPr>
          <w:sz w:val="24"/>
          <w:szCs w:val="24"/>
        </w:rPr>
        <w:t>. However, her argument can be extended to the analysis of gender differences within adult care outcomes.</w:t>
      </w:r>
      <w:r w:rsidR="00285E65">
        <w:rPr>
          <w:sz w:val="24"/>
          <w:szCs w:val="24"/>
        </w:rPr>
        <w:t xml:space="preserve"> </w:t>
      </w:r>
      <w:r w:rsidRPr="00737844">
        <w:rPr>
          <w:sz w:val="24"/>
          <w:szCs w:val="24"/>
        </w:rPr>
        <w:t xml:space="preserve">It could be argued that we all live </w:t>
      </w:r>
      <w:r w:rsidR="009346C9" w:rsidRPr="00737844">
        <w:rPr>
          <w:sz w:val="24"/>
          <w:szCs w:val="24"/>
        </w:rPr>
        <w:t xml:space="preserve">what can be described as </w:t>
      </w:r>
      <w:r w:rsidRPr="00737844">
        <w:rPr>
          <w:sz w:val="24"/>
          <w:szCs w:val="24"/>
        </w:rPr>
        <w:t>‘relational life courses’ but that women in the past tended to experience this more intensely than men because they had fewer chances to opt out and/or because they derived more emotional and material be</w:t>
      </w:r>
      <w:r w:rsidR="00034FBB" w:rsidRPr="00737844">
        <w:rPr>
          <w:sz w:val="24"/>
          <w:szCs w:val="24"/>
        </w:rPr>
        <w:t>nefit from their relationships.</w:t>
      </w:r>
    </w:p>
    <w:p w14:paraId="16B00E01" w14:textId="10A8320B" w:rsidR="00293932" w:rsidRPr="00EB1528" w:rsidRDefault="00D71706" w:rsidP="00825C25">
      <w:pPr>
        <w:spacing w:line="360" w:lineRule="auto"/>
        <w:rPr>
          <w:sz w:val="24"/>
          <w:szCs w:val="24"/>
        </w:rPr>
      </w:pPr>
      <w:r w:rsidRPr="00EB1528">
        <w:rPr>
          <w:sz w:val="24"/>
          <w:szCs w:val="24"/>
        </w:rPr>
        <w:t xml:space="preserve">The life courses of </w:t>
      </w:r>
      <w:r w:rsidR="00CD6DE4">
        <w:rPr>
          <w:sz w:val="24"/>
          <w:szCs w:val="24"/>
        </w:rPr>
        <w:t xml:space="preserve">the three women detailed here </w:t>
      </w:r>
      <w:r w:rsidRPr="00EB1528">
        <w:rPr>
          <w:sz w:val="24"/>
          <w:szCs w:val="24"/>
        </w:rPr>
        <w:t>present very different pathways to adult outcomes</w:t>
      </w:r>
      <w:r w:rsidR="0000691C" w:rsidRPr="00EB1528">
        <w:rPr>
          <w:sz w:val="24"/>
          <w:szCs w:val="24"/>
        </w:rPr>
        <w:t xml:space="preserve">, </w:t>
      </w:r>
      <w:r w:rsidR="00D1657C" w:rsidRPr="00EB1528">
        <w:rPr>
          <w:sz w:val="24"/>
          <w:szCs w:val="24"/>
        </w:rPr>
        <w:t xml:space="preserve">all </w:t>
      </w:r>
      <w:r w:rsidR="0000691C" w:rsidRPr="00EB1528">
        <w:rPr>
          <w:sz w:val="24"/>
          <w:szCs w:val="24"/>
        </w:rPr>
        <w:t xml:space="preserve">of which </w:t>
      </w:r>
      <w:r w:rsidR="00A349B0" w:rsidRPr="00EB1528">
        <w:rPr>
          <w:sz w:val="24"/>
          <w:szCs w:val="24"/>
        </w:rPr>
        <w:t>contain</w:t>
      </w:r>
      <w:r w:rsidR="00D1657C" w:rsidRPr="00EB1528">
        <w:rPr>
          <w:sz w:val="24"/>
          <w:szCs w:val="24"/>
        </w:rPr>
        <w:t xml:space="preserve"> positive elements</w:t>
      </w:r>
      <w:r w:rsidRPr="00EB1528">
        <w:rPr>
          <w:sz w:val="24"/>
          <w:szCs w:val="24"/>
        </w:rPr>
        <w:t xml:space="preserve">. </w:t>
      </w:r>
      <w:r w:rsidR="00293932" w:rsidRPr="00EB1528">
        <w:rPr>
          <w:sz w:val="24"/>
          <w:szCs w:val="24"/>
        </w:rPr>
        <w:t xml:space="preserve">At one level, their shared beginnings produced divergent lives (to paraphrase Sampson </w:t>
      </w:r>
      <w:r w:rsidR="00E41C4B">
        <w:rPr>
          <w:sz w:val="24"/>
          <w:szCs w:val="24"/>
        </w:rPr>
        <w:t>&amp;</w:t>
      </w:r>
      <w:r w:rsidR="00E41C4B" w:rsidRPr="00EB1528">
        <w:rPr>
          <w:sz w:val="24"/>
          <w:szCs w:val="24"/>
        </w:rPr>
        <w:t xml:space="preserve"> </w:t>
      </w:r>
      <w:r w:rsidR="00293932" w:rsidRPr="00EB1528">
        <w:rPr>
          <w:sz w:val="24"/>
          <w:szCs w:val="24"/>
        </w:rPr>
        <w:t xml:space="preserve">Laub, 1993, </w:t>
      </w:r>
      <w:r w:rsidR="00BA29A1" w:rsidRPr="00EB1528">
        <w:rPr>
          <w:sz w:val="24"/>
          <w:szCs w:val="24"/>
        </w:rPr>
        <w:t>2003, 2006</w:t>
      </w:r>
      <w:r w:rsidR="00293932" w:rsidRPr="00EB1528">
        <w:rPr>
          <w:sz w:val="24"/>
          <w:szCs w:val="24"/>
        </w:rPr>
        <w:t xml:space="preserve">). At another, however, the degree of divergence </w:t>
      </w:r>
      <w:r w:rsidR="0000691C" w:rsidRPr="00EB1528">
        <w:rPr>
          <w:sz w:val="24"/>
          <w:szCs w:val="24"/>
        </w:rPr>
        <w:t>between them is</w:t>
      </w:r>
      <w:r w:rsidR="00293932" w:rsidRPr="00EB1528">
        <w:rPr>
          <w:sz w:val="24"/>
          <w:szCs w:val="24"/>
        </w:rPr>
        <w:t xml:space="preserve"> slight: all of the women found </w:t>
      </w:r>
      <w:r w:rsidR="00BA29A1" w:rsidRPr="00EB1528">
        <w:rPr>
          <w:sz w:val="24"/>
          <w:szCs w:val="24"/>
        </w:rPr>
        <w:t xml:space="preserve">local </w:t>
      </w:r>
      <w:r w:rsidR="00293932" w:rsidRPr="00EB1528">
        <w:rPr>
          <w:sz w:val="24"/>
          <w:szCs w:val="24"/>
        </w:rPr>
        <w:t>work and local housing, all maintained family lives and relationships and none seem to have had any further personal involvement in the criminal justice system. Amanda B remained single</w:t>
      </w:r>
      <w:r w:rsidR="006F0B9B">
        <w:rPr>
          <w:sz w:val="24"/>
          <w:szCs w:val="24"/>
        </w:rPr>
        <w:t xml:space="preserve">, </w:t>
      </w:r>
      <w:r w:rsidR="00293932" w:rsidRPr="00EB1528">
        <w:rPr>
          <w:sz w:val="24"/>
          <w:szCs w:val="24"/>
        </w:rPr>
        <w:t xml:space="preserve">went on to run a business and to share a household with her sister and brother-in-law. Margaret L also remained single but raised two children and maintained a precarious but networked existence for her family through charing and other forms of casual work. </w:t>
      </w:r>
      <w:r w:rsidR="00293932" w:rsidRPr="00EB1528">
        <w:rPr>
          <w:sz w:val="24"/>
          <w:szCs w:val="24"/>
        </w:rPr>
        <w:lastRenderedPageBreak/>
        <w:t>That work may have involved casual sex work but, if so, did not bring her into contact with the criminal justice system</w:t>
      </w:r>
      <w:r w:rsidR="00E41C4B">
        <w:rPr>
          <w:sz w:val="24"/>
          <w:szCs w:val="24"/>
        </w:rPr>
        <w:t>,</w:t>
      </w:r>
      <w:r w:rsidR="00293932" w:rsidRPr="00EB1528">
        <w:rPr>
          <w:sz w:val="24"/>
          <w:szCs w:val="24"/>
        </w:rPr>
        <w:t xml:space="preserve"> although may have contributed to her son’s admission to SIS. Alice C followed a more conventional route – first returning to live with her extended family whilst working at a local mill, then marrying and raising a family of her own supported by her husband’s salary. </w:t>
      </w:r>
    </w:p>
    <w:p w14:paraId="7B1604BE" w14:textId="77777777" w:rsidR="00BA29A1" w:rsidRDefault="007B5C4F" w:rsidP="00825C25">
      <w:pPr>
        <w:spacing w:line="360" w:lineRule="auto"/>
        <w:rPr>
          <w:sz w:val="24"/>
          <w:szCs w:val="24"/>
        </w:rPr>
      </w:pPr>
      <w:r w:rsidRPr="00EB1528">
        <w:rPr>
          <w:sz w:val="24"/>
          <w:szCs w:val="24"/>
        </w:rPr>
        <w:t xml:space="preserve">Their life courses highlight many unanswered questions around the gendered dynamics of desistance and re-integration. They show that life course approaches to adult outcomes </w:t>
      </w:r>
      <w:r w:rsidR="007B7612" w:rsidRPr="00EB1528">
        <w:rPr>
          <w:sz w:val="24"/>
          <w:szCs w:val="24"/>
        </w:rPr>
        <w:t xml:space="preserve">of care and correction </w:t>
      </w:r>
      <w:r w:rsidRPr="00EB1528">
        <w:rPr>
          <w:sz w:val="24"/>
          <w:szCs w:val="24"/>
        </w:rPr>
        <w:t xml:space="preserve">stand to gain a great deal by </w:t>
      </w:r>
      <w:r w:rsidR="007B7612" w:rsidRPr="00EB1528">
        <w:rPr>
          <w:sz w:val="24"/>
          <w:szCs w:val="24"/>
        </w:rPr>
        <w:t xml:space="preserve">further </w:t>
      </w:r>
      <w:r w:rsidRPr="00EB1528">
        <w:rPr>
          <w:sz w:val="24"/>
          <w:szCs w:val="24"/>
        </w:rPr>
        <w:t xml:space="preserve">engaging with </w:t>
      </w:r>
      <w:r w:rsidR="00A349B0" w:rsidRPr="00EB1528">
        <w:rPr>
          <w:sz w:val="24"/>
          <w:szCs w:val="24"/>
        </w:rPr>
        <w:t>socio-historical</w:t>
      </w:r>
      <w:r w:rsidR="007B7612" w:rsidRPr="00EB1528">
        <w:rPr>
          <w:sz w:val="24"/>
          <w:szCs w:val="24"/>
        </w:rPr>
        <w:t xml:space="preserve"> and gender</w:t>
      </w:r>
      <w:r w:rsidRPr="00EB1528">
        <w:rPr>
          <w:sz w:val="24"/>
          <w:szCs w:val="24"/>
        </w:rPr>
        <w:t xml:space="preserve"> analysis.</w:t>
      </w:r>
      <w:r w:rsidR="007B7612" w:rsidRPr="00EB1528">
        <w:rPr>
          <w:sz w:val="24"/>
          <w:szCs w:val="24"/>
        </w:rPr>
        <w:t xml:space="preserve"> In particular, they suggest that more research is need</w:t>
      </w:r>
      <w:r w:rsidR="00A349B0" w:rsidRPr="00EB1528">
        <w:rPr>
          <w:sz w:val="24"/>
          <w:szCs w:val="24"/>
        </w:rPr>
        <w:t xml:space="preserve">ed into the </w:t>
      </w:r>
      <w:r w:rsidR="00DF0901" w:rsidRPr="00EB1528">
        <w:rPr>
          <w:sz w:val="24"/>
          <w:szCs w:val="24"/>
        </w:rPr>
        <w:t>effects of marriage, work, parenthood and relationships for women</w:t>
      </w:r>
      <w:r w:rsidR="009F20D7" w:rsidRPr="00EB1528">
        <w:rPr>
          <w:sz w:val="24"/>
          <w:szCs w:val="24"/>
        </w:rPr>
        <w:t xml:space="preserve"> in the past</w:t>
      </w:r>
      <w:r w:rsidR="00A349B0" w:rsidRPr="00EB1528">
        <w:rPr>
          <w:sz w:val="24"/>
          <w:szCs w:val="24"/>
        </w:rPr>
        <w:t xml:space="preserve"> and </w:t>
      </w:r>
      <w:r w:rsidR="0000691C" w:rsidRPr="00EB1528">
        <w:rPr>
          <w:sz w:val="24"/>
          <w:szCs w:val="24"/>
        </w:rPr>
        <w:t>t</w:t>
      </w:r>
      <w:r w:rsidR="00DF0901" w:rsidRPr="00EB1528">
        <w:rPr>
          <w:sz w:val="24"/>
          <w:szCs w:val="24"/>
        </w:rPr>
        <w:t xml:space="preserve">hat </w:t>
      </w:r>
      <w:r w:rsidR="0000691C" w:rsidRPr="00EB1528">
        <w:rPr>
          <w:sz w:val="24"/>
          <w:szCs w:val="24"/>
        </w:rPr>
        <w:t>male offenders’</w:t>
      </w:r>
      <w:r w:rsidR="00DF0901" w:rsidRPr="00EB1528">
        <w:rPr>
          <w:sz w:val="24"/>
          <w:szCs w:val="24"/>
        </w:rPr>
        <w:t xml:space="preserve"> experiences of these cultural practices </w:t>
      </w:r>
      <w:r w:rsidR="003D652B" w:rsidRPr="00EB1528">
        <w:rPr>
          <w:sz w:val="24"/>
          <w:szCs w:val="24"/>
        </w:rPr>
        <w:t xml:space="preserve">in particular places and at particular points in time </w:t>
      </w:r>
      <w:r w:rsidR="00DF0901" w:rsidRPr="00EB1528">
        <w:rPr>
          <w:sz w:val="24"/>
          <w:szCs w:val="24"/>
        </w:rPr>
        <w:t xml:space="preserve">should not stand as a </w:t>
      </w:r>
      <w:r w:rsidR="0000691C" w:rsidRPr="00EB1528">
        <w:rPr>
          <w:sz w:val="24"/>
          <w:szCs w:val="24"/>
        </w:rPr>
        <w:t>universal, gender-neutral,</w:t>
      </w:r>
      <w:r w:rsidR="00DF0901" w:rsidRPr="00EB1528">
        <w:rPr>
          <w:sz w:val="24"/>
          <w:szCs w:val="24"/>
        </w:rPr>
        <w:t xml:space="preserve"> ahistorical norm.</w:t>
      </w:r>
      <w:r w:rsidR="0000691C" w:rsidRPr="00EB1528">
        <w:rPr>
          <w:sz w:val="24"/>
          <w:szCs w:val="24"/>
        </w:rPr>
        <w:t xml:space="preserve"> </w:t>
      </w:r>
    </w:p>
    <w:p w14:paraId="16C0D8B3" w14:textId="77777777" w:rsidR="006F0B9B" w:rsidRPr="00EB1528" w:rsidRDefault="006F0B9B" w:rsidP="00825C25">
      <w:pPr>
        <w:spacing w:line="360" w:lineRule="auto"/>
        <w:rPr>
          <w:sz w:val="24"/>
          <w:szCs w:val="24"/>
        </w:rPr>
      </w:pPr>
    </w:p>
    <w:p w14:paraId="7F45FF40" w14:textId="23D712F6" w:rsidR="00C879A0" w:rsidRDefault="00407407" w:rsidP="00407407">
      <w:pPr>
        <w:spacing w:after="0" w:line="360" w:lineRule="auto"/>
        <w:rPr>
          <w:b/>
          <w:sz w:val="24"/>
          <w:szCs w:val="24"/>
        </w:rPr>
      </w:pPr>
      <w:r>
        <w:rPr>
          <w:b/>
          <w:sz w:val="24"/>
          <w:szCs w:val="24"/>
        </w:rPr>
        <w:t>Conclusion</w:t>
      </w:r>
    </w:p>
    <w:p w14:paraId="4C491442" w14:textId="43E4B7E0" w:rsidR="00595F41" w:rsidRPr="00EB1528" w:rsidRDefault="00E25413" w:rsidP="00407407">
      <w:pPr>
        <w:spacing w:line="360" w:lineRule="auto"/>
        <w:rPr>
          <w:sz w:val="24"/>
          <w:szCs w:val="24"/>
        </w:rPr>
      </w:pPr>
      <w:r w:rsidRPr="00EB1528">
        <w:rPr>
          <w:sz w:val="24"/>
          <w:szCs w:val="24"/>
        </w:rPr>
        <w:t xml:space="preserve">This article offers one of the first historical accounts of adult outcomes of the early British care system. </w:t>
      </w:r>
      <w:r w:rsidR="00597BAD" w:rsidRPr="00EB1528">
        <w:rPr>
          <w:sz w:val="24"/>
          <w:szCs w:val="24"/>
        </w:rPr>
        <w:t xml:space="preserve">Based on a wider study of the life courses of a large group of children </w:t>
      </w:r>
      <w:r w:rsidR="00051738" w:rsidRPr="00EB1528">
        <w:rPr>
          <w:sz w:val="24"/>
          <w:szCs w:val="24"/>
        </w:rPr>
        <w:t xml:space="preserve">(mostly boys) </w:t>
      </w:r>
      <w:r w:rsidR="00597BAD" w:rsidRPr="00EB1528">
        <w:rPr>
          <w:sz w:val="24"/>
          <w:szCs w:val="24"/>
        </w:rPr>
        <w:t>passing through new state-sponsored institutions set up in the 1850s, it finds that</w:t>
      </w:r>
      <w:r w:rsidR="00595F41" w:rsidRPr="00EB1528">
        <w:rPr>
          <w:sz w:val="24"/>
          <w:szCs w:val="24"/>
        </w:rPr>
        <w:t xml:space="preserve"> – unlike care leavers today </w:t>
      </w:r>
      <w:r w:rsidR="00E41C4B">
        <w:rPr>
          <w:sz w:val="24"/>
          <w:szCs w:val="24"/>
        </w:rPr>
        <w:t>–</w:t>
      </w:r>
      <w:r w:rsidR="00E41C4B" w:rsidRPr="00EB1528">
        <w:rPr>
          <w:sz w:val="24"/>
          <w:szCs w:val="24"/>
        </w:rPr>
        <w:t xml:space="preserve"> </w:t>
      </w:r>
      <w:r w:rsidR="00597BAD" w:rsidRPr="00EB1528">
        <w:rPr>
          <w:sz w:val="24"/>
          <w:szCs w:val="24"/>
        </w:rPr>
        <w:t>the majority did not experience doc</w:t>
      </w:r>
      <w:r w:rsidR="00051738" w:rsidRPr="00EB1528">
        <w:rPr>
          <w:sz w:val="24"/>
          <w:szCs w:val="24"/>
        </w:rPr>
        <w:t xml:space="preserve">umented cumulative disadvantage in later life. Focusing </w:t>
      </w:r>
      <w:r w:rsidR="005376E3" w:rsidRPr="00EB1528">
        <w:rPr>
          <w:sz w:val="24"/>
          <w:szCs w:val="24"/>
        </w:rPr>
        <w:t xml:space="preserve">within this </w:t>
      </w:r>
      <w:r w:rsidR="00051738" w:rsidRPr="00EB1528">
        <w:rPr>
          <w:sz w:val="24"/>
          <w:szCs w:val="24"/>
        </w:rPr>
        <w:t xml:space="preserve">on 171 children sent to an industrial school in the northwest of England, it suggests that their positive adult outcomes can be explained by post-release work placements within a buoyant local labour market, the lasting impact of affective relationships established through post-release supervisory arrangements and </w:t>
      </w:r>
      <w:r w:rsidR="005376E3" w:rsidRPr="00EB1528">
        <w:rPr>
          <w:sz w:val="24"/>
          <w:szCs w:val="24"/>
        </w:rPr>
        <w:t xml:space="preserve">the </w:t>
      </w:r>
      <w:r w:rsidR="00051738" w:rsidRPr="00EB1528">
        <w:rPr>
          <w:sz w:val="24"/>
          <w:szCs w:val="24"/>
        </w:rPr>
        <w:t>wider relationships and networks that facilitated their local re-integration</w:t>
      </w:r>
      <w:r w:rsidR="007929C2">
        <w:rPr>
          <w:sz w:val="24"/>
          <w:szCs w:val="24"/>
        </w:rPr>
        <w:t xml:space="preserve"> (see Godfrey </w:t>
      </w:r>
      <w:r w:rsidR="007929C2" w:rsidRPr="00C16F41">
        <w:rPr>
          <w:sz w:val="24"/>
          <w:szCs w:val="24"/>
        </w:rPr>
        <w:t>et al</w:t>
      </w:r>
      <w:r w:rsidR="00E41C4B">
        <w:rPr>
          <w:sz w:val="24"/>
          <w:szCs w:val="24"/>
        </w:rPr>
        <w:t>.,</w:t>
      </w:r>
      <w:r w:rsidR="007929C2">
        <w:rPr>
          <w:sz w:val="24"/>
          <w:szCs w:val="24"/>
        </w:rPr>
        <w:t xml:space="preserve"> 2017</w:t>
      </w:r>
      <w:r w:rsidR="00CD6DE4">
        <w:rPr>
          <w:sz w:val="24"/>
          <w:szCs w:val="24"/>
        </w:rPr>
        <w:t xml:space="preserve"> for full account</w:t>
      </w:r>
      <w:r w:rsidR="007929C2">
        <w:rPr>
          <w:sz w:val="24"/>
          <w:szCs w:val="24"/>
        </w:rPr>
        <w:t>)</w:t>
      </w:r>
      <w:r w:rsidR="00051738" w:rsidRPr="00EB1528">
        <w:rPr>
          <w:sz w:val="24"/>
          <w:szCs w:val="24"/>
        </w:rPr>
        <w:t>.</w:t>
      </w:r>
      <w:r w:rsidR="00285E65">
        <w:rPr>
          <w:sz w:val="24"/>
          <w:szCs w:val="24"/>
        </w:rPr>
        <w:t xml:space="preserve"> </w:t>
      </w:r>
      <w:r w:rsidR="00725F0D" w:rsidRPr="00EB1528">
        <w:rPr>
          <w:sz w:val="24"/>
          <w:szCs w:val="24"/>
        </w:rPr>
        <w:t xml:space="preserve">However, it argues that </w:t>
      </w:r>
      <w:r w:rsidR="00CB4378" w:rsidRPr="00EB1528">
        <w:rPr>
          <w:sz w:val="24"/>
          <w:szCs w:val="24"/>
        </w:rPr>
        <w:t xml:space="preserve">these positive adult outcomes came at a price: child removal could be brutal and </w:t>
      </w:r>
      <w:r w:rsidR="00595F41" w:rsidRPr="00EB1528">
        <w:rPr>
          <w:sz w:val="24"/>
          <w:szCs w:val="24"/>
        </w:rPr>
        <w:t xml:space="preserve">typically </w:t>
      </w:r>
      <w:r w:rsidR="00CB4378" w:rsidRPr="00EB1528">
        <w:rPr>
          <w:sz w:val="24"/>
          <w:szCs w:val="24"/>
        </w:rPr>
        <w:t>involved long periods of separation of children from families.</w:t>
      </w:r>
      <w:r w:rsidR="005376E3" w:rsidRPr="00EB1528">
        <w:rPr>
          <w:sz w:val="24"/>
          <w:szCs w:val="24"/>
        </w:rPr>
        <w:t xml:space="preserve"> It may never be possible to document or measure the harmful and traumatic effects of care delivered in this troubling form.</w:t>
      </w:r>
      <w:r w:rsidR="00E635DB" w:rsidRPr="00EB1528">
        <w:rPr>
          <w:sz w:val="24"/>
          <w:szCs w:val="24"/>
        </w:rPr>
        <w:t xml:space="preserve"> The article also offers an exploratory analysis of the gendered dynamics of desistence and re-integration within this group of care leavers.</w:t>
      </w:r>
      <w:r w:rsidR="00595F41" w:rsidRPr="00EB1528">
        <w:rPr>
          <w:sz w:val="24"/>
          <w:szCs w:val="24"/>
        </w:rPr>
        <w:t xml:space="preserve"> It suggests that key experiences across the life course, namely work, marriage, relationships and independence, carry particular meanings for men and women at </w:t>
      </w:r>
      <w:r w:rsidR="00595F41" w:rsidRPr="00EB1528">
        <w:rPr>
          <w:sz w:val="24"/>
          <w:szCs w:val="24"/>
        </w:rPr>
        <w:lastRenderedPageBreak/>
        <w:t xml:space="preserve">particular points in time. It concludes that life course studies would benefit from further work of this kind that could offer more nuanced understandings of </w:t>
      </w:r>
      <w:r w:rsidR="009F20D7" w:rsidRPr="00EB1528">
        <w:rPr>
          <w:sz w:val="24"/>
          <w:szCs w:val="24"/>
        </w:rPr>
        <w:t xml:space="preserve">the </w:t>
      </w:r>
      <w:r w:rsidR="00595F41" w:rsidRPr="00EB1528">
        <w:rPr>
          <w:sz w:val="24"/>
          <w:szCs w:val="24"/>
        </w:rPr>
        <w:t>different pathways taken by, and open to, socially marginal men and women.</w:t>
      </w:r>
    </w:p>
    <w:p w14:paraId="2A9B081C" w14:textId="135F94B9" w:rsidR="00BA29A1" w:rsidRDefault="000A0B7B" w:rsidP="00825C25">
      <w:pPr>
        <w:spacing w:line="360" w:lineRule="auto"/>
        <w:rPr>
          <w:sz w:val="24"/>
          <w:szCs w:val="24"/>
        </w:rPr>
      </w:pPr>
      <w:r>
        <w:rPr>
          <w:sz w:val="24"/>
          <w:szCs w:val="24"/>
        </w:rPr>
        <w:t>Endnotes</w:t>
      </w:r>
    </w:p>
    <w:p w14:paraId="51D27F04" w14:textId="07DA135D" w:rsidR="000A0B7B" w:rsidRDefault="000A0B7B" w:rsidP="00825C25">
      <w:pPr>
        <w:spacing w:line="360" w:lineRule="auto"/>
      </w:pPr>
      <w:r>
        <w:rPr>
          <w:rStyle w:val="FootnoteReference"/>
        </w:rPr>
        <w:footnoteRef/>
      </w:r>
      <w:r>
        <w:t xml:space="preserve"> The other three institutions in our study are as follows: Bradwall reformatory school located near</w:t>
      </w:r>
      <w:r w:rsidRPr="00991F2D">
        <w:t xml:space="preserve"> Sandbach in Cheshire</w:t>
      </w:r>
      <w:r>
        <w:t xml:space="preserve">; and the </w:t>
      </w:r>
      <w:r w:rsidRPr="000034A6">
        <w:rPr>
          <w:i/>
        </w:rPr>
        <w:t>Akbar</w:t>
      </w:r>
      <w:r>
        <w:t xml:space="preserve"> and </w:t>
      </w:r>
      <w:r w:rsidRPr="000034A6">
        <w:rPr>
          <w:i/>
        </w:rPr>
        <w:t>I</w:t>
      </w:r>
      <w:r>
        <w:rPr>
          <w:i/>
        </w:rPr>
        <w:t>n</w:t>
      </w:r>
      <w:r w:rsidRPr="000034A6">
        <w:rPr>
          <w:i/>
        </w:rPr>
        <w:t>defatigable</w:t>
      </w:r>
      <w:r>
        <w:t xml:space="preserve"> training ships, both</w:t>
      </w:r>
      <w:r w:rsidR="004B51EA">
        <w:t xml:space="preserve"> </w:t>
      </w:r>
      <w:r w:rsidR="004B51EA">
        <w:t xml:space="preserve">moored on the River Mersey near Liverpool. The </w:t>
      </w:r>
      <w:r w:rsidR="004B51EA" w:rsidRPr="000034A6">
        <w:rPr>
          <w:i/>
        </w:rPr>
        <w:t>Akbar</w:t>
      </w:r>
      <w:r w:rsidR="004B51EA">
        <w:t xml:space="preserve"> accepted reformatory cases from the 1850s and later operated as a land-based school nearby under the new name Heswall</w:t>
      </w:r>
      <w:r w:rsidRPr="000A0B7B">
        <w:t xml:space="preserve"> </w:t>
      </w:r>
      <w:r>
        <w:t xml:space="preserve">Nautical School. The </w:t>
      </w:r>
      <w:r w:rsidRPr="000034A6">
        <w:rPr>
          <w:i/>
        </w:rPr>
        <w:t>Indefatigable</w:t>
      </w:r>
      <w:r>
        <w:t xml:space="preserve"> was established as an independent training ship in the 1860s for destitute and orphan boys and was funded by voluntary subscription. Unlike the other three institutions in our study, the </w:t>
      </w:r>
      <w:r w:rsidRPr="000034A6">
        <w:rPr>
          <w:i/>
        </w:rPr>
        <w:t>Indefatigable</w:t>
      </w:r>
      <w:r>
        <w:t xml:space="preserve"> was never certified by the state as an industrial or reformatory school.</w:t>
      </w:r>
    </w:p>
    <w:p w14:paraId="56F11424" w14:textId="65EDCB8D" w:rsidR="00B300DD" w:rsidRPr="00EB1528" w:rsidRDefault="00FE02F2" w:rsidP="00825C25">
      <w:pPr>
        <w:spacing w:line="360" w:lineRule="auto"/>
        <w:rPr>
          <w:sz w:val="24"/>
          <w:szCs w:val="24"/>
        </w:rPr>
      </w:pPr>
      <w:r>
        <w:rPr>
          <w:rStyle w:val="FootnoteReference"/>
          <w:sz w:val="20"/>
          <w:szCs w:val="20"/>
        </w:rPr>
        <w:t>2</w:t>
      </w:r>
      <w:r w:rsidR="00B300DD" w:rsidRPr="003458D6">
        <w:rPr>
          <w:sz w:val="20"/>
          <w:szCs w:val="20"/>
        </w:rPr>
        <w:t xml:space="preserve"> </w:t>
      </w:r>
      <w:r w:rsidR="00B300DD" w:rsidRPr="00C16F41">
        <w:rPr>
          <w:szCs w:val="20"/>
        </w:rPr>
        <w:t>Figures taken from annually published criminal statistics, 1856–1914.</w:t>
      </w:r>
    </w:p>
    <w:p w14:paraId="1892F5BD" w14:textId="77777777" w:rsidR="00E12AAD" w:rsidRPr="00EB1528" w:rsidRDefault="00E12AAD" w:rsidP="00825C25">
      <w:pPr>
        <w:spacing w:line="360" w:lineRule="auto"/>
        <w:rPr>
          <w:b/>
          <w:bCs/>
          <w:sz w:val="24"/>
          <w:szCs w:val="24"/>
        </w:rPr>
      </w:pPr>
    </w:p>
    <w:p w14:paraId="58EA05C9" w14:textId="77777777" w:rsidR="00E12AAD" w:rsidRPr="00EB1528" w:rsidRDefault="00313017" w:rsidP="00825C25">
      <w:pPr>
        <w:spacing w:line="360" w:lineRule="auto"/>
        <w:rPr>
          <w:b/>
          <w:sz w:val="24"/>
          <w:szCs w:val="24"/>
        </w:rPr>
      </w:pPr>
      <w:r w:rsidRPr="00EB1528">
        <w:rPr>
          <w:b/>
          <w:bCs/>
          <w:sz w:val="24"/>
          <w:szCs w:val="24"/>
        </w:rPr>
        <w:t>References</w:t>
      </w:r>
    </w:p>
    <w:p w14:paraId="24ECDDB7" w14:textId="476FF77F" w:rsidR="00313017" w:rsidRPr="00EB1528" w:rsidRDefault="00E12AAD" w:rsidP="00825C25">
      <w:pPr>
        <w:spacing w:line="360" w:lineRule="auto"/>
        <w:rPr>
          <w:sz w:val="24"/>
          <w:szCs w:val="24"/>
        </w:rPr>
      </w:pPr>
      <w:r w:rsidRPr="00EB1528">
        <w:rPr>
          <w:sz w:val="24"/>
          <w:szCs w:val="24"/>
        </w:rPr>
        <w:t>Alker, Z. and Godfrey, B. (2014)</w:t>
      </w:r>
      <w:r w:rsidR="00383034">
        <w:rPr>
          <w:sz w:val="24"/>
          <w:szCs w:val="24"/>
        </w:rPr>
        <w:t>.</w:t>
      </w:r>
      <w:r w:rsidRPr="00EB1528">
        <w:rPr>
          <w:sz w:val="24"/>
          <w:szCs w:val="24"/>
        </w:rPr>
        <w:t xml:space="preserve"> War as an </w:t>
      </w:r>
      <w:r w:rsidR="00BB7A66">
        <w:rPr>
          <w:sz w:val="24"/>
          <w:szCs w:val="24"/>
        </w:rPr>
        <w:t>o</w:t>
      </w:r>
      <w:r w:rsidRPr="00EB1528">
        <w:rPr>
          <w:sz w:val="24"/>
          <w:szCs w:val="24"/>
        </w:rPr>
        <w:t xml:space="preserve">pportunity for </w:t>
      </w:r>
      <w:r w:rsidR="00BB7A66">
        <w:rPr>
          <w:sz w:val="24"/>
          <w:szCs w:val="24"/>
        </w:rPr>
        <w:t>d</w:t>
      </w:r>
      <w:r w:rsidRPr="00EB1528">
        <w:rPr>
          <w:sz w:val="24"/>
          <w:szCs w:val="24"/>
        </w:rPr>
        <w:t xml:space="preserve">ivergence </w:t>
      </w:r>
      <w:r w:rsidR="00F9197E" w:rsidRPr="00EB1528">
        <w:rPr>
          <w:sz w:val="24"/>
          <w:szCs w:val="24"/>
        </w:rPr>
        <w:t xml:space="preserve">and </w:t>
      </w:r>
      <w:r w:rsidR="00BB7A66">
        <w:rPr>
          <w:sz w:val="24"/>
          <w:szCs w:val="24"/>
        </w:rPr>
        <w:t>d</w:t>
      </w:r>
      <w:r w:rsidR="00F9197E" w:rsidRPr="00EB1528">
        <w:rPr>
          <w:sz w:val="24"/>
          <w:szCs w:val="24"/>
        </w:rPr>
        <w:t>esistence from rime, 1750–</w:t>
      </w:r>
      <w:r w:rsidRPr="00EB1528">
        <w:rPr>
          <w:sz w:val="24"/>
          <w:szCs w:val="24"/>
        </w:rPr>
        <w:t>1945</w:t>
      </w:r>
      <w:r w:rsidR="00383034">
        <w:rPr>
          <w:sz w:val="24"/>
          <w:szCs w:val="24"/>
        </w:rPr>
        <w:t>.</w:t>
      </w:r>
      <w:r w:rsidRPr="00EB1528">
        <w:rPr>
          <w:sz w:val="24"/>
          <w:szCs w:val="24"/>
        </w:rPr>
        <w:t xml:space="preserve"> </w:t>
      </w:r>
      <w:r w:rsidR="00383034">
        <w:rPr>
          <w:sz w:val="24"/>
          <w:szCs w:val="24"/>
        </w:rPr>
        <w:t>I</w:t>
      </w:r>
      <w:r w:rsidRPr="00EB1528">
        <w:rPr>
          <w:sz w:val="24"/>
          <w:szCs w:val="24"/>
        </w:rPr>
        <w:t xml:space="preserve">n </w:t>
      </w:r>
      <w:r w:rsidR="00691EDD">
        <w:rPr>
          <w:sz w:val="24"/>
          <w:szCs w:val="24"/>
        </w:rPr>
        <w:t xml:space="preserve">S. </w:t>
      </w:r>
      <w:r w:rsidRPr="00EB1528">
        <w:rPr>
          <w:sz w:val="24"/>
          <w:szCs w:val="24"/>
        </w:rPr>
        <w:t xml:space="preserve">Walklate and </w:t>
      </w:r>
      <w:r w:rsidR="00691EDD">
        <w:rPr>
          <w:sz w:val="24"/>
          <w:szCs w:val="24"/>
        </w:rPr>
        <w:t xml:space="preserve">R. </w:t>
      </w:r>
      <w:r w:rsidRPr="00EB1528">
        <w:rPr>
          <w:sz w:val="24"/>
          <w:szCs w:val="24"/>
        </w:rPr>
        <w:t>McGarry (</w:t>
      </w:r>
      <w:r w:rsidR="00285E65">
        <w:rPr>
          <w:sz w:val="24"/>
          <w:szCs w:val="24"/>
        </w:rPr>
        <w:t>E</w:t>
      </w:r>
      <w:r w:rsidRPr="00EB1528">
        <w:rPr>
          <w:sz w:val="24"/>
          <w:szCs w:val="24"/>
        </w:rPr>
        <w:t xml:space="preserve">ds.), </w:t>
      </w:r>
      <w:r w:rsidRPr="00EB1528">
        <w:rPr>
          <w:i/>
          <w:sz w:val="24"/>
          <w:szCs w:val="24"/>
        </w:rPr>
        <w:t xml:space="preserve">Criminology and </w:t>
      </w:r>
      <w:r w:rsidR="00BB7A66">
        <w:rPr>
          <w:i/>
          <w:sz w:val="24"/>
          <w:szCs w:val="24"/>
        </w:rPr>
        <w:t>w</w:t>
      </w:r>
      <w:r w:rsidRPr="00EB1528">
        <w:rPr>
          <w:i/>
          <w:sz w:val="24"/>
          <w:szCs w:val="24"/>
        </w:rPr>
        <w:t xml:space="preserve">ar: Transgressing the </w:t>
      </w:r>
      <w:r w:rsidR="00BB7A66">
        <w:rPr>
          <w:i/>
          <w:sz w:val="24"/>
          <w:szCs w:val="24"/>
        </w:rPr>
        <w:t>b</w:t>
      </w:r>
      <w:r w:rsidRPr="00EB1528">
        <w:rPr>
          <w:i/>
          <w:sz w:val="24"/>
          <w:szCs w:val="24"/>
        </w:rPr>
        <w:t>orders</w:t>
      </w:r>
      <w:r w:rsidR="00376DAB">
        <w:rPr>
          <w:i/>
          <w:sz w:val="24"/>
          <w:szCs w:val="24"/>
        </w:rPr>
        <w:t xml:space="preserve"> </w:t>
      </w:r>
      <w:r w:rsidR="00376DAB" w:rsidRPr="00C16F41">
        <w:rPr>
          <w:sz w:val="24"/>
          <w:szCs w:val="24"/>
        </w:rPr>
        <w:t>(pp77–94)</w:t>
      </w:r>
      <w:r w:rsidRPr="00285E65">
        <w:rPr>
          <w:sz w:val="24"/>
          <w:szCs w:val="24"/>
        </w:rPr>
        <w:t>.</w:t>
      </w:r>
      <w:r w:rsidRPr="00EB1528">
        <w:rPr>
          <w:sz w:val="24"/>
          <w:szCs w:val="24"/>
        </w:rPr>
        <w:t xml:space="preserve"> London: Routledge</w:t>
      </w:r>
      <w:r w:rsidR="00376DAB">
        <w:rPr>
          <w:sz w:val="24"/>
          <w:szCs w:val="24"/>
        </w:rPr>
        <w:t>.</w:t>
      </w:r>
    </w:p>
    <w:p w14:paraId="2E028C53" w14:textId="355B5694" w:rsidR="00313017" w:rsidRPr="00EB1528" w:rsidRDefault="00E12AAD" w:rsidP="00825C25">
      <w:pPr>
        <w:spacing w:line="360" w:lineRule="auto"/>
        <w:rPr>
          <w:sz w:val="24"/>
          <w:szCs w:val="24"/>
        </w:rPr>
      </w:pPr>
      <w:r w:rsidRPr="00EB1528">
        <w:rPr>
          <w:sz w:val="24"/>
          <w:szCs w:val="24"/>
        </w:rPr>
        <w:t>Bailey, V. (1987)</w:t>
      </w:r>
      <w:r w:rsidR="00383034">
        <w:rPr>
          <w:sz w:val="24"/>
          <w:szCs w:val="24"/>
        </w:rPr>
        <w:t>.</w:t>
      </w:r>
      <w:r w:rsidRPr="00EB1528">
        <w:rPr>
          <w:sz w:val="24"/>
          <w:szCs w:val="24"/>
        </w:rPr>
        <w:t xml:space="preserve"> </w:t>
      </w:r>
      <w:r w:rsidRPr="00EB1528">
        <w:rPr>
          <w:i/>
          <w:sz w:val="24"/>
          <w:szCs w:val="24"/>
        </w:rPr>
        <w:t xml:space="preserve">Delinquency and </w:t>
      </w:r>
      <w:r w:rsidR="00BB7A66">
        <w:rPr>
          <w:i/>
          <w:sz w:val="24"/>
          <w:szCs w:val="24"/>
        </w:rPr>
        <w:t>c</w:t>
      </w:r>
      <w:r w:rsidRPr="00EB1528">
        <w:rPr>
          <w:i/>
          <w:sz w:val="24"/>
          <w:szCs w:val="24"/>
        </w:rPr>
        <w:t xml:space="preserve">itizenship: Reclaiming the </w:t>
      </w:r>
      <w:r w:rsidR="00BB7A66">
        <w:rPr>
          <w:i/>
          <w:sz w:val="24"/>
          <w:szCs w:val="24"/>
        </w:rPr>
        <w:t>y</w:t>
      </w:r>
      <w:r w:rsidRPr="00EB1528">
        <w:rPr>
          <w:i/>
          <w:sz w:val="24"/>
          <w:szCs w:val="24"/>
        </w:rPr>
        <w:t xml:space="preserve">oung </w:t>
      </w:r>
      <w:r w:rsidR="00BB7A66">
        <w:rPr>
          <w:i/>
          <w:sz w:val="24"/>
          <w:szCs w:val="24"/>
        </w:rPr>
        <w:t>o</w:t>
      </w:r>
      <w:r w:rsidRPr="00EB1528">
        <w:rPr>
          <w:i/>
          <w:sz w:val="24"/>
          <w:szCs w:val="24"/>
        </w:rPr>
        <w:t>ffender, 1914</w:t>
      </w:r>
      <w:r w:rsidR="00691EDD">
        <w:rPr>
          <w:i/>
          <w:sz w:val="24"/>
          <w:szCs w:val="24"/>
        </w:rPr>
        <w:t>–</w:t>
      </w:r>
      <w:r w:rsidRPr="00EB1528">
        <w:rPr>
          <w:i/>
          <w:sz w:val="24"/>
          <w:szCs w:val="24"/>
        </w:rPr>
        <w:t>1948</w:t>
      </w:r>
      <w:r w:rsidRPr="00EB1528">
        <w:rPr>
          <w:sz w:val="24"/>
          <w:szCs w:val="24"/>
        </w:rPr>
        <w:t>. Oxford: Clarendon Press</w:t>
      </w:r>
      <w:r w:rsidR="00691EDD">
        <w:rPr>
          <w:sz w:val="24"/>
          <w:szCs w:val="24"/>
        </w:rPr>
        <w:t>.</w:t>
      </w:r>
    </w:p>
    <w:p w14:paraId="32CE13A3" w14:textId="0C15374C" w:rsidR="009B4D7F" w:rsidRPr="00EB1528" w:rsidRDefault="00E12AAD" w:rsidP="00825C25">
      <w:pPr>
        <w:spacing w:line="360" w:lineRule="auto"/>
        <w:rPr>
          <w:sz w:val="24"/>
          <w:szCs w:val="24"/>
        </w:rPr>
      </w:pPr>
      <w:r w:rsidRPr="00EB1528">
        <w:rPr>
          <w:bCs/>
          <w:sz w:val="24"/>
          <w:szCs w:val="24"/>
        </w:rPr>
        <w:t>Barr, U. (2016)</w:t>
      </w:r>
      <w:r w:rsidR="00383034">
        <w:rPr>
          <w:bCs/>
          <w:sz w:val="24"/>
          <w:szCs w:val="24"/>
        </w:rPr>
        <w:t>.</w:t>
      </w:r>
      <w:r w:rsidRPr="00EB1528">
        <w:rPr>
          <w:bCs/>
          <w:sz w:val="24"/>
          <w:szCs w:val="24"/>
        </w:rPr>
        <w:t xml:space="preserve"> Ontological theory and women’s desistance: Is it simply a case of ‘growing up’?</w:t>
      </w:r>
      <w:r w:rsidR="00285E65">
        <w:rPr>
          <w:sz w:val="24"/>
          <w:szCs w:val="24"/>
        </w:rPr>
        <w:t xml:space="preserve"> </w:t>
      </w:r>
      <w:r w:rsidRPr="002D6DF0">
        <w:rPr>
          <w:i/>
          <w:sz w:val="24"/>
          <w:szCs w:val="24"/>
        </w:rPr>
        <w:t xml:space="preserve">Howard League </w:t>
      </w:r>
      <w:r w:rsidR="0001366A" w:rsidRPr="002D6DF0">
        <w:rPr>
          <w:i/>
          <w:sz w:val="24"/>
          <w:szCs w:val="24"/>
        </w:rPr>
        <w:t>B</w:t>
      </w:r>
      <w:r w:rsidRPr="002D6DF0">
        <w:rPr>
          <w:i/>
          <w:sz w:val="24"/>
          <w:szCs w:val="24"/>
        </w:rPr>
        <w:t>ulletin</w:t>
      </w:r>
      <w:r w:rsidR="0001366A" w:rsidRPr="00EB1528">
        <w:rPr>
          <w:sz w:val="24"/>
          <w:szCs w:val="24"/>
        </w:rPr>
        <w:t xml:space="preserve">, </w:t>
      </w:r>
      <w:r w:rsidR="0001366A" w:rsidRPr="00C16F41">
        <w:rPr>
          <w:i/>
          <w:sz w:val="24"/>
          <w:szCs w:val="24"/>
        </w:rPr>
        <w:t>30</w:t>
      </w:r>
      <w:r w:rsidR="0001366A" w:rsidRPr="00EB1528">
        <w:rPr>
          <w:sz w:val="24"/>
          <w:szCs w:val="24"/>
        </w:rPr>
        <w:t>, Sept 2016</w:t>
      </w:r>
      <w:r w:rsidR="00285E65">
        <w:rPr>
          <w:sz w:val="24"/>
          <w:szCs w:val="24"/>
        </w:rPr>
        <w:t>.</w:t>
      </w:r>
    </w:p>
    <w:p w14:paraId="26D412A2" w14:textId="6021985B" w:rsidR="0070284B" w:rsidRDefault="00E12AAD" w:rsidP="00825C25">
      <w:pPr>
        <w:spacing w:line="360" w:lineRule="auto"/>
        <w:rPr>
          <w:sz w:val="24"/>
          <w:szCs w:val="24"/>
          <w:lang w:val="en"/>
        </w:rPr>
      </w:pPr>
      <w:r w:rsidRPr="00EB1528">
        <w:rPr>
          <w:sz w:val="24"/>
          <w:szCs w:val="24"/>
          <w:lang w:val="en"/>
        </w:rPr>
        <w:t>Bersani, B.</w:t>
      </w:r>
      <w:r w:rsidR="00285E65">
        <w:rPr>
          <w:sz w:val="24"/>
          <w:szCs w:val="24"/>
          <w:lang w:val="en"/>
        </w:rPr>
        <w:t xml:space="preserve"> </w:t>
      </w:r>
      <w:r w:rsidRPr="00EB1528">
        <w:rPr>
          <w:sz w:val="24"/>
          <w:szCs w:val="24"/>
          <w:lang w:val="en"/>
        </w:rPr>
        <w:t>E., Laub, J.</w:t>
      </w:r>
      <w:r w:rsidR="00285E65">
        <w:rPr>
          <w:sz w:val="24"/>
          <w:szCs w:val="24"/>
          <w:lang w:val="en"/>
        </w:rPr>
        <w:t xml:space="preserve"> </w:t>
      </w:r>
      <w:r w:rsidRPr="00EB1528">
        <w:rPr>
          <w:sz w:val="24"/>
          <w:szCs w:val="24"/>
          <w:lang w:val="en"/>
        </w:rPr>
        <w:t>H. and Nieuwbeerta, P. (2009)</w:t>
      </w:r>
      <w:r w:rsidR="00383034">
        <w:rPr>
          <w:sz w:val="24"/>
          <w:szCs w:val="24"/>
          <w:lang w:val="en"/>
        </w:rPr>
        <w:t>.</w:t>
      </w:r>
      <w:r w:rsidRPr="00EB1528">
        <w:rPr>
          <w:sz w:val="24"/>
          <w:szCs w:val="24"/>
          <w:lang w:val="en"/>
        </w:rPr>
        <w:t xml:space="preserve"> Marriage and </w:t>
      </w:r>
      <w:r w:rsidR="00BB7A66">
        <w:rPr>
          <w:sz w:val="24"/>
          <w:szCs w:val="24"/>
          <w:lang w:val="en"/>
        </w:rPr>
        <w:t>d</w:t>
      </w:r>
      <w:r w:rsidRPr="00EB1528">
        <w:rPr>
          <w:sz w:val="24"/>
          <w:szCs w:val="24"/>
          <w:lang w:val="en"/>
        </w:rPr>
        <w:t xml:space="preserve">esistance from </w:t>
      </w:r>
      <w:r w:rsidR="00BB7A66">
        <w:rPr>
          <w:sz w:val="24"/>
          <w:szCs w:val="24"/>
          <w:lang w:val="en"/>
        </w:rPr>
        <w:t>c</w:t>
      </w:r>
      <w:r w:rsidRPr="00EB1528">
        <w:rPr>
          <w:sz w:val="24"/>
          <w:szCs w:val="24"/>
          <w:lang w:val="en"/>
        </w:rPr>
        <w:t xml:space="preserve">rime in the </w:t>
      </w:r>
      <w:r w:rsidR="00BB7A66">
        <w:rPr>
          <w:sz w:val="24"/>
          <w:szCs w:val="24"/>
          <w:lang w:val="en"/>
        </w:rPr>
        <w:t>n</w:t>
      </w:r>
      <w:r w:rsidRPr="00EB1528">
        <w:rPr>
          <w:sz w:val="24"/>
          <w:szCs w:val="24"/>
          <w:lang w:val="en"/>
        </w:rPr>
        <w:t xml:space="preserve">etherlands: Do </w:t>
      </w:r>
      <w:r w:rsidR="00BB7A66">
        <w:rPr>
          <w:sz w:val="24"/>
          <w:szCs w:val="24"/>
          <w:lang w:val="en"/>
        </w:rPr>
        <w:t>g</w:t>
      </w:r>
      <w:r w:rsidRPr="00EB1528">
        <w:rPr>
          <w:sz w:val="24"/>
          <w:szCs w:val="24"/>
          <w:lang w:val="en"/>
        </w:rPr>
        <w:t xml:space="preserve">ender and </w:t>
      </w:r>
      <w:r w:rsidR="00BB7A66">
        <w:rPr>
          <w:sz w:val="24"/>
          <w:szCs w:val="24"/>
          <w:lang w:val="en"/>
        </w:rPr>
        <w:t>s</w:t>
      </w:r>
      <w:r w:rsidRPr="00EB1528">
        <w:rPr>
          <w:sz w:val="24"/>
          <w:szCs w:val="24"/>
          <w:lang w:val="en"/>
        </w:rPr>
        <w:t>ocio-</w:t>
      </w:r>
      <w:r w:rsidR="00BB7A66">
        <w:rPr>
          <w:sz w:val="24"/>
          <w:szCs w:val="24"/>
          <w:lang w:val="en"/>
        </w:rPr>
        <w:t>h</w:t>
      </w:r>
      <w:r w:rsidRPr="00EB1528">
        <w:rPr>
          <w:sz w:val="24"/>
          <w:szCs w:val="24"/>
          <w:lang w:val="en"/>
        </w:rPr>
        <w:t xml:space="preserve">istorical </w:t>
      </w:r>
      <w:r w:rsidR="00BB7A66">
        <w:rPr>
          <w:sz w:val="24"/>
          <w:szCs w:val="24"/>
          <w:lang w:val="en"/>
        </w:rPr>
        <w:t>c</w:t>
      </w:r>
      <w:r w:rsidRPr="00EB1528">
        <w:rPr>
          <w:sz w:val="24"/>
          <w:szCs w:val="24"/>
          <w:lang w:val="en"/>
        </w:rPr>
        <w:t xml:space="preserve">ontext </w:t>
      </w:r>
      <w:r w:rsidR="00BB7A66">
        <w:rPr>
          <w:sz w:val="24"/>
          <w:szCs w:val="24"/>
          <w:lang w:val="en"/>
        </w:rPr>
        <w:t>m</w:t>
      </w:r>
      <w:r w:rsidRPr="00EB1528">
        <w:rPr>
          <w:sz w:val="24"/>
          <w:szCs w:val="24"/>
          <w:lang w:val="en"/>
        </w:rPr>
        <w:t xml:space="preserve">atter? </w:t>
      </w:r>
      <w:r w:rsidRPr="00EB1528">
        <w:rPr>
          <w:i/>
          <w:sz w:val="24"/>
          <w:szCs w:val="24"/>
          <w:lang w:val="en"/>
        </w:rPr>
        <w:t>Journal of Qualitative Criminology</w:t>
      </w:r>
      <w:r w:rsidR="00383034">
        <w:rPr>
          <w:sz w:val="24"/>
          <w:szCs w:val="24"/>
          <w:lang w:val="en"/>
        </w:rPr>
        <w:t>,</w:t>
      </w:r>
      <w:r w:rsidRPr="00EB1528">
        <w:rPr>
          <w:sz w:val="24"/>
          <w:szCs w:val="24"/>
          <w:lang w:val="en"/>
        </w:rPr>
        <w:t xml:space="preserve"> </w:t>
      </w:r>
      <w:r w:rsidRPr="00C16F41">
        <w:rPr>
          <w:i/>
          <w:sz w:val="24"/>
          <w:szCs w:val="24"/>
          <w:lang w:val="en"/>
        </w:rPr>
        <w:t>25</w:t>
      </w:r>
      <w:r w:rsidR="00383034">
        <w:rPr>
          <w:sz w:val="24"/>
          <w:szCs w:val="24"/>
          <w:lang w:val="en"/>
        </w:rPr>
        <w:t>(</w:t>
      </w:r>
      <w:r w:rsidRPr="00EB1528">
        <w:rPr>
          <w:sz w:val="24"/>
          <w:szCs w:val="24"/>
          <w:lang w:val="en"/>
        </w:rPr>
        <w:t>1</w:t>
      </w:r>
      <w:r w:rsidR="00383034">
        <w:rPr>
          <w:sz w:val="24"/>
          <w:szCs w:val="24"/>
          <w:lang w:val="en"/>
        </w:rPr>
        <w:t>)</w:t>
      </w:r>
      <w:r w:rsidRPr="00EB1528">
        <w:rPr>
          <w:sz w:val="24"/>
          <w:szCs w:val="24"/>
          <w:lang w:val="en"/>
        </w:rPr>
        <w:t>, 3</w:t>
      </w:r>
      <w:r w:rsidR="00691EDD">
        <w:rPr>
          <w:sz w:val="24"/>
          <w:szCs w:val="24"/>
          <w:lang w:val="en"/>
        </w:rPr>
        <w:t>–</w:t>
      </w:r>
      <w:r w:rsidRPr="00EB1528">
        <w:rPr>
          <w:sz w:val="24"/>
          <w:szCs w:val="24"/>
          <w:lang w:val="en"/>
        </w:rPr>
        <w:t>24.</w:t>
      </w:r>
    </w:p>
    <w:p w14:paraId="54DD6BF4" w14:textId="7C059DDA" w:rsidR="006463FF" w:rsidRPr="00EB1528" w:rsidRDefault="006463FF" w:rsidP="00825C25">
      <w:pPr>
        <w:spacing w:line="360" w:lineRule="auto"/>
        <w:rPr>
          <w:sz w:val="24"/>
          <w:szCs w:val="24"/>
          <w:lang w:val="en"/>
        </w:rPr>
      </w:pPr>
      <w:r w:rsidRPr="006463FF">
        <w:rPr>
          <w:sz w:val="24"/>
          <w:szCs w:val="24"/>
          <w:lang w:val="en"/>
        </w:rPr>
        <w:t>Bijleveld, C. C. J. H., and Wijkman, M. (2009)</w:t>
      </w:r>
      <w:r w:rsidR="00383034">
        <w:rPr>
          <w:sz w:val="24"/>
          <w:szCs w:val="24"/>
          <w:lang w:val="en"/>
        </w:rPr>
        <w:t>.</w:t>
      </w:r>
      <w:r w:rsidRPr="006463FF">
        <w:rPr>
          <w:sz w:val="24"/>
          <w:szCs w:val="24"/>
          <w:lang w:val="en"/>
        </w:rPr>
        <w:t xml:space="preserve"> Intergenerational </w:t>
      </w:r>
      <w:r w:rsidR="00BB7A66">
        <w:rPr>
          <w:sz w:val="24"/>
          <w:szCs w:val="24"/>
          <w:lang w:val="en"/>
        </w:rPr>
        <w:t>c</w:t>
      </w:r>
      <w:r w:rsidRPr="006463FF">
        <w:rPr>
          <w:sz w:val="24"/>
          <w:szCs w:val="24"/>
          <w:lang w:val="en"/>
        </w:rPr>
        <w:t xml:space="preserve">ontinuity in </w:t>
      </w:r>
      <w:r w:rsidR="00BB7A66">
        <w:rPr>
          <w:sz w:val="24"/>
          <w:szCs w:val="24"/>
          <w:lang w:val="en"/>
        </w:rPr>
        <w:t>c</w:t>
      </w:r>
      <w:r w:rsidRPr="006463FF">
        <w:rPr>
          <w:sz w:val="24"/>
          <w:szCs w:val="24"/>
          <w:lang w:val="en"/>
        </w:rPr>
        <w:t xml:space="preserve">onvictions: A </w:t>
      </w:r>
      <w:r w:rsidR="00BB7A66">
        <w:rPr>
          <w:sz w:val="24"/>
          <w:szCs w:val="24"/>
          <w:lang w:val="en"/>
        </w:rPr>
        <w:t>f</w:t>
      </w:r>
      <w:r w:rsidRPr="006463FF">
        <w:rPr>
          <w:sz w:val="24"/>
          <w:szCs w:val="24"/>
          <w:lang w:val="en"/>
        </w:rPr>
        <w:t>ive-</w:t>
      </w:r>
      <w:r w:rsidR="00BB7A66">
        <w:rPr>
          <w:sz w:val="24"/>
          <w:szCs w:val="24"/>
          <w:lang w:val="en"/>
        </w:rPr>
        <w:t>g</w:t>
      </w:r>
      <w:r w:rsidRPr="006463FF">
        <w:rPr>
          <w:sz w:val="24"/>
          <w:szCs w:val="24"/>
          <w:lang w:val="en"/>
        </w:rPr>
        <w:t xml:space="preserve">eneration </w:t>
      </w:r>
      <w:r w:rsidR="00BB7A66">
        <w:rPr>
          <w:sz w:val="24"/>
          <w:szCs w:val="24"/>
          <w:lang w:val="en"/>
        </w:rPr>
        <w:t>s</w:t>
      </w:r>
      <w:r w:rsidRPr="006463FF">
        <w:rPr>
          <w:sz w:val="24"/>
          <w:szCs w:val="24"/>
          <w:lang w:val="en"/>
        </w:rPr>
        <w:t>tudy</w:t>
      </w:r>
      <w:r w:rsidR="00285E65">
        <w:rPr>
          <w:sz w:val="24"/>
          <w:szCs w:val="24"/>
          <w:lang w:val="en"/>
        </w:rPr>
        <w:t>.</w:t>
      </w:r>
      <w:r w:rsidRPr="006463FF">
        <w:rPr>
          <w:sz w:val="24"/>
          <w:szCs w:val="24"/>
          <w:lang w:val="en"/>
        </w:rPr>
        <w:t xml:space="preserve"> </w:t>
      </w:r>
      <w:r w:rsidRPr="00C16F41">
        <w:rPr>
          <w:i/>
          <w:sz w:val="24"/>
          <w:szCs w:val="24"/>
          <w:lang w:val="en"/>
        </w:rPr>
        <w:t>Criminal Behaviour and Mental Health</w:t>
      </w:r>
      <w:r w:rsidRPr="006463FF">
        <w:rPr>
          <w:sz w:val="24"/>
          <w:szCs w:val="24"/>
          <w:lang w:val="en"/>
        </w:rPr>
        <w:t xml:space="preserve">, </w:t>
      </w:r>
      <w:r w:rsidRPr="00C16F41">
        <w:rPr>
          <w:i/>
          <w:sz w:val="24"/>
          <w:szCs w:val="24"/>
          <w:lang w:val="en"/>
        </w:rPr>
        <w:t>19</w:t>
      </w:r>
      <w:r w:rsidRPr="006463FF">
        <w:rPr>
          <w:sz w:val="24"/>
          <w:szCs w:val="24"/>
          <w:lang w:val="en"/>
        </w:rPr>
        <w:t>(2), 142–155</w:t>
      </w:r>
      <w:r w:rsidR="00383034">
        <w:rPr>
          <w:sz w:val="24"/>
          <w:szCs w:val="24"/>
          <w:lang w:val="en"/>
        </w:rPr>
        <w:t>.</w:t>
      </w:r>
    </w:p>
    <w:p w14:paraId="30DB9018" w14:textId="1E4306E5" w:rsidR="00527AFA" w:rsidRPr="00EB1528" w:rsidRDefault="00527AFA" w:rsidP="00825C25">
      <w:pPr>
        <w:spacing w:line="360" w:lineRule="auto"/>
        <w:rPr>
          <w:sz w:val="24"/>
          <w:szCs w:val="24"/>
          <w:lang w:val="en-US"/>
        </w:rPr>
      </w:pPr>
      <w:r w:rsidRPr="00EB1528">
        <w:rPr>
          <w:sz w:val="24"/>
          <w:szCs w:val="24"/>
          <w:lang w:val="en-US"/>
        </w:rPr>
        <w:lastRenderedPageBreak/>
        <w:t>Bingham, A., Delap, L., Jackson, L., and Settle, L. (2016)</w:t>
      </w:r>
      <w:r w:rsidR="00383034">
        <w:rPr>
          <w:sz w:val="24"/>
          <w:szCs w:val="24"/>
          <w:lang w:val="en-US"/>
        </w:rPr>
        <w:t>.</w:t>
      </w:r>
      <w:r w:rsidRPr="00EB1528">
        <w:rPr>
          <w:sz w:val="24"/>
          <w:szCs w:val="24"/>
          <w:lang w:val="en-US"/>
        </w:rPr>
        <w:t xml:space="preserve"> Historical </w:t>
      </w:r>
      <w:r w:rsidR="00BB7A66">
        <w:rPr>
          <w:sz w:val="24"/>
          <w:szCs w:val="24"/>
          <w:lang w:val="en-US"/>
        </w:rPr>
        <w:t>c</w:t>
      </w:r>
      <w:r w:rsidRPr="00EB1528">
        <w:rPr>
          <w:sz w:val="24"/>
          <w:szCs w:val="24"/>
          <w:lang w:val="en-US"/>
        </w:rPr>
        <w:t xml:space="preserve">hild </w:t>
      </w:r>
      <w:r w:rsidR="00BB7A66">
        <w:rPr>
          <w:sz w:val="24"/>
          <w:szCs w:val="24"/>
          <w:lang w:val="en-US"/>
        </w:rPr>
        <w:t>s</w:t>
      </w:r>
      <w:r w:rsidRPr="00EB1528">
        <w:rPr>
          <w:sz w:val="24"/>
          <w:szCs w:val="24"/>
          <w:lang w:val="en-US"/>
        </w:rPr>
        <w:t xml:space="preserve">exual </w:t>
      </w:r>
      <w:r w:rsidR="00BB7A66">
        <w:rPr>
          <w:sz w:val="24"/>
          <w:szCs w:val="24"/>
          <w:lang w:val="en-US"/>
        </w:rPr>
        <w:t>a</w:t>
      </w:r>
      <w:r w:rsidRPr="00EB1528">
        <w:rPr>
          <w:sz w:val="24"/>
          <w:szCs w:val="24"/>
          <w:lang w:val="en-US"/>
        </w:rPr>
        <w:t xml:space="preserve">buse in England and Wales: The </w:t>
      </w:r>
      <w:r w:rsidR="00BB7A66">
        <w:rPr>
          <w:sz w:val="24"/>
          <w:szCs w:val="24"/>
          <w:lang w:val="en-US"/>
        </w:rPr>
        <w:t>r</w:t>
      </w:r>
      <w:r w:rsidRPr="00EB1528">
        <w:rPr>
          <w:sz w:val="24"/>
          <w:szCs w:val="24"/>
          <w:lang w:val="en-US"/>
        </w:rPr>
        <w:t xml:space="preserve">ole of </w:t>
      </w:r>
      <w:r w:rsidR="00BB7A66">
        <w:rPr>
          <w:sz w:val="24"/>
          <w:szCs w:val="24"/>
          <w:lang w:val="en-US"/>
        </w:rPr>
        <w:t>h</w:t>
      </w:r>
      <w:r w:rsidRPr="00EB1528">
        <w:rPr>
          <w:sz w:val="24"/>
          <w:szCs w:val="24"/>
          <w:lang w:val="en-US"/>
        </w:rPr>
        <w:t>istorians</w:t>
      </w:r>
      <w:r w:rsidR="00BB7A66">
        <w:rPr>
          <w:sz w:val="24"/>
          <w:szCs w:val="24"/>
          <w:lang w:val="en-US"/>
        </w:rPr>
        <w:t xml:space="preserve">. </w:t>
      </w:r>
      <w:r w:rsidRPr="00EB1528">
        <w:rPr>
          <w:i/>
          <w:iCs/>
          <w:sz w:val="24"/>
          <w:szCs w:val="24"/>
          <w:lang w:val="en-US"/>
        </w:rPr>
        <w:t>History of Education</w:t>
      </w:r>
      <w:r w:rsidRPr="00EB1528">
        <w:rPr>
          <w:sz w:val="24"/>
          <w:szCs w:val="24"/>
          <w:lang w:val="en-US"/>
        </w:rPr>
        <w:t xml:space="preserve">, </w:t>
      </w:r>
      <w:r w:rsidRPr="00C16F41">
        <w:rPr>
          <w:i/>
          <w:sz w:val="24"/>
          <w:szCs w:val="24"/>
          <w:lang w:val="en-US"/>
        </w:rPr>
        <w:t>45</w:t>
      </w:r>
      <w:r w:rsidRPr="00EB1528">
        <w:rPr>
          <w:sz w:val="24"/>
          <w:szCs w:val="24"/>
          <w:lang w:val="en-US"/>
        </w:rPr>
        <w:t>(4),</w:t>
      </w:r>
      <w:r w:rsidR="00383034">
        <w:rPr>
          <w:sz w:val="24"/>
          <w:szCs w:val="24"/>
          <w:lang w:val="en-US"/>
        </w:rPr>
        <w:t xml:space="preserve"> </w:t>
      </w:r>
      <w:r w:rsidRPr="00EB1528">
        <w:rPr>
          <w:sz w:val="24"/>
          <w:szCs w:val="24"/>
          <w:lang w:val="en-US"/>
        </w:rPr>
        <w:t>411</w:t>
      </w:r>
      <w:r w:rsidR="00383034">
        <w:rPr>
          <w:sz w:val="24"/>
          <w:szCs w:val="24"/>
          <w:lang w:val="en-US"/>
        </w:rPr>
        <w:t>–</w:t>
      </w:r>
      <w:r w:rsidRPr="00EB1528">
        <w:rPr>
          <w:sz w:val="24"/>
          <w:szCs w:val="24"/>
          <w:lang w:val="en-US"/>
        </w:rPr>
        <w:t>429.</w:t>
      </w:r>
    </w:p>
    <w:p w14:paraId="039C4983" w14:textId="1DBCDF9D" w:rsidR="006B7AC7" w:rsidRDefault="006B7AC7" w:rsidP="00825C25">
      <w:pPr>
        <w:spacing w:line="360" w:lineRule="auto"/>
        <w:rPr>
          <w:sz w:val="24"/>
          <w:szCs w:val="24"/>
          <w:lang w:val="en-US"/>
        </w:rPr>
      </w:pPr>
      <w:r>
        <w:rPr>
          <w:sz w:val="24"/>
          <w:szCs w:val="24"/>
          <w:lang w:val="en-US"/>
        </w:rPr>
        <w:t>Carlebach, J. (1970) Caring for children in trouble. London, Routledge &amp; Kegan Paul</w:t>
      </w:r>
    </w:p>
    <w:p w14:paraId="7233A7E1" w14:textId="0C6C396A" w:rsidR="00E12AAD" w:rsidRPr="00EB1528" w:rsidRDefault="00E12AAD" w:rsidP="00825C25">
      <w:pPr>
        <w:spacing w:line="360" w:lineRule="auto"/>
        <w:rPr>
          <w:sz w:val="24"/>
          <w:szCs w:val="24"/>
          <w:lang w:val="en-US"/>
        </w:rPr>
      </w:pPr>
      <w:r w:rsidRPr="00EB1528">
        <w:rPr>
          <w:sz w:val="24"/>
          <w:szCs w:val="24"/>
          <w:lang w:val="en-US"/>
        </w:rPr>
        <w:t>Centre for Social Justice (2015)</w:t>
      </w:r>
      <w:r w:rsidR="00383034">
        <w:rPr>
          <w:sz w:val="24"/>
          <w:szCs w:val="24"/>
          <w:lang w:val="en-US"/>
        </w:rPr>
        <w:t>.</w:t>
      </w:r>
      <w:r w:rsidRPr="00EB1528">
        <w:rPr>
          <w:sz w:val="24"/>
          <w:szCs w:val="24"/>
          <w:lang w:val="en-US"/>
        </w:rPr>
        <w:t xml:space="preserve"> </w:t>
      </w:r>
      <w:r w:rsidRPr="00C16F41">
        <w:rPr>
          <w:i/>
          <w:sz w:val="24"/>
          <w:szCs w:val="24"/>
          <w:lang w:val="en-US"/>
        </w:rPr>
        <w:t>Finding their feet: equipping care leavers to reach their potential</w:t>
      </w:r>
      <w:r w:rsidRPr="00EB1528">
        <w:rPr>
          <w:sz w:val="24"/>
          <w:szCs w:val="24"/>
          <w:lang w:val="en-US"/>
        </w:rPr>
        <w:t xml:space="preserve">. Report. London: CSJ </w:t>
      </w:r>
      <w:hyperlink r:id="rId11" w:history="1">
        <w:r w:rsidRPr="00EB1528">
          <w:rPr>
            <w:rStyle w:val="Hyperlink"/>
            <w:sz w:val="24"/>
            <w:szCs w:val="24"/>
            <w:lang w:val="en-US"/>
          </w:rPr>
          <w:t>http://www.centreforsocialjustice.org.uk/core/wp-content/uploads/2016/08/Finding.pdf</w:t>
        </w:r>
      </w:hyperlink>
      <w:r w:rsidRPr="00EB1528">
        <w:rPr>
          <w:sz w:val="24"/>
          <w:szCs w:val="24"/>
          <w:lang w:val="en-US"/>
        </w:rPr>
        <w:t xml:space="preserve"> </w:t>
      </w:r>
    </w:p>
    <w:p w14:paraId="50E1A139" w14:textId="3695F13C" w:rsidR="0070284B" w:rsidRPr="00EB1528" w:rsidRDefault="0070284B" w:rsidP="00825C25">
      <w:pPr>
        <w:spacing w:line="360" w:lineRule="auto"/>
        <w:rPr>
          <w:sz w:val="24"/>
          <w:szCs w:val="24"/>
          <w:lang w:val="en-US"/>
        </w:rPr>
      </w:pPr>
      <w:r w:rsidRPr="00EB1528">
        <w:rPr>
          <w:sz w:val="24"/>
          <w:szCs w:val="24"/>
          <w:lang w:val="en-US"/>
        </w:rPr>
        <w:t>Cox, P. (200</w:t>
      </w:r>
      <w:r w:rsidR="003A1E6A">
        <w:rPr>
          <w:sz w:val="24"/>
          <w:szCs w:val="24"/>
          <w:lang w:val="en-US"/>
        </w:rPr>
        <w:t>3</w:t>
      </w:r>
      <w:r w:rsidRPr="00EB1528">
        <w:rPr>
          <w:sz w:val="24"/>
          <w:szCs w:val="24"/>
          <w:lang w:val="en-US"/>
        </w:rPr>
        <w:t>)</w:t>
      </w:r>
      <w:r w:rsidR="00383034">
        <w:rPr>
          <w:sz w:val="24"/>
          <w:szCs w:val="24"/>
          <w:lang w:val="en-US"/>
        </w:rPr>
        <w:t>.</w:t>
      </w:r>
      <w:r w:rsidRPr="00EB1528">
        <w:rPr>
          <w:sz w:val="24"/>
          <w:szCs w:val="24"/>
          <w:lang w:val="en-US"/>
        </w:rPr>
        <w:t xml:space="preserve"> </w:t>
      </w:r>
      <w:r w:rsidRPr="00EB1528">
        <w:rPr>
          <w:i/>
          <w:sz w:val="24"/>
          <w:szCs w:val="24"/>
          <w:lang w:val="en-US"/>
        </w:rPr>
        <w:t xml:space="preserve">Gender, </w:t>
      </w:r>
      <w:r w:rsidR="00BB7A66">
        <w:rPr>
          <w:i/>
          <w:sz w:val="24"/>
          <w:szCs w:val="24"/>
          <w:lang w:val="en-US"/>
        </w:rPr>
        <w:t>j</w:t>
      </w:r>
      <w:r w:rsidRPr="00EB1528">
        <w:rPr>
          <w:i/>
          <w:sz w:val="24"/>
          <w:szCs w:val="24"/>
          <w:lang w:val="en-US"/>
        </w:rPr>
        <w:t xml:space="preserve">ustice and </w:t>
      </w:r>
      <w:r w:rsidR="00BB7A66">
        <w:rPr>
          <w:i/>
          <w:sz w:val="24"/>
          <w:szCs w:val="24"/>
          <w:lang w:val="en-US"/>
        </w:rPr>
        <w:t>w</w:t>
      </w:r>
      <w:r w:rsidRPr="00EB1528">
        <w:rPr>
          <w:i/>
          <w:sz w:val="24"/>
          <w:szCs w:val="24"/>
          <w:lang w:val="en-US"/>
        </w:rPr>
        <w:t xml:space="preserve">elfare: Bad </w:t>
      </w:r>
      <w:r w:rsidR="00BB7A66">
        <w:rPr>
          <w:i/>
          <w:sz w:val="24"/>
          <w:szCs w:val="24"/>
          <w:lang w:val="en-US"/>
        </w:rPr>
        <w:t>g</w:t>
      </w:r>
      <w:r w:rsidRPr="00EB1528">
        <w:rPr>
          <w:i/>
          <w:sz w:val="24"/>
          <w:szCs w:val="24"/>
          <w:lang w:val="en-US"/>
        </w:rPr>
        <w:t>irls in Britain, 1900</w:t>
      </w:r>
      <w:r w:rsidR="00383034">
        <w:rPr>
          <w:i/>
          <w:sz w:val="24"/>
          <w:szCs w:val="24"/>
          <w:lang w:val="en-US"/>
        </w:rPr>
        <w:t>–</w:t>
      </w:r>
      <w:r w:rsidRPr="00EB1528">
        <w:rPr>
          <w:i/>
          <w:sz w:val="24"/>
          <w:szCs w:val="24"/>
          <w:lang w:val="en-US"/>
        </w:rPr>
        <w:t>1950.</w:t>
      </w:r>
      <w:r w:rsidRPr="00EB1528">
        <w:rPr>
          <w:sz w:val="24"/>
          <w:szCs w:val="24"/>
          <w:lang w:val="en-US"/>
        </w:rPr>
        <w:t xml:space="preserve"> Basingstoke: Palgrave.</w:t>
      </w:r>
    </w:p>
    <w:p w14:paraId="7AF2F7F2" w14:textId="31544CBC" w:rsidR="00E12AAD" w:rsidRPr="00EB1528" w:rsidRDefault="0070284B" w:rsidP="00825C25">
      <w:pPr>
        <w:spacing w:line="360" w:lineRule="auto"/>
        <w:rPr>
          <w:sz w:val="24"/>
          <w:szCs w:val="24"/>
          <w:lang w:val="en-US"/>
        </w:rPr>
      </w:pPr>
      <w:r w:rsidRPr="00EB1528">
        <w:rPr>
          <w:sz w:val="24"/>
          <w:szCs w:val="24"/>
          <w:lang w:val="en-US"/>
        </w:rPr>
        <w:t>Crompton, F. (1997)</w:t>
      </w:r>
      <w:r w:rsidR="00383034">
        <w:rPr>
          <w:sz w:val="24"/>
          <w:szCs w:val="24"/>
          <w:lang w:val="en-US"/>
        </w:rPr>
        <w:t>.</w:t>
      </w:r>
      <w:r w:rsidR="00E12AAD" w:rsidRPr="00EB1528">
        <w:rPr>
          <w:sz w:val="24"/>
          <w:szCs w:val="24"/>
          <w:lang w:val="en-US"/>
        </w:rPr>
        <w:t xml:space="preserve"> </w:t>
      </w:r>
      <w:r w:rsidR="00E12AAD" w:rsidRPr="00EB1528">
        <w:rPr>
          <w:i/>
          <w:sz w:val="24"/>
          <w:szCs w:val="24"/>
          <w:lang w:val="en-US"/>
        </w:rPr>
        <w:t xml:space="preserve">Workhouse </w:t>
      </w:r>
      <w:r w:rsidR="00BB7A66">
        <w:rPr>
          <w:i/>
          <w:sz w:val="24"/>
          <w:szCs w:val="24"/>
          <w:lang w:val="en-US"/>
        </w:rPr>
        <w:t>c</w:t>
      </w:r>
      <w:r w:rsidR="00E12AAD" w:rsidRPr="00EB1528">
        <w:rPr>
          <w:i/>
          <w:sz w:val="24"/>
          <w:szCs w:val="24"/>
          <w:lang w:val="en-US"/>
        </w:rPr>
        <w:t>hildren</w:t>
      </w:r>
      <w:r w:rsidR="00E12AAD" w:rsidRPr="00EB1528">
        <w:rPr>
          <w:sz w:val="24"/>
          <w:szCs w:val="24"/>
          <w:lang w:val="en-US"/>
        </w:rPr>
        <w:t>. Stroud: Sutton Publishing.</w:t>
      </w:r>
    </w:p>
    <w:p w14:paraId="561F02DD" w14:textId="5CA8DAE4" w:rsidR="00821E4E" w:rsidRPr="00EB1528" w:rsidRDefault="00E12AAD" w:rsidP="00825C25">
      <w:pPr>
        <w:spacing w:line="360" w:lineRule="auto"/>
        <w:rPr>
          <w:sz w:val="24"/>
          <w:szCs w:val="24"/>
          <w:lang w:val="en-US"/>
        </w:rPr>
      </w:pPr>
      <w:r w:rsidRPr="00EB1528">
        <w:rPr>
          <w:sz w:val="24"/>
          <w:szCs w:val="24"/>
          <w:lang w:val="en-US"/>
        </w:rPr>
        <w:t>Crowther, M. A. (1983)</w:t>
      </w:r>
      <w:r w:rsidR="00383034">
        <w:rPr>
          <w:sz w:val="24"/>
          <w:szCs w:val="24"/>
          <w:lang w:val="en-US"/>
        </w:rPr>
        <w:t>.</w:t>
      </w:r>
      <w:r w:rsidRPr="00EB1528">
        <w:rPr>
          <w:sz w:val="24"/>
          <w:szCs w:val="24"/>
          <w:lang w:val="en-US"/>
        </w:rPr>
        <w:t xml:space="preserve"> </w:t>
      </w:r>
      <w:r w:rsidRPr="00EB1528">
        <w:rPr>
          <w:i/>
          <w:sz w:val="24"/>
          <w:szCs w:val="24"/>
          <w:lang w:val="en-US"/>
        </w:rPr>
        <w:t xml:space="preserve">The </w:t>
      </w:r>
      <w:r w:rsidR="00BB7A66">
        <w:rPr>
          <w:i/>
          <w:sz w:val="24"/>
          <w:szCs w:val="24"/>
          <w:lang w:val="en-US"/>
        </w:rPr>
        <w:t>w</w:t>
      </w:r>
      <w:r w:rsidRPr="00EB1528">
        <w:rPr>
          <w:i/>
          <w:sz w:val="24"/>
          <w:szCs w:val="24"/>
          <w:lang w:val="en-US"/>
        </w:rPr>
        <w:t xml:space="preserve">orkhouse </w:t>
      </w:r>
      <w:r w:rsidR="00BB7A66">
        <w:rPr>
          <w:i/>
          <w:sz w:val="24"/>
          <w:szCs w:val="24"/>
          <w:lang w:val="en-US"/>
        </w:rPr>
        <w:t>s</w:t>
      </w:r>
      <w:r w:rsidRPr="00EB1528">
        <w:rPr>
          <w:i/>
          <w:sz w:val="24"/>
          <w:szCs w:val="24"/>
          <w:lang w:val="en-US"/>
        </w:rPr>
        <w:t xml:space="preserve">ystem: The </w:t>
      </w:r>
      <w:r w:rsidR="00BB7A66">
        <w:rPr>
          <w:i/>
          <w:sz w:val="24"/>
          <w:szCs w:val="24"/>
          <w:lang w:val="en-US"/>
        </w:rPr>
        <w:t>h</w:t>
      </w:r>
      <w:r w:rsidRPr="00EB1528">
        <w:rPr>
          <w:i/>
          <w:sz w:val="24"/>
          <w:szCs w:val="24"/>
          <w:lang w:val="en-US"/>
        </w:rPr>
        <w:t xml:space="preserve">istory of an English </w:t>
      </w:r>
      <w:r w:rsidR="00BB7A66">
        <w:rPr>
          <w:i/>
          <w:sz w:val="24"/>
          <w:szCs w:val="24"/>
          <w:lang w:val="en-US"/>
        </w:rPr>
        <w:t>s</w:t>
      </w:r>
      <w:r w:rsidRPr="00EB1528">
        <w:rPr>
          <w:i/>
          <w:sz w:val="24"/>
          <w:szCs w:val="24"/>
          <w:lang w:val="en-US"/>
        </w:rPr>
        <w:t xml:space="preserve">ocial </w:t>
      </w:r>
      <w:r w:rsidR="00BB7A66">
        <w:rPr>
          <w:i/>
          <w:sz w:val="24"/>
          <w:szCs w:val="24"/>
          <w:lang w:val="en-US"/>
        </w:rPr>
        <w:t>i</w:t>
      </w:r>
      <w:r w:rsidRPr="00EB1528">
        <w:rPr>
          <w:i/>
          <w:sz w:val="24"/>
          <w:szCs w:val="24"/>
          <w:lang w:val="en-US"/>
        </w:rPr>
        <w:t>nstitution</w:t>
      </w:r>
      <w:r w:rsidRPr="00EB1528">
        <w:rPr>
          <w:sz w:val="24"/>
          <w:szCs w:val="24"/>
          <w:lang w:val="en-US"/>
        </w:rPr>
        <w:t>. Abingdon</w:t>
      </w:r>
      <w:r w:rsidR="0001366A" w:rsidRPr="00EB1528">
        <w:rPr>
          <w:sz w:val="24"/>
          <w:szCs w:val="24"/>
          <w:lang w:val="en-US"/>
        </w:rPr>
        <w:t xml:space="preserve">: </w:t>
      </w:r>
      <w:r w:rsidRPr="00EB1528">
        <w:rPr>
          <w:sz w:val="24"/>
          <w:szCs w:val="24"/>
          <w:lang w:val="en-US"/>
        </w:rPr>
        <w:t xml:space="preserve">Routledge. </w:t>
      </w:r>
    </w:p>
    <w:p w14:paraId="7EBDAD2D" w14:textId="7AD43233" w:rsidR="00E12AAD" w:rsidRPr="00EB1528" w:rsidRDefault="00E12AAD" w:rsidP="00825C25">
      <w:pPr>
        <w:spacing w:line="360" w:lineRule="auto"/>
        <w:rPr>
          <w:sz w:val="24"/>
          <w:szCs w:val="24"/>
          <w:lang w:val="en-US"/>
        </w:rPr>
      </w:pPr>
      <w:r w:rsidRPr="00EB1528">
        <w:rPr>
          <w:sz w:val="24"/>
          <w:szCs w:val="24"/>
        </w:rPr>
        <w:t>Cuthbert, D., Spark, C.</w:t>
      </w:r>
      <w:r w:rsidR="00383034">
        <w:rPr>
          <w:sz w:val="24"/>
          <w:szCs w:val="24"/>
        </w:rPr>
        <w:t>,</w:t>
      </w:r>
      <w:r w:rsidRPr="00EB1528">
        <w:rPr>
          <w:sz w:val="24"/>
          <w:szCs w:val="24"/>
        </w:rPr>
        <w:t xml:space="preserve"> and Murphy, K. (2010)</w:t>
      </w:r>
      <w:r w:rsidR="00383034">
        <w:rPr>
          <w:sz w:val="24"/>
          <w:szCs w:val="24"/>
        </w:rPr>
        <w:t>.</w:t>
      </w:r>
      <w:r w:rsidRPr="00EB1528">
        <w:rPr>
          <w:sz w:val="24"/>
          <w:szCs w:val="24"/>
        </w:rPr>
        <w:t xml:space="preserve"> </w:t>
      </w:r>
      <w:r w:rsidRPr="00EB1528">
        <w:rPr>
          <w:bCs/>
          <w:i/>
          <w:iCs/>
          <w:sz w:val="24"/>
          <w:szCs w:val="24"/>
        </w:rPr>
        <w:t>“</w:t>
      </w:r>
      <w:r w:rsidRPr="00C16F41">
        <w:rPr>
          <w:bCs/>
          <w:iCs/>
          <w:sz w:val="24"/>
          <w:szCs w:val="24"/>
        </w:rPr>
        <w:t xml:space="preserve">That was </w:t>
      </w:r>
      <w:r w:rsidR="0090484E">
        <w:rPr>
          <w:bCs/>
          <w:iCs/>
          <w:sz w:val="24"/>
          <w:szCs w:val="24"/>
        </w:rPr>
        <w:t>t</w:t>
      </w:r>
      <w:r w:rsidRPr="00C16F41">
        <w:rPr>
          <w:bCs/>
          <w:iCs/>
          <w:sz w:val="24"/>
          <w:szCs w:val="24"/>
        </w:rPr>
        <w:t xml:space="preserve">hen, but </w:t>
      </w:r>
      <w:r w:rsidR="0090484E">
        <w:rPr>
          <w:bCs/>
          <w:iCs/>
          <w:sz w:val="24"/>
          <w:szCs w:val="24"/>
        </w:rPr>
        <w:t>t</w:t>
      </w:r>
      <w:r w:rsidRPr="00C16F41">
        <w:rPr>
          <w:bCs/>
          <w:iCs/>
          <w:sz w:val="24"/>
          <w:szCs w:val="24"/>
        </w:rPr>
        <w:t xml:space="preserve">his is </w:t>
      </w:r>
      <w:r w:rsidR="0090484E">
        <w:rPr>
          <w:bCs/>
          <w:iCs/>
          <w:sz w:val="24"/>
          <w:szCs w:val="24"/>
        </w:rPr>
        <w:t>n</w:t>
      </w:r>
      <w:r w:rsidRPr="00C16F41">
        <w:rPr>
          <w:bCs/>
          <w:iCs/>
          <w:sz w:val="24"/>
          <w:szCs w:val="24"/>
        </w:rPr>
        <w:t>ow</w:t>
      </w:r>
      <w:r w:rsidRPr="00EB1528">
        <w:rPr>
          <w:bCs/>
          <w:i/>
          <w:iCs/>
          <w:sz w:val="24"/>
          <w:szCs w:val="24"/>
        </w:rPr>
        <w:t>”</w:t>
      </w:r>
      <w:r w:rsidRPr="00EB1528">
        <w:rPr>
          <w:bCs/>
          <w:i/>
          <w:sz w:val="24"/>
          <w:szCs w:val="24"/>
        </w:rPr>
        <w:t>:</w:t>
      </w:r>
      <w:r w:rsidRPr="00EB1528">
        <w:rPr>
          <w:bCs/>
          <w:sz w:val="24"/>
          <w:szCs w:val="24"/>
        </w:rPr>
        <w:t xml:space="preserve"> Historical </w:t>
      </w:r>
      <w:r w:rsidR="00BB7A66">
        <w:rPr>
          <w:bCs/>
          <w:sz w:val="24"/>
          <w:szCs w:val="24"/>
        </w:rPr>
        <w:t>p</w:t>
      </w:r>
      <w:r w:rsidRPr="00EB1528">
        <w:rPr>
          <w:bCs/>
          <w:sz w:val="24"/>
          <w:szCs w:val="24"/>
        </w:rPr>
        <w:t xml:space="preserve">erspectives on </w:t>
      </w:r>
      <w:r w:rsidR="00BB7A66">
        <w:rPr>
          <w:bCs/>
          <w:sz w:val="24"/>
          <w:szCs w:val="24"/>
        </w:rPr>
        <w:t>i</w:t>
      </w:r>
      <w:r w:rsidRPr="00EB1528">
        <w:rPr>
          <w:bCs/>
          <w:sz w:val="24"/>
          <w:szCs w:val="24"/>
        </w:rPr>
        <w:t xml:space="preserve">ntercountry </w:t>
      </w:r>
      <w:r w:rsidR="00BB7A66">
        <w:rPr>
          <w:bCs/>
          <w:sz w:val="24"/>
          <w:szCs w:val="24"/>
        </w:rPr>
        <w:t>a</w:t>
      </w:r>
      <w:r w:rsidRPr="00EB1528">
        <w:rPr>
          <w:bCs/>
          <w:sz w:val="24"/>
          <w:szCs w:val="24"/>
        </w:rPr>
        <w:t xml:space="preserve">doption and </w:t>
      </w:r>
      <w:r w:rsidR="00BB7A66">
        <w:rPr>
          <w:bCs/>
          <w:sz w:val="24"/>
          <w:szCs w:val="24"/>
        </w:rPr>
        <w:t>d</w:t>
      </w:r>
      <w:r w:rsidRPr="00EB1528">
        <w:rPr>
          <w:bCs/>
          <w:sz w:val="24"/>
          <w:szCs w:val="24"/>
        </w:rPr>
        <w:t xml:space="preserve">omestic </w:t>
      </w:r>
      <w:r w:rsidR="00BB7A66">
        <w:rPr>
          <w:bCs/>
          <w:sz w:val="24"/>
          <w:szCs w:val="24"/>
        </w:rPr>
        <w:t>c</w:t>
      </w:r>
      <w:r w:rsidRPr="00EB1528">
        <w:rPr>
          <w:bCs/>
          <w:sz w:val="24"/>
          <w:szCs w:val="24"/>
        </w:rPr>
        <w:t xml:space="preserve">hild </w:t>
      </w:r>
      <w:r w:rsidR="00BB7A66">
        <w:rPr>
          <w:bCs/>
          <w:sz w:val="24"/>
          <w:szCs w:val="24"/>
        </w:rPr>
        <w:t>a</w:t>
      </w:r>
      <w:r w:rsidRPr="00EB1528">
        <w:rPr>
          <w:bCs/>
          <w:sz w:val="24"/>
          <w:szCs w:val="24"/>
        </w:rPr>
        <w:t xml:space="preserve">doption in Australian </w:t>
      </w:r>
      <w:r w:rsidR="00BB7A66">
        <w:rPr>
          <w:bCs/>
          <w:sz w:val="24"/>
          <w:szCs w:val="24"/>
        </w:rPr>
        <w:t>p</w:t>
      </w:r>
      <w:r w:rsidRPr="00EB1528">
        <w:rPr>
          <w:bCs/>
          <w:sz w:val="24"/>
          <w:szCs w:val="24"/>
        </w:rPr>
        <w:t xml:space="preserve">ublic </w:t>
      </w:r>
      <w:r w:rsidR="00BB7A66">
        <w:rPr>
          <w:bCs/>
          <w:sz w:val="24"/>
          <w:szCs w:val="24"/>
        </w:rPr>
        <w:t>p</w:t>
      </w:r>
      <w:r w:rsidRPr="00EB1528">
        <w:rPr>
          <w:bCs/>
          <w:sz w:val="24"/>
          <w:szCs w:val="24"/>
        </w:rPr>
        <w:t xml:space="preserve">olicy. </w:t>
      </w:r>
      <w:r w:rsidRPr="00EB1528">
        <w:rPr>
          <w:bCs/>
          <w:i/>
          <w:sz w:val="24"/>
          <w:szCs w:val="24"/>
        </w:rPr>
        <w:t>Journal of Historical Sociology</w:t>
      </w:r>
      <w:r w:rsidR="0090484E">
        <w:rPr>
          <w:bCs/>
          <w:sz w:val="24"/>
          <w:szCs w:val="24"/>
        </w:rPr>
        <w:t>,</w:t>
      </w:r>
      <w:r w:rsidRPr="00EB1528">
        <w:rPr>
          <w:bCs/>
          <w:sz w:val="24"/>
          <w:szCs w:val="24"/>
        </w:rPr>
        <w:t xml:space="preserve"> </w:t>
      </w:r>
      <w:r w:rsidRPr="00C16F41">
        <w:rPr>
          <w:bCs/>
          <w:i/>
          <w:sz w:val="24"/>
          <w:szCs w:val="24"/>
        </w:rPr>
        <w:t>23</w:t>
      </w:r>
      <w:r w:rsidR="0090484E">
        <w:rPr>
          <w:bCs/>
          <w:sz w:val="24"/>
          <w:szCs w:val="24"/>
        </w:rPr>
        <w:t>(</w:t>
      </w:r>
      <w:r w:rsidRPr="00EB1528">
        <w:rPr>
          <w:bCs/>
          <w:sz w:val="24"/>
          <w:szCs w:val="24"/>
        </w:rPr>
        <w:t>3</w:t>
      </w:r>
      <w:r w:rsidR="0090484E">
        <w:rPr>
          <w:bCs/>
          <w:sz w:val="24"/>
          <w:szCs w:val="24"/>
        </w:rPr>
        <w:t>)</w:t>
      </w:r>
      <w:r w:rsidRPr="00EB1528">
        <w:rPr>
          <w:bCs/>
          <w:sz w:val="24"/>
          <w:szCs w:val="24"/>
        </w:rPr>
        <w:t>, 427</w:t>
      </w:r>
      <w:r w:rsidR="0090484E">
        <w:rPr>
          <w:bCs/>
          <w:sz w:val="24"/>
          <w:szCs w:val="24"/>
        </w:rPr>
        <w:t>–</w:t>
      </w:r>
      <w:r w:rsidRPr="00EB1528">
        <w:rPr>
          <w:bCs/>
          <w:sz w:val="24"/>
          <w:szCs w:val="24"/>
        </w:rPr>
        <w:t>452</w:t>
      </w:r>
      <w:r w:rsidR="0090484E">
        <w:rPr>
          <w:bCs/>
          <w:sz w:val="24"/>
          <w:szCs w:val="24"/>
        </w:rPr>
        <w:t>.</w:t>
      </w:r>
    </w:p>
    <w:p w14:paraId="4DA98FD5" w14:textId="05D7847D" w:rsidR="00E12AAD" w:rsidRPr="00EB1528" w:rsidRDefault="00E12AAD" w:rsidP="00825C25">
      <w:pPr>
        <w:spacing w:line="360" w:lineRule="auto"/>
        <w:rPr>
          <w:sz w:val="24"/>
          <w:szCs w:val="24"/>
          <w:lang w:val="en-US"/>
        </w:rPr>
      </w:pPr>
      <w:r w:rsidRPr="00EB1528">
        <w:rPr>
          <w:sz w:val="24"/>
          <w:szCs w:val="24"/>
          <w:lang w:val="en-US"/>
        </w:rPr>
        <w:t>Doolittle, M. (2014)</w:t>
      </w:r>
      <w:r w:rsidR="0090484E">
        <w:rPr>
          <w:sz w:val="24"/>
          <w:szCs w:val="24"/>
          <w:lang w:val="en-US"/>
        </w:rPr>
        <w:t>.</w:t>
      </w:r>
      <w:r w:rsidRPr="00EB1528">
        <w:rPr>
          <w:sz w:val="24"/>
          <w:szCs w:val="24"/>
          <w:lang w:val="en-US"/>
        </w:rPr>
        <w:t xml:space="preserve"> ‘The </w:t>
      </w:r>
      <w:r w:rsidR="00BB7A66">
        <w:rPr>
          <w:sz w:val="24"/>
          <w:szCs w:val="24"/>
          <w:lang w:val="en-US"/>
        </w:rPr>
        <w:t>d</w:t>
      </w:r>
      <w:r w:rsidRPr="00EB1528">
        <w:rPr>
          <w:sz w:val="24"/>
          <w:szCs w:val="24"/>
          <w:lang w:val="en-US"/>
        </w:rPr>
        <w:t xml:space="preserve">uty to </w:t>
      </w:r>
      <w:r w:rsidR="00BB7A66">
        <w:rPr>
          <w:sz w:val="24"/>
          <w:szCs w:val="24"/>
          <w:lang w:val="en-US"/>
        </w:rPr>
        <w:t>p</w:t>
      </w:r>
      <w:r w:rsidRPr="00EB1528">
        <w:rPr>
          <w:sz w:val="24"/>
          <w:szCs w:val="24"/>
          <w:lang w:val="en-US"/>
        </w:rPr>
        <w:t xml:space="preserve">rovide: Fathers, </w:t>
      </w:r>
      <w:r w:rsidR="00BB7A66">
        <w:rPr>
          <w:sz w:val="24"/>
          <w:szCs w:val="24"/>
          <w:lang w:val="en-US"/>
        </w:rPr>
        <w:t>f</w:t>
      </w:r>
      <w:r w:rsidRPr="00EB1528">
        <w:rPr>
          <w:sz w:val="24"/>
          <w:szCs w:val="24"/>
          <w:lang w:val="en-US"/>
        </w:rPr>
        <w:t xml:space="preserve">amilies and the </w:t>
      </w:r>
      <w:r w:rsidR="00BB7A66">
        <w:rPr>
          <w:sz w:val="24"/>
          <w:szCs w:val="24"/>
          <w:lang w:val="en-US"/>
        </w:rPr>
        <w:t>w</w:t>
      </w:r>
      <w:r w:rsidRPr="00EB1528">
        <w:rPr>
          <w:sz w:val="24"/>
          <w:szCs w:val="24"/>
          <w:lang w:val="en-US"/>
        </w:rPr>
        <w:t>orkhouse in England, 1880</w:t>
      </w:r>
      <w:r w:rsidR="0090484E">
        <w:rPr>
          <w:sz w:val="24"/>
          <w:szCs w:val="24"/>
          <w:lang w:val="en-US"/>
        </w:rPr>
        <w:t>–</w:t>
      </w:r>
      <w:r w:rsidRPr="00EB1528">
        <w:rPr>
          <w:sz w:val="24"/>
          <w:szCs w:val="24"/>
          <w:lang w:val="en-US"/>
        </w:rPr>
        <w:t>1914’</w:t>
      </w:r>
      <w:r w:rsidR="0090484E">
        <w:rPr>
          <w:sz w:val="24"/>
          <w:szCs w:val="24"/>
          <w:lang w:val="en-US"/>
        </w:rPr>
        <w:t>.</w:t>
      </w:r>
      <w:r w:rsidRPr="00EB1528">
        <w:rPr>
          <w:sz w:val="24"/>
          <w:szCs w:val="24"/>
          <w:lang w:val="en-US"/>
        </w:rPr>
        <w:t xml:space="preserve"> </w:t>
      </w:r>
      <w:r w:rsidR="0090484E">
        <w:rPr>
          <w:sz w:val="24"/>
          <w:szCs w:val="24"/>
          <w:lang w:val="en-US"/>
        </w:rPr>
        <w:t>I</w:t>
      </w:r>
      <w:r w:rsidRPr="00EB1528">
        <w:rPr>
          <w:sz w:val="24"/>
          <w:szCs w:val="24"/>
          <w:lang w:val="en-US"/>
        </w:rPr>
        <w:t xml:space="preserve">n </w:t>
      </w:r>
      <w:r w:rsidR="0090484E">
        <w:rPr>
          <w:sz w:val="24"/>
          <w:szCs w:val="24"/>
          <w:lang w:val="en-US"/>
        </w:rPr>
        <w:t xml:space="preserve">B. </w:t>
      </w:r>
      <w:r w:rsidRPr="00EB1528">
        <w:rPr>
          <w:sz w:val="24"/>
          <w:szCs w:val="24"/>
          <w:lang w:val="en-US"/>
        </w:rPr>
        <w:t xml:space="preserve">Althammer, </w:t>
      </w:r>
      <w:r w:rsidR="0090484E">
        <w:rPr>
          <w:sz w:val="24"/>
          <w:szCs w:val="24"/>
          <w:lang w:val="en-US"/>
        </w:rPr>
        <w:t xml:space="preserve">A. </w:t>
      </w:r>
      <w:r w:rsidRPr="00EB1528">
        <w:rPr>
          <w:sz w:val="24"/>
          <w:szCs w:val="24"/>
          <w:lang w:val="en-US"/>
        </w:rPr>
        <w:t xml:space="preserve">Gestrich, and </w:t>
      </w:r>
      <w:r w:rsidR="0090484E">
        <w:rPr>
          <w:sz w:val="24"/>
          <w:szCs w:val="24"/>
          <w:lang w:val="en-US"/>
        </w:rPr>
        <w:t xml:space="preserve">J. </w:t>
      </w:r>
      <w:r w:rsidRPr="00EB1528">
        <w:rPr>
          <w:sz w:val="24"/>
          <w:szCs w:val="24"/>
          <w:lang w:val="en-US"/>
        </w:rPr>
        <w:t xml:space="preserve">Grundler, </w:t>
      </w:r>
      <w:r w:rsidRPr="00EB1528">
        <w:rPr>
          <w:i/>
          <w:sz w:val="24"/>
          <w:szCs w:val="24"/>
          <w:lang w:val="en-US"/>
        </w:rPr>
        <w:t xml:space="preserve">The </w:t>
      </w:r>
      <w:r w:rsidR="00BB7A66">
        <w:rPr>
          <w:i/>
          <w:sz w:val="24"/>
          <w:szCs w:val="24"/>
          <w:lang w:val="en-US"/>
        </w:rPr>
        <w:t>w</w:t>
      </w:r>
      <w:r w:rsidRPr="00EB1528">
        <w:rPr>
          <w:i/>
          <w:sz w:val="24"/>
          <w:szCs w:val="24"/>
          <w:lang w:val="en-US"/>
        </w:rPr>
        <w:t xml:space="preserve">elfare </w:t>
      </w:r>
      <w:r w:rsidR="00BB7A66">
        <w:rPr>
          <w:i/>
          <w:sz w:val="24"/>
          <w:szCs w:val="24"/>
          <w:lang w:val="en-US"/>
        </w:rPr>
        <w:t>s</w:t>
      </w:r>
      <w:r w:rsidRPr="00EB1528">
        <w:rPr>
          <w:i/>
          <w:sz w:val="24"/>
          <w:szCs w:val="24"/>
          <w:lang w:val="en-US"/>
        </w:rPr>
        <w:t xml:space="preserve">tate and the </w:t>
      </w:r>
      <w:r w:rsidR="00BB7A66">
        <w:rPr>
          <w:i/>
          <w:sz w:val="24"/>
          <w:szCs w:val="24"/>
          <w:lang w:val="en-US"/>
        </w:rPr>
        <w:t>d</w:t>
      </w:r>
      <w:r w:rsidRPr="00EB1528">
        <w:rPr>
          <w:i/>
          <w:sz w:val="24"/>
          <w:szCs w:val="24"/>
          <w:lang w:val="en-US"/>
        </w:rPr>
        <w:t xml:space="preserve">eviant </w:t>
      </w:r>
      <w:r w:rsidR="00BB7A66">
        <w:rPr>
          <w:i/>
          <w:sz w:val="24"/>
          <w:szCs w:val="24"/>
          <w:lang w:val="en-US"/>
        </w:rPr>
        <w:t>p</w:t>
      </w:r>
      <w:r w:rsidRPr="00EB1528">
        <w:rPr>
          <w:i/>
          <w:sz w:val="24"/>
          <w:szCs w:val="24"/>
          <w:lang w:val="en-US"/>
        </w:rPr>
        <w:t>oor’ in Europe, 1870</w:t>
      </w:r>
      <w:r w:rsidR="0090484E">
        <w:rPr>
          <w:i/>
          <w:sz w:val="24"/>
          <w:szCs w:val="24"/>
          <w:lang w:val="en-US"/>
        </w:rPr>
        <w:t>–</w:t>
      </w:r>
      <w:r w:rsidRPr="00EB1528">
        <w:rPr>
          <w:i/>
          <w:sz w:val="24"/>
          <w:szCs w:val="24"/>
          <w:lang w:val="en-US"/>
        </w:rPr>
        <w:t>1933</w:t>
      </w:r>
      <w:r w:rsidRPr="00EB1528">
        <w:rPr>
          <w:sz w:val="24"/>
          <w:szCs w:val="24"/>
          <w:lang w:val="en-US"/>
        </w:rPr>
        <w:t>. Basingstoke: Palgrave Macmillan.</w:t>
      </w:r>
    </w:p>
    <w:p w14:paraId="7CFFBB36" w14:textId="786C9240" w:rsidR="00797429" w:rsidRPr="00EB1528" w:rsidRDefault="00797429" w:rsidP="00825C25">
      <w:pPr>
        <w:spacing w:line="360" w:lineRule="auto"/>
        <w:rPr>
          <w:sz w:val="24"/>
          <w:szCs w:val="24"/>
          <w:lang w:val="en-US"/>
        </w:rPr>
      </w:pPr>
      <w:r w:rsidRPr="00EB1528">
        <w:rPr>
          <w:sz w:val="24"/>
          <w:szCs w:val="24"/>
          <w:lang w:val="en-US"/>
        </w:rPr>
        <w:t>Farrall, S. and Calverley, A. (2006)</w:t>
      </w:r>
      <w:r w:rsidR="0090484E">
        <w:rPr>
          <w:sz w:val="24"/>
          <w:szCs w:val="24"/>
          <w:lang w:val="en-US"/>
        </w:rPr>
        <w:t>.</w:t>
      </w:r>
      <w:r w:rsidRPr="00EB1528">
        <w:rPr>
          <w:sz w:val="24"/>
          <w:szCs w:val="24"/>
          <w:lang w:val="en-US"/>
        </w:rPr>
        <w:t xml:space="preserve"> </w:t>
      </w:r>
      <w:r w:rsidRPr="00EB1528">
        <w:rPr>
          <w:i/>
          <w:iCs/>
          <w:sz w:val="24"/>
          <w:szCs w:val="24"/>
          <w:lang w:val="en-US"/>
        </w:rPr>
        <w:t xml:space="preserve">Understanding </w:t>
      </w:r>
      <w:r w:rsidR="00BB7A66">
        <w:rPr>
          <w:i/>
          <w:iCs/>
          <w:sz w:val="24"/>
          <w:szCs w:val="24"/>
          <w:lang w:val="en-US"/>
        </w:rPr>
        <w:t>d</w:t>
      </w:r>
      <w:r w:rsidRPr="00EB1528">
        <w:rPr>
          <w:i/>
          <w:iCs/>
          <w:sz w:val="24"/>
          <w:szCs w:val="24"/>
          <w:lang w:val="en-US"/>
        </w:rPr>
        <w:t xml:space="preserve">esistance from </w:t>
      </w:r>
      <w:r w:rsidR="00BB7A66">
        <w:rPr>
          <w:i/>
          <w:iCs/>
          <w:sz w:val="24"/>
          <w:szCs w:val="24"/>
          <w:lang w:val="en-US"/>
        </w:rPr>
        <w:t>c</w:t>
      </w:r>
      <w:r w:rsidRPr="00EB1528">
        <w:rPr>
          <w:i/>
          <w:iCs/>
          <w:sz w:val="24"/>
          <w:szCs w:val="24"/>
          <w:lang w:val="en-US"/>
        </w:rPr>
        <w:t>rime</w:t>
      </w:r>
      <w:r w:rsidR="0090484E">
        <w:rPr>
          <w:sz w:val="24"/>
          <w:szCs w:val="24"/>
          <w:lang w:val="de-DE"/>
        </w:rPr>
        <w:t>.</w:t>
      </w:r>
      <w:r w:rsidRPr="00EB1528">
        <w:rPr>
          <w:sz w:val="24"/>
          <w:szCs w:val="24"/>
          <w:lang w:val="de-DE"/>
        </w:rPr>
        <w:t xml:space="preserve"> London</w:t>
      </w:r>
      <w:r w:rsidR="0090484E">
        <w:rPr>
          <w:sz w:val="24"/>
          <w:szCs w:val="24"/>
          <w:lang w:val="de-DE"/>
        </w:rPr>
        <w:t>:</w:t>
      </w:r>
      <w:r w:rsidRPr="00EB1528">
        <w:rPr>
          <w:sz w:val="24"/>
          <w:szCs w:val="24"/>
          <w:lang w:val="de-DE"/>
        </w:rPr>
        <w:t xml:space="preserve"> Open University Press.</w:t>
      </w:r>
    </w:p>
    <w:p w14:paraId="79BE08D7" w14:textId="6850B870" w:rsidR="00426C4A" w:rsidRDefault="00426C4A" w:rsidP="00825C25">
      <w:pPr>
        <w:spacing w:line="360" w:lineRule="auto"/>
        <w:rPr>
          <w:sz w:val="24"/>
          <w:szCs w:val="24"/>
          <w:lang w:val="de-DE"/>
        </w:rPr>
      </w:pPr>
      <w:r w:rsidRPr="00EB1528">
        <w:rPr>
          <w:sz w:val="24"/>
          <w:szCs w:val="24"/>
          <w:lang w:val="en-US"/>
        </w:rPr>
        <w:t>Farrington, D.P., Piquero, A.R.</w:t>
      </w:r>
      <w:r w:rsidR="0090484E">
        <w:rPr>
          <w:sz w:val="24"/>
          <w:szCs w:val="24"/>
          <w:lang w:val="en-US"/>
        </w:rPr>
        <w:t>,</w:t>
      </w:r>
      <w:r w:rsidRPr="00EB1528">
        <w:rPr>
          <w:sz w:val="24"/>
          <w:szCs w:val="24"/>
          <w:lang w:val="en-US"/>
        </w:rPr>
        <w:t xml:space="preserve"> and Jennings, W.G. (2013)</w:t>
      </w:r>
      <w:r w:rsidR="0090484E">
        <w:rPr>
          <w:sz w:val="24"/>
          <w:szCs w:val="24"/>
          <w:lang w:val="en-US"/>
        </w:rPr>
        <w:t>.</w:t>
      </w:r>
      <w:r w:rsidRPr="00EB1528">
        <w:rPr>
          <w:sz w:val="24"/>
          <w:szCs w:val="24"/>
          <w:lang w:val="en-US"/>
        </w:rPr>
        <w:t xml:space="preserve"> </w:t>
      </w:r>
      <w:r w:rsidRPr="00EB1528">
        <w:rPr>
          <w:i/>
          <w:iCs/>
          <w:sz w:val="24"/>
          <w:szCs w:val="24"/>
          <w:lang w:val="en-US"/>
        </w:rPr>
        <w:t xml:space="preserve">Offending from </w:t>
      </w:r>
      <w:r w:rsidR="00BB7A66">
        <w:rPr>
          <w:i/>
          <w:iCs/>
          <w:sz w:val="24"/>
          <w:szCs w:val="24"/>
          <w:lang w:val="en-US"/>
        </w:rPr>
        <w:t>c</w:t>
      </w:r>
      <w:r w:rsidRPr="00EB1528">
        <w:rPr>
          <w:i/>
          <w:iCs/>
          <w:sz w:val="24"/>
          <w:szCs w:val="24"/>
          <w:lang w:val="en-US"/>
        </w:rPr>
        <w:t xml:space="preserve">hildhood to </w:t>
      </w:r>
      <w:r w:rsidR="00BB7A66">
        <w:rPr>
          <w:i/>
          <w:iCs/>
          <w:sz w:val="24"/>
          <w:szCs w:val="24"/>
          <w:lang w:val="en-US"/>
        </w:rPr>
        <w:t>l</w:t>
      </w:r>
      <w:r w:rsidRPr="00EB1528">
        <w:rPr>
          <w:i/>
          <w:iCs/>
          <w:sz w:val="24"/>
          <w:szCs w:val="24"/>
          <w:lang w:val="en-US"/>
        </w:rPr>
        <w:t xml:space="preserve">ate </w:t>
      </w:r>
      <w:r w:rsidR="00BB7A66">
        <w:rPr>
          <w:i/>
          <w:iCs/>
          <w:sz w:val="24"/>
          <w:szCs w:val="24"/>
          <w:lang w:val="en-US"/>
        </w:rPr>
        <w:t>m</w:t>
      </w:r>
      <w:r w:rsidRPr="00EB1528">
        <w:rPr>
          <w:i/>
          <w:iCs/>
          <w:sz w:val="24"/>
          <w:szCs w:val="24"/>
          <w:lang w:val="en-US"/>
        </w:rPr>
        <w:t xml:space="preserve">iddle </w:t>
      </w:r>
      <w:r w:rsidR="00BB7A66">
        <w:rPr>
          <w:i/>
          <w:iCs/>
          <w:sz w:val="24"/>
          <w:szCs w:val="24"/>
          <w:lang w:val="en-US"/>
        </w:rPr>
        <w:t>a</w:t>
      </w:r>
      <w:r w:rsidRPr="00EB1528">
        <w:rPr>
          <w:i/>
          <w:iCs/>
          <w:sz w:val="24"/>
          <w:szCs w:val="24"/>
          <w:lang w:val="en-US"/>
        </w:rPr>
        <w:t xml:space="preserve">ge: Recent </w:t>
      </w:r>
      <w:r w:rsidR="00BB7A66">
        <w:rPr>
          <w:i/>
          <w:iCs/>
          <w:sz w:val="24"/>
          <w:szCs w:val="24"/>
          <w:lang w:val="en-US"/>
        </w:rPr>
        <w:t>r</w:t>
      </w:r>
      <w:r w:rsidRPr="00EB1528">
        <w:rPr>
          <w:i/>
          <w:iCs/>
          <w:sz w:val="24"/>
          <w:szCs w:val="24"/>
          <w:lang w:val="en-US"/>
        </w:rPr>
        <w:t xml:space="preserve">esults from the Cambridge </w:t>
      </w:r>
      <w:r w:rsidR="00BB7A66">
        <w:rPr>
          <w:i/>
          <w:iCs/>
          <w:sz w:val="24"/>
          <w:szCs w:val="24"/>
          <w:lang w:val="en-US"/>
        </w:rPr>
        <w:t>s</w:t>
      </w:r>
      <w:r w:rsidRPr="00EB1528">
        <w:rPr>
          <w:i/>
          <w:iCs/>
          <w:sz w:val="24"/>
          <w:szCs w:val="24"/>
          <w:lang w:val="en-US"/>
        </w:rPr>
        <w:t xml:space="preserve">tudy in </w:t>
      </w:r>
      <w:r w:rsidR="00BB7A66">
        <w:rPr>
          <w:i/>
          <w:iCs/>
          <w:sz w:val="24"/>
          <w:szCs w:val="24"/>
          <w:lang w:val="en-US"/>
        </w:rPr>
        <w:t>d</w:t>
      </w:r>
      <w:r w:rsidRPr="00EB1528">
        <w:rPr>
          <w:i/>
          <w:iCs/>
          <w:sz w:val="24"/>
          <w:szCs w:val="24"/>
          <w:lang w:val="en-US"/>
        </w:rPr>
        <w:t xml:space="preserve">elinquent </w:t>
      </w:r>
      <w:r w:rsidR="00BB7A66">
        <w:rPr>
          <w:i/>
          <w:iCs/>
          <w:sz w:val="24"/>
          <w:szCs w:val="24"/>
          <w:lang w:val="en-US"/>
        </w:rPr>
        <w:t>d</w:t>
      </w:r>
      <w:r w:rsidRPr="00EB1528">
        <w:rPr>
          <w:i/>
          <w:iCs/>
          <w:sz w:val="24"/>
          <w:szCs w:val="24"/>
          <w:lang w:val="en-US"/>
        </w:rPr>
        <w:t>evelopment</w:t>
      </w:r>
      <w:r w:rsidR="0090484E">
        <w:rPr>
          <w:i/>
          <w:iCs/>
          <w:sz w:val="24"/>
          <w:szCs w:val="24"/>
          <w:lang w:val="en-US"/>
        </w:rPr>
        <w:t>.</w:t>
      </w:r>
      <w:r w:rsidRPr="00EB1528">
        <w:rPr>
          <w:i/>
          <w:iCs/>
          <w:sz w:val="24"/>
          <w:szCs w:val="24"/>
          <w:lang w:val="en-US"/>
        </w:rPr>
        <w:t xml:space="preserve"> </w:t>
      </w:r>
      <w:r w:rsidRPr="00EB1528">
        <w:rPr>
          <w:sz w:val="24"/>
          <w:szCs w:val="24"/>
          <w:lang w:val="de-DE"/>
        </w:rPr>
        <w:t xml:space="preserve">New York: Springer. </w:t>
      </w:r>
    </w:p>
    <w:p w14:paraId="08971A46" w14:textId="76626304" w:rsidR="00B257C7" w:rsidRPr="00A60017" w:rsidRDefault="00A60017" w:rsidP="00825C25">
      <w:pPr>
        <w:spacing w:line="360" w:lineRule="auto"/>
        <w:rPr>
          <w:b/>
          <w:bCs/>
          <w:sz w:val="24"/>
          <w:szCs w:val="24"/>
        </w:rPr>
      </w:pPr>
      <w:r>
        <w:rPr>
          <w:sz w:val="24"/>
          <w:szCs w:val="24"/>
        </w:rPr>
        <w:t>Foucault, M. (1967</w:t>
      </w:r>
      <w:r w:rsidR="00B257C7" w:rsidRPr="00B257C7">
        <w:rPr>
          <w:sz w:val="24"/>
          <w:szCs w:val="24"/>
        </w:rPr>
        <w:t>)</w:t>
      </w:r>
      <w:r w:rsidR="0090484E">
        <w:rPr>
          <w:sz w:val="24"/>
          <w:szCs w:val="24"/>
        </w:rPr>
        <w:t>.</w:t>
      </w:r>
      <w:r w:rsidR="00B257C7" w:rsidRPr="00B257C7">
        <w:rPr>
          <w:sz w:val="24"/>
          <w:szCs w:val="24"/>
        </w:rPr>
        <w:t xml:space="preserve"> </w:t>
      </w:r>
      <w:r w:rsidR="00B257C7" w:rsidRPr="00A60017">
        <w:rPr>
          <w:i/>
          <w:sz w:val="24"/>
          <w:szCs w:val="24"/>
        </w:rPr>
        <w:t xml:space="preserve">Madness and </w:t>
      </w:r>
      <w:r w:rsidR="001770D6">
        <w:rPr>
          <w:i/>
          <w:sz w:val="24"/>
          <w:szCs w:val="24"/>
        </w:rPr>
        <w:t>c</w:t>
      </w:r>
      <w:r w:rsidR="00B257C7" w:rsidRPr="00A60017">
        <w:rPr>
          <w:i/>
          <w:sz w:val="24"/>
          <w:szCs w:val="24"/>
        </w:rPr>
        <w:t>ivilisation</w:t>
      </w:r>
      <w:r w:rsidRPr="00A60017">
        <w:rPr>
          <w:i/>
          <w:sz w:val="24"/>
          <w:szCs w:val="24"/>
        </w:rPr>
        <w:t xml:space="preserve">: </w:t>
      </w:r>
      <w:r w:rsidRPr="00A60017">
        <w:rPr>
          <w:bCs/>
          <w:i/>
          <w:sz w:val="24"/>
          <w:szCs w:val="24"/>
        </w:rPr>
        <w:t xml:space="preserve">A </w:t>
      </w:r>
      <w:r w:rsidR="001770D6">
        <w:rPr>
          <w:bCs/>
          <w:i/>
          <w:sz w:val="24"/>
          <w:szCs w:val="24"/>
        </w:rPr>
        <w:t>h</w:t>
      </w:r>
      <w:r w:rsidRPr="00A60017">
        <w:rPr>
          <w:bCs/>
          <w:i/>
          <w:sz w:val="24"/>
          <w:szCs w:val="24"/>
        </w:rPr>
        <w:t xml:space="preserve">istory of </w:t>
      </w:r>
      <w:r w:rsidR="001770D6">
        <w:rPr>
          <w:bCs/>
          <w:i/>
          <w:sz w:val="24"/>
          <w:szCs w:val="24"/>
        </w:rPr>
        <w:t>i</w:t>
      </w:r>
      <w:r w:rsidRPr="00A60017">
        <w:rPr>
          <w:bCs/>
          <w:i/>
          <w:sz w:val="24"/>
          <w:szCs w:val="24"/>
        </w:rPr>
        <w:t xml:space="preserve">nsanity in the </w:t>
      </w:r>
      <w:r w:rsidR="001770D6">
        <w:rPr>
          <w:bCs/>
          <w:i/>
          <w:sz w:val="24"/>
          <w:szCs w:val="24"/>
        </w:rPr>
        <w:t>a</w:t>
      </w:r>
      <w:r w:rsidRPr="00A60017">
        <w:rPr>
          <w:bCs/>
          <w:i/>
          <w:sz w:val="24"/>
          <w:szCs w:val="24"/>
        </w:rPr>
        <w:t xml:space="preserve">ge of </w:t>
      </w:r>
      <w:r w:rsidR="001770D6">
        <w:rPr>
          <w:bCs/>
          <w:i/>
          <w:sz w:val="24"/>
          <w:szCs w:val="24"/>
        </w:rPr>
        <w:t>r</w:t>
      </w:r>
      <w:r w:rsidRPr="00A60017">
        <w:rPr>
          <w:bCs/>
          <w:i/>
          <w:sz w:val="24"/>
          <w:szCs w:val="24"/>
        </w:rPr>
        <w:t>eason</w:t>
      </w:r>
      <w:r w:rsidR="0090484E">
        <w:rPr>
          <w:bCs/>
          <w:i/>
          <w:sz w:val="24"/>
          <w:szCs w:val="24"/>
        </w:rPr>
        <w:t>. (</w:t>
      </w:r>
      <w:r>
        <w:rPr>
          <w:bCs/>
          <w:sz w:val="24"/>
          <w:szCs w:val="24"/>
        </w:rPr>
        <w:t>R. Howard</w:t>
      </w:r>
      <w:r w:rsidR="0090484E">
        <w:rPr>
          <w:bCs/>
          <w:sz w:val="24"/>
          <w:szCs w:val="24"/>
        </w:rPr>
        <w:t>, Trans.</w:t>
      </w:r>
      <w:r w:rsidR="00D6324A">
        <w:rPr>
          <w:bCs/>
          <w:sz w:val="24"/>
          <w:szCs w:val="24"/>
        </w:rPr>
        <w:t>).</w:t>
      </w:r>
      <w:r>
        <w:rPr>
          <w:bCs/>
          <w:sz w:val="24"/>
          <w:szCs w:val="24"/>
        </w:rPr>
        <w:t xml:space="preserve"> London: Tavistock Publications</w:t>
      </w:r>
      <w:r w:rsidR="0090484E">
        <w:rPr>
          <w:bCs/>
          <w:sz w:val="24"/>
          <w:szCs w:val="24"/>
        </w:rPr>
        <w:t>.</w:t>
      </w:r>
    </w:p>
    <w:p w14:paraId="0A66149F" w14:textId="14F1DF6B" w:rsidR="002707F4" w:rsidRPr="00EB1528" w:rsidRDefault="002707F4" w:rsidP="00825C25">
      <w:pPr>
        <w:spacing w:line="360" w:lineRule="auto"/>
        <w:rPr>
          <w:sz w:val="24"/>
          <w:szCs w:val="24"/>
          <w:lang w:val="en-US"/>
        </w:rPr>
      </w:pPr>
      <w:r w:rsidRPr="00EB1528">
        <w:rPr>
          <w:sz w:val="24"/>
          <w:szCs w:val="24"/>
          <w:lang w:val="en-US"/>
        </w:rPr>
        <w:t>Gear</w:t>
      </w:r>
      <w:r w:rsidR="00E12AAD" w:rsidRPr="00EB1528">
        <w:rPr>
          <w:sz w:val="24"/>
          <w:szCs w:val="24"/>
          <w:lang w:val="en-US"/>
        </w:rPr>
        <w:t>, G. C. (1999)</w:t>
      </w:r>
      <w:r w:rsidR="00D6324A">
        <w:rPr>
          <w:sz w:val="24"/>
          <w:szCs w:val="24"/>
          <w:lang w:val="en-US"/>
        </w:rPr>
        <w:t>.</w:t>
      </w:r>
      <w:r w:rsidR="00E12AAD" w:rsidRPr="00EB1528">
        <w:rPr>
          <w:sz w:val="24"/>
          <w:szCs w:val="24"/>
          <w:lang w:val="en-US"/>
        </w:rPr>
        <w:t xml:space="preserve"> ‘Industrial </w:t>
      </w:r>
      <w:r w:rsidR="001770D6">
        <w:rPr>
          <w:sz w:val="24"/>
          <w:szCs w:val="24"/>
          <w:lang w:val="en-US"/>
        </w:rPr>
        <w:t>s</w:t>
      </w:r>
      <w:r w:rsidR="00E12AAD" w:rsidRPr="00EB1528">
        <w:rPr>
          <w:sz w:val="24"/>
          <w:szCs w:val="24"/>
          <w:lang w:val="en-US"/>
        </w:rPr>
        <w:t>chools in England, 1857</w:t>
      </w:r>
      <w:r w:rsidR="00D6324A">
        <w:rPr>
          <w:sz w:val="24"/>
          <w:szCs w:val="24"/>
          <w:lang w:val="en-US"/>
        </w:rPr>
        <w:t>–</w:t>
      </w:r>
      <w:r w:rsidR="00E12AAD" w:rsidRPr="00EB1528">
        <w:rPr>
          <w:sz w:val="24"/>
          <w:szCs w:val="24"/>
          <w:lang w:val="en-US"/>
        </w:rPr>
        <w:t xml:space="preserve">1933: Moral </w:t>
      </w:r>
      <w:r w:rsidR="001770D6">
        <w:rPr>
          <w:sz w:val="24"/>
          <w:szCs w:val="24"/>
          <w:lang w:val="en-US"/>
        </w:rPr>
        <w:t>h</w:t>
      </w:r>
      <w:r w:rsidR="00E12AAD" w:rsidRPr="00EB1528">
        <w:rPr>
          <w:sz w:val="24"/>
          <w:szCs w:val="24"/>
          <w:lang w:val="en-US"/>
        </w:rPr>
        <w:t xml:space="preserve">ospitals or </w:t>
      </w:r>
      <w:r w:rsidR="001770D6">
        <w:rPr>
          <w:sz w:val="24"/>
          <w:szCs w:val="24"/>
          <w:lang w:val="en-US"/>
        </w:rPr>
        <w:t>o</w:t>
      </w:r>
      <w:r w:rsidR="00E12AAD" w:rsidRPr="00EB1528">
        <w:rPr>
          <w:sz w:val="24"/>
          <w:szCs w:val="24"/>
          <w:lang w:val="en-US"/>
        </w:rPr>
        <w:t xml:space="preserve">ppressive </w:t>
      </w:r>
      <w:r w:rsidR="001770D6">
        <w:rPr>
          <w:sz w:val="24"/>
          <w:szCs w:val="24"/>
          <w:lang w:val="en-US"/>
        </w:rPr>
        <w:t>i</w:t>
      </w:r>
      <w:r w:rsidR="00E12AAD" w:rsidRPr="00EB1528">
        <w:rPr>
          <w:sz w:val="24"/>
          <w:szCs w:val="24"/>
          <w:lang w:val="en-US"/>
        </w:rPr>
        <w:t xml:space="preserve">nstitutions?’ </w:t>
      </w:r>
      <w:r w:rsidR="00D6324A">
        <w:rPr>
          <w:sz w:val="24"/>
          <w:szCs w:val="24"/>
          <w:lang w:val="en-US"/>
        </w:rPr>
        <w:t>(U</w:t>
      </w:r>
      <w:r w:rsidR="00E12AAD" w:rsidRPr="00EB1528">
        <w:rPr>
          <w:sz w:val="24"/>
          <w:szCs w:val="24"/>
          <w:lang w:val="en-US"/>
        </w:rPr>
        <w:t xml:space="preserve">npublished </w:t>
      </w:r>
      <w:r w:rsidR="00D6324A">
        <w:rPr>
          <w:sz w:val="24"/>
          <w:szCs w:val="24"/>
          <w:lang w:val="en-US"/>
        </w:rPr>
        <w:t>doctoral</w:t>
      </w:r>
      <w:r w:rsidR="00D6324A" w:rsidRPr="00EB1528">
        <w:rPr>
          <w:sz w:val="24"/>
          <w:szCs w:val="24"/>
          <w:lang w:val="en-US"/>
        </w:rPr>
        <w:t xml:space="preserve"> </w:t>
      </w:r>
      <w:r w:rsidR="00E12AAD" w:rsidRPr="00EB1528">
        <w:rPr>
          <w:sz w:val="24"/>
          <w:szCs w:val="24"/>
          <w:lang w:val="en-US"/>
        </w:rPr>
        <w:t>thesis</w:t>
      </w:r>
      <w:r w:rsidR="00D6324A">
        <w:rPr>
          <w:sz w:val="24"/>
          <w:szCs w:val="24"/>
          <w:lang w:val="en-US"/>
        </w:rPr>
        <w:t>).</w:t>
      </w:r>
      <w:r w:rsidR="00E12AAD" w:rsidRPr="00EB1528">
        <w:rPr>
          <w:sz w:val="24"/>
          <w:szCs w:val="24"/>
          <w:lang w:val="en-US"/>
        </w:rPr>
        <w:t xml:space="preserve"> University of London Institute of Education</w:t>
      </w:r>
      <w:r w:rsidR="00932483">
        <w:rPr>
          <w:sz w:val="24"/>
          <w:szCs w:val="24"/>
          <w:lang w:val="en-US"/>
        </w:rPr>
        <w:t>, London</w:t>
      </w:r>
      <w:r w:rsidR="00E12AAD" w:rsidRPr="00EB1528">
        <w:rPr>
          <w:sz w:val="24"/>
          <w:szCs w:val="24"/>
          <w:lang w:val="en-US"/>
        </w:rPr>
        <w:t>.</w:t>
      </w:r>
    </w:p>
    <w:p w14:paraId="0931DCA0" w14:textId="1C67F066" w:rsidR="002707F4" w:rsidRPr="00EB1528" w:rsidRDefault="00E12AAD" w:rsidP="00825C25">
      <w:pPr>
        <w:spacing w:line="360" w:lineRule="auto"/>
        <w:rPr>
          <w:sz w:val="24"/>
          <w:szCs w:val="24"/>
          <w:lang w:val="en-US"/>
        </w:rPr>
      </w:pPr>
      <w:r w:rsidRPr="00EB1528">
        <w:rPr>
          <w:sz w:val="24"/>
          <w:szCs w:val="24"/>
        </w:rPr>
        <w:lastRenderedPageBreak/>
        <w:t>Giordano</w:t>
      </w:r>
      <w:r w:rsidR="00376DAB">
        <w:rPr>
          <w:sz w:val="24"/>
          <w:szCs w:val="24"/>
        </w:rPr>
        <w:t>,</w:t>
      </w:r>
      <w:r w:rsidRPr="00EB1528">
        <w:rPr>
          <w:sz w:val="24"/>
          <w:szCs w:val="24"/>
        </w:rPr>
        <w:t xml:space="preserve"> P</w:t>
      </w:r>
      <w:r w:rsidR="00376DAB">
        <w:rPr>
          <w:sz w:val="24"/>
          <w:szCs w:val="24"/>
        </w:rPr>
        <w:t xml:space="preserve">. </w:t>
      </w:r>
      <w:r w:rsidRPr="00EB1528">
        <w:rPr>
          <w:sz w:val="24"/>
          <w:szCs w:val="24"/>
        </w:rPr>
        <w:t>C</w:t>
      </w:r>
      <w:r w:rsidR="00376DAB">
        <w:rPr>
          <w:sz w:val="24"/>
          <w:szCs w:val="24"/>
        </w:rPr>
        <w:t>.</w:t>
      </w:r>
      <w:r w:rsidRPr="00EB1528">
        <w:rPr>
          <w:sz w:val="24"/>
          <w:szCs w:val="24"/>
        </w:rPr>
        <w:t>, Cernkovich</w:t>
      </w:r>
      <w:r w:rsidR="00376DAB">
        <w:rPr>
          <w:sz w:val="24"/>
          <w:szCs w:val="24"/>
        </w:rPr>
        <w:t xml:space="preserve">, </w:t>
      </w:r>
      <w:r w:rsidRPr="00EB1528">
        <w:rPr>
          <w:sz w:val="24"/>
          <w:szCs w:val="24"/>
        </w:rPr>
        <w:t>S</w:t>
      </w:r>
      <w:r w:rsidR="00376DAB">
        <w:rPr>
          <w:sz w:val="24"/>
          <w:szCs w:val="24"/>
        </w:rPr>
        <w:t xml:space="preserve">. </w:t>
      </w:r>
      <w:r w:rsidRPr="00EB1528">
        <w:rPr>
          <w:sz w:val="24"/>
          <w:szCs w:val="24"/>
        </w:rPr>
        <w:t>A</w:t>
      </w:r>
      <w:r w:rsidR="00376DAB">
        <w:rPr>
          <w:sz w:val="24"/>
          <w:szCs w:val="24"/>
        </w:rPr>
        <w:t>., and</w:t>
      </w:r>
      <w:r w:rsidRPr="00EB1528">
        <w:rPr>
          <w:sz w:val="24"/>
          <w:szCs w:val="24"/>
        </w:rPr>
        <w:t xml:space="preserve"> Rudolph</w:t>
      </w:r>
      <w:r w:rsidR="00376DAB">
        <w:rPr>
          <w:sz w:val="24"/>
          <w:szCs w:val="24"/>
        </w:rPr>
        <w:t>,</w:t>
      </w:r>
      <w:r w:rsidRPr="00EB1528">
        <w:rPr>
          <w:sz w:val="24"/>
          <w:szCs w:val="24"/>
        </w:rPr>
        <w:t xml:space="preserve"> J</w:t>
      </w:r>
      <w:r w:rsidR="00376DAB">
        <w:rPr>
          <w:sz w:val="24"/>
          <w:szCs w:val="24"/>
        </w:rPr>
        <w:t xml:space="preserve">. </w:t>
      </w:r>
      <w:r w:rsidRPr="00EB1528">
        <w:rPr>
          <w:sz w:val="24"/>
          <w:szCs w:val="24"/>
        </w:rPr>
        <w:t>L</w:t>
      </w:r>
      <w:r w:rsidR="00376DAB">
        <w:rPr>
          <w:sz w:val="24"/>
          <w:szCs w:val="24"/>
        </w:rPr>
        <w:t>.,</w:t>
      </w:r>
      <w:r w:rsidRPr="00EB1528">
        <w:rPr>
          <w:sz w:val="24"/>
          <w:szCs w:val="24"/>
        </w:rPr>
        <w:t xml:space="preserve"> (2002)</w:t>
      </w:r>
      <w:r w:rsidR="00D6324A">
        <w:rPr>
          <w:sz w:val="24"/>
          <w:szCs w:val="24"/>
        </w:rPr>
        <w:t>.</w:t>
      </w:r>
      <w:r w:rsidRPr="00EB1528">
        <w:rPr>
          <w:sz w:val="24"/>
          <w:szCs w:val="24"/>
        </w:rPr>
        <w:t xml:space="preserve"> Gender, crime, and desistance: </w:t>
      </w:r>
      <w:r w:rsidR="001770D6">
        <w:rPr>
          <w:sz w:val="24"/>
          <w:szCs w:val="24"/>
        </w:rPr>
        <w:t>T</w:t>
      </w:r>
      <w:r w:rsidRPr="00EB1528">
        <w:rPr>
          <w:sz w:val="24"/>
          <w:szCs w:val="24"/>
        </w:rPr>
        <w:t xml:space="preserve">oward a theory of cognitive transformation. </w:t>
      </w:r>
      <w:r w:rsidRPr="00EB1528">
        <w:rPr>
          <w:i/>
          <w:sz w:val="24"/>
          <w:szCs w:val="24"/>
        </w:rPr>
        <w:t>Am</w:t>
      </w:r>
      <w:r w:rsidR="00D6324A">
        <w:rPr>
          <w:i/>
          <w:sz w:val="24"/>
          <w:szCs w:val="24"/>
        </w:rPr>
        <w:t>erican</w:t>
      </w:r>
      <w:r w:rsidRPr="00EB1528">
        <w:rPr>
          <w:i/>
          <w:sz w:val="24"/>
          <w:szCs w:val="24"/>
        </w:rPr>
        <w:t xml:space="preserve"> J</w:t>
      </w:r>
      <w:r w:rsidR="00D6324A">
        <w:rPr>
          <w:i/>
          <w:sz w:val="24"/>
          <w:szCs w:val="24"/>
        </w:rPr>
        <w:t>ournal of</w:t>
      </w:r>
      <w:r w:rsidRPr="00EB1528">
        <w:rPr>
          <w:i/>
          <w:sz w:val="24"/>
          <w:szCs w:val="24"/>
        </w:rPr>
        <w:t xml:space="preserve"> Sociol</w:t>
      </w:r>
      <w:r w:rsidR="00D6324A">
        <w:rPr>
          <w:i/>
          <w:sz w:val="24"/>
          <w:szCs w:val="24"/>
        </w:rPr>
        <w:t>ogy</w:t>
      </w:r>
      <w:r w:rsidR="00376DAB">
        <w:rPr>
          <w:sz w:val="24"/>
          <w:szCs w:val="24"/>
        </w:rPr>
        <w:t xml:space="preserve">, </w:t>
      </w:r>
      <w:r w:rsidRPr="00C16F41">
        <w:rPr>
          <w:i/>
          <w:sz w:val="24"/>
          <w:szCs w:val="24"/>
        </w:rPr>
        <w:t>107</w:t>
      </w:r>
      <w:r w:rsidR="00376DAB">
        <w:rPr>
          <w:sz w:val="24"/>
          <w:szCs w:val="24"/>
        </w:rPr>
        <w:t xml:space="preserve">, </w:t>
      </w:r>
      <w:r w:rsidRPr="00EB1528">
        <w:rPr>
          <w:sz w:val="24"/>
          <w:szCs w:val="24"/>
        </w:rPr>
        <w:t>990–1064</w:t>
      </w:r>
      <w:r w:rsidR="00376DAB">
        <w:rPr>
          <w:sz w:val="24"/>
          <w:szCs w:val="24"/>
        </w:rPr>
        <w:t>.</w:t>
      </w:r>
    </w:p>
    <w:p w14:paraId="58E996D4" w14:textId="293E91C2" w:rsidR="002707F4" w:rsidRPr="00EB1528" w:rsidRDefault="00E12AAD" w:rsidP="00825C25">
      <w:pPr>
        <w:spacing w:line="360" w:lineRule="auto"/>
        <w:rPr>
          <w:sz w:val="24"/>
          <w:szCs w:val="24"/>
          <w:lang w:val="en-US"/>
        </w:rPr>
      </w:pPr>
      <w:r w:rsidRPr="00EB1528">
        <w:rPr>
          <w:sz w:val="24"/>
          <w:szCs w:val="24"/>
        </w:rPr>
        <w:t>Giordano</w:t>
      </w:r>
      <w:r w:rsidR="00376DAB">
        <w:rPr>
          <w:sz w:val="24"/>
          <w:szCs w:val="24"/>
        </w:rPr>
        <w:t>,</w:t>
      </w:r>
      <w:r w:rsidRPr="00EB1528">
        <w:rPr>
          <w:sz w:val="24"/>
          <w:szCs w:val="24"/>
        </w:rPr>
        <w:t xml:space="preserve"> P</w:t>
      </w:r>
      <w:r w:rsidR="00376DAB">
        <w:rPr>
          <w:sz w:val="24"/>
          <w:szCs w:val="24"/>
        </w:rPr>
        <w:t>.</w:t>
      </w:r>
      <w:r w:rsidRPr="00EB1528">
        <w:rPr>
          <w:sz w:val="24"/>
          <w:szCs w:val="24"/>
        </w:rPr>
        <w:t>C</w:t>
      </w:r>
      <w:r w:rsidR="00376DAB">
        <w:rPr>
          <w:sz w:val="24"/>
          <w:szCs w:val="24"/>
        </w:rPr>
        <w:t>.</w:t>
      </w:r>
      <w:r w:rsidRPr="00EB1528">
        <w:rPr>
          <w:sz w:val="24"/>
          <w:szCs w:val="24"/>
        </w:rPr>
        <w:t>, Deines</w:t>
      </w:r>
      <w:r w:rsidR="00376DAB">
        <w:rPr>
          <w:sz w:val="24"/>
          <w:szCs w:val="24"/>
        </w:rPr>
        <w:t>,</w:t>
      </w:r>
      <w:r w:rsidRPr="00EB1528">
        <w:rPr>
          <w:sz w:val="24"/>
          <w:szCs w:val="24"/>
        </w:rPr>
        <w:t xml:space="preserve"> J</w:t>
      </w:r>
      <w:r w:rsidR="00376DAB">
        <w:rPr>
          <w:sz w:val="24"/>
          <w:szCs w:val="24"/>
        </w:rPr>
        <w:t xml:space="preserve">. </w:t>
      </w:r>
      <w:r w:rsidRPr="00EB1528">
        <w:rPr>
          <w:sz w:val="24"/>
          <w:szCs w:val="24"/>
        </w:rPr>
        <w:t>A</w:t>
      </w:r>
      <w:r w:rsidR="00376DAB">
        <w:rPr>
          <w:sz w:val="24"/>
          <w:szCs w:val="24"/>
        </w:rPr>
        <w:t>.</w:t>
      </w:r>
      <w:r w:rsidRPr="00EB1528">
        <w:rPr>
          <w:sz w:val="24"/>
          <w:szCs w:val="24"/>
        </w:rPr>
        <w:t>,</w:t>
      </w:r>
      <w:r w:rsidR="00376DAB">
        <w:rPr>
          <w:sz w:val="24"/>
          <w:szCs w:val="24"/>
        </w:rPr>
        <w:t xml:space="preserve"> and</w:t>
      </w:r>
      <w:r w:rsidRPr="00EB1528">
        <w:rPr>
          <w:sz w:val="24"/>
          <w:szCs w:val="24"/>
        </w:rPr>
        <w:t xml:space="preserve"> Cernkovich</w:t>
      </w:r>
      <w:r w:rsidR="00376DAB">
        <w:rPr>
          <w:sz w:val="24"/>
          <w:szCs w:val="24"/>
        </w:rPr>
        <w:t>,</w:t>
      </w:r>
      <w:r w:rsidRPr="00EB1528">
        <w:rPr>
          <w:sz w:val="24"/>
          <w:szCs w:val="24"/>
        </w:rPr>
        <w:t xml:space="preserve"> S</w:t>
      </w:r>
      <w:r w:rsidR="00376DAB">
        <w:rPr>
          <w:sz w:val="24"/>
          <w:szCs w:val="24"/>
        </w:rPr>
        <w:t xml:space="preserve">. </w:t>
      </w:r>
      <w:r w:rsidRPr="00EB1528">
        <w:rPr>
          <w:sz w:val="24"/>
          <w:szCs w:val="24"/>
        </w:rPr>
        <w:t>A</w:t>
      </w:r>
      <w:r w:rsidR="00376DAB">
        <w:rPr>
          <w:sz w:val="24"/>
          <w:szCs w:val="24"/>
        </w:rPr>
        <w:t>.</w:t>
      </w:r>
      <w:r w:rsidRPr="00EB1528">
        <w:rPr>
          <w:sz w:val="24"/>
          <w:szCs w:val="24"/>
        </w:rPr>
        <w:t xml:space="preserve"> (2006)</w:t>
      </w:r>
      <w:r w:rsidR="00376DAB">
        <w:rPr>
          <w:sz w:val="24"/>
          <w:szCs w:val="24"/>
        </w:rPr>
        <w:t>.</w:t>
      </w:r>
      <w:r w:rsidRPr="00EB1528">
        <w:rPr>
          <w:sz w:val="24"/>
          <w:szCs w:val="24"/>
        </w:rPr>
        <w:t xml:space="preserve"> In and out of crime: </w:t>
      </w:r>
      <w:r w:rsidR="001770D6">
        <w:rPr>
          <w:sz w:val="24"/>
          <w:szCs w:val="24"/>
        </w:rPr>
        <w:t>A</w:t>
      </w:r>
      <w:r w:rsidRPr="00EB1528">
        <w:rPr>
          <w:sz w:val="24"/>
          <w:szCs w:val="24"/>
        </w:rPr>
        <w:t xml:space="preserve"> life course perspective on girls’ delinquency. In </w:t>
      </w:r>
      <w:r w:rsidR="00376DAB">
        <w:rPr>
          <w:sz w:val="24"/>
          <w:szCs w:val="24"/>
        </w:rPr>
        <w:t xml:space="preserve">K. </w:t>
      </w:r>
      <w:r w:rsidRPr="00EB1528">
        <w:rPr>
          <w:sz w:val="24"/>
          <w:szCs w:val="24"/>
        </w:rPr>
        <w:t>Heimer</w:t>
      </w:r>
      <w:r w:rsidR="00376DAB">
        <w:rPr>
          <w:sz w:val="24"/>
          <w:szCs w:val="24"/>
        </w:rPr>
        <w:t xml:space="preserve"> and</w:t>
      </w:r>
      <w:r w:rsidRPr="00EB1528">
        <w:rPr>
          <w:sz w:val="24"/>
          <w:szCs w:val="24"/>
        </w:rPr>
        <w:t xml:space="preserve"> </w:t>
      </w:r>
      <w:r w:rsidR="00376DAB">
        <w:rPr>
          <w:sz w:val="24"/>
          <w:szCs w:val="24"/>
        </w:rPr>
        <w:t xml:space="preserve">C. </w:t>
      </w:r>
      <w:r w:rsidRPr="00EB1528">
        <w:rPr>
          <w:sz w:val="24"/>
          <w:szCs w:val="24"/>
        </w:rPr>
        <w:t>Kruttschnitt (</w:t>
      </w:r>
      <w:r w:rsidR="00376DAB">
        <w:rPr>
          <w:sz w:val="24"/>
          <w:szCs w:val="24"/>
        </w:rPr>
        <w:t>E</w:t>
      </w:r>
      <w:r w:rsidRPr="00EB1528">
        <w:rPr>
          <w:sz w:val="24"/>
          <w:szCs w:val="24"/>
        </w:rPr>
        <w:t>ds</w:t>
      </w:r>
      <w:r w:rsidR="00376DAB">
        <w:rPr>
          <w:sz w:val="24"/>
          <w:szCs w:val="24"/>
        </w:rPr>
        <w:t>.</w:t>
      </w:r>
      <w:r w:rsidRPr="00EB1528">
        <w:rPr>
          <w:sz w:val="24"/>
          <w:szCs w:val="24"/>
        </w:rPr>
        <w:t>)</w:t>
      </w:r>
      <w:r w:rsidR="00376DAB">
        <w:rPr>
          <w:sz w:val="24"/>
          <w:szCs w:val="24"/>
        </w:rPr>
        <w:t>,</w:t>
      </w:r>
      <w:r w:rsidRPr="00EB1528">
        <w:rPr>
          <w:sz w:val="24"/>
          <w:szCs w:val="24"/>
        </w:rPr>
        <w:t xml:space="preserve"> </w:t>
      </w:r>
      <w:r w:rsidRPr="00EB1528">
        <w:rPr>
          <w:i/>
          <w:sz w:val="24"/>
          <w:szCs w:val="24"/>
        </w:rPr>
        <w:t xml:space="preserve">Gender and crime: </w:t>
      </w:r>
      <w:r w:rsidR="001770D6">
        <w:rPr>
          <w:i/>
          <w:sz w:val="24"/>
          <w:szCs w:val="24"/>
        </w:rPr>
        <w:t>P</w:t>
      </w:r>
      <w:r w:rsidRPr="00EB1528">
        <w:rPr>
          <w:i/>
          <w:sz w:val="24"/>
          <w:szCs w:val="24"/>
        </w:rPr>
        <w:t>atterns in victimization and offending</w:t>
      </w:r>
      <w:r w:rsidR="00376DAB">
        <w:rPr>
          <w:i/>
          <w:sz w:val="24"/>
          <w:szCs w:val="24"/>
        </w:rPr>
        <w:t xml:space="preserve"> </w:t>
      </w:r>
      <w:r w:rsidR="00376DAB" w:rsidRPr="00C16F41">
        <w:rPr>
          <w:sz w:val="24"/>
          <w:szCs w:val="24"/>
        </w:rPr>
        <w:t>(pp</w:t>
      </w:r>
      <w:r w:rsidR="00376DAB">
        <w:rPr>
          <w:i/>
          <w:sz w:val="24"/>
          <w:szCs w:val="24"/>
        </w:rPr>
        <w:t xml:space="preserve"> </w:t>
      </w:r>
      <w:r w:rsidR="00376DAB" w:rsidRPr="00EB1528">
        <w:rPr>
          <w:sz w:val="24"/>
          <w:szCs w:val="24"/>
        </w:rPr>
        <w:t>17–40</w:t>
      </w:r>
      <w:r w:rsidR="00376DAB">
        <w:rPr>
          <w:sz w:val="24"/>
          <w:szCs w:val="24"/>
        </w:rPr>
        <w:t>)</w:t>
      </w:r>
      <w:r w:rsidRPr="00EB1528">
        <w:rPr>
          <w:sz w:val="24"/>
          <w:szCs w:val="24"/>
        </w:rPr>
        <w:t xml:space="preserve">. </w:t>
      </w:r>
      <w:r w:rsidR="00376DAB">
        <w:rPr>
          <w:sz w:val="24"/>
          <w:szCs w:val="24"/>
        </w:rPr>
        <w:t>New York</w:t>
      </w:r>
      <w:r w:rsidR="00285E65">
        <w:rPr>
          <w:sz w:val="24"/>
          <w:szCs w:val="24"/>
        </w:rPr>
        <w:t>,</w:t>
      </w:r>
      <w:r w:rsidR="00376DAB">
        <w:rPr>
          <w:sz w:val="24"/>
          <w:szCs w:val="24"/>
        </w:rPr>
        <w:t xml:space="preserve"> NY: </w:t>
      </w:r>
      <w:r w:rsidRPr="00EB1528">
        <w:rPr>
          <w:sz w:val="24"/>
          <w:szCs w:val="24"/>
        </w:rPr>
        <w:t>New York University Press</w:t>
      </w:r>
      <w:r w:rsidR="00376DAB">
        <w:rPr>
          <w:sz w:val="24"/>
          <w:szCs w:val="24"/>
        </w:rPr>
        <w:t>.</w:t>
      </w:r>
    </w:p>
    <w:p w14:paraId="144C1F68" w14:textId="678C77B1" w:rsidR="002707F4" w:rsidRDefault="00303D73" w:rsidP="00825C25">
      <w:pPr>
        <w:spacing w:line="360" w:lineRule="auto"/>
        <w:rPr>
          <w:sz w:val="24"/>
          <w:szCs w:val="24"/>
          <w:lang w:val="en-US"/>
        </w:rPr>
      </w:pPr>
      <w:r w:rsidRPr="00EB1528">
        <w:rPr>
          <w:sz w:val="24"/>
          <w:szCs w:val="24"/>
          <w:lang w:val="en-US"/>
        </w:rPr>
        <w:t>Glueck, S. and Glueck, E. (1968)</w:t>
      </w:r>
      <w:r w:rsidR="00376DAB">
        <w:rPr>
          <w:sz w:val="24"/>
          <w:szCs w:val="24"/>
          <w:lang w:val="en-US"/>
        </w:rPr>
        <w:t>.</w:t>
      </w:r>
      <w:r w:rsidRPr="00EB1528">
        <w:rPr>
          <w:sz w:val="24"/>
          <w:szCs w:val="24"/>
          <w:lang w:val="en-US"/>
        </w:rPr>
        <w:t xml:space="preserve"> </w:t>
      </w:r>
      <w:r w:rsidRPr="00EB1528">
        <w:rPr>
          <w:i/>
          <w:iCs/>
          <w:sz w:val="24"/>
          <w:szCs w:val="24"/>
          <w:lang w:val="en-US"/>
        </w:rPr>
        <w:t xml:space="preserve">Delinquents and </w:t>
      </w:r>
      <w:r w:rsidR="001770D6">
        <w:rPr>
          <w:i/>
          <w:iCs/>
          <w:sz w:val="24"/>
          <w:szCs w:val="24"/>
          <w:lang w:val="en-US"/>
        </w:rPr>
        <w:t>n</w:t>
      </w:r>
      <w:r w:rsidRPr="00EB1528">
        <w:rPr>
          <w:i/>
          <w:iCs/>
          <w:sz w:val="24"/>
          <w:szCs w:val="24"/>
          <w:lang w:val="en-US"/>
        </w:rPr>
        <w:t xml:space="preserve">on-delinquents in </w:t>
      </w:r>
      <w:r w:rsidR="001770D6">
        <w:rPr>
          <w:i/>
          <w:iCs/>
          <w:sz w:val="24"/>
          <w:szCs w:val="24"/>
          <w:lang w:val="en-US"/>
        </w:rPr>
        <w:t>p</w:t>
      </w:r>
      <w:r w:rsidRPr="00EB1528">
        <w:rPr>
          <w:i/>
          <w:iCs/>
          <w:sz w:val="24"/>
          <w:szCs w:val="24"/>
          <w:lang w:val="en-US"/>
        </w:rPr>
        <w:t>erspective</w:t>
      </w:r>
      <w:r w:rsidR="00285E65">
        <w:rPr>
          <w:iCs/>
          <w:sz w:val="24"/>
          <w:szCs w:val="24"/>
          <w:lang w:val="en-US"/>
        </w:rPr>
        <w:t>.</w:t>
      </w:r>
      <w:r w:rsidRPr="00EB1528">
        <w:rPr>
          <w:sz w:val="24"/>
          <w:szCs w:val="24"/>
          <w:lang w:val="en-US"/>
        </w:rPr>
        <w:t xml:space="preserve"> Boston</w:t>
      </w:r>
      <w:r w:rsidR="00376DAB">
        <w:rPr>
          <w:sz w:val="24"/>
          <w:szCs w:val="24"/>
          <w:lang w:val="en-US"/>
        </w:rPr>
        <w:t>:</w:t>
      </w:r>
      <w:r w:rsidRPr="00EB1528">
        <w:rPr>
          <w:sz w:val="24"/>
          <w:szCs w:val="24"/>
          <w:lang w:val="en-US"/>
        </w:rPr>
        <w:t xml:space="preserve"> Harvard University Press. </w:t>
      </w:r>
    </w:p>
    <w:p w14:paraId="588D7A62" w14:textId="12D8C2A1" w:rsidR="00285E65" w:rsidRPr="00C16F41" w:rsidRDefault="00285E65" w:rsidP="00825C25">
      <w:pPr>
        <w:spacing w:line="360" w:lineRule="auto"/>
        <w:rPr>
          <w:bCs/>
          <w:sz w:val="24"/>
          <w:szCs w:val="24"/>
        </w:rPr>
      </w:pPr>
      <w:r w:rsidRPr="00EB1528">
        <w:rPr>
          <w:sz w:val="24"/>
          <w:szCs w:val="24"/>
        </w:rPr>
        <w:t>Godfrey, B. (2016)</w:t>
      </w:r>
      <w:r>
        <w:rPr>
          <w:sz w:val="24"/>
          <w:szCs w:val="24"/>
        </w:rPr>
        <w:t>.</w:t>
      </w:r>
      <w:r w:rsidR="006F4988">
        <w:rPr>
          <w:sz w:val="24"/>
          <w:szCs w:val="24"/>
        </w:rPr>
        <w:t xml:space="preserve"> Liquid crime h</w:t>
      </w:r>
      <w:r w:rsidRPr="00EB1528">
        <w:rPr>
          <w:sz w:val="24"/>
          <w:szCs w:val="24"/>
        </w:rPr>
        <w:t>istory: Digital entrepreneurs and the industrial production of ‘ruined lives’</w:t>
      </w:r>
      <w:r>
        <w:rPr>
          <w:sz w:val="24"/>
          <w:szCs w:val="24"/>
        </w:rPr>
        <w:t>.</w:t>
      </w:r>
      <w:r w:rsidRPr="00EB1528">
        <w:rPr>
          <w:sz w:val="24"/>
          <w:szCs w:val="24"/>
        </w:rPr>
        <w:t xml:space="preserve"> </w:t>
      </w:r>
      <w:r>
        <w:rPr>
          <w:sz w:val="24"/>
          <w:szCs w:val="24"/>
        </w:rPr>
        <w:t>I</w:t>
      </w:r>
      <w:r w:rsidRPr="00EB1528">
        <w:rPr>
          <w:sz w:val="24"/>
          <w:szCs w:val="24"/>
        </w:rPr>
        <w:t xml:space="preserve">n </w:t>
      </w:r>
      <w:r>
        <w:rPr>
          <w:sz w:val="24"/>
          <w:szCs w:val="24"/>
        </w:rPr>
        <w:t xml:space="preserve">M. H. </w:t>
      </w:r>
      <w:r w:rsidRPr="00EB1528">
        <w:rPr>
          <w:sz w:val="24"/>
          <w:szCs w:val="24"/>
        </w:rPr>
        <w:t xml:space="preserve">Jacobsen and </w:t>
      </w:r>
      <w:r>
        <w:rPr>
          <w:sz w:val="24"/>
          <w:szCs w:val="24"/>
        </w:rPr>
        <w:t xml:space="preserve">S. </w:t>
      </w:r>
      <w:r w:rsidRPr="00EB1528">
        <w:rPr>
          <w:sz w:val="24"/>
          <w:szCs w:val="24"/>
        </w:rPr>
        <w:t>Walklate, (</w:t>
      </w:r>
      <w:r>
        <w:rPr>
          <w:sz w:val="24"/>
          <w:szCs w:val="24"/>
        </w:rPr>
        <w:t>E</w:t>
      </w:r>
      <w:r w:rsidRPr="00EB1528">
        <w:rPr>
          <w:sz w:val="24"/>
          <w:szCs w:val="24"/>
        </w:rPr>
        <w:t>ds</w:t>
      </w:r>
      <w:r>
        <w:rPr>
          <w:sz w:val="24"/>
          <w:szCs w:val="24"/>
        </w:rPr>
        <w:t>.</w:t>
      </w:r>
      <w:r w:rsidRPr="00EB1528">
        <w:rPr>
          <w:sz w:val="24"/>
          <w:szCs w:val="24"/>
        </w:rPr>
        <w:t xml:space="preserve">) </w:t>
      </w:r>
      <w:r w:rsidR="006F4988">
        <w:rPr>
          <w:bCs/>
          <w:i/>
          <w:sz w:val="24"/>
          <w:szCs w:val="24"/>
        </w:rPr>
        <w:t>Liquid criminology: Doing imaginative c</w:t>
      </w:r>
      <w:r w:rsidRPr="00EB1528">
        <w:rPr>
          <w:bCs/>
          <w:i/>
          <w:sz w:val="24"/>
          <w:szCs w:val="24"/>
        </w:rPr>
        <w:t>ri</w:t>
      </w:r>
      <w:r w:rsidR="006F4988">
        <w:rPr>
          <w:bCs/>
          <w:i/>
          <w:sz w:val="24"/>
          <w:szCs w:val="24"/>
        </w:rPr>
        <w:t>minological r</w:t>
      </w:r>
      <w:r w:rsidRPr="00EB1528">
        <w:rPr>
          <w:bCs/>
          <w:i/>
          <w:sz w:val="24"/>
          <w:szCs w:val="24"/>
        </w:rPr>
        <w:t>esearch</w:t>
      </w:r>
      <w:r>
        <w:rPr>
          <w:bCs/>
          <w:sz w:val="24"/>
          <w:szCs w:val="24"/>
        </w:rPr>
        <w:t xml:space="preserve">. </w:t>
      </w:r>
      <w:r w:rsidR="00893DEB">
        <w:rPr>
          <w:bCs/>
          <w:sz w:val="24"/>
          <w:szCs w:val="24"/>
        </w:rPr>
        <w:t>Aldershot</w:t>
      </w:r>
      <w:r>
        <w:rPr>
          <w:bCs/>
          <w:sz w:val="24"/>
          <w:szCs w:val="24"/>
        </w:rPr>
        <w:t>:</w:t>
      </w:r>
      <w:r w:rsidRPr="00EB1528">
        <w:rPr>
          <w:bCs/>
          <w:sz w:val="24"/>
          <w:szCs w:val="24"/>
        </w:rPr>
        <w:t xml:space="preserve"> Ashgate. </w:t>
      </w:r>
    </w:p>
    <w:p w14:paraId="475D8AD5" w14:textId="02CDD809" w:rsidR="002707F4" w:rsidRPr="00EB1528" w:rsidRDefault="00086282" w:rsidP="00825C25">
      <w:pPr>
        <w:spacing w:line="360" w:lineRule="auto"/>
        <w:rPr>
          <w:sz w:val="24"/>
          <w:szCs w:val="24"/>
          <w:lang w:val="en-US"/>
        </w:rPr>
      </w:pPr>
      <w:r w:rsidRPr="00EB1528">
        <w:rPr>
          <w:sz w:val="24"/>
          <w:szCs w:val="24"/>
        </w:rPr>
        <w:t>Godfrey, B.</w:t>
      </w:r>
      <w:r w:rsidR="007B369B">
        <w:rPr>
          <w:sz w:val="24"/>
          <w:szCs w:val="24"/>
        </w:rPr>
        <w:t>,</w:t>
      </w:r>
      <w:r w:rsidRPr="00EB1528">
        <w:rPr>
          <w:sz w:val="24"/>
          <w:szCs w:val="24"/>
        </w:rPr>
        <w:t xml:space="preserve"> Cox, D</w:t>
      </w:r>
      <w:r w:rsidR="007B369B">
        <w:rPr>
          <w:sz w:val="24"/>
          <w:szCs w:val="24"/>
        </w:rPr>
        <w:t>.,</w:t>
      </w:r>
      <w:r w:rsidRPr="00EB1528">
        <w:rPr>
          <w:sz w:val="24"/>
          <w:szCs w:val="24"/>
        </w:rPr>
        <w:t xml:space="preserve"> and Farrall, S. (2007)</w:t>
      </w:r>
      <w:r w:rsidR="007B369B">
        <w:rPr>
          <w:sz w:val="24"/>
          <w:szCs w:val="24"/>
        </w:rPr>
        <w:t>.</w:t>
      </w:r>
      <w:r w:rsidRPr="00EB1528">
        <w:rPr>
          <w:i/>
          <w:sz w:val="24"/>
          <w:szCs w:val="24"/>
        </w:rPr>
        <w:t xml:space="preserve"> Criminal </w:t>
      </w:r>
      <w:r w:rsidR="006F4988">
        <w:rPr>
          <w:i/>
          <w:sz w:val="24"/>
          <w:szCs w:val="24"/>
        </w:rPr>
        <w:t>l</w:t>
      </w:r>
      <w:r w:rsidRPr="00EB1528">
        <w:rPr>
          <w:i/>
          <w:sz w:val="24"/>
          <w:szCs w:val="24"/>
        </w:rPr>
        <w:t xml:space="preserve">ives: Family, </w:t>
      </w:r>
      <w:r w:rsidR="006F4988">
        <w:rPr>
          <w:i/>
          <w:sz w:val="24"/>
          <w:szCs w:val="24"/>
        </w:rPr>
        <w:t>e</w:t>
      </w:r>
      <w:r w:rsidRPr="00EB1528">
        <w:rPr>
          <w:i/>
          <w:sz w:val="24"/>
          <w:szCs w:val="24"/>
        </w:rPr>
        <w:t xml:space="preserve">mployment and </w:t>
      </w:r>
      <w:r w:rsidR="006F4988">
        <w:rPr>
          <w:i/>
          <w:sz w:val="24"/>
          <w:szCs w:val="24"/>
        </w:rPr>
        <w:t>o</w:t>
      </w:r>
      <w:r w:rsidRPr="00EB1528">
        <w:rPr>
          <w:i/>
          <w:sz w:val="24"/>
          <w:szCs w:val="24"/>
        </w:rPr>
        <w:t>ffending</w:t>
      </w:r>
      <w:r w:rsidR="007B369B">
        <w:rPr>
          <w:sz w:val="24"/>
          <w:szCs w:val="24"/>
        </w:rPr>
        <w:t>.</w:t>
      </w:r>
      <w:r w:rsidRPr="00EB1528">
        <w:rPr>
          <w:sz w:val="24"/>
          <w:szCs w:val="24"/>
        </w:rPr>
        <w:t xml:space="preserve"> </w:t>
      </w:r>
      <w:r w:rsidR="007B369B">
        <w:rPr>
          <w:sz w:val="24"/>
          <w:szCs w:val="24"/>
        </w:rPr>
        <w:t xml:space="preserve">Oxford: </w:t>
      </w:r>
      <w:r w:rsidRPr="00EB1528">
        <w:rPr>
          <w:sz w:val="24"/>
          <w:szCs w:val="24"/>
        </w:rPr>
        <w:t>Clarendon Series in Criminology</w:t>
      </w:r>
      <w:r w:rsidR="007B369B">
        <w:rPr>
          <w:sz w:val="24"/>
          <w:szCs w:val="24"/>
        </w:rPr>
        <w:t xml:space="preserve"> </w:t>
      </w:r>
      <w:r w:rsidRPr="00EB1528">
        <w:rPr>
          <w:sz w:val="24"/>
          <w:szCs w:val="24"/>
        </w:rPr>
        <w:t>Oxford University Press</w:t>
      </w:r>
      <w:r w:rsidR="007B369B">
        <w:rPr>
          <w:sz w:val="24"/>
          <w:szCs w:val="24"/>
        </w:rPr>
        <w:t>.</w:t>
      </w:r>
    </w:p>
    <w:p w14:paraId="6AA3F41A" w14:textId="574AFA45" w:rsidR="00331AE2" w:rsidRPr="00EB1528" w:rsidRDefault="00331AE2" w:rsidP="00825C25">
      <w:pPr>
        <w:spacing w:line="360" w:lineRule="auto"/>
        <w:rPr>
          <w:sz w:val="24"/>
          <w:szCs w:val="24"/>
          <w:lang w:val="en-US"/>
        </w:rPr>
      </w:pPr>
      <w:r w:rsidRPr="00EB1528">
        <w:rPr>
          <w:sz w:val="24"/>
          <w:szCs w:val="24"/>
        </w:rPr>
        <w:t>Godfrey, B., Cox, D.</w:t>
      </w:r>
      <w:r w:rsidR="007B369B">
        <w:rPr>
          <w:sz w:val="24"/>
          <w:szCs w:val="24"/>
        </w:rPr>
        <w:t>,</w:t>
      </w:r>
      <w:r w:rsidRPr="00EB1528">
        <w:rPr>
          <w:sz w:val="24"/>
          <w:szCs w:val="24"/>
        </w:rPr>
        <w:t xml:space="preserve"> and Farrall, S., (2010)</w:t>
      </w:r>
      <w:r w:rsidR="007B369B">
        <w:rPr>
          <w:sz w:val="24"/>
          <w:szCs w:val="24"/>
        </w:rPr>
        <w:t>.</w:t>
      </w:r>
      <w:r w:rsidRPr="00EB1528">
        <w:rPr>
          <w:sz w:val="24"/>
          <w:szCs w:val="24"/>
        </w:rPr>
        <w:t xml:space="preserve"> </w:t>
      </w:r>
      <w:r w:rsidRPr="00EB1528">
        <w:rPr>
          <w:i/>
          <w:sz w:val="24"/>
          <w:szCs w:val="24"/>
        </w:rPr>
        <w:t xml:space="preserve">Serious </w:t>
      </w:r>
      <w:r w:rsidR="006F4988">
        <w:rPr>
          <w:i/>
          <w:sz w:val="24"/>
          <w:szCs w:val="24"/>
        </w:rPr>
        <w:t>o</w:t>
      </w:r>
      <w:r w:rsidRPr="00EB1528">
        <w:rPr>
          <w:i/>
          <w:sz w:val="24"/>
          <w:szCs w:val="24"/>
        </w:rPr>
        <w:t>ffenders</w:t>
      </w:r>
      <w:r w:rsidR="007B369B">
        <w:rPr>
          <w:sz w:val="24"/>
          <w:szCs w:val="24"/>
        </w:rPr>
        <w:t>.</w:t>
      </w:r>
      <w:r w:rsidRPr="00EB1528">
        <w:rPr>
          <w:sz w:val="24"/>
          <w:szCs w:val="24"/>
        </w:rPr>
        <w:t xml:space="preserve"> </w:t>
      </w:r>
      <w:r w:rsidR="007B369B">
        <w:rPr>
          <w:sz w:val="24"/>
          <w:szCs w:val="24"/>
        </w:rPr>
        <w:t xml:space="preserve">Oxford: </w:t>
      </w:r>
      <w:r w:rsidRPr="00EB1528">
        <w:rPr>
          <w:sz w:val="24"/>
          <w:szCs w:val="24"/>
        </w:rPr>
        <w:t>Clarendon Series in Criminology, Oxford University Press</w:t>
      </w:r>
      <w:r w:rsidR="007B369B">
        <w:rPr>
          <w:sz w:val="24"/>
          <w:szCs w:val="24"/>
        </w:rPr>
        <w:t>.</w:t>
      </w:r>
    </w:p>
    <w:p w14:paraId="2ED88AC6" w14:textId="281EC72B" w:rsidR="002707F4" w:rsidRPr="00EB1528" w:rsidRDefault="0037258D" w:rsidP="00825C25">
      <w:pPr>
        <w:spacing w:line="360" w:lineRule="auto"/>
        <w:rPr>
          <w:sz w:val="24"/>
          <w:szCs w:val="24"/>
          <w:lang w:val="en-US"/>
        </w:rPr>
      </w:pPr>
      <w:r w:rsidRPr="00EB1528">
        <w:rPr>
          <w:sz w:val="24"/>
          <w:szCs w:val="24"/>
        </w:rPr>
        <w:t>Godfrey, B., Cox, P</w:t>
      </w:r>
      <w:r w:rsidR="007B369B">
        <w:rPr>
          <w:sz w:val="24"/>
          <w:szCs w:val="24"/>
        </w:rPr>
        <w:t>.</w:t>
      </w:r>
      <w:r w:rsidRPr="00EB1528">
        <w:rPr>
          <w:sz w:val="24"/>
          <w:szCs w:val="24"/>
        </w:rPr>
        <w:t>, Shore, H.</w:t>
      </w:r>
      <w:r w:rsidR="007B369B">
        <w:rPr>
          <w:sz w:val="24"/>
          <w:szCs w:val="24"/>
        </w:rPr>
        <w:t>,</w:t>
      </w:r>
      <w:r w:rsidRPr="00EB1528">
        <w:rPr>
          <w:sz w:val="24"/>
          <w:szCs w:val="24"/>
        </w:rPr>
        <w:t xml:space="preserve"> and Alker, Z. </w:t>
      </w:r>
      <w:r w:rsidR="002707F4" w:rsidRPr="00EB1528">
        <w:rPr>
          <w:sz w:val="24"/>
          <w:szCs w:val="24"/>
        </w:rPr>
        <w:t>(2017)</w:t>
      </w:r>
      <w:r w:rsidR="007B369B">
        <w:rPr>
          <w:sz w:val="24"/>
          <w:szCs w:val="24"/>
        </w:rPr>
        <w:t>.</w:t>
      </w:r>
      <w:r w:rsidR="002707F4" w:rsidRPr="00EB1528">
        <w:rPr>
          <w:sz w:val="24"/>
          <w:szCs w:val="24"/>
        </w:rPr>
        <w:t xml:space="preserve"> </w:t>
      </w:r>
      <w:r w:rsidRPr="00EB1528">
        <w:rPr>
          <w:i/>
          <w:sz w:val="24"/>
          <w:szCs w:val="24"/>
        </w:rPr>
        <w:t xml:space="preserve">Young </w:t>
      </w:r>
      <w:r w:rsidR="006F4988">
        <w:rPr>
          <w:i/>
          <w:sz w:val="24"/>
          <w:szCs w:val="24"/>
        </w:rPr>
        <w:t>c</w:t>
      </w:r>
      <w:r w:rsidRPr="00EB1528">
        <w:rPr>
          <w:i/>
          <w:sz w:val="24"/>
          <w:szCs w:val="24"/>
        </w:rPr>
        <w:t xml:space="preserve">riminal </w:t>
      </w:r>
      <w:r w:rsidR="006F4988">
        <w:rPr>
          <w:i/>
          <w:sz w:val="24"/>
          <w:szCs w:val="24"/>
        </w:rPr>
        <w:t>l</w:t>
      </w:r>
      <w:r w:rsidRPr="00EB1528">
        <w:rPr>
          <w:i/>
          <w:sz w:val="24"/>
          <w:szCs w:val="24"/>
        </w:rPr>
        <w:t xml:space="preserve">ives: Life </w:t>
      </w:r>
      <w:r w:rsidR="006F4988">
        <w:rPr>
          <w:i/>
          <w:sz w:val="24"/>
          <w:szCs w:val="24"/>
        </w:rPr>
        <w:t>c</w:t>
      </w:r>
      <w:r w:rsidRPr="00EB1528">
        <w:rPr>
          <w:i/>
          <w:sz w:val="24"/>
          <w:szCs w:val="24"/>
        </w:rPr>
        <w:t xml:space="preserve">ourses and </w:t>
      </w:r>
      <w:r w:rsidR="006F4988">
        <w:rPr>
          <w:i/>
          <w:sz w:val="24"/>
          <w:szCs w:val="24"/>
        </w:rPr>
        <w:t>l</w:t>
      </w:r>
      <w:r w:rsidRPr="00EB1528">
        <w:rPr>
          <w:i/>
          <w:sz w:val="24"/>
          <w:szCs w:val="24"/>
        </w:rPr>
        <w:t xml:space="preserve">ife </w:t>
      </w:r>
      <w:r w:rsidR="006F4988">
        <w:rPr>
          <w:i/>
          <w:sz w:val="24"/>
          <w:szCs w:val="24"/>
        </w:rPr>
        <w:t>c</w:t>
      </w:r>
      <w:r w:rsidRPr="00EB1528">
        <w:rPr>
          <w:i/>
          <w:sz w:val="24"/>
          <w:szCs w:val="24"/>
        </w:rPr>
        <w:t>hances after 1850</w:t>
      </w:r>
      <w:r w:rsidR="007B369B">
        <w:rPr>
          <w:sz w:val="24"/>
          <w:szCs w:val="24"/>
        </w:rPr>
        <w:t>.</w:t>
      </w:r>
      <w:r w:rsidRPr="00EB1528">
        <w:rPr>
          <w:sz w:val="24"/>
          <w:szCs w:val="24"/>
        </w:rPr>
        <w:t xml:space="preserve"> </w:t>
      </w:r>
      <w:r w:rsidR="0001366A" w:rsidRPr="00EB1528">
        <w:rPr>
          <w:sz w:val="24"/>
          <w:szCs w:val="24"/>
        </w:rPr>
        <w:t xml:space="preserve">Oxford: </w:t>
      </w:r>
      <w:r w:rsidRPr="00EB1528">
        <w:rPr>
          <w:sz w:val="24"/>
          <w:szCs w:val="24"/>
        </w:rPr>
        <w:t>Clarendon Series in Criminology, Oxford University Press (due for publication October 2017)</w:t>
      </w:r>
      <w:r w:rsidR="007B369B">
        <w:rPr>
          <w:sz w:val="24"/>
          <w:szCs w:val="24"/>
        </w:rPr>
        <w:t>.</w:t>
      </w:r>
    </w:p>
    <w:p w14:paraId="7EA79086" w14:textId="19A5B769" w:rsidR="00267044" w:rsidRPr="00EB1528" w:rsidRDefault="00267044" w:rsidP="00825C25">
      <w:pPr>
        <w:spacing w:line="360" w:lineRule="auto"/>
        <w:rPr>
          <w:sz w:val="24"/>
          <w:szCs w:val="24"/>
          <w:lang w:val="en-US"/>
        </w:rPr>
      </w:pPr>
      <w:r>
        <w:rPr>
          <w:sz w:val="24"/>
          <w:szCs w:val="24"/>
          <w:lang w:val="en-US"/>
        </w:rPr>
        <w:t>Hendrick ref in here?</w:t>
      </w:r>
    </w:p>
    <w:p w14:paraId="43C36CA9" w14:textId="3B2C6783" w:rsidR="006102BC" w:rsidRDefault="006102BC" w:rsidP="00825C25">
      <w:pPr>
        <w:spacing w:line="360" w:lineRule="auto"/>
        <w:rPr>
          <w:sz w:val="24"/>
          <w:szCs w:val="24"/>
        </w:rPr>
      </w:pPr>
      <w:r>
        <w:rPr>
          <w:sz w:val="24"/>
          <w:szCs w:val="24"/>
        </w:rPr>
        <w:t>Hendrick, H. (1994) Child Welfare: England, 1872-1989. London, Routledge</w:t>
      </w:r>
    </w:p>
    <w:p w14:paraId="62726291" w14:textId="1C8DB18F" w:rsidR="002707F4" w:rsidRPr="00EB1528" w:rsidRDefault="009A5B20" w:rsidP="00825C25">
      <w:pPr>
        <w:spacing w:line="360" w:lineRule="auto"/>
        <w:rPr>
          <w:sz w:val="24"/>
          <w:szCs w:val="24"/>
          <w:lang w:val="en-US"/>
        </w:rPr>
      </w:pPr>
      <w:r w:rsidRPr="00EB1528">
        <w:rPr>
          <w:sz w:val="24"/>
          <w:szCs w:val="24"/>
        </w:rPr>
        <w:t>Hitchcock, T. (2013)</w:t>
      </w:r>
      <w:r w:rsidR="007B369B">
        <w:rPr>
          <w:sz w:val="24"/>
          <w:szCs w:val="24"/>
        </w:rPr>
        <w:t>.</w:t>
      </w:r>
      <w:r w:rsidRPr="00EB1528">
        <w:rPr>
          <w:sz w:val="24"/>
          <w:szCs w:val="24"/>
        </w:rPr>
        <w:t xml:space="preserve"> Confronting the </w:t>
      </w:r>
      <w:r w:rsidR="006F4988">
        <w:rPr>
          <w:sz w:val="24"/>
          <w:szCs w:val="24"/>
        </w:rPr>
        <w:t>d</w:t>
      </w:r>
      <w:r w:rsidRPr="00EB1528">
        <w:rPr>
          <w:sz w:val="24"/>
          <w:szCs w:val="24"/>
        </w:rPr>
        <w:t>igital</w:t>
      </w:r>
      <w:r w:rsidRPr="00EB1528">
        <w:rPr>
          <w:b/>
          <w:bCs/>
          <w:sz w:val="24"/>
          <w:szCs w:val="24"/>
        </w:rPr>
        <w:t xml:space="preserve">, </w:t>
      </w:r>
      <w:r w:rsidRPr="00EB1528">
        <w:rPr>
          <w:sz w:val="24"/>
          <w:szCs w:val="24"/>
        </w:rPr>
        <w:t xml:space="preserve">or </w:t>
      </w:r>
      <w:r w:rsidR="006F4988">
        <w:rPr>
          <w:sz w:val="24"/>
          <w:szCs w:val="24"/>
        </w:rPr>
        <w:t>h</w:t>
      </w:r>
      <w:r w:rsidRPr="00EB1528">
        <w:rPr>
          <w:sz w:val="24"/>
          <w:szCs w:val="24"/>
        </w:rPr>
        <w:t xml:space="preserve">ow </w:t>
      </w:r>
      <w:r w:rsidR="006F4988">
        <w:rPr>
          <w:sz w:val="24"/>
          <w:szCs w:val="24"/>
        </w:rPr>
        <w:t>a</w:t>
      </w:r>
      <w:r w:rsidRPr="00EB1528">
        <w:rPr>
          <w:sz w:val="24"/>
          <w:szCs w:val="24"/>
        </w:rPr>
        <w:t xml:space="preserve">cademic </w:t>
      </w:r>
      <w:r w:rsidR="006F4988">
        <w:rPr>
          <w:sz w:val="24"/>
          <w:szCs w:val="24"/>
        </w:rPr>
        <w:t>h</w:t>
      </w:r>
      <w:r w:rsidRPr="00EB1528">
        <w:rPr>
          <w:sz w:val="24"/>
          <w:szCs w:val="24"/>
        </w:rPr>
        <w:t xml:space="preserve">istory </w:t>
      </w:r>
      <w:r w:rsidR="006F4988">
        <w:rPr>
          <w:sz w:val="24"/>
          <w:szCs w:val="24"/>
        </w:rPr>
        <w:t>w</w:t>
      </w:r>
      <w:r w:rsidRPr="00EB1528">
        <w:rPr>
          <w:sz w:val="24"/>
          <w:szCs w:val="24"/>
        </w:rPr>
        <w:t xml:space="preserve">riting </w:t>
      </w:r>
      <w:r w:rsidR="006F4988">
        <w:rPr>
          <w:sz w:val="24"/>
          <w:szCs w:val="24"/>
        </w:rPr>
        <w:t>l</w:t>
      </w:r>
      <w:r w:rsidRPr="00EB1528">
        <w:rPr>
          <w:sz w:val="24"/>
          <w:szCs w:val="24"/>
        </w:rPr>
        <w:t xml:space="preserve">ost the </w:t>
      </w:r>
      <w:r w:rsidR="006F4988">
        <w:rPr>
          <w:sz w:val="24"/>
          <w:szCs w:val="24"/>
        </w:rPr>
        <w:t>p</w:t>
      </w:r>
      <w:r w:rsidRPr="00EB1528">
        <w:rPr>
          <w:sz w:val="24"/>
          <w:szCs w:val="24"/>
        </w:rPr>
        <w:t>lot</w:t>
      </w:r>
      <w:r w:rsidR="007B369B">
        <w:rPr>
          <w:sz w:val="24"/>
          <w:szCs w:val="24"/>
        </w:rPr>
        <w:t>.</w:t>
      </w:r>
      <w:r w:rsidRPr="00EB1528">
        <w:rPr>
          <w:sz w:val="24"/>
          <w:szCs w:val="24"/>
        </w:rPr>
        <w:t xml:space="preserve"> </w:t>
      </w:r>
      <w:r w:rsidRPr="00EB1528">
        <w:rPr>
          <w:i/>
          <w:iCs/>
          <w:sz w:val="24"/>
          <w:szCs w:val="24"/>
        </w:rPr>
        <w:t>Cultural and Social History</w:t>
      </w:r>
      <w:r w:rsidRPr="00EB1528">
        <w:rPr>
          <w:sz w:val="24"/>
          <w:szCs w:val="24"/>
        </w:rPr>
        <w:t xml:space="preserve">, </w:t>
      </w:r>
      <w:r w:rsidRPr="00C16F41">
        <w:rPr>
          <w:i/>
          <w:sz w:val="24"/>
          <w:szCs w:val="24"/>
        </w:rPr>
        <w:t>10</w:t>
      </w:r>
      <w:r w:rsidRPr="00EB1528">
        <w:rPr>
          <w:sz w:val="24"/>
          <w:szCs w:val="24"/>
        </w:rPr>
        <w:t>(1), 9</w:t>
      </w:r>
      <w:r w:rsidR="007B369B">
        <w:rPr>
          <w:sz w:val="24"/>
          <w:szCs w:val="24"/>
        </w:rPr>
        <w:t>–</w:t>
      </w:r>
      <w:r w:rsidRPr="00EB1528">
        <w:rPr>
          <w:sz w:val="24"/>
          <w:szCs w:val="24"/>
        </w:rPr>
        <w:t>23</w:t>
      </w:r>
      <w:r w:rsidR="007B369B">
        <w:rPr>
          <w:sz w:val="24"/>
          <w:szCs w:val="24"/>
        </w:rPr>
        <w:t>.</w:t>
      </w:r>
    </w:p>
    <w:p w14:paraId="593C4EE2" w14:textId="549A1311" w:rsidR="002707F4" w:rsidRPr="00EB1528" w:rsidRDefault="00E12AAD" w:rsidP="00825C25">
      <w:pPr>
        <w:spacing w:line="360" w:lineRule="auto"/>
        <w:rPr>
          <w:sz w:val="24"/>
          <w:szCs w:val="24"/>
          <w:lang w:val="en-US"/>
        </w:rPr>
      </w:pPr>
      <w:r w:rsidRPr="00EB1528">
        <w:rPr>
          <w:sz w:val="24"/>
          <w:szCs w:val="24"/>
        </w:rPr>
        <w:t>Horrocks, C. (2002)</w:t>
      </w:r>
      <w:r w:rsidR="007B369B">
        <w:rPr>
          <w:sz w:val="24"/>
          <w:szCs w:val="24"/>
        </w:rPr>
        <w:t>.</w:t>
      </w:r>
      <w:r w:rsidRPr="00EB1528">
        <w:rPr>
          <w:sz w:val="24"/>
          <w:szCs w:val="24"/>
        </w:rPr>
        <w:t xml:space="preserve"> Using life course theory to explore the social and developmental pathways of young people. </w:t>
      </w:r>
      <w:r w:rsidRPr="00EB1528">
        <w:rPr>
          <w:i/>
          <w:sz w:val="24"/>
          <w:szCs w:val="24"/>
        </w:rPr>
        <w:t>Journal of Youth Studies</w:t>
      </w:r>
      <w:r w:rsidR="009B4F7E">
        <w:rPr>
          <w:sz w:val="24"/>
          <w:szCs w:val="24"/>
        </w:rPr>
        <w:t>,</w:t>
      </w:r>
      <w:r w:rsidRPr="00EB1528">
        <w:rPr>
          <w:sz w:val="24"/>
          <w:szCs w:val="24"/>
        </w:rPr>
        <w:t xml:space="preserve"> </w:t>
      </w:r>
      <w:r w:rsidRPr="00C16F41">
        <w:rPr>
          <w:i/>
          <w:sz w:val="24"/>
          <w:szCs w:val="24"/>
        </w:rPr>
        <w:t>5</w:t>
      </w:r>
      <w:r w:rsidR="009B4F7E">
        <w:rPr>
          <w:sz w:val="24"/>
          <w:szCs w:val="24"/>
        </w:rPr>
        <w:t>(</w:t>
      </w:r>
      <w:r w:rsidRPr="00EB1528">
        <w:rPr>
          <w:sz w:val="24"/>
          <w:szCs w:val="24"/>
        </w:rPr>
        <w:t>3</w:t>
      </w:r>
      <w:r w:rsidR="009B4F7E">
        <w:rPr>
          <w:sz w:val="24"/>
          <w:szCs w:val="24"/>
        </w:rPr>
        <w:t>)</w:t>
      </w:r>
      <w:r w:rsidRPr="00EB1528">
        <w:rPr>
          <w:sz w:val="24"/>
          <w:szCs w:val="24"/>
        </w:rPr>
        <w:t>, 325</w:t>
      </w:r>
      <w:r w:rsidR="007B369B">
        <w:rPr>
          <w:sz w:val="24"/>
          <w:szCs w:val="24"/>
        </w:rPr>
        <w:t>–</w:t>
      </w:r>
      <w:r w:rsidRPr="00EB1528">
        <w:rPr>
          <w:sz w:val="24"/>
          <w:szCs w:val="24"/>
        </w:rPr>
        <w:t>336.</w:t>
      </w:r>
    </w:p>
    <w:p w14:paraId="79AB17C1" w14:textId="35DA4C0B" w:rsidR="002707F4" w:rsidRPr="00EB1528" w:rsidRDefault="00BC1C81" w:rsidP="00825C25">
      <w:pPr>
        <w:spacing w:line="360" w:lineRule="auto"/>
        <w:rPr>
          <w:sz w:val="24"/>
          <w:szCs w:val="24"/>
          <w:lang w:val="en-US"/>
        </w:rPr>
      </w:pPr>
      <w:r w:rsidRPr="00EB1528">
        <w:rPr>
          <w:sz w:val="24"/>
          <w:szCs w:val="24"/>
        </w:rPr>
        <w:t>Holloway, G. (2007)</w:t>
      </w:r>
      <w:r w:rsidR="009B4F7E">
        <w:rPr>
          <w:sz w:val="24"/>
          <w:szCs w:val="24"/>
        </w:rPr>
        <w:t>.</w:t>
      </w:r>
      <w:r w:rsidRPr="00EB1528">
        <w:rPr>
          <w:sz w:val="24"/>
          <w:szCs w:val="24"/>
        </w:rPr>
        <w:t xml:space="preserve"> </w:t>
      </w:r>
      <w:r w:rsidRPr="00EB1528">
        <w:rPr>
          <w:i/>
          <w:sz w:val="24"/>
          <w:szCs w:val="24"/>
          <w:lang w:val="en-US"/>
        </w:rPr>
        <w:t xml:space="preserve">Women and </w:t>
      </w:r>
      <w:r w:rsidR="006F4988">
        <w:rPr>
          <w:i/>
          <w:sz w:val="24"/>
          <w:szCs w:val="24"/>
          <w:lang w:val="en-US"/>
        </w:rPr>
        <w:t>w</w:t>
      </w:r>
      <w:r w:rsidRPr="00EB1528">
        <w:rPr>
          <w:i/>
          <w:sz w:val="24"/>
          <w:szCs w:val="24"/>
          <w:lang w:val="en-US"/>
        </w:rPr>
        <w:t>ork in Britain since 1840</w:t>
      </w:r>
      <w:r w:rsidRPr="00EB1528">
        <w:rPr>
          <w:sz w:val="24"/>
          <w:szCs w:val="24"/>
          <w:lang w:val="en-US"/>
        </w:rPr>
        <w:t>. London: Routledge</w:t>
      </w:r>
      <w:r w:rsidR="00285E65">
        <w:rPr>
          <w:sz w:val="24"/>
          <w:szCs w:val="24"/>
          <w:lang w:val="en-US"/>
        </w:rPr>
        <w:t>.</w:t>
      </w:r>
    </w:p>
    <w:p w14:paraId="33BB3748" w14:textId="599F452B" w:rsidR="00E12AAD" w:rsidRPr="00EB1528" w:rsidRDefault="00E12AAD" w:rsidP="00825C25">
      <w:pPr>
        <w:spacing w:line="360" w:lineRule="auto"/>
        <w:rPr>
          <w:sz w:val="24"/>
          <w:szCs w:val="24"/>
          <w:lang w:val="en-US"/>
        </w:rPr>
      </w:pPr>
      <w:r w:rsidRPr="00EB1528">
        <w:rPr>
          <w:sz w:val="24"/>
          <w:szCs w:val="24"/>
        </w:rPr>
        <w:lastRenderedPageBreak/>
        <w:t>Humphries, J. (2013)</w:t>
      </w:r>
      <w:r w:rsidR="00285E65">
        <w:rPr>
          <w:sz w:val="24"/>
          <w:szCs w:val="24"/>
        </w:rPr>
        <w:t>.</w:t>
      </w:r>
      <w:r w:rsidRPr="00EB1528">
        <w:rPr>
          <w:sz w:val="24"/>
          <w:szCs w:val="24"/>
        </w:rPr>
        <w:t xml:space="preserve"> Care and </w:t>
      </w:r>
      <w:r w:rsidR="006F4988">
        <w:rPr>
          <w:sz w:val="24"/>
          <w:szCs w:val="24"/>
        </w:rPr>
        <w:t>c</w:t>
      </w:r>
      <w:r w:rsidRPr="00EB1528">
        <w:rPr>
          <w:sz w:val="24"/>
          <w:szCs w:val="24"/>
        </w:rPr>
        <w:t xml:space="preserve">ruelty in the </w:t>
      </w:r>
      <w:r w:rsidR="006F4988">
        <w:rPr>
          <w:sz w:val="24"/>
          <w:szCs w:val="24"/>
        </w:rPr>
        <w:t>w</w:t>
      </w:r>
      <w:r w:rsidRPr="00EB1528">
        <w:rPr>
          <w:sz w:val="24"/>
          <w:szCs w:val="24"/>
        </w:rPr>
        <w:t xml:space="preserve">orkhouse: Children’s </w:t>
      </w:r>
      <w:r w:rsidR="006F4988">
        <w:rPr>
          <w:sz w:val="24"/>
          <w:szCs w:val="24"/>
        </w:rPr>
        <w:t>e</w:t>
      </w:r>
      <w:r w:rsidRPr="00EB1528">
        <w:rPr>
          <w:sz w:val="24"/>
          <w:szCs w:val="24"/>
        </w:rPr>
        <w:t xml:space="preserve">xperiences of </w:t>
      </w:r>
      <w:r w:rsidR="006F4988">
        <w:rPr>
          <w:sz w:val="24"/>
          <w:szCs w:val="24"/>
        </w:rPr>
        <w:t>r</w:t>
      </w:r>
      <w:r w:rsidRPr="00EB1528">
        <w:rPr>
          <w:sz w:val="24"/>
          <w:szCs w:val="24"/>
        </w:rPr>
        <w:t xml:space="preserve">esidential </w:t>
      </w:r>
      <w:r w:rsidR="006F4988">
        <w:rPr>
          <w:sz w:val="24"/>
          <w:szCs w:val="24"/>
        </w:rPr>
        <w:t>p</w:t>
      </w:r>
      <w:r w:rsidRPr="00EB1528">
        <w:rPr>
          <w:sz w:val="24"/>
          <w:szCs w:val="24"/>
        </w:rPr>
        <w:t xml:space="preserve">oor </w:t>
      </w:r>
      <w:r w:rsidR="006F4988">
        <w:rPr>
          <w:sz w:val="24"/>
          <w:szCs w:val="24"/>
        </w:rPr>
        <w:t>r</w:t>
      </w:r>
      <w:r w:rsidRPr="00EB1528">
        <w:rPr>
          <w:sz w:val="24"/>
          <w:szCs w:val="24"/>
        </w:rPr>
        <w:t xml:space="preserve">elief in </w:t>
      </w:r>
      <w:r w:rsidR="00D14F84">
        <w:rPr>
          <w:sz w:val="24"/>
          <w:szCs w:val="24"/>
        </w:rPr>
        <w:t>e</w:t>
      </w:r>
      <w:r w:rsidRPr="00EB1528">
        <w:rPr>
          <w:sz w:val="24"/>
          <w:szCs w:val="24"/>
        </w:rPr>
        <w:t xml:space="preserve">ighteenth and </w:t>
      </w:r>
      <w:r w:rsidR="00D14F84">
        <w:rPr>
          <w:sz w:val="24"/>
          <w:szCs w:val="24"/>
        </w:rPr>
        <w:t>n</w:t>
      </w:r>
      <w:r w:rsidRPr="00EB1528">
        <w:rPr>
          <w:sz w:val="24"/>
          <w:szCs w:val="24"/>
        </w:rPr>
        <w:t>ineteenth-</w:t>
      </w:r>
      <w:r w:rsidR="00D14F84">
        <w:rPr>
          <w:sz w:val="24"/>
          <w:szCs w:val="24"/>
        </w:rPr>
        <w:t>c</w:t>
      </w:r>
      <w:r w:rsidRPr="00EB1528">
        <w:rPr>
          <w:sz w:val="24"/>
          <w:szCs w:val="24"/>
        </w:rPr>
        <w:t>entury England</w:t>
      </w:r>
      <w:r w:rsidR="009B4F7E">
        <w:rPr>
          <w:sz w:val="24"/>
          <w:szCs w:val="24"/>
        </w:rPr>
        <w:t>.</w:t>
      </w:r>
      <w:r w:rsidRPr="00EB1528">
        <w:rPr>
          <w:sz w:val="24"/>
          <w:szCs w:val="24"/>
        </w:rPr>
        <w:t xml:space="preserve"> </w:t>
      </w:r>
      <w:r w:rsidR="009B4F7E">
        <w:rPr>
          <w:sz w:val="24"/>
          <w:szCs w:val="24"/>
        </w:rPr>
        <w:t>I</w:t>
      </w:r>
      <w:r w:rsidRPr="00EB1528">
        <w:rPr>
          <w:sz w:val="24"/>
          <w:szCs w:val="24"/>
        </w:rPr>
        <w:t>n N. Goose and K. Honeyman (</w:t>
      </w:r>
      <w:r w:rsidR="009B4F7E">
        <w:rPr>
          <w:sz w:val="24"/>
          <w:szCs w:val="24"/>
        </w:rPr>
        <w:t>E</w:t>
      </w:r>
      <w:r w:rsidRPr="00EB1528">
        <w:rPr>
          <w:sz w:val="24"/>
          <w:szCs w:val="24"/>
        </w:rPr>
        <w:t>d</w:t>
      </w:r>
      <w:r w:rsidR="009B4F7E">
        <w:rPr>
          <w:sz w:val="24"/>
          <w:szCs w:val="24"/>
        </w:rPr>
        <w:t>s.</w:t>
      </w:r>
      <w:r w:rsidRPr="00EB1528">
        <w:rPr>
          <w:sz w:val="24"/>
          <w:szCs w:val="24"/>
        </w:rPr>
        <w:t xml:space="preserve">), </w:t>
      </w:r>
      <w:r w:rsidRPr="00EB1528">
        <w:rPr>
          <w:i/>
          <w:sz w:val="24"/>
          <w:szCs w:val="24"/>
        </w:rPr>
        <w:t xml:space="preserve">Childhood and </w:t>
      </w:r>
      <w:r w:rsidR="00D14F84">
        <w:rPr>
          <w:i/>
          <w:sz w:val="24"/>
          <w:szCs w:val="24"/>
        </w:rPr>
        <w:t>c</w:t>
      </w:r>
      <w:r w:rsidRPr="00EB1528">
        <w:rPr>
          <w:i/>
          <w:sz w:val="24"/>
          <w:szCs w:val="24"/>
        </w:rPr>
        <w:t xml:space="preserve">hild </w:t>
      </w:r>
      <w:r w:rsidR="00D14F84">
        <w:rPr>
          <w:i/>
          <w:sz w:val="24"/>
          <w:szCs w:val="24"/>
        </w:rPr>
        <w:t>l</w:t>
      </w:r>
      <w:r w:rsidRPr="00EB1528">
        <w:rPr>
          <w:i/>
          <w:sz w:val="24"/>
          <w:szCs w:val="24"/>
        </w:rPr>
        <w:t xml:space="preserve">abour in </w:t>
      </w:r>
      <w:r w:rsidR="00D14F84">
        <w:rPr>
          <w:i/>
          <w:sz w:val="24"/>
          <w:szCs w:val="24"/>
        </w:rPr>
        <w:t>i</w:t>
      </w:r>
      <w:r w:rsidRPr="00EB1528">
        <w:rPr>
          <w:i/>
          <w:sz w:val="24"/>
          <w:szCs w:val="24"/>
        </w:rPr>
        <w:t xml:space="preserve">ndustrial England: Diversity and </w:t>
      </w:r>
      <w:r w:rsidR="00D14F84">
        <w:rPr>
          <w:i/>
          <w:sz w:val="24"/>
          <w:szCs w:val="24"/>
        </w:rPr>
        <w:t>a</w:t>
      </w:r>
      <w:r w:rsidRPr="00EB1528">
        <w:rPr>
          <w:i/>
          <w:sz w:val="24"/>
          <w:szCs w:val="24"/>
        </w:rPr>
        <w:t>gency, 1750</w:t>
      </w:r>
      <w:r w:rsidR="009B4F7E">
        <w:rPr>
          <w:i/>
          <w:sz w:val="24"/>
          <w:szCs w:val="24"/>
        </w:rPr>
        <w:t>–</w:t>
      </w:r>
      <w:r w:rsidRPr="00EB1528">
        <w:rPr>
          <w:i/>
          <w:sz w:val="24"/>
          <w:szCs w:val="24"/>
        </w:rPr>
        <w:t>1914</w:t>
      </w:r>
      <w:r w:rsidR="009B4F7E">
        <w:rPr>
          <w:i/>
          <w:sz w:val="24"/>
          <w:szCs w:val="24"/>
        </w:rPr>
        <w:t xml:space="preserve"> (</w:t>
      </w:r>
      <w:r w:rsidR="009B4F7E" w:rsidRPr="00EB1528">
        <w:rPr>
          <w:sz w:val="24"/>
          <w:szCs w:val="24"/>
        </w:rPr>
        <w:t>pp. 115-134</w:t>
      </w:r>
      <w:r w:rsidR="009B4F7E">
        <w:rPr>
          <w:sz w:val="24"/>
          <w:szCs w:val="24"/>
        </w:rPr>
        <w:t>)</w:t>
      </w:r>
      <w:r w:rsidRPr="00EB1528">
        <w:rPr>
          <w:sz w:val="24"/>
          <w:szCs w:val="24"/>
        </w:rPr>
        <w:t>. Farnham: Ashgate</w:t>
      </w:r>
      <w:r w:rsidR="009B4F7E">
        <w:rPr>
          <w:sz w:val="24"/>
          <w:szCs w:val="24"/>
        </w:rPr>
        <w:t>.</w:t>
      </w:r>
    </w:p>
    <w:p w14:paraId="30449BD9" w14:textId="6CA4CF78" w:rsidR="00C60F18" w:rsidRPr="00EB1528" w:rsidRDefault="00E12AAD" w:rsidP="00825C25">
      <w:pPr>
        <w:spacing w:line="360" w:lineRule="auto"/>
        <w:rPr>
          <w:sz w:val="24"/>
          <w:szCs w:val="24"/>
        </w:rPr>
      </w:pPr>
      <w:r w:rsidRPr="00EB1528">
        <w:rPr>
          <w:sz w:val="24"/>
          <w:szCs w:val="24"/>
        </w:rPr>
        <w:t>Jacobs, M. D. (2009)</w:t>
      </w:r>
      <w:r w:rsidR="009B4F7E">
        <w:rPr>
          <w:sz w:val="24"/>
          <w:szCs w:val="24"/>
        </w:rPr>
        <w:t>.</w:t>
      </w:r>
      <w:r w:rsidRPr="00EB1528">
        <w:rPr>
          <w:sz w:val="24"/>
          <w:szCs w:val="24"/>
        </w:rPr>
        <w:t xml:space="preserve"> </w:t>
      </w:r>
      <w:r w:rsidRPr="00EB1528">
        <w:rPr>
          <w:i/>
          <w:sz w:val="24"/>
          <w:szCs w:val="24"/>
        </w:rPr>
        <w:t xml:space="preserve">White </w:t>
      </w:r>
      <w:r w:rsidR="00D14F84">
        <w:rPr>
          <w:i/>
          <w:sz w:val="24"/>
          <w:szCs w:val="24"/>
        </w:rPr>
        <w:t>m</w:t>
      </w:r>
      <w:r w:rsidRPr="00EB1528">
        <w:rPr>
          <w:i/>
          <w:sz w:val="24"/>
          <w:szCs w:val="24"/>
        </w:rPr>
        <w:t xml:space="preserve">other to a </w:t>
      </w:r>
      <w:r w:rsidR="00D14F84">
        <w:rPr>
          <w:i/>
          <w:sz w:val="24"/>
          <w:szCs w:val="24"/>
        </w:rPr>
        <w:t>d</w:t>
      </w:r>
      <w:r w:rsidRPr="00EB1528">
        <w:rPr>
          <w:i/>
          <w:sz w:val="24"/>
          <w:szCs w:val="24"/>
        </w:rPr>
        <w:t xml:space="preserve">ark </w:t>
      </w:r>
      <w:r w:rsidR="00D14F84">
        <w:rPr>
          <w:i/>
          <w:sz w:val="24"/>
          <w:szCs w:val="24"/>
        </w:rPr>
        <w:t>r</w:t>
      </w:r>
      <w:r w:rsidRPr="00EB1528">
        <w:rPr>
          <w:i/>
          <w:sz w:val="24"/>
          <w:szCs w:val="24"/>
        </w:rPr>
        <w:t xml:space="preserve">ace: Settler </w:t>
      </w:r>
      <w:r w:rsidR="00D14F84">
        <w:rPr>
          <w:i/>
          <w:sz w:val="24"/>
          <w:szCs w:val="24"/>
        </w:rPr>
        <w:t>c</w:t>
      </w:r>
      <w:r w:rsidRPr="00EB1528">
        <w:rPr>
          <w:i/>
          <w:sz w:val="24"/>
          <w:szCs w:val="24"/>
        </w:rPr>
        <w:t xml:space="preserve">olonialism, </w:t>
      </w:r>
      <w:r w:rsidR="00D14F84">
        <w:rPr>
          <w:i/>
          <w:sz w:val="24"/>
          <w:szCs w:val="24"/>
        </w:rPr>
        <w:t>m</w:t>
      </w:r>
      <w:r w:rsidRPr="00EB1528">
        <w:rPr>
          <w:i/>
          <w:sz w:val="24"/>
          <w:szCs w:val="24"/>
        </w:rPr>
        <w:t xml:space="preserve">aternalism, and the </w:t>
      </w:r>
      <w:r w:rsidR="00D14F84">
        <w:rPr>
          <w:i/>
          <w:sz w:val="24"/>
          <w:szCs w:val="24"/>
        </w:rPr>
        <w:t>r</w:t>
      </w:r>
      <w:r w:rsidRPr="00EB1528">
        <w:rPr>
          <w:i/>
          <w:sz w:val="24"/>
          <w:szCs w:val="24"/>
        </w:rPr>
        <w:t xml:space="preserve">emoval of </w:t>
      </w:r>
      <w:r w:rsidR="00D14F84">
        <w:rPr>
          <w:i/>
          <w:sz w:val="24"/>
          <w:szCs w:val="24"/>
        </w:rPr>
        <w:t>i</w:t>
      </w:r>
      <w:r w:rsidRPr="00EB1528">
        <w:rPr>
          <w:i/>
          <w:sz w:val="24"/>
          <w:szCs w:val="24"/>
        </w:rPr>
        <w:t xml:space="preserve">ndigenous </w:t>
      </w:r>
      <w:r w:rsidR="00D14F84">
        <w:rPr>
          <w:i/>
          <w:sz w:val="24"/>
          <w:szCs w:val="24"/>
        </w:rPr>
        <w:t>c</w:t>
      </w:r>
      <w:r w:rsidRPr="00EB1528">
        <w:rPr>
          <w:i/>
          <w:sz w:val="24"/>
          <w:szCs w:val="24"/>
        </w:rPr>
        <w:t>hildren in the American West and Australia, 1880</w:t>
      </w:r>
      <w:r w:rsidR="009B4F7E">
        <w:rPr>
          <w:i/>
          <w:sz w:val="24"/>
          <w:szCs w:val="24"/>
        </w:rPr>
        <w:t>–</w:t>
      </w:r>
      <w:r w:rsidRPr="00EB1528">
        <w:rPr>
          <w:i/>
          <w:sz w:val="24"/>
          <w:szCs w:val="24"/>
        </w:rPr>
        <w:t>1940</w:t>
      </w:r>
      <w:r w:rsidRPr="00EB1528">
        <w:rPr>
          <w:sz w:val="24"/>
          <w:szCs w:val="24"/>
        </w:rPr>
        <w:t>. Nebraska: University of Nebraska Press.</w:t>
      </w:r>
    </w:p>
    <w:p w14:paraId="68CB46AE" w14:textId="2981585C" w:rsidR="00462D2D" w:rsidRPr="00EB1528" w:rsidRDefault="00462D2D" w:rsidP="00825C25">
      <w:pPr>
        <w:spacing w:line="360" w:lineRule="auto"/>
        <w:rPr>
          <w:sz w:val="24"/>
          <w:szCs w:val="24"/>
        </w:rPr>
      </w:pPr>
      <w:r w:rsidRPr="00EB1528">
        <w:rPr>
          <w:sz w:val="24"/>
          <w:szCs w:val="24"/>
          <w:lang w:val="en-US"/>
        </w:rPr>
        <w:t>Mackenzie</w:t>
      </w:r>
      <w:r w:rsidR="009B4F7E">
        <w:rPr>
          <w:sz w:val="24"/>
          <w:szCs w:val="24"/>
          <w:lang w:val="en-US"/>
        </w:rPr>
        <w:t>,</w:t>
      </w:r>
      <w:r w:rsidRPr="00EB1528">
        <w:rPr>
          <w:sz w:val="24"/>
          <w:szCs w:val="24"/>
          <w:lang w:val="en-US"/>
        </w:rPr>
        <w:t xml:space="preserve"> C. and Stoljar, N.</w:t>
      </w:r>
      <w:r w:rsidR="0001366A" w:rsidRPr="00EB1528">
        <w:rPr>
          <w:sz w:val="24"/>
          <w:szCs w:val="24"/>
          <w:lang w:val="en-US"/>
        </w:rPr>
        <w:t xml:space="preserve"> </w:t>
      </w:r>
      <w:r w:rsidR="009B4F7E">
        <w:rPr>
          <w:sz w:val="24"/>
          <w:szCs w:val="24"/>
          <w:lang w:val="en-US"/>
        </w:rPr>
        <w:t>(E</w:t>
      </w:r>
      <w:r w:rsidR="00373167" w:rsidRPr="00EB1528">
        <w:rPr>
          <w:sz w:val="24"/>
          <w:szCs w:val="24"/>
          <w:lang w:val="en-US"/>
        </w:rPr>
        <w:t>ds</w:t>
      </w:r>
      <w:r w:rsidR="009B4F7E">
        <w:rPr>
          <w:sz w:val="24"/>
          <w:szCs w:val="24"/>
          <w:lang w:val="en-US"/>
        </w:rPr>
        <w:t>.)</w:t>
      </w:r>
      <w:r w:rsidR="00373167" w:rsidRPr="00EB1528">
        <w:rPr>
          <w:sz w:val="24"/>
          <w:szCs w:val="24"/>
          <w:lang w:val="en-US"/>
        </w:rPr>
        <w:t xml:space="preserve"> (2000) </w:t>
      </w:r>
      <w:r w:rsidR="00373167" w:rsidRPr="00EB1528">
        <w:rPr>
          <w:i/>
          <w:sz w:val="24"/>
          <w:szCs w:val="24"/>
          <w:lang w:val="en-US"/>
        </w:rPr>
        <w:t xml:space="preserve">Relational </w:t>
      </w:r>
      <w:r w:rsidR="00D14F84">
        <w:rPr>
          <w:i/>
          <w:sz w:val="24"/>
          <w:szCs w:val="24"/>
          <w:lang w:val="en-US"/>
        </w:rPr>
        <w:t>a</w:t>
      </w:r>
      <w:r w:rsidR="00373167" w:rsidRPr="00EB1528">
        <w:rPr>
          <w:i/>
          <w:sz w:val="24"/>
          <w:szCs w:val="24"/>
          <w:lang w:val="en-US"/>
        </w:rPr>
        <w:t xml:space="preserve">utonomy: Feminist </w:t>
      </w:r>
      <w:r w:rsidR="00D14F84">
        <w:rPr>
          <w:i/>
          <w:sz w:val="24"/>
          <w:szCs w:val="24"/>
          <w:lang w:val="en-US"/>
        </w:rPr>
        <w:t>p</w:t>
      </w:r>
      <w:r w:rsidR="00373167" w:rsidRPr="00EB1528">
        <w:rPr>
          <w:i/>
          <w:sz w:val="24"/>
          <w:szCs w:val="24"/>
          <w:lang w:val="en-US"/>
        </w:rPr>
        <w:t xml:space="preserve">erspectives on </w:t>
      </w:r>
      <w:r w:rsidR="00D14F84">
        <w:rPr>
          <w:i/>
          <w:sz w:val="24"/>
          <w:szCs w:val="24"/>
          <w:lang w:val="en-US"/>
        </w:rPr>
        <w:t>a</w:t>
      </w:r>
      <w:r w:rsidR="00373167" w:rsidRPr="00EB1528">
        <w:rPr>
          <w:i/>
          <w:sz w:val="24"/>
          <w:szCs w:val="24"/>
          <w:lang w:val="en-US"/>
        </w:rPr>
        <w:t xml:space="preserve">utonomy, </w:t>
      </w:r>
      <w:r w:rsidR="00D14F84">
        <w:rPr>
          <w:i/>
          <w:sz w:val="24"/>
          <w:szCs w:val="24"/>
          <w:lang w:val="en-US"/>
        </w:rPr>
        <w:t>a</w:t>
      </w:r>
      <w:r w:rsidR="00373167" w:rsidRPr="00EB1528">
        <w:rPr>
          <w:i/>
          <w:sz w:val="24"/>
          <w:szCs w:val="24"/>
          <w:lang w:val="en-US"/>
        </w:rPr>
        <w:t xml:space="preserve">gency, and the </w:t>
      </w:r>
      <w:r w:rsidR="00D14F84">
        <w:rPr>
          <w:i/>
          <w:sz w:val="24"/>
          <w:szCs w:val="24"/>
          <w:lang w:val="en-US"/>
        </w:rPr>
        <w:t>s</w:t>
      </w:r>
      <w:r w:rsidR="00373167" w:rsidRPr="00EB1528">
        <w:rPr>
          <w:i/>
          <w:sz w:val="24"/>
          <w:szCs w:val="24"/>
          <w:lang w:val="en-US"/>
        </w:rPr>
        <w:t xml:space="preserve">ocial </w:t>
      </w:r>
      <w:r w:rsidR="00D14F84">
        <w:rPr>
          <w:i/>
          <w:sz w:val="24"/>
          <w:szCs w:val="24"/>
          <w:lang w:val="en-US"/>
        </w:rPr>
        <w:t>s</w:t>
      </w:r>
      <w:r w:rsidR="00373167" w:rsidRPr="00EB1528">
        <w:rPr>
          <w:i/>
          <w:sz w:val="24"/>
          <w:szCs w:val="24"/>
          <w:lang w:val="en-US"/>
        </w:rPr>
        <w:t>elf</w:t>
      </w:r>
      <w:r w:rsidR="00373167" w:rsidRPr="00EB1528">
        <w:rPr>
          <w:sz w:val="24"/>
          <w:szCs w:val="24"/>
          <w:lang w:val="en-US"/>
        </w:rPr>
        <w:t xml:space="preserve">. </w:t>
      </w:r>
      <w:r w:rsidR="009B4F7E">
        <w:rPr>
          <w:sz w:val="24"/>
          <w:szCs w:val="24"/>
          <w:lang w:val="en-US"/>
        </w:rPr>
        <w:t xml:space="preserve">Oxford: </w:t>
      </w:r>
      <w:r w:rsidR="00373167" w:rsidRPr="00EB1528">
        <w:rPr>
          <w:sz w:val="24"/>
          <w:szCs w:val="24"/>
          <w:lang w:val="en-US"/>
        </w:rPr>
        <w:t>Oxford University Press.</w:t>
      </w:r>
    </w:p>
    <w:p w14:paraId="59636610" w14:textId="19DFF0AD" w:rsidR="00F66126" w:rsidRPr="00EB1528" w:rsidRDefault="00F66126" w:rsidP="00825C25">
      <w:pPr>
        <w:spacing w:line="360" w:lineRule="auto"/>
        <w:rPr>
          <w:sz w:val="24"/>
          <w:szCs w:val="24"/>
        </w:rPr>
      </w:pPr>
      <w:r w:rsidRPr="00EB1528">
        <w:rPr>
          <w:sz w:val="24"/>
          <w:szCs w:val="24"/>
        </w:rPr>
        <w:t xml:space="preserve">Maruna, S. (2001). </w:t>
      </w:r>
      <w:r w:rsidRPr="00EB1528">
        <w:rPr>
          <w:i/>
          <w:sz w:val="24"/>
          <w:szCs w:val="24"/>
        </w:rPr>
        <w:t xml:space="preserve">Making </w:t>
      </w:r>
      <w:r w:rsidR="00D14F84">
        <w:rPr>
          <w:i/>
          <w:sz w:val="24"/>
          <w:szCs w:val="24"/>
        </w:rPr>
        <w:t>g</w:t>
      </w:r>
      <w:r w:rsidRPr="00EB1528">
        <w:rPr>
          <w:i/>
          <w:sz w:val="24"/>
          <w:szCs w:val="24"/>
        </w:rPr>
        <w:t xml:space="preserve">ood: How </w:t>
      </w:r>
      <w:r w:rsidR="00D14F84">
        <w:rPr>
          <w:i/>
          <w:sz w:val="24"/>
          <w:szCs w:val="24"/>
        </w:rPr>
        <w:t>e</w:t>
      </w:r>
      <w:r w:rsidRPr="00EB1528">
        <w:rPr>
          <w:i/>
          <w:sz w:val="24"/>
          <w:szCs w:val="24"/>
        </w:rPr>
        <w:t>x-</w:t>
      </w:r>
      <w:r w:rsidR="00D14F84">
        <w:rPr>
          <w:i/>
          <w:sz w:val="24"/>
          <w:szCs w:val="24"/>
        </w:rPr>
        <w:t>c</w:t>
      </w:r>
      <w:r w:rsidRPr="00EB1528">
        <w:rPr>
          <w:i/>
          <w:sz w:val="24"/>
          <w:szCs w:val="24"/>
        </w:rPr>
        <w:t xml:space="preserve">onvicts </w:t>
      </w:r>
      <w:r w:rsidR="00D14F84">
        <w:rPr>
          <w:i/>
          <w:sz w:val="24"/>
          <w:szCs w:val="24"/>
        </w:rPr>
        <w:t>r</w:t>
      </w:r>
      <w:r w:rsidRPr="00EB1528">
        <w:rPr>
          <w:i/>
          <w:sz w:val="24"/>
          <w:szCs w:val="24"/>
        </w:rPr>
        <w:t xml:space="preserve">eform and </w:t>
      </w:r>
      <w:r w:rsidR="00D14F84">
        <w:rPr>
          <w:i/>
          <w:sz w:val="24"/>
          <w:szCs w:val="24"/>
        </w:rPr>
        <w:t>r</w:t>
      </w:r>
      <w:r w:rsidRPr="00EB1528">
        <w:rPr>
          <w:i/>
          <w:sz w:val="24"/>
          <w:szCs w:val="24"/>
        </w:rPr>
        <w:t xml:space="preserve">ebuild </w:t>
      </w:r>
      <w:r w:rsidR="00D14F84">
        <w:rPr>
          <w:i/>
          <w:sz w:val="24"/>
          <w:szCs w:val="24"/>
        </w:rPr>
        <w:t>t</w:t>
      </w:r>
      <w:r w:rsidRPr="00EB1528">
        <w:rPr>
          <w:i/>
          <w:sz w:val="24"/>
          <w:szCs w:val="24"/>
        </w:rPr>
        <w:t xml:space="preserve">heir </w:t>
      </w:r>
      <w:r w:rsidR="00D14F84">
        <w:rPr>
          <w:i/>
          <w:sz w:val="24"/>
          <w:szCs w:val="24"/>
        </w:rPr>
        <w:t>l</w:t>
      </w:r>
      <w:r w:rsidRPr="00EB1528">
        <w:rPr>
          <w:i/>
          <w:sz w:val="24"/>
          <w:szCs w:val="24"/>
        </w:rPr>
        <w:t>ives</w:t>
      </w:r>
      <w:r w:rsidRPr="00EB1528">
        <w:rPr>
          <w:sz w:val="24"/>
          <w:szCs w:val="24"/>
        </w:rPr>
        <w:t xml:space="preserve">. Washington, DC: American Psychological Association Books. </w:t>
      </w:r>
    </w:p>
    <w:p w14:paraId="554F6062" w14:textId="22F4C24B" w:rsidR="00E12AAD" w:rsidRPr="00EB1528" w:rsidRDefault="00E12AAD" w:rsidP="00825C25">
      <w:pPr>
        <w:spacing w:line="360" w:lineRule="auto"/>
        <w:rPr>
          <w:sz w:val="24"/>
          <w:szCs w:val="24"/>
        </w:rPr>
      </w:pPr>
      <w:r w:rsidRPr="00EB1528">
        <w:rPr>
          <w:sz w:val="24"/>
          <w:szCs w:val="24"/>
        </w:rPr>
        <w:t>Murdoch, L. (2006)</w:t>
      </w:r>
      <w:r w:rsidR="00B04366">
        <w:rPr>
          <w:sz w:val="24"/>
          <w:szCs w:val="24"/>
        </w:rPr>
        <w:t>.</w:t>
      </w:r>
      <w:r w:rsidRPr="00EB1528">
        <w:rPr>
          <w:sz w:val="24"/>
          <w:szCs w:val="24"/>
        </w:rPr>
        <w:t xml:space="preserve"> </w:t>
      </w:r>
      <w:r w:rsidRPr="00EB1528">
        <w:rPr>
          <w:i/>
          <w:sz w:val="24"/>
          <w:szCs w:val="24"/>
        </w:rPr>
        <w:t xml:space="preserve">Imagined </w:t>
      </w:r>
      <w:r w:rsidR="00D14F84">
        <w:rPr>
          <w:i/>
          <w:sz w:val="24"/>
          <w:szCs w:val="24"/>
        </w:rPr>
        <w:t>o</w:t>
      </w:r>
      <w:r w:rsidRPr="00EB1528">
        <w:rPr>
          <w:i/>
          <w:sz w:val="24"/>
          <w:szCs w:val="24"/>
        </w:rPr>
        <w:t xml:space="preserve">rphans: Poor </w:t>
      </w:r>
      <w:r w:rsidR="00D14F84">
        <w:rPr>
          <w:i/>
          <w:sz w:val="24"/>
          <w:szCs w:val="24"/>
        </w:rPr>
        <w:t>f</w:t>
      </w:r>
      <w:r w:rsidRPr="00EB1528">
        <w:rPr>
          <w:i/>
          <w:sz w:val="24"/>
          <w:szCs w:val="24"/>
        </w:rPr>
        <w:t xml:space="preserve">amilies, </w:t>
      </w:r>
      <w:r w:rsidR="00D14F84">
        <w:rPr>
          <w:i/>
          <w:sz w:val="24"/>
          <w:szCs w:val="24"/>
        </w:rPr>
        <w:t>c</w:t>
      </w:r>
      <w:r w:rsidRPr="00EB1528">
        <w:rPr>
          <w:i/>
          <w:sz w:val="24"/>
          <w:szCs w:val="24"/>
        </w:rPr>
        <w:t xml:space="preserve">hild </w:t>
      </w:r>
      <w:r w:rsidR="00D14F84">
        <w:rPr>
          <w:i/>
          <w:sz w:val="24"/>
          <w:szCs w:val="24"/>
        </w:rPr>
        <w:t>w</w:t>
      </w:r>
      <w:r w:rsidRPr="00EB1528">
        <w:rPr>
          <w:i/>
          <w:sz w:val="24"/>
          <w:szCs w:val="24"/>
        </w:rPr>
        <w:t xml:space="preserve">elfare and </w:t>
      </w:r>
      <w:r w:rsidR="00D14F84">
        <w:rPr>
          <w:i/>
          <w:sz w:val="24"/>
          <w:szCs w:val="24"/>
        </w:rPr>
        <w:t>c</w:t>
      </w:r>
      <w:r w:rsidRPr="00EB1528">
        <w:rPr>
          <w:i/>
          <w:sz w:val="24"/>
          <w:szCs w:val="24"/>
        </w:rPr>
        <w:t xml:space="preserve">ontested </w:t>
      </w:r>
      <w:r w:rsidR="00D14F84">
        <w:rPr>
          <w:i/>
          <w:sz w:val="24"/>
          <w:szCs w:val="24"/>
        </w:rPr>
        <w:t>c</w:t>
      </w:r>
      <w:r w:rsidRPr="00EB1528">
        <w:rPr>
          <w:i/>
          <w:sz w:val="24"/>
          <w:szCs w:val="24"/>
        </w:rPr>
        <w:t>itizenship in London</w:t>
      </w:r>
      <w:r w:rsidRPr="00EB1528">
        <w:rPr>
          <w:sz w:val="24"/>
          <w:szCs w:val="24"/>
        </w:rPr>
        <w:t xml:space="preserve">. New Brunswick (NJ): Rutgers University Press. </w:t>
      </w:r>
    </w:p>
    <w:p w14:paraId="40C938A9" w14:textId="5FC58F73" w:rsidR="008F5D6F" w:rsidRDefault="008F5D6F" w:rsidP="00825C25">
      <w:pPr>
        <w:spacing w:line="360" w:lineRule="auto"/>
        <w:rPr>
          <w:sz w:val="24"/>
          <w:szCs w:val="24"/>
        </w:rPr>
      </w:pPr>
      <w:r w:rsidRPr="00EB1528">
        <w:rPr>
          <w:sz w:val="24"/>
          <w:szCs w:val="24"/>
        </w:rPr>
        <w:t>Pawson, R. and Tilley, N. (1994)</w:t>
      </w:r>
      <w:r w:rsidR="00B04366">
        <w:rPr>
          <w:sz w:val="24"/>
          <w:szCs w:val="24"/>
        </w:rPr>
        <w:t>.</w:t>
      </w:r>
      <w:r w:rsidRPr="00EB1528">
        <w:rPr>
          <w:sz w:val="24"/>
          <w:szCs w:val="24"/>
        </w:rPr>
        <w:t xml:space="preserve"> What </w:t>
      </w:r>
      <w:r w:rsidR="00D14F84">
        <w:rPr>
          <w:sz w:val="24"/>
          <w:szCs w:val="24"/>
        </w:rPr>
        <w:t>w</w:t>
      </w:r>
      <w:r w:rsidR="00845A61">
        <w:rPr>
          <w:sz w:val="24"/>
          <w:szCs w:val="24"/>
        </w:rPr>
        <w:t xml:space="preserve">orks in </w:t>
      </w:r>
      <w:r w:rsidR="00D14F84">
        <w:rPr>
          <w:sz w:val="24"/>
          <w:szCs w:val="24"/>
        </w:rPr>
        <w:t>e</w:t>
      </w:r>
      <w:r w:rsidR="00845A61">
        <w:rPr>
          <w:sz w:val="24"/>
          <w:szCs w:val="24"/>
        </w:rPr>
        <w:t xml:space="preserve">valuation </w:t>
      </w:r>
      <w:r w:rsidR="00D14F84">
        <w:rPr>
          <w:sz w:val="24"/>
          <w:szCs w:val="24"/>
        </w:rPr>
        <w:t>r</w:t>
      </w:r>
      <w:r w:rsidR="00845A61">
        <w:rPr>
          <w:sz w:val="24"/>
          <w:szCs w:val="24"/>
        </w:rPr>
        <w:t>esearch?</w:t>
      </w:r>
      <w:r w:rsidRPr="00EB1528">
        <w:rPr>
          <w:sz w:val="24"/>
          <w:szCs w:val="24"/>
        </w:rPr>
        <w:t xml:space="preserve"> </w:t>
      </w:r>
      <w:r w:rsidRPr="00EB1528">
        <w:rPr>
          <w:i/>
          <w:iCs/>
          <w:sz w:val="24"/>
          <w:szCs w:val="24"/>
        </w:rPr>
        <w:t>British Journal of Criminology</w:t>
      </w:r>
      <w:r w:rsidRPr="00EB1528">
        <w:rPr>
          <w:sz w:val="24"/>
          <w:szCs w:val="24"/>
        </w:rPr>
        <w:t xml:space="preserve">, </w:t>
      </w:r>
      <w:r w:rsidRPr="00C16F41">
        <w:rPr>
          <w:i/>
          <w:sz w:val="24"/>
          <w:szCs w:val="24"/>
        </w:rPr>
        <w:t>34</w:t>
      </w:r>
      <w:r w:rsidRPr="00EB1528">
        <w:rPr>
          <w:sz w:val="24"/>
          <w:szCs w:val="24"/>
        </w:rPr>
        <w:t>(3), 291</w:t>
      </w:r>
      <w:r w:rsidR="00B04366">
        <w:rPr>
          <w:sz w:val="24"/>
          <w:szCs w:val="24"/>
        </w:rPr>
        <w:t>–</w:t>
      </w:r>
      <w:r w:rsidRPr="00EB1528">
        <w:rPr>
          <w:sz w:val="24"/>
          <w:szCs w:val="24"/>
        </w:rPr>
        <w:t>306.</w:t>
      </w:r>
    </w:p>
    <w:p w14:paraId="72B48E73" w14:textId="476467C6" w:rsidR="00B04366" w:rsidRPr="00EB1528" w:rsidRDefault="00B04366" w:rsidP="00825C25">
      <w:pPr>
        <w:spacing w:line="360" w:lineRule="auto"/>
        <w:rPr>
          <w:sz w:val="24"/>
          <w:szCs w:val="24"/>
        </w:rPr>
      </w:pPr>
      <w:r w:rsidRPr="00EB1528">
        <w:rPr>
          <w:sz w:val="24"/>
          <w:szCs w:val="24"/>
          <w:lang w:val="en-US"/>
        </w:rPr>
        <w:t>Pawson, R. and Tilley, N. (1997)</w:t>
      </w:r>
      <w:r>
        <w:rPr>
          <w:sz w:val="24"/>
          <w:szCs w:val="24"/>
          <w:lang w:val="en-US"/>
        </w:rPr>
        <w:t>.</w:t>
      </w:r>
      <w:r w:rsidRPr="00EB1528">
        <w:rPr>
          <w:sz w:val="24"/>
          <w:szCs w:val="24"/>
          <w:lang w:val="en-US"/>
        </w:rPr>
        <w:t xml:space="preserve"> </w:t>
      </w:r>
      <w:r w:rsidRPr="00EB1528">
        <w:rPr>
          <w:i/>
          <w:iCs/>
          <w:sz w:val="24"/>
          <w:szCs w:val="24"/>
          <w:lang w:val="en-US"/>
        </w:rPr>
        <w:t xml:space="preserve">Realistic </w:t>
      </w:r>
      <w:r w:rsidR="00D14F84">
        <w:rPr>
          <w:i/>
          <w:iCs/>
          <w:sz w:val="24"/>
          <w:szCs w:val="24"/>
          <w:lang w:val="en-US"/>
        </w:rPr>
        <w:t>e</w:t>
      </w:r>
      <w:r w:rsidRPr="00EB1528">
        <w:rPr>
          <w:i/>
          <w:iCs/>
          <w:sz w:val="24"/>
          <w:szCs w:val="24"/>
          <w:lang w:val="en-US"/>
        </w:rPr>
        <w:t>valuation</w:t>
      </w:r>
      <w:r>
        <w:rPr>
          <w:i/>
          <w:iCs/>
          <w:sz w:val="24"/>
          <w:szCs w:val="24"/>
          <w:lang w:val="en-US"/>
        </w:rPr>
        <w:t>.</w:t>
      </w:r>
      <w:r w:rsidRPr="00EB1528">
        <w:rPr>
          <w:sz w:val="24"/>
          <w:szCs w:val="24"/>
          <w:lang w:val="en-US"/>
        </w:rPr>
        <w:t xml:space="preserve"> London</w:t>
      </w:r>
      <w:r>
        <w:rPr>
          <w:sz w:val="24"/>
          <w:szCs w:val="24"/>
          <w:lang w:val="en-US"/>
        </w:rPr>
        <w:t>:</w:t>
      </w:r>
      <w:r w:rsidRPr="00EB1528">
        <w:rPr>
          <w:sz w:val="24"/>
          <w:szCs w:val="24"/>
          <w:lang w:val="en-US"/>
        </w:rPr>
        <w:t xml:space="preserve"> Sage. </w:t>
      </w:r>
    </w:p>
    <w:p w14:paraId="7EF4D567" w14:textId="21A52D97" w:rsidR="00777884" w:rsidRPr="00EB1528" w:rsidRDefault="00777884" w:rsidP="00777884">
      <w:pPr>
        <w:spacing w:line="360" w:lineRule="auto"/>
        <w:rPr>
          <w:sz w:val="24"/>
          <w:szCs w:val="24"/>
        </w:rPr>
      </w:pPr>
      <w:r w:rsidRPr="00EB1528">
        <w:rPr>
          <w:sz w:val="24"/>
          <w:szCs w:val="24"/>
          <w:lang w:val="en-US"/>
        </w:rPr>
        <w:t>Sampson, R.</w:t>
      </w:r>
      <w:r>
        <w:rPr>
          <w:sz w:val="24"/>
          <w:szCs w:val="24"/>
          <w:lang w:val="en-US"/>
        </w:rPr>
        <w:t xml:space="preserve"> </w:t>
      </w:r>
      <w:r w:rsidRPr="00EB1528">
        <w:rPr>
          <w:sz w:val="24"/>
          <w:szCs w:val="24"/>
          <w:lang w:val="en-US"/>
        </w:rPr>
        <w:t>J. and Laub, J.</w:t>
      </w:r>
      <w:r>
        <w:rPr>
          <w:sz w:val="24"/>
          <w:szCs w:val="24"/>
          <w:lang w:val="en-US"/>
        </w:rPr>
        <w:t xml:space="preserve"> </w:t>
      </w:r>
      <w:r w:rsidRPr="00EB1528">
        <w:rPr>
          <w:sz w:val="24"/>
          <w:szCs w:val="24"/>
          <w:lang w:val="en-US"/>
        </w:rPr>
        <w:t>H. (1993)</w:t>
      </w:r>
      <w:r>
        <w:rPr>
          <w:sz w:val="24"/>
          <w:szCs w:val="24"/>
          <w:lang w:val="en-US"/>
        </w:rPr>
        <w:t>.</w:t>
      </w:r>
      <w:r w:rsidRPr="00EB1528">
        <w:rPr>
          <w:sz w:val="24"/>
          <w:szCs w:val="24"/>
          <w:lang w:val="en-US"/>
        </w:rPr>
        <w:t xml:space="preserve"> </w:t>
      </w:r>
      <w:r w:rsidR="00D14F84">
        <w:rPr>
          <w:i/>
          <w:iCs/>
          <w:sz w:val="24"/>
          <w:szCs w:val="24"/>
          <w:lang w:val="en-US"/>
        </w:rPr>
        <w:t>Crime in the making: Pathways and turning points through l</w:t>
      </w:r>
      <w:r w:rsidRPr="00EB1528">
        <w:rPr>
          <w:i/>
          <w:iCs/>
          <w:sz w:val="24"/>
          <w:szCs w:val="24"/>
          <w:lang w:val="en-US"/>
        </w:rPr>
        <w:t>ife</w:t>
      </w:r>
      <w:r>
        <w:rPr>
          <w:sz w:val="24"/>
          <w:szCs w:val="24"/>
          <w:lang w:val="en-US"/>
        </w:rPr>
        <w:t>.</w:t>
      </w:r>
      <w:r w:rsidRPr="00EB1528">
        <w:rPr>
          <w:sz w:val="24"/>
          <w:szCs w:val="24"/>
          <w:lang w:val="en-US"/>
        </w:rPr>
        <w:t xml:space="preserve"> Boston</w:t>
      </w:r>
      <w:r>
        <w:rPr>
          <w:sz w:val="24"/>
          <w:szCs w:val="24"/>
          <w:lang w:val="en-US"/>
        </w:rPr>
        <w:t>:</w:t>
      </w:r>
      <w:r w:rsidRPr="00EB1528">
        <w:rPr>
          <w:sz w:val="24"/>
          <w:szCs w:val="24"/>
          <w:lang w:val="en-US"/>
        </w:rPr>
        <w:t xml:space="preserve"> Harvard University Press.</w:t>
      </w:r>
    </w:p>
    <w:p w14:paraId="31A8138D" w14:textId="34F39116" w:rsidR="00777884" w:rsidRPr="00EB1528" w:rsidRDefault="00777884" w:rsidP="00777884">
      <w:pPr>
        <w:spacing w:line="360" w:lineRule="auto"/>
        <w:rPr>
          <w:sz w:val="24"/>
          <w:szCs w:val="24"/>
          <w:lang w:val="en-US"/>
        </w:rPr>
      </w:pPr>
      <w:r w:rsidRPr="00EB1528">
        <w:rPr>
          <w:sz w:val="24"/>
          <w:szCs w:val="24"/>
          <w:lang w:val="en-US"/>
        </w:rPr>
        <w:t>Sampson, R.</w:t>
      </w:r>
      <w:r>
        <w:rPr>
          <w:sz w:val="24"/>
          <w:szCs w:val="24"/>
          <w:lang w:val="en-US"/>
        </w:rPr>
        <w:t xml:space="preserve"> </w:t>
      </w:r>
      <w:r w:rsidRPr="00EB1528">
        <w:rPr>
          <w:sz w:val="24"/>
          <w:szCs w:val="24"/>
          <w:lang w:val="en-US"/>
        </w:rPr>
        <w:t>J. and Laub, J.</w:t>
      </w:r>
      <w:r>
        <w:rPr>
          <w:sz w:val="24"/>
          <w:szCs w:val="24"/>
          <w:lang w:val="en-US"/>
        </w:rPr>
        <w:t xml:space="preserve"> </w:t>
      </w:r>
      <w:r w:rsidRPr="00EB1528">
        <w:rPr>
          <w:sz w:val="24"/>
          <w:szCs w:val="24"/>
          <w:lang w:val="en-US"/>
        </w:rPr>
        <w:t>H. (1997)</w:t>
      </w:r>
      <w:r>
        <w:rPr>
          <w:sz w:val="24"/>
          <w:szCs w:val="24"/>
          <w:lang w:val="en-US"/>
        </w:rPr>
        <w:t>.</w:t>
      </w:r>
      <w:r w:rsidR="00D14F84">
        <w:rPr>
          <w:sz w:val="24"/>
          <w:szCs w:val="24"/>
          <w:lang w:val="en-US"/>
        </w:rPr>
        <w:t xml:space="preserve"> A life-course theory of cumulative d</w:t>
      </w:r>
      <w:r w:rsidRPr="00EB1528">
        <w:rPr>
          <w:sz w:val="24"/>
          <w:szCs w:val="24"/>
          <w:lang w:val="en-US"/>
        </w:rPr>
        <w:t>isadvantage a</w:t>
      </w:r>
      <w:r w:rsidR="00D14F84">
        <w:rPr>
          <w:sz w:val="24"/>
          <w:szCs w:val="24"/>
          <w:lang w:val="en-US"/>
        </w:rPr>
        <w:t>nd the stability of d</w:t>
      </w:r>
      <w:r>
        <w:rPr>
          <w:sz w:val="24"/>
          <w:szCs w:val="24"/>
          <w:lang w:val="en-US"/>
        </w:rPr>
        <w:t>elinquency. I</w:t>
      </w:r>
      <w:r w:rsidRPr="00EB1528">
        <w:rPr>
          <w:sz w:val="24"/>
          <w:szCs w:val="24"/>
          <w:lang w:val="en-US"/>
        </w:rPr>
        <w:t xml:space="preserve">n </w:t>
      </w:r>
      <w:r>
        <w:rPr>
          <w:sz w:val="24"/>
          <w:szCs w:val="24"/>
          <w:lang w:val="en-US"/>
        </w:rPr>
        <w:t xml:space="preserve">T. </w:t>
      </w:r>
      <w:r w:rsidRPr="00EB1528">
        <w:rPr>
          <w:sz w:val="24"/>
          <w:szCs w:val="24"/>
          <w:lang w:val="en-US"/>
        </w:rPr>
        <w:t>Thornberry,</w:t>
      </w:r>
      <w:r>
        <w:rPr>
          <w:sz w:val="24"/>
          <w:szCs w:val="24"/>
          <w:lang w:val="en-US"/>
        </w:rPr>
        <w:t xml:space="preserve"> </w:t>
      </w:r>
      <w:r w:rsidRPr="00EB1528">
        <w:rPr>
          <w:sz w:val="24"/>
          <w:szCs w:val="24"/>
          <w:lang w:val="en-US"/>
        </w:rPr>
        <w:t>(</w:t>
      </w:r>
      <w:r>
        <w:rPr>
          <w:sz w:val="24"/>
          <w:szCs w:val="24"/>
          <w:lang w:val="en-US"/>
        </w:rPr>
        <w:t>E</w:t>
      </w:r>
      <w:r w:rsidRPr="00EB1528">
        <w:rPr>
          <w:sz w:val="24"/>
          <w:szCs w:val="24"/>
          <w:lang w:val="en-US"/>
        </w:rPr>
        <w:t xml:space="preserve">d.) </w:t>
      </w:r>
      <w:r w:rsidRPr="00EB1528">
        <w:rPr>
          <w:i/>
          <w:iCs/>
          <w:sz w:val="24"/>
          <w:szCs w:val="24"/>
          <w:lang w:val="en-US"/>
        </w:rPr>
        <w:t>Devel</w:t>
      </w:r>
      <w:r w:rsidR="00D14F84">
        <w:rPr>
          <w:i/>
          <w:iCs/>
          <w:sz w:val="24"/>
          <w:szCs w:val="24"/>
          <w:lang w:val="en-US"/>
        </w:rPr>
        <w:t>opmental theories of crime and deviance. Advances in criminological t</w:t>
      </w:r>
      <w:r w:rsidRPr="00EB1528">
        <w:rPr>
          <w:i/>
          <w:iCs/>
          <w:sz w:val="24"/>
          <w:szCs w:val="24"/>
          <w:lang w:val="en-US"/>
        </w:rPr>
        <w:t>heory</w:t>
      </w:r>
      <w:r>
        <w:rPr>
          <w:i/>
          <w:iCs/>
          <w:sz w:val="24"/>
          <w:szCs w:val="24"/>
          <w:lang w:val="en-US"/>
        </w:rPr>
        <w:t xml:space="preserve"> (</w:t>
      </w:r>
      <w:r w:rsidRPr="00EB1528">
        <w:rPr>
          <w:sz w:val="24"/>
          <w:szCs w:val="24"/>
          <w:lang w:val="en-US"/>
        </w:rPr>
        <w:t>pp. 133</w:t>
      </w:r>
      <w:r>
        <w:rPr>
          <w:sz w:val="24"/>
          <w:szCs w:val="24"/>
          <w:lang w:val="en-US"/>
        </w:rPr>
        <w:t>–</w:t>
      </w:r>
      <w:r w:rsidRPr="00EB1528">
        <w:rPr>
          <w:sz w:val="24"/>
          <w:szCs w:val="24"/>
          <w:lang w:val="en-US"/>
        </w:rPr>
        <w:t>162</w:t>
      </w:r>
      <w:r>
        <w:rPr>
          <w:sz w:val="24"/>
          <w:szCs w:val="24"/>
          <w:lang w:val="en-US"/>
        </w:rPr>
        <w:t>).</w:t>
      </w:r>
      <w:r w:rsidRPr="00EB1528">
        <w:rPr>
          <w:sz w:val="24"/>
          <w:szCs w:val="24"/>
          <w:lang w:val="en-US"/>
        </w:rPr>
        <w:t xml:space="preserve"> </w:t>
      </w:r>
      <w:r>
        <w:rPr>
          <w:sz w:val="24"/>
          <w:szCs w:val="24"/>
          <w:lang w:val="en-US"/>
        </w:rPr>
        <w:t>V</w:t>
      </w:r>
      <w:r w:rsidRPr="00EB1528">
        <w:rPr>
          <w:sz w:val="24"/>
          <w:szCs w:val="24"/>
          <w:lang w:val="en-US"/>
        </w:rPr>
        <w:t>ol. 7</w:t>
      </w:r>
      <w:r>
        <w:rPr>
          <w:sz w:val="24"/>
          <w:szCs w:val="24"/>
          <w:lang w:val="en-US"/>
        </w:rPr>
        <w:t>.</w:t>
      </w:r>
      <w:r w:rsidRPr="00EB1528">
        <w:rPr>
          <w:sz w:val="24"/>
          <w:szCs w:val="24"/>
          <w:lang w:val="en-US"/>
        </w:rPr>
        <w:t xml:space="preserve"> New Brunswick</w:t>
      </w:r>
      <w:r>
        <w:rPr>
          <w:sz w:val="24"/>
          <w:szCs w:val="24"/>
          <w:lang w:val="en-US"/>
        </w:rPr>
        <w:t>:</w:t>
      </w:r>
      <w:r w:rsidRPr="00777884">
        <w:rPr>
          <w:sz w:val="24"/>
          <w:szCs w:val="24"/>
          <w:lang w:val="en-US"/>
        </w:rPr>
        <w:t xml:space="preserve"> </w:t>
      </w:r>
      <w:r w:rsidRPr="00EB1528">
        <w:rPr>
          <w:sz w:val="24"/>
          <w:szCs w:val="24"/>
          <w:lang w:val="en-US"/>
        </w:rPr>
        <w:t>Transaction Publishers</w:t>
      </w:r>
      <w:r>
        <w:rPr>
          <w:sz w:val="24"/>
          <w:szCs w:val="24"/>
          <w:lang w:val="en-US"/>
        </w:rPr>
        <w:t>.</w:t>
      </w:r>
    </w:p>
    <w:p w14:paraId="729AD5E8" w14:textId="4FCA5863" w:rsidR="00777884" w:rsidRPr="00EB1528" w:rsidRDefault="00777884" w:rsidP="00777884">
      <w:pPr>
        <w:spacing w:line="360" w:lineRule="auto"/>
        <w:rPr>
          <w:sz w:val="24"/>
          <w:szCs w:val="24"/>
        </w:rPr>
      </w:pPr>
      <w:r w:rsidRPr="00EB1528">
        <w:rPr>
          <w:sz w:val="24"/>
          <w:szCs w:val="24"/>
          <w:lang w:val="en-US"/>
        </w:rPr>
        <w:t>Sampson, R.</w:t>
      </w:r>
      <w:r>
        <w:rPr>
          <w:sz w:val="24"/>
          <w:szCs w:val="24"/>
          <w:lang w:val="en-US"/>
        </w:rPr>
        <w:t xml:space="preserve"> </w:t>
      </w:r>
      <w:r w:rsidRPr="00EB1528">
        <w:rPr>
          <w:sz w:val="24"/>
          <w:szCs w:val="24"/>
          <w:lang w:val="en-US"/>
        </w:rPr>
        <w:t>J. and Laub, J.</w:t>
      </w:r>
      <w:r>
        <w:rPr>
          <w:sz w:val="24"/>
          <w:szCs w:val="24"/>
          <w:lang w:val="en-US"/>
        </w:rPr>
        <w:t xml:space="preserve"> </w:t>
      </w:r>
      <w:r w:rsidRPr="00EB1528">
        <w:rPr>
          <w:sz w:val="24"/>
          <w:szCs w:val="24"/>
          <w:lang w:val="en-US"/>
        </w:rPr>
        <w:t>H. (2003)</w:t>
      </w:r>
      <w:r>
        <w:rPr>
          <w:sz w:val="24"/>
          <w:szCs w:val="24"/>
          <w:lang w:val="en-US"/>
        </w:rPr>
        <w:t>.</w:t>
      </w:r>
      <w:r w:rsidR="00D14F84">
        <w:rPr>
          <w:sz w:val="24"/>
          <w:szCs w:val="24"/>
          <w:lang w:val="en-US"/>
        </w:rPr>
        <w:t xml:space="preserve"> Life-course desisters? Trajectories of crime among delinquent boys followed to a</w:t>
      </w:r>
      <w:r w:rsidRPr="00EB1528">
        <w:rPr>
          <w:sz w:val="24"/>
          <w:szCs w:val="24"/>
          <w:lang w:val="en-US"/>
        </w:rPr>
        <w:t>ge 70</w:t>
      </w:r>
      <w:r>
        <w:rPr>
          <w:sz w:val="24"/>
          <w:szCs w:val="24"/>
          <w:lang w:val="en-US"/>
        </w:rPr>
        <w:t>.</w:t>
      </w:r>
      <w:r w:rsidRPr="00EB1528">
        <w:rPr>
          <w:sz w:val="24"/>
          <w:szCs w:val="24"/>
          <w:lang w:val="en-US"/>
        </w:rPr>
        <w:t xml:space="preserve"> </w:t>
      </w:r>
      <w:r w:rsidRPr="00EB1528">
        <w:rPr>
          <w:i/>
          <w:iCs/>
          <w:sz w:val="24"/>
          <w:szCs w:val="24"/>
          <w:lang w:val="en-US"/>
        </w:rPr>
        <w:t>Criminology</w:t>
      </w:r>
      <w:r w:rsidRPr="00EB1528">
        <w:rPr>
          <w:sz w:val="24"/>
          <w:szCs w:val="24"/>
          <w:lang w:val="en-US"/>
        </w:rPr>
        <w:t xml:space="preserve">, </w:t>
      </w:r>
      <w:r w:rsidRPr="00F25E89">
        <w:rPr>
          <w:i/>
          <w:sz w:val="24"/>
          <w:szCs w:val="24"/>
          <w:lang w:val="en-US"/>
        </w:rPr>
        <w:t>41</w:t>
      </w:r>
      <w:r w:rsidRPr="00EB1528">
        <w:rPr>
          <w:sz w:val="24"/>
          <w:szCs w:val="24"/>
          <w:lang w:val="en-US"/>
        </w:rPr>
        <w:t>(3), 555</w:t>
      </w:r>
      <w:r>
        <w:rPr>
          <w:sz w:val="24"/>
          <w:szCs w:val="24"/>
          <w:lang w:val="en-US"/>
        </w:rPr>
        <w:t>–</w:t>
      </w:r>
      <w:r w:rsidRPr="00EB1528">
        <w:rPr>
          <w:sz w:val="24"/>
          <w:szCs w:val="24"/>
          <w:lang w:val="en-US"/>
        </w:rPr>
        <w:t>592.</w:t>
      </w:r>
    </w:p>
    <w:p w14:paraId="57C33749" w14:textId="454E221E" w:rsidR="00F9197E" w:rsidRPr="00EB1528" w:rsidRDefault="00F9197E" w:rsidP="00825C25">
      <w:pPr>
        <w:spacing w:line="360" w:lineRule="auto"/>
        <w:rPr>
          <w:sz w:val="24"/>
          <w:szCs w:val="24"/>
        </w:rPr>
      </w:pPr>
      <w:r w:rsidRPr="00EB1528">
        <w:rPr>
          <w:sz w:val="24"/>
          <w:szCs w:val="24"/>
          <w:lang w:val="en-US"/>
        </w:rPr>
        <w:t>Sampson, R.</w:t>
      </w:r>
      <w:r w:rsidR="00285E65">
        <w:rPr>
          <w:sz w:val="24"/>
          <w:szCs w:val="24"/>
          <w:lang w:val="en-US"/>
        </w:rPr>
        <w:t xml:space="preserve"> </w:t>
      </w:r>
      <w:r w:rsidRPr="00EB1528">
        <w:rPr>
          <w:sz w:val="24"/>
          <w:szCs w:val="24"/>
          <w:lang w:val="en-US"/>
        </w:rPr>
        <w:t>J. and Laub, J.</w:t>
      </w:r>
      <w:r w:rsidR="00285E65">
        <w:rPr>
          <w:sz w:val="24"/>
          <w:szCs w:val="24"/>
          <w:lang w:val="en-US"/>
        </w:rPr>
        <w:t xml:space="preserve"> </w:t>
      </w:r>
      <w:r w:rsidRPr="00EB1528">
        <w:rPr>
          <w:sz w:val="24"/>
          <w:szCs w:val="24"/>
          <w:lang w:val="en-US"/>
        </w:rPr>
        <w:t>H. (2006)</w:t>
      </w:r>
      <w:r w:rsidR="00777884">
        <w:rPr>
          <w:sz w:val="24"/>
          <w:szCs w:val="24"/>
          <w:lang w:val="en-US"/>
        </w:rPr>
        <w:t>.</w:t>
      </w:r>
      <w:r w:rsidRPr="00EB1528">
        <w:rPr>
          <w:sz w:val="24"/>
          <w:szCs w:val="24"/>
          <w:lang w:val="en-US"/>
        </w:rPr>
        <w:t xml:space="preserve"> </w:t>
      </w:r>
      <w:r w:rsidRPr="00EB1528">
        <w:rPr>
          <w:i/>
          <w:iCs/>
          <w:sz w:val="24"/>
          <w:szCs w:val="24"/>
          <w:lang w:val="en-US"/>
        </w:rPr>
        <w:t xml:space="preserve">Shared </w:t>
      </w:r>
      <w:r w:rsidR="00D14F84">
        <w:rPr>
          <w:i/>
          <w:iCs/>
          <w:sz w:val="24"/>
          <w:szCs w:val="24"/>
          <w:lang w:val="en-US"/>
        </w:rPr>
        <w:t>b</w:t>
      </w:r>
      <w:r w:rsidRPr="00EB1528">
        <w:rPr>
          <w:i/>
          <w:iCs/>
          <w:sz w:val="24"/>
          <w:szCs w:val="24"/>
          <w:lang w:val="en-US"/>
        </w:rPr>
        <w:t xml:space="preserve">eginnings, </w:t>
      </w:r>
      <w:r w:rsidR="00D14F84">
        <w:rPr>
          <w:i/>
          <w:iCs/>
          <w:sz w:val="24"/>
          <w:szCs w:val="24"/>
          <w:lang w:val="en-US"/>
        </w:rPr>
        <w:t>d</w:t>
      </w:r>
      <w:r w:rsidRPr="00EB1528">
        <w:rPr>
          <w:i/>
          <w:iCs/>
          <w:sz w:val="24"/>
          <w:szCs w:val="24"/>
          <w:lang w:val="en-US"/>
        </w:rPr>
        <w:t xml:space="preserve">ivergent </w:t>
      </w:r>
      <w:r w:rsidR="00D14F84">
        <w:rPr>
          <w:i/>
          <w:iCs/>
          <w:sz w:val="24"/>
          <w:szCs w:val="24"/>
          <w:lang w:val="en-US"/>
        </w:rPr>
        <w:t>l</w:t>
      </w:r>
      <w:r w:rsidRPr="00EB1528">
        <w:rPr>
          <w:i/>
          <w:iCs/>
          <w:sz w:val="24"/>
          <w:szCs w:val="24"/>
          <w:lang w:val="en-US"/>
        </w:rPr>
        <w:t xml:space="preserve">ives: Delinquent </w:t>
      </w:r>
      <w:r w:rsidR="00D14F84">
        <w:rPr>
          <w:i/>
          <w:iCs/>
          <w:sz w:val="24"/>
          <w:szCs w:val="24"/>
          <w:lang w:val="en-US"/>
        </w:rPr>
        <w:t>b</w:t>
      </w:r>
      <w:r w:rsidRPr="00EB1528">
        <w:rPr>
          <w:i/>
          <w:iCs/>
          <w:sz w:val="24"/>
          <w:szCs w:val="24"/>
          <w:lang w:val="en-US"/>
        </w:rPr>
        <w:t xml:space="preserve">oys to </w:t>
      </w:r>
      <w:r w:rsidR="00D14F84">
        <w:rPr>
          <w:i/>
          <w:iCs/>
          <w:sz w:val="24"/>
          <w:szCs w:val="24"/>
          <w:lang w:val="en-US"/>
        </w:rPr>
        <w:t>a</w:t>
      </w:r>
      <w:r w:rsidRPr="00EB1528">
        <w:rPr>
          <w:i/>
          <w:iCs/>
          <w:sz w:val="24"/>
          <w:szCs w:val="24"/>
          <w:lang w:val="en-US"/>
        </w:rPr>
        <w:t>ge 70</w:t>
      </w:r>
      <w:r w:rsidR="00777884">
        <w:rPr>
          <w:sz w:val="24"/>
          <w:szCs w:val="24"/>
          <w:lang w:val="en-US"/>
        </w:rPr>
        <w:t>.</w:t>
      </w:r>
      <w:r w:rsidRPr="00EB1528">
        <w:rPr>
          <w:sz w:val="24"/>
          <w:szCs w:val="24"/>
          <w:lang w:val="en-US"/>
        </w:rPr>
        <w:t xml:space="preserve"> Boston</w:t>
      </w:r>
      <w:r w:rsidR="00777884">
        <w:rPr>
          <w:sz w:val="24"/>
          <w:szCs w:val="24"/>
          <w:lang w:val="en-US"/>
        </w:rPr>
        <w:t xml:space="preserve">: </w:t>
      </w:r>
      <w:r w:rsidRPr="00EB1528">
        <w:rPr>
          <w:sz w:val="24"/>
          <w:szCs w:val="24"/>
          <w:lang w:val="en-US"/>
        </w:rPr>
        <w:t xml:space="preserve">Harvard University Press. </w:t>
      </w:r>
    </w:p>
    <w:p w14:paraId="0416181B" w14:textId="4F2841B8" w:rsidR="00E12AAD" w:rsidRDefault="00E12AAD" w:rsidP="00825C25">
      <w:pPr>
        <w:spacing w:line="360" w:lineRule="auto"/>
        <w:rPr>
          <w:sz w:val="24"/>
          <w:szCs w:val="24"/>
        </w:rPr>
      </w:pPr>
      <w:r w:rsidRPr="00EB1528">
        <w:rPr>
          <w:sz w:val="24"/>
          <w:szCs w:val="24"/>
        </w:rPr>
        <w:lastRenderedPageBreak/>
        <w:t>Sheldon, N. (2013)</w:t>
      </w:r>
      <w:r w:rsidR="00123BCD">
        <w:rPr>
          <w:sz w:val="24"/>
          <w:szCs w:val="24"/>
        </w:rPr>
        <w:t>.</w:t>
      </w:r>
      <w:r w:rsidRPr="00EB1528">
        <w:rPr>
          <w:sz w:val="24"/>
          <w:szCs w:val="24"/>
        </w:rPr>
        <w:t xml:space="preserve"> Something in the </w:t>
      </w:r>
      <w:r w:rsidR="00D14F84">
        <w:rPr>
          <w:sz w:val="24"/>
          <w:szCs w:val="24"/>
        </w:rPr>
        <w:t>p</w:t>
      </w:r>
      <w:r w:rsidRPr="00EB1528">
        <w:rPr>
          <w:sz w:val="24"/>
          <w:szCs w:val="24"/>
        </w:rPr>
        <w:t xml:space="preserve">lace of </w:t>
      </w:r>
      <w:r w:rsidR="00D14F84">
        <w:rPr>
          <w:sz w:val="24"/>
          <w:szCs w:val="24"/>
        </w:rPr>
        <w:t>h</w:t>
      </w:r>
      <w:r w:rsidRPr="00EB1528">
        <w:rPr>
          <w:sz w:val="24"/>
          <w:szCs w:val="24"/>
        </w:rPr>
        <w:t xml:space="preserve">ome: Children in </w:t>
      </w:r>
      <w:r w:rsidR="00D14F84">
        <w:rPr>
          <w:sz w:val="24"/>
          <w:szCs w:val="24"/>
        </w:rPr>
        <w:t>i</w:t>
      </w:r>
      <w:r w:rsidRPr="00EB1528">
        <w:rPr>
          <w:sz w:val="24"/>
          <w:szCs w:val="24"/>
        </w:rPr>
        <w:t xml:space="preserve">nstitutional </w:t>
      </w:r>
      <w:r w:rsidR="00D14F84">
        <w:rPr>
          <w:sz w:val="24"/>
          <w:szCs w:val="24"/>
        </w:rPr>
        <w:t>c</w:t>
      </w:r>
      <w:r w:rsidRPr="00EB1528">
        <w:rPr>
          <w:sz w:val="24"/>
          <w:szCs w:val="24"/>
        </w:rPr>
        <w:t>are, 1850</w:t>
      </w:r>
      <w:r w:rsidR="00123BCD">
        <w:rPr>
          <w:sz w:val="24"/>
          <w:szCs w:val="24"/>
        </w:rPr>
        <w:t>–</w:t>
      </w:r>
      <w:r w:rsidRPr="00EB1528">
        <w:rPr>
          <w:sz w:val="24"/>
          <w:szCs w:val="24"/>
        </w:rPr>
        <w:t>1918</w:t>
      </w:r>
      <w:r w:rsidR="00123BCD">
        <w:rPr>
          <w:sz w:val="24"/>
          <w:szCs w:val="24"/>
        </w:rPr>
        <w:t>. I</w:t>
      </w:r>
      <w:r w:rsidRPr="00EB1528">
        <w:rPr>
          <w:sz w:val="24"/>
          <w:szCs w:val="24"/>
        </w:rPr>
        <w:t>n N. Goose and K. Honeyman (</w:t>
      </w:r>
      <w:r w:rsidR="00123BCD">
        <w:rPr>
          <w:sz w:val="24"/>
          <w:szCs w:val="24"/>
        </w:rPr>
        <w:t>E</w:t>
      </w:r>
      <w:r w:rsidRPr="00EB1528">
        <w:rPr>
          <w:sz w:val="24"/>
          <w:szCs w:val="24"/>
        </w:rPr>
        <w:t>d</w:t>
      </w:r>
      <w:r w:rsidR="00123BCD">
        <w:rPr>
          <w:sz w:val="24"/>
          <w:szCs w:val="24"/>
        </w:rPr>
        <w:t>s</w:t>
      </w:r>
      <w:r w:rsidRPr="00EB1528">
        <w:rPr>
          <w:sz w:val="24"/>
          <w:szCs w:val="24"/>
        </w:rPr>
        <w:t>.)</w:t>
      </w:r>
      <w:r w:rsidR="00123BCD">
        <w:rPr>
          <w:sz w:val="24"/>
          <w:szCs w:val="24"/>
        </w:rPr>
        <w:t xml:space="preserve">, </w:t>
      </w:r>
      <w:r w:rsidRPr="00EB1528">
        <w:rPr>
          <w:i/>
          <w:sz w:val="24"/>
          <w:szCs w:val="24"/>
        </w:rPr>
        <w:t xml:space="preserve">Childhood and </w:t>
      </w:r>
      <w:r w:rsidR="00D14F84">
        <w:rPr>
          <w:i/>
          <w:sz w:val="24"/>
          <w:szCs w:val="24"/>
        </w:rPr>
        <w:t>c</w:t>
      </w:r>
      <w:r w:rsidRPr="00EB1528">
        <w:rPr>
          <w:i/>
          <w:sz w:val="24"/>
          <w:szCs w:val="24"/>
        </w:rPr>
        <w:t xml:space="preserve">hild </w:t>
      </w:r>
      <w:r w:rsidR="00D14F84">
        <w:rPr>
          <w:i/>
          <w:sz w:val="24"/>
          <w:szCs w:val="24"/>
        </w:rPr>
        <w:t>l</w:t>
      </w:r>
      <w:r w:rsidRPr="00EB1528">
        <w:rPr>
          <w:i/>
          <w:sz w:val="24"/>
          <w:szCs w:val="24"/>
        </w:rPr>
        <w:t xml:space="preserve">abour in </w:t>
      </w:r>
      <w:r w:rsidR="00D14F84">
        <w:rPr>
          <w:i/>
          <w:sz w:val="24"/>
          <w:szCs w:val="24"/>
        </w:rPr>
        <w:t>i</w:t>
      </w:r>
      <w:r w:rsidRPr="00EB1528">
        <w:rPr>
          <w:i/>
          <w:sz w:val="24"/>
          <w:szCs w:val="24"/>
        </w:rPr>
        <w:t xml:space="preserve">ndustrial England: Diversity and </w:t>
      </w:r>
      <w:r w:rsidR="00D14F84">
        <w:rPr>
          <w:i/>
          <w:sz w:val="24"/>
          <w:szCs w:val="24"/>
        </w:rPr>
        <w:t>a</w:t>
      </w:r>
      <w:r w:rsidRPr="00EB1528">
        <w:rPr>
          <w:i/>
          <w:sz w:val="24"/>
          <w:szCs w:val="24"/>
        </w:rPr>
        <w:t>gency, 1750</w:t>
      </w:r>
      <w:r w:rsidR="00123BCD">
        <w:rPr>
          <w:i/>
          <w:sz w:val="24"/>
          <w:szCs w:val="24"/>
        </w:rPr>
        <w:t>–</w:t>
      </w:r>
      <w:r w:rsidRPr="00EB1528">
        <w:rPr>
          <w:i/>
          <w:sz w:val="24"/>
          <w:szCs w:val="24"/>
        </w:rPr>
        <w:t>1914</w:t>
      </w:r>
      <w:r w:rsidR="00123BCD">
        <w:rPr>
          <w:i/>
          <w:sz w:val="24"/>
          <w:szCs w:val="24"/>
        </w:rPr>
        <w:t xml:space="preserve"> (</w:t>
      </w:r>
      <w:r w:rsidR="00123BCD" w:rsidRPr="00EB1528">
        <w:rPr>
          <w:sz w:val="24"/>
          <w:szCs w:val="24"/>
        </w:rPr>
        <w:t>pp. 255</w:t>
      </w:r>
      <w:r w:rsidR="00123BCD">
        <w:rPr>
          <w:sz w:val="24"/>
          <w:szCs w:val="24"/>
        </w:rPr>
        <w:t>–</w:t>
      </w:r>
      <w:r w:rsidR="00123BCD" w:rsidRPr="00EB1528">
        <w:rPr>
          <w:sz w:val="24"/>
          <w:szCs w:val="24"/>
        </w:rPr>
        <w:t>276</w:t>
      </w:r>
      <w:r w:rsidR="00123BCD">
        <w:rPr>
          <w:sz w:val="24"/>
          <w:szCs w:val="24"/>
        </w:rPr>
        <w:t>)</w:t>
      </w:r>
      <w:r w:rsidRPr="00EB1528">
        <w:rPr>
          <w:sz w:val="24"/>
          <w:szCs w:val="24"/>
        </w:rPr>
        <w:t>. Farnham: Ashgate</w:t>
      </w:r>
      <w:r w:rsidR="00123BCD">
        <w:rPr>
          <w:sz w:val="24"/>
          <w:szCs w:val="24"/>
        </w:rPr>
        <w:t>.</w:t>
      </w:r>
    </w:p>
    <w:p w14:paraId="015D8ECD" w14:textId="7D3BFC66" w:rsidR="00B36084" w:rsidRPr="00EB1528" w:rsidRDefault="00B36084" w:rsidP="00825C25">
      <w:pPr>
        <w:spacing w:line="360" w:lineRule="auto"/>
        <w:rPr>
          <w:sz w:val="24"/>
          <w:szCs w:val="24"/>
          <w:lang w:val="en-US"/>
        </w:rPr>
      </w:pPr>
      <w:r>
        <w:rPr>
          <w:sz w:val="24"/>
          <w:szCs w:val="24"/>
        </w:rPr>
        <w:t>Shore, H. (1999) Artful dodgers: Youth and crime in early nineteenth century London. Woodbridge: Boydell Press</w:t>
      </w:r>
    </w:p>
    <w:p w14:paraId="5EA77B8E" w14:textId="7012F2BB" w:rsidR="00462D2D" w:rsidRPr="00EB1528" w:rsidRDefault="00E12AAD" w:rsidP="00825C25">
      <w:pPr>
        <w:spacing w:line="360" w:lineRule="auto"/>
        <w:rPr>
          <w:sz w:val="24"/>
          <w:szCs w:val="24"/>
        </w:rPr>
      </w:pPr>
      <w:r w:rsidRPr="00EB1528">
        <w:rPr>
          <w:sz w:val="24"/>
          <w:szCs w:val="24"/>
        </w:rPr>
        <w:t>Shore, H. (2008)</w:t>
      </w:r>
      <w:r w:rsidR="00123BCD">
        <w:rPr>
          <w:sz w:val="24"/>
          <w:szCs w:val="24"/>
        </w:rPr>
        <w:t>.</w:t>
      </w:r>
      <w:r w:rsidRPr="00EB1528">
        <w:rPr>
          <w:sz w:val="24"/>
          <w:szCs w:val="24"/>
        </w:rPr>
        <w:t xml:space="preserve"> Punishment, </w:t>
      </w:r>
      <w:r w:rsidR="0021027E">
        <w:rPr>
          <w:sz w:val="24"/>
          <w:szCs w:val="24"/>
        </w:rPr>
        <w:t>r</w:t>
      </w:r>
      <w:r w:rsidRPr="00EB1528">
        <w:rPr>
          <w:sz w:val="24"/>
          <w:szCs w:val="24"/>
        </w:rPr>
        <w:t xml:space="preserve">eformation, or </w:t>
      </w:r>
      <w:r w:rsidR="0021027E">
        <w:rPr>
          <w:sz w:val="24"/>
          <w:szCs w:val="24"/>
        </w:rPr>
        <w:t>w</w:t>
      </w:r>
      <w:r w:rsidRPr="00EB1528">
        <w:rPr>
          <w:sz w:val="24"/>
          <w:szCs w:val="24"/>
        </w:rPr>
        <w:t xml:space="preserve">elfare? Responses to ‘the </w:t>
      </w:r>
      <w:r w:rsidR="0021027E">
        <w:rPr>
          <w:sz w:val="24"/>
          <w:szCs w:val="24"/>
        </w:rPr>
        <w:t>p</w:t>
      </w:r>
      <w:r w:rsidRPr="00EB1528">
        <w:rPr>
          <w:sz w:val="24"/>
          <w:szCs w:val="24"/>
        </w:rPr>
        <w:t xml:space="preserve">roblem’ of </w:t>
      </w:r>
      <w:r w:rsidR="0021027E">
        <w:rPr>
          <w:sz w:val="24"/>
          <w:szCs w:val="24"/>
        </w:rPr>
        <w:t>j</w:t>
      </w:r>
      <w:r w:rsidRPr="00EB1528">
        <w:rPr>
          <w:sz w:val="24"/>
          <w:szCs w:val="24"/>
        </w:rPr>
        <w:t xml:space="preserve">uvenile </w:t>
      </w:r>
      <w:r w:rsidR="0021027E">
        <w:rPr>
          <w:sz w:val="24"/>
          <w:szCs w:val="24"/>
        </w:rPr>
        <w:t>c</w:t>
      </w:r>
      <w:r w:rsidRPr="00EB1528">
        <w:rPr>
          <w:sz w:val="24"/>
          <w:szCs w:val="24"/>
        </w:rPr>
        <w:t>rime in Victorian and Edwardian Britain</w:t>
      </w:r>
      <w:r w:rsidR="00123BCD">
        <w:rPr>
          <w:sz w:val="24"/>
          <w:szCs w:val="24"/>
        </w:rPr>
        <w:t>. I</w:t>
      </w:r>
      <w:r w:rsidRPr="00EB1528">
        <w:rPr>
          <w:sz w:val="24"/>
          <w:szCs w:val="24"/>
        </w:rPr>
        <w:t xml:space="preserve">n </w:t>
      </w:r>
      <w:r w:rsidR="00123BCD">
        <w:rPr>
          <w:sz w:val="24"/>
          <w:szCs w:val="24"/>
        </w:rPr>
        <w:t xml:space="preserve">H. </w:t>
      </w:r>
      <w:r w:rsidRPr="00EB1528">
        <w:rPr>
          <w:sz w:val="24"/>
          <w:szCs w:val="24"/>
        </w:rPr>
        <w:t xml:space="preserve">Johnston, </w:t>
      </w:r>
      <w:r w:rsidR="00123BCD">
        <w:rPr>
          <w:sz w:val="24"/>
          <w:szCs w:val="24"/>
        </w:rPr>
        <w:t>(Ed.)</w:t>
      </w:r>
      <w:r w:rsidRPr="00EB1528">
        <w:rPr>
          <w:sz w:val="24"/>
          <w:szCs w:val="24"/>
        </w:rPr>
        <w:t xml:space="preserve">, </w:t>
      </w:r>
      <w:r w:rsidRPr="00EB1528">
        <w:rPr>
          <w:i/>
          <w:sz w:val="24"/>
          <w:szCs w:val="24"/>
        </w:rPr>
        <w:t xml:space="preserve">Punishment and </w:t>
      </w:r>
      <w:r w:rsidR="0021027E">
        <w:rPr>
          <w:i/>
          <w:sz w:val="24"/>
          <w:szCs w:val="24"/>
        </w:rPr>
        <w:t>c</w:t>
      </w:r>
      <w:r w:rsidRPr="00EB1528">
        <w:rPr>
          <w:i/>
          <w:sz w:val="24"/>
          <w:szCs w:val="24"/>
        </w:rPr>
        <w:t xml:space="preserve">ontrol in </w:t>
      </w:r>
      <w:r w:rsidR="0021027E">
        <w:rPr>
          <w:i/>
          <w:sz w:val="24"/>
          <w:szCs w:val="24"/>
        </w:rPr>
        <w:t>h</w:t>
      </w:r>
      <w:r w:rsidRPr="00EB1528">
        <w:rPr>
          <w:i/>
          <w:sz w:val="24"/>
          <w:szCs w:val="24"/>
        </w:rPr>
        <w:t xml:space="preserve">istorical </w:t>
      </w:r>
      <w:r w:rsidR="0021027E">
        <w:rPr>
          <w:i/>
          <w:sz w:val="24"/>
          <w:szCs w:val="24"/>
        </w:rPr>
        <w:t>p</w:t>
      </w:r>
      <w:r w:rsidRPr="00EB1528">
        <w:rPr>
          <w:i/>
          <w:sz w:val="24"/>
          <w:szCs w:val="24"/>
        </w:rPr>
        <w:t>erspective</w:t>
      </w:r>
      <w:r w:rsidR="00123BCD">
        <w:rPr>
          <w:i/>
          <w:sz w:val="24"/>
          <w:szCs w:val="24"/>
        </w:rPr>
        <w:t xml:space="preserve"> </w:t>
      </w:r>
      <w:r w:rsidR="00123BCD" w:rsidRPr="00C16F41">
        <w:rPr>
          <w:sz w:val="24"/>
          <w:szCs w:val="24"/>
        </w:rPr>
        <w:t>(</w:t>
      </w:r>
      <w:r w:rsidR="00123BCD" w:rsidRPr="00EB1528">
        <w:rPr>
          <w:sz w:val="24"/>
          <w:szCs w:val="24"/>
        </w:rPr>
        <w:t>pp. 158</w:t>
      </w:r>
      <w:r w:rsidR="00123BCD">
        <w:rPr>
          <w:sz w:val="24"/>
          <w:szCs w:val="24"/>
        </w:rPr>
        <w:t>–</w:t>
      </w:r>
      <w:r w:rsidR="00123BCD" w:rsidRPr="00EB1528">
        <w:rPr>
          <w:sz w:val="24"/>
          <w:szCs w:val="24"/>
        </w:rPr>
        <w:t>175</w:t>
      </w:r>
      <w:r w:rsidR="00123BCD">
        <w:rPr>
          <w:sz w:val="24"/>
          <w:szCs w:val="24"/>
        </w:rPr>
        <w:t>)</w:t>
      </w:r>
      <w:r w:rsidRPr="00EB1528">
        <w:rPr>
          <w:sz w:val="24"/>
          <w:szCs w:val="24"/>
        </w:rPr>
        <w:t>. Basingstoke: Palgrave Macmillan</w:t>
      </w:r>
      <w:r w:rsidR="00123BCD">
        <w:rPr>
          <w:sz w:val="24"/>
          <w:szCs w:val="24"/>
        </w:rPr>
        <w:t>.</w:t>
      </w:r>
    </w:p>
    <w:p w14:paraId="5A3BD5D2" w14:textId="539CF96F" w:rsidR="00462D2D" w:rsidRPr="00EB1528" w:rsidRDefault="00E12AAD" w:rsidP="00825C25">
      <w:pPr>
        <w:spacing w:line="360" w:lineRule="auto"/>
        <w:rPr>
          <w:sz w:val="24"/>
          <w:szCs w:val="24"/>
        </w:rPr>
      </w:pPr>
      <w:r w:rsidRPr="00EB1528">
        <w:rPr>
          <w:sz w:val="24"/>
          <w:szCs w:val="24"/>
          <w:lang w:val="en-US"/>
        </w:rPr>
        <w:t>Skinner, A. (2016)</w:t>
      </w:r>
      <w:r w:rsidR="00932483">
        <w:rPr>
          <w:sz w:val="24"/>
          <w:szCs w:val="24"/>
          <w:lang w:val="en-US"/>
        </w:rPr>
        <w:t>.</w:t>
      </w:r>
      <w:r w:rsidRPr="00EB1528">
        <w:rPr>
          <w:sz w:val="24"/>
          <w:szCs w:val="24"/>
          <w:lang w:val="en-US"/>
        </w:rPr>
        <w:t xml:space="preserve"> </w:t>
      </w:r>
      <w:r w:rsidRPr="00EB1528">
        <w:rPr>
          <w:sz w:val="24"/>
          <w:szCs w:val="24"/>
        </w:rPr>
        <w:t xml:space="preserve">‘Cringe or </w:t>
      </w:r>
      <w:r w:rsidR="0021027E">
        <w:rPr>
          <w:sz w:val="24"/>
          <w:szCs w:val="24"/>
        </w:rPr>
        <w:t>s</w:t>
      </w:r>
      <w:r w:rsidRPr="00EB1528">
        <w:rPr>
          <w:sz w:val="24"/>
          <w:szCs w:val="24"/>
        </w:rPr>
        <w:t xml:space="preserve">tarve': Did the Charity Organisation Society hinder or help families? </w:t>
      </w:r>
      <w:r w:rsidR="00932483">
        <w:rPr>
          <w:sz w:val="24"/>
          <w:szCs w:val="24"/>
        </w:rPr>
        <w:t>U</w:t>
      </w:r>
      <w:r w:rsidRPr="00EB1528">
        <w:rPr>
          <w:sz w:val="24"/>
          <w:szCs w:val="24"/>
        </w:rPr>
        <w:t>npublished paper presented to symposium on ‘Living the Family’, University of Leicester, 8 Nov 2016.</w:t>
      </w:r>
    </w:p>
    <w:p w14:paraId="4486ADF5" w14:textId="5C467AAF" w:rsidR="007D5EC6" w:rsidRDefault="00E12AAD" w:rsidP="00825C25">
      <w:pPr>
        <w:spacing w:line="360" w:lineRule="auto"/>
        <w:rPr>
          <w:sz w:val="24"/>
          <w:szCs w:val="24"/>
        </w:rPr>
      </w:pPr>
      <w:r w:rsidRPr="00EB1528">
        <w:rPr>
          <w:sz w:val="24"/>
          <w:szCs w:val="24"/>
        </w:rPr>
        <w:t>Soares, C. (2016)</w:t>
      </w:r>
      <w:r w:rsidR="00932483">
        <w:rPr>
          <w:sz w:val="24"/>
          <w:szCs w:val="24"/>
        </w:rPr>
        <w:t>.</w:t>
      </w:r>
      <w:r w:rsidRPr="00EB1528">
        <w:rPr>
          <w:sz w:val="24"/>
          <w:szCs w:val="24"/>
        </w:rPr>
        <w:t xml:space="preserve"> Alternative </w:t>
      </w:r>
      <w:r w:rsidR="0021027E">
        <w:rPr>
          <w:sz w:val="24"/>
          <w:szCs w:val="24"/>
        </w:rPr>
        <w:t>f</w:t>
      </w:r>
      <w:r w:rsidRPr="00EB1528">
        <w:rPr>
          <w:sz w:val="24"/>
          <w:szCs w:val="24"/>
        </w:rPr>
        <w:t xml:space="preserve">amilies: Affective </w:t>
      </w:r>
      <w:r w:rsidR="0021027E">
        <w:rPr>
          <w:sz w:val="24"/>
          <w:szCs w:val="24"/>
        </w:rPr>
        <w:t>t</w:t>
      </w:r>
      <w:r w:rsidRPr="00EB1528">
        <w:rPr>
          <w:sz w:val="24"/>
          <w:szCs w:val="24"/>
        </w:rPr>
        <w:t xml:space="preserve">ies, </w:t>
      </w:r>
      <w:r w:rsidR="0021027E">
        <w:rPr>
          <w:sz w:val="24"/>
          <w:szCs w:val="24"/>
        </w:rPr>
        <w:t>a</w:t>
      </w:r>
      <w:r w:rsidRPr="00EB1528">
        <w:rPr>
          <w:sz w:val="24"/>
          <w:szCs w:val="24"/>
        </w:rPr>
        <w:t xml:space="preserve">ftercare and </w:t>
      </w:r>
      <w:r w:rsidR="0021027E">
        <w:rPr>
          <w:sz w:val="24"/>
          <w:szCs w:val="24"/>
        </w:rPr>
        <w:t>c</w:t>
      </w:r>
      <w:r w:rsidRPr="00EB1528">
        <w:rPr>
          <w:sz w:val="24"/>
          <w:szCs w:val="24"/>
        </w:rPr>
        <w:t xml:space="preserve">hildren’s </w:t>
      </w:r>
      <w:r w:rsidR="0021027E">
        <w:rPr>
          <w:sz w:val="24"/>
          <w:szCs w:val="24"/>
        </w:rPr>
        <w:t>e</w:t>
      </w:r>
      <w:r w:rsidRPr="00EB1528">
        <w:rPr>
          <w:sz w:val="24"/>
          <w:szCs w:val="24"/>
        </w:rPr>
        <w:t>xperiences in The Waifs and Strays Society. Unpublished paper presented to symposium on ‘Living the Family’, University of Leicester, 8 Nov 2016.</w:t>
      </w:r>
    </w:p>
    <w:p w14:paraId="5DDAA3A5" w14:textId="27C4C683" w:rsidR="003A1E6A" w:rsidRDefault="003A1E6A" w:rsidP="00825C25">
      <w:pPr>
        <w:spacing w:line="360" w:lineRule="auto"/>
        <w:rPr>
          <w:sz w:val="24"/>
          <w:szCs w:val="24"/>
        </w:rPr>
      </w:pPr>
      <w:r>
        <w:rPr>
          <w:sz w:val="24"/>
          <w:szCs w:val="24"/>
        </w:rPr>
        <w:t>Stack, J.A. (1994) Reformatory and industrial schools and the decline of child imprisonment in mid-Victorian England and Wales. History of Education, 23(1), pp.59-73</w:t>
      </w:r>
    </w:p>
    <w:p w14:paraId="14E2570C" w14:textId="77E87799" w:rsidR="00D26558" w:rsidRPr="00D26558" w:rsidRDefault="00D26558" w:rsidP="00825C25">
      <w:pPr>
        <w:spacing w:line="360" w:lineRule="auto"/>
        <w:rPr>
          <w:sz w:val="24"/>
          <w:szCs w:val="24"/>
          <w:lang w:val="en-US"/>
        </w:rPr>
      </w:pPr>
      <w:r w:rsidRPr="00D26558">
        <w:rPr>
          <w:sz w:val="24"/>
          <w:szCs w:val="24"/>
          <w:lang w:val="de-DE"/>
        </w:rPr>
        <w:t>Stein, M. (2005)</w:t>
      </w:r>
      <w:r w:rsidR="00932483">
        <w:rPr>
          <w:sz w:val="24"/>
          <w:szCs w:val="24"/>
          <w:lang w:val="de-DE"/>
        </w:rPr>
        <w:t>.</w:t>
      </w:r>
      <w:r w:rsidRPr="00D26558">
        <w:rPr>
          <w:sz w:val="24"/>
          <w:szCs w:val="24"/>
          <w:lang w:val="de-DE"/>
        </w:rPr>
        <w:t xml:space="preserve"> </w:t>
      </w:r>
      <w:r w:rsidRPr="00D26558">
        <w:rPr>
          <w:i/>
          <w:iCs/>
          <w:sz w:val="24"/>
          <w:szCs w:val="24"/>
          <w:lang w:val="en-US"/>
        </w:rPr>
        <w:t xml:space="preserve">Resilience and </w:t>
      </w:r>
      <w:r w:rsidR="0021027E">
        <w:rPr>
          <w:i/>
          <w:iCs/>
          <w:sz w:val="24"/>
          <w:szCs w:val="24"/>
          <w:lang w:val="en-US"/>
        </w:rPr>
        <w:t>y</w:t>
      </w:r>
      <w:r w:rsidRPr="00D26558">
        <w:rPr>
          <w:i/>
          <w:iCs/>
          <w:sz w:val="24"/>
          <w:szCs w:val="24"/>
          <w:lang w:val="en-US"/>
        </w:rPr>
        <w:t xml:space="preserve">oung </w:t>
      </w:r>
      <w:r w:rsidR="0021027E">
        <w:rPr>
          <w:i/>
          <w:iCs/>
          <w:sz w:val="24"/>
          <w:szCs w:val="24"/>
          <w:lang w:val="en-US"/>
        </w:rPr>
        <w:t>p</w:t>
      </w:r>
      <w:r w:rsidRPr="00D26558">
        <w:rPr>
          <w:i/>
          <w:iCs/>
          <w:sz w:val="24"/>
          <w:szCs w:val="24"/>
          <w:lang w:val="en-US"/>
        </w:rPr>
        <w:t xml:space="preserve">eople </w:t>
      </w:r>
      <w:r w:rsidR="0021027E">
        <w:rPr>
          <w:i/>
          <w:iCs/>
          <w:sz w:val="24"/>
          <w:szCs w:val="24"/>
          <w:lang w:val="en-US"/>
        </w:rPr>
        <w:t>l</w:t>
      </w:r>
      <w:r w:rsidRPr="00D26558">
        <w:rPr>
          <w:i/>
          <w:iCs/>
          <w:sz w:val="24"/>
          <w:szCs w:val="24"/>
          <w:lang w:val="en-US"/>
        </w:rPr>
        <w:t xml:space="preserve">eaving </w:t>
      </w:r>
      <w:r w:rsidR="0021027E">
        <w:rPr>
          <w:i/>
          <w:iCs/>
          <w:sz w:val="24"/>
          <w:szCs w:val="24"/>
          <w:lang w:val="en-US"/>
        </w:rPr>
        <w:t>c</w:t>
      </w:r>
      <w:r w:rsidRPr="00D26558">
        <w:rPr>
          <w:i/>
          <w:iCs/>
          <w:sz w:val="24"/>
          <w:szCs w:val="24"/>
          <w:lang w:val="en-US"/>
        </w:rPr>
        <w:t xml:space="preserve">are: Overcoming the </w:t>
      </w:r>
      <w:r w:rsidR="0021027E">
        <w:rPr>
          <w:i/>
          <w:iCs/>
          <w:sz w:val="24"/>
          <w:szCs w:val="24"/>
          <w:lang w:val="en-US"/>
        </w:rPr>
        <w:t>o</w:t>
      </w:r>
      <w:r w:rsidRPr="00D26558">
        <w:rPr>
          <w:i/>
          <w:iCs/>
          <w:sz w:val="24"/>
          <w:szCs w:val="24"/>
          <w:lang w:val="en-US"/>
        </w:rPr>
        <w:t>dds</w:t>
      </w:r>
      <w:r w:rsidR="00932483">
        <w:rPr>
          <w:sz w:val="24"/>
          <w:szCs w:val="24"/>
          <w:lang w:val="en-US"/>
        </w:rPr>
        <w:t>.</w:t>
      </w:r>
      <w:r w:rsidRPr="00D26558">
        <w:rPr>
          <w:sz w:val="24"/>
          <w:szCs w:val="24"/>
          <w:lang w:val="en-US"/>
        </w:rPr>
        <w:t xml:space="preserve"> York</w:t>
      </w:r>
      <w:r w:rsidR="00932483">
        <w:rPr>
          <w:sz w:val="24"/>
          <w:szCs w:val="24"/>
          <w:lang w:val="en-US"/>
        </w:rPr>
        <w:t>:</w:t>
      </w:r>
      <w:r w:rsidRPr="00D26558">
        <w:rPr>
          <w:sz w:val="24"/>
          <w:szCs w:val="24"/>
          <w:lang w:val="en-US"/>
        </w:rPr>
        <w:t xml:space="preserve"> Joseph Rowntree Foundation.</w:t>
      </w:r>
    </w:p>
    <w:p w14:paraId="7DCC7395" w14:textId="3B80958C" w:rsidR="007D5EC6" w:rsidRPr="00EB1528" w:rsidRDefault="00E12AAD" w:rsidP="00825C25">
      <w:pPr>
        <w:spacing w:line="360" w:lineRule="auto"/>
        <w:rPr>
          <w:sz w:val="24"/>
          <w:szCs w:val="24"/>
        </w:rPr>
      </w:pPr>
      <w:r w:rsidRPr="00EB1528">
        <w:rPr>
          <w:sz w:val="24"/>
          <w:szCs w:val="24"/>
        </w:rPr>
        <w:t>Swain, S. and Hillel, M. (2010)</w:t>
      </w:r>
      <w:r w:rsidR="00932483">
        <w:rPr>
          <w:sz w:val="24"/>
          <w:szCs w:val="24"/>
        </w:rPr>
        <w:t>.</w:t>
      </w:r>
      <w:r w:rsidRPr="00EB1528">
        <w:rPr>
          <w:sz w:val="24"/>
          <w:szCs w:val="24"/>
        </w:rPr>
        <w:t xml:space="preserve"> </w:t>
      </w:r>
      <w:r w:rsidRPr="00EB1528">
        <w:rPr>
          <w:i/>
          <w:sz w:val="24"/>
          <w:szCs w:val="24"/>
        </w:rPr>
        <w:t xml:space="preserve">Child, </w:t>
      </w:r>
      <w:r w:rsidR="0021027E">
        <w:rPr>
          <w:i/>
          <w:sz w:val="24"/>
          <w:szCs w:val="24"/>
        </w:rPr>
        <w:t>n</w:t>
      </w:r>
      <w:r w:rsidRPr="00EB1528">
        <w:rPr>
          <w:i/>
          <w:sz w:val="24"/>
          <w:szCs w:val="24"/>
        </w:rPr>
        <w:t xml:space="preserve">ation, </w:t>
      </w:r>
      <w:r w:rsidR="0021027E">
        <w:rPr>
          <w:i/>
          <w:sz w:val="24"/>
          <w:szCs w:val="24"/>
        </w:rPr>
        <w:t>r</w:t>
      </w:r>
      <w:r w:rsidRPr="00EB1528">
        <w:rPr>
          <w:i/>
          <w:sz w:val="24"/>
          <w:szCs w:val="24"/>
        </w:rPr>
        <w:t xml:space="preserve">ace and </w:t>
      </w:r>
      <w:r w:rsidR="0021027E">
        <w:rPr>
          <w:i/>
          <w:sz w:val="24"/>
          <w:szCs w:val="24"/>
        </w:rPr>
        <w:t>e</w:t>
      </w:r>
      <w:r w:rsidRPr="00EB1528">
        <w:rPr>
          <w:i/>
          <w:sz w:val="24"/>
          <w:szCs w:val="24"/>
        </w:rPr>
        <w:t xml:space="preserve">mpire: Child </w:t>
      </w:r>
      <w:r w:rsidR="0021027E">
        <w:rPr>
          <w:i/>
          <w:sz w:val="24"/>
          <w:szCs w:val="24"/>
        </w:rPr>
        <w:t>r</w:t>
      </w:r>
      <w:r w:rsidRPr="00EB1528">
        <w:rPr>
          <w:i/>
          <w:sz w:val="24"/>
          <w:szCs w:val="24"/>
        </w:rPr>
        <w:t xml:space="preserve">escue </w:t>
      </w:r>
      <w:r w:rsidR="0021027E">
        <w:rPr>
          <w:i/>
          <w:sz w:val="24"/>
          <w:szCs w:val="24"/>
        </w:rPr>
        <w:t>d</w:t>
      </w:r>
      <w:r w:rsidRPr="00EB1528">
        <w:rPr>
          <w:i/>
          <w:sz w:val="24"/>
          <w:szCs w:val="24"/>
        </w:rPr>
        <w:t>iscourse, England, Canada and Australia, 1850</w:t>
      </w:r>
      <w:r w:rsidR="00932483">
        <w:rPr>
          <w:i/>
          <w:sz w:val="24"/>
          <w:szCs w:val="24"/>
        </w:rPr>
        <w:t>–</w:t>
      </w:r>
      <w:r w:rsidRPr="00EB1528">
        <w:rPr>
          <w:i/>
          <w:sz w:val="24"/>
          <w:szCs w:val="24"/>
        </w:rPr>
        <w:t>1915</w:t>
      </w:r>
      <w:r w:rsidRPr="00EB1528">
        <w:rPr>
          <w:sz w:val="24"/>
          <w:szCs w:val="24"/>
        </w:rPr>
        <w:t>. Manchester: Manchester University Press.</w:t>
      </w:r>
    </w:p>
    <w:p w14:paraId="277B0454" w14:textId="4EF5E5AA" w:rsidR="00E12AAD" w:rsidRPr="00EB1528" w:rsidRDefault="00E12AAD" w:rsidP="00825C25">
      <w:pPr>
        <w:spacing w:line="360" w:lineRule="auto"/>
        <w:rPr>
          <w:rStyle w:val="s1"/>
          <w:sz w:val="24"/>
          <w:szCs w:val="24"/>
        </w:rPr>
      </w:pPr>
      <w:r w:rsidRPr="00EB1528">
        <w:rPr>
          <w:rStyle w:val="s1"/>
          <w:sz w:val="24"/>
          <w:szCs w:val="24"/>
        </w:rPr>
        <w:t xml:space="preserve">Tenth report of the inspector appointed, under the provisions of the </w:t>
      </w:r>
      <w:r w:rsidR="00932483">
        <w:rPr>
          <w:rStyle w:val="s1"/>
          <w:sz w:val="24"/>
          <w:szCs w:val="24"/>
        </w:rPr>
        <w:t>A</w:t>
      </w:r>
      <w:r w:rsidRPr="00EB1528">
        <w:rPr>
          <w:rStyle w:val="s1"/>
          <w:sz w:val="24"/>
          <w:szCs w:val="24"/>
        </w:rPr>
        <w:t>ct 5 &amp; 6 Will. IV. c. 38, to visit the certified reformatory and industrial schools of Great Britain, 1867, vol. 36.</w:t>
      </w:r>
    </w:p>
    <w:p w14:paraId="3561E541" w14:textId="5A68E1DE" w:rsidR="007D5EC6" w:rsidRPr="00EB1528" w:rsidRDefault="00BC1C81" w:rsidP="00825C25">
      <w:pPr>
        <w:spacing w:line="360" w:lineRule="auto"/>
        <w:rPr>
          <w:sz w:val="24"/>
          <w:szCs w:val="24"/>
        </w:rPr>
      </w:pPr>
      <w:r w:rsidRPr="00EB1528">
        <w:rPr>
          <w:rStyle w:val="s1"/>
          <w:sz w:val="24"/>
          <w:szCs w:val="24"/>
        </w:rPr>
        <w:t>Todd, S. (2005)</w:t>
      </w:r>
      <w:r w:rsidR="00932483">
        <w:rPr>
          <w:rStyle w:val="s1"/>
          <w:sz w:val="24"/>
          <w:szCs w:val="24"/>
        </w:rPr>
        <w:t>.</w:t>
      </w:r>
      <w:r w:rsidRPr="00EB1528">
        <w:rPr>
          <w:rStyle w:val="s1"/>
          <w:sz w:val="24"/>
          <w:szCs w:val="24"/>
        </w:rPr>
        <w:t xml:space="preserve"> </w:t>
      </w:r>
      <w:r w:rsidRPr="00EB1528">
        <w:rPr>
          <w:rStyle w:val="s1"/>
          <w:i/>
          <w:sz w:val="24"/>
          <w:szCs w:val="24"/>
        </w:rPr>
        <w:t xml:space="preserve">Young </w:t>
      </w:r>
      <w:r w:rsidR="0021027E">
        <w:rPr>
          <w:rStyle w:val="s1"/>
          <w:i/>
          <w:sz w:val="24"/>
          <w:szCs w:val="24"/>
        </w:rPr>
        <w:t>w</w:t>
      </w:r>
      <w:r w:rsidRPr="00EB1528">
        <w:rPr>
          <w:rStyle w:val="s1"/>
          <w:i/>
          <w:sz w:val="24"/>
          <w:szCs w:val="24"/>
        </w:rPr>
        <w:t xml:space="preserve">omen, </w:t>
      </w:r>
      <w:r w:rsidR="0021027E">
        <w:rPr>
          <w:rStyle w:val="s1"/>
          <w:i/>
          <w:sz w:val="24"/>
          <w:szCs w:val="24"/>
        </w:rPr>
        <w:t>w</w:t>
      </w:r>
      <w:r w:rsidRPr="00EB1528">
        <w:rPr>
          <w:rStyle w:val="s1"/>
          <w:i/>
          <w:sz w:val="24"/>
          <w:szCs w:val="24"/>
        </w:rPr>
        <w:t xml:space="preserve">ork and </w:t>
      </w:r>
      <w:r w:rsidR="0021027E">
        <w:rPr>
          <w:rStyle w:val="s1"/>
          <w:i/>
          <w:sz w:val="24"/>
          <w:szCs w:val="24"/>
        </w:rPr>
        <w:t>f</w:t>
      </w:r>
      <w:r w:rsidRPr="00EB1528">
        <w:rPr>
          <w:rStyle w:val="s1"/>
          <w:i/>
          <w:sz w:val="24"/>
          <w:szCs w:val="24"/>
        </w:rPr>
        <w:t>amily in England 1918</w:t>
      </w:r>
      <w:r w:rsidR="00932483">
        <w:rPr>
          <w:rStyle w:val="s1"/>
          <w:i/>
          <w:sz w:val="24"/>
          <w:szCs w:val="24"/>
        </w:rPr>
        <w:t>–</w:t>
      </w:r>
      <w:r w:rsidRPr="00EB1528">
        <w:rPr>
          <w:rStyle w:val="s1"/>
          <w:i/>
          <w:sz w:val="24"/>
          <w:szCs w:val="24"/>
        </w:rPr>
        <w:t>1950.</w:t>
      </w:r>
      <w:r w:rsidRPr="00EB1528">
        <w:rPr>
          <w:rStyle w:val="s1"/>
          <w:sz w:val="24"/>
          <w:szCs w:val="24"/>
        </w:rPr>
        <w:t xml:space="preserve"> Oxford: Oxford University Press</w:t>
      </w:r>
      <w:r w:rsidRPr="00EB1528">
        <w:rPr>
          <w:rFonts w:cs="Arial"/>
          <w:b/>
          <w:bCs/>
          <w:color w:val="262626"/>
          <w:sz w:val="24"/>
          <w:szCs w:val="24"/>
          <w:lang w:val="en-US"/>
        </w:rPr>
        <w:t>‬</w:t>
      </w:r>
      <w:r w:rsidR="00932483">
        <w:rPr>
          <w:rFonts w:cs="Arial"/>
          <w:b/>
          <w:bCs/>
          <w:color w:val="262626"/>
          <w:sz w:val="24"/>
          <w:szCs w:val="24"/>
          <w:lang w:val="en-US"/>
        </w:rPr>
        <w:t>.</w:t>
      </w:r>
    </w:p>
    <w:p w14:paraId="07A4C72F" w14:textId="04ADF1BF" w:rsidR="00176AED" w:rsidRPr="00EB1528" w:rsidRDefault="007D5EC6" w:rsidP="00825C25">
      <w:pPr>
        <w:spacing w:line="360" w:lineRule="auto"/>
        <w:rPr>
          <w:sz w:val="24"/>
          <w:szCs w:val="24"/>
        </w:rPr>
      </w:pPr>
      <w:r w:rsidRPr="00EB1528">
        <w:rPr>
          <w:sz w:val="24"/>
          <w:szCs w:val="24"/>
        </w:rPr>
        <w:t>Uggen</w:t>
      </w:r>
      <w:r w:rsidR="00932483">
        <w:rPr>
          <w:sz w:val="24"/>
          <w:szCs w:val="24"/>
        </w:rPr>
        <w:t>,</w:t>
      </w:r>
      <w:r w:rsidRPr="00EB1528">
        <w:rPr>
          <w:sz w:val="24"/>
          <w:szCs w:val="24"/>
        </w:rPr>
        <w:t xml:space="preserve"> C</w:t>
      </w:r>
      <w:r w:rsidR="00932483">
        <w:rPr>
          <w:sz w:val="24"/>
          <w:szCs w:val="24"/>
        </w:rPr>
        <w:t>.</w:t>
      </w:r>
      <w:r w:rsidRPr="00EB1528">
        <w:rPr>
          <w:sz w:val="24"/>
          <w:szCs w:val="24"/>
        </w:rPr>
        <w:t xml:space="preserve"> and </w:t>
      </w:r>
      <w:r w:rsidR="00E12AAD" w:rsidRPr="00EB1528">
        <w:rPr>
          <w:sz w:val="24"/>
          <w:szCs w:val="24"/>
        </w:rPr>
        <w:t>Kruttschnitt</w:t>
      </w:r>
      <w:r w:rsidR="00932483">
        <w:rPr>
          <w:sz w:val="24"/>
          <w:szCs w:val="24"/>
        </w:rPr>
        <w:t>,</w:t>
      </w:r>
      <w:r w:rsidR="00E12AAD" w:rsidRPr="00EB1528">
        <w:rPr>
          <w:sz w:val="24"/>
          <w:szCs w:val="24"/>
        </w:rPr>
        <w:t xml:space="preserve"> C</w:t>
      </w:r>
      <w:r w:rsidR="00932483">
        <w:rPr>
          <w:sz w:val="24"/>
          <w:szCs w:val="24"/>
        </w:rPr>
        <w:t>.</w:t>
      </w:r>
      <w:r w:rsidR="00E12AAD" w:rsidRPr="00EB1528">
        <w:rPr>
          <w:sz w:val="24"/>
          <w:szCs w:val="24"/>
        </w:rPr>
        <w:t xml:space="preserve"> (1998)</w:t>
      </w:r>
      <w:r w:rsidR="00932483">
        <w:rPr>
          <w:sz w:val="24"/>
          <w:szCs w:val="24"/>
        </w:rPr>
        <w:t>.</w:t>
      </w:r>
      <w:r w:rsidR="00E12AAD" w:rsidRPr="00EB1528">
        <w:rPr>
          <w:sz w:val="24"/>
          <w:szCs w:val="24"/>
        </w:rPr>
        <w:t xml:space="preserve"> Crime in the breaking: gender differences in desistance. </w:t>
      </w:r>
      <w:r w:rsidR="00E12AAD" w:rsidRPr="00EB1528">
        <w:rPr>
          <w:i/>
          <w:sz w:val="24"/>
          <w:szCs w:val="24"/>
        </w:rPr>
        <w:t>Law</w:t>
      </w:r>
      <w:r w:rsidR="00932483">
        <w:rPr>
          <w:i/>
          <w:sz w:val="24"/>
          <w:szCs w:val="24"/>
        </w:rPr>
        <w:t xml:space="preserve"> and</w:t>
      </w:r>
      <w:r w:rsidR="00E12AAD" w:rsidRPr="00EB1528">
        <w:rPr>
          <w:i/>
          <w:sz w:val="24"/>
          <w:szCs w:val="24"/>
        </w:rPr>
        <w:t xml:space="preserve"> Soc</w:t>
      </w:r>
      <w:r w:rsidR="00932483">
        <w:rPr>
          <w:i/>
          <w:sz w:val="24"/>
          <w:szCs w:val="24"/>
        </w:rPr>
        <w:t>iety</w:t>
      </w:r>
      <w:r w:rsidR="00E12AAD" w:rsidRPr="00EB1528">
        <w:rPr>
          <w:i/>
          <w:sz w:val="24"/>
          <w:szCs w:val="24"/>
        </w:rPr>
        <w:t xml:space="preserve"> Rev</w:t>
      </w:r>
      <w:r w:rsidR="00932483">
        <w:rPr>
          <w:i/>
          <w:sz w:val="24"/>
          <w:szCs w:val="24"/>
        </w:rPr>
        <w:t>iew</w:t>
      </w:r>
      <w:r w:rsidR="00932483" w:rsidRPr="00C16F41">
        <w:rPr>
          <w:sz w:val="24"/>
          <w:szCs w:val="24"/>
        </w:rPr>
        <w:t>,</w:t>
      </w:r>
      <w:r w:rsidR="00E12AAD" w:rsidRPr="00932483">
        <w:rPr>
          <w:sz w:val="24"/>
          <w:szCs w:val="24"/>
        </w:rPr>
        <w:t xml:space="preserve"> </w:t>
      </w:r>
      <w:r w:rsidR="00E12AAD" w:rsidRPr="00C16F41">
        <w:rPr>
          <w:i/>
          <w:sz w:val="24"/>
          <w:szCs w:val="24"/>
        </w:rPr>
        <w:t>32</w:t>
      </w:r>
      <w:r w:rsidR="00932483">
        <w:rPr>
          <w:sz w:val="24"/>
          <w:szCs w:val="24"/>
        </w:rPr>
        <w:t xml:space="preserve">, </w:t>
      </w:r>
      <w:r w:rsidR="00E12AAD" w:rsidRPr="00EB1528">
        <w:rPr>
          <w:sz w:val="24"/>
          <w:szCs w:val="24"/>
        </w:rPr>
        <w:t>339–366</w:t>
      </w:r>
      <w:r w:rsidR="00932483">
        <w:rPr>
          <w:sz w:val="24"/>
          <w:szCs w:val="24"/>
        </w:rPr>
        <w:t>.</w:t>
      </w:r>
    </w:p>
    <w:p w14:paraId="5779FE03" w14:textId="2861C909" w:rsidR="00176AED" w:rsidRPr="00EB1528" w:rsidRDefault="00176AED" w:rsidP="00825C25">
      <w:pPr>
        <w:spacing w:line="360" w:lineRule="auto"/>
        <w:rPr>
          <w:sz w:val="24"/>
          <w:szCs w:val="24"/>
        </w:rPr>
      </w:pPr>
      <w:r w:rsidRPr="00EB1528">
        <w:rPr>
          <w:sz w:val="24"/>
          <w:szCs w:val="24"/>
          <w:lang w:val="en-US"/>
        </w:rPr>
        <w:lastRenderedPageBreak/>
        <w:t>Ward, H. (1990)</w:t>
      </w:r>
      <w:r w:rsidR="00932483">
        <w:rPr>
          <w:sz w:val="24"/>
          <w:szCs w:val="24"/>
          <w:lang w:val="en-US"/>
        </w:rPr>
        <w:t>.</w:t>
      </w:r>
      <w:r w:rsidRPr="00EB1528">
        <w:rPr>
          <w:sz w:val="24"/>
          <w:szCs w:val="24"/>
          <w:lang w:val="en-US"/>
        </w:rPr>
        <w:t xml:space="preserve"> The </w:t>
      </w:r>
      <w:r w:rsidR="0021027E">
        <w:rPr>
          <w:sz w:val="24"/>
          <w:szCs w:val="24"/>
          <w:lang w:val="en-US"/>
        </w:rPr>
        <w:t>c</w:t>
      </w:r>
      <w:r w:rsidRPr="00EB1528">
        <w:rPr>
          <w:sz w:val="24"/>
          <w:szCs w:val="24"/>
          <w:lang w:val="en-US"/>
        </w:rPr>
        <w:t xml:space="preserve">haritable </w:t>
      </w:r>
      <w:r w:rsidR="0021027E">
        <w:rPr>
          <w:sz w:val="24"/>
          <w:szCs w:val="24"/>
          <w:lang w:val="en-US"/>
        </w:rPr>
        <w:t>r</w:t>
      </w:r>
      <w:r w:rsidRPr="00EB1528">
        <w:rPr>
          <w:sz w:val="24"/>
          <w:szCs w:val="24"/>
          <w:lang w:val="en-US"/>
        </w:rPr>
        <w:t xml:space="preserve">elationship: Parents, </w:t>
      </w:r>
      <w:r w:rsidR="0021027E">
        <w:rPr>
          <w:sz w:val="24"/>
          <w:szCs w:val="24"/>
          <w:lang w:val="en-US"/>
        </w:rPr>
        <w:t>c</w:t>
      </w:r>
      <w:r w:rsidRPr="00EB1528">
        <w:rPr>
          <w:sz w:val="24"/>
          <w:szCs w:val="24"/>
          <w:lang w:val="en-US"/>
        </w:rPr>
        <w:t>hildren and the Waifs and Strays Society</w:t>
      </w:r>
      <w:r w:rsidR="00932483">
        <w:rPr>
          <w:sz w:val="24"/>
          <w:szCs w:val="24"/>
          <w:lang w:val="en-US"/>
        </w:rPr>
        <w:t xml:space="preserve"> (U</w:t>
      </w:r>
      <w:r w:rsidRPr="00EB1528">
        <w:rPr>
          <w:sz w:val="24"/>
          <w:szCs w:val="24"/>
          <w:lang w:val="en-US"/>
        </w:rPr>
        <w:t xml:space="preserve">npublished </w:t>
      </w:r>
      <w:r w:rsidR="00932483">
        <w:rPr>
          <w:sz w:val="24"/>
          <w:szCs w:val="24"/>
          <w:lang w:val="en-US"/>
        </w:rPr>
        <w:t>doctoral</w:t>
      </w:r>
      <w:r w:rsidR="00932483" w:rsidRPr="00EB1528">
        <w:rPr>
          <w:sz w:val="24"/>
          <w:szCs w:val="24"/>
          <w:lang w:val="en-US"/>
        </w:rPr>
        <w:t xml:space="preserve"> </w:t>
      </w:r>
      <w:r w:rsidRPr="00EB1528">
        <w:rPr>
          <w:sz w:val="24"/>
          <w:szCs w:val="24"/>
          <w:lang w:val="en-US"/>
        </w:rPr>
        <w:t>thesis</w:t>
      </w:r>
      <w:r w:rsidR="00932483">
        <w:rPr>
          <w:sz w:val="24"/>
          <w:szCs w:val="24"/>
          <w:lang w:val="en-US"/>
        </w:rPr>
        <w:t>).</w:t>
      </w:r>
      <w:r w:rsidRPr="00EB1528">
        <w:rPr>
          <w:sz w:val="24"/>
          <w:szCs w:val="24"/>
          <w:lang w:val="en-US"/>
        </w:rPr>
        <w:t xml:space="preserve"> University of Bristol</w:t>
      </w:r>
      <w:r w:rsidR="00932483">
        <w:rPr>
          <w:sz w:val="24"/>
          <w:szCs w:val="24"/>
          <w:lang w:val="en-US"/>
        </w:rPr>
        <w:t>, Bristol</w:t>
      </w:r>
      <w:r w:rsidRPr="00EB1528">
        <w:rPr>
          <w:sz w:val="24"/>
          <w:szCs w:val="24"/>
          <w:lang w:val="en-US"/>
        </w:rPr>
        <w:t>.</w:t>
      </w:r>
    </w:p>
    <w:p w14:paraId="7E128BCF" w14:textId="39B98176" w:rsidR="00E12AAD" w:rsidRPr="00EB1528" w:rsidRDefault="00E12AAD" w:rsidP="00825C25">
      <w:pPr>
        <w:spacing w:line="360" w:lineRule="auto"/>
        <w:rPr>
          <w:sz w:val="24"/>
          <w:szCs w:val="24"/>
        </w:rPr>
      </w:pPr>
      <w:r w:rsidRPr="00EB1528">
        <w:rPr>
          <w:sz w:val="24"/>
          <w:szCs w:val="24"/>
        </w:rPr>
        <w:t>Ward, H. (2016)</w:t>
      </w:r>
      <w:r w:rsidR="00932483">
        <w:rPr>
          <w:sz w:val="24"/>
          <w:szCs w:val="24"/>
        </w:rPr>
        <w:t>.</w:t>
      </w:r>
      <w:r w:rsidRPr="00EB1528">
        <w:rPr>
          <w:sz w:val="24"/>
          <w:szCs w:val="24"/>
        </w:rPr>
        <w:t xml:space="preserve"> Outcomes of </w:t>
      </w:r>
      <w:r w:rsidR="0021027E">
        <w:rPr>
          <w:sz w:val="24"/>
          <w:szCs w:val="24"/>
        </w:rPr>
        <w:t>c</w:t>
      </w:r>
      <w:r w:rsidRPr="00EB1528">
        <w:rPr>
          <w:sz w:val="24"/>
          <w:szCs w:val="24"/>
        </w:rPr>
        <w:t xml:space="preserve">are in the 19th </w:t>
      </w:r>
      <w:r w:rsidR="0021027E">
        <w:rPr>
          <w:sz w:val="24"/>
          <w:szCs w:val="24"/>
        </w:rPr>
        <w:t>c</w:t>
      </w:r>
      <w:r w:rsidRPr="00EB1528">
        <w:rPr>
          <w:sz w:val="24"/>
          <w:szCs w:val="24"/>
        </w:rPr>
        <w:t xml:space="preserve">entury: Historical </w:t>
      </w:r>
      <w:r w:rsidR="0021027E">
        <w:rPr>
          <w:sz w:val="24"/>
          <w:szCs w:val="24"/>
        </w:rPr>
        <w:t>a</w:t>
      </w:r>
      <w:r w:rsidRPr="00EB1528">
        <w:rPr>
          <w:sz w:val="24"/>
          <w:szCs w:val="24"/>
        </w:rPr>
        <w:t xml:space="preserve">ntecedents to </w:t>
      </w:r>
      <w:r w:rsidR="0021027E">
        <w:rPr>
          <w:sz w:val="24"/>
          <w:szCs w:val="24"/>
        </w:rPr>
        <w:t>c</w:t>
      </w:r>
      <w:r w:rsidRPr="00EB1528">
        <w:rPr>
          <w:sz w:val="24"/>
          <w:szCs w:val="24"/>
        </w:rPr>
        <w:t xml:space="preserve">ontemporary </w:t>
      </w:r>
      <w:r w:rsidR="0021027E">
        <w:rPr>
          <w:sz w:val="24"/>
          <w:szCs w:val="24"/>
        </w:rPr>
        <w:t>i</w:t>
      </w:r>
      <w:r w:rsidRPr="00EB1528">
        <w:rPr>
          <w:sz w:val="24"/>
          <w:szCs w:val="24"/>
        </w:rPr>
        <w:t>ssues. Unpublished paper presented to the ‘</w:t>
      </w:r>
      <w:r w:rsidRPr="00EB1528">
        <w:rPr>
          <w:sz w:val="24"/>
          <w:szCs w:val="24"/>
          <w:lang w:val="en-US"/>
        </w:rPr>
        <w:t xml:space="preserve">Trauma, </w:t>
      </w:r>
      <w:r w:rsidR="0021027E">
        <w:rPr>
          <w:sz w:val="24"/>
          <w:szCs w:val="24"/>
          <w:lang w:val="en-US"/>
        </w:rPr>
        <w:t>t</w:t>
      </w:r>
      <w:r w:rsidRPr="00EB1528">
        <w:rPr>
          <w:sz w:val="24"/>
          <w:szCs w:val="24"/>
          <w:lang w:val="en-US"/>
        </w:rPr>
        <w:t xml:space="preserve">ragedy and </w:t>
      </w:r>
      <w:r w:rsidR="0021027E">
        <w:rPr>
          <w:sz w:val="24"/>
          <w:szCs w:val="24"/>
          <w:lang w:val="en-US"/>
        </w:rPr>
        <w:t>t</w:t>
      </w:r>
      <w:r w:rsidRPr="00EB1528">
        <w:rPr>
          <w:sz w:val="24"/>
          <w:szCs w:val="24"/>
          <w:lang w:val="en-US"/>
        </w:rPr>
        <w:t xml:space="preserve">riage: Narratives of </w:t>
      </w:r>
      <w:r w:rsidR="0021027E">
        <w:rPr>
          <w:sz w:val="24"/>
          <w:szCs w:val="24"/>
          <w:lang w:val="en-US"/>
        </w:rPr>
        <w:t>t</w:t>
      </w:r>
      <w:r w:rsidRPr="00EB1528">
        <w:rPr>
          <w:sz w:val="24"/>
          <w:szCs w:val="24"/>
          <w:lang w:val="en-US"/>
        </w:rPr>
        <w:t xml:space="preserve">roubled </w:t>
      </w:r>
      <w:r w:rsidR="0021027E">
        <w:rPr>
          <w:sz w:val="24"/>
          <w:szCs w:val="24"/>
          <w:lang w:val="en-US"/>
        </w:rPr>
        <w:t>c</w:t>
      </w:r>
      <w:r w:rsidRPr="00EB1528">
        <w:rPr>
          <w:sz w:val="24"/>
          <w:szCs w:val="24"/>
          <w:lang w:val="en-US"/>
        </w:rPr>
        <w:t xml:space="preserve">hildren and </w:t>
      </w:r>
      <w:r w:rsidR="0021027E">
        <w:rPr>
          <w:sz w:val="24"/>
          <w:szCs w:val="24"/>
          <w:lang w:val="en-US"/>
        </w:rPr>
        <w:t>f</w:t>
      </w:r>
      <w:r w:rsidRPr="00EB1528">
        <w:rPr>
          <w:sz w:val="24"/>
          <w:szCs w:val="24"/>
          <w:lang w:val="en-US"/>
        </w:rPr>
        <w:t xml:space="preserve">amilies in </w:t>
      </w:r>
      <w:r w:rsidR="0021027E">
        <w:rPr>
          <w:sz w:val="24"/>
          <w:szCs w:val="24"/>
          <w:lang w:val="en-US"/>
        </w:rPr>
        <w:t>l</w:t>
      </w:r>
      <w:r w:rsidRPr="00EB1528">
        <w:rPr>
          <w:sz w:val="24"/>
          <w:szCs w:val="24"/>
          <w:lang w:val="en-US"/>
        </w:rPr>
        <w:t xml:space="preserve">ate </w:t>
      </w:r>
      <w:r w:rsidR="0021027E">
        <w:rPr>
          <w:sz w:val="24"/>
          <w:szCs w:val="24"/>
          <w:lang w:val="en-US"/>
        </w:rPr>
        <w:t>n</w:t>
      </w:r>
      <w:r w:rsidRPr="00EB1528">
        <w:rPr>
          <w:sz w:val="24"/>
          <w:szCs w:val="24"/>
          <w:lang w:val="en-US"/>
        </w:rPr>
        <w:t xml:space="preserve">ineteenth </w:t>
      </w:r>
      <w:r w:rsidR="0021027E">
        <w:rPr>
          <w:sz w:val="24"/>
          <w:szCs w:val="24"/>
          <w:lang w:val="en-US"/>
        </w:rPr>
        <w:t>c</w:t>
      </w:r>
      <w:r w:rsidRPr="00EB1528">
        <w:rPr>
          <w:sz w:val="24"/>
          <w:szCs w:val="24"/>
          <w:lang w:val="en-US"/>
        </w:rPr>
        <w:t xml:space="preserve">entury England and Wales’ </w:t>
      </w:r>
      <w:r w:rsidR="0021027E">
        <w:rPr>
          <w:sz w:val="24"/>
          <w:szCs w:val="24"/>
          <w:lang w:val="en-US"/>
        </w:rPr>
        <w:t>s</w:t>
      </w:r>
      <w:r w:rsidRPr="00EB1528">
        <w:rPr>
          <w:sz w:val="24"/>
          <w:szCs w:val="24"/>
          <w:lang w:val="en-US"/>
        </w:rPr>
        <w:t>ymposium, Oxford Brookes, 12 May 2016.</w:t>
      </w:r>
      <w:r w:rsidRPr="00EB1528">
        <w:rPr>
          <w:b/>
          <w:sz w:val="24"/>
          <w:szCs w:val="24"/>
          <w:lang w:val="en-US"/>
        </w:rPr>
        <w:t xml:space="preserve"> </w:t>
      </w:r>
    </w:p>
    <w:p w14:paraId="288A726C" w14:textId="147C8958" w:rsidR="00BC5A1D" w:rsidRPr="00EB1528" w:rsidRDefault="00E12AAD" w:rsidP="00825C25">
      <w:pPr>
        <w:spacing w:line="360" w:lineRule="auto"/>
        <w:rPr>
          <w:sz w:val="24"/>
          <w:szCs w:val="24"/>
        </w:rPr>
      </w:pPr>
      <w:r w:rsidRPr="00EB1528">
        <w:rPr>
          <w:sz w:val="24"/>
          <w:szCs w:val="24"/>
        </w:rPr>
        <w:t>Webster, D. H. (1973)</w:t>
      </w:r>
      <w:r w:rsidR="00932483">
        <w:rPr>
          <w:sz w:val="24"/>
          <w:szCs w:val="24"/>
        </w:rPr>
        <w:t>.</w:t>
      </w:r>
      <w:r w:rsidRPr="00EB1528">
        <w:rPr>
          <w:sz w:val="24"/>
          <w:szCs w:val="24"/>
        </w:rPr>
        <w:t xml:space="preserve"> The </w:t>
      </w:r>
      <w:r w:rsidR="0021027E">
        <w:rPr>
          <w:sz w:val="24"/>
          <w:szCs w:val="24"/>
        </w:rPr>
        <w:t>r</w:t>
      </w:r>
      <w:r w:rsidRPr="00EB1528">
        <w:rPr>
          <w:sz w:val="24"/>
          <w:szCs w:val="24"/>
        </w:rPr>
        <w:t xml:space="preserve">agged </w:t>
      </w:r>
      <w:r w:rsidR="0021027E">
        <w:rPr>
          <w:sz w:val="24"/>
          <w:szCs w:val="24"/>
        </w:rPr>
        <w:t>s</w:t>
      </w:r>
      <w:r w:rsidRPr="00EB1528">
        <w:rPr>
          <w:sz w:val="24"/>
          <w:szCs w:val="24"/>
        </w:rPr>
        <w:t xml:space="preserve">chool </w:t>
      </w:r>
      <w:r w:rsidR="0021027E">
        <w:rPr>
          <w:sz w:val="24"/>
          <w:szCs w:val="24"/>
        </w:rPr>
        <w:t>m</w:t>
      </w:r>
      <w:r w:rsidRPr="00EB1528">
        <w:rPr>
          <w:sz w:val="24"/>
          <w:szCs w:val="24"/>
        </w:rPr>
        <w:t xml:space="preserve">ovement and the </w:t>
      </w:r>
      <w:r w:rsidR="0021027E">
        <w:rPr>
          <w:sz w:val="24"/>
          <w:szCs w:val="24"/>
        </w:rPr>
        <w:t>e</w:t>
      </w:r>
      <w:r w:rsidRPr="00EB1528">
        <w:rPr>
          <w:sz w:val="24"/>
          <w:szCs w:val="24"/>
        </w:rPr>
        <w:t xml:space="preserve">ducation of the </w:t>
      </w:r>
      <w:r w:rsidR="0021027E">
        <w:rPr>
          <w:sz w:val="24"/>
          <w:szCs w:val="24"/>
        </w:rPr>
        <w:t>p</w:t>
      </w:r>
      <w:r w:rsidRPr="00EB1528">
        <w:rPr>
          <w:sz w:val="24"/>
          <w:szCs w:val="24"/>
        </w:rPr>
        <w:t xml:space="preserve">oor in the </w:t>
      </w:r>
      <w:r w:rsidR="0021027E">
        <w:rPr>
          <w:sz w:val="24"/>
          <w:szCs w:val="24"/>
        </w:rPr>
        <w:t>n</w:t>
      </w:r>
      <w:r w:rsidRPr="00EB1528">
        <w:rPr>
          <w:sz w:val="24"/>
          <w:szCs w:val="24"/>
        </w:rPr>
        <w:t xml:space="preserve">ineteenth </w:t>
      </w:r>
      <w:r w:rsidR="0021027E">
        <w:rPr>
          <w:sz w:val="24"/>
          <w:szCs w:val="24"/>
        </w:rPr>
        <w:t>c</w:t>
      </w:r>
      <w:r w:rsidRPr="00EB1528">
        <w:rPr>
          <w:sz w:val="24"/>
          <w:szCs w:val="24"/>
        </w:rPr>
        <w:t>entur</w:t>
      </w:r>
      <w:r w:rsidR="00932483">
        <w:rPr>
          <w:sz w:val="24"/>
          <w:szCs w:val="24"/>
        </w:rPr>
        <w:t>y (U</w:t>
      </w:r>
      <w:r w:rsidRPr="00EB1528">
        <w:rPr>
          <w:sz w:val="24"/>
          <w:szCs w:val="24"/>
        </w:rPr>
        <w:t xml:space="preserve">npublished </w:t>
      </w:r>
      <w:r w:rsidR="00932483">
        <w:rPr>
          <w:sz w:val="24"/>
          <w:szCs w:val="24"/>
        </w:rPr>
        <w:t>doctoral</w:t>
      </w:r>
      <w:r w:rsidR="00D10F96" w:rsidRPr="00EB1528">
        <w:rPr>
          <w:sz w:val="24"/>
          <w:szCs w:val="24"/>
        </w:rPr>
        <w:t xml:space="preserve"> thesis</w:t>
      </w:r>
      <w:r w:rsidR="00932483">
        <w:rPr>
          <w:sz w:val="24"/>
          <w:szCs w:val="24"/>
        </w:rPr>
        <w:t>).</w:t>
      </w:r>
      <w:r w:rsidR="00D10F96" w:rsidRPr="00EB1528">
        <w:rPr>
          <w:sz w:val="24"/>
          <w:szCs w:val="24"/>
        </w:rPr>
        <w:t xml:space="preserve"> </w:t>
      </w:r>
      <w:r w:rsidRPr="00EB1528">
        <w:rPr>
          <w:sz w:val="24"/>
          <w:szCs w:val="24"/>
        </w:rPr>
        <w:t>University of Leicester</w:t>
      </w:r>
      <w:r w:rsidR="00932483">
        <w:rPr>
          <w:sz w:val="24"/>
          <w:szCs w:val="24"/>
        </w:rPr>
        <w:t>, Leicester</w:t>
      </w:r>
      <w:r w:rsidRPr="00EB1528">
        <w:rPr>
          <w:sz w:val="24"/>
          <w:szCs w:val="24"/>
        </w:rPr>
        <w:t>.</w:t>
      </w:r>
    </w:p>
    <w:p w14:paraId="62545434" w14:textId="584944DE" w:rsidR="00BC5A1D" w:rsidRPr="00EB1528" w:rsidRDefault="00E12AAD" w:rsidP="00825C25">
      <w:pPr>
        <w:spacing w:line="360" w:lineRule="auto"/>
        <w:rPr>
          <w:sz w:val="24"/>
          <w:szCs w:val="24"/>
        </w:rPr>
      </w:pPr>
      <w:r w:rsidRPr="00EB1528">
        <w:rPr>
          <w:sz w:val="24"/>
          <w:szCs w:val="24"/>
          <w:lang w:val="en-US"/>
        </w:rPr>
        <w:t>Williams, L.</w:t>
      </w:r>
      <w:r w:rsidR="00285E65">
        <w:rPr>
          <w:sz w:val="24"/>
          <w:szCs w:val="24"/>
          <w:lang w:val="en-US"/>
        </w:rPr>
        <w:t xml:space="preserve"> </w:t>
      </w:r>
      <w:r w:rsidRPr="00EB1528">
        <w:rPr>
          <w:sz w:val="24"/>
          <w:szCs w:val="24"/>
          <w:lang w:val="en-US"/>
        </w:rPr>
        <w:t>(2014)</w:t>
      </w:r>
      <w:r w:rsidR="00932483">
        <w:rPr>
          <w:sz w:val="24"/>
          <w:szCs w:val="24"/>
          <w:lang w:val="en-US"/>
        </w:rPr>
        <w:t>.</w:t>
      </w:r>
      <w:r w:rsidRPr="00EB1528">
        <w:rPr>
          <w:sz w:val="24"/>
          <w:szCs w:val="24"/>
          <w:lang w:val="en-US"/>
        </w:rPr>
        <w:t xml:space="preserve"> </w:t>
      </w:r>
      <w:r w:rsidRPr="00EB1528">
        <w:rPr>
          <w:iCs/>
          <w:sz w:val="24"/>
          <w:szCs w:val="24"/>
          <w:lang w:val="en-US"/>
        </w:rPr>
        <w:t>‘At large’: women’s lives and offending in Victorian Liverpool and London</w:t>
      </w:r>
      <w:r w:rsidRPr="00EB1528">
        <w:rPr>
          <w:sz w:val="24"/>
          <w:szCs w:val="24"/>
          <w:lang w:val="en-US"/>
        </w:rPr>
        <w:t xml:space="preserve"> </w:t>
      </w:r>
      <w:r w:rsidR="00932483">
        <w:rPr>
          <w:sz w:val="24"/>
          <w:szCs w:val="24"/>
          <w:lang w:val="en-US"/>
        </w:rPr>
        <w:t>(</w:t>
      </w:r>
      <w:r w:rsidRPr="00EB1528">
        <w:rPr>
          <w:sz w:val="24"/>
          <w:szCs w:val="24"/>
          <w:lang w:val="en-US"/>
        </w:rPr>
        <w:t xml:space="preserve">Unpublished </w:t>
      </w:r>
      <w:r w:rsidR="00932483">
        <w:rPr>
          <w:sz w:val="24"/>
          <w:szCs w:val="24"/>
          <w:lang w:val="en-US"/>
        </w:rPr>
        <w:t>doctoral</w:t>
      </w:r>
      <w:r w:rsidR="00932483" w:rsidRPr="00EB1528">
        <w:rPr>
          <w:sz w:val="24"/>
          <w:szCs w:val="24"/>
          <w:lang w:val="en-US"/>
        </w:rPr>
        <w:t xml:space="preserve"> </w:t>
      </w:r>
      <w:r w:rsidRPr="00EB1528">
        <w:rPr>
          <w:sz w:val="24"/>
          <w:szCs w:val="24"/>
          <w:lang w:val="en-US"/>
        </w:rPr>
        <w:t>thesis</w:t>
      </w:r>
      <w:r w:rsidR="00932483">
        <w:rPr>
          <w:sz w:val="24"/>
          <w:szCs w:val="24"/>
          <w:lang w:val="en-US"/>
        </w:rPr>
        <w:t>).</w:t>
      </w:r>
      <w:r w:rsidRPr="00EB1528">
        <w:rPr>
          <w:sz w:val="24"/>
          <w:szCs w:val="24"/>
          <w:lang w:val="en-US"/>
        </w:rPr>
        <w:t xml:space="preserve"> University of Liverpool</w:t>
      </w:r>
      <w:r w:rsidR="00932483">
        <w:rPr>
          <w:sz w:val="24"/>
          <w:szCs w:val="24"/>
          <w:lang w:val="en-US"/>
        </w:rPr>
        <w:t>, Liverpool</w:t>
      </w:r>
      <w:r w:rsidRPr="00EB1528">
        <w:rPr>
          <w:sz w:val="24"/>
          <w:szCs w:val="24"/>
          <w:lang w:val="en-US"/>
        </w:rPr>
        <w:t>.</w:t>
      </w:r>
    </w:p>
    <w:p w14:paraId="582F26DB" w14:textId="1DCB6717" w:rsidR="00BC5A1D" w:rsidRPr="00EB1528" w:rsidRDefault="00E12AAD" w:rsidP="00825C25">
      <w:pPr>
        <w:spacing w:line="360" w:lineRule="auto"/>
        <w:rPr>
          <w:sz w:val="24"/>
          <w:szCs w:val="24"/>
        </w:rPr>
      </w:pPr>
      <w:r w:rsidRPr="00EB1528">
        <w:rPr>
          <w:sz w:val="24"/>
          <w:szCs w:val="24"/>
          <w:lang w:val="en-US"/>
        </w:rPr>
        <w:t>Williams, L. and Godfrey, B. (2015)</w:t>
      </w:r>
      <w:r w:rsidR="00932483">
        <w:rPr>
          <w:sz w:val="24"/>
          <w:szCs w:val="24"/>
          <w:lang w:val="en-US"/>
        </w:rPr>
        <w:t>.</w:t>
      </w:r>
      <w:r w:rsidRPr="00EB1528">
        <w:rPr>
          <w:sz w:val="24"/>
          <w:szCs w:val="24"/>
          <w:lang w:val="en-US"/>
        </w:rPr>
        <w:t xml:space="preserve"> Intergenerational offending in Liverpool and the north-west of England, 1850–1914. </w:t>
      </w:r>
      <w:r w:rsidRPr="00EB1528">
        <w:rPr>
          <w:i/>
          <w:sz w:val="24"/>
          <w:szCs w:val="24"/>
          <w:lang w:val="en-US"/>
        </w:rPr>
        <w:t>The History of the Family</w:t>
      </w:r>
      <w:r w:rsidR="00932483">
        <w:rPr>
          <w:sz w:val="24"/>
          <w:szCs w:val="24"/>
          <w:lang w:val="en-US"/>
        </w:rPr>
        <w:t>,</w:t>
      </w:r>
      <w:r w:rsidRPr="00EB1528">
        <w:rPr>
          <w:sz w:val="24"/>
          <w:szCs w:val="24"/>
          <w:lang w:val="en-US"/>
        </w:rPr>
        <w:t xml:space="preserve"> </w:t>
      </w:r>
      <w:r w:rsidRPr="00C16F41">
        <w:rPr>
          <w:i/>
          <w:sz w:val="24"/>
          <w:szCs w:val="24"/>
          <w:lang w:val="en-US"/>
        </w:rPr>
        <w:t>20</w:t>
      </w:r>
      <w:r w:rsidR="00932483">
        <w:rPr>
          <w:sz w:val="24"/>
          <w:szCs w:val="24"/>
          <w:lang w:val="en-US"/>
        </w:rPr>
        <w:t>(</w:t>
      </w:r>
      <w:r w:rsidRPr="00EB1528">
        <w:rPr>
          <w:sz w:val="24"/>
          <w:szCs w:val="24"/>
          <w:lang w:val="en-US"/>
        </w:rPr>
        <w:t>2</w:t>
      </w:r>
      <w:r w:rsidR="00932483">
        <w:rPr>
          <w:sz w:val="24"/>
          <w:szCs w:val="24"/>
          <w:lang w:val="en-US"/>
        </w:rPr>
        <w:t>)</w:t>
      </w:r>
      <w:r w:rsidRPr="00EB1528">
        <w:rPr>
          <w:sz w:val="24"/>
          <w:szCs w:val="24"/>
          <w:lang w:val="en-US"/>
        </w:rPr>
        <w:t>, 189</w:t>
      </w:r>
      <w:r w:rsidR="00932483">
        <w:rPr>
          <w:sz w:val="24"/>
          <w:szCs w:val="24"/>
          <w:lang w:val="en-US"/>
        </w:rPr>
        <w:t>–</w:t>
      </w:r>
      <w:r w:rsidRPr="00EB1528">
        <w:rPr>
          <w:sz w:val="24"/>
          <w:szCs w:val="24"/>
          <w:lang w:val="en-US"/>
        </w:rPr>
        <w:t>203. Special issue</w:t>
      </w:r>
      <w:r w:rsidR="00012F62">
        <w:rPr>
          <w:sz w:val="24"/>
          <w:szCs w:val="24"/>
          <w:lang w:val="en-US"/>
        </w:rPr>
        <w:t xml:space="preserve">: </w:t>
      </w:r>
      <w:r w:rsidRPr="00EB1528">
        <w:rPr>
          <w:sz w:val="24"/>
          <w:szCs w:val="24"/>
          <w:lang w:val="en-US"/>
        </w:rPr>
        <w:t>The Family and the History of the Prison.</w:t>
      </w:r>
    </w:p>
    <w:p w14:paraId="23F282D7" w14:textId="3FED9A0A" w:rsidR="00225BB3" w:rsidRPr="00EB1528" w:rsidRDefault="00E12AAD" w:rsidP="00825C25">
      <w:pPr>
        <w:spacing w:line="360" w:lineRule="auto"/>
        <w:rPr>
          <w:sz w:val="24"/>
          <w:szCs w:val="24"/>
        </w:rPr>
      </w:pPr>
      <w:r w:rsidRPr="00EB1528">
        <w:rPr>
          <w:sz w:val="24"/>
          <w:szCs w:val="24"/>
        </w:rPr>
        <w:t xml:space="preserve">Zoutewelle-Terovan, M., van der Geest, V., Liefbroer, A., &amp; Bijleveld, C. (2014). Criminality and family formation: Effects of marriage and parenthood on criminal behavior for men and women. </w:t>
      </w:r>
      <w:r w:rsidRPr="00EB1528">
        <w:rPr>
          <w:i/>
          <w:iCs/>
          <w:sz w:val="24"/>
          <w:szCs w:val="24"/>
        </w:rPr>
        <w:t>Crime &amp; Delinquency</w:t>
      </w:r>
      <w:r w:rsidRPr="00EB1528">
        <w:rPr>
          <w:sz w:val="24"/>
          <w:szCs w:val="24"/>
        </w:rPr>
        <w:t xml:space="preserve">, </w:t>
      </w:r>
      <w:r w:rsidRPr="00C16F41">
        <w:rPr>
          <w:i/>
          <w:sz w:val="24"/>
          <w:szCs w:val="24"/>
        </w:rPr>
        <w:t>60</w:t>
      </w:r>
      <w:r w:rsidR="00012F62">
        <w:rPr>
          <w:sz w:val="24"/>
          <w:szCs w:val="24"/>
        </w:rPr>
        <w:t>(</w:t>
      </w:r>
      <w:r w:rsidRPr="00EB1528">
        <w:rPr>
          <w:sz w:val="24"/>
          <w:szCs w:val="24"/>
        </w:rPr>
        <w:t>8</w:t>
      </w:r>
      <w:r w:rsidR="00012F62">
        <w:rPr>
          <w:sz w:val="24"/>
          <w:szCs w:val="24"/>
        </w:rPr>
        <w:t>)</w:t>
      </w:r>
      <w:r w:rsidRPr="00EB1528">
        <w:rPr>
          <w:sz w:val="24"/>
          <w:szCs w:val="24"/>
        </w:rPr>
        <w:t>, 1209</w:t>
      </w:r>
      <w:r w:rsidR="00012F62">
        <w:rPr>
          <w:sz w:val="24"/>
          <w:szCs w:val="24"/>
        </w:rPr>
        <w:t>–</w:t>
      </w:r>
      <w:r w:rsidRPr="00EB1528">
        <w:rPr>
          <w:sz w:val="24"/>
          <w:szCs w:val="24"/>
        </w:rPr>
        <w:t>34</w:t>
      </w:r>
      <w:r w:rsidR="00012F62">
        <w:rPr>
          <w:sz w:val="24"/>
          <w:szCs w:val="24"/>
        </w:rPr>
        <w:t>.</w:t>
      </w:r>
    </w:p>
    <w:sectPr w:rsidR="00225BB3" w:rsidRPr="00EB1528" w:rsidSect="0000550C">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020E0" w14:textId="77777777" w:rsidR="00B12C83" w:rsidRDefault="00B12C83" w:rsidP="000B1147">
      <w:pPr>
        <w:spacing w:after="0" w:line="240" w:lineRule="auto"/>
      </w:pPr>
      <w:r>
        <w:separator/>
      </w:r>
    </w:p>
  </w:endnote>
  <w:endnote w:type="continuationSeparator" w:id="0">
    <w:p w14:paraId="51A55D65" w14:textId="77777777" w:rsidR="00B12C83" w:rsidRDefault="00B12C83" w:rsidP="000B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80763" w14:textId="77777777" w:rsidR="000A0B7B" w:rsidRDefault="000A0B7B" w:rsidP="00EB15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A01CE9" w14:textId="77777777" w:rsidR="000A0B7B" w:rsidRDefault="000A0B7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FC43D" w14:textId="77777777" w:rsidR="000A0B7B" w:rsidRDefault="000A0B7B" w:rsidP="00EB15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7BC3">
      <w:rPr>
        <w:rStyle w:val="PageNumber"/>
        <w:noProof/>
      </w:rPr>
      <w:t>1</w:t>
    </w:r>
    <w:r>
      <w:rPr>
        <w:rStyle w:val="PageNumber"/>
      </w:rPr>
      <w:fldChar w:fldCharType="end"/>
    </w:r>
  </w:p>
  <w:p w14:paraId="121850B9" w14:textId="77777777" w:rsidR="000A0B7B" w:rsidRDefault="000A0B7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E6D5F" w14:textId="77777777" w:rsidR="00B12C83" w:rsidRDefault="00B12C83" w:rsidP="000B1147">
      <w:pPr>
        <w:spacing w:after="0" w:line="240" w:lineRule="auto"/>
      </w:pPr>
      <w:r>
        <w:separator/>
      </w:r>
    </w:p>
  </w:footnote>
  <w:footnote w:type="continuationSeparator" w:id="0">
    <w:p w14:paraId="395A9BF0" w14:textId="77777777" w:rsidR="00B12C83" w:rsidRDefault="00B12C83" w:rsidP="000B1147">
      <w:pPr>
        <w:spacing w:after="0" w:line="240" w:lineRule="auto"/>
      </w:pPr>
      <w:r>
        <w:continuationSeparator/>
      </w:r>
    </w:p>
  </w:footnote>
  <w:footnote w:id="1">
    <w:p w14:paraId="2EFCCD34" w14:textId="53043EC9" w:rsidR="000A0B7B" w:rsidRDefault="000A0B7B" w:rsidP="00EE2337">
      <w:pPr>
        <w:pStyle w:val="FootnoteText"/>
        <w:spacing w:line="360" w:lineRule="auto"/>
      </w:pPr>
    </w:p>
  </w:footnote>
  <w:footnote w:id="2">
    <w:p w14:paraId="043512A1" w14:textId="74E523D0" w:rsidR="000A0B7B" w:rsidRPr="003458D6" w:rsidRDefault="000A0B7B">
      <w:pPr>
        <w:pStyle w:val="FootnoteText"/>
        <w:rPr>
          <w:sz w:val="20"/>
          <w:szCs w:val="20"/>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423665"/>
    <w:multiLevelType w:val="multilevel"/>
    <w:tmpl w:val="EBE40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5A17400"/>
    <w:multiLevelType w:val="hybridMultilevel"/>
    <w:tmpl w:val="F84C3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050"/>
    <w:rsid w:val="000034A6"/>
    <w:rsid w:val="0000550C"/>
    <w:rsid w:val="0000691C"/>
    <w:rsid w:val="00006B7A"/>
    <w:rsid w:val="00010385"/>
    <w:rsid w:val="00012F62"/>
    <w:rsid w:val="0001366A"/>
    <w:rsid w:val="00015ACB"/>
    <w:rsid w:val="00016289"/>
    <w:rsid w:val="00023162"/>
    <w:rsid w:val="0002339C"/>
    <w:rsid w:val="00023CB3"/>
    <w:rsid w:val="00023EAB"/>
    <w:rsid w:val="00032DAD"/>
    <w:rsid w:val="00033745"/>
    <w:rsid w:val="00033E00"/>
    <w:rsid w:val="0003464F"/>
    <w:rsid w:val="00034FBB"/>
    <w:rsid w:val="0003608D"/>
    <w:rsid w:val="0003638D"/>
    <w:rsid w:val="0004107E"/>
    <w:rsid w:val="00041A74"/>
    <w:rsid w:val="0005026D"/>
    <w:rsid w:val="00051738"/>
    <w:rsid w:val="00052509"/>
    <w:rsid w:val="000531C7"/>
    <w:rsid w:val="0005338B"/>
    <w:rsid w:val="00056B2B"/>
    <w:rsid w:val="00057EE1"/>
    <w:rsid w:val="0006251A"/>
    <w:rsid w:val="000645FD"/>
    <w:rsid w:val="00065F36"/>
    <w:rsid w:val="00066A7A"/>
    <w:rsid w:val="000717A8"/>
    <w:rsid w:val="00074765"/>
    <w:rsid w:val="00074E0B"/>
    <w:rsid w:val="0008541A"/>
    <w:rsid w:val="00085E4F"/>
    <w:rsid w:val="00086282"/>
    <w:rsid w:val="000878A3"/>
    <w:rsid w:val="000923F3"/>
    <w:rsid w:val="000A089F"/>
    <w:rsid w:val="000A0B7B"/>
    <w:rsid w:val="000A1014"/>
    <w:rsid w:val="000A3A79"/>
    <w:rsid w:val="000B039A"/>
    <w:rsid w:val="000B051F"/>
    <w:rsid w:val="000B1147"/>
    <w:rsid w:val="000B137B"/>
    <w:rsid w:val="000B5E61"/>
    <w:rsid w:val="000C42AE"/>
    <w:rsid w:val="000C4454"/>
    <w:rsid w:val="000C4538"/>
    <w:rsid w:val="000C588C"/>
    <w:rsid w:val="000C5901"/>
    <w:rsid w:val="000C7B03"/>
    <w:rsid w:val="000C7BE7"/>
    <w:rsid w:val="000D529F"/>
    <w:rsid w:val="000D5542"/>
    <w:rsid w:val="000D6F83"/>
    <w:rsid w:val="000E35F9"/>
    <w:rsid w:val="000E401F"/>
    <w:rsid w:val="000E4E7F"/>
    <w:rsid w:val="000E6068"/>
    <w:rsid w:val="000E74EF"/>
    <w:rsid w:val="000F04C6"/>
    <w:rsid w:val="000F67FC"/>
    <w:rsid w:val="00101ABA"/>
    <w:rsid w:val="001020BF"/>
    <w:rsid w:val="001051A7"/>
    <w:rsid w:val="001070CD"/>
    <w:rsid w:val="001108C7"/>
    <w:rsid w:val="00111353"/>
    <w:rsid w:val="00111A9F"/>
    <w:rsid w:val="00113442"/>
    <w:rsid w:val="00114D99"/>
    <w:rsid w:val="00117D5C"/>
    <w:rsid w:val="00120268"/>
    <w:rsid w:val="0012066D"/>
    <w:rsid w:val="00123AB6"/>
    <w:rsid w:val="00123BCD"/>
    <w:rsid w:val="0012406E"/>
    <w:rsid w:val="00125B48"/>
    <w:rsid w:val="00125BC8"/>
    <w:rsid w:val="00126189"/>
    <w:rsid w:val="001270E2"/>
    <w:rsid w:val="00130D58"/>
    <w:rsid w:val="00131382"/>
    <w:rsid w:val="00131BF7"/>
    <w:rsid w:val="001355EA"/>
    <w:rsid w:val="00136E88"/>
    <w:rsid w:val="001405E8"/>
    <w:rsid w:val="00141E91"/>
    <w:rsid w:val="00144054"/>
    <w:rsid w:val="0014516B"/>
    <w:rsid w:val="00145F39"/>
    <w:rsid w:val="001549C8"/>
    <w:rsid w:val="00156A3E"/>
    <w:rsid w:val="00157D20"/>
    <w:rsid w:val="00160427"/>
    <w:rsid w:val="00164754"/>
    <w:rsid w:val="00165029"/>
    <w:rsid w:val="001652EF"/>
    <w:rsid w:val="001663F7"/>
    <w:rsid w:val="001676C4"/>
    <w:rsid w:val="001700DF"/>
    <w:rsid w:val="001751A3"/>
    <w:rsid w:val="00176AED"/>
    <w:rsid w:val="001770D6"/>
    <w:rsid w:val="00184C5C"/>
    <w:rsid w:val="00185D0D"/>
    <w:rsid w:val="00187439"/>
    <w:rsid w:val="00187D7F"/>
    <w:rsid w:val="00191562"/>
    <w:rsid w:val="00192DB8"/>
    <w:rsid w:val="00194257"/>
    <w:rsid w:val="00195847"/>
    <w:rsid w:val="0019741A"/>
    <w:rsid w:val="00197B85"/>
    <w:rsid w:val="001A1006"/>
    <w:rsid w:val="001A145D"/>
    <w:rsid w:val="001A3BEF"/>
    <w:rsid w:val="001A5DC2"/>
    <w:rsid w:val="001A6BD9"/>
    <w:rsid w:val="001A6E5A"/>
    <w:rsid w:val="001B1208"/>
    <w:rsid w:val="001C4083"/>
    <w:rsid w:val="001C7D3E"/>
    <w:rsid w:val="001D458B"/>
    <w:rsid w:val="001D50B0"/>
    <w:rsid w:val="001D733C"/>
    <w:rsid w:val="001D7EAD"/>
    <w:rsid w:val="001E2B9A"/>
    <w:rsid w:val="001E3DC8"/>
    <w:rsid w:val="001F55D7"/>
    <w:rsid w:val="001F6945"/>
    <w:rsid w:val="001F74DA"/>
    <w:rsid w:val="001F7A56"/>
    <w:rsid w:val="001F7ADD"/>
    <w:rsid w:val="00200791"/>
    <w:rsid w:val="00207EF1"/>
    <w:rsid w:val="00207FFD"/>
    <w:rsid w:val="0021027E"/>
    <w:rsid w:val="00210F2A"/>
    <w:rsid w:val="00212232"/>
    <w:rsid w:val="00213040"/>
    <w:rsid w:val="0022252F"/>
    <w:rsid w:val="002228CA"/>
    <w:rsid w:val="00225645"/>
    <w:rsid w:val="00225BB3"/>
    <w:rsid w:val="00226E13"/>
    <w:rsid w:val="0023109B"/>
    <w:rsid w:val="00231598"/>
    <w:rsid w:val="0023586C"/>
    <w:rsid w:val="00236B59"/>
    <w:rsid w:val="00237D74"/>
    <w:rsid w:val="00241055"/>
    <w:rsid w:val="002452F3"/>
    <w:rsid w:val="002456FA"/>
    <w:rsid w:val="00247AC9"/>
    <w:rsid w:val="002614E9"/>
    <w:rsid w:val="00262008"/>
    <w:rsid w:val="00262D04"/>
    <w:rsid w:val="0026368C"/>
    <w:rsid w:val="00267044"/>
    <w:rsid w:val="0027032D"/>
    <w:rsid w:val="002707F4"/>
    <w:rsid w:val="0027157A"/>
    <w:rsid w:val="00275BF9"/>
    <w:rsid w:val="00276171"/>
    <w:rsid w:val="002766D3"/>
    <w:rsid w:val="00280029"/>
    <w:rsid w:val="00280494"/>
    <w:rsid w:val="00280836"/>
    <w:rsid w:val="002838DF"/>
    <w:rsid w:val="002859F3"/>
    <w:rsid w:val="00285E65"/>
    <w:rsid w:val="002860CE"/>
    <w:rsid w:val="00291C8C"/>
    <w:rsid w:val="00293293"/>
    <w:rsid w:val="00293932"/>
    <w:rsid w:val="002969B9"/>
    <w:rsid w:val="0029713A"/>
    <w:rsid w:val="002972F7"/>
    <w:rsid w:val="002A7FFA"/>
    <w:rsid w:val="002B0EDD"/>
    <w:rsid w:val="002B18ED"/>
    <w:rsid w:val="002B23F0"/>
    <w:rsid w:val="002B3A5F"/>
    <w:rsid w:val="002B6C0E"/>
    <w:rsid w:val="002C16F8"/>
    <w:rsid w:val="002C4862"/>
    <w:rsid w:val="002C7425"/>
    <w:rsid w:val="002D0C5A"/>
    <w:rsid w:val="002D135F"/>
    <w:rsid w:val="002D213E"/>
    <w:rsid w:val="002D6DF0"/>
    <w:rsid w:val="002E356C"/>
    <w:rsid w:val="002E480E"/>
    <w:rsid w:val="002E6352"/>
    <w:rsid w:val="002E6D7F"/>
    <w:rsid w:val="002F004D"/>
    <w:rsid w:val="002F3E8E"/>
    <w:rsid w:val="002F7895"/>
    <w:rsid w:val="002F7D21"/>
    <w:rsid w:val="00302581"/>
    <w:rsid w:val="00303D73"/>
    <w:rsid w:val="00310844"/>
    <w:rsid w:val="00313017"/>
    <w:rsid w:val="00313087"/>
    <w:rsid w:val="00313975"/>
    <w:rsid w:val="003148E9"/>
    <w:rsid w:val="00315400"/>
    <w:rsid w:val="0031584E"/>
    <w:rsid w:val="00315B3F"/>
    <w:rsid w:val="00320594"/>
    <w:rsid w:val="0032065A"/>
    <w:rsid w:val="00320B96"/>
    <w:rsid w:val="00325ABB"/>
    <w:rsid w:val="00331AE2"/>
    <w:rsid w:val="00335210"/>
    <w:rsid w:val="00340138"/>
    <w:rsid w:val="00342C61"/>
    <w:rsid w:val="003458D6"/>
    <w:rsid w:val="00350BBB"/>
    <w:rsid w:val="00352345"/>
    <w:rsid w:val="003564BC"/>
    <w:rsid w:val="00356874"/>
    <w:rsid w:val="00357957"/>
    <w:rsid w:val="0036191A"/>
    <w:rsid w:val="00364D31"/>
    <w:rsid w:val="0037258D"/>
    <w:rsid w:val="00373167"/>
    <w:rsid w:val="0037369A"/>
    <w:rsid w:val="0037504E"/>
    <w:rsid w:val="00375B46"/>
    <w:rsid w:val="00376BC3"/>
    <w:rsid w:val="00376DAB"/>
    <w:rsid w:val="003801FF"/>
    <w:rsid w:val="00381E3F"/>
    <w:rsid w:val="00382F93"/>
    <w:rsid w:val="00383034"/>
    <w:rsid w:val="0038442C"/>
    <w:rsid w:val="003845D4"/>
    <w:rsid w:val="0038758E"/>
    <w:rsid w:val="00387BC3"/>
    <w:rsid w:val="00393686"/>
    <w:rsid w:val="003967EA"/>
    <w:rsid w:val="003A1E6A"/>
    <w:rsid w:val="003A309B"/>
    <w:rsid w:val="003A5FF9"/>
    <w:rsid w:val="003B2CF2"/>
    <w:rsid w:val="003B7B0E"/>
    <w:rsid w:val="003C0A1F"/>
    <w:rsid w:val="003C1F9A"/>
    <w:rsid w:val="003C2075"/>
    <w:rsid w:val="003C22FA"/>
    <w:rsid w:val="003C258B"/>
    <w:rsid w:val="003C6128"/>
    <w:rsid w:val="003C6916"/>
    <w:rsid w:val="003C7D8F"/>
    <w:rsid w:val="003C7FCA"/>
    <w:rsid w:val="003D0E10"/>
    <w:rsid w:val="003D3EC9"/>
    <w:rsid w:val="003D652B"/>
    <w:rsid w:val="003E042E"/>
    <w:rsid w:val="003E3CAE"/>
    <w:rsid w:val="003E79A3"/>
    <w:rsid w:val="003F0BF1"/>
    <w:rsid w:val="003F0D8F"/>
    <w:rsid w:val="003F2A04"/>
    <w:rsid w:val="003F2FD0"/>
    <w:rsid w:val="003F48A4"/>
    <w:rsid w:val="003F48DB"/>
    <w:rsid w:val="00401E7A"/>
    <w:rsid w:val="0040246A"/>
    <w:rsid w:val="004028A6"/>
    <w:rsid w:val="00407407"/>
    <w:rsid w:val="0040774C"/>
    <w:rsid w:val="004126CA"/>
    <w:rsid w:val="00412A3F"/>
    <w:rsid w:val="004142CA"/>
    <w:rsid w:val="00415476"/>
    <w:rsid w:val="0041559F"/>
    <w:rsid w:val="00426C4A"/>
    <w:rsid w:val="004276C4"/>
    <w:rsid w:val="004305B8"/>
    <w:rsid w:val="0043085E"/>
    <w:rsid w:val="00432979"/>
    <w:rsid w:val="00432AC0"/>
    <w:rsid w:val="00434D9A"/>
    <w:rsid w:val="00435322"/>
    <w:rsid w:val="00435BF5"/>
    <w:rsid w:val="00436D5F"/>
    <w:rsid w:val="004446AB"/>
    <w:rsid w:val="00444E80"/>
    <w:rsid w:val="00447E38"/>
    <w:rsid w:val="00453506"/>
    <w:rsid w:val="00455C16"/>
    <w:rsid w:val="00455D2C"/>
    <w:rsid w:val="0045663E"/>
    <w:rsid w:val="00456CB2"/>
    <w:rsid w:val="0046081A"/>
    <w:rsid w:val="004615DA"/>
    <w:rsid w:val="0046186B"/>
    <w:rsid w:val="00462D2D"/>
    <w:rsid w:val="00465F0F"/>
    <w:rsid w:val="004672A4"/>
    <w:rsid w:val="00467582"/>
    <w:rsid w:val="00472029"/>
    <w:rsid w:val="004724C3"/>
    <w:rsid w:val="00475BDD"/>
    <w:rsid w:val="00476F06"/>
    <w:rsid w:val="00480156"/>
    <w:rsid w:val="004820DC"/>
    <w:rsid w:val="00484060"/>
    <w:rsid w:val="00485535"/>
    <w:rsid w:val="00486CF1"/>
    <w:rsid w:val="00491025"/>
    <w:rsid w:val="00492368"/>
    <w:rsid w:val="0049350D"/>
    <w:rsid w:val="00494222"/>
    <w:rsid w:val="00494DBC"/>
    <w:rsid w:val="0049569B"/>
    <w:rsid w:val="00496BBE"/>
    <w:rsid w:val="004A1C0C"/>
    <w:rsid w:val="004A37B3"/>
    <w:rsid w:val="004A3F26"/>
    <w:rsid w:val="004A5162"/>
    <w:rsid w:val="004A5B32"/>
    <w:rsid w:val="004A7740"/>
    <w:rsid w:val="004B0AA1"/>
    <w:rsid w:val="004B3479"/>
    <w:rsid w:val="004B4369"/>
    <w:rsid w:val="004B51EA"/>
    <w:rsid w:val="004D141D"/>
    <w:rsid w:val="004D3CBC"/>
    <w:rsid w:val="004D5B4E"/>
    <w:rsid w:val="004D6008"/>
    <w:rsid w:val="004D6675"/>
    <w:rsid w:val="004E0BE8"/>
    <w:rsid w:val="004E20CF"/>
    <w:rsid w:val="004E50A5"/>
    <w:rsid w:val="004E59CB"/>
    <w:rsid w:val="004E6124"/>
    <w:rsid w:val="004E747B"/>
    <w:rsid w:val="004F13F8"/>
    <w:rsid w:val="004F184A"/>
    <w:rsid w:val="004F212C"/>
    <w:rsid w:val="004F658E"/>
    <w:rsid w:val="00502540"/>
    <w:rsid w:val="0050288D"/>
    <w:rsid w:val="00504EAC"/>
    <w:rsid w:val="00507F7A"/>
    <w:rsid w:val="005103BD"/>
    <w:rsid w:val="005118C4"/>
    <w:rsid w:val="005154E9"/>
    <w:rsid w:val="00527AFA"/>
    <w:rsid w:val="00532AEB"/>
    <w:rsid w:val="0053657D"/>
    <w:rsid w:val="005376E3"/>
    <w:rsid w:val="005401FD"/>
    <w:rsid w:val="00542954"/>
    <w:rsid w:val="00542E37"/>
    <w:rsid w:val="00551A6E"/>
    <w:rsid w:val="0055388A"/>
    <w:rsid w:val="00555513"/>
    <w:rsid w:val="00556DD2"/>
    <w:rsid w:val="005573E4"/>
    <w:rsid w:val="00560DE3"/>
    <w:rsid w:val="005658DF"/>
    <w:rsid w:val="00570986"/>
    <w:rsid w:val="005716F1"/>
    <w:rsid w:val="00574F8C"/>
    <w:rsid w:val="00576245"/>
    <w:rsid w:val="00582755"/>
    <w:rsid w:val="00582E74"/>
    <w:rsid w:val="005834A1"/>
    <w:rsid w:val="00587653"/>
    <w:rsid w:val="005901B4"/>
    <w:rsid w:val="00592FB9"/>
    <w:rsid w:val="00593FB2"/>
    <w:rsid w:val="00595F41"/>
    <w:rsid w:val="005968AB"/>
    <w:rsid w:val="00597BAD"/>
    <w:rsid w:val="00597DF2"/>
    <w:rsid w:val="005A24C5"/>
    <w:rsid w:val="005A3CD3"/>
    <w:rsid w:val="005A6E50"/>
    <w:rsid w:val="005A7CF6"/>
    <w:rsid w:val="005B2776"/>
    <w:rsid w:val="005B54AA"/>
    <w:rsid w:val="005B5B8F"/>
    <w:rsid w:val="005B636D"/>
    <w:rsid w:val="005B76DA"/>
    <w:rsid w:val="005C2A37"/>
    <w:rsid w:val="005C312A"/>
    <w:rsid w:val="005C56D1"/>
    <w:rsid w:val="005D0131"/>
    <w:rsid w:val="005D103C"/>
    <w:rsid w:val="005D25F1"/>
    <w:rsid w:val="005D6A0C"/>
    <w:rsid w:val="005E7222"/>
    <w:rsid w:val="005E771A"/>
    <w:rsid w:val="005F5606"/>
    <w:rsid w:val="00606A31"/>
    <w:rsid w:val="00606AFB"/>
    <w:rsid w:val="0061009A"/>
    <w:rsid w:val="006102BC"/>
    <w:rsid w:val="00612C14"/>
    <w:rsid w:val="00616C1B"/>
    <w:rsid w:val="00623103"/>
    <w:rsid w:val="00627E0E"/>
    <w:rsid w:val="00631011"/>
    <w:rsid w:val="006318AB"/>
    <w:rsid w:val="00632C78"/>
    <w:rsid w:val="0063383C"/>
    <w:rsid w:val="006354E8"/>
    <w:rsid w:val="006435BC"/>
    <w:rsid w:val="00643D3D"/>
    <w:rsid w:val="006463FF"/>
    <w:rsid w:val="00647000"/>
    <w:rsid w:val="00647763"/>
    <w:rsid w:val="006530D1"/>
    <w:rsid w:val="00654C04"/>
    <w:rsid w:val="0066114C"/>
    <w:rsid w:val="006634C5"/>
    <w:rsid w:val="0066531F"/>
    <w:rsid w:val="0066600C"/>
    <w:rsid w:val="00670353"/>
    <w:rsid w:val="00670B54"/>
    <w:rsid w:val="00672437"/>
    <w:rsid w:val="00672D34"/>
    <w:rsid w:val="00673D53"/>
    <w:rsid w:val="006765CE"/>
    <w:rsid w:val="006829A7"/>
    <w:rsid w:val="00683C28"/>
    <w:rsid w:val="00683E62"/>
    <w:rsid w:val="00684F61"/>
    <w:rsid w:val="00685D2E"/>
    <w:rsid w:val="0068694C"/>
    <w:rsid w:val="006873BB"/>
    <w:rsid w:val="0069129D"/>
    <w:rsid w:val="00691EDD"/>
    <w:rsid w:val="006955DF"/>
    <w:rsid w:val="00697767"/>
    <w:rsid w:val="00697BB3"/>
    <w:rsid w:val="006A477F"/>
    <w:rsid w:val="006A4D53"/>
    <w:rsid w:val="006A5E52"/>
    <w:rsid w:val="006A6B26"/>
    <w:rsid w:val="006A6FBE"/>
    <w:rsid w:val="006A7E62"/>
    <w:rsid w:val="006B1608"/>
    <w:rsid w:val="006B1808"/>
    <w:rsid w:val="006B18D1"/>
    <w:rsid w:val="006B3C63"/>
    <w:rsid w:val="006B75C7"/>
    <w:rsid w:val="006B77B3"/>
    <w:rsid w:val="006B7AC7"/>
    <w:rsid w:val="006C01B8"/>
    <w:rsid w:val="006C377E"/>
    <w:rsid w:val="006C4032"/>
    <w:rsid w:val="006C44E8"/>
    <w:rsid w:val="006C554B"/>
    <w:rsid w:val="006C621F"/>
    <w:rsid w:val="006D1A8E"/>
    <w:rsid w:val="006E272E"/>
    <w:rsid w:val="006E3370"/>
    <w:rsid w:val="006E6A0A"/>
    <w:rsid w:val="006F0A49"/>
    <w:rsid w:val="006F0B9B"/>
    <w:rsid w:val="006F4988"/>
    <w:rsid w:val="006F7441"/>
    <w:rsid w:val="006F76F9"/>
    <w:rsid w:val="006F7ED7"/>
    <w:rsid w:val="00701279"/>
    <w:rsid w:val="007015EB"/>
    <w:rsid w:val="00702585"/>
    <w:rsid w:val="0070284B"/>
    <w:rsid w:val="00704C28"/>
    <w:rsid w:val="00705F3C"/>
    <w:rsid w:val="00706882"/>
    <w:rsid w:val="00707F82"/>
    <w:rsid w:val="00717399"/>
    <w:rsid w:val="00717A31"/>
    <w:rsid w:val="00722864"/>
    <w:rsid w:val="00723E60"/>
    <w:rsid w:val="0072451D"/>
    <w:rsid w:val="00725F0D"/>
    <w:rsid w:val="00732143"/>
    <w:rsid w:val="00735244"/>
    <w:rsid w:val="00736235"/>
    <w:rsid w:val="00737844"/>
    <w:rsid w:val="00740B2C"/>
    <w:rsid w:val="00740BAB"/>
    <w:rsid w:val="007421DD"/>
    <w:rsid w:val="00742567"/>
    <w:rsid w:val="00742ADD"/>
    <w:rsid w:val="00745E09"/>
    <w:rsid w:val="00746DF2"/>
    <w:rsid w:val="00750FFA"/>
    <w:rsid w:val="00752674"/>
    <w:rsid w:val="00761316"/>
    <w:rsid w:val="00761788"/>
    <w:rsid w:val="00761D78"/>
    <w:rsid w:val="00765194"/>
    <w:rsid w:val="00772268"/>
    <w:rsid w:val="007733E2"/>
    <w:rsid w:val="007748F8"/>
    <w:rsid w:val="007751EE"/>
    <w:rsid w:val="00777884"/>
    <w:rsid w:val="00780757"/>
    <w:rsid w:val="00783D98"/>
    <w:rsid w:val="00784439"/>
    <w:rsid w:val="00785B84"/>
    <w:rsid w:val="00786F7F"/>
    <w:rsid w:val="007879E1"/>
    <w:rsid w:val="007929C2"/>
    <w:rsid w:val="00792F93"/>
    <w:rsid w:val="00793944"/>
    <w:rsid w:val="007965EF"/>
    <w:rsid w:val="00797429"/>
    <w:rsid w:val="007A1081"/>
    <w:rsid w:val="007A3788"/>
    <w:rsid w:val="007A4B31"/>
    <w:rsid w:val="007A7176"/>
    <w:rsid w:val="007A79E6"/>
    <w:rsid w:val="007B0677"/>
    <w:rsid w:val="007B18E5"/>
    <w:rsid w:val="007B369B"/>
    <w:rsid w:val="007B5C4F"/>
    <w:rsid w:val="007B7612"/>
    <w:rsid w:val="007B7D46"/>
    <w:rsid w:val="007B7D79"/>
    <w:rsid w:val="007C0174"/>
    <w:rsid w:val="007C1D71"/>
    <w:rsid w:val="007D5371"/>
    <w:rsid w:val="007D5EC6"/>
    <w:rsid w:val="007E08DA"/>
    <w:rsid w:val="007E1829"/>
    <w:rsid w:val="007E352F"/>
    <w:rsid w:val="007E5C60"/>
    <w:rsid w:val="007E7342"/>
    <w:rsid w:val="007E7C8F"/>
    <w:rsid w:val="007F0022"/>
    <w:rsid w:val="007F15FA"/>
    <w:rsid w:val="007F1A06"/>
    <w:rsid w:val="007F1E37"/>
    <w:rsid w:val="007F3CD5"/>
    <w:rsid w:val="00804E12"/>
    <w:rsid w:val="00807503"/>
    <w:rsid w:val="00807EA1"/>
    <w:rsid w:val="00816676"/>
    <w:rsid w:val="00820613"/>
    <w:rsid w:val="00821E4E"/>
    <w:rsid w:val="00825C25"/>
    <w:rsid w:val="00825FFB"/>
    <w:rsid w:val="00826B54"/>
    <w:rsid w:val="00826F13"/>
    <w:rsid w:val="0083122B"/>
    <w:rsid w:val="00832590"/>
    <w:rsid w:val="00836BA1"/>
    <w:rsid w:val="0084175E"/>
    <w:rsid w:val="00845A61"/>
    <w:rsid w:val="008464F6"/>
    <w:rsid w:val="00846F0D"/>
    <w:rsid w:val="00852FB2"/>
    <w:rsid w:val="008541E9"/>
    <w:rsid w:val="00854213"/>
    <w:rsid w:val="00854466"/>
    <w:rsid w:val="00854644"/>
    <w:rsid w:val="00854861"/>
    <w:rsid w:val="00860139"/>
    <w:rsid w:val="00860897"/>
    <w:rsid w:val="008627C9"/>
    <w:rsid w:val="0086729C"/>
    <w:rsid w:val="00873337"/>
    <w:rsid w:val="00874406"/>
    <w:rsid w:val="008830EA"/>
    <w:rsid w:val="00887CAD"/>
    <w:rsid w:val="00890C47"/>
    <w:rsid w:val="00893DEB"/>
    <w:rsid w:val="00894FCF"/>
    <w:rsid w:val="0089789B"/>
    <w:rsid w:val="008A0BA7"/>
    <w:rsid w:val="008A4FD1"/>
    <w:rsid w:val="008A5547"/>
    <w:rsid w:val="008A5936"/>
    <w:rsid w:val="008A7245"/>
    <w:rsid w:val="008B16F9"/>
    <w:rsid w:val="008B2CB5"/>
    <w:rsid w:val="008B41D9"/>
    <w:rsid w:val="008B6C98"/>
    <w:rsid w:val="008C2D87"/>
    <w:rsid w:val="008C5BC8"/>
    <w:rsid w:val="008C7485"/>
    <w:rsid w:val="008D165E"/>
    <w:rsid w:val="008D207B"/>
    <w:rsid w:val="008D4119"/>
    <w:rsid w:val="008D53FA"/>
    <w:rsid w:val="008D7D7A"/>
    <w:rsid w:val="008E2D24"/>
    <w:rsid w:val="008E3170"/>
    <w:rsid w:val="008E62E3"/>
    <w:rsid w:val="008E7A7B"/>
    <w:rsid w:val="008F5D6F"/>
    <w:rsid w:val="0090128D"/>
    <w:rsid w:val="00902189"/>
    <w:rsid w:val="0090484E"/>
    <w:rsid w:val="00905BAB"/>
    <w:rsid w:val="00906E39"/>
    <w:rsid w:val="00907B24"/>
    <w:rsid w:val="00914FB6"/>
    <w:rsid w:val="009158EC"/>
    <w:rsid w:val="00927152"/>
    <w:rsid w:val="00932483"/>
    <w:rsid w:val="009346C9"/>
    <w:rsid w:val="00940542"/>
    <w:rsid w:val="009439E8"/>
    <w:rsid w:val="00946D22"/>
    <w:rsid w:val="00947BFF"/>
    <w:rsid w:val="009501CE"/>
    <w:rsid w:val="00956597"/>
    <w:rsid w:val="00956BF4"/>
    <w:rsid w:val="00960529"/>
    <w:rsid w:val="0096098A"/>
    <w:rsid w:val="00966347"/>
    <w:rsid w:val="009676E8"/>
    <w:rsid w:val="0097035E"/>
    <w:rsid w:val="009746B3"/>
    <w:rsid w:val="00976432"/>
    <w:rsid w:val="009803DF"/>
    <w:rsid w:val="00980B2E"/>
    <w:rsid w:val="00981302"/>
    <w:rsid w:val="009819DF"/>
    <w:rsid w:val="00984948"/>
    <w:rsid w:val="00985D8C"/>
    <w:rsid w:val="00990AD9"/>
    <w:rsid w:val="00991F2D"/>
    <w:rsid w:val="00992610"/>
    <w:rsid w:val="0099504A"/>
    <w:rsid w:val="00995BAE"/>
    <w:rsid w:val="009978FE"/>
    <w:rsid w:val="009A3065"/>
    <w:rsid w:val="009A309D"/>
    <w:rsid w:val="009A5B20"/>
    <w:rsid w:val="009B1B43"/>
    <w:rsid w:val="009B20F0"/>
    <w:rsid w:val="009B2296"/>
    <w:rsid w:val="009B4A27"/>
    <w:rsid w:val="009B4C10"/>
    <w:rsid w:val="009B4D7F"/>
    <w:rsid w:val="009B4F7E"/>
    <w:rsid w:val="009B5928"/>
    <w:rsid w:val="009B6DAE"/>
    <w:rsid w:val="009B7968"/>
    <w:rsid w:val="009C00A2"/>
    <w:rsid w:val="009C1EE5"/>
    <w:rsid w:val="009C2191"/>
    <w:rsid w:val="009C660C"/>
    <w:rsid w:val="009C6AEA"/>
    <w:rsid w:val="009D008D"/>
    <w:rsid w:val="009D0896"/>
    <w:rsid w:val="009D1981"/>
    <w:rsid w:val="009D3033"/>
    <w:rsid w:val="009D486F"/>
    <w:rsid w:val="009E1221"/>
    <w:rsid w:val="009E2451"/>
    <w:rsid w:val="009E3FFE"/>
    <w:rsid w:val="009F0749"/>
    <w:rsid w:val="009F20D7"/>
    <w:rsid w:val="009F5D8C"/>
    <w:rsid w:val="00A048AF"/>
    <w:rsid w:val="00A04ACC"/>
    <w:rsid w:val="00A105C7"/>
    <w:rsid w:val="00A1158C"/>
    <w:rsid w:val="00A146B1"/>
    <w:rsid w:val="00A23A17"/>
    <w:rsid w:val="00A27937"/>
    <w:rsid w:val="00A31E05"/>
    <w:rsid w:val="00A331ED"/>
    <w:rsid w:val="00A349B0"/>
    <w:rsid w:val="00A36E21"/>
    <w:rsid w:val="00A37D31"/>
    <w:rsid w:val="00A40754"/>
    <w:rsid w:val="00A42621"/>
    <w:rsid w:val="00A451AA"/>
    <w:rsid w:val="00A461F5"/>
    <w:rsid w:val="00A462F4"/>
    <w:rsid w:val="00A50115"/>
    <w:rsid w:val="00A56E45"/>
    <w:rsid w:val="00A57829"/>
    <w:rsid w:val="00A60017"/>
    <w:rsid w:val="00A605FF"/>
    <w:rsid w:val="00A622E1"/>
    <w:rsid w:val="00A641E2"/>
    <w:rsid w:val="00A65465"/>
    <w:rsid w:val="00A65DBA"/>
    <w:rsid w:val="00A67635"/>
    <w:rsid w:val="00A810A6"/>
    <w:rsid w:val="00A81E3E"/>
    <w:rsid w:val="00A9163A"/>
    <w:rsid w:val="00A9294A"/>
    <w:rsid w:val="00A96775"/>
    <w:rsid w:val="00AA0E78"/>
    <w:rsid w:val="00AA207E"/>
    <w:rsid w:val="00AA29CF"/>
    <w:rsid w:val="00AA2C3F"/>
    <w:rsid w:val="00AA4007"/>
    <w:rsid w:val="00AA4AC5"/>
    <w:rsid w:val="00AA6976"/>
    <w:rsid w:val="00AA7AD7"/>
    <w:rsid w:val="00AB0632"/>
    <w:rsid w:val="00AB2B9D"/>
    <w:rsid w:val="00AB3D98"/>
    <w:rsid w:val="00AB4378"/>
    <w:rsid w:val="00AC417F"/>
    <w:rsid w:val="00AC66B8"/>
    <w:rsid w:val="00AC6F7B"/>
    <w:rsid w:val="00AD302F"/>
    <w:rsid w:val="00AD70FC"/>
    <w:rsid w:val="00AD75C5"/>
    <w:rsid w:val="00AE0B5C"/>
    <w:rsid w:val="00AE129E"/>
    <w:rsid w:val="00AE14D1"/>
    <w:rsid w:val="00AE4051"/>
    <w:rsid w:val="00AE4738"/>
    <w:rsid w:val="00AF4E14"/>
    <w:rsid w:val="00AF5374"/>
    <w:rsid w:val="00AF60EC"/>
    <w:rsid w:val="00AF6D3A"/>
    <w:rsid w:val="00AF7C15"/>
    <w:rsid w:val="00B03082"/>
    <w:rsid w:val="00B04366"/>
    <w:rsid w:val="00B06EBE"/>
    <w:rsid w:val="00B12C83"/>
    <w:rsid w:val="00B13511"/>
    <w:rsid w:val="00B20C9E"/>
    <w:rsid w:val="00B2136D"/>
    <w:rsid w:val="00B21800"/>
    <w:rsid w:val="00B21981"/>
    <w:rsid w:val="00B21A81"/>
    <w:rsid w:val="00B228CA"/>
    <w:rsid w:val="00B2312C"/>
    <w:rsid w:val="00B23363"/>
    <w:rsid w:val="00B257C7"/>
    <w:rsid w:val="00B300DD"/>
    <w:rsid w:val="00B32200"/>
    <w:rsid w:val="00B36084"/>
    <w:rsid w:val="00B37F74"/>
    <w:rsid w:val="00B433D0"/>
    <w:rsid w:val="00B43450"/>
    <w:rsid w:val="00B47068"/>
    <w:rsid w:val="00B4774F"/>
    <w:rsid w:val="00B5163D"/>
    <w:rsid w:val="00B51AD1"/>
    <w:rsid w:val="00B55229"/>
    <w:rsid w:val="00B57464"/>
    <w:rsid w:val="00B61963"/>
    <w:rsid w:val="00B6201A"/>
    <w:rsid w:val="00B64DF0"/>
    <w:rsid w:val="00B651A8"/>
    <w:rsid w:val="00B734FE"/>
    <w:rsid w:val="00B765A9"/>
    <w:rsid w:val="00B82A6E"/>
    <w:rsid w:val="00B834AB"/>
    <w:rsid w:val="00B85973"/>
    <w:rsid w:val="00B85A94"/>
    <w:rsid w:val="00B87E7F"/>
    <w:rsid w:val="00B9463C"/>
    <w:rsid w:val="00BA13E6"/>
    <w:rsid w:val="00BA29A1"/>
    <w:rsid w:val="00BA76AB"/>
    <w:rsid w:val="00BB22DD"/>
    <w:rsid w:val="00BB6548"/>
    <w:rsid w:val="00BB7A66"/>
    <w:rsid w:val="00BC1C81"/>
    <w:rsid w:val="00BC3EBA"/>
    <w:rsid w:val="00BC5A1D"/>
    <w:rsid w:val="00BD2787"/>
    <w:rsid w:val="00BD51C5"/>
    <w:rsid w:val="00BD56FD"/>
    <w:rsid w:val="00BD64AD"/>
    <w:rsid w:val="00BE1175"/>
    <w:rsid w:val="00BE1BEE"/>
    <w:rsid w:val="00BE2A05"/>
    <w:rsid w:val="00BE44F8"/>
    <w:rsid w:val="00BE5BBB"/>
    <w:rsid w:val="00BE63F4"/>
    <w:rsid w:val="00BE6C59"/>
    <w:rsid w:val="00BF017C"/>
    <w:rsid w:val="00BF07E5"/>
    <w:rsid w:val="00BF0CD3"/>
    <w:rsid w:val="00BF0FAF"/>
    <w:rsid w:val="00BF171A"/>
    <w:rsid w:val="00BF796F"/>
    <w:rsid w:val="00C03E40"/>
    <w:rsid w:val="00C054AA"/>
    <w:rsid w:val="00C05991"/>
    <w:rsid w:val="00C05EC1"/>
    <w:rsid w:val="00C11806"/>
    <w:rsid w:val="00C15B7C"/>
    <w:rsid w:val="00C16F41"/>
    <w:rsid w:val="00C171DD"/>
    <w:rsid w:val="00C179DC"/>
    <w:rsid w:val="00C214F2"/>
    <w:rsid w:val="00C219FE"/>
    <w:rsid w:val="00C23DB2"/>
    <w:rsid w:val="00C240E2"/>
    <w:rsid w:val="00C26AEB"/>
    <w:rsid w:val="00C2703D"/>
    <w:rsid w:val="00C27724"/>
    <w:rsid w:val="00C31F54"/>
    <w:rsid w:val="00C32860"/>
    <w:rsid w:val="00C329A8"/>
    <w:rsid w:val="00C32CBE"/>
    <w:rsid w:val="00C34AD9"/>
    <w:rsid w:val="00C403C3"/>
    <w:rsid w:val="00C41E3F"/>
    <w:rsid w:val="00C47ECB"/>
    <w:rsid w:val="00C52EEE"/>
    <w:rsid w:val="00C538EC"/>
    <w:rsid w:val="00C57122"/>
    <w:rsid w:val="00C57272"/>
    <w:rsid w:val="00C60F18"/>
    <w:rsid w:val="00C63960"/>
    <w:rsid w:val="00C63CD2"/>
    <w:rsid w:val="00C6602F"/>
    <w:rsid w:val="00C679E2"/>
    <w:rsid w:val="00C67F75"/>
    <w:rsid w:val="00C7033E"/>
    <w:rsid w:val="00C72E71"/>
    <w:rsid w:val="00C74BF0"/>
    <w:rsid w:val="00C7578A"/>
    <w:rsid w:val="00C770B5"/>
    <w:rsid w:val="00C7780F"/>
    <w:rsid w:val="00C77ECD"/>
    <w:rsid w:val="00C81F7D"/>
    <w:rsid w:val="00C84814"/>
    <w:rsid w:val="00C85EB6"/>
    <w:rsid w:val="00C86A44"/>
    <w:rsid w:val="00C879A0"/>
    <w:rsid w:val="00C9087C"/>
    <w:rsid w:val="00C92F5A"/>
    <w:rsid w:val="00C9666B"/>
    <w:rsid w:val="00C97D04"/>
    <w:rsid w:val="00CA2588"/>
    <w:rsid w:val="00CA2783"/>
    <w:rsid w:val="00CA5373"/>
    <w:rsid w:val="00CB4378"/>
    <w:rsid w:val="00CB4F94"/>
    <w:rsid w:val="00CB5668"/>
    <w:rsid w:val="00CC2CA8"/>
    <w:rsid w:val="00CC5F54"/>
    <w:rsid w:val="00CC6CAB"/>
    <w:rsid w:val="00CC6DBF"/>
    <w:rsid w:val="00CC71AA"/>
    <w:rsid w:val="00CC7C6C"/>
    <w:rsid w:val="00CD1F0E"/>
    <w:rsid w:val="00CD239B"/>
    <w:rsid w:val="00CD2553"/>
    <w:rsid w:val="00CD4A58"/>
    <w:rsid w:val="00CD6DE4"/>
    <w:rsid w:val="00CD79F7"/>
    <w:rsid w:val="00CE1196"/>
    <w:rsid w:val="00CE323B"/>
    <w:rsid w:val="00CE3498"/>
    <w:rsid w:val="00CE4D13"/>
    <w:rsid w:val="00CE7F90"/>
    <w:rsid w:val="00CF0ACD"/>
    <w:rsid w:val="00CF0E59"/>
    <w:rsid w:val="00CF3FAA"/>
    <w:rsid w:val="00CF47E6"/>
    <w:rsid w:val="00CF62A4"/>
    <w:rsid w:val="00CF66D8"/>
    <w:rsid w:val="00CF7A21"/>
    <w:rsid w:val="00D06A6F"/>
    <w:rsid w:val="00D06D76"/>
    <w:rsid w:val="00D0787B"/>
    <w:rsid w:val="00D104C4"/>
    <w:rsid w:val="00D10F96"/>
    <w:rsid w:val="00D14461"/>
    <w:rsid w:val="00D14A50"/>
    <w:rsid w:val="00D14F84"/>
    <w:rsid w:val="00D15D08"/>
    <w:rsid w:val="00D1657C"/>
    <w:rsid w:val="00D20C61"/>
    <w:rsid w:val="00D22CB5"/>
    <w:rsid w:val="00D26558"/>
    <w:rsid w:val="00D27734"/>
    <w:rsid w:val="00D27E9E"/>
    <w:rsid w:val="00D3718A"/>
    <w:rsid w:val="00D37E1B"/>
    <w:rsid w:val="00D42162"/>
    <w:rsid w:val="00D46FD4"/>
    <w:rsid w:val="00D47B6B"/>
    <w:rsid w:val="00D503BA"/>
    <w:rsid w:val="00D526D7"/>
    <w:rsid w:val="00D52D1F"/>
    <w:rsid w:val="00D576C3"/>
    <w:rsid w:val="00D628AC"/>
    <w:rsid w:val="00D62D8C"/>
    <w:rsid w:val="00D6324A"/>
    <w:rsid w:val="00D6570A"/>
    <w:rsid w:val="00D6798C"/>
    <w:rsid w:val="00D71706"/>
    <w:rsid w:val="00D722DE"/>
    <w:rsid w:val="00D72F33"/>
    <w:rsid w:val="00D7576C"/>
    <w:rsid w:val="00D80DDA"/>
    <w:rsid w:val="00D849E1"/>
    <w:rsid w:val="00D96EEC"/>
    <w:rsid w:val="00D97135"/>
    <w:rsid w:val="00DA080F"/>
    <w:rsid w:val="00DA3DA1"/>
    <w:rsid w:val="00DA53E1"/>
    <w:rsid w:val="00DA5A58"/>
    <w:rsid w:val="00DA6E89"/>
    <w:rsid w:val="00DB0B9D"/>
    <w:rsid w:val="00DB17A1"/>
    <w:rsid w:val="00DB321B"/>
    <w:rsid w:val="00DB4420"/>
    <w:rsid w:val="00DB5609"/>
    <w:rsid w:val="00DC0CE3"/>
    <w:rsid w:val="00DC1F43"/>
    <w:rsid w:val="00DC28CA"/>
    <w:rsid w:val="00DC375F"/>
    <w:rsid w:val="00DC3CE3"/>
    <w:rsid w:val="00DC4B88"/>
    <w:rsid w:val="00DC4FF8"/>
    <w:rsid w:val="00DC5F15"/>
    <w:rsid w:val="00DD0002"/>
    <w:rsid w:val="00DD0524"/>
    <w:rsid w:val="00DD133D"/>
    <w:rsid w:val="00DD2943"/>
    <w:rsid w:val="00DD3A11"/>
    <w:rsid w:val="00DD4377"/>
    <w:rsid w:val="00DD4481"/>
    <w:rsid w:val="00DD5141"/>
    <w:rsid w:val="00DD562F"/>
    <w:rsid w:val="00DD5F78"/>
    <w:rsid w:val="00DD653B"/>
    <w:rsid w:val="00DD7BFC"/>
    <w:rsid w:val="00DE037E"/>
    <w:rsid w:val="00DE304D"/>
    <w:rsid w:val="00DE31D0"/>
    <w:rsid w:val="00DE44F6"/>
    <w:rsid w:val="00DE56D3"/>
    <w:rsid w:val="00DF0901"/>
    <w:rsid w:val="00DF5686"/>
    <w:rsid w:val="00DF7E23"/>
    <w:rsid w:val="00E0697A"/>
    <w:rsid w:val="00E10756"/>
    <w:rsid w:val="00E114FA"/>
    <w:rsid w:val="00E115DE"/>
    <w:rsid w:val="00E1284E"/>
    <w:rsid w:val="00E12AAD"/>
    <w:rsid w:val="00E13578"/>
    <w:rsid w:val="00E14728"/>
    <w:rsid w:val="00E161AE"/>
    <w:rsid w:val="00E1676B"/>
    <w:rsid w:val="00E2068F"/>
    <w:rsid w:val="00E2209C"/>
    <w:rsid w:val="00E22872"/>
    <w:rsid w:val="00E23FC5"/>
    <w:rsid w:val="00E25413"/>
    <w:rsid w:val="00E25767"/>
    <w:rsid w:val="00E273D0"/>
    <w:rsid w:val="00E27FB7"/>
    <w:rsid w:val="00E31CA5"/>
    <w:rsid w:val="00E334F9"/>
    <w:rsid w:val="00E36F8E"/>
    <w:rsid w:val="00E401CF"/>
    <w:rsid w:val="00E40619"/>
    <w:rsid w:val="00E41C4B"/>
    <w:rsid w:val="00E425D0"/>
    <w:rsid w:val="00E50612"/>
    <w:rsid w:val="00E57FB7"/>
    <w:rsid w:val="00E610E7"/>
    <w:rsid w:val="00E614C7"/>
    <w:rsid w:val="00E61E2E"/>
    <w:rsid w:val="00E622B9"/>
    <w:rsid w:val="00E635DB"/>
    <w:rsid w:val="00E82B34"/>
    <w:rsid w:val="00E83050"/>
    <w:rsid w:val="00E865F0"/>
    <w:rsid w:val="00E95A42"/>
    <w:rsid w:val="00E95CB4"/>
    <w:rsid w:val="00E95FC4"/>
    <w:rsid w:val="00E967EF"/>
    <w:rsid w:val="00EA19D1"/>
    <w:rsid w:val="00EA1F60"/>
    <w:rsid w:val="00EA3CC1"/>
    <w:rsid w:val="00EA58C1"/>
    <w:rsid w:val="00EA6BB2"/>
    <w:rsid w:val="00EB1528"/>
    <w:rsid w:val="00EB335F"/>
    <w:rsid w:val="00EB50AC"/>
    <w:rsid w:val="00EB6291"/>
    <w:rsid w:val="00EB797C"/>
    <w:rsid w:val="00EC0B4A"/>
    <w:rsid w:val="00EC5336"/>
    <w:rsid w:val="00EC6589"/>
    <w:rsid w:val="00ED287A"/>
    <w:rsid w:val="00EE2337"/>
    <w:rsid w:val="00EF24A6"/>
    <w:rsid w:val="00EF3539"/>
    <w:rsid w:val="00EF4F16"/>
    <w:rsid w:val="00EF7E39"/>
    <w:rsid w:val="00EF7E55"/>
    <w:rsid w:val="00F00084"/>
    <w:rsid w:val="00F01B89"/>
    <w:rsid w:val="00F0211E"/>
    <w:rsid w:val="00F02D53"/>
    <w:rsid w:val="00F04D40"/>
    <w:rsid w:val="00F06A02"/>
    <w:rsid w:val="00F076B4"/>
    <w:rsid w:val="00F07EBB"/>
    <w:rsid w:val="00F10385"/>
    <w:rsid w:val="00F131AE"/>
    <w:rsid w:val="00F1506E"/>
    <w:rsid w:val="00F16F0F"/>
    <w:rsid w:val="00F20713"/>
    <w:rsid w:val="00F2187C"/>
    <w:rsid w:val="00F21AF5"/>
    <w:rsid w:val="00F21B89"/>
    <w:rsid w:val="00F2442D"/>
    <w:rsid w:val="00F2554F"/>
    <w:rsid w:val="00F27E1E"/>
    <w:rsid w:val="00F31CCB"/>
    <w:rsid w:val="00F32341"/>
    <w:rsid w:val="00F33636"/>
    <w:rsid w:val="00F355FB"/>
    <w:rsid w:val="00F45F1A"/>
    <w:rsid w:val="00F57211"/>
    <w:rsid w:val="00F57E1A"/>
    <w:rsid w:val="00F601AB"/>
    <w:rsid w:val="00F604BE"/>
    <w:rsid w:val="00F60B27"/>
    <w:rsid w:val="00F612BA"/>
    <w:rsid w:val="00F66126"/>
    <w:rsid w:val="00F665EA"/>
    <w:rsid w:val="00F700F1"/>
    <w:rsid w:val="00F75903"/>
    <w:rsid w:val="00F82C10"/>
    <w:rsid w:val="00F86B90"/>
    <w:rsid w:val="00F906EF"/>
    <w:rsid w:val="00F9197E"/>
    <w:rsid w:val="00F92F35"/>
    <w:rsid w:val="00F930C2"/>
    <w:rsid w:val="00F94007"/>
    <w:rsid w:val="00F9713B"/>
    <w:rsid w:val="00FA1CDA"/>
    <w:rsid w:val="00FA1ECA"/>
    <w:rsid w:val="00FA34EC"/>
    <w:rsid w:val="00FB4430"/>
    <w:rsid w:val="00FB48AB"/>
    <w:rsid w:val="00FB5190"/>
    <w:rsid w:val="00FB7A43"/>
    <w:rsid w:val="00FB7ABE"/>
    <w:rsid w:val="00FC0F79"/>
    <w:rsid w:val="00FC30B5"/>
    <w:rsid w:val="00FC46BC"/>
    <w:rsid w:val="00FC4CB3"/>
    <w:rsid w:val="00FC53C1"/>
    <w:rsid w:val="00FC6740"/>
    <w:rsid w:val="00FD0D19"/>
    <w:rsid w:val="00FD1202"/>
    <w:rsid w:val="00FD73EA"/>
    <w:rsid w:val="00FE02F2"/>
    <w:rsid w:val="00FE06FF"/>
    <w:rsid w:val="00FE2FA5"/>
    <w:rsid w:val="00FE6EA3"/>
    <w:rsid w:val="00FE79E6"/>
    <w:rsid w:val="00FF3EBA"/>
    <w:rsid w:val="00FF4A33"/>
    <w:rsid w:val="00FF4A89"/>
    <w:rsid w:val="00FF5FD1"/>
    <w:rsid w:val="00FF64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71EC7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B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808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44E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30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050"/>
    <w:rPr>
      <w:color w:val="0000FF"/>
      <w:u w:val="single"/>
    </w:rPr>
  </w:style>
  <w:style w:type="paragraph" w:styleId="BalloonText">
    <w:name w:val="Balloon Text"/>
    <w:basedOn w:val="Normal"/>
    <w:link w:val="BalloonTextChar"/>
    <w:uiPriority w:val="99"/>
    <w:semiHidden/>
    <w:unhideWhenUsed/>
    <w:rsid w:val="00606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A31"/>
    <w:rPr>
      <w:rFonts w:ascii="Tahoma" w:hAnsi="Tahoma" w:cs="Tahoma"/>
      <w:sz w:val="16"/>
      <w:szCs w:val="16"/>
    </w:rPr>
  </w:style>
  <w:style w:type="character" w:customStyle="1" w:styleId="Heading4Char">
    <w:name w:val="Heading 4 Char"/>
    <w:basedOn w:val="DefaultParagraphFont"/>
    <w:link w:val="Heading4"/>
    <w:uiPriority w:val="9"/>
    <w:semiHidden/>
    <w:rsid w:val="006530D1"/>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28083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60B2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6C44E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C2CA8"/>
    <w:pPr>
      <w:ind w:left="720"/>
      <w:contextualSpacing/>
    </w:pPr>
  </w:style>
  <w:style w:type="character" w:styleId="CommentReference">
    <w:name w:val="annotation reference"/>
    <w:basedOn w:val="DefaultParagraphFont"/>
    <w:uiPriority w:val="99"/>
    <w:semiHidden/>
    <w:unhideWhenUsed/>
    <w:rsid w:val="00AB3D98"/>
    <w:rPr>
      <w:sz w:val="18"/>
      <w:szCs w:val="18"/>
    </w:rPr>
  </w:style>
  <w:style w:type="paragraph" w:styleId="CommentText">
    <w:name w:val="annotation text"/>
    <w:basedOn w:val="Normal"/>
    <w:link w:val="CommentTextChar"/>
    <w:uiPriority w:val="99"/>
    <w:semiHidden/>
    <w:unhideWhenUsed/>
    <w:rsid w:val="00AB3D98"/>
    <w:pPr>
      <w:spacing w:line="240" w:lineRule="auto"/>
    </w:pPr>
    <w:rPr>
      <w:sz w:val="24"/>
      <w:szCs w:val="24"/>
    </w:rPr>
  </w:style>
  <w:style w:type="character" w:customStyle="1" w:styleId="CommentTextChar">
    <w:name w:val="Comment Text Char"/>
    <w:basedOn w:val="DefaultParagraphFont"/>
    <w:link w:val="CommentText"/>
    <w:uiPriority w:val="99"/>
    <w:semiHidden/>
    <w:rsid w:val="00AB3D98"/>
    <w:rPr>
      <w:sz w:val="24"/>
      <w:szCs w:val="24"/>
    </w:rPr>
  </w:style>
  <w:style w:type="paragraph" w:styleId="CommentSubject">
    <w:name w:val="annotation subject"/>
    <w:basedOn w:val="CommentText"/>
    <w:next w:val="CommentText"/>
    <w:link w:val="CommentSubjectChar"/>
    <w:uiPriority w:val="99"/>
    <w:semiHidden/>
    <w:unhideWhenUsed/>
    <w:rsid w:val="00AB3D98"/>
    <w:rPr>
      <w:b/>
      <w:bCs/>
      <w:sz w:val="20"/>
      <w:szCs w:val="20"/>
    </w:rPr>
  </w:style>
  <w:style w:type="character" w:customStyle="1" w:styleId="CommentSubjectChar">
    <w:name w:val="Comment Subject Char"/>
    <w:basedOn w:val="CommentTextChar"/>
    <w:link w:val="CommentSubject"/>
    <w:uiPriority w:val="99"/>
    <w:semiHidden/>
    <w:rsid w:val="00AB3D98"/>
    <w:rPr>
      <w:b/>
      <w:bCs/>
      <w:sz w:val="20"/>
      <w:szCs w:val="20"/>
    </w:rPr>
  </w:style>
  <w:style w:type="paragraph" w:customStyle="1" w:styleId="p1">
    <w:name w:val="p1"/>
    <w:basedOn w:val="Normal"/>
    <w:rsid w:val="00225BB3"/>
    <w:pPr>
      <w:spacing w:after="0" w:line="240" w:lineRule="auto"/>
    </w:pPr>
    <w:rPr>
      <w:rFonts w:ascii="Helvetica" w:hAnsi="Helvetica" w:cs="Times New Roman"/>
      <w:color w:val="4C4C4C"/>
      <w:sz w:val="21"/>
      <w:szCs w:val="21"/>
      <w:lang w:val="en-US" w:eastAsia="en-US"/>
    </w:rPr>
  </w:style>
  <w:style w:type="character" w:customStyle="1" w:styleId="s1">
    <w:name w:val="s1"/>
    <w:basedOn w:val="DefaultParagraphFont"/>
    <w:rsid w:val="00225BB3"/>
  </w:style>
  <w:style w:type="paragraph" w:styleId="FootnoteText">
    <w:name w:val="footnote text"/>
    <w:basedOn w:val="Normal"/>
    <w:link w:val="FootnoteTextChar"/>
    <w:uiPriority w:val="99"/>
    <w:unhideWhenUsed/>
    <w:rsid w:val="000B1147"/>
    <w:pPr>
      <w:spacing w:after="0" w:line="240" w:lineRule="auto"/>
    </w:pPr>
    <w:rPr>
      <w:sz w:val="24"/>
      <w:szCs w:val="24"/>
    </w:rPr>
  </w:style>
  <w:style w:type="character" w:customStyle="1" w:styleId="FootnoteTextChar">
    <w:name w:val="Footnote Text Char"/>
    <w:basedOn w:val="DefaultParagraphFont"/>
    <w:link w:val="FootnoteText"/>
    <w:uiPriority w:val="99"/>
    <w:rsid w:val="000B1147"/>
    <w:rPr>
      <w:sz w:val="24"/>
      <w:szCs w:val="24"/>
    </w:rPr>
  </w:style>
  <w:style w:type="character" w:styleId="FootnoteReference">
    <w:name w:val="footnote reference"/>
    <w:basedOn w:val="DefaultParagraphFont"/>
    <w:uiPriority w:val="99"/>
    <w:unhideWhenUsed/>
    <w:rsid w:val="000B1147"/>
    <w:rPr>
      <w:vertAlign w:val="superscript"/>
    </w:rPr>
  </w:style>
  <w:style w:type="paragraph" w:styleId="Footer">
    <w:name w:val="footer"/>
    <w:basedOn w:val="Normal"/>
    <w:link w:val="FooterChar"/>
    <w:uiPriority w:val="99"/>
    <w:unhideWhenUsed/>
    <w:rsid w:val="00EB15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EB1528"/>
  </w:style>
  <w:style w:type="character" w:styleId="PageNumber">
    <w:name w:val="page number"/>
    <w:basedOn w:val="DefaultParagraphFont"/>
    <w:uiPriority w:val="99"/>
    <w:semiHidden/>
    <w:unhideWhenUsed/>
    <w:rsid w:val="00EB1528"/>
  </w:style>
  <w:style w:type="character" w:customStyle="1" w:styleId="apple-converted-space">
    <w:name w:val="apple-converted-space"/>
    <w:basedOn w:val="DefaultParagraphFont"/>
    <w:rsid w:val="00DD3A11"/>
  </w:style>
  <w:style w:type="paragraph" w:customStyle="1" w:styleId="Body">
    <w:name w:val="Body"/>
    <w:rsid w:val="000A089F"/>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n-US"/>
    </w:rPr>
  </w:style>
  <w:style w:type="paragraph" w:customStyle="1" w:styleId="Default">
    <w:name w:val="Default"/>
    <w:rsid w:val="00B55229"/>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US"/>
    </w:rPr>
  </w:style>
  <w:style w:type="paragraph" w:customStyle="1" w:styleId="BodyA">
    <w:name w:val="Body A"/>
    <w:rsid w:val="00033745"/>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US"/>
    </w:rPr>
  </w:style>
  <w:style w:type="paragraph" w:customStyle="1" w:styleId="TableStyle1">
    <w:name w:val="Table Style 1"/>
    <w:rsid w:val="00701279"/>
    <w:pPr>
      <w:pBdr>
        <w:top w:val="nil"/>
        <w:left w:val="nil"/>
        <w:bottom w:val="nil"/>
        <w:right w:val="nil"/>
        <w:between w:val="nil"/>
        <w:bar w:val="nil"/>
      </w:pBdr>
      <w:spacing w:after="0" w:line="240" w:lineRule="auto"/>
    </w:pPr>
    <w:rPr>
      <w:rFonts w:ascii="Helvetica" w:eastAsia="Arial Unicode MS" w:hAnsi="Arial Unicode MS" w:cs="Arial Unicode MS"/>
      <w:b/>
      <w:bCs/>
      <w:color w:val="000000"/>
      <w:sz w:val="20"/>
      <w:szCs w:val="20"/>
      <w:u w:color="000000"/>
      <w:bdr w:val="nil"/>
      <w:lang w:eastAsia="en-US"/>
    </w:rPr>
  </w:style>
  <w:style w:type="paragraph" w:customStyle="1" w:styleId="TableStyle2">
    <w:name w:val="Table Style 2"/>
    <w:rsid w:val="00701279"/>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bdr w:val="nil"/>
      <w:lang w:val="en-US" w:eastAsia="en-US"/>
    </w:rPr>
  </w:style>
  <w:style w:type="paragraph" w:styleId="Revision">
    <w:name w:val="Revision"/>
    <w:hidden/>
    <w:uiPriority w:val="99"/>
    <w:semiHidden/>
    <w:rsid w:val="002670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4007">
      <w:bodyDiv w:val="1"/>
      <w:marLeft w:val="0"/>
      <w:marRight w:val="0"/>
      <w:marTop w:val="0"/>
      <w:marBottom w:val="0"/>
      <w:divBdr>
        <w:top w:val="none" w:sz="0" w:space="0" w:color="auto"/>
        <w:left w:val="none" w:sz="0" w:space="0" w:color="auto"/>
        <w:bottom w:val="none" w:sz="0" w:space="0" w:color="auto"/>
        <w:right w:val="none" w:sz="0" w:space="0" w:color="auto"/>
      </w:divBdr>
    </w:div>
    <w:div w:id="85809980">
      <w:bodyDiv w:val="1"/>
      <w:marLeft w:val="0"/>
      <w:marRight w:val="0"/>
      <w:marTop w:val="0"/>
      <w:marBottom w:val="0"/>
      <w:divBdr>
        <w:top w:val="none" w:sz="0" w:space="0" w:color="auto"/>
        <w:left w:val="none" w:sz="0" w:space="0" w:color="auto"/>
        <w:bottom w:val="none" w:sz="0" w:space="0" w:color="auto"/>
        <w:right w:val="none" w:sz="0" w:space="0" w:color="auto"/>
      </w:divBdr>
      <w:divsChild>
        <w:div w:id="1053894829">
          <w:marLeft w:val="0"/>
          <w:marRight w:val="0"/>
          <w:marTop w:val="0"/>
          <w:marBottom w:val="0"/>
          <w:divBdr>
            <w:top w:val="none" w:sz="0" w:space="0" w:color="auto"/>
            <w:left w:val="none" w:sz="0" w:space="0" w:color="auto"/>
            <w:bottom w:val="none" w:sz="0" w:space="0" w:color="auto"/>
            <w:right w:val="none" w:sz="0" w:space="0" w:color="auto"/>
          </w:divBdr>
          <w:divsChild>
            <w:div w:id="99615799">
              <w:marLeft w:val="0"/>
              <w:marRight w:val="0"/>
              <w:marTop w:val="0"/>
              <w:marBottom w:val="0"/>
              <w:divBdr>
                <w:top w:val="none" w:sz="0" w:space="0" w:color="auto"/>
                <w:left w:val="none" w:sz="0" w:space="0" w:color="auto"/>
                <w:bottom w:val="none" w:sz="0" w:space="0" w:color="auto"/>
                <w:right w:val="none" w:sz="0" w:space="0" w:color="auto"/>
              </w:divBdr>
              <w:divsChild>
                <w:div w:id="9077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7251">
      <w:bodyDiv w:val="1"/>
      <w:marLeft w:val="0"/>
      <w:marRight w:val="0"/>
      <w:marTop w:val="0"/>
      <w:marBottom w:val="0"/>
      <w:divBdr>
        <w:top w:val="none" w:sz="0" w:space="0" w:color="auto"/>
        <w:left w:val="none" w:sz="0" w:space="0" w:color="auto"/>
        <w:bottom w:val="none" w:sz="0" w:space="0" w:color="auto"/>
        <w:right w:val="none" w:sz="0" w:space="0" w:color="auto"/>
      </w:divBdr>
    </w:div>
    <w:div w:id="251474577">
      <w:bodyDiv w:val="1"/>
      <w:marLeft w:val="0"/>
      <w:marRight w:val="0"/>
      <w:marTop w:val="0"/>
      <w:marBottom w:val="0"/>
      <w:divBdr>
        <w:top w:val="none" w:sz="0" w:space="0" w:color="auto"/>
        <w:left w:val="none" w:sz="0" w:space="0" w:color="auto"/>
        <w:bottom w:val="none" w:sz="0" w:space="0" w:color="auto"/>
        <w:right w:val="none" w:sz="0" w:space="0" w:color="auto"/>
      </w:divBdr>
    </w:div>
    <w:div w:id="295380902">
      <w:bodyDiv w:val="1"/>
      <w:marLeft w:val="0"/>
      <w:marRight w:val="0"/>
      <w:marTop w:val="0"/>
      <w:marBottom w:val="0"/>
      <w:divBdr>
        <w:top w:val="none" w:sz="0" w:space="0" w:color="auto"/>
        <w:left w:val="none" w:sz="0" w:space="0" w:color="auto"/>
        <w:bottom w:val="none" w:sz="0" w:space="0" w:color="auto"/>
        <w:right w:val="none" w:sz="0" w:space="0" w:color="auto"/>
      </w:divBdr>
    </w:div>
    <w:div w:id="299847694">
      <w:bodyDiv w:val="1"/>
      <w:marLeft w:val="0"/>
      <w:marRight w:val="0"/>
      <w:marTop w:val="0"/>
      <w:marBottom w:val="0"/>
      <w:divBdr>
        <w:top w:val="none" w:sz="0" w:space="0" w:color="auto"/>
        <w:left w:val="none" w:sz="0" w:space="0" w:color="auto"/>
        <w:bottom w:val="none" w:sz="0" w:space="0" w:color="auto"/>
        <w:right w:val="none" w:sz="0" w:space="0" w:color="auto"/>
      </w:divBdr>
    </w:div>
    <w:div w:id="311718001">
      <w:bodyDiv w:val="1"/>
      <w:marLeft w:val="0"/>
      <w:marRight w:val="0"/>
      <w:marTop w:val="0"/>
      <w:marBottom w:val="0"/>
      <w:divBdr>
        <w:top w:val="none" w:sz="0" w:space="0" w:color="auto"/>
        <w:left w:val="none" w:sz="0" w:space="0" w:color="auto"/>
        <w:bottom w:val="none" w:sz="0" w:space="0" w:color="auto"/>
        <w:right w:val="none" w:sz="0" w:space="0" w:color="auto"/>
      </w:divBdr>
    </w:div>
    <w:div w:id="372730378">
      <w:bodyDiv w:val="1"/>
      <w:marLeft w:val="0"/>
      <w:marRight w:val="0"/>
      <w:marTop w:val="0"/>
      <w:marBottom w:val="0"/>
      <w:divBdr>
        <w:top w:val="none" w:sz="0" w:space="0" w:color="auto"/>
        <w:left w:val="none" w:sz="0" w:space="0" w:color="auto"/>
        <w:bottom w:val="none" w:sz="0" w:space="0" w:color="auto"/>
        <w:right w:val="none" w:sz="0" w:space="0" w:color="auto"/>
      </w:divBdr>
      <w:divsChild>
        <w:div w:id="1168717995">
          <w:marLeft w:val="0"/>
          <w:marRight w:val="0"/>
          <w:marTop w:val="0"/>
          <w:marBottom w:val="0"/>
          <w:divBdr>
            <w:top w:val="none" w:sz="0" w:space="0" w:color="auto"/>
            <w:left w:val="none" w:sz="0" w:space="0" w:color="auto"/>
            <w:bottom w:val="none" w:sz="0" w:space="0" w:color="auto"/>
            <w:right w:val="none" w:sz="0" w:space="0" w:color="auto"/>
          </w:divBdr>
        </w:div>
      </w:divsChild>
    </w:div>
    <w:div w:id="465199641">
      <w:bodyDiv w:val="1"/>
      <w:marLeft w:val="0"/>
      <w:marRight w:val="0"/>
      <w:marTop w:val="0"/>
      <w:marBottom w:val="0"/>
      <w:divBdr>
        <w:top w:val="none" w:sz="0" w:space="0" w:color="auto"/>
        <w:left w:val="none" w:sz="0" w:space="0" w:color="auto"/>
        <w:bottom w:val="none" w:sz="0" w:space="0" w:color="auto"/>
        <w:right w:val="none" w:sz="0" w:space="0" w:color="auto"/>
      </w:divBdr>
    </w:div>
    <w:div w:id="474493364">
      <w:bodyDiv w:val="1"/>
      <w:marLeft w:val="0"/>
      <w:marRight w:val="0"/>
      <w:marTop w:val="0"/>
      <w:marBottom w:val="0"/>
      <w:divBdr>
        <w:top w:val="none" w:sz="0" w:space="0" w:color="auto"/>
        <w:left w:val="none" w:sz="0" w:space="0" w:color="auto"/>
        <w:bottom w:val="none" w:sz="0" w:space="0" w:color="auto"/>
        <w:right w:val="none" w:sz="0" w:space="0" w:color="auto"/>
      </w:divBdr>
    </w:div>
    <w:div w:id="478958883">
      <w:bodyDiv w:val="1"/>
      <w:marLeft w:val="0"/>
      <w:marRight w:val="0"/>
      <w:marTop w:val="0"/>
      <w:marBottom w:val="0"/>
      <w:divBdr>
        <w:top w:val="none" w:sz="0" w:space="0" w:color="auto"/>
        <w:left w:val="none" w:sz="0" w:space="0" w:color="auto"/>
        <w:bottom w:val="none" w:sz="0" w:space="0" w:color="auto"/>
        <w:right w:val="none" w:sz="0" w:space="0" w:color="auto"/>
      </w:divBdr>
    </w:div>
    <w:div w:id="726102622">
      <w:bodyDiv w:val="1"/>
      <w:marLeft w:val="0"/>
      <w:marRight w:val="0"/>
      <w:marTop w:val="0"/>
      <w:marBottom w:val="0"/>
      <w:divBdr>
        <w:top w:val="none" w:sz="0" w:space="0" w:color="auto"/>
        <w:left w:val="none" w:sz="0" w:space="0" w:color="auto"/>
        <w:bottom w:val="none" w:sz="0" w:space="0" w:color="auto"/>
        <w:right w:val="none" w:sz="0" w:space="0" w:color="auto"/>
      </w:divBdr>
    </w:div>
    <w:div w:id="796141157">
      <w:bodyDiv w:val="1"/>
      <w:marLeft w:val="0"/>
      <w:marRight w:val="0"/>
      <w:marTop w:val="0"/>
      <w:marBottom w:val="0"/>
      <w:divBdr>
        <w:top w:val="none" w:sz="0" w:space="0" w:color="auto"/>
        <w:left w:val="none" w:sz="0" w:space="0" w:color="auto"/>
        <w:bottom w:val="none" w:sz="0" w:space="0" w:color="auto"/>
        <w:right w:val="none" w:sz="0" w:space="0" w:color="auto"/>
      </w:divBdr>
    </w:div>
    <w:div w:id="955021086">
      <w:bodyDiv w:val="1"/>
      <w:marLeft w:val="0"/>
      <w:marRight w:val="0"/>
      <w:marTop w:val="0"/>
      <w:marBottom w:val="0"/>
      <w:divBdr>
        <w:top w:val="none" w:sz="0" w:space="0" w:color="auto"/>
        <w:left w:val="none" w:sz="0" w:space="0" w:color="auto"/>
        <w:bottom w:val="none" w:sz="0" w:space="0" w:color="auto"/>
        <w:right w:val="none" w:sz="0" w:space="0" w:color="auto"/>
      </w:divBdr>
    </w:div>
    <w:div w:id="972177546">
      <w:bodyDiv w:val="1"/>
      <w:marLeft w:val="0"/>
      <w:marRight w:val="0"/>
      <w:marTop w:val="0"/>
      <w:marBottom w:val="0"/>
      <w:divBdr>
        <w:top w:val="none" w:sz="0" w:space="0" w:color="auto"/>
        <w:left w:val="none" w:sz="0" w:space="0" w:color="auto"/>
        <w:bottom w:val="none" w:sz="0" w:space="0" w:color="auto"/>
        <w:right w:val="none" w:sz="0" w:space="0" w:color="auto"/>
      </w:divBdr>
    </w:div>
    <w:div w:id="974457126">
      <w:bodyDiv w:val="1"/>
      <w:marLeft w:val="0"/>
      <w:marRight w:val="0"/>
      <w:marTop w:val="0"/>
      <w:marBottom w:val="0"/>
      <w:divBdr>
        <w:top w:val="none" w:sz="0" w:space="0" w:color="auto"/>
        <w:left w:val="none" w:sz="0" w:space="0" w:color="auto"/>
        <w:bottom w:val="none" w:sz="0" w:space="0" w:color="auto"/>
        <w:right w:val="none" w:sz="0" w:space="0" w:color="auto"/>
      </w:divBdr>
    </w:div>
    <w:div w:id="1066297866">
      <w:bodyDiv w:val="1"/>
      <w:marLeft w:val="0"/>
      <w:marRight w:val="0"/>
      <w:marTop w:val="0"/>
      <w:marBottom w:val="0"/>
      <w:divBdr>
        <w:top w:val="none" w:sz="0" w:space="0" w:color="auto"/>
        <w:left w:val="none" w:sz="0" w:space="0" w:color="auto"/>
        <w:bottom w:val="none" w:sz="0" w:space="0" w:color="auto"/>
        <w:right w:val="none" w:sz="0" w:space="0" w:color="auto"/>
      </w:divBdr>
      <w:divsChild>
        <w:div w:id="1197814489">
          <w:marLeft w:val="0"/>
          <w:marRight w:val="0"/>
          <w:marTop w:val="0"/>
          <w:marBottom w:val="0"/>
          <w:divBdr>
            <w:top w:val="none" w:sz="0" w:space="0" w:color="auto"/>
            <w:left w:val="none" w:sz="0" w:space="0" w:color="auto"/>
            <w:bottom w:val="none" w:sz="0" w:space="0" w:color="auto"/>
            <w:right w:val="none" w:sz="0" w:space="0" w:color="auto"/>
          </w:divBdr>
        </w:div>
      </w:divsChild>
    </w:div>
    <w:div w:id="1090545032">
      <w:bodyDiv w:val="1"/>
      <w:marLeft w:val="0"/>
      <w:marRight w:val="0"/>
      <w:marTop w:val="0"/>
      <w:marBottom w:val="0"/>
      <w:divBdr>
        <w:top w:val="none" w:sz="0" w:space="0" w:color="auto"/>
        <w:left w:val="none" w:sz="0" w:space="0" w:color="auto"/>
        <w:bottom w:val="none" w:sz="0" w:space="0" w:color="auto"/>
        <w:right w:val="none" w:sz="0" w:space="0" w:color="auto"/>
      </w:divBdr>
    </w:div>
    <w:div w:id="1221482011">
      <w:bodyDiv w:val="1"/>
      <w:marLeft w:val="0"/>
      <w:marRight w:val="0"/>
      <w:marTop w:val="0"/>
      <w:marBottom w:val="0"/>
      <w:divBdr>
        <w:top w:val="none" w:sz="0" w:space="0" w:color="auto"/>
        <w:left w:val="none" w:sz="0" w:space="0" w:color="auto"/>
        <w:bottom w:val="none" w:sz="0" w:space="0" w:color="auto"/>
        <w:right w:val="none" w:sz="0" w:space="0" w:color="auto"/>
      </w:divBdr>
    </w:div>
    <w:div w:id="1333338831">
      <w:bodyDiv w:val="1"/>
      <w:marLeft w:val="0"/>
      <w:marRight w:val="0"/>
      <w:marTop w:val="0"/>
      <w:marBottom w:val="0"/>
      <w:divBdr>
        <w:top w:val="none" w:sz="0" w:space="0" w:color="auto"/>
        <w:left w:val="none" w:sz="0" w:space="0" w:color="auto"/>
        <w:bottom w:val="none" w:sz="0" w:space="0" w:color="auto"/>
        <w:right w:val="none" w:sz="0" w:space="0" w:color="auto"/>
      </w:divBdr>
    </w:div>
    <w:div w:id="1430198465">
      <w:bodyDiv w:val="1"/>
      <w:marLeft w:val="0"/>
      <w:marRight w:val="0"/>
      <w:marTop w:val="0"/>
      <w:marBottom w:val="0"/>
      <w:divBdr>
        <w:top w:val="none" w:sz="0" w:space="0" w:color="auto"/>
        <w:left w:val="none" w:sz="0" w:space="0" w:color="auto"/>
        <w:bottom w:val="none" w:sz="0" w:space="0" w:color="auto"/>
        <w:right w:val="none" w:sz="0" w:space="0" w:color="auto"/>
      </w:divBdr>
    </w:div>
    <w:div w:id="1454056127">
      <w:bodyDiv w:val="1"/>
      <w:marLeft w:val="0"/>
      <w:marRight w:val="0"/>
      <w:marTop w:val="0"/>
      <w:marBottom w:val="0"/>
      <w:divBdr>
        <w:top w:val="none" w:sz="0" w:space="0" w:color="auto"/>
        <w:left w:val="none" w:sz="0" w:space="0" w:color="auto"/>
        <w:bottom w:val="none" w:sz="0" w:space="0" w:color="auto"/>
        <w:right w:val="none" w:sz="0" w:space="0" w:color="auto"/>
      </w:divBdr>
    </w:div>
    <w:div w:id="1463233950">
      <w:bodyDiv w:val="1"/>
      <w:marLeft w:val="0"/>
      <w:marRight w:val="0"/>
      <w:marTop w:val="0"/>
      <w:marBottom w:val="0"/>
      <w:divBdr>
        <w:top w:val="none" w:sz="0" w:space="0" w:color="auto"/>
        <w:left w:val="none" w:sz="0" w:space="0" w:color="auto"/>
        <w:bottom w:val="none" w:sz="0" w:space="0" w:color="auto"/>
        <w:right w:val="none" w:sz="0" w:space="0" w:color="auto"/>
      </w:divBdr>
      <w:divsChild>
        <w:div w:id="1619333133">
          <w:marLeft w:val="0"/>
          <w:marRight w:val="0"/>
          <w:marTop w:val="0"/>
          <w:marBottom w:val="0"/>
          <w:divBdr>
            <w:top w:val="none" w:sz="0" w:space="0" w:color="auto"/>
            <w:left w:val="none" w:sz="0" w:space="0" w:color="auto"/>
            <w:bottom w:val="none" w:sz="0" w:space="0" w:color="auto"/>
            <w:right w:val="none" w:sz="0" w:space="0" w:color="auto"/>
          </w:divBdr>
        </w:div>
      </w:divsChild>
    </w:div>
    <w:div w:id="1470242788">
      <w:bodyDiv w:val="1"/>
      <w:marLeft w:val="0"/>
      <w:marRight w:val="0"/>
      <w:marTop w:val="0"/>
      <w:marBottom w:val="0"/>
      <w:divBdr>
        <w:top w:val="none" w:sz="0" w:space="0" w:color="auto"/>
        <w:left w:val="none" w:sz="0" w:space="0" w:color="auto"/>
        <w:bottom w:val="none" w:sz="0" w:space="0" w:color="auto"/>
        <w:right w:val="none" w:sz="0" w:space="0" w:color="auto"/>
      </w:divBdr>
    </w:div>
    <w:div w:id="1481263174">
      <w:bodyDiv w:val="1"/>
      <w:marLeft w:val="0"/>
      <w:marRight w:val="0"/>
      <w:marTop w:val="0"/>
      <w:marBottom w:val="0"/>
      <w:divBdr>
        <w:top w:val="none" w:sz="0" w:space="0" w:color="auto"/>
        <w:left w:val="none" w:sz="0" w:space="0" w:color="auto"/>
        <w:bottom w:val="none" w:sz="0" w:space="0" w:color="auto"/>
        <w:right w:val="none" w:sz="0" w:space="0" w:color="auto"/>
      </w:divBdr>
    </w:div>
    <w:div w:id="1500344092">
      <w:bodyDiv w:val="1"/>
      <w:marLeft w:val="0"/>
      <w:marRight w:val="0"/>
      <w:marTop w:val="0"/>
      <w:marBottom w:val="0"/>
      <w:divBdr>
        <w:top w:val="none" w:sz="0" w:space="0" w:color="auto"/>
        <w:left w:val="none" w:sz="0" w:space="0" w:color="auto"/>
        <w:bottom w:val="none" w:sz="0" w:space="0" w:color="auto"/>
        <w:right w:val="none" w:sz="0" w:space="0" w:color="auto"/>
      </w:divBdr>
    </w:div>
    <w:div w:id="1577979887">
      <w:bodyDiv w:val="1"/>
      <w:marLeft w:val="0"/>
      <w:marRight w:val="0"/>
      <w:marTop w:val="0"/>
      <w:marBottom w:val="0"/>
      <w:divBdr>
        <w:top w:val="none" w:sz="0" w:space="0" w:color="auto"/>
        <w:left w:val="none" w:sz="0" w:space="0" w:color="auto"/>
        <w:bottom w:val="none" w:sz="0" w:space="0" w:color="auto"/>
        <w:right w:val="none" w:sz="0" w:space="0" w:color="auto"/>
      </w:divBdr>
      <w:divsChild>
        <w:div w:id="1589540277">
          <w:marLeft w:val="0"/>
          <w:marRight w:val="0"/>
          <w:marTop w:val="0"/>
          <w:marBottom w:val="0"/>
          <w:divBdr>
            <w:top w:val="none" w:sz="0" w:space="0" w:color="auto"/>
            <w:left w:val="none" w:sz="0" w:space="0" w:color="auto"/>
            <w:bottom w:val="none" w:sz="0" w:space="0" w:color="auto"/>
            <w:right w:val="none" w:sz="0" w:space="0" w:color="auto"/>
          </w:divBdr>
        </w:div>
      </w:divsChild>
    </w:div>
    <w:div w:id="1655062442">
      <w:bodyDiv w:val="1"/>
      <w:marLeft w:val="0"/>
      <w:marRight w:val="0"/>
      <w:marTop w:val="0"/>
      <w:marBottom w:val="0"/>
      <w:divBdr>
        <w:top w:val="none" w:sz="0" w:space="0" w:color="auto"/>
        <w:left w:val="none" w:sz="0" w:space="0" w:color="auto"/>
        <w:bottom w:val="none" w:sz="0" w:space="0" w:color="auto"/>
        <w:right w:val="none" w:sz="0" w:space="0" w:color="auto"/>
      </w:divBdr>
      <w:divsChild>
        <w:div w:id="384530606">
          <w:marLeft w:val="0"/>
          <w:marRight w:val="0"/>
          <w:marTop w:val="0"/>
          <w:marBottom w:val="0"/>
          <w:divBdr>
            <w:top w:val="none" w:sz="0" w:space="0" w:color="auto"/>
            <w:left w:val="none" w:sz="0" w:space="0" w:color="auto"/>
            <w:bottom w:val="none" w:sz="0" w:space="0" w:color="auto"/>
            <w:right w:val="none" w:sz="0" w:space="0" w:color="auto"/>
          </w:divBdr>
          <w:divsChild>
            <w:div w:id="1386492442">
              <w:marLeft w:val="0"/>
              <w:marRight w:val="0"/>
              <w:marTop w:val="0"/>
              <w:marBottom w:val="0"/>
              <w:divBdr>
                <w:top w:val="none" w:sz="0" w:space="0" w:color="auto"/>
                <w:left w:val="none" w:sz="0" w:space="0" w:color="auto"/>
                <w:bottom w:val="none" w:sz="0" w:space="0" w:color="auto"/>
                <w:right w:val="none" w:sz="0" w:space="0" w:color="auto"/>
              </w:divBdr>
              <w:divsChild>
                <w:div w:id="95251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338981">
      <w:bodyDiv w:val="1"/>
      <w:marLeft w:val="0"/>
      <w:marRight w:val="0"/>
      <w:marTop w:val="0"/>
      <w:marBottom w:val="0"/>
      <w:divBdr>
        <w:top w:val="none" w:sz="0" w:space="0" w:color="auto"/>
        <w:left w:val="none" w:sz="0" w:space="0" w:color="auto"/>
        <w:bottom w:val="none" w:sz="0" w:space="0" w:color="auto"/>
        <w:right w:val="none" w:sz="0" w:space="0" w:color="auto"/>
      </w:divBdr>
      <w:divsChild>
        <w:div w:id="1988976589">
          <w:marLeft w:val="0"/>
          <w:marRight w:val="0"/>
          <w:marTop w:val="0"/>
          <w:marBottom w:val="0"/>
          <w:divBdr>
            <w:top w:val="none" w:sz="0" w:space="0" w:color="auto"/>
            <w:left w:val="none" w:sz="0" w:space="0" w:color="auto"/>
            <w:bottom w:val="none" w:sz="0" w:space="0" w:color="auto"/>
            <w:right w:val="none" w:sz="0" w:space="0" w:color="auto"/>
          </w:divBdr>
        </w:div>
      </w:divsChild>
    </w:div>
    <w:div w:id="1729110810">
      <w:bodyDiv w:val="1"/>
      <w:marLeft w:val="0"/>
      <w:marRight w:val="0"/>
      <w:marTop w:val="0"/>
      <w:marBottom w:val="0"/>
      <w:divBdr>
        <w:top w:val="none" w:sz="0" w:space="0" w:color="auto"/>
        <w:left w:val="none" w:sz="0" w:space="0" w:color="auto"/>
        <w:bottom w:val="none" w:sz="0" w:space="0" w:color="auto"/>
        <w:right w:val="none" w:sz="0" w:space="0" w:color="auto"/>
      </w:divBdr>
      <w:divsChild>
        <w:div w:id="78799198">
          <w:marLeft w:val="0"/>
          <w:marRight w:val="0"/>
          <w:marTop w:val="0"/>
          <w:marBottom w:val="0"/>
          <w:divBdr>
            <w:top w:val="none" w:sz="0" w:space="0" w:color="auto"/>
            <w:left w:val="none" w:sz="0" w:space="0" w:color="auto"/>
            <w:bottom w:val="none" w:sz="0" w:space="0" w:color="auto"/>
            <w:right w:val="none" w:sz="0" w:space="0" w:color="auto"/>
          </w:divBdr>
        </w:div>
      </w:divsChild>
    </w:div>
    <w:div w:id="1790859252">
      <w:bodyDiv w:val="1"/>
      <w:marLeft w:val="0"/>
      <w:marRight w:val="0"/>
      <w:marTop w:val="0"/>
      <w:marBottom w:val="0"/>
      <w:divBdr>
        <w:top w:val="none" w:sz="0" w:space="0" w:color="auto"/>
        <w:left w:val="none" w:sz="0" w:space="0" w:color="auto"/>
        <w:bottom w:val="none" w:sz="0" w:space="0" w:color="auto"/>
        <w:right w:val="none" w:sz="0" w:space="0" w:color="auto"/>
      </w:divBdr>
      <w:divsChild>
        <w:div w:id="1383097264">
          <w:marLeft w:val="0"/>
          <w:marRight w:val="0"/>
          <w:marTop w:val="0"/>
          <w:marBottom w:val="0"/>
          <w:divBdr>
            <w:top w:val="none" w:sz="0" w:space="0" w:color="auto"/>
            <w:left w:val="none" w:sz="0" w:space="0" w:color="auto"/>
            <w:bottom w:val="none" w:sz="0" w:space="0" w:color="auto"/>
            <w:right w:val="none" w:sz="0" w:space="0" w:color="auto"/>
          </w:divBdr>
          <w:divsChild>
            <w:div w:id="1946842356">
              <w:marLeft w:val="0"/>
              <w:marRight w:val="0"/>
              <w:marTop w:val="0"/>
              <w:marBottom w:val="0"/>
              <w:divBdr>
                <w:top w:val="none" w:sz="0" w:space="0" w:color="auto"/>
                <w:left w:val="none" w:sz="0" w:space="0" w:color="auto"/>
                <w:bottom w:val="none" w:sz="0" w:space="0" w:color="auto"/>
                <w:right w:val="none" w:sz="0" w:space="0" w:color="auto"/>
              </w:divBdr>
              <w:divsChild>
                <w:div w:id="637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368489">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sChild>
        <w:div w:id="864487404">
          <w:marLeft w:val="0"/>
          <w:marRight w:val="0"/>
          <w:marTop w:val="0"/>
          <w:marBottom w:val="0"/>
          <w:divBdr>
            <w:top w:val="none" w:sz="0" w:space="0" w:color="auto"/>
            <w:left w:val="none" w:sz="0" w:space="0" w:color="auto"/>
            <w:bottom w:val="none" w:sz="0" w:space="0" w:color="auto"/>
            <w:right w:val="none" w:sz="0" w:space="0" w:color="auto"/>
          </w:divBdr>
          <w:divsChild>
            <w:div w:id="972440105">
              <w:marLeft w:val="0"/>
              <w:marRight w:val="0"/>
              <w:marTop w:val="0"/>
              <w:marBottom w:val="0"/>
              <w:divBdr>
                <w:top w:val="none" w:sz="0" w:space="0" w:color="auto"/>
                <w:left w:val="none" w:sz="0" w:space="0" w:color="auto"/>
                <w:bottom w:val="none" w:sz="0" w:space="0" w:color="auto"/>
                <w:right w:val="none" w:sz="0" w:space="0" w:color="auto"/>
              </w:divBdr>
              <w:divsChild>
                <w:div w:id="142005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88937">
      <w:bodyDiv w:val="1"/>
      <w:marLeft w:val="0"/>
      <w:marRight w:val="0"/>
      <w:marTop w:val="0"/>
      <w:marBottom w:val="0"/>
      <w:divBdr>
        <w:top w:val="none" w:sz="0" w:space="0" w:color="auto"/>
        <w:left w:val="none" w:sz="0" w:space="0" w:color="auto"/>
        <w:bottom w:val="none" w:sz="0" w:space="0" w:color="auto"/>
        <w:right w:val="none" w:sz="0" w:space="0" w:color="auto"/>
      </w:divBdr>
    </w:div>
    <w:div w:id="1892036625">
      <w:bodyDiv w:val="1"/>
      <w:marLeft w:val="0"/>
      <w:marRight w:val="0"/>
      <w:marTop w:val="0"/>
      <w:marBottom w:val="0"/>
      <w:divBdr>
        <w:top w:val="none" w:sz="0" w:space="0" w:color="auto"/>
        <w:left w:val="none" w:sz="0" w:space="0" w:color="auto"/>
        <w:bottom w:val="none" w:sz="0" w:space="0" w:color="auto"/>
        <w:right w:val="none" w:sz="0" w:space="0" w:color="auto"/>
      </w:divBdr>
    </w:div>
    <w:div w:id="1917746414">
      <w:bodyDiv w:val="1"/>
      <w:marLeft w:val="0"/>
      <w:marRight w:val="0"/>
      <w:marTop w:val="0"/>
      <w:marBottom w:val="0"/>
      <w:divBdr>
        <w:top w:val="none" w:sz="0" w:space="0" w:color="auto"/>
        <w:left w:val="none" w:sz="0" w:space="0" w:color="auto"/>
        <w:bottom w:val="none" w:sz="0" w:space="0" w:color="auto"/>
        <w:right w:val="none" w:sz="0" w:space="0" w:color="auto"/>
      </w:divBdr>
    </w:div>
    <w:div w:id="19373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entreforsocialjustice.org.uk/core/wp-content/uploads/2016/08/Finding.pdf"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hyperlink" Target="http://www.findmypast.co.uk" TargetMode="External"/><Relationship Id="rId10" Type="http://schemas.openxmlformats.org/officeDocument/2006/relationships/hyperlink" Target="http://www.ancestry.co.uk"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Users\barrygodfrey\Documents\BARRY\RESEARCH%20PROJECTS\Res%20projects%201995-2013\PAST\ESRC%20Licenses\DATA\English%20data\Statistics%20for%20use%20in%20project\21%20%20%20%20Industrial%20schools%20safe%20copy%20with%20graph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89802512775865"/>
          <c:y val="0.0490718301988235"/>
          <c:w val="0.897070928952405"/>
          <c:h val="0.759701089331543"/>
        </c:manualLayout>
      </c:layout>
      <c:lineChart>
        <c:grouping val="standard"/>
        <c:varyColors val="0"/>
        <c:ser>
          <c:idx val="0"/>
          <c:order val="0"/>
          <c:tx>
            <c:v>males</c:v>
          </c:tx>
          <c:spPr>
            <a:ln w="25400">
              <a:solidFill>
                <a:srgbClr val="000090"/>
              </a:solidFill>
              <a:prstDash val="solid"/>
            </a:ln>
          </c:spPr>
          <c:marker>
            <c:symbol val="none"/>
          </c:marker>
          <c:cat>
            <c:numRef>
              <c:f>Sheet1!$A$2:$A$34</c:f>
              <c:numCache>
                <c:formatCode>General</c:formatCode>
                <c:ptCount val="33"/>
                <c:pt idx="0">
                  <c:v>1860.0</c:v>
                </c:pt>
                <c:pt idx="1">
                  <c:v>1861.0</c:v>
                </c:pt>
                <c:pt idx="2">
                  <c:v>1862.0</c:v>
                </c:pt>
                <c:pt idx="3">
                  <c:v>1863.0</c:v>
                </c:pt>
                <c:pt idx="4">
                  <c:v>1864.0</c:v>
                </c:pt>
                <c:pt idx="5">
                  <c:v>1865.0</c:v>
                </c:pt>
                <c:pt idx="6">
                  <c:v>1866.0</c:v>
                </c:pt>
                <c:pt idx="7">
                  <c:v>1867.0</c:v>
                </c:pt>
                <c:pt idx="8">
                  <c:v>1868.0</c:v>
                </c:pt>
                <c:pt idx="9">
                  <c:v>1869.0</c:v>
                </c:pt>
                <c:pt idx="10">
                  <c:v>1870.0</c:v>
                </c:pt>
                <c:pt idx="11">
                  <c:v>1871.0</c:v>
                </c:pt>
                <c:pt idx="12">
                  <c:v>1872.0</c:v>
                </c:pt>
                <c:pt idx="13">
                  <c:v>1873.0</c:v>
                </c:pt>
                <c:pt idx="14">
                  <c:v>1874.0</c:v>
                </c:pt>
                <c:pt idx="15">
                  <c:v>1875.0</c:v>
                </c:pt>
                <c:pt idx="16">
                  <c:v>1876.0</c:v>
                </c:pt>
                <c:pt idx="17">
                  <c:v>1877.0</c:v>
                </c:pt>
                <c:pt idx="18">
                  <c:v>1878.0</c:v>
                </c:pt>
                <c:pt idx="19">
                  <c:v>1879.0</c:v>
                </c:pt>
                <c:pt idx="20">
                  <c:v>1880.0</c:v>
                </c:pt>
                <c:pt idx="21">
                  <c:v>1881.0</c:v>
                </c:pt>
                <c:pt idx="22">
                  <c:v>1882.0</c:v>
                </c:pt>
                <c:pt idx="23">
                  <c:v>1883.0</c:v>
                </c:pt>
                <c:pt idx="24">
                  <c:v>1884.0</c:v>
                </c:pt>
                <c:pt idx="25">
                  <c:v>1885.0</c:v>
                </c:pt>
                <c:pt idx="26">
                  <c:v>1886.0</c:v>
                </c:pt>
                <c:pt idx="27">
                  <c:v>1887.0</c:v>
                </c:pt>
                <c:pt idx="28">
                  <c:v>1888.0</c:v>
                </c:pt>
                <c:pt idx="29">
                  <c:v>1889.0</c:v>
                </c:pt>
                <c:pt idx="30">
                  <c:v>1890.0</c:v>
                </c:pt>
                <c:pt idx="31">
                  <c:v>1891.0</c:v>
                </c:pt>
                <c:pt idx="32">
                  <c:v>1892.0</c:v>
                </c:pt>
              </c:numCache>
            </c:numRef>
          </c:cat>
          <c:val>
            <c:numRef>
              <c:f>Sheet1!$C$2:$C$34</c:f>
              <c:numCache>
                <c:formatCode>General</c:formatCode>
                <c:ptCount val="33"/>
                <c:pt idx="0">
                  <c:v>124.0</c:v>
                </c:pt>
                <c:pt idx="1">
                  <c:v>116.0</c:v>
                </c:pt>
                <c:pt idx="2">
                  <c:v>325.0</c:v>
                </c:pt>
                <c:pt idx="3">
                  <c:v>484.0</c:v>
                </c:pt>
                <c:pt idx="4">
                  <c:v>637.0</c:v>
                </c:pt>
                <c:pt idx="5">
                  <c:v>782.0</c:v>
                </c:pt>
                <c:pt idx="6">
                  <c:v>947.0</c:v>
                </c:pt>
                <c:pt idx="7">
                  <c:v>1471.0</c:v>
                </c:pt>
                <c:pt idx="8">
                  <c:v>2527.0</c:v>
                </c:pt>
                <c:pt idx="9">
                  <c:v>3217.0</c:v>
                </c:pt>
                <c:pt idx="10">
                  <c:v>3744.0</c:v>
                </c:pt>
                <c:pt idx="11">
                  <c:v>4416.0</c:v>
                </c:pt>
                <c:pt idx="12">
                  <c:v>4870.0</c:v>
                </c:pt>
                <c:pt idx="13">
                  <c:v>5651.0</c:v>
                </c:pt>
                <c:pt idx="14">
                  <c:v>6129.0</c:v>
                </c:pt>
                <c:pt idx="15">
                  <c:v>6450.0</c:v>
                </c:pt>
                <c:pt idx="16">
                  <c:v>6801.0</c:v>
                </c:pt>
                <c:pt idx="17">
                  <c:v>7360.0</c:v>
                </c:pt>
                <c:pt idx="18">
                  <c:v>7898.0</c:v>
                </c:pt>
                <c:pt idx="19">
                  <c:v>8478.0</c:v>
                </c:pt>
                <c:pt idx="20">
                  <c:v>11316.0</c:v>
                </c:pt>
                <c:pt idx="21">
                  <c:v>11767.0</c:v>
                </c:pt>
                <c:pt idx="22">
                  <c:v>12574.0</c:v>
                </c:pt>
                <c:pt idx="23">
                  <c:v>13063.0</c:v>
                </c:pt>
                <c:pt idx="24">
                  <c:v>13459.0</c:v>
                </c:pt>
                <c:pt idx="25">
                  <c:v>13719.0</c:v>
                </c:pt>
                <c:pt idx="26">
                  <c:v>16276.0</c:v>
                </c:pt>
                <c:pt idx="27">
                  <c:v>16886.0</c:v>
                </c:pt>
                <c:pt idx="28">
                  <c:v>16962.0</c:v>
                </c:pt>
                <c:pt idx="29">
                  <c:v>17586.0</c:v>
                </c:pt>
                <c:pt idx="30">
                  <c:v>18435.0</c:v>
                </c:pt>
                <c:pt idx="31">
                  <c:v>19393.0</c:v>
                </c:pt>
                <c:pt idx="32">
                  <c:v>19541.0</c:v>
                </c:pt>
              </c:numCache>
            </c:numRef>
          </c:val>
          <c:smooth val="0"/>
        </c:ser>
        <c:ser>
          <c:idx val="1"/>
          <c:order val="1"/>
          <c:tx>
            <c:v>females</c:v>
          </c:tx>
          <c:spPr>
            <a:ln w="25400">
              <a:solidFill>
                <a:srgbClr val="F20884"/>
              </a:solidFill>
              <a:prstDash val="solid"/>
            </a:ln>
          </c:spPr>
          <c:marker>
            <c:symbol val="none"/>
          </c:marker>
          <c:val>
            <c:numRef>
              <c:f>Sheet1!$D$2:$D$34</c:f>
              <c:numCache>
                <c:formatCode>General</c:formatCode>
                <c:ptCount val="33"/>
                <c:pt idx="0">
                  <c:v>42.0</c:v>
                </c:pt>
                <c:pt idx="1">
                  <c:v>62.0</c:v>
                </c:pt>
                <c:pt idx="2">
                  <c:v>155.0</c:v>
                </c:pt>
                <c:pt idx="3">
                  <c:v>193.0</c:v>
                </c:pt>
                <c:pt idx="4">
                  <c:v>218.0</c:v>
                </c:pt>
                <c:pt idx="5">
                  <c:v>272.0</c:v>
                </c:pt>
                <c:pt idx="6">
                  <c:v>288.0</c:v>
                </c:pt>
                <c:pt idx="7">
                  <c:v>521.0</c:v>
                </c:pt>
                <c:pt idx="8">
                  <c:v>772.0</c:v>
                </c:pt>
                <c:pt idx="9">
                  <c:v>1001.0</c:v>
                </c:pt>
                <c:pt idx="10">
                  <c:v>1134.0</c:v>
                </c:pt>
                <c:pt idx="11">
                  <c:v>1380.0</c:v>
                </c:pt>
                <c:pt idx="12">
                  <c:v>1516.0</c:v>
                </c:pt>
                <c:pt idx="13">
                  <c:v>1646.0</c:v>
                </c:pt>
                <c:pt idx="14">
                  <c:v>1625.0</c:v>
                </c:pt>
                <c:pt idx="15">
                  <c:v>1599.0</c:v>
                </c:pt>
                <c:pt idx="16">
                  <c:v>1540.0</c:v>
                </c:pt>
                <c:pt idx="17">
                  <c:v>1504.0</c:v>
                </c:pt>
                <c:pt idx="18">
                  <c:v>1652.0</c:v>
                </c:pt>
                <c:pt idx="19">
                  <c:v>1678.0</c:v>
                </c:pt>
                <c:pt idx="20">
                  <c:v>2072.0</c:v>
                </c:pt>
                <c:pt idx="21">
                  <c:v>2176.0</c:v>
                </c:pt>
                <c:pt idx="22">
                  <c:v>2292.0</c:v>
                </c:pt>
                <c:pt idx="23">
                  <c:v>2503.0</c:v>
                </c:pt>
                <c:pt idx="24">
                  <c:v>2718.0</c:v>
                </c:pt>
                <c:pt idx="25">
                  <c:v>2808.0</c:v>
                </c:pt>
                <c:pt idx="26">
                  <c:v>3978.0</c:v>
                </c:pt>
                <c:pt idx="27">
                  <c:v>4305.0</c:v>
                </c:pt>
                <c:pt idx="28">
                  <c:v>4451.0</c:v>
                </c:pt>
                <c:pt idx="29">
                  <c:v>4691.0</c:v>
                </c:pt>
                <c:pt idx="30">
                  <c:v>4954.0</c:v>
                </c:pt>
                <c:pt idx="31">
                  <c:v>5181.0</c:v>
                </c:pt>
                <c:pt idx="32">
                  <c:v>5013.0</c:v>
                </c:pt>
              </c:numCache>
            </c:numRef>
          </c:val>
          <c:smooth val="0"/>
        </c:ser>
        <c:dLbls>
          <c:showLegendKey val="0"/>
          <c:showVal val="0"/>
          <c:showCatName val="0"/>
          <c:showSerName val="0"/>
          <c:showPercent val="0"/>
          <c:showBubbleSize val="0"/>
        </c:dLbls>
        <c:smooth val="0"/>
        <c:axId val="-737847328"/>
        <c:axId val="-737924096"/>
      </c:lineChart>
      <c:catAx>
        <c:axId val="-737847328"/>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a:ea typeface="Arial"/>
                <a:cs typeface="Arial"/>
              </a:defRPr>
            </a:pPr>
            <a:endParaRPr lang="en-GB"/>
          </a:p>
        </c:txPr>
        <c:crossAx val="-737924096"/>
        <c:crosses val="autoZero"/>
        <c:auto val="1"/>
        <c:lblAlgn val="ctr"/>
        <c:lblOffset val="100"/>
        <c:tickLblSkip val="1"/>
        <c:tickMarkSkip val="1"/>
        <c:noMultiLvlLbl val="0"/>
      </c:catAx>
      <c:valAx>
        <c:axId val="-737924096"/>
        <c:scaling>
          <c:orientation val="minMax"/>
          <c:max val="20000.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GB"/>
          </a:p>
        </c:txPr>
        <c:crossAx val="-737847328"/>
        <c:crosses val="autoZero"/>
        <c:crossBetween val="between"/>
        <c:majorUnit val="1000.0"/>
      </c:valAx>
      <c:spPr>
        <a:solidFill>
          <a:srgbClr val="C0C0C0"/>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2300" b="0" i="0" u="none" strike="noStrike" baseline="0">
          <a:solidFill>
            <a:srgbClr val="000000"/>
          </a:solidFill>
          <a:latin typeface="Arial"/>
          <a:ea typeface="Arial"/>
          <a:cs typeface="Arial"/>
        </a:defRPr>
      </a:pPr>
      <a:endParaRPr lang="en-GB"/>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0C1F011-3D51-AE40-B840-483CEC9CF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7799</Words>
  <Characters>44458</Characters>
  <Application>Microsoft Macintosh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52153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Cox, Pamela</dc:creator>
  <cp:lastModifiedBy>Microsoft Office User</cp:lastModifiedBy>
  <cp:revision>4</cp:revision>
  <cp:lastPrinted>2017-01-19T11:53:00Z</cp:lastPrinted>
  <dcterms:created xsi:type="dcterms:W3CDTF">2017-11-21T16:34:00Z</dcterms:created>
  <dcterms:modified xsi:type="dcterms:W3CDTF">2017-11-21T16:37:00Z</dcterms:modified>
</cp:coreProperties>
</file>