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A7991" w14:textId="77777777" w:rsidR="00ED5167" w:rsidRPr="00E8073D" w:rsidRDefault="00ED5167" w:rsidP="00825989">
      <w:pPr>
        <w:pStyle w:val="Heading2"/>
        <w:spacing w:line="360" w:lineRule="auto"/>
        <w:contextualSpacing/>
        <w:jc w:val="both"/>
        <w:rPr>
          <w:rFonts w:cs="Times New Roman"/>
        </w:rPr>
      </w:pPr>
    </w:p>
    <w:p w14:paraId="5C66938E" w14:textId="77777777" w:rsidR="00ED5167" w:rsidRPr="00E8073D" w:rsidRDefault="00ED5167" w:rsidP="00825989">
      <w:pPr>
        <w:pStyle w:val="Heading2"/>
        <w:spacing w:line="360" w:lineRule="auto"/>
        <w:contextualSpacing/>
        <w:jc w:val="both"/>
        <w:rPr>
          <w:rFonts w:cs="Times New Roman"/>
        </w:rPr>
      </w:pPr>
    </w:p>
    <w:p w14:paraId="7C3746BB" w14:textId="77777777" w:rsidR="00ED5167" w:rsidRPr="00E8073D" w:rsidRDefault="00ED5167" w:rsidP="00825989">
      <w:pPr>
        <w:pStyle w:val="Heading2"/>
        <w:spacing w:line="360" w:lineRule="auto"/>
        <w:contextualSpacing/>
        <w:jc w:val="both"/>
        <w:rPr>
          <w:rFonts w:cs="Times New Roman"/>
        </w:rPr>
      </w:pPr>
    </w:p>
    <w:p w14:paraId="6FA1703D" w14:textId="77777777" w:rsidR="00ED5167" w:rsidRPr="00E8073D" w:rsidRDefault="00ED5167" w:rsidP="00825989">
      <w:pPr>
        <w:pStyle w:val="Heading2"/>
        <w:spacing w:line="360" w:lineRule="auto"/>
        <w:contextualSpacing/>
        <w:jc w:val="both"/>
        <w:rPr>
          <w:rFonts w:cs="Times New Roman"/>
        </w:rPr>
      </w:pPr>
    </w:p>
    <w:p w14:paraId="68A244E4" w14:textId="5E895AEE" w:rsidR="00D207A9" w:rsidRPr="00E8073D" w:rsidRDefault="000E49F2" w:rsidP="008E7D1D">
      <w:pPr>
        <w:pStyle w:val="Heading2"/>
        <w:spacing w:line="360" w:lineRule="auto"/>
        <w:contextualSpacing/>
        <w:rPr>
          <w:rFonts w:cs="Times New Roman"/>
          <w:sz w:val="28"/>
          <w:szCs w:val="28"/>
        </w:rPr>
      </w:pPr>
      <w:r w:rsidRPr="00E8073D">
        <w:rPr>
          <w:rFonts w:cs="Times New Roman"/>
          <w:sz w:val="28"/>
          <w:szCs w:val="28"/>
        </w:rPr>
        <w:t>Socio-political i</w:t>
      </w:r>
      <w:r w:rsidR="00D05D48" w:rsidRPr="00E8073D">
        <w:rPr>
          <w:rFonts w:cs="Times New Roman"/>
          <w:sz w:val="28"/>
          <w:szCs w:val="28"/>
        </w:rPr>
        <w:t xml:space="preserve">mplications of </w:t>
      </w:r>
      <w:r w:rsidR="008D0470">
        <w:rPr>
          <w:rFonts w:cs="Times New Roman"/>
          <w:sz w:val="28"/>
          <w:szCs w:val="28"/>
        </w:rPr>
        <w:t>exclusive, intergroup perceptions of victims</w:t>
      </w:r>
      <w:r w:rsidR="00C51926" w:rsidRPr="00E8073D">
        <w:rPr>
          <w:rFonts w:cs="Times New Roman"/>
          <w:sz w:val="28"/>
          <w:szCs w:val="28"/>
        </w:rPr>
        <w:t xml:space="preserve"> </w:t>
      </w:r>
      <w:r w:rsidR="004A1299">
        <w:rPr>
          <w:rFonts w:cs="Times New Roman"/>
          <w:sz w:val="28"/>
          <w:szCs w:val="28"/>
        </w:rPr>
        <w:t>in societies emerging from conflict</w:t>
      </w:r>
    </w:p>
    <w:p w14:paraId="66378D5E" w14:textId="77777777" w:rsidR="00ED5167" w:rsidRPr="00E8073D" w:rsidRDefault="00ED5167" w:rsidP="008E7D1D">
      <w:pPr>
        <w:spacing w:line="360" w:lineRule="auto"/>
        <w:contextualSpacing/>
      </w:pPr>
    </w:p>
    <w:p w14:paraId="4A75DAD0" w14:textId="77777777" w:rsidR="002D1FD1" w:rsidRPr="002D1FD1" w:rsidRDefault="00ED5167" w:rsidP="008E7D1D">
      <w:pPr>
        <w:spacing w:line="360" w:lineRule="auto"/>
        <w:contextualSpacing/>
        <w:rPr>
          <w:b/>
        </w:rPr>
      </w:pPr>
      <w:r w:rsidRPr="002D1FD1">
        <w:rPr>
          <w:b/>
        </w:rPr>
        <w:t xml:space="preserve">Dr </w:t>
      </w:r>
      <w:r w:rsidR="00D05D48" w:rsidRPr="002D1FD1">
        <w:rPr>
          <w:b/>
        </w:rPr>
        <w:t>Sarah Jankowitz</w:t>
      </w:r>
      <w:r w:rsidR="002D1FD1" w:rsidRPr="002D1FD1">
        <w:rPr>
          <w:b/>
        </w:rPr>
        <w:t xml:space="preserve"> </w:t>
      </w:r>
    </w:p>
    <w:p w14:paraId="29A66B80" w14:textId="217628F5" w:rsidR="002D1FD1" w:rsidRDefault="002D1FD1" w:rsidP="008E7D1D">
      <w:pPr>
        <w:spacing w:line="360" w:lineRule="auto"/>
        <w:contextualSpacing/>
      </w:pPr>
      <w:r>
        <w:t>Irish School of Ecumenics</w:t>
      </w:r>
    </w:p>
    <w:p w14:paraId="386BDA6B" w14:textId="7076DF52" w:rsidR="00D05D48" w:rsidRDefault="00D05D48" w:rsidP="008E7D1D">
      <w:pPr>
        <w:spacing w:line="360" w:lineRule="auto"/>
        <w:contextualSpacing/>
      </w:pPr>
      <w:r w:rsidRPr="00E8073D">
        <w:t>Trinity College Dublin</w:t>
      </w:r>
      <w:r w:rsidR="00565B1C">
        <w:t>, Ireland</w:t>
      </w:r>
    </w:p>
    <w:p w14:paraId="7D33F5FB" w14:textId="3050D20E" w:rsidR="008E7D1D" w:rsidRDefault="001811AA" w:rsidP="008E7D1D">
      <w:pPr>
        <w:spacing w:line="360" w:lineRule="auto"/>
        <w:contextualSpacing/>
      </w:pPr>
      <w:hyperlink r:id="rId9" w:history="1">
        <w:r w:rsidR="008E7D1D" w:rsidRPr="00471D60">
          <w:rPr>
            <w:rStyle w:val="Hyperlink"/>
          </w:rPr>
          <w:t>jankowis@tcd.ie</w:t>
        </w:r>
      </w:hyperlink>
    </w:p>
    <w:p w14:paraId="1A1E5620" w14:textId="77777777" w:rsidR="008E7D1D" w:rsidRDefault="008E7D1D" w:rsidP="008E7D1D">
      <w:pPr>
        <w:spacing w:line="360" w:lineRule="auto"/>
        <w:contextualSpacing/>
      </w:pPr>
    </w:p>
    <w:p w14:paraId="279735F5" w14:textId="33E27AF8" w:rsidR="008E7D1D" w:rsidRDefault="00AA413F" w:rsidP="008E7D1D">
      <w:pPr>
        <w:spacing w:line="360" w:lineRule="auto"/>
        <w:contextualSpacing/>
      </w:pPr>
      <w:r>
        <w:t>32 Lisburn Avenue</w:t>
      </w:r>
    </w:p>
    <w:p w14:paraId="6EFDCDCB" w14:textId="5C086DA8" w:rsidR="008E7D1D" w:rsidRDefault="00AA413F" w:rsidP="008E7D1D">
      <w:pPr>
        <w:spacing w:line="360" w:lineRule="auto"/>
        <w:contextualSpacing/>
      </w:pPr>
      <w:r>
        <w:t>Belfast BT9 7FX</w:t>
      </w:r>
    </w:p>
    <w:p w14:paraId="6458715F" w14:textId="5E0D1A1D" w:rsidR="008E7D1D" w:rsidRDefault="008E7D1D" w:rsidP="008E7D1D">
      <w:pPr>
        <w:spacing w:line="360" w:lineRule="auto"/>
        <w:contextualSpacing/>
      </w:pPr>
      <w:r>
        <w:t>Northern Ireland</w:t>
      </w:r>
    </w:p>
    <w:p w14:paraId="486DFCAD" w14:textId="77777777" w:rsidR="00035C8D" w:rsidRPr="00E8073D" w:rsidRDefault="00035C8D" w:rsidP="008E7D1D">
      <w:pPr>
        <w:spacing w:line="360" w:lineRule="auto"/>
        <w:contextualSpacing/>
      </w:pPr>
    </w:p>
    <w:p w14:paraId="77E1DE2A" w14:textId="2C4C55CD" w:rsidR="0029571A" w:rsidRPr="0029571A" w:rsidRDefault="00ED5167" w:rsidP="0029571A">
      <w:pPr>
        <w:spacing w:line="360" w:lineRule="auto"/>
        <w:contextualSpacing/>
        <w:sectPr w:rsidR="0029571A" w:rsidRPr="0029571A" w:rsidSect="00C80520">
          <w:footerReference w:type="default" r:id="rId10"/>
          <w:pgSz w:w="11900" w:h="16840"/>
          <w:pgMar w:top="1134" w:right="1134" w:bottom="1134" w:left="1701" w:header="709" w:footer="709" w:gutter="0"/>
          <w:cols w:space="708"/>
          <w:docGrid w:linePitch="360"/>
        </w:sectPr>
      </w:pPr>
      <w:r w:rsidRPr="00E8073D">
        <w:t>Word count</w:t>
      </w:r>
      <w:r w:rsidR="00657A4F">
        <w:t xml:space="preserve">: </w:t>
      </w:r>
      <w:r w:rsidR="001811AA">
        <w:t>8014</w:t>
      </w:r>
      <w:bookmarkStart w:id="0" w:name="_GoBack"/>
      <w:bookmarkEnd w:id="0"/>
    </w:p>
    <w:p w14:paraId="2C545FB4" w14:textId="7401347E" w:rsidR="00E93CC3" w:rsidRDefault="00E93CC3" w:rsidP="00E93CC3">
      <w:pPr>
        <w:spacing w:line="360" w:lineRule="auto"/>
        <w:contextualSpacing/>
        <w:jc w:val="both"/>
        <w:rPr>
          <w:b/>
        </w:rPr>
      </w:pPr>
      <w:r>
        <w:rPr>
          <w:b/>
        </w:rPr>
        <w:lastRenderedPageBreak/>
        <w:t>Socio-political implications of exclusive, intergroup percept</w:t>
      </w:r>
      <w:r w:rsidR="004A1299">
        <w:rPr>
          <w:b/>
        </w:rPr>
        <w:t xml:space="preserve">ions of victims in </w:t>
      </w:r>
      <w:r>
        <w:rPr>
          <w:b/>
        </w:rPr>
        <w:t>societies</w:t>
      </w:r>
      <w:r w:rsidR="004A1299">
        <w:rPr>
          <w:b/>
        </w:rPr>
        <w:t xml:space="preserve"> emerging from conflict</w:t>
      </w:r>
    </w:p>
    <w:p w14:paraId="3BE834AA" w14:textId="77777777" w:rsidR="00E93CC3" w:rsidRDefault="00E93CC3" w:rsidP="00E93CC3">
      <w:pPr>
        <w:spacing w:line="360" w:lineRule="auto"/>
        <w:contextualSpacing/>
        <w:jc w:val="both"/>
        <w:rPr>
          <w:b/>
        </w:rPr>
      </w:pPr>
    </w:p>
    <w:p w14:paraId="7FE72906" w14:textId="77777777" w:rsidR="00E93CC3" w:rsidRPr="00E8073D" w:rsidRDefault="00E93CC3" w:rsidP="00E93CC3">
      <w:pPr>
        <w:spacing w:line="360" w:lineRule="auto"/>
        <w:contextualSpacing/>
        <w:jc w:val="both"/>
      </w:pPr>
      <w:r w:rsidRPr="00E8073D">
        <w:rPr>
          <w:b/>
        </w:rPr>
        <w:t>Abstract</w:t>
      </w:r>
    </w:p>
    <w:p w14:paraId="621DBCEB" w14:textId="77777777" w:rsidR="00E93CC3" w:rsidRDefault="00E93CC3" w:rsidP="00E93CC3">
      <w:pPr>
        <w:spacing w:line="360" w:lineRule="auto"/>
        <w:contextualSpacing/>
        <w:jc w:val="both"/>
      </w:pPr>
    </w:p>
    <w:p w14:paraId="29E57963" w14:textId="385FB63A" w:rsidR="00E93CC3" w:rsidRDefault="00427E08" w:rsidP="00E93CC3">
      <w:pPr>
        <w:spacing w:line="360" w:lineRule="auto"/>
        <w:contextualSpacing/>
        <w:jc w:val="both"/>
      </w:pPr>
      <w:r>
        <w:t>P</w:t>
      </w:r>
      <w:r w:rsidR="00E93CC3">
        <w:t xml:space="preserve">eacebuilding frameworks </w:t>
      </w:r>
      <w:r w:rsidR="00AF7C27">
        <w:t>reflect an</w:t>
      </w:r>
      <w:r w:rsidR="00E93CC3">
        <w:t xml:space="preserve"> </w:t>
      </w:r>
      <w:r w:rsidR="000757C6">
        <w:t>imperative</w:t>
      </w:r>
      <w:r w:rsidR="00E93CC3">
        <w:t xml:space="preserve"> to acknowledge</w:t>
      </w:r>
      <w:r w:rsidR="003E641A">
        <w:t xml:space="preserve"> the experiences of victims</w:t>
      </w:r>
      <w:r w:rsidR="00E93CC3">
        <w:t xml:space="preserve"> in an effort to remedy </w:t>
      </w:r>
      <w:r w:rsidR="00882A63">
        <w:t>their harm</w:t>
      </w:r>
      <w:r>
        <w:t xml:space="preserve"> and consolidate peace</w:t>
      </w:r>
      <w:r w:rsidR="00E93CC3">
        <w:t xml:space="preserve">.  Most </w:t>
      </w:r>
      <w:r w:rsidR="00AE30A0">
        <w:t xml:space="preserve">social </w:t>
      </w:r>
      <w:r w:rsidR="00E93CC3">
        <w:t>groups</w:t>
      </w:r>
      <w:r w:rsidR="004457A2">
        <w:t xml:space="preserve"> involved</w:t>
      </w:r>
      <w:r w:rsidR="00307712">
        <w:t xml:space="preserve"> in conflict</w:t>
      </w:r>
      <w:r w:rsidR="00E93CC3">
        <w:t>, however, claim to be the ‘real’ victims</w:t>
      </w:r>
      <w:r w:rsidR="001C715D">
        <w:t>, often</w:t>
      </w:r>
      <w:r w:rsidR="00E93CC3">
        <w:t xml:space="preserve"> while </w:t>
      </w:r>
      <w:r w:rsidR="009B4259">
        <w:t>refuting</w:t>
      </w:r>
      <w:r w:rsidR="00E93CC3">
        <w:t xml:space="preserve"> the </w:t>
      </w:r>
      <w:r w:rsidR="00AA7538">
        <w:t>victimhood of their adversaries.  This</w:t>
      </w:r>
      <w:r w:rsidR="00E93CC3">
        <w:t xml:space="preserve"> </w:t>
      </w:r>
      <w:r w:rsidR="006A4AF1">
        <w:t>exclusive</w:t>
      </w:r>
      <w:r w:rsidR="00714BB3">
        <w:t xml:space="preserve"> attitude</w:t>
      </w:r>
      <w:r w:rsidR="006A4AF1">
        <w:t xml:space="preserve"> about </w:t>
      </w:r>
      <w:r w:rsidR="00985FA6">
        <w:t>vict</w:t>
      </w:r>
      <w:r w:rsidR="00714BB3">
        <w:t>ims</w:t>
      </w:r>
      <w:r w:rsidR="000F544C">
        <w:t xml:space="preserve"> resonate</w:t>
      </w:r>
      <w:r w:rsidR="00714BB3">
        <w:t>s</w:t>
      </w:r>
      <w:r w:rsidR="000F544C">
        <w:t xml:space="preserve"> with</w:t>
      </w:r>
      <w:r w:rsidR="00985FA6">
        <w:t xml:space="preserve"> group ident</w:t>
      </w:r>
      <w:r w:rsidR="000757C6">
        <w:t>ification</w:t>
      </w:r>
      <w:r w:rsidR="00AA7538">
        <w:t xml:space="preserve"> and complicates the task of</w:t>
      </w:r>
      <w:r w:rsidR="00882A63">
        <w:t xml:space="preserve"> addressing victims’ </w:t>
      </w:r>
      <w:r w:rsidR="000757C6">
        <w:t>needs</w:t>
      </w:r>
      <w:r w:rsidR="00E93CC3">
        <w:t>.  This article examines the implications of</w:t>
      </w:r>
      <w:r>
        <w:t xml:space="preserve"> such</w:t>
      </w:r>
      <w:r w:rsidR="00E93CC3">
        <w:t xml:space="preserve"> exclusive, intergroup perceptions of victims </w:t>
      </w:r>
      <w:r>
        <w:t>on the prospect of peacebuilding</w:t>
      </w:r>
      <w:r w:rsidR="002F7F2A">
        <w:t>, d</w:t>
      </w:r>
      <w:r w:rsidR="00E93CC3">
        <w:t>rawing upon empirical e</w:t>
      </w:r>
      <w:r w:rsidR="002F7F2A">
        <w:t>vidence from Northern Ireland</w:t>
      </w:r>
      <w:r w:rsidR="00E93CC3">
        <w:t xml:space="preserve">.  </w:t>
      </w:r>
      <w:r w:rsidR="002F7F2A">
        <w:t>Three overlapping implications emerge</w:t>
      </w:r>
      <w:r w:rsidR="000757C6">
        <w:t>, including</w:t>
      </w:r>
      <w:r w:rsidR="00E93CC3">
        <w:t xml:space="preserve"> difficulty identifying victims and their needs, proliferation of a</w:t>
      </w:r>
      <w:r w:rsidR="002F7F2A">
        <w:t xml:space="preserve"> competitive and politicised</w:t>
      </w:r>
      <w:r w:rsidR="00A63313">
        <w:t xml:space="preserve"> ‘victim culture’</w:t>
      </w:r>
      <w:r w:rsidR="00E93CC3">
        <w:t xml:space="preserve"> </w:t>
      </w:r>
      <w:r w:rsidR="002F7F2A">
        <w:t xml:space="preserve">and the so-called </w:t>
      </w:r>
      <w:r w:rsidR="00E93CC3">
        <w:t>‘hierarchy of victims’.  Exclusive, intergroup perceptions demonstrated in these three implications impede peacebuilding</w:t>
      </w:r>
      <w:r w:rsidR="00177F69">
        <w:t xml:space="preserve"> primarily</w:t>
      </w:r>
      <w:r w:rsidR="00E93CC3">
        <w:t xml:space="preserve"> by </w:t>
      </w:r>
      <w:r w:rsidR="002F7F2A">
        <w:t>preventing the development of new, co-operative relationships between groups and reinforcing divisive group identities</w:t>
      </w:r>
      <w:r w:rsidR="00E93CC3">
        <w:t>.</w:t>
      </w:r>
    </w:p>
    <w:p w14:paraId="636E81A9" w14:textId="77777777" w:rsidR="00E93CC3" w:rsidRDefault="00E93CC3" w:rsidP="00E93CC3">
      <w:pPr>
        <w:spacing w:line="360" w:lineRule="auto"/>
        <w:contextualSpacing/>
        <w:jc w:val="both"/>
      </w:pPr>
    </w:p>
    <w:p w14:paraId="2171212A" w14:textId="0BF19AFC" w:rsidR="00E93CC3" w:rsidRDefault="0027155E" w:rsidP="00E93CC3">
      <w:pPr>
        <w:spacing w:line="360" w:lineRule="auto"/>
        <w:contextualSpacing/>
        <w:jc w:val="both"/>
      </w:pPr>
      <w:r>
        <w:t>Keywords: Victim</w:t>
      </w:r>
      <w:r w:rsidR="00E93CC3">
        <w:t xml:space="preserve">, </w:t>
      </w:r>
      <w:r>
        <w:t>Conflict, Intergroup relations</w:t>
      </w:r>
      <w:r w:rsidR="00E93CC3">
        <w:t xml:space="preserve">, </w:t>
      </w:r>
      <w:r>
        <w:t>Identity</w:t>
      </w:r>
      <w:r w:rsidR="00E93CC3">
        <w:t>, Northern Ireland</w:t>
      </w:r>
    </w:p>
    <w:p w14:paraId="0C1209E6" w14:textId="77777777" w:rsidR="00E93CC3" w:rsidRDefault="00E93CC3" w:rsidP="00825989">
      <w:pPr>
        <w:spacing w:line="360" w:lineRule="auto"/>
        <w:contextualSpacing/>
        <w:jc w:val="both"/>
        <w:rPr>
          <w:b/>
        </w:rPr>
      </w:pPr>
    </w:p>
    <w:p w14:paraId="70A96A54" w14:textId="19A2B32A" w:rsidR="00B34869" w:rsidRPr="00E8073D" w:rsidRDefault="00B34869" w:rsidP="00825989">
      <w:pPr>
        <w:spacing w:line="360" w:lineRule="auto"/>
        <w:contextualSpacing/>
        <w:jc w:val="both"/>
      </w:pPr>
      <w:r w:rsidRPr="00E8073D">
        <w:rPr>
          <w:b/>
        </w:rPr>
        <w:t>Introduction</w:t>
      </w:r>
    </w:p>
    <w:p w14:paraId="27386222" w14:textId="77777777" w:rsidR="00D207A9" w:rsidRPr="00E8073D" w:rsidRDefault="00D207A9" w:rsidP="00825989">
      <w:pPr>
        <w:spacing w:line="360" w:lineRule="auto"/>
        <w:contextualSpacing/>
        <w:jc w:val="both"/>
      </w:pPr>
    </w:p>
    <w:p w14:paraId="359D2F18" w14:textId="3F0EA30A" w:rsidR="00C864F4" w:rsidRDefault="008D1CC7" w:rsidP="00252F85">
      <w:pPr>
        <w:spacing w:line="360" w:lineRule="auto"/>
        <w:ind w:firstLine="720"/>
        <w:contextualSpacing/>
        <w:jc w:val="both"/>
      </w:pPr>
      <w:r>
        <w:t xml:space="preserve">Societies emerging from violent conflict </w:t>
      </w:r>
      <w:r w:rsidR="00E15AB1">
        <w:t>often embark upon</w:t>
      </w:r>
      <w:r>
        <w:t xml:space="preserve"> processes </w:t>
      </w:r>
      <w:r w:rsidR="009E5C17">
        <w:t>to</w:t>
      </w:r>
      <w:r>
        <w:t xml:space="preserve"> ‘identify and support structures which will tend to strengthen and solidify peace in order to avoid a relapse into conflict’.</w:t>
      </w:r>
      <w:r>
        <w:rPr>
          <w:rStyle w:val="FootnoteReference"/>
        </w:rPr>
        <w:footnoteReference w:id="1"/>
      </w:r>
      <w:r>
        <w:t xml:space="preserve">  </w:t>
      </w:r>
      <w:r w:rsidR="00CD3DED">
        <w:t xml:space="preserve">In addition to a range of mechanisms tasked with institution building, legal reform and establishing good governance, </w:t>
      </w:r>
      <w:r w:rsidR="008A6FE6">
        <w:t>these</w:t>
      </w:r>
      <w:r w:rsidR="00CD3DED">
        <w:t xml:space="preserve"> </w:t>
      </w:r>
      <w:r w:rsidR="00CD49FE">
        <w:t xml:space="preserve">peacebuilding </w:t>
      </w:r>
      <w:r w:rsidR="002B29D1">
        <w:t xml:space="preserve">processes </w:t>
      </w:r>
      <w:r w:rsidR="006D0558">
        <w:t xml:space="preserve">aim to acknowledge and address the needs of </w:t>
      </w:r>
      <w:r w:rsidR="009E5C17">
        <w:t xml:space="preserve">victims </w:t>
      </w:r>
      <w:r w:rsidR="00376119">
        <w:t>(</w:t>
      </w:r>
      <w:r w:rsidR="009E5C17">
        <w:t>and survivors</w:t>
      </w:r>
      <w:r w:rsidR="00376119">
        <w:t>)</w:t>
      </w:r>
      <w:r w:rsidR="006D0558">
        <w:t xml:space="preserve"> affected by years of violence</w:t>
      </w:r>
      <w:r w:rsidR="006E229A">
        <w:t xml:space="preserve"> as a way to restore </w:t>
      </w:r>
      <w:r w:rsidR="009E5C17">
        <w:t>them</w:t>
      </w:r>
      <w:r w:rsidR="006E229A">
        <w:t xml:space="preserve"> to ‘something approaching their status quo ante’.</w:t>
      </w:r>
      <w:r w:rsidR="006E229A">
        <w:rPr>
          <w:rStyle w:val="FootnoteReference"/>
        </w:rPr>
        <w:footnoteReference w:id="2"/>
      </w:r>
      <w:r w:rsidR="00DC2237">
        <w:t xml:space="preserve"> </w:t>
      </w:r>
      <w:r w:rsidR="006E229A">
        <w:t xml:space="preserve"> </w:t>
      </w:r>
      <w:r w:rsidR="008A6FE6">
        <w:t>In</w:t>
      </w:r>
      <w:r w:rsidR="00483427">
        <w:t xml:space="preserve"> develop</w:t>
      </w:r>
      <w:r w:rsidR="008A6FE6">
        <w:t>ing</w:t>
      </w:r>
      <w:r w:rsidR="00483427">
        <w:t xml:space="preserve"> appropriate policies and mechanisms to </w:t>
      </w:r>
      <w:r w:rsidR="003A7416">
        <w:t>achieve these ends</w:t>
      </w:r>
      <w:r w:rsidR="00483427">
        <w:t xml:space="preserve">, </w:t>
      </w:r>
      <w:r w:rsidR="00A83DE6">
        <w:t>decisions must be made as to</w:t>
      </w:r>
      <w:r w:rsidR="00483427" w:rsidRPr="00E8073D">
        <w:t xml:space="preserve"> who </w:t>
      </w:r>
      <w:r w:rsidR="00483427">
        <w:t xml:space="preserve">the victims </w:t>
      </w:r>
      <w:r w:rsidR="00483427">
        <w:lastRenderedPageBreak/>
        <w:t>are</w:t>
      </w:r>
      <w:r w:rsidR="00483427" w:rsidRPr="00E8073D">
        <w:t>: ‘What victimhood is and who gets to define it are… key questions in truth recovery and peace processes generally’.</w:t>
      </w:r>
      <w:r w:rsidR="00483427">
        <w:rPr>
          <w:rStyle w:val="FootnoteReference"/>
        </w:rPr>
        <w:footnoteReference w:id="3"/>
      </w:r>
      <w:r w:rsidR="00252F85">
        <w:t xml:space="preserve">  </w:t>
      </w:r>
      <w:r w:rsidR="006D0558">
        <w:t xml:space="preserve">This is often an onerous task because </w:t>
      </w:r>
      <w:r w:rsidR="00771E27">
        <w:t>experiences of violence are complex</w:t>
      </w:r>
      <w:r w:rsidR="00A83DE6">
        <w:t xml:space="preserve"> and</w:t>
      </w:r>
      <w:r w:rsidR="006D0558">
        <w:t xml:space="preserve"> perceptions of victimhood are constructed through subjective social and psychological processes.</w:t>
      </w:r>
      <w:r w:rsidR="007D3F4C">
        <w:rPr>
          <w:rStyle w:val="FootnoteReference"/>
        </w:rPr>
        <w:footnoteReference w:id="4"/>
      </w:r>
      <w:r w:rsidR="006D0558">
        <w:t xml:space="preserve">  </w:t>
      </w:r>
      <w:r w:rsidR="00860F5C">
        <w:t>I</w:t>
      </w:r>
      <w:r w:rsidR="0079334B">
        <w:t>n intergroup conflict</w:t>
      </w:r>
      <w:r w:rsidR="00860F5C">
        <w:t>,</w:t>
      </w:r>
      <w:r w:rsidR="0079334B">
        <w:t xml:space="preserve"> </w:t>
      </w:r>
      <w:r w:rsidR="00860F5C">
        <w:t xml:space="preserve">research </w:t>
      </w:r>
      <w:r w:rsidR="007A3A4D">
        <w:t>suggests</w:t>
      </w:r>
      <w:r w:rsidR="00860F5C">
        <w:t xml:space="preserve"> </w:t>
      </w:r>
      <w:r w:rsidR="00401CEE">
        <w:t>social</w:t>
      </w:r>
      <w:r w:rsidR="0079334B">
        <w:t xml:space="preserve"> groups </w:t>
      </w:r>
      <w:r w:rsidR="00B740C6">
        <w:t xml:space="preserve">experience violence collectively, </w:t>
      </w:r>
      <w:r w:rsidR="0079334B">
        <w:t>claim</w:t>
      </w:r>
      <w:r w:rsidR="00B740C6">
        <w:t>ing</w:t>
      </w:r>
      <w:r w:rsidR="0079334B">
        <w:t xml:space="preserve"> their members to </w:t>
      </w:r>
      <w:r w:rsidR="00B740C6">
        <w:t>be the primary victims and placing</w:t>
      </w:r>
      <w:r w:rsidR="0079334B">
        <w:t xml:space="preserve"> blame for violence e</w:t>
      </w:r>
      <w:r w:rsidR="005C389F">
        <w:t>lsewhere</w:t>
      </w:r>
      <w:r w:rsidR="0079334B">
        <w:t>.</w:t>
      </w:r>
      <w:r w:rsidR="0079334B">
        <w:rPr>
          <w:rStyle w:val="FootnoteReference"/>
        </w:rPr>
        <w:footnoteReference w:id="5"/>
      </w:r>
      <w:r w:rsidR="0079334B">
        <w:t xml:space="preserve">  </w:t>
      </w:r>
      <w:r w:rsidR="006D0558">
        <w:t>John Brewer</w:t>
      </w:r>
      <w:r w:rsidR="006D0558" w:rsidRPr="00E8073D">
        <w:t xml:space="preserve"> </w:t>
      </w:r>
      <w:r w:rsidR="00910A9E">
        <w:t>c</w:t>
      </w:r>
      <w:r w:rsidR="0079334B">
        <w:t>alls</w:t>
      </w:r>
      <w:r w:rsidR="00860F5C">
        <w:t xml:space="preserve"> this</w:t>
      </w:r>
      <w:r w:rsidR="00224283">
        <w:t xml:space="preserve"> phenomenon</w:t>
      </w:r>
      <w:r w:rsidR="006D0558">
        <w:t xml:space="preserve"> </w:t>
      </w:r>
      <w:r w:rsidR="006D0558" w:rsidRPr="00E8073D">
        <w:t>‘multiple victimhood’</w:t>
      </w:r>
      <w:r w:rsidR="006D0558">
        <w:t xml:space="preserve">, </w:t>
      </w:r>
      <w:r w:rsidR="00224283">
        <w:t>describing how</w:t>
      </w:r>
      <w:r w:rsidR="006D0558" w:rsidRPr="00E8073D">
        <w:t xml:space="preserve"> </w:t>
      </w:r>
      <w:r w:rsidR="006D0558">
        <w:t>group</w:t>
      </w:r>
      <w:r w:rsidR="00A138BD">
        <w:t>s</w:t>
      </w:r>
      <w:r w:rsidR="0061675E">
        <w:t xml:space="preserve"> in conflict</w:t>
      </w:r>
      <w:r w:rsidR="006D0558">
        <w:t xml:space="preserve"> </w:t>
      </w:r>
      <w:r w:rsidR="00A138BD">
        <w:t>are often</w:t>
      </w:r>
      <w:r w:rsidR="006D0558">
        <w:t xml:space="preserve"> </w:t>
      </w:r>
      <w:r w:rsidR="00A138BD">
        <w:t>both responsible for and targeted by violence</w:t>
      </w:r>
      <w:r w:rsidR="00345082">
        <w:t>,</w:t>
      </w:r>
      <w:r w:rsidR="006D0558">
        <w:rPr>
          <w:rStyle w:val="FootnoteReference"/>
        </w:rPr>
        <w:footnoteReference w:id="6"/>
      </w:r>
      <w:r w:rsidR="00345082">
        <w:t xml:space="preserve"> leading to scenarios in which</w:t>
      </w:r>
      <w:r w:rsidR="006D0558" w:rsidRPr="00E8073D">
        <w:t xml:space="preserve"> ‘the distinction between victim and perpetrator may no</w:t>
      </w:r>
      <w:r w:rsidR="006D0558">
        <w:t>t be so sharp’</w:t>
      </w:r>
      <w:r w:rsidR="006D0558" w:rsidRPr="00E8073D">
        <w:t>.</w:t>
      </w:r>
      <w:r w:rsidR="006D0558">
        <w:rPr>
          <w:rStyle w:val="FootnoteReference"/>
        </w:rPr>
        <w:footnoteReference w:id="7"/>
      </w:r>
      <w:r w:rsidR="006D0558" w:rsidRPr="00E8073D">
        <w:t xml:space="preserve">  </w:t>
      </w:r>
      <w:r w:rsidR="00DC7EE3">
        <w:t>W</w:t>
      </w:r>
      <w:r w:rsidR="00926D58">
        <w:t>ides</w:t>
      </w:r>
      <w:r w:rsidR="00A138BD">
        <w:t>pread violence</w:t>
      </w:r>
      <w:r w:rsidR="00926D58">
        <w:t xml:space="preserve"> across groups</w:t>
      </w:r>
      <w:r w:rsidR="006D0558">
        <w:t xml:space="preserve"> contributes to what</w:t>
      </w:r>
      <w:r w:rsidR="00DC7EE3">
        <w:t>, in Northern Ireland,</w:t>
      </w:r>
      <w:r w:rsidR="006D0558">
        <w:t xml:space="preserve"> has been called a ‘meta-conflict’ </w:t>
      </w:r>
      <w:r w:rsidR="00A138BD">
        <w:t>punctuated</w:t>
      </w:r>
      <w:r w:rsidR="00926D58">
        <w:t xml:space="preserve"> with</w:t>
      </w:r>
      <w:r w:rsidR="006D0558">
        <w:t xml:space="preserve"> conflicting narratives about the past and </w:t>
      </w:r>
      <w:r w:rsidR="009754C0">
        <w:t>disagreement around</w:t>
      </w:r>
      <w:r w:rsidR="006D0558">
        <w:t xml:space="preserve"> victimhood and blame.</w:t>
      </w:r>
      <w:r w:rsidR="00D34AA8">
        <w:rPr>
          <w:rStyle w:val="FootnoteReference"/>
        </w:rPr>
        <w:footnoteReference w:id="8"/>
      </w:r>
      <w:r w:rsidR="006D0558">
        <w:t xml:space="preserve">  </w:t>
      </w:r>
    </w:p>
    <w:p w14:paraId="265A01F7" w14:textId="188EF415" w:rsidR="006D0558" w:rsidRPr="00C864F4" w:rsidRDefault="006743B2" w:rsidP="00184E1D">
      <w:pPr>
        <w:spacing w:line="360" w:lineRule="auto"/>
        <w:ind w:firstLine="720"/>
        <w:contextualSpacing/>
        <w:jc w:val="both"/>
      </w:pPr>
      <w:r>
        <w:t>D</w:t>
      </w:r>
      <w:r w:rsidR="00DB0443">
        <w:t>etermining who will</w:t>
      </w:r>
      <w:r w:rsidR="006B33D0">
        <w:t xml:space="preserve"> be recognised as a victim resonates </w:t>
      </w:r>
      <w:r>
        <w:t xml:space="preserve">particularly </w:t>
      </w:r>
      <w:r w:rsidR="006B33D0">
        <w:t>with debate over the moral s</w:t>
      </w:r>
      <w:r w:rsidR="00DB0443">
        <w:t>tatus of groups in conflict and</w:t>
      </w:r>
      <w:r w:rsidR="005E3286">
        <w:t xml:space="preserve"> long-standing</w:t>
      </w:r>
      <w:r w:rsidR="006B33D0">
        <w:t xml:space="preserve"> </w:t>
      </w:r>
      <w:proofErr w:type="spellStart"/>
      <w:r w:rsidR="006B33D0">
        <w:t>victimological</w:t>
      </w:r>
      <w:proofErr w:type="spellEnd"/>
      <w:r w:rsidR="006B33D0">
        <w:t xml:space="preserve"> deb</w:t>
      </w:r>
      <w:r w:rsidR="00440A8A">
        <w:t>ates</w:t>
      </w:r>
      <w:r>
        <w:t xml:space="preserve"> about the concept itself</w:t>
      </w:r>
      <w:r w:rsidR="006B33D0">
        <w:t>.</w:t>
      </w:r>
      <w:r w:rsidR="00C864F4">
        <w:t xml:space="preserve">  </w:t>
      </w:r>
      <w:r w:rsidR="003A2B11">
        <w:t>The</w:t>
      </w:r>
      <w:r w:rsidR="00C864F4">
        <w:t xml:space="preserve"> </w:t>
      </w:r>
      <w:r w:rsidR="003A2B11">
        <w:rPr>
          <w:i/>
        </w:rPr>
        <w:t>ideal victim</w:t>
      </w:r>
      <w:r w:rsidR="003A2B11">
        <w:t xml:space="preserve"> is the </w:t>
      </w:r>
      <w:r w:rsidR="00C864F4">
        <w:t>prevailing construction of victimhood</w:t>
      </w:r>
      <w:r w:rsidR="005D5DF9">
        <w:t>, informing attitudes and beliefs about</w:t>
      </w:r>
      <w:r w:rsidR="003B292E">
        <w:t xml:space="preserve"> the victim as innocent, vulnerable, harmed unjustly and therefore deserving of care, sympathy and support.</w:t>
      </w:r>
      <w:r w:rsidR="003B292E">
        <w:rPr>
          <w:rStyle w:val="FootnoteReference"/>
        </w:rPr>
        <w:footnoteReference w:id="9"/>
      </w:r>
      <w:r w:rsidR="003B292E">
        <w:t xml:space="preserve">  </w:t>
      </w:r>
      <w:r w:rsidR="00184E1D">
        <w:t>Importantly, t</w:t>
      </w:r>
      <w:r w:rsidR="003B292E">
        <w:t>his construction directs society to understand the victim as the object of harm and to locate the source of harm elsewhere</w:t>
      </w:r>
      <w:r w:rsidR="003B292E">
        <w:rPr>
          <w:rStyle w:val="FootnoteReference"/>
        </w:rPr>
        <w:footnoteReference w:id="10"/>
      </w:r>
      <w:r w:rsidR="003B292E">
        <w:t xml:space="preserve"> without thinking critically about how ‘we gloss the interpretive procedures through which the term [victim] is selected, applied, and justified’.</w:t>
      </w:r>
      <w:r w:rsidR="003B292E">
        <w:rPr>
          <w:rStyle w:val="FootnoteReference"/>
        </w:rPr>
        <w:footnoteReference w:id="11"/>
      </w:r>
      <w:r w:rsidR="003B292E">
        <w:t xml:space="preserve">  </w:t>
      </w:r>
      <w:r w:rsidR="00184E1D">
        <w:t>A dichotomy between ‘victim’ and ‘perpetrator’ emerges,</w:t>
      </w:r>
      <w:r w:rsidR="008F1C27">
        <w:t xml:space="preserve"> </w:t>
      </w:r>
      <w:r w:rsidR="0012302D">
        <w:t>which c</w:t>
      </w:r>
      <w:r w:rsidR="00184E1D">
        <w:t>ommentators suggest is ‘polarizing, oversimplifying, and counterproductive’</w:t>
      </w:r>
      <w:r w:rsidR="0012302D">
        <w:t xml:space="preserve"> in complex violent conflicts</w:t>
      </w:r>
      <w:r w:rsidR="00227B4C">
        <w:t xml:space="preserve"> where multiple victimhood is prevalent</w:t>
      </w:r>
      <w:r w:rsidR="00184E1D">
        <w:t>.</w:t>
      </w:r>
      <w:r w:rsidR="00184E1D">
        <w:rPr>
          <w:rStyle w:val="FootnoteReference"/>
        </w:rPr>
        <w:footnoteReference w:id="12"/>
      </w:r>
    </w:p>
    <w:p w14:paraId="25332E3C" w14:textId="710A63BC" w:rsidR="000D5016" w:rsidRDefault="00602EFF" w:rsidP="00071739">
      <w:pPr>
        <w:spacing w:line="360" w:lineRule="auto"/>
        <w:ind w:firstLine="720"/>
        <w:contextualSpacing/>
        <w:jc w:val="both"/>
      </w:pPr>
      <w:r>
        <w:lastRenderedPageBreak/>
        <w:t>Examining</w:t>
      </w:r>
      <w:r w:rsidR="00CB31B8">
        <w:t xml:space="preserve"> vi</w:t>
      </w:r>
      <w:r>
        <w:t>ctimhood in intergroup conflict benefits from</w:t>
      </w:r>
      <w:r w:rsidR="00CB31B8">
        <w:t xml:space="preserve"> group-level </w:t>
      </w:r>
      <w:r>
        <w:t>analysis</w:t>
      </w:r>
      <w:r w:rsidR="00DD7DFE">
        <w:t xml:space="preserve">.  </w:t>
      </w:r>
      <w:r w:rsidR="00594BBE">
        <w:t>When</w:t>
      </w:r>
      <w:r w:rsidR="00CB31B8">
        <w:t xml:space="preserve"> indivi</w:t>
      </w:r>
      <w:r w:rsidR="00594BBE">
        <w:t>duals suffer from violent actions</w:t>
      </w:r>
      <w:r w:rsidR="00CB31B8">
        <w:t>,</w:t>
      </w:r>
      <w:r>
        <w:t xml:space="preserve"> often</w:t>
      </w:r>
      <w:r w:rsidR="00CB31B8">
        <w:t xml:space="preserve"> ‘it is their identity as a member of the group that explains their victimhood’</w:t>
      </w:r>
      <w:r w:rsidR="00B57405">
        <w:t>,</w:t>
      </w:r>
      <w:r w:rsidR="00CB31B8">
        <w:rPr>
          <w:rStyle w:val="FootnoteReference"/>
        </w:rPr>
        <w:footnoteReference w:id="13"/>
      </w:r>
      <w:r w:rsidR="00B57405">
        <w:t xml:space="preserve"> and</w:t>
      </w:r>
      <w:r w:rsidR="00564C1D">
        <w:t xml:space="preserve"> when one member of a group is targeted ‘It is perceived as a harm to every member of that community’.</w:t>
      </w:r>
      <w:r w:rsidR="00564C1D">
        <w:rPr>
          <w:rStyle w:val="FootnoteReference"/>
        </w:rPr>
        <w:footnoteReference w:id="14"/>
      </w:r>
      <w:r w:rsidR="00564C1D">
        <w:t xml:space="preserve"> </w:t>
      </w:r>
      <w:r w:rsidR="00A86E35">
        <w:t xml:space="preserve"> </w:t>
      </w:r>
      <w:r w:rsidR="005D70A4">
        <w:t xml:space="preserve">Intergroup scholarship </w:t>
      </w:r>
      <w:r w:rsidR="006A45FC">
        <w:t xml:space="preserve">theorises how individuals relate to one another as members of social groups, and </w:t>
      </w:r>
      <w:r w:rsidR="005D70A4">
        <w:t>helpfully articulates how att</w:t>
      </w:r>
      <w:r w:rsidR="004036AD">
        <w:t>itudes and beliefs about victimhood (and blame)</w:t>
      </w:r>
      <w:r w:rsidR="00D34AA8" w:rsidRPr="00E8073D">
        <w:t xml:space="preserve"> </w:t>
      </w:r>
      <w:r w:rsidR="00564C1D">
        <w:t>resonate with</w:t>
      </w:r>
      <w:r w:rsidR="00A86E35">
        <w:t xml:space="preserve"> </w:t>
      </w:r>
      <w:r w:rsidR="00564C1D">
        <w:t>existing</w:t>
      </w:r>
      <w:r w:rsidR="00D34AA8" w:rsidRPr="00E8073D">
        <w:t xml:space="preserve"> </w:t>
      </w:r>
      <w:r w:rsidR="00D34AA8">
        <w:t xml:space="preserve">societal </w:t>
      </w:r>
      <w:r w:rsidR="00D34AA8" w:rsidRPr="00E8073D">
        <w:t>divisi</w:t>
      </w:r>
      <w:r w:rsidR="00D34AA8">
        <w:t xml:space="preserve">ons </w:t>
      </w:r>
      <w:r w:rsidR="00A86E35">
        <w:t xml:space="preserve">that </w:t>
      </w:r>
      <w:r w:rsidR="006A45FC">
        <w:t xml:space="preserve">often </w:t>
      </w:r>
      <w:r w:rsidR="00C47374">
        <w:t>exemplify</w:t>
      </w:r>
      <w:r w:rsidR="006A45FC">
        <w:t xml:space="preserve"> this type of</w:t>
      </w:r>
      <w:r w:rsidR="00D34AA8">
        <w:t xml:space="preserve"> conflict</w:t>
      </w:r>
      <w:r w:rsidR="00A86E35">
        <w:t>.</w:t>
      </w:r>
      <w:r w:rsidR="005D70A4">
        <w:t xml:space="preserve"> </w:t>
      </w:r>
      <w:r w:rsidR="00A86E35">
        <w:t xml:space="preserve"> </w:t>
      </w:r>
      <w:r w:rsidR="009B0A5F">
        <w:t>Because</w:t>
      </w:r>
      <w:r w:rsidR="004911B9">
        <w:t xml:space="preserve"> groups strive for a </w:t>
      </w:r>
      <w:r w:rsidR="006B021E">
        <w:t>positive</w:t>
      </w:r>
      <w:r w:rsidR="004911B9">
        <w:t xml:space="preserve"> self-image that </w:t>
      </w:r>
      <w:r w:rsidR="009B0A5F">
        <w:t>can be</w:t>
      </w:r>
      <w:r w:rsidR="004911B9">
        <w:t xml:space="preserve"> </w:t>
      </w:r>
      <w:r w:rsidR="000D353A">
        <w:t>accentuated</w:t>
      </w:r>
      <w:r w:rsidR="004911B9">
        <w:t xml:space="preserve"> through </w:t>
      </w:r>
      <w:r w:rsidR="006B021E">
        <w:t xml:space="preserve">favourable </w:t>
      </w:r>
      <w:r w:rsidR="004911B9">
        <w:t>evaluation against relevant other groups</w:t>
      </w:r>
      <w:r w:rsidR="009B0A5F">
        <w:t>,</w:t>
      </w:r>
      <w:r w:rsidR="004911B9">
        <w:rPr>
          <w:rStyle w:val="FootnoteReference"/>
        </w:rPr>
        <w:footnoteReference w:id="15"/>
      </w:r>
      <w:r w:rsidR="009B0A5F">
        <w:t xml:space="preserve"> there is</w:t>
      </w:r>
      <w:r w:rsidR="000D353A">
        <w:t xml:space="preserve"> </w:t>
      </w:r>
      <w:r w:rsidR="009B0A5F">
        <w:t>a natural tendency for groups to view their</w:t>
      </w:r>
      <w:r w:rsidR="000D353A">
        <w:t xml:space="preserve"> own members and their attributes favourably while harbouring animosity and negative stereotypes of groups with whom they have poor or competitive relationships.</w:t>
      </w:r>
      <w:r w:rsidR="000D353A">
        <w:rPr>
          <w:rStyle w:val="FootnoteReference"/>
        </w:rPr>
        <w:footnoteReference w:id="16"/>
      </w:r>
      <w:r w:rsidR="00071739">
        <w:t xml:space="preserve">  </w:t>
      </w:r>
    </w:p>
    <w:p w14:paraId="32FAFDF3" w14:textId="4ED2D817" w:rsidR="006B33D0" w:rsidRDefault="00DD7DFE" w:rsidP="000D5016">
      <w:pPr>
        <w:spacing w:line="360" w:lineRule="auto"/>
        <w:ind w:firstLine="720"/>
        <w:contextualSpacing/>
        <w:jc w:val="both"/>
      </w:pPr>
      <w:r>
        <w:t>Social g</w:t>
      </w:r>
      <w:r w:rsidR="00071739">
        <w:t>roups identifying collectively as victims</w:t>
      </w:r>
      <w:r w:rsidR="002A5D93">
        <w:t xml:space="preserve"> </w:t>
      </w:r>
      <w:r w:rsidR="003977E3">
        <w:t xml:space="preserve">often </w:t>
      </w:r>
      <w:r w:rsidR="002A5D93">
        <w:t xml:space="preserve">reference the </w:t>
      </w:r>
      <w:r w:rsidR="003977E3">
        <w:t>ideal victim construction</w:t>
      </w:r>
      <w:r w:rsidR="002A5D93">
        <w:t xml:space="preserve">, and attribute to their own members the favourable qualities it </w:t>
      </w:r>
      <w:r w:rsidR="00BF1300">
        <w:t>exemplifies</w:t>
      </w:r>
      <w:r w:rsidR="002A5D93">
        <w:t xml:space="preserve">.  </w:t>
      </w:r>
      <w:r w:rsidR="000D5016">
        <w:t>This</w:t>
      </w:r>
      <w:r w:rsidR="006708D0">
        <w:t xml:space="preserve"> </w:t>
      </w:r>
      <w:r w:rsidR="000D5016">
        <w:t xml:space="preserve">links beliefs about the inherent goodness of the in-group with the belief that responsibility </w:t>
      </w:r>
      <w:r w:rsidR="00A2355D">
        <w:t>for violence lies elsewhere. I</w:t>
      </w:r>
      <w:r w:rsidR="000D5016">
        <w:t xml:space="preserve">f the out-group can be blamed for violence it further serves the favourable image of the in-group by comparison and </w:t>
      </w:r>
      <w:r w:rsidR="00153802">
        <w:t>determines</w:t>
      </w:r>
      <w:r w:rsidR="006226BC">
        <w:t xml:space="preserve"> their role in </w:t>
      </w:r>
      <w:r w:rsidR="000D5016">
        <w:t>peacebuilding</w:t>
      </w:r>
      <w:r w:rsidR="006226BC">
        <w:t xml:space="preserve"> processes</w:t>
      </w:r>
      <w:r w:rsidR="000D5016">
        <w:t xml:space="preserve">: </w:t>
      </w:r>
      <w:r w:rsidR="000D5016" w:rsidRPr="00E8073D">
        <w:t>‘Designations</w:t>
      </w:r>
      <w:r w:rsidR="000D5016">
        <w:t xml:space="preserve"> of deserving victimhood become</w:t>
      </w:r>
      <w:r w:rsidR="000D5016" w:rsidRPr="00E8073D">
        <w:t xml:space="preserve"> an easy shorthand for blaming those deemed responsible for past horrors as well as absolving those deemed blameless’.</w:t>
      </w:r>
      <w:r w:rsidR="000D5016">
        <w:rPr>
          <w:rStyle w:val="FootnoteReference"/>
        </w:rPr>
        <w:footnoteReference w:id="17"/>
      </w:r>
      <w:r w:rsidR="000D5016">
        <w:t xml:space="preserve">  </w:t>
      </w:r>
      <w:r w:rsidR="002A5D93">
        <w:t>When the in-group claims victim status, the label accentuates</w:t>
      </w:r>
      <w:r w:rsidR="002A5D93" w:rsidRPr="00E8073D">
        <w:t xml:space="preserve"> </w:t>
      </w:r>
      <w:r w:rsidR="002A5D93">
        <w:t>the</w:t>
      </w:r>
      <w:r w:rsidR="002A5D93" w:rsidRPr="00E8073D">
        <w:t xml:space="preserve"> positive eval</w:t>
      </w:r>
      <w:r w:rsidR="002A5D93">
        <w:t>uation of the in-group as victim</w:t>
      </w:r>
      <w:r w:rsidR="002A5D93" w:rsidRPr="00E8073D">
        <w:t xml:space="preserve"> </w:t>
      </w:r>
      <w:r w:rsidR="002A5D93">
        <w:t>vis-à-vis</w:t>
      </w:r>
      <w:r w:rsidR="002A5D93" w:rsidRPr="00E8073D">
        <w:t xml:space="preserve"> the out-group as perpetrator</w:t>
      </w:r>
      <w:r w:rsidR="000D353A">
        <w:t>, establishing</w:t>
      </w:r>
      <w:r w:rsidR="002A5D93">
        <w:t xml:space="preserve"> </w:t>
      </w:r>
      <w:r w:rsidR="000D353A">
        <w:t>intergroup comparisons</w:t>
      </w:r>
      <w:r w:rsidR="002A5D93">
        <w:t xml:space="preserve"> that proliferate</w:t>
      </w:r>
      <w:r w:rsidR="002A5D93" w:rsidRPr="00E8073D">
        <w:t xml:space="preserve"> alongside distinctions of good and evil, innocence and guilt, legitimacy and illegitimacy that speak to </w:t>
      </w:r>
      <w:r w:rsidR="002A5D93">
        <w:t>wider perceptions of v</w:t>
      </w:r>
      <w:r w:rsidR="000D353A">
        <w:t>ictimhood and responsibility in</w:t>
      </w:r>
      <w:r w:rsidR="002A5D93">
        <w:t xml:space="preserve"> conflict</w:t>
      </w:r>
      <w:r w:rsidR="002A5D93" w:rsidRPr="00E8073D">
        <w:t>.</w:t>
      </w:r>
      <w:r w:rsidR="002A5D93">
        <w:t xml:space="preserve">  </w:t>
      </w:r>
    </w:p>
    <w:p w14:paraId="7552A405" w14:textId="33EA1D66" w:rsidR="006E229A" w:rsidRDefault="00D34AA8" w:rsidP="00F90090">
      <w:pPr>
        <w:spacing w:line="360" w:lineRule="auto"/>
        <w:ind w:firstLine="720"/>
        <w:contextualSpacing/>
        <w:jc w:val="both"/>
      </w:pPr>
      <w:r>
        <w:t xml:space="preserve">For peacebuilding processes such as truth commissions, reparations policies and other restorative mechanisms aspiring to be victim-centred, </w:t>
      </w:r>
      <w:r w:rsidR="00B33383">
        <w:t>contest</w:t>
      </w:r>
      <w:r>
        <w:t xml:space="preserve"> over victimhood presents a number of hurdles.</w:t>
      </w:r>
      <w:r>
        <w:rPr>
          <w:rStyle w:val="FootnoteReference"/>
        </w:rPr>
        <w:footnoteReference w:id="18"/>
      </w:r>
      <w:r>
        <w:t xml:space="preserve">  </w:t>
      </w:r>
      <w:r w:rsidRPr="00E8073D">
        <w:t xml:space="preserve">This article </w:t>
      </w:r>
      <w:r>
        <w:t>explores</w:t>
      </w:r>
      <w:r w:rsidRPr="00E8073D">
        <w:t xml:space="preserve"> the socio-political implications of</w:t>
      </w:r>
      <w:r>
        <w:t xml:space="preserve"> </w:t>
      </w:r>
      <w:r w:rsidRPr="00E8073D">
        <w:t>exc</w:t>
      </w:r>
      <w:r>
        <w:t>lusive, intergroup perceptions of victims in Northern Ireland as a society attempting to build peace and prevent a return to violence</w:t>
      </w:r>
      <w:r w:rsidR="009E5E05">
        <w:t xml:space="preserve">, and </w:t>
      </w:r>
      <w:r w:rsidR="00AF20EF">
        <w:t xml:space="preserve">draws from data gathered from a range of </w:t>
      </w:r>
      <w:r w:rsidR="00E0517F">
        <w:t xml:space="preserve">scholarly and </w:t>
      </w:r>
      <w:r w:rsidR="00E0517F">
        <w:lastRenderedPageBreak/>
        <w:t>empirical sources</w:t>
      </w:r>
      <w:r w:rsidR="00AF20EF">
        <w:t xml:space="preserve"> including </w:t>
      </w:r>
      <w:r w:rsidR="009E5E05">
        <w:t xml:space="preserve">community and </w:t>
      </w:r>
      <w:r w:rsidR="00314F67">
        <w:t>statutory</w:t>
      </w:r>
      <w:r w:rsidR="00E0517F">
        <w:t xml:space="preserve"> </w:t>
      </w:r>
      <w:r w:rsidR="00314F67">
        <w:t>materials</w:t>
      </w:r>
      <w:r w:rsidR="009E5E05">
        <w:t>,</w:t>
      </w:r>
      <w:r w:rsidR="00E0517F">
        <w:t xml:space="preserve"> public statements,</w:t>
      </w:r>
      <w:r w:rsidR="009E5E05">
        <w:t xml:space="preserve"> media reports, party political publications </w:t>
      </w:r>
      <w:r w:rsidR="00EB30B9">
        <w:t xml:space="preserve">and </w:t>
      </w:r>
      <w:r w:rsidR="00AF6A72">
        <w:t>in interview</w:t>
      </w:r>
      <w:r w:rsidR="009E5E05">
        <w:t xml:space="preserve">. </w:t>
      </w:r>
      <w:r w:rsidR="006E229A">
        <w:t xml:space="preserve"> </w:t>
      </w:r>
      <w:r w:rsidR="009E5E05">
        <w:t xml:space="preserve">This analysis </w:t>
      </w:r>
      <w:r w:rsidR="006E229A">
        <w:t xml:space="preserve">focuses particularly on how these implications </w:t>
      </w:r>
      <w:r w:rsidR="00A55126">
        <w:t>compromise</w:t>
      </w:r>
      <w:r w:rsidR="0045365C">
        <w:t xml:space="preserve"> the peacebuilding imperative</w:t>
      </w:r>
      <w:r w:rsidR="006E229A">
        <w:t xml:space="preserve"> to develop new relationships between groups based</w:t>
      </w:r>
      <w:r w:rsidR="002B29D1">
        <w:t xml:space="preserve"> on social trust and mutual accountability</w:t>
      </w:r>
      <w:r w:rsidR="002B29D1">
        <w:rPr>
          <w:rStyle w:val="FootnoteReference"/>
        </w:rPr>
        <w:footnoteReference w:id="19"/>
      </w:r>
      <w:r w:rsidR="002B29D1">
        <w:t xml:space="preserve"> and</w:t>
      </w:r>
      <w:r w:rsidR="006E229A">
        <w:t xml:space="preserve"> to</w:t>
      </w:r>
      <w:r w:rsidR="002B29D1">
        <w:t xml:space="preserve"> transform </w:t>
      </w:r>
      <w:r w:rsidR="00A2355D">
        <w:t xml:space="preserve">divisive </w:t>
      </w:r>
      <w:r w:rsidR="002B29D1">
        <w:t>grou</w:t>
      </w:r>
      <w:r w:rsidR="00A2355D">
        <w:t>p identities</w:t>
      </w:r>
      <w:r w:rsidR="002B29D1">
        <w:t xml:space="preserve"> </w:t>
      </w:r>
      <w:r w:rsidR="00A2355D">
        <w:t xml:space="preserve">that are </w:t>
      </w:r>
      <w:r w:rsidR="002B29D1">
        <w:t>predicated on negation of the opponents’ identity.</w:t>
      </w:r>
      <w:r w:rsidR="002B29D1">
        <w:rPr>
          <w:rStyle w:val="FootnoteReference"/>
        </w:rPr>
        <w:footnoteReference w:id="20"/>
      </w:r>
      <w:r w:rsidR="00234A8E">
        <w:t xml:space="preserve">  </w:t>
      </w:r>
    </w:p>
    <w:p w14:paraId="24B47243" w14:textId="3776A813" w:rsidR="002B5D7D" w:rsidRDefault="002B5D7D" w:rsidP="002B5D7D">
      <w:pPr>
        <w:spacing w:line="360" w:lineRule="auto"/>
        <w:ind w:firstLine="720"/>
        <w:contextualSpacing/>
        <w:jc w:val="both"/>
      </w:pPr>
      <w:r>
        <w:t>T</w:t>
      </w:r>
      <w:r w:rsidRPr="00E8073D">
        <w:t>hree distinct yet interrelated</w:t>
      </w:r>
      <w:r>
        <w:t xml:space="preserve"> </w:t>
      </w:r>
      <w:r w:rsidRPr="00E8073D">
        <w:t>implications</w:t>
      </w:r>
      <w:r>
        <w:t xml:space="preserve"> emerge </w:t>
      </w:r>
      <w:r w:rsidR="00785413">
        <w:t>in</w:t>
      </w:r>
      <w:r>
        <w:t xml:space="preserve"> </w:t>
      </w:r>
      <w:r w:rsidR="005A1A28">
        <w:t>the case of</w:t>
      </w:r>
      <w:r>
        <w:t xml:space="preserve"> Northern Ireland. </w:t>
      </w:r>
      <w:r w:rsidRPr="00E8073D">
        <w:t>First,</w:t>
      </w:r>
      <w:r>
        <w:t xml:space="preserve"> </w:t>
      </w:r>
      <w:r w:rsidR="005A1A28">
        <w:t>exclusive, intergroup attitudes</w:t>
      </w:r>
      <w:r w:rsidRPr="00E8073D">
        <w:t xml:space="preserve"> </w:t>
      </w:r>
      <w:r>
        <w:t>obscure</w:t>
      </w:r>
      <w:r w:rsidRPr="00E8073D">
        <w:t xml:space="preserve"> id</w:t>
      </w:r>
      <w:r>
        <w:t>entification</w:t>
      </w:r>
      <w:r w:rsidRPr="00E8073D">
        <w:t xml:space="preserve"> of victims</w:t>
      </w:r>
      <w:r>
        <w:t xml:space="preserve"> and their needs</w:t>
      </w:r>
      <w:r w:rsidRPr="00E8073D">
        <w:t xml:space="preserve">, </w:t>
      </w:r>
      <w:r>
        <w:t>compromising</w:t>
      </w:r>
      <w:r w:rsidRPr="00E8073D">
        <w:t xml:space="preserve"> how effectively society is able to </w:t>
      </w:r>
      <w:r>
        <w:t>provide recognition and remedy for past injustices</w:t>
      </w:r>
      <w:r w:rsidRPr="00E8073D">
        <w:t xml:space="preserve">.  The second implication is the proliferation of a ‘victim culture’, </w:t>
      </w:r>
      <w:r w:rsidR="00785413">
        <w:t xml:space="preserve">in </w:t>
      </w:r>
      <w:r w:rsidRPr="00E8073D">
        <w:t xml:space="preserve">which </w:t>
      </w:r>
      <w:r w:rsidR="00785413">
        <w:t>victims and their experience</w:t>
      </w:r>
      <w:r w:rsidR="0045365C">
        <w:t>s</w:t>
      </w:r>
      <w:r w:rsidR="00785413">
        <w:t xml:space="preserve"> are politicised and subsumed into wider intergroup</w:t>
      </w:r>
      <w:r>
        <w:t xml:space="preserve"> competition</w:t>
      </w:r>
      <w:r w:rsidRPr="00E8073D">
        <w:t>.</w:t>
      </w:r>
      <w:r>
        <w:t xml:space="preserve"> </w:t>
      </w:r>
      <w:r w:rsidRPr="00E8073D">
        <w:t xml:space="preserve"> Finally, </w:t>
      </w:r>
      <w:r>
        <w:t>exclusive</w:t>
      </w:r>
      <w:r w:rsidR="009E74C3">
        <w:t xml:space="preserve"> and ethnocentric</w:t>
      </w:r>
      <w:r>
        <w:t xml:space="preserve"> perceptions of victims resonate</w:t>
      </w:r>
      <w:r w:rsidRPr="00E8073D">
        <w:t xml:space="preserve"> wit</w:t>
      </w:r>
      <w:r w:rsidR="009E74C3">
        <w:t>h</w:t>
      </w:r>
      <w:r w:rsidRPr="00E8073D">
        <w:t xml:space="preserve"> the ‘hierarchy of vict</w:t>
      </w:r>
      <w:r w:rsidR="00EB30B9">
        <w:t xml:space="preserve">ims’, </w:t>
      </w:r>
      <w:r w:rsidR="009E74C3">
        <w:t>a concept that</w:t>
      </w:r>
      <w:r w:rsidR="00EB30B9">
        <w:t xml:space="preserve"> </w:t>
      </w:r>
      <w:r w:rsidR="009E74C3">
        <w:t>signifies</w:t>
      </w:r>
      <w:r w:rsidR="00EB30B9">
        <w:t xml:space="preserve"> beliefs about the </w:t>
      </w:r>
      <w:r w:rsidRPr="00E8073D">
        <w:t xml:space="preserve">deservingness of </w:t>
      </w:r>
      <w:r w:rsidR="005A1A28">
        <w:t>certain</w:t>
      </w:r>
      <w:r w:rsidR="00EB30B9">
        <w:t xml:space="preserve"> victims over</w:t>
      </w:r>
      <w:r w:rsidRPr="00E8073D">
        <w:t xml:space="preserve"> other</w:t>
      </w:r>
      <w:r>
        <w:t>s</w:t>
      </w:r>
      <w:r w:rsidRPr="00E8073D">
        <w:t xml:space="preserve"> deemed less deserving.  </w:t>
      </w:r>
      <w:r w:rsidR="005A1A28">
        <w:t>Together</w:t>
      </w:r>
      <w:r w:rsidRPr="00E8073D">
        <w:t xml:space="preserve"> these</w:t>
      </w:r>
      <w:r>
        <w:t xml:space="preserve"> </w:t>
      </w:r>
      <w:r w:rsidR="005A1A28">
        <w:t xml:space="preserve">implications </w:t>
      </w:r>
      <w:r w:rsidR="009E74C3">
        <w:t>impact</w:t>
      </w:r>
      <w:r w:rsidR="005A1A28">
        <w:t xml:space="preserve"> peacebuilding initiativ</w:t>
      </w:r>
      <w:r w:rsidR="00A47D05">
        <w:t xml:space="preserve">es by </w:t>
      </w:r>
      <w:r w:rsidR="00A66193">
        <w:t>preventing</w:t>
      </w:r>
      <w:r w:rsidR="0093226D">
        <w:t xml:space="preserve"> the development of</w:t>
      </w:r>
      <w:r w:rsidR="00A47D05">
        <w:t xml:space="preserve"> relat</w:t>
      </w:r>
      <w:r w:rsidR="0093226D">
        <w:t>ionships based on equal footing</w:t>
      </w:r>
      <w:r w:rsidR="00A47D05">
        <w:t xml:space="preserve"> and reinforcing division between groups rather than re-negotiating </w:t>
      </w:r>
      <w:r w:rsidR="0093226D">
        <w:t xml:space="preserve">adversarial </w:t>
      </w:r>
      <w:r w:rsidR="00A47D05">
        <w:t>group identities</w:t>
      </w:r>
      <w:r w:rsidRPr="00E8073D">
        <w:t xml:space="preserve">.  </w:t>
      </w:r>
    </w:p>
    <w:p w14:paraId="5E3BEFB0" w14:textId="77777777" w:rsidR="002B5D7D" w:rsidRPr="00E8073D" w:rsidRDefault="002B5D7D" w:rsidP="00825989">
      <w:pPr>
        <w:spacing w:line="360" w:lineRule="auto"/>
        <w:contextualSpacing/>
        <w:jc w:val="both"/>
      </w:pPr>
    </w:p>
    <w:p w14:paraId="6C327CAC" w14:textId="29AC074F" w:rsidR="00D207A9" w:rsidRDefault="00D207A9" w:rsidP="00825989">
      <w:pPr>
        <w:pStyle w:val="Heading2"/>
        <w:spacing w:line="360" w:lineRule="auto"/>
        <w:contextualSpacing/>
        <w:jc w:val="both"/>
        <w:rPr>
          <w:rFonts w:cs="Times New Roman"/>
        </w:rPr>
      </w:pPr>
      <w:bookmarkStart w:id="1" w:name="_Toc301462715"/>
      <w:r w:rsidRPr="00E8073D">
        <w:rPr>
          <w:rFonts w:cs="Times New Roman"/>
        </w:rPr>
        <w:t>Id</w:t>
      </w:r>
      <w:r w:rsidR="004C2200" w:rsidRPr="00E8073D">
        <w:rPr>
          <w:rFonts w:cs="Times New Roman"/>
        </w:rPr>
        <w:t>entification</w:t>
      </w:r>
      <w:r w:rsidRPr="00E8073D">
        <w:rPr>
          <w:rFonts w:cs="Times New Roman"/>
        </w:rPr>
        <w:t xml:space="preserve"> of victims</w:t>
      </w:r>
      <w:bookmarkEnd w:id="1"/>
      <w:r w:rsidR="004C2200" w:rsidRPr="00E8073D">
        <w:rPr>
          <w:rFonts w:cs="Times New Roman"/>
        </w:rPr>
        <w:t xml:space="preserve"> and their needs</w:t>
      </w:r>
    </w:p>
    <w:p w14:paraId="47A1359E" w14:textId="77777777" w:rsidR="008A65F8" w:rsidRPr="008A65F8" w:rsidRDefault="008A65F8" w:rsidP="00825989">
      <w:pPr>
        <w:spacing w:line="360" w:lineRule="auto"/>
      </w:pPr>
    </w:p>
    <w:p w14:paraId="6D53047C" w14:textId="58F8D700" w:rsidR="00587311" w:rsidRDefault="00D21AEA" w:rsidP="00587311">
      <w:pPr>
        <w:spacing w:line="360" w:lineRule="auto"/>
        <w:ind w:firstLine="720"/>
        <w:contextualSpacing/>
        <w:jc w:val="both"/>
      </w:pPr>
      <w:r>
        <w:t>A range of arguments suppo</w:t>
      </w:r>
      <w:r w:rsidR="000F0B44">
        <w:t xml:space="preserve">rt the imperative to </w:t>
      </w:r>
      <w:r w:rsidR="000F0B44" w:rsidRPr="00E8073D">
        <w:t>acknowledge or ‘vindicate’ victims</w:t>
      </w:r>
      <w:r w:rsidR="000F0B44">
        <w:t xml:space="preserve"> in order to right the wrongs visited upon them during conflict.</w:t>
      </w:r>
      <w:r w:rsidR="000F0B44">
        <w:rPr>
          <w:rStyle w:val="FootnoteReference"/>
        </w:rPr>
        <w:footnoteReference w:id="21"/>
      </w:r>
      <w:r w:rsidR="000F0B44">
        <w:t xml:space="preserve"> </w:t>
      </w:r>
      <w:r>
        <w:t xml:space="preserve"> </w:t>
      </w:r>
      <w:r w:rsidR="00D26637">
        <w:t>Some</w:t>
      </w:r>
      <w:r w:rsidR="000F0B44">
        <w:t xml:space="preserve"> assert</w:t>
      </w:r>
      <w:r>
        <w:t xml:space="preserve"> </w:t>
      </w:r>
      <w:r w:rsidR="00346410">
        <w:t>the potential</w:t>
      </w:r>
      <w:r w:rsidR="00D7328A">
        <w:t xml:space="preserve"> of such processes</w:t>
      </w:r>
      <w:r w:rsidR="00346410">
        <w:t xml:space="preserve"> to restore</w:t>
      </w:r>
      <w:r w:rsidR="000F0B44">
        <w:t xml:space="preserve"> the</w:t>
      </w:r>
      <w:r>
        <w:t xml:space="preserve"> human dignity </w:t>
      </w:r>
      <w:r w:rsidR="000F0B44">
        <w:t>and self-esteem denied to victims during conflict</w:t>
      </w:r>
      <w:r>
        <w:t>,</w:t>
      </w:r>
      <w:r>
        <w:rPr>
          <w:rStyle w:val="FootnoteReference"/>
        </w:rPr>
        <w:footnoteReference w:id="22"/>
      </w:r>
      <w:r>
        <w:t xml:space="preserve"> whereas o</w:t>
      </w:r>
      <w:r w:rsidR="00346410">
        <w:t>thers emphasise</w:t>
      </w:r>
      <w:r>
        <w:t xml:space="preserve"> </w:t>
      </w:r>
      <w:r w:rsidR="00346410">
        <w:t xml:space="preserve">the </w:t>
      </w:r>
      <w:r>
        <w:t>catharsis</w:t>
      </w:r>
      <w:r w:rsidR="00346410">
        <w:t xml:space="preserve"> that may occur upon</w:t>
      </w:r>
      <w:r>
        <w:t xml:space="preserve"> recognition of loss.</w:t>
      </w:r>
      <w:r>
        <w:rPr>
          <w:rStyle w:val="FootnoteReference"/>
        </w:rPr>
        <w:footnoteReference w:id="23"/>
      </w:r>
      <w:r w:rsidRPr="00E8073D">
        <w:t xml:space="preserve"> </w:t>
      </w:r>
      <w:r>
        <w:t xml:space="preserve"> </w:t>
      </w:r>
      <w:r w:rsidR="00533C74">
        <w:t>A</w:t>
      </w:r>
      <w:r w:rsidR="00587311">
        <w:t>cknowledging and providing</w:t>
      </w:r>
      <w:r w:rsidR="00D26637">
        <w:t xml:space="preserve"> redress for harm</w:t>
      </w:r>
      <w:r w:rsidR="00587311">
        <w:t xml:space="preserve"> </w:t>
      </w:r>
      <w:r w:rsidR="00533C74">
        <w:t xml:space="preserve">also </w:t>
      </w:r>
      <w:r w:rsidR="00587311">
        <w:t xml:space="preserve">serves </w:t>
      </w:r>
      <w:r w:rsidR="00372ABB">
        <w:t>a wider peacebuilding imperative</w:t>
      </w:r>
      <w:r w:rsidR="00587311">
        <w:t xml:space="preserve"> to build relationships based on trust and mutual accountability and to address </w:t>
      </w:r>
      <w:r w:rsidR="00A16780">
        <w:t xml:space="preserve">conflict-related </w:t>
      </w:r>
      <w:r w:rsidR="00A16780">
        <w:lastRenderedPageBreak/>
        <w:t>grievances</w:t>
      </w:r>
      <w:r w:rsidR="00587311">
        <w:t>.</w:t>
      </w:r>
      <w:r w:rsidR="00587311">
        <w:rPr>
          <w:rStyle w:val="FootnoteReference"/>
        </w:rPr>
        <w:footnoteReference w:id="24"/>
      </w:r>
      <w:r w:rsidR="00587311">
        <w:t xml:space="preserve">  Key scholarship emphasises the relationship as ‘the basis of both the conflict and its long-term solution’.</w:t>
      </w:r>
      <w:r w:rsidR="00587311">
        <w:rPr>
          <w:rStyle w:val="FootnoteReference"/>
        </w:rPr>
        <w:footnoteReference w:id="25"/>
      </w:r>
      <w:r w:rsidR="00587311">
        <w:t xml:space="preserve">  Restoring the human dignity and self-esteem denied to many</w:t>
      </w:r>
      <w:r w:rsidR="00DD62C3">
        <w:t xml:space="preserve"> victims</w:t>
      </w:r>
      <w:r w:rsidR="00587311">
        <w:t xml:space="preserve"> throughout the course of conflict allows them to re-enter, or enter for the first time, ‘relationships that are not overwhelmed by the facts of oppression and wrongdoing, and relationships that maintain a capacity for cooperation’.</w:t>
      </w:r>
      <w:r w:rsidR="00587311">
        <w:rPr>
          <w:rStyle w:val="FootnoteReference"/>
        </w:rPr>
        <w:footnoteReference w:id="26"/>
      </w:r>
      <w:r w:rsidR="00587311">
        <w:t xml:space="preserve">  </w:t>
      </w:r>
      <w:r w:rsidR="00F9080F">
        <w:t>I</w:t>
      </w:r>
      <w:r w:rsidR="00587311">
        <w:t>t is</w:t>
      </w:r>
      <w:r w:rsidR="00F9080F">
        <w:t xml:space="preserve"> therefore</w:t>
      </w:r>
      <w:r w:rsidR="00587311">
        <w:t xml:space="preserve"> crucial that such processes engender broad support and partici</w:t>
      </w:r>
      <w:r w:rsidR="001269AB">
        <w:t>pation across</w:t>
      </w:r>
      <w:r w:rsidR="00587311">
        <w:t xml:space="preserve"> the</w:t>
      </w:r>
      <w:r w:rsidR="00F9080F">
        <w:t xml:space="preserve"> wide</w:t>
      </w:r>
      <w:r w:rsidR="00587311">
        <w:t xml:space="preserve"> range of social groups </w:t>
      </w:r>
      <w:r w:rsidR="00D60AA0">
        <w:t>that</w:t>
      </w:r>
      <w:r w:rsidR="00587311">
        <w:t xml:space="preserve"> were involved in and/or affected by violence.</w:t>
      </w:r>
      <w:r w:rsidR="00587311">
        <w:rPr>
          <w:rStyle w:val="FootnoteReference"/>
        </w:rPr>
        <w:footnoteReference w:id="27"/>
      </w:r>
      <w:r w:rsidR="00587311">
        <w:t xml:space="preserve"> </w:t>
      </w:r>
    </w:p>
    <w:p w14:paraId="743D922C" w14:textId="2E943B3B" w:rsidR="00D207A9" w:rsidRPr="00E8073D" w:rsidRDefault="002612F7" w:rsidP="002612F7">
      <w:pPr>
        <w:spacing w:line="360" w:lineRule="auto"/>
        <w:ind w:firstLine="720"/>
        <w:contextualSpacing/>
        <w:jc w:val="both"/>
      </w:pPr>
      <w:r>
        <w:t>Debates about victims in Northern Ireland demonstrate continued</w:t>
      </w:r>
      <w:r w:rsidRPr="00E8073D">
        <w:t xml:space="preserve"> disagreement over</w:t>
      </w:r>
      <w:r>
        <w:t xml:space="preserve"> who</w:t>
      </w:r>
      <w:r w:rsidRPr="00E8073D">
        <w:t xml:space="preserve"> should be </w:t>
      </w:r>
      <w:r>
        <w:t xml:space="preserve">officially </w:t>
      </w:r>
      <w:r w:rsidRPr="00E8073D">
        <w:t>recognised as a victim.</w:t>
      </w:r>
      <w:r>
        <w:t xml:space="preserve"> </w:t>
      </w:r>
      <w:r w:rsidRPr="00E8073D">
        <w:t xml:space="preserve"> </w:t>
      </w:r>
      <w:r w:rsidR="00CC49A5">
        <w:t>T</w:t>
      </w:r>
      <w:r w:rsidR="008D20C7">
        <w:t xml:space="preserve">he </w:t>
      </w:r>
      <w:r w:rsidR="00CC49A5">
        <w:t>primary social</w:t>
      </w:r>
      <w:r>
        <w:t xml:space="preserve"> groups in society</w:t>
      </w:r>
      <w:r w:rsidR="00B04808">
        <w:t xml:space="preserve"> maintain distinct narratives of victimhood traceable throughout their collective experiences</w:t>
      </w:r>
      <w:r w:rsidR="00D56C08">
        <w:t>, and</w:t>
      </w:r>
      <w:r w:rsidR="00D12A19">
        <w:t xml:space="preserve"> are </w:t>
      </w:r>
      <w:r w:rsidR="00D56C08">
        <w:t xml:space="preserve">most </w:t>
      </w:r>
      <w:r w:rsidR="00D12A19">
        <w:t>often delineated communally</w:t>
      </w:r>
      <w:r w:rsidR="00E66C02">
        <w:t xml:space="preserve"> as</w:t>
      </w:r>
      <w:r w:rsidR="008D20C7">
        <w:t xml:space="preserve"> Catholic Nationalist Republican (CNR) and Protestant Uni</w:t>
      </w:r>
      <w:r w:rsidR="00E66C02">
        <w:t>onist Loyalist (PUL)</w:t>
      </w:r>
      <w:r w:rsidR="008D20C7">
        <w:t>.</w:t>
      </w:r>
      <w:r w:rsidR="008D20C7">
        <w:rPr>
          <w:rStyle w:val="FootnoteReference"/>
        </w:rPr>
        <w:footnoteReference w:id="28"/>
      </w:r>
      <w:r w:rsidR="00717D20">
        <w:t xml:space="preserve"> </w:t>
      </w:r>
      <w:r>
        <w:t xml:space="preserve"> These</w:t>
      </w:r>
      <w:r w:rsidR="007F2BCD">
        <w:t xml:space="preserve"> groups </w:t>
      </w:r>
      <w:r w:rsidR="00EF38A3">
        <w:t xml:space="preserve">have long </w:t>
      </w:r>
      <w:r>
        <w:t>framed</w:t>
      </w:r>
      <w:r w:rsidR="00EF38A3">
        <w:t xml:space="preserve"> one an</w:t>
      </w:r>
      <w:r w:rsidR="007F2BCD">
        <w:t xml:space="preserve">other as violent antagonists, </w:t>
      </w:r>
      <w:r>
        <w:t>and</w:t>
      </w:r>
      <w:r w:rsidR="00EF38A3">
        <w:t xml:space="preserve"> struggle to accept that out-group members too have experienced harm, and moreover that they </w:t>
      </w:r>
      <w:r w:rsidR="00F55215">
        <w:t>should</w:t>
      </w:r>
      <w:r w:rsidR="006524BB">
        <w:t xml:space="preserve"> benefit from</w:t>
      </w:r>
      <w:r w:rsidR="00EF38A3">
        <w:t xml:space="preserve"> support or</w:t>
      </w:r>
      <w:r w:rsidR="001756F2">
        <w:t xml:space="preserve"> services offered to victims.</w:t>
      </w:r>
      <w:r w:rsidR="00F24204">
        <w:t xml:space="preserve"> </w:t>
      </w:r>
      <w:r w:rsidR="00EF38A3">
        <w:t xml:space="preserve"> </w:t>
      </w:r>
      <w:r w:rsidR="000A7298">
        <w:t>This</w:t>
      </w:r>
      <w:r w:rsidR="00A3586B" w:rsidRPr="00E8073D">
        <w:t xml:space="preserve"> </w:t>
      </w:r>
      <w:r w:rsidR="00A27D89">
        <w:t xml:space="preserve">section examines how </w:t>
      </w:r>
      <w:r w:rsidR="00587311">
        <w:t xml:space="preserve">that </w:t>
      </w:r>
      <w:r w:rsidR="000C11E5">
        <w:t>contention</w:t>
      </w:r>
      <w:r w:rsidR="00587311">
        <w:t xml:space="preserve"> surfaces in official</w:t>
      </w:r>
      <w:r w:rsidR="00C02553">
        <w:t xml:space="preserve"> victims</w:t>
      </w:r>
      <w:r w:rsidR="00587311">
        <w:t xml:space="preserve"> pol</w:t>
      </w:r>
      <w:r w:rsidR="00C02553">
        <w:t>icy and definitions, and how</w:t>
      </w:r>
      <w:r w:rsidR="00567D66">
        <w:t xml:space="preserve"> </w:t>
      </w:r>
      <w:r w:rsidR="000C11E5">
        <w:t>attempts</w:t>
      </w:r>
      <w:r w:rsidR="00A3586B" w:rsidRPr="00E8073D">
        <w:t xml:space="preserve"> </w:t>
      </w:r>
      <w:r w:rsidR="000A7298">
        <w:t xml:space="preserve">to </w:t>
      </w:r>
      <w:r w:rsidR="000C11E5">
        <w:t>capture</w:t>
      </w:r>
      <w:r w:rsidR="00A3586B" w:rsidRPr="00E8073D">
        <w:t xml:space="preserve"> </w:t>
      </w:r>
      <w:r w:rsidR="00DC20CF">
        <w:t xml:space="preserve">the </w:t>
      </w:r>
      <w:r w:rsidR="00C02553">
        <w:t>data on victims and survivors contend with limitations relating to intergroup beliefs about victimhood</w:t>
      </w:r>
      <w:r w:rsidR="005B7355" w:rsidRPr="00E8073D">
        <w:t xml:space="preserve">. </w:t>
      </w:r>
      <w:r w:rsidR="006F7542" w:rsidRPr="00E8073D">
        <w:t xml:space="preserve"> </w:t>
      </w:r>
      <w:r w:rsidR="00A27D89">
        <w:t>Difficulty in identifying and</w:t>
      </w:r>
      <w:r w:rsidR="00D9763F">
        <w:t xml:space="preserve"> acknowledg</w:t>
      </w:r>
      <w:r w:rsidR="00A27D89">
        <w:t>ing</w:t>
      </w:r>
      <w:r w:rsidR="00D9763F">
        <w:t xml:space="preserve"> the </w:t>
      </w:r>
      <w:r w:rsidR="00D87C7E">
        <w:t xml:space="preserve">diverse </w:t>
      </w:r>
      <w:r w:rsidR="00D9763F">
        <w:t>experiences of victims from</w:t>
      </w:r>
      <w:r w:rsidR="00D46E30" w:rsidRPr="00E8073D">
        <w:t xml:space="preserve"> </w:t>
      </w:r>
      <w:r w:rsidR="00D9763F">
        <w:t>across</w:t>
      </w:r>
      <w:r w:rsidR="00D46E30" w:rsidRPr="00E8073D">
        <w:t xml:space="preserve"> society</w:t>
      </w:r>
      <w:r w:rsidR="004806EB" w:rsidRPr="00E8073D">
        <w:t xml:space="preserve"> </w:t>
      </w:r>
      <w:r w:rsidR="00C03262">
        <w:t>increases the likelihood that certain experiences of harm will either be ignored or denied,</w:t>
      </w:r>
      <w:r w:rsidR="00D46E30" w:rsidRPr="00E8073D">
        <w:t xml:space="preserve"> compounding grievance and marginal</w:t>
      </w:r>
      <w:r w:rsidR="00C03262">
        <w:t>ising these groups from the process of building new, co-operative relationships within society</w:t>
      </w:r>
      <w:r w:rsidR="00D46E30" w:rsidRPr="00E8073D">
        <w:t>.</w:t>
      </w:r>
    </w:p>
    <w:p w14:paraId="6C949C99" w14:textId="77777777" w:rsidR="00D207A9" w:rsidRPr="00E8073D" w:rsidRDefault="00D207A9" w:rsidP="00825989">
      <w:pPr>
        <w:spacing w:line="360" w:lineRule="auto"/>
        <w:contextualSpacing/>
        <w:jc w:val="both"/>
      </w:pPr>
    </w:p>
    <w:p w14:paraId="1C488ACD" w14:textId="13C6DA4E" w:rsidR="00D207A9" w:rsidRPr="005907D7" w:rsidRDefault="008A6EEA" w:rsidP="00825989">
      <w:pPr>
        <w:pStyle w:val="Heading3"/>
        <w:spacing w:line="360" w:lineRule="auto"/>
        <w:contextualSpacing/>
        <w:rPr>
          <w:rFonts w:cs="Times New Roman"/>
          <w:b/>
        </w:rPr>
      </w:pPr>
      <w:r w:rsidRPr="005907D7">
        <w:rPr>
          <w:rFonts w:cs="Times New Roman"/>
          <w:b/>
        </w:rPr>
        <w:t>Defining victimhood</w:t>
      </w:r>
      <w:r w:rsidR="00D207A9" w:rsidRPr="005907D7">
        <w:rPr>
          <w:rFonts w:cs="Times New Roman"/>
          <w:b/>
        </w:rPr>
        <w:t xml:space="preserve"> in Northern Ireland</w:t>
      </w:r>
    </w:p>
    <w:p w14:paraId="26019FA2" w14:textId="77777777" w:rsidR="00D207A9" w:rsidRPr="00E8073D" w:rsidRDefault="00D207A9" w:rsidP="00825989">
      <w:pPr>
        <w:spacing w:line="360" w:lineRule="auto"/>
        <w:contextualSpacing/>
        <w:jc w:val="both"/>
      </w:pPr>
    </w:p>
    <w:p w14:paraId="3679EA0A" w14:textId="0FBDB472" w:rsidR="005E1C57" w:rsidRPr="00E8073D" w:rsidRDefault="00C508C3" w:rsidP="00825989">
      <w:pPr>
        <w:spacing w:line="360" w:lineRule="auto"/>
        <w:ind w:firstLine="720"/>
        <w:contextualSpacing/>
        <w:jc w:val="both"/>
      </w:pPr>
      <w:r>
        <w:t>In 1998, after three decades of sustained violence, Northern Ireland’s main political parties</w:t>
      </w:r>
      <w:r w:rsidR="009F31FF">
        <w:rPr>
          <w:rStyle w:val="FootnoteReference"/>
        </w:rPr>
        <w:footnoteReference w:id="29"/>
      </w:r>
      <w:r>
        <w:t xml:space="preserve"> signed the Good Friday/Belfast Agreement (hereon the 1998 Agreement).  Whereas this heralded unprecedented consensus at a political level, it provided no plan to examine the past or rule on an official narrative of t</w:t>
      </w:r>
      <w:r w:rsidR="00F25225">
        <w:t>he conflict.</w:t>
      </w:r>
      <w:r w:rsidR="00613F4B">
        <w:t xml:space="preserve"> </w:t>
      </w:r>
      <w:r w:rsidR="00F25225">
        <w:t xml:space="preserve"> </w:t>
      </w:r>
      <w:r w:rsidR="00B15C74">
        <w:t>Since 1998</w:t>
      </w:r>
      <w:r w:rsidR="005E1C57" w:rsidRPr="00E8073D">
        <w:t xml:space="preserve">, the definition </w:t>
      </w:r>
      <w:r w:rsidR="00420290" w:rsidRPr="00E8073D">
        <w:t>of victim</w:t>
      </w:r>
      <w:r w:rsidR="005E1C57" w:rsidRPr="00E8073D">
        <w:t xml:space="preserve"> has been the subject o</w:t>
      </w:r>
      <w:r w:rsidR="00D51F4D" w:rsidRPr="00E8073D">
        <w:t>f tense debate underpinned by</w:t>
      </w:r>
      <w:r w:rsidR="006672B9" w:rsidRPr="00E8073D">
        <w:t xml:space="preserve"> </w:t>
      </w:r>
      <w:r w:rsidR="004A7B0A" w:rsidRPr="00E8073D">
        <w:t xml:space="preserve">inclusive and exclusive </w:t>
      </w:r>
      <w:r w:rsidR="006672B9" w:rsidRPr="00E8073D">
        <w:t xml:space="preserve">attitudes </w:t>
      </w:r>
      <w:r w:rsidR="00134C42">
        <w:t>which</w:t>
      </w:r>
      <w:r w:rsidR="006672B9" w:rsidRPr="00E8073D">
        <w:t xml:space="preserve"> </w:t>
      </w:r>
      <w:r w:rsidR="00F25225">
        <w:lastRenderedPageBreak/>
        <w:t>largely reflect disparate narratives of violence, victimhood and responsibility</w:t>
      </w:r>
      <w:r w:rsidR="006672B9" w:rsidRPr="00E8073D">
        <w:t>.</w:t>
      </w:r>
      <w:r w:rsidR="009E68C9" w:rsidRPr="00E8073D">
        <w:t xml:space="preserve">  I</w:t>
      </w:r>
      <w:r w:rsidR="005E1C57" w:rsidRPr="00E8073D">
        <w:t xml:space="preserve">nclusive </w:t>
      </w:r>
      <w:r w:rsidR="00425D09">
        <w:t>approaches</w:t>
      </w:r>
      <w:r w:rsidR="00424F97" w:rsidRPr="00E8073D">
        <w:t xml:space="preserve"> </w:t>
      </w:r>
      <w:r w:rsidR="00513F68">
        <w:t>convey</w:t>
      </w:r>
      <w:r w:rsidR="009E68C9" w:rsidRPr="00E8073D">
        <w:t xml:space="preserve"> </w:t>
      </w:r>
      <w:r w:rsidR="008D119F" w:rsidRPr="00E8073D">
        <w:t>the</w:t>
      </w:r>
      <w:r w:rsidR="00E52858" w:rsidRPr="00E8073D">
        <w:t xml:space="preserve"> belief </w:t>
      </w:r>
      <w:r w:rsidR="009E68C9" w:rsidRPr="00E8073D">
        <w:t>that,</w:t>
      </w:r>
      <w:r w:rsidR="006953AF" w:rsidRPr="00E8073D">
        <w:t xml:space="preserve"> regardless of their role in conflict,</w:t>
      </w:r>
      <w:r w:rsidR="00290949" w:rsidRPr="00E8073D">
        <w:t xml:space="preserve"> ‘</w:t>
      </w:r>
      <w:r w:rsidR="009E68C9" w:rsidRPr="00E8073D">
        <w:t>everyone who died as a direct or indirect consequence of the conflict should be qualified and t</w:t>
      </w:r>
      <w:r w:rsidR="00890FD5" w:rsidRPr="00E8073D">
        <w:t>reated as a “legitimate”</w:t>
      </w:r>
      <w:r w:rsidR="00290949" w:rsidRPr="00E8073D">
        <w:t xml:space="preserve"> victim’</w:t>
      </w:r>
      <w:r w:rsidR="00AF0724" w:rsidRPr="00E8073D">
        <w:t>.</w:t>
      </w:r>
      <w:r w:rsidR="00081487">
        <w:rPr>
          <w:rStyle w:val="FootnoteReference"/>
        </w:rPr>
        <w:footnoteReference w:id="30"/>
      </w:r>
      <w:r w:rsidR="00AF0724" w:rsidRPr="00E8073D">
        <w:t xml:space="preserve">  These </w:t>
      </w:r>
      <w:r w:rsidR="009E68C9" w:rsidRPr="00E8073D">
        <w:t>attitudes</w:t>
      </w:r>
      <w:r w:rsidR="00EB00C3">
        <w:t xml:space="preserve"> are found to</w:t>
      </w:r>
      <w:r w:rsidR="009E68C9" w:rsidRPr="00E8073D">
        <w:t xml:space="preserve"> </w:t>
      </w:r>
      <w:r w:rsidR="005E1C57" w:rsidRPr="00E8073D">
        <w:t xml:space="preserve">emanate predominantly from </w:t>
      </w:r>
      <w:r w:rsidR="00A15249" w:rsidRPr="00E8073D">
        <w:t>CNR sources</w:t>
      </w:r>
      <w:r w:rsidR="005E1C57" w:rsidRPr="00E8073D">
        <w:t xml:space="preserve"> in Northern Ireland, though some loyalist </w:t>
      </w:r>
      <w:r w:rsidR="0036010A">
        <w:t xml:space="preserve">political </w:t>
      </w:r>
      <w:r w:rsidR="005E1C57" w:rsidRPr="00E8073D">
        <w:t>parties and ex-combatants a</w:t>
      </w:r>
      <w:r w:rsidR="00204549" w:rsidRPr="00E8073D">
        <w:t xml:space="preserve">lso </w:t>
      </w:r>
      <w:r w:rsidR="00343E7D">
        <w:t>espouse an inclusive approach</w:t>
      </w:r>
      <w:r w:rsidR="005E1C57" w:rsidRPr="00E8073D">
        <w:t>.</w:t>
      </w:r>
      <w:r w:rsidR="003E010D">
        <w:rPr>
          <w:rStyle w:val="FootnoteReference"/>
        </w:rPr>
        <w:footnoteReference w:id="31"/>
      </w:r>
      <w:r w:rsidR="00B94C0E">
        <w:t xml:space="preserve">  Exclusive attitudes resonate with clear, often ethnocentric distinctions between actors, where claims to be the ‘real’ victims </w:t>
      </w:r>
      <w:r w:rsidR="00B94C0E" w:rsidRPr="00E8073D">
        <w:t>project an ‘image of blamelessness’</w:t>
      </w:r>
      <w:r w:rsidR="00B94C0E">
        <w:rPr>
          <w:rStyle w:val="FootnoteReference"/>
        </w:rPr>
        <w:footnoteReference w:id="32"/>
      </w:r>
      <w:r w:rsidR="00B94C0E" w:rsidRPr="00E8073D">
        <w:t xml:space="preserve"> and direct society to locate responsibility for violence elsewhere.</w:t>
      </w:r>
      <w:r w:rsidR="005E1C57" w:rsidRPr="00E8073D">
        <w:t xml:space="preserve"> </w:t>
      </w:r>
      <w:r w:rsidR="00B94C0E">
        <w:t xml:space="preserve"> </w:t>
      </w:r>
      <w:r w:rsidR="00B94C0E" w:rsidRPr="00E8073D">
        <w:t xml:space="preserve">This approach </w:t>
      </w:r>
      <w:r w:rsidR="00B94C0E">
        <w:t>is</w:t>
      </w:r>
      <w:r w:rsidR="00B94C0E" w:rsidRPr="00E8073D">
        <w:t xml:space="preserve"> associated mainly </w:t>
      </w:r>
      <w:r w:rsidR="00B94C0E">
        <w:t>with unionist perspectives,</w:t>
      </w:r>
      <w:r w:rsidR="00B94C0E">
        <w:rPr>
          <w:rStyle w:val="FootnoteReference"/>
        </w:rPr>
        <w:footnoteReference w:id="33"/>
      </w:r>
      <w:r w:rsidR="00B94C0E">
        <w:t xml:space="preserve"> and</w:t>
      </w:r>
      <w:r w:rsidR="00B94C0E" w:rsidRPr="00E8073D">
        <w:t xml:space="preserve"> </w:t>
      </w:r>
      <w:r w:rsidR="00C46A44" w:rsidRPr="00E8073D">
        <w:t>reflect</w:t>
      </w:r>
      <w:r w:rsidR="00B94C0E">
        <w:t>s</w:t>
      </w:r>
      <w:r w:rsidR="00C46A44" w:rsidRPr="00E8073D">
        <w:t xml:space="preserve"> a narrative ‘centred on the memory of suffering inflicted on the Protestant community by republican paramilitaries’</w:t>
      </w:r>
      <w:r w:rsidR="00B94C0E">
        <w:t>.</w:t>
      </w:r>
      <w:r w:rsidR="00C46A44">
        <w:rPr>
          <w:rStyle w:val="FootnoteReference"/>
        </w:rPr>
        <w:footnoteReference w:id="34"/>
      </w:r>
      <w:r w:rsidR="00B94C0E">
        <w:t xml:space="preserve"> </w:t>
      </w:r>
      <w:r w:rsidR="00C46A44" w:rsidRPr="00E8073D">
        <w:t xml:space="preserve"> </w:t>
      </w:r>
      <w:r w:rsidR="00B94C0E">
        <w:t>Those viewed as responsible for violence either individually or collectively</w:t>
      </w:r>
      <w:r w:rsidR="005E1C57" w:rsidRPr="00E8073D">
        <w:t xml:space="preserve"> are</w:t>
      </w:r>
      <w:r w:rsidR="00B94C0E">
        <w:t xml:space="preserve"> rarely accepted as victims</w:t>
      </w:r>
      <w:r w:rsidR="005E1C57" w:rsidRPr="00E8073D">
        <w:t xml:space="preserve"> deserving of sympathy and support.</w:t>
      </w:r>
    </w:p>
    <w:p w14:paraId="1423874F" w14:textId="60A8B2B8" w:rsidR="00405DC8" w:rsidRPr="00E8073D" w:rsidRDefault="00D207A9" w:rsidP="00D956FA">
      <w:pPr>
        <w:spacing w:line="360" w:lineRule="auto"/>
        <w:ind w:firstLine="709"/>
        <w:contextualSpacing/>
        <w:jc w:val="both"/>
      </w:pPr>
      <w:r w:rsidRPr="00E8073D">
        <w:t>The Victims and Survivors (Northern Ireland) Order of 2006 (hereon the 2006 Order) provides the current, official definition of vic</w:t>
      </w:r>
      <w:r w:rsidR="0075075B">
        <w:t>tims and was developed</w:t>
      </w:r>
      <w:r w:rsidRPr="00E8073D">
        <w:t xml:space="preserve"> for use by the Victims Commissioner and statutory victims </w:t>
      </w:r>
      <w:r w:rsidR="0070370E">
        <w:t>agencies</w:t>
      </w:r>
      <w:r w:rsidRPr="00E8073D">
        <w:t>.</w:t>
      </w:r>
      <w:r w:rsidR="00CB55BC" w:rsidRPr="00E8073D">
        <w:t xml:space="preserve"> </w:t>
      </w:r>
      <w:r w:rsidRPr="00E8073D">
        <w:t xml:space="preserve"> The 2006 Order defines </w:t>
      </w:r>
      <w:r w:rsidR="008C6217" w:rsidRPr="00E8073D">
        <w:t>victims and survivors inclusively</w:t>
      </w:r>
      <w:r w:rsidRPr="00E8073D">
        <w:t>:</w:t>
      </w:r>
    </w:p>
    <w:p w14:paraId="63DC822A" w14:textId="77777777" w:rsidR="00D207A9" w:rsidRPr="00E8073D" w:rsidRDefault="00D207A9" w:rsidP="00825989">
      <w:pPr>
        <w:pStyle w:val="ListParagraph"/>
        <w:numPr>
          <w:ilvl w:val="0"/>
          <w:numId w:val="3"/>
        </w:numPr>
        <w:spacing w:line="360" w:lineRule="auto"/>
        <w:jc w:val="both"/>
      </w:pPr>
      <w:r w:rsidRPr="00E8073D">
        <w:t>In this Order references to “victim and survivor” are references to an individual appearing to the Commissioner to be any of the following –</w:t>
      </w:r>
    </w:p>
    <w:p w14:paraId="1D7A80E4" w14:textId="77777777" w:rsidR="00D207A9" w:rsidRPr="00E8073D" w:rsidRDefault="00D207A9" w:rsidP="00825989">
      <w:pPr>
        <w:pStyle w:val="ListParagraph"/>
        <w:numPr>
          <w:ilvl w:val="1"/>
          <w:numId w:val="3"/>
        </w:numPr>
        <w:spacing w:line="360" w:lineRule="auto"/>
        <w:jc w:val="both"/>
      </w:pPr>
      <w:r w:rsidRPr="00E8073D">
        <w:t>Someone who is or has been physically or psychologically injured as a result of or in consequence of a conflict-related incident;</w:t>
      </w:r>
    </w:p>
    <w:p w14:paraId="7FAF796D" w14:textId="497B4CDF" w:rsidR="00D207A9" w:rsidRPr="00E8073D" w:rsidRDefault="00D207A9" w:rsidP="00825989">
      <w:pPr>
        <w:pStyle w:val="ListParagraph"/>
        <w:numPr>
          <w:ilvl w:val="1"/>
          <w:numId w:val="3"/>
        </w:numPr>
        <w:spacing w:line="360" w:lineRule="auto"/>
        <w:jc w:val="both"/>
      </w:pPr>
      <w:r w:rsidRPr="00E8073D">
        <w:t>Someone who provides a substantial amou</w:t>
      </w:r>
      <w:r w:rsidR="000A7ADF">
        <w:t>nt of care on a regular basis for</w:t>
      </w:r>
      <w:r w:rsidRPr="00E8073D">
        <w:t xml:space="preserve"> an individual mentioned in paragraph (a); or</w:t>
      </w:r>
    </w:p>
    <w:p w14:paraId="09D23932" w14:textId="77777777" w:rsidR="00D207A9" w:rsidRPr="00E8073D" w:rsidRDefault="00D207A9" w:rsidP="00825989">
      <w:pPr>
        <w:pStyle w:val="ListParagraph"/>
        <w:numPr>
          <w:ilvl w:val="1"/>
          <w:numId w:val="3"/>
        </w:numPr>
        <w:spacing w:line="360" w:lineRule="auto"/>
        <w:jc w:val="both"/>
      </w:pPr>
      <w:r w:rsidRPr="00E8073D">
        <w:t>Someone who has been bereaved as a result of or in consequence of a conflict-related incident.</w:t>
      </w:r>
    </w:p>
    <w:p w14:paraId="60E8EA89" w14:textId="77777777" w:rsidR="00D207A9" w:rsidRPr="00E8073D" w:rsidRDefault="00D207A9" w:rsidP="00825989">
      <w:pPr>
        <w:pStyle w:val="ListParagraph"/>
        <w:numPr>
          <w:ilvl w:val="0"/>
          <w:numId w:val="3"/>
        </w:numPr>
        <w:spacing w:line="360" w:lineRule="auto"/>
        <w:jc w:val="both"/>
      </w:pPr>
      <w:r w:rsidRPr="00E8073D">
        <w:t xml:space="preserve">Without prejudice to the generality of paragraph (1), an individual may be psychologically injured as a result of or in consequence of – </w:t>
      </w:r>
    </w:p>
    <w:p w14:paraId="627A6C86" w14:textId="77777777" w:rsidR="00D207A9" w:rsidRPr="00E8073D" w:rsidRDefault="00D207A9" w:rsidP="00825989">
      <w:pPr>
        <w:pStyle w:val="ListParagraph"/>
        <w:numPr>
          <w:ilvl w:val="1"/>
          <w:numId w:val="3"/>
        </w:numPr>
        <w:spacing w:line="360" w:lineRule="auto"/>
        <w:jc w:val="both"/>
      </w:pPr>
      <w:r w:rsidRPr="00E8073D">
        <w:lastRenderedPageBreak/>
        <w:t xml:space="preserve">Witnessing a conflict-related incident or the consequences of such an incident; or </w:t>
      </w:r>
    </w:p>
    <w:p w14:paraId="54BFF763" w14:textId="4158DEE6" w:rsidR="001A786A" w:rsidRDefault="00D207A9" w:rsidP="00825989">
      <w:pPr>
        <w:pStyle w:val="ListParagraph"/>
        <w:numPr>
          <w:ilvl w:val="1"/>
          <w:numId w:val="3"/>
        </w:numPr>
        <w:spacing w:line="360" w:lineRule="auto"/>
        <w:jc w:val="both"/>
      </w:pPr>
      <w:r w:rsidRPr="00E8073D">
        <w:t>Providing medical or other emergency assistance to an individual in connection with a conflict-related incident.</w:t>
      </w:r>
      <w:r w:rsidR="001254D8">
        <w:rPr>
          <w:rStyle w:val="FootnoteReference"/>
        </w:rPr>
        <w:footnoteReference w:id="35"/>
      </w:r>
    </w:p>
    <w:p w14:paraId="4BF9E8CA" w14:textId="0B065149" w:rsidR="00E701D3" w:rsidRPr="00E8073D" w:rsidRDefault="00D207A9" w:rsidP="00825989">
      <w:pPr>
        <w:spacing w:line="360" w:lineRule="auto"/>
        <w:contextualSpacing/>
        <w:jc w:val="both"/>
      </w:pPr>
      <w:r w:rsidRPr="00E8073D">
        <w:t xml:space="preserve">This definition sets </w:t>
      </w:r>
      <w:r w:rsidR="00F0668D">
        <w:t>broad</w:t>
      </w:r>
      <w:r w:rsidR="001C1D01" w:rsidRPr="00E8073D">
        <w:t xml:space="preserve"> parameters, making</w:t>
      </w:r>
      <w:r w:rsidRPr="00E8073D">
        <w:t xml:space="preserve"> no determination about </w:t>
      </w:r>
      <w:r w:rsidR="00B94C0E">
        <w:t xml:space="preserve">an individual’s </w:t>
      </w:r>
      <w:r w:rsidRPr="00E8073D">
        <w:t>inno</w:t>
      </w:r>
      <w:r w:rsidR="001A6084" w:rsidRPr="00E8073D">
        <w:t>cence,</w:t>
      </w:r>
      <w:r w:rsidRPr="00E8073D">
        <w:t xml:space="preserve"> guilt</w:t>
      </w:r>
      <w:r w:rsidR="001A6084" w:rsidRPr="00E8073D">
        <w:t xml:space="preserve"> or deservingness</w:t>
      </w:r>
      <w:r w:rsidR="00257AEC">
        <w:t xml:space="preserve"> in order to enable statutory bodies</w:t>
      </w:r>
      <w:r w:rsidRPr="00E8073D">
        <w:t xml:space="preserve"> to facilitate delivery of much n</w:t>
      </w:r>
      <w:r w:rsidR="00257AEC">
        <w:t>eeded services to those identifying as victims</w:t>
      </w:r>
      <w:r w:rsidRPr="00E8073D">
        <w:t>.</w:t>
      </w:r>
      <w:r w:rsidR="00703F2F">
        <w:t xml:space="preserve"> </w:t>
      </w:r>
      <w:r w:rsidR="00431ECD">
        <w:t xml:space="preserve"> </w:t>
      </w:r>
      <w:r w:rsidR="00181DB4">
        <w:t>Most data gathered in interview reflected satisfaction with the 2006 Order: ‘I’m quite happy with the definition that’s there.  Its intention is to help as many people as possible and that can’t be wrong’.</w:t>
      </w:r>
      <w:r w:rsidR="00181DB4">
        <w:rPr>
          <w:rStyle w:val="FootnoteReference"/>
        </w:rPr>
        <w:footnoteReference w:id="36"/>
      </w:r>
      <w:r w:rsidR="00181DB4">
        <w:t xml:space="preserve">  This </w:t>
      </w:r>
      <w:r w:rsidR="00200223">
        <w:t>belief</w:t>
      </w:r>
      <w:r w:rsidR="00181DB4">
        <w:t xml:space="preserve"> was echoed by </w:t>
      </w:r>
      <w:r w:rsidR="00200223">
        <w:t xml:space="preserve">several </w:t>
      </w:r>
      <w:r w:rsidR="00181DB4">
        <w:t xml:space="preserve">others who pointed out the utility of an inclusive definition in delivering services to those in need.  </w:t>
      </w:r>
      <w:r w:rsidR="00763449">
        <w:t xml:space="preserve">Opponents of </w:t>
      </w:r>
      <w:r w:rsidRPr="00E8073D">
        <w:t>the 2006 Order,</w:t>
      </w:r>
      <w:r w:rsidR="007F05F7">
        <w:t xml:space="preserve"> however,</w:t>
      </w:r>
      <w:r w:rsidRPr="00E8073D">
        <w:t xml:space="preserve"> </w:t>
      </w:r>
      <w:r w:rsidR="00763449">
        <w:t>argue</w:t>
      </w:r>
      <w:r w:rsidR="00B20796" w:rsidRPr="00E8073D">
        <w:t xml:space="preserve"> that it ‘</w:t>
      </w:r>
      <w:r w:rsidRPr="00E8073D">
        <w:t>effectively equ</w:t>
      </w:r>
      <w:r w:rsidR="00B20796" w:rsidRPr="00E8073D">
        <w:t>ates “perpetrator” and “victim”’</w:t>
      </w:r>
      <w:r w:rsidRPr="00E8073D">
        <w:t>.</w:t>
      </w:r>
      <w:r w:rsidR="00825989">
        <w:rPr>
          <w:rStyle w:val="FootnoteReference"/>
        </w:rPr>
        <w:footnoteReference w:id="37"/>
      </w:r>
      <w:r w:rsidR="009B30C5" w:rsidRPr="00E8073D">
        <w:t xml:space="preserve">  </w:t>
      </w:r>
    </w:p>
    <w:p w14:paraId="0166D4DD" w14:textId="6E6118E9" w:rsidR="00D207A9" w:rsidRPr="00E8073D" w:rsidRDefault="003F515D" w:rsidP="0008030A">
      <w:pPr>
        <w:spacing w:line="360" w:lineRule="auto"/>
        <w:ind w:firstLine="709"/>
        <w:contextualSpacing/>
        <w:jc w:val="both"/>
      </w:pPr>
      <w:r>
        <w:t>Marie Smyth</w:t>
      </w:r>
      <w:r w:rsidR="00D207A9" w:rsidRPr="00E8073D">
        <w:t xml:space="preserve"> identifies an increase in exclusive sentiment around the </w:t>
      </w:r>
      <w:r w:rsidR="00A948BF" w:rsidRPr="00E8073D">
        <w:t>1998 Agreement</w:t>
      </w:r>
      <w:r w:rsidR="00B94C0E">
        <w:t>,</w:t>
      </w:r>
      <w:r w:rsidR="00475947">
        <w:t xml:space="preserve"> </w:t>
      </w:r>
      <w:r w:rsidR="00B94C0E">
        <w:t>when</w:t>
      </w:r>
      <w:r w:rsidR="00475947">
        <w:t xml:space="preserve"> rhetoric of ‘innocent’ and ‘real’ victims was used</w:t>
      </w:r>
      <w:r w:rsidR="00C759DC">
        <w:t xml:space="preserve"> by those opposed to the political settlement</w:t>
      </w:r>
      <w:r w:rsidR="00475947">
        <w:t xml:space="preserve"> ‘</w:t>
      </w:r>
      <w:r w:rsidR="00D207A9" w:rsidRPr="00E8073D">
        <w:t>as a means to exclude others from the category of genuine victimhood</w:t>
      </w:r>
      <w:r w:rsidR="00475947">
        <w:t>’.</w:t>
      </w:r>
      <w:r w:rsidR="003E2334">
        <w:rPr>
          <w:rStyle w:val="FootnoteReference"/>
        </w:rPr>
        <w:footnoteReference w:id="38"/>
      </w:r>
      <w:r w:rsidR="00D207A9" w:rsidRPr="00E8073D">
        <w:t xml:space="preserve"> </w:t>
      </w:r>
      <w:r w:rsidR="00B94C0E">
        <w:t xml:space="preserve"> </w:t>
      </w:r>
      <w:r w:rsidR="0008030A">
        <w:t>This r</w:t>
      </w:r>
      <w:r w:rsidR="00D207A9" w:rsidRPr="00E8073D">
        <w:t xml:space="preserve">hetoric </w:t>
      </w:r>
      <w:r w:rsidR="0008030A">
        <w:t>again intensified</w:t>
      </w:r>
      <w:r w:rsidR="00D207A9" w:rsidRPr="00E8073D">
        <w:t xml:space="preserve"> and victims groups re-mobilised foll</w:t>
      </w:r>
      <w:r w:rsidR="002C0FD0" w:rsidRPr="00E8073D">
        <w:t xml:space="preserve">owing the </w:t>
      </w:r>
      <w:r w:rsidR="00430EF0">
        <w:t xml:space="preserve">2009 </w:t>
      </w:r>
      <w:r w:rsidR="002C0FD0" w:rsidRPr="00E8073D">
        <w:t xml:space="preserve">publication of the </w:t>
      </w:r>
      <w:r w:rsidR="002C0FD0" w:rsidRPr="00836C6F">
        <w:rPr>
          <w:i/>
        </w:rPr>
        <w:t>R</w:t>
      </w:r>
      <w:r w:rsidR="00333370" w:rsidRPr="00836C6F">
        <w:rPr>
          <w:i/>
        </w:rPr>
        <w:t>eport</w:t>
      </w:r>
      <w:r w:rsidR="002C0FD0" w:rsidRPr="00836C6F">
        <w:rPr>
          <w:i/>
        </w:rPr>
        <w:t xml:space="preserve"> of the Consultative Group on the Past</w:t>
      </w:r>
      <w:r w:rsidR="00402BDF">
        <w:rPr>
          <w:i/>
        </w:rPr>
        <w:t xml:space="preserve"> </w:t>
      </w:r>
      <w:r w:rsidR="00402BDF">
        <w:t>(CGP)</w:t>
      </w:r>
      <w:r w:rsidR="009A0C96" w:rsidRPr="00E8073D">
        <w:t>,</w:t>
      </w:r>
      <w:r w:rsidR="00CD296A" w:rsidRPr="00E8073D">
        <w:t xml:space="preserve"> </w:t>
      </w:r>
      <w:r w:rsidR="00784584" w:rsidRPr="00E8073D">
        <w:t xml:space="preserve">effectively </w:t>
      </w:r>
      <w:r w:rsidR="00587EFE" w:rsidRPr="00E8073D">
        <w:t>nullifying</w:t>
      </w:r>
      <w:r w:rsidR="000A7FF5" w:rsidRPr="00E8073D">
        <w:t xml:space="preserve"> the report and its </w:t>
      </w:r>
      <w:r w:rsidR="00D47913">
        <w:t xml:space="preserve">31 </w:t>
      </w:r>
      <w:r w:rsidR="000A7FF5" w:rsidRPr="00E8073D">
        <w:t>recommendations over</w:t>
      </w:r>
      <w:r w:rsidR="00CD296A" w:rsidRPr="00E8073D">
        <w:t xml:space="preserve"> </w:t>
      </w:r>
      <w:r w:rsidR="00223BF3">
        <w:t>a</w:t>
      </w:r>
      <w:r w:rsidR="00CD296A" w:rsidRPr="00E8073D">
        <w:t xml:space="preserve"> proposal for</w:t>
      </w:r>
      <w:r w:rsidR="008328A2">
        <w:t xml:space="preserve"> a £12,000 recognition payment</w:t>
      </w:r>
      <w:r w:rsidR="00AB3C4C">
        <w:t>.</w:t>
      </w:r>
      <w:r w:rsidR="00BA56BD" w:rsidRPr="00E8073D">
        <w:rPr>
          <w:rStyle w:val="FootnoteReference"/>
        </w:rPr>
        <w:footnoteReference w:id="39"/>
      </w:r>
      <w:r w:rsidR="00AB3C4C">
        <w:t xml:space="preserve"> </w:t>
      </w:r>
      <w:r w:rsidR="008328A2">
        <w:t xml:space="preserve"> Criticism of this </w:t>
      </w:r>
      <w:r w:rsidR="00854AF8">
        <w:t>proposal</w:t>
      </w:r>
      <w:r w:rsidR="008328A2">
        <w:t xml:space="preserve"> rested largely on the fact that </w:t>
      </w:r>
      <w:r w:rsidR="00854AF8">
        <w:t>payment</w:t>
      </w:r>
      <w:r w:rsidR="00AB3C4C">
        <w:t xml:space="preserve"> would go to the nearest relative of anyone killed as a result of the conflict and</w:t>
      </w:r>
      <w:r w:rsidR="008328A2">
        <w:t xml:space="preserve"> did not distinguish</w:t>
      </w:r>
      <w:r w:rsidR="00D207A9" w:rsidRPr="00E8073D">
        <w:t xml:space="preserve"> between ‘innocent victims’ a</w:t>
      </w:r>
      <w:r w:rsidR="00FE63CB">
        <w:t>nd others</w:t>
      </w:r>
      <w:r w:rsidR="00D207A9" w:rsidRPr="00E8073D">
        <w:t>.</w:t>
      </w:r>
      <w:r w:rsidR="00A943C6">
        <w:rPr>
          <w:rStyle w:val="FootnoteReference"/>
        </w:rPr>
        <w:footnoteReference w:id="40"/>
      </w:r>
      <w:r w:rsidR="00D207A9" w:rsidRPr="00E8073D">
        <w:t xml:space="preserve"> </w:t>
      </w:r>
      <w:r w:rsidR="00350DDA" w:rsidRPr="00E8073D">
        <w:t xml:space="preserve"> </w:t>
      </w:r>
      <w:r w:rsidR="00146B6E">
        <w:t>Similar</w:t>
      </w:r>
      <w:r w:rsidR="008328A2">
        <w:t xml:space="preserve"> </w:t>
      </w:r>
      <w:r w:rsidR="00AB6454">
        <w:t>sentiment</w:t>
      </w:r>
      <w:r w:rsidR="008328A2">
        <w:t xml:space="preserve"> accompanied s</w:t>
      </w:r>
      <w:r w:rsidR="00B141D5" w:rsidRPr="00E8073D">
        <w:t>everal</w:t>
      </w:r>
      <w:r w:rsidR="00D207A9" w:rsidRPr="00E8073D">
        <w:t xml:space="preserve"> legislative actions</w:t>
      </w:r>
      <w:r w:rsidR="008328A2">
        <w:t xml:space="preserve"> seeking</w:t>
      </w:r>
      <w:r w:rsidR="00B56E53">
        <w:t xml:space="preserve"> to change the</w:t>
      </w:r>
      <w:r w:rsidR="008328A2">
        <w:t xml:space="preserve"> definition to make such a distinction</w:t>
      </w:r>
      <w:r w:rsidR="00D207A9" w:rsidRPr="00E8073D">
        <w:t>, including the unsuccessful</w:t>
      </w:r>
      <w:r w:rsidR="00AA1C97">
        <w:t xml:space="preserve"> 2010</w:t>
      </w:r>
      <w:r w:rsidR="00D207A9" w:rsidRPr="00E8073D">
        <w:t xml:space="preserve"> Victims and Survivo</w:t>
      </w:r>
      <w:r w:rsidR="00AA1C97">
        <w:t>rs (Disqualification) Bill</w:t>
      </w:r>
      <w:r w:rsidR="00D207A9" w:rsidRPr="00E8073D">
        <w:t xml:space="preserve"> that would exclude from the 2006 Order individuals who </w:t>
      </w:r>
      <w:r w:rsidR="00D207A9" w:rsidRPr="00E8073D">
        <w:lastRenderedPageBreak/>
        <w:t xml:space="preserve">were either </w:t>
      </w:r>
      <w:r w:rsidR="00EE3F25" w:rsidRPr="00E8073D">
        <w:t xml:space="preserve">members of a proscribed organisation or </w:t>
      </w:r>
      <w:r w:rsidR="00D207A9" w:rsidRPr="00E8073D">
        <w:t>convicted of a vio</w:t>
      </w:r>
      <w:r w:rsidR="00EE3F25" w:rsidRPr="00E8073D">
        <w:t>lent conflict-related offence</w:t>
      </w:r>
      <w:r w:rsidR="009059C8">
        <w:t>.</w:t>
      </w:r>
      <w:r w:rsidR="009059C8">
        <w:rPr>
          <w:rStyle w:val="FootnoteReference"/>
        </w:rPr>
        <w:footnoteReference w:id="41"/>
      </w:r>
    </w:p>
    <w:p w14:paraId="2F9C3B99" w14:textId="3450AE62" w:rsidR="00D33892" w:rsidRPr="00E8073D" w:rsidRDefault="00D207A9" w:rsidP="00825989">
      <w:pPr>
        <w:spacing w:line="360" w:lineRule="auto"/>
        <w:ind w:firstLine="720"/>
        <w:contextualSpacing/>
        <w:jc w:val="both"/>
      </w:pPr>
      <w:r w:rsidRPr="00E8073D">
        <w:t>The 2006 Order was not, however, the first attempt to determine</w:t>
      </w:r>
      <w:r w:rsidR="00E019C5" w:rsidRPr="00E8073D">
        <w:t xml:space="preserve"> who should be acknowledged as victims</w:t>
      </w:r>
      <w:r w:rsidR="00A353D2" w:rsidRPr="00E8073D">
        <w:t xml:space="preserve"> of the conflict</w:t>
      </w:r>
      <w:r w:rsidR="00AE1676" w:rsidRPr="00E8073D">
        <w:t>.</w:t>
      </w:r>
      <w:r w:rsidR="000A6E14" w:rsidRPr="00E8073D">
        <w:t xml:space="preserve"> </w:t>
      </w:r>
      <w:r w:rsidRPr="00E8073D">
        <w:t xml:space="preserve"> Soon aft</w:t>
      </w:r>
      <w:r w:rsidR="00B56E53">
        <w:t>er the 1998 Agreement</w:t>
      </w:r>
      <w:r w:rsidRPr="00E8073D">
        <w:t>, newly appointed Victims Commissioner Sir Kenneth Bloomf</w:t>
      </w:r>
      <w:r w:rsidR="002501F3">
        <w:t>ield published</w:t>
      </w:r>
      <w:r w:rsidRPr="00E8073D">
        <w:t xml:space="preserve"> </w:t>
      </w:r>
      <w:r w:rsidRPr="00E8073D">
        <w:rPr>
          <w:i/>
        </w:rPr>
        <w:t>We Will Remember Them</w:t>
      </w:r>
      <w:r w:rsidR="00AC0EC4">
        <w:rPr>
          <w:rStyle w:val="FootnoteReference"/>
          <w:i/>
        </w:rPr>
        <w:footnoteReference w:id="42"/>
      </w:r>
      <w:r w:rsidRPr="00E8073D">
        <w:t xml:space="preserve">, </w:t>
      </w:r>
      <w:r w:rsidR="002501F3">
        <w:t xml:space="preserve">a report </w:t>
      </w:r>
      <w:r w:rsidR="00134039">
        <w:t>detailing</w:t>
      </w:r>
      <w:r w:rsidRPr="00E8073D">
        <w:t xml:space="preserve"> the road ahead</w:t>
      </w:r>
      <w:r w:rsidR="00A61377" w:rsidRPr="00E8073D">
        <w:t xml:space="preserve"> for victims</w:t>
      </w:r>
      <w:r w:rsidR="00031A80">
        <w:t>.  In it</w:t>
      </w:r>
      <w:r w:rsidRPr="00E8073D">
        <w:t>, he defined</w:t>
      </w:r>
      <w:r w:rsidR="00744678" w:rsidRPr="00E8073D">
        <w:t xml:space="preserve"> victims</w:t>
      </w:r>
      <w:r w:rsidR="00B646EC" w:rsidRPr="00E8073D">
        <w:t xml:space="preserve"> </w:t>
      </w:r>
      <w:r w:rsidR="00744678" w:rsidRPr="00E8073D">
        <w:t>as ‘</w:t>
      </w:r>
      <w:r w:rsidRPr="00E8073D">
        <w:t>the surviving injured and those who care for them, together with those close</w:t>
      </w:r>
      <w:r w:rsidR="00744678" w:rsidRPr="00E8073D">
        <w:t xml:space="preserve"> relatives who mourn their dead’</w:t>
      </w:r>
      <w:r w:rsidRPr="00E8073D">
        <w:t>.</w:t>
      </w:r>
      <w:r w:rsidR="00E25B20">
        <w:rPr>
          <w:rStyle w:val="FootnoteReference"/>
        </w:rPr>
        <w:footnoteReference w:id="43"/>
      </w:r>
      <w:r w:rsidRPr="00E8073D">
        <w:t xml:space="preserve">  </w:t>
      </w:r>
      <w:r w:rsidR="00F93E8D" w:rsidRPr="00E8073D">
        <w:t>T</w:t>
      </w:r>
      <w:r w:rsidR="00075E8B" w:rsidRPr="00E8073D">
        <w:t>his</w:t>
      </w:r>
      <w:r w:rsidRPr="00E8073D">
        <w:t xml:space="preserve"> definition</w:t>
      </w:r>
      <w:r w:rsidR="00744678" w:rsidRPr="00E8073D">
        <w:t xml:space="preserve"> </w:t>
      </w:r>
      <w:r w:rsidR="0019562A" w:rsidRPr="00E8073D">
        <w:t xml:space="preserve">represents </w:t>
      </w:r>
      <w:r w:rsidR="00744678" w:rsidRPr="00E8073D">
        <w:t>an attempt at establishing a ‘</w:t>
      </w:r>
      <w:r w:rsidRPr="00E8073D">
        <w:t>coherent and m</w:t>
      </w:r>
      <w:r w:rsidR="00744678" w:rsidRPr="00E8073D">
        <w:t>anageable target group’</w:t>
      </w:r>
      <w:r w:rsidR="00075E8B" w:rsidRPr="00E8073D">
        <w:t>,</w:t>
      </w:r>
      <w:r w:rsidR="002E2526">
        <w:rPr>
          <w:rStyle w:val="FootnoteReference"/>
        </w:rPr>
        <w:footnoteReference w:id="44"/>
      </w:r>
      <w:r w:rsidR="00E8761A" w:rsidRPr="00E8073D">
        <w:t xml:space="preserve"> </w:t>
      </w:r>
      <w:r w:rsidR="00F93E8D" w:rsidRPr="00E8073D">
        <w:t>and</w:t>
      </w:r>
      <w:r w:rsidRPr="00E8073D">
        <w:t xml:space="preserve"> </w:t>
      </w:r>
      <w:r w:rsidR="00106EFC" w:rsidRPr="00E8073D">
        <w:t>is</w:t>
      </w:r>
      <w:r w:rsidRPr="00E8073D">
        <w:t xml:space="preserve"> inclusive in that it </w:t>
      </w:r>
      <w:r w:rsidR="00EE66C8">
        <w:t>does</w:t>
      </w:r>
      <w:r w:rsidRPr="00E8073D">
        <w:t xml:space="preserve"> not distinguish between the experiences of those affected by the conflict.  </w:t>
      </w:r>
      <w:r w:rsidR="00016750" w:rsidRPr="00E8073D">
        <w:t>Elsewhere in his report, however, Bloomfield</w:t>
      </w:r>
      <w:r w:rsidRPr="00E8073D">
        <w:t xml:space="preserve"> acknowledges that many </w:t>
      </w:r>
      <w:r w:rsidR="00E9429F" w:rsidRPr="00E8073D">
        <w:t>‘</w:t>
      </w:r>
      <w:r w:rsidRPr="00E8073D">
        <w:t>feel strongly that any person engaged in unlawful activity who is killed or injured in pursuit of it is a victim only of his own criminality and</w:t>
      </w:r>
      <w:r w:rsidR="00E9429F" w:rsidRPr="00E8073D">
        <w:t xml:space="preserve"> deserves no recognition for it’</w:t>
      </w:r>
      <w:r w:rsidRPr="00E8073D">
        <w:t>.</w:t>
      </w:r>
      <w:r w:rsidR="002E2526">
        <w:rPr>
          <w:rStyle w:val="FootnoteReference"/>
        </w:rPr>
        <w:footnoteReference w:id="45"/>
      </w:r>
      <w:r w:rsidRPr="00E8073D">
        <w:t xml:space="preserve"> </w:t>
      </w:r>
      <w:r w:rsidR="00E201E1">
        <w:t xml:space="preserve"> </w:t>
      </w:r>
      <w:r w:rsidR="0037210D">
        <w:t>Several</w:t>
      </w:r>
      <w:r w:rsidR="00257C96">
        <w:t xml:space="preserve"> commentators</w:t>
      </w:r>
      <w:r w:rsidR="00E201E1">
        <w:t xml:space="preserve"> argue this </w:t>
      </w:r>
      <w:r w:rsidR="004E1835">
        <w:t>indicates an underlying exclusive</w:t>
      </w:r>
      <w:r w:rsidR="00E201E1">
        <w:t xml:space="preserve"> sentiment and initiated problematic rhet</w:t>
      </w:r>
      <w:r w:rsidR="003155A0">
        <w:t>oric of a ‘hierarchy of victims’</w:t>
      </w:r>
      <w:r w:rsidR="0055632E">
        <w:t>, discussed below</w:t>
      </w:r>
      <w:r w:rsidR="00E201E1">
        <w:t>.</w:t>
      </w:r>
      <w:r w:rsidR="00E201E1">
        <w:rPr>
          <w:rStyle w:val="FootnoteReference"/>
        </w:rPr>
        <w:footnoteReference w:id="46"/>
      </w:r>
      <w:r w:rsidR="008427EA" w:rsidRPr="00E8073D">
        <w:t xml:space="preserve"> </w:t>
      </w:r>
    </w:p>
    <w:p w14:paraId="64671FE3" w14:textId="227D6517" w:rsidR="000C2E2E" w:rsidRPr="00E8073D" w:rsidRDefault="00D207A9" w:rsidP="00825989">
      <w:pPr>
        <w:spacing w:line="360" w:lineRule="auto"/>
        <w:ind w:firstLine="720"/>
        <w:contextualSpacing/>
        <w:jc w:val="both"/>
      </w:pPr>
      <w:r w:rsidRPr="00E8073D">
        <w:t xml:space="preserve">The 2002 </w:t>
      </w:r>
      <w:r w:rsidRPr="00E8073D">
        <w:rPr>
          <w:i/>
        </w:rPr>
        <w:t>Reshape, Rebuild, Achieve</w:t>
      </w:r>
      <w:r w:rsidRPr="00E8073D">
        <w:t xml:space="preserve"> report </w:t>
      </w:r>
      <w:r w:rsidR="00B225E4" w:rsidRPr="00E8073D">
        <w:t>mirrored Bloomfield’s inclusivity,</w:t>
      </w:r>
      <w:r w:rsidR="004F21A6" w:rsidRPr="00E8073D">
        <w:t xml:space="preserve"> defining</w:t>
      </w:r>
      <w:r w:rsidR="00B65BBD" w:rsidRPr="00E8073D">
        <w:t xml:space="preserve"> victims as ‘</w:t>
      </w:r>
      <w:r w:rsidRPr="00E8073D">
        <w:t>the surviving physically and psychologically injured of violent, conflict-related incidents and those close relatives or partners who care for them, along with the closer relatives or partners who mourn th</w:t>
      </w:r>
      <w:r w:rsidR="00B65BBD" w:rsidRPr="00E8073D">
        <w:t>eir dead’</w:t>
      </w:r>
      <w:r w:rsidRPr="00E8073D">
        <w:t>.</w:t>
      </w:r>
      <w:r w:rsidR="006F4611">
        <w:rPr>
          <w:rStyle w:val="FootnoteReference"/>
        </w:rPr>
        <w:footnoteReference w:id="47"/>
      </w:r>
      <w:r w:rsidRPr="00E8073D">
        <w:t xml:space="preserve"> </w:t>
      </w:r>
      <w:r w:rsidR="00191B5B">
        <w:t xml:space="preserve"> </w:t>
      </w:r>
      <w:r w:rsidR="00D47913">
        <w:t>The inclusive approach</w:t>
      </w:r>
      <w:r w:rsidRPr="00E8073D">
        <w:t xml:space="preserve"> won favour with commentators </w:t>
      </w:r>
      <w:r w:rsidR="00187DCD">
        <w:t xml:space="preserve">such as Alan McBride (whose wife and father-in-law were killed in the IRA’s 1993 Shankill Bomb) </w:t>
      </w:r>
      <w:r w:rsidRPr="00E8073D">
        <w:t>for its use of the phrase ‘recognition of the suffering of all victims’ rather than qualifying certain victims as more or less worthy of re</w:t>
      </w:r>
      <w:r w:rsidR="004B7A99">
        <w:t>cognition</w:t>
      </w:r>
      <w:r w:rsidR="00F00B0C">
        <w:t>.</w:t>
      </w:r>
      <w:r w:rsidR="00F00B0C">
        <w:rPr>
          <w:rStyle w:val="FootnoteReference"/>
        </w:rPr>
        <w:footnoteReference w:id="48"/>
      </w:r>
      <w:r w:rsidR="00703F2F">
        <w:t xml:space="preserve"> </w:t>
      </w:r>
    </w:p>
    <w:p w14:paraId="1A323CFA" w14:textId="729981E1" w:rsidR="002854EE" w:rsidRDefault="001936A4" w:rsidP="00825989">
      <w:pPr>
        <w:spacing w:line="360" w:lineRule="auto"/>
        <w:ind w:firstLine="709"/>
        <w:contextualSpacing/>
        <w:jc w:val="both"/>
      </w:pPr>
      <w:r w:rsidRPr="00E8073D">
        <w:t>Also i</w:t>
      </w:r>
      <w:r w:rsidR="00D207A9" w:rsidRPr="00E8073D">
        <w:t xml:space="preserve">n 2002, Robin Thurston published a report </w:t>
      </w:r>
      <w:r w:rsidR="00473795" w:rsidRPr="00E8073D">
        <w:t>deta</w:t>
      </w:r>
      <w:r w:rsidR="0061619F" w:rsidRPr="00E8073D">
        <w:t>i</w:t>
      </w:r>
      <w:r w:rsidR="00473795" w:rsidRPr="00E8073D">
        <w:t>ling</w:t>
      </w:r>
      <w:r w:rsidR="00D207A9" w:rsidRPr="00E8073D">
        <w:t xml:space="preserve"> public feedback on general proposals for </w:t>
      </w:r>
      <w:r w:rsidR="00B06EAD">
        <w:t>victim definitions.  She offered</w:t>
      </w:r>
      <w:r w:rsidR="00D207A9" w:rsidRPr="00E8073D">
        <w:t xml:space="preserve"> four definitions that </w:t>
      </w:r>
      <w:r w:rsidR="0054340C" w:rsidRPr="00E8073D">
        <w:t>represented</w:t>
      </w:r>
      <w:r w:rsidR="00D207A9" w:rsidRPr="00E8073D">
        <w:t xml:space="preserve"> </w:t>
      </w:r>
      <w:r w:rsidR="0054340C" w:rsidRPr="00E8073D">
        <w:t>a spectrum of</w:t>
      </w:r>
      <w:r w:rsidR="00A974DD" w:rsidRPr="00E8073D">
        <w:t xml:space="preserve"> variably</w:t>
      </w:r>
      <w:r w:rsidR="00D207A9" w:rsidRPr="00E8073D">
        <w:t xml:space="preserve"> exclusive and inclusive</w:t>
      </w:r>
      <w:r w:rsidR="0054340C" w:rsidRPr="00E8073D">
        <w:t xml:space="preserve"> </w:t>
      </w:r>
      <w:r w:rsidR="00A974DD" w:rsidRPr="00E8073D">
        <w:t>approaches</w:t>
      </w:r>
      <w:r w:rsidR="00F1622C">
        <w:t>,</w:t>
      </w:r>
      <w:r w:rsidR="00B23E90">
        <w:rPr>
          <w:rStyle w:val="FootnoteReference"/>
        </w:rPr>
        <w:footnoteReference w:id="49"/>
      </w:r>
      <w:r w:rsidR="003154D8" w:rsidRPr="00E8073D">
        <w:t xml:space="preserve"> and</w:t>
      </w:r>
      <w:r w:rsidR="00D207A9" w:rsidRPr="00E8073D">
        <w:t xml:space="preserve"> found respondents largely favoured </w:t>
      </w:r>
      <w:r w:rsidR="00793331" w:rsidRPr="00E8073D">
        <w:t>an</w:t>
      </w:r>
      <w:r w:rsidR="00D207A9" w:rsidRPr="00E8073D">
        <w:t xml:space="preserve"> </w:t>
      </w:r>
      <w:r w:rsidR="003154D8" w:rsidRPr="00E8073D">
        <w:t>inclusive</w:t>
      </w:r>
      <w:r w:rsidR="00D207A9" w:rsidRPr="00E8073D">
        <w:t xml:space="preserve"> definition that distinguished</w:t>
      </w:r>
      <w:r w:rsidR="004C642F" w:rsidRPr="00E8073D">
        <w:t xml:space="preserve"> only</w:t>
      </w:r>
      <w:r w:rsidR="00D207A9" w:rsidRPr="00E8073D">
        <w:t xml:space="preserve"> the s</w:t>
      </w:r>
      <w:r w:rsidR="004C642F" w:rsidRPr="00E8073D">
        <w:t>everity of harm</w:t>
      </w:r>
      <w:r w:rsidR="00D207A9" w:rsidRPr="00E8073D">
        <w:t xml:space="preserve">.  Only a small number </w:t>
      </w:r>
      <w:r w:rsidR="00D207A9" w:rsidRPr="00E8073D">
        <w:lastRenderedPageBreak/>
        <w:t xml:space="preserve">preferred </w:t>
      </w:r>
      <w:r w:rsidR="00A614C6" w:rsidRPr="00E8073D">
        <w:t>an</w:t>
      </w:r>
      <w:r w:rsidR="00D207A9" w:rsidRPr="00E8073D">
        <w:t xml:space="preserve"> exclusive definition, and she added that many more were uncomfortable with such exclusivity.  She noted </w:t>
      </w:r>
      <w:r w:rsidR="004D58CF" w:rsidRPr="00E8073D">
        <w:t>that</w:t>
      </w:r>
      <w:r w:rsidR="00334964" w:rsidRPr="00E8073D">
        <w:t>, ‘A</w:t>
      </w:r>
      <w:r w:rsidR="00D207A9" w:rsidRPr="00E8073D">
        <w:t xml:space="preserve"> number of respondents from different backgrounds felt that peoples’ community affiliation often colours their recognition of victims</w:t>
      </w:r>
      <w:r w:rsidR="00334964" w:rsidRPr="00E8073D">
        <w:t>’</w:t>
      </w:r>
      <w:r w:rsidR="00B06EAD">
        <w:t>,</w:t>
      </w:r>
      <w:r w:rsidR="00F1622C">
        <w:rPr>
          <w:rStyle w:val="FootnoteReference"/>
        </w:rPr>
        <w:footnoteReference w:id="50"/>
      </w:r>
      <w:r w:rsidR="00B06EAD">
        <w:t xml:space="preserve"> which supports the assumption that intergroup processes </w:t>
      </w:r>
      <w:r w:rsidR="00CD117C">
        <w:t>influence</w:t>
      </w:r>
      <w:r w:rsidR="00B06EAD">
        <w:t xml:space="preserve"> perceptions of victimhood.</w:t>
      </w:r>
      <w:r w:rsidR="002854EE" w:rsidRPr="00E8073D">
        <w:t xml:space="preserve">  </w:t>
      </w:r>
    </w:p>
    <w:p w14:paraId="09F199F1" w14:textId="63830ACB" w:rsidR="005F798F" w:rsidRPr="00E8073D" w:rsidRDefault="00471385" w:rsidP="00D956FA">
      <w:pPr>
        <w:spacing w:line="360" w:lineRule="auto"/>
        <w:ind w:firstLine="709"/>
        <w:contextualSpacing/>
        <w:jc w:val="both"/>
      </w:pPr>
      <w:r w:rsidRPr="00E8073D">
        <w:t xml:space="preserve">Despite </w:t>
      </w:r>
      <w:r w:rsidR="00E15C41">
        <w:t xml:space="preserve">this </w:t>
      </w:r>
      <w:r w:rsidR="00CB1264">
        <w:t>evidence</w:t>
      </w:r>
      <w:r w:rsidRPr="00E8073D">
        <w:t xml:space="preserve"> of attitudes favouring inclusive approaches,</w:t>
      </w:r>
      <w:r w:rsidR="00D25FD0">
        <w:t xml:space="preserve"> recent</w:t>
      </w:r>
      <w:r w:rsidR="00D207A9" w:rsidRPr="00E8073D">
        <w:t xml:space="preserve"> proposals</w:t>
      </w:r>
      <w:r w:rsidR="00334964" w:rsidRPr="00E8073D">
        <w:t xml:space="preserve"> for </w:t>
      </w:r>
      <w:r w:rsidR="00B66E52">
        <w:t>an official process to address the legacy of the past</w:t>
      </w:r>
      <w:r w:rsidR="009219B4" w:rsidRPr="00E8073D">
        <w:t xml:space="preserve"> have struggled in the face of</w:t>
      </w:r>
      <w:r w:rsidR="00334964" w:rsidRPr="00E8073D">
        <w:t xml:space="preserve"> </w:t>
      </w:r>
      <w:r w:rsidR="009219B4" w:rsidRPr="00E8073D">
        <w:t>exclusive</w:t>
      </w:r>
      <w:r w:rsidR="00B66E52">
        <w:t xml:space="preserve"> attitudes towards</w:t>
      </w:r>
      <w:r w:rsidR="00D207A9" w:rsidRPr="00E8073D">
        <w:t xml:space="preserve"> victim</w:t>
      </w:r>
      <w:r w:rsidR="00B66E52">
        <w:t>hood</w:t>
      </w:r>
      <w:r w:rsidR="00970734">
        <w:t xml:space="preserve">.  </w:t>
      </w:r>
      <w:r w:rsidR="00C1502D">
        <w:t>T</w:t>
      </w:r>
      <w:r w:rsidR="007B675B" w:rsidRPr="00E8073D">
        <w:t>he</w:t>
      </w:r>
      <w:r w:rsidR="00C1502D">
        <w:t xml:space="preserve"> authors of the CGP</w:t>
      </w:r>
      <w:r w:rsidR="007B675B" w:rsidRPr="00E8073D">
        <w:t xml:space="preserve"> </w:t>
      </w:r>
      <w:r w:rsidR="00235A82" w:rsidRPr="00E8073D">
        <w:t>report</w:t>
      </w:r>
      <w:r w:rsidR="00C1502D">
        <w:t xml:space="preserve"> </w:t>
      </w:r>
      <w:r w:rsidR="00D207A9" w:rsidRPr="00E8073D">
        <w:t xml:space="preserve">highlighted the </w:t>
      </w:r>
      <w:r w:rsidR="000912B0" w:rsidRPr="00E8073D">
        <w:t>intergroup dynamics</w:t>
      </w:r>
      <w:r w:rsidR="00D207A9" w:rsidRPr="00E8073D">
        <w:t xml:space="preserve"> they </w:t>
      </w:r>
      <w:r w:rsidR="005C75EF" w:rsidRPr="00E8073D">
        <w:t>encountered</w:t>
      </w:r>
      <w:r w:rsidR="00C86E49">
        <w:t xml:space="preserve"> during consultation</w:t>
      </w:r>
      <w:r w:rsidR="00C1502D">
        <w:t xml:space="preserve">, </w:t>
      </w:r>
      <w:r w:rsidR="00F5633D">
        <w:t>perhaps foreshadowing</w:t>
      </w:r>
      <w:r w:rsidR="00C1502D">
        <w:t xml:space="preserve"> the negative response to i</w:t>
      </w:r>
      <w:r w:rsidR="00002915">
        <w:t>ts inclusive approach</w:t>
      </w:r>
      <w:r w:rsidR="00D207A9" w:rsidRPr="00E8073D">
        <w:t>:</w:t>
      </w:r>
      <w:r w:rsidR="00A04AD6" w:rsidRPr="00E8073D">
        <w:t xml:space="preserve"> </w:t>
      </w:r>
    </w:p>
    <w:p w14:paraId="6D1EFD04" w14:textId="6B5AAE9B" w:rsidR="00A964A2" w:rsidRPr="00E8073D" w:rsidRDefault="00D207A9" w:rsidP="00D956FA">
      <w:pPr>
        <w:spacing w:line="360" w:lineRule="auto"/>
        <w:ind w:left="709"/>
        <w:contextualSpacing/>
        <w:jc w:val="both"/>
      </w:pPr>
      <w:r w:rsidRPr="00E8073D">
        <w:t>The difficulties of making recommendations regarding victims and survivors are many and complex.  When the needs and concerns of one group are addressed, another group is likely to be offended.  Placing the concerns of victims and survivors within the wider context of legacy issues is also problematic.  Yet this approach, which may be difficult for some to endorse, is ultimately important for the health and well-being of society as a whole.</w:t>
      </w:r>
      <w:r w:rsidR="00CF1A7F">
        <w:rPr>
          <w:rStyle w:val="FootnoteReference"/>
        </w:rPr>
        <w:footnoteReference w:id="51"/>
      </w:r>
    </w:p>
    <w:p w14:paraId="5990959B" w14:textId="7505107C" w:rsidR="006F58B2" w:rsidRPr="00E8073D" w:rsidRDefault="006F58B2" w:rsidP="00825989">
      <w:pPr>
        <w:spacing w:line="360" w:lineRule="auto"/>
        <w:contextualSpacing/>
        <w:jc w:val="both"/>
      </w:pPr>
      <w:r w:rsidRPr="00E8073D">
        <w:t xml:space="preserve">Subsequent proposals </w:t>
      </w:r>
      <w:r w:rsidR="0099654E">
        <w:t>demonstrate</w:t>
      </w:r>
      <w:r w:rsidR="008A261E">
        <w:t xml:space="preserve"> </w:t>
      </w:r>
      <w:r w:rsidR="0099654E">
        <w:t>wariness</w:t>
      </w:r>
      <w:r w:rsidR="008A261E">
        <w:t xml:space="preserve"> about</w:t>
      </w:r>
      <w:r w:rsidR="006D329B" w:rsidRPr="00E8073D">
        <w:t xml:space="preserve"> </w:t>
      </w:r>
      <w:r w:rsidR="00FC007C">
        <w:t>explicit</w:t>
      </w:r>
      <w:r w:rsidR="006D329B" w:rsidRPr="00E8073D">
        <w:t xml:space="preserve"> inclusivity in their recommendations, however </w:t>
      </w:r>
      <w:r w:rsidR="00970734">
        <w:t>concerns relating to victimhood continue to generate contention</w:t>
      </w:r>
      <w:r w:rsidRPr="00E8073D">
        <w:t>.</w:t>
      </w:r>
      <w:r w:rsidR="006D329B" w:rsidRPr="00E8073D">
        <w:t xml:space="preserve"> </w:t>
      </w:r>
      <w:r w:rsidRPr="00E8073D">
        <w:t xml:space="preserve"> The </w:t>
      </w:r>
      <w:r w:rsidR="00885DEA">
        <w:t>proposed a</w:t>
      </w:r>
      <w:r w:rsidR="00D207A9" w:rsidRPr="00E8073D">
        <w:t>greement at the ce</w:t>
      </w:r>
      <w:r w:rsidR="001A4E2A" w:rsidRPr="00E8073D">
        <w:t>ntre of 201</w:t>
      </w:r>
      <w:r w:rsidR="00833609" w:rsidRPr="00E8073D">
        <w:t>3</w:t>
      </w:r>
      <w:r w:rsidR="001A4E2A" w:rsidRPr="00E8073D">
        <w:t xml:space="preserve"> </w:t>
      </w:r>
      <w:r w:rsidR="00833609" w:rsidRPr="00E8073D">
        <w:t>ta</w:t>
      </w:r>
      <w:r w:rsidR="00D207A9" w:rsidRPr="00E8073D">
        <w:t>lks</w:t>
      </w:r>
      <w:r w:rsidR="00833609" w:rsidRPr="00E8073D">
        <w:t xml:space="preserve"> co-chaired by</w:t>
      </w:r>
      <w:r w:rsidR="002A16A4" w:rsidRPr="00E8073D">
        <w:t xml:space="preserve"> US Diplomat Richard </w:t>
      </w:r>
      <w:proofErr w:type="spellStart"/>
      <w:r w:rsidR="002A16A4" w:rsidRPr="00E8073D">
        <w:t>Haass</w:t>
      </w:r>
      <w:proofErr w:type="spellEnd"/>
      <w:r w:rsidR="002A16A4" w:rsidRPr="00E8073D">
        <w:t xml:space="preserve"> and P</w:t>
      </w:r>
      <w:r w:rsidR="00833609" w:rsidRPr="00E8073D">
        <w:t>rofessor Megan O’Sullivan</w:t>
      </w:r>
      <w:r w:rsidRPr="00E8073D">
        <w:t xml:space="preserve"> acknowledged the emotion</w:t>
      </w:r>
      <w:r w:rsidR="00F3483F" w:rsidRPr="00E8073D">
        <w:t>ally charged nature of victimhood</w:t>
      </w:r>
      <w:r w:rsidRPr="00E8073D">
        <w:t xml:space="preserve"> and did not attempt a definition.</w:t>
      </w:r>
      <w:r w:rsidR="00B7583E">
        <w:rPr>
          <w:rStyle w:val="FootnoteReference"/>
        </w:rPr>
        <w:footnoteReference w:id="52"/>
      </w:r>
      <w:r w:rsidRPr="00E8073D">
        <w:t xml:space="preserve">  </w:t>
      </w:r>
      <w:r w:rsidR="00DF27FF" w:rsidRPr="00E8073D">
        <w:t xml:space="preserve">Revisiting </w:t>
      </w:r>
      <w:r w:rsidR="00C61D8B">
        <w:t>the same</w:t>
      </w:r>
      <w:r w:rsidR="00DF27FF" w:rsidRPr="00E8073D">
        <w:t xml:space="preserve"> </w:t>
      </w:r>
      <w:r w:rsidR="005C4977">
        <w:t>themes of the flags, parades and the past</w:t>
      </w:r>
      <w:r w:rsidR="00DF27FF" w:rsidRPr="00E8073D">
        <w:t xml:space="preserve"> in 2014, the</w:t>
      </w:r>
      <w:r w:rsidR="005C2367" w:rsidRPr="00E8073D">
        <w:t xml:space="preserve"> </w:t>
      </w:r>
      <w:r w:rsidR="004325B2" w:rsidRPr="00E8073D">
        <w:t>Stormont House Agreement</w:t>
      </w:r>
      <w:r w:rsidR="00847513" w:rsidRPr="00E8073D">
        <w:t xml:space="preserve"> (SHA)</w:t>
      </w:r>
      <w:r w:rsidRPr="00E8073D">
        <w:t xml:space="preserve"> also refrain</w:t>
      </w:r>
      <w:r w:rsidR="00F25CE4" w:rsidRPr="00E8073D">
        <w:t>ed from presenting a definition.</w:t>
      </w:r>
      <w:r w:rsidR="00887E0A" w:rsidRPr="00887E0A">
        <w:rPr>
          <w:rStyle w:val="FootnoteReference"/>
        </w:rPr>
        <w:t xml:space="preserve"> </w:t>
      </w:r>
      <w:r w:rsidR="00887E0A">
        <w:rPr>
          <w:rStyle w:val="FootnoteReference"/>
        </w:rPr>
        <w:footnoteReference w:id="53"/>
      </w:r>
      <w:r w:rsidR="00F25CE4" w:rsidRPr="00E8073D">
        <w:t xml:space="preserve"> </w:t>
      </w:r>
    </w:p>
    <w:p w14:paraId="615E2157" w14:textId="3309BAC9" w:rsidR="00D207A9" w:rsidRPr="00E8073D" w:rsidRDefault="006F58B2" w:rsidP="00825989">
      <w:pPr>
        <w:spacing w:line="360" w:lineRule="auto"/>
        <w:ind w:firstLine="720"/>
        <w:contextualSpacing/>
        <w:jc w:val="both"/>
      </w:pPr>
      <w:r w:rsidRPr="00E8073D">
        <w:t xml:space="preserve">The </w:t>
      </w:r>
      <w:r w:rsidR="00EE5F88" w:rsidRPr="00E8073D">
        <w:t>persistent debates</w:t>
      </w:r>
      <w:r w:rsidR="00AE1D68" w:rsidRPr="00E8073D">
        <w:t xml:space="preserve"> </w:t>
      </w:r>
      <w:r w:rsidR="00B60CAE">
        <w:t>between inclusive and exclusive approaches, and on-going challenges to the 2006 Order</w:t>
      </w:r>
      <w:r w:rsidR="00EE5F88" w:rsidRPr="00E8073D">
        <w:t xml:space="preserve"> indicate</w:t>
      </w:r>
      <w:r w:rsidRPr="00E8073D">
        <w:t xml:space="preserve"> </w:t>
      </w:r>
      <w:r w:rsidR="0091469F">
        <w:t xml:space="preserve">the intractability of </w:t>
      </w:r>
      <w:r w:rsidR="009302F5">
        <w:t>attitudes towards victimhood</w:t>
      </w:r>
      <w:r w:rsidR="00BE63D1" w:rsidRPr="00E8073D">
        <w:t xml:space="preserve"> within the </w:t>
      </w:r>
      <w:r w:rsidR="00612017" w:rsidRPr="00E8073D">
        <w:t xml:space="preserve">Northern Ireland </w:t>
      </w:r>
      <w:r w:rsidR="00BE63D1" w:rsidRPr="00E8073D">
        <w:t>peace process</w:t>
      </w:r>
      <w:r w:rsidR="00D207A9" w:rsidRPr="00E8073D">
        <w:t>.</w:t>
      </w:r>
      <w:r w:rsidR="00FF58B7">
        <w:t xml:space="preserve">  Disagreement in terms of how to define victims spills over into how</w:t>
      </w:r>
      <w:r w:rsidR="00D80534">
        <w:t xml:space="preserve"> well</w:t>
      </w:r>
      <w:r w:rsidR="00FF58B7">
        <w:t xml:space="preserve"> society is able to account for and develop policy to address </w:t>
      </w:r>
      <w:r w:rsidR="00820C69">
        <w:t>diverse</w:t>
      </w:r>
      <w:r w:rsidR="00FF58B7">
        <w:t xml:space="preserve"> </w:t>
      </w:r>
      <w:r w:rsidR="00D80534">
        <w:t>experiences of</w:t>
      </w:r>
      <w:r w:rsidR="00FF58B7">
        <w:t xml:space="preserve"> conflict</w:t>
      </w:r>
      <w:r w:rsidR="002A7F4A">
        <w:t xml:space="preserve"> as part of wider processes to establish </w:t>
      </w:r>
      <w:r w:rsidR="008D2C13">
        <w:t xml:space="preserve">societal </w:t>
      </w:r>
      <w:r w:rsidR="002A7F4A">
        <w:t>relationships based on trust and accountability</w:t>
      </w:r>
      <w:r w:rsidR="00FF58B7">
        <w:t>.</w:t>
      </w:r>
      <w:r w:rsidR="00FF58B7" w:rsidRPr="00E8073D">
        <w:t xml:space="preserve"> </w:t>
      </w:r>
    </w:p>
    <w:p w14:paraId="1B20B0F2" w14:textId="77777777" w:rsidR="00FF58B7" w:rsidRPr="00E8073D" w:rsidRDefault="00FF58B7" w:rsidP="00825989">
      <w:pPr>
        <w:spacing w:line="360" w:lineRule="auto"/>
        <w:contextualSpacing/>
        <w:jc w:val="both"/>
      </w:pPr>
    </w:p>
    <w:p w14:paraId="59738578" w14:textId="77777777" w:rsidR="00D207A9" w:rsidRPr="004911AB" w:rsidRDefault="00D207A9" w:rsidP="00825989">
      <w:pPr>
        <w:pStyle w:val="Heading3"/>
        <w:spacing w:line="360" w:lineRule="auto"/>
        <w:contextualSpacing/>
        <w:rPr>
          <w:rFonts w:cs="Times New Roman"/>
          <w:b/>
        </w:rPr>
      </w:pPr>
      <w:r w:rsidRPr="004911AB">
        <w:rPr>
          <w:rFonts w:cs="Times New Roman"/>
          <w:b/>
        </w:rPr>
        <w:lastRenderedPageBreak/>
        <w:t>Who are the ‘victims’?</w:t>
      </w:r>
    </w:p>
    <w:p w14:paraId="3FD4333F" w14:textId="77777777" w:rsidR="00D207A9" w:rsidRPr="00E8073D" w:rsidRDefault="00D207A9" w:rsidP="00825989">
      <w:pPr>
        <w:spacing w:line="360" w:lineRule="auto"/>
        <w:contextualSpacing/>
        <w:jc w:val="both"/>
      </w:pPr>
    </w:p>
    <w:p w14:paraId="594C43D0" w14:textId="43090486" w:rsidR="00616551" w:rsidRPr="00E8073D" w:rsidRDefault="00C1502D" w:rsidP="00825989">
      <w:pPr>
        <w:spacing w:line="360" w:lineRule="auto"/>
        <w:ind w:firstLine="720"/>
        <w:contextualSpacing/>
        <w:jc w:val="both"/>
      </w:pPr>
      <w:r>
        <w:t xml:space="preserve">As inclusive and exclusive attitudes affect the establishment and support of official definitions of victims, attempts to amass information on the diverse experiences and needs emerging from the conflict are similarly </w:t>
      </w:r>
      <w:r w:rsidR="00E5167F">
        <w:t>complicated by</w:t>
      </w:r>
      <w:r>
        <w:t xml:space="preserve"> </w:t>
      </w:r>
      <w:r w:rsidR="00C33CFF">
        <w:t>conflicting narratives of victimhood.</w:t>
      </w:r>
      <w:r>
        <w:t xml:space="preserve">  </w:t>
      </w:r>
      <w:r w:rsidR="00F80999" w:rsidRPr="00E8073D">
        <w:t>Several</w:t>
      </w:r>
      <w:r w:rsidR="0037728C" w:rsidRPr="00E8073D">
        <w:t xml:space="preserve"> studies </w:t>
      </w:r>
      <w:r w:rsidR="0085410A">
        <w:t xml:space="preserve">have </w:t>
      </w:r>
      <w:r w:rsidR="00AA23F4">
        <w:t>attempt</w:t>
      </w:r>
      <w:r w:rsidR="0085410A">
        <w:t>ed</w:t>
      </w:r>
      <w:r w:rsidR="0037728C" w:rsidRPr="00E8073D">
        <w:t xml:space="preserve"> to </w:t>
      </w:r>
      <w:r w:rsidR="00AA23F4">
        <w:t>develop</w:t>
      </w:r>
      <w:r w:rsidR="009C1F8B" w:rsidRPr="00E8073D">
        <w:t xml:space="preserve"> a fuller picture of the impact of conflict</w:t>
      </w:r>
      <w:r w:rsidR="00C33CFF">
        <w:t xml:space="preserve"> in Northern Ireland, and </w:t>
      </w:r>
      <w:r w:rsidR="007E51B3">
        <w:t>t</w:t>
      </w:r>
      <w:r w:rsidR="0037728C" w:rsidRPr="00E8073D">
        <w:t xml:space="preserve">heir analytical concerns and limitations </w:t>
      </w:r>
      <w:r w:rsidR="00D207A9" w:rsidRPr="00E8073D">
        <w:t>demonstrate</w:t>
      </w:r>
      <w:r w:rsidR="003515E5" w:rsidRPr="00E8073D">
        <w:t xml:space="preserve"> </w:t>
      </w:r>
      <w:r w:rsidR="00E70774" w:rsidRPr="00E8073D">
        <w:t xml:space="preserve">not only </w:t>
      </w:r>
      <w:r w:rsidR="00D207A9" w:rsidRPr="00E8073D">
        <w:t xml:space="preserve">practical questions about who </w:t>
      </w:r>
      <w:r w:rsidR="009D2CCB">
        <w:t>‘</w:t>
      </w:r>
      <w:r w:rsidR="00E70774" w:rsidRPr="00E8073D">
        <w:t>counts</w:t>
      </w:r>
      <w:r w:rsidR="009D2CCB">
        <w:t>’</w:t>
      </w:r>
      <w:r w:rsidR="00E70774" w:rsidRPr="00E8073D">
        <w:t xml:space="preserve"> as a victim</w:t>
      </w:r>
      <w:r w:rsidR="008A1AF3">
        <w:t xml:space="preserve"> in an official sense</w:t>
      </w:r>
      <w:r w:rsidR="00E70774" w:rsidRPr="00E8073D">
        <w:t>, but also</w:t>
      </w:r>
      <w:r w:rsidR="006E04C3" w:rsidRPr="00E8073D">
        <w:t xml:space="preserve"> </w:t>
      </w:r>
      <w:r w:rsidR="009C1F8B" w:rsidRPr="00E8073D">
        <w:t xml:space="preserve">moral questions </w:t>
      </w:r>
      <w:r w:rsidR="0054254C" w:rsidRPr="00E8073D">
        <w:t>attached to</w:t>
      </w:r>
      <w:r w:rsidR="00235356">
        <w:t xml:space="preserve"> the construction of</w:t>
      </w:r>
      <w:r w:rsidR="009C1F8B" w:rsidRPr="00E8073D">
        <w:t xml:space="preserve"> victimhood</w:t>
      </w:r>
      <w:r w:rsidR="00D207A9" w:rsidRPr="00E8073D">
        <w:t>.</w:t>
      </w:r>
      <w:r w:rsidR="00DF7CF2" w:rsidRPr="00E8073D">
        <w:t xml:space="preserve">  </w:t>
      </w:r>
      <w:r w:rsidR="001F6A47">
        <w:t>A brief examination of</w:t>
      </w:r>
      <w:r w:rsidR="00A23238" w:rsidRPr="00E8073D">
        <w:t xml:space="preserve"> these studies </w:t>
      </w:r>
      <w:r w:rsidR="00E8188A" w:rsidRPr="00E8073D">
        <w:t xml:space="preserve">and </w:t>
      </w:r>
      <w:r w:rsidR="00A23238" w:rsidRPr="00E8073D">
        <w:t>the</w:t>
      </w:r>
      <w:r w:rsidR="00E8188A" w:rsidRPr="00E8073D">
        <w:t xml:space="preserve"> interpretations of </w:t>
      </w:r>
      <w:r w:rsidR="00AA1325" w:rsidRPr="00E8073D">
        <w:t>their</w:t>
      </w:r>
      <w:r w:rsidR="00E8188A" w:rsidRPr="00E8073D">
        <w:t xml:space="preserve"> data </w:t>
      </w:r>
      <w:proofErr w:type="gramStart"/>
      <w:r w:rsidR="0086221E">
        <w:t>highlights</w:t>
      </w:r>
      <w:proofErr w:type="gramEnd"/>
      <w:r w:rsidR="009C3E7C">
        <w:t xml:space="preserve"> </w:t>
      </w:r>
      <w:r w:rsidR="00E8188A" w:rsidRPr="00E8073D">
        <w:t xml:space="preserve">the impediments </w:t>
      </w:r>
      <w:r w:rsidR="00C36248" w:rsidRPr="00E8073D">
        <w:t xml:space="preserve">exclusive, ethnocentric </w:t>
      </w:r>
      <w:r w:rsidR="00AB1D9F" w:rsidRPr="00E8073D">
        <w:t>perceptions of victimhood</w:t>
      </w:r>
      <w:r w:rsidR="00C36248" w:rsidRPr="00E8073D">
        <w:t xml:space="preserve"> create</w:t>
      </w:r>
      <w:r w:rsidR="00C4175E">
        <w:t xml:space="preserve"> for the practical work of </w:t>
      </w:r>
      <w:r w:rsidR="00DF5D76" w:rsidRPr="00E8073D">
        <w:t>identifying victims</w:t>
      </w:r>
      <w:r w:rsidR="005145DC" w:rsidRPr="00E8073D">
        <w:t xml:space="preserve"> </w:t>
      </w:r>
      <w:r w:rsidR="009A6646" w:rsidRPr="00E8073D">
        <w:t xml:space="preserve">and </w:t>
      </w:r>
      <w:r w:rsidR="001F747E">
        <w:t xml:space="preserve">subsequently </w:t>
      </w:r>
      <w:r w:rsidR="00FE0435">
        <w:t>addressing their needs</w:t>
      </w:r>
      <w:r w:rsidR="00E31FF2" w:rsidRPr="00E8073D">
        <w:t>.</w:t>
      </w:r>
    </w:p>
    <w:p w14:paraId="10364DDC" w14:textId="4C22F7A4" w:rsidR="00517649" w:rsidRPr="00E8073D" w:rsidRDefault="00235356" w:rsidP="00825989">
      <w:pPr>
        <w:spacing w:line="360" w:lineRule="auto"/>
        <w:ind w:firstLine="720"/>
        <w:contextualSpacing/>
        <w:jc w:val="both"/>
      </w:pPr>
      <w:r>
        <w:t>The most comprehensive studies</w:t>
      </w:r>
      <w:r w:rsidR="00C717F6" w:rsidRPr="005A58EE">
        <w:t xml:space="preserve"> to date</w:t>
      </w:r>
      <w:r w:rsidR="00D207A9" w:rsidRPr="005A58EE">
        <w:t xml:space="preserve"> </w:t>
      </w:r>
      <w:r w:rsidR="003A51B4" w:rsidRPr="005A58EE">
        <w:t>primarily</w:t>
      </w:r>
      <w:r w:rsidR="00330A44" w:rsidRPr="005A58EE">
        <w:t xml:space="preserve"> </w:t>
      </w:r>
      <w:r w:rsidR="003A51B4" w:rsidRPr="005A58EE">
        <w:t>assess</w:t>
      </w:r>
      <w:r w:rsidR="00D207A9" w:rsidRPr="005A58EE">
        <w:t xml:space="preserve"> the conflict’s impact in terms of those killed,</w:t>
      </w:r>
      <w:r w:rsidR="00C20DAF" w:rsidRPr="005A58EE">
        <w:t xml:space="preserve"> </w:t>
      </w:r>
      <w:r w:rsidR="00141AB0" w:rsidRPr="005A58EE">
        <w:t>which is assumed</w:t>
      </w:r>
      <w:r w:rsidR="00D72B4D" w:rsidRPr="005A58EE">
        <w:t xml:space="preserve"> to be a ‘</w:t>
      </w:r>
      <w:r w:rsidR="00C20DAF" w:rsidRPr="005A58EE">
        <w:t>rel</w:t>
      </w:r>
      <w:r w:rsidR="00D72B4D" w:rsidRPr="005A58EE">
        <w:t>atively unequivocal measure’</w:t>
      </w:r>
      <w:r w:rsidR="00C20DAF" w:rsidRPr="005A58EE">
        <w:t>.</w:t>
      </w:r>
      <w:r w:rsidR="00881B02" w:rsidRPr="005A58EE">
        <w:rPr>
          <w:rStyle w:val="FootnoteReference"/>
        </w:rPr>
        <w:footnoteReference w:id="54"/>
      </w:r>
      <w:r w:rsidR="00C20DAF" w:rsidRPr="005A58EE">
        <w:t xml:space="preserve"> </w:t>
      </w:r>
      <w:r w:rsidR="00D207A9" w:rsidRPr="005A58EE">
        <w:t xml:space="preserve"> </w:t>
      </w:r>
      <w:r w:rsidR="00C20DAF" w:rsidRPr="005A58EE">
        <w:t>Pro</w:t>
      </w:r>
      <w:r w:rsidR="00D613EC" w:rsidRPr="005A58EE">
        <w:t>minent examples</w:t>
      </w:r>
      <w:r w:rsidR="00C20DAF" w:rsidRPr="005A58EE">
        <w:t xml:space="preserve"> include</w:t>
      </w:r>
      <w:r w:rsidR="00D207A9" w:rsidRPr="005A58EE">
        <w:t xml:space="preserve"> the Cost of the Troubles Stu</w:t>
      </w:r>
      <w:r w:rsidR="00CA2CA7" w:rsidRPr="005A58EE">
        <w:t>dy (COTTS)</w:t>
      </w:r>
      <w:r w:rsidR="00A602FB" w:rsidRPr="005A58EE">
        <w:t>, Malcolm Sutton’s</w:t>
      </w:r>
      <w:r w:rsidR="00D207A9" w:rsidRPr="005A58EE">
        <w:t xml:space="preserve"> </w:t>
      </w:r>
      <w:r w:rsidR="00D207A9" w:rsidRPr="005A58EE">
        <w:rPr>
          <w:i/>
        </w:rPr>
        <w:t>Index of Deaths</w:t>
      </w:r>
      <w:r w:rsidR="00D207A9" w:rsidRPr="005A58EE">
        <w:t>,</w:t>
      </w:r>
      <w:r w:rsidR="00A602FB" w:rsidRPr="005A58EE">
        <w:t xml:space="preserve"> and the more narrative</w:t>
      </w:r>
      <w:r w:rsidR="00D207A9" w:rsidRPr="005A58EE">
        <w:t xml:space="preserve"> </w:t>
      </w:r>
      <w:r w:rsidR="00D207A9" w:rsidRPr="005A58EE">
        <w:rPr>
          <w:i/>
        </w:rPr>
        <w:t>Lost Lives</w:t>
      </w:r>
      <w:r w:rsidR="00841F98" w:rsidRPr="005A58EE">
        <w:t xml:space="preserve">.  </w:t>
      </w:r>
      <w:r w:rsidR="007F0841" w:rsidRPr="005A58EE">
        <w:t xml:space="preserve">The </w:t>
      </w:r>
      <w:r w:rsidR="001E724E">
        <w:t>information</w:t>
      </w:r>
      <w:r w:rsidR="007F0841" w:rsidRPr="005A58EE">
        <w:t xml:space="preserve"> emerging from these studies represent</w:t>
      </w:r>
      <w:r w:rsidR="001E724E">
        <w:t>s</w:t>
      </w:r>
      <w:r w:rsidR="007F0841" w:rsidRPr="005A58EE">
        <w:t xml:space="preserve"> attempt</w:t>
      </w:r>
      <w:r w:rsidR="007E2D85" w:rsidRPr="005A58EE">
        <w:t>s</w:t>
      </w:r>
      <w:r w:rsidR="007F0841" w:rsidRPr="005A58EE">
        <w:t xml:space="preserve"> to</w:t>
      </w:r>
      <w:r w:rsidR="001E724E">
        <w:t xml:space="preserve"> </w:t>
      </w:r>
      <w:r w:rsidR="007F0841" w:rsidRPr="005A58EE">
        <w:t>document the impact of conflict on society</w:t>
      </w:r>
      <w:r w:rsidR="001E724E">
        <w:t xml:space="preserve"> along measurable parameters</w:t>
      </w:r>
      <w:r w:rsidR="007F0841" w:rsidRPr="005A58EE">
        <w:t>.  When the conversation shifts to ‘deep moral questions about the nature of the conflict and the lasting responsibilities toward people affected by it’,</w:t>
      </w:r>
      <w:r w:rsidR="007F0841" w:rsidRPr="005A58EE">
        <w:rPr>
          <w:rStyle w:val="FootnoteReference"/>
        </w:rPr>
        <w:footnoteReference w:id="55"/>
      </w:r>
      <w:r w:rsidR="007F0841" w:rsidRPr="005A58EE">
        <w:t xml:space="preserve"> judgements </w:t>
      </w:r>
      <w:r w:rsidR="00B8666E">
        <w:t>relating to constructions of</w:t>
      </w:r>
      <w:r w:rsidR="007F0841" w:rsidRPr="005A58EE">
        <w:t xml:space="preserve"> innocence, morality, responsibility, legitimacy and self-perception significantly complicate the debate.  In other words, w</w:t>
      </w:r>
      <w:r w:rsidR="00663B48" w:rsidRPr="005A58EE">
        <w:t xml:space="preserve">hether the victim label </w:t>
      </w:r>
      <w:r w:rsidR="002310F3">
        <w:t xml:space="preserve">applies </w:t>
      </w:r>
      <w:r w:rsidR="00924C11">
        <w:t>to all those who were killed, injured</w:t>
      </w:r>
      <w:r w:rsidR="008F3109">
        <w:t>, bereaved or otherwise adversely affected</w:t>
      </w:r>
      <w:r w:rsidR="00924C11">
        <w:t xml:space="preserve"> </w:t>
      </w:r>
      <w:r w:rsidR="004152C1" w:rsidRPr="005A58EE">
        <w:t xml:space="preserve">remains </w:t>
      </w:r>
      <w:r w:rsidR="0003421C">
        <w:t>a matter of contention</w:t>
      </w:r>
      <w:r w:rsidR="00923280">
        <w:t xml:space="preserve"> within society</w:t>
      </w:r>
      <w:r w:rsidR="00C52756" w:rsidRPr="005A58EE">
        <w:t>.</w:t>
      </w:r>
      <w:r w:rsidR="007F0841">
        <w:t xml:space="preserve">  </w:t>
      </w:r>
    </w:p>
    <w:p w14:paraId="01C2C947" w14:textId="6CCA8C27" w:rsidR="00A66A49" w:rsidRPr="00E8073D" w:rsidRDefault="00030B1B" w:rsidP="00881B02">
      <w:pPr>
        <w:spacing w:line="360" w:lineRule="auto"/>
        <w:ind w:firstLine="720"/>
        <w:contextualSpacing/>
        <w:jc w:val="both"/>
      </w:pPr>
      <w:r>
        <w:t>In determining</w:t>
      </w:r>
      <w:r w:rsidR="00741E7F" w:rsidRPr="00E8073D">
        <w:t xml:space="preserve"> </w:t>
      </w:r>
      <w:r w:rsidR="004A0C38" w:rsidRPr="00E8073D">
        <w:t>their scope</w:t>
      </w:r>
      <w:r w:rsidR="00E11C6B">
        <w:t>, studies decide</w:t>
      </w:r>
      <w:r w:rsidR="006B3FCB" w:rsidRPr="00E8073D">
        <w:t xml:space="preserve"> </w:t>
      </w:r>
      <w:r w:rsidR="006A2EFF" w:rsidRPr="00E8073D">
        <w:t>the period of time in which the</w:t>
      </w:r>
      <w:r w:rsidR="0072713F" w:rsidRPr="00E8073D">
        <w:t>y acknowledge</w:t>
      </w:r>
      <w:r w:rsidR="004A0C38" w:rsidRPr="00E8073D">
        <w:t xml:space="preserve"> the</w:t>
      </w:r>
      <w:r w:rsidR="006A2EFF" w:rsidRPr="00E8073D">
        <w:t xml:space="preserve"> conflict took place and</w:t>
      </w:r>
      <w:r w:rsidR="00FD1079" w:rsidRPr="00E8073D">
        <w:t xml:space="preserve"> what types of deaths should be </w:t>
      </w:r>
      <w:r w:rsidR="006A2EFF" w:rsidRPr="00E8073D">
        <w:t>recorded</w:t>
      </w:r>
      <w:r w:rsidR="00D207A9" w:rsidRPr="00E8073D">
        <w:t>.</w:t>
      </w:r>
      <w:r w:rsidR="007839FF" w:rsidRPr="00E8073D">
        <w:t xml:space="preserve">  Discre</w:t>
      </w:r>
      <w:r w:rsidR="00134246" w:rsidRPr="00E8073D">
        <w:t>pancies resulting from t</w:t>
      </w:r>
      <w:r w:rsidR="007839FF" w:rsidRPr="00E8073D">
        <w:t xml:space="preserve">hese distinctions may </w:t>
      </w:r>
      <w:r w:rsidR="00BE518A">
        <w:t>be</w:t>
      </w:r>
      <w:r w:rsidR="007839FF" w:rsidRPr="00E8073D">
        <w:t xml:space="preserve"> superficial, however they are indicative of </w:t>
      </w:r>
      <w:r w:rsidR="001A04AB">
        <w:t>unreconciled</w:t>
      </w:r>
      <w:r w:rsidR="007839FF" w:rsidRPr="00E8073D">
        <w:t xml:space="preserve"> </w:t>
      </w:r>
      <w:r w:rsidR="00791600" w:rsidRPr="00E8073D">
        <w:t>narratives</w:t>
      </w:r>
      <w:r w:rsidR="00925072">
        <w:t xml:space="preserve"> of the c</w:t>
      </w:r>
      <w:r w:rsidR="00CB474F">
        <w:t>onflict and violence</w:t>
      </w:r>
      <w:r w:rsidR="007839FF" w:rsidRPr="00E8073D">
        <w:t>.</w:t>
      </w:r>
      <w:r w:rsidR="00D207A9" w:rsidRPr="00E8073D">
        <w:t xml:space="preserve"> </w:t>
      </w:r>
      <w:r w:rsidR="00517649" w:rsidRPr="00E8073D">
        <w:t xml:space="preserve"> </w:t>
      </w:r>
      <w:r w:rsidR="00D207A9" w:rsidRPr="00E8073D">
        <w:t xml:space="preserve">Issues pertaining to the timeline of the conflict, </w:t>
      </w:r>
      <w:r w:rsidR="006B3FCB" w:rsidRPr="00E8073D">
        <w:t>for example</w:t>
      </w:r>
      <w:r w:rsidR="00D207A9" w:rsidRPr="00E8073D">
        <w:t xml:space="preserve">, reflect </w:t>
      </w:r>
      <w:r w:rsidR="00791600" w:rsidRPr="00E8073D">
        <w:t>disagreement</w:t>
      </w:r>
      <w:r w:rsidR="00C948D7" w:rsidRPr="00E8073D">
        <w:t>s</w:t>
      </w:r>
      <w:r w:rsidR="00D207A9" w:rsidRPr="00E8073D">
        <w:t xml:space="preserve"> about </w:t>
      </w:r>
      <w:r w:rsidR="006B3FCB" w:rsidRPr="00E8073D">
        <w:t>its</w:t>
      </w:r>
      <w:r w:rsidR="00D207A9" w:rsidRPr="00E8073D">
        <w:t xml:space="preserve"> underlying causes</w:t>
      </w:r>
      <w:r w:rsidR="00CE64D9" w:rsidRPr="00E8073D">
        <w:t xml:space="preserve"> and </w:t>
      </w:r>
      <w:r w:rsidR="00D207A9" w:rsidRPr="00E8073D">
        <w:t xml:space="preserve">resonate with contention over </w:t>
      </w:r>
      <w:r w:rsidR="006B610D">
        <w:t xml:space="preserve">broader questions of </w:t>
      </w:r>
      <w:r w:rsidR="00D207A9" w:rsidRPr="00E8073D">
        <w:t xml:space="preserve">victimhood and responsibility.  </w:t>
      </w:r>
      <w:r w:rsidR="00A0489A" w:rsidRPr="00E8073D">
        <w:t xml:space="preserve">The authors of </w:t>
      </w:r>
      <w:r w:rsidR="00D207A9" w:rsidRPr="00E8073D">
        <w:rPr>
          <w:i/>
        </w:rPr>
        <w:t>Lost Lives</w:t>
      </w:r>
      <w:r w:rsidR="00D207A9" w:rsidRPr="00E8073D">
        <w:t xml:space="preserve"> </w:t>
      </w:r>
      <w:r w:rsidR="00A0489A" w:rsidRPr="00E8073D">
        <w:t>catalogue those</w:t>
      </w:r>
      <w:r w:rsidR="00D207A9" w:rsidRPr="00E8073D">
        <w:t xml:space="preserve"> killed between 1966 and 2006</w:t>
      </w:r>
      <w:r w:rsidR="00441817" w:rsidRPr="00E8073D">
        <w:t>,</w:t>
      </w:r>
      <w:r w:rsidR="003E339D">
        <w:t xml:space="preserve"> including three in 1966 which they</w:t>
      </w:r>
      <w:r w:rsidR="00560703">
        <w:t xml:space="preserve"> acknowledged</w:t>
      </w:r>
      <w:r w:rsidR="00CF2EAD">
        <w:t xml:space="preserve"> </w:t>
      </w:r>
      <w:r w:rsidR="00560703">
        <w:t>might be controversial</w:t>
      </w:r>
      <w:r w:rsidR="00DA3A1C" w:rsidRPr="00E8073D">
        <w:t>:</w:t>
      </w:r>
    </w:p>
    <w:p w14:paraId="28B04F62" w14:textId="25331C64" w:rsidR="00A66A49" w:rsidRPr="00E8073D" w:rsidRDefault="00DA3A1C" w:rsidP="00825989">
      <w:pPr>
        <w:spacing w:line="360" w:lineRule="auto"/>
        <w:ind w:left="709"/>
        <w:contextualSpacing/>
        <w:jc w:val="both"/>
      </w:pPr>
      <w:r w:rsidRPr="00E8073D">
        <w:lastRenderedPageBreak/>
        <w:t>Some may question our decision to include the three 1966 killings by the Ulster Volunteer Force (UVF), since the troubles are generally regarded as breaking out in 1968 or 1969.  We felt, however, that the manner of the killings and the fact that they loyalist figure Augustus ‘Gusty’ Spence was involved constituted a clear link with the events that followed.</w:t>
      </w:r>
      <w:r w:rsidR="00450AE3">
        <w:rPr>
          <w:rStyle w:val="FootnoteReference"/>
        </w:rPr>
        <w:footnoteReference w:id="56"/>
      </w:r>
    </w:p>
    <w:p w14:paraId="1F019365" w14:textId="3E261AAA" w:rsidR="00D207A9" w:rsidRPr="00E8073D" w:rsidRDefault="00CE46DC" w:rsidP="005E43BE">
      <w:pPr>
        <w:spacing w:line="360" w:lineRule="auto"/>
        <w:contextualSpacing/>
        <w:jc w:val="both"/>
      </w:pPr>
      <w:r>
        <w:t>Both</w:t>
      </w:r>
      <w:r w:rsidR="00D207A9" w:rsidRPr="00E8073D">
        <w:t xml:space="preserve"> COTTS</w:t>
      </w:r>
      <w:r>
        <w:t xml:space="preserve"> and Sutton</w:t>
      </w:r>
      <w:r w:rsidR="00D207A9" w:rsidRPr="00E8073D">
        <w:t xml:space="preserve"> focused on the time period </w:t>
      </w:r>
      <w:r>
        <w:t>beginning in 1969</w:t>
      </w:r>
      <w:r w:rsidR="00931398">
        <w:t>.</w:t>
      </w:r>
      <w:r w:rsidR="00931398">
        <w:rPr>
          <w:rStyle w:val="FootnoteReference"/>
        </w:rPr>
        <w:footnoteReference w:id="57"/>
      </w:r>
      <w:r w:rsidR="00EA3BF8">
        <w:t xml:space="preserve">  </w:t>
      </w:r>
      <w:r w:rsidR="00617660" w:rsidRPr="00E8073D">
        <w:t>These</w:t>
      </w:r>
      <w:r w:rsidR="00D207A9" w:rsidRPr="00E8073D">
        <w:t xml:space="preserve"> projects</w:t>
      </w:r>
      <w:r w:rsidR="00617660" w:rsidRPr="00E8073D">
        <w:t xml:space="preserve"> </w:t>
      </w:r>
      <w:r w:rsidR="00E602BE" w:rsidRPr="00E8073D">
        <w:t xml:space="preserve">also </w:t>
      </w:r>
      <w:r w:rsidR="00A25593">
        <w:t>distinguished slightly different</w:t>
      </w:r>
      <w:r w:rsidR="00D207A9" w:rsidRPr="00E8073D">
        <w:t xml:space="preserve"> types of dea</w:t>
      </w:r>
      <w:r w:rsidR="002A539F" w:rsidRPr="00E8073D">
        <w:t xml:space="preserve">ths </w:t>
      </w:r>
      <w:r w:rsidR="006B0822">
        <w:t>as directly related to</w:t>
      </w:r>
      <w:r w:rsidR="0003554E" w:rsidRPr="00E8073D">
        <w:t xml:space="preserve"> the conflict</w:t>
      </w:r>
      <w:r w:rsidR="00CD73A4">
        <w:t xml:space="preserve">.  </w:t>
      </w:r>
      <w:r w:rsidR="00F17141">
        <w:t>Whereas</w:t>
      </w:r>
      <w:r w:rsidR="00EA3BF8">
        <w:t xml:space="preserve"> </w:t>
      </w:r>
      <w:r w:rsidR="00CD73A4">
        <w:t>Sutton</w:t>
      </w:r>
      <w:r w:rsidR="00D207A9" w:rsidRPr="00E8073D">
        <w:t xml:space="preserve"> chose not to include accidental shootings of any individual by military organisation or by civilians, those killed i</w:t>
      </w:r>
      <w:r w:rsidR="00727EC7" w:rsidRPr="00E8073D">
        <w:t>n rows between individuals</w:t>
      </w:r>
      <w:r w:rsidR="00D207A9" w:rsidRPr="00E8073D">
        <w:t xml:space="preserve"> regardless of their affiliation, those dying of natural causes brought on by conflict events, suicides and m</w:t>
      </w:r>
      <w:r w:rsidR="00EA3BF8">
        <w:t>ilitary or helicopter accidents,</w:t>
      </w:r>
      <w:r w:rsidR="00EA3BF8" w:rsidRPr="00EA3BF8">
        <w:rPr>
          <w:rStyle w:val="FootnoteReference"/>
        </w:rPr>
        <w:t xml:space="preserve"> </w:t>
      </w:r>
      <w:r w:rsidR="00EA3BF8">
        <w:rPr>
          <w:rStyle w:val="FootnoteReference"/>
        </w:rPr>
        <w:footnoteReference w:id="58"/>
      </w:r>
      <w:r w:rsidR="00EA3BF8">
        <w:t xml:space="preserve"> COTTS</w:t>
      </w:r>
      <w:r w:rsidR="00EF1819" w:rsidRPr="00E8073D">
        <w:t xml:space="preserve"> included ‘all trauma-related deaths known to us which can be proven to be Troubles-related’ which included fatal hear</w:t>
      </w:r>
      <w:r w:rsidR="00EF77D2">
        <w:t>t attacks and suicides</w:t>
      </w:r>
      <w:r w:rsidR="00EF1819" w:rsidRPr="00E8073D">
        <w:t>.</w:t>
      </w:r>
      <w:r w:rsidR="00990C23">
        <w:rPr>
          <w:rStyle w:val="FootnoteReference"/>
        </w:rPr>
        <w:footnoteReference w:id="59"/>
      </w:r>
      <w:r w:rsidR="001E6D1D" w:rsidRPr="00E8073D">
        <w:t xml:space="preserve">  </w:t>
      </w:r>
      <w:r w:rsidR="00A862BC" w:rsidRPr="00E8073D">
        <w:t xml:space="preserve">Differing </w:t>
      </w:r>
      <w:r w:rsidR="00A8000E">
        <w:t xml:space="preserve">beliefs about </w:t>
      </w:r>
      <w:r w:rsidR="00A862BC" w:rsidRPr="00E8073D">
        <w:t>what deaths resulted from the conflict</w:t>
      </w:r>
      <w:r w:rsidR="0029371B" w:rsidRPr="00E8073D">
        <w:t xml:space="preserve"> and </w:t>
      </w:r>
      <w:r w:rsidR="00152395" w:rsidRPr="00E8073D">
        <w:t>the timeline of the conflict itself</w:t>
      </w:r>
      <w:r w:rsidR="00D207A9" w:rsidRPr="00E8073D">
        <w:t xml:space="preserve"> </w:t>
      </w:r>
      <w:r w:rsidR="004D6849">
        <w:t xml:space="preserve">demonstrate the </w:t>
      </w:r>
      <w:r w:rsidR="00480FC2">
        <w:t>difficult</w:t>
      </w:r>
      <w:r w:rsidR="004D6849">
        <w:t xml:space="preserve"> </w:t>
      </w:r>
      <w:r w:rsidR="00BC4969">
        <w:t>task</w:t>
      </w:r>
      <w:r w:rsidR="004D6849">
        <w:t xml:space="preserve"> fa</w:t>
      </w:r>
      <w:r w:rsidR="00BE518A">
        <w:t xml:space="preserve">cing those </w:t>
      </w:r>
      <w:r w:rsidR="009949BD">
        <w:t xml:space="preserve">gathering and analysing </w:t>
      </w:r>
      <w:r w:rsidR="005A3F11">
        <w:t>this information</w:t>
      </w:r>
      <w:r w:rsidR="00BE518A">
        <w:t>.</w:t>
      </w:r>
      <w:r w:rsidR="006A4853">
        <w:t xml:space="preserve">  Furthermore, the</w:t>
      </w:r>
      <w:r w:rsidR="00A8000E">
        <w:t>ir</w:t>
      </w:r>
      <w:r w:rsidR="006A4853">
        <w:t xml:space="preserve"> decisions have implications for family members of those whose deaths are not </w:t>
      </w:r>
      <w:r w:rsidR="005F0F8C">
        <w:t>r</w:t>
      </w:r>
      <w:r w:rsidR="00216600">
        <w:t>ecognised</w:t>
      </w:r>
      <w:r w:rsidR="006A4853">
        <w:t>.</w:t>
      </w:r>
    </w:p>
    <w:p w14:paraId="3A94C9DF" w14:textId="4A74F8EA" w:rsidR="00E56AA3" w:rsidRPr="00E8073D" w:rsidRDefault="00D207A9" w:rsidP="00825989">
      <w:pPr>
        <w:spacing w:line="360" w:lineRule="auto"/>
        <w:ind w:firstLine="720"/>
        <w:contextualSpacing/>
        <w:jc w:val="both"/>
      </w:pPr>
      <w:r w:rsidRPr="00E8073D">
        <w:t xml:space="preserve">The task becomes significantly more troublesome when </w:t>
      </w:r>
      <w:r w:rsidR="001E31AE" w:rsidRPr="00E8073D">
        <w:t>determining</w:t>
      </w:r>
      <w:r w:rsidRPr="00E8073D">
        <w:t xml:space="preserve"> how to categorise </w:t>
      </w:r>
      <w:r w:rsidR="000273BC">
        <w:t>actors</w:t>
      </w:r>
      <w:r w:rsidR="001B13AA">
        <w:t>.  Because</w:t>
      </w:r>
      <w:r w:rsidR="006F49A9">
        <w:t xml:space="preserve"> these studies largely rely on</w:t>
      </w:r>
      <w:r w:rsidR="004F59FC">
        <w:t xml:space="preserve"> the socially constructed dichotomy between the victim and perpetrator</w:t>
      </w:r>
      <w:r w:rsidR="001B13AA">
        <w:t>, their</w:t>
      </w:r>
      <w:r w:rsidR="00A02FA7" w:rsidRPr="00E8073D">
        <w:t xml:space="preserve"> resulting </w:t>
      </w:r>
      <w:r w:rsidR="00F472A2" w:rsidRPr="00E8073D">
        <w:t>statistics</w:t>
      </w:r>
      <w:r w:rsidR="00537913" w:rsidRPr="00E8073D">
        <w:t xml:space="preserve"> </w:t>
      </w:r>
      <w:r w:rsidR="000D744B">
        <w:t>necessarily</w:t>
      </w:r>
      <w:r w:rsidR="00140A10" w:rsidRPr="00E8073D">
        <w:t xml:space="preserve"> </w:t>
      </w:r>
      <w:r w:rsidR="008A21BE" w:rsidRPr="00E8073D">
        <w:t>deliver partial insights</w:t>
      </w:r>
      <w:r w:rsidR="00C30DC3" w:rsidRPr="00E8073D">
        <w:t xml:space="preserve"> into</w:t>
      </w:r>
      <w:r w:rsidR="001A6614" w:rsidRPr="00E8073D">
        <w:t xml:space="preserve"> </w:t>
      </w:r>
      <w:r w:rsidR="0006251F">
        <w:t xml:space="preserve">the </w:t>
      </w:r>
      <w:r w:rsidR="001A6614" w:rsidRPr="00E8073D">
        <w:t>patterns and nature of violence.</w:t>
      </w:r>
      <w:r w:rsidR="005962E9">
        <w:t xml:space="preserve"> </w:t>
      </w:r>
      <w:r w:rsidR="00F472A2" w:rsidRPr="00E8073D">
        <w:t xml:space="preserve"> </w:t>
      </w:r>
      <w:r w:rsidRPr="00E8073D">
        <w:t>COTTS</w:t>
      </w:r>
      <w:r w:rsidR="00F85340">
        <w:t>, for example,</w:t>
      </w:r>
      <w:r w:rsidRPr="00E8073D">
        <w:t xml:space="preserve"> </w:t>
      </w:r>
      <w:r w:rsidR="004C3814" w:rsidRPr="00E8073D">
        <w:t>lists</w:t>
      </w:r>
      <w:r w:rsidRPr="00E8073D">
        <w:t xml:space="preserve"> republican paramilitaries as responsible for 59</w:t>
      </w:r>
      <w:r w:rsidR="00A24154" w:rsidRPr="00E8073D">
        <w:t>%</w:t>
      </w:r>
      <w:r w:rsidRPr="00E8073D">
        <w:t xml:space="preserve"> of total </w:t>
      </w:r>
      <w:r w:rsidR="005962E9">
        <w:t>deaths</w:t>
      </w:r>
      <w:r w:rsidRPr="00E8073D">
        <w:t>, loyalist paramilita</w:t>
      </w:r>
      <w:r w:rsidR="00A24154" w:rsidRPr="00E8073D">
        <w:t>ries responsible for 28%</w:t>
      </w:r>
      <w:r w:rsidRPr="00E8073D">
        <w:t xml:space="preserve"> and secur</w:t>
      </w:r>
      <w:r w:rsidR="00A24154" w:rsidRPr="00E8073D">
        <w:t>ity forces just over 11%</w:t>
      </w:r>
      <w:r w:rsidRPr="00E8073D">
        <w:t>.</w:t>
      </w:r>
      <w:r w:rsidR="00B77E7B">
        <w:rPr>
          <w:rStyle w:val="FootnoteReference"/>
        </w:rPr>
        <w:footnoteReference w:id="60"/>
      </w:r>
      <w:r w:rsidR="004C3814" w:rsidRPr="00E8073D">
        <w:t xml:space="preserve"> </w:t>
      </w:r>
      <w:r w:rsidR="00D52296" w:rsidRPr="00E8073D">
        <w:t>Although</w:t>
      </w:r>
      <w:r w:rsidR="00213992" w:rsidRPr="00E8073D">
        <w:t xml:space="preserve"> a</w:t>
      </w:r>
      <w:r w:rsidR="00DC03B8">
        <w:t>n</w:t>
      </w:r>
      <w:r w:rsidR="00213992" w:rsidRPr="00E8073D">
        <w:t xml:space="preserve"> </w:t>
      </w:r>
      <w:r w:rsidR="00DC03B8">
        <w:t>important</w:t>
      </w:r>
      <w:r w:rsidR="00213992" w:rsidRPr="00E8073D">
        <w:t xml:space="preserve"> exercise, this </w:t>
      </w:r>
      <w:r w:rsidR="00BD041E" w:rsidRPr="00E8073D">
        <w:t xml:space="preserve">data </w:t>
      </w:r>
      <w:r w:rsidR="00213992" w:rsidRPr="00E8073D">
        <w:t>re</w:t>
      </w:r>
      <w:r w:rsidR="00BD041E" w:rsidRPr="00E8073D">
        <w:t>presents a</w:t>
      </w:r>
      <w:r w:rsidR="00B109E3">
        <w:t>n</w:t>
      </w:r>
      <w:r w:rsidR="00BD041E" w:rsidRPr="00E8073D">
        <w:t xml:space="preserve"> </w:t>
      </w:r>
      <w:r w:rsidR="00882580" w:rsidRPr="00E8073D">
        <w:t>assessment</w:t>
      </w:r>
      <w:r w:rsidR="00D50D4E" w:rsidRPr="00E8073D">
        <w:t xml:space="preserve"> of responsibility</w:t>
      </w:r>
      <w:r w:rsidR="00BD041E" w:rsidRPr="00E8073D">
        <w:t xml:space="preserve"> that</w:t>
      </w:r>
      <w:r w:rsidR="0017014A" w:rsidRPr="00E8073D">
        <w:t xml:space="preserve"> </w:t>
      </w:r>
      <w:r w:rsidR="004F0E76">
        <w:t>does not fully</w:t>
      </w:r>
      <w:r w:rsidR="00BD041E" w:rsidRPr="00E8073D">
        <w:t xml:space="preserve"> articulate complexities </w:t>
      </w:r>
      <w:r w:rsidR="005B4EA1">
        <w:t>relating to</w:t>
      </w:r>
      <w:r w:rsidR="004C2B93">
        <w:t xml:space="preserve"> chain of command</w:t>
      </w:r>
      <w:r w:rsidR="00BD041E" w:rsidRPr="00E8073D">
        <w:t>,</w:t>
      </w:r>
      <w:r w:rsidR="00B57A70">
        <w:rPr>
          <w:rStyle w:val="FootnoteReference"/>
        </w:rPr>
        <w:footnoteReference w:id="61"/>
      </w:r>
      <w:r w:rsidR="00BD041E" w:rsidRPr="00E8073D">
        <w:t xml:space="preserve"> moral responsibi</w:t>
      </w:r>
      <w:r w:rsidR="007235C2">
        <w:t>lity</w:t>
      </w:r>
      <w:r w:rsidR="000A144A">
        <w:rPr>
          <w:rStyle w:val="FootnoteReference"/>
        </w:rPr>
        <w:footnoteReference w:id="62"/>
      </w:r>
      <w:r w:rsidR="00FA3202" w:rsidRPr="00E8073D">
        <w:t xml:space="preserve"> </w:t>
      </w:r>
      <w:r w:rsidR="000D744B">
        <w:t xml:space="preserve">and </w:t>
      </w:r>
      <w:r w:rsidR="00FA3202" w:rsidRPr="00E8073D">
        <w:t>collusion</w:t>
      </w:r>
      <w:r w:rsidR="000D744B">
        <w:t>.</w:t>
      </w:r>
      <w:r w:rsidR="00D51A07">
        <w:rPr>
          <w:rStyle w:val="FootnoteReference"/>
        </w:rPr>
        <w:footnoteReference w:id="63"/>
      </w:r>
      <w:r w:rsidR="00A74204" w:rsidRPr="00E8073D">
        <w:t xml:space="preserve">  </w:t>
      </w:r>
      <w:r w:rsidR="00007571">
        <w:t>Numbers do not easily account for the</w:t>
      </w:r>
      <w:r w:rsidR="005163FE">
        <w:t xml:space="preserve"> wider</w:t>
      </w:r>
      <w:r w:rsidR="00007571">
        <w:t xml:space="preserve"> responsibility of those who orchestrated or supported violent action but who did not physically pull the trigger or plant the bomb.</w:t>
      </w:r>
      <w:r w:rsidR="001811AA">
        <w:t xml:space="preserve">  There is also the ‘dark figure’ of deaths </w:t>
      </w:r>
      <w:r w:rsidR="001811AA">
        <w:lastRenderedPageBreak/>
        <w:t>attributed to collusion which cast into doubt whether they are the sole responsibility of one group or another.</w:t>
      </w:r>
      <w:r w:rsidR="001811AA">
        <w:rPr>
          <w:rStyle w:val="FootnoteReference"/>
        </w:rPr>
        <w:footnoteReference w:id="64"/>
      </w:r>
    </w:p>
    <w:p w14:paraId="1EF1B299" w14:textId="077F1943" w:rsidR="00D207A9" w:rsidRPr="009D20D1" w:rsidRDefault="00D9274D" w:rsidP="00825989">
      <w:pPr>
        <w:spacing w:line="360" w:lineRule="auto"/>
        <w:ind w:firstLine="720"/>
        <w:contextualSpacing/>
        <w:jc w:val="both"/>
      </w:pPr>
      <w:r w:rsidRPr="00E8073D">
        <w:t>R</w:t>
      </w:r>
      <w:r w:rsidR="00D207A9" w:rsidRPr="00E8073D">
        <w:t>egar</w:t>
      </w:r>
      <w:r w:rsidR="00B06977" w:rsidRPr="00E8073D">
        <w:t>dless of perspectives on victimhood</w:t>
      </w:r>
      <w:r w:rsidR="00555A66">
        <w:t xml:space="preserve"> or responsibility</w:t>
      </w:r>
      <w:r w:rsidR="00D207A9" w:rsidRPr="00E8073D">
        <w:t xml:space="preserve">, </w:t>
      </w:r>
      <w:r w:rsidRPr="00E8073D">
        <w:t>th</w:t>
      </w:r>
      <w:r w:rsidR="00897D5C" w:rsidRPr="00E8073D">
        <w:t>ese numbers represent just a fraction</w:t>
      </w:r>
      <w:r w:rsidR="00D207A9" w:rsidRPr="00E8073D">
        <w:t xml:space="preserve"> of those affected. </w:t>
      </w:r>
      <w:r w:rsidR="004F5D07" w:rsidRPr="00E8073D">
        <w:t xml:space="preserve"> </w:t>
      </w:r>
      <w:r w:rsidR="004F519E" w:rsidRPr="00E8073D">
        <w:t>If contention surrounds</w:t>
      </w:r>
      <w:r w:rsidR="00D42112">
        <w:t xml:space="preserve"> the number and nature of deaths</w:t>
      </w:r>
      <w:r w:rsidR="00D207A9" w:rsidRPr="00E8073D">
        <w:t>, statistics relating to those affected t</w:t>
      </w:r>
      <w:r w:rsidR="004F519E" w:rsidRPr="00E8073D">
        <w:t>hrough</w:t>
      </w:r>
      <w:r w:rsidR="00D207A9" w:rsidRPr="00E8073D">
        <w:t xml:space="preserve"> injury</w:t>
      </w:r>
      <w:r w:rsidR="00EB08B9">
        <w:t xml:space="preserve"> or psychological trauma</w:t>
      </w:r>
      <w:r w:rsidR="00D207A9" w:rsidRPr="00E8073D">
        <w:t xml:space="preserve"> are something of a quagmire. </w:t>
      </w:r>
      <w:r w:rsidR="00D42112">
        <w:t xml:space="preserve"> </w:t>
      </w:r>
      <w:r w:rsidR="00D207A9" w:rsidRPr="00E8073D">
        <w:t>Conserva</w:t>
      </w:r>
      <w:r w:rsidR="00B67605" w:rsidRPr="00E8073D">
        <w:t xml:space="preserve">tive estimates </w:t>
      </w:r>
      <w:r w:rsidR="00B63E8F">
        <w:t>list</w:t>
      </w:r>
      <w:r w:rsidR="00D207A9" w:rsidRPr="00E8073D">
        <w:t xml:space="preserve"> 40,000</w:t>
      </w:r>
      <w:r w:rsidR="00DF0051">
        <w:t xml:space="preserve"> injured</w:t>
      </w:r>
      <w:r w:rsidR="007F1EA1">
        <w:t>,</w:t>
      </w:r>
      <w:r w:rsidR="001B1A9F">
        <w:rPr>
          <w:rStyle w:val="FootnoteReference"/>
        </w:rPr>
        <w:footnoteReference w:id="65"/>
      </w:r>
      <w:r w:rsidR="004B7FD7" w:rsidRPr="00E8073D">
        <w:t xml:space="preserve"> though recent estimates are</w:t>
      </w:r>
      <w:r w:rsidR="00D207A9" w:rsidRPr="00E8073D">
        <w:t xml:space="preserve"> closer to </w:t>
      </w:r>
      <w:r w:rsidR="000B7D18">
        <w:t>100,000</w:t>
      </w:r>
      <w:r w:rsidR="00D207A9" w:rsidRPr="00E8073D">
        <w:t>.</w:t>
      </w:r>
      <w:r w:rsidR="00471DF6">
        <w:rPr>
          <w:rStyle w:val="FootnoteReference"/>
        </w:rPr>
        <w:footnoteReference w:id="66"/>
      </w:r>
      <w:r w:rsidR="00D207A9" w:rsidRPr="00E8073D">
        <w:t xml:space="preserve"> </w:t>
      </w:r>
      <w:r w:rsidR="007F54CE" w:rsidRPr="00E8073D">
        <w:t xml:space="preserve"> </w:t>
      </w:r>
      <w:r w:rsidR="00600382">
        <w:t xml:space="preserve">This disparity alone indicates </w:t>
      </w:r>
      <w:r w:rsidR="00260B5B">
        <w:t xml:space="preserve">that, as Mary </w:t>
      </w:r>
      <w:proofErr w:type="spellStart"/>
      <w:r w:rsidR="00260B5B">
        <w:t>O’Rawe</w:t>
      </w:r>
      <w:proofErr w:type="spellEnd"/>
      <w:r w:rsidR="00260B5B">
        <w:t xml:space="preserve"> suggests, the ‘</w:t>
      </w:r>
      <w:r w:rsidR="00260B5B" w:rsidRPr="00E8073D">
        <w:t>true extent and impact of victimhood is not currently apparent.  We are only to</w:t>
      </w:r>
      <w:r w:rsidR="00260B5B">
        <w:t>uching the surface in many ways’</w:t>
      </w:r>
      <w:r w:rsidR="00260B5B" w:rsidRPr="00E8073D">
        <w:t>.</w:t>
      </w:r>
      <w:r w:rsidR="00260B5B">
        <w:rPr>
          <w:rStyle w:val="FootnoteReference"/>
        </w:rPr>
        <w:footnoteReference w:id="67"/>
      </w:r>
      <w:r w:rsidR="00260B5B">
        <w:t xml:space="preserve">  </w:t>
      </w:r>
      <w:r w:rsidR="0070370E">
        <w:t>One interviewee, a staff member o</w:t>
      </w:r>
      <w:r w:rsidR="00506DE6">
        <w:t>f the Victims and Survivors S</w:t>
      </w:r>
      <w:r w:rsidR="00A86362">
        <w:t>ervice</w:t>
      </w:r>
      <w:r w:rsidR="00506DE6">
        <w:t xml:space="preserve">, shared that a project was </w:t>
      </w:r>
      <w:r w:rsidR="00265BD3">
        <w:t>undertaken</w:t>
      </w:r>
      <w:r w:rsidR="00506DE6">
        <w:t xml:space="preserve"> to </w:t>
      </w:r>
      <w:r w:rsidR="002C1B27">
        <w:t>gather</w:t>
      </w:r>
      <w:r w:rsidR="00506DE6">
        <w:t xml:space="preserve"> </w:t>
      </w:r>
      <w:r w:rsidR="009D20D1">
        <w:t xml:space="preserve">what the interviewee called ‘the first hard numbers on who victims and survivors </w:t>
      </w:r>
      <w:r w:rsidR="009D20D1">
        <w:rPr>
          <w:i/>
        </w:rPr>
        <w:t>are</w:t>
      </w:r>
      <w:r w:rsidR="009D20D1">
        <w:t xml:space="preserve"> today…</w:t>
      </w:r>
      <w:r w:rsidR="00E92077">
        <w:t xml:space="preserve"> t</w:t>
      </w:r>
      <w:r w:rsidR="009D20D1">
        <w:t>he first really tangible set of neutrally collated data since</w:t>
      </w:r>
      <w:r w:rsidR="00E92077">
        <w:t xml:space="preserve"> the Cost of the Troubles Study’.</w:t>
      </w:r>
      <w:r w:rsidR="009D20D1">
        <w:rPr>
          <w:rStyle w:val="FootnoteReference"/>
        </w:rPr>
        <w:footnoteReference w:id="68"/>
      </w:r>
      <w:r w:rsidR="00067D54">
        <w:t xml:space="preserve">  When that data was presented to </w:t>
      </w:r>
      <w:r w:rsidR="0082679A">
        <w:t>government representatives</w:t>
      </w:r>
      <w:r w:rsidR="00267CE4">
        <w:t>,</w:t>
      </w:r>
      <w:r w:rsidR="008A12FF">
        <w:t xml:space="preserve"> however,</w:t>
      </w:r>
      <w:r w:rsidR="00267CE4">
        <w:t xml:space="preserve"> the interviewee was</w:t>
      </w:r>
      <w:r w:rsidR="00067D54">
        <w:t xml:space="preserve"> told to discontinue </w:t>
      </w:r>
      <w:r w:rsidR="00267CE4">
        <w:t>the</w:t>
      </w:r>
      <w:r w:rsidR="00067D54">
        <w:t xml:space="preserve"> </w:t>
      </w:r>
      <w:r w:rsidR="00267CE4">
        <w:t>project and as of the intervi</w:t>
      </w:r>
      <w:r w:rsidR="00FF563B">
        <w:t>ew had not been revisited</w:t>
      </w:r>
      <w:r w:rsidR="00267CE4">
        <w:t>.</w:t>
      </w:r>
    </w:p>
    <w:p w14:paraId="4F651E76" w14:textId="1A83FFEF" w:rsidR="00D207A9" w:rsidRPr="00E8073D" w:rsidRDefault="00532C8B" w:rsidP="00825989">
      <w:pPr>
        <w:spacing w:line="360" w:lineRule="auto"/>
        <w:ind w:firstLine="720"/>
        <w:contextualSpacing/>
        <w:jc w:val="both"/>
      </w:pPr>
      <w:r>
        <w:t xml:space="preserve">Disagreement over official definitions, available data and its interpretation </w:t>
      </w:r>
      <w:r w:rsidR="004442F5">
        <w:t>complicates</w:t>
      </w:r>
      <w:r w:rsidR="00E200FA" w:rsidRPr="00E8073D">
        <w:t xml:space="preserve"> attempts to comprehend</w:t>
      </w:r>
      <w:r w:rsidR="00F456A7" w:rsidRPr="00E8073D">
        <w:t xml:space="preserve"> and address</w:t>
      </w:r>
      <w:r w:rsidR="005220BA">
        <w:t xml:space="preserve"> the scope and diversity of experiences borne of conflict</w:t>
      </w:r>
      <w:r w:rsidR="00D72FB3" w:rsidRPr="00E8073D">
        <w:t>.</w:t>
      </w:r>
      <w:r w:rsidR="00E200FA" w:rsidRPr="00E8073D">
        <w:t xml:space="preserve">  </w:t>
      </w:r>
      <w:r w:rsidR="00AA7425" w:rsidRPr="00E8073D">
        <w:t>Ultimately, acknowledgement and support may be denied to tho</w:t>
      </w:r>
      <w:r w:rsidR="001F42FE">
        <w:t>se who do not conform to group</w:t>
      </w:r>
      <w:r w:rsidR="00AA7425" w:rsidRPr="00E8073D">
        <w:t xml:space="preserve"> narratives of victimhood</w:t>
      </w:r>
      <w:r w:rsidR="00077908">
        <w:t xml:space="preserve"> or the ideal victim construction,</w:t>
      </w:r>
      <w:r w:rsidR="006A697E" w:rsidRPr="00E8073D">
        <w:t xml:space="preserve"> </w:t>
      </w:r>
      <w:r w:rsidR="0086221E">
        <w:t>isolating</w:t>
      </w:r>
      <w:r w:rsidR="006A697E" w:rsidRPr="00E8073D">
        <w:t xml:space="preserve"> </w:t>
      </w:r>
      <w:r w:rsidR="001F42FE">
        <w:t>them</w:t>
      </w:r>
      <w:r w:rsidR="000F72A6" w:rsidRPr="00E8073D">
        <w:t xml:space="preserve"> </w:t>
      </w:r>
      <w:r w:rsidR="001F42FE">
        <w:t>from</w:t>
      </w:r>
      <w:r w:rsidR="0086221E">
        <w:t xml:space="preserve"> </w:t>
      </w:r>
      <w:r w:rsidR="001F42FE">
        <w:t>peacebuilding work</w:t>
      </w:r>
      <w:r w:rsidR="0086221E">
        <w:t xml:space="preserve"> that build</w:t>
      </w:r>
      <w:r w:rsidR="001F42FE">
        <w:t>s</w:t>
      </w:r>
      <w:r w:rsidR="0086221E">
        <w:t xml:space="preserve"> relationships </w:t>
      </w:r>
      <w:r w:rsidR="00CA1270">
        <w:t>by acknowledging</w:t>
      </w:r>
      <w:r w:rsidR="0086221E">
        <w:t xml:space="preserve"> experiences of hurt and suffering</w:t>
      </w:r>
      <w:r w:rsidR="00771F8F">
        <w:t xml:space="preserve"> and restoring human dignity</w:t>
      </w:r>
      <w:r w:rsidR="00AA7425" w:rsidRPr="00E8073D">
        <w:t xml:space="preserve">.  </w:t>
      </w:r>
      <w:r w:rsidR="000F72A6" w:rsidRPr="00E8073D">
        <w:t>Denying victim status to certain sections of society has been shown to compound grievance, re-traumatise individuals and guide policies the underm</w:t>
      </w:r>
      <w:r w:rsidR="002E6688">
        <w:t>ine reconciliation</w:t>
      </w:r>
      <w:r w:rsidR="000F72A6" w:rsidRPr="00E8073D">
        <w:t>.</w:t>
      </w:r>
      <w:r w:rsidR="006C3603">
        <w:rPr>
          <w:rStyle w:val="FootnoteReference"/>
        </w:rPr>
        <w:footnoteReference w:id="69"/>
      </w:r>
      <w:r w:rsidR="000F72A6" w:rsidRPr="00E8073D">
        <w:t xml:space="preserve">  </w:t>
      </w:r>
      <w:r w:rsidR="000E2022">
        <w:t>Brewer contends that when ‘equality</w:t>
      </w:r>
      <w:r w:rsidR="009A6475" w:rsidRPr="00E8073D">
        <w:t xml:space="preserve"> of victimhood</w:t>
      </w:r>
      <w:r w:rsidR="000E2022">
        <w:t>’</w:t>
      </w:r>
      <w:r w:rsidR="009A6475" w:rsidRPr="00E8073D">
        <w:t xml:space="preserve"> is denied, it fails to become the uniting experience it could be </w:t>
      </w:r>
      <w:r w:rsidR="00904384">
        <w:t>between former adversaries</w:t>
      </w:r>
      <w:r w:rsidR="009A6475" w:rsidRPr="00E8073D">
        <w:t>.</w:t>
      </w:r>
      <w:r w:rsidR="00275E43">
        <w:t xml:space="preserve">  This denial or minimising of experiences that do not reflect </w:t>
      </w:r>
      <w:r w:rsidR="00F66176">
        <w:t>particular</w:t>
      </w:r>
      <w:r w:rsidR="00275E43">
        <w:t xml:space="preserve"> constructions of victimhood resonates with intergroup processes, and contributes to </w:t>
      </w:r>
      <w:r w:rsidR="00904384">
        <w:t>a number of other dynamics which compromise peacebuilding efforts.</w:t>
      </w:r>
    </w:p>
    <w:p w14:paraId="5B78B8C1" w14:textId="77777777" w:rsidR="00D207A9" w:rsidRPr="00E8073D" w:rsidRDefault="00D207A9" w:rsidP="00825989">
      <w:pPr>
        <w:spacing w:line="360" w:lineRule="auto"/>
        <w:contextualSpacing/>
        <w:jc w:val="both"/>
      </w:pPr>
    </w:p>
    <w:p w14:paraId="4154ACA3" w14:textId="72124F81" w:rsidR="00D207A9" w:rsidRPr="00E8073D" w:rsidRDefault="00D207A9" w:rsidP="00825989">
      <w:pPr>
        <w:pStyle w:val="Heading2"/>
        <w:spacing w:line="360" w:lineRule="auto"/>
        <w:contextualSpacing/>
        <w:jc w:val="both"/>
        <w:rPr>
          <w:rFonts w:cs="Times New Roman"/>
        </w:rPr>
      </w:pPr>
      <w:bookmarkStart w:id="2" w:name="_Toc301462716"/>
      <w:r w:rsidRPr="00E8073D">
        <w:rPr>
          <w:rFonts w:cs="Times New Roman"/>
        </w:rPr>
        <w:t>Victim culture</w:t>
      </w:r>
      <w:bookmarkEnd w:id="2"/>
    </w:p>
    <w:p w14:paraId="0169DF9F" w14:textId="77777777" w:rsidR="001147BB" w:rsidRPr="00E8073D" w:rsidRDefault="001147BB" w:rsidP="00825989">
      <w:pPr>
        <w:spacing w:line="360" w:lineRule="auto"/>
        <w:ind w:firstLine="720"/>
        <w:contextualSpacing/>
        <w:jc w:val="both"/>
      </w:pPr>
    </w:p>
    <w:p w14:paraId="13DF4756" w14:textId="647916ED" w:rsidR="00B92F5F" w:rsidRPr="00E8073D" w:rsidRDefault="00D05023" w:rsidP="001348E9">
      <w:pPr>
        <w:spacing w:line="360" w:lineRule="auto"/>
        <w:ind w:firstLine="720"/>
        <w:contextualSpacing/>
        <w:jc w:val="both"/>
      </w:pPr>
      <w:r>
        <w:lastRenderedPageBreak/>
        <w:t>The</w:t>
      </w:r>
      <w:r w:rsidR="0077708F">
        <w:t xml:space="preserve"> ‘victim culture’</w:t>
      </w:r>
      <w:r>
        <w:t xml:space="preserve"> </w:t>
      </w:r>
      <w:r w:rsidR="00E6668F">
        <w:t>describes a phenomenon where</w:t>
      </w:r>
      <w:r w:rsidR="00E927AE" w:rsidRPr="00E8073D">
        <w:t xml:space="preserve"> ‘</w:t>
      </w:r>
      <w:r w:rsidR="001E5834" w:rsidRPr="00E8073D">
        <w:t xml:space="preserve">the collective sense of victimhood becomes a prism through which the society processes </w:t>
      </w:r>
      <w:r w:rsidR="00607065">
        <w:t>information and makes decisions’.</w:t>
      </w:r>
      <w:r w:rsidR="00D21369">
        <w:rPr>
          <w:rStyle w:val="FootnoteReference"/>
        </w:rPr>
        <w:footnoteReference w:id="70"/>
      </w:r>
      <w:r w:rsidR="00A514A1" w:rsidRPr="00E8073D">
        <w:t xml:space="preserve"> </w:t>
      </w:r>
      <w:r w:rsidR="00023D60">
        <w:t xml:space="preserve"> </w:t>
      </w:r>
      <w:r w:rsidR="00EA10E6">
        <w:t>When</w:t>
      </w:r>
      <w:r w:rsidR="00080FF6">
        <w:t xml:space="preserve"> attitudes and beliefs about victimhood are prevalent in social and political processes,</w:t>
      </w:r>
      <w:r w:rsidR="00D548AA">
        <w:t xml:space="preserve"> </w:t>
      </w:r>
      <w:r w:rsidR="00080FF6">
        <w:t>groups may capitalise</w:t>
      </w:r>
      <w:r w:rsidR="00D92503" w:rsidRPr="00E8073D">
        <w:t xml:space="preserve"> on the favourable attributes of the ideal victim</w:t>
      </w:r>
      <w:r w:rsidR="00D548AA">
        <w:t xml:space="preserve"> construction</w:t>
      </w:r>
      <w:r w:rsidR="00D92503" w:rsidRPr="00E8073D">
        <w:t xml:space="preserve"> to </w:t>
      </w:r>
      <w:r w:rsidR="00E375E9">
        <w:t>attract</w:t>
      </w:r>
      <w:r w:rsidR="00D92503" w:rsidRPr="00E8073D">
        <w:t xml:space="preserve"> resources such as recognition, compensation, </w:t>
      </w:r>
      <w:r w:rsidR="000932C2">
        <w:t>services</w:t>
      </w:r>
      <w:r w:rsidR="00D92503" w:rsidRPr="00E8073D">
        <w:t xml:space="preserve"> and influence</w:t>
      </w:r>
      <w:r w:rsidR="00D548AA">
        <w:t xml:space="preserve"> for those identified as victims</w:t>
      </w:r>
      <w:r w:rsidR="00F91ACB">
        <w:t>.</w:t>
      </w:r>
      <w:r w:rsidR="00D74885">
        <w:t xml:space="preserve"> </w:t>
      </w:r>
      <w:r w:rsidR="00F91ACB">
        <w:t xml:space="preserve"> The victim culture has a potentially</w:t>
      </w:r>
      <w:r w:rsidR="00D74885">
        <w:t xml:space="preserve"> detrimental impact on victims themselves</w:t>
      </w:r>
      <w:r w:rsidR="00FA2703">
        <w:t xml:space="preserve"> and for the prospect of mitigating </w:t>
      </w:r>
      <w:r w:rsidR="00E50DE4">
        <w:t>divisive group</w:t>
      </w:r>
      <w:r w:rsidR="00D201BB">
        <w:t xml:space="preserve"> identities</w:t>
      </w:r>
      <w:r w:rsidR="00D92503" w:rsidRPr="00E8073D">
        <w:t>.</w:t>
      </w:r>
      <w:r w:rsidR="006C5D5C">
        <w:t xml:space="preserve">  Victims may be ‘professionalised’</w:t>
      </w:r>
      <w:r w:rsidR="00946416">
        <w:rPr>
          <w:rStyle w:val="FootnoteReference"/>
        </w:rPr>
        <w:footnoteReference w:id="71"/>
      </w:r>
      <w:r w:rsidR="006C5D5C">
        <w:t xml:space="preserve"> or, as </w:t>
      </w:r>
      <w:r w:rsidR="00E50DE4">
        <w:t xml:space="preserve">on interviewee remarked, ‘in Northern Ireland we have celebrity victims.  </w:t>
      </w:r>
      <w:r w:rsidR="007A4AFC">
        <w:t>[…]</w:t>
      </w:r>
      <w:r w:rsidR="00E50DE4">
        <w:t xml:space="preserve">  We know who they are and they do more harm than they do </w:t>
      </w:r>
      <w:proofErr w:type="gramStart"/>
      <w:r w:rsidR="00E50DE4">
        <w:t>good</w:t>
      </w:r>
      <w:proofErr w:type="gramEnd"/>
      <w:r w:rsidR="00E50DE4">
        <w:t>’.</w:t>
      </w:r>
      <w:r w:rsidR="00E50DE4">
        <w:rPr>
          <w:rStyle w:val="FootnoteReference"/>
        </w:rPr>
        <w:footnoteReference w:id="72"/>
      </w:r>
      <w:r w:rsidR="00DE0B3C">
        <w:t xml:space="preserve"> </w:t>
      </w:r>
      <w:r w:rsidR="00D92503" w:rsidRPr="00E8073D">
        <w:t xml:space="preserve"> T</w:t>
      </w:r>
      <w:r w:rsidR="00F979D7">
        <w:t>he victim culture covers two</w:t>
      </w:r>
      <w:r w:rsidR="00D806F1">
        <w:t xml:space="preserve"> broad socio-political dynamics,</w:t>
      </w:r>
      <w:r w:rsidR="00D92503" w:rsidRPr="00E8073D">
        <w:t xml:space="preserve"> competitive victimhood</w:t>
      </w:r>
      <w:r w:rsidR="00482AA5">
        <w:rPr>
          <w:rStyle w:val="FootnoteReference"/>
        </w:rPr>
        <w:footnoteReference w:id="73"/>
      </w:r>
      <w:r w:rsidR="00D92503" w:rsidRPr="00E8073D">
        <w:t xml:space="preserve"> and </w:t>
      </w:r>
      <w:r w:rsidR="00D548AA">
        <w:t xml:space="preserve">the </w:t>
      </w:r>
      <w:r w:rsidR="00D92503" w:rsidRPr="00E8073D">
        <w:t>politicisation of</w:t>
      </w:r>
      <w:r w:rsidR="00D806F1">
        <w:t xml:space="preserve"> victims’ experiences and needs, which together</w:t>
      </w:r>
      <w:r w:rsidR="00B02425" w:rsidRPr="00E8073D">
        <w:t xml:space="preserve"> extend</w:t>
      </w:r>
      <w:r w:rsidR="006751FA">
        <w:t xml:space="preserve"> past </w:t>
      </w:r>
      <w:r w:rsidR="00457221">
        <w:t>suffering</w:t>
      </w:r>
      <w:r w:rsidR="00931F8E" w:rsidRPr="00E8073D">
        <w:t xml:space="preserve"> through to the present</w:t>
      </w:r>
      <w:r w:rsidR="00067B1E">
        <w:t>.  The victim culture</w:t>
      </w:r>
      <w:r w:rsidR="00661A40" w:rsidRPr="00E8073D">
        <w:t xml:space="preserve"> </w:t>
      </w:r>
      <w:r w:rsidR="00067B1E">
        <w:t>informs</w:t>
      </w:r>
      <w:r w:rsidR="006751FA" w:rsidRPr="00E8073D">
        <w:t xml:space="preserve"> present day attitudes, behavio</w:t>
      </w:r>
      <w:r w:rsidR="005A62A4">
        <w:t>urs and interactions,</w:t>
      </w:r>
      <w:r w:rsidR="006751FA">
        <w:t xml:space="preserve"> </w:t>
      </w:r>
      <w:r w:rsidR="00D43073">
        <w:t>posing</w:t>
      </w:r>
      <w:r w:rsidR="00A95A02" w:rsidRPr="00E8073D">
        <w:t xml:space="preserve"> </w:t>
      </w:r>
      <w:r w:rsidR="008B0CAA" w:rsidRPr="00E8073D">
        <w:t>‘</w:t>
      </w:r>
      <w:r w:rsidR="00A95A02" w:rsidRPr="00E8073D">
        <w:t>practical and moral challenges t</w:t>
      </w:r>
      <w:r w:rsidR="008B0CAA" w:rsidRPr="00E8073D">
        <w:t>o the prospect of peacebuilding’</w:t>
      </w:r>
      <w:r w:rsidR="00612938">
        <w:rPr>
          <w:rStyle w:val="FootnoteReference"/>
        </w:rPr>
        <w:footnoteReference w:id="74"/>
      </w:r>
      <w:r w:rsidR="00D74885">
        <w:t xml:space="preserve">.  </w:t>
      </w:r>
    </w:p>
    <w:p w14:paraId="553903B0" w14:textId="5190DA14" w:rsidR="00EB29C6" w:rsidRDefault="00AC6BCE" w:rsidP="00825989">
      <w:pPr>
        <w:spacing w:line="360" w:lineRule="auto"/>
        <w:ind w:firstLine="720"/>
        <w:contextualSpacing/>
        <w:jc w:val="both"/>
      </w:pPr>
      <w:r>
        <w:t>T</w:t>
      </w:r>
      <w:r w:rsidR="00B92F5F" w:rsidRPr="00E8073D">
        <w:t>he</w:t>
      </w:r>
      <w:r w:rsidR="000B79FF">
        <w:t xml:space="preserve"> </w:t>
      </w:r>
      <w:r w:rsidR="00B92F5F" w:rsidRPr="00E8073D">
        <w:t xml:space="preserve">construction of </w:t>
      </w:r>
      <w:r w:rsidR="000B79FF">
        <w:t xml:space="preserve">the ideal </w:t>
      </w:r>
      <w:r w:rsidR="00B92F5F" w:rsidRPr="00E8073D">
        <w:t>victim as deser</w:t>
      </w:r>
      <w:r w:rsidR="00F61FD8">
        <w:t>ving sympathy, care and support means that</w:t>
      </w:r>
      <w:r w:rsidR="002F22B2" w:rsidRPr="00E8073D">
        <w:t xml:space="preserve"> certain ‘rewards’ </w:t>
      </w:r>
      <w:r w:rsidR="00F76895">
        <w:t>may</w:t>
      </w:r>
      <w:r w:rsidR="00EF5336" w:rsidRPr="00E8073D">
        <w:t xml:space="preserve"> </w:t>
      </w:r>
      <w:r w:rsidR="002F22B2" w:rsidRPr="00E8073D">
        <w:t>accompany victim status</w:t>
      </w:r>
      <w:r w:rsidR="000E6E64" w:rsidRPr="00E8073D">
        <w:t>.</w:t>
      </w:r>
      <w:r w:rsidR="002300C1">
        <w:rPr>
          <w:rStyle w:val="FootnoteReference"/>
        </w:rPr>
        <w:footnoteReference w:id="75"/>
      </w:r>
      <w:r w:rsidR="008B2D70" w:rsidRPr="00E8073D">
        <w:t xml:space="preserve"> </w:t>
      </w:r>
      <w:r w:rsidR="00BD77A8" w:rsidRPr="00E8073D">
        <w:t xml:space="preserve"> A</w:t>
      </w:r>
      <w:r w:rsidR="00BA7F80">
        <w:t>s discussed above, peacebuilding processes often contain a</w:t>
      </w:r>
      <w:r w:rsidR="008B2D70" w:rsidRPr="00E8073D">
        <w:t xml:space="preserve"> range of reparative policies </w:t>
      </w:r>
      <w:r w:rsidR="00BA7F80">
        <w:t xml:space="preserve">to </w:t>
      </w:r>
      <w:r w:rsidR="00BE693B">
        <w:t>a</w:t>
      </w:r>
      <w:r w:rsidR="00113D3E">
        <w:t>ddress</w:t>
      </w:r>
      <w:r w:rsidR="000A0612">
        <w:t xml:space="preserve"> victims’ needs</w:t>
      </w:r>
      <w:r w:rsidR="00BD77A8" w:rsidRPr="00E8073D">
        <w:t xml:space="preserve">. </w:t>
      </w:r>
      <w:r w:rsidR="008B2D70" w:rsidRPr="00E8073D">
        <w:t xml:space="preserve"> </w:t>
      </w:r>
      <w:r w:rsidR="005B0FA3" w:rsidRPr="00E8073D">
        <w:t xml:space="preserve">To </w:t>
      </w:r>
      <w:r w:rsidR="00BD77A8" w:rsidRPr="00E8073D">
        <w:t>remedy</w:t>
      </w:r>
      <w:r w:rsidR="005B0FA3" w:rsidRPr="00E8073D">
        <w:t xml:space="preserve"> their harm</w:t>
      </w:r>
      <w:r w:rsidR="00FC14C3" w:rsidRPr="00E8073D">
        <w:t>, v</w:t>
      </w:r>
      <w:r w:rsidR="002F22B2" w:rsidRPr="00E8073D">
        <w:t>ictims receive physical resources like compensation payments, symbolic goods like monuments and memorials, as well a</w:t>
      </w:r>
      <w:r w:rsidR="00873C5D">
        <w:t>s</w:t>
      </w:r>
      <w:r w:rsidR="002F22B2" w:rsidRPr="00E8073D">
        <w:t xml:space="preserve"> recognition, positive discrimination (i.e. housing and education access), ‘truth’ and ‘justice’</w:t>
      </w:r>
      <w:r w:rsidR="00FF393D">
        <w:t>, moral authority</w:t>
      </w:r>
      <w:r w:rsidR="002F22B2" w:rsidRPr="00E8073D">
        <w:t xml:space="preserve"> and pol</w:t>
      </w:r>
      <w:r w:rsidR="00BD73AB">
        <w:t>itical influence</w:t>
      </w:r>
      <w:r w:rsidR="00F06AEF" w:rsidRPr="00E8073D">
        <w:t>.</w:t>
      </w:r>
      <w:r w:rsidR="00C45148">
        <w:rPr>
          <w:rStyle w:val="FootnoteReference"/>
        </w:rPr>
        <w:footnoteReference w:id="76"/>
      </w:r>
      <w:r w:rsidR="00B3506D" w:rsidRPr="00E8073D">
        <w:t xml:space="preserve">  </w:t>
      </w:r>
      <w:r w:rsidR="00EB29C6">
        <w:t xml:space="preserve">For societies emerging from violent conflict, however, </w:t>
      </w:r>
      <w:r w:rsidR="00EB29C6" w:rsidRPr="00E8073D">
        <w:t xml:space="preserve">access to funding, support and attention </w:t>
      </w:r>
      <w:r w:rsidR="00EB29C6">
        <w:t>is inevitably limited</w:t>
      </w:r>
      <w:r w:rsidR="00EB29C6" w:rsidRPr="00E8073D">
        <w:t>: ‘No post-conflict state can involve every single victim in healing activities, truth-telling, trials and reparation measures’.</w:t>
      </w:r>
      <w:r w:rsidR="00EB29C6">
        <w:rPr>
          <w:rStyle w:val="FootnoteReference"/>
        </w:rPr>
        <w:footnoteReference w:id="77"/>
      </w:r>
      <w:r w:rsidR="00EB29C6" w:rsidRPr="00E8073D">
        <w:t xml:space="preserve"> </w:t>
      </w:r>
      <w:r w:rsidR="00EB29C6">
        <w:t xml:space="preserve"> </w:t>
      </w:r>
      <w:r w:rsidR="00EB29C6" w:rsidRPr="00E8073D">
        <w:t>Of necessity, those who demonstrate the greatest need may be prioritised for physical and psychological care, financial assistance and treated as symbolically representative of wider</w:t>
      </w:r>
      <w:r w:rsidR="00EB29C6">
        <w:t xml:space="preserve"> victim constituencies</w:t>
      </w:r>
      <w:r w:rsidR="00EB29C6" w:rsidRPr="00E8073D">
        <w:t>.</w:t>
      </w:r>
      <w:r w:rsidR="00EB29C6">
        <w:rPr>
          <w:rStyle w:val="FootnoteReference"/>
        </w:rPr>
        <w:footnoteReference w:id="78"/>
      </w:r>
    </w:p>
    <w:p w14:paraId="2FA9234B" w14:textId="6E1D10FA" w:rsidR="002F22B2" w:rsidRPr="00E8073D" w:rsidRDefault="00B3506D" w:rsidP="00EB29C6">
      <w:pPr>
        <w:spacing w:line="360" w:lineRule="auto"/>
        <w:ind w:firstLine="720"/>
        <w:contextualSpacing/>
        <w:jc w:val="both"/>
      </w:pPr>
      <w:r w:rsidRPr="00E8073D">
        <w:t>W</w:t>
      </w:r>
      <w:r w:rsidR="00D50088">
        <w:t>here accessing reparative mechanisms</w:t>
      </w:r>
      <w:r w:rsidR="00873C5D">
        <w:t xml:space="preserve"> is regarded</w:t>
      </w:r>
      <w:r w:rsidRPr="00E8073D">
        <w:t xml:space="preserve"> as zero </w:t>
      </w:r>
      <w:proofErr w:type="gramStart"/>
      <w:r w:rsidRPr="00E8073D">
        <w:t>sum</w:t>
      </w:r>
      <w:proofErr w:type="gramEnd"/>
      <w:r w:rsidRPr="00E8073D">
        <w:t>,</w:t>
      </w:r>
      <w:r w:rsidR="00873C5D">
        <w:t xml:space="preserve"> groups </w:t>
      </w:r>
      <w:r w:rsidR="002235B0">
        <w:t>may</w:t>
      </w:r>
      <w:r w:rsidR="00873C5D">
        <w:t xml:space="preserve"> commodify victim status</w:t>
      </w:r>
      <w:r w:rsidR="006E0AC1">
        <w:t xml:space="preserve"> to serve not only their needs for tangible resources but also the symbolic moral platform exemplified by the ideal victim</w:t>
      </w:r>
      <w:r w:rsidR="009F7C6B">
        <w:t xml:space="preserve"> construction</w:t>
      </w:r>
      <w:r w:rsidR="004135A3">
        <w:t>.</w:t>
      </w:r>
      <w:r w:rsidRPr="00E8073D">
        <w:t xml:space="preserve"> </w:t>
      </w:r>
      <w:r w:rsidR="00FF393D">
        <w:t xml:space="preserve"> </w:t>
      </w:r>
      <w:r w:rsidR="00E61704">
        <w:t>G</w:t>
      </w:r>
      <w:r w:rsidR="002F22B2" w:rsidRPr="00E8073D">
        <w:t xml:space="preserve">roups emphasise </w:t>
      </w:r>
      <w:r w:rsidR="00EB29C6">
        <w:lastRenderedPageBreak/>
        <w:t>their own victimhood and underscore their deservingness by reiterating claims to innocence</w:t>
      </w:r>
      <w:r w:rsidR="002F22B2" w:rsidRPr="00E8073D">
        <w:t xml:space="preserve"> and</w:t>
      </w:r>
      <w:r w:rsidR="00EB29C6">
        <w:t xml:space="preserve"> legitimacy </w:t>
      </w:r>
      <w:r w:rsidR="00E61704">
        <w:t xml:space="preserve">and employing group-serving explanations of violence </w:t>
      </w:r>
      <w:r w:rsidR="00F22470">
        <w:t>carried out by</w:t>
      </w:r>
      <w:r w:rsidR="00E61704">
        <w:t xml:space="preserve"> the in-group.</w:t>
      </w:r>
      <w:r w:rsidR="00155037">
        <w:rPr>
          <w:rStyle w:val="FootnoteReference"/>
        </w:rPr>
        <w:footnoteReference w:id="79"/>
      </w:r>
      <w:r w:rsidR="002F22B2" w:rsidRPr="00E8073D">
        <w:t xml:space="preserve">  </w:t>
      </w:r>
      <w:r w:rsidR="00D5010B" w:rsidRPr="00E8073D">
        <w:t>Who gets to claim the moral position of</w:t>
      </w:r>
      <w:r w:rsidR="002F22B2" w:rsidRPr="00E8073D">
        <w:t xml:space="preserve"> </w:t>
      </w:r>
      <w:r w:rsidR="00D5010B" w:rsidRPr="00E8073D">
        <w:t>victim</w:t>
      </w:r>
      <w:r w:rsidR="002F22B2" w:rsidRPr="00E8073D">
        <w:t xml:space="preserve"> is critical not only in terms of access to resources and influence over p</w:t>
      </w:r>
      <w:r w:rsidR="00A92201" w:rsidRPr="00E8073D">
        <w:t>olicy development, but also to ‘</w:t>
      </w:r>
      <w:r w:rsidR="002F22B2" w:rsidRPr="00E8073D">
        <w:t>fundamental assessments of the righteousness of each of the conf</w:t>
      </w:r>
      <w:r w:rsidR="00A92201" w:rsidRPr="00E8073D">
        <w:t>lict groups’</w:t>
      </w:r>
      <w:r w:rsidR="002B0C28">
        <w:t>.</w:t>
      </w:r>
      <w:r w:rsidR="002B0C28">
        <w:rPr>
          <w:rStyle w:val="FootnoteReference"/>
        </w:rPr>
        <w:footnoteReference w:id="80"/>
      </w:r>
      <w:r w:rsidR="00BD336F">
        <w:t xml:space="preserve">  </w:t>
      </w:r>
      <w:r w:rsidR="001D48DD">
        <w:t xml:space="preserve">The competition often underpinning group claims to victim status </w:t>
      </w:r>
      <w:r w:rsidR="00BD336F">
        <w:t>resonate</w:t>
      </w:r>
      <w:r w:rsidR="001D48DD">
        <w:t>s</w:t>
      </w:r>
      <w:r w:rsidR="00BD336F">
        <w:t xml:space="preserve"> with </w:t>
      </w:r>
      <w:r w:rsidR="001D48DD">
        <w:t>the subsequent</w:t>
      </w:r>
      <w:r w:rsidR="00D2323C">
        <w:t xml:space="preserve"> </w:t>
      </w:r>
      <w:r w:rsidR="00BD336F">
        <w:t>politicisation</w:t>
      </w:r>
      <w:r w:rsidR="00FC6B98">
        <w:t xml:space="preserve"> of their experiences</w:t>
      </w:r>
      <w:r w:rsidR="00BD336F">
        <w:t xml:space="preserve">.  </w:t>
      </w:r>
    </w:p>
    <w:p w14:paraId="54219677" w14:textId="6D9D49B2" w:rsidR="004C24C0" w:rsidRPr="00E8073D" w:rsidRDefault="00E05C86" w:rsidP="00907054">
      <w:pPr>
        <w:spacing w:line="360" w:lineRule="auto"/>
        <w:ind w:firstLine="709"/>
        <w:contextualSpacing/>
        <w:jc w:val="both"/>
      </w:pPr>
      <w:r>
        <w:t>Data</w:t>
      </w:r>
      <w:r w:rsidR="00E601D9">
        <w:t xml:space="preserve"> </w:t>
      </w:r>
      <w:r w:rsidR="00D11096">
        <w:t xml:space="preserve">from </w:t>
      </w:r>
      <w:r w:rsidR="00BA3343">
        <w:t>interview</w:t>
      </w:r>
      <w:r>
        <w:t xml:space="preserve"> </w:t>
      </w:r>
      <w:r w:rsidR="001D48DD">
        <w:t>overwhelmingly indicates a perception</w:t>
      </w:r>
      <w:r w:rsidR="00BA3343">
        <w:t>, across political, social and religious backgrounds,</w:t>
      </w:r>
      <w:r w:rsidR="001D48DD">
        <w:t xml:space="preserve"> that</w:t>
      </w:r>
      <w:r w:rsidR="00BA3343">
        <w:t xml:space="preserve"> </w:t>
      </w:r>
      <w:r w:rsidR="00CF4A97">
        <w:rPr>
          <w:lang w:val="en-US"/>
        </w:rPr>
        <w:t xml:space="preserve">political parties and interest groups use </w:t>
      </w:r>
      <w:r w:rsidR="00E72914" w:rsidRPr="00E72914">
        <w:rPr>
          <w:lang w:val="en-US"/>
        </w:rPr>
        <w:t xml:space="preserve">victims </w:t>
      </w:r>
      <w:r w:rsidR="000E66EE">
        <w:rPr>
          <w:lang w:val="en-US"/>
        </w:rPr>
        <w:t xml:space="preserve">and their experiences </w:t>
      </w:r>
      <w:r w:rsidR="00CF4A97">
        <w:rPr>
          <w:lang w:val="en-US"/>
        </w:rPr>
        <w:t>to further political agendas</w:t>
      </w:r>
      <w:r w:rsidR="00E72914" w:rsidRPr="00E72914">
        <w:rPr>
          <w:lang w:val="en-US"/>
        </w:rPr>
        <w:t>.</w:t>
      </w:r>
      <w:r w:rsidRPr="00E72914">
        <w:t xml:space="preserve"> </w:t>
      </w:r>
      <w:r w:rsidR="00917984" w:rsidRPr="00E72914">
        <w:t xml:space="preserve"> </w:t>
      </w:r>
      <w:r>
        <w:t xml:space="preserve">The evolution of victim </w:t>
      </w:r>
      <w:r w:rsidR="000E66EE">
        <w:t>discourse</w:t>
      </w:r>
      <w:r>
        <w:t xml:space="preserve">, however, </w:t>
      </w:r>
      <w:r w:rsidR="000E66EE">
        <w:t>suggests</w:t>
      </w:r>
      <w:r>
        <w:t xml:space="preserve"> this was not always the case.  </w:t>
      </w:r>
      <w:r w:rsidR="00D207A9" w:rsidRPr="00E8073D">
        <w:t>Ea</w:t>
      </w:r>
      <w:r w:rsidR="0079042A" w:rsidRPr="00E8073D">
        <w:t>rly research</w:t>
      </w:r>
      <w:r w:rsidR="00C74B05" w:rsidRPr="00E8073D">
        <w:t xml:space="preserve"> </w:t>
      </w:r>
      <w:r w:rsidR="00E96737" w:rsidRPr="00E8073D">
        <w:t>observed</w:t>
      </w:r>
      <w:r w:rsidR="00D207A9" w:rsidRPr="00E8073D">
        <w:t xml:space="preserve"> </w:t>
      </w:r>
      <w:r w:rsidR="00CD16FC" w:rsidRPr="00E8073D">
        <w:t>that</w:t>
      </w:r>
      <w:r w:rsidR="00D207A9" w:rsidRPr="00E8073D">
        <w:t xml:space="preserve"> victims were </w:t>
      </w:r>
      <w:r w:rsidR="00E72914">
        <w:t xml:space="preserve">initially </w:t>
      </w:r>
      <w:r w:rsidR="00D207A9" w:rsidRPr="00E8073D">
        <w:t xml:space="preserve">disengaged from politics: </w:t>
      </w:r>
    </w:p>
    <w:p w14:paraId="769650CB" w14:textId="30E6C739" w:rsidR="00E10B4C" w:rsidRPr="00E8073D" w:rsidRDefault="00D207A9" w:rsidP="00825989">
      <w:pPr>
        <w:spacing w:line="360" w:lineRule="auto"/>
        <w:ind w:left="709"/>
        <w:contextualSpacing/>
        <w:jc w:val="both"/>
      </w:pPr>
      <w:r w:rsidRPr="00E8073D">
        <w:t>…the bereaved and injured have no basis on which they may influence the political process.  They have no political clout, they do not have the capacity to wreck the prospects for peace, nor do they have the power to comman</w:t>
      </w:r>
      <w:r w:rsidR="009C7076" w:rsidRPr="00E8073D">
        <w:t>d the ears of politicians.</w:t>
      </w:r>
      <w:r w:rsidR="00190CD4">
        <w:rPr>
          <w:rStyle w:val="FootnoteReference"/>
        </w:rPr>
        <w:footnoteReference w:id="81"/>
      </w:r>
      <w:r w:rsidRPr="00E8073D">
        <w:t xml:space="preserve">  </w:t>
      </w:r>
      <w:r w:rsidR="00142A0B" w:rsidRPr="00E8073D">
        <w:t xml:space="preserve"> </w:t>
      </w:r>
    </w:p>
    <w:p w14:paraId="01D95692" w14:textId="46213444" w:rsidR="00C52E76" w:rsidRPr="00E8073D" w:rsidRDefault="00DA57BE" w:rsidP="00825989">
      <w:pPr>
        <w:spacing w:line="360" w:lineRule="auto"/>
        <w:contextualSpacing/>
        <w:jc w:val="both"/>
      </w:pPr>
      <w:r w:rsidRPr="00E8073D">
        <w:t>F</w:t>
      </w:r>
      <w:r w:rsidR="00D207A9" w:rsidRPr="00E8073D">
        <w:t xml:space="preserve">ollowing </w:t>
      </w:r>
      <w:r w:rsidR="00BA05A7">
        <w:t xml:space="preserve">paramilitary </w:t>
      </w:r>
      <w:r w:rsidR="00D207A9" w:rsidRPr="00E8073D">
        <w:t xml:space="preserve">ceasefires </w:t>
      </w:r>
      <w:r w:rsidR="00686D7B" w:rsidRPr="00E8073D">
        <w:t>in</w:t>
      </w:r>
      <w:r w:rsidR="00A16D76" w:rsidRPr="00E8073D">
        <w:t xml:space="preserve"> the 1990s</w:t>
      </w:r>
      <w:r w:rsidR="0008334D" w:rsidRPr="00E8073D">
        <w:t>,</w:t>
      </w:r>
      <w:r w:rsidR="00D207A9" w:rsidRPr="00E8073D">
        <w:t xml:space="preserve"> </w:t>
      </w:r>
      <w:r w:rsidR="003C2C5A" w:rsidRPr="00E8073D">
        <w:t xml:space="preserve">the needs of victims came to the fore, and </w:t>
      </w:r>
      <w:r w:rsidR="00D207A9" w:rsidRPr="00E8073D">
        <w:t>victim work an</w:t>
      </w:r>
      <w:r w:rsidR="00014D16" w:rsidRPr="00E8073D">
        <w:t>d victim politics ‘</w:t>
      </w:r>
      <w:r w:rsidR="00D207A9" w:rsidRPr="00E8073D">
        <w:t>became wel</w:t>
      </w:r>
      <w:r w:rsidR="00014D16" w:rsidRPr="00E8073D">
        <w:t>l rehearsed and well understood’</w:t>
      </w:r>
      <w:r w:rsidR="00D11096">
        <w:t>,</w:t>
      </w:r>
      <w:r w:rsidR="00E17150">
        <w:rPr>
          <w:rStyle w:val="FootnoteReference"/>
        </w:rPr>
        <w:footnoteReference w:id="82"/>
      </w:r>
      <w:r w:rsidR="00D11096">
        <w:t xml:space="preserve"> </w:t>
      </w:r>
      <w:r w:rsidR="004F43AD">
        <w:t>coinciding</w:t>
      </w:r>
      <w:r w:rsidR="000A3BF8">
        <w:t xml:space="preserve"> with the increase of exclusive sentiment noted </w:t>
      </w:r>
      <w:r w:rsidR="00EC6A1B">
        <w:t xml:space="preserve">above </w:t>
      </w:r>
      <w:r w:rsidR="000A3BF8">
        <w:t xml:space="preserve">by Smyth.  </w:t>
      </w:r>
      <w:r w:rsidR="00F51B27" w:rsidRPr="00E8073D">
        <w:t>V</w:t>
      </w:r>
      <w:r w:rsidR="00D207A9" w:rsidRPr="00E8073D">
        <w:t xml:space="preserve">ictimhood </w:t>
      </w:r>
      <w:r w:rsidR="00910EE8" w:rsidRPr="00E8073D">
        <w:t>became</w:t>
      </w:r>
      <w:r w:rsidR="007F0335" w:rsidRPr="00E8073D">
        <w:t xml:space="preserve"> </w:t>
      </w:r>
      <w:r w:rsidR="00EC6A1B">
        <w:t>a</w:t>
      </w:r>
      <w:r w:rsidR="00D207A9" w:rsidRPr="00E8073D">
        <w:t xml:space="preserve"> new lo</w:t>
      </w:r>
      <w:r w:rsidR="00227F85">
        <w:t xml:space="preserve">cus of political intractability; </w:t>
      </w:r>
      <w:r w:rsidR="00BE3EA1">
        <w:t xml:space="preserve">political </w:t>
      </w:r>
      <w:r w:rsidR="004F2CAA">
        <w:t>parties</w:t>
      </w:r>
      <w:r w:rsidR="00D207A9" w:rsidRPr="00E8073D">
        <w:t xml:space="preserve"> </w:t>
      </w:r>
      <w:r w:rsidR="004F2CAA">
        <w:t>appropriated</w:t>
      </w:r>
      <w:r w:rsidR="00D207A9" w:rsidRPr="00E8073D">
        <w:t xml:space="preserve"> </w:t>
      </w:r>
      <w:r w:rsidR="00D05BEE" w:rsidRPr="00E8073D">
        <w:t>beliefs about</w:t>
      </w:r>
      <w:r w:rsidR="00D207A9" w:rsidRPr="00E8073D">
        <w:t xml:space="preserve"> in-group victimisation</w:t>
      </w:r>
      <w:r w:rsidR="004F2CAA">
        <w:t xml:space="preserve"> and legitimacy to generate support for </w:t>
      </w:r>
      <w:r w:rsidR="006C1B48">
        <w:t>partisan</w:t>
      </w:r>
      <w:r w:rsidR="004F2CAA">
        <w:t xml:space="preserve"> interests, simultaneously reiterating</w:t>
      </w:r>
      <w:r w:rsidR="00D207A9" w:rsidRPr="00E8073D">
        <w:t xml:space="preserve"> out-group responsibility </w:t>
      </w:r>
      <w:r w:rsidR="004F2CAA">
        <w:t xml:space="preserve">to </w:t>
      </w:r>
      <w:r w:rsidR="00923633" w:rsidRPr="00E8073D">
        <w:t>de-legitimise</w:t>
      </w:r>
      <w:r w:rsidR="000E2F15" w:rsidRPr="00E8073D">
        <w:t xml:space="preserve"> the</w:t>
      </w:r>
      <w:r w:rsidR="004F2CAA">
        <w:t>ir</w:t>
      </w:r>
      <w:r w:rsidR="000E2F15" w:rsidRPr="00E8073D">
        <w:t xml:space="preserve"> </w:t>
      </w:r>
      <w:r w:rsidR="004F2CAA">
        <w:t xml:space="preserve">political </w:t>
      </w:r>
      <w:r w:rsidR="006C1B48">
        <w:t>agendas</w:t>
      </w:r>
      <w:r w:rsidR="00D207A9" w:rsidRPr="00E8073D">
        <w:t xml:space="preserve">. </w:t>
      </w:r>
      <w:r w:rsidR="00942059" w:rsidRPr="00E8073D">
        <w:t xml:space="preserve">  </w:t>
      </w:r>
    </w:p>
    <w:p w14:paraId="725DB4AF" w14:textId="4F6240B8" w:rsidR="00C56789" w:rsidRPr="00E8073D" w:rsidRDefault="008E6689" w:rsidP="00825989">
      <w:pPr>
        <w:spacing w:line="360" w:lineRule="auto"/>
        <w:ind w:firstLine="720"/>
        <w:contextualSpacing/>
        <w:jc w:val="both"/>
      </w:pPr>
      <w:r w:rsidRPr="00E8073D">
        <w:t>P</w:t>
      </w:r>
      <w:r w:rsidR="006A718A" w:rsidRPr="00E8073D">
        <w:t xml:space="preserve">olitical parties </w:t>
      </w:r>
      <w:r w:rsidR="002D6013">
        <w:t>established links</w:t>
      </w:r>
      <w:r w:rsidR="008D58F7" w:rsidRPr="00E8073D">
        <w:t xml:space="preserve"> with victims whose experiences </w:t>
      </w:r>
      <w:r w:rsidR="00283485">
        <w:t>reinforced</w:t>
      </w:r>
      <w:r w:rsidR="008D58F7" w:rsidRPr="00E8073D">
        <w:t xml:space="preserve"> their </w:t>
      </w:r>
      <w:r w:rsidR="00ED654C" w:rsidRPr="00E8073D">
        <w:t>narratives of conflict</w:t>
      </w:r>
      <w:r w:rsidR="00283485">
        <w:t xml:space="preserve"> as a way to</w:t>
      </w:r>
      <w:r w:rsidR="00A52AE7" w:rsidRPr="00E8073D">
        <w:t xml:space="preserve"> </w:t>
      </w:r>
      <w:r w:rsidR="00C12F5D" w:rsidRPr="00E8073D">
        <w:t xml:space="preserve">confirm </w:t>
      </w:r>
      <w:r w:rsidR="007D2CD4">
        <w:t xml:space="preserve">their </w:t>
      </w:r>
      <w:r w:rsidR="00C12F5D" w:rsidRPr="00E8073D">
        <w:t>moral claims to</w:t>
      </w:r>
      <w:r w:rsidR="009A01F0" w:rsidRPr="00E8073D">
        <w:t xml:space="preserve"> </w:t>
      </w:r>
      <w:r w:rsidR="008D58F7" w:rsidRPr="00E8073D">
        <w:t>authority and</w:t>
      </w:r>
      <w:r w:rsidR="00D207A9" w:rsidRPr="00E8073D">
        <w:t xml:space="preserve"> </w:t>
      </w:r>
      <w:r w:rsidR="00CA2F00" w:rsidRPr="00E8073D">
        <w:t>legitimise</w:t>
      </w:r>
      <w:r w:rsidR="00D207A9" w:rsidRPr="00E8073D">
        <w:t xml:space="preserve"> </w:t>
      </w:r>
      <w:r w:rsidR="0071755F">
        <w:t xml:space="preserve">their </w:t>
      </w:r>
      <w:r w:rsidR="00E771A2" w:rsidRPr="00E8073D">
        <w:t>goals</w:t>
      </w:r>
      <w:r w:rsidR="00A724D1" w:rsidRPr="00E8073D">
        <w:t xml:space="preserve">.  </w:t>
      </w:r>
      <w:r w:rsidR="00BA3343">
        <w:t xml:space="preserve">One interviewee described how </w:t>
      </w:r>
      <w:r w:rsidR="003B155B">
        <w:t>‘different victims sectors [are] being represented by different politicians, and it unfortunately largely comes down to Catholic and Protestant, green and orange, and that is just the facts of Northern Ireland’.</w:t>
      </w:r>
      <w:r w:rsidR="003B155B">
        <w:rPr>
          <w:rStyle w:val="FootnoteReference"/>
        </w:rPr>
        <w:footnoteReference w:id="83"/>
      </w:r>
      <w:r w:rsidR="003B155B">
        <w:t xml:space="preserve">  </w:t>
      </w:r>
      <w:r w:rsidR="00F005F4">
        <w:t xml:space="preserve">By </w:t>
      </w:r>
      <w:r w:rsidR="007C5AD5" w:rsidRPr="00E8073D">
        <w:t>appeal</w:t>
      </w:r>
      <w:r w:rsidR="00F005F4">
        <w:t>ing</w:t>
      </w:r>
      <w:r w:rsidR="007C5AD5" w:rsidRPr="00E8073D">
        <w:t xml:space="preserve"> to ethnocentric beliefs that emphasise</w:t>
      </w:r>
      <w:r w:rsidR="00A724D1" w:rsidRPr="00E8073D">
        <w:t xml:space="preserve"> </w:t>
      </w:r>
      <w:r w:rsidR="00F005F4">
        <w:t xml:space="preserve">in-group </w:t>
      </w:r>
      <w:r w:rsidR="00A724D1" w:rsidRPr="00E8073D">
        <w:t xml:space="preserve">victims </w:t>
      </w:r>
      <w:r w:rsidR="009F0FF0">
        <w:t>as</w:t>
      </w:r>
      <w:r w:rsidR="00A724D1" w:rsidRPr="00E8073D">
        <w:t xml:space="preserve"> ‘real’ victims, </w:t>
      </w:r>
      <w:r w:rsidR="00F005F4">
        <w:t xml:space="preserve">politicians and interest groups </w:t>
      </w:r>
      <w:r w:rsidR="00A914F1">
        <w:t>may</w:t>
      </w:r>
      <w:r w:rsidR="00F005F4">
        <w:t xml:space="preserve"> use</w:t>
      </w:r>
      <w:r w:rsidR="00A724D1" w:rsidRPr="00E8073D">
        <w:t xml:space="preserve"> their </w:t>
      </w:r>
      <w:r w:rsidR="00463405">
        <w:t>claims to</w:t>
      </w:r>
      <w:r w:rsidR="00A724D1" w:rsidRPr="00E8073D">
        <w:t xml:space="preserve"> innocence as a shield</w:t>
      </w:r>
      <w:r w:rsidR="001366D6" w:rsidRPr="00E8073D">
        <w:t xml:space="preserve"> against</w:t>
      </w:r>
      <w:r w:rsidR="00A724D1" w:rsidRPr="00E8073D">
        <w:t xml:space="preserve"> </w:t>
      </w:r>
      <w:r w:rsidR="001366D6" w:rsidRPr="00E8073D">
        <w:t>reflection on</w:t>
      </w:r>
      <w:r w:rsidR="00A724D1" w:rsidRPr="00E8073D">
        <w:t xml:space="preserve"> violent act</w:t>
      </w:r>
      <w:r w:rsidR="006049C7">
        <w:t>ions of their own constituency</w:t>
      </w:r>
      <w:r w:rsidR="00A724D1" w:rsidRPr="00E8073D">
        <w:t>.</w:t>
      </w:r>
      <w:r w:rsidR="002B7E71">
        <w:rPr>
          <w:rStyle w:val="FootnoteReference"/>
        </w:rPr>
        <w:footnoteReference w:id="84"/>
      </w:r>
      <w:r w:rsidR="00A724D1" w:rsidRPr="00E8073D">
        <w:t xml:space="preserve">  </w:t>
      </w:r>
      <w:r w:rsidR="00FD547F">
        <w:t>Those</w:t>
      </w:r>
      <w:r w:rsidR="00A724D1" w:rsidRPr="00E8073D">
        <w:t xml:space="preserve"> who critically interrogate the attitudes of these</w:t>
      </w:r>
      <w:r w:rsidR="00463405">
        <w:t xml:space="preserve"> politicians, and by extension the victims for whom they advocate,</w:t>
      </w:r>
      <w:r w:rsidR="00A724D1" w:rsidRPr="00E8073D">
        <w:t xml:space="preserve"> are easily portrayed as callous or indifferent to suffering.  </w:t>
      </w:r>
      <w:r w:rsidR="003A77BC">
        <w:t>The attendant implication</w:t>
      </w:r>
      <w:r w:rsidR="00C56789" w:rsidRPr="00E8073D">
        <w:t xml:space="preserve"> </w:t>
      </w:r>
      <w:r w:rsidR="003A77BC">
        <w:t>that</w:t>
      </w:r>
      <w:r w:rsidR="00C56789" w:rsidRPr="00E8073D">
        <w:t xml:space="preserve"> </w:t>
      </w:r>
      <w:r w:rsidR="003A77BC">
        <w:t xml:space="preserve">responsibility for violence lays </w:t>
      </w:r>
      <w:r w:rsidR="003A77BC">
        <w:lastRenderedPageBreak/>
        <w:t xml:space="preserve">entirely with </w:t>
      </w:r>
      <w:r w:rsidR="00C56789" w:rsidRPr="00E8073D">
        <w:t>out-</w:t>
      </w:r>
      <w:r w:rsidR="00FD547F">
        <w:t>groups further</w:t>
      </w:r>
      <w:r w:rsidR="003A77BC">
        <w:t xml:space="preserve"> suits</w:t>
      </w:r>
      <w:r w:rsidR="00FD547F">
        <w:t xml:space="preserve"> partisan</w:t>
      </w:r>
      <w:r w:rsidR="009D2629" w:rsidRPr="00E8073D">
        <w:t xml:space="preserve"> </w:t>
      </w:r>
      <w:r w:rsidR="00C56789" w:rsidRPr="00E8073D">
        <w:t>political agendas</w:t>
      </w:r>
      <w:r w:rsidR="00005496">
        <w:t>; r</w:t>
      </w:r>
      <w:r w:rsidR="00C56789" w:rsidRPr="00E8073D">
        <w:t>einforcing p</w:t>
      </w:r>
      <w:r w:rsidR="00732286" w:rsidRPr="00E8073D">
        <w:t xml:space="preserve">erceptions of out-group </w:t>
      </w:r>
      <w:r w:rsidR="00005496">
        <w:t>guilt</w:t>
      </w:r>
      <w:r w:rsidR="00AC7486">
        <w:t xml:space="preserve"> and</w:t>
      </w:r>
      <w:r w:rsidR="006A0D99" w:rsidRPr="00E8073D">
        <w:t xml:space="preserve"> </w:t>
      </w:r>
      <w:r w:rsidR="005D38F4" w:rsidRPr="00E8073D">
        <w:t>untrustworthiness</w:t>
      </w:r>
      <w:r w:rsidR="0024322D">
        <w:t xml:space="preserve"> based on past actions</w:t>
      </w:r>
      <w:r w:rsidR="005D38F4" w:rsidRPr="00E8073D">
        <w:t xml:space="preserve"> </w:t>
      </w:r>
      <w:r w:rsidR="00A1418E">
        <w:t>communicates the belief that</w:t>
      </w:r>
      <w:r w:rsidR="005D38F4" w:rsidRPr="00E8073D">
        <w:t xml:space="preserve"> </w:t>
      </w:r>
      <w:r w:rsidR="005E1435">
        <w:t xml:space="preserve">their </w:t>
      </w:r>
      <w:r w:rsidR="00C56789" w:rsidRPr="00E8073D">
        <w:t xml:space="preserve">policies and political objectives </w:t>
      </w:r>
      <w:r w:rsidR="00FD547F">
        <w:t>pose a threat of continued</w:t>
      </w:r>
      <w:r w:rsidR="007A7B3C" w:rsidRPr="00E8073D">
        <w:t xml:space="preserve"> in-group</w:t>
      </w:r>
      <w:r w:rsidR="00C56789" w:rsidRPr="00E8073D">
        <w:t xml:space="preserve"> victimisation</w:t>
      </w:r>
      <w:r w:rsidR="0024322D">
        <w:t xml:space="preserve"> in the present</w:t>
      </w:r>
      <w:r w:rsidR="00A52EF9" w:rsidRPr="00E8073D">
        <w:t>.</w:t>
      </w:r>
    </w:p>
    <w:p w14:paraId="76B45733" w14:textId="1C5EDF2D" w:rsidR="005E7F6D" w:rsidRPr="00E8073D" w:rsidRDefault="0013030C" w:rsidP="00825989">
      <w:pPr>
        <w:spacing w:line="360" w:lineRule="auto"/>
        <w:ind w:firstLine="720"/>
        <w:contextualSpacing/>
        <w:jc w:val="both"/>
      </w:pPr>
      <w:r w:rsidRPr="00E8073D">
        <w:t>P</w:t>
      </w:r>
      <w:r w:rsidR="005E7F6D" w:rsidRPr="00E8073D">
        <w:t>olitical associ</w:t>
      </w:r>
      <w:r w:rsidR="00EB505A" w:rsidRPr="00E8073D">
        <w:t>ation with victims</w:t>
      </w:r>
      <w:r w:rsidRPr="00E8073D">
        <w:t xml:space="preserve"> also</w:t>
      </w:r>
      <w:r w:rsidR="00EB505A" w:rsidRPr="00E8073D">
        <w:t xml:space="preserve"> serves as a ‘</w:t>
      </w:r>
      <w:r w:rsidR="005E7F6D" w:rsidRPr="00E8073D">
        <w:t>potent theme f</w:t>
      </w:r>
      <w:r w:rsidR="00EB505A" w:rsidRPr="00E8073D">
        <w:t>or recruitment and mobilisation’</w:t>
      </w:r>
      <w:r w:rsidR="005E7F6D" w:rsidRPr="00E8073D">
        <w:t>.</w:t>
      </w:r>
      <w:r w:rsidR="001D1D87">
        <w:rPr>
          <w:rStyle w:val="FootnoteReference"/>
        </w:rPr>
        <w:footnoteReference w:id="85"/>
      </w:r>
      <w:r w:rsidR="005E7F6D" w:rsidRPr="00E8073D">
        <w:t xml:space="preserve"> </w:t>
      </w:r>
      <w:r w:rsidR="00263896" w:rsidRPr="00E8073D">
        <w:t xml:space="preserve"> </w:t>
      </w:r>
      <w:r w:rsidR="00473DFF">
        <w:t>Some i</w:t>
      </w:r>
      <w:r w:rsidR="005E7F6D" w:rsidRPr="00E8073D">
        <w:t>ndividual victims and victims groups may see their role as advantageous in furthering political interests</w:t>
      </w:r>
      <w:r w:rsidR="00263896" w:rsidRPr="00E8073D">
        <w:t>, and become mobilised ‘</w:t>
      </w:r>
      <w:r w:rsidR="005E7F6D" w:rsidRPr="00E8073D">
        <w:t>either as political alternatives to conventional groups, or more likely, as surrogates on behalf of political parties</w:t>
      </w:r>
      <w:r w:rsidR="00263896" w:rsidRPr="00E8073D">
        <w:t>’</w:t>
      </w:r>
      <w:r w:rsidR="005E7F6D" w:rsidRPr="00E8073D">
        <w:t>.</w:t>
      </w:r>
      <w:r w:rsidR="00CB5263">
        <w:rPr>
          <w:rStyle w:val="FootnoteReference"/>
        </w:rPr>
        <w:footnoteReference w:id="86"/>
      </w:r>
      <w:r w:rsidR="005E7F6D" w:rsidRPr="00E8073D">
        <w:t xml:space="preserve"> </w:t>
      </w:r>
      <w:r w:rsidR="00136108">
        <w:t xml:space="preserve"> According to one interviewee, politicians ‘can play people like puppets – on both sides of the community’.</w:t>
      </w:r>
      <w:r w:rsidR="00136108">
        <w:rPr>
          <w:rStyle w:val="FootnoteReference"/>
        </w:rPr>
        <w:footnoteReference w:id="87"/>
      </w:r>
      <w:r w:rsidR="00136108">
        <w:t xml:space="preserve">  </w:t>
      </w:r>
      <w:r w:rsidR="00263896" w:rsidRPr="00E8073D">
        <w:t xml:space="preserve">Aligning with victims in the political sphere places politicians in a powerful position to use </w:t>
      </w:r>
      <w:r w:rsidR="00135126" w:rsidRPr="00E8073D">
        <w:t>victims as ‘emotive tools’</w:t>
      </w:r>
      <w:r w:rsidR="00263896" w:rsidRPr="00E8073D">
        <w:t xml:space="preserve"> to condemn and punish those they view as responsible for past violenc</w:t>
      </w:r>
      <w:r w:rsidR="00274907">
        <w:t>e</w:t>
      </w:r>
      <w:r w:rsidR="00263896" w:rsidRPr="00E8073D">
        <w:t>,</w:t>
      </w:r>
      <w:r w:rsidR="005C5DBD">
        <w:rPr>
          <w:rStyle w:val="FootnoteReference"/>
        </w:rPr>
        <w:footnoteReference w:id="88"/>
      </w:r>
      <w:r w:rsidR="00263896" w:rsidRPr="00E8073D">
        <w:t xml:space="preserve"> all the while h</w:t>
      </w:r>
      <w:r w:rsidR="00F05A81" w:rsidRPr="00E8073D">
        <w:t xml:space="preserve">olding up the mantle of </w:t>
      </w:r>
      <w:r w:rsidR="007A1248" w:rsidRPr="00E8073D">
        <w:t>honouring</w:t>
      </w:r>
      <w:r w:rsidR="00F05A81" w:rsidRPr="00E8073D">
        <w:t xml:space="preserve"> victims</w:t>
      </w:r>
      <w:r w:rsidR="00263896" w:rsidRPr="00E8073D">
        <w:t>.</w:t>
      </w:r>
      <w:r w:rsidR="00E6351C">
        <w:rPr>
          <w:rStyle w:val="FootnoteReference"/>
        </w:rPr>
        <w:footnoteReference w:id="89"/>
      </w:r>
      <w:r w:rsidR="00263896" w:rsidRPr="00E8073D">
        <w:t xml:space="preserve">  </w:t>
      </w:r>
      <w:r w:rsidR="005E7F6D" w:rsidRPr="00E8073D">
        <w:t>This mobilisation generates support for p</w:t>
      </w:r>
      <w:r w:rsidR="00120AEC" w:rsidRPr="00E8073D">
        <w:t>olicies that shame or remove</w:t>
      </w:r>
      <w:r w:rsidR="005E7F6D" w:rsidRPr="00E8073D">
        <w:t xml:space="preserve"> </w:t>
      </w:r>
      <w:r w:rsidR="00120AEC" w:rsidRPr="00E8073D">
        <w:t>those</w:t>
      </w:r>
      <w:r w:rsidR="005E7F6D" w:rsidRPr="00E8073D">
        <w:t xml:space="preserve"> perceived as responsible for violence fro</w:t>
      </w:r>
      <w:r w:rsidR="009B05C0" w:rsidRPr="00E8073D">
        <w:t>m governing structures, and</w:t>
      </w:r>
      <w:r w:rsidR="005E7F6D" w:rsidRPr="00E8073D">
        <w:t xml:space="preserve"> opposition to policies that run counter to </w:t>
      </w:r>
      <w:r w:rsidR="00A03B82" w:rsidRPr="00E8073D">
        <w:t>the in-group’s</w:t>
      </w:r>
      <w:r w:rsidR="00C02931" w:rsidRPr="00E8073D">
        <w:t xml:space="preserve"> </w:t>
      </w:r>
      <w:r w:rsidR="00577639" w:rsidRPr="00E8073D">
        <w:t>desire for truth or justice</w:t>
      </w:r>
      <w:r w:rsidR="005E7F6D" w:rsidRPr="00E8073D">
        <w:t xml:space="preserve"> such as amnesties or reintegr</w:t>
      </w:r>
      <w:r w:rsidR="001011AA">
        <w:t>ation of offenders</w:t>
      </w:r>
      <w:r w:rsidR="005E7F6D" w:rsidRPr="00E8073D">
        <w:t>.</w:t>
      </w:r>
      <w:r w:rsidR="00084254">
        <w:rPr>
          <w:rStyle w:val="FootnoteReference"/>
        </w:rPr>
        <w:footnoteReference w:id="90"/>
      </w:r>
      <w:r w:rsidR="005E7F6D" w:rsidRPr="00E8073D">
        <w:t xml:space="preserve">  </w:t>
      </w:r>
    </w:p>
    <w:p w14:paraId="6CB62855" w14:textId="62EF4011" w:rsidR="0063171E" w:rsidRDefault="00D207A9" w:rsidP="00825989">
      <w:pPr>
        <w:spacing w:line="360" w:lineRule="auto"/>
        <w:ind w:firstLine="720"/>
        <w:contextualSpacing/>
        <w:jc w:val="both"/>
      </w:pPr>
      <w:r w:rsidRPr="00E8073D">
        <w:t xml:space="preserve">Whereas </w:t>
      </w:r>
      <w:r w:rsidR="00486ACE">
        <w:t>peacebuilding</w:t>
      </w:r>
      <w:r w:rsidRPr="00E8073D">
        <w:t xml:space="preserve"> literature </w:t>
      </w:r>
      <w:r w:rsidR="00E506F9">
        <w:t>champions</w:t>
      </w:r>
      <w:r w:rsidRPr="00E8073D">
        <w:t xml:space="preserve"> the empowerment of victims, doing so in the political sphere can indeed be a double-edged sword</w:t>
      </w:r>
      <w:r w:rsidR="00025CDF">
        <w:t xml:space="preserve">.  </w:t>
      </w:r>
      <w:r w:rsidR="00F6179B">
        <w:t>P</w:t>
      </w:r>
      <w:r w:rsidR="00655D96" w:rsidRPr="00E8073D">
        <w:t>oliticising victims may</w:t>
      </w:r>
      <w:r w:rsidR="00F6179B">
        <w:t xml:space="preserve"> instead</w:t>
      </w:r>
      <w:r w:rsidR="00655D96" w:rsidRPr="00E8073D">
        <w:t xml:space="preserve"> reinforce </w:t>
      </w:r>
      <w:r w:rsidR="00F6179B">
        <w:t>victimisation</w:t>
      </w:r>
      <w:r w:rsidR="00655D96" w:rsidRPr="00E8073D">
        <w:t xml:space="preserve"> because those who identify strongly as victims ‘are very sensitive to particular cues and conditions and readily tend to use their inherent schema of victimhood to apply to the new situation’.</w:t>
      </w:r>
      <w:r w:rsidR="00655D96">
        <w:rPr>
          <w:rStyle w:val="FootnoteReference"/>
        </w:rPr>
        <w:footnoteReference w:id="91"/>
      </w:r>
      <w:r w:rsidR="00655D96">
        <w:t xml:space="preserve">  </w:t>
      </w:r>
      <w:r w:rsidR="00025CDF">
        <w:t>V</w:t>
      </w:r>
      <w:r w:rsidRPr="00E8073D">
        <w:t>ictims</w:t>
      </w:r>
      <w:r w:rsidR="00264E81" w:rsidRPr="00E8073D">
        <w:t xml:space="preserve"> who</w:t>
      </w:r>
      <w:r w:rsidRPr="00E8073D">
        <w:t xml:space="preserve"> </w:t>
      </w:r>
      <w:r w:rsidR="00775100" w:rsidRPr="00E8073D">
        <w:t>desire recognition</w:t>
      </w:r>
      <w:r w:rsidRPr="00E8073D">
        <w:t xml:space="preserve"> </w:t>
      </w:r>
      <w:r w:rsidR="006E1B68">
        <w:t>may therefore</w:t>
      </w:r>
      <w:r w:rsidRPr="00E8073D">
        <w:t xml:space="preserve"> </w:t>
      </w:r>
      <w:r w:rsidR="00FA6B5C">
        <w:t>face</w:t>
      </w:r>
      <w:r w:rsidRPr="00E8073D">
        <w:t xml:space="preserve"> re-traumatisation </w:t>
      </w:r>
      <w:r w:rsidR="00FA6B5C">
        <w:t>as a result of politicisation of</w:t>
      </w:r>
      <w:r w:rsidRPr="00E8073D">
        <w:t xml:space="preserve"> their pain and suffering</w:t>
      </w:r>
      <w:r w:rsidR="0063171E">
        <w:t>,</w:t>
      </w:r>
      <w:r w:rsidR="00466BDE">
        <w:rPr>
          <w:rStyle w:val="FootnoteReference"/>
        </w:rPr>
        <w:footnoteReference w:id="92"/>
      </w:r>
      <w:r w:rsidR="0063171E">
        <w:t xml:space="preserve"> and are often pitted in competition with one another for resources.  For political expediency,</w:t>
      </w:r>
      <w:r w:rsidR="00F6179B">
        <w:t xml:space="preserve"> not to mention the inevitability of limited resources,</w:t>
      </w:r>
      <w:r w:rsidR="0063171E">
        <w:t xml:space="preserve"> many will be denied</w:t>
      </w:r>
      <w:r w:rsidR="0063171E" w:rsidRPr="00E8073D">
        <w:t xml:space="preserve"> victim</w:t>
      </w:r>
      <w:r w:rsidR="0063171E">
        <w:t xml:space="preserve"> status</w:t>
      </w:r>
      <w:r w:rsidR="0063171E" w:rsidRPr="00E8073D">
        <w:t xml:space="preserve"> and left with unaddressed needs.</w:t>
      </w:r>
      <w:r w:rsidR="0063171E">
        <w:rPr>
          <w:rStyle w:val="FootnoteReference"/>
        </w:rPr>
        <w:footnoteReference w:id="93"/>
      </w:r>
      <w:r w:rsidR="0063171E" w:rsidRPr="00E8073D">
        <w:t xml:space="preserve">  When this</w:t>
      </w:r>
      <w:r w:rsidR="000F6EE7">
        <w:t xml:space="preserve"> is perceived as malicious –</w:t>
      </w:r>
      <w:r w:rsidR="0063171E">
        <w:t xml:space="preserve"> </w:t>
      </w:r>
      <w:r w:rsidR="000F6EE7">
        <w:t xml:space="preserve">minimising or </w:t>
      </w:r>
      <w:proofErr w:type="spellStart"/>
      <w:r w:rsidR="000F6EE7">
        <w:t>relativising</w:t>
      </w:r>
      <w:proofErr w:type="spellEnd"/>
      <w:r w:rsidR="0063171E" w:rsidRPr="00E8073D">
        <w:t xml:space="preserve"> other</w:t>
      </w:r>
      <w:r w:rsidR="000F6EE7">
        <w:t>s’ victimisation</w:t>
      </w:r>
      <w:r w:rsidR="00C71B6B">
        <w:t>, for example</w:t>
      </w:r>
      <w:r w:rsidR="000F6EE7">
        <w:t xml:space="preserve"> – </w:t>
      </w:r>
      <w:r w:rsidR="0063171E" w:rsidRPr="00E8073D">
        <w:t>new grievances</w:t>
      </w:r>
      <w:r w:rsidR="0063171E">
        <w:t xml:space="preserve"> may emerge</w:t>
      </w:r>
      <w:r w:rsidR="00CE3CC7">
        <w:t>.</w:t>
      </w:r>
      <w:r w:rsidR="0063171E" w:rsidRPr="00E8073D">
        <w:t xml:space="preserve"> </w:t>
      </w:r>
      <w:r w:rsidRPr="00E8073D">
        <w:t xml:space="preserve"> </w:t>
      </w:r>
      <w:r w:rsidR="00655D96">
        <w:t xml:space="preserve"> </w:t>
      </w:r>
      <w:proofErr w:type="spellStart"/>
      <w:r w:rsidR="00B133B2">
        <w:t>Huyse</w:t>
      </w:r>
      <w:proofErr w:type="spellEnd"/>
      <w:r w:rsidRPr="00E8073D">
        <w:t xml:space="preserve"> </w:t>
      </w:r>
      <w:r w:rsidR="007B7B70">
        <w:t xml:space="preserve">therefore </w:t>
      </w:r>
      <w:r w:rsidR="00F54C4E">
        <w:t>warns</w:t>
      </w:r>
      <w:r w:rsidRPr="00E8073D">
        <w:t xml:space="preserve"> that political manipulations of victims may win short-term advancement for certain causes, but risks alienating victims and compromising their involvement in </w:t>
      </w:r>
      <w:r w:rsidR="00131781">
        <w:t>peacebuilding</w:t>
      </w:r>
      <w:r w:rsidRPr="00E8073D">
        <w:t>.</w:t>
      </w:r>
      <w:r w:rsidR="00B133B2">
        <w:rPr>
          <w:rStyle w:val="FootnoteReference"/>
        </w:rPr>
        <w:footnoteReference w:id="94"/>
      </w:r>
      <w:r w:rsidR="00C808B8" w:rsidRPr="00E8073D">
        <w:t xml:space="preserve">  H</w:t>
      </w:r>
      <w:r w:rsidRPr="00E8073D">
        <w:t xml:space="preserve">aving </w:t>
      </w:r>
      <w:r w:rsidRPr="00E8073D">
        <w:lastRenderedPageBreak/>
        <w:t xml:space="preserve">mobilised victims to strengthen policies </w:t>
      </w:r>
      <w:r w:rsidR="00551636" w:rsidRPr="00E8073D">
        <w:t>that resist</w:t>
      </w:r>
      <w:r w:rsidR="000D3491" w:rsidRPr="00E8073D">
        <w:t xml:space="preserve"> cooperation or integration between </w:t>
      </w:r>
      <w:r w:rsidRPr="00E8073D">
        <w:t>group</w:t>
      </w:r>
      <w:r w:rsidR="000D3491" w:rsidRPr="00E8073D">
        <w:t>s</w:t>
      </w:r>
      <w:r w:rsidRPr="00E8073D">
        <w:t>, political parties may face resistance when attempting more reconciliatory policies.</w:t>
      </w:r>
      <w:r w:rsidR="00CC15C7">
        <w:rPr>
          <w:rStyle w:val="FootnoteReference"/>
        </w:rPr>
        <w:footnoteReference w:id="95"/>
      </w:r>
      <w:r w:rsidR="0063171E">
        <w:t xml:space="preserve">  </w:t>
      </w:r>
    </w:p>
    <w:p w14:paraId="18914C06" w14:textId="2F5C7E78" w:rsidR="00715FDB" w:rsidRDefault="00742122" w:rsidP="00825989">
      <w:pPr>
        <w:spacing w:line="360" w:lineRule="auto"/>
        <w:ind w:firstLine="720"/>
        <w:contextualSpacing/>
        <w:jc w:val="both"/>
      </w:pPr>
      <w:r w:rsidRPr="00A623FC">
        <w:t>Moreover, p</w:t>
      </w:r>
      <w:r w:rsidR="00F5285D" w:rsidRPr="00A623FC">
        <w:t>olitical</w:t>
      </w:r>
      <w:r w:rsidR="00A9529C" w:rsidRPr="00A623FC">
        <w:t xml:space="preserve"> interests may overshadow</w:t>
      </w:r>
      <w:r w:rsidR="00E146C6" w:rsidRPr="00A623FC">
        <w:t xml:space="preserve"> issues </w:t>
      </w:r>
      <w:r w:rsidR="0095762C">
        <w:t xml:space="preserve">directly </w:t>
      </w:r>
      <w:r w:rsidR="00E146C6" w:rsidRPr="00A623FC">
        <w:t>affecting victims,</w:t>
      </w:r>
      <w:r w:rsidR="00D207A9" w:rsidRPr="00A623FC">
        <w:t xml:space="preserve"> limit</w:t>
      </w:r>
      <w:r w:rsidR="00E146C6" w:rsidRPr="00A623FC">
        <w:t>ing</w:t>
      </w:r>
      <w:r w:rsidR="00D207A9" w:rsidRPr="00A623FC">
        <w:t xml:space="preserve"> </w:t>
      </w:r>
      <w:proofErr w:type="gramStart"/>
      <w:r w:rsidR="00D207A9" w:rsidRPr="00A623FC">
        <w:t>victims</w:t>
      </w:r>
      <w:proofErr w:type="gramEnd"/>
      <w:r w:rsidR="00D207A9" w:rsidRPr="00A623FC">
        <w:t xml:space="preserve"> campaigns from generating support outside </w:t>
      </w:r>
      <w:r w:rsidR="002147C2">
        <w:t>their own political constituencies</w:t>
      </w:r>
      <w:r w:rsidR="00D207A9" w:rsidRPr="00A623FC">
        <w:t xml:space="preserve">.  </w:t>
      </w:r>
      <w:proofErr w:type="spellStart"/>
      <w:r w:rsidR="00D207A9" w:rsidRPr="00A623FC">
        <w:t>Barcat</w:t>
      </w:r>
      <w:proofErr w:type="spellEnd"/>
      <w:r w:rsidR="00D207A9" w:rsidRPr="00A623FC">
        <w:t xml:space="preserve"> highlights the struggle of the Bloody Sunday campaign to operate independently of politica</w:t>
      </w:r>
      <w:r w:rsidR="007D0B35" w:rsidRPr="00A623FC">
        <w:t xml:space="preserve">l association with Sinn Féin.  Whereas </w:t>
      </w:r>
      <w:r w:rsidR="00D207A9" w:rsidRPr="00A623FC">
        <w:t xml:space="preserve">the families </w:t>
      </w:r>
      <w:r w:rsidR="007D0B35" w:rsidRPr="00A623FC">
        <w:t xml:space="preserve">initially </w:t>
      </w:r>
      <w:r w:rsidR="00D207A9" w:rsidRPr="00A623FC">
        <w:t xml:space="preserve">recognised </w:t>
      </w:r>
      <w:r w:rsidR="003C73C3" w:rsidRPr="00A623FC">
        <w:t>alignment with the party</w:t>
      </w:r>
      <w:r w:rsidR="00D207A9" w:rsidRPr="00A623FC">
        <w:t xml:space="preserve"> would afford them greater visi</w:t>
      </w:r>
      <w:r w:rsidR="007D0B35" w:rsidRPr="00A623FC">
        <w:t xml:space="preserve">bility and access to resources, they </w:t>
      </w:r>
      <w:r w:rsidR="00D207A9" w:rsidRPr="00A623FC">
        <w:t>began to realise that close association with the republican movement might actually be an obstacle for their campaign.</w:t>
      </w:r>
      <w:r w:rsidR="0066530D" w:rsidRPr="00A623FC">
        <w:rPr>
          <w:rStyle w:val="FootnoteReference"/>
        </w:rPr>
        <w:footnoteReference w:id="96"/>
      </w:r>
      <w:r w:rsidR="00D207A9" w:rsidRPr="00A623FC">
        <w:t xml:space="preserve"> </w:t>
      </w:r>
      <w:r w:rsidR="005E52EE" w:rsidRPr="00A623FC">
        <w:t xml:space="preserve"> </w:t>
      </w:r>
      <w:r w:rsidR="00B71FE5">
        <w:t>T</w:t>
      </w:r>
      <w:r w:rsidR="00016B4C">
        <w:t xml:space="preserve">hey believed </w:t>
      </w:r>
      <w:r w:rsidR="00D207A9" w:rsidRPr="00A623FC">
        <w:t xml:space="preserve">association with Sinn Féin (still seen as an extension of the IRA) </w:t>
      </w:r>
      <w:r w:rsidR="00F6391E">
        <w:t>was</w:t>
      </w:r>
      <w:r w:rsidR="00D207A9" w:rsidRPr="00A623FC">
        <w:t xml:space="preserve"> detrimental to their image and alienate</w:t>
      </w:r>
      <w:r w:rsidR="00F6391E">
        <w:t>d</w:t>
      </w:r>
      <w:r w:rsidR="00D207A9" w:rsidRPr="00A623FC">
        <w:t xml:space="preserve"> the broader audience and support they sought.  Gerry Duddy, whose brother Jack</w:t>
      </w:r>
      <w:r w:rsidR="00016B4C">
        <w:t>ie was killed,</w:t>
      </w:r>
      <w:r w:rsidR="00B63950" w:rsidRPr="00A623FC">
        <w:t xml:space="preserve"> ‘</w:t>
      </w:r>
      <w:r w:rsidR="00B44A11" w:rsidRPr="00A623FC">
        <w:t>recalled how “angry”</w:t>
      </w:r>
      <w:r w:rsidR="00D207A9" w:rsidRPr="00A623FC">
        <w:t xml:space="preserve"> he was at the fa</w:t>
      </w:r>
      <w:r w:rsidR="004426E0" w:rsidRPr="00A623FC">
        <w:t>ct that they constantly had to “</w:t>
      </w:r>
      <w:r w:rsidR="00D207A9" w:rsidRPr="00A623FC">
        <w:t>pr</w:t>
      </w:r>
      <w:r w:rsidR="004426E0" w:rsidRPr="00A623FC">
        <w:t>ove themselves”</w:t>
      </w:r>
      <w:r w:rsidR="00D207A9" w:rsidRPr="00A623FC">
        <w:t xml:space="preserve"> and convince people they were not activists working for some p</w:t>
      </w:r>
      <w:r w:rsidR="00B63950" w:rsidRPr="00A623FC">
        <w:t>olitical organisation’</w:t>
      </w:r>
      <w:r w:rsidR="00D207A9" w:rsidRPr="00A623FC">
        <w:t>.</w:t>
      </w:r>
      <w:r w:rsidR="00DA2FF4" w:rsidRPr="00A623FC">
        <w:rPr>
          <w:rStyle w:val="FootnoteReference"/>
        </w:rPr>
        <w:footnoteReference w:id="97"/>
      </w:r>
      <w:r w:rsidR="00D207A9" w:rsidRPr="00A623FC">
        <w:t xml:space="preserve">  Whereas political leaders </w:t>
      </w:r>
      <w:r w:rsidR="00015DA1">
        <w:t>offer</w:t>
      </w:r>
      <w:r w:rsidR="00D207A9" w:rsidRPr="00A623FC">
        <w:t xml:space="preserve"> resources and agency to </w:t>
      </w:r>
      <w:r w:rsidR="00314FA1" w:rsidRPr="00A623FC">
        <w:t>increase the victims’ visibility</w:t>
      </w:r>
      <w:r w:rsidR="0095762C">
        <w:t>, their involvement</w:t>
      </w:r>
      <w:r w:rsidR="00D207A9" w:rsidRPr="00A623FC">
        <w:t xml:space="preserve"> may simultaneously undermine victims’ goals and experiences by </w:t>
      </w:r>
      <w:r w:rsidR="0095762C">
        <w:t>intentionally or unintentionally linking</w:t>
      </w:r>
      <w:r w:rsidR="00D207A9" w:rsidRPr="00A623FC">
        <w:t xml:space="preserve"> them </w:t>
      </w:r>
      <w:r w:rsidR="0095762C">
        <w:t>with political overtones</w:t>
      </w:r>
      <w:r w:rsidR="00D207A9" w:rsidRPr="00A623FC">
        <w:t>.</w:t>
      </w:r>
      <w:r w:rsidR="00D207A9" w:rsidRPr="00E8073D">
        <w:t xml:space="preserve"> </w:t>
      </w:r>
      <w:r w:rsidR="000256C9" w:rsidRPr="00E8073D">
        <w:t xml:space="preserve"> </w:t>
      </w:r>
    </w:p>
    <w:p w14:paraId="644DC651" w14:textId="6EC5DD6B" w:rsidR="00016B4C" w:rsidRPr="00E8073D" w:rsidRDefault="00016B4C" w:rsidP="00016B4C">
      <w:pPr>
        <w:spacing w:line="360" w:lineRule="auto"/>
        <w:ind w:firstLine="720"/>
        <w:contextualSpacing/>
        <w:jc w:val="both"/>
      </w:pPr>
      <w:r>
        <w:t>T</w:t>
      </w:r>
      <w:r w:rsidR="00E027A6">
        <w:t>hough the overlap between victim competition and politicisation</w:t>
      </w:r>
      <w:r>
        <w:t xml:space="preserve"> is imprecise, their effect</w:t>
      </w:r>
      <w:r w:rsidR="00EC702E">
        <w:t>s</w:t>
      </w:r>
      <w:r>
        <w:t xml:space="preserve"> </w:t>
      </w:r>
      <w:r w:rsidR="00EC702E">
        <w:t>appear</w:t>
      </w:r>
      <w:r w:rsidR="00F921A7">
        <w:t xml:space="preserve"> to reinforce</w:t>
      </w:r>
      <w:r w:rsidR="00E027A6">
        <w:t xml:space="preserve"> </w:t>
      </w:r>
      <w:r w:rsidR="00F921A7">
        <w:t xml:space="preserve">exclusive and intergroup attitudes by setting victimhood as a further arena for competition and political point scoring.  These attitudes map onto </w:t>
      </w:r>
      <w:r w:rsidR="009027C4">
        <w:t>well-documented</w:t>
      </w:r>
      <w:r w:rsidR="00F921A7">
        <w:t xml:space="preserve"> </w:t>
      </w:r>
      <w:r w:rsidR="009027C4">
        <w:t>intergroup competition based in sectarianism</w:t>
      </w:r>
      <w:r w:rsidR="00F921A7">
        <w:t xml:space="preserve"> and differing political aspirations</w:t>
      </w:r>
      <w:r w:rsidR="00AC53D5">
        <w:t>,</w:t>
      </w:r>
      <w:r w:rsidR="009027C4">
        <w:rPr>
          <w:rStyle w:val="FootnoteReference"/>
        </w:rPr>
        <w:footnoteReference w:id="98"/>
      </w:r>
      <w:r w:rsidR="00E027A6">
        <w:t xml:space="preserve"> compromising </w:t>
      </w:r>
      <w:r>
        <w:t>initiative</w:t>
      </w:r>
      <w:r w:rsidR="00E027A6">
        <w:t xml:space="preserve">s </w:t>
      </w:r>
      <w:r w:rsidR="00D765CE">
        <w:t>designed to build peace</w:t>
      </w:r>
      <w:r>
        <w:t>.</w:t>
      </w:r>
      <w:r w:rsidR="00AC53D5">
        <w:t xml:space="preserve">  </w:t>
      </w:r>
      <w:r w:rsidR="00D765CE">
        <w:t>Rat</w:t>
      </w:r>
      <w:r w:rsidR="003975CA">
        <w:t>her than supporting policies to restore relationships based on mutual accountability, a culture in which victimhood is a competitive and politicised claim incentivises on-going division.  This raises the potential to marginalise certain victims from peacebuilding processes and reinforce divisive group identities.</w:t>
      </w:r>
    </w:p>
    <w:p w14:paraId="3C1A8AB3" w14:textId="77777777" w:rsidR="00D207A9" w:rsidRPr="00E8073D" w:rsidRDefault="00D207A9" w:rsidP="00825989">
      <w:pPr>
        <w:spacing w:line="360" w:lineRule="auto"/>
        <w:contextualSpacing/>
        <w:jc w:val="both"/>
      </w:pPr>
    </w:p>
    <w:p w14:paraId="6147CD5E" w14:textId="71C56206" w:rsidR="00D207A9" w:rsidRPr="00E8073D" w:rsidRDefault="00D207A9" w:rsidP="00825989">
      <w:pPr>
        <w:pStyle w:val="Heading2"/>
        <w:spacing w:line="360" w:lineRule="auto"/>
        <w:contextualSpacing/>
        <w:jc w:val="both"/>
        <w:rPr>
          <w:rFonts w:cs="Times New Roman"/>
        </w:rPr>
      </w:pPr>
      <w:bookmarkStart w:id="3" w:name="_Toc301462717"/>
      <w:r w:rsidRPr="00E8073D">
        <w:rPr>
          <w:rFonts w:cs="Times New Roman"/>
        </w:rPr>
        <w:t>Hierarchy of victims</w:t>
      </w:r>
      <w:bookmarkEnd w:id="3"/>
    </w:p>
    <w:p w14:paraId="1A9E6EE9" w14:textId="77777777" w:rsidR="00D207A9" w:rsidRPr="00E8073D" w:rsidRDefault="00D207A9" w:rsidP="00825989">
      <w:pPr>
        <w:spacing w:line="360" w:lineRule="auto"/>
        <w:contextualSpacing/>
        <w:jc w:val="both"/>
        <w:rPr>
          <w:b/>
        </w:rPr>
      </w:pPr>
    </w:p>
    <w:p w14:paraId="6C94F6E3" w14:textId="4E74AC6C" w:rsidR="00042087" w:rsidRPr="00E8073D" w:rsidRDefault="000E632A" w:rsidP="001979A6">
      <w:pPr>
        <w:spacing w:line="360" w:lineRule="auto"/>
        <w:ind w:firstLine="720"/>
        <w:contextualSpacing/>
        <w:jc w:val="both"/>
      </w:pPr>
      <w:r w:rsidRPr="00E8073D">
        <w:t xml:space="preserve">Perhaps the most </w:t>
      </w:r>
      <w:r w:rsidR="00A36A10" w:rsidRPr="00E8073D">
        <w:t>apt</w:t>
      </w:r>
      <w:r w:rsidRPr="00E8073D">
        <w:t xml:space="preserve"> illustration of</w:t>
      </w:r>
      <w:r w:rsidR="00CA3347" w:rsidRPr="00E8073D">
        <w:t xml:space="preserve"> </w:t>
      </w:r>
      <w:r w:rsidR="00A47C5C">
        <w:t>exclusive victim perceptions</w:t>
      </w:r>
      <w:r w:rsidR="00501EE2" w:rsidRPr="00E8073D">
        <w:t>, t</w:t>
      </w:r>
      <w:r w:rsidR="00CA3347" w:rsidRPr="00E8073D">
        <w:t>he</w:t>
      </w:r>
      <w:r w:rsidR="0039580D">
        <w:t xml:space="preserve"> apparent</w:t>
      </w:r>
      <w:r w:rsidR="00CA3347" w:rsidRPr="00E8073D">
        <w:t xml:space="preserve"> </w:t>
      </w:r>
      <w:r w:rsidR="00DF25E5">
        <w:t>‘</w:t>
      </w:r>
      <w:r w:rsidR="00CA3347" w:rsidRPr="00E8073D">
        <w:t>hierarchy of victims</w:t>
      </w:r>
      <w:r w:rsidR="00DF25E5">
        <w:t xml:space="preserve">’ </w:t>
      </w:r>
      <w:r w:rsidR="00DF25E5" w:rsidRPr="00E8073D">
        <w:t xml:space="preserve">is widely recorded in academic and popular discourse </w:t>
      </w:r>
      <w:r w:rsidR="00DF25E5">
        <w:t xml:space="preserve">in Northern </w:t>
      </w:r>
      <w:r w:rsidR="00DF25E5">
        <w:lastRenderedPageBreak/>
        <w:t>Ireland</w:t>
      </w:r>
      <w:r w:rsidR="00DF25E5" w:rsidRPr="00E8073D">
        <w:t>.</w:t>
      </w:r>
      <w:r w:rsidR="00DF25E5">
        <w:rPr>
          <w:rStyle w:val="FootnoteReference"/>
        </w:rPr>
        <w:footnoteReference w:id="99"/>
      </w:r>
      <w:r w:rsidR="00DF25E5">
        <w:t xml:space="preserve"> </w:t>
      </w:r>
      <w:r w:rsidR="00EE142C">
        <w:t xml:space="preserve"> </w:t>
      </w:r>
      <w:r w:rsidR="00357334">
        <w:t>The hierarchy acts as a symbolic mechanism to communicate attitudes about victims’</w:t>
      </w:r>
      <w:r w:rsidR="005E6E17" w:rsidRPr="00E8073D">
        <w:t xml:space="preserve"> </w:t>
      </w:r>
      <w:r w:rsidR="00357334">
        <w:t>deservingness</w:t>
      </w:r>
      <w:r w:rsidR="00932026">
        <w:t xml:space="preserve"> and moral status</w:t>
      </w:r>
      <w:r w:rsidR="002623FB">
        <w:t xml:space="preserve"> </w:t>
      </w:r>
      <w:r w:rsidR="00357334">
        <w:t>and the culpability</w:t>
      </w:r>
      <w:r w:rsidR="008131AF">
        <w:t xml:space="preserve"> or guilt</w:t>
      </w:r>
      <w:r w:rsidR="00357334">
        <w:t xml:space="preserve"> of those less deserving of victim status</w:t>
      </w:r>
      <w:r w:rsidR="002623FB">
        <w:t>.</w:t>
      </w:r>
      <w:r w:rsidR="008131AF">
        <w:rPr>
          <w:rStyle w:val="FootnoteReference"/>
        </w:rPr>
        <w:footnoteReference w:id="100"/>
      </w:r>
      <w:r w:rsidR="00A724DC">
        <w:t xml:space="preserve"> </w:t>
      </w:r>
      <w:r w:rsidR="002623FB">
        <w:t xml:space="preserve"> </w:t>
      </w:r>
      <w:r w:rsidR="00D919BB">
        <w:t>E</w:t>
      </w:r>
      <w:r w:rsidR="00D919BB" w:rsidRPr="00E8073D">
        <w:t>mpirical evidence</w:t>
      </w:r>
      <w:r w:rsidR="0018494A">
        <w:t xml:space="preserve"> and studies of societal attitudes support</w:t>
      </w:r>
      <w:r w:rsidR="00D919BB">
        <w:t xml:space="preserve"> assertions</w:t>
      </w:r>
      <w:r w:rsidR="00D919BB" w:rsidRPr="00E8073D">
        <w:t xml:space="preserve"> that ‘loss and hurt have not been evenly distributed’</w:t>
      </w:r>
      <w:r w:rsidR="0018494A">
        <w:t>.</w:t>
      </w:r>
      <w:r w:rsidR="00D919BB">
        <w:rPr>
          <w:rStyle w:val="FootnoteReference"/>
        </w:rPr>
        <w:footnoteReference w:id="101"/>
      </w:r>
      <w:r w:rsidR="00D919BB" w:rsidRPr="00E8073D">
        <w:t xml:space="preserve"> </w:t>
      </w:r>
      <w:r w:rsidR="00483499">
        <w:t xml:space="preserve"> </w:t>
      </w:r>
      <w:r w:rsidR="00A57B8D">
        <w:t>Analysis of public rhetoric</w:t>
      </w:r>
      <w:r w:rsidR="00D919BB" w:rsidRPr="00E8073D">
        <w:t xml:space="preserve">, however, </w:t>
      </w:r>
      <w:r w:rsidR="00DB1966">
        <w:t>implies</w:t>
      </w:r>
      <w:r w:rsidR="00D919BB" w:rsidRPr="00E8073D">
        <w:t xml:space="preserve"> that</w:t>
      </w:r>
      <w:r w:rsidR="002110AA">
        <w:t xml:space="preserve"> predominant social</w:t>
      </w:r>
      <w:r w:rsidR="00D919BB" w:rsidRPr="00E8073D">
        <w:t xml:space="preserve"> groups perceive this hierarchy differently.</w:t>
      </w:r>
      <w:r w:rsidR="00D919BB">
        <w:t xml:space="preserve">  </w:t>
      </w:r>
      <w:r w:rsidR="00D919BB" w:rsidRPr="00E8073D">
        <w:t xml:space="preserve">Whereas </w:t>
      </w:r>
      <w:r w:rsidR="0080089F">
        <w:t xml:space="preserve">academic scholarship and </w:t>
      </w:r>
      <w:r w:rsidR="00483499">
        <w:t>primary</w:t>
      </w:r>
      <w:r w:rsidR="0080089F">
        <w:t xml:space="preserve"> source material</w:t>
      </w:r>
      <w:r w:rsidR="00D919BB" w:rsidRPr="00E8073D">
        <w:t xml:space="preserve"> highlight a hierarchy </w:t>
      </w:r>
      <w:r w:rsidR="008C457E">
        <w:t>which prioritises</w:t>
      </w:r>
      <w:r w:rsidR="00D919BB" w:rsidRPr="00E8073D">
        <w:t xml:space="preserve"> </w:t>
      </w:r>
      <w:r w:rsidR="00DC0AC4">
        <w:t>‘</w:t>
      </w:r>
      <w:r w:rsidR="00FE14E4">
        <w:t>innocent victims’, unionist statements</w:t>
      </w:r>
      <w:r w:rsidR="00D919BB" w:rsidRPr="00E8073D">
        <w:t xml:space="preserve"> </w:t>
      </w:r>
      <w:r w:rsidR="008A33ED">
        <w:t>refer to</w:t>
      </w:r>
      <w:r w:rsidR="0080089F">
        <w:t xml:space="preserve"> a hierarchy of victims</w:t>
      </w:r>
      <w:r w:rsidR="00D919BB" w:rsidRPr="00E8073D">
        <w:t xml:space="preserve"> that prioritises state victims.</w:t>
      </w:r>
      <w:r w:rsidR="00D919BB">
        <w:t xml:space="preserve">  </w:t>
      </w:r>
      <w:r w:rsidR="00CB6CFB">
        <w:t>Interviewee attitudes were mixed</w:t>
      </w:r>
      <w:r w:rsidR="00400505">
        <w:t xml:space="preserve">, although many clearly echoed the sentiment that </w:t>
      </w:r>
      <w:r w:rsidR="00331946">
        <w:t xml:space="preserve">the </w:t>
      </w:r>
      <w:r w:rsidR="00400505">
        <w:t>hierarchy ‘is the one thing that dominates and closes down options for going forward’.</w:t>
      </w:r>
      <w:r w:rsidR="00400505">
        <w:rPr>
          <w:rStyle w:val="FootnoteReference"/>
        </w:rPr>
        <w:footnoteReference w:id="102"/>
      </w:r>
      <w:r w:rsidR="00400505">
        <w:t xml:space="preserve">  </w:t>
      </w:r>
      <w:r w:rsidR="00D919BB" w:rsidRPr="00E8073D">
        <w:t xml:space="preserve">Indeed, the hierarchy of victims </w:t>
      </w:r>
      <w:r w:rsidR="00D919BB">
        <w:t>appears to reflect</w:t>
      </w:r>
      <w:r w:rsidR="00D919BB" w:rsidRPr="00E8073D">
        <w:t xml:space="preserve"> broader intergroup competition</w:t>
      </w:r>
      <w:r w:rsidR="00D919BB">
        <w:t xml:space="preserve"> and ethnocentrism</w:t>
      </w:r>
      <w:r w:rsidR="00D919BB" w:rsidRPr="00E8073D">
        <w:t xml:space="preserve"> inherent to Northern Irelan</w:t>
      </w:r>
      <w:r w:rsidR="00D919BB">
        <w:t>d</w:t>
      </w:r>
      <w:r w:rsidR="00E117E2">
        <w:t>.</w:t>
      </w:r>
      <w:r w:rsidR="00D919BB">
        <w:rPr>
          <w:rStyle w:val="FootnoteReference"/>
        </w:rPr>
        <w:footnoteReference w:id="103"/>
      </w:r>
      <w:r w:rsidR="00E117E2">
        <w:t xml:space="preserve">  R</w:t>
      </w:r>
      <w:r w:rsidR="00284A22">
        <w:t xml:space="preserve">ather than mitigate divisive attitudes, </w:t>
      </w:r>
      <w:r w:rsidR="00E117E2">
        <w:t xml:space="preserve">it </w:t>
      </w:r>
      <w:r w:rsidR="00284A22">
        <w:t xml:space="preserve">reproduces </w:t>
      </w:r>
      <w:r w:rsidR="00284A22" w:rsidRPr="00E8073D">
        <w:t>‘broader socio-political debates over the causes and consequences of the conflict’</w:t>
      </w:r>
      <w:r w:rsidR="00284A22">
        <w:t>.</w:t>
      </w:r>
      <w:r w:rsidR="00284A22">
        <w:rPr>
          <w:rStyle w:val="FootnoteReference"/>
        </w:rPr>
        <w:footnoteReference w:id="104"/>
      </w:r>
    </w:p>
    <w:p w14:paraId="203D1538" w14:textId="77777777" w:rsidR="0041099B" w:rsidRDefault="00D207A9" w:rsidP="00F965CF">
      <w:pPr>
        <w:spacing w:line="360" w:lineRule="auto"/>
        <w:ind w:firstLine="720"/>
        <w:contextualSpacing/>
        <w:jc w:val="both"/>
      </w:pPr>
      <w:r w:rsidRPr="00E8073D">
        <w:t xml:space="preserve">Most </w:t>
      </w:r>
      <w:r w:rsidR="007D1030">
        <w:t>studies</w:t>
      </w:r>
      <w:r w:rsidR="00FF5312" w:rsidRPr="00E8073D">
        <w:t xml:space="preserve"> evidence a</w:t>
      </w:r>
      <w:r w:rsidR="00071E81" w:rsidRPr="00E8073D">
        <w:t xml:space="preserve"> hierarchy</w:t>
      </w:r>
      <w:r w:rsidR="00C0046B" w:rsidRPr="00E8073D">
        <w:t xml:space="preserve"> that</w:t>
      </w:r>
      <w:r w:rsidRPr="00E8073D">
        <w:t xml:space="preserve"> prioritises ‘innocent victims’ and links with advocacy for an exclusive definition</w:t>
      </w:r>
      <w:r w:rsidR="00B32359" w:rsidRPr="00E8073D">
        <w:t xml:space="preserve"> of victim.  </w:t>
      </w:r>
      <w:r w:rsidRPr="00E8073D">
        <w:t>Ferguso</w:t>
      </w:r>
      <w:r w:rsidR="004F5A45">
        <w:t>n, Burgess and</w:t>
      </w:r>
      <w:r w:rsidR="00080A7C" w:rsidRPr="00E8073D">
        <w:t xml:space="preserve"> Hollywood</w:t>
      </w:r>
      <w:r w:rsidR="007F0603" w:rsidRPr="00E8073D">
        <w:t xml:space="preserve"> record</w:t>
      </w:r>
      <w:r w:rsidRPr="00E8073D">
        <w:t xml:space="preserve"> widespread support for the argument that</w:t>
      </w:r>
      <w:r w:rsidR="00C707CB" w:rsidRPr="00E8073D">
        <w:t xml:space="preserve"> certain victims, specifically innocent victims</w:t>
      </w:r>
      <w:r w:rsidRPr="00E8073D">
        <w:t>, are more deserving of victim status than those responsible for violence.  Whereas some</w:t>
      </w:r>
      <w:r w:rsidR="00CA1DDE" w:rsidRPr="00E8073D">
        <w:t xml:space="preserve"> respondents</w:t>
      </w:r>
      <w:r w:rsidRPr="00E8073D">
        <w:t xml:space="preserve"> </w:t>
      </w:r>
      <w:r w:rsidR="00D1106C">
        <w:t xml:space="preserve">to their </w:t>
      </w:r>
      <w:r w:rsidR="00BB49B4">
        <w:t xml:space="preserve">study </w:t>
      </w:r>
      <w:r w:rsidRPr="00E8073D">
        <w:t>agreed paramilitaries or security forces might also be victims, most expressed the belief that they are not victi</w:t>
      </w:r>
      <w:r w:rsidR="00987CE8">
        <w:t>ms ‘in the same way’</w:t>
      </w:r>
      <w:r w:rsidRPr="00E8073D">
        <w:t>.</w:t>
      </w:r>
      <w:r w:rsidR="00987CE8">
        <w:rPr>
          <w:rStyle w:val="FootnoteReference"/>
        </w:rPr>
        <w:footnoteReference w:id="105"/>
      </w:r>
      <w:r w:rsidRPr="00E8073D">
        <w:t xml:space="preserve">  </w:t>
      </w:r>
      <w:r w:rsidR="001979A6">
        <w:t xml:space="preserve">Beliefs about what victims are ‘innocent’, however, resonate with group narratives of violence and responsibility.  The hierarchy therefore reflects ethnocentric, favourable beliefs about in-group members as the ‘real’ or ideal victims and out-group members </w:t>
      </w:r>
      <w:r w:rsidR="009514E2">
        <w:t>as</w:t>
      </w:r>
      <w:r w:rsidR="001979A6">
        <w:t xml:space="preserve"> less deserving of victim status due to their collective responsibility for violence.  </w:t>
      </w:r>
      <w:r w:rsidRPr="00E8073D">
        <w:t>Indeed, most litera</w:t>
      </w:r>
      <w:r w:rsidR="003D3316" w:rsidRPr="00E8073D">
        <w:t>ture</w:t>
      </w:r>
      <w:r w:rsidR="000E2AB0" w:rsidRPr="00E8073D">
        <w:t xml:space="preserve"> speaks </w:t>
      </w:r>
      <w:r w:rsidR="00AF7ACF">
        <w:t>directly to a hierarchy in which s</w:t>
      </w:r>
      <w:r w:rsidRPr="00E8073D">
        <w:t>ecurity forces and the wider Protestant community are innocent and blameless</w:t>
      </w:r>
      <w:r w:rsidR="00AF7ACF">
        <w:t xml:space="preserve"> atop the hierarchy, and</w:t>
      </w:r>
      <w:r w:rsidRPr="00E8073D">
        <w:t xml:space="preserve"> paramilitaries killed in active service are </w:t>
      </w:r>
      <w:r w:rsidR="00EC3EA2">
        <w:t>at the bottom</w:t>
      </w:r>
      <w:r w:rsidRPr="00E8073D">
        <w:t>.</w:t>
      </w:r>
      <w:r w:rsidR="00EA5A36">
        <w:rPr>
          <w:rStyle w:val="FootnoteReference"/>
        </w:rPr>
        <w:footnoteReference w:id="106"/>
      </w:r>
      <w:r w:rsidRPr="00E8073D">
        <w:t xml:space="preserve">  </w:t>
      </w:r>
    </w:p>
    <w:p w14:paraId="72331F33" w14:textId="6D0792EF" w:rsidR="00D207A9" w:rsidRPr="00E8073D" w:rsidRDefault="00444A47" w:rsidP="003D07EB">
      <w:pPr>
        <w:spacing w:line="360" w:lineRule="auto"/>
        <w:ind w:firstLine="720"/>
        <w:contextualSpacing/>
        <w:jc w:val="both"/>
        <w:rPr>
          <w:color w:val="000000"/>
        </w:rPr>
      </w:pPr>
      <w:r>
        <w:lastRenderedPageBreak/>
        <w:t>Analysis of p</w:t>
      </w:r>
      <w:r w:rsidR="0026249D" w:rsidRPr="00E8073D">
        <w:t>ublic dis</w:t>
      </w:r>
      <w:r w:rsidR="009218BD" w:rsidRPr="00E8073D">
        <w:t>course</w:t>
      </w:r>
      <w:r w:rsidR="0026249D" w:rsidRPr="00E8073D">
        <w:t>, especially in the political sphere,</w:t>
      </w:r>
      <w:r w:rsidR="00D207A9" w:rsidRPr="00E8073D">
        <w:t xml:space="preserve"> </w:t>
      </w:r>
      <w:r>
        <w:t xml:space="preserve">supports </w:t>
      </w:r>
      <w:r w:rsidR="00D207A9" w:rsidRPr="00E8073D">
        <w:t>belief</w:t>
      </w:r>
      <w:r w:rsidR="00A502B8" w:rsidRPr="00E8073D">
        <w:t>s</w:t>
      </w:r>
      <w:r w:rsidR="00D207A9" w:rsidRPr="00E8073D">
        <w:t xml:space="preserve"> </w:t>
      </w:r>
      <w:r w:rsidR="009E6BD8">
        <w:t>of</w:t>
      </w:r>
      <w:r>
        <w:t xml:space="preserve"> a</w:t>
      </w:r>
      <w:r w:rsidR="00142F74">
        <w:t xml:space="preserve"> </w:t>
      </w:r>
      <w:r>
        <w:t>hierarchy within</w:t>
      </w:r>
      <w:r w:rsidR="00D207A9" w:rsidRPr="00E8073D">
        <w:t xml:space="preserve"> unionist narrative</w:t>
      </w:r>
      <w:r>
        <w:t>s</w:t>
      </w:r>
      <w:r w:rsidR="00D207A9" w:rsidRPr="00E8073D">
        <w:t xml:space="preserve"> of violence.  In </w:t>
      </w:r>
      <w:r w:rsidR="00163AFF" w:rsidRPr="00E8073D">
        <w:t>a</w:t>
      </w:r>
      <w:r w:rsidR="00D207A9" w:rsidRPr="00E8073D">
        <w:t xml:space="preserve"> </w:t>
      </w:r>
      <w:r w:rsidR="00163AFF" w:rsidRPr="00E8073D">
        <w:t xml:space="preserve">2014 </w:t>
      </w:r>
      <w:r w:rsidR="00D207A9" w:rsidRPr="00E8073D">
        <w:t>paper</w:t>
      </w:r>
      <w:r w:rsidR="00380ADB">
        <w:rPr>
          <w:color w:val="000000"/>
        </w:rPr>
        <w:t>, the DUP</w:t>
      </w:r>
      <w:r w:rsidR="000A6BB6">
        <w:rPr>
          <w:color w:val="000000"/>
        </w:rPr>
        <w:t xml:space="preserve"> </w:t>
      </w:r>
      <w:r w:rsidR="006B0172">
        <w:rPr>
          <w:color w:val="000000"/>
        </w:rPr>
        <w:t>asserts</w:t>
      </w:r>
      <w:r w:rsidR="000A6BB6">
        <w:rPr>
          <w:color w:val="000000"/>
        </w:rPr>
        <w:t xml:space="preserve"> a </w:t>
      </w:r>
      <w:r w:rsidR="006B0172">
        <w:rPr>
          <w:color w:val="000000"/>
        </w:rPr>
        <w:t>clear distinction between</w:t>
      </w:r>
      <w:r w:rsidR="000A6BB6">
        <w:rPr>
          <w:color w:val="000000"/>
        </w:rPr>
        <w:t xml:space="preserve"> ‘innocent victims’ and others</w:t>
      </w:r>
      <w:r w:rsidR="00E62517" w:rsidRPr="00E8073D">
        <w:rPr>
          <w:color w:val="000000"/>
        </w:rPr>
        <w:t xml:space="preserve">: </w:t>
      </w:r>
      <w:r w:rsidR="003D07EB">
        <w:rPr>
          <w:color w:val="000000"/>
        </w:rPr>
        <w:t>‘</w:t>
      </w:r>
      <w:r w:rsidR="00D207A9" w:rsidRPr="00E8073D">
        <w:rPr>
          <w:color w:val="000000"/>
        </w:rPr>
        <w:t>We recognise there are many victims who seek support</w:t>
      </w:r>
      <w:r w:rsidR="003D07EB">
        <w:rPr>
          <w:color w:val="000000"/>
        </w:rPr>
        <w:t xml:space="preserve">… </w:t>
      </w:r>
      <w:r w:rsidR="00D207A9" w:rsidRPr="00E8073D">
        <w:rPr>
          <w:color w:val="000000"/>
        </w:rPr>
        <w:t>The innocent victims of terrorism have suffered the most, and many are still suffering</w:t>
      </w:r>
      <w:r w:rsidR="009F1698" w:rsidRPr="00E8073D">
        <w:rPr>
          <w:color w:val="000000"/>
        </w:rPr>
        <w:t>’</w:t>
      </w:r>
      <w:r w:rsidR="00D207A9" w:rsidRPr="00E8073D">
        <w:rPr>
          <w:color w:val="000000"/>
        </w:rPr>
        <w:t>.</w:t>
      </w:r>
      <w:r w:rsidR="00F0719E">
        <w:rPr>
          <w:rStyle w:val="FootnoteReference"/>
          <w:color w:val="000000"/>
        </w:rPr>
        <w:footnoteReference w:id="107"/>
      </w:r>
      <w:r w:rsidR="003D07EB">
        <w:rPr>
          <w:color w:val="000000"/>
        </w:rPr>
        <w:t xml:space="preserve"> </w:t>
      </w:r>
      <w:r w:rsidR="00D207A9" w:rsidRPr="00E8073D">
        <w:rPr>
          <w:color w:val="000000"/>
        </w:rPr>
        <w:t xml:space="preserve"> </w:t>
      </w:r>
      <w:r w:rsidR="00A756BC">
        <w:rPr>
          <w:color w:val="000000"/>
        </w:rPr>
        <w:t>Other rhetoric implies</w:t>
      </w:r>
      <w:r w:rsidR="003D07EB">
        <w:rPr>
          <w:color w:val="000000"/>
        </w:rPr>
        <w:t xml:space="preserve"> that the</w:t>
      </w:r>
      <w:r w:rsidR="00D207A9" w:rsidRPr="00E8073D">
        <w:rPr>
          <w:color w:val="000000"/>
        </w:rPr>
        <w:t xml:space="preserve"> ‘innocent victims’ exclude members of the CNR </w:t>
      </w:r>
      <w:r w:rsidR="00225FBA" w:rsidRPr="00E8073D">
        <w:rPr>
          <w:color w:val="000000"/>
        </w:rPr>
        <w:t>population</w:t>
      </w:r>
      <w:r w:rsidR="00D207A9" w:rsidRPr="00E8073D">
        <w:rPr>
          <w:color w:val="000000"/>
        </w:rPr>
        <w:t xml:space="preserve">, </w:t>
      </w:r>
      <w:r w:rsidR="00540E45">
        <w:rPr>
          <w:color w:val="000000"/>
        </w:rPr>
        <w:t>demonstrating</w:t>
      </w:r>
      <w:r w:rsidR="00D33A7D" w:rsidRPr="00E8073D">
        <w:rPr>
          <w:color w:val="000000"/>
        </w:rPr>
        <w:t xml:space="preserve"> </w:t>
      </w:r>
      <w:r w:rsidR="003D07EB">
        <w:rPr>
          <w:color w:val="000000"/>
        </w:rPr>
        <w:t xml:space="preserve">intergroup </w:t>
      </w:r>
      <w:r w:rsidR="00CD184C">
        <w:rPr>
          <w:color w:val="000000"/>
        </w:rPr>
        <w:t>attitudes</w:t>
      </w:r>
      <w:r w:rsidR="00B70AAF">
        <w:rPr>
          <w:color w:val="000000"/>
        </w:rPr>
        <w:t xml:space="preserve"> </w:t>
      </w:r>
      <w:r w:rsidR="00540E45">
        <w:rPr>
          <w:color w:val="000000"/>
        </w:rPr>
        <w:t>that</w:t>
      </w:r>
      <w:r w:rsidR="00B70AAF">
        <w:rPr>
          <w:color w:val="000000"/>
        </w:rPr>
        <w:t xml:space="preserve"> </w:t>
      </w:r>
      <w:r w:rsidR="00221FA8">
        <w:rPr>
          <w:color w:val="000000"/>
        </w:rPr>
        <w:t>dismiss</w:t>
      </w:r>
      <w:r w:rsidR="00540E45">
        <w:rPr>
          <w:color w:val="000000"/>
        </w:rPr>
        <w:t xml:space="preserve"> out-group</w:t>
      </w:r>
      <w:r w:rsidR="00221FA8">
        <w:rPr>
          <w:color w:val="000000"/>
        </w:rPr>
        <w:t xml:space="preserve"> experiences of</w:t>
      </w:r>
      <w:r w:rsidR="00540E45">
        <w:rPr>
          <w:color w:val="000000"/>
        </w:rPr>
        <w:t xml:space="preserve"> victimhood and </w:t>
      </w:r>
      <w:r w:rsidR="00B70AAF">
        <w:rPr>
          <w:color w:val="000000"/>
        </w:rPr>
        <w:t xml:space="preserve">justify violence against </w:t>
      </w:r>
      <w:r w:rsidR="00540E45">
        <w:rPr>
          <w:color w:val="000000"/>
        </w:rPr>
        <w:t>out-group members</w:t>
      </w:r>
      <w:r w:rsidR="00D207A9" w:rsidRPr="00E8073D">
        <w:rPr>
          <w:color w:val="000000"/>
        </w:rPr>
        <w:t>.</w:t>
      </w:r>
      <w:r w:rsidR="00E57744">
        <w:rPr>
          <w:rStyle w:val="FootnoteReference"/>
          <w:color w:val="000000"/>
        </w:rPr>
        <w:footnoteReference w:id="108"/>
      </w:r>
      <w:r w:rsidR="00D33A7D" w:rsidRPr="00E8073D">
        <w:rPr>
          <w:color w:val="000000"/>
        </w:rPr>
        <w:t xml:space="preserve"> </w:t>
      </w:r>
      <w:r w:rsidR="008167E0" w:rsidRPr="00E8073D">
        <w:rPr>
          <w:color w:val="000000"/>
        </w:rPr>
        <w:t xml:space="preserve"> </w:t>
      </w:r>
      <w:r w:rsidR="00235F43" w:rsidRPr="00E8073D">
        <w:t>A</w:t>
      </w:r>
      <w:r w:rsidR="00444274">
        <w:t>n earlier</w:t>
      </w:r>
      <w:r w:rsidR="00E562A3">
        <w:t xml:space="preserve"> DUP </w:t>
      </w:r>
      <w:r w:rsidR="005C1A3D">
        <w:t>publication</w:t>
      </w:r>
      <w:r w:rsidR="00235F43" w:rsidRPr="00E8073D">
        <w:t xml:space="preserve"> signposts scepticism </w:t>
      </w:r>
      <w:r w:rsidR="0040509D">
        <w:t>about</w:t>
      </w:r>
      <w:r w:rsidR="007E3B68">
        <w:t xml:space="preserve"> CNR</w:t>
      </w:r>
      <w:r w:rsidR="007A49B2">
        <w:t xml:space="preserve"> victims</w:t>
      </w:r>
      <w:r w:rsidR="00B92365" w:rsidRPr="00E8073D">
        <w:t xml:space="preserve"> of state</w:t>
      </w:r>
      <w:r w:rsidR="007A49B2">
        <w:t xml:space="preserve"> violence</w:t>
      </w:r>
      <w:r w:rsidR="00B92365" w:rsidRPr="00E8073D">
        <w:t>: ‘</w:t>
      </w:r>
      <w:r w:rsidR="00235F43" w:rsidRPr="00E8073D">
        <w:t>There have also been calls for… enquiries, mostly in cases where it is perceived that there has been wrongdoing by the State and incidents in which the nationalist community ha</w:t>
      </w:r>
      <w:r w:rsidR="00B92365" w:rsidRPr="00E8073D">
        <w:t>ve been perceived to be victims’</w:t>
      </w:r>
      <w:r w:rsidR="00235F43" w:rsidRPr="00E8073D">
        <w:t>.</w:t>
      </w:r>
      <w:r w:rsidR="005E3A51">
        <w:rPr>
          <w:rStyle w:val="FootnoteReference"/>
        </w:rPr>
        <w:footnoteReference w:id="109"/>
      </w:r>
      <w:r w:rsidR="00235F43" w:rsidRPr="00E8073D">
        <w:t xml:space="preserve"> </w:t>
      </w:r>
      <w:r w:rsidR="00847809" w:rsidRPr="00E8073D">
        <w:t xml:space="preserve"> </w:t>
      </w:r>
      <w:r w:rsidR="00847809" w:rsidRPr="00E8073D">
        <w:rPr>
          <w:color w:val="000000"/>
        </w:rPr>
        <w:t>T</w:t>
      </w:r>
      <w:r w:rsidR="00D207A9" w:rsidRPr="00E8073D">
        <w:rPr>
          <w:color w:val="000000"/>
        </w:rPr>
        <w:t xml:space="preserve">he response by UUP MLA Tom Elliot to the arrest of a former soldier in the death of John Pat Cunningham </w:t>
      </w:r>
      <w:r w:rsidR="0023547D">
        <w:rPr>
          <w:color w:val="000000"/>
        </w:rPr>
        <w:t>further</w:t>
      </w:r>
      <w:r w:rsidR="00BE17F6">
        <w:rPr>
          <w:color w:val="000000"/>
        </w:rPr>
        <w:t xml:space="preserve"> communicates a distinction between </w:t>
      </w:r>
      <w:r w:rsidR="00D207A9" w:rsidRPr="00E8073D">
        <w:rPr>
          <w:color w:val="000000"/>
        </w:rPr>
        <w:t xml:space="preserve">CNR </w:t>
      </w:r>
      <w:r w:rsidR="00313F04" w:rsidRPr="00E8073D">
        <w:rPr>
          <w:color w:val="000000"/>
        </w:rPr>
        <w:t xml:space="preserve">civilians </w:t>
      </w:r>
      <w:r w:rsidR="00BE17F6">
        <w:rPr>
          <w:color w:val="000000"/>
        </w:rPr>
        <w:t>and</w:t>
      </w:r>
      <w:r w:rsidR="00313F04" w:rsidRPr="00E8073D">
        <w:rPr>
          <w:color w:val="000000"/>
        </w:rPr>
        <w:t xml:space="preserve"> </w:t>
      </w:r>
      <w:r w:rsidR="00D207A9" w:rsidRPr="00E8073D">
        <w:rPr>
          <w:color w:val="000000"/>
        </w:rPr>
        <w:t xml:space="preserve">‘innocent victims’.  Cunningham, a 27-year-old with a </w:t>
      </w:r>
      <w:r w:rsidR="00384E7A">
        <w:rPr>
          <w:color w:val="000000"/>
        </w:rPr>
        <w:t>diminished mental age</w:t>
      </w:r>
      <w:r w:rsidR="00D207A9" w:rsidRPr="00E8073D">
        <w:rPr>
          <w:color w:val="000000"/>
        </w:rPr>
        <w:t>, was shot in the back while running away from soldiers, of whom he had a w</w:t>
      </w:r>
      <w:r w:rsidR="00805460" w:rsidRPr="00E8073D">
        <w:rPr>
          <w:color w:val="000000"/>
        </w:rPr>
        <w:t>ell-reported fear.  A</w:t>
      </w:r>
      <w:r w:rsidR="00D207A9" w:rsidRPr="00E8073D">
        <w:rPr>
          <w:color w:val="000000"/>
        </w:rPr>
        <w:t xml:space="preserve"> report</w:t>
      </w:r>
      <w:r w:rsidR="00805460" w:rsidRPr="00E8073D">
        <w:rPr>
          <w:color w:val="000000"/>
        </w:rPr>
        <w:t xml:space="preserve"> by the Historical Enquiries Team</w:t>
      </w:r>
      <w:r w:rsidR="00D207A9" w:rsidRPr="00E8073D">
        <w:rPr>
          <w:color w:val="000000"/>
        </w:rPr>
        <w:t xml:space="preserve"> found that he was u</w:t>
      </w:r>
      <w:r w:rsidR="00384E7A">
        <w:rPr>
          <w:color w:val="000000"/>
        </w:rPr>
        <w:t>narmed and ‘blameless’</w:t>
      </w:r>
      <w:r w:rsidR="00D207A9" w:rsidRPr="00E8073D">
        <w:rPr>
          <w:color w:val="000000"/>
        </w:rPr>
        <w:t>.</w:t>
      </w:r>
      <w:r w:rsidR="005E0FCD">
        <w:rPr>
          <w:rStyle w:val="FootnoteReference"/>
          <w:color w:val="000000"/>
        </w:rPr>
        <w:footnoteReference w:id="110"/>
      </w:r>
      <w:r w:rsidR="00D207A9" w:rsidRPr="00E8073D">
        <w:rPr>
          <w:color w:val="000000"/>
        </w:rPr>
        <w:t xml:space="preserve">  Nevertheless, Elliot </w:t>
      </w:r>
      <w:r w:rsidR="00D207A9" w:rsidRPr="00E8073D">
        <w:t>said that,</w:t>
      </w:r>
      <w:r w:rsidR="00EC240F" w:rsidRPr="00E8073D">
        <w:t xml:space="preserve"> ‘</w:t>
      </w:r>
      <w:r w:rsidR="00D207A9" w:rsidRPr="00E8073D">
        <w:t>this latest arrest is continuing down a one-sided route, which is unfair to many innocent victims</w:t>
      </w:r>
      <w:r w:rsidR="00EC240F" w:rsidRPr="00E8073D">
        <w:t>’</w:t>
      </w:r>
      <w:r w:rsidR="00D207A9" w:rsidRPr="00E8073D">
        <w:t>.</w:t>
      </w:r>
      <w:r w:rsidR="00E86EB0">
        <w:rPr>
          <w:rStyle w:val="FootnoteReference"/>
        </w:rPr>
        <w:footnoteReference w:id="111"/>
      </w:r>
      <w:r w:rsidR="00D207A9" w:rsidRPr="00E8073D">
        <w:t xml:space="preserve">  The denial that </w:t>
      </w:r>
      <w:r w:rsidR="0023547D">
        <w:t>a mentally handicapped man was an innocent victim</w:t>
      </w:r>
      <w:r w:rsidR="00146D2E">
        <w:t xml:space="preserve"> or deserve</w:t>
      </w:r>
      <w:r w:rsidR="0023547D">
        <w:t>s</w:t>
      </w:r>
      <w:r w:rsidR="00146D2E">
        <w:t xml:space="preserve"> justice</w:t>
      </w:r>
      <w:r w:rsidR="003E7D2A">
        <w:t xml:space="preserve"> </w:t>
      </w:r>
      <w:r w:rsidR="0023547D">
        <w:t>highlights the</w:t>
      </w:r>
      <w:r w:rsidR="00384E7A">
        <w:t xml:space="preserve"> problematic</w:t>
      </w:r>
      <w:r w:rsidR="0023547D">
        <w:t xml:space="preserve"> tendency for </w:t>
      </w:r>
      <w:r w:rsidR="00B84CA9">
        <w:t>groups</w:t>
      </w:r>
      <w:r w:rsidR="0023547D">
        <w:t xml:space="preserve"> to</w:t>
      </w:r>
      <w:r w:rsidR="00B84CA9">
        <w:t xml:space="preserve"> minimize</w:t>
      </w:r>
      <w:r w:rsidR="00847809" w:rsidRPr="00E8073D">
        <w:t xml:space="preserve"> or n</w:t>
      </w:r>
      <w:r w:rsidR="00B84CA9">
        <w:t>egate</w:t>
      </w:r>
      <w:r w:rsidR="006119A4" w:rsidRPr="00E8073D">
        <w:t xml:space="preserve"> out-group members’ victim status</w:t>
      </w:r>
      <w:r w:rsidR="00D207A9" w:rsidRPr="00E8073D">
        <w:t>.</w:t>
      </w:r>
      <w:r w:rsidR="00967902" w:rsidRPr="00E8073D">
        <w:t xml:space="preserve"> </w:t>
      </w:r>
    </w:p>
    <w:p w14:paraId="16A91B30" w14:textId="29AB1800" w:rsidR="00E43BE6" w:rsidRPr="00E8073D" w:rsidRDefault="00D207A9" w:rsidP="00825989">
      <w:pPr>
        <w:spacing w:line="360" w:lineRule="auto"/>
        <w:ind w:firstLine="720"/>
        <w:contextualSpacing/>
        <w:jc w:val="both"/>
      </w:pPr>
      <w:r w:rsidRPr="00E8073D">
        <w:t xml:space="preserve">There are, </w:t>
      </w:r>
      <w:r w:rsidR="00A2481B" w:rsidRPr="00E8073D">
        <w:t>nevertheless</w:t>
      </w:r>
      <w:r w:rsidRPr="00E8073D">
        <w:t xml:space="preserve">, prominent examples </w:t>
      </w:r>
      <w:r w:rsidR="00B13FA1" w:rsidRPr="00E8073D">
        <w:t>where unionists</w:t>
      </w:r>
      <w:r w:rsidRPr="00E8073D">
        <w:t xml:space="preserve"> condemn</w:t>
      </w:r>
      <w:r w:rsidR="00B13FA1" w:rsidRPr="00E8073D">
        <w:t xml:space="preserve"> the</w:t>
      </w:r>
      <w:r w:rsidR="00396937" w:rsidRPr="00E8073D">
        <w:t xml:space="preserve"> hierarchy of victims.  F</w:t>
      </w:r>
      <w:r w:rsidR="00985168" w:rsidRPr="00E8073D">
        <w:t>ormer</w:t>
      </w:r>
      <w:r w:rsidRPr="00E8073D">
        <w:t xml:space="preserve"> Firs</w:t>
      </w:r>
      <w:r w:rsidR="00DD27AF" w:rsidRPr="00E8073D">
        <w:t>t Minister Peter Robinson</w:t>
      </w:r>
      <w:r w:rsidR="00567FD9">
        <w:t xml:space="preserve"> public</w:t>
      </w:r>
      <w:r w:rsidR="00AD773C" w:rsidRPr="00E8073D">
        <w:t>ly stated that there should be ‘</w:t>
      </w:r>
      <w:r w:rsidRPr="00E8073D">
        <w:t>no hierarchy of victims</w:t>
      </w:r>
      <w:r w:rsidR="00AD773C" w:rsidRPr="00E8073D">
        <w:t>’</w:t>
      </w:r>
      <w:r w:rsidR="00A2481B" w:rsidRPr="00E8073D">
        <w:t>.</w:t>
      </w:r>
      <w:r w:rsidR="00483B9F">
        <w:rPr>
          <w:rStyle w:val="FootnoteReference"/>
        </w:rPr>
        <w:footnoteReference w:id="112"/>
      </w:r>
      <w:r w:rsidR="00A2481B" w:rsidRPr="00E8073D">
        <w:t xml:space="preserve"> </w:t>
      </w:r>
      <w:r w:rsidR="005A767A">
        <w:t xml:space="preserve"> </w:t>
      </w:r>
      <w:r w:rsidR="00A2481B" w:rsidRPr="00E8073D">
        <w:t>T</w:t>
      </w:r>
      <w:r w:rsidRPr="00E8073D">
        <w:t xml:space="preserve">he hierarchy identified by most unionists, however, </w:t>
      </w:r>
      <w:r w:rsidR="00384CBF">
        <w:t>is one</w:t>
      </w:r>
      <w:r w:rsidRPr="00E8073D">
        <w:t xml:space="preserve"> perpetuated by Sinn Féin and the Irish government that prioritises v</w:t>
      </w:r>
      <w:r w:rsidR="00384CBF">
        <w:t>ictims of British state violence</w:t>
      </w:r>
      <w:r w:rsidRPr="00E8073D">
        <w:t>. Empirical evidence</w:t>
      </w:r>
      <w:r w:rsidR="00384CBF">
        <w:t xml:space="preserve"> such as</w:t>
      </w:r>
      <w:r w:rsidRPr="00E8073D">
        <w:t xml:space="preserve"> the costly Saville Inquiry into Bloody Sunday and continued calls for an inquiry into the killing of </w:t>
      </w:r>
      <w:r w:rsidR="00B678E5" w:rsidRPr="00E8073D">
        <w:t xml:space="preserve">human rights lawyer </w:t>
      </w:r>
      <w:r w:rsidRPr="00E8073D">
        <w:t>Pat Finucane</w:t>
      </w:r>
      <w:r w:rsidR="00384CBF">
        <w:t xml:space="preserve"> </w:t>
      </w:r>
      <w:r w:rsidR="00384CBF" w:rsidRPr="00E8073D">
        <w:t>support</w:t>
      </w:r>
      <w:r w:rsidR="00384CBF">
        <w:t>s</w:t>
      </w:r>
      <w:r w:rsidR="00384CBF" w:rsidRPr="00E8073D">
        <w:t xml:space="preserve"> this perception of hierarchy</w:t>
      </w:r>
      <w:r w:rsidRPr="00E8073D">
        <w:t xml:space="preserve">.  </w:t>
      </w:r>
      <w:r w:rsidR="00B83670" w:rsidRPr="00E8073D">
        <w:t>One illustrative case is the campaign for the Irish government to share information on IRA attacks in border areas.</w:t>
      </w:r>
      <w:r w:rsidR="00B83670">
        <w:t xml:space="preserve">  </w:t>
      </w:r>
      <w:r w:rsidR="00331946">
        <w:t xml:space="preserve">Nelson </w:t>
      </w:r>
      <w:proofErr w:type="spellStart"/>
      <w:r w:rsidR="00331946">
        <w:t>McCausland</w:t>
      </w:r>
      <w:proofErr w:type="spellEnd"/>
      <w:r w:rsidRPr="00E8073D">
        <w:t xml:space="preserve"> </w:t>
      </w:r>
      <w:r w:rsidR="00331946">
        <w:t>(</w:t>
      </w:r>
      <w:r w:rsidRPr="00E8073D">
        <w:t>DUP</w:t>
      </w:r>
      <w:r w:rsidR="00331946">
        <w:t>)</w:t>
      </w:r>
      <w:r w:rsidRPr="00E8073D">
        <w:t xml:space="preserve"> </w:t>
      </w:r>
      <w:r w:rsidR="005915A8">
        <w:t>argues</w:t>
      </w:r>
      <w:r w:rsidRPr="00E8073D">
        <w:t xml:space="preserve"> this </w:t>
      </w:r>
      <w:r w:rsidRPr="00E8073D">
        <w:lastRenderedPageBreak/>
        <w:t>indicates ‘preferentia</w:t>
      </w:r>
      <w:r w:rsidR="003B0B7B" w:rsidRPr="00E8073D">
        <w:t>l treatment’ of state victims: ‘</w:t>
      </w:r>
      <w:r w:rsidRPr="00E8073D">
        <w:t>There have been no inquiries into Kingsmill, La Mon or Bloody Friday, or any of the many other atrocities per</w:t>
      </w:r>
      <w:r w:rsidR="003B0B7B" w:rsidRPr="00E8073D">
        <w:t>petuated by the Provisional IRA’</w:t>
      </w:r>
      <w:r w:rsidRPr="00E8073D">
        <w:t>.</w:t>
      </w:r>
      <w:r w:rsidR="009C0857">
        <w:rPr>
          <w:rStyle w:val="FootnoteReference"/>
        </w:rPr>
        <w:footnoteReference w:id="113"/>
      </w:r>
      <w:r w:rsidRPr="00E8073D">
        <w:t xml:space="preserve">  Enda Kenny, the Irish Tao</w:t>
      </w:r>
      <w:r w:rsidR="00DA3431" w:rsidRPr="00E8073D">
        <w:t>iseach, was accused of ‘</w:t>
      </w:r>
      <w:r w:rsidRPr="00E8073D">
        <w:t>creating a “hierarchy of victims” by pressing for a public inquiry into Pat Finucane’s murder while failing to meet relat</w:t>
      </w:r>
      <w:r w:rsidR="00DA3431" w:rsidRPr="00E8073D">
        <w:t xml:space="preserve">ives of the </w:t>
      </w:r>
      <w:proofErr w:type="spellStart"/>
      <w:r w:rsidR="00DA3431" w:rsidRPr="00E8073D">
        <w:t>Kingsmills</w:t>
      </w:r>
      <w:proofErr w:type="spellEnd"/>
      <w:r w:rsidR="00DA3431" w:rsidRPr="00E8073D">
        <w:t xml:space="preserve"> massacre’</w:t>
      </w:r>
      <w:r w:rsidRPr="00E8073D">
        <w:t>.</w:t>
      </w:r>
      <w:r w:rsidR="005A767A">
        <w:rPr>
          <w:rStyle w:val="FootnoteReference"/>
        </w:rPr>
        <w:footnoteReference w:id="114"/>
      </w:r>
      <w:r w:rsidRPr="00E8073D">
        <w:t xml:space="preserve">  </w:t>
      </w:r>
    </w:p>
    <w:p w14:paraId="08074524" w14:textId="72494A8A" w:rsidR="00D207A9" w:rsidRPr="00E8073D" w:rsidRDefault="005E25E0" w:rsidP="00825989">
      <w:pPr>
        <w:spacing w:line="360" w:lineRule="auto"/>
        <w:ind w:firstLine="720"/>
        <w:contextualSpacing/>
        <w:jc w:val="both"/>
      </w:pPr>
      <w:r>
        <w:t>This hierarchy</w:t>
      </w:r>
      <w:r w:rsidR="00D207A9" w:rsidRPr="00E8073D">
        <w:t xml:space="preserve"> prioritise</w:t>
      </w:r>
      <w:r>
        <w:t>s</w:t>
      </w:r>
      <w:r w:rsidR="00D207A9" w:rsidRPr="00E8073D">
        <w:t xml:space="preserve"> victi</w:t>
      </w:r>
      <w:r w:rsidR="00E51458">
        <w:t>ms of state violence, and again emphasises the</w:t>
      </w:r>
      <w:r w:rsidR="00D207A9" w:rsidRPr="00E8073D">
        <w:t xml:space="preserve"> collective victimhood of the in-group (in this case, the CNR community) while neglecting or denying the victimhood of the out-group (PUL community and security forces).  Contained in this hierarchy is a narrative of state victims as ‘legitimate’ or ‘re</w:t>
      </w:r>
      <w:r w:rsidR="005F1C36" w:rsidRPr="00E8073D">
        <w:t>al’ victims, whereas</w:t>
      </w:r>
      <w:r w:rsidR="00C20F3D">
        <w:rPr>
          <w:color w:val="000000"/>
        </w:rPr>
        <w:t xml:space="preserve"> violence against security forces was a response to physical or structural violence</w:t>
      </w:r>
      <w:r w:rsidR="00DE588A" w:rsidRPr="00E8073D">
        <w:t>.</w:t>
      </w:r>
      <w:r w:rsidR="003C2FA8" w:rsidRPr="00E8073D">
        <w:t xml:space="preserve">  </w:t>
      </w:r>
      <w:r w:rsidR="00593A07" w:rsidRPr="00E8073D">
        <w:t>F</w:t>
      </w:r>
      <w:r w:rsidR="00D207A9" w:rsidRPr="00E8073D">
        <w:t>ar less</w:t>
      </w:r>
      <w:r w:rsidR="00AB6E3F" w:rsidRPr="00E8073D">
        <w:t xml:space="preserve"> rhetorical</w:t>
      </w:r>
      <w:r w:rsidR="00D207A9" w:rsidRPr="00E8073D">
        <w:t xml:space="preserve"> evidence </w:t>
      </w:r>
      <w:r w:rsidR="00593A07" w:rsidRPr="00E8073D">
        <w:t>exists</w:t>
      </w:r>
      <w:r w:rsidR="000019D7">
        <w:t>, however,</w:t>
      </w:r>
      <w:r w:rsidR="00593A07" w:rsidRPr="00E8073D">
        <w:t xml:space="preserve"> </w:t>
      </w:r>
      <w:r w:rsidR="00D207A9" w:rsidRPr="00E8073D">
        <w:t xml:space="preserve">that </w:t>
      </w:r>
      <w:r w:rsidR="00EB2C3A" w:rsidRPr="00E8073D">
        <w:t>CNR</w:t>
      </w:r>
      <w:r w:rsidR="00D207A9" w:rsidRPr="00E8073D">
        <w:t xml:space="preserve"> politicians or interest groups explicitly seek to exclude certain victims from acknowledgement.</w:t>
      </w:r>
      <w:r w:rsidR="003811AA" w:rsidRPr="00E8073D">
        <w:t xml:space="preserve">  Indeed, in their submission to the</w:t>
      </w:r>
      <w:r w:rsidR="004242A6">
        <w:t xml:space="preserve"> </w:t>
      </w:r>
      <w:r w:rsidR="00D40945">
        <w:t xml:space="preserve">2013 </w:t>
      </w:r>
      <w:r w:rsidR="00B066FE">
        <w:t xml:space="preserve">talks, Sinn </w:t>
      </w:r>
      <w:proofErr w:type="spellStart"/>
      <w:r w:rsidR="00B066FE">
        <w:t>Féin</w:t>
      </w:r>
      <w:proofErr w:type="spellEnd"/>
      <w:r w:rsidR="003811AA" w:rsidRPr="00E8073D">
        <w:t xml:space="preserve"> argued that </w:t>
      </w:r>
      <w:r w:rsidR="00E51458">
        <w:t xml:space="preserve">victims’ </w:t>
      </w:r>
      <w:r w:rsidR="003811AA" w:rsidRPr="00E8073D">
        <w:t>‘voices must be heard and respected, not simply the loudest voices, not simply those on any particular side or those on no side’.</w:t>
      </w:r>
      <w:r w:rsidR="002654F3">
        <w:rPr>
          <w:rStyle w:val="FootnoteReference"/>
        </w:rPr>
        <w:footnoteReference w:id="115"/>
      </w:r>
      <w:r w:rsidR="00A71AC6">
        <w:t xml:space="preserve">  </w:t>
      </w:r>
      <w:r w:rsidR="009D7D70">
        <w:t>Some</w:t>
      </w:r>
      <w:r w:rsidR="00A71AC6">
        <w:t xml:space="preserve"> within the </w:t>
      </w:r>
      <w:r w:rsidR="00D207A9" w:rsidRPr="00E8073D">
        <w:t xml:space="preserve">republican </w:t>
      </w:r>
      <w:r w:rsidR="00A71AC6">
        <w:t>movement do</w:t>
      </w:r>
      <w:r w:rsidR="00D207A9" w:rsidRPr="00E8073D">
        <w:t>, however, maintain that members of the security forces were ‘legitimate targets’ in their struggle against the British state, which implicitly portrays them as deserving of violence.</w:t>
      </w:r>
    </w:p>
    <w:p w14:paraId="5312091B" w14:textId="7DDCCEBB" w:rsidR="00D207A9" w:rsidRPr="00E8073D" w:rsidRDefault="00D207A9" w:rsidP="0061277C">
      <w:pPr>
        <w:spacing w:line="360" w:lineRule="auto"/>
        <w:ind w:firstLine="720"/>
        <w:contextualSpacing/>
        <w:jc w:val="both"/>
      </w:pPr>
      <w:r w:rsidRPr="00E8073D">
        <w:t xml:space="preserve">These disparate narratives of hierarchy primarily condemn the perceived hierarchy of victims imposed by the ‘other side’, while rejecting that perceptions held by one’s own group amount to a </w:t>
      </w:r>
      <w:r w:rsidR="0031542D">
        <w:t xml:space="preserve">hierarchy. </w:t>
      </w:r>
      <w:r w:rsidRPr="00E8073D">
        <w:t xml:space="preserve"> </w:t>
      </w:r>
      <w:r w:rsidR="00D21A4C">
        <w:t xml:space="preserve">The </w:t>
      </w:r>
      <w:r w:rsidR="004612D1">
        <w:t>concept</w:t>
      </w:r>
      <w:r w:rsidR="00D21A4C">
        <w:t xml:space="preserve"> proves problematic for peacebuilding not only in that it reinforces the divisive group identities described in the context of victim competition and politicisation, but also in</w:t>
      </w:r>
      <w:r w:rsidR="00591098">
        <w:t xml:space="preserve"> that it provides avenues to continue placing blame on the ‘other’ and maintaining a view of in-group legitimacy</w:t>
      </w:r>
      <w:r w:rsidR="00D21A4C">
        <w:t>.</w:t>
      </w:r>
      <w:r w:rsidR="00591098">
        <w:t xml:space="preserve">  Rather than reconciling different experiences of violence and creating an environment of mutual accountability</w:t>
      </w:r>
      <w:r w:rsidR="00BB0280">
        <w:t xml:space="preserve"> and trust</w:t>
      </w:r>
      <w:r w:rsidR="00591098">
        <w:t xml:space="preserve">, </w:t>
      </w:r>
      <w:r w:rsidR="00BB0280">
        <w:t>the hierarchy</w:t>
      </w:r>
      <w:r w:rsidR="00D21A4C">
        <w:t xml:space="preserve"> provides groups with a platform to e</w:t>
      </w:r>
      <w:r w:rsidR="00BB0280">
        <w:t>mphasise their moral superiority, political authority and access to resources</w:t>
      </w:r>
      <w:r w:rsidR="00D21A4C">
        <w:t>.</w:t>
      </w:r>
      <w:r w:rsidR="00591098">
        <w:t xml:space="preserve">  </w:t>
      </w:r>
    </w:p>
    <w:p w14:paraId="33EF6A26" w14:textId="77777777" w:rsidR="00D207A9" w:rsidRPr="00E8073D" w:rsidRDefault="00D207A9" w:rsidP="00825989">
      <w:pPr>
        <w:spacing w:line="360" w:lineRule="auto"/>
        <w:contextualSpacing/>
        <w:jc w:val="both"/>
      </w:pPr>
    </w:p>
    <w:p w14:paraId="02C8070E" w14:textId="0655FCAA" w:rsidR="00D207A9" w:rsidRPr="00E8073D" w:rsidRDefault="005A5BA3" w:rsidP="00825989">
      <w:pPr>
        <w:pStyle w:val="Heading2"/>
        <w:spacing w:line="360" w:lineRule="auto"/>
        <w:contextualSpacing/>
        <w:jc w:val="both"/>
        <w:rPr>
          <w:rFonts w:cs="Times New Roman"/>
        </w:rPr>
      </w:pPr>
      <w:r>
        <w:rPr>
          <w:rFonts w:cs="Times New Roman"/>
        </w:rPr>
        <w:t>Summary</w:t>
      </w:r>
    </w:p>
    <w:p w14:paraId="202101FF" w14:textId="77777777" w:rsidR="0096078F" w:rsidRPr="00E8073D" w:rsidRDefault="0096078F" w:rsidP="00825989">
      <w:pPr>
        <w:spacing w:line="360" w:lineRule="auto"/>
        <w:contextualSpacing/>
        <w:jc w:val="both"/>
      </w:pPr>
    </w:p>
    <w:p w14:paraId="5E3C7E04" w14:textId="3E2CB40F" w:rsidR="00BD4D26" w:rsidRPr="00E8073D" w:rsidRDefault="00155280" w:rsidP="00155280">
      <w:pPr>
        <w:spacing w:line="360" w:lineRule="auto"/>
        <w:contextualSpacing/>
        <w:jc w:val="both"/>
      </w:pPr>
      <w:r>
        <w:lastRenderedPageBreak/>
        <w:tab/>
        <w:t>Three major</w:t>
      </w:r>
      <w:r w:rsidR="00475326">
        <w:t xml:space="preserve"> implications flow from intergroup, exclusive </w:t>
      </w:r>
      <w:r w:rsidR="00794988">
        <w:t>attitudes about</w:t>
      </w:r>
      <w:r>
        <w:t xml:space="preserve"> victimhood</w:t>
      </w:r>
      <w:r w:rsidR="00475326">
        <w:t xml:space="preserve">, which together compromise key peacebuilding objectives </w:t>
      </w:r>
      <w:r>
        <w:t>to build</w:t>
      </w:r>
      <w:r w:rsidR="00475326">
        <w:t xml:space="preserve"> new, co-operat</w:t>
      </w:r>
      <w:r w:rsidR="004612D1">
        <w:t>ive relationships and mitigate</w:t>
      </w:r>
      <w:r w:rsidR="00475326">
        <w:t xml:space="preserve"> divisive group identities.  </w:t>
      </w:r>
      <w:r w:rsidR="00D147F5">
        <w:t>First,</w:t>
      </w:r>
      <w:r w:rsidR="00BD4D26" w:rsidRPr="00E8073D">
        <w:t xml:space="preserve"> debate around</w:t>
      </w:r>
      <w:r w:rsidR="00A02272">
        <w:t xml:space="preserve"> alternatively</w:t>
      </w:r>
      <w:r w:rsidR="00BD4D26" w:rsidRPr="00E8073D">
        <w:t xml:space="preserve"> </w:t>
      </w:r>
      <w:r w:rsidRPr="00E8073D">
        <w:t xml:space="preserve">inclusive </w:t>
      </w:r>
      <w:r>
        <w:t>and</w:t>
      </w:r>
      <w:r w:rsidRPr="00E8073D">
        <w:t xml:space="preserve"> exclusive </w:t>
      </w:r>
      <w:r w:rsidR="00BD4D26" w:rsidRPr="00E8073D">
        <w:t>victim definitions</w:t>
      </w:r>
      <w:r>
        <w:t xml:space="preserve"> compounds difficulties in identifying and acknowledging victims in Northern Ireland.  This</w:t>
      </w:r>
      <w:r w:rsidR="00E40D12">
        <w:t xml:space="preserve"> </w:t>
      </w:r>
      <w:r w:rsidR="00AD17D3" w:rsidRPr="00E8073D">
        <w:t>complicate</w:t>
      </w:r>
      <w:r>
        <w:t>s</w:t>
      </w:r>
      <w:r w:rsidR="00AD17D3" w:rsidRPr="00E8073D">
        <w:t xml:space="preserve"> the collection of data in order to </w:t>
      </w:r>
      <w:r>
        <w:t>inform</w:t>
      </w:r>
      <w:r w:rsidR="00AD17D3" w:rsidRPr="00E8073D">
        <w:t xml:space="preserve"> policies that respond to the diverse needs of victims from all groups.</w:t>
      </w:r>
      <w:r w:rsidR="00DD2D2A" w:rsidRPr="00E8073D">
        <w:t xml:space="preserve">  </w:t>
      </w:r>
      <w:r>
        <w:t xml:space="preserve">Attitudes that reflect differing ideas about who counts as a victim resonate with </w:t>
      </w:r>
      <w:r w:rsidR="002704E6" w:rsidRPr="00E8073D">
        <w:t xml:space="preserve">a </w:t>
      </w:r>
      <w:r>
        <w:t>culture</w:t>
      </w:r>
      <w:r w:rsidR="002704E6" w:rsidRPr="00E8073D">
        <w:t xml:space="preserve"> which encourages competition a</w:t>
      </w:r>
      <w:r w:rsidR="00B32682">
        <w:t>nd politicisation of victims, ultimately reinforcing</w:t>
      </w:r>
      <w:r w:rsidR="004506DC">
        <w:t xml:space="preserve"> socio-political divisions </w:t>
      </w:r>
      <w:r w:rsidR="00B32682">
        <w:t>and marginalising those whose experience is ignored or denied</w:t>
      </w:r>
      <w:r w:rsidR="004506DC">
        <w:t>.</w:t>
      </w:r>
      <w:r w:rsidR="000A1C93" w:rsidRPr="00E8073D">
        <w:t xml:space="preserve">  Finally, both the victim culture and definitional debates re</w:t>
      </w:r>
      <w:r w:rsidR="00D86FA4">
        <w:t>inforce what</w:t>
      </w:r>
      <w:r w:rsidR="000A1C93" w:rsidRPr="00E8073D">
        <w:t xml:space="preserve"> is known </w:t>
      </w:r>
      <w:r w:rsidR="00D86FA4">
        <w:t xml:space="preserve">in Northern Ireland </w:t>
      </w:r>
      <w:r w:rsidR="000A1C93" w:rsidRPr="00E8073D">
        <w:t>as the hierarchy of victims.</w:t>
      </w:r>
      <w:r w:rsidR="00AD17D3" w:rsidRPr="00E8073D">
        <w:t xml:space="preserve">  </w:t>
      </w:r>
      <w:r w:rsidR="004506DC">
        <w:t>A key rhetorical device in the victim debate, the hierarchy</w:t>
      </w:r>
      <w:r w:rsidR="008273A5">
        <w:t xml:space="preserve"> emphasises ethnocentric comparisons between tho</w:t>
      </w:r>
      <w:r w:rsidR="00751DE9">
        <w:t>se deserving</w:t>
      </w:r>
      <w:r w:rsidR="008273A5">
        <w:t xml:space="preserve"> of victim status and those who</w:t>
      </w:r>
      <w:r w:rsidR="00D653E5">
        <w:t xml:space="preserve"> are </w:t>
      </w:r>
      <w:r w:rsidR="00BB3F94">
        <w:t>seen as</w:t>
      </w:r>
      <w:r w:rsidR="008273A5">
        <w:t xml:space="preserve"> ‘guilty’.</w:t>
      </w:r>
    </w:p>
    <w:p w14:paraId="18CD6465" w14:textId="092F3E09" w:rsidR="00DD5831" w:rsidRDefault="00423A9F" w:rsidP="00A25BD9">
      <w:pPr>
        <w:spacing w:line="360" w:lineRule="auto"/>
        <w:ind w:firstLine="720"/>
        <w:contextualSpacing/>
        <w:jc w:val="both"/>
      </w:pPr>
      <w:r w:rsidRPr="00E8073D">
        <w:t xml:space="preserve">Whether through truth and justice interventions, material services, memorialisation or other specific </w:t>
      </w:r>
      <w:r w:rsidR="005417AC" w:rsidRPr="00E8073D">
        <w:t xml:space="preserve">transitional </w:t>
      </w:r>
      <w:r w:rsidRPr="00E8073D">
        <w:t>mechanism</w:t>
      </w:r>
      <w:r w:rsidR="005417AC" w:rsidRPr="00E8073D">
        <w:t>s</w:t>
      </w:r>
      <w:r w:rsidRPr="00E8073D">
        <w:t xml:space="preserve">, </w:t>
      </w:r>
      <w:r w:rsidR="00487CDC">
        <w:t xml:space="preserve">peacebuilding </w:t>
      </w:r>
      <w:r w:rsidR="00A174AB" w:rsidRPr="00E8073D">
        <w:t xml:space="preserve">frameworks champion </w:t>
      </w:r>
      <w:r w:rsidR="00A02272">
        <w:t xml:space="preserve">the importance of </w:t>
      </w:r>
      <w:r w:rsidR="00A174AB" w:rsidRPr="00E8073D">
        <w:t>acknowle</w:t>
      </w:r>
      <w:r w:rsidR="00A02272">
        <w:t xml:space="preserve">dging victims </w:t>
      </w:r>
      <w:r w:rsidR="00385D54">
        <w:t>to</w:t>
      </w:r>
      <w:r w:rsidR="00A174AB" w:rsidRPr="00E8073D">
        <w:t xml:space="preserve"> </w:t>
      </w:r>
      <w:r w:rsidR="00385D54">
        <w:t>consolidate peace and prevent</w:t>
      </w:r>
      <w:r w:rsidR="00487CDC">
        <w:t xml:space="preserve"> future violence</w:t>
      </w:r>
      <w:r w:rsidRPr="00E8073D">
        <w:t xml:space="preserve">.  </w:t>
      </w:r>
      <w:r w:rsidR="00694C0B" w:rsidRPr="00E8073D">
        <w:t>All three implications</w:t>
      </w:r>
      <w:r w:rsidR="00733E5D" w:rsidRPr="00E8073D">
        <w:t xml:space="preserve"> examined above</w:t>
      </w:r>
      <w:r w:rsidR="00694C0B" w:rsidRPr="00E8073D">
        <w:t xml:space="preserve"> </w:t>
      </w:r>
      <w:r w:rsidR="009C7E43">
        <w:t>complicate</w:t>
      </w:r>
      <w:r w:rsidR="00694C0B" w:rsidRPr="00E8073D">
        <w:t xml:space="preserve"> the acknowledgement necessary to restore victims’ dignity and sense of equality in the new peaceful dispensation.</w:t>
      </w:r>
      <w:r w:rsidR="004B7685" w:rsidRPr="00E8073D">
        <w:t xml:space="preserve">  By reinforcing dynamics which challenge acknowledgement of </w:t>
      </w:r>
      <w:r w:rsidR="00677D9F">
        <w:t>groups and individuals</w:t>
      </w:r>
      <w:r w:rsidR="004B7685" w:rsidRPr="00E8073D">
        <w:t xml:space="preserve"> with diverse, complex experiences of violence, </w:t>
      </w:r>
      <w:r w:rsidR="002B64DC">
        <w:t>ex</w:t>
      </w:r>
      <w:r w:rsidR="00C8092F">
        <w:t>clusive approaches</w:t>
      </w:r>
      <w:r w:rsidR="004B6B1E">
        <w:t xml:space="preserve"> risk</w:t>
      </w:r>
      <w:r w:rsidR="004B7685" w:rsidRPr="00E8073D">
        <w:t xml:space="preserve"> alienating </w:t>
      </w:r>
      <w:r w:rsidR="009D5640">
        <w:t>sections of society</w:t>
      </w:r>
      <w:r w:rsidR="004B7685" w:rsidRPr="00E8073D">
        <w:t xml:space="preserve"> from the peace process </w:t>
      </w:r>
      <w:r w:rsidR="00C8092F">
        <w:t>and compounding their sense of</w:t>
      </w:r>
      <w:r w:rsidR="00A153FB">
        <w:t xml:space="preserve"> victimisation</w:t>
      </w:r>
      <w:r w:rsidR="004B7685" w:rsidRPr="00E8073D">
        <w:t>.</w:t>
      </w:r>
      <w:r w:rsidR="00694C0B" w:rsidRPr="00E8073D">
        <w:t xml:space="preserve"> </w:t>
      </w:r>
      <w:r w:rsidR="007C7C5E">
        <w:t xml:space="preserve"> </w:t>
      </w:r>
      <w:r w:rsidR="009A0E6E">
        <w:t xml:space="preserve">Whereas the ultimate objective attached to peacebuilding initiatives is to address underlying structural issues which threaten a return to violence, intergroup attitudes towards victimhood </w:t>
      </w:r>
      <w:r w:rsidR="005C38DF">
        <w:t>incentivise</w:t>
      </w:r>
      <w:r w:rsidR="00383927">
        <w:t xml:space="preserve"> divis</w:t>
      </w:r>
      <w:r w:rsidR="00DC1D42">
        <w:t>ion</w:t>
      </w:r>
      <w:r w:rsidR="00383927">
        <w:t xml:space="preserve"> between former adversaries</w:t>
      </w:r>
      <w:r w:rsidR="009A0E6E">
        <w:t>.</w:t>
      </w:r>
      <w:r w:rsidR="00385E53">
        <w:t xml:space="preserve"> </w:t>
      </w:r>
      <w:r w:rsidR="00FB65B3">
        <w:t xml:space="preserve"> By constructing victimhood as a locus for further conflict, ethnocentric attitudes, beliefs and behaviours are reproduced rather than minimised.</w:t>
      </w:r>
    </w:p>
    <w:p w14:paraId="3222E4D1" w14:textId="50E5BA40" w:rsidR="00183F72" w:rsidRDefault="009C45A5" w:rsidP="003C446A">
      <w:pPr>
        <w:spacing w:line="360" w:lineRule="auto"/>
        <w:ind w:firstLine="720"/>
        <w:contextualSpacing/>
        <w:jc w:val="both"/>
        <w:rPr>
          <w:b/>
        </w:rPr>
      </w:pPr>
      <w:r>
        <w:t>These implic</w:t>
      </w:r>
      <w:r w:rsidR="006331FE">
        <w:t>ations</w:t>
      </w:r>
      <w:r w:rsidR="003D6928">
        <w:t xml:space="preserve"> </w:t>
      </w:r>
      <w:r w:rsidR="006331FE">
        <w:t>emphasise the need to push beyond simplistic</w:t>
      </w:r>
      <w:r w:rsidR="003D6928">
        <w:t>, binary</w:t>
      </w:r>
      <w:r w:rsidR="006331FE">
        <w:t xml:space="preserve"> approaches to </w:t>
      </w:r>
      <w:r w:rsidR="00BE1ACB">
        <w:t>conflict roles</w:t>
      </w:r>
      <w:r w:rsidR="00EC1A02">
        <w:t xml:space="preserve"> of ‘victim’ and ‘perpetrator’</w:t>
      </w:r>
      <w:r w:rsidR="004A2783">
        <w:t xml:space="preserve"> and confront the multiple and complex</w:t>
      </w:r>
      <w:r w:rsidR="00BE1ACB">
        <w:t xml:space="preserve"> narratives of violence, victimhood and responsibility that complicate peacebuilding.</w:t>
      </w:r>
      <w:r w:rsidR="00183F72">
        <w:rPr>
          <w:b/>
        </w:rPr>
        <w:br w:type="page"/>
      </w:r>
    </w:p>
    <w:p w14:paraId="195B17B7" w14:textId="7BE242A0" w:rsidR="00486887" w:rsidRPr="00E8073D" w:rsidRDefault="00486887" w:rsidP="00825989">
      <w:pPr>
        <w:spacing w:line="360" w:lineRule="auto"/>
        <w:contextualSpacing/>
        <w:jc w:val="both"/>
      </w:pPr>
      <w:r w:rsidRPr="00E8073D">
        <w:rPr>
          <w:b/>
        </w:rPr>
        <w:lastRenderedPageBreak/>
        <w:t>Biographical statement</w:t>
      </w:r>
    </w:p>
    <w:p w14:paraId="56A996AE" w14:textId="49079FDA" w:rsidR="00486887" w:rsidRPr="00E8073D" w:rsidRDefault="00486887" w:rsidP="00825989">
      <w:pPr>
        <w:spacing w:line="360" w:lineRule="auto"/>
        <w:contextualSpacing/>
        <w:jc w:val="both"/>
      </w:pPr>
      <w:r w:rsidRPr="00E8073D">
        <w:t xml:space="preserve">SARAH JANKOWITZ, b. 1988, PhD in Sociology and Social Psychology (Trinity College Dublin, 2015); Independent researcher; current </w:t>
      </w:r>
      <w:r w:rsidR="001B1F57">
        <w:t>main interest: peacebuilding and</w:t>
      </w:r>
      <w:r w:rsidRPr="00E8073D">
        <w:t xml:space="preserve"> transitional justice.</w:t>
      </w:r>
    </w:p>
    <w:p w14:paraId="654C6B37" w14:textId="77777777" w:rsidR="003540B1" w:rsidRPr="00E8073D" w:rsidRDefault="003540B1" w:rsidP="00825989">
      <w:pPr>
        <w:spacing w:line="360" w:lineRule="auto"/>
        <w:contextualSpacing/>
        <w:jc w:val="both"/>
      </w:pPr>
    </w:p>
    <w:sectPr w:rsidR="003540B1" w:rsidRPr="00E8073D" w:rsidSect="00563FA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D0AE" w14:textId="77777777" w:rsidR="00F91ACB" w:rsidRDefault="00F91ACB" w:rsidP="00D207A9">
      <w:r>
        <w:separator/>
      </w:r>
    </w:p>
  </w:endnote>
  <w:endnote w:type="continuationSeparator" w:id="0">
    <w:p w14:paraId="4CFFFEC8" w14:textId="77777777" w:rsidR="00F91ACB" w:rsidRDefault="00F91ACB" w:rsidP="00D2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3116" w14:textId="689FFA30" w:rsidR="00F91ACB" w:rsidRDefault="00F91ACB">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1811A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2495C" w14:textId="77777777" w:rsidR="00F91ACB" w:rsidRDefault="00F91ACB" w:rsidP="00D207A9">
      <w:r>
        <w:separator/>
      </w:r>
    </w:p>
  </w:footnote>
  <w:footnote w:type="continuationSeparator" w:id="0">
    <w:p w14:paraId="4B090C25" w14:textId="77777777" w:rsidR="00F91ACB" w:rsidRDefault="00F91ACB" w:rsidP="00D207A9">
      <w:r>
        <w:continuationSeparator/>
      </w:r>
    </w:p>
  </w:footnote>
  <w:footnote w:id="1">
    <w:p w14:paraId="382B72D0" w14:textId="304889F9"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Boutros </w:t>
      </w:r>
      <w:r w:rsidRPr="00AF79E3">
        <w:rPr>
          <w:sz w:val="20"/>
          <w:szCs w:val="20"/>
          <w:lang w:val="en-US"/>
        </w:rPr>
        <w:t xml:space="preserve">Boutros-Ghali, </w:t>
      </w:r>
      <w:r w:rsidRPr="00AF79E3">
        <w:rPr>
          <w:i/>
          <w:sz w:val="20"/>
          <w:szCs w:val="20"/>
          <w:lang w:val="en-US"/>
        </w:rPr>
        <w:t>An Agenda for Peace</w:t>
      </w:r>
      <w:r w:rsidRPr="00AF79E3">
        <w:rPr>
          <w:sz w:val="20"/>
          <w:szCs w:val="20"/>
          <w:lang w:val="en-US"/>
        </w:rPr>
        <w:t xml:space="preserve"> (New York: United Nations, 1995), 46.</w:t>
      </w:r>
    </w:p>
  </w:footnote>
  <w:footnote w:id="2">
    <w:p w14:paraId="1FE8A4A1" w14:textId="210DC279" w:rsidR="00F91ACB" w:rsidRPr="00AF79E3" w:rsidRDefault="00F91ACB" w:rsidP="006E229A">
      <w:pPr>
        <w:pStyle w:val="FootnoteText"/>
        <w:rPr>
          <w:sz w:val="20"/>
          <w:szCs w:val="20"/>
          <w:lang w:val="en-US"/>
        </w:rPr>
      </w:pPr>
      <w:r w:rsidRPr="00AF79E3">
        <w:rPr>
          <w:rStyle w:val="FootnoteReference"/>
          <w:sz w:val="20"/>
          <w:szCs w:val="20"/>
        </w:rPr>
        <w:footnoteRef/>
      </w:r>
      <w:r w:rsidRPr="00AF79E3">
        <w:rPr>
          <w:sz w:val="20"/>
          <w:szCs w:val="20"/>
        </w:rPr>
        <w:t xml:space="preserve"> David Crocker, ‘Reckoning with Past Wrongs: A Normative Framework’, in </w:t>
      </w:r>
      <w:r w:rsidRPr="00AF79E3">
        <w:rPr>
          <w:i/>
          <w:sz w:val="20"/>
          <w:szCs w:val="20"/>
        </w:rPr>
        <w:t>Dilemmas of Reconciliation: Cases and Concepts</w:t>
      </w:r>
      <w:r w:rsidRPr="00AF79E3">
        <w:rPr>
          <w:sz w:val="20"/>
          <w:szCs w:val="20"/>
        </w:rPr>
        <w:t xml:space="preserve"> ed. C. Prager and T. </w:t>
      </w:r>
      <w:proofErr w:type="spellStart"/>
      <w:r w:rsidRPr="00AF79E3">
        <w:rPr>
          <w:sz w:val="20"/>
          <w:szCs w:val="20"/>
        </w:rPr>
        <w:t>Govier</w:t>
      </w:r>
      <w:proofErr w:type="spellEnd"/>
      <w:r w:rsidRPr="00AF79E3">
        <w:rPr>
          <w:sz w:val="20"/>
          <w:szCs w:val="20"/>
        </w:rPr>
        <w:t xml:space="preserve"> (Ontario: Wilfrid Laurier UP, 2003), 39-63, at </w:t>
      </w:r>
      <w:r w:rsidRPr="00AF79E3">
        <w:rPr>
          <w:sz w:val="20"/>
          <w:szCs w:val="20"/>
          <w:lang w:val="en-US"/>
        </w:rPr>
        <w:t xml:space="preserve">51; </w:t>
      </w:r>
      <w:r w:rsidRPr="00AF79E3">
        <w:rPr>
          <w:sz w:val="20"/>
          <w:szCs w:val="20"/>
        </w:rPr>
        <w:t xml:space="preserve">see also Nigel Biggar, ‘Making Peace or Doing Justice: Must we Choose?’, in </w:t>
      </w:r>
      <w:r w:rsidRPr="00AF79E3">
        <w:rPr>
          <w:i/>
          <w:sz w:val="20"/>
          <w:szCs w:val="20"/>
        </w:rPr>
        <w:t>Burying the Past: Making Peace and Doing Justice after Civil Conflict</w:t>
      </w:r>
      <w:r w:rsidRPr="00AF79E3">
        <w:rPr>
          <w:sz w:val="20"/>
          <w:szCs w:val="20"/>
        </w:rPr>
        <w:t xml:space="preserve">, ed. N. Biggar (Washington, DC: Georgetown UP, 2003), 3-24; Luc </w:t>
      </w:r>
      <w:proofErr w:type="spellStart"/>
      <w:r w:rsidRPr="00AF79E3">
        <w:rPr>
          <w:sz w:val="20"/>
          <w:szCs w:val="20"/>
        </w:rPr>
        <w:t>Huyse</w:t>
      </w:r>
      <w:proofErr w:type="spellEnd"/>
      <w:r w:rsidRPr="00AF79E3">
        <w:rPr>
          <w:sz w:val="20"/>
          <w:szCs w:val="20"/>
        </w:rPr>
        <w:t xml:space="preserve">, ‘Victims’, in </w:t>
      </w:r>
      <w:r w:rsidRPr="00AF79E3">
        <w:rPr>
          <w:i/>
          <w:sz w:val="20"/>
          <w:szCs w:val="20"/>
        </w:rPr>
        <w:t>Reconciliation after Violent Conflict: A Handbook</w:t>
      </w:r>
      <w:r w:rsidRPr="00AF79E3">
        <w:rPr>
          <w:sz w:val="20"/>
          <w:szCs w:val="20"/>
        </w:rPr>
        <w:t xml:space="preserve"> ed. D. Bloomfield, T. Barnes and L. </w:t>
      </w:r>
      <w:proofErr w:type="spellStart"/>
      <w:r w:rsidRPr="00AF79E3">
        <w:rPr>
          <w:sz w:val="20"/>
          <w:szCs w:val="20"/>
        </w:rPr>
        <w:t>Huyse</w:t>
      </w:r>
      <w:proofErr w:type="spellEnd"/>
      <w:r w:rsidRPr="00AF79E3">
        <w:rPr>
          <w:sz w:val="20"/>
          <w:szCs w:val="20"/>
        </w:rPr>
        <w:t xml:space="preserve"> (Stockholm: Institute for Democracy and Electoral Assistance, 2003), 53-66.</w:t>
      </w:r>
    </w:p>
  </w:footnote>
  <w:footnote w:id="3">
    <w:p w14:paraId="6C16BAD5" w14:textId="77777777" w:rsidR="00F91ACB" w:rsidRPr="00AF79E3" w:rsidRDefault="00F91ACB" w:rsidP="00483427">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John Brewer, ‘Memory, Truth and Victimhood in Post-Trauma Societies’, in </w:t>
      </w:r>
      <w:proofErr w:type="gramStart"/>
      <w:r w:rsidRPr="00AF79E3">
        <w:rPr>
          <w:i/>
          <w:sz w:val="20"/>
          <w:szCs w:val="20"/>
          <w:lang w:val="en-US"/>
        </w:rPr>
        <w:t>The</w:t>
      </w:r>
      <w:proofErr w:type="gramEnd"/>
      <w:r w:rsidRPr="00AF79E3">
        <w:rPr>
          <w:i/>
          <w:sz w:val="20"/>
          <w:szCs w:val="20"/>
          <w:lang w:val="en-US"/>
        </w:rPr>
        <w:t xml:space="preserve"> SAGE Handbook of Nations and Nationalism</w:t>
      </w:r>
      <w:r w:rsidRPr="00AF79E3">
        <w:rPr>
          <w:sz w:val="20"/>
          <w:szCs w:val="20"/>
          <w:lang w:val="en-US"/>
        </w:rPr>
        <w:t xml:space="preserve"> ed. G. </w:t>
      </w:r>
      <w:proofErr w:type="spellStart"/>
      <w:r w:rsidRPr="00AF79E3">
        <w:rPr>
          <w:sz w:val="20"/>
          <w:szCs w:val="20"/>
          <w:lang w:val="en-US"/>
        </w:rPr>
        <w:t>Delanty</w:t>
      </w:r>
      <w:proofErr w:type="spellEnd"/>
      <w:r w:rsidRPr="00AF79E3">
        <w:rPr>
          <w:sz w:val="20"/>
          <w:szCs w:val="20"/>
          <w:lang w:val="en-US"/>
        </w:rPr>
        <w:t xml:space="preserve"> and K. Kumar (London: Sage, 2006), 214-224, at 222.</w:t>
      </w:r>
    </w:p>
  </w:footnote>
  <w:footnote w:id="4">
    <w:p w14:paraId="7C41D114" w14:textId="74D6C551" w:rsidR="00F91ACB" w:rsidRPr="007D3F4C" w:rsidRDefault="00F91ACB">
      <w:pPr>
        <w:pStyle w:val="FootnoteText"/>
        <w:rPr>
          <w:lang w:val="en-US"/>
        </w:rPr>
      </w:pPr>
      <w:r>
        <w:rPr>
          <w:rStyle w:val="FootnoteReference"/>
        </w:rPr>
        <w:footnoteRef/>
      </w:r>
      <w:r>
        <w:t xml:space="preserve"> </w:t>
      </w:r>
      <w:r w:rsidRPr="00AF79E3">
        <w:rPr>
          <w:sz w:val="20"/>
          <w:szCs w:val="20"/>
        </w:rPr>
        <w:t xml:space="preserve">Daniel Bar-Tal, Lily </w:t>
      </w:r>
      <w:proofErr w:type="spellStart"/>
      <w:r w:rsidRPr="00AF79E3">
        <w:rPr>
          <w:sz w:val="20"/>
          <w:szCs w:val="20"/>
        </w:rPr>
        <w:t>Chernyak</w:t>
      </w:r>
      <w:proofErr w:type="spellEnd"/>
      <w:r w:rsidRPr="00AF79E3">
        <w:rPr>
          <w:sz w:val="20"/>
          <w:szCs w:val="20"/>
        </w:rPr>
        <w:t xml:space="preserve">-Hai, </w:t>
      </w:r>
      <w:proofErr w:type="spellStart"/>
      <w:r w:rsidRPr="00AF79E3">
        <w:rPr>
          <w:sz w:val="20"/>
          <w:szCs w:val="20"/>
        </w:rPr>
        <w:t>Noa</w:t>
      </w:r>
      <w:proofErr w:type="spellEnd"/>
      <w:r w:rsidRPr="00AF79E3">
        <w:rPr>
          <w:sz w:val="20"/>
          <w:szCs w:val="20"/>
        </w:rPr>
        <w:t xml:space="preserve"> </w:t>
      </w:r>
      <w:proofErr w:type="spellStart"/>
      <w:r w:rsidRPr="00AF79E3">
        <w:rPr>
          <w:sz w:val="20"/>
          <w:szCs w:val="20"/>
        </w:rPr>
        <w:t>Schori</w:t>
      </w:r>
      <w:proofErr w:type="spellEnd"/>
      <w:r w:rsidRPr="00AF79E3">
        <w:rPr>
          <w:sz w:val="20"/>
          <w:szCs w:val="20"/>
        </w:rPr>
        <w:t xml:space="preserve"> &amp; </w:t>
      </w:r>
      <w:proofErr w:type="spellStart"/>
      <w:r w:rsidRPr="00AF79E3">
        <w:rPr>
          <w:sz w:val="20"/>
          <w:szCs w:val="20"/>
        </w:rPr>
        <w:t>Ayelet</w:t>
      </w:r>
      <w:proofErr w:type="spellEnd"/>
      <w:r w:rsidRPr="00AF79E3">
        <w:rPr>
          <w:sz w:val="20"/>
          <w:szCs w:val="20"/>
        </w:rPr>
        <w:t xml:space="preserve"> </w:t>
      </w:r>
      <w:proofErr w:type="spellStart"/>
      <w:r w:rsidRPr="00AF79E3">
        <w:rPr>
          <w:sz w:val="20"/>
          <w:szCs w:val="20"/>
        </w:rPr>
        <w:t>Gundar</w:t>
      </w:r>
      <w:proofErr w:type="spellEnd"/>
      <w:r w:rsidRPr="00AF79E3">
        <w:rPr>
          <w:sz w:val="20"/>
          <w:szCs w:val="20"/>
        </w:rPr>
        <w:t xml:space="preserve">, ‘A Sense of Self-Perceived Collective Victimhood in Intractable Conflicts’, in </w:t>
      </w:r>
      <w:r w:rsidRPr="00AF79E3">
        <w:rPr>
          <w:i/>
          <w:sz w:val="20"/>
          <w:szCs w:val="20"/>
        </w:rPr>
        <w:t>International Review of the Red Cross</w:t>
      </w:r>
      <w:r w:rsidRPr="00AF79E3">
        <w:rPr>
          <w:sz w:val="20"/>
          <w:szCs w:val="20"/>
        </w:rPr>
        <w:t xml:space="preserve"> 91, no. 874 (2009), 229-258</w:t>
      </w:r>
      <w:r>
        <w:rPr>
          <w:sz w:val="20"/>
          <w:szCs w:val="20"/>
        </w:rPr>
        <w:t>.</w:t>
      </w:r>
    </w:p>
  </w:footnote>
  <w:footnote w:id="5">
    <w:p w14:paraId="45C641C5" w14:textId="6BFA34A6" w:rsidR="00F91ACB" w:rsidRPr="00AF79E3" w:rsidRDefault="00F91ACB" w:rsidP="0079334B">
      <w:pPr>
        <w:pStyle w:val="FootnoteText"/>
        <w:rPr>
          <w:sz w:val="20"/>
          <w:szCs w:val="20"/>
        </w:rPr>
      </w:pPr>
      <w:r w:rsidRPr="00AF79E3">
        <w:rPr>
          <w:rStyle w:val="FootnoteReference"/>
          <w:sz w:val="20"/>
          <w:szCs w:val="20"/>
        </w:rPr>
        <w:footnoteRef/>
      </w:r>
      <w:r w:rsidRPr="00AF79E3">
        <w:rPr>
          <w:sz w:val="20"/>
          <w:szCs w:val="20"/>
        </w:rPr>
        <w:t xml:space="preserve"> </w:t>
      </w:r>
      <w:r>
        <w:rPr>
          <w:sz w:val="20"/>
          <w:szCs w:val="20"/>
        </w:rPr>
        <w:t>Ibid</w:t>
      </w:r>
      <w:r w:rsidRPr="00AF79E3">
        <w:rPr>
          <w:sz w:val="20"/>
          <w:szCs w:val="20"/>
        </w:rPr>
        <w:t>.</w:t>
      </w:r>
    </w:p>
  </w:footnote>
  <w:footnote w:id="6">
    <w:p w14:paraId="660A15C7" w14:textId="58962CD0" w:rsidR="00F91ACB" w:rsidRPr="00AF79E3" w:rsidRDefault="00F91ACB" w:rsidP="006D0558">
      <w:pPr>
        <w:pStyle w:val="FootnoteText"/>
        <w:rPr>
          <w:sz w:val="20"/>
          <w:szCs w:val="20"/>
        </w:rPr>
      </w:pPr>
      <w:r w:rsidRPr="00AF79E3">
        <w:rPr>
          <w:rStyle w:val="FootnoteReference"/>
          <w:sz w:val="20"/>
          <w:szCs w:val="20"/>
        </w:rPr>
        <w:footnoteRef/>
      </w:r>
      <w:r w:rsidRPr="00AF79E3">
        <w:rPr>
          <w:sz w:val="20"/>
          <w:szCs w:val="20"/>
        </w:rPr>
        <w:t xml:space="preserve"> Brewer, </w:t>
      </w:r>
      <w:r w:rsidRPr="00AF79E3">
        <w:rPr>
          <w:i/>
          <w:sz w:val="20"/>
          <w:szCs w:val="20"/>
        </w:rPr>
        <w:t>Peace Processes: A Sociological Approach</w:t>
      </w:r>
      <w:r w:rsidRPr="00AF79E3">
        <w:rPr>
          <w:sz w:val="20"/>
          <w:szCs w:val="20"/>
        </w:rPr>
        <w:t xml:space="preserve"> (Cambridge: Polity Press, 2010).</w:t>
      </w:r>
    </w:p>
  </w:footnote>
  <w:footnote w:id="7">
    <w:p w14:paraId="2BF26436" w14:textId="77777777" w:rsidR="00F91ACB" w:rsidRPr="00AF79E3" w:rsidRDefault="00F91ACB" w:rsidP="006D0558">
      <w:pPr>
        <w:pStyle w:val="FootnoteText"/>
        <w:rPr>
          <w:sz w:val="20"/>
          <w:szCs w:val="20"/>
        </w:rPr>
      </w:pPr>
      <w:r w:rsidRPr="00AF79E3">
        <w:rPr>
          <w:rStyle w:val="FootnoteReference"/>
          <w:sz w:val="20"/>
          <w:szCs w:val="20"/>
        </w:rPr>
        <w:footnoteRef/>
      </w:r>
      <w:r w:rsidRPr="00AF79E3">
        <w:rPr>
          <w:sz w:val="20"/>
          <w:szCs w:val="20"/>
        </w:rPr>
        <w:t xml:space="preserve"> Rama Mani, </w:t>
      </w:r>
      <w:r w:rsidRPr="00AF79E3">
        <w:rPr>
          <w:i/>
          <w:sz w:val="20"/>
          <w:szCs w:val="20"/>
        </w:rPr>
        <w:t>Beyond Retribution: Seeking Justice in the Shadows of War</w:t>
      </w:r>
      <w:r w:rsidRPr="00AF79E3">
        <w:rPr>
          <w:sz w:val="20"/>
          <w:szCs w:val="20"/>
        </w:rPr>
        <w:t xml:space="preserve"> (Cambridge: Polity Press, 2002), 121.</w:t>
      </w:r>
    </w:p>
  </w:footnote>
  <w:footnote w:id="8">
    <w:p w14:paraId="087E2C85" w14:textId="77777777" w:rsidR="00F91ACB" w:rsidRPr="00AF79E3" w:rsidRDefault="00F91ACB" w:rsidP="00D34AA8">
      <w:pPr>
        <w:pStyle w:val="FootnoteText"/>
        <w:rPr>
          <w:sz w:val="20"/>
          <w:szCs w:val="20"/>
        </w:rPr>
      </w:pPr>
      <w:r w:rsidRPr="00AF79E3">
        <w:rPr>
          <w:rStyle w:val="FootnoteReference"/>
          <w:sz w:val="20"/>
          <w:szCs w:val="20"/>
        </w:rPr>
        <w:footnoteRef/>
      </w:r>
      <w:r w:rsidRPr="00AF79E3">
        <w:rPr>
          <w:sz w:val="20"/>
          <w:szCs w:val="20"/>
        </w:rPr>
        <w:t xml:space="preserve"> John </w:t>
      </w:r>
      <w:proofErr w:type="spellStart"/>
      <w:r w:rsidRPr="00AF79E3">
        <w:rPr>
          <w:sz w:val="20"/>
          <w:szCs w:val="20"/>
        </w:rPr>
        <w:t>McGarry</w:t>
      </w:r>
      <w:proofErr w:type="spellEnd"/>
      <w:r w:rsidRPr="00AF79E3">
        <w:rPr>
          <w:sz w:val="20"/>
          <w:szCs w:val="20"/>
        </w:rPr>
        <w:t xml:space="preserve"> and Brendan O’Leary, </w:t>
      </w:r>
      <w:r w:rsidRPr="00AF79E3">
        <w:rPr>
          <w:i/>
          <w:sz w:val="20"/>
          <w:szCs w:val="20"/>
        </w:rPr>
        <w:t>Explaining Northern Ireland: Broken Images</w:t>
      </w:r>
      <w:r w:rsidRPr="00AF79E3">
        <w:rPr>
          <w:sz w:val="20"/>
          <w:szCs w:val="20"/>
        </w:rPr>
        <w:t xml:space="preserve"> (Oxford: Blackwell Publishers Ltd., 1995), 1-2</w:t>
      </w:r>
    </w:p>
  </w:footnote>
  <w:footnote w:id="9">
    <w:p w14:paraId="0888839A" w14:textId="538010AA" w:rsidR="00F91ACB" w:rsidRPr="00AF79E3" w:rsidRDefault="00F91ACB" w:rsidP="003B292E">
      <w:pPr>
        <w:pStyle w:val="FootnoteText"/>
        <w:rPr>
          <w:sz w:val="20"/>
          <w:szCs w:val="20"/>
          <w:lang w:val="en-US"/>
        </w:rPr>
      </w:pPr>
      <w:r w:rsidRPr="00AF79E3">
        <w:rPr>
          <w:rStyle w:val="FootnoteReference"/>
          <w:sz w:val="20"/>
          <w:szCs w:val="20"/>
        </w:rPr>
        <w:footnoteRef/>
      </w:r>
      <w:r w:rsidRPr="00AF79E3">
        <w:rPr>
          <w:sz w:val="20"/>
          <w:szCs w:val="20"/>
        </w:rPr>
        <w:t xml:space="preserve"> </w:t>
      </w:r>
      <w:r w:rsidRPr="006B0C9F">
        <w:rPr>
          <w:sz w:val="20"/>
          <w:szCs w:val="20"/>
          <w:lang w:val="en-US"/>
        </w:rPr>
        <w:t xml:space="preserve">Bouris, </w:t>
      </w:r>
      <w:r w:rsidRPr="006B0C9F">
        <w:rPr>
          <w:i/>
          <w:sz w:val="20"/>
          <w:szCs w:val="20"/>
          <w:lang w:val="en-US"/>
        </w:rPr>
        <w:t>Complex Political Victims</w:t>
      </w:r>
      <w:r w:rsidRPr="006B0C9F">
        <w:rPr>
          <w:sz w:val="20"/>
          <w:szCs w:val="20"/>
          <w:lang w:val="en-US"/>
        </w:rPr>
        <w:t>,</w:t>
      </w:r>
      <w:r>
        <w:rPr>
          <w:sz w:val="20"/>
          <w:szCs w:val="20"/>
          <w:lang w:val="en-US"/>
        </w:rPr>
        <w:t xml:space="preserve"> (Bloomfield, CT: </w:t>
      </w:r>
      <w:proofErr w:type="spellStart"/>
      <w:r>
        <w:rPr>
          <w:sz w:val="20"/>
          <w:szCs w:val="20"/>
          <w:lang w:val="en-US"/>
        </w:rPr>
        <w:t>Kumarian</w:t>
      </w:r>
      <w:proofErr w:type="spellEnd"/>
      <w:r>
        <w:rPr>
          <w:sz w:val="20"/>
          <w:szCs w:val="20"/>
          <w:lang w:val="en-US"/>
        </w:rPr>
        <w:t xml:space="preserve"> Press Inc., 2007)</w:t>
      </w:r>
      <w:r w:rsidRPr="00AF79E3">
        <w:rPr>
          <w:sz w:val="20"/>
          <w:szCs w:val="20"/>
          <w:lang w:val="en-US"/>
        </w:rPr>
        <w:t xml:space="preserve">; </w:t>
      </w:r>
      <w:r>
        <w:rPr>
          <w:sz w:val="20"/>
          <w:szCs w:val="20"/>
          <w:lang w:val="en-US"/>
        </w:rPr>
        <w:t xml:space="preserve">Nils Christie, ‘The ideal victim’, in </w:t>
      </w:r>
      <w:r>
        <w:rPr>
          <w:i/>
          <w:sz w:val="20"/>
          <w:szCs w:val="20"/>
          <w:lang w:val="en-US"/>
        </w:rPr>
        <w:t>From Crime Policy to Victim Policy: Reorienting the Justice System</w:t>
      </w:r>
      <w:r>
        <w:rPr>
          <w:sz w:val="20"/>
          <w:szCs w:val="20"/>
          <w:lang w:val="en-US"/>
        </w:rPr>
        <w:t xml:space="preserve"> ed. E.A. Fattah (Hampshire: Macmillan, 1986), 17-30;</w:t>
      </w:r>
      <w:r>
        <w:rPr>
          <w:i/>
          <w:sz w:val="20"/>
          <w:szCs w:val="20"/>
          <w:lang w:val="en-US"/>
        </w:rPr>
        <w:t xml:space="preserve"> </w:t>
      </w:r>
      <w:r w:rsidRPr="00AF79E3">
        <w:rPr>
          <w:sz w:val="20"/>
          <w:szCs w:val="20"/>
          <w:lang w:val="en-US"/>
        </w:rPr>
        <w:t xml:space="preserve">Marie Smyth, ‘Putting the Past in its Place: Issues of Victimhood and Reconciliation in Northern Ireland’s Peace Process’, in </w:t>
      </w:r>
      <w:r w:rsidRPr="00AF79E3">
        <w:rPr>
          <w:i/>
          <w:sz w:val="20"/>
          <w:szCs w:val="20"/>
          <w:lang w:val="en-US"/>
        </w:rPr>
        <w:t>Burying the Past: Making Peace and Doing Justice after Civil Conflict</w:t>
      </w:r>
      <w:r w:rsidRPr="00AF79E3">
        <w:rPr>
          <w:sz w:val="20"/>
          <w:szCs w:val="20"/>
          <w:lang w:val="en-US"/>
        </w:rPr>
        <w:t xml:space="preserve"> (Washington, DC: Georgetown UP, 2003), 125-53.</w:t>
      </w:r>
    </w:p>
  </w:footnote>
  <w:footnote w:id="10">
    <w:p w14:paraId="4C2D190C" w14:textId="77777777" w:rsidR="00F91ACB" w:rsidRPr="00AF79E3" w:rsidRDefault="00F91ACB" w:rsidP="003B292E">
      <w:pPr>
        <w:pStyle w:val="FootnoteText"/>
        <w:rPr>
          <w:sz w:val="20"/>
          <w:szCs w:val="20"/>
          <w:lang w:val="en-US"/>
        </w:rPr>
      </w:pPr>
      <w:r w:rsidRPr="00AF79E3">
        <w:rPr>
          <w:rStyle w:val="FootnoteReference"/>
          <w:sz w:val="20"/>
          <w:szCs w:val="20"/>
        </w:rPr>
        <w:footnoteRef/>
      </w:r>
      <w:r w:rsidRPr="00AF79E3">
        <w:rPr>
          <w:sz w:val="20"/>
          <w:szCs w:val="20"/>
        </w:rPr>
        <w:t xml:space="preserve"> Jo </w:t>
      </w:r>
      <w:proofErr w:type="spellStart"/>
      <w:r w:rsidRPr="00AF79E3">
        <w:rPr>
          <w:sz w:val="20"/>
          <w:szCs w:val="20"/>
          <w:lang w:val="en-US"/>
        </w:rPr>
        <w:t>Goodey</w:t>
      </w:r>
      <w:proofErr w:type="spellEnd"/>
      <w:r w:rsidRPr="00AF79E3">
        <w:rPr>
          <w:sz w:val="20"/>
          <w:szCs w:val="20"/>
          <w:lang w:val="en-US"/>
        </w:rPr>
        <w:t xml:space="preserve">, </w:t>
      </w:r>
      <w:r w:rsidRPr="00AF79E3">
        <w:rPr>
          <w:i/>
          <w:sz w:val="20"/>
          <w:szCs w:val="20"/>
          <w:lang w:val="en-US"/>
        </w:rPr>
        <w:t>Victims and Victimology: Research, Policy and Practice</w:t>
      </w:r>
      <w:r w:rsidRPr="00AF79E3">
        <w:rPr>
          <w:sz w:val="20"/>
          <w:szCs w:val="20"/>
          <w:lang w:val="en-US"/>
        </w:rPr>
        <w:t xml:space="preserve">, (Harlow: Pearson Education Ltd., 2005), 2; James A. Holstein and Gale Miller, ‘Rethinking victimization: An interaction approach to victimology’, in </w:t>
      </w:r>
      <w:r w:rsidRPr="00AF79E3">
        <w:rPr>
          <w:i/>
          <w:sz w:val="20"/>
          <w:szCs w:val="20"/>
          <w:lang w:val="en-US"/>
        </w:rPr>
        <w:t>Symbolic Interaction</w:t>
      </w:r>
      <w:r w:rsidRPr="00AF79E3">
        <w:rPr>
          <w:sz w:val="20"/>
          <w:szCs w:val="20"/>
          <w:lang w:val="en-US"/>
        </w:rPr>
        <w:t xml:space="preserve"> 13(1) (1990), 103-122.</w:t>
      </w:r>
    </w:p>
  </w:footnote>
  <w:footnote w:id="11">
    <w:p w14:paraId="67DD3912" w14:textId="5118B9E9" w:rsidR="00F91ACB" w:rsidRPr="000D72BF" w:rsidRDefault="00F91ACB">
      <w:pPr>
        <w:pStyle w:val="FootnoteText"/>
        <w:rPr>
          <w:sz w:val="20"/>
          <w:szCs w:val="20"/>
        </w:rPr>
      </w:pPr>
      <w:r w:rsidRPr="000D72BF">
        <w:rPr>
          <w:rStyle w:val="FootnoteReference"/>
          <w:sz w:val="20"/>
          <w:szCs w:val="20"/>
        </w:rPr>
        <w:footnoteRef/>
      </w:r>
      <w:r w:rsidRPr="000D72BF">
        <w:rPr>
          <w:sz w:val="20"/>
          <w:szCs w:val="20"/>
        </w:rPr>
        <w:t xml:space="preserve"> Richard </w:t>
      </w:r>
      <w:proofErr w:type="spellStart"/>
      <w:r w:rsidRPr="000D72BF">
        <w:rPr>
          <w:sz w:val="20"/>
          <w:szCs w:val="20"/>
        </w:rPr>
        <w:t>Quinney</w:t>
      </w:r>
      <w:proofErr w:type="spellEnd"/>
      <w:r w:rsidRPr="000D72BF">
        <w:rPr>
          <w:sz w:val="20"/>
          <w:szCs w:val="20"/>
        </w:rPr>
        <w:t xml:space="preserve">, ‘Who is the victim?’ in </w:t>
      </w:r>
      <w:r w:rsidRPr="000D72BF">
        <w:rPr>
          <w:i/>
          <w:sz w:val="20"/>
          <w:szCs w:val="20"/>
        </w:rPr>
        <w:t>Criminology</w:t>
      </w:r>
      <w:r w:rsidRPr="000D72BF">
        <w:rPr>
          <w:sz w:val="20"/>
          <w:szCs w:val="20"/>
        </w:rPr>
        <w:t xml:space="preserve"> (1972), 115-135, at 321.</w:t>
      </w:r>
    </w:p>
  </w:footnote>
  <w:footnote w:id="12">
    <w:p w14:paraId="0E893490" w14:textId="7AEEF5FE" w:rsidR="00F91ACB" w:rsidRPr="000E69BA" w:rsidRDefault="00F91ACB">
      <w:pPr>
        <w:pStyle w:val="FootnoteText"/>
        <w:rPr>
          <w:sz w:val="20"/>
          <w:szCs w:val="20"/>
        </w:rPr>
      </w:pPr>
      <w:r w:rsidRPr="000E69BA">
        <w:rPr>
          <w:rStyle w:val="FootnoteReference"/>
          <w:sz w:val="20"/>
          <w:szCs w:val="20"/>
        </w:rPr>
        <w:footnoteRef/>
      </w:r>
      <w:r w:rsidRPr="000E69BA">
        <w:rPr>
          <w:sz w:val="20"/>
          <w:szCs w:val="20"/>
        </w:rPr>
        <w:t xml:space="preserve"> Trudy </w:t>
      </w:r>
      <w:proofErr w:type="spellStart"/>
      <w:r w:rsidRPr="000E69BA">
        <w:rPr>
          <w:sz w:val="20"/>
          <w:szCs w:val="20"/>
          <w:lang w:val="en-US"/>
        </w:rPr>
        <w:t>Govier</w:t>
      </w:r>
      <w:proofErr w:type="spellEnd"/>
      <w:r w:rsidRPr="000E69BA">
        <w:rPr>
          <w:sz w:val="20"/>
          <w:szCs w:val="20"/>
          <w:lang w:val="en-US"/>
        </w:rPr>
        <w:t xml:space="preserve">, </w:t>
      </w:r>
      <w:r w:rsidRPr="000E69BA">
        <w:rPr>
          <w:i/>
          <w:sz w:val="20"/>
          <w:szCs w:val="20"/>
          <w:lang w:val="en-US"/>
        </w:rPr>
        <w:t>Taking Wrongs Seriously: Acknowledgement, Reconciliation, and the Politics of Sustainable Peace</w:t>
      </w:r>
      <w:r w:rsidRPr="000E69BA">
        <w:rPr>
          <w:sz w:val="20"/>
          <w:szCs w:val="20"/>
          <w:lang w:val="en-US"/>
        </w:rPr>
        <w:t xml:space="preserve"> (Amherst, NY: Humanity Books, 2006),</w:t>
      </w:r>
      <w:r w:rsidRPr="000E69BA">
        <w:rPr>
          <w:sz w:val="20"/>
          <w:szCs w:val="20"/>
        </w:rPr>
        <w:t xml:space="preserve"> 27</w:t>
      </w:r>
    </w:p>
  </w:footnote>
  <w:footnote w:id="13">
    <w:p w14:paraId="5283D483" w14:textId="0EF86FFE" w:rsidR="00F91ACB" w:rsidRPr="00352CF1" w:rsidRDefault="00F91ACB">
      <w:pPr>
        <w:pStyle w:val="FootnoteText"/>
        <w:rPr>
          <w:sz w:val="20"/>
          <w:szCs w:val="20"/>
          <w:lang w:val="en-US"/>
        </w:rPr>
      </w:pPr>
      <w:r w:rsidRPr="00352CF1">
        <w:rPr>
          <w:rStyle w:val="FootnoteReference"/>
          <w:sz w:val="20"/>
          <w:szCs w:val="20"/>
        </w:rPr>
        <w:footnoteRef/>
      </w:r>
      <w:r w:rsidRPr="00352CF1">
        <w:rPr>
          <w:sz w:val="20"/>
          <w:szCs w:val="20"/>
        </w:rPr>
        <w:t xml:space="preserve"> </w:t>
      </w:r>
      <w:r>
        <w:rPr>
          <w:sz w:val="20"/>
          <w:szCs w:val="20"/>
        </w:rPr>
        <w:t xml:space="preserve">J. </w:t>
      </w:r>
      <w:r w:rsidRPr="00352CF1">
        <w:rPr>
          <w:sz w:val="20"/>
          <w:szCs w:val="20"/>
          <w:lang w:val="en-US"/>
        </w:rPr>
        <w:t xml:space="preserve">Brewer, </w:t>
      </w:r>
      <w:r w:rsidRPr="00352CF1">
        <w:rPr>
          <w:i/>
          <w:sz w:val="20"/>
          <w:szCs w:val="20"/>
          <w:lang w:val="en-US"/>
        </w:rPr>
        <w:t>Peace Processes</w:t>
      </w:r>
      <w:r w:rsidRPr="00352CF1">
        <w:rPr>
          <w:sz w:val="20"/>
          <w:szCs w:val="20"/>
          <w:lang w:val="en-US"/>
        </w:rPr>
        <w:t>, 12.</w:t>
      </w:r>
    </w:p>
  </w:footnote>
  <w:footnote w:id="14">
    <w:p w14:paraId="265F21A4" w14:textId="3CA25097" w:rsidR="00F91ACB" w:rsidRPr="00352CF1" w:rsidRDefault="00F91ACB" w:rsidP="00564C1D">
      <w:pPr>
        <w:pStyle w:val="FootnoteText"/>
        <w:rPr>
          <w:sz w:val="20"/>
          <w:szCs w:val="20"/>
          <w:lang w:val="en-US"/>
        </w:rPr>
      </w:pPr>
      <w:r w:rsidRPr="00352CF1">
        <w:rPr>
          <w:rStyle w:val="FootnoteReference"/>
          <w:sz w:val="20"/>
          <w:szCs w:val="20"/>
        </w:rPr>
        <w:footnoteRef/>
      </w:r>
      <w:r w:rsidRPr="00352CF1">
        <w:rPr>
          <w:sz w:val="20"/>
          <w:szCs w:val="20"/>
        </w:rPr>
        <w:t xml:space="preserve"> </w:t>
      </w:r>
      <w:r w:rsidRPr="00352CF1">
        <w:rPr>
          <w:sz w:val="20"/>
          <w:szCs w:val="20"/>
          <w:lang w:val="en-US"/>
        </w:rPr>
        <w:t>Smyth, ‘Putting the Past in its Place, 126</w:t>
      </w:r>
    </w:p>
  </w:footnote>
  <w:footnote w:id="15">
    <w:p w14:paraId="7DF7F698" w14:textId="77777777" w:rsidR="00F91ACB" w:rsidRPr="00AF79E3" w:rsidRDefault="00F91ACB" w:rsidP="004911B9">
      <w:pPr>
        <w:pStyle w:val="FootnoteText"/>
        <w:rPr>
          <w:sz w:val="20"/>
          <w:szCs w:val="20"/>
        </w:rPr>
      </w:pPr>
      <w:r w:rsidRPr="00AF79E3">
        <w:rPr>
          <w:rStyle w:val="FootnoteReference"/>
          <w:sz w:val="20"/>
          <w:szCs w:val="20"/>
        </w:rPr>
        <w:footnoteRef/>
      </w:r>
      <w:r w:rsidRPr="00AF79E3">
        <w:rPr>
          <w:sz w:val="20"/>
          <w:szCs w:val="20"/>
        </w:rPr>
        <w:t xml:space="preserve"> Henri </w:t>
      </w:r>
      <w:proofErr w:type="spellStart"/>
      <w:r w:rsidRPr="00AF79E3">
        <w:rPr>
          <w:sz w:val="20"/>
          <w:szCs w:val="20"/>
        </w:rPr>
        <w:t>Tajfel</w:t>
      </w:r>
      <w:proofErr w:type="spellEnd"/>
      <w:r w:rsidRPr="00AF79E3">
        <w:rPr>
          <w:sz w:val="20"/>
          <w:szCs w:val="20"/>
        </w:rPr>
        <w:t xml:space="preserve">, ‘The Social Psychology of Intergroup Relations’, </w:t>
      </w:r>
      <w:r w:rsidRPr="00AF79E3">
        <w:rPr>
          <w:i/>
          <w:sz w:val="20"/>
          <w:szCs w:val="20"/>
        </w:rPr>
        <w:t>Annual Review of Psychology</w:t>
      </w:r>
      <w:r w:rsidRPr="00AF79E3">
        <w:rPr>
          <w:sz w:val="20"/>
          <w:szCs w:val="20"/>
        </w:rPr>
        <w:t xml:space="preserve"> 33 (1982), 1-39.</w:t>
      </w:r>
    </w:p>
  </w:footnote>
  <w:footnote w:id="16">
    <w:p w14:paraId="6B63EC30" w14:textId="77777777" w:rsidR="00F91ACB" w:rsidRPr="00AF79E3" w:rsidRDefault="00F91ACB" w:rsidP="000D353A">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Marilynn Brewer, ‘Group Identification and Intergroup Conflict: When does </w:t>
      </w:r>
      <w:proofErr w:type="spellStart"/>
      <w:r w:rsidRPr="00AF79E3">
        <w:rPr>
          <w:sz w:val="20"/>
          <w:szCs w:val="20"/>
          <w:lang w:val="en-US"/>
        </w:rPr>
        <w:t>Ingroup</w:t>
      </w:r>
      <w:proofErr w:type="spellEnd"/>
      <w:r w:rsidRPr="00AF79E3">
        <w:rPr>
          <w:sz w:val="20"/>
          <w:szCs w:val="20"/>
          <w:lang w:val="en-US"/>
        </w:rPr>
        <w:t xml:space="preserve"> Love become Outgroup Hate?’, in </w:t>
      </w:r>
      <w:r w:rsidRPr="00AF79E3">
        <w:rPr>
          <w:i/>
          <w:sz w:val="20"/>
          <w:szCs w:val="20"/>
          <w:lang w:val="en-US"/>
        </w:rPr>
        <w:t>Social Identity, Intergroup Conflict, and Conflict Reduction</w:t>
      </w:r>
      <w:r w:rsidRPr="00AF79E3">
        <w:rPr>
          <w:sz w:val="20"/>
          <w:szCs w:val="20"/>
          <w:lang w:val="en-US"/>
        </w:rPr>
        <w:t xml:space="preserve"> ed. R. Ashmore, L. </w:t>
      </w:r>
      <w:proofErr w:type="spellStart"/>
      <w:r w:rsidRPr="00AF79E3">
        <w:rPr>
          <w:sz w:val="20"/>
          <w:szCs w:val="20"/>
          <w:lang w:val="en-US"/>
        </w:rPr>
        <w:t>Jussim</w:t>
      </w:r>
      <w:proofErr w:type="spellEnd"/>
      <w:r w:rsidRPr="00AF79E3">
        <w:rPr>
          <w:sz w:val="20"/>
          <w:szCs w:val="20"/>
          <w:lang w:val="en-US"/>
        </w:rPr>
        <w:t xml:space="preserve"> and D. Wilder (New York: Oxford UP, 2001), 17-41.</w:t>
      </w:r>
    </w:p>
  </w:footnote>
  <w:footnote w:id="17">
    <w:p w14:paraId="6C330961" w14:textId="3189502B" w:rsidR="00F91ACB" w:rsidRPr="00AF79E3" w:rsidRDefault="00F91ACB" w:rsidP="000D5016">
      <w:pPr>
        <w:pStyle w:val="FootnoteText"/>
        <w:rPr>
          <w:sz w:val="20"/>
          <w:szCs w:val="20"/>
          <w:lang w:val="en-US"/>
        </w:rPr>
      </w:pPr>
      <w:r w:rsidRPr="00AF79E3">
        <w:rPr>
          <w:rStyle w:val="FootnoteReference"/>
          <w:sz w:val="20"/>
          <w:szCs w:val="20"/>
        </w:rPr>
        <w:footnoteRef/>
      </w:r>
      <w:r w:rsidRPr="00AF79E3">
        <w:rPr>
          <w:sz w:val="20"/>
          <w:szCs w:val="20"/>
        </w:rPr>
        <w:t xml:space="preserve"> </w:t>
      </w:r>
      <w:r>
        <w:rPr>
          <w:sz w:val="20"/>
          <w:szCs w:val="20"/>
          <w:lang w:val="en-US"/>
        </w:rPr>
        <w:t xml:space="preserve">McEvoy and </w:t>
      </w:r>
      <w:proofErr w:type="spellStart"/>
      <w:r>
        <w:rPr>
          <w:sz w:val="20"/>
          <w:szCs w:val="20"/>
          <w:lang w:val="en-US"/>
        </w:rPr>
        <w:t>McConnachie</w:t>
      </w:r>
      <w:proofErr w:type="spellEnd"/>
      <w:r>
        <w:rPr>
          <w:sz w:val="20"/>
          <w:szCs w:val="20"/>
          <w:lang w:val="en-US"/>
        </w:rPr>
        <w:t>, ‘Victim</w:t>
      </w:r>
      <w:r w:rsidRPr="00AF79E3">
        <w:rPr>
          <w:sz w:val="20"/>
          <w:szCs w:val="20"/>
          <w:lang w:val="en-US"/>
        </w:rPr>
        <w:t>ology in Transitional Justice</w:t>
      </w:r>
      <w:r>
        <w:rPr>
          <w:sz w:val="20"/>
          <w:szCs w:val="20"/>
          <w:lang w:val="en-US"/>
        </w:rPr>
        <w:t>: Victims, Innocence and Hierarchy</w:t>
      </w:r>
      <w:r w:rsidRPr="00AF79E3">
        <w:rPr>
          <w:sz w:val="20"/>
          <w:szCs w:val="20"/>
          <w:lang w:val="en-US"/>
        </w:rPr>
        <w:t>’,</w:t>
      </w:r>
      <w:r>
        <w:rPr>
          <w:sz w:val="20"/>
          <w:szCs w:val="20"/>
          <w:lang w:val="en-US"/>
        </w:rPr>
        <w:t xml:space="preserve"> in </w:t>
      </w:r>
      <w:r>
        <w:rPr>
          <w:i/>
          <w:sz w:val="20"/>
          <w:szCs w:val="20"/>
          <w:lang w:val="en-US"/>
        </w:rPr>
        <w:t>European Journal of Criminology</w:t>
      </w:r>
      <w:r>
        <w:rPr>
          <w:sz w:val="20"/>
          <w:szCs w:val="20"/>
          <w:lang w:val="en-US"/>
        </w:rPr>
        <w:t xml:space="preserve"> 9(5) (2012), 527-538, at</w:t>
      </w:r>
      <w:r w:rsidRPr="00AF79E3">
        <w:rPr>
          <w:sz w:val="20"/>
          <w:szCs w:val="20"/>
          <w:lang w:val="en-US"/>
        </w:rPr>
        <w:t xml:space="preserve"> 533. </w:t>
      </w:r>
    </w:p>
  </w:footnote>
  <w:footnote w:id="18">
    <w:p w14:paraId="2D322FAA" w14:textId="77777777" w:rsidR="00F91ACB" w:rsidRPr="00AF79E3" w:rsidRDefault="00F91ACB" w:rsidP="00D34AA8">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Kieran McEvoy and Kirsten </w:t>
      </w:r>
      <w:proofErr w:type="spellStart"/>
      <w:r w:rsidRPr="00AF79E3">
        <w:rPr>
          <w:sz w:val="20"/>
          <w:szCs w:val="20"/>
          <w:lang w:val="en-US"/>
        </w:rPr>
        <w:t>McConnachie</w:t>
      </w:r>
      <w:proofErr w:type="spellEnd"/>
      <w:r w:rsidRPr="00AF79E3">
        <w:rPr>
          <w:sz w:val="20"/>
          <w:szCs w:val="20"/>
          <w:lang w:val="en-US"/>
        </w:rPr>
        <w:t xml:space="preserve">, ‘Victims and Transitional Justice: Voice, Agency and Blame’, </w:t>
      </w:r>
      <w:r w:rsidRPr="00AF79E3">
        <w:rPr>
          <w:i/>
          <w:sz w:val="20"/>
          <w:szCs w:val="20"/>
          <w:lang w:val="en-US"/>
        </w:rPr>
        <w:t>Social &amp; Legal Studies</w:t>
      </w:r>
      <w:r w:rsidRPr="00AF79E3">
        <w:rPr>
          <w:sz w:val="20"/>
          <w:szCs w:val="20"/>
          <w:lang w:val="en-US"/>
        </w:rPr>
        <w:t xml:space="preserve"> 22, no. 4 (2013), 489-513, at 490.</w:t>
      </w:r>
    </w:p>
  </w:footnote>
  <w:footnote w:id="19">
    <w:p w14:paraId="388DD738" w14:textId="77777777" w:rsidR="00F91ACB" w:rsidRPr="00AF79E3" w:rsidRDefault="00F91ACB" w:rsidP="002B29D1">
      <w:pPr>
        <w:pStyle w:val="FootnoteText"/>
        <w:rPr>
          <w:sz w:val="20"/>
          <w:szCs w:val="20"/>
          <w:lang w:val="en-US"/>
        </w:rPr>
      </w:pPr>
      <w:r w:rsidRPr="00AF79E3">
        <w:rPr>
          <w:rStyle w:val="FootnoteReference"/>
          <w:sz w:val="20"/>
          <w:szCs w:val="20"/>
        </w:rPr>
        <w:footnoteRef/>
      </w:r>
      <w:r w:rsidRPr="00AF79E3">
        <w:rPr>
          <w:sz w:val="20"/>
          <w:szCs w:val="20"/>
        </w:rPr>
        <w:t xml:space="preserve"> James A. </w:t>
      </w:r>
      <w:r w:rsidRPr="00AF79E3">
        <w:rPr>
          <w:sz w:val="20"/>
          <w:szCs w:val="20"/>
          <w:lang w:val="en-US"/>
        </w:rPr>
        <w:t xml:space="preserve">McAdams, ‘Transitional justice: The issue that won’t go away’, in </w:t>
      </w:r>
      <w:r w:rsidRPr="00AF79E3">
        <w:rPr>
          <w:i/>
          <w:sz w:val="20"/>
          <w:szCs w:val="20"/>
          <w:lang w:val="en-US"/>
        </w:rPr>
        <w:t>The International Journal of Transitional Justice</w:t>
      </w:r>
      <w:r w:rsidRPr="00AF79E3">
        <w:rPr>
          <w:sz w:val="20"/>
          <w:szCs w:val="20"/>
          <w:lang w:val="en-US"/>
        </w:rPr>
        <w:t xml:space="preserve">, 5 (2011), 304-312; John Paul </w:t>
      </w:r>
      <w:proofErr w:type="spellStart"/>
      <w:r w:rsidRPr="00AF79E3">
        <w:rPr>
          <w:sz w:val="20"/>
          <w:szCs w:val="20"/>
          <w:lang w:val="en-US"/>
        </w:rPr>
        <w:t>Lederach</w:t>
      </w:r>
      <w:proofErr w:type="spellEnd"/>
      <w:r w:rsidRPr="00AF79E3">
        <w:rPr>
          <w:sz w:val="20"/>
          <w:szCs w:val="20"/>
          <w:lang w:val="en-US"/>
        </w:rPr>
        <w:t xml:space="preserve">, </w:t>
      </w:r>
      <w:r w:rsidRPr="00AF79E3">
        <w:rPr>
          <w:i/>
          <w:sz w:val="20"/>
          <w:szCs w:val="20"/>
          <w:lang w:val="en-US"/>
        </w:rPr>
        <w:t>Building Peace: Sustainable Reconciliation in Divided Societies</w:t>
      </w:r>
      <w:r w:rsidRPr="00AF79E3">
        <w:rPr>
          <w:sz w:val="20"/>
          <w:szCs w:val="20"/>
          <w:lang w:val="en-US"/>
        </w:rPr>
        <w:t xml:space="preserve"> (Washington: DC: United States Institute of Peace, 2008).</w:t>
      </w:r>
    </w:p>
  </w:footnote>
  <w:footnote w:id="20">
    <w:p w14:paraId="34866493" w14:textId="1838046E" w:rsidR="00F91ACB" w:rsidRPr="00AF79E3" w:rsidRDefault="00F91ACB" w:rsidP="002B29D1">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spellStart"/>
      <w:r w:rsidRPr="00AF79E3">
        <w:rPr>
          <w:sz w:val="20"/>
          <w:szCs w:val="20"/>
        </w:rPr>
        <w:t>Nevin</w:t>
      </w:r>
      <w:proofErr w:type="spellEnd"/>
      <w:r w:rsidRPr="00AF79E3">
        <w:rPr>
          <w:sz w:val="20"/>
          <w:szCs w:val="20"/>
        </w:rPr>
        <w:t xml:space="preserve"> </w:t>
      </w:r>
      <w:r w:rsidRPr="00AF79E3">
        <w:rPr>
          <w:sz w:val="20"/>
          <w:szCs w:val="20"/>
          <w:lang w:val="en-US"/>
        </w:rPr>
        <w:t xml:space="preserve">Aiken, ‘Learning to live together: Transitional justice and intergroup reconciliation in Northern Ireland’, in </w:t>
      </w:r>
      <w:r w:rsidRPr="00AF79E3">
        <w:rPr>
          <w:i/>
          <w:sz w:val="20"/>
          <w:szCs w:val="20"/>
          <w:lang w:val="en-US"/>
        </w:rPr>
        <w:t>The International Journal of Transitional Justice</w:t>
      </w:r>
      <w:r w:rsidRPr="00AF79E3">
        <w:rPr>
          <w:sz w:val="20"/>
          <w:szCs w:val="20"/>
          <w:lang w:val="en-US"/>
        </w:rPr>
        <w:t>, 4 (2010) 166-188</w:t>
      </w:r>
      <w:r w:rsidRPr="00AF79E3">
        <w:rPr>
          <w:sz w:val="20"/>
          <w:szCs w:val="20"/>
        </w:rPr>
        <w:t xml:space="preserve">; Herbert C. </w:t>
      </w:r>
      <w:proofErr w:type="spellStart"/>
      <w:r w:rsidRPr="00AF79E3">
        <w:rPr>
          <w:sz w:val="20"/>
          <w:szCs w:val="20"/>
          <w:lang w:val="en-US"/>
        </w:rPr>
        <w:t>Kelman</w:t>
      </w:r>
      <w:proofErr w:type="spellEnd"/>
      <w:r w:rsidRPr="00AF79E3">
        <w:rPr>
          <w:sz w:val="20"/>
          <w:szCs w:val="20"/>
          <w:lang w:val="en-US"/>
        </w:rPr>
        <w:t xml:space="preserve">, ‘Reconciliation as identity change: A socio-psychological perspective’, in </w:t>
      </w:r>
      <w:r w:rsidRPr="00AF79E3">
        <w:rPr>
          <w:i/>
          <w:sz w:val="20"/>
          <w:szCs w:val="20"/>
          <w:lang w:val="en-US"/>
        </w:rPr>
        <w:t xml:space="preserve">From Conflict Resolution to Reconciliation </w:t>
      </w:r>
      <w:r w:rsidRPr="00AF79E3">
        <w:rPr>
          <w:sz w:val="20"/>
          <w:szCs w:val="20"/>
          <w:lang w:val="en-US"/>
        </w:rPr>
        <w:t>ed. Y. Bar-</w:t>
      </w:r>
      <w:proofErr w:type="spellStart"/>
      <w:r w:rsidRPr="00AF79E3">
        <w:rPr>
          <w:sz w:val="20"/>
          <w:szCs w:val="20"/>
          <w:lang w:val="en-US"/>
        </w:rPr>
        <w:t>Siman</w:t>
      </w:r>
      <w:proofErr w:type="spellEnd"/>
      <w:r w:rsidRPr="00AF79E3">
        <w:rPr>
          <w:sz w:val="20"/>
          <w:szCs w:val="20"/>
          <w:lang w:val="en-US"/>
        </w:rPr>
        <w:t>-Tov (New York: Oxford UP, 2008), 111-124.</w:t>
      </w:r>
    </w:p>
  </w:footnote>
  <w:footnote w:id="21">
    <w:p w14:paraId="4DA8E253" w14:textId="181CE593" w:rsidR="00F91ACB" w:rsidRPr="00AF79E3" w:rsidRDefault="00F91ACB" w:rsidP="000F0B44">
      <w:pPr>
        <w:pStyle w:val="FootnoteText"/>
        <w:rPr>
          <w:sz w:val="20"/>
          <w:szCs w:val="20"/>
          <w:lang w:val="en-US"/>
        </w:rPr>
      </w:pPr>
      <w:r w:rsidRPr="00AF79E3">
        <w:rPr>
          <w:rStyle w:val="FootnoteReference"/>
          <w:sz w:val="20"/>
          <w:szCs w:val="20"/>
        </w:rPr>
        <w:footnoteRef/>
      </w:r>
      <w:r>
        <w:rPr>
          <w:sz w:val="20"/>
          <w:szCs w:val="20"/>
        </w:rPr>
        <w:t xml:space="preserve"> See e.g., </w:t>
      </w:r>
      <w:r w:rsidRPr="00AF79E3">
        <w:rPr>
          <w:sz w:val="20"/>
          <w:szCs w:val="20"/>
        </w:rPr>
        <w:t>Crocker, ‘Reckonin</w:t>
      </w:r>
      <w:r>
        <w:rPr>
          <w:sz w:val="20"/>
          <w:szCs w:val="20"/>
        </w:rPr>
        <w:t xml:space="preserve">g with Past Wrongs’; Martha </w:t>
      </w:r>
      <w:proofErr w:type="spellStart"/>
      <w:r>
        <w:rPr>
          <w:sz w:val="20"/>
          <w:szCs w:val="20"/>
        </w:rPr>
        <w:t>Min</w:t>
      </w:r>
      <w:r w:rsidRPr="00AF79E3">
        <w:rPr>
          <w:sz w:val="20"/>
          <w:szCs w:val="20"/>
        </w:rPr>
        <w:t>ow</w:t>
      </w:r>
      <w:proofErr w:type="spellEnd"/>
      <w:r w:rsidRPr="00AF79E3">
        <w:rPr>
          <w:sz w:val="20"/>
          <w:szCs w:val="20"/>
        </w:rPr>
        <w:t xml:space="preserve">, ‘The Hope for Healing: What can Truth Commissions Do?’ in </w:t>
      </w:r>
      <w:r w:rsidRPr="00AF79E3">
        <w:rPr>
          <w:i/>
          <w:sz w:val="20"/>
          <w:szCs w:val="20"/>
        </w:rPr>
        <w:t>Truth v. Justice: The Morality of Truth Commissions</w:t>
      </w:r>
      <w:r w:rsidRPr="00AF79E3">
        <w:rPr>
          <w:sz w:val="20"/>
          <w:szCs w:val="20"/>
        </w:rPr>
        <w:t xml:space="preserve"> ed. R. </w:t>
      </w:r>
      <w:proofErr w:type="spellStart"/>
      <w:r w:rsidRPr="00AF79E3">
        <w:rPr>
          <w:sz w:val="20"/>
          <w:szCs w:val="20"/>
        </w:rPr>
        <w:t>Rotberg</w:t>
      </w:r>
      <w:proofErr w:type="spellEnd"/>
      <w:r w:rsidRPr="00AF79E3">
        <w:rPr>
          <w:sz w:val="20"/>
          <w:szCs w:val="20"/>
        </w:rPr>
        <w:t xml:space="preserve"> and D. Thompson (Princeton, NJ: Princeton UP, 2000), 235-60.</w:t>
      </w:r>
    </w:p>
  </w:footnote>
  <w:footnote w:id="22">
    <w:p w14:paraId="0BC3F068" w14:textId="255ACCFD" w:rsidR="00F91ACB" w:rsidRPr="00AF79E3" w:rsidRDefault="00F91ACB" w:rsidP="00D21AEA">
      <w:pPr>
        <w:pStyle w:val="FootnoteText"/>
        <w:rPr>
          <w:sz w:val="20"/>
          <w:szCs w:val="20"/>
          <w:lang w:val="en-US"/>
        </w:rPr>
      </w:pPr>
      <w:r w:rsidRPr="00AF79E3">
        <w:rPr>
          <w:rStyle w:val="FootnoteReference"/>
          <w:sz w:val="20"/>
          <w:szCs w:val="20"/>
        </w:rPr>
        <w:footnoteRef/>
      </w:r>
      <w:r w:rsidRPr="00AF79E3">
        <w:rPr>
          <w:sz w:val="20"/>
          <w:szCs w:val="20"/>
        </w:rPr>
        <w:t xml:space="preserve"> Crocker, ‘Reckoning with Past Wrongs’</w:t>
      </w:r>
      <w:r w:rsidRPr="00AF79E3">
        <w:rPr>
          <w:sz w:val="20"/>
          <w:szCs w:val="20"/>
          <w:lang w:val="en-US"/>
        </w:rPr>
        <w:t>, 51</w:t>
      </w:r>
    </w:p>
  </w:footnote>
  <w:footnote w:id="23">
    <w:p w14:paraId="76EA7B47" w14:textId="5312D2B8" w:rsidR="00F91ACB" w:rsidRPr="00AF79E3" w:rsidRDefault="00F91ACB" w:rsidP="00D21AEA">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rPr>
        <w:t xml:space="preserve">Patricia </w:t>
      </w:r>
      <w:r w:rsidRPr="00AF79E3">
        <w:rPr>
          <w:sz w:val="20"/>
          <w:szCs w:val="20"/>
          <w:lang w:val="en-US"/>
        </w:rPr>
        <w:t xml:space="preserve">Lundy and Mark McGovern, ‘The politics of memory in post-conflict Northern Ireland’, in </w:t>
      </w:r>
      <w:r w:rsidRPr="00AF79E3">
        <w:rPr>
          <w:i/>
          <w:sz w:val="20"/>
          <w:szCs w:val="20"/>
          <w:lang w:val="en-US"/>
        </w:rPr>
        <w:t>Peace Review</w:t>
      </w:r>
      <w:r w:rsidRPr="00AF79E3">
        <w:rPr>
          <w:sz w:val="20"/>
          <w:szCs w:val="20"/>
          <w:lang w:val="en-US"/>
        </w:rPr>
        <w:t xml:space="preserve"> 13(1) (2001), 27-33, at 30.</w:t>
      </w:r>
      <w:proofErr w:type="gramEnd"/>
      <w:r w:rsidRPr="00AF79E3">
        <w:rPr>
          <w:sz w:val="20"/>
          <w:szCs w:val="20"/>
          <w:lang w:val="en-US"/>
        </w:rPr>
        <w:t xml:space="preserve"> </w:t>
      </w:r>
    </w:p>
  </w:footnote>
  <w:footnote w:id="24">
    <w:p w14:paraId="3E6B950E" w14:textId="6F97C52F" w:rsidR="00F91ACB" w:rsidRPr="00AF79E3" w:rsidRDefault="00F91ACB" w:rsidP="00587311">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David Bloomfield, ‘Reconciliation: An introduction’ in </w:t>
      </w:r>
      <w:r w:rsidRPr="00AF79E3">
        <w:rPr>
          <w:i/>
          <w:sz w:val="20"/>
          <w:szCs w:val="20"/>
          <w:lang w:val="en-US"/>
        </w:rPr>
        <w:t xml:space="preserve">Reconciliation </w:t>
      </w:r>
      <w:proofErr w:type="gramStart"/>
      <w:r w:rsidRPr="00AF79E3">
        <w:rPr>
          <w:i/>
          <w:sz w:val="20"/>
          <w:szCs w:val="20"/>
          <w:lang w:val="en-US"/>
        </w:rPr>
        <w:t>After</w:t>
      </w:r>
      <w:proofErr w:type="gramEnd"/>
      <w:r w:rsidRPr="00AF79E3">
        <w:rPr>
          <w:i/>
          <w:sz w:val="20"/>
          <w:szCs w:val="20"/>
          <w:lang w:val="en-US"/>
        </w:rPr>
        <w:t xml:space="preserve"> Violent Conflict: A Handbook</w:t>
      </w:r>
      <w:r w:rsidRPr="00AF79E3">
        <w:rPr>
          <w:sz w:val="20"/>
          <w:szCs w:val="20"/>
          <w:lang w:val="en-US"/>
        </w:rPr>
        <w:t xml:space="preserve"> D. Bloomfield eds. T. Barnes &amp; L. </w:t>
      </w:r>
      <w:proofErr w:type="spellStart"/>
      <w:r w:rsidRPr="00AF79E3">
        <w:rPr>
          <w:sz w:val="20"/>
          <w:szCs w:val="20"/>
          <w:lang w:val="en-US"/>
        </w:rPr>
        <w:t>Huyse</w:t>
      </w:r>
      <w:proofErr w:type="spellEnd"/>
      <w:r w:rsidRPr="00AF79E3">
        <w:rPr>
          <w:sz w:val="20"/>
          <w:szCs w:val="20"/>
          <w:lang w:val="en-US"/>
        </w:rPr>
        <w:t xml:space="preserve"> (Stockholm: Institute for Democracy and Electoral Assistance, 2003), 40-48,</w:t>
      </w:r>
      <w:r>
        <w:rPr>
          <w:sz w:val="20"/>
          <w:szCs w:val="20"/>
          <w:lang w:val="en-US"/>
        </w:rPr>
        <w:t xml:space="preserve"> at</w:t>
      </w:r>
      <w:r w:rsidRPr="00AF79E3">
        <w:rPr>
          <w:sz w:val="20"/>
          <w:szCs w:val="20"/>
          <w:lang w:val="en-US"/>
        </w:rPr>
        <w:t xml:space="preserve"> 14.</w:t>
      </w:r>
    </w:p>
  </w:footnote>
  <w:footnote w:id="25">
    <w:p w14:paraId="40420504" w14:textId="77777777" w:rsidR="00F91ACB" w:rsidRPr="00AF79E3" w:rsidRDefault="00F91ACB" w:rsidP="00587311">
      <w:pPr>
        <w:pStyle w:val="FootnoteText"/>
        <w:rPr>
          <w:sz w:val="20"/>
          <w:szCs w:val="20"/>
        </w:rPr>
      </w:pPr>
      <w:r w:rsidRPr="00AF79E3">
        <w:rPr>
          <w:rStyle w:val="FootnoteReference"/>
          <w:sz w:val="20"/>
          <w:szCs w:val="20"/>
        </w:rPr>
        <w:footnoteRef/>
      </w:r>
      <w:r w:rsidRPr="00AF79E3">
        <w:rPr>
          <w:sz w:val="20"/>
          <w:szCs w:val="20"/>
        </w:rPr>
        <w:t xml:space="preserve"> </w:t>
      </w:r>
      <w:proofErr w:type="spellStart"/>
      <w:r w:rsidRPr="00AF79E3">
        <w:rPr>
          <w:sz w:val="20"/>
          <w:szCs w:val="20"/>
        </w:rPr>
        <w:t>Lederach</w:t>
      </w:r>
      <w:proofErr w:type="spellEnd"/>
      <w:r w:rsidRPr="00AF79E3">
        <w:rPr>
          <w:sz w:val="20"/>
          <w:szCs w:val="20"/>
        </w:rPr>
        <w:t xml:space="preserve">, </w:t>
      </w:r>
      <w:r w:rsidRPr="00AF79E3">
        <w:rPr>
          <w:i/>
          <w:sz w:val="20"/>
          <w:szCs w:val="20"/>
        </w:rPr>
        <w:t>Building Peace</w:t>
      </w:r>
      <w:r w:rsidRPr="00AF79E3">
        <w:rPr>
          <w:sz w:val="20"/>
          <w:szCs w:val="20"/>
        </w:rPr>
        <w:t>, 26.</w:t>
      </w:r>
    </w:p>
  </w:footnote>
  <w:footnote w:id="26">
    <w:p w14:paraId="3FC73681" w14:textId="6C8DEAB1" w:rsidR="00F91ACB" w:rsidRPr="00AF79E3" w:rsidRDefault="00F91ACB" w:rsidP="00587311">
      <w:pPr>
        <w:pStyle w:val="FootnoteText"/>
        <w:rPr>
          <w:sz w:val="20"/>
          <w:szCs w:val="20"/>
          <w:lang w:val="en-US"/>
        </w:rPr>
      </w:pPr>
      <w:r w:rsidRPr="00AF79E3">
        <w:rPr>
          <w:rStyle w:val="FootnoteReference"/>
          <w:sz w:val="20"/>
          <w:szCs w:val="20"/>
        </w:rPr>
        <w:footnoteRef/>
      </w:r>
      <w:r>
        <w:rPr>
          <w:sz w:val="20"/>
          <w:szCs w:val="20"/>
        </w:rPr>
        <w:t xml:space="preserve"> </w:t>
      </w:r>
      <w:proofErr w:type="spellStart"/>
      <w:r w:rsidRPr="00AF79E3">
        <w:rPr>
          <w:sz w:val="20"/>
          <w:szCs w:val="20"/>
          <w:lang w:val="en-US"/>
        </w:rPr>
        <w:t>Govier</w:t>
      </w:r>
      <w:proofErr w:type="spellEnd"/>
      <w:r w:rsidRPr="00AF79E3">
        <w:rPr>
          <w:sz w:val="20"/>
          <w:szCs w:val="20"/>
          <w:lang w:val="en-US"/>
        </w:rPr>
        <w:t xml:space="preserve">, </w:t>
      </w:r>
      <w:r w:rsidRPr="00AF79E3">
        <w:rPr>
          <w:i/>
          <w:sz w:val="20"/>
          <w:szCs w:val="20"/>
          <w:lang w:val="en-US"/>
        </w:rPr>
        <w:t>Taking Wrongs Seriously</w:t>
      </w:r>
      <w:r w:rsidRPr="00AF79E3">
        <w:rPr>
          <w:sz w:val="20"/>
          <w:szCs w:val="20"/>
          <w:lang w:val="en-US"/>
        </w:rPr>
        <w:t>, 12-13.</w:t>
      </w:r>
    </w:p>
  </w:footnote>
  <w:footnote w:id="27">
    <w:p w14:paraId="5882DAB6" w14:textId="23F3881F" w:rsidR="00F91ACB" w:rsidRPr="00AF79E3" w:rsidRDefault="00F91ACB" w:rsidP="00587311">
      <w:pPr>
        <w:pStyle w:val="FootnoteText"/>
        <w:rPr>
          <w:sz w:val="20"/>
          <w:szCs w:val="20"/>
        </w:rPr>
      </w:pPr>
      <w:r w:rsidRPr="00AF79E3">
        <w:rPr>
          <w:rStyle w:val="FootnoteReference"/>
          <w:sz w:val="20"/>
          <w:szCs w:val="20"/>
        </w:rPr>
        <w:footnoteRef/>
      </w:r>
      <w:r>
        <w:rPr>
          <w:sz w:val="20"/>
          <w:szCs w:val="20"/>
        </w:rPr>
        <w:t xml:space="preserve"> J.</w:t>
      </w:r>
      <w:r w:rsidRPr="00AF79E3">
        <w:rPr>
          <w:sz w:val="20"/>
          <w:szCs w:val="20"/>
        </w:rPr>
        <w:t xml:space="preserve"> Brewer, </w:t>
      </w:r>
      <w:r>
        <w:rPr>
          <w:i/>
          <w:sz w:val="20"/>
          <w:szCs w:val="20"/>
        </w:rPr>
        <w:t>Peace Processes</w:t>
      </w:r>
      <w:r w:rsidRPr="00AF79E3">
        <w:rPr>
          <w:sz w:val="20"/>
          <w:szCs w:val="20"/>
        </w:rPr>
        <w:t>.</w:t>
      </w:r>
    </w:p>
  </w:footnote>
  <w:footnote w:id="28">
    <w:p w14:paraId="2100E024" w14:textId="1B3CE860"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Smyth, ‘Putting the Past in its Place’, 126.</w:t>
      </w:r>
      <w:proofErr w:type="gramEnd"/>
    </w:p>
  </w:footnote>
  <w:footnote w:id="29">
    <w:p w14:paraId="3C64EDD3" w14:textId="63F8C760"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Parties repre</w:t>
      </w:r>
      <w:r>
        <w:rPr>
          <w:sz w:val="20"/>
          <w:szCs w:val="20"/>
          <w:lang w:val="en-US"/>
        </w:rPr>
        <w:t>senting CNR communities include</w:t>
      </w:r>
      <w:r w:rsidRPr="00AF79E3">
        <w:rPr>
          <w:sz w:val="20"/>
          <w:szCs w:val="20"/>
          <w:lang w:val="en-US"/>
        </w:rPr>
        <w:t xml:space="preserve"> Sinn Féin and the Social Democratic and </w:t>
      </w:r>
      <w:proofErr w:type="spellStart"/>
      <w:r w:rsidRPr="00AF79E3">
        <w:rPr>
          <w:sz w:val="20"/>
          <w:szCs w:val="20"/>
          <w:lang w:val="en-US"/>
        </w:rPr>
        <w:t>Labour</w:t>
      </w:r>
      <w:proofErr w:type="spellEnd"/>
      <w:r w:rsidRPr="00AF79E3">
        <w:rPr>
          <w:sz w:val="20"/>
          <w:szCs w:val="20"/>
          <w:lang w:val="en-US"/>
        </w:rPr>
        <w:t xml:space="preserve"> Party (SDLP).  </w:t>
      </w:r>
      <w:r>
        <w:rPr>
          <w:sz w:val="20"/>
          <w:szCs w:val="20"/>
          <w:lang w:val="en-US"/>
        </w:rPr>
        <w:t>PUL parties include</w:t>
      </w:r>
      <w:r w:rsidRPr="00AF79E3">
        <w:rPr>
          <w:sz w:val="20"/>
          <w:szCs w:val="20"/>
          <w:lang w:val="en-US"/>
        </w:rPr>
        <w:t xml:space="preserve"> the Democratic Unionist Party (DUP) and Ulster Unionist Party (UUP).</w:t>
      </w:r>
    </w:p>
  </w:footnote>
  <w:footnote w:id="30">
    <w:p w14:paraId="68FCBC2F" w14:textId="0F9DE86A"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Marcel Baumann, ‘Understanding the Other’s “Understanding” of Violence: Legitimacy, Recognition, and the Challenge of Dealing with the Past’, </w:t>
      </w:r>
      <w:r w:rsidRPr="00AF79E3">
        <w:rPr>
          <w:i/>
          <w:sz w:val="20"/>
          <w:szCs w:val="20"/>
          <w:lang w:val="en-US"/>
        </w:rPr>
        <w:t>International Journal of Conflict and Violence</w:t>
      </w:r>
      <w:r w:rsidRPr="00AF79E3">
        <w:rPr>
          <w:sz w:val="20"/>
          <w:szCs w:val="20"/>
          <w:lang w:val="en-US"/>
        </w:rPr>
        <w:t xml:space="preserve"> 3, no. 1 (2009), 107-23, at 109.</w:t>
      </w:r>
    </w:p>
  </w:footnote>
  <w:footnote w:id="31">
    <w:p w14:paraId="3749EA7C" w14:textId="189E5E32"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Cheryl </w:t>
      </w:r>
      <w:proofErr w:type="spellStart"/>
      <w:r w:rsidRPr="00AF79E3">
        <w:rPr>
          <w:sz w:val="20"/>
          <w:szCs w:val="20"/>
          <w:lang w:val="en-US"/>
        </w:rPr>
        <w:t>Lawther</w:t>
      </w:r>
      <w:proofErr w:type="spellEnd"/>
      <w:r w:rsidRPr="00AF79E3">
        <w:rPr>
          <w:sz w:val="20"/>
          <w:szCs w:val="20"/>
          <w:lang w:val="en-US"/>
        </w:rPr>
        <w:t xml:space="preserve">, ‘Denial, Silence and the Politics of the Past: Unpicking the Opposition to Truth Recovery in Northern Ireland’, </w:t>
      </w:r>
      <w:proofErr w:type="gramStart"/>
      <w:r w:rsidRPr="00AF79E3">
        <w:rPr>
          <w:i/>
          <w:sz w:val="20"/>
          <w:szCs w:val="20"/>
          <w:lang w:val="en-US"/>
        </w:rPr>
        <w:t>The</w:t>
      </w:r>
      <w:proofErr w:type="gramEnd"/>
      <w:r w:rsidRPr="00AF79E3">
        <w:rPr>
          <w:i/>
          <w:sz w:val="20"/>
          <w:szCs w:val="20"/>
          <w:lang w:val="en-US"/>
        </w:rPr>
        <w:t xml:space="preserve"> International Journal of Transitional Justice</w:t>
      </w:r>
      <w:r w:rsidRPr="00AF79E3">
        <w:rPr>
          <w:sz w:val="20"/>
          <w:szCs w:val="20"/>
          <w:lang w:val="en-US"/>
        </w:rPr>
        <w:t xml:space="preserve"> 7 (2013), 157-77; </w:t>
      </w:r>
      <w:proofErr w:type="spellStart"/>
      <w:r w:rsidRPr="00AF79E3">
        <w:rPr>
          <w:sz w:val="20"/>
          <w:szCs w:val="20"/>
          <w:lang w:val="en-US"/>
        </w:rPr>
        <w:t>Lawther</w:t>
      </w:r>
      <w:proofErr w:type="spellEnd"/>
      <w:r w:rsidRPr="00AF79E3">
        <w:rPr>
          <w:sz w:val="20"/>
          <w:szCs w:val="20"/>
          <w:lang w:val="en-US"/>
        </w:rPr>
        <w:t xml:space="preserve">, </w:t>
      </w:r>
      <w:r w:rsidRPr="00AF79E3">
        <w:rPr>
          <w:i/>
          <w:sz w:val="20"/>
          <w:szCs w:val="20"/>
          <w:lang w:val="en-US"/>
        </w:rPr>
        <w:t>Truth, Denial and Transition: Northern Ireland and the Contested Past</w:t>
      </w:r>
      <w:r w:rsidRPr="00AF79E3">
        <w:rPr>
          <w:sz w:val="20"/>
          <w:szCs w:val="20"/>
          <w:lang w:val="en-US"/>
        </w:rPr>
        <w:t xml:space="preserve"> (Abington: Routledge, 2014).</w:t>
      </w:r>
    </w:p>
  </w:footnote>
  <w:footnote w:id="32">
    <w:p w14:paraId="276B276E" w14:textId="77777777" w:rsidR="00F91ACB" w:rsidRPr="00AF79E3" w:rsidRDefault="00F91ACB" w:rsidP="00B94C0E">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spellStart"/>
      <w:proofErr w:type="gramStart"/>
      <w:r w:rsidRPr="00AF79E3">
        <w:rPr>
          <w:sz w:val="20"/>
          <w:szCs w:val="20"/>
          <w:lang w:val="en-US"/>
        </w:rPr>
        <w:t>Lawther</w:t>
      </w:r>
      <w:proofErr w:type="spellEnd"/>
      <w:r w:rsidRPr="00AF79E3">
        <w:rPr>
          <w:sz w:val="20"/>
          <w:szCs w:val="20"/>
          <w:lang w:val="en-US"/>
        </w:rPr>
        <w:t>, ‘Denial, Silence and the Politics of the Past’, 166.</w:t>
      </w:r>
      <w:proofErr w:type="gramEnd"/>
    </w:p>
  </w:footnote>
  <w:footnote w:id="33">
    <w:p w14:paraId="63A74746" w14:textId="77777777" w:rsidR="00F91ACB" w:rsidRPr="00AF79E3" w:rsidRDefault="00F91ACB" w:rsidP="00B94C0E">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Mike Morrissey and Marie Smyth, </w:t>
      </w:r>
      <w:r w:rsidRPr="00AF79E3">
        <w:rPr>
          <w:i/>
          <w:sz w:val="20"/>
          <w:szCs w:val="20"/>
          <w:lang w:val="en-US"/>
        </w:rPr>
        <w:t>Northern Ireland after the Good Friday Agreement: Victims, Grievance and Blame</w:t>
      </w:r>
      <w:r w:rsidRPr="00AF79E3">
        <w:rPr>
          <w:sz w:val="20"/>
          <w:szCs w:val="20"/>
          <w:lang w:val="en-US"/>
        </w:rPr>
        <w:t xml:space="preserve"> (London: Pluto Press, 2002).</w:t>
      </w:r>
    </w:p>
  </w:footnote>
  <w:footnote w:id="34">
    <w:p w14:paraId="7679420B" w14:textId="77777777" w:rsidR="00F91ACB" w:rsidRPr="00AF79E3" w:rsidRDefault="00F91ACB" w:rsidP="00C46A44">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spellStart"/>
      <w:r w:rsidRPr="00AF79E3">
        <w:rPr>
          <w:sz w:val="20"/>
          <w:szCs w:val="20"/>
          <w:lang w:val="en-US"/>
        </w:rPr>
        <w:t>Lawther</w:t>
      </w:r>
      <w:proofErr w:type="spellEnd"/>
      <w:r w:rsidRPr="00AF79E3">
        <w:rPr>
          <w:sz w:val="20"/>
          <w:szCs w:val="20"/>
          <w:lang w:val="en-US"/>
        </w:rPr>
        <w:t xml:space="preserve">, </w:t>
      </w:r>
      <w:r w:rsidRPr="00AF79E3">
        <w:rPr>
          <w:i/>
          <w:sz w:val="20"/>
          <w:szCs w:val="20"/>
          <w:lang w:val="en-US"/>
        </w:rPr>
        <w:t>Truth, Denial and Transition</w:t>
      </w:r>
      <w:r w:rsidRPr="00AF79E3">
        <w:rPr>
          <w:sz w:val="20"/>
          <w:szCs w:val="20"/>
          <w:lang w:val="en-US"/>
        </w:rPr>
        <w:t>, 57-8.</w:t>
      </w:r>
    </w:p>
  </w:footnote>
  <w:footnote w:id="35">
    <w:p w14:paraId="0DAF11C4" w14:textId="2891CB62"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UK House of Parliament, </w:t>
      </w:r>
      <w:r w:rsidRPr="00AF79E3">
        <w:rPr>
          <w:i/>
          <w:sz w:val="20"/>
          <w:szCs w:val="20"/>
        </w:rPr>
        <w:t>Victims and Survivors (Northern Ireland) Order 2006</w:t>
      </w:r>
      <w:r w:rsidRPr="00AF79E3">
        <w:rPr>
          <w:sz w:val="20"/>
          <w:szCs w:val="20"/>
        </w:rPr>
        <w:t xml:space="preserve">, pt. 3: </w:t>
      </w:r>
      <w:hyperlink r:id="rId1" w:history="1">
        <w:r w:rsidRPr="00AF79E3">
          <w:rPr>
            <w:rStyle w:val="Hyperlink"/>
            <w:sz w:val="20"/>
            <w:szCs w:val="20"/>
          </w:rPr>
          <w:t>http://www.legislation.gov.uk/nisi/2006/2953/contents</w:t>
        </w:r>
      </w:hyperlink>
      <w:r w:rsidRPr="00AF79E3">
        <w:rPr>
          <w:sz w:val="20"/>
          <w:szCs w:val="20"/>
        </w:rPr>
        <w:t xml:space="preserve"> (accessed 18 January 2016).</w:t>
      </w:r>
    </w:p>
  </w:footnote>
  <w:footnote w:id="36">
    <w:p w14:paraId="180E5A74" w14:textId="082BBFF0" w:rsidR="00181DB4" w:rsidRPr="00DC1D42" w:rsidRDefault="00181DB4" w:rsidP="00181DB4">
      <w:pPr>
        <w:pStyle w:val="FootnoteText"/>
        <w:rPr>
          <w:sz w:val="20"/>
          <w:szCs w:val="20"/>
        </w:rPr>
      </w:pPr>
      <w:r w:rsidRPr="00DC1D42">
        <w:rPr>
          <w:rStyle w:val="FootnoteReference"/>
          <w:sz w:val="20"/>
          <w:szCs w:val="20"/>
        </w:rPr>
        <w:footnoteRef/>
      </w:r>
      <w:r w:rsidRPr="00DC1D42">
        <w:rPr>
          <w:sz w:val="20"/>
          <w:szCs w:val="20"/>
        </w:rPr>
        <w:t xml:space="preserve"> </w:t>
      </w:r>
      <w:r w:rsidR="00DC1D42" w:rsidRPr="00DC1D42">
        <w:rPr>
          <w:sz w:val="20"/>
          <w:szCs w:val="20"/>
        </w:rPr>
        <w:t>Interview, Armagh</w:t>
      </w:r>
      <w:r w:rsidR="00262CAF">
        <w:rPr>
          <w:sz w:val="20"/>
          <w:szCs w:val="20"/>
        </w:rPr>
        <w:t>, Northern Ireland</w:t>
      </w:r>
      <w:r w:rsidR="00DC1D42" w:rsidRPr="00DC1D42">
        <w:rPr>
          <w:sz w:val="20"/>
          <w:szCs w:val="20"/>
        </w:rPr>
        <w:t xml:space="preserve"> (18 September 2014)</w:t>
      </w:r>
      <w:r w:rsidRPr="00DC1D42">
        <w:rPr>
          <w:sz w:val="20"/>
          <w:szCs w:val="20"/>
        </w:rPr>
        <w:t>.</w:t>
      </w:r>
    </w:p>
  </w:footnote>
  <w:footnote w:id="37">
    <w:p w14:paraId="1C815472" w14:textId="5853AA4B"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Ulster Unionist Party, </w:t>
      </w:r>
      <w:r w:rsidRPr="00AF79E3">
        <w:rPr>
          <w:i/>
          <w:sz w:val="20"/>
          <w:szCs w:val="20"/>
          <w:lang w:val="en-US"/>
        </w:rPr>
        <w:t>Victims Charter</w:t>
      </w:r>
      <w:r w:rsidRPr="00AF79E3">
        <w:rPr>
          <w:sz w:val="20"/>
          <w:szCs w:val="20"/>
          <w:lang w:val="en-US"/>
        </w:rPr>
        <w:t xml:space="preserve"> (Belfast: UUP, 2011), 2; see also ‘DUP seeks victim definition change’, </w:t>
      </w:r>
      <w:r w:rsidRPr="00AF79E3">
        <w:rPr>
          <w:i/>
          <w:sz w:val="20"/>
          <w:szCs w:val="20"/>
          <w:lang w:val="en-US"/>
        </w:rPr>
        <w:t>BBC News</w:t>
      </w:r>
      <w:r w:rsidRPr="00AF79E3">
        <w:rPr>
          <w:sz w:val="20"/>
          <w:szCs w:val="20"/>
          <w:lang w:val="en-US"/>
        </w:rPr>
        <w:t xml:space="preserve">, September 15, 2009: </w:t>
      </w:r>
      <w:hyperlink r:id="rId2" w:history="1">
        <w:r w:rsidRPr="00AF79E3">
          <w:rPr>
            <w:rStyle w:val="Hyperlink"/>
            <w:sz w:val="20"/>
            <w:szCs w:val="20"/>
            <w:lang w:val="en-US"/>
          </w:rPr>
          <w:t>http://news.bbc.co.uk/1/hi/northern_ireland/8256468.stm</w:t>
        </w:r>
      </w:hyperlink>
      <w:r w:rsidRPr="00AF79E3">
        <w:rPr>
          <w:sz w:val="20"/>
          <w:szCs w:val="20"/>
          <w:lang w:val="en-US"/>
        </w:rPr>
        <w:t xml:space="preserve"> (accessed 18 January 2016); Democratic Unionist Party, </w:t>
      </w:r>
      <w:r w:rsidRPr="00AF79E3">
        <w:rPr>
          <w:i/>
          <w:sz w:val="20"/>
          <w:szCs w:val="20"/>
          <w:lang w:val="en-US"/>
        </w:rPr>
        <w:t>Our Key Commitments to Innocent Victims of Terrorism</w:t>
      </w:r>
      <w:r w:rsidRPr="00AF79E3">
        <w:rPr>
          <w:sz w:val="20"/>
          <w:szCs w:val="20"/>
          <w:lang w:val="en-US"/>
        </w:rPr>
        <w:t xml:space="preserve"> (Belfast, DUP, 2014).</w:t>
      </w:r>
    </w:p>
  </w:footnote>
  <w:footnote w:id="38">
    <w:p w14:paraId="48328A24" w14:textId="46889F5A"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Smyth, ‘Putting the Past in its Place’, 128.</w:t>
      </w:r>
      <w:proofErr w:type="gramEnd"/>
    </w:p>
  </w:footnote>
  <w:footnote w:id="39">
    <w:p w14:paraId="53729202" w14:textId="77777777" w:rsidR="00F91ACB" w:rsidRPr="00AF79E3" w:rsidRDefault="00F91ACB" w:rsidP="00BA56BD">
      <w:pPr>
        <w:pStyle w:val="FootnoteText"/>
        <w:rPr>
          <w:sz w:val="20"/>
          <w:szCs w:val="20"/>
        </w:rPr>
      </w:pPr>
      <w:r w:rsidRPr="00AF79E3">
        <w:rPr>
          <w:rStyle w:val="FootnoteReference"/>
          <w:sz w:val="20"/>
          <w:szCs w:val="20"/>
        </w:rPr>
        <w:footnoteRef/>
      </w:r>
      <w:r w:rsidRPr="00AF79E3">
        <w:rPr>
          <w:sz w:val="20"/>
          <w:szCs w:val="20"/>
        </w:rPr>
        <w:t xml:space="preserve"> Consultative Group</w:t>
      </w:r>
      <w:r>
        <w:rPr>
          <w:sz w:val="20"/>
          <w:szCs w:val="20"/>
        </w:rPr>
        <w:t xml:space="preserve"> on the Past</w:t>
      </w:r>
      <w:r w:rsidRPr="00AF79E3">
        <w:rPr>
          <w:sz w:val="20"/>
          <w:szCs w:val="20"/>
        </w:rPr>
        <w:t xml:space="preserve">, </w:t>
      </w:r>
      <w:r w:rsidRPr="00AF79E3">
        <w:rPr>
          <w:i/>
          <w:sz w:val="20"/>
          <w:szCs w:val="20"/>
        </w:rPr>
        <w:t xml:space="preserve">Report of the Consultative Group on the Past </w:t>
      </w:r>
      <w:r w:rsidRPr="00AF79E3">
        <w:rPr>
          <w:sz w:val="20"/>
          <w:szCs w:val="20"/>
        </w:rPr>
        <w:t xml:space="preserve">(Belfast: CGP).  The report was launched in January 2009 following three years of consultation into how Northern Ireland should deal with the legacy of its past. </w:t>
      </w:r>
    </w:p>
  </w:footnote>
  <w:footnote w:id="40">
    <w:p w14:paraId="55A92F8F" w14:textId="70C47A63"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Cheryl </w:t>
      </w:r>
      <w:proofErr w:type="spellStart"/>
      <w:r w:rsidRPr="00AF79E3">
        <w:rPr>
          <w:sz w:val="20"/>
          <w:szCs w:val="20"/>
          <w:lang w:val="en-US"/>
        </w:rPr>
        <w:t>Lawther</w:t>
      </w:r>
      <w:proofErr w:type="spellEnd"/>
      <w:r w:rsidRPr="00AF79E3">
        <w:rPr>
          <w:sz w:val="20"/>
          <w:szCs w:val="20"/>
          <w:lang w:val="en-US"/>
        </w:rPr>
        <w:t xml:space="preserve">, ‘The Construction and </w:t>
      </w:r>
      <w:proofErr w:type="spellStart"/>
      <w:r w:rsidRPr="00AF79E3">
        <w:rPr>
          <w:sz w:val="20"/>
          <w:szCs w:val="20"/>
          <w:lang w:val="en-US"/>
        </w:rPr>
        <w:t>Politicisation</w:t>
      </w:r>
      <w:proofErr w:type="spellEnd"/>
      <w:r w:rsidRPr="00AF79E3">
        <w:rPr>
          <w:sz w:val="20"/>
          <w:szCs w:val="20"/>
          <w:lang w:val="en-US"/>
        </w:rPr>
        <w:t xml:space="preserve"> of Victimhood’, in </w:t>
      </w:r>
      <w:r w:rsidRPr="00AF79E3">
        <w:rPr>
          <w:i/>
          <w:sz w:val="20"/>
          <w:szCs w:val="20"/>
          <w:lang w:val="en-US"/>
        </w:rPr>
        <w:t>Victims of Terrorism: A Comparative and Interdisciplinary Study</w:t>
      </w:r>
      <w:r w:rsidRPr="00AF79E3">
        <w:rPr>
          <w:sz w:val="20"/>
          <w:szCs w:val="20"/>
          <w:lang w:val="en-US"/>
        </w:rPr>
        <w:t xml:space="preserve"> ed. O. Lynch and J. </w:t>
      </w:r>
      <w:proofErr w:type="spellStart"/>
      <w:r w:rsidRPr="00AF79E3">
        <w:rPr>
          <w:sz w:val="20"/>
          <w:szCs w:val="20"/>
          <w:lang w:val="en-US"/>
        </w:rPr>
        <w:t>Argomaniz</w:t>
      </w:r>
      <w:proofErr w:type="spellEnd"/>
      <w:r w:rsidRPr="00AF79E3">
        <w:rPr>
          <w:sz w:val="20"/>
          <w:szCs w:val="20"/>
          <w:lang w:val="en-US"/>
        </w:rPr>
        <w:t xml:space="preserve"> (London: Taylor &amp; Francis, 2014), 10-30, at 26-7.</w:t>
      </w:r>
    </w:p>
  </w:footnote>
  <w:footnote w:id="41">
    <w:p w14:paraId="1C1AA36C" w14:textId="3AA1F619" w:rsidR="00F91ACB" w:rsidRPr="00AF79E3" w:rsidRDefault="00F91ACB" w:rsidP="009059C8">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Northern Ireland Assembly, </w:t>
      </w:r>
      <w:r w:rsidRPr="00AF79E3">
        <w:rPr>
          <w:i/>
          <w:sz w:val="20"/>
          <w:szCs w:val="20"/>
          <w:lang w:val="en-US"/>
        </w:rPr>
        <w:t>Victims and Survivors (Disqualification) Bill</w:t>
      </w:r>
      <w:r w:rsidRPr="00AF79E3">
        <w:rPr>
          <w:sz w:val="20"/>
          <w:szCs w:val="20"/>
          <w:lang w:val="en-US"/>
        </w:rPr>
        <w:t xml:space="preserve">, 6/10 (2010): </w:t>
      </w:r>
      <w:hyperlink r:id="rId3" w:history="1">
        <w:r w:rsidRPr="00AF79E3">
          <w:rPr>
            <w:rStyle w:val="Hyperlink"/>
            <w:sz w:val="20"/>
            <w:szCs w:val="20"/>
          </w:rPr>
          <w:t>http://archive.niassembly.gov.uk/legislation/primary/2010/niabill6_10.htm</w:t>
        </w:r>
      </w:hyperlink>
      <w:r w:rsidRPr="00AF79E3">
        <w:rPr>
          <w:color w:val="000000"/>
          <w:sz w:val="20"/>
          <w:szCs w:val="20"/>
        </w:rPr>
        <w:t xml:space="preserve"> (accessed 18 January 2016).</w:t>
      </w:r>
    </w:p>
  </w:footnote>
  <w:footnote w:id="42">
    <w:p w14:paraId="63C22AA9" w14:textId="124C0962"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Sir Kenneth Bloomfield, </w:t>
      </w:r>
      <w:r w:rsidRPr="00AF79E3">
        <w:rPr>
          <w:i/>
          <w:sz w:val="20"/>
          <w:szCs w:val="20"/>
          <w:lang w:val="en-US"/>
        </w:rPr>
        <w:t>We Will Remember Them</w:t>
      </w:r>
      <w:r w:rsidRPr="00AF79E3">
        <w:rPr>
          <w:sz w:val="20"/>
          <w:szCs w:val="20"/>
          <w:lang w:val="en-US"/>
        </w:rPr>
        <w:t xml:space="preserve"> (Belfast: Northern Ireland Victims Commission).</w:t>
      </w:r>
    </w:p>
  </w:footnote>
  <w:footnote w:id="43">
    <w:p w14:paraId="0A32B131" w14:textId="2D774066"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Ibid. 14. </w:t>
      </w:r>
    </w:p>
  </w:footnote>
  <w:footnote w:id="44">
    <w:p w14:paraId="2F466464" w14:textId="13CDEFCF"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Ibid. </w:t>
      </w:r>
    </w:p>
  </w:footnote>
  <w:footnote w:id="45">
    <w:p w14:paraId="74331644" w14:textId="3EC881EE"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Ibid.</w:t>
      </w:r>
    </w:p>
  </w:footnote>
  <w:footnote w:id="46">
    <w:p w14:paraId="49EE0E9B" w14:textId="7CCE8970"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Lesley </w:t>
      </w:r>
      <w:proofErr w:type="spellStart"/>
      <w:r w:rsidRPr="00AF79E3">
        <w:rPr>
          <w:sz w:val="20"/>
          <w:szCs w:val="20"/>
          <w:lang w:val="en-US"/>
        </w:rPr>
        <w:t>Lelourec</w:t>
      </w:r>
      <w:proofErr w:type="spellEnd"/>
      <w:r w:rsidRPr="00AF79E3">
        <w:rPr>
          <w:sz w:val="20"/>
          <w:szCs w:val="20"/>
          <w:lang w:val="en-US"/>
        </w:rPr>
        <w:t xml:space="preserve"> and Grainne O’Keeffe-</w:t>
      </w:r>
      <w:proofErr w:type="spellStart"/>
      <w:r w:rsidRPr="00AF79E3">
        <w:rPr>
          <w:sz w:val="20"/>
          <w:szCs w:val="20"/>
          <w:lang w:val="en-US"/>
        </w:rPr>
        <w:t>Vigneron</w:t>
      </w:r>
      <w:proofErr w:type="spellEnd"/>
      <w:r w:rsidRPr="00AF79E3">
        <w:rPr>
          <w:sz w:val="20"/>
          <w:szCs w:val="20"/>
          <w:lang w:val="en-US"/>
        </w:rPr>
        <w:t xml:space="preserve">, ‘Ireland and Victims: Addressing the Issues’, in </w:t>
      </w:r>
      <w:r w:rsidRPr="00AF79E3">
        <w:rPr>
          <w:i/>
          <w:sz w:val="20"/>
          <w:szCs w:val="20"/>
          <w:lang w:val="en-US"/>
        </w:rPr>
        <w:t>Ireland and Victims: Confronting the Past, Forging the Future</w:t>
      </w:r>
      <w:r w:rsidRPr="00AF79E3">
        <w:rPr>
          <w:sz w:val="20"/>
          <w:szCs w:val="20"/>
          <w:lang w:val="en-US"/>
        </w:rPr>
        <w:t xml:space="preserve">, ed. L. </w:t>
      </w:r>
      <w:proofErr w:type="spellStart"/>
      <w:r w:rsidRPr="00AF79E3">
        <w:rPr>
          <w:sz w:val="20"/>
          <w:szCs w:val="20"/>
          <w:lang w:val="en-US"/>
        </w:rPr>
        <w:t>Lelourec</w:t>
      </w:r>
      <w:proofErr w:type="spellEnd"/>
      <w:r w:rsidRPr="00AF79E3">
        <w:rPr>
          <w:sz w:val="20"/>
          <w:szCs w:val="20"/>
          <w:lang w:val="en-US"/>
        </w:rPr>
        <w:t xml:space="preserve"> &amp; G. O’Keeffe-</w:t>
      </w:r>
      <w:proofErr w:type="spellStart"/>
      <w:r w:rsidRPr="00AF79E3">
        <w:rPr>
          <w:sz w:val="20"/>
          <w:szCs w:val="20"/>
          <w:lang w:val="en-US"/>
        </w:rPr>
        <w:t>Vigneron</w:t>
      </w:r>
      <w:proofErr w:type="spellEnd"/>
      <w:r w:rsidRPr="00AF79E3">
        <w:rPr>
          <w:sz w:val="20"/>
          <w:szCs w:val="20"/>
          <w:lang w:val="en-US"/>
        </w:rPr>
        <w:t xml:space="preserve"> (Bern: International Academic Publishers), 1-22, at 6.</w:t>
      </w:r>
    </w:p>
  </w:footnote>
  <w:footnote w:id="47">
    <w:p w14:paraId="14B1C7E5" w14:textId="390E0CC2" w:rsidR="00F91ACB" w:rsidRPr="00AF79E3" w:rsidRDefault="00F91ACB" w:rsidP="006F4611">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Victims Unit, </w:t>
      </w:r>
      <w:r w:rsidRPr="00AF79E3">
        <w:rPr>
          <w:i/>
          <w:sz w:val="20"/>
          <w:szCs w:val="20"/>
          <w:lang w:val="en-US"/>
        </w:rPr>
        <w:t>Reshape, Rebuild, Achieve</w:t>
      </w:r>
      <w:r w:rsidRPr="00AF79E3">
        <w:rPr>
          <w:sz w:val="20"/>
          <w:szCs w:val="20"/>
          <w:lang w:val="en-US"/>
        </w:rPr>
        <w:t xml:space="preserve"> (Belfast: Office of the First an</w:t>
      </w:r>
      <w:r>
        <w:rPr>
          <w:sz w:val="20"/>
          <w:szCs w:val="20"/>
          <w:lang w:val="en-US"/>
        </w:rPr>
        <w:t>d Deputy First Ministers, 2002),</w:t>
      </w:r>
      <w:r w:rsidRPr="00AF79E3">
        <w:rPr>
          <w:sz w:val="20"/>
          <w:szCs w:val="20"/>
          <w:lang w:val="en-US"/>
        </w:rPr>
        <w:t xml:space="preserve"> 1.</w:t>
      </w:r>
    </w:p>
  </w:footnote>
  <w:footnote w:id="48">
    <w:p w14:paraId="1921DBAB" w14:textId="4828D251"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Alan McBride, ‘Evaluating the Strategy’, in </w:t>
      </w:r>
      <w:r w:rsidRPr="00AF79E3">
        <w:rPr>
          <w:i/>
          <w:sz w:val="20"/>
          <w:szCs w:val="20"/>
          <w:lang w:val="en-US"/>
        </w:rPr>
        <w:t>Recognition &amp; Reckoning: The Way Ahead on Victims Issues</w:t>
      </w:r>
      <w:r w:rsidRPr="00AF79E3">
        <w:rPr>
          <w:sz w:val="20"/>
          <w:szCs w:val="20"/>
          <w:lang w:val="en-US"/>
        </w:rPr>
        <w:t xml:space="preserve"> ed. B. </w:t>
      </w:r>
      <w:proofErr w:type="spellStart"/>
      <w:r w:rsidRPr="00AF79E3">
        <w:rPr>
          <w:sz w:val="20"/>
          <w:szCs w:val="20"/>
          <w:lang w:val="en-US"/>
        </w:rPr>
        <w:t>Hamber</w:t>
      </w:r>
      <w:proofErr w:type="spellEnd"/>
      <w:r w:rsidRPr="00AF79E3">
        <w:rPr>
          <w:sz w:val="20"/>
          <w:szCs w:val="20"/>
          <w:lang w:val="en-US"/>
        </w:rPr>
        <w:t xml:space="preserve"> and R. Wilson (Belfast: Democratic Dialogue 15, 2003), 26-35.</w:t>
      </w:r>
    </w:p>
  </w:footnote>
  <w:footnote w:id="49">
    <w:p w14:paraId="7236F95C" w14:textId="2FC62E13"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Thurston, </w:t>
      </w:r>
      <w:r w:rsidRPr="00AF79E3">
        <w:rPr>
          <w:i/>
          <w:sz w:val="20"/>
          <w:szCs w:val="20"/>
          <w:lang w:val="en-US"/>
        </w:rPr>
        <w:t>Perceptions and Opinions Regarding Victims, Survivors &amp; Casualties in and about Northern Ireland</w:t>
      </w:r>
      <w:r w:rsidRPr="00AF79E3">
        <w:rPr>
          <w:sz w:val="20"/>
          <w:szCs w:val="20"/>
          <w:lang w:val="en-US"/>
        </w:rPr>
        <w:t xml:space="preserve"> (Belfast: Conflic</w:t>
      </w:r>
      <w:r>
        <w:rPr>
          <w:sz w:val="20"/>
          <w:szCs w:val="20"/>
          <w:lang w:val="en-US"/>
        </w:rPr>
        <w:t>t Trauma Research Centre, 2002),</w:t>
      </w:r>
      <w:r w:rsidRPr="00AF79E3">
        <w:rPr>
          <w:sz w:val="20"/>
          <w:szCs w:val="20"/>
          <w:lang w:val="en-US"/>
        </w:rPr>
        <w:t xml:space="preserve"> 7.</w:t>
      </w:r>
    </w:p>
  </w:footnote>
  <w:footnote w:id="50">
    <w:p w14:paraId="4C0337BD" w14:textId="650CF911"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Ibid. 20.</w:t>
      </w:r>
    </w:p>
  </w:footnote>
  <w:footnote w:id="51">
    <w:p w14:paraId="2A3A0817" w14:textId="021BAFCA"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 xml:space="preserve">Consultative Group on the Past, </w:t>
      </w:r>
      <w:r w:rsidRPr="00AF79E3">
        <w:rPr>
          <w:i/>
          <w:sz w:val="20"/>
          <w:szCs w:val="20"/>
          <w:lang w:val="en-US"/>
        </w:rPr>
        <w:t>Report</w:t>
      </w:r>
      <w:r w:rsidRPr="00AF79E3">
        <w:rPr>
          <w:sz w:val="20"/>
          <w:szCs w:val="20"/>
          <w:lang w:val="en-US"/>
        </w:rPr>
        <w:t>, 30.</w:t>
      </w:r>
      <w:proofErr w:type="gramEnd"/>
    </w:p>
  </w:footnote>
  <w:footnote w:id="52">
    <w:p w14:paraId="44EE0556" w14:textId="282D67C3"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 xml:space="preserve">Panel of the Parties, </w:t>
      </w:r>
      <w:r w:rsidRPr="00AF79E3">
        <w:rPr>
          <w:i/>
          <w:sz w:val="20"/>
          <w:szCs w:val="20"/>
          <w:lang w:val="en-US"/>
        </w:rPr>
        <w:t xml:space="preserve">An Agreement among the Parties of the Northern Ireland Executive </w:t>
      </w:r>
      <w:r w:rsidRPr="00AF79E3">
        <w:rPr>
          <w:sz w:val="20"/>
          <w:szCs w:val="20"/>
          <w:lang w:val="en-US"/>
        </w:rPr>
        <w:t>[Proposed], Northern Ireland Executive (2013).</w:t>
      </w:r>
      <w:proofErr w:type="gramEnd"/>
    </w:p>
  </w:footnote>
  <w:footnote w:id="53">
    <w:p w14:paraId="5DBC71B5" w14:textId="36D3649F" w:rsidR="00F91ACB" w:rsidRPr="00AF79E3" w:rsidRDefault="00F91ACB" w:rsidP="00887E0A">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Northern Ireland Executive, </w:t>
      </w:r>
      <w:r w:rsidRPr="00AF79E3">
        <w:rPr>
          <w:i/>
          <w:sz w:val="20"/>
          <w:szCs w:val="20"/>
          <w:lang w:val="en-US"/>
        </w:rPr>
        <w:t>Stormont House Agreement</w:t>
      </w:r>
      <w:r w:rsidRPr="00AF79E3">
        <w:rPr>
          <w:sz w:val="20"/>
          <w:szCs w:val="20"/>
          <w:lang w:val="en-US"/>
        </w:rPr>
        <w:t xml:space="preserve"> (2014): </w:t>
      </w:r>
      <w:hyperlink r:id="rId4" w:history="1">
        <w:r w:rsidRPr="00AF79E3">
          <w:rPr>
            <w:rStyle w:val="Hyperlink"/>
            <w:sz w:val="20"/>
            <w:szCs w:val="20"/>
          </w:rPr>
          <w:t>https://www.gov.uk/government/uploads/system/uploads/attachment_data/file/390672/Stormont_House_Agreement.pdf</w:t>
        </w:r>
      </w:hyperlink>
      <w:r w:rsidRPr="00AF79E3">
        <w:rPr>
          <w:sz w:val="20"/>
          <w:szCs w:val="20"/>
        </w:rPr>
        <w:t xml:space="preserve"> (accessed 18 January 2016). </w:t>
      </w:r>
    </w:p>
  </w:footnote>
  <w:footnote w:id="54">
    <w:p w14:paraId="078ADE83" w14:textId="04F50F01"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Morrissey and Smyth, </w:t>
      </w:r>
      <w:r w:rsidRPr="00AF79E3">
        <w:rPr>
          <w:i/>
          <w:sz w:val="20"/>
          <w:szCs w:val="20"/>
          <w:lang w:val="en-US"/>
        </w:rPr>
        <w:t>Northern Ireland After the Good Friday Agreement</w:t>
      </w:r>
      <w:r w:rsidRPr="00AF79E3">
        <w:rPr>
          <w:sz w:val="20"/>
          <w:szCs w:val="20"/>
          <w:lang w:val="en-US"/>
        </w:rPr>
        <w:t>, 10.</w:t>
      </w:r>
    </w:p>
  </w:footnote>
  <w:footnote w:id="55">
    <w:p w14:paraId="294E74E6" w14:textId="61C3ED9B" w:rsidR="00F91ACB" w:rsidRPr="00AF79E3" w:rsidRDefault="00F91ACB" w:rsidP="007F0841">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John Brewer and Bernadette Hayes, ‘Victims as Moral Beacons: Victims and Perpetrators in Northern Ireland’, </w:t>
      </w:r>
      <w:r w:rsidRPr="00AF79E3">
        <w:rPr>
          <w:i/>
          <w:sz w:val="20"/>
          <w:szCs w:val="20"/>
          <w:lang w:val="en-US"/>
        </w:rPr>
        <w:t>Contemporary Social Science</w:t>
      </w:r>
      <w:r w:rsidRPr="00AF79E3">
        <w:rPr>
          <w:sz w:val="20"/>
          <w:szCs w:val="20"/>
          <w:lang w:val="en-US"/>
        </w:rPr>
        <w:t xml:space="preserve"> 6, no. 1 (2011), 73-88, at 77.</w:t>
      </w:r>
    </w:p>
  </w:footnote>
  <w:footnote w:id="56">
    <w:p w14:paraId="26A278A0" w14:textId="166BABCD"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David </w:t>
      </w:r>
      <w:proofErr w:type="spellStart"/>
      <w:r w:rsidRPr="00AF79E3">
        <w:rPr>
          <w:sz w:val="20"/>
          <w:szCs w:val="20"/>
          <w:lang w:val="en-US"/>
        </w:rPr>
        <w:t>McKittrick</w:t>
      </w:r>
      <w:proofErr w:type="spellEnd"/>
      <w:r w:rsidRPr="00AF79E3">
        <w:rPr>
          <w:sz w:val="20"/>
          <w:szCs w:val="20"/>
          <w:lang w:val="en-US"/>
        </w:rPr>
        <w:t xml:space="preserve">, Seamus </w:t>
      </w:r>
      <w:proofErr w:type="spellStart"/>
      <w:r w:rsidRPr="00AF79E3">
        <w:rPr>
          <w:sz w:val="20"/>
          <w:szCs w:val="20"/>
          <w:lang w:val="en-US"/>
        </w:rPr>
        <w:t>Kelters</w:t>
      </w:r>
      <w:proofErr w:type="spellEnd"/>
      <w:r w:rsidRPr="00AF79E3">
        <w:rPr>
          <w:sz w:val="20"/>
          <w:szCs w:val="20"/>
          <w:lang w:val="en-US"/>
        </w:rPr>
        <w:t xml:space="preserve">, Brian Feeney, Chris Thornton and David </w:t>
      </w:r>
      <w:proofErr w:type="spellStart"/>
      <w:r w:rsidRPr="00AF79E3">
        <w:rPr>
          <w:sz w:val="20"/>
          <w:szCs w:val="20"/>
          <w:lang w:val="en-US"/>
        </w:rPr>
        <w:t>McVea</w:t>
      </w:r>
      <w:proofErr w:type="spellEnd"/>
      <w:r w:rsidRPr="00AF79E3">
        <w:rPr>
          <w:sz w:val="20"/>
          <w:szCs w:val="20"/>
          <w:lang w:val="en-US"/>
        </w:rPr>
        <w:t xml:space="preserve">, </w:t>
      </w:r>
      <w:r w:rsidRPr="00AF79E3">
        <w:rPr>
          <w:i/>
          <w:sz w:val="20"/>
          <w:szCs w:val="20"/>
          <w:lang w:val="en-US"/>
        </w:rPr>
        <w:t>Lost Lives: The Stories of Men, Women and Children who Died as a Result of the Northern Ireland Troubles</w:t>
      </w:r>
      <w:r w:rsidRPr="00AF79E3">
        <w:rPr>
          <w:sz w:val="20"/>
          <w:szCs w:val="20"/>
          <w:lang w:val="en-US"/>
        </w:rPr>
        <w:t xml:space="preserve"> [Updated edition] (Edinburgh: Mainstream Publishing Company, 2007), 18.</w:t>
      </w:r>
    </w:p>
  </w:footnote>
  <w:footnote w:id="57">
    <w:p w14:paraId="7458CFF8" w14:textId="2C03CA4B"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Marie Therese Fay, Mike Morrissey and Marie Smyth, </w:t>
      </w:r>
      <w:r w:rsidRPr="00AF79E3">
        <w:rPr>
          <w:i/>
          <w:sz w:val="20"/>
          <w:szCs w:val="20"/>
        </w:rPr>
        <w:t>Northern Ireland’s Troubles: The Human Costs</w:t>
      </w:r>
      <w:r w:rsidRPr="00AF79E3">
        <w:rPr>
          <w:sz w:val="20"/>
          <w:szCs w:val="20"/>
        </w:rPr>
        <w:t xml:space="preserve"> (London: Pluto Press, 1999), 137.</w:t>
      </w:r>
    </w:p>
  </w:footnote>
  <w:footnote w:id="58">
    <w:p w14:paraId="3D028D5A" w14:textId="741BFAD7" w:rsidR="00F91ACB" w:rsidRPr="00AF79E3" w:rsidRDefault="00F91ACB" w:rsidP="00EA3BF8">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Malcolm Sutton, </w:t>
      </w:r>
      <w:r w:rsidRPr="00AF79E3">
        <w:rPr>
          <w:i/>
          <w:sz w:val="20"/>
          <w:szCs w:val="20"/>
          <w:lang w:val="en-US"/>
        </w:rPr>
        <w:t xml:space="preserve">Bear in Mind these Dead… </w:t>
      </w:r>
      <w:proofErr w:type="gramStart"/>
      <w:r w:rsidRPr="00AF79E3">
        <w:rPr>
          <w:i/>
          <w:sz w:val="20"/>
          <w:szCs w:val="20"/>
          <w:lang w:val="en-US"/>
        </w:rPr>
        <w:t>An Index of Deaths from the Conflict in Ireland 1969-1993</w:t>
      </w:r>
      <w:r w:rsidRPr="00AF79E3">
        <w:rPr>
          <w:sz w:val="20"/>
          <w:szCs w:val="20"/>
          <w:lang w:val="en-US"/>
        </w:rPr>
        <w:t xml:space="preserve"> (Belfast: Beyond the Pale Publications, 1994), 195.</w:t>
      </w:r>
      <w:proofErr w:type="gramEnd"/>
    </w:p>
  </w:footnote>
  <w:footnote w:id="59">
    <w:p w14:paraId="12150D1E" w14:textId="5AB69ED0"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Marie Therese Fay, Mike Morrissey and Marie Smyth, </w:t>
      </w:r>
      <w:r w:rsidRPr="00AF79E3">
        <w:rPr>
          <w:i/>
          <w:sz w:val="20"/>
          <w:szCs w:val="20"/>
          <w:lang w:val="en-US"/>
        </w:rPr>
        <w:t>Mapping Troubles-related deaths in Northern Ireland 1969-1998</w:t>
      </w:r>
      <w:r w:rsidRPr="00AF79E3">
        <w:rPr>
          <w:sz w:val="20"/>
          <w:szCs w:val="20"/>
          <w:lang w:val="en-US"/>
        </w:rPr>
        <w:t xml:space="preserve"> (Derry/Londonderry: INCORE, 1998), 14.</w:t>
      </w:r>
    </w:p>
  </w:footnote>
  <w:footnote w:id="60">
    <w:p w14:paraId="6AB99432" w14:textId="5310E7D7"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Fay, Morrissey and Smyth, </w:t>
      </w:r>
      <w:r w:rsidRPr="00AF79E3">
        <w:rPr>
          <w:i/>
          <w:sz w:val="20"/>
          <w:szCs w:val="20"/>
          <w:lang w:val="en-US"/>
        </w:rPr>
        <w:t>Northern Ireland’s Troubles</w:t>
      </w:r>
      <w:r w:rsidRPr="00AF79E3">
        <w:rPr>
          <w:sz w:val="20"/>
          <w:szCs w:val="20"/>
          <w:lang w:val="en-US"/>
        </w:rPr>
        <w:t>, 37.</w:t>
      </w:r>
    </w:p>
  </w:footnote>
  <w:footnote w:id="61">
    <w:p w14:paraId="32EA50CF" w14:textId="308909E9"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Tristan Ann </w:t>
      </w:r>
      <w:r w:rsidRPr="00AF79E3">
        <w:rPr>
          <w:sz w:val="20"/>
          <w:szCs w:val="20"/>
          <w:lang w:val="en-US"/>
        </w:rPr>
        <w:t xml:space="preserve">Borer, ‘A Taxonomy of Victims and Perpetrators: Human Rights and Reconciliation in South Africa’, </w:t>
      </w:r>
      <w:r w:rsidRPr="00AF79E3">
        <w:rPr>
          <w:i/>
          <w:sz w:val="20"/>
          <w:szCs w:val="20"/>
          <w:lang w:val="en-US"/>
        </w:rPr>
        <w:t>Human Rights Quarterly</w:t>
      </w:r>
      <w:r w:rsidRPr="00AF79E3">
        <w:rPr>
          <w:sz w:val="20"/>
          <w:szCs w:val="20"/>
          <w:lang w:val="en-US"/>
        </w:rPr>
        <w:t xml:space="preserve"> 25, no. 4 (2003), 1101.</w:t>
      </w:r>
    </w:p>
  </w:footnote>
  <w:footnote w:id="62">
    <w:p w14:paraId="767ECFA7" w14:textId="48CBFC4F"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Bouris, </w:t>
      </w:r>
      <w:r w:rsidRPr="00AF79E3">
        <w:rPr>
          <w:i/>
          <w:sz w:val="20"/>
          <w:szCs w:val="20"/>
          <w:lang w:val="en-US"/>
        </w:rPr>
        <w:t>Complex Political Victims</w:t>
      </w:r>
      <w:r w:rsidRPr="00AF79E3">
        <w:rPr>
          <w:sz w:val="20"/>
          <w:szCs w:val="20"/>
          <w:lang w:val="en-US"/>
        </w:rPr>
        <w:t>, 47.</w:t>
      </w:r>
    </w:p>
  </w:footnote>
  <w:footnote w:id="63">
    <w:p w14:paraId="05C378DC" w14:textId="549B418F"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Christine Bell, ‘Dealing with the Past in Northern Ireland’, </w:t>
      </w:r>
      <w:r w:rsidRPr="00AF79E3">
        <w:rPr>
          <w:i/>
          <w:sz w:val="20"/>
          <w:szCs w:val="20"/>
          <w:lang w:val="en-US"/>
        </w:rPr>
        <w:t>Fordham International Law Journal</w:t>
      </w:r>
      <w:r w:rsidRPr="00AF79E3">
        <w:rPr>
          <w:sz w:val="20"/>
          <w:szCs w:val="20"/>
          <w:lang w:val="en-US"/>
        </w:rPr>
        <w:t xml:space="preserve"> 26, no. 4 (2003), 1095-1147.</w:t>
      </w:r>
    </w:p>
  </w:footnote>
  <w:footnote w:id="64">
    <w:p w14:paraId="047E16EF" w14:textId="02DF9601" w:rsidR="001811AA" w:rsidRPr="001811AA" w:rsidRDefault="001811AA">
      <w:pPr>
        <w:pStyle w:val="FootnoteText"/>
        <w:rPr>
          <w:sz w:val="20"/>
          <w:szCs w:val="20"/>
        </w:rPr>
      </w:pPr>
      <w:r w:rsidRPr="001811AA">
        <w:rPr>
          <w:rStyle w:val="FootnoteReference"/>
          <w:sz w:val="20"/>
          <w:szCs w:val="20"/>
        </w:rPr>
        <w:footnoteRef/>
      </w:r>
      <w:r w:rsidRPr="001811AA">
        <w:rPr>
          <w:sz w:val="20"/>
          <w:szCs w:val="20"/>
        </w:rPr>
        <w:t xml:space="preserve"> </w:t>
      </w:r>
      <w:proofErr w:type="gramStart"/>
      <w:r w:rsidRPr="001811AA">
        <w:rPr>
          <w:sz w:val="20"/>
          <w:szCs w:val="20"/>
        </w:rPr>
        <w:t>Ibid. 1128.</w:t>
      </w:r>
      <w:proofErr w:type="gramEnd"/>
    </w:p>
  </w:footnote>
  <w:footnote w:id="65">
    <w:p w14:paraId="3B093138" w14:textId="47A30C13"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 xml:space="preserve">Fay, Morrissey and Smyth, </w:t>
      </w:r>
      <w:r w:rsidRPr="00AF79E3">
        <w:rPr>
          <w:i/>
          <w:sz w:val="20"/>
          <w:szCs w:val="20"/>
          <w:lang w:val="en-US"/>
        </w:rPr>
        <w:t>Mapping Troubles-Related Deaths</w:t>
      </w:r>
      <w:r w:rsidRPr="00AF79E3">
        <w:rPr>
          <w:sz w:val="20"/>
          <w:szCs w:val="20"/>
          <w:lang w:val="en-US"/>
        </w:rPr>
        <w:t>, 37.</w:t>
      </w:r>
      <w:proofErr w:type="gramEnd"/>
    </w:p>
  </w:footnote>
  <w:footnote w:id="66">
    <w:p w14:paraId="2FB3CCE7" w14:textId="2A92A099"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spellStart"/>
      <w:r w:rsidRPr="00AF79E3">
        <w:rPr>
          <w:sz w:val="20"/>
          <w:szCs w:val="20"/>
          <w:lang w:val="en-US"/>
        </w:rPr>
        <w:t>Lawther</w:t>
      </w:r>
      <w:proofErr w:type="spellEnd"/>
      <w:r w:rsidRPr="00AF79E3">
        <w:rPr>
          <w:sz w:val="20"/>
          <w:szCs w:val="20"/>
          <w:lang w:val="en-US"/>
        </w:rPr>
        <w:t xml:space="preserve">, </w:t>
      </w:r>
      <w:r w:rsidRPr="00AF79E3">
        <w:rPr>
          <w:i/>
          <w:sz w:val="20"/>
          <w:szCs w:val="20"/>
          <w:lang w:val="en-US"/>
        </w:rPr>
        <w:t>Truth, Denial and Transition</w:t>
      </w:r>
      <w:r w:rsidRPr="00AF79E3">
        <w:rPr>
          <w:sz w:val="20"/>
          <w:szCs w:val="20"/>
          <w:lang w:val="en-US"/>
        </w:rPr>
        <w:t>, xiii.</w:t>
      </w:r>
    </w:p>
  </w:footnote>
  <w:footnote w:id="67">
    <w:p w14:paraId="7E7A587D" w14:textId="6B0C37AE" w:rsidR="00F91ACB" w:rsidRPr="00AF79E3" w:rsidRDefault="00F91ACB" w:rsidP="00260B5B">
      <w:pPr>
        <w:pStyle w:val="FootnoteText"/>
        <w:rPr>
          <w:sz w:val="20"/>
          <w:szCs w:val="20"/>
          <w:lang w:val="en-US"/>
        </w:rPr>
      </w:pPr>
      <w:r w:rsidRPr="00AF79E3">
        <w:rPr>
          <w:rStyle w:val="FootnoteReference"/>
          <w:sz w:val="20"/>
          <w:szCs w:val="20"/>
        </w:rPr>
        <w:footnoteRef/>
      </w:r>
      <w:r w:rsidRPr="00AF79E3">
        <w:rPr>
          <w:sz w:val="20"/>
          <w:szCs w:val="20"/>
        </w:rPr>
        <w:t xml:space="preserve"> </w:t>
      </w:r>
      <w:r>
        <w:rPr>
          <w:sz w:val="20"/>
          <w:szCs w:val="20"/>
        </w:rPr>
        <w:t xml:space="preserve">Mary </w:t>
      </w:r>
      <w:proofErr w:type="spellStart"/>
      <w:r w:rsidRPr="00AF79E3">
        <w:rPr>
          <w:sz w:val="20"/>
          <w:szCs w:val="20"/>
          <w:lang w:val="en-US"/>
        </w:rPr>
        <w:t>O’Rawe</w:t>
      </w:r>
      <w:proofErr w:type="spellEnd"/>
      <w:r w:rsidRPr="00AF79E3">
        <w:rPr>
          <w:sz w:val="20"/>
          <w:szCs w:val="20"/>
          <w:lang w:val="en-US"/>
        </w:rPr>
        <w:t xml:space="preserve">, ‘Truth and Justice’, in </w:t>
      </w:r>
      <w:r w:rsidRPr="00AF79E3">
        <w:rPr>
          <w:i/>
          <w:sz w:val="20"/>
          <w:szCs w:val="20"/>
          <w:lang w:val="en-US"/>
        </w:rPr>
        <w:t>Recognition &amp; Reckoning: The Way Ahead on Victims Issues</w:t>
      </w:r>
      <w:r w:rsidRPr="00AF79E3">
        <w:rPr>
          <w:sz w:val="20"/>
          <w:szCs w:val="20"/>
          <w:lang w:val="en-US"/>
        </w:rPr>
        <w:t xml:space="preserve"> ed. B. </w:t>
      </w:r>
      <w:proofErr w:type="spellStart"/>
      <w:r w:rsidRPr="00AF79E3">
        <w:rPr>
          <w:sz w:val="20"/>
          <w:szCs w:val="20"/>
          <w:lang w:val="en-US"/>
        </w:rPr>
        <w:t>Hamber</w:t>
      </w:r>
      <w:proofErr w:type="spellEnd"/>
      <w:r w:rsidRPr="00AF79E3">
        <w:rPr>
          <w:sz w:val="20"/>
          <w:szCs w:val="20"/>
          <w:lang w:val="en-US"/>
        </w:rPr>
        <w:t xml:space="preserve"> &amp; R. Wilson (Belfast: Democratic Dialogue 15, 2003), 52-55: 54.</w:t>
      </w:r>
    </w:p>
  </w:footnote>
  <w:footnote w:id="68">
    <w:p w14:paraId="20BC936B" w14:textId="116F1E9A" w:rsidR="00F91ACB" w:rsidRPr="009D20D1" w:rsidRDefault="00F91ACB">
      <w:pPr>
        <w:pStyle w:val="FootnoteText"/>
        <w:rPr>
          <w:sz w:val="20"/>
          <w:szCs w:val="20"/>
          <w:lang w:val="en-US"/>
        </w:rPr>
      </w:pPr>
      <w:r w:rsidRPr="009D20D1">
        <w:rPr>
          <w:rStyle w:val="FootnoteReference"/>
          <w:sz w:val="20"/>
          <w:szCs w:val="20"/>
        </w:rPr>
        <w:footnoteRef/>
      </w:r>
      <w:r w:rsidRPr="009D20D1">
        <w:rPr>
          <w:sz w:val="20"/>
          <w:szCs w:val="20"/>
        </w:rPr>
        <w:t xml:space="preserve"> </w:t>
      </w:r>
      <w:r w:rsidRPr="009D20D1">
        <w:rPr>
          <w:sz w:val="20"/>
          <w:szCs w:val="20"/>
          <w:lang w:val="en-US"/>
        </w:rPr>
        <w:t>Interview, Belfast</w:t>
      </w:r>
      <w:r w:rsidR="00262CAF">
        <w:rPr>
          <w:sz w:val="20"/>
          <w:szCs w:val="20"/>
          <w:lang w:val="en-US"/>
        </w:rPr>
        <w:t>, Northern Ireland</w:t>
      </w:r>
      <w:r w:rsidRPr="009D20D1">
        <w:rPr>
          <w:sz w:val="20"/>
          <w:szCs w:val="20"/>
          <w:lang w:val="en-US"/>
        </w:rPr>
        <w:t xml:space="preserve"> (18 September 2014).</w:t>
      </w:r>
    </w:p>
  </w:footnote>
  <w:footnote w:id="69">
    <w:p w14:paraId="600BE170" w14:textId="7AB6EDF6"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spellStart"/>
      <w:r w:rsidRPr="00AF79E3">
        <w:rPr>
          <w:sz w:val="20"/>
          <w:szCs w:val="20"/>
          <w:lang w:val="en-US"/>
        </w:rPr>
        <w:t>Huyse</w:t>
      </w:r>
      <w:proofErr w:type="spellEnd"/>
      <w:r w:rsidRPr="00AF79E3">
        <w:rPr>
          <w:sz w:val="20"/>
          <w:szCs w:val="20"/>
          <w:lang w:val="en-US"/>
        </w:rPr>
        <w:t>, ‘Victims’.</w:t>
      </w:r>
    </w:p>
  </w:footnote>
  <w:footnote w:id="70">
    <w:p w14:paraId="3E44A1F9" w14:textId="48BCC727"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Bar-Tal et al., ‘Sense of Self-Perceived Collective Victimhood’, 236.</w:t>
      </w:r>
      <w:proofErr w:type="gramEnd"/>
    </w:p>
  </w:footnote>
  <w:footnote w:id="71">
    <w:p w14:paraId="647590AD" w14:textId="675CE540" w:rsidR="00946416" w:rsidRPr="007A4AFC" w:rsidRDefault="00946416">
      <w:pPr>
        <w:pStyle w:val="FootnoteText"/>
        <w:rPr>
          <w:sz w:val="20"/>
          <w:szCs w:val="20"/>
        </w:rPr>
      </w:pPr>
      <w:r w:rsidRPr="007A4AFC">
        <w:rPr>
          <w:rStyle w:val="FootnoteReference"/>
          <w:sz w:val="20"/>
          <w:szCs w:val="20"/>
        </w:rPr>
        <w:footnoteRef/>
      </w:r>
      <w:r w:rsidRPr="007A4AFC">
        <w:rPr>
          <w:sz w:val="20"/>
          <w:szCs w:val="20"/>
        </w:rPr>
        <w:t xml:space="preserve"> </w:t>
      </w:r>
      <w:proofErr w:type="gramStart"/>
      <w:r w:rsidR="007A4AFC" w:rsidRPr="007A4AFC">
        <w:rPr>
          <w:sz w:val="20"/>
          <w:szCs w:val="20"/>
        </w:rPr>
        <w:t xml:space="preserve">Smyth, ‘Putting the </w:t>
      </w:r>
      <w:r w:rsidR="00135B10">
        <w:rPr>
          <w:sz w:val="20"/>
          <w:szCs w:val="20"/>
        </w:rPr>
        <w:t>Past in its P</w:t>
      </w:r>
      <w:r w:rsidR="007A4AFC" w:rsidRPr="007A4AFC">
        <w:rPr>
          <w:sz w:val="20"/>
          <w:szCs w:val="20"/>
        </w:rPr>
        <w:t>lace’.</w:t>
      </w:r>
      <w:proofErr w:type="gramEnd"/>
    </w:p>
  </w:footnote>
  <w:footnote w:id="72">
    <w:p w14:paraId="3C7A0E05" w14:textId="6EF5A733" w:rsidR="00E50DE4" w:rsidRPr="007A4AFC" w:rsidRDefault="00E50DE4">
      <w:pPr>
        <w:pStyle w:val="FootnoteText"/>
        <w:rPr>
          <w:sz w:val="20"/>
          <w:szCs w:val="20"/>
        </w:rPr>
      </w:pPr>
      <w:r w:rsidRPr="007A4AFC">
        <w:rPr>
          <w:rStyle w:val="FootnoteReference"/>
          <w:sz w:val="20"/>
          <w:szCs w:val="20"/>
        </w:rPr>
        <w:footnoteRef/>
      </w:r>
      <w:r w:rsidRPr="007A4AFC">
        <w:rPr>
          <w:sz w:val="20"/>
          <w:szCs w:val="20"/>
        </w:rPr>
        <w:t xml:space="preserve"> </w:t>
      </w:r>
      <w:r w:rsidR="00DC1D42" w:rsidRPr="007A4AFC">
        <w:rPr>
          <w:sz w:val="20"/>
          <w:szCs w:val="20"/>
        </w:rPr>
        <w:t>Interview,</w:t>
      </w:r>
      <w:r w:rsidR="007A4AFC" w:rsidRPr="007A4AFC">
        <w:rPr>
          <w:sz w:val="20"/>
          <w:szCs w:val="20"/>
        </w:rPr>
        <w:t xml:space="preserve"> Belfast</w:t>
      </w:r>
      <w:r w:rsidR="00262CAF">
        <w:rPr>
          <w:sz w:val="20"/>
          <w:szCs w:val="20"/>
        </w:rPr>
        <w:t>, Northern Ireland</w:t>
      </w:r>
      <w:r w:rsidR="00DC1D42" w:rsidRPr="007A4AFC">
        <w:rPr>
          <w:sz w:val="20"/>
          <w:szCs w:val="20"/>
        </w:rPr>
        <w:t xml:space="preserve"> </w:t>
      </w:r>
      <w:r w:rsidR="007A4AFC" w:rsidRPr="007A4AFC">
        <w:rPr>
          <w:sz w:val="20"/>
          <w:szCs w:val="20"/>
        </w:rPr>
        <w:t>(</w:t>
      </w:r>
      <w:r w:rsidR="00DC1D42" w:rsidRPr="007A4AFC">
        <w:rPr>
          <w:sz w:val="20"/>
          <w:szCs w:val="20"/>
        </w:rPr>
        <w:t>11 September 2014</w:t>
      </w:r>
      <w:r w:rsidR="007A4AFC" w:rsidRPr="007A4AFC">
        <w:rPr>
          <w:sz w:val="20"/>
          <w:szCs w:val="20"/>
        </w:rPr>
        <w:t>)</w:t>
      </w:r>
      <w:r w:rsidRPr="007A4AFC">
        <w:rPr>
          <w:sz w:val="20"/>
          <w:szCs w:val="20"/>
        </w:rPr>
        <w:t>.</w:t>
      </w:r>
    </w:p>
  </w:footnote>
  <w:footnote w:id="73">
    <w:p w14:paraId="23AF9D3D" w14:textId="1B2C8D68" w:rsidR="00F91ACB" w:rsidRPr="00774778"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Pr>
          <w:sz w:val="20"/>
          <w:szCs w:val="20"/>
          <w:lang w:val="en-US"/>
        </w:rPr>
        <w:t>Ibid.</w:t>
      </w:r>
      <w:r w:rsidRPr="00AF79E3">
        <w:rPr>
          <w:sz w:val="20"/>
          <w:szCs w:val="20"/>
          <w:lang w:val="en-US"/>
        </w:rPr>
        <w:t>,</w:t>
      </w:r>
      <w:proofErr w:type="gramEnd"/>
      <w:r w:rsidRPr="00AF79E3">
        <w:rPr>
          <w:sz w:val="20"/>
          <w:szCs w:val="20"/>
          <w:lang w:val="en-US"/>
        </w:rPr>
        <w:t xml:space="preserve"> 246-7.</w:t>
      </w:r>
      <w:r>
        <w:rPr>
          <w:sz w:val="20"/>
          <w:szCs w:val="20"/>
          <w:lang w:val="en-US"/>
        </w:rPr>
        <w:t xml:space="preserve">; </w:t>
      </w:r>
      <w:proofErr w:type="spellStart"/>
      <w:r>
        <w:rPr>
          <w:sz w:val="20"/>
          <w:szCs w:val="20"/>
          <w:lang w:val="en-US"/>
        </w:rPr>
        <w:t>Masi</w:t>
      </w:r>
      <w:proofErr w:type="spellEnd"/>
      <w:r>
        <w:rPr>
          <w:sz w:val="20"/>
          <w:szCs w:val="20"/>
          <w:lang w:val="en-US"/>
        </w:rPr>
        <w:t xml:space="preserve"> Noor, </w:t>
      </w:r>
      <w:proofErr w:type="spellStart"/>
      <w:r>
        <w:rPr>
          <w:sz w:val="20"/>
          <w:szCs w:val="20"/>
          <w:lang w:val="en-US"/>
        </w:rPr>
        <w:t>Nurit</w:t>
      </w:r>
      <w:proofErr w:type="spellEnd"/>
      <w:r>
        <w:rPr>
          <w:sz w:val="20"/>
          <w:szCs w:val="20"/>
          <w:lang w:val="en-US"/>
        </w:rPr>
        <w:t xml:space="preserve"> Schnabel, </w:t>
      </w:r>
      <w:proofErr w:type="spellStart"/>
      <w:r>
        <w:rPr>
          <w:sz w:val="20"/>
          <w:szCs w:val="20"/>
          <w:lang w:val="en-US"/>
        </w:rPr>
        <w:t>Samer</w:t>
      </w:r>
      <w:proofErr w:type="spellEnd"/>
      <w:r>
        <w:rPr>
          <w:sz w:val="20"/>
          <w:szCs w:val="20"/>
          <w:lang w:val="en-US"/>
        </w:rPr>
        <w:t xml:space="preserve"> </w:t>
      </w:r>
      <w:proofErr w:type="spellStart"/>
      <w:r>
        <w:rPr>
          <w:sz w:val="20"/>
          <w:szCs w:val="20"/>
          <w:lang w:val="en-US"/>
        </w:rPr>
        <w:t>Halabi</w:t>
      </w:r>
      <w:proofErr w:type="spellEnd"/>
      <w:r>
        <w:rPr>
          <w:sz w:val="20"/>
          <w:szCs w:val="20"/>
          <w:lang w:val="en-US"/>
        </w:rPr>
        <w:t xml:space="preserve"> and </w:t>
      </w:r>
      <w:proofErr w:type="spellStart"/>
      <w:r>
        <w:rPr>
          <w:sz w:val="20"/>
          <w:szCs w:val="20"/>
          <w:lang w:val="en-US"/>
        </w:rPr>
        <w:t>Arie</w:t>
      </w:r>
      <w:proofErr w:type="spellEnd"/>
      <w:r>
        <w:rPr>
          <w:sz w:val="20"/>
          <w:szCs w:val="20"/>
          <w:lang w:val="en-US"/>
        </w:rPr>
        <w:t xml:space="preserve"> Nadler, ‘When Suffering Begets Suffering: The Psychology of Competitive Victimhood Between Adversarial Groups in Violent Conflicts’, in </w:t>
      </w:r>
      <w:r>
        <w:rPr>
          <w:i/>
          <w:sz w:val="20"/>
          <w:szCs w:val="20"/>
          <w:lang w:val="en-US"/>
        </w:rPr>
        <w:t>Personality and Social Psychology Review</w:t>
      </w:r>
      <w:r>
        <w:rPr>
          <w:sz w:val="20"/>
          <w:szCs w:val="20"/>
          <w:lang w:val="en-US"/>
        </w:rPr>
        <w:t xml:space="preserve"> 16(4) (2012), 351-374.</w:t>
      </w:r>
    </w:p>
  </w:footnote>
  <w:footnote w:id="74">
    <w:p w14:paraId="04AAECC2" w14:textId="29675E6C"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Morrissey and Smyth, </w:t>
      </w:r>
      <w:r w:rsidRPr="00AF79E3">
        <w:rPr>
          <w:i/>
          <w:sz w:val="20"/>
          <w:szCs w:val="20"/>
          <w:lang w:val="en-US"/>
        </w:rPr>
        <w:t>Northern Ireland After the Good Friday Agreement</w:t>
      </w:r>
      <w:r w:rsidRPr="00AF79E3">
        <w:rPr>
          <w:sz w:val="20"/>
          <w:szCs w:val="20"/>
          <w:lang w:val="en-US"/>
        </w:rPr>
        <w:t xml:space="preserve">, 5. </w:t>
      </w:r>
    </w:p>
  </w:footnote>
  <w:footnote w:id="75">
    <w:p w14:paraId="0E64AC22" w14:textId="265FE759" w:rsidR="00F91ACB" w:rsidRPr="00AF79E3" w:rsidRDefault="00F91ACB" w:rsidP="002300C1">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Bar-Tal et al., ‘Sense of Self-Percei</w:t>
      </w:r>
      <w:r>
        <w:rPr>
          <w:sz w:val="20"/>
          <w:szCs w:val="20"/>
          <w:lang w:val="en-US"/>
        </w:rPr>
        <w:t>ved Collective Victimhood’, 246.</w:t>
      </w:r>
      <w:proofErr w:type="gramEnd"/>
    </w:p>
  </w:footnote>
  <w:footnote w:id="76">
    <w:p w14:paraId="357F2DFB" w14:textId="0265C83B"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spellStart"/>
      <w:r w:rsidRPr="00AF79E3">
        <w:rPr>
          <w:sz w:val="20"/>
          <w:szCs w:val="20"/>
          <w:lang w:val="en-US"/>
        </w:rPr>
        <w:t>Huyse</w:t>
      </w:r>
      <w:proofErr w:type="spellEnd"/>
      <w:r w:rsidRPr="00AF79E3">
        <w:rPr>
          <w:sz w:val="20"/>
          <w:szCs w:val="20"/>
          <w:lang w:val="en-US"/>
        </w:rPr>
        <w:t>, ‘Victims’, 63-4.</w:t>
      </w:r>
    </w:p>
  </w:footnote>
  <w:footnote w:id="77">
    <w:p w14:paraId="256A7FC8" w14:textId="6C8A1CDB" w:rsidR="00F91ACB" w:rsidRPr="00AF79E3" w:rsidRDefault="00F91ACB" w:rsidP="00EB29C6">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Pr>
          <w:sz w:val="20"/>
          <w:szCs w:val="20"/>
          <w:lang w:val="en-US"/>
        </w:rPr>
        <w:t>Ibid.</w:t>
      </w:r>
      <w:r w:rsidRPr="00AF79E3">
        <w:rPr>
          <w:sz w:val="20"/>
          <w:szCs w:val="20"/>
          <w:lang w:val="en-US"/>
        </w:rPr>
        <w:t>,</w:t>
      </w:r>
      <w:proofErr w:type="gramEnd"/>
      <w:r w:rsidRPr="00AF79E3">
        <w:rPr>
          <w:sz w:val="20"/>
          <w:szCs w:val="20"/>
          <w:lang w:val="en-US"/>
        </w:rPr>
        <w:t xml:space="preserve"> 58. </w:t>
      </w:r>
    </w:p>
  </w:footnote>
  <w:footnote w:id="78">
    <w:p w14:paraId="264792BD" w14:textId="77777777" w:rsidR="00F91ACB" w:rsidRPr="00AF79E3" w:rsidRDefault="00F91ACB" w:rsidP="00EB29C6">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Ibid.</w:t>
      </w:r>
    </w:p>
  </w:footnote>
  <w:footnote w:id="79">
    <w:p w14:paraId="33535198" w14:textId="2146EFDE"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Bar-Tal et al., ‘Sense of Self-Perceived Victimhood’, 247.</w:t>
      </w:r>
      <w:proofErr w:type="gramEnd"/>
    </w:p>
  </w:footnote>
  <w:footnote w:id="80">
    <w:p w14:paraId="6193DAFF" w14:textId="05F0848F"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Bouris, </w:t>
      </w:r>
      <w:r w:rsidRPr="00AF79E3">
        <w:rPr>
          <w:i/>
          <w:sz w:val="20"/>
          <w:szCs w:val="20"/>
          <w:lang w:val="en-US"/>
        </w:rPr>
        <w:t>Complex Political Victims</w:t>
      </w:r>
      <w:r w:rsidRPr="00AF79E3">
        <w:rPr>
          <w:sz w:val="20"/>
          <w:szCs w:val="20"/>
          <w:lang w:val="en-US"/>
        </w:rPr>
        <w:t xml:space="preserve">, 32. </w:t>
      </w:r>
    </w:p>
  </w:footnote>
  <w:footnote w:id="81">
    <w:p w14:paraId="135021C8" w14:textId="5FAF7968"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Fay, Morrissey and Smyth, </w:t>
      </w:r>
      <w:r w:rsidRPr="00AF79E3">
        <w:rPr>
          <w:i/>
          <w:sz w:val="20"/>
          <w:szCs w:val="20"/>
          <w:lang w:val="en-US"/>
        </w:rPr>
        <w:t>Northern Ireland’s Troubles</w:t>
      </w:r>
      <w:r w:rsidRPr="00AF79E3">
        <w:rPr>
          <w:sz w:val="20"/>
          <w:szCs w:val="20"/>
          <w:lang w:val="en-US"/>
        </w:rPr>
        <w:t>, 2.</w:t>
      </w:r>
    </w:p>
  </w:footnote>
  <w:footnote w:id="82">
    <w:p w14:paraId="099C5E17" w14:textId="7F5F7BB3"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Smyth, ‘Putting the Past in its Place’, 129.</w:t>
      </w:r>
      <w:proofErr w:type="gramEnd"/>
      <w:r w:rsidRPr="00AF79E3">
        <w:rPr>
          <w:sz w:val="20"/>
          <w:szCs w:val="20"/>
          <w:lang w:val="en-US"/>
        </w:rPr>
        <w:t xml:space="preserve"> </w:t>
      </w:r>
    </w:p>
  </w:footnote>
  <w:footnote w:id="83">
    <w:p w14:paraId="0759C4E3" w14:textId="34A7061F" w:rsidR="003B155B" w:rsidRPr="00262CAF" w:rsidRDefault="003B155B">
      <w:pPr>
        <w:pStyle w:val="FootnoteText"/>
        <w:rPr>
          <w:sz w:val="20"/>
          <w:szCs w:val="20"/>
        </w:rPr>
      </w:pPr>
      <w:r w:rsidRPr="00262CAF">
        <w:rPr>
          <w:rStyle w:val="FootnoteReference"/>
          <w:sz w:val="20"/>
          <w:szCs w:val="20"/>
        </w:rPr>
        <w:footnoteRef/>
      </w:r>
      <w:r w:rsidRPr="00262CAF">
        <w:rPr>
          <w:sz w:val="20"/>
          <w:szCs w:val="20"/>
        </w:rPr>
        <w:t xml:space="preserve"> </w:t>
      </w:r>
      <w:r w:rsidR="00DC1D42" w:rsidRPr="00262CAF">
        <w:rPr>
          <w:sz w:val="20"/>
          <w:szCs w:val="20"/>
        </w:rPr>
        <w:t>Interview,</w:t>
      </w:r>
      <w:r w:rsidR="00F14754" w:rsidRPr="00262CAF">
        <w:rPr>
          <w:sz w:val="20"/>
          <w:szCs w:val="20"/>
        </w:rPr>
        <w:t xml:space="preserve"> Coleraine</w:t>
      </w:r>
      <w:r w:rsidR="00262CAF">
        <w:rPr>
          <w:sz w:val="20"/>
          <w:szCs w:val="20"/>
        </w:rPr>
        <w:t>, Northern Ireland</w:t>
      </w:r>
      <w:r w:rsidR="00DC1D42" w:rsidRPr="00262CAF">
        <w:rPr>
          <w:sz w:val="20"/>
          <w:szCs w:val="20"/>
        </w:rPr>
        <w:t xml:space="preserve"> </w:t>
      </w:r>
      <w:r w:rsidR="00F14754" w:rsidRPr="00262CAF">
        <w:rPr>
          <w:sz w:val="20"/>
          <w:szCs w:val="20"/>
        </w:rPr>
        <w:t>(</w:t>
      </w:r>
      <w:r w:rsidR="00DC1D42" w:rsidRPr="00262CAF">
        <w:rPr>
          <w:sz w:val="20"/>
          <w:szCs w:val="20"/>
        </w:rPr>
        <w:t>26 March 2014</w:t>
      </w:r>
      <w:r w:rsidR="00F14754" w:rsidRPr="00262CAF">
        <w:rPr>
          <w:sz w:val="20"/>
          <w:szCs w:val="20"/>
        </w:rPr>
        <w:t>)</w:t>
      </w:r>
      <w:r w:rsidRPr="00262CAF">
        <w:rPr>
          <w:sz w:val="20"/>
          <w:szCs w:val="20"/>
        </w:rPr>
        <w:t>.</w:t>
      </w:r>
    </w:p>
  </w:footnote>
  <w:footnote w:id="84">
    <w:p w14:paraId="24988D8D" w14:textId="4D8DF27F"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 xml:space="preserve">McEvoy and </w:t>
      </w:r>
      <w:proofErr w:type="spellStart"/>
      <w:r w:rsidRPr="00AF79E3">
        <w:rPr>
          <w:sz w:val="20"/>
          <w:szCs w:val="20"/>
          <w:lang w:val="en-US"/>
        </w:rPr>
        <w:t>McConnachie</w:t>
      </w:r>
      <w:proofErr w:type="spellEnd"/>
      <w:r w:rsidRPr="00AF79E3">
        <w:rPr>
          <w:sz w:val="20"/>
          <w:szCs w:val="20"/>
          <w:lang w:val="en-US"/>
        </w:rPr>
        <w:t>, ‘Victims and Transitional Justice’, 501.</w:t>
      </w:r>
      <w:proofErr w:type="gramEnd"/>
    </w:p>
  </w:footnote>
  <w:footnote w:id="85">
    <w:p w14:paraId="318ABCFF" w14:textId="0BAC94E0"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Bar-Tal et al., ‘Self Perceived Sense of Collective Victimhood’, 247.</w:t>
      </w:r>
      <w:proofErr w:type="gramEnd"/>
    </w:p>
  </w:footnote>
  <w:footnote w:id="86">
    <w:p w14:paraId="5AF8F7A2" w14:textId="4EC0F9CF" w:rsidR="00F91ACB" w:rsidRPr="00AF79E3" w:rsidRDefault="00F91ACB">
      <w:pPr>
        <w:pStyle w:val="FootnoteText"/>
        <w:rPr>
          <w:sz w:val="20"/>
          <w:szCs w:val="20"/>
          <w:lang w:val="en-US"/>
        </w:rPr>
      </w:pPr>
      <w:r w:rsidRPr="00AF79E3">
        <w:rPr>
          <w:rStyle w:val="FootnoteReference"/>
          <w:sz w:val="20"/>
          <w:szCs w:val="20"/>
        </w:rPr>
        <w:footnoteRef/>
      </w:r>
      <w:r>
        <w:rPr>
          <w:sz w:val="20"/>
          <w:szCs w:val="20"/>
        </w:rPr>
        <w:t xml:space="preserve"> J. </w:t>
      </w:r>
      <w:r w:rsidRPr="00AF79E3">
        <w:rPr>
          <w:sz w:val="20"/>
          <w:szCs w:val="20"/>
        </w:rPr>
        <w:t>Brewer, ‘Memory, Truth and Victimhood’, 222.</w:t>
      </w:r>
    </w:p>
  </w:footnote>
  <w:footnote w:id="87">
    <w:p w14:paraId="7EA477BE" w14:textId="5A883BB0" w:rsidR="00136108" w:rsidRPr="00262CAF" w:rsidRDefault="00136108">
      <w:pPr>
        <w:pStyle w:val="FootnoteText"/>
        <w:rPr>
          <w:sz w:val="20"/>
          <w:szCs w:val="20"/>
        </w:rPr>
      </w:pPr>
      <w:r w:rsidRPr="00262CAF">
        <w:rPr>
          <w:rStyle w:val="FootnoteReference"/>
          <w:sz w:val="20"/>
          <w:szCs w:val="20"/>
        </w:rPr>
        <w:footnoteRef/>
      </w:r>
      <w:r w:rsidRPr="00262CAF">
        <w:rPr>
          <w:sz w:val="20"/>
          <w:szCs w:val="20"/>
        </w:rPr>
        <w:t xml:space="preserve"> Interview</w:t>
      </w:r>
      <w:r w:rsidR="00DC1D42" w:rsidRPr="00262CAF">
        <w:rPr>
          <w:sz w:val="20"/>
          <w:szCs w:val="20"/>
        </w:rPr>
        <w:t>,</w:t>
      </w:r>
      <w:r w:rsidRPr="00262CAF">
        <w:rPr>
          <w:sz w:val="20"/>
          <w:szCs w:val="20"/>
        </w:rPr>
        <w:t xml:space="preserve"> </w:t>
      </w:r>
      <w:r w:rsidR="00262CAF" w:rsidRPr="00262CAF">
        <w:rPr>
          <w:sz w:val="20"/>
          <w:szCs w:val="20"/>
        </w:rPr>
        <w:t>Belfast, Northern Ireland (</w:t>
      </w:r>
      <w:r w:rsidR="00DC1D42" w:rsidRPr="00262CAF">
        <w:rPr>
          <w:sz w:val="20"/>
          <w:szCs w:val="20"/>
        </w:rPr>
        <w:t>28 August 2013</w:t>
      </w:r>
      <w:r w:rsidR="00262CAF" w:rsidRPr="00262CAF">
        <w:rPr>
          <w:sz w:val="20"/>
          <w:szCs w:val="20"/>
        </w:rPr>
        <w:t>)</w:t>
      </w:r>
      <w:r w:rsidRPr="00262CAF">
        <w:rPr>
          <w:sz w:val="20"/>
          <w:szCs w:val="20"/>
        </w:rPr>
        <w:t>.</w:t>
      </w:r>
    </w:p>
  </w:footnote>
  <w:footnote w:id="88">
    <w:p w14:paraId="6247D1A7" w14:textId="67F813EA"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spellStart"/>
      <w:proofErr w:type="gramStart"/>
      <w:r w:rsidRPr="00AF79E3">
        <w:rPr>
          <w:sz w:val="20"/>
          <w:szCs w:val="20"/>
          <w:lang w:val="en-US"/>
        </w:rPr>
        <w:t>Goodey</w:t>
      </w:r>
      <w:proofErr w:type="spellEnd"/>
      <w:r w:rsidRPr="00AF79E3">
        <w:rPr>
          <w:sz w:val="20"/>
          <w:szCs w:val="20"/>
          <w:lang w:val="en-US"/>
        </w:rPr>
        <w:t xml:space="preserve">, </w:t>
      </w:r>
      <w:r w:rsidRPr="00AF79E3">
        <w:rPr>
          <w:i/>
          <w:sz w:val="20"/>
          <w:szCs w:val="20"/>
          <w:lang w:val="en-US"/>
        </w:rPr>
        <w:t>Victims an</w:t>
      </w:r>
      <w:r>
        <w:rPr>
          <w:i/>
          <w:sz w:val="20"/>
          <w:szCs w:val="20"/>
          <w:lang w:val="en-US"/>
        </w:rPr>
        <w:t>d Victimology</w:t>
      </w:r>
      <w:r w:rsidRPr="00AF79E3">
        <w:rPr>
          <w:sz w:val="20"/>
          <w:szCs w:val="20"/>
          <w:lang w:val="en-US"/>
        </w:rPr>
        <w:t>, 2.</w:t>
      </w:r>
      <w:proofErr w:type="gramEnd"/>
    </w:p>
  </w:footnote>
  <w:footnote w:id="89">
    <w:p w14:paraId="5760EC57" w14:textId="004A1FB6"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 xml:space="preserve">McEvoy and </w:t>
      </w:r>
      <w:proofErr w:type="spellStart"/>
      <w:r w:rsidRPr="00AF79E3">
        <w:rPr>
          <w:sz w:val="20"/>
          <w:szCs w:val="20"/>
          <w:lang w:val="en-US"/>
        </w:rPr>
        <w:t>McConnachie</w:t>
      </w:r>
      <w:proofErr w:type="spellEnd"/>
      <w:r w:rsidRPr="00AF79E3">
        <w:rPr>
          <w:sz w:val="20"/>
          <w:szCs w:val="20"/>
          <w:lang w:val="en-US"/>
        </w:rPr>
        <w:t>, ‘Victimology in Transitional Justice’, 530-1.</w:t>
      </w:r>
      <w:proofErr w:type="gramEnd"/>
    </w:p>
  </w:footnote>
  <w:footnote w:id="90">
    <w:p w14:paraId="17CE6D78" w14:textId="36B7EFDD"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spellStart"/>
      <w:r w:rsidRPr="00AF79E3">
        <w:rPr>
          <w:sz w:val="20"/>
          <w:szCs w:val="20"/>
          <w:lang w:val="en-US"/>
        </w:rPr>
        <w:t>Huyse</w:t>
      </w:r>
      <w:proofErr w:type="spellEnd"/>
      <w:r w:rsidRPr="00AF79E3">
        <w:rPr>
          <w:sz w:val="20"/>
          <w:szCs w:val="20"/>
          <w:lang w:val="en-US"/>
        </w:rPr>
        <w:t>, ‘Victims’.</w:t>
      </w:r>
    </w:p>
  </w:footnote>
  <w:footnote w:id="91">
    <w:p w14:paraId="794FF24F" w14:textId="5EDFEE67" w:rsidR="00F91ACB" w:rsidRPr="00AF79E3" w:rsidRDefault="00F91ACB" w:rsidP="00655D96">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Bar-Tal et al., ‘Self-Perceived Sense of Collective Victimhood’, 238.</w:t>
      </w:r>
      <w:proofErr w:type="gramEnd"/>
    </w:p>
  </w:footnote>
  <w:footnote w:id="92">
    <w:p w14:paraId="47791146" w14:textId="4FC9C04E"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spellStart"/>
      <w:r w:rsidRPr="00AF79E3">
        <w:rPr>
          <w:sz w:val="20"/>
          <w:szCs w:val="20"/>
          <w:lang w:val="en-US"/>
        </w:rPr>
        <w:t>Huyse</w:t>
      </w:r>
      <w:proofErr w:type="spellEnd"/>
      <w:r w:rsidRPr="00AF79E3">
        <w:rPr>
          <w:sz w:val="20"/>
          <w:szCs w:val="20"/>
          <w:lang w:val="en-US"/>
        </w:rPr>
        <w:t>, ‘Victims’.</w:t>
      </w:r>
    </w:p>
  </w:footnote>
  <w:footnote w:id="93">
    <w:p w14:paraId="085E1A5A" w14:textId="71873C29" w:rsidR="00F91ACB" w:rsidRPr="00AF79E3" w:rsidRDefault="00F91ACB" w:rsidP="0063171E">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Ibid.,</w:t>
      </w:r>
      <w:proofErr w:type="gramEnd"/>
      <w:r w:rsidRPr="00AF79E3">
        <w:rPr>
          <w:sz w:val="20"/>
          <w:szCs w:val="20"/>
          <w:lang w:val="en-US"/>
        </w:rPr>
        <w:t xml:space="preserve"> 61. </w:t>
      </w:r>
    </w:p>
  </w:footnote>
  <w:footnote w:id="94">
    <w:p w14:paraId="02D0D038" w14:textId="72DE2783"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Ibid.,</w:t>
      </w:r>
      <w:proofErr w:type="gramEnd"/>
      <w:r w:rsidRPr="00AF79E3">
        <w:rPr>
          <w:sz w:val="20"/>
          <w:szCs w:val="20"/>
          <w:lang w:val="en-US"/>
        </w:rPr>
        <w:t xml:space="preserve"> 61.</w:t>
      </w:r>
    </w:p>
  </w:footnote>
  <w:footnote w:id="95">
    <w:p w14:paraId="662524E7" w14:textId="0D8C7E98" w:rsidR="00F91ACB" w:rsidRPr="00AF79E3" w:rsidRDefault="00F91ACB">
      <w:pPr>
        <w:pStyle w:val="FootnoteText"/>
        <w:rPr>
          <w:sz w:val="20"/>
          <w:szCs w:val="20"/>
          <w:lang w:val="en-US"/>
        </w:rPr>
      </w:pPr>
      <w:r w:rsidRPr="00AF79E3">
        <w:rPr>
          <w:rStyle w:val="FootnoteReference"/>
          <w:sz w:val="20"/>
          <w:szCs w:val="20"/>
        </w:rPr>
        <w:footnoteRef/>
      </w:r>
      <w:r>
        <w:rPr>
          <w:sz w:val="20"/>
          <w:szCs w:val="20"/>
        </w:rPr>
        <w:t xml:space="preserve"> </w:t>
      </w:r>
      <w:r w:rsidRPr="00AF79E3">
        <w:rPr>
          <w:sz w:val="20"/>
          <w:szCs w:val="20"/>
          <w:lang w:val="en-US"/>
        </w:rPr>
        <w:t>Brewer, ‘Memory, Truth and Victimhood’.</w:t>
      </w:r>
    </w:p>
  </w:footnote>
  <w:footnote w:id="96">
    <w:p w14:paraId="482943DA" w14:textId="77777777" w:rsidR="00F91ACB" w:rsidRPr="00AF79E3" w:rsidRDefault="00F91ACB" w:rsidP="0066530D">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Charlotte </w:t>
      </w:r>
      <w:proofErr w:type="spellStart"/>
      <w:r w:rsidRPr="00AF79E3">
        <w:rPr>
          <w:sz w:val="20"/>
          <w:szCs w:val="20"/>
          <w:lang w:val="en-US"/>
        </w:rPr>
        <w:t>Barcot</w:t>
      </w:r>
      <w:proofErr w:type="spellEnd"/>
      <w:r w:rsidRPr="00AF79E3">
        <w:rPr>
          <w:sz w:val="20"/>
          <w:szCs w:val="20"/>
          <w:lang w:val="en-US"/>
        </w:rPr>
        <w:t xml:space="preserve">, ‘“A Truth for the World”: From </w:t>
      </w:r>
      <w:proofErr w:type="spellStart"/>
      <w:r w:rsidRPr="00AF79E3">
        <w:rPr>
          <w:sz w:val="20"/>
          <w:szCs w:val="20"/>
          <w:lang w:val="en-US"/>
        </w:rPr>
        <w:t>Widgery</w:t>
      </w:r>
      <w:proofErr w:type="spellEnd"/>
      <w:r w:rsidRPr="00AF79E3">
        <w:rPr>
          <w:sz w:val="20"/>
          <w:szCs w:val="20"/>
          <w:lang w:val="en-US"/>
        </w:rPr>
        <w:t xml:space="preserve"> to Saville, the Campaign for Truth and Justice about Bloody Sunday’, in </w:t>
      </w:r>
      <w:r w:rsidRPr="00AF79E3">
        <w:rPr>
          <w:i/>
          <w:sz w:val="20"/>
          <w:szCs w:val="20"/>
          <w:lang w:val="en-US"/>
        </w:rPr>
        <w:t>Ireland and Victims: Confronting the Past, Forging the Future</w:t>
      </w:r>
      <w:r w:rsidRPr="00AF79E3">
        <w:rPr>
          <w:sz w:val="20"/>
          <w:szCs w:val="20"/>
          <w:lang w:val="en-US"/>
        </w:rPr>
        <w:t xml:space="preserve"> ed. L. </w:t>
      </w:r>
      <w:proofErr w:type="spellStart"/>
      <w:r w:rsidRPr="00AF79E3">
        <w:rPr>
          <w:sz w:val="20"/>
          <w:szCs w:val="20"/>
          <w:lang w:val="en-US"/>
        </w:rPr>
        <w:t>Lelourec</w:t>
      </w:r>
      <w:proofErr w:type="spellEnd"/>
      <w:r w:rsidRPr="00AF79E3">
        <w:rPr>
          <w:sz w:val="20"/>
          <w:szCs w:val="20"/>
          <w:lang w:val="en-US"/>
        </w:rPr>
        <w:t xml:space="preserve"> &amp; G. O’Keeffe-</w:t>
      </w:r>
      <w:proofErr w:type="spellStart"/>
      <w:r w:rsidRPr="00AF79E3">
        <w:rPr>
          <w:sz w:val="20"/>
          <w:szCs w:val="20"/>
          <w:lang w:val="en-US"/>
        </w:rPr>
        <w:t>Vigneron</w:t>
      </w:r>
      <w:proofErr w:type="spellEnd"/>
      <w:r w:rsidRPr="00AF79E3">
        <w:rPr>
          <w:sz w:val="20"/>
          <w:szCs w:val="20"/>
          <w:lang w:val="en-US"/>
        </w:rPr>
        <w:t xml:space="preserve"> (Bern: International Academic Publishers, 2012), 59-73.</w:t>
      </w:r>
    </w:p>
  </w:footnote>
  <w:footnote w:id="97">
    <w:p w14:paraId="5867A897" w14:textId="37553657"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Ibid.,</w:t>
      </w:r>
      <w:proofErr w:type="gramEnd"/>
      <w:r w:rsidRPr="00AF79E3">
        <w:rPr>
          <w:sz w:val="20"/>
          <w:szCs w:val="20"/>
          <w:lang w:val="en-US"/>
        </w:rPr>
        <w:t xml:space="preserve"> 63.</w:t>
      </w:r>
    </w:p>
  </w:footnote>
  <w:footnote w:id="98">
    <w:p w14:paraId="37CC31B5" w14:textId="7471C044" w:rsidR="00F91ACB" w:rsidRPr="009027C4" w:rsidRDefault="00F91ACB">
      <w:pPr>
        <w:pStyle w:val="FootnoteText"/>
        <w:rPr>
          <w:lang w:val="en-US"/>
        </w:rPr>
      </w:pPr>
      <w:r>
        <w:rPr>
          <w:rStyle w:val="FootnoteReference"/>
        </w:rPr>
        <w:footnoteRef/>
      </w:r>
      <w:r>
        <w:t xml:space="preserve"> </w:t>
      </w:r>
      <w:r w:rsidRPr="00AF79E3">
        <w:rPr>
          <w:sz w:val="20"/>
          <w:szCs w:val="20"/>
        </w:rPr>
        <w:t xml:space="preserve">Neil </w:t>
      </w:r>
      <w:r w:rsidRPr="00AF79E3">
        <w:rPr>
          <w:sz w:val="20"/>
          <w:szCs w:val="20"/>
          <w:lang w:val="en-US"/>
        </w:rPr>
        <w:t xml:space="preserve">Ferguson, Mark Burgess and Ian Hollywood, ‘Who are the Victims? Victimhood Experiences in </w:t>
      </w:r>
      <w:proofErr w:type="spellStart"/>
      <w:r w:rsidRPr="00AF79E3">
        <w:rPr>
          <w:sz w:val="20"/>
          <w:szCs w:val="20"/>
          <w:lang w:val="en-US"/>
        </w:rPr>
        <w:t>Postagreement</w:t>
      </w:r>
      <w:proofErr w:type="spellEnd"/>
      <w:r w:rsidRPr="00AF79E3">
        <w:rPr>
          <w:sz w:val="20"/>
          <w:szCs w:val="20"/>
          <w:lang w:val="en-US"/>
        </w:rPr>
        <w:t xml:space="preserve"> Northern Ireland’, </w:t>
      </w:r>
      <w:r w:rsidRPr="00AF79E3">
        <w:rPr>
          <w:i/>
          <w:sz w:val="20"/>
          <w:szCs w:val="20"/>
          <w:lang w:val="en-US"/>
        </w:rPr>
        <w:t>Political Psychology</w:t>
      </w:r>
      <w:r w:rsidRPr="00AF79E3">
        <w:rPr>
          <w:sz w:val="20"/>
          <w:szCs w:val="20"/>
          <w:lang w:val="en-US"/>
        </w:rPr>
        <w:t xml:space="preserve"> 31, no. 6 (2010), 857-886, at 860</w:t>
      </w:r>
    </w:p>
  </w:footnote>
  <w:footnote w:id="99">
    <w:p w14:paraId="332296E4" w14:textId="77777777" w:rsidR="00F91ACB" w:rsidRPr="00AF79E3" w:rsidRDefault="00F91ACB" w:rsidP="00DF25E5">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See e.g. J. Brewer, ‘Memory, Truth and Victimhood’, 222-3; Brewer and Hayes, ‘Victims as Moral Beacons’, 77; </w:t>
      </w:r>
      <w:proofErr w:type="spellStart"/>
      <w:r w:rsidRPr="00AF79E3">
        <w:rPr>
          <w:sz w:val="20"/>
          <w:szCs w:val="20"/>
          <w:lang w:val="en-US"/>
        </w:rPr>
        <w:t>Lawther</w:t>
      </w:r>
      <w:proofErr w:type="spellEnd"/>
      <w:r w:rsidRPr="00AF79E3">
        <w:rPr>
          <w:sz w:val="20"/>
          <w:szCs w:val="20"/>
          <w:lang w:val="en-US"/>
        </w:rPr>
        <w:t xml:space="preserve">, </w:t>
      </w:r>
      <w:r w:rsidRPr="00AF79E3">
        <w:rPr>
          <w:i/>
          <w:sz w:val="20"/>
          <w:szCs w:val="20"/>
          <w:lang w:val="en-US"/>
        </w:rPr>
        <w:t>Truth, Denial and Transition</w:t>
      </w:r>
      <w:r w:rsidRPr="00AF79E3">
        <w:rPr>
          <w:sz w:val="20"/>
          <w:szCs w:val="20"/>
          <w:lang w:val="en-US"/>
        </w:rPr>
        <w:t>, 60.</w:t>
      </w:r>
    </w:p>
  </w:footnote>
  <w:footnote w:id="100">
    <w:p w14:paraId="6642E0B7" w14:textId="5C3C4DBE" w:rsidR="00F91ACB" w:rsidRPr="00AF79E3" w:rsidRDefault="00F91ACB" w:rsidP="008131AF">
      <w:pPr>
        <w:pStyle w:val="FootnoteText"/>
        <w:rPr>
          <w:sz w:val="20"/>
          <w:szCs w:val="20"/>
          <w:lang w:val="en-US"/>
        </w:rPr>
      </w:pPr>
      <w:r w:rsidRPr="00AF79E3">
        <w:rPr>
          <w:rStyle w:val="FootnoteReference"/>
          <w:sz w:val="20"/>
          <w:szCs w:val="20"/>
        </w:rPr>
        <w:footnoteRef/>
      </w:r>
      <w:r>
        <w:rPr>
          <w:sz w:val="20"/>
          <w:szCs w:val="20"/>
        </w:rPr>
        <w:t xml:space="preserve"> </w:t>
      </w:r>
      <w:proofErr w:type="gramStart"/>
      <w:r w:rsidRPr="000F1476">
        <w:rPr>
          <w:sz w:val="20"/>
          <w:szCs w:val="20"/>
          <w:lang w:val="en-US"/>
        </w:rPr>
        <w:t xml:space="preserve">McEvoy and </w:t>
      </w:r>
      <w:proofErr w:type="spellStart"/>
      <w:r w:rsidRPr="000F1476">
        <w:rPr>
          <w:sz w:val="20"/>
          <w:szCs w:val="20"/>
          <w:lang w:val="en-US"/>
        </w:rPr>
        <w:t>McConnachie</w:t>
      </w:r>
      <w:proofErr w:type="spellEnd"/>
      <w:r>
        <w:rPr>
          <w:sz w:val="20"/>
          <w:szCs w:val="20"/>
          <w:lang w:val="en-US"/>
        </w:rPr>
        <w:t>, ‘Victimology in transitional justice’;</w:t>
      </w:r>
      <w:r w:rsidRPr="00AF79E3">
        <w:rPr>
          <w:sz w:val="20"/>
          <w:szCs w:val="20"/>
          <w:lang w:val="en-US"/>
        </w:rPr>
        <w:t xml:space="preserve"> Smyth, ‘Putting the Past in its Place’.</w:t>
      </w:r>
      <w:proofErr w:type="gramEnd"/>
    </w:p>
  </w:footnote>
  <w:footnote w:id="101">
    <w:p w14:paraId="232BC0AB" w14:textId="2AD45AA6" w:rsidR="00F91ACB" w:rsidRPr="00AF79E3" w:rsidRDefault="00F91ACB" w:rsidP="00D919BB">
      <w:pPr>
        <w:pStyle w:val="FootnoteText"/>
        <w:rPr>
          <w:sz w:val="20"/>
          <w:szCs w:val="20"/>
          <w:lang w:val="en-US"/>
        </w:rPr>
      </w:pPr>
      <w:r w:rsidRPr="00AF79E3">
        <w:rPr>
          <w:rStyle w:val="FootnoteReference"/>
          <w:sz w:val="20"/>
          <w:szCs w:val="20"/>
        </w:rPr>
        <w:footnoteRef/>
      </w:r>
      <w:r w:rsidRPr="00AF79E3">
        <w:rPr>
          <w:sz w:val="20"/>
          <w:szCs w:val="20"/>
        </w:rPr>
        <w:t xml:space="preserve"> Marie Smyth, ‘Remembering in Northern Ireland: Victims, Perpetrators and Hierarchies of Pain’, in </w:t>
      </w:r>
      <w:r w:rsidRPr="00AF79E3">
        <w:rPr>
          <w:i/>
          <w:sz w:val="20"/>
          <w:szCs w:val="20"/>
        </w:rPr>
        <w:t>Past Imperfect: Dealing with the Past in Northern Ireland and Societies in Transition</w:t>
      </w:r>
      <w:r w:rsidRPr="00AF79E3">
        <w:rPr>
          <w:sz w:val="20"/>
          <w:szCs w:val="20"/>
        </w:rPr>
        <w:t xml:space="preserve"> ed. B </w:t>
      </w:r>
      <w:proofErr w:type="spellStart"/>
      <w:r w:rsidRPr="00AF79E3">
        <w:rPr>
          <w:sz w:val="20"/>
          <w:szCs w:val="20"/>
        </w:rPr>
        <w:t>Hamber</w:t>
      </w:r>
      <w:proofErr w:type="spellEnd"/>
      <w:r w:rsidRPr="00AF79E3">
        <w:rPr>
          <w:sz w:val="20"/>
          <w:szCs w:val="20"/>
        </w:rPr>
        <w:t xml:space="preserve"> (Derry</w:t>
      </w:r>
      <w:r>
        <w:rPr>
          <w:sz w:val="20"/>
          <w:szCs w:val="20"/>
        </w:rPr>
        <w:t xml:space="preserve">/Londonderry: INCORE, 2004), 8; </w:t>
      </w:r>
      <w:r w:rsidRPr="00AF79E3">
        <w:rPr>
          <w:sz w:val="20"/>
          <w:szCs w:val="20"/>
          <w:lang w:val="en-US"/>
        </w:rPr>
        <w:t xml:space="preserve">Ferguson, Burgess and Hollywood, ‘Who are the Victims?’; Sara Templer and Katy Radford, </w:t>
      </w:r>
      <w:r w:rsidRPr="00AF79E3">
        <w:rPr>
          <w:i/>
          <w:sz w:val="20"/>
          <w:szCs w:val="20"/>
          <w:lang w:val="en-US"/>
        </w:rPr>
        <w:t>Hearing the Voices: Sharing Perspectives in the Victim/Survivor Sector</w:t>
      </w:r>
      <w:r w:rsidRPr="00AF79E3">
        <w:rPr>
          <w:sz w:val="20"/>
          <w:szCs w:val="20"/>
          <w:lang w:val="en-US"/>
        </w:rPr>
        <w:t xml:space="preserve"> (Belfast: Community Relations Council, 2008).</w:t>
      </w:r>
    </w:p>
  </w:footnote>
  <w:footnote w:id="102">
    <w:p w14:paraId="31A9459D" w14:textId="32CF3A33" w:rsidR="00400505" w:rsidRPr="00262CAF" w:rsidRDefault="00400505">
      <w:pPr>
        <w:pStyle w:val="FootnoteText"/>
        <w:rPr>
          <w:sz w:val="20"/>
          <w:szCs w:val="20"/>
        </w:rPr>
      </w:pPr>
      <w:r w:rsidRPr="00262CAF">
        <w:rPr>
          <w:rStyle w:val="FootnoteReference"/>
          <w:sz w:val="20"/>
          <w:szCs w:val="20"/>
        </w:rPr>
        <w:footnoteRef/>
      </w:r>
      <w:r w:rsidRPr="00262CAF">
        <w:rPr>
          <w:sz w:val="20"/>
          <w:szCs w:val="20"/>
        </w:rPr>
        <w:t xml:space="preserve"> </w:t>
      </w:r>
      <w:r w:rsidR="00DC1D42" w:rsidRPr="00262CAF">
        <w:rPr>
          <w:sz w:val="20"/>
          <w:szCs w:val="20"/>
        </w:rPr>
        <w:t>Interview,</w:t>
      </w:r>
      <w:r w:rsidR="00262CAF" w:rsidRPr="00262CAF">
        <w:rPr>
          <w:sz w:val="20"/>
          <w:szCs w:val="20"/>
        </w:rPr>
        <w:t xml:space="preserve"> Belfast, Northern Ireland</w:t>
      </w:r>
      <w:r w:rsidR="00DC1D42" w:rsidRPr="00262CAF">
        <w:rPr>
          <w:sz w:val="20"/>
          <w:szCs w:val="20"/>
        </w:rPr>
        <w:t xml:space="preserve"> </w:t>
      </w:r>
      <w:r w:rsidR="00262CAF" w:rsidRPr="00262CAF">
        <w:rPr>
          <w:sz w:val="20"/>
          <w:szCs w:val="20"/>
        </w:rPr>
        <w:t>(</w:t>
      </w:r>
      <w:r w:rsidR="00DC1D42" w:rsidRPr="00262CAF">
        <w:rPr>
          <w:sz w:val="20"/>
          <w:szCs w:val="20"/>
        </w:rPr>
        <w:t>28 July 2014</w:t>
      </w:r>
      <w:r w:rsidR="00262CAF" w:rsidRPr="00262CAF">
        <w:rPr>
          <w:sz w:val="20"/>
          <w:szCs w:val="20"/>
        </w:rPr>
        <w:t>)</w:t>
      </w:r>
      <w:r w:rsidRPr="00262CAF">
        <w:rPr>
          <w:sz w:val="20"/>
          <w:szCs w:val="20"/>
        </w:rPr>
        <w:t>.</w:t>
      </w:r>
    </w:p>
  </w:footnote>
  <w:footnote w:id="103">
    <w:p w14:paraId="561EFC5A" w14:textId="03E4EEF9" w:rsidR="00F91ACB" w:rsidRPr="00AF79E3" w:rsidRDefault="00F91ACB" w:rsidP="00D919BB">
      <w:pPr>
        <w:pStyle w:val="FootnoteText"/>
        <w:rPr>
          <w:sz w:val="20"/>
          <w:szCs w:val="20"/>
          <w:lang w:val="en-US"/>
        </w:rPr>
      </w:pPr>
      <w:r w:rsidRPr="00AF79E3">
        <w:rPr>
          <w:rStyle w:val="FootnoteReference"/>
          <w:sz w:val="20"/>
          <w:szCs w:val="20"/>
        </w:rPr>
        <w:footnoteRef/>
      </w:r>
      <w:r>
        <w:rPr>
          <w:sz w:val="20"/>
          <w:szCs w:val="20"/>
        </w:rPr>
        <w:t xml:space="preserve"> </w:t>
      </w:r>
      <w:r>
        <w:rPr>
          <w:sz w:val="20"/>
          <w:szCs w:val="20"/>
          <w:lang w:val="en-US"/>
        </w:rPr>
        <w:t xml:space="preserve">Ferguson, Burgess and </w:t>
      </w:r>
      <w:r w:rsidRPr="00AF79E3">
        <w:rPr>
          <w:sz w:val="20"/>
          <w:szCs w:val="20"/>
          <w:lang w:val="en-US"/>
        </w:rPr>
        <w:t>Hollywoo</w:t>
      </w:r>
      <w:r>
        <w:rPr>
          <w:sz w:val="20"/>
          <w:szCs w:val="20"/>
          <w:lang w:val="en-US"/>
        </w:rPr>
        <w:t>d, ‘Who are the Victims?</w:t>
      </w:r>
      <w:proofErr w:type="gramStart"/>
      <w:r w:rsidRPr="00AF79E3">
        <w:rPr>
          <w:sz w:val="20"/>
          <w:szCs w:val="20"/>
          <w:lang w:val="en-US"/>
        </w:rPr>
        <w:t>’,</w:t>
      </w:r>
      <w:proofErr w:type="gramEnd"/>
      <w:r w:rsidRPr="00AF79E3">
        <w:rPr>
          <w:sz w:val="20"/>
          <w:szCs w:val="20"/>
          <w:lang w:val="en-US"/>
        </w:rPr>
        <w:t xml:space="preserve"> 860. </w:t>
      </w:r>
    </w:p>
  </w:footnote>
  <w:footnote w:id="104">
    <w:p w14:paraId="4C0803AC" w14:textId="614188E0" w:rsidR="00F91ACB" w:rsidRPr="00AF79E3" w:rsidRDefault="00F91ACB" w:rsidP="00284A22">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spellStart"/>
      <w:proofErr w:type="gramStart"/>
      <w:r w:rsidRPr="00AF79E3">
        <w:rPr>
          <w:sz w:val="20"/>
          <w:szCs w:val="20"/>
          <w:lang w:val="en-US"/>
        </w:rPr>
        <w:t>Lawther</w:t>
      </w:r>
      <w:proofErr w:type="spellEnd"/>
      <w:r w:rsidRPr="00AF79E3">
        <w:rPr>
          <w:sz w:val="20"/>
          <w:szCs w:val="20"/>
          <w:lang w:val="en-US"/>
        </w:rPr>
        <w:t xml:space="preserve">, ‘Construction and </w:t>
      </w:r>
      <w:proofErr w:type="spellStart"/>
      <w:r w:rsidRPr="00AF79E3">
        <w:rPr>
          <w:sz w:val="20"/>
          <w:szCs w:val="20"/>
          <w:lang w:val="en-US"/>
        </w:rPr>
        <w:t>Politicisation</w:t>
      </w:r>
      <w:proofErr w:type="spellEnd"/>
      <w:r w:rsidRPr="00AF79E3">
        <w:rPr>
          <w:sz w:val="20"/>
          <w:szCs w:val="20"/>
          <w:lang w:val="en-US"/>
        </w:rPr>
        <w:t xml:space="preserve"> of Victimhood</w:t>
      </w:r>
      <w:r>
        <w:rPr>
          <w:sz w:val="20"/>
          <w:szCs w:val="20"/>
          <w:lang w:val="en-US"/>
        </w:rPr>
        <w:t>’</w:t>
      </w:r>
      <w:r w:rsidRPr="00AF79E3">
        <w:rPr>
          <w:sz w:val="20"/>
          <w:szCs w:val="20"/>
          <w:lang w:val="en-US"/>
        </w:rPr>
        <w:t>, 21.</w:t>
      </w:r>
      <w:proofErr w:type="gramEnd"/>
    </w:p>
  </w:footnote>
  <w:footnote w:id="105">
    <w:p w14:paraId="10BD81DF" w14:textId="1A35FD02" w:rsidR="00F91ACB" w:rsidRPr="00AF79E3" w:rsidRDefault="00F91ACB">
      <w:pPr>
        <w:pStyle w:val="FootnoteText"/>
        <w:rPr>
          <w:sz w:val="20"/>
          <w:szCs w:val="20"/>
          <w:lang w:val="en-US"/>
        </w:rPr>
      </w:pPr>
      <w:r w:rsidRPr="00AF79E3">
        <w:rPr>
          <w:rStyle w:val="FootnoteReference"/>
          <w:sz w:val="20"/>
          <w:szCs w:val="20"/>
        </w:rPr>
        <w:footnoteRef/>
      </w:r>
      <w:r>
        <w:rPr>
          <w:sz w:val="20"/>
          <w:szCs w:val="20"/>
        </w:rPr>
        <w:t xml:space="preserve"> </w:t>
      </w:r>
      <w:r>
        <w:rPr>
          <w:sz w:val="20"/>
          <w:szCs w:val="20"/>
          <w:lang w:val="en-US"/>
        </w:rPr>
        <w:t xml:space="preserve">Ferguson, Burgess and </w:t>
      </w:r>
      <w:r w:rsidRPr="00AF79E3">
        <w:rPr>
          <w:sz w:val="20"/>
          <w:szCs w:val="20"/>
          <w:lang w:val="en-US"/>
        </w:rPr>
        <w:t>Hollywood, ‘Who are the Victims</w:t>
      </w:r>
      <w:r>
        <w:rPr>
          <w:sz w:val="20"/>
          <w:szCs w:val="20"/>
          <w:lang w:val="en-US"/>
        </w:rPr>
        <w:t>?</w:t>
      </w:r>
      <w:proofErr w:type="gramStart"/>
      <w:r>
        <w:rPr>
          <w:sz w:val="20"/>
          <w:szCs w:val="20"/>
          <w:lang w:val="en-US"/>
        </w:rPr>
        <w:t>’,</w:t>
      </w:r>
      <w:proofErr w:type="gramEnd"/>
      <w:r>
        <w:rPr>
          <w:sz w:val="20"/>
          <w:szCs w:val="20"/>
          <w:lang w:val="en-US"/>
        </w:rPr>
        <w:t xml:space="preserve"> </w:t>
      </w:r>
      <w:r w:rsidRPr="00AF79E3">
        <w:rPr>
          <w:sz w:val="20"/>
          <w:szCs w:val="20"/>
          <w:lang w:val="en-US"/>
        </w:rPr>
        <w:t>878.</w:t>
      </w:r>
    </w:p>
  </w:footnote>
  <w:footnote w:id="106">
    <w:p w14:paraId="680602F8" w14:textId="3B56AC69" w:rsidR="00F91ACB" w:rsidRPr="00AF79E3" w:rsidRDefault="00F91ACB">
      <w:pPr>
        <w:pStyle w:val="FootnoteText"/>
        <w:rPr>
          <w:sz w:val="20"/>
          <w:szCs w:val="20"/>
          <w:lang w:val="en-US"/>
        </w:rPr>
      </w:pPr>
      <w:r w:rsidRPr="00AF79E3">
        <w:rPr>
          <w:rStyle w:val="FootnoteReference"/>
          <w:sz w:val="20"/>
          <w:szCs w:val="20"/>
        </w:rPr>
        <w:footnoteRef/>
      </w:r>
      <w:r>
        <w:rPr>
          <w:sz w:val="20"/>
          <w:szCs w:val="20"/>
        </w:rPr>
        <w:t xml:space="preserve"> Colin Knox, ‘</w:t>
      </w:r>
      <w:proofErr w:type="gramStart"/>
      <w:r>
        <w:rPr>
          <w:sz w:val="20"/>
          <w:szCs w:val="20"/>
        </w:rPr>
        <w:t>The</w:t>
      </w:r>
      <w:proofErr w:type="gramEnd"/>
      <w:r>
        <w:rPr>
          <w:sz w:val="20"/>
          <w:szCs w:val="20"/>
        </w:rPr>
        <w:t xml:space="preserve"> ‘deserving’ victims of political violence: Punishment attacks in Northern Ireland’, in </w:t>
      </w:r>
      <w:r>
        <w:rPr>
          <w:i/>
          <w:sz w:val="20"/>
          <w:szCs w:val="20"/>
        </w:rPr>
        <w:t xml:space="preserve">Criminology and Criminal Justice </w:t>
      </w:r>
      <w:r>
        <w:rPr>
          <w:sz w:val="20"/>
          <w:szCs w:val="20"/>
        </w:rPr>
        <w:t xml:space="preserve">1 (2001), 181-99; </w:t>
      </w:r>
      <w:proofErr w:type="spellStart"/>
      <w:r w:rsidRPr="00AF79E3">
        <w:rPr>
          <w:sz w:val="20"/>
          <w:szCs w:val="20"/>
          <w:lang w:val="en-US"/>
        </w:rPr>
        <w:t>Lawther</w:t>
      </w:r>
      <w:proofErr w:type="spellEnd"/>
      <w:r w:rsidRPr="00AF79E3">
        <w:rPr>
          <w:sz w:val="20"/>
          <w:szCs w:val="20"/>
          <w:lang w:val="en-US"/>
        </w:rPr>
        <w:t xml:space="preserve">, </w:t>
      </w:r>
      <w:r w:rsidRPr="00AF79E3">
        <w:rPr>
          <w:i/>
          <w:sz w:val="20"/>
          <w:szCs w:val="20"/>
          <w:lang w:val="en-US"/>
        </w:rPr>
        <w:t>Truth, Denial and Transition</w:t>
      </w:r>
      <w:r w:rsidRPr="00AF79E3">
        <w:rPr>
          <w:sz w:val="20"/>
          <w:szCs w:val="20"/>
          <w:lang w:val="en-US"/>
        </w:rPr>
        <w:t>.</w:t>
      </w:r>
    </w:p>
  </w:footnote>
  <w:footnote w:id="107">
    <w:p w14:paraId="398DD24E" w14:textId="2A5DF46C"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DUP, ‘Our Key Commitments’, 1.</w:t>
      </w:r>
      <w:proofErr w:type="gramEnd"/>
    </w:p>
  </w:footnote>
  <w:footnote w:id="108">
    <w:p w14:paraId="3AF4A275" w14:textId="53BBA375"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proofErr w:type="gramStart"/>
      <w:r w:rsidRPr="00AF79E3">
        <w:rPr>
          <w:sz w:val="20"/>
          <w:szCs w:val="20"/>
          <w:lang w:val="en-US"/>
        </w:rPr>
        <w:t>Smyth, ‘Putting the Past in its Place’, 126.</w:t>
      </w:r>
      <w:proofErr w:type="gramEnd"/>
    </w:p>
  </w:footnote>
  <w:footnote w:id="109">
    <w:p w14:paraId="49270260" w14:textId="2710D8D5"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DUP, </w:t>
      </w:r>
      <w:r w:rsidRPr="00AF79E3">
        <w:rPr>
          <w:i/>
          <w:sz w:val="20"/>
          <w:szCs w:val="20"/>
          <w:lang w:val="en-US"/>
        </w:rPr>
        <w:t>A Voice for Victims: The Democratic Unionist Party’s Policy on Innocent Victims of Terrorism</w:t>
      </w:r>
      <w:r w:rsidRPr="00AF79E3">
        <w:rPr>
          <w:sz w:val="20"/>
          <w:szCs w:val="20"/>
          <w:lang w:val="en-US"/>
        </w:rPr>
        <w:t xml:space="preserve"> (Belfast: DUP, 2003), 8.</w:t>
      </w:r>
    </w:p>
  </w:footnote>
  <w:footnote w:id="110">
    <w:p w14:paraId="1CAA2D7F" w14:textId="4A40C6C3"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‘Apology after man shot dead by Army in 1974’, </w:t>
      </w:r>
      <w:r w:rsidRPr="00AF79E3">
        <w:rPr>
          <w:i/>
          <w:sz w:val="20"/>
          <w:szCs w:val="20"/>
          <w:lang w:val="en-US"/>
        </w:rPr>
        <w:t>BBC News</w:t>
      </w:r>
      <w:r w:rsidRPr="00AF79E3">
        <w:rPr>
          <w:sz w:val="20"/>
          <w:szCs w:val="20"/>
          <w:lang w:val="en-US"/>
        </w:rPr>
        <w:t xml:space="preserve">, March 19, 2013: </w:t>
      </w:r>
      <w:hyperlink r:id="rId5" w:history="1">
        <w:r w:rsidRPr="00AF79E3">
          <w:rPr>
            <w:rStyle w:val="Hyperlink"/>
            <w:sz w:val="20"/>
            <w:szCs w:val="20"/>
          </w:rPr>
          <w:t>http://www.bbc.co.uk/news/uk-northern-ireland-21840739</w:t>
        </w:r>
      </w:hyperlink>
      <w:r w:rsidRPr="00AF79E3">
        <w:rPr>
          <w:sz w:val="20"/>
          <w:szCs w:val="20"/>
        </w:rPr>
        <w:t xml:space="preserve"> (accessed 18 January 2016). </w:t>
      </w:r>
    </w:p>
  </w:footnote>
  <w:footnote w:id="111">
    <w:p w14:paraId="7C068272" w14:textId="455EDB4D"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‘Elliot condemns double-standards in arrest of former soldier’, </w:t>
      </w:r>
      <w:r w:rsidRPr="00AF79E3">
        <w:rPr>
          <w:i/>
          <w:sz w:val="20"/>
          <w:szCs w:val="20"/>
          <w:lang w:val="en-US"/>
        </w:rPr>
        <w:t>UUP</w:t>
      </w:r>
      <w:r w:rsidRPr="00AF79E3">
        <w:rPr>
          <w:sz w:val="20"/>
          <w:szCs w:val="20"/>
          <w:lang w:val="en-US"/>
        </w:rPr>
        <w:t xml:space="preserve">, April 27, 2015: </w:t>
      </w:r>
      <w:hyperlink r:id="rId6" w:anchor=".Vo5bv4TMBTd" w:history="1">
        <w:r w:rsidRPr="00AF79E3">
          <w:rPr>
            <w:rStyle w:val="Hyperlink"/>
            <w:sz w:val="20"/>
            <w:szCs w:val="20"/>
          </w:rPr>
          <w:t>http://uup.org/news/3519/Elliot-condemns-double-standards-in-arrest-of-former-soldier#.Vo5bv4TMBTd</w:t>
        </w:r>
      </w:hyperlink>
      <w:r w:rsidRPr="00AF79E3">
        <w:rPr>
          <w:sz w:val="20"/>
          <w:szCs w:val="20"/>
        </w:rPr>
        <w:t xml:space="preserve"> (accessed 18 January 2016)</w:t>
      </w:r>
      <w:r w:rsidRPr="00AF79E3">
        <w:rPr>
          <w:sz w:val="20"/>
          <w:szCs w:val="20"/>
          <w:lang w:val="en-US"/>
        </w:rPr>
        <w:t xml:space="preserve">. </w:t>
      </w:r>
    </w:p>
  </w:footnote>
  <w:footnote w:id="112">
    <w:p w14:paraId="0957FEF1" w14:textId="780AB586"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‘Ministers’ plea to Irish government over republican murder victims’, </w:t>
      </w:r>
      <w:r w:rsidRPr="00AF79E3">
        <w:rPr>
          <w:i/>
          <w:sz w:val="20"/>
          <w:szCs w:val="20"/>
          <w:lang w:val="en-US"/>
        </w:rPr>
        <w:t>BBC News</w:t>
      </w:r>
      <w:r w:rsidRPr="00AF79E3">
        <w:rPr>
          <w:sz w:val="20"/>
          <w:szCs w:val="20"/>
          <w:lang w:val="en-US"/>
        </w:rPr>
        <w:t xml:space="preserve">, November 18, 2011: </w:t>
      </w:r>
      <w:hyperlink r:id="rId7" w:history="1">
        <w:r w:rsidRPr="00AF79E3">
          <w:rPr>
            <w:rStyle w:val="Hyperlink"/>
            <w:sz w:val="20"/>
            <w:szCs w:val="20"/>
          </w:rPr>
          <w:t>http://www.bbc.co.uk/news/uk-northern-ireland-15799085</w:t>
        </w:r>
      </w:hyperlink>
      <w:r w:rsidRPr="00AF79E3">
        <w:rPr>
          <w:sz w:val="20"/>
          <w:szCs w:val="20"/>
        </w:rPr>
        <w:t xml:space="preserve"> (accessed 18 January 2016).</w:t>
      </w:r>
    </w:p>
  </w:footnote>
  <w:footnote w:id="113">
    <w:p w14:paraId="7A3D9AC1" w14:textId="6A0471DD"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‘Time to put an end to victim hierarchy’, </w:t>
      </w:r>
      <w:r w:rsidRPr="00AF79E3">
        <w:rPr>
          <w:i/>
          <w:sz w:val="20"/>
          <w:szCs w:val="20"/>
        </w:rPr>
        <w:t>Belfast Newsletter</w:t>
      </w:r>
      <w:r w:rsidRPr="00AF79E3">
        <w:rPr>
          <w:sz w:val="20"/>
          <w:szCs w:val="20"/>
        </w:rPr>
        <w:t xml:space="preserve">, February 13, 2014: </w:t>
      </w:r>
      <w:hyperlink r:id="rId8" w:history="1">
        <w:r w:rsidRPr="00AF79E3">
          <w:rPr>
            <w:rStyle w:val="Hyperlink"/>
            <w:sz w:val="20"/>
            <w:szCs w:val="20"/>
          </w:rPr>
          <w:t>http://www.newsletter.co.uk/news/northern-ireland-news/time-to-put-an-end-to-victim-hierarchy-says-mccausland-at-pat-finucane-lecture-1-5873409</w:t>
        </w:r>
      </w:hyperlink>
      <w:r w:rsidRPr="00AF79E3">
        <w:rPr>
          <w:sz w:val="20"/>
          <w:szCs w:val="20"/>
        </w:rPr>
        <w:t xml:space="preserve"> (accessed 18 January 2016).</w:t>
      </w:r>
    </w:p>
  </w:footnote>
  <w:footnote w:id="114">
    <w:p w14:paraId="56793940" w14:textId="667D5D05" w:rsidR="00F91ACB" w:rsidRPr="00AF79E3" w:rsidRDefault="00F91ACB" w:rsidP="005A767A">
      <w:pPr>
        <w:pStyle w:val="FootnoteText"/>
        <w:rPr>
          <w:sz w:val="20"/>
          <w:szCs w:val="20"/>
          <w:lang w:val="en-US"/>
        </w:rPr>
      </w:pPr>
      <w:r w:rsidRPr="00AF79E3">
        <w:rPr>
          <w:rStyle w:val="FootnoteReference"/>
          <w:sz w:val="20"/>
          <w:szCs w:val="20"/>
        </w:rPr>
        <w:footnoteRef/>
      </w:r>
      <w:r w:rsidRPr="00AF79E3">
        <w:rPr>
          <w:sz w:val="20"/>
          <w:szCs w:val="20"/>
        </w:rPr>
        <w:t xml:space="preserve"> ‘Kenny blasted over Finucane comments’, </w:t>
      </w:r>
      <w:r w:rsidRPr="00AF79E3">
        <w:rPr>
          <w:i/>
          <w:sz w:val="20"/>
          <w:szCs w:val="20"/>
        </w:rPr>
        <w:t>Belfast Newsletter</w:t>
      </w:r>
      <w:r w:rsidRPr="00AF79E3">
        <w:rPr>
          <w:sz w:val="20"/>
          <w:szCs w:val="20"/>
        </w:rPr>
        <w:t xml:space="preserve">, April 20, 2012: </w:t>
      </w:r>
      <w:hyperlink r:id="rId9" w:history="1">
        <w:r w:rsidRPr="00AF79E3">
          <w:rPr>
            <w:rStyle w:val="Hyperlink"/>
            <w:sz w:val="20"/>
            <w:szCs w:val="20"/>
          </w:rPr>
          <w:t>http://www.newsletter.co.uk/news/regional/kenny-blasted-over-finucane-comments-1-3754692</w:t>
        </w:r>
      </w:hyperlink>
      <w:r>
        <w:rPr>
          <w:sz w:val="20"/>
          <w:szCs w:val="20"/>
        </w:rPr>
        <w:t xml:space="preserve"> (accessed 18 January 2016)</w:t>
      </w:r>
      <w:r w:rsidRPr="00AF79E3">
        <w:rPr>
          <w:sz w:val="20"/>
          <w:szCs w:val="20"/>
        </w:rPr>
        <w:t>.</w:t>
      </w:r>
    </w:p>
  </w:footnote>
  <w:footnote w:id="115">
    <w:p w14:paraId="3D72EC1B" w14:textId="4EF0D0C7" w:rsidR="00F91ACB" w:rsidRPr="00AF79E3" w:rsidRDefault="00F91ACB">
      <w:pPr>
        <w:pStyle w:val="FootnoteText"/>
        <w:rPr>
          <w:sz w:val="20"/>
          <w:szCs w:val="20"/>
          <w:lang w:val="en-US"/>
        </w:rPr>
      </w:pPr>
      <w:r w:rsidRPr="00AF79E3">
        <w:rPr>
          <w:rStyle w:val="FootnoteReference"/>
          <w:sz w:val="20"/>
          <w:szCs w:val="20"/>
        </w:rPr>
        <w:footnoteRef/>
      </w:r>
      <w:r w:rsidRPr="00AF79E3">
        <w:rPr>
          <w:sz w:val="20"/>
          <w:szCs w:val="20"/>
        </w:rPr>
        <w:t xml:space="preserve"> </w:t>
      </w:r>
      <w:r w:rsidRPr="00AF79E3">
        <w:rPr>
          <w:sz w:val="20"/>
          <w:szCs w:val="20"/>
          <w:lang w:val="en-US"/>
        </w:rPr>
        <w:t xml:space="preserve">Sinn Féin, </w:t>
      </w:r>
      <w:r w:rsidRPr="00AF79E3">
        <w:rPr>
          <w:i/>
          <w:sz w:val="20"/>
          <w:szCs w:val="20"/>
          <w:lang w:val="en-US"/>
        </w:rPr>
        <w:t>Addressing Legacy Issues (Initial Submission by Sinn Féin)</w:t>
      </w:r>
      <w:r w:rsidRPr="00AF79E3">
        <w:rPr>
          <w:sz w:val="20"/>
          <w:szCs w:val="20"/>
          <w:lang w:val="en-US"/>
        </w:rPr>
        <w:t xml:space="preserve"> (Belfast: Sinn Féin, 2013),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C8119C"/>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62A2682"/>
    <w:multiLevelType w:val="hybridMultilevel"/>
    <w:tmpl w:val="22E2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F4410"/>
    <w:multiLevelType w:val="hybridMultilevel"/>
    <w:tmpl w:val="46D6E56C"/>
    <w:lvl w:ilvl="0" w:tplc="2A7EB00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50D81"/>
    <w:multiLevelType w:val="hybridMultilevel"/>
    <w:tmpl w:val="151E94DA"/>
    <w:lvl w:ilvl="0" w:tplc="C110F524">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82270"/>
    <w:multiLevelType w:val="hybridMultilevel"/>
    <w:tmpl w:val="A838EC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D2ADD"/>
    <w:multiLevelType w:val="hybridMultilevel"/>
    <w:tmpl w:val="1424E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14520"/>
    <w:multiLevelType w:val="hybridMultilevel"/>
    <w:tmpl w:val="479C7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B7030"/>
    <w:multiLevelType w:val="hybridMultilevel"/>
    <w:tmpl w:val="AB4C3570"/>
    <w:lvl w:ilvl="0" w:tplc="6082B6A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C64C4"/>
    <w:multiLevelType w:val="hybridMultilevel"/>
    <w:tmpl w:val="E220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33004"/>
    <w:multiLevelType w:val="hybridMultilevel"/>
    <w:tmpl w:val="9838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E2007"/>
    <w:multiLevelType w:val="hybridMultilevel"/>
    <w:tmpl w:val="E460C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0"/>
  </w:num>
  <w:num w:numId="5">
    <w:abstractNumId w:val="8"/>
  </w:num>
  <w:num w:numId="6">
    <w:abstractNumId w:val="4"/>
  </w:num>
  <w:num w:numId="7">
    <w:abstractNumId w:val="1"/>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A9"/>
    <w:rsid w:val="000003E7"/>
    <w:rsid w:val="00000A67"/>
    <w:rsid w:val="0000161C"/>
    <w:rsid w:val="000018D9"/>
    <w:rsid w:val="000019D7"/>
    <w:rsid w:val="00001D13"/>
    <w:rsid w:val="00002032"/>
    <w:rsid w:val="0000232E"/>
    <w:rsid w:val="0000288A"/>
    <w:rsid w:val="00002915"/>
    <w:rsid w:val="000039EC"/>
    <w:rsid w:val="00003FD2"/>
    <w:rsid w:val="000042BE"/>
    <w:rsid w:val="000044ED"/>
    <w:rsid w:val="00004AF8"/>
    <w:rsid w:val="00005496"/>
    <w:rsid w:val="00005812"/>
    <w:rsid w:val="000062BA"/>
    <w:rsid w:val="0000649A"/>
    <w:rsid w:val="00006E33"/>
    <w:rsid w:val="00007571"/>
    <w:rsid w:val="00007671"/>
    <w:rsid w:val="00010A24"/>
    <w:rsid w:val="00011B02"/>
    <w:rsid w:val="00012074"/>
    <w:rsid w:val="000129E2"/>
    <w:rsid w:val="00012A24"/>
    <w:rsid w:val="00013694"/>
    <w:rsid w:val="00013E39"/>
    <w:rsid w:val="00013F64"/>
    <w:rsid w:val="00014D16"/>
    <w:rsid w:val="00014E5F"/>
    <w:rsid w:val="00015CA2"/>
    <w:rsid w:val="00015DA1"/>
    <w:rsid w:val="00015F77"/>
    <w:rsid w:val="00015FEE"/>
    <w:rsid w:val="00016750"/>
    <w:rsid w:val="00016B4C"/>
    <w:rsid w:val="000171C4"/>
    <w:rsid w:val="0001751B"/>
    <w:rsid w:val="00020368"/>
    <w:rsid w:val="000208F7"/>
    <w:rsid w:val="00020DE5"/>
    <w:rsid w:val="000217F6"/>
    <w:rsid w:val="00021836"/>
    <w:rsid w:val="00021B1B"/>
    <w:rsid w:val="00021E75"/>
    <w:rsid w:val="0002289A"/>
    <w:rsid w:val="00023D60"/>
    <w:rsid w:val="0002442D"/>
    <w:rsid w:val="00024432"/>
    <w:rsid w:val="00024AEB"/>
    <w:rsid w:val="00025510"/>
    <w:rsid w:val="000256C9"/>
    <w:rsid w:val="00025CDF"/>
    <w:rsid w:val="000269E0"/>
    <w:rsid w:val="00026B32"/>
    <w:rsid w:val="00026B61"/>
    <w:rsid w:val="00027111"/>
    <w:rsid w:val="000273BC"/>
    <w:rsid w:val="00027FA2"/>
    <w:rsid w:val="00030B1B"/>
    <w:rsid w:val="00031775"/>
    <w:rsid w:val="00031A80"/>
    <w:rsid w:val="00031ED4"/>
    <w:rsid w:val="00031F18"/>
    <w:rsid w:val="000324F7"/>
    <w:rsid w:val="00032D37"/>
    <w:rsid w:val="000332DD"/>
    <w:rsid w:val="0003421C"/>
    <w:rsid w:val="00034522"/>
    <w:rsid w:val="00034DC6"/>
    <w:rsid w:val="0003554E"/>
    <w:rsid w:val="00035C8D"/>
    <w:rsid w:val="00035D50"/>
    <w:rsid w:val="000367A1"/>
    <w:rsid w:val="00036E35"/>
    <w:rsid w:val="00036F81"/>
    <w:rsid w:val="00040254"/>
    <w:rsid w:val="00042087"/>
    <w:rsid w:val="00042A7E"/>
    <w:rsid w:val="000444D8"/>
    <w:rsid w:val="00046055"/>
    <w:rsid w:val="00046B37"/>
    <w:rsid w:val="00047A10"/>
    <w:rsid w:val="00047D91"/>
    <w:rsid w:val="00050871"/>
    <w:rsid w:val="00051116"/>
    <w:rsid w:val="00052FDE"/>
    <w:rsid w:val="0005300D"/>
    <w:rsid w:val="000542BB"/>
    <w:rsid w:val="0005448F"/>
    <w:rsid w:val="00054A51"/>
    <w:rsid w:val="00054A53"/>
    <w:rsid w:val="0005600B"/>
    <w:rsid w:val="0005638E"/>
    <w:rsid w:val="00057481"/>
    <w:rsid w:val="00057FAB"/>
    <w:rsid w:val="000604B7"/>
    <w:rsid w:val="0006101C"/>
    <w:rsid w:val="000612E7"/>
    <w:rsid w:val="00061832"/>
    <w:rsid w:val="00062254"/>
    <w:rsid w:val="0006251F"/>
    <w:rsid w:val="000625AE"/>
    <w:rsid w:val="00062889"/>
    <w:rsid w:val="0006315C"/>
    <w:rsid w:val="00063C1A"/>
    <w:rsid w:val="000643D0"/>
    <w:rsid w:val="0006768C"/>
    <w:rsid w:val="00067B1E"/>
    <w:rsid w:val="00067D54"/>
    <w:rsid w:val="000702C2"/>
    <w:rsid w:val="00070966"/>
    <w:rsid w:val="00070A1A"/>
    <w:rsid w:val="000715E1"/>
    <w:rsid w:val="00071739"/>
    <w:rsid w:val="0007182D"/>
    <w:rsid w:val="00071E81"/>
    <w:rsid w:val="00072934"/>
    <w:rsid w:val="000732B6"/>
    <w:rsid w:val="0007336B"/>
    <w:rsid w:val="00073394"/>
    <w:rsid w:val="00073818"/>
    <w:rsid w:val="000740EF"/>
    <w:rsid w:val="00074711"/>
    <w:rsid w:val="0007474B"/>
    <w:rsid w:val="000757C6"/>
    <w:rsid w:val="000758E6"/>
    <w:rsid w:val="00075E8B"/>
    <w:rsid w:val="00076188"/>
    <w:rsid w:val="000761D7"/>
    <w:rsid w:val="00077581"/>
    <w:rsid w:val="00077617"/>
    <w:rsid w:val="00077908"/>
    <w:rsid w:val="00077995"/>
    <w:rsid w:val="000802F6"/>
    <w:rsid w:val="0008030A"/>
    <w:rsid w:val="00080A7C"/>
    <w:rsid w:val="00080C14"/>
    <w:rsid w:val="00080FF6"/>
    <w:rsid w:val="00081487"/>
    <w:rsid w:val="00081FAB"/>
    <w:rsid w:val="000826CA"/>
    <w:rsid w:val="0008334D"/>
    <w:rsid w:val="00083985"/>
    <w:rsid w:val="00083A72"/>
    <w:rsid w:val="000840EF"/>
    <w:rsid w:val="00084254"/>
    <w:rsid w:val="00084B79"/>
    <w:rsid w:val="00085FDC"/>
    <w:rsid w:val="0008665D"/>
    <w:rsid w:val="00086C95"/>
    <w:rsid w:val="0008740B"/>
    <w:rsid w:val="00087988"/>
    <w:rsid w:val="000900E1"/>
    <w:rsid w:val="000902C4"/>
    <w:rsid w:val="000912B0"/>
    <w:rsid w:val="00091F99"/>
    <w:rsid w:val="00092DA0"/>
    <w:rsid w:val="000932C2"/>
    <w:rsid w:val="000935C7"/>
    <w:rsid w:val="00093AB2"/>
    <w:rsid w:val="00094409"/>
    <w:rsid w:val="00094F25"/>
    <w:rsid w:val="00094FCB"/>
    <w:rsid w:val="00095639"/>
    <w:rsid w:val="000956DA"/>
    <w:rsid w:val="000963DC"/>
    <w:rsid w:val="000963DE"/>
    <w:rsid w:val="000A0199"/>
    <w:rsid w:val="000A0612"/>
    <w:rsid w:val="000A0E6E"/>
    <w:rsid w:val="000A1073"/>
    <w:rsid w:val="000A144A"/>
    <w:rsid w:val="000A1C93"/>
    <w:rsid w:val="000A3BF8"/>
    <w:rsid w:val="000A454E"/>
    <w:rsid w:val="000A6167"/>
    <w:rsid w:val="000A6BB6"/>
    <w:rsid w:val="000A6BD9"/>
    <w:rsid w:val="000A6E14"/>
    <w:rsid w:val="000A7298"/>
    <w:rsid w:val="000A7375"/>
    <w:rsid w:val="000A753F"/>
    <w:rsid w:val="000A767C"/>
    <w:rsid w:val="000A7ADF"/>
    <w:rsid w:val="000A7D37"/>
    <w:rsid w:val="000A7FF5"/>
    <w:rsid w:val="000B0905"/>
    <w:rsid w:val="000B1204"/>
    <w:rsid w:val="000B2B23"/>
    <w:rsid w:val="000B3190"/>
    <w:rsid w:val="000B33A4"/>
    <w:rsid w:val="000B51FF"/>
    <w:rsid w:val="000B79FF"/>
    <w:rsid w:val="000B7D18"/>
    <w:rsid w:val="000C0020"/>
    <w:rsid w:val="000C11E5"/>
    <w:rsid w:val="000C1432"/>
    <w:rsid w:val="000C1752"/>
    <w:rsid w:val="000C1C4C"/>
    <w:rsid w:val="000C2E2E"/>
    <w:rsid w:val="000C2F52"/>
    <w:rsid w:val="000C604F"/>
    <w:rsid w:val="000C60E4"/>
    <w:rsid w:val="000C6E55"/>
    <w:rsid w:val="000C70EF"/>
    <w:rsid w:val="000C76A4"/>
    <w:rsid w:val="000C79CA"/>
    <w:rsid w:val="000D0871"/>
    <w:rsid w:val="000D0D46"/>
    <w:rsid w:val="000D0D4C"/>
    <w:rsid w:val="000D1213"/>
    <w:rsid w:val="000D1514"/>
    <w:rsid w:val="000D1812"/>
    <w:rsid w:val="000D1904"/>
    <w:rsid w:val="000D25F9"/>
    <w:rsid w:val="000D3491"/>
    <w:rsid w:val="000D353A"/>
    <w:rsid w:val="000D37C3"/>
    <w:rsid w:val="000D39FB"/>
    <w:rsid w:val="000D43A4"/>
    <w:rsid w:val="000D4A4D"/>
    <w:rsid w:val="000D4BF8"/>
    <w:rsid w:val="000D4CC0"/>
    <w:rsid w:val="000D4CE5"/>
    <w:rsid w:val="000D5016"/>
    <w:rsid w:val="000D52D9"/>
    <w:rsid w:val="000D65C4"/>
    <w:rsid w:val="000D72BF"/>
    <w:rsid w:val="000D744B"/>
    <w:rsid w:val="000D7FBA"/>
    <w:rsid w:val="000E1A45"/>
    <w:rsid w:val="000E1B97"/>
    <w:rsid w:val="000E1C57"/>
    <w:rsid w:val="000E2022"/>
    <w:rsid w:val="000E2099"/>
    <w:rsid w:val="000E2AB0"/>
    <w:rsid w:val="000E2F15"/>
    <w:rsid w:val="000E3266"/>
    <w:rsid w:val="000E34EE"/>
    <w:rsid w:val="000E49F2"/>
    <w:rsid w:val="000E632A"/>
    <w:rsid w:val="000E66EE"/>
    <w:rsid w:val="000E69BA"/>
    <w:rsid w:val="000E6E64"/>
    <w:rsid w:val="000E72C6"/>
    <w:rsid w:val="000E752D"/>
    <w:rsid w:val="000E7D57"/>
    <w:rsid w:val="000F0B44"/>
    <w:rsid w:val="000F0EA6"/>
    <w:rsid w:val="000F13BF"/>
    <w:rsid w:val="000F1476"/>
    <w:rsid w:val="000F1BEF"/>
    <w:rsid w:val="000F2437"/>
    <w:rsid w:val="000F2863"/>
    <w:rsid w:val="000F2AFF"/>
    <w:rsid w:val="000F2CA0"/>
    <w:rsid w:val="000F2FA7"/>
    <w:rsid w:val="000F3477"/>
    <w:rsid w:val="000F3A3A"/>
    <w:rsid w:val="000F544C"/>
    <w:rsid w:val="000F6EE7"/>
    <w:rsid w:val="000F72A6"/>
    <w:rsid w:val="000F75F0"/>
    <w:rsid w:val="00100154"/>
    <w:rsid w:val="00100A74"/>
    <w:rsid w:val="00100D15"/>
    <w:rsid w:val="00100DCF"/>
    <w:rsid w:val="00100F1E"/>
    <w:rsid w:val="001011AA"/>
    <w:rsid w:val="00101968"/>
    <w:rsid w:val="001019ED"/>
    <w:rsid w:val="0010260B"/>
    <w:rsid w:val="00102840"/>
    <w:rsid w:val="001028D3"/>
    <w:rsid w:val="00102947"/>
    <w:rsid w:val="001031C5"/>
    <w:rsid w:val="00103CFC"/>
    <w:rsid w:val="00104134"/>
    <w:rsid w:val="00105B93"/>
    <w:rsid w:val="00105D92"/>
    <w:rsid w:val="00106CF5"/>
    <w:rsid w:val="00106EFC"/>
    <w:rsid w:val="00106F94"/>
    <w:rsid w:val="00111123"/>
    <w:rsid w:val="0011219C"/>
    <w:rsid w:val="00112460"/>
    <w:rsid w:val="001132F7"/>
    <w:rsid w:val="0011391C"/>
    <w:rsid w:val="00113D3E"/>
    <w:rsid w:val="001147BB"/>
    <w:rsid w:val="00117120"/>
    <w:rsid w:val="00117183"/>
    <w:rsid w:val="00117F26"/>
    <w:rsid w:val="00120AEC"/>
    <w:rsid w:val="00120C24"/>
    <w:rsid w:val="00120C37"/>
    <w:rsid w:val="00121860"/>
    <w:rsid w:val="00122503"/>
    <w:rsid w:val="001228A8"/>
    <w:rsid w:val="00122EC3"/>
    <w:rsid w:val="0012302D"/>
    <w:rsid w:val="001230EF"/>
    <w:rsid w:val="00123642"/>
    <w:rsid w:val="0012547C"/>
    <w:rsid w:val="001254D4"/>
    <w:rsid w:val="001254D8"/>
    <w:rsid w:val="00125A45"/>
    <w:rsid w:val="00126867"/>
    <w:rsid w:val="001269AB"/>
    <w:rsid w:val="00127CE7"/>
    <w:rsid w:val="0013030C"/>
    <w:rsid w:val="00131781"/>
    <w:rsid w:val="0013209E"/>
    <w:rsid w:val="00132AC4"/>
    <w:rsid w:val="00132E42"/>
    <w:rsid w:val="00134039"/>
    <w:rsid w:val="001340E7"/>
    <w:rsid w:val="00134246"/>
    <w:rsid w:val="001348E9"/>
    <w:rsid w:val="00134C42"/>
    <w:rsid w:val="00135126"/>
    <w:rsid w:val="00135B10"/>
    <w:rsid w:val="00136108"/>
    <w:rsid w:val="001366D6"/>
    <w:rsid w:val="001374AF"/>
    <w:rsid w:val="001404F5"/>
    <w:rsid w:val="00140A10"/>
    <w:rsid w:val="00141287"/>
    <w:rsid w:val="00141AB0"/>
    <w:rsid w:val="00142A0B"/>
    <w:rsid w:val="00142F74"/>
    <w:rsid w:val="0014315F"/>
    <w:rsid w:val="00143E94"/>
    <w:rsid w:val="001440D3"/>
    <w:rsid w:val="001446BC"/>
    <w:rsid w:val="001463ED"/>
    <w:rsid w:val="00146AC5"/>
    <w:rsid w:val="00146B6E"/>
    <w:rsid w:val="00146CF0"/>
    <w:rsid w:val="00146D2E"/>
    <w:rsid w:val="00146F15"/>
    <w:rsid w:val="00147108"/>
    <w:rsid w:val="001474D9"/>
    <w:rsid w:val="00147AC9"/>
    <w:rsid w:val="001502F5"/>
    <w:rsid w:val="00150A05"/>
    <w:rsid w:val="00151B96"/>
    <w:rsid w:val="00152395"/>
    <w:rsid w:val="0015249F"/>
    <w:rsid w:val="00152896"/>
    <w:rsid w:val="00152A8A"/>
    <w:rsid w:val="00153802"/>
    <w:rsid w:val="001544C9"/>
    <w:rsid w:val="00155037"/>
    <w:rsid w:val="00155280"/>
    <w:rsid w:val="00155763"/>
    <w:rsid w:val="00156ED3"/>
    <w:rsid w:val="0015777E"/>
    <w:rsid w:val="001600D8"/>
    <w:rsid w:val="00160A01"/>
    <w:rsid w:val="00160A9B"/>
    <w:rsid w:val="00160B9A"/>
    <w:rsid w:val="00161969"/>
    <w:rsid w:val="00161C3B"/>
    <w:rsid w:val="0016273E"/>
    <w:rsid w:val="00163AFF"/>
    <w:rsid w:val="00163C5B"/>
    <w:rsid w:val="001650AF"/>
    <w:rsid w:val="001650B1"/>
    <w:rsid w:val="0016549D"/>
    <w:rsid w:val="001657C6"/>
    <w:rsid w:val="0016589A"/>
    <w:rsid w:val="00165FEF"/>
    <w:rsid w:val="00166090"/>
    <w:rsid w:val="00166643"/>
    <w:rsid w:val="00167D18"/>
    <w:rsid w:val="00167D61"/>
    <w:rsid w:val="0017014A"/>
    <w:rsid w:val="001704D9"/>
    <w:rsid w:val="00170575"/>
    <w:rsid w:val="00170C4C"/>
    <w:rsid w:val="00172440"/>
    <w:rsid w:val="00173251"/>
    <w:rsid w:val="00173943"/>
    <w:rsid w:val="001748B0"/>
    <w:rsid w:val="00175330"/>
    <w:rsid w:val="001756F2"/>
    <w:rsid w:val="00177F69"/>
    <w:rsid w:val="001801EC"/>
    <w:rsid w:val="0018043A"/>
    <w:rsid w:val="0018061E"/>
    <w:rsid w:val="001811AA"/>
    <w:rsid w:val="001815EF"/>
    <w:rsid w:val="001816C2"/>
    <w:rsid w:val="00181DB4"/>
    <w:rsid w:val="001821DF"/>
    <w:rsid w:val="00183060"/>
    <w:rsid w:val="0018330F"/>
    <w:rsid w:val="00183E78"/>
    <w:rsid w:val="00183F72"/>
    <w:rsid w:val="00184000"/>
    <w:rsid w:val="001840E8"/>
    <w:rsid w:val="0018494A"/>
    <w:rsid w:val="00184E1D"/>
    <w:rsid w:val="00184E22"/>
    <w:rsid w:val="001852BD"/>
    <w:rsid w:val="00185AA0"/>
    <w:rsid w:val="00186029"/>
    <w:rsid w:val="00186348"/>
    <w:rsid w:val="00186AE0"/>
    <w:rsid w:val="00186CD0"/>
    <w:rsid w:val="001879E3"/>
    <w:rsid w:val="00187DCD"/>
    <w:rsid w:val="00190CD4"/>
    <w:rsid w:val="0019174B"/>
    <w:rsid w:val="00191B5B"/>
    <w:rsid w:val="00191DB6"/>
    <w:rsid w:val="001936A4"/>
    <w:rsid w:val="00193F0B"/>
    <w:rsid w:val="00194BB9"/>
    <w:rsid w:val="0019562A"/>
    <w:rsid w:val="001959F8"/>
    <w:rsid w:val="001979A6"/>
    <w:rsid w:val="00197C91"/>
    <w:rsid w:val="00197E4F"/>
    <w:rsid w:val="001A011B"/>
    <w:rsid w:val="001A0281"/>
    <w:rsid w:val="001A04AB"/>
    <w:rsid w:val="001A0B09"/>
    <w:rsid w:val="001A17DD"/>
    <w:rsid w:val="001A1A7C"/>
    <w:rsid w:val="001A1CE9"/>
    <w:rsid w:val="001A2066"/>
    <w:rsid w:val="001A2A8B"/>
    <w:rsid w:val="001A3AD5"/>
    <w:rsid w:val="001A47A3"/>
    <w:rsid w:val="001A4E2A"/>
    <w:rsid w:val="001A5528"/>
    <w:rsid w:val="001A5D3F"/>
    <w:rsid w:val="001A5EF8"/>
    <w:rsid w:val="001A6049"/>
    <w:rsid w:val="001A6084"/>
    <w:rsid w:val="001A6614"/>
    <w:rsid w:val="001A786A"/>
    <w:rsid w:val="001A7D3A"/>
    <w:rsid w:val="001A7F81"/>
    <w:rsid w:val="001B0E15"/>
    <w:rsid w:val="001B13AA"/>
    <w:rsid w:val="001B1A9F"/>
    <w:rsid w:val="001B1F57"/>
    <w:rsid w:val="001B21C8"/>
    <w:rsid w:val="001B3BFB"/>
    <w:rsid w:val="001B4315"/>
    <w:rsid w:val="001B49EE"/>
    <w:rsid w:val="001B5947"/>
    <w:rsid w:val="001B623C"/>
    <w:rsid w:val="001B64EC"/>
    <w:rsid w:val="001B676F"/>
    <w:rsid w:val="001B7886"/>
    <w:rsid w:val="001C0285"/>
    <w:rsid w:val="001C1D01"/>
    <w:rsid w:val="001C3964"/>
    <w:rsid w:val="001C3AEB"/>
    <w:rsid w:val="001C3D21"/>
    <w:rsid w:val="001C687B"/>
    <w:rsid w:val="001C6B2D"/>
    <w:rsid w:val="001C7125"/>
    <w:rsid w:val="001C715D"/>
    <w:rsid w:val="001D07C5"/>
    <w:rsid w:val="001D16FE"/>
    <w:rsid w:val="001D16FF"/>
    <w:rsid w:val="001D1D87"/>
    <w:rsid w:val="001D21A1"/>
    <w:rsid w:val="001D3C86"/>
    <w:rsid w:val="001D3C9C"/>
    <w:rsid w:val="001D3E36"/>
    <w:rsid w:val="001D450C"/>
    <w:rsid w:val="001D4882"/>
    <w:rsid w:val="001D48DD"/>
    <w:rsid w:val="001D494A"/>
    <w:rsid w:val="001D5501"/>
    <w:rsid w:val="001D58E4"/>
    <w:rsid w:val="001D6746"/>
    <w:rsid w:val="001D6E0F"/>
    <w:rsid w:val="001D761A"/>
    <w:rsid w:val="001D7E80"/>
    <w:rsid w:val="001E117E"/>
    <w:rsid w:val="001E18C6"/>
    <w:rsid w:val="001E2203"/>
    <w:rsid w:val="001E2E78"/>
    <w:rsid w:val="001E31AE"/>
    <w:rsid w:val="001E373B"/>
    <w:rsid w:val="001E4481"/>
    <w:rsid w:val="001E46C8"/>
    <w:rsid w:val="001E4C4A"/>
    <w:rsid w:val="001E4F77"/>
    <w:rsid w:val="001E5834"/>
    <w:rsid w:val="001E6BBE"/>
    <w:rsid w:val="001E6D1D"/>
    <w:rsid w:val="001E724E"/>
    <w:rsid w:val="001E73A7"/>
    <w:rsid w:val="001F0CC9"/>
    <w:rsid w:val="001F0DBA"/>
    <w:rsid w:val="001F22DF"/>
    <w:rsid w:val="001F2B14"/>
    <w:rsid w:val="001F3BBE"/>
    <w:rsid w:val="001F42FE"/>
    <w:rsid w:val="001F479A"/>
    <w:rsid w:val="001F4F9C"/>
    <w:rsid w:val="001F5159"/>
    <w:rsid w:val="001F530B"/>
    <w:rsid w:val="001F6636"/>
    <w:rsid w:val="001F6A47"/>
    <w:rsid w:val="001F7015"/>
    <w:rsid w:val="001F747E"/>
    <w:rsid w:val="001F78B5"/>
    <w:rsid w:val="001F7EDB"/>
    <w:rsid w:val="00200223"/>
    <w:rsid w:val="00200FFF"/>
    <w:rsid w:val="002012CF"/>
    <w:rsid w:val="00202780"/>
    <w:rsid w:val="00202A70"/>
    <w:rsid w:val="0020390B"/>
    <w:rsid w:val="0020416F"/>
    <w:rsid w:val="00204549"/>
    <w:rsid w:val="002045E5"/>
    <w:rsid w:val="00206F76"/>
    <w:rsid w:val="002104C7"/>
    <w:rsid w:val="002105A9"/>
    <w:rsid w:val="002108CD"/>
    <w:rsid w:val="002110AA"/>
    <w:rsid w:val="002130CC"/>
    <w:rsid w:val="002131A9"/>
    <w:rsid w:val="00213992"/>
    <w:rsid w:val="00213A42"/>
    <w:rsid w:val="002141F2"/>
    <w:rsid w:val="002147C2"/>
    <w:rsid w:val="00215D01"/>
    <w:rsid w:val="002165AC"/>
    <w:rsid w:val="00216600"/>
    <w:rsid w:val="00220FE6"/>
    <w:rsid w:val="00221FA8"/>
    <w:rsid w:val="0022324F"/>
    <w:rsid w:val="002235B0"/>
    <w:rsid w:val="00223A87"/>
    <w:rsid w:val="00223BF3"/>
    <w:rsid w:val="00223D35"/>
    <w:rsid w:val="00224283"/>
    <w:rsid w:val="002254AE"/>
    <w:rsid w:val="002255E2"/>
    <w:rsid w:val="00225EDB"/>
    <w:rsid w:val="00225FBA"/>
    <w:rsid w:val="00226E39"/>
    <w:rsid w:val="00226E4F"/>
    <w:rsid w:val="00227B4C"/>
    <w:rsid w:val="00227F85"/>
    <w:rsid w:val="002300C1"/>
    <w:rsid w:val="002310F3"/>
    <w:rsid w:val="002317A3"/>
    <w:rsid w:val="00231E01"/>
    <w:rsid w:val="00232894"/>
    <w:rsid w:val="00233491"/>
    <w:rsid w:val="00233954"/>
    <w:rsid w:val="002341F2"/>
    <w:rsid w:val="00234A8E"/>
    <w:rsid w:val="00234AB1"/>
    <w:rsid w:val="00235356"/>
    <w:rsid w:val="0023547D"/>
    <w:rsid w:val="00235960"/>
    <w:rsid w:val="00235A82"/>
    <w:rsid w:val="00235D37"/>
    <w:rsid w:val="00235F43"/>
    <w:rsid w:val="0023758A"/>
    <w:rsid w:val="0023762A"/>
    <w:rsid w:val="00240CBD"/>
    <w:rsid w:val="002413D5"/>
    <w:rsid w:val="002424E3"/>
    <w:rsid w:val="00242642"/>
    <w:rsid w:val="0024275A"/>
    <w:rsid w:val="00242CC6"/>
    <w:rsid w:val="0024322D"/>
    <w:rsid w:val="00244AC1"/>
    <w:rsid w:val="002451F2"/>
    <w:rsid w:val="00245216"/>
    <w:rsid w:val="002456EC"/>
    <w:rsid w:val="00246201"/>
    <w:rsid w:val="00246B9A"/>
    <w:rsid w:val="00246D05"/>
    <w:rsid w:val="002473FF"/>
    <w:rsid w:val="00247931"/>
    <w:rsid w:val="00247C6D"/>
    <w:rsid w:val="002501F3"/>
    <w:rsid w:val="00250331"/>
    <w:rsid w:val="002508E1"/>
    <w:rsid w:val="00250B93"/>
    <w:rsid w:val="0025130A"/>
    <w:rsid w:val="0025240D"/>
    <w:rsid w:val="00252F85"/>
    <w:rsid w:val="0025419C"/>
    <w:rsid w:val="002551E6"/>
    <w:rsid w:val="0025593B"/>
    <w:rsid w:val="00255F85"/>
    <w:rsid w:val="002560E7"/>
    <w:rsid w:val="002565A4"/>
    <w:rsid w:val="002574CE"/>
    <w:rsid w:val="0025798A"/>
    <w:rsid w:val="00257AEC"/>
    <w:rsid w:val="00257C96"/>
    <w:rsid w:val="002600D0"/>
    <w:rsid w:val="00260B5B"/>
    <w:rsid w:val="002612F7"/>
    <w:rsid w:val="002623FB"/>
    <w:rsid w:val="0026249D"/>
    <w:rsid w:val="00262896"/>
    <w:rsid w:val="00262CAF"/>
    <w:rsid w:val="00263147"/>
    <w:rsid w:val="00263202"/>
    <w:rsid w:val="00263896"/>
    <w:rsid w:val="00264D07"/>
    <w:rsid w:val="00264E81"/>
    <w:rsid w:val="002654F3"/>
    <w:rsid w:val="00265BD3"/>
    <w:rsid w:val="00266E27"/>
    <w:rsid w:val="00267CE4"/>
    <w:rsid w:val="002704E6"/>
    <w:rsid w:val="0027155E"/>
    <w:rsid w:val="00271B9B"/>
    <w:rsid w:val="00272BAB"/>
    <w:rsid w:val="00272C8D"/>
    <w:rsid w:val="0027305F"/>
    <w:rsid w:val="00273AB6"/>
    <w:rsid w:val="00274086"/>
    <w:rsid w:val="00274907"/>
    <w:rsid w:val="00274CB0"/>
    <w:rsid w:val="00274CB3"/>
    <w:rsid w:val="00274F64"/>
    <w:rsid w:val="00275E43"/>
    <w:rsid w:val="00276498"/>
    <w:rsid w:val="002767E8"/>
    <w:rsid w:val="0027775B"/>
    <w:rsid w:val="002802ED"/>
    <w:rsid w:val="00281770"/>
    <w:rsid w:val="002823A2"/>
    <w:rsid w:val="00282E9C"/>
    <w:rsid w:val="00282FD7"/>
    <w:rsid w:val="00283485"/>
    <w:rsid w:val="00283C65"/>
    <w:rsid w:val="00283D11"/>
    <w:rsid w:val="002845D3"/>
    <w:rsid w:val="00284A22"/>
    <w:rsid w:val="00284D31"/>
    <w:rsid w:val="00285232"/>
    <w:rsid w:val="002854EE"/>
    <w:rsid w:val="00286DDD"/>
    <w:rsid w:val="00290949"/>
    <w:rsid w:val="002916C1"/>
    <w:rsid w:val="0029181F"/>
    <w:rsid w:val="0029193D"/>
    <w:rsid w:val="0029228B"/>
    <w:rsid w:val="00292A16"/>
    <w:rsid w:val="00292E4E"/>
    <w:rsid w:val="002931D4"/>
    <w:rsid w:val="0029371B"/>
    <w:rsid w:val="00293908"/>
    <w:rsid w:val="002942AE"/>
    <w:rsid w:val="002955B3"/>
    <w:rsid w:val="0029571A"/>
    <w:rsid w:val="00295921"/>
    <w:rsid w:val="00296121"/>
    <w:rsid w:val="00296235"/>
    <w:rsid w:val="002969D9"/>
    <w:rsid w:val="00296E67"/>
    <w:rsid w:val="00297952"/>
    <w:rsid w:val="002A03D2"/>
    <w:rsid w:val="002A1015"/>
    <w:rsid w:val="002A102D"/>
    <w:rsid w:val="002A16A4"/>
    <w:rsid w:val="002A1D57"/>
    <w:rsid w:val="002A218B"/>
    <w:rsid w:val="002A341D"/>
    <w:rsid w:val="002A3804"/>
    <w:rsid w:val="002A42C0"/>
    <w:rsid w:val="002A47C8"/>
    <w:rsid w:val="002A4FEF"/>
    <w:rsid w:val="002A5299"/>
    <w:rsid w:val="002A539F"/>
    <w:rsid w:val="002A54B6"/>
    <w:rsid w:val="002A5D14"/>
    <w:rsid w:val="002A5D93"/>
    <w:rsid w:val="002A666C"/>
    <w:rsid w:val="002A6C07"/>
    <w:rsid w:val="002A75F6"/>
    <w:rsid w:val="002A7BAC"/>
    <w:rsid w:val="002A7F4A"/>
    <w:rsid w:val="002B02B1"/>
    <w:rsid w:val="002B0C28"/>
    <w:rsid w:val="002B23F5"/>
    <w:rsid w:val="002B26B0"/>
    <w:rsid w:val="002B2900"/>
    <w:rsid w:val="002B29D1"/>
    <w:rsid w:val="002B3141"/>
    <w:rsid w:val="002B316F"/>
    <w:rsid w:val="002B4ADB"/>
    <w:rsid w:val="002B52C1"/>
    <w:rsid w:val="002B5AF5"/>
    <w:rsid w:val="002B5D7D"/>
    <w:rsid w:val="002B64DC"/>
    <w:rsid w:val="002B7974"/>
    <w:rsid w:val="002B7E71"/>
    <w:rsid w:val="002C00A4"/>
    <w:rsid w:val="002C0FD0"/>
    <w:rsid w:val="002C1AAC"/>
    <w:rsid w:val="002C1B27"/>
    <w:rsid w:val="002C239D"/>
    <w:rsid w:val="002C2490"/>
    <w:rsid w:val="002C2713"/>
    <w:rsid w:val="002C2723"/>
    <w:rsid w:val="002C2D22"/>
    <w:rsid w:val="002C3007"/>
    <w:rsid w:val="002C33FB"/>
    <w:rsid w:val="002C3E1E"/>
    <w:rsid w:val="002C5910"/>
    <w:rsid w:val="002C6683"/>
    <w:rsid w:val="002C72BF"/>
    <w:rsid w:val="002C773F"/>
    <w:rsid w:val="002D00C2"/>
    <w:rsid w:val="002D128B"/>
    <w:rsid w:val="002D1728"/>
    <w:rsid w:val="002D1D7D"/>
    <w:rsid w:val="002D1FD1"/>
    <w:rsid w:val="002D2436"/>
    <w:rsid w:val="002D2AA0"/>
    <w:rsid w:val="002D3037"/>
    <w:rsid w:val="002D325F"/>
    <w:rsid w:val="002D3455"/>
    <w:rsid w:val="002D4856"/>
    <w:rsid w:val="002D4919"/>
    <w:rsid w:val="002D4E23"/>
    <w:rsid w:val="002D523F"/>
    <w:rsid w:val="002D6013"/>
    <w:rsid w:val="002D614A"/>
    <w:rsid w:val="002D6DFC"/>
    <w:rsid w:val="002E0240"/>
    <w:rsid w:val="002E1529"/>
    <w:rsid w:val="002E1953"/>
    <w:rsid w:val="002E2526"/>
    <w:rsid w:val="002E38AF"/>
    <w:rsid w:val="002E44FD"/>
    <w:rsid w:val="002E5E13"/>
    <w:rsid w:val="002E603B"/>
    <w:rsid w:val="002E6688"/>
    <w:rsid w:val="002E79FC"/>
    <w:rsid w:val="002F01BF"/>
    <w:rsid w:val="002F1DE0"/>
    <w:rsid w:val="002F22B2"/>
    <w:rsid w:val="002F254A"/>
    <w:rsid w:val="002F3F0E"/>
    <w:rsid w:val="002F4170"/>
    <w:rsid w:val="002F5DB8"/>
    <w:rsid w:val="002F6883"/>
    <w:rsid w:val="002F6D1B"/>
    <w:rsid w:val="002F6D40"/>
    <w:rsid w:val="002F6D84"/>
    <w:rsid w:val="002F7F2A"/>
    <w:rsid w:val="003004E6"/>
    <w:rsid w:val="00300CC7"/>
    <w:rsid w:val="00302332"/>
    <w:rsid w:val="003026E1"/>
    <w:rsid w:val="0030285B"/>
    <w:rsid w:val="0030294C"/>
    <w:rsid w:val="00303150"/>
    <w:rsid w:val="00304BBE"/>
    <w:rsid w:val="00305EA0"/>
    <w:rsid w:val="003066F2"/>
    <w:rsid w:val="00306F93"/>
    <w:rsid w:val="00307361"/>
    <w:rsid w:val="00307712"/>
    <w:rsid w:val="00307BA4"/>
    <w:rsid w:val="00310212"/>
    <w:rsid w:val="00310C00"/>
    <w:rsid w:val="0031125B"/>
    <w:rsid w:val="00312863"/>
    <w:rsid w:val="003130D8"/>
    <w:rsid w:val="00313F04"/>
    <w:rsid w:val="003146DF"/>
    <w:rsid w:val="00314F67"/>
    <w:rsid w:val="00314FA1"/>
    <w:rsid w:val="0031542D"/>
    <w:rsid w:val="003154D8"/>
    <w:rsid w:val="003155A0"/>
    <w:rsid w:val="003156D6"/>
    <w:rsid w:val="00315EB1"/>
    <w:rsid w:val="00316016"/>
    <w:rsid w:val="003160AD"/>
    <w:rsid w:val="00316829"/>
    <w:rsid w:val="00316938"/>
    <w:rsid w:val="00316F1C"/>
    <w:rsid w:val="00317A12"/>
    <w:rsid w:val="0032025C"/>
    <w:rsid w:val="0032049E"/>
    <w:rsid w:val="00320FE7"/>
    <w:rsid w:val="003211A0"/>
    <w:rsid w:val="00321B74"/>
    <w:rsid w:val="00321CD3"/>
    <w:rsid w:val="00321EA7"/>
    <w:rsid w:val="0032323B"/>
    <w:rsid w:val="00324207"/>
    <w:rsid w:val="00324317"/>
    <w:rsid w:val="00325011"/>
    <w:rsid w:val="00327B89"/>
    <w:rsid w:val="003301D7"/>
    <w:rsid w:val="00330A44"/>
    <w:rsid w:val="00330F3E"/>
    <w:rsid w:val="0033120A"/>
    <w:rsid w:val="00331706"/>
    <w:rsid w:val="00331946"/>
    <w:rsid w:val="00332FF0"/>
    <w:rsid w:val="00333370"/>
    <w:rsid w:val="00334310"/>
    <w:rsid w:val="00334439"/>
    <w:rsid w:val="00334964"/>
    <w:rsid w:val="00334E37"/>
    <w:rsid w:val="0033779B"/>
    <w:rsid w:val="003403B3"/>
    <w:rsid w:val="0034097B"/>
    <w:rsid w:val="00341071"/>
    <w:rsid w:val="003410EB"/>
    <w:rsid w:val="00341A1C"/>
    <w:rsid w:val="00341A26"/>
    <w:rsid w:val="00341DD7"/>
    <w:rsid w:val="003422F9"/>
    <w:rsid w:val="00342470"/>
    <w:rsid w:val="00342AD4"/>
    <w:rsid w:val="003434BE"/>
    <w:rsid w:val="00343BF6"/>
    <w:rsid w:val="00343E7D"/>
    <w:rsid w:val="003446A6"/>
    <w:rsid w:val="00344941"/>
    <w:rsid w:val="00344D9D"/>
    <w:rsid w:val="00345082"/>
    <w:rsid w:val="003457FF"/>
    <w:rsid w:val="00346410"/>
    <w:rsid w:val="00346946"/>
    <w:rsid w:val="00346E01"/>
    <w:rsid w:val="003470C9"/>
    <w:rsid w:val="00347FA2"/>
    <w:rsid w:val="0035001B"/>
    <w:rsid w:val="00350DDA"/>
    <w:rsid w:val="003515E5"/>
    <w:rsid w:val="003516E4"/>
    <w:rsid w:val="00351DA2"/>
    <w:rsid w:val="00351F89"/>
    <w:rsid w:val="0035228E"/>
    <w:rsid w:val="00352CF1"/>
    <w:rsid w:val="003540B1"/>
    <w:rsid w:val="003553A1"/>
    <w:rsid w:val="003556AF"/>
    <w:rsid w:val="00356ACE"/>
    <w:rsid w:val="00356D5C"/>
    <w:rsid w:val="00357334"/>
    <w:rsid w:val="0035748C"/>
    <w:rsid w:val="0035769A"/>
    <w:rsid w:val="0036010A"/>
    <w:rsid w:val="0036149A"/>
    <w:rsid w:val="00362174"/>
    <w:rsid w:val="0036330B"/>
    <w:rsid w:val="003636D4"/>
    <w:rsid w:val="003642FB"/>
    <w:rsid w:val="00365175"/>
    <w:rsid w:val="00365DC7"/>
    <w:rsid w:val="00367190"/>
    <w:rsid w:val="00370256"/>
    <w:rsid w:val="00370E4E"/>
    <w:rsid w:val="0037210D"/>
    <w:rsid w:val="003723F6"/>
    <w:rsid w:val="00372461"/>
    <w:rsid w:val="003729A3"/>
    <w:rsid w:val="00372A55"/>
    <w:rsid w:val="00372ABB"/>
    <w:rsid w:val="0037487A"/>
    <w:rsid w:val="00375DB2"/>
    <w:rsid w:val="00375DC1"/>
    <w:rsid w:val="00375F51"/>
    <w:rsid w:val="00376119"/>
    <w:rsid w:val="0037728C"/>
    <w:rsid w:val="00377498"/>
    <w:rsid w:val="003776EB"/>
    <w:rsid w:val="00377C34"/>
    <w:rsid w:val="00377FC4"/>
    <w:rsid w:val="00380157"/>
    <w:rsid w:val="00380296"/>
    <w:rsid w:val="00380751"/>
    <w:rsid w:val="00380ADB"/>
    <w:rsid w:val="003811AA"/>
    <w:rsid w:val="00382B10"/>
    <w:rsid w:val="00383927"/>
    <w:rsid w:val="00383D3E"/>
    <w:rsid w:val="0038495E"/>
    <w:rsid w:val="00384CA4"/>
    <w:rsid w:val="00384CBF"/>
    <w:rsid w:val="00384E7A"/>
    <w:rsid w:val="00385784"/>
    <w:rsid w:val="00385D54"/>
    <w:rsid w:val="00385E53"/>
    <w:rsid w:val="00386BC6"/>
    <w:rsid w:val="0038734F"/>
    <w:rsid w:val="00387B02"/>
    <w:rsid w:val="0039034D"/>
    <w:rsid w:val="00391BD2"/>
    <w:rsid w:val="00391CFC"/>
    <w:rsid w:val="00391FFD"/>
    <w:rsid w:val="00394B92"/>
    <w:rsid w:val="00394D06"/>
    <w:rsid w:val="003951A2"/>
    <w:rsid w:val="0039580D"/>
    <w:rsid w:val="00395932"/>
    <w:rsid w:val="00395BFC"/>
    <w:rsid w:val="00395E3D"/>
    <w:rsid w:val="00396937"/>
    <w:rsid w:val="003969C2"/>
    <w:rsid w:val="003975C2"/>
    <w:rsid w:val="003975CA"/>
    <w:rsid w:val="0039760F"/>
    <w:rsid w:val="003977A5"/>
    <w:rsid w:val="003977E3"/>
    <w:rsid w:val="003A0643"/>
    <w:rsid w:val="003A1263"/>
    <w:rsid w:val="003A1A0A"/>
    <w:rsid w:val="003A1EA1"/>
    <w:rsid w:val="003A2B11"/>
    <w:rsid w:val="003A41CC"/>
    <w:rsid w:val="003A51B4"/>
    <w:rsid w:val="003A6518"/>
    <w:rsid w:val="003A71AB"/>
    <w:rsid w:val="003A7416"/>
    <w:rsid w:val="003A77BC"/>
    <w:rsid w:val="003B0821"/>
    <w:rsid w:val="003B090F"/>
    <w:rsid w:val="003B0B7B"/>
    <w:rsid w:val="003B0B97"/>
    <w:rsid w:val="003B155B"/>
    <w:rsid w:val="003B1F7E"/>
    <w:rsid w:val="003B292E"/>
    <w:rsid w:val="003B2EE9"/>
    <w:rsid w:val="003B341C"/>
    <w:rsid w:val="003B34F5"/>
    <w:rsid w:val="003B45D0"/>
    <w:rsid w:val="003B64E9"/>
    <w:rsid w:val="003B6AE1"/>
    <w:rsid w:val="003B6C49"/>
    <w:rsid w:val="003B6DD4"/>
    <w:rsid w:val="003C1655"/>
    <w:rsid w:val="003C1DF6"/>
    <w:rsid w:val="003C202C"/>
    <w:rsid w:val="003C25B8"/>
    <w:rsid w:val="003C2931"/>
    <w:rsid w:val="003C295E"/>
    <w:rsid w:val="003C2C5A"/>
    <w:rsid w:val="003C2FA8"/>
    <w:rsid w:val="003C3211"/>
    <w:rsid w:val="003C3A15"/>
    <w:rsid w:val="003C446A"/>
    <w:rsid w:val="003C4A55"/>
    <w:rsid w:val="003C4D68"/>
    <w:rsid w:val="003C508D"/>
    <w:rsid w:val="003C6326"/>
    <w:rsid w:val="003C65BF"/>
    <w:rsid w:val="003C686E"/>
    <w:rsid w:val="003C707B"/>
    <w:rsid w:val="003C73C3"/>
    <w:rsid w:val="003C74DD"/>
    <w:rsid w:val="003C7896"/>
    <w:rsid w:val="003C7F49"/>
    <w:rsid w:val="003D0775"/>
    <w:rsid w:val="003D07EB"/>
    <w:rsid w:val="003D0823"/>
    <w:rsid w:val="003D1C61"/>
    <w:rsid w:val="003D214F"/>
    <w:rsid w:val="003D235F"/>
    <w:rsid w:val="003D3316"/>
    <w:rsid w:val="003D3AB7"/>
    <w:rsid w:val="003D48B7"/>
    <w:rsid w:val="003D5063"/>
    <w:rsid w:val="003D57C9"/>
    <w:rsid w:val="003D5A20"/>
    <w:rsid w:val="003D6928"/>
    <w:rsid w:val="003E010D"/>
    <w:rsid w:val="003E044C"/>
    <w:rsid w:val="003E0522"/>
    <w:rsid w:val="003E0709"/>
    <w:rsid w:val="003E0844"/>
    <w:rsid w:val="003E1952"/>
    <w:rsid w:val="003E1CF6"/>
    <w:rsid w:val="003E2334"/>
    <w:rsid w:val="003E339D"/>
    <w:rsid w:val="003E3AE9"/>
    <w:rsid w:val="003E3DCA"/>
    <w:rsid w:val="003E4202"/>
    <w:rsid w:val="003E4521"/>
    <w:rsid w:val="003E6167"/>
    <w:rsid w:val="003E641A"/>
    <w:rsid w:val="003E6895"/>
    <w:rsid w:val="003E7065"/>
    <w:rsid w:val="003E71C3"/>
    <w:rsid w:val="003E775B"/>
    <w:rsid w:val="003E7D2A"/>
    <w:rsid w:val="003F0BA6"/>
    <w:rsid w:val="003F205D"/>
    <w:rsid w:val="003F2F85"/>
    <w:rsid w:val="003F3ED8"/>
    <w:rsid w:val="003F4229"/>
    <w:rsid w:val="003F5071"/>
    <w:rsid w:val="003F515D"/>
    <w:rsid w:val="003F5B7D"/>
    <w:rsid w:val="003F6822"/>
    <w:rsid w:val="003F6D3A"/>
    <w:rsid w:val="003F7A1B"/>
    <w:rsid w:val="00400505"/>
    <w:rsid w:val="00401CEE"/>
    <w:rsid w:val="0040273D"/>
    <w:rsid w:val="00402BDF"/>
    <w:rsid w:val="004031AE"/>
    <w:rsid w:val="004036AD"/>
    <w:rsid w:val="00404E88"/>
    <w:rsid w:val="0040509D"/>
    <w:rsid w:val="00405DC8"/>
    <w:rsid w:val="004062DF"/>
    <w:rsid w:val="00406CF1"/>
    <w:rsid w:val="00407372"/>
    <w:rsid w:val="004105A2"/>
    <w:rsid w:val="0041099B"/>
    <w:rsid w:val="004121A0"/>
    <w:rsid w:val="004129CC"/>
    <w:rsid w:val="00412BA5"/>
    <w:rsid w:val="004135A3"/>
    <w:rsid w:val="004137CE"/>
    <w:rsid w:val="00414055"/>
    <w:rsid w:val="004152C1"/>
    <w:rsid w:val="0041566A"/>
    <w:rsid w:val="00415A08"/>
    <w:rsid w:val="0041613E"/>
    <w:rsid w:val="0041718A"/>
    <w:rsid w:val="0041784A"/>
    <w:rsid w:val="00417B1D"/>
    <w:rsid w:val="00417B8D"/>
    <w:rsid w:val="00420290"/>
    <w:rsid w:val="00421117"/>
    <w:rsid w:val="00421CA8"/>
    <w:rsid w:val="004229CE"/>
    <w:rsid w:val="00423A9F"/>
    <w:rsid w:val="004242A6"/>
    <w:rsid w:val="004248BF"/>
    <w:rsid w:val="00424E42"/>
    <w:rsid w:val="00424F97"/>
    <w:rsid w:val="0042585E"/>
    <w:rsid w:val="00425C52"/>
    <w:rsid w:val="00425D09"/>
    <w:rsid w:val="00425F29"/>
    <w:rsid w:val="00426052"/>
    <w:rsid w:val="00426316"/>
    <w:rsid w:val="00426E95"/>
    <w:rsid w:val="004279DE"/>
    <w:rsid w:val="00427E08"/>
    <w:rsid w:val="004302BD"/>
    <w:rsid w:val="00430616"/>
    <w:rsid w:val="0043094A"/>
    <w:rsid w:val="00430EF0"/>
    <w:rsid w:val="00431B82"/>
    <w:rsid w:val="00431EAE"/>
    <w:rsid w:val="00431ECD"/>
    <w:rsid w:val="004325B2"/>
    <w:rsid w:val="00432975"/>
    <w:rsid w:val="00433D36"/>
    <w:rsid w:val="00434457"/>
    <w:rsid w:val="00435B18"/>
    <w:rsid w:val="004367AD"/>
    <w:rsid w:val="00436D52"/>
    <w:rsid w:val="0044043D"/>
    <w:rsid w:val="00440A8A"/>
    <w:rsid w:val="00441817"/>
    <w:rsid w:val="00441A47"/>
    <w:rsid w:val="004426E0"/>
    <w:rsid w:val="004428A0"/>
    <w:rsid w:val="00443709"/>
    <w:rsid w:val="00444274"/>
    <w:rsid w:val="004442F5"/>
    <w:rsid w:val="00444A47"/>
    <w:rsid w:val="0044504A"/>
    <w:rsid w:val="004457A2"/>
    <w:rsid w:val="00447395"/>
    <w:rsid w:val="00450334"/>
    <w:rsid w:val="004506DC"/>
    <w:rsid w:val="00450AD6"/>
    <w:rsid w:val="00450AE3"/>
    <w:rsid w:val="00450D34"/>
    <w:rsid w:val="004512A1"/>
    <w:rsid w:val="004523A0"/>
    <w:rsid w:val="0045365C"/>
    <w:rsid w:val="00453BA3"/>
    <w:rsid w:val="00454403"/>
    <w:rsid w:val="00454D58"/>
    <w:rsid w:val="00454E3B"/>
    <w:rsid w:val="00455173"/>
    <w:rsid w:val="0045598F"/>
    <w:rsid w:val="004571CE"/>
    <w:rsid w:val="00457221"/>
    <w:rsid w:val="00457A55"/>
    <w:rsid w:val="00460A56"/>
    <w:rsid w:val="00460F39"/>
    <w:rsid w:val="004612D1"/>
    <w:rsid w:val="004612EE"/>
    <w:rsid w:val="004613EE"/>
    <w:rsid w:val="0046194B"/>
    <w:rsid w:val="0046246A"/>
    <w:rsid w:val="00463405"/>
    <w:rsid w:val="00463596"/>
    <w:rsid w:val="004635C4"/>
    <w:rsid w:val="00465FC4"/>
    <w:rsid w:val="00466BDE"/>
    <w:rsid w:val="00466D78"/>
    <w:rsid w:val="00467749"/>
    <w:rsid w:val="00470C22"/>
    <w:rsid w:val="00471193"/>
    <w:rsid w:val="00471385"/>
    <w:rsid w:val="004719C5"/>
    <w:rsid w:val="00471DF6"/>
    <w:rsid w:val="0047220F"/>
    <w:rsid w:val="0047280F"/>
    <w:rsid w:val="00472843"/>
    <w:rsid w:val="00472A36"/>
    <w:rsid w:val="00473795"/>
    <w:rsid w:val="00473DFF"/>
    <w:rsid w:val="00475326"/>
    <w:rsid w:val="004753D3"/>
    <w:rsid w:val="00475756"/>
    <w:rsid w:val="00475947"/>
    <w:rsid w:val="004762A5"/>
    <w:rsid w:val="004768BF"/>
    <w:rsid w:val="0047783B"/>
    <w:rsid w:val="00477D7B"/>
    <w:rsid w:val="004806EB"/>
    <w:rsid w:val="00480FC2"/>
    <w:rsid w:val="00481E74"/>
    <w:rsid w:val="00481F57"/>
    <w:rsid w:val="004826FF"/>
    <w:rsid w:val="00482AA5"/>
    <w:rsid w:val="00482B69"/>
    <w:rsid w:val="00483427"/>
    <w:rsid w:val="00483499"/>
    <w:rsid w:val="00483813"/>
    <w:rsid w:val="00483B9F"/>
    <w:rsid w:val="0048596A"/>
    <w:rsid w:val="00485A33"/>
    <w:rsid w:val="00486887"/>
    <w:rsid w:val="00486ACE"/>
    <w:rsid w:val="00486F7F"/>
    <w:rsid w:val="00487CDC"/>
    <w:rsid w:val="00490C75"/>
    <w:rsid w:val="00490CAF"/>
    <w:rsid w:val="0049118E"/>
    <w:rsid w:val="004911AB"/>
    <w:rsid w:val="004911B9"/>
    <w:rsid w:val="004915B6"/>
    <w:rsid w:val="004915CA"/>
    <w:rsid w:val="00493953"/>
    <w:rsid w:val="00495982"/>
    <w:rsid w:val="004A0306"/>
    <w:rsid w:val="004A06DC"/>
    <w:rsid w:val="004A0B5B"/>
    <w:rsid w:val="004A0C38"/>
    <w:rsid w:val="004A1299"/>
    <w:rsid w:val="004A1BF8"/>
    <w:rsid w:val="004A242F"/>
    <w:rsid w:val="004A2783"/>
    <w:rsid w:val="004A33A9"/>
    <w:rsid w:val="004A341A"/>
    <w:rsid w:val="004A3C69"/>
    <w:rsid w:val="004A4683"/>
    <w:rsid w:val="004A4E08"/>
    <w:rsid w:val="004A5228"/>
    <w:rsid w:val="004A6F9A"/>
    <w:rsid w:val="004A7B0A"/>
    <w:rsid w:val="004B09B4"/>
    <w:rsid w:val="004B243A"/>
    <w:rsid w:val="004B3061"/>
    <w:rsid w:val="004B40F4"/>
    <w:rsid w:val="004B44FB"/>
    <w:rsid w:val="004B6B1E"/>
    <w:rsid w:val="004B73BC"/>
    <w:rsid w:val="004B7685"/>
    <w:rsid w:val="004B7A99"/>
    <w:rsid w:val="004B7FD7"/>
    <w:rsid w:val="004C08CC"/>
    <w:rsid w:val="004C0CB6"/>
    <w:rsid w:val="004C13BB"/>
    <w:rsid w:val="004C2200"/>
    <w:rsid w:val="004C24C0"/>
    <w:rsid w:val="004C2B93"/>
    <w:rsid w:val="004C3814"/>
    <w:rsid w:val="004C3FBA"/>
    <w:rsid w:val="004C45F8"/>
    <w:rsid w:val="004C5439"/>
    <w:rsid w:val="004C642F"/>
    <w:rsid w:val="004C7492"/>
    <w:rsid w:val="004D00E7"/>
    <w:rsid w:val="004D0294"/>
    <w:rsid w:val="004D0592"/>
    <w:rsid w:val="004D1000"/>
    <w:rsid w:val="004D220A"/>
    <w:rsid w:val="004D288F"/>
    <w:rsid w:val="004D2A9B"/>
    <w:rsid w:val="004D30CD"/>
    <w:rsid w:val="004D3113"/>
    <w:rsid w:val="004D571C"/>
    <w:rsid w:val="004D58CF"/>
    <w:rsid w:val="004D5AC1"/>
    <w:rsid w:val="004D5B38"/>
    <w:rsid w:val="004D6062"/>
    <w:rsid w:val="004D6296"/>
    <w:rsid w:val="004D65D1"/>
    <w:rsid w:val="004D6849"/>
    <w:rsid w:val="004D7AF1"/>
    <w:rsid w:val="004E0874"/>
    <w:rsid w:val="004E0A6F"/>
    <w:rsid w:val="004E0D6D"/>
    <w:rsid w:val="004E0E84"/>
    <w:rsid w:val="004E0ED9"/>
    <w:rsid w:val="004E1752"/>
    <w:rsid w:val="004E1835"/>
    <w:rsid w:val="004E1E3E"/>
    <w:rsid w:val="004E2001"/>
    <w:rsid w:val="004E242E"/>
    <w:rsid w:val="004E2844"/>
    <w:rsid w:val="004E2F89"/>
    <w:rsid w:val="004E2FB9"/>
    <w:rsid w:val="004E329C"/>
    <w:rsid w:val="004E39EB"/>
    <w:rsid w:val="004E50B3"/>
    <w:rsid w:val="004E5323"/>
    <w:rsid w:val="004E5795"/>
    <w:rsid w:val="004E6729"/>
    <w:rsid w:val="004E711B"/>
    <w:rsid w:val="004E778E"/>
    <w:rsid w:val="004F0791"/>
    <w:rsid w:val="004F0DC3"/>
    <w:rsid w:val="004F0E76"/>
    <w:rsid w:val="004F145B"/>
    <w:rsid w:val="004F1592"/>
    <w:rsid w:val="004F21A6"/>
    <w:rsid w:val="004F22D7"/>
    <w:rsid w:val="004F2CAA"/>
    <w:rsid w:val="004F3834"/>
    <w:rsid w:val="004F3BFE"/>
    <w:rsid w:val="004F43AD"/>
    <w:rsid w:val="004F49A0"/>
    <w:rsid w:val="004F519E"/>
    <w:rsid w:val="004F53F0"/>
    <w:rsid w:val="004F59FC"/>
    <w:rsid w:val="004F5A45"/>
    <w:rsid w:val="004F5D07"/>
    <w:rsid w:val="004F5FF5"/>
    <w:rsid w:val="004F6863"/>
    <w:rsid w:val="004F761A"/>
    <w:rsid w:val="005004EA"/>
    <w:rsid w:val="00500E4F"/>
    <w:rsid w:val="005013FF"/>
    <w:rsid w:val="00501435"/>
    <w:rsid w:val="00501C05"/>
    <w:rsid w:val="00501EE2"/>
    <w:rsid w:val="00502460"/>
    <w:rsid w:val="005033F3"/>
    <w:rsid w:val="005041E4"/>
    <w:rsid w:val="0050445C"/>
    <w:rsid w:val="005047EF"/>
    <w:rsid w:val="005059A8"/>
    <w:rsid w:val="00505A91"/>
    <w:rsid w:val="005068F7"/>
    <w:rsid w:val="00506DE6"/>
    <w:rsid w:val="00506F4B"/>
    <w:rsid w:val="00507FCE"/>
    <w:rsid w:val="005109FD"/>
    <w:rsid w:val="00512319"/>
    <w:rsid w:val="005139D1"/>
    <w:rsid w:val="00513F68"/>
    <w:rsid w:val="005145DC"/>
    <w:rsid w:val="00514EFD"/>
    <w:rsid w:val="00515CF9"/>
    <w:rsid w:val="005163FE"/>
    <w:rsid w:val="005168B4"/>
    <w:rsid w:val="00517649"/>
    <w:rsid w:val="0051791C"/>
    <w:rsid w:val="00517A27"/>
    <w:rsid w:val="00517B4A"/>
    <w:rsid w:val="00520542"/>
    <w:rsid w:val="0052067A"/>
    <w:rsid w:val="00520695"/>
    <w:rsid w:val="0052096C"/>
    <w:rsid w:val="00521254"/>
    <w:rsid w:val="00521DFA"/>
    <w:rsid w:val="005220BA"/>
    <w:rsid w:val="00523845"/>
    <w:rsid w:val="005238C9"/>
    <w:rsid w:val="00524677"/>
    <w:rsid w:val="0052500D"/>
    <w:rsid w:val="005250BF"/>
    <w:rsid w:val="0052635C"/>
    <w:rsid w:val="0052780D"/>
    <w:rsid w:val="00530A3D"/>
    <w:rsid w:val="00531BA3"/>
    <w:rsid w:val="00532C8B"/>
    <w:rsid w:val="00532FF9"/>
    <w:rsid w:val="00533800"/>
    <w:rsid w:val="00533AEC"/>
    <w:rsid w:val="00533C74"/>
    <w:rsid w:val="00534424"/>
    <w:rsid w:val="00534F28"/>
    <w:rsid w:val="005359FE"/>
    <w:rsid w:val="00536C22"/>
    <w:rsid w:val="00537135"/>
    <w:rsid w:val="00537913"/>
    <w:rsid w:val="0054004A"/>
    <w:rsid w:val="005409EF"/>
    <w:rsid w:val="00540E45"/>
    <w:rsid w:val="00540FFD"/>
    <w:rsid w:val="0054128A"/>
    <w:rsid w:val="00541667"/>
    <w:rsid w:val="005417AC"/>
    <w:rsid w:val="0054254C"/>
    <w:rsid w:val="0054340C"/>
    <w:rsid w:val="005439F7"/>
    <w:rsid w:val="005459A2"/>
    <w:rsid w:val="00547C8A"/>
    <w:rsid w:val="00551636"/>
    <w:rsid w:val="00551FBA"/>
    <w:rsid w:val="0055219F"/>
    <w:rsid w:val="00553AA7"/>
    <w:rsid w:val="00554540"/>
    <w:rsid w:val="00554908"/>
    <w:rsid w:val="00554FF7"/>
    <w:rsid w:val="00555671"/>
    <w:rsid w:val="00555A66"/>
    <w:rsid w:val="0055624F"/>
    <w:rsid w:val="0055632E"/>
    <w:rsid w:val="00557426"/>
    <w:rsid w:val="00557713"/>
    <w:rsid w:val="005577F6"/>
    <w:rsid w:val="00560703"/>
    <w:rsid w:val="005613C5"/>
    <w:rsid w:val="005616E0"/>
    <w:rsid w:val="00562654"/>
    <w:rsid w:val="00563054"/>
    <w:rsid w:val="005637CD"/>
    <w:rsid w:val="00563FA5"/>
    <w:rsid w:val="00564A1E"/>
    <w:rsid w:val="00564C1D"/>
    <w:rsid w:val="00564EE9"/>
    <w:rsid w:val="00564EED"/>
    <w:rsid w:val="00564F8E"/>
    <w:rsid w:val="005658BF"/>
    <w:rsid w:val="005658FB"/>
    <w:rsid w:val="00565B1C"/>
    <w:rsid w:val="005667F6"/>
    <w:rsid w:val="005675E1"/>
    <w:rsid w:val="00567D66"/>
    <w:rsid w:val="00567FD9"/>
    <w:rsid w:val="00570423"/>
    <w:rsid w:val="005727F5"/>
    <w:rsid w:val="00572892"/>
    <w:rsid w:val="00572A98"/>
    <w:rsid w:val="0057398B"/>
    <w:rsid w:val="005742C0"/>
    <w:rsid w:val="00574539"/>
    <w:rsid w:val="00575419"/>
    <w:rsid w:val="00575C09"/>
    <w:rsid w:val="0057643B"/>
    <w:rsid w:val="00576CBA"/>
    <w:rsid w:val="00576DD1"/>
    <w:rsid w:val="00577469"/>
    <w:rsid w:val="00577639"/>
    <w:rsid w:val="00577E24"/>
    <w:rsid w:val="0058143B"/>
    <w:rsid w:val="00581E55"/>
    <w:rsid w:val="0058269F"/>
    <w:rsid w:val="005830C8"/>
    <w:rsid w:val="00584118"/>
    <w:rsid w:val="00584839"/>
    <w:rsid w:val="005849D5"/>
    <w:rsid w:val="005864FE"/>
    <w:rsid w:val="00587311"/>
    <w:rsid w:val="00587EFE"/>
    <w:rsid w:val="005907D7"/>
    <w:rsid w:val="00591098"/>
    <w:rsid w:val="00591346"/>
    <w:rsid w:val="005915A8"/>
    <w:rsid w:val="00591D73"/>
    <w:rsid w:val="00591EAF"/>
    <w:rsid w:val="00592C33"/>
    <w:rsid w:val="005931CE"/>
    <w:rsid w:val="00593A07"/>
    <w:rsid w:val="00594432"/>
    <w:rsid w:val="00594BBE"/>
    <w:rsid w:val="005962E9"/>
    <w:rsid w:val="005A0507"/>
    <w:rsid w:val="005A1149"/>
    <w:rsid w:val="005A1A28"/>
    <w:rsid w:val="005A1B36"/>
    <w:rsid w:val="005A2213"/>
    <w:rsid w:val="005A3F11"/>
    <w:rsid w:val="005A41C5"/>
    <w:rsid w:val="005A464E"/>
    <w:rsid w:val="005A55F3"/>
    <w:rsid w:val="005A58EE"/>
    <w:rsid w:val="005A5BA3"/>
    <w:rsid w:val="005A6228"/>
    <w:rsid w:val="005A62A4"/>
    <w:rsid w:val="005A6E22"/>
    <w:rsid w:val="005A705F"/>
    <w:rsid w:val="005A767A"/>
    <w:rsid w:val="005A7BAC"/>
    <w:rsid w:val="005A7C42"/>
    <w:rsid w:val="005A7E02"/>
    <w:rsid w:val="005B03FF"/>
    <w:rsid w:val="005B0FA3"/>
    <w:rsid w:val="005B25D9"/>
    <w:rsid w:val="005B25F6"/>
    <w:rsid w:val="005B377D"/>
    <w:rsid w:val="005B436F"/>
    <w:rsid w:val="005B45DA"/>
    <w:rsid w:val="005B4AEA"/>
    <w:rsid w:val="005B4EA1"/>
    <w:rsid w:val="005B527C"/>
    <w:rsid w:val="005B55EC"/>
    <w:rsid w:val="005B567B"/>
    <w:rsid w:val="005B5961"/>
    <w:rsid w:val="005B7355"/>
    <w:rsid w:val="005B7ACF"/>
    <w:rsid w:val="005C0027"/>
    <w:rsid w:val="005C130E"/>
    <w:rsid w:val="005C13DC"/>
    <w:rsid w:val="005C1A3D"/>
    <w:rsid w:val="005C1D6C"/>
    <w:rsid w:val="005C2367"/>
    <w:rsid w:val="005C2F22"/>
    <w:rsid w:val="005C389F"/>
    <w:rsid w:val="005C38DF"/>
    <w:rsid w:val="005C3AFE"/>
    <w:rsid w:val="005C477A"/>
    <w:rsid w:val="005C48F9"/>
    <w:rsid w:val="005C4977"/>
    <w:rsid w:val="005C5875"/>
    <w:rsid w:val="005C5C90"/>
    <w:rsid w:val="005C5DBD"/>
    <w:rsid w:val="005C6839"/>
    <w:rsid w:val="005C75EF"/>
    <w:rsid w:val="005C7E8A"/>
    <w:rsid w:val="005D1975"/>
    <w:rsid w:val="005D2475"/>
    <w:rsid w:val="005D2FE2"/>
    <w:rsid w:val="005D376E"/>
    <w:rsid w:val="005D38F4"/>
    <w:rsid w:val="005D40CF"/>
    <w:rsid w:val="005D48CF"/>
    <w:rsid w:val="005D526F"/>
    <w:rsid w:val="005D5DF9"/>
    <w:rsid w:val="005D5F2B"/>
    <w:rsid w:val="005D6820"/>
    <w:rsid w:val="005D6F35"/>
    <w:rsid w:val="005D70A4"/>
    <w:rsid w:val="005D7440"/>
    <w:rsid w:val="005D7E13"/>
    <w:rsid w:val="005D7EF1"/>
    <w:rsid w:val="005E011B"/>
    <w:rsid w:val="005E06B3"/>
    <w:rsid w:val="005E0B7C"/>
    <w:rsid w:val="005E0BD8"/>
    <w:rsid w:val="005E0FCD"/>
    <w:rsid w:val="005E1435"/>
    <w:rsid w:val="005E1844"/>
    <w:rsid w:val="005E1C57"/>
    <w:rsid w:val="005E2406"/>
    <w:rsid w:val="005E25E0"/>
    <w:rsid w:val="005E2AA7"/>
    <w:rsid w:val="005E3286"/>
    <w:rsid w:val="005E36A7"/>
    <w:rsid w:val="005E38C6"/>
    <w:rsid w:val="005E3A51"/>
    <w:rsid w:val="005E43BE"/>
    <w:rsid w:val="005E52EE"/>
    <w:rsid w:val="005E5706"/>
    <w:rsid w:val="005E5A87"/>
    <w:rsid w:val="005E5F64"/>
    <w:rsid w:val="005E6848"/>
    <w:rsid w:val="005E6D58"/>
    <w:rsid w:val="005E6E17"/>
    <w:rsid w:val="005E7F6D"/>
    <w:rsid w:val="005F0697"/>
    <w:rsid w:val="005F0A55"/>
    <w:rsid w:val="005F0F8C"/>
    <w:rsid w:val="005F19D1"/>
    <w:rsid w:val="005F1C36"/>
    <w:rsid w:val="005F358E"/>
    <w:rsid w:val="005F3ADD"/>
    <w:rsid w:val="005F4628"/>
    <w:rsid w:val="005F60B4"/>
    <w:rsid w:val="005F6435"/>
    <w:rsid w:val="005F6687"/>
    <w:rsid w:val="005F70A8"/>
    <w:rsid w:val="005F798F"/>
    <w:rsid w:val="005F7AB5"/>
    <w:rsid w:val="0060014D"/>
    <w:rsid w:val="006002EA"/>
    <w:rsid w:val="00600382"/>
    <w:rsid w:val="00600FF7"/>
    <w:rsid w:val="006017C6"/>
    <w:rsid w:val="00602EFF"/>
    <w:rsid w:val="00604041"/>
    <w:rsid w:val="006049C7"/>
    <w:rsid w:val="00605767"/>
    <w:rsid w:val="00605877"/>
    <w:rsid w:val="00605B38"/>
    <w:rsid w:val="006061B0"/>
    <w:rsid w:val="00606685"/>
    <w:rsid w:val="00607065"/>
    <w:rsid w:val="0061006E"/>
    <w:rsid w:val="00610652"/>
    <w:rsid w:val="0061106F"/>
    <w:rsid w:val="0061167E"/>
    <w:rsid w:val="006118A1"/>
    <w:rsid w:val="006119A4"/>
    <w:rsid w:val="00612017"/>
    <w:rsid w:val="00612586"/>
    <w:rsid w:val="0061277C"/>
    <w:rsid w:val="00612938"/>
    <w:rsid w:val="00613204"/>
    <w:rsid w:val="00613CC0"/>
    <w:rsid w:val="00613F4B"/>
    <w:rsid w:val="00615CEB"/>
    <w:rsid w:val="00616176"/>
    <w:rsid w:val="0061619F"/>
    <w:rsid w:val="00616551"/>
    <w:rsid w:val="0061675E"/>
    <w:rsid w:val="00617660"/>
    <w:rsid w:val="006225EA"/>
    <w:rsid w:val="006226BC"/>
    <w:rsid w:val="00622721"/>
    <w:rsid w:val="00622931"/>
    <w:rsid w:val="00622A1C"/>
    <w:rsid w:val="006231B6"/>
    <w:rsid w:val="0062343E"/>
    <w:rsid w:val="006241CB"/>
    <w:rsid w:val="0062443B"/>
    <w:rsid w:val="00624C07"/>
    <w:rsid w:val="006254C0"/>
    <w:rsid w:val="0062552E"/>
    <w:rsid w:val="00626430"/>
    <w:rsid w:val="0062645A"/>
    <w:rsid w:val="00626ABF"/>
    <w:rsid w:val="00626D11"/>
    <w:rsid w:val="006273D6"/>
    <w:rsid w:val="00630674"/>
    <w:rsid w:val="00630703"/>
    <w:rsid w:val="00630BA5"/>
    <w:rsid w:val="00630BDC"/>
    <w:rsid w:val="0063171E"/>
    <w:rsid w:val="00632381"/>
    <w:rsid w:val="006331FE"/>
    <w:rsid w:val="0063339C"/>
    <w:rsid w:val="0063448D"/>
    <w:rsid w:val="0063792A"/>
    <w:rsid w:val="006406F4"/>
    <w:rsid w:val="00640C92"/>
    <w:rsid w:val="00640D4A"/>
    <w:rsid w:val="006410ED"/>
    <w:rsid w:val="00641536"/>
    <w:rsid w:val="00641DDF"/>
    <w:rsid w:val="00641FFB"/>
    <w:rsid w:val="006427F9"/>
    <w:rsid w:val="00642814"/>
    <w:rsid w:val="00643451"/>
    <w:rsid w:val="006436E2"/>
    <w:rsid w:val="0064371E"/>
    <w:rsid w:val="00644946"/>
    <w:rsid w:val="0064517F"/>
    <w:rsid w:val="0064544A"/>
    <w:rsid w:val="00646549"/>
    <w:rsid w:val="00646B9B"/>
    <w:rsid w:val="00650ECE"/>
    <w:rsid w:val="00651DDC"/>
    <w:rsid w:val="00651F20"/>
    <w:rsid w:val="006524BB"/>
    <w:rsid w:val="006532DE"/>
    <w:rsid w:val="00654176"/>
    <w:rsid w:val="00654BCE"/>
    <w:rsid w:val="00654D5B"/>
    <w:rsid w:val="00654E7F"/>
    <w:rsid w:val="00655D96"/>
    <w:rsid w:val="00655DCA"/>
    <w:rsid w:val="00655FDA"/>
    <w:rsid w:val="006562E7"/>
    <w:rsid w:val="006563B1"/>
    <w:rsid w:val="0065676D"/>
    <w:rsid w:val="0065777F"/>
    <w:rsid w:val="00657A4F"/>
    <w:rsid w:val="00660D56"/>
    <w:rsid w:val="0066196F"/>
    <w:rsid w:val="00661A40"/>
    <w:rsid w:val="00661B06"/>
    <w:rsid w:val="00661C55"/>
    <w:rsid w:val="006621CA"/>
    <w:rsid w:val="006639D5"/>
    <w:rsid w:val="00663B48"/>
    <w:rsid w:val="0066446D"/>
    <w:rsid w:val="0066530D"/>
    <w:rsid w:val="00665B23"/>
    <w:rsid w:val="00666113"/>
    <w:rsid w:val="006668B3"/>
    <w:rsid w:val="0066693B"/>
    <w:rsid w:val="00666965"/>
    <w:rsid w:val="006672B9"/>
    <w:rsid w:val="006701EC"/>
    <w:rsid w:val="00670225"/>
    <w:rsid w:val="006708D0"/>
    <w:rsid w:val="006709FF"/>
    <w:rsid w:val="00673330"/>
    <w:rsid w:val="006736E5"/>
    <w:rsid w:val="006743B0"/>
    <w:rsid w:val="006743B2"/>
    <w:rsid w:val="0067471D"/>
    <w:rsid w:val="0067496E"/>
    <w:rsid w:val="00674DBA"/>
    <w:rsid w:val="006751FA"/>
    <w:rsid w:val="0067598A"/>
    <w:rsid w:val="00676249"/>
    <w:rsid w:val="00676934"/>
    <w:rsid w:val="00676BAA"/>
    <w:rsid w:val="00677D9F"/>
    <w:rsid w:val="00677F61"/>
    <w:rsid w:val="00677FBF"/>
    <w:rsid w:val="0068043F"/>
    <w:rsid w:val="00680FC0"/>
    <w:rsid w:val="006814DD"/>
    <w:rsid w:val="006819DC"/>
    <w:rsid w:val="0068338D"/>
    <w:rsid w:val="00683FA8"/>
    <w:rsid w:val="00684C44"/>
    <w:rsid w:val="00684CD4"/>
    <w:rsid w:val="0068505D"/>
    <w:rsid w:val="00685901"/>
    <w:rsid w:val="00685CE7"/>
    <w:rsid w:val="006868C9"/>
    <w:rsid w:val="006869C3"/>
    <w:rsid w:val="00686D7B"/>
    <w:rsid w:val="00686DEB"/>
    <w:rsid w:val="00687F19"/>
    <w:rsid w:val="006905B9"/>
    <w:rsid w:val="006906B5"/>
    <w:rsid w:val="006906BA"/>
    <w:rsid w:val="00690B9F"/>
    <w:rsid w:val="0069109A"/>
    <w:rsid w:val="0069122E"/>
    <w:rsid w:val="0069191B"/>
    <w:rsid w:val="00691DA8"/>
    <w:rsid w:val="00691EBA"/>
    <w:rsid w:val="00692DAF"/>
    <w:rsid w:val="00693B37"/>
    <w:rsid w:val="006940A9"/>
    <w:rsid w:val="00694C0B"/>
    <w:rsid w:val="006953AF"/>
    <w:rsid w:val="006960E6"/>
    <w:rsid w:val="00696CBC"/>
    <w:rsid w:val="00697B50"/>
    <w:rsid w:val="006A06C1"/>
    <w:rsid w:val="006A0D99"/>
    <w:rsid w:val="006A115F"/>
    <w:rsid w:val="006A21DB"/>
    <w:rsid w:val="006A27E6"/>
    <w:rsid w:val="006A2EFF"/>
    <w:rsid w:val="006A36EC"/>
    <w:rsid w:val="006A3F6F"/>
    <w:rsid w:val="006A45FC"/>
    <w:rsid w:val="006A4853"/>
    <w:rsid w:val="006A4AF1"/>
    <w:rsid w:val="006A52D7"/>
    <w:rsid w:val="006A5838"/>
    <w:rsid w:val="006A5F0E"/>
    <w:rsid w:val="006A697E"/>
    <w:rsid w:val="006A6C19"/>
    <w:rsid w:val="006A6D30"/>
    <w:rsid w:val="006A718A"/>
    <w:rsid w:val="006B0172"/>
    <w:rsid w:val="006B01DA"/>
    <w:rsid w:val="006B021E"/>
    <w:rsid w:val="006B076E"/>
    <w:rsid w:val="006B0822"/>
    <w:rsid w:val="006B0C9F"/>
    <w:rsid w:val="006B248A"/>
    <w:rsid w:val="006B2A29"/>
    <w:rsid w:val="006B33D0"/>
    <w:rsid w:val="006B3584"/>
    <w:rsid w:val="006B3A83"/>
    <w:rsid w:val="006B3EBB"/>
    <w:rsid w:val="006B3FCB"/>
    <w:rsid w:val="006B3FEA"/>
    <w:rsid w:val="006B4D15"/>
    <w:rsid w:val="006B5D3F"/>
    <w:rsid w:val="006B610D"/>
    <w:rsid w:val="006B6458"/>
    <w:rsid w:val="006B668C"/>
    <w:rsid w:val="006B6B44"/>
    <w:rsid w:val="006B6D7D"/>
    <w:rsid w:val="006B7DB6"/>
    <w:rsid w:val="006C1508"/>
    <w:rsid w:val="006C1919"/>
    <w:rsid w:val="006C1B48"/>
    <w:rsid w:val="006C2FF5"/>
    <w:rsid w:val="006C2FF7"/>
    <w:rsid w:val="006C3603"/>
    <w:rsid w:val="006C4C28"/>
    <w:rsid w:val="006C5B29"/>
    <w:rsid w:val="006C5D5C"/>
    <w:rsid w:val="006D0558"/>
    <w:rsid w:val="006D0641"/>
    <w:rsid w:val="006D0F62"/>
    <w:rsid w:val="006D11B5"/>
    <w:rsid w:val="006D1258"/>
    <w:rsid w:val="006D1CD8"/>
    <w:rsid w:val="006D329B"/>
    <w:rsid w:val="006D37BF"/>
    <w:rsid w:val="006D5328"/>
    <w:rsid w:val="006D5876"/>
    <w:rsid w:val="006D5E57"/>
    <w:rsid w:val="006D6220"/>
    <w:rsid w:val="006D633C"/>
    <w:rsid w:val="006D68EB"/>
    <w:rsid w:val="006E0407"/>
    <w:rsid w:val="006E04C3"/>
    <w:rsid w:val="006E0AC1"/>
    <w:rsid w:val="006E11BA"/>
    <w:rsid w:val="006E130E"/>
    <w:rsid w:val="006E1B68"/>
    <w:rsid w:val="006E20D0"/>
    <w:rsid w:val="006E229A"/>
    <w:rsid w:val="006E2616"/>
    <w:rsid w:val="006E2DB1"/>
    <w:rsid w:val="006E3A3F"/>
    <w:rsid w:val="006E455F"/>
    <w:rsid w:val="006E5274"/>
    <w:rsid w:val="006E54CA"/>
    <w:rsid w:val="006E62F4"/>
    <w:rsid w:val="006E6E0D"/>
    <w:rsid w:val="006E76B7"/>
    <w:rsid w:val="006F0686"/>
    <w:rsid w:val="006F1044"/>
    <w:rsid w:val="006F2E06"/>
    <w:rsid w:val="006F3133"/>
    <w:rsid w:val="006F4611"/>
    <w:rsid w:val="006F477D"/>
    <w:rsid w:val="006F49A9"/>
    <w:rsid w:val="006F4D7E"/>
    <w:rsid w:val="006F516A"/>
    <w:rsid w:val="006F58B2"/>
    <w:rsid w:val="006F5D93"/>
    <w:rsid w:val="006F662B"/>
    <w:rsid w:val="006F7107"/>
    <w:rsid w:val="006F7542"/>
    <w:rsid w:val="006F776E"/>
    <w:rsid w:val="006F7E69"/>
    <w:rsid w:val="00700D2B"/>
    <w:rsid w:val="00700F4D"/>
    <w:rsid w:val="00702932"/>
    <w:rsid w:val="00702A83"/>
    <w:rsid w:val="00702B02"/>
    <w:rsid w:val="00702E58"/>
    <w:rsid w:val="00703177"/>
    <w:rsid w:val="0070318F"/>
    <w:rsid w:val="0070370E"/>
    <w:rsid w:val="00703A52"/>
    <w:rsid w:val="00703F2F"/>
    <w:rsid w:val="00704018"/>
    <w:rsid w:val="007041E3"/>
    <w:rsid w:val="00704610"/>
    <w:rsid w:val="00704DF0"/>
    <w:rsid w:val="00705144"/>
    <w:rsid w:val="007058E3"/>
    <w:rsid w:val="00705EC5"/>
    <w:rsid w:val="0070704B"/>
    <w:rsid w:val="0070785B"/>
    <w:rsid w:val="00707BB2"/>
    <w:rsid w:val="0071005F"/>
    <w:rsid w:val="00710173"/>
    <w:rsid w:val="0071161E"/>
    <w:rsid w:val="00711CC9"/>
    <w:rsid w:val="0071264C"/>
    <w:rsid w:val="00712D84"/>
    <w:rsid w:val="00713306"/>
    <w:rsid w:val="00713DBF"/>
    <w:rsid w:val="00714BB3"/>
    <w:rsid w:val="00715123"/>
    <w:rsid w:val="00715FDB"/>
    <w:rsid w:val="00716C0E"/>
    <w:rsid w:val="0071755F"/>
    <w:rsid w:val="00717895"/>
    <w:rsid w:val="00717B9C"/>
    <w:rsid w:val="00717D20"/>
    <w:rsid w:val="007209E9"/>
    <w:rsid w:val="00720C1B"/>
    <w:rsid w:val="00721AFF"/>
    <w:rsid w:val="0072321C"/>
    <w:rsid w:val="007235C2"/>
    <w:rsid w:val="0072477E"/>
    <w:rsid w:val="00725840"/>
    <w:rsid w:val="007259F6"/>
    <w:rsid w:val="00726B62"/>
    <w:rsid w:val="0072713F"/>
    <w:rsid w:val="00727EC7"/>
    <w:rsid w:val="00730410"/>
    <w:rsid w:val="00731333"/>
    <w:rsid w:val="0073178F"/>
    <w:rsid w:val="00732286"/>
    <w:rsid w:val="0073279C"/>
    <w:rsid w:val="007339F6"/>
    <w:rsid w:val="00733E5D"/>
    <w:rsid w:val="0073408C"/>
    <w:rsid w:val="00734313"/>
    <w:rsid w:val="00734C98"/>
    <w:rsid w:val="00735702"/>
    <w:rsid w:val="00735779"/>
    <w:rsid w:val="007365DA"/>
    <w:rsid w:val="00736C30"/>
    <w:rsid w:val="00736DCA"/>
    <w:rsid w:val="007370EF"/>
    <w:rsid w:val="0073734A"/>
    <w:rsid w:val="0073785B"/>
    <w:rsid w:val="00737AD9"/>
    <w:rsid w:val="00737C3A"/>
    <w:rsid w:val="00737E0B"/>
    <w:rsid w:val="00740115"/>
    <w:rsid w:val="0074023E"/>
    <w:rsid w:val="00740F5B"/>
    <w:rsid w:val="00741E7F"/>
    <w:rsid w:val="00742122"/>
    <w:rsid w:val="00742C32"/>
    <w:rsid w:val="00742F45"/>
    <w:rsid w:val="00743415"/>
    <w:rsid w:val="00744062"/>
    <w:rsid w:val="0074442E"/>
    <w:rsid w:val="00744678"/>
    <w:rsid w:val="00745122"/>
    <w:rsid w:val="00745591"/>
    <w:rsid w:val="00747339"/>
    <w:rsid w:val="0074791F"/>
    <w:rsid w:val="0075075B"/>
    <w:rsid w:val="007517D4"/>
    <w:rsid w:val="00751A97"/>
    <w:rsid w:val="00751DE9"/>
    <w:rsid w:val="007530A0"/>
    <w:rsid w:val="007535AF"/>
    <w:rsid w:val="007537EF"/>
    <w:rsid w:val="00753A2F"/>
    <w:rsid w:val="00753AE0"/>
    <w:rsid w:val="0075550B"/>
    <w:rsid w:val="00760200"/>
    <w:rsid w:val="00760867"/>
    <w:rsid w:val="007614D0"/>
    <w:rsid w:val="00761E2D"/>
    <w:rsid w:val="0076303A"/>
    <w:rsid w:val="00763449"/>
    <w:rsid w:val="00763BE9"/>
    <w:rsid w:val="00763DE3"/>
    <w:rsid w:val="0076413C"/>
    <w:rsid w:val="00764C7C"/>
    <w:rsid w:val="00765942"/>
    <w:rsid w:val="00766807"/>
    <w:rsid w:val="00770CF1"/>
    <w:rsid w:val="00770F7B"/>
    <w:rsid w:val="00771E27"/>
    <w:rsid w:val="00771EB6"/>
    <w:rsid w:val="00771F8F"/>
    <w:rsid w:val="00772E84"/>
    <w:rsid w:val="007732CE"/>
    <w:rsid w:val="007734DE"/>
    <w:rsid w:val="007746EA"/>
    <w:rsid w:val="00774778"/>
    <w:rsid w:val="00775100"/>
    <w:rsid w:val="00775C5C"/>
    <w:rsid w:val="00776942"/>
    <w:rsid w:val="0077708F"/>
    <w:rsid w:val="0078046B"/>
    <w:rsid w:val="007816B8"/>
    <w:rsid w:val="00781BD0"/>
    <w:rsid w:val="0078353D"/>
    <w:rsid w:val="007839FF"/>
    <w:rsid w:val="00783E78"/>
    <w:rsid w:val="00784584"/>
    <w:rsid w:val="00784B58"/>
    <w:rsid w:val="00785413"/>
    <w:rsid w:val="0078542C"/>
    <w:rsid w:val="00785A57"/>
    <w:rsid w:val="00785BF0"/>
    <w:rsid w:val="00786555"/>
    <w:rsid w:val="00786AB2"/>
    <w:rsid w:val="00786BFC"/>
    <w:rsid w:val="00787CA7"/>
    <w:rsid w:val="0079042A"/>
    <w:rsid w:val="00791028"/>
    <w:rsid w:val="00791489"/>
    <w:rsid w:val="00791600"/>
    <w:rsid w:val="00792176"/>
    <w:rsid w:val="007925A7"/>
    <w:rsid w:val="00793331"/>
    <w:rsid w:val="0079334B"/>
    <w:rsid w:val="00793E2D"/>
    <w:rsid w:val="00794988"/>
    <w:rsid w:val="00795B4E"/>
    <w:rsid w:val="007963C0"/>
    <w:rsid w:val="00796E2C"/>
    <w:rsid w:val="007A11DE"/>
    <w:rsid w:val="007A1248"/>
    <w:rsid w:val="007A12A4"/>
    <w:rsid w:val="007A3088"/>
    <w:rsid w:val="007A3342"/>
    <w:rsid w:val="007A3628"/>
    <w:rsid w:val="007A3A4D"/>
    <w:rsid w:val="007A4563"/>
    <w:rsid w:val="007A4762"/>
    <w:rsid w:val="007A49B2"/>
    <w:rsid w:val="007A4AFC"/>
    <w:rsid w:val="007A4D82"/>
    <w:rsid w:val="007A55F2"/>
    <w:rsid w:val="007A65D1"/>
    <w:rsid w:val="007A6C7C"/>
    <w:rsid w:val="007A719C"/>
    <w:rsid w:val="007A775E"/>
    <w:rsid w:val="007A77E7"/>
    <w:rsid w:val="007A78B6"/>
    <w:rsid w:val="007A7B3C"/>
    <w:rsid w:val="007B020A"/>
    <w:rsid w:val="007B2DCF"/>
    <w:rsid w:val="007B2FFE"/>
    <w:rsid w:val="007B3664"/>
    <w:rsid w:val="007B3AB6"/>
    <w:rsid w:val="007B5B7F"/>
    <w:rsid w:val="007B5FE1"/>
    <w:rsid w:val="007B600C"/>
    <w:rsid w:val="007B675B"/>
    <w:rsid w:val="007B6C47"/>
    <w:rsid w:val="007B75C6"/>
    <w:rsid w:val="007B7B70"/>
    <w:rsid w:val="007B7BFA"/>
    <w:rsid w:val="007C0AB6"/>
    <w:rsid w:val="007C2B7D"/>
    <w:rsid w:val="007C36FB"/>
    <w:rsid w:val="007C3BA6"/>
    <w:rsid w:val="007C5AD5"/>
    <w:rsid w:val="007C5D06"/>
    <w:rsid w:val="007C60D2"/>
    <w:rsid w:val="007C7C5E"/>
    <w:rsid w:val="007D0636"/>
    <w:rsid w:val="007D077D"/>
    <w:rsid w:val="007D0B35"/>
    <w:rsid w:val="007D1030"/>
    <w:rsid w:val="007D1960"/>
    <w:rsid w:val="007D1A39"/>
    <w:rsid w:val="007D1E4D"/>
    <w:rsid w:val="007D1F81"/>
    <w:rsid w:val="007D29B2"/>
    <w:rsid w:val="007D2CD4"/>
    <w:rsid w:val="007D2DDC"/>
    <w:rsid w:val="007D3AFE"/>
    <w:rsid w:val="007D3CBF"/>
    <w:rsid w:val="007D3E5A"/>
    <w:rsid w:val="007D3F4C"/>
    <w:rsid w:val="007D41EF"/>
    <w:rsid w:val="007D4414"/>
    <w:rsid w:val="007D5348"/>
    <w:rsid w:val="007D582E"/>
    <w:rsid w:val="007D5D22"/>
    <w:rsid w:val="007D5EB0"/>
    <w:rsid w:val="007D6431"/>
    <w:rsid w:val="007D7623"/>
    <w:rsid w:val="007D7775"/>
    <w:rsid w:val="007E10E5"/>
    <w:rsid w:val="007E2D85"/>
    <w:rsid w:val="007E2D89"/>
    <w:rsid w:val="007E3B54"/>
    <w:rsid w:val="007E3B68"/>
    <w:rsid w:val="007E51B3"/>
    <w:rsid w:val="007E57F1"/>
    <w:rsid w:val="007E658D"/>
    <w:rsid w:val="007E6680"/>
    <w:rsid w:val="007E6848"/>
    <w:rsid w:val="007F0167"/>
    <w:rsid w:val="007F0335"/>
    <w:rsid w:val="007F05F7"/>
    <w:rsid w:val="007F0603"/>
    <w:rsid w:val="007F0841"/>
    <w:rsid w:val="007F0D37"/>
    <w:rsid w:val="007F1CE1"/>
    <w:rsid w:val="007F1EA1"/>
    <w:rsid w:val="007F2096"/>
    <w:rsid w:val="007F27DC"/>
    <w:rsid w:val="007F2AEE"/>
    <w:rsid w:val="007F2BCD"/>
    <w:rsid w:val="007F2C01"/>
    <w:rsid w:val="007F4AFB"/>
    <w:rsid w:val="007F54CE"/>
    <w:rsid w:val="007F73FA"/>
    <w:rsid w:val="0080089F"/>
    <w:rsid w:val="008012E0"/>
    <w:rsid w:val="0080161F"/>
    <w:rsid w:val="00802267"/>
    <w:rsid w:val="008027FB"/>
    <w:rsid w:val="008030F7"/>
    <w:rsid w:val="00803FC9"/>
    <w:rsid w:val="0080412E"/>
    <w:rsid w:val="0080414A"/>
    <w:rsid w:val="00804236"/>
    <w:rsid w:val="008046F6"/>
    <w:rsid w:val="00804C87"/>
    <w:rsid w:val="00804F40"/>
    <w:rsid w:val="008052DA"/>
    <w:rsid w:val="00805460"/>
    <w:rsid w:val="008059BC"/>
    <w:rsid w:val="00805B5A"/>
    <w:rsid w:val="00805C2A"/>
    <w:rsid w:val="0080706D"/>
    <w:rsid w:val="008073A2"/>
    <w:rsid w:val="00807DD0"/>
    <w:rsid w:val="00810685"/>
    <w:rsid w:val="00810C64"/>
    <w:rsid w:val="00810D03"/>
    <w:rsid w:val="00811BBE"/>
    <w:rsid w:val="008124B9"/>
    <w:rsid w:val="008125CD"/>
    <w:rsid w:val="008131A3"/>
    <w:rsid w:val="008131AF"/>
    <w:rsid w:val="00815560"/>
    <w:rsid w:val="00816642"/>
    <w:rsid w:val="008167E0"/>
    <w:rsid w:val="00816AA7"/>
    <w:rsid w:val="00817274"/>
    <w:rsid w:val="00817B9C"/>
    <w:rsid w:val="008205EE"/>
    <w:rsid w:val="00820815"/>
    <w:rsid w:val="00820C69"/>
    <w:rsid w:val="008214CD"/>
    <w:rsid w:val="00821878"/>
    <w:rsid w:val="008232E4"/>
    <w:rsid w:val="008238B7"/>
    <w:rsid w:val="00823EFA"/>
    <w:rsid w:val="008256FF"/>
    <w:rsid w:val="00825989"/>
    <w:rsid w:val="00825DDA"/>
    <w:rsid w:val="0082679A"/>
    <w:rsid w:val="00826E10"/>
    <w:rsid w:val="00827099"/>
    <w:rsid w:val="008273A5"/>
    <w:rsid w:val="0083039D"/>
    <w:rsid w:val="008312FD"/>
    <w:rsid w:val="00831733"/>
    <w:rsid w:val="008328A2"/>
    <w:rsid w:val="00833609"/>
    <w:rsid w:val="0083424A"/>
    <w:rsid w:val="008347D2"/>
    <w:rsid w:val="00834E3B"/>
    <w:rsid w:val="008352AD"/>
    <w:rsid w:val="00835ED3"/>
    <w:rsid w:val="008362D3"/>
    <w:rsid w:val="0083632D"/>
    <w:rsid w:val="00836C6F"/>
    <w:rsid w:val="008405BB"/>
    <w:rsid w:val="0084190E"/>
    <w:rsid w:val="00841F98"/>
    <w:rsid w:val="008427EA"/>
    <w:rsid w:val="0084297E"/>
    <w:rsid w:val="00842D90"/>
    <w:rsid w:val="008437FF"/>
    <w:rsid w:val="008458B8"/>
    <w:rsid w:val="008463CB"/>
    <w:rsid w:val="008469D9"/>
    <w:rsid w:val="00846BD1"/>
    <w:rsid w:val="008471A1"/>
    <w:rsid w:val="00847513"/>
    <w:rsid w:val="00847809"/>
    <w:rsid w:val="00847911"/>
    <w:rsid w:val="00850025"/>
    <w:rsid w:val="0085003E"/>
    <w:rsid w:val="00850AB1"/>
    <w:rsid w:val="00850BA5"/>
    <w:rsid w:val="00850E06"/>
    <w:rsid w:val="00851682"/>
    <w:rsid w:val="00851A8B"/>
    <w:rsid w:val="00851D14"/>
    <w:rsid w:val="0085410A"/>
    <w:rsid w:val="00854180"/>
    <w:rsid w:val="0085433B"/>
    <w:rsid w:val="00854AF8"/>
    <w:rsid w:val="00855590"/>
    <w:rsid w:val="008558C8"/>
    <w:rsid w:val="00856175"/>
    <w:rsid w:val="008565F3"/>
    <w:rsid w:val="008573CF"/>
    <w:rsid w:val="00860C76"/>
    <w:rsid w:val="00860DC3"/>
    <w:rsid w:val="00860F5C"/>
    <w:rsid w:val="00861D88"/>
    <w:rsid w:val="00861D9E"/>
    <w:rsid w:val="00861F15"/>
    <w:rsid w:val="00862079"/>
    <w:rsid w:val="0086221E"/>
    <w:rsid w:val="00862689"/>
    <w:rsid w:val="00862EC8"/>
    <w:rsid w:val="0086372E"/>
    <w:rsid w:val="008640AF"/>
    <w:rsid w:val="0086551F"/>
    <w:rsid w:val="008655B4"/>
    <w:rsid w:val="008659C5"/>
    <w:rsid w:val="00865C05"/>
    <w:rsid w:val="008662B5"/>
    <w:rsid w:val="00867730"/>
    <w:rsid w:val="008678D9"/>
    <w:rsid w:val="00870180"/>
    <w:rsid w:val="008705A2"/>
    <w:rsid w:val="008706B7"/>
    <w:rsid w:val="00871087"/>
    <w:rsid w:val="0087117A"/>
    <w:rsid w:val="00871232"/>
    <w:rsid w:val="00872264"/>
    <w:rsid w:val="00872337"/>
    <w:rsid w:val="008725E2"/>
    <w:rsid w:val="00872EB6"/>
    <w:rsid w:val="00873314"/>
    <w:rsid w:val="00873C5D"/>
    <w:rsid w:val="0087437D"/>
    <w:rsid w:val="00875051"/>
    <w:rsid w:val="0087780E"/>
    <w:rsid w:val="00877B1C"/>
    <w:rsid w:val="00877C7D"/>
    <w:rsid w:val="008802EA"/>
    <w:rsid w:val="00881814"/>
    <w:rsid w:val="00881B02"/>
    <w:rsid w:val="00882580"/>
    <w:rsid w:val="00882A63"/>
    <w:rsid w:val="00882E86"/>
    <w:rsid w:val="008845C5"/>
    <w:rsid w:val="00884E4C"/>
    <w:rsid w:val="00885DEA"/>
    <w:rsid w:val="00885FB7"/>
    <w:rsid w:val="008863DD"/>
    <w:rsid w:val="0088770A"/>
    <w:rsid w:val="0088791D"/>
    <w:rsid w:val="00887E0A"/>
    <w:rsid w:val="00890D63"/>
    <w:rsid w:val="00890FD5"/>
    <w:rsid w:val="0089501B"/>
    <w:rsid w:val="00895027"/>
    <w:rsid w:val="00896ACD"/>
    <w:rsid w:val="00897D5C"/>
    <w:rsid w:val="008A0125"/>
    <w:rsid w:val="008A03C1"/>
    <w:rsid w:val="008A12FF"/>
    <w:rsid w:val="008A1AF3"/>
    <w:rsid w:val="008A1BD4"/>
    <w:rsid w:val="008A1E6D"/>
    <w:rsid w:val="008A21BE"/>
    <w:rsid w:val="008A25EB"/>
    <w:rsid w:val="008A261E"/>
    <w:rsid w:val="008A2DF8"/>
    <w:rsid w:val="008A2F4E"/>
    <w:rsid w:val="008A33ED"/>
    <w:rsid w:val="008A3455"/>
    <w:rsid w:val="008A413A"/>
    <w:rsid w:val="008A4411"/>
    <w:rsid w:val="008A4B33"/>
    <w:rsid w:val="008A4E59"/>
    <w:rsid w:val="008A50FC"/>
    <w:rsid w:val="008A5194"/>
    <w:rsid w:val="008A553B"/>
    <w:rsid w:val="008A6035"/>
    <w:rsid w:val="008A65F8"/>
    <w:rsid w:val="008A6EEA"/>
    <w:rsid w:val="008A6F38"/>
    <w:rsid w:val="008A6FE6"/>
    <w:rsid w:val="008B013D"/>
    <w:rsid w:val="008B0964"/>
    <w:rsid w:val="008B0CAA"/>
    <w:rsid w:val="008B10DB"/>
    <w:rsid w:val="008B152C"/>
    <w:rsid w:val="008B156C"/>
    <w:rsid w:val="008B2D70"/>
    <w:rsid w:val="008B3421"/>
    <w:rsid w:val="008B39C7"/>
    <w:rsid w:val="008B4CEB"/>
    <w:rsid w:val="008B516D"/>
    <w:rsid w:val="008B5BEE"/>
    <w:rsid w:val="008B5E4B"/>
    <w:rsid w:val="008B6818"/>
    <w:rsid w:val="008B71FA"/>
    <w:rsid w:val="008C160E"/>
    <w:rsid w:val="008C1901"/>
    <w:rsid w:val="008C2351"/>
    <w:rsid w:val="008C2447"/>
    <w:rsid w:val="008C34C5"/>
    <w:rsid w:val="008C457E"/>
    <w:rsid w:val="008C4B17"/>
    <w:rsid w:val="008C4C62"/>
    <w:rsid w:val="008C6217"/>
    <w:rsid w:val="008C6B29"/>
    <w:rsid w:val="008C7A9D"/>
    <w:rsid w:val="008D0470"/>
    <w:rsid w:val="008D119F"/>
    <w:rsid w:val="008D1CC7"/>
    <w:rsid w:val="008D20C7"/>
    <w:rsid w:val="008D2C13"/>
    <w:rsid w:val="008D37CE"/>
    <w:rsid w:val="008D404C"/>
    <w:rsid w:val="008D41D9"/>
    <w:rsid w:val="008D437B"/>
    <w:rsid w:val="008D463C"/>
    <w:rsid w:val="008D4687"/>
    <w:rsid w:val="008D58F7"/>
    <w:rsid w:val="008D611B"/>
    <w:rsid w:val="008D6E4B"/>
    <w:rsid w:val="008D7D0B"/>
    <w:rsid w:val="008E0DA7"/>
    <w:rsid w:val="008E11DC"/>
    <w:rsid w:val="008E1652"/>
    <w:rsid w:val="008E236F"/>
    <w:rsid w:val="008E2632"/>
    <w:rsid w:val="008E4815"/>
    <w:rsid w:val="008E5CCA"/>
    <w:rsid w:val="008E5FF4"/>
    <w:rsid w:val="008E60E6"/>
    <w:rsid w:val="008E6317"/>
    <w:rsid w:val="008E6689"/>
    <w:rsid w:val="008E7D1D"/>
    <w:rsid w:val="008F0557"/>
    <w:rsid w:val="008F11AB"/>
    <w:rsid w:val="008F15FE"/>
    <w:rsid w:val="008F1C27"/>
    <w:rsid w:val="008F2ACA"/>
    <w:rsid w:val="008F3109"/>
    <w:rsid w:val="008F443F"/>
    <w:rsid w:val="008F4822"/>
    <w:rsid w:val="008F4D4F"/>
    <w:rsid w:val="008F4E15"/>
    <w:rsid w:val="008F54D6"/>
    <w:rsid w:val="008F5A42"/>
    <w:rsid w:val="008F5D92"/>
    <w:rsid w:val="008F5F5E"/>
    <w:rsid w:val="008F6503"/>
    <w:rsid w:val="008F67E0"/>
    <w:rsid w:val="008F6889"/>
    <w:rsid w:val="008F69C9"/>
    <w:rsid w:val="00900890"/>
    <w:rsid w:val="00900A3A"/>
    <w:rsid w:val="00900C15"/>
    <w:rsid w:val="00900FCA"/>
    <w:rsid w:val="00901741"/>
    <w:rsid w:val="00901881"/>
    <w:rsid w:val="009027C4"/>
    <w:rsid w:val="009028F0"/>
    <w:rsid w:val="009036FA"/>
    <w:rsid w:val="00903F9A"/>
    <w:rsid w:val="00904286"/>
    <w:rsid w:val="00904384"/>
    <w:rsid w:val="00905509"/>
    <w:rsid w:val="009056B6"/>
    <w:rsid w:val="009059C8"/>
    <w:rsid w:val="00905DB0"/>
    <w:rsid w:val="00906958"/>
    <w:rsid w:val="00907054"/>
    <w:rsid w:val="009075A7"/>
    <w:rsid w:val="009100B4"/>
    <w:rsid w:val="009109AA"/>
    <w:rsid w:val="00910A9E"/>
    <w:rsid w:val="00910EE8"/>
    <w:rsid w:val="00911782"/>
    <w:rsid w:val="00911A9E"/>
    <w:rsid w:val="00912281"/>
    <w:rsid w:val="0091235C"/>
    <w:rsid w:val="0091253A"/>
    <w:rsid w:val="009138A6"/>
    <w:rsid w:val="0091455C"/>
    <w:rsid w:val="0091469F"/>
    <w:rsid w:val="0091571D"/>
    <w:rsid w:val="00916500"/>
    <w:rsid w:val="00916A0D"/>
    <w:rsid w:val="00916DE3"/>
    <w:rsid w:val="009178A9"/>
    <w:rsid w:val="00917913"/>
    <w:rsid w:val="00917984"/>
    <w:rsid w:val="00917A48"/>
    <w:rsid w:val="00917AC5"/>
    <w:rsid w:val="009218BD"/>
    <w:rsid w:val="009219B4"/>
    <w:rsid w:val="009220D7"/>
    <w:rsid w:val="009224EC"/>
    <w:rsid w:val="00922CDB"/>
    <w:rsid w:val="00923280"/>
    <w:rsid w:val="00923633"/>
    <w:rsid w:val="00923EEA"/>
    <w:rsid w:val="00924C11"/>
    <w:rsid w:val="00925072"/>
    <w:rsid w:val="00925947"/>
    <w:rsid w:val="009262D9"/>
    <w:rsid w:val="009266C2"/>
    <w:rsid w:val="00926D58"/>
    <w:rsid w:val="00927E4D"/>
    <w:rsid w:val="009302F5"/>
    <w:rsid w:val="00931398"/>
    <w:rsid w:val="00931F8E"/>
    <w:rsid w:val="00932026"/>
    <w:rsid w:val="0093226D"/>
    <w:rsid w:val="00933161"/>
    <w:rsid w:val="00933420"/>
    <w:rsid w:val="009340D1"/>
    <w:rsid w:val="009353E9"/>
    <w:rsid w:val="009368F6"/>
    <w:rsid w:val="00937116"/>
    <w:rsid w:val="0093735E"/>
    <w:rsid w:val="009379C8"/>
    <w:rsid w:val="00937BB9"/>
    <w:rsid w:val="00937E0D"/>
    <w:rsid w:val="009401EC"/>
    <w:rsid w:val="009412CC"/>
    <w:rsid w:val="00941679"/>
    <w:rsid w:val="00941867"/>
    <w:rsid w:val="00942059"/>
    <w:rsid w:val="00942678"/>
    <w:rsid w:val="009434C0"/>
    <w:rsid w:val="009435DE"/>
    <w:rsid w:val="009435EF"/>
    <w:rsid w:val="00943B09"/>
    <w:rsid w:val="00943C2B"/>
    <w:rsid w:val="00944935"/>
    <w:rsid w:val="00946416"/>
    <w:rsid w:val="00947361"/>
    <w:rsid w:val="0095049F"/>
    <w:rsid w:val="00950D43"/>
    <w:rsid w:val="00950E3F"/>
    <w:rsid w:val="009514E2"/>
    <w:rsid w:val="00953B85"/>
    <w:rsid w:val="009547A1"/>
    <w:rsid w:val="0095504D"/>
    <w:rsid w:val="00955071"/>
    <w:rsid w:val="00955632"/>
    <w:rsid w:val="0095609C"/>
    <w:rsid w:val="009574E6"/>
    <w:rsid w:val="0095762C"/>
    <w:rsid w:val="00960280"/>
    <w:rsid w:val="0096078F"/>
    <w:rsid w:val="00961D0B"/>
    <w:rsid w:val="0096309F"/>
    <w:rsid w:val="0096310E"/>
    <w:rsid w:val="009633DC"/>
    <w:rsid w:val="0096456F"/>
    <w:rsid w:val="00964BB3"/>
    <w:rsid w:val="00965557"/>
    <w:rsid w:val="00965EA9"/>
    <w:rsid w:val="00967902"/>
    <w:rsid w:val="009679AC"/>
    <w:rsid w:val="0097037C"/>
    <w:rsid w:val="00970734"/>
    <w:rsid w:val="00972297"/>
    <w:rsid w:val="00972C2E"/>
    <w:rsid w:val="0097492E"/>
    <w:rsid w:val="00974C75"/>
    <w:rsid w:val="009754C0"/>
    <w:rsid w:val="00975955"/>
    <w:rsid w:val="00975F79"/>
    <w:rsid w:val="009768E2"/>
    <w:rsid w:val="00976BB4"/>
    <w:rsid w:val="00977E24"/>
    <w:rsid w:val="00980C94"/>
    <w:rsid w:val="00981808"/>
    <w:rsid w:val="00981C60"/>
    <w:rsid w:val="00984D1E"/>
    <w:rsid w:val="00985168"/>
    <w:rsid w:val="0098563E"/>
    <w:rsid w:val="00985FA6"/>
    <w:rsid w:val="00986278"/>
    <w:rsid w:val="00986AB9"/>
    <w:rsid w:val="00986DA5"/>
    <w:rsid w:val="009879E5"/>
    <w:rsid w:val="00987B2D"/>
    <w:rsid w:val="00987CE8"/>
    <w:rsid w:val="0099006C"/>
    <w:rsid w:val="009906DC"/>
    <w:rsid w:val="00990C23"/>
    <w:rsid w:val="009911F9"/>
    <w:rsid w:val="0099128A"/>
    <w:rsid w:val="00992886"/>
    <w:rsid w:val="00992E6C"/>
    <w:rsid w:val="00993005"/>
    <w:rsid w:val="009938CB"/>
    <w:rsid w:val="00993C14"/>
    <w:rsid w:val="009949BD"/>
    <w:rsid w:val="00995331"/>
    <w:rsid w:val="0099654E"/>
    <w:rsid w:val="00996A82"/>
    <w:rsid w:val="00997FFA"/>
    <w:rsid w:val="009A01F0"/>
    <w:rsid w:val="009A04E2"/>
    <w:rsid w:val="009A0961"/>
    <w:rsid w:val="009A0A4C"/>
    <w:rsid w:val="009A0C96"/>
    <w:rsid w:val="009A0E6E"/>
    <w:rsid w:val="009A39DC"/>
    <w:rsid w:val="009A4210"/>
    <w:rsid w:val="009A4BBD"/>
    <w:rsid w:val="009A4DE0"/>
    <w:rsid w:val="009A4E12"/>
    <w:rsid w:val="009A5089"/>
    <w:rsid w:val="009A5447"/>
    <w:rsid w:val="009A62F8"/>
    <w:rsid w:val="009A6475"/>
    <w:rsid w:val="009A6646"/>
    <w:rsid w:val="009A66BF"/>
    <w:rsid w:val="009A721F"/>
    <w:rsid w:val="009A786D"/>
    <w:rsid w:val="009B05C0"/>
    <w:rsid w:val="009B0947"/>
    <w:rsid w:val="009B0A5F"/>
    <w:rsid w:val="009B1D37"/>
    <w:rsid w:val="009B1FBD"/>
    <w:rsid w:val="009B2202"/>
    <w:rsid w:val="009B2EA0"/>
    <w:rsid w:val="009B30C5"/>
    <w:rsid w:val="009B3B88"/>
    <w:rsid w:val="009B4259"/>
    <w:rsid w:val="009B50CE"/>
    <w:rsid w:val="009B5FB3"/>
    <w:rsid w:val="009B676F"/>
    <w:rsid w:val="009B691C"/>
    <w:rsid w:val="009B7950"/>
    <w:rsid w:val="009B7FED"/>
    <w:rsid w:val="009C06EE"/>
    <w:rsid w:val="009C0857"/>
    <w:rsid w:val="009C0957"/>
    <w:rsid w:val="009C19FF"/>
    <w:rsid w:val="009C1F8B"/>
    <w:rsid w:val="009C2FE8"/>
    <w:rsid w:val="009C3064"/>
    <w:rsid w:val="009C340B"/>
    <w:rsid w:val="009C36A9"/>
    <w:rsid w:val="009C3751"/>
    <w:rsid w:val="009C3D37"/>
    <w:rsid w:val="009C3E7C"/>
    <w:rsid w:val="009C45A5"/>
    <w:rsid w:val="009C4722"/>
    <w:rsid w:val="009C4D52"/>
    <w:rsid w:val="009C515A"/>
    <w:rsid w:val="009C516C"/>
    <w:rsid w:val="009C676A"/>
    <w:rsid w:val="009C7076"/>
    <w:rsid w:val="009C798C"/>
    <w:rsid w:val="009C7B10"/>
    <w:rsid w:val="009C7D60"/>
    <w:rsid w:val="009C7E43"/>
    <w:rsid w:val="009C7EC2"/>
    <w:rsid w:val="009D0025"/>
    <w:rsid w:val="009D002B"/>
    <w:rsid w:val="009D0A0D"/>
    <w:rsid w:val="009D20D1"/>
    <w:rsid w:val="009D2629"/>
    <w:rsid w:val="009D295D"/>
    <w:rsid w:val="009D2CB0"/>
    <w:rsid w:val="009D2CCB"/>
    <w:rsid w:val="009D33BD"/>
    <w:rsid w:val="009D4179"/>
    <w:rsid w:val="009D539D"/>
    <w:rsid w:val="009D53A2"/>
    <w:rsid w:val="009D5640"/>
    <w:rsid w:val="009D59B8"/>
    <w:rsid w:val="009D7D70"/>
    <w:rsid w:val="009E01EC"/>
    <w:rsid w:val="009E0319"/>
    <w:rsid w:val="009E1D66"/>
    <w:rsid w:val="009E4015"/>
    <w:rsid w:val="009E482F"/>
    <w:rsid w:val="009E5C17"/>
    <w:rsid w:val="009E5E05"/>
    <w:rsid w:val="009E68C9"/>
    <w:rsid w:val="009E6BD8"/>
    <w:rsid w:val="009E6E52"/>
    <w:rsid w:val="009E74C3"/>
    <w:rsid w:val="009E75E5"/>
    <w:rsid w:val="009F0FF0"/>
    <w:rsid w:val="009F1698"/>
    <w:rsid w:val="009F2869"/>
    <w:rsid w:val="009F31FF"/>
    <w:rsid w:val="009F3966"/>
    <w:rsid w:val="009F3C53"/>
    <w:rsid w:val="009F4847"/>
    <w:rsid w:val="009F5055"/>
    <w:rsid w:val="009F526F"/>
    <w:rsid w:val="009F750C"/>
    <w:rsid w:val="009F7C6B"/>
    <w:rsid w:val="009F7EA4"/>
    <w:rsid w:val="00A00BA9"/>
    <w:rsid w:val="00A017EC"/>
    <w:rsid w:val="00A01EEC"/>
    <w:rsid w:val="00A02272"/>
    <w:rsid w:val="00A02AAE"/>
    <w:rsid w:val="00A02FA7"/>
    <w:rsid w:val="00A03B82"/>
    <w:rsid w:val="00A03D02"/>
    <w:rsid w:val="00A0489A"/>
    <w:rsid w:val="00A04AD6"/>
    <w:rsid w:val="00A04C98"/>
    <w:rsid w:val="00A058F1"/>
    <w:rsid w:val="00A063BD"/>
    <w:rsid w:val="00A06887"/>
    <w:rsid w:val="00A102DE"/>
    <w:rsid w:val="00A1052F"/>
    <w:rsid w:val="00A11CAA"/>
    <w:rsid w:val="00A1217A"/>
    <w:rsid w:val="00A12929"/>
    <w:rsid w:val="00A138BD"/>
    <w:rsid w:val="00A13E50"/>
    <w:rsid w:val="00A13FDE"/>
    <w:rsid w:val="00A1418E"/>
    <w:rsid w:val="00A14911"/>
    <w:rsid w:val="00A15249"/>
    <w:rsid w:val="00A153FB"/>
    <w:rsid w:val="00A16780"/>
    <w:rsid w:val="00A16D76"/>
    <w:rsid w:val="00A16E99"/>
    <w:rsid w:val="00A174AB"/>
    <w:rsid w:val="00A21584"/>
    <w:rsid w:val="00A23238"/>
    <w:rsid w:val="00A2355D"/>
    <w:rsid w:val="00A24154"/>
    <w:rsid w:val="00A2481B"/>
    <w:rsid w:val="00A24B92"/>
    <w:rsid w:val="00A24D3D"/>
    <w:rsid w:val="00A25552"/>
    <w:rsid w:val="00A25593"/>
    <w:rsid w:val="00A25BD9"/>
    <w:rsid w:val="00A25E81"/>
    <w:rsid w:val="00A260CD"/>
    <w:rsid w:val="00A26406"/>
    <w:rsid w:val="00A26A04"/>
    <w:rsid w:val="00A26B4F"/>
    <w:rsid w:val="00A27820"/>
    <w:rsid w:val="00A27BCB"/>
    <w:rsid w:val="00A27D89"/>
    <w:rsid w:val="00A30517"/>
    <w:rsid w:val="00A309B0"/>
    <w:rsid w:val="00A31EAA"/>
    <w:rsid w:val="00A32107"/>
    <w:rsid w:val="00A32EE1"/>
    <w:rsid w:val="00A3476E"/>
    <w:rsid w:val="00A34C0F"/>
    <w:rsid w:val="00A34E81"/>
    <w:rsid w:val="00A3531C"/>
    <w:rsid w:val="00A353D2"/>
    <w:rsid w:val="00A3586B"/>
    <w:rsid w:val="00A3672A"/>
    <w:rsid w:val="00A36A10"/>
    <w:rsid w:val="00A40380"/>
    <w:rsid w:val="00A41657"/>
    <w:rsid w:val="00A41C09"/>
    <w:rsid w:val="00A43170"/>
    <w:rsid w:val="00A43BA8"/>
    <w:rsid w:val="00A45795"/>
    <w:rsid w:val="00A47288"/>
    <w:rsid w:val="00A47C5C"/>
    <w:rsid w:val="00A47D05"/>
    <w:rsid w:val="00A502B8"/>
    <w:rsid w:val="00A514A1"/>
    <w:rsid w:val="00A51F42"/>
    <w:rsid w:val="00A524EC"/>
    <w:rsid w:val="00A5266B"/>
    <w:rsid w:val="00A52A10"/>
    <w:rsid w:val="00A52AE7"/>
    <w:rsid w:val="00A52C9E"/>
    <w:rsid w:val="00A52EF9"/>
    <w:rsid w:val="00A541A1"/>
    <w:rsid w:val="00A546CC"/>
    <w:rsid w:val="00A55126"/>
    <w:rsid w:val="00A56015"/>
    <w:rsid w:val="00A56479"/>
    <w:rsid w:val="00A56C8B"/>
    <w:rsid w:val="00A57B8D"/>
    <w:rsid w:val="00A57DD0"/>
    <w:rsid w:val="00A602FB"/>
    <w:rsid w:val="00A606B2"/>
    <w:rsid w:val="00A60E36"/>
    <w:rsid w:val="00A61377"/>
    <w:rsid w:val="00A614C6"/>
    <w:rsid w:val="00A61CF6"/>
    <w:rsid w:val="00A6207F"/>
    <w:rsid w:val="00A623FC"/>
    <w:rsid w:val="00A627B5"/>
    <w:rsid w:val="00A62CAC"/>
    <w:rsid w:val="00A63313"/>
    <w:rsid w:val="00A66193"/>
    <w:rsid w:val="00A6676D"/>
    <w:rsid w:val="00A66A49"/>
    <w:rsid w:val="00A679F2"/>
    <w:rsid w:val="00A70490"/>
    <w:rsid w:val="00A7091A"/>
    <w:rsid w:val="00A71AC6"/>
    <w:rsid w:val="00A71FA7"/>
    <w:rsid w:val="00A724D1"/>
    <w:rsid w:val="00A724DC"/>
    <w:rsid w:val="00A73E21"/>
    <w:rsid w:val="00A74204"/>
    <w:rsid w:val="00A7421E"/>
    <w:rsid w:val="00A75094"/>
    <w:rsid w:val="00A756BC"/>
    <w:rsid w:val="00A756F0"/>
    <w:rsid w:val="00A75DA1"/>
    <w:rsid w:val="00A75F38"/>
    <w:rsid w:val="00A76CD1"/>
    <w:rsid w:val="00A77F9C"/>
    <w:rsid w:val="00A8000E"/>
    <w:rsid w:val="00A8080A"/>
    <w:rsid w:val="00A80904"/>
    <w:rsid w:val="00A810C7"/>
    <w:rsid w:val="00A8219A"/>
    <w:rsid w:val="00A82E96"/>
    <w:rsid w:val="00A8321B"/>
    <w:rsid w:val="00A8379D"/>
    <w:rsid w:val="00A83865"/>
    <w:rsid w:val="00A83930"/>
    <w:rsid w:val="00A83DE6"/>
    <w:rsid w:val="00A844D1"/>
    <w:rsid w:val="00A84ACE"/>
    <w:rsid w:val="00A85158"/>
    <w:rsid w:val="00A85CE5"/>
    <w:rsid w:val="00A86221"/>
    <w:rsid w:val="00A862BC"/>
    <w:rsid w:val="00A86362"/>
    <w:rsid w:val="00A86434"/>
    <w:rsid w:val="00A86E35"/>
    <w:rsid w:val="00A906B6"/>
    <w:rsid w:val="00A91118"/>
    <w:rsid w:val="00A914F1"/>
    <w:rsid w:val="00A91AC0"/>
    <w:rsid w:val="00A92201"/>
    <w:rsid w:val="00A92C5F"/>
    <w:rsid w:val="00A93FBC"/>
    <w:rsid w:val="00A943C6"/>
    <w:rsid w:val="00A948BF"/>
    <w:rsid w:val="00A9529C"/>
    <w:rsid w:val="00A9560F"/>
    <w:rsid w:val="00A95A02"/>
    <w:rsid w:val="00A96234"/>
    <w:rsid w:val="00A964A2"/>
    <w:rsid w:val="00A96FB7"/>
    <w:rsid w:val="00A97352"/>
    <w:rsid w:val="00A974DD"/>
    <w:rsid w:val="00A97F1E"/>
    <w:rsid w:val="00AA02F0"/>
    <w:rsid w:val="00AA0ECB"/>
    <w:rsid w:val="00AA1325"/>
    <w:rsid w:val="00AA149A"/>
    <w:rsid w:val="00AA1C97"/>
    <w:rsid w:val="00AA1F2D"/>
    <w:rsid w:val="00AA23F4"/>
    <w:rsid w:val="00AA2530"/>
    <w:rsid w:val="00AA27FB"/>
    <w:rsid w:val="00AA413F"/>
    <w:rsid w:val="00AA4762"/>
    <w:rsid w:val="00AA6543"/>
    <w:rsid w:val="00AA6DB0"/>
    <w:rsid w:val="00AA7275"/>
    <w:rsid w:val="00AA7425"/>
    <w:rsid w:val="00AA7538"/>
    <w:rsid w:val="00AA7696"/>
    <w:rsid w:val="00AA793B"/>
    <w:rsid w:val="00AA7C4B"/>
    <w:rsid w:val="00AB003E"/>
    <w:rsid w:val="00AB079F"/>
    <w:rsid w:val="00AB0968"/>
    <w:rsid w:val="00AB1354"/>
    <w:rsid w:val="00AB1419"/>
    <w:rsid w:val="00AB1D9F"/>
    <w:rsid w:val="00AB3698"/>
    <w:rsid w:val="00AB3C4C"/>
    <w:rsid w:val="00AB4189"/>
    <w:rsid w:val="00AB6267"/>
    <w:rsid w:val="00AB626A"/>
    <w:rsid w:val="00AB639F"/>
    <w:rsid w:val="00AB6454"/>
    <w:rsid w:val="00AB6513"/>
    <w:rsid w:val="00AB6E3F"/>
    <w:rsid w:val="00AC032E"/>
    <w:rsid w:val="00AC0A55"/>
    <w:rsid w:val="00AC0DE2"/>
    <w:rsid w:val="00AC0EC4"/>
    <w:rsid w:val="00AC18D3"/>
    <w:rsid w:val="00AC1E2A"/>
    <w:rsid w:val="00AC3140"/>
    <w:rsid w:val="00AC3B25"/>
    <w:rsid w:val="00AC3C5A"/>
    <w:rsid w:val="00AC3E27"/>
    <w:rsid w:val="00AC533C"/>
    <w:rsid w:val="00AC53D5"/>
    <w:rsid w:val="00AC5BAF"/>
    <w:rsid w:val="00AC614B"/>
    <w:rsid w:val="00AC6BCE"/>
    <w:rsid w:val="00AC70D0"/>
    <w:rsid w:val="00AC7486"/>
    <w:rsid w:val="00AD01B6"/>
    <w:rsid w:val="00AD04AB"/>
    <w:rsid w:val="00AD17D3"/>
    <w:rsid w:val="00AD19A8"/>
    <w:rsid w:val="00AD1F1D"/>
    <w:rsid w:val="00AD22DE"/>
    <w:rsid w:val="00AD2CD9"/>
    <w:rsid w:val="00AD2D23"/>
    <w:rsid w:val="00AD4183"/>
    <w:rsid w:val="00AD552E"/>
    <w:rsid w:val="00AD6549"/>
    <w:rsid w:val="00AD6AFD"/>
    <w:rsid w:val="00AD773C"/>
    <w:rsid w:val="00AD77A5"/>
    <w:rsid w:val="00AD7DE3"/>
    <w:rsid w:val="00AE03E3"/>
    <w:rsid w:val="00AE110E"/>
    <w:rsid w:val="00AE1676"/>
    <w:rsid w:val="00AE1D68"/>
    <w:rsid w:val="00AE1F8C"/>
    <w:rsid w:val="00AE278C"/>
    <w:rsid w:val="00AE30A0"/>
    <w:rsid w:val="00AE38F5"/>
    <w:rsid w:val="00AE3958"/>
    <w:rsid w:val="00AE5597"/>
    <w:rsid w:val="00AE5E98"/>
    <w:rsid w:val="00AE6683"/>
    <w:rsid w:val="00AE67F4"/>
    <w:rsid w:val="00AE775A"/>
    <w:rsid w:val="00AF0724"/>
    <w:rsid w:val="00AF088F"/>
    <w:rsid w:val="00AF0894"/>
    <w:rsid w:val="00AF1B99"/>
    <w:rsid w:val="00AF20EF"/>
    <w:rsid w:val="00AF2572"/>
    <w:rsid w:val="00AF2A04"/>
    <w:rsid w:val="00AF2C6D"/>
    <w:rsid w:val="00AF30E8"/>
    <w:rsid w:val="00AF3EA1"/>
    <w:rsid w:val="00AF52C2"/>
    <w:rsid w:val="00AF6A72"/>
    <w:rsid w:val="00AF6AA3"/>
    <w:rsid w:val="00AF79E3"/>
    <w:rsid w:val="00AF7ACF"/>
    <w:rsid w:val="00AF7C27"/>
    <w:rsid w:val="00AF7EAD"/>
    <w:rsid w:val="00B013E9"/>
    <w:rsid w:val="00B0172B"/>
    <w:rsid w:val="00B0179F"/>
    <w:rsid w:val="00B02425"/>
    <w:rsid w:val="00B02BC5"/>
    <w:rsid w:val="00B02D8D"/>
    <w:rsid w:val="00B034A9"/>
    <w:rsid w:val="00B03BC5"/>
    <w:rsid w:val="00B03ED5"/>
    <w:rsid w:val="00B040B2"/>
    <w:rsid w:val="00B04576"/>
    <w:rsid w:val="00B04808"/>
    <w:rsid w:val="00B066FE"/>
    <w:rsid w:val="00B06744"/>
    <w:rsid w:val="00B06955"/>
    <w:rsid w:val="00B06977"/>
    <w:rsid w:val="00B06E65"/>
    <w:rsid w:val="00B06EAD"/>
    <w:rsid w:val="00B07368"/>
    <w:rsid w:val="00B079D5"/>
    <w:rsid w:val="00B07FC1"/>
    <w:rsid w:val="00B1024F"/>
    <w:rsid w:val="00B109E3"/>
    <w:rsid w:val="00B10CF7"/>
    <w:rsid w:val="00B10D48"/>
    <w:rsid w:val="00B11214"/>
    <w:rsid w:val="00B11E0D"/>
    <w:rsid w:val="00B130F7"/>
    <w:rsid w:val="00B133B2"/>
    <w:rsid w:val="00B133E3"/>
    <w:rsid w:val="00B13E00"/>
    <w:rsid w:val="00B13F95"/>
    <w:rsid w:val="00B13FA1"/>
    <w:rsid w:val="00B141D5"/>
    <w:rsid w:val="00B1566F"/>
    <w:rsid w:val="00B15931"/>
    <w:rsid w:val="00B15C74"/>
    <w:rsid w:val="00B1603D"/>
    <w:rsid w:val="00B16CB4"/>
    <w:rsid w:val="00B17639"/>
    <w:rsid w:val="00B17DBC"/>
    <w:rsid w:val="00B17EA3"/>
    <w:rsid w:val="00B20796"/>
    <w:rsid w:val="00B20963"/>
    <w:rsid w:val="00B21D2D"/>
    <w:rsid w:val="00B225E4"/>
    <w:rsid w:val="00B2330A"/>
    <w:rsid w:val="00B23619"/>
    <w:rsid w:val="00B23E0D"/>
    <w:rsid w:val="00B23E90"/>
    <w:rsid w:val="00B24143"/>
    <w:rsid w:val="00B24AE6"/>
    <w:rsid w:val="00B24DE3"/>
    <w:rsid w:val="00B25407"/>
    <w:rsid w:val="00B255E7"/>
    <w:rsid w:val="00B27031"/>
    <w:rsid w:val="00B2718A"/>
    <w:rsid w:val="00B30645"/>
    <w:rsid w:val="00B30ABF"/>
    <w:rsid w:val="00B32020"/>
    <w:rsid w:val="00B32359"/>
    <w:rsid w:val="00B32682"/>
    <w:rsid w:val="00B3307F"/>
    <w:rsid w:val="00B33383"/>
    <w:rsid w:val="00B33BE4"/>
    <w:rsid w:val="00B34869"/>
    <w:rsid w:val="00B34ECD"/>
    <w:rsid w:val="00B3506B"/>
    <w:rsid w:val="00B3506D"/>
    <w:rsid w:val="00B35AF0"/>
    <w:rsid w:val="00B3699C"/>
    <w:rsid w:val="00B36CF5"/>
    <w:rsid w:val="00B374C5"/>
    <w:rsid w:val="00B40394"/>
    <w:rsid w:val="00B41135"/>
    <w:rsid w:val="00B415A4"/>
    <w:rsid w:val="00B42B60"/>
    <w:rsid w:val="00B435A7"/>
    <w:rsid w:val="00B442B9"/>
    <w:rsid w:val="00B44669"/>
    <w:rsid w:val="00B44A11"/>
    <w:rsid w:val="00B44D2E"/>
    <w:rsid w:val="00B44EE6"/>
    <w:rsid w:val="00B457FB"/>
    <w:rsid w:val="00B45A23"/>
    <w:rsid w:val="00B46512"/>
    <w:rsid w:val="00B46A98"/>
    <w:rsid w:val="00B474C2"/>
    <w:rsid w:val="00B47634"/>
    <w:rsid w:val="00B47944"/>
    <w:rsid w:val="00B4798C"/>
    <w:rsid w:val="00B50131"/>
    <w:rsid w:val="00B50D1B"/>
    <w:rsid w:val="00B51306"/>
    <w:rsid w:val="00B51860"/>
    <w:rsid w:val="00B52273"/>
    <w:rsid w:val="00B5267B"/>
    <w:rsid w:val="00B526F7"/>
    <w:rsid w:val="00B5420E"/>
    <w:rsid w:val="00B54446"/>
    <w:rsid w:val="00B54EF3"/>
    <w:rsid w:val="00B55FCC"/>
    <w:rsid w:val="00B561DA"/>
    <w:rsid w:val="00B56E53"/>
    <w:rsid w:val="00B572AA"/>
    <w:rsid w:val="00B57405"/>
    <w:rsid w:val="00B57A70"/>
    <w:rsid w:val="00B57CE5"/>
    <w:rsid w:val="00B57FB1"/>
    <w:rsid w:val="00B60CAE"/>
    <w:rsid w:val="00B60EB8"/>
    <w:rsid w:val="00B60FAD"/>
    <w:rsid w:val="00B620AA"/>
    <w:rsid w:val="00B62260"/>
    <w:rsid w:val="00B625AD"/>
    <w:rsid w:val="00B63950"/>
    <w:rsid w:val="00B63E8F"/>
    <w:rsid w:val="00B642A4"/>
    <w:rsid w:val="00B646EC"/>
    <w:rsid w:val="00B64856"/>
    <w:rsid w:val="00B65BBD"/>
    <w:rsid w:val="00B663B0"/>
    <w:rsid w:val="00B66E52"/>
    <w:rsid w:val="00B67605"/>
    <w:rsid w:val="00B678E5"/>
    <w:rsid w:val="00B67F76"/>
    <w:rsid w:val="00B707E3"/>
    <w:rsid w:val="00B7082F"/>
    <w:rsid w:val="00B708D8"/>
    <w:rsid w:val="00B70AAF"/>
    <w:rsid w:val="00B70E70"/>
    <w:rsid w:val="00B71FE5"/>
    <w:rsid w:val="00B72A26"/>
    <w:rsid w:val="00B72C67"/>
    <w:rsid w:val="00B73509"/>
    <w:rsid w:val="00B740C6"/>
    <w:rsid w:val="00B742ED"/>
    <w:rsid w:val="00B74AEB"/>
    <w:rsid w:val="00B75412"/>
    <w:rsid w:val="00B7583E"/>
    <w:rsid w:val="00B75BD5"/>
    <w:rsid w:val="00B75C85"/>
    <w:rsid w:val="00B766F7"/>
    <w:rsid w:val="00B76C38"/>
    <w:rsid w:val="00B773D3"/>
    <w:rsid w:val="00B775DD"/>
    <w:rsid w:val="00B776D3"/>
    <w:rsid w:val="00B7789F"/>
    <w:rsid w:val="00B77E7B"/>
    <w:rsid w:val="00B808AF"/>
    <w:rsid w:val="00B80953"/>
    <w:rsid w:val="00B817E4"/>
    <w:rsid w:val="00B81D03"/>
    <w:rsid w:val="00B826A4"/>
    <w:rsid w:val="00B82C6A"/>
    <w:rsid w:val="00B82EC1"/>
    <w:rsid w:val="00B83670"/>
    <w:rsid w:val="00B83807"/>
    <w:rsid w:val="00B84CA9"/>
    <w:rsid w:val="00B85B30"/>
    <w:rsid w:val="00B8666E"/>
    <w:rsid w:val="00B87FA5"/>
    <w:rsid w:val="00B90D79"/>
    <w:rsid w:val="00B91728"/>
    <w:rsid w:val="00B9184C"/>
    <w:rsid w:val="00B92306"/>
    <w:rsid w:val="00B92365"/>
    <w:rsid w:val="00B92F5F"/>
    <w:rsid w:val="00B93B22"/>
    <w:rsid w:val="00B93B73"/>
    <w:rsid w:val="00B94022"/>
    <w:rsid w:val="00B946F9"/>
    <w:rsid w:val="00B94819"/>
    <w:rsid w:val="00B948A5"/>
    <w:rsid w:val="00B94B3E"/>
    <w:rsid w:val="00B94C0E"/>
    <w:rsid w:val="00B950EE"/>
    <w:rsid w:val="00B96187"/>
    <w:rsid w:val="00B97042"/>
    <w:rsid w:val="00BA01D0"/>
    <w:rsid w:val="00BA05A7"/>
    <w:rsid w:val="00BA05B7"/>
    <w:rsid w:val="00BA14D4"/>
    <w:rsid w:val="00BA2A87"/>
    <w:rsid w:val="00BA2F1B"/>
    <w:rsid w:val="00BA3343"/>
    <w:rsid w:val="00BA4BB6"/>
    <w:rsid w:val="00BA56BD"/>
    <w:rsid w:val="00BA5851"/>
    <w:rsid w:val="00BA6D00"/>
    <w:rsid w:val="00BA6DC2"/>
    <w:rsid w:val="00BA74A8"/>
    <w:rsid w:val="00BA7C41"/>
    <w:rsid w:val="00BA7F80"/>
    <w:rsid w:val="00BB0280"/>
    <w:rsid w:val="00BB028B"/>
    <w:rsid w:val="00BB1F0C"/>
    <w:rsid w:val="00BB3123"/>
    <w:rsid w:val="00BB36DD"/>
    <w:rsid w:val="00BB3C0A"/>
    <w:rsid w:val="00BB3D78"/>
    <w:rsid w:val="00BB3F38"/>
    <w:rsid w:val="00BB3F94"/>
    <w:rsid w:val="00BB4081"/>
    <w:rsid w:val="00BB49B4"/>
    <w:rsid w:val="00BB4A18"/>
    <w:rsid w:val="00BB5CAC"/>
    <w:rsid w:val="00BB692F"/>
    <w:rsid w:val="00BB6F59"/>
    <w:rsid w:val="00BB7465"/>
    <w:rsid w:val="00BC11FD"/>
    <w:rsid w:val="00BC15DA"/>
    <w:rsid w:val="00BC2729"/>
    <w:rsid w:val="00BC3821"/>
    <w:rsid w:val="00BC39F4"/>
    <w:rsid w:val="00BC3FFB"/>
    <w:rsid w:val="00BC42AD"/>
    <w:rsid w:val="00BC4681"/>
    <w:rsid w:val="00BC4969"/>
    <w:rsid w:val="00BC4BB9"/>
    <w:rsid w:val="00BC5C38"/>
    <w:rsid w:val="00BC5FC8"/>
    <w:rsid w:val="00BC68AC"/>
    <w:rsid w:val="00BD041E"/>
    <w:rsid w:val="00BD157D"/>
    <w:rsid w:val="00BD20FB"/>
    <w:rsid w:val="00BD226E"/>
    <w:rsid w:val="00BD336F"/>
    <w:rsid w:val="00BD34D9"/>
    <w:rsid w:val="00BD452E"/>
    <w:rsid w:val="00BD4D26"/>
    <w:rsid w:val="00BD4F3F"/>
    <w:rsid w:val="00BD5D39"/>
    <w:rsid w:val="00BD6014"/>
    <w:rsid w:val="00BD6B0D"/>
    <w:rsid w:val="00BD6B61"/>
    <w:rsid w:val="00BD6CF7"/>
    <w:rsid w:val="00BD73AB"/>
    <w:rsid w:val="00BD77A8"/>
    <w:rsid w:val="00BE03FD"/>
    <w:rsid w:val="00BE0710"/>
    <w:rsid w:val="00BE074D"/>
    <w:rsid w:val="00BE0A24"/>
    <w:rsid w:val="00BE104C"/>
    <w:rsid w:val="00BE156B"/>
    <w:rsid w:val="00BE17F6"/>
    <w:rsid w:val="00BE1ACB"/>
    <w:rsid w:val="00BE1BDD"/>
    <w:rsid w:val="00BE27B2"/>
    <w:rsid w:val="00BE2B1A"/>
    <w:rsid w:val="00BE37E0"/>
    <w:rsid w:val="00BE398E"/>
    <w:rsid w:val="00BE3EA1"/>
    <w:rsid w:val="00BE3ED5"/>
    <w:rsid w:val="00BE4E66"/>
    <w:rsid w:val="00BE5096"/>
    <w:rsid w:val="00BE518A"/>
    <w:rsid w:val="00BE540B"/>
    <w:rsid w:val="00BE5B4D"/>
    <w:rsid w:val="00BE63D1"/>
    <w:rsid w:val="00BE693B"/>
    <w:rsid w:val="00BE6FF8"/>
    <w:rsid w:val="00BF1300"/>
    <w:rsid w:val="00BF2437"/>
    <w:rsid w:val="00BF2CFC"/>
    <w:rsid w:val="00BF33CD"/>
    <w:rsid w:val="00BF374A"/>
    <w:rsid w:val="00BF3BBD"/>
    <w:rsid w:val="00BF40BE"/>
    <w:rsid w:val="00BF49B9"/>
    <w:rsid w:val="00BF6180"/>
    <w:rsid w:val="00BF645F"/>
    <w:rsid w:val="00BF6549"/>
    <w:rsid w:val="00BF7A6C"/>
    <w:rsid w:val="00C0040D"/>
    <w:rsid w:val="00C0046B"/>
    <w:rsid w:val="00C00B4B"/>
    <w:rsid w:val="00C01B44"/>
    <w:rsid w:val="00C02553"/>
    <w:rsid w:val="00C02931"/>
    <w:rsid w:val="00C02F30"/>
    <w:rsid w:val="00C03262"/>
    <w:rsid w:val="00C042C2"/>
    <w:rsid w:val="00C04B16"/>
    <w:rsid w:val="00C054E9"/>
    <w:rsid w:val="00C05CD3"/>
    <w:rsid w:val="00C05F99"/>
    <w:rsid w:val="00C061BB"/>
    <w:rsid w:val="00C07114"/>
    <w:rsid w:val="00C0787A"/>
    <w:rsid w:val="00C1048C"/>
    <w:rsid w:val="00C12CB1"/>
    <w:rsid w:val="00C12D34"/>
    <w:rsid w:val="00C12F5D"/>
    <w:rsid w:val="00C13CDC"/>
    <w:rsid w:val="00C1502D"/>
    <w:rsid w:val="00C164BC"/>
    <w:rsid w:val="00C16600"/>
    <w:rsid w:val="00C1728A"/>
    <w:rsid w:val="00C17460"/>
    <w:rsid w:val="00C20AFB"/>
    <w:rsid w:val="00C20DAF"/>
    <w:rsid w:val="00C20F3D"/>
    <w:rsid w:val="00C216DD"/>
    <w:rsid w:val="00C21BF4"/>
    <w:rsid w:val="00C22E8E"/>
    <w:rsid w:val="00C233FD"/>
    <w:rsid w:val="00C23C12"/>
    <w:rsid w:val="00C25E77"/>
    <w:rsid w:val="00C2725B"/>
    <w:rsid w:val="00C309A3"/>
    <w:rsid w:val="00C30DC3"/>
    <w:rsid w:val="00C3128C"/>
    <w:rsid w:val="00C3148E"/>
    <w:rsid w:val="00C318B8"/>
    <w:rsid w:val="00C31B6A"/>
    <w:rsid w:val="00C3262D"/>
    <w:rsid w:val="00C33CFF"/>
    <w:rsid w:val="00C3444A"/>
    <w:rsid w:val="00C346A7"/>
    <w:rsid w:val="00C34AB5"/>
    <w:rsid w:val="00C35B68"/>
    <w:rsid w:val="00C36248"/>
    <w:rsid w:val="00C36C58"/>
    <w:rsid w:val="00C37114"/>
    <w:rsid w:val="00C40FC8"/>
    <w:rsid w:val="00C4175E"/>
    <w:rsid w:val="00C41CA1"/>
    <w:rsid w:val="00C42A96"/>
    <w:rsid w:val="00C43A72"/>
    <w:rsid w:val="00C45148"/>
    <w:rsid w:val="00C4566C"/>
    <w:rsid w:val="00C46806"/>
    <w:rsid w:val="00C46A44"/>
    <w:rsid w:val="00C46D72"/>
    <w:rsid w:val="00C47374"/>
    <w:rsid w:val="00C5055A"/>
    <w:rsid w:val="00C508C3"/>
    <w:rsid w:val="00C50CBA"/>
    <w:rsid w:val="00C50F96"/>
    <w:rsid w:val="00C510CE"/>
    <w:rsid w:val="00C511C0"/>
    <w:rsid w:val="00C51926"/>
    <w:rsid w:val="00C51AD9"/>
    <w:rsid w:val="00C52131"/>
    <w:rsid w:val="00C52756"/>
    <w:rsid w:val="00C52E76"/>
    <w:rsid w:val="00C5309C"/>
    <w:rsid w:val="00C53329"/>
    <w:rsid w:val="00C565B3"/>
    <w:rsid w:val="00C56789"/>
    <w:rsid w:val="00C56EE9"/>
    <w:rsid w:val="00C57613"/>
    <w:rsid w:val="00C602B7"/>
    <w:rsid w:val="00C60353"/>
    <w:rsid w:val="00C60710"/>
    <w:rsid w:val="00C6127D"/>
    <w:rsid w:val="00C6143C"/>
    <w:rsid w:val="00C61653"/>
    <w:rsid w:val="00C61D8B"/>
    <w:rsid w:val="00C62C5C"/>
    <w:rsid w:val="00C62D3F"/>
    <w:rsid w:val="00C63535"/>
    <w:rsid w:val="00C6400A"/>
    <w:rsid w:val="00C6462D"/>
    <w:rsid w:val="00C649A8"/>
    <w:rsid w:val="00C6529D"/>
    <w:rsid w:val="00C6656B"/>
    <w:rsid w:val="00C66B04"/>
    <w:rsid w:val="00C672FB"/>
    <w:rsid w:val="00C67682"/>
    <w:rsid w:val="00C676C0"/>
    <w:rsid w:val="00C67B9C"/>
    <w:rsid w:val="00C67CC4"/>
    <w:rsid w:val="00C7029E"/>
    <w:rsid w:val="00C702D0"/>
    <w:rsid w:val="00C707CB"/>
    <w:rsid w:val="00C70AE2"/>
    <w:rsid w:val="00C70D80"/>
    <w:rsid w:val="00C71532"/>
    <w:rsid w:val="00C717F6"/>
    <w:rsid w:val="00C71B6B"/>
    <w:rsid w:val="00C7253D"/>
    <w:rsid w:val="00C727E7"/>
    <w:rsid w:val="00C741E1"/>
    <w:rsid w:val="00C74743"/>
    <w:rsid w:val="00C74B05"/>
    <w:rsid w:val="00C752C5"/>
    <w:rsid w:val="00C759DC"/>
    <w:rsid w:val="00C75B8F"/>
    <w:rsid w:val="00C75CD5"/>
    <w:rsid w:val="00C76391"/>
    <w:rsid w:val="00C763FD"/>
    <w:rsid w:val="00C76F53"/>
    <w:rsid w:val="00C7797F"/>
    <w:rsid w:val="00C80520"/>
    <w:rsid w:val="00C80753"/>
    <w:rsid w:val="00C808B8"/>
    <w:rsid w:val="00C8092F"/>
    <w:rsid w:val="00C80AC0"/>
    <w:rsid w:val="00C818DE"/>
    <w:rsid w:val="00C81B21"/>
    <w:rsid w:val="00C82403"/>
    <w:rsid w:val="00C864F4"/>
    <w:rsid w:val="00C86E49"/>
    <w:rsid w:val="00C8779A"/>
    <w:rsid w:val="00C87B87"/>
    <w:rsid w:val="00C87E42"/>
    <w:rsid w:val="00C90B39"/>
    <w:rsid w:val="00C91C28"/>
    <w:rsid w:val="00C91F48"/>
    <w:rsid w:val="00C921BC"/>
    <w:rsid w:val="00C92360"/>
    <w:rsid w:val="00C92C75"/>
    <w:rsid w:val="00C948D7"/>
    <w:rsid w:val="00C94B15"/>
    <w:rsid w:val="00C9613A"/>
    <w:rsid w:val="00C96231"/>
    <w:rsid w:val="00C96919"/>
    <w:rsid w:val="00C96A54"/>
    <w:rsid w:val="00C96D52"/>
    <w:rsid w:val="00C9725E"/>
    <w:rsid w:val="00CA0ECF"/>
    <w:rsid w:val="00CA11D3"/>
    <w:rsid w:val="00CA1270"/>
    <w:rsid w:val="00CA1556"/>
    <w:rsid w:val="00CA1DDE"/>
    <w:rsid w:val="00CA2CA7"/>
    <w:rsid w:val="00CA2D9C"/>
    <w:rsid w:val="00CA2F00"/>
    <w:rsid w:val="00CA3347"/>
    <w:rsid w:val="00CA4088"/>
    <w:rsid w:val="00CA4A78"/>
    <w:rsid w:val="00CA4E31"/>
    <w:rsid w:val="00CA6CC5"/>
    <w:rsid w:val="00CB0D12"/>
    <w:rsid w:val="00CB1264"/>
    <w:rsid w:val="00CB1978"/>
    <w:rsid w:val="00CB1C12"/>
    <w:rsid w:val="00CB1D65"/>
    <w:rsid w:val="00CB2716"/>
    <w:rsid w:val="00CB2E41"/>
    <w:rsid w:val="00CB2E66"/>
    <w:rsid w:val="00CB31B8"/>
    <w:rsid w:val="00CB3200"/>
    <w:rsid w:val="00CB474F"/>
    <w:rsid w:val="00CB4804"/>
    <w:rsid w:val="00CB5263"/>
    <w:rsid w:val="00CB55BC"/>
    <w:rsid w:val="00CB5B3D"/>
    <w:rsid w:val="00CB6367"/>
    <w:rsid w:val="00CB67FD"/>
    <w:rsid w:val="00CB6CFB"/>
    <w:rsid w:val="00CC066D"/>
    <w:rsid w:val="00CC0CFC"/>
    <w:rsid w:val="00CC15C7"/>
    <w:rsid w:val="00CC1E0D"/>
    <w:rsid w:val="00CC2436"/>
    <w:rsid w:val="00CC2ED9"/>
    <w:rsid w:val="00CC4091"/>
    <w:rsid w:val="00CC4653"/>
    <w:rsid w:val="00CC49A5"/>
    <w:rsid w:val="00CC4CD3"/>
    <w:rsid w:val="00CC5826"/>
    <w:rsid w:val="00CC5F70"/>
    <w:rsid w:val="00CC636A"/>
    <w:rsid w:val="00CC63E0"/>
    <w:rsid w:val="00CD0C7F"/>
    <w:rsid w:val="00CD117C"/>
    <w:rsid w:val="00CD15A0"/>
    <w:rsid w:val="00CD16FC"/>
    <w:rsid w:val="00CD184C"/>
    <w:rsid w:val="00CD23A8"/>
    <w:rsid w:val="00CD282E"/>
    <w:rsid w:val="00CD296A"/>
    <w:rsid w:val="00CD2A04"/>
    <w:rsid w:val="00CD3BC7"/>
    <w:rsid w:val="00CD3D81"/>
    <w:rsid w:val="00CD3DED"/>
    <w:rsid w:val="00CD3E78"/>
    <w:rsid w:val="00CD45FD"/>
    <w:rsid w:val="00CD49FE"/>
    <w:rsid w:val="00CD4AEC"/>
    <w:rsid w:val="00CD4EBD"/>
    <w:rsid w:val="00CD553B"/>
    <w:rsid w:val="00CD73A4"/>
    <w:rsid w:val="00CD7865"/>
    <w:rsid w:val="00CE0CC0"/>
    <w:rsid w:val="00CE19C0"/>
    <w:rsid w:val="00CE3CC7"/>
    <w:rsid w:val="00CE3F49"/>
    <w:rsid w:val="00CE3FF5"/>
    <w:rsid w:val="00CE44CE"/>
    <w:rsid w:val="00CE46DC"/>
    <w:rsid w:val="00CE4D5E"/>
    <w:rsid w:val="00CE64D9"/>
    <w:rsid w:val="00CE67F0"/>
    <w:rsid w:val="00CE6ABB"/>
    <w:rsid w:val="00CE6B9D"/>
    <w:rsid w:val="00CF1A7F"/>
    <w:rsid w:val="00CF2142"/>
    <w:rsid w:val="00CF2EAD"/>
    <w:rsid w:val="00CF3E9E"/>
    <w:rsid w:val="00CF4A97"/>
    <w:rsid w:val="00CF4CCE"/>
    <w:rsid w:val="00CF67FC"/>
    <w:rsid w:val="00CF707C"/>
    <w:rsid w:val="00CF715C"/>
    <w:rsid w:val="00D0008F"/>
    <w:rsid w:val="00D00DA3"/>
    <w:rsid w:val="00D0238F"/>
    <w:rsid w:val="00D03AB6"/>
    <w:rsid w:val="00D03AF6"/>
    <w:rsid w:val="00D0473D"/>
    <w:rsid w:val="00D04BAC"/>
    <w:rsid w:val="00D04E87"/>
    <w:rsid w:val="00D05023"/>
    <w:rsid w:val="00D05BEE"/>
    <w:rsid w:val="00D05D48"/>
    <w:rsid w:val="00D05D7B"/>
    <w:rsid w:val="00D06084"/>
    <w:rsid w:val="00D06DF0"/>
    <w:rsid w:val="00D072F4"/>
    <w:rsid w:val="00D104F7"/>
    <w:rsid w:val="00D10C98"/>
    <w:rsid w:val="00D1106C"/>
    <w:rsid w:val="00D11096"/>
    <w:rsid w:val="00D11492"/>
    <w:rsid w:val="00D126C6"/>
    <w:rsid w:val="00D12A19"/>
    <w:rsid w:val="00D132E3"/>
    <w:rsid w:val="00D13470"/>
    <w:rsid w:val="00D13D1D"/>
    <w:rsid w:val="00D13DE8"/>
    <w:rsid w:val="00D1412D"/>
    <w:rsid w:val="00D147F5"/>
    <w:rsid w:val="00D1553C"/>
    <w:rsid w:val="00D15ECE"/>
    <w:rsid w:val="00D16052"/>
    <w:rsid w:val="00D17103"/>
    <w:rsid w:val="00D179F0"/>
    <w:rsid w:val="00D17D2A"/>
    <w:rsid w:val="00D201BB"/>
    <w:rsid w:val="00D207A9"/>
    <w:rsid w:val="00D21369"/>
    <w:rsid w:val="00D219E6"/>
    <w:rsid w:val="00D21A4C"/>
    <w:rsid w:val="00D21AEA"/>
    <w:rsid w:val="00D22999"/>
    <w:rsid w:val="00D2323C"/>
    <w:rsid w:val="00D2474B"/>
    <w:rsid w:val="00D24CBD"/>
    <w:rsid w:val="00D25FD0"/>
    <w:rsid w:val="00D26637"/>
    <w:rsid w:val="00D26652"/>
    <w:rsid w:val="00D26862"/>
    <w:rsid w:val="00D26873"/>
    <w:rsid w:val="00D26FB3"/>
    <w:rsid w:val="00D273B4"/>
    <w:rsid w:val="00D30644"/>
    <w:rsid w:val="00D31B6C"/>
    <w:rsid w:val="00D31C2F"/>
    <w:rsid w:val="00D3331B"/>
    <w:rsid w:val="00D33892"/>
    <w:rsid w:val="00D33A7D"/>
    <w:rsid w:val="00D33CD1"/>
    <w:rsid w:val="00D34477"/>
    <w:rsid w:val="00D349B7"/>
    <w:rsid w:val="00D349C7"/>
    <w:rsid w:val="00D34AA8"/>
    <w:rsid w:val="00D350F8"/>
    <w:rsid w:val="00D3537C"/>
    <w:rsid w:val="00D377B1"/>
    <w:rsid w:val="00D3791F"/>
    <w:rsid w:val="00D37C4A"/>
    <w:rsid w:val="00D40945"/>
    <w:rsid w:val="00D40DBC"/>
    <w:rsid w:val="00D42112"/>
    <w:rsid w:val="00D424EE"/>
    <w:rsid w:val="00D42A73"/>
    <w:rsid w:val="00D43073"/>
    <w:rsid w:val="00D43209"/>
    <w:rsid w:val="00D44DC4"/>
    <w:rsid w:val="00D467CE"/>
    <w:rsid w:val="00D467D9"/>
    <w:rsid w:val="00D46E30"/>
    <w:rsid w:val="00D47913"/>
    <w:rsid w:val="00D50088"/>
    <w:rsid w:val="00D5010B"/>
    <w:rsid w:val="00D50337"/>
    <w:rsid w:val="00D50404"/>
    <w:rsid w:val="00D50D4E"/>
    <w:rsid w:val="00D51A07"/>
    <w:rsid w:val="00D51EA8"/>
    <w:rsid w:val="00D51F4D"/>
    <w:rsid w:val="00D52022"/>
    <w:rsid w:val="00D52296"/>
    <w:rsid w:val="00D54110"/>
    <w:rsid w:val="00D542F2"/>
    <w:rsid w:val="00D548AA"/>
    <w:rsid w:val="00D54C60"/>
    <w:rsid w:val="00D55542"/>
    <w:rsid w:val="00D562D3"/>
    <w:rsid w:val="00D56C08"/>
    <w:rsid w:val="00D57109"/>
    <w:rsid w:val="00D57686"/>
    <w:rsid w:val="00D576B3"/>
    <w:rsid w:val="00D60AA0"/>
    <w:rsid w:val="00D60E7A"/>
    <w:rsid w:val="00D613EC"/>
    <w:rsid w:val="00D621B3"/>
    <w:rsid w:val="00D626C4"/>
    <w:rsid w:val="00D626D4"/>
    <w:rsid w:val="00D62D83"/>
    <w:rsid w:val="00D638F5"/>
    <w:rsid w:val="00D64256"/>
    <w:rsid w:val="00D64C6B"/>
    <w:rsid w:val="00D652EF"/>
    <w:rsid w:val="00D653E5"/>
    <w:rsid w:val="00D655D8"/>
    <w:rsid w:val="00D657C1"/>
    <w:rsid w:val="00D6644F"/>
    <w:rsid w:val="00D66CBE"/>
    <w:rsid w:val="00D66CD9"/>
    <w:rsid w:val="00D670AF"/>
    <w:rsid w:val="00D6790E"/>
    <w:rsid w:val="00D67E93"/>
    <w:rsid w:val="00D72849"/>
    <w:rsid w:val="00D72B4D"/>
    <w:rsid w:val="00D72FB3"/>
    <w:rsid w:val="00D7328A"/>
    <w:rsid w:val="00D73333"/>
    <w:rsid w:val="00D738DE"/>
    <w:rsid w:val="00D743D4"/>
    <w:rsid w:val="00D74885"/>
    <w:rsid w:val="00D75938"/>
    <w:rsid w:val="00D75C13"/>
    <w:rsid w:val="00D7603E"/>
    <w:rsid w:val="00D7642F"/>
    <w:rsid w:val="00D765CE"/>
    <w:rsid w:val="00D80534"/>
    <w:rsid w:val="00D806F1"/>
    <w:rsid w:val="00D80D3B"/>
    <w:rsid w:val="00D81314"/>
    <w:rsid w:val="00D81D0B"/>
    <w:rsid w:val="00D8241C"/>
    <w:rsid w:val="00D83AFC"/>
    <w:rsid w:val="00D840FF"/>
    <w:rsid w:val="00D84D36"/>
    <w:rsid w:val="00D85BE5"/>
    <w:rsid w:val="00D86612"/>
    <w:rsid w:val="00D86D9A"/>
    <w:rsid w:val="00D86FA4"/>
    <w:rsid w:val="00D8725C"/>
    <w:rsid w:val="00D87567"/>
    <w:rsid w:val="00D87C7E"/>
    <w:rsid w:val="00D90250"/>
    <w:rsid w:val="00D90365"/>
    <w:rsid w:val="00D9073B"/>
    <w:rsid w:val="00D919BB"/>
    <w:rsid w:val="00D9242E"/>
    <w:rsid w:val="00D92503"/>
    <w:rsid w:val="00D9274D"/>
    <w:rsid w:val="00D92CCD"/>
    <w:rsid w:val="00D93C40"/>
    <w:rsid w:val="00D94CC3"/>
    <w:rsid w:val="00D94E8D"/>
    <w:rsid w:val="00D956FA"/>
    <w:rsid w:val="00D96600"/>
    <w:rsid w:val="00D96703"/>
    <w:rsid w:val="00D96FF0"/>
    <w:rsid w:val="00D97461"/>
    <w:rsid w:val="00D9763F"/>
    <w:rsid w:val="00D9790F"/>
    <w:rsid w:val="00DA0CE9"/>
    <w:rsid w:val="00DA1168"/>
    <w:rsid w:val="00DA27E5"/>
    <w:rsid w:val="00DA2FF4"/>
    <w:rsid w:val="00DA3431"/>
    <w:rsid w:val="00DA3A1C"/>
    <w:rsid w:val="00DA4177"/>
    <w:rsid w:val="00DA4A43"/>
    <w:rsid w:val="00DA57BE"/>
    <w:rsid w:val="00DA6843"/>
    <w:rsid w:val="00DA688B"/>
    <w:rsid w:val="00DA71BE"/>
    <w:rsid w:val="00DA79C3"/>
    <w:rsid w:val="00DA7FA5"/>
    <w:rsid w:val="00DB0443"/>
    <w:rsid w:val="00DB045E"/>
    <w:rsid w:val="00DB07F7"/>
    <w:rsid w:val="00DB1966"/>
    <w:rsid w:val="00DB19F1"/>
    <w:rsid w:val="00DB1C30"/>
    <w:rsid w:val="00DB2AB8"/>
    <w:rsid w:val="00DB36A9"/>
    <w:rsid w:val="00DB3AF3"/>
    <w:rsid w:val="00DB3D25"/>
    <w:rsid w:val="00DB3DF8"/>
    <w:rsid w:val="00DB61C7"/>
    <w:rsid w:val="00DB61F8"/>
    <w:rsid w:val="00DB6F67"/>
    <w:rsid w:val="00DC0091"/>
    <w:rsid w:val="00DC03B8"/>
    <w:rsid w:val="00DC0AC4"/>
    <w:rsid w:val="00DC0FE4"/>
    <w:rsid w:val="00DC1C86"/>
    <w:rsid w:val="00DC1D42"/>
    <w:rsid w:val="00DC20CF"/>
    <w:rsid w:val="00DC2237"/>
    <w:rsid w:val="00DC2CAE"/>
    <w:rsid w:val="00DC39B5"/>
    <w:rsid w:val="00DC4A66"/>
    <w:rsid w:val="00DC555E"/>
    <w:rsid w:val="00DC5CF8"/>
    <w:rsid w:val="00DC6A41"/>
    <w:rsid w:val="00DC6E96"/>
    <w:rsid w:val="00DC738F"/>
    <w:rsid w:val="00DC7C41"/>
    <w:rsid w:val="00DC7EE3"/>
    <w:rsid w:val="00DD0433"/>
    <w:rsid w:val="00DD0AD6"/>
    <w:rsid w:val="00DD11F4"/>
    <w:rsid w:val="00DD12D2"/>
    <w:rsid w:val="00DD22E2"/>
    <w:rsid w:val="00DD2731"/>
    <w:rsid w:val="00DD27AF"/>
    <w:rsid w:val="00DD2D2A"/>
    <w:rsid w:val="00DD3389"/>
    <w:rsid w:val="00DD36DB"/>
    <w:rsid w:val="00DD3B98"/>
    <w:rsid w:val="00DD3FA8"/>
    <w:rsid w:val="00DD4503"/>
    <w:rsid w:val="00DD5831"/>
    <w:rsid w:val="00DD5B84"/>
    <w:rsid w:val="00DD5F9F"/>
    <w:rsid w:val="00DD62C3"/>
    <w:rsid w:val="00DD62EF"/>
    <w:rsid w:val="00DD7DA5"/>
    <w:rsid w:val="00DD7DFE"/>
    <w:rsid w:val="00DD7FC2"/>
    <w:rsid w:val="00DE0209"/>
    <w:rsid w:val="00DE05A2"/>
    <w:rsid w:val="00DE0B3C"/>
    <w:rsid w:val="00DE18A6"/>
    <w:rsid w:val="00DE3D8E"/>
    <w:rsid w:val="00DE4BB3"/>
    <w:rsid w:val="00DE4D97"/>
    <w:rsid w:val="00DE4E07"/>
    <w:rsid w:val="00DE588A"/>
    <w:rsid w:val="00DE61F8"/>
    <w:rsid w:val="00DE6CD2"/>
    <w:rsid w:val="00DE6DCF"/>
    <w:rsid w:val="00DE74EA"/>
    <w:rsid w:val="00DE7DF3"/>
    <w:rsid w:val="00DF0051"/>
    <w:rsid w:val="00DF0940"/>
    <w:rsid w:val="00DF183A"/>
    <w:rsid w:val="00DF1BE5"/>
    <w:rsid w:val="00DF1CF9"/>
    <w:rsid w:val="00DF1DA7"/>
    <w:rsid w:val="00DF25E5"/>
    <w:rsid w:val="00DF27FF"/>
    <w:rsid w:val="00DF39C2"/>
    <w:rsid w:val="00DF3FBB"/>
    <w:rsid w:val="00DF48AB"/>
    <w:rsid w:val="00DF5D76"/>
    <w:rsid w:val="00DF73FA"/>
    <w:rsid w:val="00DF7CF2"/>
    <w:rsid w:val="00E00205"/>
    <w:rsid w:val="00E004F3"/>
    <w:rsid w:val="00E0095C"/>
    <w:rsid w:val="00E01985"/>
    <w:rsid w:val="00E019C5"/>
    <w:rsid w:val="00E0207D"/>
    <w:rsid w:val="00E027A6"/>
    <w:rsid w:val="00E02D10"/>
    <w:rsid w:val="00E0319E"/>
    <w:rsid w:val="00E03682"/>
    <w:rsid w:val="00E0380C"/>
    <w:rsid w:val="00E039D8"/>
    <w:rsid w:val="00E04FC4"/>
    <w:rsid w:val="00E0517F"/>
    <w:rsid w:val="00E05C86"/>
    <w:rsid w:val="00E05CCE"/>
    <w:rsid w:val="00E06084"/>
    <w:rsid w:val="00E07030"/>
    <w:rsid w:val="00E07383"/>
    <w:rsid w:val="00E074D1"/>
    <w:rsid w:val="00E07604"/>
    <w:rsid w:val="00E105AF"/>
    <w:rsid w:val="00E10794"/>
    <w:rsid w:val="00E108C9"/>
    <w:rsid w:val="00E10B4C"/>
    <w:rsid w:val="00E117E2"/>
    <w:rsid w:val="00E118F5"/>
    <w:rsid w:val="00E11C6B"/>
    <w:rsid w:val="00E121B7"/>
    <w:rsid w:val="00E12683"/>
    <w:rsid w:val="00E12D98"/>
    <w:rsid w:val="00E146C6"/>
    <w:rsid w:val="00E14829"/>
    <w:rsid w:val="00E150A0"/>
    <w:rsid w:val="00E15AB1"/>
    <w:rsid w:val="00E15C41"/>
    <w:rsid w:val="00E16DC9"/>
    <w:rsid w:val="00E1704C"/>
    <w:rsid w:val="00E17150"/>
    <w:rsid w:val="00E200FA"/>
    <w:rsid w:val="00E201E1"/>
    <w:rsid w:val="00E206B9"/>
    <w:rsid w:val="00E214C8"/>
    <w:rsid w:val="00E21E48"/>
    <w:rsid w:val="00E220AD"/>
    <w:rsid w:val="00E23E63"/>
    <w:rsid w:val="00E2474F"/>
    <w:rsid w:val="00E24A1C"/>
    <w:rsid w:val="00E258B0"/>
    <w:rsid w:val="00E25B20"/>
    <w:rsid w:val="00E260D6"/>
    <w:rsid w:val="00E261C2"/>
    <w:rsid w:val="00E275C7"/>
    <w:rsid w:val="00E309D4"/>
    <w:rsid w:val="00E31AA6"/>
    <w:rsid w:val="00E31E9C"/>
    <w:rsid w:val="00E31FF2"/>
    <w:rsid w:val="00E3237C"/>
    <w:rsid w:val="00E32EC9"/>
    <w:rsid w:val="00E33194"/>
    <w:rsid w:val="00E337A3"/>
    <w:rsid w:val="00E339AA"/>
    <w:rsid w:val="00E33B92"/>
    <w:rsid w:val="00E3400A"/>
    <w:rsid w:val="00E35939"/>
    <w:rsid w:val="00E359DA"/>
    <w:rsid w:val="00E369C1"/>
    <w:rsid w:val="00E37161"/>
    <w:rsid w:val="00E375B8"/>
    <w:rsid w:val="00E375E9"/>
    <w:rsid w:val="00E400CD"/>
    <w:rsid w:val="00E407AA"/>
    <w:rsid w:val="00E40B0A"/>
    <w:rsid w:val="00E40B1D"/>
    <w:rsid w:val="00E40D12"/>
    <w:rsid w:val="00E430C3"/>
    <w:rsid w:val="00E434A2"/>
    <w:rsid w:val="00E43BE6"/>
    <w:rsid w:val="00E4410E"/>
    <w:rsid w:val="00E44A6B"/>
    <w:rsid w:val="00E44EA7"/>
    <w:rsid w:val="00E463D1"/>
    <w:rsid w:val="00E5067D"/>
    <w:rsid w:val="00E506F9"/>
    <w:rsid w:val="00E5081F"/>
    <w:rsid w:val="00E508EE"/>
    <w:rsid w:val="00E50AC4"/>
    <w:rsid w:val="00E50DE4"/>
    <w:rsid w:val="00E50E1A"/>
    <w:rsid w:val="00E51458"/>
    <w:rsid w:val="00E5167F"/>
    <w:rsid w:val="00E5186B"/>
    <w:rsid w:val="00E518A3"/>
    <w:rsid w:val="00E51D3C"/>
    <w:rsid w:val="00E52457"/>
    <w:rsid w:val="00E52858"/>
    <w:rsid w:val="00E52DC6"/>
    <w:rsid w:val="00E53531"/>
    <w:rsid w:val="00E53B9D"/>
    <w:rsid w:val="00E53D8F"/>
    <w:rsid w:val="00E54286"/>
    <w:rsid w:val="00E54E57"/>
    <w:rsid w:val="00E562A3"/>
    <w:rsid w:val="00E56AA3"/>
    <w:rsid w:val="00E56D31"/>
    <w:rsid w:val="00E571C8"/>
    <w:rsid w:val="00E5729E"/>
    <w:rsid w:val="00E574AE"/>
    <w:rsid w:val="00E576D3"/>
    <w:rsid w:val="00E57744"/>
    <w:rsid w:val="00E577A1"/>
    <w:rsid w:val="00E6014A"/>
    <w:rsid w:val="00E601D9"/>
    <w:rsid w:val="00E602BE"/>
    <w:rsid w:val="00E610D7"/>
    <w:rsid w:val="00E61329"/>
    <w:rsid w:val="00E61704"/>
    <w:rsid w:val="00E621D6"/>
    <w:rsid w:val="00E62517"/>
    <w:rsid w:val="00E6351C"/>
    <w:rsid w:val="00E65F48"/>
    <w:rsid w:val="00E661C6"/>
    <w:rsid w:val="00E6632C"/>
    <w:rsid w:val="00E6668F"/>
    <w:rsid w:val="00E66C02"/>
    <w:rsid w:val="00E66E71"/>
    <w:rsid w:val="00E67279"/>
    <w:rsid w:val="00E67F52"/>
    <w:rsid w:val="00E701D3"/>
    <w:rsid w:val="00E7039A"/>
    <w:rsid w:val="00E704B7"/>
    <w:rsid w:val="00E705DD"/>
    <w:rsid w:val="00E70774"/>
    <w:rsid w:val="00E70C5B"/>
    <w:rsid w:val="00E71ED1"/>
    <w:rsid w:val="00E72736"/>
    <w:rsid w:val="00E72914"/>
    <w:rsid w:val="00E7316D"/>
    <w:rsid w:val="00E73687"/>
    <w:rsid w:val="00E7385F"/>
    <w:rsid w:val="00E7559E"/>
    <w:rsid w:val="00E75749"/>
    <w:rsid w:val="00E75C5C"/>
    <w:rsid w:val="00E771A2"/>
    <w:rsid w:val="00E77C8A"/>
    <w:rsid w:val="00E8073D"/>
    <w:rsid w:val="00E809C7"/>
    <w:rsid w:val="00E80EAF"/>
    <w:rsid w:val="00E81464"/>
    <w:rsid w:val="00E8188A"/>
    <w:rsid w:val="00E8190D"/>
    <w:rsid w:val="00E81B8E"/>
    <w:rsid w:val="00E81E29"/>
    <w:rsid w:val="00E82512"/>
    <w:rsid w:val="00E826CA"/>
    <w:rsid w:val="00E83563"/>
    <w:rsid w:val="00E83D3D"/>
    <w:rsid w:val="00E84C3B"/>
    <w:rsid w:val="00E862E3"/>
    <w:rsid w:val="00E867DA"/>
    <w:rsid w:val="00E868F1"/>
    <w:rsid w:val="00E86EB0"/>
    <w:rsid w:val="00E874A0"/>
    <w:rsid w:val="00E8761A"/>
    <w:rsid w:val="00E8792A"/>
    <w:rsid w:val="00E902BC"/>
    <w:rsid w:val="00E90883"/>
    <w:rsid w:val="00E91291"/>
    <w:rsid w:val="00E91B5F"/>
    <w:rsid w:val="00E91C9B"/>
    <w:rsid w:val="00E92077"/>
    <w:rsid w:val="00E927AE"/>
    <w:rsid w:val="00E92975"/>
    <w:rsid w:val="00E93CC3"/>
    <w:rsid w:val="00E93E88"/>
    <w:rsid w:val="00E9429F"/>
    <w:rsid w:val="00E94498"/>
    <w:rsid w:val="00E94529"/>
    <w:rsid w:val="00E94A55"/>
    <w:rsid w:val="00E9531C"/>
    <w:rsid w:val="00E95A3B"/>
    <w:rsid w:val="00E95ED2"/>
    <w:rsid w:val="00E96737"/>
    <w:rsid w:val="00E968D0"/>
    <w:rsid w:val="00E96AAD"/>
    <w:rsid w:val="00E96B1A"/>
    <w:rsid w:val="00EA0014"/>
    <w:rsid w:val="00EA01ED"/>
    <w:rsid w:val="00EA0CBE"/>
    <w:rsid w:val="00EA10E6"/>
    <w:rsid w:val="00EA2BBC"/>
    <w:rsid w:val="00EA3BF8"/>
    <w:rsid w:val="00EA3DE3"/>
    <w:rsid w:val="00EA5597"/>
    <w:rsid w:val="00EA5A36"/>
    <w:rsid w:val="00EA66E5"/>
    <w:rsid w:val="00EA6C92"/>
    <w:rsid w:val="00EA7314"/>
    <w:rsid w:val="00EA7DBF"/>
    <w:rsid w:val="00EB00C3"/>
    <w:rsid w:val="00EB08B9"/>
    <w:rsid w:val="00EB195B"/>
    <w:rsid w:val="00EB1D20"/>
    <w:rsid w:val="00EB29C6"/>
    <w:rsid w:val="00EB2C3A"/>
    <w:rsid w:val="00EB2C51"/>
    <w:rsid w:val="00EB30B9"/>
    <w:rsid w:val="00EB31AA"/>
    <w:rsid w:val="00EB4440"/>
    <w:rsid w:val="00EB505A"/>
    <w:rsid w:val="00EB5430"/>
    <w:rsid w:val="00EB6F2A"/>
    <w:rsid w:val="00EB72D8"/>
    <w:rsid w:val="00EB7DCF"/>
    <w:rsid w:val="00EC19AB"/>
    <w:rsid w:val="00EC19B9"/>
    <w:rsid w:val="00EC1A02"/>
    <w:rsid w:val="00EC240F"/>
    <w:rsid w:val="00EC2574"/>
    <w:rsid w:val="00EC29FD"/>
    <w:rsid w:val="00EC3EA2"/>
    <w:rsid w:val="00EC46E1"/>
    <w:rsid w:val="00EC4927"/>
    <w:rsid w:val="00EC57A3"/>
    <w:rsid w:val="00EC5FB6"/>
    <w:rsid w:val="00EC687C"/>
    <w:rsid w:val="00EC6A1B"/>
    <w:rsid w:val="00EC702E"/>
    <w:rsid w:val="00EC7212"/>
    <w:rsid w:val="00EC75EE"/>
    <w:rsid w:val="00EC7CCC"/>
    <w:rsid w:val="00ED02E3"/>
    <w:rsid w:val="00ED0FC7"/>
    <w:rsid w:val="00ED23E9"/>
    <w:rsid w:val="00ED40EB"/>
    <w:rsid w:val="00ED4106"/>
    <w:rsid w:val="00ED4B68"/>
    <w:rsid w:val="00ED4DCD"/>
    <w:rsid w:val="00ED5167"/>
    <w:rsid w:val="00ED53AA"/>
    <w:rsid w:val="00ED55A3"/>
    <w:rsid w:val="00ED5C8F"/>
    <w:rsid w:val="00ED5F84"/>
    <w:rsid w:val="00ED654C"/>
    <w:rsid w:val="00ED666B"/>
    <w:rsid w:val="00ED6C9C"/>
    <w:rsid w:val="00ED7A8A"/>
    <w:rsid w:val="00ED7CCF"/>
    <w:rsid w:val="00EE0331"/>
    <w:rsid w:val="00EE0BB0"/>
    <w:rsid w:val="00EE142C"/>
    <w:rsid w:val="00EE16A3"/>
    <w:rsid w:val="00EE1760"/>
    <w:rsid w:val="00EE1793"/>
    <w:rsid w:val="00EE22B4"/>
    <w:rsid w:val="00EE2BD8"/>
    <w:rsid w:val="00EE3F25"/>
    <w:rsid w:val="00EE4915"/>
    <w:rsid w:val="00EE52D1"/>
    <w:rsid w:val="00EE54A6"/>
    <w:rsid w:val="00EE5561"/>
    <w:rsid w:val="00EE5F88"/>
    <w:rsid w:val="00EE642B"/>
    <w:rsid w:val="00EE66C8"/>
    <w:rsid w:val="00EE7657"/>
    <w:rsid w:val="00EE78D4"/>
    <w:rsid w:val="00EE7947"/>
    <w:rsid w:val="00EE7AE8"/>
    <w:rsid w:val="00EF1819"/>
    <w:rsid w:val="00EF1C6C"/>
    <w:rsid w:val="00EF1CE8"/>
    <w:rsid w:val="00EF23B6"/>
    <w:rsid w:val="00EF247B"/>
    <w:rsid w:val="00EF276A"/>
    <w:rsid w:val="00EF2C4B"/>
    <w:rsid w:val="00EF38A3"/>
    <w:rsid w:val="00EF3C95"/>
    <w:rsid w:val="00EF4127"/>
    <w:rsid w:val="00EF4FBB"/>
    <w:rsid w:val="00EF5336"/>
    <w:rsid w:val="00EF69F5"/>
    <w:rsid w:val="00EF77D2"/>
    <w:rsid w:val="00EF7893"/>
    <w:rsid w:val="00F00254"/>
    <w:rsid w:val="00F003A7"/>
    <w:rsid w:val="00F005F4"/>
    <w:rsid w:val="00F00B0C"/>
    <w:rsid w:val="00F011C3"/>
    <w:rsid w:val="00F026F4"/>
    <w:rsid w:val="00F03268"/>
    <w:rsid w:val="00F04327"/>
    <w:rsid w:val="00F05A81"/>
    <w:rsid w:val="00F05EEB"/>
    <w:rsid w:val="00F0668D"/>
    <w:rsid w:val="00F06AEF"/>
    <w:rsid w:val="00F06AFD"/>
    <w:rsid w:val="00F06CB3"/>
    <w:rsid w:val="00F07197"/>
    <w:rsid w:val="00F0719E"/>
    <w:rsid w:val="00F12207"/>
    <w:rsid w:val="00F1221F"/>
    <w:rsid w:val="00F133E3"/>
    <w:rsid w:val="00F14754"/>
    <w:rsid w:val="00F15C34"/>
    <w:rsid w:val="00F15DDF"/>
    <w:rsid w:val="00F1622C"/>
    <w:rsid w:val="00F16318"/>
    <w:rsid w:val="00F17141"/>
    <w:rsid w:val="00F171EE"/>
    <w:rsid w:val="00F17676"/>
    <w:rsid w:val="00F17BAE"/>
    <w:rsid w:val="00F206F9"/>
    <w:rsid w:val="00F208EE"/>
    <w:rsid w:val="00F20C35"/>
    <w:rsid w:val="00F22470"/>
    <w:rsid w:val="00F2293E"/>
    <w:rsid w:val="00F24204"/>
    <w:rsid w:val="00F24DC9"/>
    <w:rsid w:val="00F24E7D"/>
    <w:rsid w:val="00F25225"/>
    <w:rsid w:val="00F25AC1"/>
    <w:rsid w:val="00F25C82"/>
    <w:rsid w:val="00F25CE4"/>
    <w:rsid w:val="00F30946"/>
    <w:rsid w:val="00F322AE"/>
    <w:rsid w:val="00F3263F"/>
    <w:rsid w:val="00F328FA"/>
    <w:rsid w:val="00F33115"/>
    <w:rsid w:val="00F3483F"/>
    <w:rsid w:val="00F40552"/>
    <w:rsid w:val="00F4188A"/>
    <w:rsid w:val="00F428F2"/>
    <w:rsid w:val="00F42961"/>
    <w:rsid w:val="00F42D97"/>
    <w:rsid w:val="00F449B0"/>
    <w:rsid w:val="00F44BC3"/>
    <w:rsid w:val="00F456A7"/>
    <w:rsid w:val="00F45B9B"/>
    <w:rsid w:val="00F46202"/>
    <w:rsid w:val="00F46B7F"/>
    <w:rsid w:val="00F472A2"/>
    <w:rsid w:val="00F475CF"/>
    <w:rsid w:val="00F51A20"/>
    <w:rsid w:val="00F51B27"/>
    <w:rsid w:val="00F5285D"/>
    <w:rsid w:val="00F53551"/>
    <w:rsid w:val="00F53686"/>
    <w:rsid w:val="00F53C6B"/>
    <w:rsid w:val="00F54C4E"/>
    <w:rsid w:val="00F55215"/>
    <w:rsid w:val="00F55968"/>
    <w:rsid w:val="00F5633D"/>
    <w:rsid w:val="00F56F9A"/>
    <w:rsid w:val="00F602BD"/>
    <w:rsid w:val="00F609E1"/>
    <w:rsid w:val="00F6179B"/>
    <w:rsid w:val="00F61BCF"/>
    <w:rsid w:val="00F61D7A"/>
    <w:rsid w:val="00F61FD8"/>
    <w:rsid w:val="00F6204E"/>
    <w:rsid w:val="00F6222D"/>
    <w:rsid w:val="00F6238B"/>
    <w:rsid w:val="00F62EF7"/>
    <w:rsid w:val="00F63687"/>
    <w:rsid w:val="00F6391E"/>
    <w:rsid w:val="00F645AE"/>
    <w:rsid w:val="00F6535B"/>
    <w:rsid w:val="00F65665"/>
    <w:rsid w:val="00F66176"/>
    <w:rsid w:val="00F66183"/>
    <w:rsid w:val="00F6712D"/>
    <w:rsid w:val="00F67CF3"/>
    <w:rsid w:val="00F67ED4"/>
    <w:rsid w:val="00F7126B"/>
    <w:rsid w:val="00F716F4"/>
    <w:rsid w:val="00F728C4"/>
    <w:rsid w:val="00F72AC1"/>
    <w:rsid w:val="00F74E4E"/>
    <w:rsid w:val="00F761E8"/>
    <w:rsid w:val="00F7668E"/>
    <w:rsid w:val="00F76895"/>
    <w:rsid w:val="00F77F40"/>
    <w:rsid w:val="00F8089C"/>
    <w:rsid w:val="00F80999"/>
    <w:rsid w:val="00F81B09"/>
    <w:rsid w:val="00F8228D"/>
    <w:rsid w:val="00F839E1"/>
    <w:rsid w:val="00F83BEB"/>
    <w:rsid w:val="00F83E14"/>
    <w:rsid w:val="00F8436D"/>
    <w:rsid w:val="00F848BA"/>
    <w:rsid w:val="00F84F4D"/>
    <w:rsid w:val="00F85340"/>
    <w:rsid w:val="00F87033"/>
    <w:rsid w:val="00F87063"/>
    <w:rsid w:val="00F87796"/>
    <w:rsid w:val="00F90090"/>
    <w:rsid w:val="00F9080F"/>
    <w:rsid w:val="00F90CDD"/>
    <w:rsid w:val="00F90EF7"/>
    <w:rsid w:val="00F914B6"/>
    <w:rsid w:val="00F91759"/>
    <w:rsid w:val="00F91ACB"/>
    <w:rsid w:val="00F91F21"/>
    <w:rsid w:val="00F91FCD"/>
    <w:rsid w:val="00F921A7"/>
    <w:rsid w:val="00F9247C"/>
    <w:rsid w:val="00F93E8D"/>
    <w:rsid w:val="00F94EBD"/>
    <w:rsid w:val="00F9541A"/>
    <w:rsid w:val="00F9641C"/>
    <w:rsid w:val="00F96440"/>
    <w:rsid w:val="00F965CF"/>
    <w:rsid w:val="00F96D4D"/>
    <w:rsid w:val="00F97210"/>
    <w:rsid w:val="00F979D7"/>
    <w:rsid w:val="00FA1683"/>
    <w:rsid w:val="00FA23E2"/>
    <w:rsid w:val="00FA2703"/>
    <w:rsid w:val="00FA289D"/>
    <w:rsid w:val="00FA2F9D"/>
    <w:rsid w:val="00FA3202"/>
    <w:rsid w:val="00FA3326"/>
    <w:rsid w:val="00FA39CA"/>
    <w:rsid w:val="00FA4FC0"/>
    <w:rsid w:val="00FA51E0"/>
    <w:rsid w:val="00FA645C"/>
    <w:rsid w:val="00FA649A"/>
    <w:rsid w:val="00FA6B5C"/>
    <w:rsid w:val="00FA6EBE"/>
    <w:rsid w:val="00FA7231"/>
    <w:rsid w:val="00FA77D6"/>
    <w:rsid w:val="00FA7A31"/>
    <w:rsid w:val="00FA7C51"/>
    <w:rsid w:val="00FB0719"/>
    <w:rsid w:val="00FB1328"/>
    <w:rsid w:val="00FB15B6"/>
    <w:rsid w:val="00FB1EB3"/>
    <w:rsid w:val="00FB287C"/>
    <w:rsid w:val="00FB2CD4"/>
    <w:rsid w:val="00FB33E9"/>
    <w:rsid w:val="00FB3ACC"/>
    <w:rsid w:val="00FB519D"/>
    <w:rsid w:val="00FB6077"/>
    <w:rsid w:val="00FB6291"/>
    <w:rsid w:val="00FB635B"/>
    <w:rsid w:val="00FB65B3"/>
    <w:rsid w:val="00FB684C"/>
    <w:rsid w:val="00FB6E2B"/>
    <w:rsid w:val="00FB6EB6"/>
    <w:rsid w:val="00FC007C"/>
    <w:rsid w:val="00FC07F6"/>
    <w:rsid w:val="00FC14C3"/>
    <w:rsid w:val="00FC1D35"/>
    <w:rsid w:val="00FC2680"/>
    <w:rsid w:val="00FC2E66"/>
    <w:rsid w:val="00FC33DC"/>
    <w:rsid w:val="00FC36D7"/>
    <w:rsid w:val="00FC3CCE"/>
    <w:rsid w:val="00FC3F1D"/>
    <w:rsid w:val="00FC4724"/>
    <w:rsid w:val="00FC48ED"/>
    <w:rsid w:val="00FC56A5"/>
    <w:rsid w:val="00FC6343"/>
    <w:rsid w:val="00FC6B98"/>
    <w:rsid w:val="00FC6C10"/>
    <w:rsid w:val="00FC6D23"/>
    <w:rsid w:val="00FC7DD3"/>
    <w:rsid w:val="00FD098F"/>
    <w:rsid w:val="00FD0DA8"/>
    <w:rsid w:val="00FD0F3D"/>
    <w:rsid w:val="00FD1079"/>
    <w:rsid w:val="00FD116D"/>
    <w:rsid w:val="00FD17BA"/>
    <w:rsid w:val="00FD1A72"/>
    <w:rsid w:val="00FD1B6B"/>
    <w:rsid w:val="00FD265E"/>
    <w:rsid w:val="00FD27F6"/>
    <w:rsid w:val="00FD2AD5"/>
    <w:rsid w:val="00FD32F2"/>
    <w:rsid w:val="00FD36D0"/>
    <w:rsid w:val="00FD38CD"/>
    <w:rsid w:val="00FD3FF0"/>
    <w:rsid w:val="00FD46D3"/>
    <w:rsid w:val="00FD49E1"/>
    <w:rsid w:val="00FD4FE0"/>
    <w:rsid w:val="00FD547F"/>
    <w:rsid w:val="00FD5B43"/>
    <w:rsid w:val="00FD5FB3"/>
    <w:rsid w:val="00FD6135"/>
    <w:rsid w:val="00FD64EC"/>
    <w:rsid w:val="00FD6535"/>
    <w:rsid w:val="00FD72D3"/>
    <w:rsid w:val="00FD76EE"/>
    <w:rsid w:val="00FD7EFC"/>
    <w:rsid w:val="00FE0435"/>
    <w:rsid w:val="00FE0F78"/>
    <w:rsid w:val="00FE14E4"/>
    <w:rsid w:val="00FE3321"/>
    <w:rsid w:val="00FE3DF4"/>
    <w:rsid w:val="00FE4177"/>
    <w:rsid w:val="00FE4791"/>
    <w:rsid w:val="00FE4E08"/>
    <w:rsid w:val="00FE5328"/>
    <w:rsid w:val="00FE56B9"/>
    <w:rsid w:val="00FE5847"/>
    <w:rsid w:val="00FE63CB"/>
    <w:rsid w:val="00FE6E6E"/>
    <w:rsid w:val="00FE6F5D"/>
    <w:rsid w:val="00FE7453"/>
    <w:rsid w:val="00FE780A"/>
    <w:rsid w:val="00FE7EB3"/>
    <w:rsid w:val="00FF0E3C"/>
    <w:rsid w:val="00FF0F9C"/>
    <w:rsid w:val="00FF10F5"/>
    <w:rsid w:val="00FF2E62"/>
    <w:rsid w:val="00FF393D"/>
    <w:rsid w:val="00FF3A46"/>
    <w:rsid w:val="00FF45F5"/>
    <w:rsid w:val="00FF5312"/>
    <w:rsid w:val="00FF563B"/>
    <w:rsid w:val="00FF58B7"/>
    <w:rsid w:val="00FF5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0B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A9"/>
    <w:rPr>
      <w:lang w:val="en-GB"/>
    </w:rPr>
  </w:style>
  <w:style w:type="paragraph" w:styleId="Heading1">
    <w:name w:val="heading 1"/>
    <w:basedOn w:val="Normal"/>
    <w:next w:val="Normal"/>
    <w:link w:val="Heading1Char"/>
    <w:autoRedefine/>
    <w:uiPriority w:val="9"/>
    <w:qFormat/>
    <w:rsid w:val="00D207A9"/>
    <w:pPr>
      <w:keepNext/>
      <w:keepLines/>
      <w:spacing w:line="360" w:lineRule="auto"/>
      <w:outlineLvl w:val="0"/>
    </w:pPr>
    <w:rPr>
      <w:rFonts w:eastAsiaTheme="majorEastAsia" w:cstheme="majorBidi"/>
      <w:b/>
      <w:bCs/>
      <w:sz w:val="26"/>
      <w:szCs w:val="32"/>
    </w:rPr>
  </w:style>
  <w:style w:type="paragraph" w:styleId="Heading2">
    <w:name w:val="heading 2"/>
    <w:basedOn w:val="Normal"/>
    <w:next w:val="Normal"/>
    <w:link w:val="Heading2Char"/>
    <w:uiPriority w:val="9"/>
    <w:unhideWhenUsed/>
    <w:qFormat/>
    <w:rsid w:val="00D207A9"/>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207A9"/>
    <w:pPr>
      <w:keepNext/>
      <w:keepLines/>
      <w:jc w:val="both"/>
      <w:outlineLvl w:val="2"/>
    </w:pPr>
    <w:rPr>
      <w:rFonts w:eastAsiaTheme="majorEastAsia" w:cstheme="majorBidi"/>
      <w:bCs/>
      <w:i/>
    </w:rPr>
  </w:style>
  <w:style w:type="paragraph" w:styleId="Heading4">
    <w:name w:val="heading 4"/>
    <w:basedOn w:val="Normal"/>
    <w:next w:val="Normal"/>
    <w:link w:val="Heading4Char"/>
    <w:uiPriority w:val="9"/>
    <w:unhideWhenUsed/>
    <w:qFormat/>
    <w:rsid w:val="00D207A9"/>
    <w:pPr>
      <w:keepNext/>
      <w:keepLine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7A9"/>
    <w:rPr>
      <w:rFonts w:eastAsiaTheme="majorEastAsia" w:cstheme="majorBidi"/>
      <w:b/>
      <w:bCs/>
      <w:sz w:val="26"/>
      <w:szCs w:val="32"/>
      <w:lang w:val="en-GB"/>
    </w:rPr>
  </w:style>
  <w:style w:type="character" w:customStyle="1" w:styleId="Heading2Char">
    <w:name w:val="Heading 2 Char"/>
    <w:basedOn w:val="DefaultParagraphFont"/>
    <w:link w:val="Heading2"/>
    <w:uiPriority w:val="9"/>
    <w:rsid w:val="00D207A9"/>
    <w:rPr>
      <w:rFonts w:eastAsiaTheme="majorEastAsia" w:cstheme="majorBidi"/>
      <w:b/>
      <w:bCs/>
      <w:szCs w:val="26"/>
      <w:lang w:val="en-GB"/>
    </w:rPr>
  </w:style>
  <w:style w:type="character" w:customStyle="1" w:styleId="Heading3Char">
    <w:name w:val="Heading 3 Char"/>
    <w:basedOn w:val="DefaultParagraphFont"/>
    <w:link w:val="Heading3"/>
    <w:uiPriority w:val="9"/>
    <w:rsid w:val="00D207A9"/>
    <w:rPr>
      <w:rFonts w:eastAsiaTheme="majorEastAsia" w:cstheme="majorBidi"/>
      <w:bCs/>
      <w:i/>
      <w:lang w:val="en-GB"/>
    </w:rPr>
  </w:style>
  <w:style w:type="character" w:customStyle="1" w:styleId="Heading4Char">
    <w:name w:val="Heading 4 Char"/>
    <w:basedOn w:val="DefaultParagraphFont"/>
    <w:link w:val="Heading4"/>
    <w:uiPriority w:val="9"/>
    <w:rsid w:val="00D207A9"/>
    <w:rPr>
      <w:rFonts w:eastAsiaTheme="majorEastAsia" w:cstheme="majorBidi"/>
      <w:bCs/>
      <w:iCs/>
      <w:lang w:val="en-GB"/>
    </w:rPr>
  </w:style>
  <w:style w:type="paragraph" w:styleId="Header">
    <w:name w:val="header"/>
    <w:basedOn w:val="Normal"/>
    <w:link w:val="HeaderChar"/>
    <w:uiPriority w:val="99"/>
    <w:unhideWhenUsed/>
    <w:rsid w:val="00D207A9"/>
    <w:pPr>
      <w:tabs>
        <w:tab w:val="center" w:pos="4320"/>
        <w:tab w:val="right" w:pos="8640"/>
      </w:tabs>
    </w:pPr>
  </w:style>
  <w:style w:type="character" w:customStyle="1" w:styleId="HeaderChar">
    <w:name w:val="Header Char"/>
    <w:basedOn w:val="DefaultParagraphFont"/>
    <w:link w:val="Header"/>
    <w:uiPriority w:val="99"/>
    <w:rsid w:val="00D207A9"/>
    <w:rPr>
      <w:lang w:val="en-GB"/>
    </w:rPr>
  </w:style>
  <w:style w:type="paragraph" w:styleId="Footer">
    <w:name w:val="footer"/>
    <w:basedOn w:val="Normal"/>
    <w:link w:val="FooterChar"/>
    <w:uiPriority w:val="99"/>
    <w:unhideWhenUsed/>
    <w:rsid w:val="00D207A9"/>
    <w:pPr>
      <w:tabs>
        <w:tab w:val="center" w:pos="4320"/>
        <w:tab w:val="right" w:pos="8640"/>
      </w:tabs>
    </w:pPr>
  </w:style>
  <w:style w:type="character" w:customStyle="1" w:styleId="FooterChar">
    <w:name w:val="Footer Char"/>
    <w:basedOn w:val="DefaultParagraphFont"/>
    <w:link w:val="Footer"/>
    <w:uiPriority w:val="99"/>
    <w:rsid w:val="00D207A9"/>
    <w:rPr>
      <w:lang w:val="en-GB"/>
    </w:rPr>
  </w:style>
  <w:style w:type="character" w:styleId="PageNumber">
    <w:name w:val="page number"/>
    <w:basedOn w:val="DefaultParagraphFont"/>
    <w:uiPriority w:val="99"/>
    <w:semiHidden/>
    <w:unhideWhenUsed/>
    <w:rsid w:val="00D207A9"/>
  </w:style>
  <w:style w:type="paragraph" w:styleId="FootnoteText">
    <w:name w:val="footnote text"/>
    <w:basedOn w:val="Normal"/>
    <w:link w:val="FootnoteTextChar"/>
    <w:uiPriority w:val="99"/>
    <w:unhideWhenUsed/>
    <w:rsid w:val="00D207A9"/>
  </w:style>
  <w:style w:type="character" w:customStyle="1" w:styleId="FootnoteTextChar">
    <w:name w:val="Footnote Text Char"/>
    <w:basedOn w:val="DefaultParagraphFont"/>
    <w:link w:val="FootnoteText"/>
    <w:uiPriority w:val="99"/>
    <w:rsid w:val="00D207A9"/>
    <w:rPr>
      <w:lang w:val="en-GB"/>
    </w:rPr>
  </w:style>
  <w:style w:type="character" w:styleId="FootnoteReference">
    <w:name w:val="footnote reference"/>
    <w:basedOn w:val="DefaultParagraphFont"/>
    <w:uiPriority w:val="99"/>
    <w:unhideWhenUsed/>
    <w:rsid w:val="00D207A9"/>
    <w:rPr>
      <w:vertAlign w:val="superscript"/>
    </w:rPr>
  </w:style>
  <w:style w:type="paragraph" w:styleId="ListParagraph">
    <w:name w:val="List Paragraph"/>
    <w:basedOn w:val="Normal"/>
    <w:uiPriority w:val="34"/>
    <w:qFormat/>
    <w:rsid w:val="00D207A9"/>
    <w:pPr>
      <w:ind w:left="720"/>
      <w:contextualSpacing/>
    </w:pPr>
  </w:style>
  <w:style w:type="character" w:styleId="CommentReference">
    <w:name w:val="annotation reference"/>
    <w:basedOn w:val="DefaultParagraphFont"/>
    <w:uiPriority w:val="99"/>
    <w:semiHidden/>
    <w:unhideWhenUsed/>
    <w:rsid w:val="00D207A9"/>
    <w:rPr>
      <w:sz w:val="18"/>
      <w:szCs w:val="18"/>
    </w:rPr>
  </w:style>
  <w:style w:type="paragraph" w:styleId="CommentText">
    <w:name w:val="annotation text"/>
    <w:basedOn w:val="Normal"/>
    <w:link w:val="CommentTextChar"/>
    <w:uiPriority w:val="99"/>
    <w:semiHidden/>
    <w:unhideWhenUsed/>
    <w:rsid w:val="00D207A9"/>
  </w:style>
  <w:style w:type="character" w:customStyle="1" w:styleId="CommentTextChar">
    <w:name w:val="Comment Text Char"/>
    <w:basedOn w:val="DefaultParagraphFont"/>
    <w:link w:val="CommentText"/>
    <w:uiPriority w:val="99"/>
    <w:semiHidden/>
    <w:rsid w:val="00D207A9"/>
    <w:rPr>
      <w:lang w:val="en-GB"/>
    </w:rPr>
  </w:style>
  <w:style w:type="paragraph" w:styleId="CommentSubject">
    <w:name w:val="annotation subject"/>
    <w:basedOn w:val="CommentText"/>
    <w:next w:val="CommentText"/>
    <w:link w:val="CommentSubjectChar"/>
    <w:uiPriority w:val="99"/>
    <w:semiHidden/>
    <w:unhideWhenUsed/>
    <w:rsid w:val="00D207A9"/>
    <w:rPr>
      <w:b/>
      <w:bCs/>
      <w:sz w:val="20"/>
      <w:szCs w:val="20"/>
    </w:rPr>
  </w:style>
  <w:style w:type="character" w:customStyle="1" w:styleId="CommentSubjectChar">
    <w:name w:val="Comment Subject Char"/>
    <w:basedOn w:val="CommentTextChar"/>
    <w:link w:val="CommentSubject"/>
    <w:uiPriority w:val="99"/>
    <w:semiHidden/>
    <w:rsid w:val="00D207A9"/>
    <w:rPr>
      <w:b/>
      <w:bCs/>
      <w:sz w:val="20"/>
      <w:szCs w:val="20"/>
      <w:lang w:val="en-GB"/>
    </w:rPr>
  </w:style>
  <w:style w:type="paragraph" w:styleId="BalloonText">
    <w:name w:val="Balloon Text"/>
    <w:basedOn w:val="Normal"/>
    <w:link w:val="BalloonTextChar"/>
    <w:uiPriority w:val="99"/>
    <w:semiHidden/>
    <w:unhideWhenUsed/>
    <w:rsid w:val="00D207A9"/>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7A9"/>
    <w:rPr>
      <w:rFonts w:ascii="Lucida Grande" w:hAnsi="Lucida Grande"/>
      <w:sz w:val="18"/>
      <w:szCs w:val="18"/>
      <w:lang w:val="en-GB"/>
    </w:rPr>
  </w:style>
  <w:style w:type="paragraph" w:customStyle="1" w:styleId="NoteLevel11">
    <w:name w:val="Note Level 11"/>
    <w:basedOn w:val="Normal"/>
    <w:uiPriority w:val="99"/>
    <w:unhideWhenUsed/>
    <w:rsid w:val="00D207A9"/>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D207A9"/>
    <w:pPr>
      <w:keepNext/>
      <w:numPr>
        <w:ilvl w:val="1"/>
        <w:numId w:val="1"/>
      </w:numPr>
      <w:contextualSpacing/>
      <w:outlineLvl w:val="1"/>
    </w:pPr>
    <w:rPr>
      <w:rFonts w:ascii="Verdana" w:hAnsi="Verdana"/>
    </w:rPr>
  </w:style>
  <w:style w:type="paragraph" w:customStyle="1" w:styleId="NoteLevel31">
    <w:name w:val="Note Level 31"/>
    <w:basedOn w:val="Normal"/>
    <w:uiPriority w:val="99"/>
    <w:unhideWhenUsed/>
    <w:rsid w:val="00D207A9"/>
    <w:pPr>
      <w:keepNext/>
      <w:numPr>
        <w:ilvl w:val="2"/>
        <w:numId w:val="1"/>
      </w:numPr>
      <w:contextualSpacing/>
      <w:outlineLvl w:val="2"/>
    </w:pPr>
    <w:rPr>
      <w:rFonts w:ascii="Verdana" w:hAnsi="Verdana"/>
    </w:rPr>
  </w:style>
  <w:style w:type="paragraph" w:customStyle="1" w:styleId="NoteLevel41">
    <w:name w:val="Note Level 41"/>
    <w:basedOn w:val="Normal"/>
    <w:uiPriority w:val="99"/>
    <w:unhideWhenUsed/>
    <w:rsid w:val="00D207A9"/>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D207A9"/>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D207A9"/>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D207A9"/>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D207A9"/>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D207A9"/>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D207A9"/>
    <w:rPr>
      <w:color w:val="0000FF" w:themeColor="hyperlink"/>
      <w:u w:val="single"/>
    </w:rPr>
  </w:style>
  <w:style w:type="table" w:styleId="TableGrid">
    <w:name w:val="Table Grid"/>
    <w:basedOn w:val="TableNormal"/>
    <w:uiPriority w:val="59"/>
    <w:rsid w:val="00D20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07A9"/>
  </w:style>
  <w:style w:type="paragraph" w:styleId="TOCHeading">
    <w:name w:val="TOC Heading"/>
    <w:basedOn w:val="Heading1"/>
    <w:next w:val="Normal"/>
    <w:uiPriority w:val="39"/>
    <w:unhideWhenUsed/>
    <w:qFormat/>
    <w:rsid w:val="00D207A9"/>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D207A9"/>
    <w:pPr>
      <w:spacing w:before="120"/>
    </w:pPr>
    <w:rPr>
      <w:b/>
    </w:rPr>
  </w:style>
  <w:style w:type="paragraph" w:styleId="TOC2">
    <w:name w:val="toc 2"/>
    <w:basedOn w:val="Normal"/>
    <w:next w:val="Normal"/>
    <w:autoRedefine/>
    <w:uiPriority w:val="39"/>
    <w:unhideWhenUsed/>
    <w:rsid w:val="00D207A9"/>
    <w:pPr>
      <w:tabs>
        <w:tab w:val="right" w:leader="dot" w:pos="8789"/>
      </w:tabs>
      <w:ind w:left="240"/>
    </w:pPr>
    <w:rPr>
      <w:sz w:val="22"/>
      <w:szCs w:val="22"/>
    </w:rPr>
  </w:style>
  <w:style w:type="paragraph" w:styleId="TOC3">
    <w:name w:val="toc 3"/>
    <w:basedOn w:val="Normal"/>
    <w:next w:val="Normal"/>
    <w:autoRedefine/>
    <w:uiPriority w:val="39"/>
    <w:unhideWhenUsed/>
    <w:rsid w:val="00D207A9"/>
    <w:pPr>
      <w:ind w:left="480"/>
    </w:pPr>
    <w:rPr>
      <w:i/>
      <w:sz w:val="22"/>
      <w:szCs w:val="22"/>
    </w:rPr>
  </w:style>
  <w:style w:type="paragraph" w:styleId="TOC4">
    <w:name w:val="toc 4"/>
    <w:basedOn w:val="Normal"/>
    <w:next w:val="Normal"/>
    <w:autoRedefine/>
    <w:uiPriority w:val="39"/>
    <w:unhideWhenUsed/>
    <w:rsid w:val="00D207A9"/>
    <w:pPr>
      <w:ind w:left="720"/>
    </w:pPr>
    <w:rPr>
      <w:sz w:val="20"/>
      <w:szCs w:val="20"/>
    </w:rPr>
  </w:style>
  <w:style w:type="paragraph" w:styleId="TOC5">
    <w:name w:val="toc 5"/>
    <w:basedOn w:val="Normal"/>
    <w:next w:val="Normal"/>
    <w:autoRedefine/>
    <w:uiPriority w:val="39"/>
    <w:unhideWhenUsed/>
    <w:rsid w:val="00D207A9"/>
    <w:pPr>
      <w:ind w:left="960"/>
    </w:pPr>
    <w:rPr>
      <w:sz w:val="20"/>
      <w:szCs w:val="20"/>
    </w:rPr>
  </w:style>
  <w:style w:type="paragraph" w:styleId="TOC6">
    <w:name w:val="toc 6"/>
    <w:basedOn w:val="Normal"/>
    <w:next w:val="Normal"/>
    <w:autoRedefine/>
    <w:uiPriority w:val="39"/>
    <w:unhideWhenUsed/>
    <w:rsid w:val="00D207A9"/>
    <w:pPr>
      <w:ind w:left="1200"/>
    </w:pPr>
    <w:rPr>
      <w:sz w:val="20"/>
      <w:szCs w:val="20"/>
    </w:rPr>
  </w:style>
  <w:style w:type="paragraph" w:styleId="TOC7">
    <w:name w:val="toc 7"/>
    <w:basedOn w:val="Normal"/>
    <w:next w:val="Normal"/>
    <w:autoRedefine/>
    <w:uiPriority w:val="39"/>
    <w:unhideWhenUsed/>
    <w:rsid w:val="00D207A9"/>
    <w:pPr>
      <w:ind w:left="1440"/>
    </w:pPr>
    <w:rPr>
      <w:sz w:val="20"/>
      <w:szCs w:val="20"/>
    </w:rPr>
  </w:style>
  <w:style w:type="paragraph" w:styleId="TOC8">
    <w:name w:val="toc 8"/>
    <w:basedOn w:val="Normal"/>
    <w:next w:val="Normal"/>
    <w:autoRedefine/>
    <w:uiPriority w:val="39"/>
    <w:unhideWhenUsed/>
    <w:rsid w:val="00D207A9"/>
    <w:pPr>
      <w:ind w:left="1680"/>
    </w:pPr>
    <w:rPr>
      <w:sz w:val="20"/>
      <w:szCs w:val="20"/>
    </w:rPr>
  </w:style>
  <w:style w:type="paragraph" w:styleId="TOC9">
    <w:name w:val="toc 9"/>
    <w:basedOn w:val="Normal"/>
    <w:next w:val="Normal"/>
    <w:autoRedefine/>
    <w:uiPriority w:val="39"/>
    <w:unhideWhenUsed/>
    <w:rsid w:val="00D207A9"/>
    <w:pPr>
      <w:ind w:left="1920"/>
    </w:pPr>
    <w:rPr>
      <w:sz w:val="20"/>
      <w:szCs w:val="20"/>
    </w:rPr>
  </w:style>
  <w:style w:type="character" w:styleId="Emphasis">
    <w:name w:val="Emphasis"/>
    <w:basedOn w:val="DefaultParagraphFont"/>
    <w:uiPriority w:val="20"/>
    <w:qFormat/>
    <w:rsid w:val="00D207A9"/>
    <w:rPr>
      <w:i/>
      <w:iCs/>
    </w:rPr>
  </w:style>
  <w:style w:type="character" w:styleId="FollowedHyperlink">
    <w:name w:val="FollowedHyperlink"/>
    <w:basedOn w:val="DefaultParagraphFont"/>
    <w:uiPriority w:val="99"/>
    <w:semiHidden/>
    <w:unhideWhenUsed/>
    <w:rsid w:val="00D207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A9"/>
    <w:rPr>
      <w:lang w:val="en-GB"/>
    </w:rPr>
  </w:style>
  <w:style w:type="paragraph" w:styleId="Heading1">
    <w:name w:val="heading 1"/>
    <w:basedOn w:val="Normal"/>
    <w:next w:val="Normal"/>
    <w:link w:val="Heading1Char"/>
    <w:autoRedefine/>
    <w:uiPriority w:val="9"/>
    <w:qFormat/>
    <w:rsid w:val="00D207A9"/>
    <w:pPr>
      <w:keepNext/>
      <w:keepLines/>
      <w:spacing w:line="360" w:lineRule="auto"/>
      <w:outlineLvl w:val="0"/>
    </w:pPr>
    <w:rPr>
      <w:rFonts w:eastAsiaTheme="majorEastAsia" w:cstheme="majorBidi"/>
      <w:b/>
      <w:bCs/>
      <w:sz w:val="26"/>
      <w:szCs w:val="32"/>
    </w:rPr>
  </w:style>
  <w:style w:type="paragraph" w:styleId="Heading2">
    <w:name w:val="heading 2"/>
    <w:basedOn w:val="Normal"/>
    <w:next w:val="Normal"/>
    <w:link w:val="Heading2Char"/>
    <w:uiPriority w:val="9"/>
    <w:unhideWhenUsed/>
    <w:qFormat/>
    <w:rsid w:val="00D207A9"/>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207A9"/>
    <w:pPr>
      <w:keepNext/>
      <w:keepLines/>
      <w:jc w:val="both"/>
      <w:outlineLvl w:val="2"/>
    </w:pPr>
    <w:rPr>
      <w:rFonts w:eastAsiaTheme="majorEastAsia" w:cstheme="majorBidi"/>
      <w:bCs/>
      <w:i/>
    </w:rPr>
  </w:style>
  <w:style w:type="paragraph" w:styleId="Heading4">
    <w:name w:val="heading 4"/>
    <w:basedOn w:val="Normal"/>
    <w:next w:val="Normal"/>
    <w:link w:val="Heading4Char"/>
    <w:uiPriority w:val="9"/>
    <w:unhideWhenUsed/>
    <w:qFormat/>
    <w:rsid w:val="00D207A9"/>
    <w:pPr>
      <w:keepNext/>
      <w:keepLine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7A9"/>
    <w:rPr>
      <w:rFonts w:eastAsiaTheme="majorEastAsia" w:cstheme="majorBidi"/>
      <w:b/>
      <w:bCs/>
      <w:sz w:val="26"/>
      <w:szCs w:val="32"/>
      <w:lang w:val="en-GB"/>
    </w:rPr>
  </w:style>
  <w:style w:type="character" w:customStyle="1" w:styleId="Heading2Char">
    <w:name w:val="Heading 2 Char"/>
    <w:basedOn w:val="DefaultParagraphFont"/>
    <w:link w:val="Heading2"/>
    <w:uiPriority w:val="9"/>
    <w:rsid w:val="00D207A9"/>
    <w:rPr>
      <w:rFonts w:eastAsiaTheme="majorEastAsia" w:cstheme="majorBidi"/>
      <w:b/>
      <w:bCs/>
      <w:szCs w:val="26"/>
      <w:lang w:val="en-GB"/>
    </w:rPr>
  </w:style>
  <w:style w:type="character" w:customStyle="1" w:styleId="Heading3Char">
    <w:name w:val="Heading 3 Char"/>
    <w:basedOn w:val="DefaultParagraphFont"/>
    <w:link w:val="Heading3"/>
    <w:uiPriority w:val="9"/>
    <w:rsid w:val="00D207A9"/>
    <w:rPr>
      <w:rFonts w:eastAsiaTheme="majorEastAsia" w:cstheme="majorBidi"/>
      <w:bCs/>
      <w:i/>
      <w:lang w:val="en-GB"/>
    </w:rPr>
  </w:style>
  <w:style w:type="character" w:customStyle="1" w:styleId="Heading4Char">
    <w:name w:val="Heading 4 Char"/>
    <w:basedOn w:val="DefaultParagraphFont"/>
    <w:link w:val="Heading4"/>
    <w:uiPriority w:val="9"/>
    <w:rsid w:val="00D207A9"/>
    <w:rPr>
      <w:rFonts w:eastAsiaTheme="majorEastAsia" w:cstheme="majorBidi"/>
      <w:bCs/>
      <w:iCs/>
      <w:lang w:val="en-GB"/>
    </w:rPr>
  </w:style>
  <w:style w:type="paragraph" w:styleId="Header">
    <w:name w:val="header"/>
    <w:basedOn w:val="Normal"/>
    <w:link w:val="HeaderChar"/>
    <w:uiPriority w:val="99"/>
    <w:unhideWhenUsed/>
    <w:rsid w:val="00D207A9"/>
    <w:pPr>
      <w:tabs>
        <w:tab w:val="center" w:pos="4320"/>
        <w:tab w:val="right" w:pos="8640"/>
      </w:tabs>
    </w:pPr>
  </w:style>
  <w:style w:type="character" w:customStyle="1" w:styleId="HeaderChar">
    <w:name w:val="Header Char"/>
    <w:basedOn w:val="DefaultParagraphFont"/>
    <w:link w:val="Header"/>
    <w:uiPriority w:val="99"/>
    <w:rsid w:val="00D207A9"/>
    <w:rPr>
      <w:lang w:val="en-GB"/>
    </w:rPr>
  </w:style>
  <w:style w:type="paragraph" w:styleId="Footer">
    <w:name w:val="footer"/>
    <w:basedOn w:val="Normal"/>
    <w:link w:val="FooterChar"/>
    <w:uiPriority w:val="99"/>
    <w:unhideWhenUsed/>
    <w:rsid w:val="00D207A9"/>
    <w:pPr>
      <w:tabs>
        <w:tab w:val="center" w:pos="4320"/>
        <w:tab w:val="right" w:pos="8640"/>
      </w:tabs>
    </w:pPr>
  </w:style>
  <w:style w:type="character" w:customStyle="1" w:styleId="FooterChar">
    <w:name w:val="Footer Char"/>
    <w:basedOn w:val="DefaultParagraphFont"/>
    <w:link w:val="Footer"/>
    <w:uiPriority w:val="99"/>
    <w:rsid w:val="00D207A9"/>
    <w:rPr>
      <w:lang w:val="en-GB"/>
    </w:rPr>
  </w:style>
  <w:style w:type="character" w:styleId="PageNumber">
    <w:name w:val="page number"/>
    <w:basedOn w:val="DefaultParagraphFont"/>
    <w:uiPriority w:val="99"/>
    <w:semiHidden/>
    <w:unhideWhenUsed/>
    <w:rsid w:val="00D207A9"/>
  </w:style>
  <w:style w:type="paragraph" w:styleId="FootnoteText">
    <w:name w:val="footnote text"/>
    <w:basedOn w:val="Normal"/>
    <w:link w:val="FootnoteTextChar"/>
    <w:uiPriority w:val="99"/>
    <w:unhideWhenUsed/>
    <w:rsid w:val="00D207A9"/>
  </w:style>
  <w:style w:type="character" w:customStyle="1" w:styleId="FootnoteTextChar">
    <w:name w:val="Footnote Text Char"/>
    <w:basedOn w:val="DefaultParagraphFont"/>
    <w:link w:val="FootnoteText"/>
    <w:uiPriority w:val="99"/>
    <w:rsid w:val="00D207A9"/>
    <w:rPr>
      <w:lang w:val="en-GB"/>
    </w:rPr>
  </w:style>
  <w:style w:type="character" w:styleId="FootnoteReference">
    <w:name w:val="footnote reference"/>
    <w:basedOn w:val="DefaultParagraphFont"/>
    <w:uiPriority w:val="99"/>
    <w:unhideWhenUsed/>
    <w:rsid w:val="00D207A9"/>
    <w:rPr>
      <w:vertAlign w:val="superscript"/>
    </w:rPr>
  </w:style>
  <w:style w:type="paragraph" w:styleId="ListParagraph">
    <w:name w:val="List Paragraph"/>
    <w:basedOn w:val="Normal"/>
    <w:uiPriority w:val="34"/>
    <w:qFormat/>
    <w:rsid w:val="00D207A9"/>
    <w:pPr>
      <w:ind w:left="720"/>
      <w:contextualSpacing/>
    </w:pPr>
  </w:style>
  <w:style w:type="character" w:styleId="CommentReference">
    <w:name w:val="annotation reference"/>
    <w:basedOn w:val="DefaultParagraphFont"/>
    <w:uiPriority w:val="99"/>
    <w:semiHidden/>
    <w:unhideWhenUsed/>
    <w:rsid w:val="00D207A9"/>
    <w:rPr>
      <w:sz w:val="18"/>
      <w:szCs w:val="18"/>
    </w:rPr>
  </w:style>
  <w:style w:type="paragraph" w:styleId="CommentText">
    <w:name w:val="annotation text"/>
    <w:basedOn w:val="Normal"/>
    <w:link w:val="CommentTextChar"/>
    <w:uiPriority w:val="99"/>
    <w:semiHidden/>
    <w:unhideWhenUsed/>
    <w:rsid w:val="00D207A9"/>
  </w:style>
  <w:style w:type="character" w:customStyle="1" w:styleId="CommentTextChar">
    <w:name w:val="Comment Text Char"/>
    <w:basedOn w:val="DefaultParagraphFont"/>
    <w:link w:val="CommentText"/>
    <w:uiPriority w:val="99"/>
    <w:semiHidden/>
    <w:rsid w:val="00D207A9"/>
    <w:rPr>
      <w:lang w:val="en-GB"/>
    </w:rPr>
  </w:style>
  <w:style w:type="paragraph" w:styleId="CommentSubject">
    <w:name w:val="annotation subject"/>
    <w:basedOn w:val="CommentText"/>
    <w:next w:val="CommentText"/>
    <w:link w:val="CommentSubjectChar"/>
    <w:uiPriority w:val="99"/>
    <w:semiHidden/>
    <w:unhideWhenUsed/>
    <w:rsid w:val="00D207A9"/>
    <w:rPr>
      <w:b/>
      <w:bCs/>
      <w:sz w:val="20"/>
      <w:szCs w:val="20"/>
    </w:rPr>
  </w:style>
  <w:style w:type="character" w:customStyle="1" w:styleId="CommentSubjectChar">
    <w:name w:val="Comment Subject Char"/>
    <w:basedOn w:val="CommentTextChar"/>
    <w:link w:val="CommentSubject"/>
    <w:uiPriority w:val="99"/>
    <w:semiHidden/>
    <w:rsid w:val="00D207A9"/>
    <w:rPr>
      <w:b/>
      <w:bCs/>
      <w:sz w:val="20"/>
      <w:szCs w:val="20"/>
      <w:lang w:val="en-GB"/>
    </w:rPr>
  </w:style>
  <w:style w:type="paragraph" w:styleId="BalloonText">
    <w:name w:val="Balloon Text"/>
    <w:basedOn w:val="Normal"/>
    <w:link w:val="BalloonTextChar"/>
    <w:uiPriority w:val="99"/>
    <w:semiHidden/>
    <w:unhideWhenUsed/>
    <w:rsid w:val="00D207A9"/>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7A9"/>
    <w:rPr>
      <w:rFonts w:ascii="Lucida Grande" w:hAnsi="Lucida Grande"/>
      <w:sz w:val="18"/>
      <w:szCs w:val="18"/>
      <w:lang w:val="en-GB"/>
    </w:rPr>
  </w:style>
  <w:style w:type="paragraph" w:customStyle="1" w:styleId="NoteLevel11">
    <w:name w:val="Note Level 11"/>
    <w:basedOn w:val="Normal"/>
    <w:uiPriority w:val="99"/>
    <w:unhideWhenUsed/>
    <w:rsid w:val="00D207A9"/>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D207A9"/>
    <w:pPr>
      <w:keepNext/>
      <w:numPr>
        <w:ilvl w:val="1"/>
        <w:numId w:val="1"/>
      </w:numPr>
      <w:contextualSpacing/>
      <w:outlineLvl w:val="1"/>
    </w:pPr>
    <w:rPr>
      <w:rFonts w:ascii="Verdana" w:hAnsi="Verdana"/>
    </w:rPr>
  </w:style>
  <w:style w:type="paragraph" w:customStyle="1" w:styleId="NoteLevel31">
    <w:name w:val="Note Level 31"/>
    <w:basedOn w:val="Normal"/>
    <w:uiPriority w:val="99"/>
    <w:unhideWhenUsed/>
    <w:rsid w:val="00D207A9"/>
    <w:pPr>
      <w:keepNext/>
      <w:numPr>
        <w:ilvl w:val="2"/>
        <w:numId w:val="1"/>
      </w:numPr>
      <w:contextualSpacing/>
      <w:outlineLvl w:val="2"/>
    </w:pPr>
    <w:rPr>
      <w:rFonts w:ascii="Verdana" w:hAnsi="Verdana"/>
    </w:rPr>
  </w:style>
  <w:style w:type="paragraph" w:customStyle="1" w:styleId="NoteLevel41">
    <w:name w:val="Note Level 41"/>
    <w:basedOn w:val="Normal"/>
    <w:uiPriority w:val="99"/>
    <w:unhideWhenUsed/>
    <w:rsid w:val="00D207A9"/>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D207A9"/>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D207A9"/>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D207A9"/>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D207A9"/>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D207A9"/>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D207A9"/>
    <w:rPr>
      <w:color w:val="0000FF" w:themeColor="hyperlink"/>
      <w:u w:val="single"/>
    </w:rPr>
  </w:style>
  <w:style w:type="table" w:styleId="TableGrid">
    <w:name w:val="Table Grid"/>
    <w:basedOn w:val="TableNormal"/>
    <w:uiPriority w:val="59"/>
    <w:rsid w:val="00D20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07A9"/>
  </w:style>
  <w:style w:type="paragraph" w:styleId="TOCHeading">
    <w:name w:val="TOC Heading"/>
    <w:basedOn w:val="Heading1"/>
    <w:next w:val="Normal"/>
    <w:uiPriority w:val="39"/>
    <w:unhideWhenUsed/>
    <w:qFormat/>
    <w:rsid w:val="00D207A9"/>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D207A9"/>
    <w:pPr>
      <w:spacing w:before="120"/>
    </w:pPr>
    <w:rPr>
      <w:b/>
    </w:rPr>
  </w:style>
  <w:style w:type="paragraph" w:styleId="TOC2">
    <w:name w:val="toc 2"/>
    <w:basedOn w:val="Normal"/>
    <w:next w:val="Normal"/>
    <w:autoRedefine/>
    <w:uiPriority w:val="39"/>
    <w:unhideWhenUsed/>
    <w:rsid w:val="00D207A9"/>
    <w:pPr>
      <w:tabs>
        <w:tab w:val="right" w:leader="dot" w:pos="8789"/>
      </w:tabs>
      <w:ind w:left="240"/>
    </w:pPr>
    <w:rPr>
      <w:sz w:val="22"/>
      <w:szCs w:val="22"/>
    </w:rPr>
  </w:style>
  <w:style w:type="paragraph" w:styleId="TOC3">
    <w:name w:val="toc 3"/>
    <w:basedOn w:val="Normal"/>
    <w:next w:val="Normal"/>
    <w:autoRedefine/>
    <w:uiPriority w:val="39"/>
    <w:unhideWhenUsed/>
    <w:rsid w:val="00D207A9"/>
    <w:pPr>
      <w:ind w:left="480"/>
    </w:pPr>
    <w:rPr>
      <w:i/>
      <w:sz w:val="22"/>
      <w:szCs w:val="22"/>
    </w:rPr>
  </w:style>
  <w:style w:type="paragraph" w:styleId="TOC4">
    <w:name w:val="toc 4"/>
    <w:basedOn w:val="Normal"/>
    <w:next w:val="Normal"/>
    <w:autoRedefine/>
    <w:uiPriority w:val="39"/>
    <w:unhideWhenUsed/>
    <w:rsid w:val="00D207A9"/>
    <w:pPr>
      <w:ind w:left="720"/>
    </w:pPr>
    <w:rPr>
      <w:sz w:val="20"/>
      <w:szCs w:val="20"/>
    </w:rPr>
  </w:style>
  <w:style w:type="paragraph" w:styleId="TOC5">
    <w:name w:val="toc 5"/>
    <w:basedOn w:val="Normal"/>
    <w:next w:val="Normal"/>
    <w:autoRedefine/>
    <w:uiPriority w:val="39"/>
    <w:unhideWhenUsed/>
    <w:rsid w:val="00D207A9"/>
    <w:pPr>
      <w:ind w:left="960"/>
    </w:pPr>
    <w:rPr>
      <w:sz w:val="20"/>
      <w:szCs w:val="20"/>
    </w:rPr>
  </w:style>
  <w:style w:type="paragraph" w:styleId="TOC6">
    <w:name w:val="toc 6"/>
    <w:basedOn w:val="Normal"/>
    <w:next w:val="Normal"/>
    <w:autoRedefine/>
    <w:uiPriority w:val="39"/>
    <w:unhideWhenUsed/>
    <w:rsid w:val="00D207A9"/>
    <w:pPr>
      <w:ind w:left="1200"/>
    </w:pPr>
    <w:rPr>
      <w:sz w:val="20"/>
      <w:szCs w:val="20"/>
    </w:rPr>
  </w:style>
  <w:style w:type="paragraph" w:styleId="TOC7">
    <w:name w:val="toc 7"/>
    <w:basedOn w:val="Normal"/>
    <w:next w:val="Normal"/>
    <w:autoRedefine/>
    <w:uiPriority w:val="39"/>
    <w:unhideWhenUsed/>
    <w:rsid w:val="00D207A9"/>
    <w:pPr>
      <w:ind w:left="1440"/>
    </w:pPr>
    <w:rPr>
      <w:sz w:val="20"/>
      <w:szCs w:val="20"/>
    </w:rPr>
  </w:style>
  <w:style w:type="paragraph" w:styleId="TOC8">
    <w:name w:val="toc 8"/>
    <w:basedOn w:val="Normal"/>
    <w:next w:val="Normal"/>
    <w:autoRedefine/>
    <w:uiPriority w:val="39"/>
    <w:unhideWhenUsed/>
    <w:rsid w:val="00D207A9"/>
    <w:pPr>
      <w:ind w:left="1680"/>
    </w:pPr>
    <w:rPr>
      <w:sz w:val="20"/>
      <w:szCs w:val="20"/>
    </w:rPr>
  </w:style>
  <w:style w:type="paragraph" w:styleId="TOC9">
    <w:name w:val="toc 9"/>
    <w:basedOn w:val="Normal"/>
    <w:next w:val="Normal"/>
    <w:autoRedefine/>
    <w:uiPriority w:val="39"/>
    <w:unhideWhenUsed/>
    <w:rsid w:val="00D207A9"/>
    <w:pPr>
      <w:ind w:left="1920"/>
    </w:pPr>
    <w:rPr>
      <w:sz w:val="20"/>
      <w:szCs w:val="20"/>
    </w:rPr>
  </w:style>
  <w:style w:type="character" w:styleId="Emphasis">
    <w:name w:val="Emphasis"/>
    <w:basedOn w:val="DefaultParagraphFont"/>
    <w:uiPriority w:val="20"/>
    <w:qFormat/>
    <w:rsid w:val="00D207A9"/>
    <w:rPr>
      <w:i/>
      <w:iCs/>
    </w:rPr>
  </w:style>
  <w:style w:type="character" w:styleId="FollowedHyperlink">
    <w:name w:val="FollowedHyperlink"/>
    <w:basedOn w:val="DefaultParagraphFont"/>
    <w:uiPriority w:val="99"/>
    <w:semiHidden/>
    <w:unhideWhenUsed/>
    <w:rsid w:val="00D20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nkowis@tcd.i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ewsletter.co.uk/news/northern-ireland-news/time-to-put-an-end-to-victim-hierarchy-says-mccausland-at-pat-finucane-lecture-1-5873409" TargetMode="External"/><Relationship Id="rId3" Type="http://schemas.openxmlformats.org/officeDocument/2006/relationships/hyperlink" Target="http://archive.niassembly.gov.uk/legislation/primary/2010/niabill6_10.htm" TargetMode="External"/><Relationship Id="rId7" Type="http://schemas.openxmlformats.org/officeDocument/2006/relationships/hyperlink" Target="http://www.bbc.co.uk/news/uk-northern-ireland-15799085" TargetMode="External"/><Relationship Id="rId2" Type="http://schemas.openxmlformats.org/officeDocument/2006/relationships/hyperlink" Target="http://news.bbc.co.uk/1/hi/northern_ireland/8256468.stm" TargetMode="External"/><Relationship Id="rId1" Type="http://schemas.openxmlformats.org/officeDocument/2006/relationships/hyperlink" Target="http://www.legislation.gov.uk/nisi/2006/2953/contents" TargetMode="External"/><Relationship Id="rId6" Type="http://schemas.openxmlformats.org/officeDocument/2006/relationships/hyperlink" Target="http://uup.org/news/3519/Elliot-condemns-double-standards-in-arrest-of-former-soldier" TargetMode="External"/><Relationship Id="rId5" Type="http://schemas.openxmlformats.org/officeDocument/2006/relationships/hyperlink" Target="http://www.bbc.co.uk/news/uk-northern-ireland-21840739" TargetMode="External"/><Relationship Id="rId4" Type="http://schemas.openxmlformats.org/officeDocument/2006/relationships/hyperlink" Target="https://www.gov.uk/government/uploads/system/uploads/attachment_data/file/390672/Stormont_House_Agreement.pdf" TargetMode="External"/><Relationship Id="rId9" Type="http://schemas.openxmlformats.org/officeDocument/2006/relationships/hyperlink" Target="http://www.newsletter.co.uk/news/regional/kenny-blasted-over-finucane-comments-1-3754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F56D-446A-48AB-82A8-E69E1729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6663</Words>
  <Characters>37982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Trinity College Dublin</Company>
  <LinksUpToDate>false</LinksUpToDate>
  <CharactersWithSpaces>44556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Jankowitz</dc:creator>
  <cp:lastModifiedBy>Project Coordinator</cp:lastModifiedBy>
  <cp:revision>47</cp:revision>
  <dcterms:created xsi:type="dcterms:W3CDTF">2016-08-31T12:20:00Z</dcterms:created>
  <dcterms:modified xsi:type="dcterms:W3CDTF">2016-09-01T17:39:00Z</dcterms:modified>
</cp:coreProperties>
</file>