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F09BA" w14:textId="77777777" w:rsidR="00554A97" w:rsidRDefault="00554A97" w:rsidP="00554A97">
      <w:pPr>
        <w:spacing w:after="200" w:line="276" w:lineRule="auto"/>
        <w:jc w:val="center"/>
        <w:rPr>
          <w:rFonts w:asciiTheme="majorBidi" w:hAnsiTheme="majorBidi" w:cstheme="majorBidi"/>
          <w:b/>
          <w:bCs/>
          <w:szCs w:val="24"/>
          <w:lang w:val="en-GB" w:bidi="ar-SA"/>
        </w:rPr>
      </w:pPr>
      <w:r w:rsidRPr="002C6F76">
        <w:rPr>
          <w:rFonts w:asciiTheme="majorBidi" w:hAnsiTheme="majorBidi" w:cstheme="majorBidi"/>
          <w:b/>
          <w:bCs/>
          <w:szCs w:val="24"/>
          <w:lang w:val="en-GB" w:bidi="ar-SA"/>
        </w:rPr>
        <w:t xml:space="preserve">Evaluation of </w:t>
      </w:r>
      <w:r w:rsidR="008D2CF7">
        <w:rPr>
          <w:rFonts w:asciiTheme="majorBidi" w:hAnsiTheme="majorBidi" w:cstheme="majorBidi"/>
          <w:b/>
          <w:bCs/>
          <w:szCs w:val="24"/>
          <w:lang w:val="en-GB" w:bidi="ar-SA"/>
        </w:rPr>
        <w:t xml:space="preserve">the </w:t>
      </w:r>
      <w:r w:rsidRPr="002C6F76">
        <w:rPr>
          <w:rFonts w:asciiTheme="majorBidi" w:hAnsiTheme="majorBidi" w:cstheme="majorBidi"/>
          <w:b/>
          <w:bCs/>
          <w:szCs w:val="24"/>
          <w:lang w:val="en-GB" w:bidi="ar-SA"/>
        </w:rPr>
        <w:t>environmental impact assessment system in Iran</w:t>
      </w:r>
    </w:p>
    <w:p w14:paraId="39851D5B" w14:textId="77777777" w:rsidR="00E6460D" w:rsidRDefault="00E6460D" w:rsidP="00554A97">
      <w:pPr>
        <w:spacing w:after="200" w:line="276" w:lineRule="auto"/>
        <w:jc w:val="center"/>
        <w:rPr>
          <w:rFonts w:asciiTheme="majorBidi" w:hAnsiTheme="majorBidi" w:cstheme="majorBidi"/>
          <w:b/>
          <w:bCs/>
          <w:szCs w:val="24"/>
          <w:lang w:val="en-GB" w:bidi="ar-SA"/>
        </w:rPr>
      </w:pPr>
    </w:p>
    <w:p w14:paraId="42C3FE68" w14:textId="77777777" w:rsidR="00DC0D1F" w:rsidRDefault="00DC0D1F" w:rsidP="00554A97">
      <w:pPr>
        <w:spacing w:after="200" w:line="276" w:lineRule="auto"/>
        <w:jc w:val="center"/>
        <w:rPr>
          <w:rFonts w:asciiTheme="majorBidi" w:hAnsiTheme="majorBidi" w:cstheme="majorBidi"/>
          <w:b/>
          <w:bCs/>
          <w:szCs w:val="24"/>
          <w:lang w:val="en-GB" w:bidi="ar-SA"/>
        </w:rPr>
      </w:pPr>
    </w:p>
    <w:p w14:paraId="29AB6872" w14:textId="77777777" w:rsidR="001D31C5" w:rsidRPr="002C6F76" w:rsidRDefault="001D31C5" w:rsidP="00676FEC">
      <w:pPr>
        <w:shd w:val="clear" w:color="auto" w:fill="FFFFFF"/>
        <w:spacing w:after="0"/>
        <w:rPr>
          <w:rFonts w:asciiTheme="majorBidi" w:hAnsiTheme="majorBidi" w:cstheme="majorBidi"/>
          <w:b/>
          <w:bCs/>
          <w:szCs w:val="24"/>
          <w:lang w:val="en-GB" w:bidi="ar-SA"/>
        </w:rPr>
      </w:pPr>
      <w:bookmarkStart w:id="0" w:name="_GoBack"/>
      <w:bookmarkEnd w:id="0"/>
      <w:r w:rsidRPr="002C6F76">
        <w:rPr>
          <w:rFonts w:asciiTheme="majorBidi" w:hAnsiTheme="majorBidi" w:cstheme="majorBidi"/>
          <w:b/>
          <w:bCs/>
          <w:szCs w:val="24"/>
          <w:lang w:val="en-GB" w:bidi="ar-SA"/>
        </w:rPr>
        <w:t>Abstract</w:t>
      </w:r>
    </w:p>
    <w:p w14:paraId="2FD29A2F" w14:textId="48448E88" w:rsidR="00DC6699" w:rsidRPr="002C6F76" w:rsidRDefault="00661971" w:rsidP="00DC6699">
      <w:r w:rsidRPr="0016663F">
        <w:rPr>
          <w:lang w:val="en-GB"/>
        </w:rPr>
        <w:t xml:space="preserve">EIA </w:t>
      </w:r>
      <w:r w:rsidR="00C46917" w:rsidRPr="0016663F">
        <w:rPr>
          <w:lang w:val="en-GB"/>
        </w:rPr>
        <w:t xml:space="preserve">in Iran </w:t>
      </w:r>
      <w:r w:rsidRPr="0016663F">
        <w:rPr>
          <w:lang w:val="en-GB"/>
        </w:rPr>
        <w:t>was formally introduced in 1994</w:t>
      </w:r>
      <w:r w:rsidR="008D2CF7" w:rsidRPr="0016663F">
        <w:rPr>
          <w:lang w:val="en-GB"/>
        </w:rPr>
        <w:t>,</w:t>
      </w:r>
      <w:r w:rsidRPr="0016663F">
        <w:rPr>
          <w:lang w:val="en-GB"/>
        </w:rPr>
        <w:t xml:space="preserve"> </w:t>
      </w:r>
      <w:r w:rsidR="008D2CF7" w:rsidRPr="0016663F">
        <w:rPr>
          <w:lang w:val="en-GB"/>
        </w:rPr>
        <w:t>but</w:t>
      </w:r>
      <w:r w:rsidR="008D2CF7">
        <w:rPr>
          <w:lang w:val="en-GB"/>
        </w:rPr>
        <w:t xml:space="preserve"> </w:t>
      </w:r>
      <w:r w:rsidR="00CF4E90" w:rsidRPr="002C6F76">
        <w:rPr>
          <w:lang w:val="en-GB"/>
        </w:rPr>
        <w:t>t</w:t>
      </w:r>
      <w:r w:rsidR="00945DF4" w:rsidRPr="002C6F76">
        <w:rPr>
          <w:lang w:val="en-GB"/>
        </w:rPr>
        <w:t>o</w:t>
      </w:r>
      <w:r w:rsidR="00CF4E90" w:rsidRPr="002C6F76">
        <w:rPr>
          <w:lang w:val="en-GB"/>
        </w:rPr>
        <w:t xml:space="preserve"> date little EIA</w:t>
      </w:r>
      <w:r w:rsidR="00945DF4" w:rsidRPr="002C6F76">
        <w:rPr>
          <w:lang w:val="en-GB"/>
        </w:rPr>
        <w:t>-</w:t>
      </w:r>
      <w:r w:rsidR="00CF4E90" w:rsidRPr="002C6F76">
        <w:rPr>
          <w:lang w:val="en-GB"/>
        </w:rPr>
        <w:t xml:space="preserve">related research </w:t>
      </w:r>
      <w:r w:rsidR="00945DF4" w:rsidRPr="002C6F76">
        <w:rPr>
          <w:lang w:val="en-GB"/>
        </w:rPr>
        <w:t xml:space="preserve">has been undertaken </w:t>
      </w:r>
      <w:r w:rsidR="00CF4E90" w:rsidRPr="002C6F76">
        <w:rPr>
          <w:lang w:val="en-GB"/>
        </w:rPr>
        <w:t xml:space="preserve">in the country. </w:t>
      </w:r>
      <w:r w:rsidR="008D2CF7">
        <w:rPr>
          <w:lang w:val="en-GB"/>
        </w:rPr>
        <w:t xml:space="preserve">In </w:t>
      </w:r>
      <w:r w:rsidR="008D2CF7">
        <w:rPr>
          <w:rFonts w:cs="Times New Roman"/>
          <w:shd w:val="clear" w:color="auto" w:fill="FFFFFF"/>
        </w:rPr>
        <w:t>t</w:t>
      </w:r>
      <w:r w:rsidR="00945DF4" w:rsidRPr="002C6F76">
        <w:rPr>
          <w:rFonts w:cs="Times New Roman"/>
          <w:shd w:val="clear" w:color="auto" w:fill="FFFFFF"/>
        </w:rPr>
        <w:t>his paper</w:t>
      </w:r>
      <w:r w:rsidR="000D4E0C">
        <w:rPr>
          <w:rFonts w:cs="Times New Roman"/>
          <w:shd w:val="clear" w:color="auto" w:fill="FFFFFF"/>
        </w:rPr>
        <w:t>, the authors provide</w:t>
      </w:r>
      <w:r w:rsidR="00945DF4" w:rsidRPr="002C6F76">
        <w:rPr>
          <w:rFonts w:cs="Times New Roman"/>
          <w:shd w:val="clear" w:color="auto" w:fill="FFFFFF"/>
        </w:rPr>
        <w:t xml:space="preserve"> </w:t>
      </w:r>
      <w:r w:rsidR="008D2CF7">
        <w:rPr>
          <w:rFonts w:cs="Times New Roman"/>
          <w:shd w:val="clear" w:color="auto" w:fill="FFFFFF"/>
        </w:rPr>
        <w:t xml:space="preserve">an </w:t>
      </w:r>
      <w:r w:rsidR="00927EC4" w:rsidRPr="002C6F76">
        <w:rPr>
          <w:rFonts w:asciiTheme="majorBidi" w:hAnsiTheme="majorBidi" w:cstheme="majorBidi"/>
          <w:szCs w:val="24"/>
          <w:lang w:val="en-GB" w:bidi="ar-SA"/>
        </w:rPr>
        <w:t>evaluat</w:t>
      </w:r>
      <w:r w:rsidRPr="002C6F76">
        <w:rPr>
          <w:rFonts w:asciiTheme="majorBidi" w:hAnsiTheme="majorBidi" w:cstheme="majorBidi"/>
          <w:szCs w:val="24"/>
          <w:lang w:val="en-GB" w:bidi="ar-SA"/>
        </w:rPr>
        <w:t xml:space="preserve">ion </w:t>
      </w:r>
      <w:r w:rsidR="008D2CF7">
        <w:rPr>
          <w:rFonts w:asciiTheme="majorBidi" w:hAnsiTheme="majorBidi" w:cstheme="majorBidi"/>
          <w:szCs w:val="24"/>
          <w:lang w:val="en-GB" w:bidi="ar-SA"/>
        </w:rPr>
        <w:t xml:space="preserve">of the Iranian EIA system, focusing </w:t>
      </w:r>
      <w:r w:rsidR="00D763DB" w:rsidRPr="002C6F76">
        <w:t xml:space="preserve">on </w:t>
      </w:r>
      <w:r w:rsidR="00927EC4" w:rsidRPr="002C6F76">
        <w:t xml:space="preserve">EIA legislation, administration and process. </w:t>
      </w:r>
      <w:r w:rsidR="008D2CF7">
        <w:rPr>
          <w:lang w:val="en-GB"/>
        </w:rPr>
        <w:t>D</w:t>
      </w:r>
      <w:r w:rsidR="005A2C3B" w:rsidRPr="002C6F76">
        <w:rPr>
          <w:lang w:val="en-GB"/>
        </w:rPr>
        <w:t xml:space="preserve">ata </w:t>
      </w:r>
      <w:r w:rsidR="003F7AF4">
        <w:rPr>
          <w:lang w:val="en-GB"/>
        </w:rPr>
        <w:t>was</w:t>
      </w:r>
      <w:r w:rsidR="003F7AF4" w:rsidRPr="002C6F76">
        <w:rPr>
          <w:lang w:val="en-GB"/>
        </w:rPr>
        <w:t xml:space="preserve"> </w:t>
      </w:r>
      <w:r w:rsidR="00945DF4" w:rsidRPr="002C6F76">
        <w:rPr>
          <w:lang w:val="en-GB"/>
        </w:rPr>
        <w:t xml:space="preserve">collected </w:t>
      </w:r>
      <w:r w:rsidR="000D4E0C">
        <w:rPr>
          <w:lang w:val="en-GB"/>
        </w:rPr>
        <w:t>on the basis of a</w:t>
      </w:r>
      <w:r w:rsidR="000D4E0C" w:rsidRPr="002C6F76">
        <w:rPr>
          <w:lang w:val="en-GB"/>
        </w:rPr>
        <w:t xml:space="preserve"> </w:t>
      </w:r>
      <w:r w:rsidR="005A2C3B" w:rsidRPr="002C6F76">
        <w:rPr>
          <w:rFonts w:eastAsia="Calibri"/>
          <w:lang w:val="en-GB"/>
        </w:rPr>
        <w:t xml:space="preserve">literature review, document </w:t>
      </w:r>
      <w:r w:rsidR="00DB296F" w:rsidRPr="0016663F">
        <w:rPr>
          <w:rFonts w:eastAsia="Calibri"/>
          <w:lang w:val="en-GB"/>
        </w:rPr>
        <w:t xml:space="preserve">analysis </w:t>
      </w:r>
      <w:r w:rsidR="005A2C3B" w:rsidRPr="0016663F">
        <w:rPr>
          <w:rFonts w:eastAsia="Calibri"/>
          <w:lang w:val="en-GB"/>
        </w:rPr>
        <w:t>and s</w:t>
      </w:r>
      <w:r w:rsidR="00E255BC" w:rsidRPr="0016663F">
        <w:rPr>
          <w:lang w:val="en-GB"/>
        </w:rPr>
        <w:t>emi-structured interviews</w:t>
      </w:r>
      <w:r w:rsidR="001E73EC" w:rsidRPr="0016663F">
        <w:rPr>
          <w:lang w:val="en-GB"/>
        </w:rPr>
        <w:t xml:space="preserve">. </w:t>
      </w:r>
      <w:r w:rsidR="006F13EC" w:rsidRPr="0016663F">
        <w:rPr>
          <w:lang w:val="en-GB"/>
        </w:rPr>
        <w:t xml:space="preserve">This involved </w:t>
      </w:r>
      <w:r w:rsidR="001E73EC" w:rsidRPr="0016663F">
        <w:rPr>
          <w:lang w:val="en-GB"/>
        </w:rPr>
        <w:t xml:space="preserve">some translation </w:t>
      </w:r>
      <w:r w:rsidR="00945DF4" w:rsidRPr="0016663F">
        <w:rPr>
          <w:lang w:val="en-GB"/>
        </w:rPr>
        <w:t>f</w:t>
      </w:r>
      <w:r w:rsidR="006F13EC" w:rsidRPr="0016663F">
        <w:rPr>
          <w:lang w:val="en-GB"/>
        </w:rPr>
        <w:t>rom</w:t>
      </w:r>
      <w:r w:rsidR="00945DF4" w:rsidRPr="0016663F">
        <w:rPr>
          <w:lang w:val="en-GB"/>
        </w:rPr>
        <w:t xml:space="preserve"> Persian into English. </w:t>
      </w:r>
      <w:r w:rsidR="003F7AF4" w:rsidRPr="0016663F">
        <w:rPr>
          <w:lang w:val="en-GB"/>
        </w:rPr>
        <w:t>E</w:t>
      </w:r>
      <w:r w:rsidR="006F13EC" w:rsidRPr="0016663F">
        <w:rPr>
          <w:lang w:val="en-GB"/>
        </w:rPr>
        <w:t xml:space="preserve">valuation </w:t>
      </w:r>
      <w:r w:rsidR="00D33023" w:rsidRPr="0016663F">
        <w:rPr>
          <w:lang w:val="en-GB"/>
        </w:rPr>
        <w:t xml:space="preserve">of the </w:t>
      </w:r>
      <w:r w:rsidR="00124CE4" w:rsidRPr="0016663F">
        <w:rPr>
          <w:lang w:val="en-GB"/>
        </w:rPr>
        <w:t xml:space="preserve">findings </w:t>
      </w:r>
      <w:r w:rsidR="001E73EC" w:rsidRPr="0016663F">
        <w:rPr>
          <w:lang w:val="en-GB"/>
        </w:rPr>
        <w:t xml:space="preserve">indicate </w:t>
      </w:r>
      <w:r w:rsidR="002E3C1E" w:rsidRPr="0016663F">
        <w:rPr>
          <w:lang w:val="en-GB"/>
        </w:rPr>
        <w:t>that Iran has adopted the democratic tools of EIA and SEA, which considering its political context is encouraging. However</w:t>
      </w:r>
      <w:r w:rsidR="00D96BFE" w:rsidRPr="0016663F">
        <w:rPr>
          <w:lang w:val="en-GB"/>
        </w:rPr>
        <w:t>,</w:t>
      </w:r>
      <w:r w:rsidR="002E3C1E" w:rsidRPr="0016663F">
        <w:rPr>
          <w:lang w:val="en-GB"/>
        </w:rPr>
        <w:t xml:space="preserve"> </w:t>
      </w:r>
      <w:r w:rsidR="000D4E0C" w:rsidRPr="0016663F">
        <w:rPr>
          <w:lang w:val="en-GB"/>
        </w:rPr>
        <w:t xml:space="preserve">currently </w:t>
      </w:r>
      <w:r w:rsidR="002E3C1E" w:rsidRPr="0016663F">
        <w:rPr>
          <w:lang w:val="en-GB"/>
        </w:rPr>
        <w:t xml:space="preserve">the Iranian EIA system does suffer from </w:t>
      </w:r>
      <w:r w:rsidR="001E73EC" w:rsidRPr="0016663F">
        <w:rPr>
          <w:lang w:val="en-GB"/>
        </w:rPr>
        <w:t xml:space="preserve">weaknesses </w:t>
      </w:r>
      <w:r w:rsidR="002E3C1E" w:rsidRPr="0016663F">
        <w:rPr>
          <w:lang w:val="en-GB"/>
        </w:rPr>
        <w:t xml:space="preserve">such as </w:t>
      </w:r>
      <w:r w:rsidR="00DC6699" w:rsidRPr="0016663F">
        <w:t>inadequate screening and scoping, lack of alternative consideration, public participation, EIA implementation</w:t>
      </w:r>
      <w:r w:rsidR="00124CE4" w:rsidRPr="0016663F">
        <w:t xml:space="preserve"> and follow-up</w:t>
      </w:r>
      <w:r w:rsidR="00DC6699" w:rsidRPr="0016663F">
        <w:t>.</w:t>
      </w:r>
      <w:r w:rsidR="002E3C1E" w:rsidRPr="0016663F">
        <w:t xml:space="preserve"> The paper proposes some initial recommendations </w:t>
      </w:r>
      <w:r w:rsidR="00107EE8" w:rsidRPr="0016663F">
        <w:t xml:space="preserve">based on international experiences </w:t>
      </w:r>
      <w:r w:rsidR="002E3C1E" w:rsidRPr="0016663F">
        <w:t>and sets out the direction for future research</w:t>
      </w:r>
      <w:r w:rsidR="00E601AB" w:rsidRPr="0016663F">
        <w:t>.</w:t>
      </w:r>
      <w:r w:rsidR="002E3C1E">
        <w:t xml:space="preserve"> </w:t>
      </w:r>
    </w:p>
    <w:p w14:paraId="3D71BC77" w14:textId="77777777" w:rsidR="001D31C5" w:rsidRPr="002C6F76" w:rsidRDefault="001D31C5" w:rsidP="00A2230F">
      <w:pPr>
        <w:shd w:val="clear" w:color="auto" w:fill="FFFFFF"/>
        <w:spacing w:after="0"/>
        <w:rPr>
          <w:rFonts w:asciiTheme="majorBidi" w:hAnsiTheme="majorBidi" w:cstheme="majorBidi"/>
          <w:szCs w:val="24"/>
          <w:lang w:val="en-GB" w:bidi="ar-SA"/>
        </w:rPr>
      </w:pPr>
      <w:r w:rsidRPr="002C6F76">
        <w:rPr>
          <w:rFonts w:asciiTheme="majorBidi" w:hAnsiTheme="majorBidi" w:cstheme="majorBidi"/>
          <w:b/>
          <w:bCs/>
          <w:szCs w:val="24"/>
          <w:lang w:val="en-GB"/>
        </w:rPr>
        <w:t>Keywords:</w:t>
      </w:r>
      <w:r w:rsidR="00CF39D7" w:rsidRPr="002C6F76">
        <w:rPr>
          <w:rFonts w:asciiTheme="majorBidi" w:hAnsiTheme="majorBidi" w:cstheme="majorBidi"/>
          <w:szCs w:val="24"/>
          <w:lang w:val="en-GB" w:bidi="ar-SA"/>
        </w:rPr>
        <w:t xml:space="preserve"> </w:t>
      </w:r>
      <w:r w:rsidR="00A2230F" w:rsidRPr="002C6F76">
        <w:rPr>
          <w:rFonts w:asciiTheme="majorBidi" w:hAnsiTheme="majorBidi" w:cstheme="majorBidi"/>
          <w:szCs w:val="24"/>
          <w:lang w:val="en-GB" w:bidi="ar-SA"/>
        </w:rPr>
        <w:t xml:space="preserve">Environmental </w:t>
      </w:r>
      <w:r w:rsidR="00CF39D7" w:rsidRPr="002C6F76">
        <w:rPr>
          <w:rFonts w:asciiTheme="majorBidi" w:hAnsiTheme="majorBidi" w:cstheme="majorBidi"/>
          <w:szCs w:val="24"/>
          <w:lang w:val="en-GB" w:bidi="ar-SA"/>
        </w:rPr>
        <w:t>impact</w:t>
      </w:r>
      <w:r w:rsidRPr="002C6F76">
        <w:rPr>
          <w:rFonts w:asciiTheme="majorBidi" w:hAnsiTheme="majorBidi" w:cstheme="majorBidi"/>
          <w:szCs w:val="24"/>
          <w:lang w:val="en-GB" w:bidi="ar-SA"/>
        </w:rPr>
        <w:t xml:space="preserve"> assessment (E</w:t>
      </w:r>
      <w:r w:rsidR="00CF39D7" w:rsidRPr="002C6F76">
        <w:rPr>
          <w:rFonts w:asciiTheme="majorBidi" w:hAnsiTheme="majorBidi" w:cstheme="majorBidi"/>
          <w:szCs w:val="24"/>
          <w:lang w:val="en-GB" w:bidi="ar-SA"/>
        </w:rPr>
        <w:t>I</w:t>
      </w:r>
      <w:r w:rsidRPr="002C6F76">
        <w:rPr>
          <w:rFonts w:asciiTheme="majorBidi" w:hAnsiTheme="majorBidi" w:cstheme="majorBidi"/>
          <w:szCs w:val="24"/>
          <w:lang w:val="en-GB" w:bidi="ar-SA"/>
        </w:rPr>
        <w:t>A</w:t>
      </w:r>
      <w:r w:rsidR="00A2230F" w:rsidRPr="002C6F76">
        <w:rPr>
          <w:rFonts w:asciiTheme="majorBidi" w:hAnsiTheme="majorBidi" w:cstheme="majorBidi"/>
          <w:szCs w:val="24"/>
          <w:lang w:val="en-GB" w:bidi="ar-SA"/>
        </w:rPr>
        <w:t xml:space="preserve">), </w:t>
      </w:r>
      <w:r w:rsidR="00F85EEA" w:rsidRPr="002C6F76">
        <w:rPr>
          <w:rFonts w:asciiTheme="majorBidi" w:hAnsiTheme="majorBidi" w:cstheme="majorBidi"/>
          <w:szCs w:val="24"/>
          <w:lang w:val="en-GB" w:bidi="ar-SA"/>
        </w:rPr>
        <w:t xml:space="preserve">EIA system, </w:t>
      </w:r>
      <w:r w:rsidR="0003616D" w:rsidRPr="002C6F76">
        <w:rPr>
          <w:rFonts w:asciiTheme="majorBidi" w:hAnsiTheme="majorBidi" w:cstheme="majorBidi"/>
          <w:szCs w:val="24"/>
          <w:lang w:val="en-GB" w:bidi="ar-SA"/>
        </w:rPr>
        <w:t xml:space="preserve">evaluation, </w:t>
      </w:r>
      <w:r w:rsidR="00A82AF5" w:rsidRPr="002C6F76">
        <w:rPr>
          <w:rFonts w:asciiTheme="majorBidi" w:hAnsiTheme="majorBidi" w:cstheme="majorBidi"/>
          <w:szCs w:val="24"/>
          <w:lang w:val="en-GB" w:bidi="ar-SA"/>
        </w:rPr>
        <w:t>Iran</w:t>
      </w:r>
    </w:p>
    <w:p w14:paraId="4F57EE55" w14:textId="77777777" w:rsidR="00717615" w:rsidRPr="002C6F76" w:rsidRDefault="00717615" w:rsidP="00676FEC">
      <w:pPr>
        <w:shd w:val="clear" w:color="auto" w:fill="FFFFFF"/>
        <w:spacing w:after="0"/>
        <w:rPr>
          <w:rFonts w:asciiTheme="majorBidi" w:hAnsiTheme="majorBidi" w:cstheme="majorBidi"/>
          <w:szCs w:val="24"/>
          <w:lang w:val="en-GB" w:bidi="ar-SA"/>
        </w:rPr>
      </w:pPr>
    </w:p>
    <w:p w14:paraId="7B5F0931" w14:textId="77777777" w:rsidR="00B55916" w:rsidRPr="002C6F76" w:rsidRDefault="00B55916" w:rsidP="000F470A">
      <w:pPr>
        <w:pStyle w:val="Title1"/>
        <w:numPr>
          <w:ilvl w:val="0"/>
          <w:numId w:val="0"/>
        </w:numPr>
        <w:bidi w:val="0"/>
        <w:rPr>
          <w:rFonts w:asciiTheme="majorBidi" w:hAnsiTheme="majorBidi" w:cstheme="majorBidi"/>
          <w:lang w:val="en-GB"/>
        </w:rPr>
      </w:pPr>
      <w:r w:rsidRPr="002C6F76">
        <w:rPr>
          <w:rFonts w:asciiTheme="majorBidi" w:hAnsiTheme="majorBidi" w:cstheme="majorBidi"/>
          <w:lang w:val="en-GB"/>
        </w:rPr>
        <w:t xml:space="preserve">1. </w:t>
      </w:r>
      <w:r w:rsidR="001D31C5" w:rsidRPr="002C6F76">
        <w:rPr>
          <w:rFonts w:asciiTheme="majorBidi" w:hAnsiTheme="majorBidi" w:cstheme="majorBidi"/>
          <w:lang w:val="en-GB"/>
        </w:rPr>
        <w:t>Introduction</w:t>
      </w:r>
    </w:p>
    <w:p w14:paraId="07F0A699" w14:textId="6B25535D" w:rsidR="002A42C4" w:rsidRDefault="00F546AF" w:rsidP="00557311">
      <w:pPr>
        <w:shd w:val="clear" w:color="auto" w:fill="FFFFFF"/>
        <w:spacing w:before="240" w:after="0"/>
        <w:rPr>
          <w:lang w:val="en-GB"/>
        </w:rPr>
      </w:pPr>
      <w:r w:rsidRPr="002C6F76">
        <w:rPr>
          <w:rFonts w:asciiTheme="majorBidi" w:hAnsiTheme="majorBidi" w:cstheme="majorBidi"/>
          <w:szCs w:val="24"/>
          <w:lang w:val="en-GB" w:bidi="ar-SA"/>
        </w:rPr>
        <w:t xml:space="preserve">Environmental Impact Assessment (EIA) </w:t>
      </w:r>
      <w:r w:rsidR="00474604" w:rsidRPr="002C6F76">
        <w:rPr>
          <w:rFonts w:asciiTheme="majorBidi" w:hAnsiTheme="majorBidi" w:cstheme="majorBidi"/>
          <w:szCs w:val="24"/>
          <w:lang w:val="en-GB" w:bidi="ar-SA"/>
        </w:rPr>
        <w:t xml:space="preserve">has been </w:t>
      </w:r>
      <w:r w:rsidR="00934100" w:rsidRPr="002C6F76">
        <w:rPr>
          <w:rFonts w:asciiTheme="majorBidi" w:hAnsiTheme="majorBidi" w:cstheme="majorBidi"/>
          <w:szCs w:val="24"/>
          <w:lang w:val="en-GB" w:bidi="ar-SA"/>
        </w:rPr>
        <w:t xml:space="preserve">around for </w:t>
      </w:r>
      <w:r w:rsidR="003F7AF4">
        <w:rPr>
          <w:rFonts w:asciiTheme="majorBidi" w:hAnsiTheme="majorBidi" w:cstheme="majorBidi"/>
          <w:szCs w:val="24"/>
          <w:lang w:val="en-GB" w:bidi="ar-SA"/>
        </w:rPr>
        <w:t xml:space="preserve">half a century </w:t>
      </w:r>
      <w:r w:rsidR="00474604" w:rsidRPr="002C6F76">
        <w:rPr>
          <w:rFonts w:asciiTheme="majorBidi" w:hAnsiTheme="majorBidi" w:cstheme="majorBidi"/>
          <w:szCs w:val="24"/>
          <w:lang w:val="en-GB" w:bidi="ar-SA"/>
        </w:rPr>
        <w:t>(</w:t>
      </w:r>
      <w:r w:rsidR="00105B6B" w:rsidRPr="002C6F76">
        <w:rPr>
          <w:rFonts w:asciiTheme="majorBidi" w:hAnsiTheme="majorBidi" w:cstheme="majorBidi"/>
          <w:szCs w:val="24"/>
          <w:lang w:val="en-GB" w:bidi="ar-SA"/>
        </w:rPr>
        <w:t>Arts</w:t>
      </w:r>
      <w:r w:rsidR="003F7AF4">
        <w:rPr>
          <w:rFonts w:asciiTheme="majorBidi" w:hAnsiTheme="majorBidi" w:cstheme="majorBidi"/>
          <w:szCs w:val="24"/>
          <w:lang w:val="en-GB" w:bidi="ar-SA"/>
        </w:rPr>
        <w:t xml:space="preserve"> et al</w:t>
      </w:r>
      <w:r w:rsidR="00105B6B" w:rsidRPr="002C6F76">
        <w:rPr>
          <w:rFonts w:asciiTheme="majorBidi" w:hAnsiTheme="majorBidi" w:cstheme="majorBidi"/>
          <w:szCs w:val="24"/>
          <w:lang w:val="en-GB" w:bidi="ar-SA"/>
        </w:rPr>
        <w:t>, 2012</w:t>
      </w:r>
      <w:r w:rsidR="00474604" w:rsidRPr="002C6F76">
        <w:rPr>
          <w:rFonts w:cs="Times New Roman"/>
          <w:lang w:val="en-GB" w:eastAsia="en-GB" w:bidi="ar-SA"/>
        </w:rPr>
        <w:t>)</w:t>
      </w:r>
      <w:r w:rsidR="003F7AF4">
        <w:rPr>
          <w:rFonts w:cs="Times New Roman"/>
          <w:lang w:val="en-GB" w:eastAsia="en-GB" w:bidi="ar-SA"/>
        </w:rPr>
        <w:t xml:space="preserve"> and is applied in nearly all countries world</w:t>
      </w:r>
      <w:r w:rsidR="007E4332">
        <w:rPr>
          <w:rFonts w:cs="Times New Roman"/>
          <w:lang w:val="en-GB" w:eastAsia="en-GB" w:bidi="ar-SA"/>
        </w:rPr>
        <w:t>w</w:t>
      </w:r>
      <w:r w:rsidR="003F7AF4">
        <w:rPr>
          <w:rFonts w:cs="Times New Roman"/>
          <w:lang w:val="en-GB" w:eastAsia="en-GB" w:bidi="ar-SA"/>
        </w:rPr>
        <w:t>ide (</w:t>
      </w:r>
      <w:r w:rsidR="009C65A1" w:rsidRPr="002C6F76">
        <w:rPr>
          <w:rFonts w:asciiTheme="majorBidi" w:hAnsiTheme="majorBidi" w:cstheme="majorBidi"/>
          <w:szCs w:val="24"/>
          <w:lang w:val="en-GB" w:bidi="ar-SA"/>
        </w:rPr>
        <w:t>Drayson et al., 2017;</w:t>
      </w:r>
      <w:r w:rsidR="009C65A1">
        <w:rPr>
          <w:rFonts w:asciiTheme="majorBidi" w:hAnsiTheme="majorBidi" w:cstheme="majorBidi"/>
          <w:szCs w:val="24"/>
          <w:lang w:val="en-GB" w:bidi="ar-SA"/>
        </w:rPr>
        <w:t xml:space="preserve"> </w:t>
      </w:r>
      <w:r w:rsidR="003F7AF4" w:rsidRPr="002C6F76">
        <w:rPr>
          <w:rFonts w:asciiTheme="majorBidi" w:hAnsiTheme="majorBidi" w:cstheme="majorBidi"/>
          <w:szCs w:val="24"/>
          <w:lang w:val="en-GB" w:bidi="ar-SA"/>
        </w:rPr>
        <w:t>Morgan, 2012</w:t>
      </w:r>
      <w:r w:rsidR="003F7AF4">
        <w:rPr>
          <w:rFonts w:asciiTheme="majorBidi" w:hAnsiTheme="majorBidi" w:cstheme="majorBidi"/>
          <w:szCs w:val="24"/>
          <w:lang w:val="en-GB" w:bidi="ar-SA"/>
        </w:rPr>
        <w:t>)</w:t>
      </w:r>
      <w:r w:rsidR="00474604" w:rsidRPr="002C6F76">
        <w:rPr>
          <w:rFonts w:cs="Times New Roman"/>
          <w:lang w:val="en-GB" w:eastAsia="en-GB" w:bidi="ar-SA"/>
        </w:rPr>
        <w:t xml:space="preserve">. </w:t>
      </w:r>
      <w:r w:rsidR="004A1B35">
        <w:rPr>
          <w:rFonts w:cs="Times New Roman"/>
          <w:lang w:val="en-GB" w:eastAsia="en-GB" w:bidi="ar-SA"/>
        </w:rPr>
        <w:t>EIA</w:t>
      </w:r>
      <w:r w:rsidR="004A1B35" w:rsidRPr="002C6F76">
        <w:rPr>
          <w:rFonts w:cs="Times New Roman"/>
          <w:lang w:val="en-GB" w:eastAsia="en-GB" w:bidi="ar-SA"/>
        </w:rPr>
        <w:t xml:space="preserve"> </w:t>
      </w:r>
      <w:r w:rsidR="003F7AF4">
        <w:rPr>
          <w:rFonts w:asciiTheme="majorBidi" w:hAnsiTheme="majorBidi" w:cstheme="majorBidi"/>
          <w:szCs w:val="24"/>
          <w:lang w:val="en-GB" w:bidi="ar-SA"/>
        </w:rPr>
        <w:t xml:space="preserve">identifies </w:t>
      </w:r>
      <w:r w:rsidRPr="002C6F76">
        <w:rPr>
          <w:rFonts w:asciiTheme="majorBidi" w:hAnsiTheme="majorBidi" w:cstheme="majorBidi"/>
          <w:szCs w:val="24"/>
          <w:lang w:val="en-GB" w:bidi="ar-SA"/>
        </w:rPr>
        <w:t xml:space="preserve">potential environmental impacts of a proposed development </w:t>
      </w:r>
      <w:r w:rsidR="003F7AF4">
        <w:rPr>
          <w:rFonts w:asciiTheme="majorBidi" w:hAnsiTheme="majorBidi" w:cstheme="majorBidi"/>
          <w:szCs w:val="24"/>
          <w:lang w:val="en-GB" w:bidi="ar-SA"/>
        </w:rPr>
        <w:t xml:space="preserve">and </w:t>
      </w:r>
      <w:r w:rsidRPr="002C6F76">
        <w:rPr>
          <w:rFonts w:asciiTheme="majorBidi" w:hAnsiTheme="majorBidi" w:cstheme="majorBidi"/>
          <w:szCs w:val="24"/>
          <w:lang w:val="en-GB" w:bidi="ar-SA"/>
        </w:rPr>
        <w:t>assesse</w:t>
      </w:r>
      <w:r w:rsidR="003F7AF4">
        <w:rPr>
          <w:rFonts w:asciiTheme="majorBidi" w:hAnsiTheme="majorBidi" w:cstheme="majorBidi"/>
          <w:szCs w:val="24"/>
          <w:lang w:val="en-GB" w:bidi="ar-SA"/>
        </w:rPr>
        <w:t>s them for different options</w:t>
      </w:r>
      <w:r w:rsidRPr="002C6F76">
        <w:rPr>
          <w:rFonts w:asciiTheme="majorBidi" w:hAnsiTheme="majorBidi" w:cstheme="majorBidi"/>
          <w:szCs w:val="24"/>
          <w:lang w:val="en-GB" w:bidi="ar-SA"/>
        </w:rPr>
        <w:t xml:space="preserve"> prior to a planning decision being made (Drayson et al</w:t>
      </w:r>
      <w:r w:rsidR="00476763" w:rsidRPr="002C6F76">
        <w:rPr>
          <w:rFonts w:asciiTheme="majorBidi" w:hAnsiTheme="majorBidi" w:cstheme="majorBidi"/>
          <w:szCs w:val="24"/>
          <w:lang w:val="en-GB" w:bidi="ar-SA"/>
        </w:rPr>
        <w:t>.</w:t>
      </w:r>
      <w:r w:rsidRPr="002C6F76">
        <w:rPr>
          <w:rFonts w:asciiTheme="majorBidi" w:hAnsiTheme="majorBidi" w:cstheme="majorBidi"/>
          <w:szCs w:val="24"/>
          <w:lang w:val="en-GB" w:bidi="ar-SA"/>
        </w:rPr>
        <w:t xml:space="preserve">, 2017). </w:t>
      </w:r>
      <w:r w:rsidR="00F35459" w:rsidRPr="002C6F76">
        <w:rPr>
          <w:rFonts w:ascii="AdvP45996F" w:hAnsi="AdvP45996F" w:cs="AdvP45996F"/>
          <w:color w:val="000000"/>
          <w:lang w:val="en-GB" w:eastAsia="en-GB" w:bidi="ar-SA"/>
        </w:rPr>
        <w:t xml:space="preserve">The </w:t>
      </w:r>
      <w:r w:rsidR="00F35459" w:rsidRPr="002C6F76">
        <w:rPr>
          <w:lang w:val="en-GB"/>
        </w:rPr>
        <w:t>evolution</w:t>
      </w:r>
      <w:r w:rsidR="00F35459" w:rsidRPr="002C6F76">
        <w:rPr>
          <w:rFonts w:ascii="AdvP45996F" w:hAnsi="AdvP45996F" w:cs="AdvP45996F"/>
          <w:color w:val="000000"/>
          <w:lang w:val="en-GB" w:eastAsia="en-GB" w:bidi="ar-SA"/>
        </w:rPr>
        <w:t xml:space="preserve"> of EIA systems in developing countries </w:t>
      </w:r>
      <w:r w:rsidR="00124CE4" w:rsidRPr="002C6F76">
        <w:rPr>
          <w:rFonts w:ascii="AdvP45996F" w:hAnsi="AdvP45996F" w:cs="AdvP45996F"/>
          <w:color w:val="000000"/>
          <w:lang w:val="en-GB" w:eastAsia="en-GB" w:bidi="ar-SA"/>
        </w:rPr>
        <w:t xml:space="preserve">have </w:t>
      </w:r>
      <w:r w:rsidR="003F7AF4">
        <w:t xml:space="preserve">frequently </w:t>
      </w:r>
      <w:r w:rsidR="00124CE4" w:rsidRPr="002C6F76">
        <w:t xml:space="preserve">been in reaction to natural calamities </w:t>
      </w:r>
      <w:r w:rsidR="00291790" w:rsidRPr="002C6F76">
        <w:t xml:space="preserve">(Jha-Thakur, 2006; </w:t>
      </w:r>
      <w:r w:rsidR="00281E5A" w:rsidRPr="002C6F76">
        <w:t>Ahmad et al</w:t>
      </w:r>
      <w:r w:rsidR="00291790" w:rsidRPr="002C6F76">
        <w:t>, 1985)</w:t>
      </w:r>
      <w:r w:rsidR="007F608C">
        <w:t>.</w:t>
      </w:r>
      <w:r w:rsidR="003F7AF4">
        <w:t xml:space="preserve"> </w:t>
      </w:r>
      <w:r w:rsidR="007F608C">
        <w:rPr>
          <w:lang w:val="en-GB"/>
        </w:rPr>
        <w:t>A</w:t>
      </w:r>
      <w:r w:rsidR="00850C2E" w:rsidRPr="002C6F76">
        <w:rPr>
          <w:lang w:val="en-GB"/>
        </w:rPr>
        <w:t>nother</w:t>
      </w:r>
      <w:r w:rsidR="00F35459" w:rsidRPr="002C6F76">
        <w:rPr>
          <w:lang w:val="en-GB"/>
        </w:rPr>
        <w:t xml:space="preserve"> reason </w:t>
      </w:r>
      <w:r w:rsidR="007F608C">
        <w:rPr>
          <w:lang w:val="en-GB"/>
        </w:rPr>
        <w:t xml:space="preserve">is that there are </w:t>
      </w:r>
      <w:r w:rsidR="003F7AF4">
        <w:rPr>
          <w:lang w:val="en-GB"/>
        </w:rPr>
        <w:t xml:space="preserve">requirements of </w:t>
      </w:r>
      <w:r w:rsidR="00F35459" w:rsidRPr="002C6F76">
        <w:rPr>
          <w:lang w:val="en-GB"/>
        </w:rPr>
        <w:t xml:space="preserve">funding institutions </w:t>
      </w:r>
      <w:r w:rsidR="007F608C">
        <w:rPr>
          <w:lang w:val="en-GB"/>
        </w:rPr>
        <w:t>like</w:t>
      </w:r>
      <w:r w:rsidR="00F35459" w:rsidRPr="002C6F76">
        <w:rPr>
          <w:lang w:val="en-GB"/>
        </w:rPr>
        <w:t xml:space="preserve"> the World Bank </w:t>
      </w:r>
      <w:r w:rsidR="00830A75" w:rsidRPr="002C6F76">
        <w:t>(Munyazikwiye, 2011)</w:t>
      </w:r>
      <w:r w:rsidR="00830A75" w:rsidRPr="002C6F76">
        <w:rPr>
          <w:lang w:val="en-GB"/>
        </w:rPr>
        <w:t>.</w:t>
      </w:r>
      <w:r w:rsidR="00F35459" w:rsidRPr="002C6F76">
        <w:rPr>
          <w:lang w:val="en-GB"/>
        </w:rPr>
        <w:t xml:space="preserve"> </w:t>
      </w:r>
      <w:r w:rsidR="00F35459" w:rsidRPr="002C6F76">
        <w:t>Compared to many jurisdictions in the developing world</w:t>
      </w:r>
      <w:r w:rsidR="00D763DB" w:rsidRPr="002C6F76">
        <w:t>,</w:t>
      </w:r>
      <w:r w:rsidR="00F35459" w:rsidRPr="002C6F76">
        <w:t xml:space="preserve"> Southeast Asia and Latin America, countries in the Middle East and North Africa</w:t>
      </w:r>
      <w:r w:rsidR="00934100" w:rsidRPr="002C6F76">
        <w:t>n</w:t>
      </w:r>
      <w:r w:rsidR="00F35459" w:rsidRPr="002C6F76">
        <w:t xml:space="preserve"> region </w:t>
      </w:r>
      <w:r w:rsidR="00CD3FF3" w:rsidRPr="002C6F76">
        <w:t>were</w:t>
      </w:r>
      <w:r w:rsidR="00F35459" w:rsidRPr="002C6F76">
        <w:t xml:space="preserve"> relatively late in introducing EIA system</w:t>
      </w:r>
      <w:r w:rsidR="00CD3FF3" w:rsidRPr="002C6F76">
        <w:t>s</w:t>
      </w:r>
      <w:r w:rsidR="00F35459" w:rsidRPr="002C6F76">
        <w:t xml:space="preserve"> (Ahmed and Wood, 2002). </w:t>
      </w:r>
      <w:r w:rsidR="00F35459" w:rsidRPr="002C6F76">
        <w:rPr>
          <w:lang w:val="en-GB"/>
        </w:rPr>
        <w:t>EIA was first introduced in the Middle East in 1982 in</w:t>
      </w:r>
      <w:r w:rsidR="00CD3FF3" w:rsidRPr="002C6F76">
        <w:rPr>
          <w:lang w:val="en-GB"/>
        </w:rPr>
        <w:t xml:space="preserve"> Oman (Moradi</w:t>
      </w:r>
      <w:r w:rsidR="00F35459" w:rsidRPr="002C6F76">
        <w:rPr>
          <w:lang w:val="en-GB"/>
        </w:rPr>
        <w:t xml:space="preserve">, 2009), followed by Turkey, Tunisia and Egypt in </w:t>
      </w:r>
      <w:r w:rsidR="003F7AF4">
        <w:rPr>
          <w:lang w:val="en-GB"/>
        </w:rPr>
        <w:t xml:space="preserve">the </w:t>
      </w:r>
      <w:r w:rsidR="00F35459" w:rsidRPr="002C6F76">
        <w:rPr>
          <w:lang w:val="en-GB"/>
        </w:rPr>
        <w:t>1990s (</w:t>
      </w:r>
      <w:r w:rsidR="009C65A1" w:rsidRPr="002C6F76">
        <w:t>Ahmad and Wood, 2002;</w:t>
      </w:r>
      <w:r w:rsidR="009C65A1" w:rsidRPr="002C6F76">
        <w:rPr>
          <w:lang w:val="en-GB"/>
        </w:rPr>
        <w:t xml:space="preserve"> </w:t>
      </w:r>
      <w:r w:rsidR="00F35459" w:rsidRPr="002C6F76">
        <w:rPr>
          <w:lang w:val="en-GB"/>
        </w:rPr>
        <w:t>George, 2000</w:t>
      </w:r>
      <w:r w:rsidR="00F35459" w:rsidRPr="002C6F76">
        <w:t>;</w:t>
      </w:r>
      <w:r w:rsidR="00F35459" w:rsidRPr="002C6F76">
        <w:rPr>
          <w:lang w:val="en-GB"/>
        </w:rPr>
        <w:t xml:space="preserve"> </w:t>
      </w:r>
      <w:r w:rsidR="000134A8" w:rsidRPr="002C6F76">
        <w:rPr>
          <w:lang w:val="en-GB"/>
        </w:rPr>
        <w:t>Moradi, 2009</w:t>
      </w:r>
      <w:r w:rsidR="00F35459" w:rsidRPr="002C6F76">
        <w:rPr>
          <w:lang w:val="en-GB"/>
        </w:rPr>
        <w:t xml:space="preserve">). </w:t>
      </w:r>
    </w:p>
    <w:p w14:paraId="3633F08F" w14:textId="624AB793" w:rsidR="002A42C4" w:rsidRPr="002C6F76" w:rsidRDefault="002A42C4" w:rsidP="00557311">
      <w:pPr>
        <w:shd w:val="clear" w:color="auto" w:fill="FFFFFF"/>
        <w:spacing w:before="240" w:after="0"/>
        <w:rPr>
          <w:lang w:val="en-GB"/>
        </w:rPr>
      </w:pPr>
      <w:r w:rsidRPr="002C6F76">
        <w:rPr>
          <w:rFonts w:asciiTheme="majorBidi" w:hAnsiTheme="majorBidi" w:cstheme="majorBidi"/>
          <w:szCs w:val="24"/>
          <w:lang w:val="en-GB" w:bidi="ar-SA"/>
        </w:rPr>
        <w:lastRenderedPageBreak/>
        <w:t>Although EIA procedures are similar worldwide, the quality of EIA system</w:t>
      </w:r>
      <w:r w:rsidR="007F608C">
        <w:rPr>
          <w:rFonts w:asciiTheme="majorBidi" w:hAnsiTheme="majorBidi" w:cstheme="majorBidi"/>
          <w:szCs w:val="24"/>
          <w:lang w:val="en-GB" w:bidi="ar-SA"/>
        </w:rPr>
        <w:t>s</w:t>
      </w:r>
      <w:r w:rsidRPr="002C6F76">
        <w:rPr>
          <w:rFonts w:asciiTheme="majorBidi" w:hAnsiTheme="majorBidi" w:cstheme="majorBidi"/>
          <w:szCs w:val="24"/>
          <w:lang w:val="en-GB" w:bidi="ar-SA"/>
        </w:rPr>
        <w:t xml:space="preserve"> varies from country to country (Suwanteep et al., 2016). Several EIA </w:t>
      </w:r>
      <w:r w:rsidR="003F7AF4">
        <w:rPr>
          <w:rFonts w:asciiTheme="majorBidi" w:hAnsiTheme="majorBidi" w:cstheme="majorBidi"/>
          <w:szCs w:val="24"/>
          <w:lang w:val="en-GB" w:bidi="ar-SA"/>
        </w:rPr>
        <w:t xml:space="preserve">research </w:t>
      </w:r>
      <w:r w:rsidRPr="002C6F76">
        <w:rPr>
          <w:rFonts w:asciiTheme="majorBidi" w:hAnsiTheme="majorBidi" w:cstheme="majorBidi"/>
          <w:szCs w:val="24"/>
          <w:lang w:val="en-GB" w:bidi="ar-SA"/>
        </w:rPr>
        <w:t>studies have been conducted and published for countries in the Middle East and North African (MENA) region (</w:t>
      </w:r>
      <w:r w:rsidR="009211DD">
        <w:rPr>
          <w:rFonts w:asciiTheme="majorBidi" w:hAnsiTheme="majorBidi" w:cstheme="majorBidi"/>
          <w:szCs w:val="24"/>
          <w:lang w:val="en-GB" w:bidi="ar-SA"/>
        </w:rPr>
        <w:t>s</w:t>
      </w:r>
      <w:r w:rsidR="009211DD" w:rsidRPr="002C6F76">
        <w:rPr>
          <w:rFonts w:asciiTheme="majorBidi" w:hAnsiTheme="majorBidi" w:cstheme="majorBidi"/>
          <w:szCs w:val="24"/>
          <w:lang w:val="en-GB" w:bidi="ar-SA"/>
        </w:rPr>
        <w:t xml:space="preserve">ee </w:t>
      </w:r>
      <w:r w:rsidR="009C65A1" w:rsidRPr="002C6F76">
        <w:rPr>
          <w:rFonts w:asciiTheme="majorBidi" w:hAnsiTheme="majorBidi" w:cstheme="majorBidi"/>
          <w:szCs w:val="24"/>
          <w:lang w:val="en-GB" w:bidi="ar-SA"/>
        </w:rPr>
        <w:t>Ahmad and Wood 2002</w:t>
      </w:r>
      <w:r w:rsidR="009C65A1">
        <w:rPr>
          <w:rFonts w:asciiTheme="majorBidi" w:hAnsiTheme="majorBidi" w:cstheme="majorBidi"/>
          <w:szCs w:val="24"/>
          <w:lang w:val="en-GB" w:bidi="ar-SA"/>
        </w:rPr>
        <w:t xml:space="preserve">; </w:t>
      </w:r>
      <w:r w:rsidR="009C65A1" w:rsidRPr="002C6F76">
        <w:rPr>
          <w:rFonts w:asciiTheme="majorBidi" w:hAnsiTheme="majorBidi" w:cstheme="majorBidi"/>
          <w:szCs w:val="24"/>
          <w:lang w:val="en-GB" w:bidi="ar-SA"/>
        </w:rPr>
        <w:t>CITET 2003; El-Fadl and El- Fadel</w:t>
      </w:r>
      <w:r w:rsidR="009C65A1">
        <w:rPr>
          <w:rFonts w:asciiTheme="majorBidi" w:hAnsiTheme="majorBidi" w:cstheme="majorBidi"/>
          <w:szCs w:val="24"/>
          <w:lang w:val="en-GB" w:bidi="ar-SA"/>
        </w:rPr>
        <w:t>,</w:t>
      </w:r>
      <w:r w:rsidR="009C65A1" w:rsidRPr="002C6F76">
        <w:rPr>
          <w:rFonts w:asciiTheme="majorBidi" w:hAnsiTheme="majorBidi" w:cstheme="majorBidi"/>
          <w:szCs w:val="24"/>
          <w:lang w:val="en-GB" w:bidi="ar-SA"/>
        </w:rPr>
        <w:t xml:space="preserve"> 2004; </w:t>
      </w:r>
      <w:r w:rsidRPr="002C6F76">
        <w:rPr>
          <w:rFonts w:asciiTheme="majorBidi" w:hAnsiTheme="majorBidi" w:cstheme="majorBidi"/>
          <w:szCs w:val="24"/>
          <w:lang w:val="en-GB" w:bidi="ar-SA"/>
        </w:rPr>
        <w:t>ESCWA</w:t>
      </w:r>
      <w:r w:rsidR="009C65A1">
        <w:rPr>
          <w:rFonts w:asciiTheme="majorBidi" w:hAnsiTheme="majorBidi" w:cstheme="majorBidi"/>
          <w:szCs w:val="24"/>
          <w:lang w:val="en-GB" w:bidi="ar-SA"/>
        </w:rPr>
        <w:t>,</w:t>
      </w:r>
      <w:r w:rsidRPr="002C6F76">
        <w:rPr>
          <w:rFonts w:asciiTheme="majorBidi" w:hAnsiTheme="majorBidi" w:cstheme="majorBidi"/>
          <w:szCs w:val="24"/>
          <w:lang w:val="en-GB" w:bidi="ar-SA"/>
        </w:rPr>
        <w:t xml:space="preserve"> 2001; Al-Azri et al., 2014).</w:t>
      </w:r>
    </w:p>
    <w:p w14:paraId="01A0618A" w14:textId="74B18B42" w:rsidR="00545BEF" w:rsidRPr="002C6F76" w:rsidRDefault="00F35459" w:rsidP="00C46917">
      <w:pPr>
        <w:shd w:val="clear" w:color="auto" w:fill="FFFFFF"/>
        <w:spacing w:before="240" w:after="0"/>
        <w:rPr>
          <w:rFonts w:asciiTheme="majorBidi" w:hAnsiTheme="majorBidi" w:cstheme="majorBidi"/>
        </w:rPr>
      </w:pPr>
      <w:r w:rsidRPr="002C6F76">
        <w:t xml:space="preserve">EIA in Iran was first </w:t>
      </w:r>
      <w:r w:rsidRPr="0016663F">
        <w:t>introduced in 1994 by</w:t>
      </w:r>
      <w:r w:rsidR="00CD3FF3" w:rsidRPr="0016663F">
        <w:t xml:space="preserve"> the</w:t>
      </w:r>
      <w:r w:rsidRPr="0016663F">
        <w:t xml:space="preserve"> 2nd National D</w:t>
      </w:r>
      <w:r w:rsidR="00F53AFE" w:rsidRPr="0016663F">
        <w:t>e</w:t>
      </w:r>
      <w:r w:rsidRPr="0016663F">
        <w:t xml:space="preserve">velopment plan (NDP) (Khosravi and Jha-Thakur, 2018). </w:t>
      </w:r>
      <w:r w:rsidR="002A42C4" w:rsidRPr="0016663F">
        <w:rPr>
          <w:rFonts w:asciiTheme="majorBidi" w:hAnsiTheme="majorBidi" w:cstheme="majorBidi"/>
          <w:szCs w:val="24"/>
          <w:lang w:val="en-GB" w:bidi="ar-SA"/>
        </w:rPr>
        <w:t xml:space="preserve">However, </w:t>
      </w:r>
      <w:r w:rsidR="00995AAC" w:rsidRPr="0016663F">
        <w:t xml:space="preserve">work on reviewing Iran’s EIA system is rather limited and </w:t>
      </w:r>
      <w:r w:rsidR="007F608C" w:rsidRPr="0016663F">
        <w:t>the</w:t>
      </w:r>
      <w:r w:rsidR="00995AAC" w:rsidRPr="0016663F">
        <w:t xml:space="preserve"> attempts </w:t>
      </w:r>
      <w:r w:rsidR="007F608C" w:rsidRPr="0016663F">
        <w:t xml:space="preserve">that </w:t>
      </w:r>
      <w:r w:rsidR="00995AAC" w:rsidRPr="0016663F">
        <w:t xml:space="preserve">have been made so far do not </w:t>
      </w:r>
      <w:r w:rsidR="007F608C" w:rsidRPr="0016663F">
        <w:t>result in</w:t>
      </w:r>
      <w:r w:rsidR="00995AAC" w:rsidRPr="0016663F">
        <w:t xml:space="preserve"> thorough evaluation</w:t>
      </w:r>
      <w:r w:rsidR="007F608C" w:rsidRPr="0016663F">
        <w:t>s</w:t>
      </w:r>
      <w:r w:rsidR="00995AAC" w:rsidRPr="0016663F">
        <w:t xml:space="preserve"> of the Iranian EIA system. </w:t>
      </w:r>
      <w:r w:rsidR="002A42C4" w:rsidRPr="0016663F">
        <w:rPr>
          <w:rFonts w:asciiTheme="majorBidi" w:hAnsiTheme="majorBidi" w:cstheme="majorBidi"/>
          <w:szCs w:val="24"/>
          <w:lang w:val="en-GB" w:bidi="ar-SA"/>
        </w:rPr>
        <w:t>Hence, the aim of this</w:t>
      </w:r>
      <w:r w:rsidR="002A42C4" w:rsidRPr="002C6F76">
        <w:rPr>
          <w:rFonts w:asciiTheme="majorBidi" w:hAnsiTheme="majorBidi" w:cstheme="majorBidi"/>
          <w:szCs w:val="24"/>
          <w:lang w:val="en-GB" w:bidi="ar-SA"/>
        </w:rPr>
        <w:t xml:space="preserve"> paper </w:t>
      </w:r>
      <w:bookmarkStart w:id="1" w:name="_Hlk523500734"/>
      <w:r w:rsidR="002A42C4" w:rsidRPr="002C6F76">
        <w:rPr>
          <w:rFonts w:asciiTheme="majorBidi" w:hAnsiTheme="majorBidi" w:cstheme="majorBidi"/>
          <w:szCs w:val="24"/>
          <w:lang w:val="en-GB" w:bidi="ar-SA"/>
        </w:rPr>
        <w:t xml:space="preserve">is to evaluate the </w:t>
      </w:r>
      <w:r w:rsidR="008F171E">
        <w:rPr>
          <w:rFonts w:asciiTheme="majorBidi" w:hAnsiTheme="majorBidi" w:cstheme="majorBidi"/>
          <w:szCs w:val="24"/>
          <w:lang w:val="en-GB" w:bidi="ar-SA"/>
        </w:rPr>
        <w:t xml:space="preserve">Iranian </w:t>
      </w:r>
      <w:r w:rsidR="002A42C4" w:rsidRPr="002C6F76">
        <w:rPr>
          <w:rFonts w:asciiTheme="majorBidi" w:hAnsiTheme="majorBidi" w:cstheme="majorBidi"/>
          <w:szCs w:val="24"/>
          <w:lang w:val="en-GB" w:bidi="ar-SA"/>
        </w:rPr>
        <w:t xml:space="preserve">EIA system </w:t>
      </w:r>
      <w:bookmarkEnd w:id="1"/>
      <w:r w:rsidR="002A42C4" w:rsidRPr="002C6F76">
        <w:rPr>
          <w:rFonts w:asciiTheme="majorBidi" w:hAnsiTheme="majorBidi" w:cstheme="majorBidi"/>
          <w:szCs w:val="24"/>
          <w:lang w:val="en-GB" w:bidi="ar-SA"/>
        </w:rPr>
        <w:t xml:space="preserve">and </w:t>
      </w:r>
      <w:r w:rsidR="008F171E">
        <w:rPr>
          <w:rFonts w:asciiTheme="majorBidi" w:hAnsiTheme="majorBidi" w:cstheme="majorBidi"/>
          <w:szCs w:val="24"/>
          <w:lang w:val="en-GB" w:bidi="ar-SA"/>
        </w:rPr>
        <w:t xml:space="preserve">to </w:t>
      </w:r>
      <w:r w:rsidR="002A42C4" w:rsidRPr="002C6F76">
        <w:rPr>
          <w:rFonts w:asciiTheme="majorBidi" w:hAnsiTheme="majorBidi" w:cstheme="majorBidi"/>
          <w:szCs w:val="24"/>
          <w:lang w:val="en-GB" w:bidi="ar-SA"/>
        </w:rPr>
        <w:t>identify i</w:t>
      </w:r>
      <w:r w:rsidR="008F171E">
        <w:rPr>
          <w:rFonts w:asciiTheme="majorBidi" w:hAnsiTheme="majorBidi" w:cstheme="majorBidi"/>
          <w:szCs w:val="24"/>
          <w:lang w:val="en-GB" w:bidi="ar-SA"/>
        </w:rPr>
        <w:t xml:space="preserve">ts </w:t>
      </w:r>
      <w:r w:rsidR="00AC0CCA">
        <w:rPr>
          <w:rFonts w:asciiTheme="majorBidi" w:hAnsiTheme="majorBidi" w:cstheme="majorBidi"/>
          <w:szCs w:val="24"/>
          <w:lang w:val="en-GB" w:bidi="ar-SA"/>
        </w:rPr>
        <w:t xml:space="preserve">strengths and </w:t>
      </w:r>
      <w:r w:rsidR="002A42C4" w:rsidRPr="002C6F76">
        <w:rPr>
          <w:rFonts w:asciiTheme="majorBidi" w:hAnsiTheme="majorBidi" w:cstheme="majorBidi"/>
          <w:szCs w:val="24"/>
          <w:lang w:val="en-GB" w:bidi="ar-SA"/>
        </w:rPr>
        <w:t>deficiencies</w:t>
      </w:r>
      <w:r w:rsidR="008F171E">
        <w:rPr>
          <w:rFonts w:asciiTheme="majorBidi" w:hAnsiTheme="majorBidi" w:cstheme="majorBidi"/>
          <w:szCs w:val="24"/>
          <w:lang w:val="en-GB" w:bidi="ar-SA"/>
        </w:rPr>
        <w:t>. Ultimately,</w:t>
      </w:r>
      <w:r w:rsidR="002A42C4" w:rsidRPr="002C6F76">
        <w:rPr>
          <w:rFonts w:asciiTheme="majorBidi" w:hAnsiTheme="majorBidi" w:cstheme="majorBidi"/>
          <w:szCs w:val="24"/>
          <w:lang w:val="en-GB" w:bidi="ar-SA"/>
        </w:rPr>
        <w:t xml:space="preserve"> recommendations </w:t>
      </w:r>
      <w:r w:rsidR="008F171E">
        <w:rPr>
          <w:rFonts w:asciiTheme="majorBidi" w:hAnsiTheme="majorBidi" w:cstheme="majorBidi"/>
          <w:szCs w:val="24"/>
          <w:lang w:val="en-GB" w:bidi="ar-SA"/>
        </w:rPr>
        <w:t>for its further development are provided</w:t>
      </w:r>
      <w:r w:rsidR="002A42C4" w:rsidRPr="002C6F76">
        <w:rPr>
          <w:rFonts w:asciiTheme="majorBidi" w:hAnsiTheme="majorBidi" w:cstheme="majorBidi"/>
          <w:szCs w:val="24"/>
          <w:lang w:val="en-GB" w:bidi="ar-SA"/>
        </w:rPr>
        <w:t xml:space="preserve">. </w:t>
      </w:r>
      <w:r w:rsidR="00830A75" w:rsidRPr="002C6F76">
        <w:rPr>
          <w:rFonts w:asciiTheme="majorBidi" w:hAnsiTheme="majorBidi" w:cstheme="majorBidi"/>
        </w:rPr>
        <w:t>In doing so, t</w:t>
      </w:r>
      <w:r w:rsidR="00545BEF" w:rsidRPr="002C6F76">
        <w:rPr>
          <w:rFonts w:asciiTheme="majorBidi" w:hAnsiTheme="majorBidi" w:cstheme="majorBidi"/>
        </w:rPr>
        <w:t xml:space="preserve">he paper is structured into five sections. First, the context of this research is </w:t>
      </w:r>
      <w:r w:rsidR="00830A75" w:rsidRPr="002C6F76">
        <w:rPr>
          <w:rFonts w:asciiTheme="majorBidi" w:hAnsiTheme="majorBidi" w:cstheme="majorBidi"/>
        </w:rPr>
        <w:t>presented</w:t>
      </w:r>
      <w:r w:rsidR="00545BEF" w:rsidRPr="002C6F76">
        <w:rPr>
          <w:rFonts w:asciiTheme="majorBidi" w:hAnsiTheme="majorBidi" w:cstheme="majorBidi"/>
        </w:rPr>
        <w:t xml:space="preserve">, followed by the methodology. The third section presents evaluation </w:t>
      </w:r>
      <w:r w:rsidR="008F171E">
        <w:rPr>
          <w:rFonts w:asciiTheme="majorBidi" w:hAnsiTheme="majorBidi" w:cstheme="majorBidi"/>
        </w:rPr>
        <w:t>results and i</w:t>
      </w:r>
      <w:r w:rsidR="00545BEF" w:rsidRPr="002C6F76">
        <w:rPr>
          <w:rFonts w:asciiTheme="majorBidi" w:hAnsiTheme="majorBidi" w:cstheme="majorBidi"/>
        </w:rPr>
        <w:t>n the fourth section, the weaknesses of the EIA system</w:t>
      </w:r>
      <w:r w:rsidR="00A51105" w:rsidRPr="002C6F76">
        <w:rPr>
          <w:rFonts w:asciiTheme="majorBidi" w:hAnsiTheme="majorBidi" w:cstheme="majorBidi"/>
        </w:rPr>
        <w:t xml:space="preserve"> are</w:t>
      </w:r>
      <w:r w:rsidR="00934100" w:rsidRPr="002C6F76">
        <w:rPr>
          <w:rFonts w:asciiTheme="majorBidi" w:hAnsiTheme="majorBidi" w:cstheme="majorBidi"/>
        </w:rPr>
        <w:t xml:space="preserve"> </w:t>
      </w:r>
      <w:r w:rsidR="00545BEF" w:rsidRPr="002C6F76">
        <w:rPr>
          <w:rFonts w:asciiTheme="majorBidi" w:hAnsiTheme="majorBidi" w:cstheme="majorBidi"/>
        </w:rPr>
        <w:t>discussed</w:t>
      </w:r>
      <w:r w:rsidR="00830A75" w:rsidRPr="002C6F76">
        <w:rPr>
          <w:rFonts w:asciiTheme="majorBidi" w:hAnsiTheme="majorBidi" w:cstheme="majorBidi"/>
        </w:rPr>
        <w:t>. F</w:t>
      </w:r>
      <w:r w:rsidR="00545BEF" w:rsidRPr="002C6F76">
        <w:rPr>
          <w:rFonts w:asciiTheme="majorBidi" w:hAnsiTheme="majorBidi" w:cstheme="majorBidi"/>
        </w:rPr>
        <w:t>inally</w:t>
      </w:r>
      <w:r w:rsidR="00D965AA">
        <w:rPr>
          <w:rFonts w:asciiTheme="majorBidi" w:hAnsiTheme="majorBidi" w:cstheme="majorBidi"/>
        </w:rPr>
        <w:t>,</w:t>
      </w:r>
      <w:r w:rsidR="00830A75" w:rsidRPr="002C6F76">
        <w:rPr>
          <w:rFonts w:asciiTheme="majorBidi" w:hAnsiTheme="majorBidi" w:cstheme="majorBidi"/>
        </w:rPr>
        <w:t xml:space="preserve"> </w:t>
      </w:r>
      <w:r w:rsidR="00545BEF" w:rsidRPr="002C6F76">
        <w:rPr>
          <w:rFonts w:asciiTheme="majorBidi" w:hAnsiTheme="majorBidi" w:cstheme="majorBidi"/>
        </w:rPr>
        <w:t xml:space="preserve">conclusions are </w:t>
      </w:r>
      <w:r w:rsidR="000F4964" w:rsidRPr="002C6F76">
        <w:rPr>
          <w:rFonts w:asciiTheme="majorBidi" w:hAnsiTheme="majorBidi" w:cstheme="majorBidi"/>
        </w:rPr>
        <w:t>drawn,</w:t>
      </w:r>
      <w:r w:rsidR="00F8478D" w:rsidRPr="002C6F76">
        <w:rPr>
          <w:rFonts w:asciiTheme="majorBidi" w:hAnsiTheme="majorBidi" w:cstheme="majorBidi"/>
        </w:rPr>
        <w:t xml:space="preserve"> and recommendations </w:t>
      </w:r>
      <w:r w:rsidR="008F171E">
        <w:rPr>
          <w:rFonts w:asciiTheme="majorBidi" w:hAnsiTheme="majorBidi" w:cstheme="majorBidi"/>
        </w:rPr>
        <w:t xml:space="preserve">are </w:t>
      </w:r>
      <w:r w:rsidR="00F8478D" w:rsidRPr="002C6F76">
        <w:rPr>
          <w:rFonts w:asciiTheme="majorBidi" w:hAnsiTheme="majorBidi" w:cstheme="majorBidi"/>
        </w:rPr>
        <w:t>provided</w:t>
      </w:r>
      <w:r w:rsidR="000F4964" w:rsidRPr="002C6F76">
        <w:rPr>
          <w:rFonts w:asciiTheme="majorBidi" w:hAnsiTheme="majorBidi" w:cstheme="majorBidi"/>
        </w:rPr>
        <w:t>.</w:t>
      </w:r>
    </w:p>
    <w:p w14:paraId="00CA9878" w14:textId="77777777" w:rsidR="00250E81" w:rsidRPr="002C6F76" w:rsidRDefault="00614B23" w:rsidP="00557311">
      <w:pPr>
        <w:pStyle w:val="Title1"/>
        <w:numPr>
          <w:ilvl w:val="1"/>
          <w:numId w:val="3"/>
        </w:numPr>
        <w:bidi w:val="0"/>
        <w:spacing w:before="240" w:line="480" w:lineRule="auto"/>
        <w:rPr>
          <w:rFonts w:asciiTheme="majorBidi" w:hAnsiTheme="majorBidi" w:cstheme="majorBidi"/>
          <w:bCs w:val="0"/>
          <w:i/>
          <w:iCs/>
          <w:color w:val="000000"/>
          <w:szCs w:val="28"/>
          <w:lang w:val="en-GB" w:bidi="fa-IR"/>
        </w:rPr>
      </w:pPr>
      <w:r w:rsidRPr="002C6F76">
        <w:rPr>
          <w:rFonts w:asciiTheme="majorBidi" w:hAnsiTheme="majorBidi" w:cstheme="majorBidi"/>
          <w:bCs w:val="0"/>
          <w:i/>
          <w:iCs/>
          <w:color w:val="000000"/>
          <w:szCs w:val="28"/>
          <w:lang w:val="en-GB" w:bidi="fa-IR"/>
        </w:rPr>
        <w:t>Setting the context</w:t>
      </w:r>
      <w:r w:rsidR="00C77720" w:rsidRPr="002C6F76">
        <w:rPr>
          <w:rFonts w:asciiTheme="majorBidi" w:hAnsiTheme="majorBidi" w:cstheme="majorBidi"/>
          <w:bCs w:val="0"/>
          <w:i/>
          <w:iCs/>
          <w:color w:val="000000"/>
          <w:szCs w:val="28"/>
          <w:lang w:val="en-GB" w:bidi="fa-IR"/>
        </w:rPr>
        <w:t xml:space="preserve">: </w:t>
      </w:r>
    </w:p>
    <w:p w14:paraId="7747E2F2" w14:textId="77777777" w:rsidR="0003616D" w:rsidRPr="002C6F76" w:rsidRDefault="0003616D" w:rsidP="00AE583E">
      <w:pPr>
        <w:tabs>
          <w:tab w:val="left" w:pos="90"/>
        </w:tabs>
      </w:pPr>
      <w:r w:rsidRPr="002C6F76">
        <w:rPr>
          <w:rFonts w:asciiTheme="majorBidi" w:hAnsiTheme="majorBidi" w:cstheme="majorBidi"/>
          <w:i/>
          <w:color w:val="000000"/>
          <w:lang w:val="en-GB"/>
        </w:rPr>
        <w:t xml:space="preserve">1.1.1. </w:t>
      </w:r>
      <w:bookmarkStart w:id="2" w:name="_Toc508282483"/>
      <w:bookmarkStart w:id="3" w:name="_Toc509434045"/>
      <w:bookmarkStart w:id="4" w:name="_Toc508032825"/>
      <w:r w:rsidRPr="002C6F76">
        <w:rPr>
          <w:rFonts w:asciiTheme="majorBidi" w:hAnsiTheme="majorBidi" w:cstheme="majorBidi"/>
          <w:i/>
          <w:color w:val="000000"/>
          <w:lang w:val="en-GB"/>
        </w:rPr>
        <w:t>Political system</w:t>
      </w:r>
      <w:bookmarkEnd w:id="2"/>
      <w:r w:rsidRPr="002C6F76">
        <w:rPr>
          <w:rFonts w:asciiTheme="majorBidi" w:hAnsiTheme="majorBidi" w:cstheme="majorBidi"/>
          <w:i/>
          <w:color w:val="000000"/>
          <w:lang w:val="en-GB"/>
        </w:rPr>
        <w:t xml:space="preserve"> </w:t>
      </w:r>
      <w:bookmarkEnd w:id="3"/>
    </w:p>
    <w:p w14:paraId="1BDA61D3" w14:textId="2FFAB779" w:rsidR="0003616D" w:rsidRPr="002C6F76" w:rsidRDefault="0003616D" w:rsidP="001B7D3C">
      <w:r w:rsidRPr="002C6F76">
        <w:t>The political system in the Islamic Republic of Iran is a unique and complex blend of theocratic and democratic government. The 1979 Revolution changed the regime and established a government structure based on Islamic law. Following the Revolution, a constitution was written to reflect these concepts and Iran’s current political system and government structure was established (</w:t>
      </w:r>
      <w:r w:rsidR="009844CD" w:rsidRPr="001C49D8">
        <w:rPr>
          <w:lang w:val="en-GB"/>
        </w:rPr>
        <w:t>Jon</w:t>
      </w:r>
      <w:r w:rsidR="009844CD" w:rsidRPr="002C6F76">
        <w:t>es</w:t>
      </w:r>
      <w:r w:rsidRPr="002C6F76">
        <w:t xml:space="preserve">, 2009). Geographically, Iran is divided into 33 provinces </w:t>
      </w:r>
      <w:r w:rsidR="00D965AA">
        <w:t>that</w:t>
      </w:r>
      <w:r w:rsidR="00D965AA" w:rsidRPr="002C6F76">
        <w:t xml:space="preserve"> </w:t>
      </w:r>
      <w:r w:rsidRPr="002C6F76">
        <w:t>are administered by central government (Hashemi, 2012). Iran can be considered a centrali</w:t>
      </w:r>
      <w:r w:rsidR="00D965AA">
        <w:t>z</w:t>
      </w:r>
      <w:r w:rsidRPr="002C6F76">
        <w:t xml:space="preserve">ed country </w:t>
      </w:r>
      <w:r w:rsidR="00003A1F" w:rsidRPr="002C6F76">
        <w:t>based on</w:t>
      </w:r>
      <w:r w:rsidRPr="002C6F76">
        <w:t xml:space="preserve"> the distribution of its administrative functions (Dienel et al., 2017). </w:t>
      </w:r>
    </w:p>
    <w:p w14:paraId="0E59F7C4" w14:textId="77777777" w:rsidR="00C518FB" w:rsidRDefault="00C518FB">
      <w:pPr>
        <w:spacing w:after="200" w:line="276" w:lineRule="auto"/>
        <w:jc w:val="left"/>
        <w:rPr>
          <w:rFonts w:asciiTheme="majorBidi" w:hAnsiTheme="majorBidi" w:cstheme="majorBidi"/>
          <w:i/>
          <w:color w:val="000000"/>
          <w:lang w:val="en-GB"/>
        </w:rPr>
      </w:pPr>
      <w:r>
        <w:rPr>
          <w:rFonts w:asciiTheme="majorBidi" w:hAnsiTheme="majorBidi" w:cstheme="majorBidi"/>
          <w:i/>
          <w:color w:val="000000"/>
          <w:lang w:val="en-GB"/>
        </w:rPr>
        <w:br w:type="page"/>
      </w:r>
    </w:p>
    <w:p w14:paraId="23E7A935" w14:textId="0C254F25" w:rsidR="0003616D" w:rsidRPr="002C6F76" w:rsidRDefault="0003616D" w:rsidP="00AE583E">
      <w:pPr>
        <w:tabs>
          <w:tab w:val="left" w:pos="90"/>
        </w:tabs>
        <w:rPr>
          <w:rFonts w:asciiTheme="majorBidi" w:hAnsiTheme="majorBidi" w:cstheme="majorBidi"/>
          <w:i/>
          <w:color w:val="000000"/>
          <w:lang w:val="en-GB"/>
        </w:rPr>
      </w:pPr>
      <w:r w:rsidRPr="002C6F76">
        <w:rPr>
          <w:rFonts w:asciiTheme="majorBidi" w:hAnsiTheme="majorBidi" w:cstheme="majorBidi"/>
          <w:i/>
          <w:color w:val="000000"/>
          <w:lang w:val="en-GB"/>
        </w:rPr>
        <w:lastRenderedPageBreak/>
        <w:t xml:space="preserve">1.1.2. </w:t>
      </w:r>
      <w:r w:rsidR="00E857D2" w:rsidRPr="002C6F76">
        <w:rPr>
          <w:rFonts w:asciiTheme="majorBidi" w:hAnsiTheme="majorBidi" w:cstheme="majorBidi"/>
          <w:i/>
          <w:color w:val="000000"/>
          <w:lang w:val="en-GB"/>
        </w:rPr>
        <w:t xml:space="preserve">Environmental protection </w:t>
      </w:r>
      <w:r w:rsidRPr="002C6F76">
        <w:rPr>
          <w:rFonts w:asciiTheme="majorBidi" w:hAnsiTheme="majorBidi" w:cstheme="majorBidi"/>
          <w:i/>
          <w:color w:val="000000"/>
          <w:lang w:val="en-GB"/>
        </w:rPr>
        <w:t>in Iran</w:t>
      </w:r>
    </w:p>
    <w:p w14:paraId="095309A9" w14:textId="38E80A2F" w:rsidR="00E857D2" w:rsidRPr="002C6F76" w:rsidRDefault="00E857D2" w:rsidP="006C3F03">
      <w:pPr>
        <w:rPr>
          <w:lang w:eastAsia="en-GB"/>
        </w:rPr>
      </w:pPr>
      <w:r w:rsidRPr="002C6F76">
        <w:t>Sixty</w:t>
      </w:r>
      <w:r w:rsidRPr="002C6F76">
        <w:rPr>
          <w:lang w:eastAsia="en-GB"/>
        </w:rPr>
        <w:t xml:space="preserve"> </w:t>
      </w:r>
      <w:r w:rsidRPr="002C6F76">
        <w:t>countries</w:t>
      </w:r>
      <w:r w:rsidRPr="002C6F76">
        <w:rPr>
          <w:lang w:eastAsia="en-GB"/>
        </w:rPr>
        <w:t xml:space="preserve"> </w:t>
      </w:r>
      <w:r w:rsidR="00C518FB">
        <w:rPr>
          <w:lang w:eastAsia="en-GB"/>
        </w:rPr>
        <w:t xml:space="preserve">globally are said to </w:t>
      </w:r>
      <w:r w:rsidRPr="002C6F76">
        <w:rPr>
          <w:lang w:eastAsia="en-GB"/>
        </w:rPr>
        <w:t xml:space="preserve">mention </w:t>
      </w:r>
      <w:r w:rsidR="00D965AA">
        <w:rPr>
          <w:lang w:eastAsia="en-GB"/>
        </w:rPr>
        <w:t xml:space="preserve">the </w:t>
      </w:r>
      <w:r w:rsidRPr="002C6F76">
        <w:rPr>
          <w:lang w:eastAsia="en-GB"/>
        </w:rPr>
        <w:t xml:space="preserve">environment in their constitution </w:t>
      </w:r>
      <w:r w:rsidR="00A257EE">
        <w:rPr>
          <w:lang w:eastAsia="en-GB"/>
        </w:rPr>
        <w:t>and</w:t>
      </w:r>
      <w:r w:rsidR="00A257EE" w:rsidRPr="002C6F76">
        <w:rPr>
          <w:lang w:eastAsia="en-GB"/>
        </w:rPr>
        <w:t xml:space="preserve"> </w:t>
      </w:r>
      <w:r w:rsidR="00830A75" w:rsidRPr="002C6F76">
        <w:rPr>
          <w:lang w:eastAsia="en-GB"/>
        </w:rPr>
        <w:t xml:space="preserve">Iran is one of them </w:t>
      </w:r>
      <w:r w:rsidRPr="002C6F76">
        <w:rPr>
          <w:lang w:eastAsia="en-GB"/>
        </w:rPr>
        <w:t>(</w:t>
      </w:r>
      <w:bookmarkStart w:id="5" w:name="_Hlk522522851"/>
      <w:r w:rsidRPr="002C6F76">
        <w:t>Taghvaee et al., 2015</w:t>
      </w:r>
      <w:bookmarkEnd w:id="5"/>
      <w:r w:rsidRPr="002C6F76">
        <w:rPr>
          <w:lang w:eastAsia="en-GB"/>
        </w:rPr>
        <w:t>). Article 50 of Iran’s constitution is the highest- ranking legal reference</w:t>
      </w:r>
      <w:r w:rsidR="00C518FB">
        <w:rPr>
          <w:lang w:eastAsia="en-GB"/>
        </w:rPr>
        <w:t>,</w:t>
      </w:r>
      <w:r w:rsidRPr="002C6F76">
        <w:rPr>
          <w:lang w:eastAsia="en-GB"/>
        </w:rPr>
        <w:t xml:space="preserve"> addressing environmental conservation (Yousefi et al., 2015). The </w:t>
      </w:r>
      <w:r w:rsidRPr="002C6F76">
        <w:t>Iranian</w:t>
      </w:r>
      <w:r w:rsidRPr="002C6F76">
        <w:rPr>
          <w:lang w:eastAsia="en-GB"/>
        </w:rPr>
        <w:t xml:space="preserve"> parliament has </w:t>
      </w:r>
      <w:r w:rsidR="00F034D0" w:rsidRPr="002C6F76">
        <w:rPr>
          <w:lang w:eastAsia="en-GB"/>
        </w:rPr>
        <w:t xml:space="preserve">also </w:t>
      </w:r>
      <w:r w:rsidRPr="002C6F76">
        <w:rPr>
          <w:lang w:eastAsia="en-GB"/>
        </w:rPr>
        <w:t>paid attention to environmental protection of natural resources since the 1950s. The chronology of environmental protection laws</w:t>
      </w:r>
      <w:r w:rsidR="00830A75" w:rsidRPr="002C6F76">
        <w:rPr>
          <w:lang w:eastAsia="en-GB"/>
        </w:rPr>
        <w:t>,</w:t>
      </w:r>
      <w:r w:rsidRPr="002C6F76">
        <w:rPr>
          <w:lang w:eastAsia="en-GB"/>
        </w:rPr>
        <w:t xml:space="preserve"> which have been passed by the Iranian parliament </w:t>
      </w:r>
      <w:r w:rsidR="00D965AA">
        <w:rPr>
          <w:lang w:eastAsia="en-GB"/>
        </w:rPr>
        <w:t>include those on</w:t>
      </w:r>
      <w:r w:rsidRPr="002C6F76">
        <w:rPr>
          <w:lang w:eastAsia="en-GB"/>
        </w:rPr>
        <w:t xml:space="preserve"> Hunting and Fishing </w:t>
      </w:r>
      <w:r w:rsidR="003C580D" w:rsidRPr="002C6F76">
        <w:rPr>
          <w:lang w:eastAsia="en-GB"/>
        </w:rPr>
        <w:t>(</w:t>
      </w:r>
      <w:r w:rsidRPr="002C6F76">
        <w:rPr>
          <w:lang w:eastAsia="en-GB"/>
        </w:rPr>
        <w:t>1956</w:t>
      </w:r>
      <w:r w:rsidR="003C580D" w:rsidRPr="002C6F76">
        <w:rPr>
          <w:lang w:eastAsia="en-GB"/>
        </w:rPr>
        <w:t>)</w:t>
      </w:r>
      <w:r w:rsidRPr="002C6F76">
        <w:rPr>
          <w:lang w:eastAsia="en-GB"/>
        </w:rPr>
        <w:t xml:space="preserve">, Water Pollution Control </w:t>
      </w:r>
      <w:r w:rsidR="003C580D" w:rsidRPr="002C6F76">
        <w:rPr>
          <w:lang w:eastAsia="en-GB"/>
        </w:rPr>
        <w:t>(</w:t>
      </w:r>
      <w:r w:rsidRPr="002C6F76">
        <w:rPr>
          <w:lang w:eastAsia="en-GB"/>
        </w:rPr>
        <w:t>1969</w:t>
      </w:r>
      <w:r w:rsidR="003C580D" w:rsidRPr="002C6F76">
        <w:rPr>
          <w:lang w:eastAsia="en-GB"/>
        </w:rPr>
        <w:t>)</w:t>
      </w:r>
      <w:r w:rsidRPr="002C6F76">
        <w:rPr>
          <w:lang w:eastAsia="en-GB"/>
        </w:rPr>
        <w:t xml:space="preserve">, Environmental Protection (1974), Air Pollution </w:t>
      </w:r>
      <w:r w:rsidR="004E0BC7" w:rsidRPr="002C6F76">
        <w:rPr>
          <w:lang w:eastAsia="en-GB"/>
        </w:rPr>
        <w:t xml:space="preserve">Control </w:t>
      </w:r>
      <w:r w:rsidRPr="002C6F76">
        <w:rPr>
          <w:lang w:eastAsia="en-GB"/>
        </w:rPr>
        <w:t xml:space="preserve">(1995) and Waste Management (2004). </w:t>
      </w:r>
    </w:p>
    <w:p w14:paraId="51A63CBC" w14:textId="77777777" w:rsidR="00661C43" w:rsidRPr="002C6F76" w:rsidRDefault="00661C43" w:rsidP="000C00A7">
      <w:pPr>
        <w:spacing w:before="240" w:after="0"/>
        <w:rPr>
          <w:rFonts w:asciiTheme="majorBidi" w:hAnsiTheme="majorBidi" w:cstheme="majorBidi"/>
          <w:i/>
          <w:color w:val="000000"/>
          <w:lang w:val="en-GB"/>
        </w:rPr>
      </w:pPr>
      <w:r w:rsidRPr="002C6F76">
        <w:rPr>
          <w:rFonts w:asciiTheme="majorBidi" w:hAnsiTheme="majorBidi" w:cstheme="majorBidi"/>
          <w:i/>
          <w:color w:val="000000"/>
          <w:lang w:val="en-GB"/>
        </w:rPr>
        <w:t>1.1.3. EIA</w:t>
      </w:r>
      <w:r w:rsidR="00C9131E" w:rsidRPr="002C6F76">
        <w:rPr>
          <w:rFonts w:asciiTheme="majorBidi" w:hAnsiTheme="majorBidi" w:cstheme="majorBidi"/>
          <w:i/>
          <w:color w:val="000000"/>
          <w:lang w:val="en-GB"/>
        </w:rPr>
        <w:t xml:space="preserve"> </w:t>
      </w:r>
      <w:r w:rsidRPr="002C6F76">
        <w:rPr>
          <w:rFonts w:asciiTheme="majorBidi" w:hAnsiTheme="majorBidi" w:cstheme="majorBidi"/>
          <w:i/>
          <w:color w:val="000000"/>
          <w:lang w:val="en-GB"/>
        </w:rPr>
        <w:t>in Iran</w:t>
      </w:r>
    </w:p>
    <w:p w14:paraId="7174D5CE" w14:textId="55A61547" w:rsidR="007624AB" w:rsidRPr="002C6F76" w:rsidRDefault="00E857D2" w:rsidP="000C00A7">
      <w:pPr>
        <w:spacing w:before="240"/>
      </w:pPr>
      <w:r w:rsidRPr="002C6F76">
        <w:rPr>
          <w:lang w:val="en-GB"/>
        </w:rPr>
        <w:t xml:space="preserve">In some countries, EIA legislation forms part of a general environmental law </w:t>
      </w:r>
      <w:r w:rsidR="003B1B38" w:rsidRPr="002C6F76">
        <w:rPr>
          <w:lang w:val="en-GB"/>
        </w:rPr>
        <w:t xml:space="preserve">rather than being EIA specific </w:t>
      </w:r>
      <w:r w:rsidRPr="002C6F76">
        <w:rPr>
          <w:lang w:val="en-GB"/>
        </w:rPr>
        <w:t xml:space="preserve">(Sadler, 1996; Wood, 2003). </w:t>
      </w:r>
      <w:r w:rsidR="0003616D" w:rsidRPr="002C6F76">
        <w:t>In Iran</w:t>
      </w:r>
      <w:r w:rsidR="00C518FB">
        <w:t>,</w:t>
      </w:r>
      <w:r w:rsidR="0003616D" w:rsidRPr="002C6F76">
        <w:t xml:space="preserve"> the legal basis for</w:t>
      </w:r>
      <w:r w:rsidR="00F53AFE" w:rsidRPr="002C6F76">
        <w:t xml:space="preserve"> </w:t>
      </w:r>
      <w:r w:rsidR="0003616D" w:rsidRPr="002C6F76">
        <w:t>EIA is an article in the N</w:t>
      </w:r>
      <w:r w:rsidR="00D763DB" w:rsidRPr="002C6F76">
        <w:t xml:space="preserve">ational </w:t>
      </w:r>
      <w:r w:rsidR="0003616D" w:rsidRPr="002C6F76">
        <w:t>D</w:t>
      </w:r>
      <w:r w:rsidR="00D763DB" w:rsidRPr="002C6F76">
        <w:t xml:space="preserve">evelopment </w:t>
      </w:r>
      <w:r w:rsidR="0003616D" w:rsidRPr="002C6F76">
        <w:t>P</w:t>
      </w:r>
      <w:r w:rsidR="00D763DB" w:rsidRPr="002C6F76">
        <w:t>lan (NDP)</w:t>
      </w:r>
      <w:r w:rsidR="0003616D" w:rsidRPr="002C6F76">
        <w:t xml:space="preserve">. NDPs are five-year codified programs drafted by the government and presented to parliament every </w:t>
      </w:r>
      <w:r w:rsidR="004E0BC7" w:rsidRPr="002C6F76">
        <w:t xml:space="preserve">five </w:t>
      </w:r>
      <w:r w:rsidR="0003616D" w:rsidRPr="002C6F76">
        <w:t xml:space="preserve">years (Zaboli et al., 2016). EIA was first introduced in 1994 </w:t>
      </w:r>
      <w:r w:rsidR="00D965AA">
        <w:t xml:space="preserve">through </w:t>
      </w:r>
      <w:r w:rsidR="004E0BC7" w:rsidRPr="002C6F76">
        <w:t xml:space="preserve">Note </w:t>
      </w:r>
      <w:r w:rsidR="0003616D" w:rsidRPr="002C6F76">
        <w:t>82 of the 2nd NDP (1994-1998) (</w:t>
      </w:r>
      <w:r w:rsidR="009C65A1" w:rsidRPr="002C6F76">
        <w:t>Khosravi and Jha-Thakur, 2018</w:t>
      </w:r>
      <w:r w:rsidR="009C65A1">
        <w:t xml:space="preserve">; </w:t>
      </w:r>
      <w:r w:rsidR="0003616D" w:rsidRPr="002C6F76">
        <w:t>MPO, 1994</w:t>
      </w:r>
      <w:r w:rsidR="000C00A7" w:rsidRPr="002C6F76">
        <w:t>)</w:t>
      </w:r>
      <w:r w:rsidR="0003616D" w:rsidRPr="002C6F76">
        <w:t xml:space="preserve">. According to </w:t>
      </w:r>
      <w:r w:rsidR="00830A75" w:rsidRPr="002C6F76">
        <w:t xml:space="preserve">the </w:t>
      </w:r>
      <w:r w:rsidR="00B15B06" w:rsidRPr="002C6F76">
        <w:t>Note</w:t>
      </w:r>
      <w:r w:rsidR="0003616D" w:rsidRPr="002C6F76">
        <w:t xml:space="preserve"> (1994, p.26): "</w:t>
      </w:r>
      <w:r w:rsidR="0003616D" w:rsidRPr="002C6F76">
        <w:rPr>
          <w:i/>
        </w:rPr>
        <w:t>EIA reports should be provided during the feasibility and site-selection studies for any large projects</w:t>
      </w:r>
      <w:r w:rsidR="0003616D" w:rsidRPr="002C6F76">
        <w:t>". Requirements for conducting an EIA were subsequently provided in the EIA Directive of December 1997 (</w:t>
      </w:r>
      <w:r w:rsidR="00A84DA0" w:rsidRPr="002C6F76">
        <w:t>Yousefi</w:t>
      </w:r>
      <w:r w:rsidR="007F7AAE" w:rsidRPr="002C6F76">
        <w:t xml:space="preserve"> et al.</w:t>
      </w:r>
      <w:r w:rsidR="0003616D" w:rsidRPr="002C6F76">
        <w:t xml:space="preserve">, 2015). Note 82 was then amended by </w:t>
      </w:r>
      <w:r w:rsidR="004E0BC7" w:rsidRPr="002C6F76">
        <w:t xml:space="preserve">Article </w:t>
      </w:r>
      <w:r w:rsidR="0003616D" w:rsidRPr="002C6F76">
        <w:t>105 of the 3</w:t>
      </w:r>
      <w:r w:rsidR="00B15B06" w:rsidRPr="002C6F76">
        <w:t>rd</w:t>
      </w:r>
      <w:r w:rsidR="0003616D" w:rsidRPr="002C6F76">
        <w:t xml:space="preserve"> NDP</w:t>
      </w:r>
      <w:r w:rsidR="0003616D" w:rsidRPr="002C6F76" w:rsidDel="000D68EA">
        <w:t xml:space="preserve"> </w:t>
      </w:r>
      <w:r w:rsidR="0003616D" w:rsidRPr="002C6F76">
        <w:t xml:space="preserve">(1999-2003), which required the DoE to provide practical guidelines (3rd NDP report, 1999). At the time the </w:t>
      </w:r>
      <w:hyperlink r:id="rId9" w:history="1">
        <w:r w:rsidR="0003616D" w:rsidRPr="002C6F76">
          <w:t>United Nations Development Programme</w:t>
        </w:r>
      </w:hyperlink>
      <w:r w:rsidR="0003616D" w:rsidRPr="002C6F76">
        <w:t xml:space="preserve"> (UNDP) was requested by the DoE to assist in establishing EIA guidelines (UNDP, 2003). Article 71</w:t>
      </w:r>
      <w:r w:rsidR="0003616D" w:rsidRPr="002C6F76">
        <w:rPr>
          <w:b/>
          <w:bCs/>
        </w:rPr>
        <w:t xml:space="preserve"> </w:t>
      </w:r>
      <w:r w:rsidR="0003616D" w:rsidRPr="002C6F76">
        <w:t>of the 4th NDP (2005-2009) then confirmed Article 105 of the 3rd NDP (4th NDP report, 2005</w:t>
      </w:r>
      <w:r w:rsidR="00573E18" w:rsidRPr="002C6F76">
        <w:t>; Khosravi and Jha- Thakur, 2018</w:t>
      </w:r>
      <w:r w:rsidR="0003616D" w:rsidRPr="002C6F76">
        <w:t>). During this period, the Environmental High Council (</w:t>
      </w:r>
      <w:r w:rsidR="00A84DA0" w:rsidRPr="002C6F76">
        <w:t>EHC</w:t>
      </w:r>
      <w:r w:rsidR="0003616D" w:rsidRPr="002C6F76">
        <w:t>) increased the number of project types subject to EIA to 33</w:t>
      </w:r>
      <w:r w:rsidR="00D965AA">
        <w:t>.</w:t>
      </w:r>
      <w:r w:rsidR="0003616D" w:rsidRPr="002C6F76">
        <w:t xml:space="preserve"> Article 184 of the 5th NDP (2010-2015) focused on conducting an EIA </w:t>
      </w:r>
      <w:r w:rsidR="008C62E9" w:rsidRPr="002C6F76">
        <w:t>and</w:t>
      </w:r>
      <w:r w:rsidR="0003616D" w:rsidRPr="002C6F76">
        <w:t xml:space="preserve"> mentioned S</w:t>
      </w:r>
      <w:r w:rsidR="00A257EE">
        <w:t xml:space="preserve">trategic </w:t>
      </w:r>
      <w:r w:rsidR="0003616D" w:rsidRPr="002C6F76">
        <w:t>E</w:t>
      </w:r>
      <w:r w:rsidR="00A257EE">
        <w:t xml:space="preserve">nvironmental </w:t>
      </w:r>
      <w:r w:rsidR="0003616D" w:rsidRPr="002C6F76">
        <w:t>A</w:t>
      </w:r>
      <w:r w:rsidR="00A257EE">
        <w:t>ssessment (SEA)</w:t>
      </w:r>
      <w:r w:rsidR="0003616D" w:rsidRPr="002C6F76">
        <w:t xml:space="preserve"> of plans and programs at national and regional level (5th NDP report, 2010). Currently, 55 types of projects are subjected to EIA based on the 2017 </w:t>
      </w:r>
      <w:r w:rsidR="00A84DA0" w:rsidRPr="002C6F76">
        <w:t xml:space="preserve">EHC </w:t>
      </w:r>
      <w:r w:rsidR="0003616D" w:rsidRPr="002C6F76">
        <w:t>decree (DoE, 2017).</w:t>
      </w:r>
      <w:bookmarkStart w:id="6" w:name="_Toc476576644"/>
      <w:r w:rsidR="000C00A7" w:rsidRPr="002C6F76">
        <w:t xml:space="preserve"> </w:t>
      </w:r>
    </w:p>
    <w:p w14:paraId="2A3B340D" w14:textId="389804CE" w:rsidR="00F9397A" w:rsidRPr="002C6F76" w:rsidRDefault="00F9397A" w:rsidP="00F9397A">
      <w:pPr>
        <w:rPr>
          <w:rFonts w:asciiTheme="majorBidi" w:hAnsiTheme="majorBidi" w:cstheme="majorBidi"/>
          <w:i/>
          <w:color w:val="000000"/>
          <w:lang w:val="en-GB"/>
        </w:rPr>
      </w:pPr>
      <w:r w:rsidRPr="002C6F76">
        <w:lastRenderedPageBreak/>
        <w:t>Fig</w:t>
      </w:r>
      <w:r w:rsidR="003852A3" w:rsidRPr="002C6F76">
        <w:t xml:space="preserve">ure </w:t>
      </w:r>
      <w:r w:rsidRPr="002C6F76">
        <w:t xml:space="preserve">1 shows </w:t>
      </w:r>
      <w:r w:rsidR="00E25664">
        <w:t xml:space="preserve">that </w:t>
      </w:r>
      <w:r w:rsidRPr="002C6F76">
        <w:t>the number of EIA reports submitted each year have increased considerably</w:t>
      </w:r>
      <w:r w:rsidR="00E25664">
        <w:t xml:space="preserve"> over time</w:t>
      </w:r>
      <w:r w:rsidRPr="002C6F76">
        <w:t xml:space="preserve">. Rahmati (2014) provided useful analysis in his paper </w:t>
      </w:r>
      <w:r w:rsidR="00E25664">
        <w:t xml:space="preserve">for the period from </w:t>
      </w:r>
      <w:r w:rsidRPr="002C6F76">
        <w:t>1997 to 2012</w:t>
      </w:r>
      <w:r w:rsidR="00B15B06" w:rsidRPr="002C6F76">
        <w:t>. H</w:t>
      </w:r>
      <w:r w:rsidRPr="002C6F76">
        <w:t xml:space="preserve">owever, data </w:t>
      </w:r>
      <w:r w:rsidR="00C518FB">
        <w:t xml:space="preserve">are neither </w:t>
      </w:r>
      <w:r w:rsidRPr="002C6F76">
        <w:t xml:space="preserve">readily available </w:t>
      </w:r>
      <w:r w:rsidR="00C518FB">
        <w:t xml:space="preserve">nor have they </w:t>
      </w:r>
      <w:r w:rsidR="00B15B06" w:rsidRPr="002C6F76">
        <w:t xml:space="preserve">been updated. </w:t>
      </w:r>
    </w:p>
    <w:p w14:paraId="3C48A613" w14:textId="2A884F0C" w:rsidR="001D3708" w:rsidRPr="002C6F76" w:rsidRDefault="00647867" w:rsidP="00661C43">
      <w:pPr>
        <w:jc w:val="center"/>
      </w:pPr>
      <w:r>
        <w:rPr>
          <w:noProof/>
          <w:lang w:val="en-GB" w:eastAsia="en-GB" w:bidi="ar-SA"/>
        </w:rPr>
        <w:drawing>
          <wp:inline distT="0" distB="0" distL="0" distR="0" wp14:anchorId="4833C19E" wp14:editId="52DD9CB3">
            <wp:extent cx="5035550" cy="2730500"/>
            <wp:effectExtent l="19050" t="19050" r="12700" b="12700"/>
            <wp:docPr id="4" name="Picture 4"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jpg"/>
                    <pic:cNvPicPr/>
                  </pic:nvPicPr>
                  <pic:blipFill>
                    <a:blip r:embed="rId10">
                      <a:extLst>
                        <a:ext uri="{28A0092B-C50C-407E-A947-70E740481C1C}">
                          <a14:useLocalDpi xmlns:a14="http://schemas.microsoft.com/office/drawing/2010/main" val="0"/>
                        </a:ext>
                      </a:extLst>
                    </a:blip>
                    <a:stretch>
                      <a:fillRect/>
                    </a:stretch>
                  </pic:blipFill>
                  <pic:spPr>
                    <a:xfrm>
                      <a:off x="0" y="0"/>
                      <a:ext cx="5035550" cy="2730500"/>
                    </a:xfrm>
                    <a:prstGeom prst="rect">
                      <a:avLst/>
                    </a:prstGeom>
                    <a:ln w="12700">
                      <a:solidFill>
                        <a:schemeClr val="tx1"/>
                      </a:solidFill>
                    </a:ln>
                  </pic:spPr>
                </pic:pic>
              </a:graphicData>
            </a:graphic>
          </wp:inline>
        </w:drawing>
      </w:r>
    </w:p>
    <w:p w14:paraId="4A17E817" w14:textId="77777777" w:rsidR="00661C43" w:rsidRPr="002C6F76" w:rsidRDefault="001D3708" w:rsidP="001D3708">
      <w:pPr>
        <w:autoSpaceDE w:val="0"/>
        <w:autoSpaceDN w:val="0"/>
        <w:adjustRightInd w:val="0"/>
        <w:spacing w:after="0" w:line="480" w:lineRule="auto"/>
        <w:jc w:val="center"/>
        <w:rPr>
          <w:rFonts w:asciiTheme="majorBidi" w:hAnsiTheme="majorBidi" w:cstheme="majorBidi"/>
          <w:b/>
          <w:bCs/>
          <w:sz w:val="20"/>
          <w:szCs w:val="20"/>
          <w:lang w:val="en-GB"/>
        </w:rPr>
      </w:pPr>
      <w:bookmarkStart w:id="7" w:name="_Toc513721136"/>
      <w:r w:rsidRPr="002C6F76">
        <w:rPr>
          <w:rFonts w:asciiTheme="majorBidi" w:hAnsiTheme="majorBidi" w:cstheme="majorBidi"/>
          <w:b/>
          <w:bCs/>
          <w:sz w:val="20"/>
          <w:szCs w:val="20"/>
          <w:lang w:val="en-GB"/>
        </w:rPr>
        <w:t>Fig</w:t>
      </w:r>
      <w:r w:rsidR="007C4BE8" w:rsidRPr="002C6F76">
        <w:rPr>
          <w:rFonts w:asciiTheme="majorBidi" w:hAnsiTheme="majorBidi" w:cstheme="majorBidi"/>
          <w:b/>
          <w:bCs/>
          <w:sz w:val="20"/>
          <w:szCs w:val="20"/>
          <w:lang w:val="en-GB"/>
        </w:rPr>
        <w:t>.</w:t>
      </w:r>
      <w:r w:rsidRPr="002C6F76">
        <w:rPr>
          <w:rFonts w:asciiTheme="majorBidi" w:hAnsiTheme="majorBidi" w:cstheme="majorBidi"/>
          <w:b/>
          <w:bCs/>
          <w:sz w:val="20"/>
          <w:szCs w:val="20"/>
          <w:lang w:val="en-GB"/>
        </w:rPr>
        <w:t xml:space="preserve"> </w:t>
      </w:r>
      <w:r w:rsidR="00F9397A" w:rsidRPr="002C6F76">
        <w:rPr>
          <w:rFonts w:asciiTheme="majorBidi" w:hAnsiTheme="majorBidi" w:cstheme="majorBidi"/>
          <w:b/>
          <w:bCs/>
          <w:sz w:val="20"/>
          <w:szCs w:val="20"/>
          <w:lang w:val="en-GB"/>
        </w:rPr>
        <w:t>1</w:t>
      </w:r>
      <w:r w:rsidRPr="002C6F76">
        <w:rPr>
          <w:rFonts w:asciiTheme="majorBidi" w:hAnsiTheme="majorBidi" w:cstheme="majorBidi"/>
          <w:b/>
          <w:bCs/>
          <w:sz w:val="20"/>
          <w:szCs w:val="20"/>
          <w:lang w:val="en-GB"/>
        </w:rPr>
        <w:t xml:space="preserve">. </w:t>
      </w:r>
      <w:r w:rsidR="00661C43" w:rsidRPr="002C6F76">
        <w:rPr>
          <w:rFonts w:asciiTheme="majorBidi" w:hAnsiTheme="majorBidi" w:cstheme="majorBidi"/>
          <w:b/>
          <w:bCs/>
          <w:sz w:val="20"/>
          <w:szCs w:val="20"/>
          <w:lang w:val="en-GB"/>
        </w:rPr>
        <w:t>Number of EIAs submitted during 1997-2012 (Rahmati</w:t>
      </w:r>
      <w:r w:rsidR="007C3064" w:rsidRPr="002C6F76">
        <w:rPr>
          <w:rFonts w:asciiTheme="majorBidi" w:hAnsiTheme="majorBidi" w:cstheme="majorBidi"/>
          <w:b/>
          <w:bCs/>
          <w:sz w:val="20"/>
          <w:szCs w:val="20"/>
          <w:lang w:val="en-GB"/>
        </w:rPr>
        <w:t>,</w:t>
      </w:r>
      <w:r w:rsidR="00661C43" w:rsidRPr="002C6F76">
        <w:rPr>
          <w:rFonts w:asciiTheme="majorBidi" w:hAnsiTheme="majorBidi" w:cstheme="majorBidi"/>
          <w:b/>
          <w:bCs/>
          <w:sz w:val="20"/>
          <w:szCs w:val="20"/>
          <w:lang w:val="en-GB"/>
        </w:rPr>
        <w:t xml:space="preserve"> 2014)</w:t>
      </w:r>
      <w:bookmarkEnd w:id="7"/>
    </w:p>
    <w:p w14:paraId="122F953F" w14:textId="1AEA5A14" w:rsidR="00A8317F" w:rsidRPr="002C6F76" w:rsidRDefault="007C4BE8" w:rsidP="006F626F">
      <w:r w:rsidRPr="002C6F76">
        <w:t>Fig</w:t>
      </w:r>
      <w:r w:rsidR="00D17C64" w:rsidRPr="002C6F76">
        <w:t>ure</w:t>
      </w:r>
      <w:r w:rsidRPr="002C6F76">
        <w:t xml:space="preserve"> </w:t>
      </w:r>
      <w:r w:rsidR="00F9397A" w:rsidRPr="002C6F76">
        <w:t>2</w:t>
      </w:r>
      <w:r w:rsidR="006276D8" w:rsidRPr="002C6F76">
        <w:t xml:space="preserve"> displays the Iran</w:t>
      </w:r>
      <w:r w:rsidR="003E316F" w:rsidRPr="002C6F76">
        <w:t>ian</w:t>
      </w:r>
      <w:r w:rsidR="006276D8" w:rsidRPr="002C6F76">
        <w:t xml:space="preserve"> EIA</w:t>
      </w:r>
      <w:r w:rsidR="003E316F" w:rsidRPr="002C6F76">
        <w:t xml:space="preserve"> </w:t>
      </w:r>
      <w:r w:rsidR="006276D8" w:rsidRPr="002C6F76">
        <w:t>procedure</w:t>
      </w:r>
      <w:r w:rsidR="006F626F" w:rsidRPr="002C6F76">
        <w:t xml:space="preserve"> (DoE, 2016). </w:t>
      </w:r>
      <w:r w:rsidR="008C2D02" w:rsidRPr="002C6F76">
        <w:t xml:space="preserve">Once the </w:t>
      </w:r>
      <w:r w:rsidR="006F626F" w:rsidRPr="002C6F76">
        <w:t xml:space="preserve">proponents submit their </w:t>
      </w:r>
      <w:r w:rsidR="008C2D02" w:rsidRPr="002C6F76">
        <w:t xml:space="preserve">developmental </w:t>
      </w:r>
      <w:r w:rsidR="006F626F" w:rsidRPr="002C6F76">
        <w:t>proposal</w:t>
      </w:r>
      <w:r w:rsidR="00DB52E5" w:rsidRPr="002C6F76">
        <w:t xml:space="preserve"> </w:t>
      </w:r>
      <w:r w:rsidR="006F626F" w:rsidRPr="002C6F76">
        <w:t xml:space="preserve">to the relevant DoE provincial office, </w:t>
      </w:r>
      <w:r w:rsidR="008C2D02" w:rsidRPr="002C6F76">
        <w:t xml:space="preserve">screening for EIA is undertaken based on a </w:t>
      </w:r>
      <w:r w:rsidR="006F626F" w:rsidRPr="002C6F76">
        <w:t xml:space="preserve">screening list (DoE, 2004). </w:t>
      </w:r>
      <w:r w:rsidR="003A795C" w:rsidRPr="002C6F76">
        <w:t xml:space="preserve">The report </w:t>
      </w:r>
      <w:r w:rsidR="008C2D02" w:rsidRPr="002C6F76">
        <w:t xml:space="preserve">consists of </w:t>
      </w:r>
      <w:r w:rsidR="00E25664">
        <w:t xml:space="preserve">a </w:t>
      </w:r>
      <w:r w:rsidR="003A795C" w:rsidRPr="002C6F76">
        <w:t xml:space="preserve">description of </w:t>
      </w:r>
      <w:r w:rsidR="00E25664">
        <w:t xml:space="preserve">the </w:t>
      </w:r>
      <w:r w:rsidR="003A795C" w:rsidRPr="002C6F76">
        <w:t xml:space="preserve">project, </w:t>
      </w:r>
      <w:r w:rsidR="00E25664">
        <w:t xml:space="preserve">the </w:t>
      </w:r>
      <w:r w:rsidR="003A795C" w:rsidRPr="002C6F76">
        <w:t>surrounding environment</w:t>
      </w:r>
      <w:r w:rsidR="0054225C" w:rsidRPr="002C6F76">
        <w:t>,</w:t>
      </w:r>
      <w:r w:rsidR="003A795C" w:rsidRPr="002C6F76">
        <w:t xml:space="preserve"> social </w:t>
      </w:r>
      <w:r w:rsidR="0054225C" w:rsidRPr="002C6F76">
        <w:t xml:space="preserve">and economic </w:t>
      </w:r>
      <w:r w:rsidR="003A795C" w:rsidRPr="002C6F76">
        <w:t>condition</w:t>
      </w:r>
      <w:r w:rsidR="00E25664">
        <w:t>s</w:t>
      </w:r>
      <w:r w:rsidR="003A795C" w:rsidRPr="002C6F76">
        <w:t>, law</w:t>
      </w:r>
      <w:r w:rsidR="00C518FB">
        <w:t>s</w:t>
      </w:r>
      <w:r w:rsidR="003A795C" w:rsidRPr="002C6F76">
        <w:t xml:space="preserve">, regulations, </w:t>
      </w:r>
      <w:r w:rsidR="009829B6" w:rsidRPr="002C6F76">
        <w:t>pote</w:t>
      </w:r>
      <w:r w:rsidR="003A795C" w:rsidRPr="002C6F76">
        <w:t>ntial impacts</w:t>
      </w:r>
      <w:r w:rsidR="00DB52E5" w:rsidRPr="002C6F76">
        <w:t>, mitigation</w:t>
      </w:r>
      <w:r w:rsidR="003A795C" w:rsidRPr="002C6F76">
        <w:t xml:space="preserve"> measures, and </w:t>
      </w:r>
      <w:r w:rsidR="00E25664">
        <w:t xml:space="preserve">the </w:t>
      </w:r>
      <w:r w:rsidR="003A795C" w:rsidRPr="002C6F76">
        <w:t>Environmental Management Plan</w:t>
      </w:r>
      <w:r w:rsidR="00DB52E5" w:rsidRPr="002C6F76">
        <w:t xml:space="preserve"> </w:t>
      </w:r>
      <w:r w:rsidR="00D42F51">
        <w:t>(</w:t>
      </w:r>
      <w:r w:rsidR="0069442F" w:rsidRPr="002C6F76">
        <w:t>DoE, 2017</w:t>
      </w:r>
      <w:r w:rsidR="00500481" w:rsidRPr="002C6F76">
        <w:t>).</w:t>
      </w:r>
      <w:r w:rsidR="006F626F" w:rsidRPr="002C6F76">
        <w:t xml:space="preserve"> </w:t>
      </w:r>
      <w:r w:rsidR="00500481" w:rsidRPr="002C6F76">
        <w:t>The report is submitted</w:t>
      </w:r>
      <w:r w:rsidR="006F626F" w:rsidRPr="002C6F76">
        <w:t xml:space="preserve"> to the provincial EIA office </w:t>
      </w:r>
      <w:r w:rsidR="009829B6" w:rsidRPr="002C6F76">
        <w:t xml:space="preserve">for the initial approval from </w:t>
      </w:r>
      <w:r w:rsidR="006F626F" w:rsidRPr="002C6F76">
        <w:t xml:space="preserve">the </w:t>
      </w:r>
      <w:r w:rsidR="003852A3" w:rsidRPr="002C6F76">
        <w:t xml:space="preserve">provincial </w:t>
      </w:r>
      <w:r w:rsidR="006F626F" w:rsidRPr="002C6F76">
        <w:t xml:space="preserve">EIA </w:t>
      </w:r>
      <w:r w:rsidR="003852A3" w:rsidRPr="002C6F76">
        <w:t>committee</w:t>
      </w:r>
      <w:r w:rsidR="00500481" w:rsidRPr="002C6F76">
        <w:t>. I</w:t>
      </w:r>
      <w:r w:rsidR="008C2D02" w:rsidRPr="002C6F76">
        <w:t>f approval is granted by</w:t>
      </w:r>
      <w:r w:rsidR="00500481" w:rsidRPr="002C6F76">
        <w:t xml:space="preserve"> </w:t>
      </w:r>
      <w:r w:rsidR="00E25664">
        <w:t xml:space="preserve">the </w:t>
      </w:r>
      <w:r w:rsidR="00500481" w:rsidRPr="002C6F76">
        <w:t xml:space="preserve">provincial EIA </w:t>
      </w:r>
      <w:r w:rsidR="003852A3" w:rsidRPr="002C6F76">
        <w:t>committee</w:t>
      </w:r>
      <w:r w:rsidR="00500481" w:rsidRPr="002C6F76">
        <w:t xml:space="preserve">, the report is </w:t>
      </w:r>
      <w:r w:rsidR="008C2D02" w:rsidRPr="002C6F76">
        <w:t xml:space="preserve">then forwarded </w:t>
      </w:r>
      <w:r w:rsidR="00500481" w:rsidRPr="002C6F76">
        <w:t xml:space="preserve">to EIA </w:t>
      </w:r>
      <w:r w:rsidR="003852A3" w:rsidRPr="002C6F76">
        <w:t xml:space="preserve">Bureau </w:t>
      </w:r>
      <w:r w:rsidR="00500481" w:rsidRPr="002C6F76">
        <w:t>in the DoE</w:t>
      </w:r>
      <w:r w:rsidR="00231933" w:rsidRPr="002C6F76">
        <w:t>.</w:t>
      </w:r>
      <w:r w:rsidR="003852A3" w:rsidRPr="002C6F76">
        <w:t xml:space="preserve"> The report</w:t>
      </w:r>
      <w:r w:rsidR="00231933" w:rsidRPr="002C6F76">
        <w:t xml:space="preserve"> </w:t>
      </w:r>
      <w:r w:rsidR="003852A3" w:rsidRPr="002C6F76">
        <w:t xml:space="preserve">is reviewed by the EIA committee mainly based on the report and the presentation given by the proponent. </w:t>
      </w:r>
      <w:r w:rsidR="00A8317F" w:rsidRPr="002C6F76">
        <w:t xml:space="preserve">The EIA </w:t>
      </w:r>
      <w:r w:rsidR="003852A3" w:rsidRPr="002C6F76">
        <w:t>committee</w:t>
      </w:r>
      <w:r w:rsidR="00A8317F" w:rsidRPr="002C6F76">
        <w:t xml:space="preserve"> consists of representatives of various governmental bodies</w:t>
      </w:r>
      <w:r w:rsidR="00A16D4C">
        <w:t>,</w:t>
      </w:r>
      <w:r w:rsidR="003852A3" w:rsidRPr="002C6F76">
        <w:t xml:space="preserve"> including</w:t>
      </w:r>
      <w:r w:rsidR="00A8317F" w:rsidRPr="002C6F76">
        <w:t xml:space="preserve"> (Moradi, 2009)</w:t>
      </w:r>
      <w:r w:rsidR="005B6E10" w:rsidRPr="002C6F76">
        <w:t xml:space="preserve"> </w:t>
      </w:r>
      <w:r w:rsidR="00A16D4C">
        <w:t xml:space="preserve">the </w:t>
      </w:r>
      <w:r w:rsidR="00A8317F" w:rsidRPr="002C6F76">
        <w:t>Head of Deputy of Human Environment</w:t>
      </w:r>
      <w:r w:rsidR="005B6E10" w:rsidRPr="002C6F76">
        <w:t xml:space="preserve">, </w:t>
      </w:r>
      <w:r w:rsidR="00A16D4C">
        <w:t xml:space="preserve">the </w:t>
      </w:r>
      <w:r w:rsidR="00A8317F" w:rsidRPr="002C6F76">
        <w:t xml:space="preserve">Head of </w:t>
      </w:r>
      <w:r w:rsidR="00A16D4C">
        <w:t xml:space="preserve">the </w:t>
      </w:r>
      <w:r w:rsidR="00A8317F" w:rsidRPr="002C6F76">
        <w:t>EIA Bureau</w:t>
      </w:r>
      <w:r w:rsidR="005B6E10" w:rsidRPr="002C6F76">
        <w:t xml:space="preserve">, </w:t>
      </w:r>
      <w:r w:rsidR="00A16D4C">
        <w:t xml:space="preserve">a </w:t>
      </w:r>
      <w:r w:rsidR="005B6E10" w:rsidRPr="002C6F76">
        <w:t>r</w:t>
      </w:r>
      <w:r w:rsidR="00A8317F" w:rsidRPr="002C6F76">
        <w:t xml:space="preserve">elated expert from </w:t>
      </w:r>
      <w:r w:rsidR="00A16D4C">
        <w:t xml:space="preserve">the </w:t>
      </w:r>
      <w:r w:rsidR="00A8317F" w:rsidRPr="002C6F76">
        <w:t xml:space="preserve">EIA Bureau, </w:t>
      </w:r>
      <w:r w:rsidR="00A16D4C">
        <w:t xml:space="preserve">a </w:t>
      </w:r>
      <w:r w:rsidR="005B6E10" w:rsidRPr="002C6F76">
        <w:t>r</w:t>
      </w:r>
      <w:r w:rsidR="00A8317F" w:rsidRPr="002C6F76">
        <w:t xml:space="preserve">epresentative of </w:t>
      </w:r>
      <w:r w:rsidR="00A16D4C">
        <w:t xml:space="preserve">the </w:t>
      </w:r>
      <w:r w:rsidR="00A8317F" w:rsidRPr="002C6F76">
        <w:t xml:space="preserve">Deputy of Natural Environment, </w:t>
      </w:r>
      <w:r w:rsidR="00716EDA">
        <w:t xml:space="preserve">an </w:t>
      </w:r>
      <w:r w:rsidR="005B6E10" w:rsidRPr="002C6F76">
        <w:t>a</w:t>
      </w:r>
      <w:r w:rsidR="00A8317F" w:rsidRPr="002C6F76">
        <w:t xml:space="preserve">cademic expert from </w:t>
      </w:r>
      <w:r w:rsidR="00716EDA">
        <w:t xml:space="preserve">a </w:t>
      </w:r>
      <w:r w:rsidR="00A8317F" w:rsidRPr="002C6F76">
        <w:t xml:space="preserve">University, </w:t>
      </w:r>
      <w:r w:rsidR="00716EDA">
        <w:t xml:space="preserve">a </w:t>
      </w:r>
      <w:r w:rsidR="005B6E10" w:rsidRPr="002C6F76">
        <w:t>r</w:t>
      </w:r>
      <w:r w:rsidR="00A8317F" w:rsidRPr="002C6F76">
        <w:t xml:space="preserve">epresentative of </w:t>
      </w:r>
      <w:r w:rsidR="00A16D4C">
        <w:t xml:space="preserve">an </w:t>
      </w:r>
      <w:r w:rsidR="00A8317F" w:rsidRPr="002C6F76">
        <w:t xml:space="preserve">NGO, </w:t>
      </w:r>
      <w:r w:rsidR="00A16D4C">
        <w:t xml:space="preserve">the </w:t>
      </w:r>
      <w:r w:rsidR="00A8317F" w:rsidRPr="002C6F76">
        <w:t xml:space="preserve">Head of the related provincial EIA office, </w:t>
      </w:r>
      <w:r w:rsidR="005B6E10" w:rsidRPr="002C6F76">
        <w:t xml:space="preserve">and </w:t>
      </w:r>
      <w:r w:rsidR="00A16D4C">
        <w:t xml:space="preserve">a </w:t>
      </w:r>
      <w:r w:rsidR="005B6E10" w:rsidRPr="002C6F76">
        <w:t>r</w:t>
      </w:r>
      <w:r w:rsidR="00A8317F" w:rsidRPr="002C6F76">
        <w:t xml:space="preserve">epresentative of </w:t>
      </w:r>
      <w:r w:rsidR="00716EDA">
        <w:t xml:space="preserve">the </w:t>
      </w:r>
      <w:r w:rsidR="00A8317F" w:rsidRPr="002C6F76">
        <w:t xml:space="preserve">Management and Planning </w:t>
      </w:r>
      <w:r w:rsidR="00A8317F" w:rsidRPr="002C6F76">
        <w:lastRenderedPageBreak/>
        <w:t>Organisation (MPO)</w:t>
      </w:r>
      <w:r w:rsidR="005B6E10" w:rsidRPr="002C6F76">
        <w:t xml:space="preserve">. </w:t>
      </w:r>
      <w:r w:rsidR="00A8317F" w:rsidRPr="002C6F76">
        <w:t>According to the Iranian EIA directive</w:t>
      </w:r>
      <w:r w:rsidR="00A8317F" w:rsidRPr="002C6F76" w:rsidDel="008B673B">
        <w:t xml:space="preserve"> </w:t>
      </w:r>
      <w:r w:rsidR="00A8317F" w:rsidRPr="002C6F76">
        <w:t>(2011)</w:t>
      </w:r>
      <w:r w:rsidR="00A16D4C">
        <w:t>,</w:t>
      </w:r>
      <w:r w:rsidR="00A8317F" w:rsidRPr="002C6F76">
        <w:t xml:space="preserve"> the </w:t>
      </w:r>
      <w:r w:rsidR="003852A3" w:rsidRPr="002C6F76">
        <w:t xml:space="preserve">EIA review process </w:t>
      </w:r>
      <w:r w:rsidR="00A8317F" w:rsidRPr="002C6F76">
        <w:t xml:space="preserve">should </w:t>
      </w:r>
      <w:r w:rsidR="00716EDA">
        <w:t xml:space="preserve">be </w:t>
      </w:r>
      <w:r w:rsidR="00A8317F" w:rsidRPr="002C6F76">
        <w:t>review</w:t>
      </w:r>
      <w:r w:rsidR="00716EDA">
        <w:t>ed</w:t>
      </w:r>
      <w:r w:rsidR="00A8317F" w:rsidRPr="002C6F76">
        <w:t xml:space="preserve"> and </w:t>
      </w:r>
      <w:r w:rsidR="00716EDA">
        <w:t xml:space="preserve">a </w:t>
      </w:r>
      <w:r w:rsidR="00A8317F" w:rsidRPr="002C6F76">
        <w:t>deci</w:t>
      </w:r>
      <w:r w:rsidR="00716EDA">
        <w:t>sion</w:t>
      </w:r>
      <w:r w:rsidR="00A8317F" w:rsidRPr="002C6F76">
        <w:t xml:space="preserve"> </w:t>
      </w:r>
      <w:r w:rsidR="00716EDA">
        <w:t>on</w:t>
      </w:r>
      <w:r w:rsidR="00A8317F" w:rsidRPr="002C6F76">
        <w:t xml:space="preserve"> the EIA report </w:t>
      </w:r>
      <w:r w:rsidR="00716EDA">
        <w:t xml:space="preserve">be reached </w:t>
      </w:r>
      <w:r w:rsidR="00A8317F" w:rsidRPr="002C6F76">
        <w:t xml:space="preserve">within 45 days </w:t>
      </w:r>
      <w:r w:rsidR="00716EDA">
        <w:t>of</w:t>
      </w:r>
      <w:r w:rsidR="00A8317F" w:rsidRPr="002C6F76">
        <w:t xml:space="preserve"> submission.</w:t>
      </w:r>
    </w:p>
    <w:p w14:paraId="467D5206" w14:textId="77777777" w:rsidR="001D3708" w:rsidRPr="002C6F76" w:rsidRDefault="00F2701A" w:rsidP="009E6FD2">
      <w:pPr>
        <w:jc w:val="center"/>
        <w:rPr>
          <w:rFonts w:cs="Times New Roman"/>
          <w:shd w:val="clear" w:color="auto" w:fill="FFFFFF"/>
        </w:rPr>
      </w:pPr>
      <w:r>
        <w:rPr>
          <w:rFonts w:cs="Times New Roman"/>
          <w:noProof/>
          <w:shd w:val="clear" w:color="auto" w:fill="FFFFFF"/>
          <w:lang w:val="en-GB" w:eastAsia="en-GB" w:bidi="ar-SA"/>
        </w:rPr>
        <w:drawing>
          <wp:inline distT="0" distB="0" distL="0" distR="0" wp14:anchorId="2472A145" wp14:editId="6861EB7F">
            <wp:extent cx="4442879" cy="5327650"/>
            <wp:effectExtent l="19050" t="19050" r="15240" b="25400"/>
            <wp:docPr id="2" name="Picture 2"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an EIA process.jpg"/>
                    <pic:cNvPicPr/>
                  </pic:nvPicPr>
                  <pic:blipFill>
                    <a:blip r:embed="rId11">
                      <a:extLst>
                        <a:ext uri="{28A0092B-C50C-407E-A947-70E740481C1C}">
                          <a14:useLocalDpi xmlns:a14="http://schemas.microsoft.com/office/drawing/2010/main" val="0"/>
                        </a:ext>
                      </a:extLst>
                    </a:blip>
                    <a:stretch>
                      <a:fillRect/>
                    </a:stretch>
                  </pic:blipFill>
                  <pic:spPr>
                    <a:xfrm>
                      <a:off x="0" y="0"/>
                      <a:ext cx="4461843" cy="5350390"/>
                    </a:xfrm>
                    <a:prstGeom prst="rect">
                      <a:avLst/>
                    </a:prstGeom>
                    <a:ln w="25400">
                      <a:solidFill>
                        <a:schemeClr val="dk1">
                          <a:lumMod val="100000"/>
                          <a:lumOff val="0"/>
                        </a:schemeClr>
                      </a:solidFill>
                    </a:ln>
                  </pic:spPr>
                </pic:pic>
              </a:graphicData>
            </a:graphic>
          </wp:inline>
        </w:drawing>
      </w:r>
    </w:p>
    <w:p w14:paraId="50C09C9A" w14:textId="77777777" w:rsidR="001D3708" w:rsidRPr="002C6F76" w:rsidRDefault="007C4BE8" w:rsidP="000651E4">
      <w:pPr>
        <w:spacing w:line="480" w:lineRule="auto"/>
        <w:ind w:left="-284"/>
        <w:jc w:val="center"/>
        <w:rPr>
          <w:rFonts w:cs="Times New Roman"/>
          <w:b/>
          <w:bCs/>
          <w:sz w:val="22"/>
          <w:szCs w:val="22"/>
          <w:lang w:val="en-GB"/>
        </w:rPr>
      </w:pPr>
      <w:r w:rsidRPr="002C6F76">
        <w:rPr>
          <w:rFonts w:cs="Times New Roman"/>
          <w:b/>
          <w:bCs/>
          <w:sz w:val="22"/>
          <w:szCs w:val="22"/>
          <w:lang w:val="en-GB"/>
        </w:rPr>
        <w:t xml:space="preserve">Fig. </w:t>
      </w:r>
      <w:r w:rsidR="00F9397A" w:rsidRPr="002C6F76">
        <w:rPr>
          <w:rFonts w:cs="Times New Roman"/>
          <w:b/>
          <w:bCs/>
          <w:sz w:val="22"/>
          <w:szCs w:val="22"/>
          <w:lang w:val="en-GB"/>
        </w:rPr>
        <w:t>2</w:t>
      </w:r>
      <w:r w:rsidRPr="002C6F76">
        <w:rPr>
          <w:rFonts w:cs="Times New Roman"/>
          <w:b/>
          <w:bCs/>
          <w:sz w:val="22"/>
          <w:szCs w:val="22"/>
          <w:lang w:val="en-GB"/>
        </w:rPr>
        <w:t xml:space="preserve">. </w:t>
      </w:r>
      <w:r w:rsidR="001D3708" w:rsidRPr="002C6F76">
        <w:rPr>
          <w:rFonts w:cs="Times New Roman"/>
          <w:b/>
          <w:bCs/>
          <w:sz w:val="22"/>
          <w:szCs w:val="22"/>
          <w:lang w:val="en-GB"/>
        </w:rPr>
        <w:t>The EIA proce</w:t>
      </w:r>
      <w:r w:rsidR="00BB0408" w:rsidRPr="002C6F76">
        <w:rPr>
          <w:rFonts w:cs="Times New Roman"/>
          <w:b/>
          <w:bCs/>
          <w:sz w:val="22"/>
          <w:szCs w:val="22"/>
          <w:lang w:val="en-GB"/>
        </w:rPr>
        <w:t>ss</w:t>
      </w:r>
      <w:r w:rsidR="001D3708" w:rsidRPr="002C6F76">
        <w:rPr>
          <w:rFonts w:cs="Times New Roman"/>
          <w:b/>
          <w:bCs/>
          <w:sz w:val="22"/>
          <w:szCs w:val="22"/>
          <w:lang w:val="en-GB"/>
        </w:rPr>
        <w:t xml:space="preserve"> in Iran </w:t>
      </w:r>
    </w:p>
    <w:bookmarkEnd w:id="4"/>
    <w:bookmarkEnd w:id="6"/>
    <w:p w14:paraId="0844936B" w14:textId="77777777" w:rsidR="002465DF" w:rsidRPr="002C6F76" w:rsidRDefault="002465DF" w:rsidP="005611F3">
      <w:pPr>
        <w:pStyle w:val="Title1"/>
        <w:numPr>
          <w:ilvl w:val="0"/>
          <w:numId w:val="0"/>
        </w:numPr>
        <w:bidi w:val="0"/>
        <w:rPr>
          <w:rFonts w:asciiTheme="majorBidi" w:hAnsiTheme="majorBidi" w:cstheme="majorBidi"/>
          <w:color w:val="000000"/>
          <w:lang w:val="en-GB"/>
        </w:rPr>
      </w:pPr>
      <w:r w:rsidRPr="002C6F76">
        <w:rPr>
          <w:rFonts w:asciiTheme="majorBidi" w:hAnsiTheme="majorBidi" w:cstheme="majorBidi"/>
          <w:color w:val="000000"/>
          <w:lang w:val="en-GB"/>
        </w:rPr>
        <w:t xml:space="preserve">2. Research </w:t>
      </w:r>
      <w:r w:rsidR="00A95997" w:rsidRPr="002C6F76">
        <w:rPr>
          <w:rFonts w:asciiTheme="majorBidi" w:hAnsiTheme="majorBidi" w:cstheme="majorBidi"/>
          <w:color w:val="000000"/>
          <w:lang w:val="en-GB"/>
        </w:rPr>
        <w:t>method</w:t>
      </w:r>
    </w:p>
    <w:p w14:paraId="49D830AF" w14:textId="77777777" w:rsidR="00AE093E" w:rsidRPr="002C6F76" w:rsidRDefault="008C2D02" w:rsidP="00DD3648">
      <w:pPr>
        <w:pStyle w:val="Title1"/>
        <w:numPr>
          <w:ilvl w:val="0"/>
          <w:numId w:val="0"/>
        </w:numPr>
        <w:bidi w:val="0"/>
        <w:rPr>
          <w:rFonts w:asciiTheme="majorBidi" w:hAnsiTheme="majorBidi" w:cstheme="majorBidi"/>
          <w:i/>
          <w:color w:val="000000"/>
          <w:lang w:val="en-GB"/>
        </w:rPr>
      </w:pPr>
      <w:r w:rsidRPr="002C6F76">
        <w:rPr>
          <w:rFonts w:asciiTheme="majorBidi" w:hAnsiTheme="majorBidi" w:cstheme="majorBidi"/>
          <w:i/>
          <w:color w:val="000000"/>
          <w:lang w:val="en-GB"/>
        </w:rPr>
        <w:t>2.1</w:t>
      </w:r>
      <w:r w:rsidR="000C2186" w:rsidRPr="002C6F76">
        <w:rPr>
          <w:rFonts w:asciiTheme="majorBidi" w:hAnsiTheme="majorBidi" w:cstheme="majorBidi"/>
          <w:i/>
          <w:color w:val="000000"/>
          <w:lang w:val="en-GB"/>
        </w:rPr>
        <w:t xml:space="preserve">. </w:t>
      </w:r>
      <w:r w:rsidR="00AE093E" w:rsidRPr="002C6F76">
        <w:rPr>
          <w:rFonts w:asciiTheme="majorBidi" w:hAnsiTheme="majorBidi" w:cstheme="majorBidi"/>
          <w:i/>
          <w:color w:val="000000"/>
          <w:lang w:val="en-GB"/>
        </w:rPr>
        <w:t>System level analysis</w:t>
      </w:r>
    </w:p>
    <w:p w14:paraId="05D087FD" w14:textId="631A3552" w:rsidR="004E0BC7" w:rsidRDefault="00716EDA" w:rsidP="000C2186">
      <w:pPr>
        <w:spacing w:after="0"/>
        <w:ind w:left="90"/>
        <w:rPr>
          <w:lang w:val="en-GB"/>
        </w:rPr>
      </w:pPr>
      <w:r>
        <w:rPr>
          <w:lang w:val="en-GB"/>
        </w:rPr>
        <w:t xml:space="preserve">International </w:t>
      </w:r>
      <w:r w:rsidR="000C2186" w:rsidRPr="002C6F76">
        <w:rPr>
          <w:lang w:val="en-GB"/>
        </w:rPr>
        <w:t>EIA evaluation</w:t>
      </w:r>
      <w:r>
        <w:rPr>
          <w:lang w:val="en-GB"/>
        </w:rPr>
        <w:t>s</w:t>
      </w:r>
      <w:r w:rsidR="000C2186" w:rsidRPr="002C6F76">
        <w:rPr>
          <w:lang w:val="en-GB"/>
        </w:rPr>
        <w:t xml:space="preserve"> </w:t>
      </w:r>
      <w:r w:rsidR="004E0BC7" w:rsidRPr="002C6F76">
        <w:rPr>
          <w:lang w:val="en-GB"/>
        </w:rPr>
        <w:t xml:space="preserve">have </w:t>
      </w:r>
      <w:r w:rsidR="000C2186" w:rsidRPr="002C6F76">
        <w:rPr>
          <w:lang w:val="en-GB"/>
        </w:rPr>
        <w:t>covered a range of issues</w:t>
      </w:r>
      <w:r>
        <w:rPr>
          <w:lang w:val="en-GB"/>
        </w:rPr>
        <w:t>,</w:t>
      </w:r>
      <w:r w:rsidR="000C2186" w:rsidRPr="002C6F76">
        <w:rPr>
          <w:lang w:val="en-GB"/>
        </w:rPr>
        <w:t xml:space="preserve"> including at system</w:t>
      </w:r>
      <w:r>
        <w:rPr>
          <w:lang w:val="en-GB"/>
        </w:rPr>
        <w:t>s</w:t>
      </w:r>
      <w:r w:rsidR="000C2186" w:rsidRPr="002C6F76">
        <w:rPr>
          <w:lang w:val="en-GB"/>
        </w:rPr>
        <w:t xml:space="preserve"> and </w:t>
      </w:r>
      <w:r w:rsidR="000C2186" w:rsidRPr="002C6F76">
        <w:t>project</w:t>
      </w:r>
      <w:r w:rsidR="000C2186" w:rsidRPr="002C6F76">
        <w:rPr>
          <w:lang w:val="en-GB"/>
        </w:rPr>
        <w:t xml:space="preserve"> level</w:t>
      </w:r>
      <w:r>
        <w:rPr>
          <w:lang w:val="en-GB"/>
        </w:rPr>
        <w:t>s</w:t>
      </w:r>
      <w:r w:rsidR="000C2186" w:rsidRPr="002C6F76">
        <w:rPr>
          <w:lang w:val="en-GB"/>
        </w:rPr>
        <w:t xml:space="preserve"> (</w:t>
      </w:r>
      <w:r w:rsidR="0069442F">
        <w:rPr>
          <w:lang w:val="en-GB"/>
        </w:rPr>
        <w:t xml:space="preserve">Arts et al., 2012; </w:t>
      </w:r>
      <w:r w:rsidR="000C2186" w:rsidRPr="002C6F76">
        <w:rPr>
          <w:lang w:val="en-GB"/>
        </w:rPr>
        <w:t xml:space="preserve">Cashmore et al., 2009; Zvija´kova et al., 2014). At </w:t>
      </w:r>
      <w:r w:rsidR="004E0BC7" w:rsidRPr="002C6F76">
        <w:rPr>
          <w:lang w:val="en-GB"/>
        </w:rPr>
        <w:t xml:space="preserve">a </w:t>
      </w:r>
      <w:r w:rsidR="000C2186" w:rsidRPr="002C6F76">
        <w:rPr>
          <w:lang w:val="en-GB"/>
        </w:rPr>
        <w:t>project level, EIA</w:t>
      </w:r>
      <w:r w:rsidR="004E0BC7" w:rsidRPr="002C6F76">
        <w:rPr>
          <w:lang w:val="en-GB"/>
        </w:rPr>
        <w:t xml:space="preserve"> practice</w:t>
      </w:r>
      <w:r w:rsidR="000C2186" w:rsidRPr="002C6F76">
        <w:rPr>
          <w:lang w:val="en-GB"/>
        </w:rPr>
        <w:t xml:space="preserve"> is influenced by the actors involved, </w:t>
      </w:r>
      <w:r>
        <w:rPr>
          <w:lang w:val="en-GB"/>
        </w:rPr>
        <w:t xml:space="preserve">as well as </w:t>
      </w:r>
      <w:r w:rsidR="000C2186" w:rsidRPr="002C6F76">
        <w:rPr>
          <w:lang w:val="en-GB"/>
        </w:rPr>
        <w:t xml:space="preserve">their interests and positions (Fischer and </w:t>
      </w:r>
      <w:r w:rsidR="000C2186" w:rsidRPr="002C6F76">
        <w:rPr>
          <w:lang w:val="en-GB"/>
        </w:rPr>
        <w:lastRenderedPageBreak/>
        <w:t>Gazzola, 2006; Hilding-Rydevik and Bjarnadóttir, 2007; Kørnøv and Thissen, 2000; Runhaar and Driessen, 2007). On the other hand, at the system level, EIA depends on characteristics of EIA legislation</w:t>
      </w:r>
      <w:r w:rsidR="004E0BC7" w:rsidRPr="002C6F76">
        <w:rPr>
          <w:lang w:val="en-GB"/>
        </w:rPr>
        <w:t xml:space="preserve"> such as</w:t>
      </w:r>
      <w:r w:rsidR="000C2186" w:rsidRPr="002C6F76">
        <w:rPr>
          <w:lang w:val="en-GB"/>
        </w:rPr>
        <w:t xml:space="preserve"> the presence of “follow up” requirements (Arts, </w:t>
      </w:r>
      <w:r w:rsidR="00105B6B" w:rsidRPr="002C6F76">
        <w:rPr>
          <w:lang w:val="en-GB"/>
        </w:rPr>
        <w:t>2012</w:t>
      </w:r>
      <w:r w:rsidR="000C2186" w:rsidRPr="002C6F76">
        <w:rPr>
          <w:lang w:val="en-GB"/>
        </w:rPr>
        <w:t xml:space="preserve">; Sadler, 2004; Wood, 2003). </w:t>
      </w:r>
    </w:p>
    <w:p w14:paraId="5AC6A544" w14:textId="77777777" w:rsidR="00A16D4C" w:rsidRDefault="00A16D4C" w:rsidP="000C2186">
      <w:pPr>
        <w:spacing w:after="0"/>
        <w:ind w:left="90"/>
        <w:rPr>
          <w:lang w:val="en-GB"/>
        </w:rPr>
      </w:pPr>
    </w:p>
    <w:p w14:paraId="3C6E386E" w14:textId="69401896" w:rsidR="00B5213C" w:rsidRPr="002C6F76" w:rsidRDefault="00716EDA" w:rsidP="008C62E9">
      <w:pPr>
        <w:spacing w:after="0"/>
        <w:ind w:left="90"/>
        <w:rPr>
          <w:rFonts w:asciiTheme="majorBidi" w:hAnsiTheme="majorBidi" w:cstheme="majorBidi"/>
          <w:szCs w:val="24"/>
          <w:lang w:val="en-GB" w:bidi="ar-SA"/>
        </w:rPr>
      </w:pPr>
      <w:r>
        <w:rPr>
          <w:lang w:val="en-GB"/>
        </w:rPr>
        <w:t>T</w:t>
      </w:r>
      <w:r w:rsidR="000C2186" w:rsidRPr="002C6F76">
        <w:rPr>
          <w:lang w:val="en-GB"/>
        </w:rPr>
        <w:t xml:space="preserve">he main aim of </w:t>
      </w:r>
      <w:r>
        <w:rPr>
          <w:lang w:val="en-GB"/>
        </w:rPr>
        <w:t xml:space="preserve">the </w:t>
      </w:r>
      <w:r w:rsidR="000C2186" w:rsidRPr="002C6F76">
        <w:rPr>
          <w:lang w:val="en-GB"/>
        </w:rPr>
        <w:t xml:space="preserve">research </w:t>
      </w:r>
      <w:r>
        <w:rPr>
          <w:lang w:val="en-GB"/>
        </w:rPr>
        <w:t>underlying this paper was</w:t>
      </w:r>
      <w:r w:rsidR="000C2186" w:rsidRPr="002C6F76">
        <w:rPr>
          <w:lang w:val="en-GB"/>
        </w:rPr>
        <w:t xml:space="preserve"> to evaluate EIA at system</w:t>
      </w:r>
      <w:r w:rsidR="00A16D4C">
        <w:rPr>
          <w:lang w:val="en-GB"/>
        </w:rPr>
        <w:t>s</w:t>
      </w:r>
      <w:r w:rsidR="000C2186" w:rsidRPr="002C6F76">
        <w:rPr>
          <w:lang w:val="en-GB"/>
        </w:rPr>
        <w:t xml:space="preserve"> level, </w:t>
      </w:r>
      <w:r>
        <w:rPr>
          <w:lang w:val="en-GB"/>
        </w:rPr>
        <w:t xml:space="preserve">and the initial </w:t>
      </w:r>
      <w:r w:rsidR="000C2186" w:rsidRPr="002C6F76">
        <w:rPr>
          <w:lang w:val="en-GB"/>
        </w:rPr>
        <w:t xml:space="preserve">focus is </w:t>
      </w:r>
      <w:r>
        <w:rPr>
          <w:lang w:val="en-GB"/>
        </w:rPr>
        <w:t>therefore o</w:t>
      </w:r>
      <w:r w:rsidR="000C2186" w:rsidRPr="002C6F76">
        <w:rPr>
          <w:lang w:val="en-GB"/>
        </w:rPr>
        <w:t xml:space="preserve">n understanding the elements of the EIA system. </w:t>
      </w:r>
      <w:r w:rsidR="000C2186" w:rsidRPr="002C6F76">
        <w:rPr>
          <w:rFonts w:asciiTheme="majorBidi" w:hAnsiTheme="majorBidi" w:cstheme="majorBidi"/>
          <w:szCs w:val="24"/>
          <w:lang w:val="en-GB" w:bidi="ar-SA"/>
        </w:rPr>
        <w:t>Marara et al.</w:t>
      </w:r>
      <w:r w:rsidR="000C2186" w:rsidRPr="002C6F76" w:rsidDel="00DF0999">
        <w:rPr>
          <w:rFonts w:asciiTheme="majorBidi" w:hAnsiTheme="majorBidi" w:cstheme="majorBidi"/>
          <w:szCs w:val="24"/>
          <w:lang w:val="en-GB" w:bidi="ar-SA"/>
        </w:rPr>
        <w:t xml:space="preserve"> </w:t>
      </w:r>
      <w:r w:rsidR="000C2186" w:rsidRPr="002C6F76">
        <w:rPr>
          <w:rFonts w:asciiTheme="majorBidi" w:hAnsiTheme="majorBidi" w:cstheme="majorBidi"/>
          <w:szCs w:val="24"/>
          <w:lang w:val="en-GB" w:bidi="ar-SA"/>
        </w:rPr>
        <w:t>(2011) have defined the legal, administrative</w:t>
      </w:r>
      <w:r>
        <w:rPr>
          <w:rFonts w:asciiTheme="majorBidi" w:hAnsiTheme="majorBidi" w:cstheme="majorBidi"/>
          <w:szCs w:val="24"/>
          <w:lang w:val="en-GB" w:bidi="ar-SA"/>
        </w:rPr>
        <w:t xml:space="preserve"> and</w:t>
      </w:r>
      <w:r w:rsidR="000C2186" w:rsidRPr="002C6F76">
        <w:rPr>
          <w:rFonts w:asciiTheme="majorBidi" w:hAnsiTheme="majorBidi" w:cstheme="majorBidi"/>
          <w:szCs w:val="24"/>
          <w:lang w:val="en-GB" w:bidi="ar-SA"/>
        </w:rPr>
        <w:t xml:space="preserve"> procedural framework as three key elements of </w:t>
      </w:r>
      <w:r w:rsidR="00A16D4C">
        <w:rPr>
          <w:rFonts w:asciiTheme="majorBidi" w:hAnsiTheme="majorBidi" w:cstheme="majorBidi"/>
          <w:szCs w:val="24"/>
          <w:lang w:val="en-GB" w:bidi="ar-SA"/>
        </w:rPr>
        <w:t xml:space="preserve">the </w:t>
      </w:r>
      <w:r w:rsidR="000C2186" w:rsidRPr="002C6F76">
        <w:rPr>
          <w:rFonts w:asciiTheme="majorBidi" w:hAnsiTheme="majorBidi" w:cstheme="majorBidi"/>
          <w:szCs w:val="24"/>
          <w:lang w:val="en-GB" w:bidi="ar-SA"/>
        </w:rPr>
        <w:t>EIA system in their research. Suwanteep et al. (2016) have also introduced regulation of EIA, authorit</w:t>
      </w:r>
      <w:r w:rsidR="00CC1B4F">
        <w:rPr>
          <w:rFonts w:asciiTheme="majorBidi" w:hAnsiTheme="majorBidi" w:cstheme="majorBidi"/>
          <w:szCs w:val="24"/>
          <w:lang w:val="en-GB" w:bidi="ar-SA"/>
        </w:rPr>
        <w:t>ies</w:t>
      </w:r>
      <w:r w:rsidR="000C2186" w:rsidRPr="002C6F76">
        <w:rPr>
          <w:rFonts w:asciiTheme="majorBidi" w:hAnsiTheme="majorBidi" w:cstheme="majorBidi"/>
          <w:szCs w:val="24"/>
          <w:lang w:val="en-GB" w:bidi="ar-SA"/>
        </w:rPr>
        <w:t xml:space="preserve"> involved, and EIA processes as main components. Overall, three common components </w:t>
      </w:r>
      <w:r w:rsidR="00CC1B4F">
        <w:rPr>
          <w:rFonts w:asciiTheme="majorBidi" w:hAnsiTheme="majorBidi" w:cstheme="majorBidi"/>
          <w:szCs w:val="24"/>
          <w:lang w:val="en-GB" w:bidi="ar-SA"/>
        </w:rPr>
        <w:t xml:space="preserve">are </w:t>
      </w:r>
      <w:r w:rsidR="000C2186" w:rsidRPr="002C6F76">
        <w:rPr>
          <w:rFonts w:asciiTheme="majorBidi" w:hAnsiTheme="majorBidi" w:cstheme="majorBidi"/>
          <w:szCs w:val="24"/>
          <w:lang w:val="en-GB" w:bidi="ar-SA"/>
        </w:rPr>
        <w:t>identified within the various approaches available of an EIA system</w:t>
      </w:r>
      <w:r w:rsidR="00CC1B4F">
        <w:rPr>
          <w:rFonts w:asciiTheme="majorBidi" w:hAnsiTheme="majorBidi" w:cstheme="majorBidi"/>
          <w:szCs w:val="24"/>
          <w:lang w:val="en-GB" w:bidi="ar-SA"/>
        </w:rPr>
        <w:t xml:space="preserve">, including </w:t>
      </w:r>
      <w:r w:rsidR="000C2186" w:rsidRPr="002C6F76">
        <w:rPr>
          <w:rFonts w:asciiTheme="majorBidi" w:hAnsiTheme="majorBidi" w:cstheme="majorBidi"/>
          <w:szCs w:val="24"/>
          <w:lang w:val="en-GB" w:bidi="ar-SA"/>
        </w:rPr>
        <w:t>EIA legislation, EIA administration</w:t>
      </w:r>
      <w:r w:rsidR="008C62E9" w:rsidRPr="002C6F76">
        <w:rPr>
          <w:rFonts w:asciiTheme="majorBidi" w:hAnsiTheme="majorBidi" w:cstheme="majorBidi"/>
          <w:szCs w:val="24"/>
          <w:lang w:val="en-GB" w:bidi="ar-SA"/>
        </w:rPr>
        <w:t xml:space="preserve"> </w:t>
      </w:r>
      <w:r w:rsidR="004E0BC7" w:rsidRPr="002C6F76">
        <w:rPr>
          <w:rFonts w:asciiTheme="majorBidi" w:hAnsiTheme="majorBidi" w:cstheme="majorBidi"/>
          <w:szCs w:val="24"/>
          <w:lang w:val="en-GB" w:bidi="ar-SA"/>
        </w:rPr>
        <w:t>and</w:t>
      </w:r>
      <w:r w:rsidR="000C2186" w:rsidRPr="002C6F76">
        <w:rPr>
          <w:rFonts w:asciiTheme="majorBidi" w:hAnsiTheme="majorBidi" w:cstheme="majorBidi"/>
          <w:szCs w:val="24"/>
          <w:lang w:val="en-GB" w:bidi="ar-SA"/>
        </w:rPr>
        <w:t xml:space="preserve"> EIA Process.</w:t>
      </w:r>
    </w:p>
    <w:p w14:paraId="6B77B909" w14:textId="77777777" w:rsidR="008C2D02" w:rsidRPr="002C6F76" w:rsidRDefault="008C2D02" w:rsidP="000A642F">
      <w:pPr>
        <w:pStyle w:val="Title1"/>
        <w:numPr>
          <w:ilvl w:val="0"/>
          <w:numId w:val="0"/>
        </w:numPr>
        <w:bidi w:val="0"/>
        <w:rPr>
          <w:rFonts w:asciiTheme="majorBidi" w:hAnsiTheme="majorBidi" w:cstheme="majorBidi"/>
          <w:i/>
          <w:color w:val="000000"/>
          <w:lang w:val="en-GB"/>
        </w:rPr>
      </w:pPr>
    </w:p>
    <w:p w14:paraId="6B028FBE" w14:textId="77777777" w:rsidR="005A4727" w:rsidRPr="002C6F76" w:rsidRDefault="005A4727" w:rsidP="008C2D02">
      <w:pPr>
        <w:pStyle w:val="Title1"/>
        <w:numPr>
          <w:ilvl w:val="0"/>
          <w:numId w:val="0"/>
        </w:numPr>
        <w:bidi w:val="0"/>
        <w:rPr>
          <w:rFonts w:asciiTheme="majorBidi" w:hAnsiTheme="majorBidi" w:cstheme="majorBidi"/>
          <w:i/>
          <w:color w:val="000000"/>
          <w:lang w:val="en-GB"/>
        </w:rPr>
      </w:pPr>
      <w:r w:rsidRPr="002C6F76">
        <w:rPr>
          <w:rFonts w:asciiTheme="majorBidi" w:hAnsiTheme="majorBidi" w:cstheme="majorBidi"/>
          <w:i/>
          <w:color w:val="000000"/>
          <w:lang w:val="en-GB"/>
        </w:rPr>
        <w:t>2.</w:t>
      </w:r>
      <w:r w:rsidR="008C2D02" w:rsidRPr="002C6F76">
        <w:rPr>
          <w:rFonts w:asciiTheme="majorBidi" w:hAnsiTheme="majorBidi" w:cstheme="majorBidi"/>
          <w:i/>
          <w:color w:val="000000"/>
          <w:lang w:val="en-GB"/>
        </w:rPr>
        <w:t>2</w:t>
      </w:r>
      <w:r w:rsidRPr="002C6F76">
        <w:rPr>
          <w:rFonts w:asciiTheme="majorBidi" w:hAnsiTheme="majorBidi" w:cstheme="majorBidi"/>
          <w:i/>
          <w:color w:val="000000"/>
          <w:lang w:val="en-GB"/>
        </w:rPr>
        <w:t xml:space="preserve">. </w:t>
      </w:r>
      <w:r w:rsidR="00782198">
        <w:rPr>
          <w:rFonts w:asciiTheme="majorBidi" w:hAnsiTheme="majorBidi" w:cstheme="majorBidi"/>
          <w:i/>
          <w:color w:val="000000"/>
          <w:lang w:val="en-GB"/>
        </w:rPr>
        <w:t>EIA review f</w:t>
      </w:r>
      <w:r w:rsidRPr="002C6F76">
        <w:rPr>
          <w:rFonts w:asciiTheme="majorBidi" w:hAnsiTheme="majorBidi" w:cstheme="majorBidi"/>
          <w:i/>
          <w:color w:val="000000"/>
          <w:lang w:val="en-GB"/>
        </w:rPr>
        <w:t xml:space="preserve">ramework </w:t>
      </w:r>
    </w:p>
    <w:p w14:paraId="5C51676E" w14:textId="77777777" w:rsidR="00E82B95" w:rsidRPr="002C6F76" w:rsidRDefault="005A4727" w:rsidP="00DA5169">
      <w:pPr>
        <w:rPr>
          <w:rFonts w:cs="Times New Roman"/>
          <w:shd w:val="clear" w:color="auto" w:fill="FFFFFF"/>
        </w:rPr>
      </w:pPr>
      <w:r w:rsidRPr="002C6F76">
        <w:rPr>
          <w:rFonts w:cs="Times New Roman"/>
          <w:shd w:val="clear" w:color="auto" w:fill="FFFFFF"/>
        </w:rPr>
        <w:t xml:space="preserve">In order to </w:t>
      </w:r>
      <w:r w:rsidR="00E16BEF" w:rsidRPr="002C6F76">
        <w:rPr>
          <w:rFonts w:cs="Times New Roman"/>
          <w:shd w:val="clear" w:color="auto" w:fill="FFFFFF"/>
        </w:rPr>
        <w:t xml:space="preserve">evaluate </w:t>
      </w:r>
      <w:r w:rsidRPr="002C6F76">
        <w:rPr>
          <w:rFonts w:cs="Times New Roman"/>
          <w:shd w:val="clear" w:color="auto" w:fill="FFFFFF"/>
        </w:rPr>
        <w:t xml:space="preserve">the Iranian EIA system, </w:t>
      </w:r>
      <w:r w:rsidR="00782198">
        <w:t xml:space="preserve">existing review frameworks </w:t>
      </w:r>
      <w:r w:rsidR="00132F1E" w:rsidRPr="002C6F76">
        <w:t xml:space="preserve">were </w:t>
      </w:r>
      <w:r w:rsidR="00782198">
        <w:rPr>
          <w:rFonts w:cs="Times New Roman"/>
          <w:shd w:val="clear" w:color="auto" w:fill="FFFFFF"/>
        </w:rPr>
        <w:t xml:space="preserve">studied </w:t>
      </w:r>
      <w:r w:rsidR="00E82B95" w:rsidRPr="002C6F76">
        <w:rPr>
          <w:rFonts w:cs="Times New Roman"/>
          <w:shd w:val="clear" w:color="auto" w:fill="FFFFFF"/>
        </w:rPr>
        <w:t>(</w:t>
      </w:r>
      <w:r w:rsidR="00782198">
        <w:rPr>
          <w:rFonts w:cs="Times New Roman"/>
          <w:shd w:val="clear" w:color="auto" w:fill="FFFFFF"/>
        </w:rPr>
        <w:t>s</w:t>
      </w:r>
      <w:r w:rsidR="00E82B95" w:rsidRPr="002C6F76">
        <w:rPr>
          <w:rFonts w:cs="Times New Roman"/>
          <w:shd w:val="clear" w:color="auto" w:fill="FFFFFF"/>
        </w:rPr>
        <w:t xml:space="preserve">ee </w:t>
      </w:r>
      <w:r w:rsidR="00741EB8" w:rsidRPr="002C6F76">
        <w:rPr>
          <w:rFonts w:cs="Times New Roman"/>
          <w:shd w:val="clear" w:color="auto" w:fill="FFFFFF"/>
        </w:rPr>
        <w:t>Table 1</w:t>
      </w:r>
      <w:r w:rsidR="00E82B95" w:rsidRPr="002C6F76">
        <w:rPr>
          <w:rFonts w:cs="Times New Roman"/>
          <w:shd w:val="clear" w:color="auto" w:fill="FFFFFF"/>
        </w:rPr>
        <w:t xml:space="preserve">). Within the context of developing countries, these can be broadly grouped under </w:t>
      </w:r>
      <w:r w:rsidRPr="002C6F76">
        <w:rPr>
          <w:rFonts w:cs="Times New Roman"/>
          <w:shd w:val="clear" w:color="auto" w:fill="FFFFFF"/>
        </w:rPr>
        <w:t>Wood (1995)</w:t>
      </w:r>
      <w:r w:rsidR="00E82B95" w:rsidRPr="002C6F76">
        <w:rPr>
          <w:rFonts w:cs="Times New Roman"/>
          <w:shd w:val="clear" w:color="auto" w:fill="FFFFFF"/>
        </w:rPr>
        <w:t xml:space="preserve"> </w:t>
      </w:r>
      <w:r w:rsidR="0010202A" w:rsidRPr="002C6F76">
        <w:rPr>
          <w:rFonts w:cs="Times New Roman"/>
          <w:shd w:val="clear" w:color="auto" w:fill="FFFFFF"/>
        </w:rPr>
        <w:t>and</w:t>
      </w:r>
      <w:r w:rsidRPr="002C6F76">
        <w:rPr>
          <w:rFonts w:cs="Times New Roman"/>
          <w:shd w:val="clear" w:color="auto" w:fill="FFFFFF"/>
        </w:rPr>
        <w:t xml:space="preserve"> Ahmad and Wood (2002)</w:t>
      </w:r>
      <w:r w:rsidR="00D07235" w:rsidRPr="002C6F76">
        <w:rPr>
          <w:rFonts w:cs="Times New Roman"/>
          <w:shd w:val="clear" w:color="auto" w:fill="FFFFFF"/>
        </w:rPr>
        <w:t xml:space="preserve">. </w:t>
      </w:r>
      <w:r w:rsidR="00411379" w:rsidRPr="002C6F76">
        <w:rPr>
          <w:rFonts w:cs="Times New Roman"/>
          <w:shd w:val="clear" w:color="auto" w:fill="FFFFFF"/>
        </w:rPr>
        <w:t>T</w:t>
      </w:r>
      <w:r w:rsidRPr="002C6F76">
        <w:rPr>
          <w:rFonts w:cs="Times New Roman"/>
          <w:shd w:val="clear" w:color="auto" w:fill="FFFFFF"/>
        </w:rPr>
        <w:t>he choice of criteria used depends on the authors’ purpose</w:t>
      </w:r>
      <w:r w:rsidR="00411379" w:rsidRPr="002C6F76">
        <w:rPr>
          <w:rFonts w:cs="Times New Roman"/>
          <w:shd w:val="clear" w:color="auto" w:fill="FFFFFF"/>
        </w:rPr>
        <w:t xml:space="preserve"> (Momtaz and Kabir, 2013)</w:t>
      </w:r>
      <w:r w:rsidRPr="002C6F76">
        <w:rPr>
          <w:rFonts w:cs="Times New Roman"/>
          <w:shd w:val="clear" w:color="auto" w:fill="FFFFFF"/>
        </w:rPr>
        <w:t xml:space="preserve">. </w:t>
      </w:r>
    </w:p>
    <w:p w14:paraId="39F9C718" w14:textId="476DE5D6" w:rsidR="002A1E5C" w:rsidRPr="002C6F76" w:rsidRDefault="005A4727" w:rsidP="00DA5169">
      <w:pPr>
        <w:rPr>
          <w:rFonts w:cs="Times New Roman"/>
          <w:shd w:val="clear" w:color="auto" w:fill="FFFFFF"/>
        </w:rPr>
      </w:pPr>
      <w:r w:rsidRPr="002C6F76">
        <w:rPr>
          <w:rFonts w:cs="Times New Roman"/>
          <w:shd w:val="clear" w:color="auto" w:fill="FFFFFF"/>
        </w:rPr>
        <w:t>Wood (1995) developed a set of 14 criteria to assess EIA system</w:t>
      </w:r>
      <w:r w:rsidR="00782198">
        <w:rPr>
          <w:rFonts w:cs="Times New Roman"/>
          <w:shd w:val="clear" w:color="auto" w:fill="FFFFFF"/>
        </w:rPr>
        <w:t>s</w:t>
      </w:r>
      <w:r w:rsidRPr="002C6F76">
        <w:rPr>
          <w:rFonts w:cs="Times New Roman"/>
          <w:shd w:val="clear" w:color="auto" w:fill="FFFFFF"/>
        </w:rPr>
        <w:t xml:space="preserve"> within an international context. </w:t>
      </w:r>
      <w:r w:rsidR="00782198">
        <w:rPr>
          <w:rFonts w:cs="Times New Roman"/>
          <w:shd w:val="clear" w:color="auto" w:fill="FFFFFF"/>
        </w:rPr>
        <w:t>C</w:t>
      </w:r>
      <w:r w:rsidRPr="002C6F76">
        <w:rPr>
          <w:rFonts w:cs="Times New Roman"/>
          <w:shd w:val="clear" w:color="auto" w:fill="FFFFFF"/>
        </w:rPr>
        <w:t xml:space="preserve">riteria </w:t>
      </w:r>
      <w:r w:rsidR="00782198">
        <w:rPr>
          <w:rFonts w:cs="Times New Roman"/>
          <w:shd w:val="clear" w:color="auto" w:fill="FFFFFF"/>
        </w:rPr>
        <w:t xml:space="preserve">revolve around </w:t>
      </w:r>
      <w:r w:rsidRPr="002C6F76">
        <w:rPr>
          <w:rFonts w:cs="Times New Roman"/>
          <w:shd w:val="clear" w:color="auto" w:fill="FFFFFF"/>
        </w:rPr>
        <w:t xml:space="preserve">EIA legislation, administration, process and measures </w:t>
      </w:r>
      <w:r w:rsidR="00782198">
        <w:rPr>
          <w:rFonts w:cs="Times New Roman"/>
          <w:shd w:val="clear" w:color="auto" w:fill="FFFFFF"/>
        </w:rPr>
        <w:t xml:space="preserve">for </w:t>
      </w:r>
      <w:r w:rsidRPr="002C6F76">
        <w:rPr>
          <w:rFonts w:cs="Times New Roman"/>
          <w:shd w:val="clear" w:color="auto" w:fill="FFFFFF"/>
        </w:rPr>
        <w:t>improv</w:t>
      </w:r>
      <w:r w:rsidR="00782198">
        <w:rPr>
          <w:rFonts w:cs="Times New Roman"/>
          <w:shd w:val="clear" w:color="auto" w:fill="FFFFFF"/>
        </w:rPr>
        <w:t>ement</w:t>
      </w:r>
      <w:r w:rsidRPr="002C6F76">
        <w:rPr>
          <w:rFonts w:cs="Times New Roman"/>
          <w:shd w:val="clear" w:color="auto" w:fill="FFFFFF"/>
        </w:rPr>
        <w:t xml:space="preserve"> (</w:t>
      </w:r>
      <w:r w:rsidR="0069442F" w:rsidRPr="002C6F76">
        <w:rPr>
          <w:rFonts w:cs="Times New Roman"/>
          <w:shd w:val="clear" w:color="auto" w:fill="FFFFFF"/>
        </w:rPr>
        <w:t>Aung, 2017</w:t>
      </w:r>
      <w:r w:rsidR="0069442F">
        <w:rPr>
          <w:rFonts w:cs="Times New Roman"/>
          <w:shd w:val="clear" w:color="auto" w:fill="FFFFFF"/>
        </w:rPr>
        <w:t xml:space="preserve">; </w:t>
      </w:r>
      <w:r w:rsidRPr="002C6F76">
        <w:rPr>
          <w:rFonts w:cs="Times New Roman"/>
          <w:shd w:val="clear" w:color="auto" w:fill="FFFFFF"/>
        </w:rPr>
        <w:t>Badr, 2009). Annand</w:t>
      </w:r>
      <w:r w:rsidR="00782198">
        <w:rPr>
          <w:rFonts w:cs="Times New Roman"/>
          <w:shd w:val="clear" w:color="auto" w:fill="FFFFFF"/>
        </w:rPr>
        <w:t>a</w:t>
      </w:r>
      <w:r w:rsidRPr="002C6F76">
        <w:rPr>
          <w:rFonts w:cs="Times New Roman"/>
          <w:shd w:val="clear" w:color="auto" w:fill="FFFFFF"/>
        </w:rPr>
        <w:t>le (2001) modified Wood's crite</w:t>
      </w:r>
      <w:r w:rsidR="002E4715" w:rsidRPr="002C6F76">
        <w:rPr>
          <w:rFonts w:cs="Times New Roman"/>
          <w:shd w:val="clear" w:color="auto" w:fill="FFFFFF"/>
        </w:rPr>
        <w:t xml:space="preserve">ria (1995), considering local </w:t>
      </w:r>
      <w:r w:rsidR="0010202A" w:rsidRPr="002C6F76">
        <w:rPr>
          <w:rFonts w:cs="Times New Roman"/>
          <w:shd w:val="clear" w:color="auto" w:fill="FFFFFF"/>
        </w:rPr>
        <w:t>organi</w:t>
      </w:r>
      <w:r w:rsidR="00782198">
        <w:rPr>
          <w:rFonts w:cs="Times New Roman"/>
          <w:shd w:val="clear" w:color="auto" w:fill="FFFFFF"/>
        </w:rPr>
        <w:t>z</w:t>
      </w:r>
      <w:r w:rsidR="0010202A" w:rsidRPr="002C6F76">
        <w:rPr>
          <w:rFonts w:cs="Times New Roman"/>
          <w:shd w:val="clear" w:color="auto" w:fill="FFFFFF"/>
        </w:rPr>
        <w:t>ational</w:t>
      </w:r>
      <w:r w:rsidR="002E4715" w:rsidRPr="002C6F76">
        <w:rPr>
          <w:rFonts w:cs="Times New Roman"/>
          <w:shd w:val="clear" w:color="auto" w:fill="FFFFFF"/>
        </w:rPr>
        <w:t xml:space="preserve">, jurisdictional and cultural issues of small developing countries </w:t>
      </w:r>
      <w:r w:rsidR="00782198">
        <w:rPr>
          <w:rFonts w:cs="Times New Roman"/>
          <w:shd w:val="clear" w:color="auto" w:fill="FFFFFF"/>
        </w:rPr>
        <w:t xml:space="preserve">such as the </w:t>
      </w:r>
      <w:r w:rsidR="002E4715" w:rsidRPr="002C6F76">
        <w:rPr>
          <w:rFonts w:cs="Times New Roman"/>
          <w:shd w:val="clear" w:color="auto" w:fill="FFFFFF"/>
        </w:rPr>
        <w:t xml:space="preserve">Maldives (Annandale, 2001; Ahmad and Ferdausi, 2016; Aung 2017). Annandale's </w:t>
      </w:r>
      <w:r w:rsidR="00E82B95" w:rsidRPr="002C6F76">
        <w:rPr>
          <w:rFonts w:cs="Times New Roman"/>
          <w:shd w:val="clear" w:color="auto" w:fill="FFFFFF"/>
        </w:rPr>
        <w:t xml:space="preserve">revised </w:t>
      </w:r>
      <w:r w:rsidR="002E4715" w:rsidRPr="002C6F76">
        <w:rPr>
          <w:rFonts w:cs="Times New Roman"/>
          <w:shd w:val="clear" w:color="auto" w:fill="FFFFFF"/>
        </w:rPr>
        <w:t>criteria were utili</w:t>
      </w:r>
      <w:r w:rsidR="0010202A" w:rsidRPr="002C6F76">
        <w:rPr>
          <w:rFonts w:cs="Times New Roman"/>
          <w:shd w:val="clear" w:color="auto" w:fill="FFFFFF"/>
        </w:rPr>
        <w:t>s</w:t>
      </w:r>
      <w:r w:rsidR="002E4715" w:rsidRPr="002C6F76">
        <w:rPr>
          <w:rFonts w:cs="Times New Roman"/>
          <w:shd w:val="clear" w:color="auto" w:fill="FFFFFF"/>
        </w:rPr>
        <w:t>ed by Ahmad and Ferdausi (2016) and Aung (2017) to evaluate the EIA system in Bangladesh and Myanmar</w:t>
      </w:r>
      <w:r w:rsidR="00782198">
        <w:rPr>
          <w:rFonts w:cs="Times New Roman"/>
          <w:shd w:val="clear" w:color="auto" w:fill="FFFFFF"/>
        </w:rPr>
        <w:t>,</w:t>
      </w:r>
      <w:r w:rsidR="002E4715" w:rsidRPr="002C6F76">
        <w:rPr>
          <w:rFonts w:cs="Times New Roman"/>
          <w:shd w:val="clear" w:color="auto" w:fill="FFFFFF"/>
        </w:rPr>
        <w:t xml:space="preserve"> respectively.</w:t>
      </w:r>
    </w:p>
    <w:p w14:paraId="475205A5" w14:textId="1DEBDF5C" w:rsidR="005A4727" w:rsidRPr="002C6F76" w:rsidRDefault="005A4727" w:rsidP="001A5E8D">
      <w:pPr>
        <w:rPr>
          <w:rFonts w:asciiTheme="majorBidi" w:hAnsiTheme="majorBidi" w:cstheme="majorBidi"/>
          <w:b/>
          <w:bCs/>
          <w:sz w:val="20"/>
          <w:szCs w:val="20"/>
          <w:lang w:val="en-GB"/>
        </w:rPr>
      </w:pPr>
      <w:r w:rsidRPr="002C6F76">
        <w:rPr>
          <w:rFonts w:cs="Times New Roman"/>
          <w:shd w:val="clear" w:color="auto" w:fill="FFFFFF"/>
        </w:rPr>
        <w:t>Ahmed and Wood (2002) developed a set of criteria to compare the EIA systems of Egypt, Turkey and Tunisia (</w:t>
      </w:r>
      <w:r w:rsidR="000E6A71" w:rsidRPr="002C6F76">
        <w:rPr>
          <w:rFonts w:cs="Times New Roman"/>
          <w:shd w:val="clear" w:color="auto" w:fill="FFFFFF"/>
        </w:rPr>
        <w:t>Ahmed</w:t>
      </w:r>
      <w:r w:rsidRPr="002C6F76">
        <w:rPr>
          <w:rFonts w:cs="Times New Roman"/>
          <w:shd w:val="clear" w:color="auto" w:fill="FFFFFF"/>
        </w:rPr>
        <w:t xml:space="preserve"> and </w:t>
      </w:r>
      <w:r w:rsidR="000E6A71" w:rsidRPr="002C6F76">
        <w:rPr>
          <w:rFonts w:cs="Times New Roman"/>
          <w:shd w:val="clear" w:color="auto" w:fill="FFFFFF"/>
        </w:rPr>
        <w:t>Wood</w:t>
      </w:r>
      <w:r w:rsidRPr="002C6F76">
        <w:rPr>
          <w:rFonts w:cs="Times New Roman"/>
          <w:shd w:val="clear" w:color="auto" w:fill="FFFFFF"/>
        </w:rPr>
        <w:t>, 200</w:t>
      </w:r>
      <w:r w:rsidR="000E6A71" w:rsidRPr="002C6F76">
        <w:rPr>
          <w:rFonts w:cs="Times New Roman"/>
          <w:shd w:val="clear" w:color="auto" w:fill="FFFFFF"/>
        </w:rPr>
        <w:t>2</w:t>
      </w:r>
      <w:r w:rsidRPr="002C6F76">
        <w:rPr>
          <w:rFonts w:cs="Times New Roman"/>
          <w:shd w:val="clear" w:color="auto" w:fill="FFFFFF"/>
        </w:rPr>
        <w:t xml:space="preserve">). </w:t>
      </w:r>
      <w:r w:rsidR="00A16D4C">
        <w:rPr>
          <w:rFonts w:cs="Times New Roman"/>
          <w:shd w:val="clear" w:color="auto" w:fill="FFFFFF"/>
        </w:rPr>
        <w:t>Subsequently, t</w:t>
      </w:r>
      <w:r w:rsidR="00481306" w:rsidRPr="002C6F76">
        <w:rPr>
          <w:rFonts w:cs="Times New Roman"/>
          <w:shd w:val="clear" w:color="auto" w:fill="FFFFFF"/>
        </w:rPr>
        <w:t xml:space="preserve">heir criteria </w:t>
      </w:r>
      <w:r w:rsidR="00A16D4C">
        <w:rPr>
          <w:rFonts w:cs="Times New Roman"/>
          <w:shd w:val="clear" w:color="auto" w:fill="FFFFFF"/>
        </w:rPr>
        <w:t xml:space="preserve">were </w:t>
      </w:r>
      <w:r w:rsidR="00481306" w:rsidRPr="002C6F76">
        <w:rPr>
          <w:rFonts w:cs="Times New Roman"/>
          <w:shd w:val="clear" w:color="auto" w:fill="FFFFFF"/>
        </w:rPr>
        <w:t xml:space="preserve">used in other country contexts for comparing and evaluating EIA systems. For </w:t>
      </w:r>
      <w:r w:rsidR="0010202A" w:rsidRPr="002C6F76">
        <w:rPr>
          <w:rFonts w:cs="Times New Roman"/>
          <w:shd w:val="clear" w:color="auto" w:fill="FFFFFF"/>
        </w:rPr>
        <w:t>example,</w:t>
      </w:r>
      <w:r w:rsidR="00481306" w:rsidRPr="002C6F76">
        <w:rPr>
          <w:rFonts w:cs="Times New Roman"/>
          <w:shd w:val="clear" w:color="auto" w:fill="FFFFFF"/>
        </w:rPr>
        <w:t xml:space="preserve"> </w:t>
      </w:r>
      <w:r w:rsidRPr="002C6F76">
        <w:rPr>
          <w:rFonts w:cs="Times New Roman"/>
          <w:shd w:val="clear" w:color="auto" w:fill="FFFFFF"/>
        </w:rPr>
        <w:t xml:space="preserve">El Fadl and El Fadel (2004) </w:t>
      </w:r>
      <w:r w:rsidR="00481306" w:rsidRPr="002C6F76">
        <w:rPr>
          <w:rFonts w:cs="Times New Roman"/>
          <w:shd w:val="clear" w:color="auto" w:fill="FFFFFF"/>
        </w:rPr>
        <w:t xml:space="preserve">used it to </w:t>
      </w:r>
      <w:r w:rsidRPr="002C6F76">
        <w:rPr>
          <w:rFonts w:cs="Times New Roman"/>
          <w:shd w:val="clear" w:color="auto" w:fill="FFFFFF"/>
        </w:rPr>
        <w:t xml:space="preserve">compare the EIA system of </w:t>
      </w:r>
      <w:r w:rsidR="009A0843" w:rsidRPr="002C6F76">
        <w:rPr>
          <w:rFonts w:cs="Times New Roman"/>
          <w:shd w:val="clear" w:color="auto" w:fill="FFFFFF"/>
        </w:rPr>
        <w:t>the Middle East and North Africa</w:t>
      </w:r>
      <w:r w:rsidR="00E82B95" w:rsidRPr="002C6F76">
        <w:rPr>
          <w:rFonts w:cs="Times New Roman"/>
          <w:shd w:val="clear" w:color="auto" w:fill="FFFFFF"/>
        </w:rPr>
        <w:t>n</w:t>
      </w:r>
      <w:r w:rsidR="009A0843" w:rsidRPr="002C6F76">
        <w:rPr>
          <w:rFonts w:cs="Times New Roman"/>
          <w:shd w:val="clear" w:color="auto" w:fill="FFFFFF"/>
        </w:rPr>
        <w:t xml:space="preserve"> </w:t>
      </w:r>
      <w:r w:rsidRPr="002C6F76">
        <w:rPr>
          <w:rFonts w:cs="Times New Roman"/>
          <w:shd w:val="clear" w:color="auto" w:fill="FFFFFF"/>
        </w:rPr>
        <w:t>countries</w:t>
      </w:r>
      <w:r w:rsidR="00481306" w:rsidRPr="002C6F76">
        <w:rPr>
          <w:rFonts w:cs="Times New Roman"/>
          <w:shd w:val="clear" w:color="auto" w:fill="FFFFFF"/>
        </w:rPr>
        <w:t xml:space="preserve">; while </w:t>
      </w:r>
      <w:r w:rsidR="00701CAB" w:rsidRPr="002C6F76">
        <w:rPr>
          <w:rFonts w:cs="Times New Roman"/>
          <w:shd w:val="clear" w:color="auto" w:fill="FFFFFF"/>
        </w:rPr>
        <w:t xml:space="preserve">Badr </w:t>
      </w:r>
      <w:r w:rsidR="00701CAB" w:rsidRPr="002C6F76">
        <w:rPr>
          <w:rFonts w:cs="Times New Roman"/>
          <w:shd w:val="clear" w:color="auto" w:fill="FFFFFF"/>
        </w:rPr>
        <w:lastRenderedPageBreak/>
        <w:t xml:space="preserve">(2009) and </w:t>
      </w:r>
      <w:r w:rsidR="00C7510A" w:rsidRPr="002C6F76">
        <w:rPr>
          <w:rFonts w:cs="Times New Roman"/>
          <w:shd w:val="clear" w:color="auto" w:fill="FFFFFF"/>
        </w:rPr>
        <w:t>Panigrahi and Amirapu (2012)</w:t>
      </w:r>
      <w:r w:rsidR="002A1E5C" w:rsidRPr="002C6F76">
        <w:rPr>
          <w:rFonts w:cs="Times New Roman"/>
          <w:shd w:val="clear" w:color="auto" w:fill="FFFFFF"/>
        </w:rPr>
        <w:t xml:space="preserve"> </w:t>
      </w:r>
      <w:r w:rsidR="00C7510A" w:rsidRPr="002C6F76">
        <w:rPr>
          <w:rFonts w:cs="Times New Roman"/>
          <w:shd w:val="clear" w:color="auto" w:fill="FFFFFF"/>
        </w:rPr>
        <w:t>used</w:t>
      </w:r>
      <w:r w:rsidR="002A1E5C" w:rsidRPr="002C6F76">
        <w:rPr>
          <w:rFonts w:cs="Times New Roman"/>
          <w:shd w:val="clear" w:color="auto" w:fill="FFFFFF"/>
        </w:rPr>
        <w:t xml:space="preserve"> </w:t>
      </w:r>
      <w:r w:rsidR="00481306" w:rsidRPr="002C6F76">
        <w:rPr>
          <w:rFonts w:cs="Times New Roman"/>
          <w:shd w:val="clear" w:color="auto" w:fill="FFFFFF"/>
        </w:rPr>
        <w:t xml:space="preserve">it </w:t>
      </w:r>
      <w:r w:rsidR="00C7510A" w:rsidRPr="002C6F76">
        <w:rPr>
          <w:rFonts w:cs="Times New Roman"/>
          <w:shd w:val="clear" w:color="auto" w:fill="FFFFFF"/>
        </w:rPr>
        <w:t xml:space="preserve">to evaluate </w:t>
      </w:r>
      <w:r w:rsidR="002A1E5C" w:rsidRPr="002C6F76">
        <w:rPr>
          <w:rFonts w:cs="Times New Roman"/>
          <w:shd w:val="clear" w:color="auto" w:fill="FFFFFF"/>
        </w:rPr>
        <w:t xml:space="preserve">the EIA system of </w:t>
      </w:r>
      <w:r w:rsidR="00C7510A" w:rsidRPr="002C6F76">
        <w:rPr>
          <w:rFonts w:cs="Times New Roman"/>
          <w:shd w:val="clear" w:color="auto" w:fill="FFFFFF"/>
        </w:rPr>
        <w:t xml:space="preserve">Egypt and </w:t>
      </w:r>
      <w:r w:rsidR="002A1E5C" w:rsidRPr="002C6F76">
        <w:rPr>
          <w:rFonts w:cs="Times New Roman"/>
          <w:shd w:val="clear" w:color="auto" w:fill="FFFFFF"/>
        </w:rPr>
        <w:t>India</w:t>
      </w:r>
      <w:r w:rsidR="009A3F0C">
        <w:rPr>
          <w:rFonts w:cs="Times New Roman"/>
          <w:shd w:val="clear" w:color="auto" w:fill="FFFFFF"/>
        </w:rPr>
        <w:t>,</w:t>
      </w:r>
      <w:r w:rsidR="002A1E5C" w:rsidRPr="002C6F76">
        <w:rPr>
          <w:rFonts w:cs="Times New Roman"/>
          <w:shd w:val="clear" w:color="auto" w:fill="FFFFFF"/>
        </w:rPr>
        <w:t xml:space="preserve"> </w:t>
      </w:r>
      <w:r w:rsidR="00C7510A" w:rsidRPr="002C6F76">
        <w:rPr>
          <w:rFonts w:cs="Times New Roman"/>
          <w:shd w:val="clear" w:color="auto" w:fill="FFFFFF"/>
        </w:rPr>
        <w:t xml:space="preserve">respectively. Table 1 </w:t>
      </w:r>
      <w:r w:rsidR="00481306" w:rsidRPr="002C6F76">
        <w:rPr>
          <w:rFonts w:cs="Times New Roman"/>
          <w:shd w:val="clear" w:color="auto" w:fill="FFFFFF"/>
        </w:rPr>
        <w:t xml:space="preserve">illustrates </w:t>
      </w:r>
      <w:r w:rsidR="00BA2A0F" w:rsidRPr="002C6F76">
        <w:rPr>
          <w:rFonts w:cs="Times New Roman"/>
          <w:shd w:val="clear" w:color="auto" w:fill="FFFFFF"/>
        </w:rPr>
        <w:t xml:space="preserve">how extensively </w:t>
      </w:r>
      <w:r w:rsidR="00C7510A" w:rsidRPr="002C6F76">
        <w:rPr>
          <w:rFonts w:cs="Times New Roman"/>
          <w:shd w:val="clear" w:color="auto" w:fill="FFFFFF"/>
        </w:rPr>
        <w:t>Ahmed and Wood</w:t>
      </w:r>
      <w:r w:rsidR="0010202A" w:rsidRPr="002C6F76">
        <w:rPr>
          <w:rFonts w:cs="Times New Roman"/>
          <w:shd w:val="clear" w:color="auto" w:fill="FFFFFF"/>
        </w:rPr>
        <w:t>'s</w:t>
      </w:r>
      <w:r w:rsidR="00C7510A" w:rsidRPr="002C6F76">
        <w:rPr>
          <w:rFonts w:cs="Times New Roman"/>
          <w:shd w:val="clear" w:color="auto" w:fill="FFFFFF"/>
        </w:rPr>
        <w:t xml:space="preserve"> (2002) criteria </w:t>
      </w:r>
      <w:r w:rsidR="00BA2A0F" w:rsidRPr="002C6F76">
        <w:rPr>
          <w:rFonts w:cs="Times New Roman"/>
          <w:shd w:val="clear" w:color="auto" w:fill="FFFFFF"/>
        </w:rPr>
        <w:t xml:space="preserve">have been used. </w:t>
      </w:r>
      <w:r w:rsidR="005A70BE">
        <w:rPr>
          <w:rFonts w:cs="Times New Roman"/>
          <w:shd w:val="clear" w:color="auto" w:fill="FFFFFF"/>
        </w:rPr>
        <w:t xml:space="preserve">Whilst </w:t>
      </w:r>
      <w:r w:rsidR="00D07235" w:rsidRPr="002C6F76">
        <w:rPr>
          <w:rFonts w:cs="Times New Roman"/>
          <w:shd w:val="clear" w:color="auto" w:fill="FFFFFF"/>
        </w:rPr>
        <w:t>Nadeem and Hameed</w:t>
      </w:r>
      <w:r w:rsidR="0014469E" w:rsidRPr="002C6F76">
        <w:rPr>
          <w:rFonts w:cs="Times New Roman"/>
          <w:shd w:val="clear" w:color="auto" w:fill="FFFFFF"/>
        </w:rPr>
        <w:t xml:space="preserve"> (2008) </w:t>
      </w:r>
      <w:r w:rsidR="00F16986" w:rsidRPr="002C6F76">
        <w:rPr>
          <w:rFonts w:cs="Times New Roman"/>
          <w:shd w:val="clear" w:color="auto" w:fill="FFFFFF"/>
        </w:rPr>
        <w:t>also used Ahmad and Wood’s (2002) criteria</w:t>
      </w:r>
      <w:r w:rsidR="005A70BE">
        <w:rPr>
          <w:rFonts w:cs="Times New Roman"/>
          <w:shd w:val="clear" w:color="auto" w:fill="FFFFFF"/>
        </w:rPr>
        <w:t>,</w:t>
      </w:r>
      <w:r w:rsidR="00F16986" w:rsidRPr="002C6F76">
        <w:rPr>
          <w:rFonts w:cs="Times New Roman"/>
          <w:shd w:val="clear" w:color="auto" w:fill="FFFFFF"/>
        </w:rPr>
        <w:t xml:space="preserve"> </w:t>
      </w:r>
      <w:r w:rsidR="005A70BE">
        <w:rPr>
          <w:rFonts w:cs="Times New Roman"/>
          <w:shd w:val="clear" w:color="auto" w:fill="FFFFFF"/>
        </w:rPr>
        <w:t xml:space="preserve">they </w:t>
      </w:r>
      <w:r w:rsidR="00F16986" w:rsidRPr="002C6F76">
        <w:rPr>
          <w:rFonts w:cs="Times New Roman"/>
          <w:shd w:val="clear" w:color="auto" w:fill="FFFFFF"/>
        </w:rPr>
        <w:t>combined</w:t>
      </w:r>
      <w:r w:rsidR="00491435" w:rsidRPr="002C6F76">
        <w:rPr>
          <w:rFonts w:cs="Times New Roman"/>
          <w:shd w:val="clear" w:color="auto" w:fill="FFFFFF"/>
        </w:rPr>
        <w:t xml:space="preserve"> </w:t>
      </w:r>
      <w:r w:rsidR="00F16986" w:rsidRPr="002C6F76">
        <w:rPr>
          <w:rFonts w:cs="Times New Roman"/>
          <w:shd w:val="clear" w:color="auto" w:fill="FFFFFF"/>
        </w:rPr>
        <w:t xml:space="preserve">it with two groups of criteria including, </w:t>
      </w:r>
      <w:r w:rsidR="00491435" w:rsidRPr="002C6F76">
        <w:rPr>
          <w:rFonts w:cs="Times New Roman"/>
          <w:shd w:val="clear" w:color="auto" w:fill="FFFFFF"/>
        </w:rPr>
        <w:t>Wood (1995) and Fuller (1999)</w:t>
      </w:r>
      <w:r w:rsidR="00F16986" w:rsidRPr="002C6F76">
        <w:rPr>
          <w:rFonts w:cs="Times New Roman"/>
          <w:shd w:val="clear" w:color="auto" w:fill="FFFFFF"/>
        </w:rPr>
        <w:t xml:space="preserve"> to </w:t>
      </w:r>
      <w:r w:rsidR="0014469E" w:rsidRPr="002C6F76">
        <w:rPr>
          <w:rFonts w:cs="Times New Roman"/>
          <w:shd w:val="clear" w:color="auto" w:fill="FFFFFF"/>
        </w:rPr>
        <w:t>review the EIA system of Pakistan</w:t>
      </w:r>
      <w:r w:rsidR="00F16986" w:rsidRPr="002C6F76">
        <w:rPr>
          <w:rFonts w:cs="Times New Roman"/>
          <w:shd w:val="clear" w:color="auto" w:fill="FFFFFF"/>
        </w:rPr>
        <w:t>.</w:t>
      </w:r>
      <w:r w:rsidR="0014469E" w:rsidRPr="002C6F76">
        <w:rPr>
          <w:rFonts w:cs="Times New Roman"/>
          <w:shd w:val="clear" w:color="auto" w:fill="FFFFFF"/>
        </w:rPr>
        <w:t xml:space="preserve"> </w:t>
      </w:r>
      <w:r w:rsidR="00E82B95" w:rsidRPr="002C6F76">
        <w:rPr>
          <w:rFonts w:cs="Times New Roman"/>
          <w:shd w:val="clear" w:color="auto" w:fill="FFFFFF"/>
        </w:rPr>
        <w:t xml:space="preserve">This was </w:t>
      </w:r>
      <w:r w:rsidR="009A3F0C">
        <w:rPr>
          <w:rFonts w:cs="Times New Roman"/>
          <w:shd w:val="clear" w:color="auto" w:fill="FFFFFF"/>
        </w:rPr>
        <w:t xml:space="preserve">found to be </w:t>
      </w:r>
      <w:r w:rsidR="00E82B95" w:rsidRPr="002C6F76">
        <w:rPr>
          <w:rFonts w:cs="Times New Roman"/>
          <w:shd w:val="clear" w:color="auto" w:fill="FFFFFF"/>
        </w:rPr>
        <w:t xml:space="preserve">especially useful for the context of the country as it lacked </w:t>
      </w:r>
      <w:r w:rsidR="004938F1" w:rsidRPr="002C6F76">
        <w:rPr>
          <w:rFonts w:cs="Times New Roman"/>
          <w:shd w:val="clear" w:color="auto" w:fill="FFFFFF"/>
        </w:rPr>
        <w:t>a</w:t>
      </w:r>
      <w:r w:rsidR="009A3F0C">
        <w:rPr>
          <w:rFonts w:cs="Times New Roman"/>
          <w:shd w:val="clear" w:color="auto" w:fill="FFFFFF"/>
        </w:rPr>
        <w:t>ny</w:t>
      </w:r>
      <w:r w:rsidR="004938F1" w:rsidRPr="002C6F76">
        <w:rPr>
          <w:rFonts w:cs="Times New Roman"/>
          <w:shd w:val="clear" w:color="auto" w:fill="FFFFFF"/>
        </w:rPr>
        <w:t xml:space="preserve"> background </w:t>
      </w:r>
      <w:r w:rsidR="009A3F0C">
        <w:rPr>
          <w:rFonts w:cs="Times New Roman"/>
          <w:shd w:val="clear" w:color="auto" w:fill="FFFFFF"/>
        </w:rPr>
        <w:t xml:space="preserve">for </w:t>
      </w:r>
      <w:r w:rsidR="004938F1" w:rsidRPr="002C6F76">
        <w:rPr>
          <w:rFonts w:cs="Times New Roman"/>
          <w:shd w:val="clear" w:color="auto" w:fill="FFFFFF"/>
        </w:rPr>
        <w:t>conducting EIA reviews. Hence, t</w:t>
      </w:r>
      <w:r w:rsidR="00CC4AEC" w:rsidRPr="002C6F76">
        <w:rPr>
          <w:rFonts w:cs="Times New Roman"/>
          <w:shd w:val="clear" w:color="auto" w:fill="FFFFFF"/>
        </w:rPr>
        <w:t>h</w:t>
      </w:r>
      <w:r w:rsidR="00F16986" w:rsidRPr="002C6F76">
        <w:rPr>
          <w:rFonts w:cs="Times New Roman"/>
          <w:shd w:val="clear" w:color="auto" w:fill="FFFFFF"/>
        </w:rPr>
        <w:t xml:space="preserve">is </w:t>
      </w:r>
      <w:r w:rsidR="004938F1" w:rsidRPr="002C6F76">
        <w:rPr>
          <w:rFonts w:cs="Times New Roman"/>
          <w:shd w:val="clear" w:color="auto" w:fill="FFFFFF"/>
        </w:rPr>
        <w:t xml:space="preserve">new </w:t>
      </w:r>
      <w:r w:rsidR="00F16986" w:rsidRPr="002C6F76">
        <w:rPr>
          <w:rFonts w:cs="Times New Roman"/>
          <w:shd w:val="clear" w:color="auto" w:fill="FFFFFF"/>
        </w:rPr>
        <w:t>set of</w:t>
      </w:r>
      <w:r w:rsidR="00CC4AEC" w:rsidRPr="002C6F76">
        <w:rPr>
          <w:rFonts w:cs="Times New Roman"/>
          <w:shd w:val="clear" w:color="auto" w:fill="FFFFFF"/>
        </w:rPr>
        <w:t xml:space="preserve"> criteria </w:t>
      </w:r>
      <w:r w:rsidR="004938F1" w:rsidRPr="002C6F76">
        <w:rPr>
          <w:rFonts w:cs="Times New Roman"/>
          <w:shd w:val="clear" w:color="auto" w:fill="FFFFFF"/>
        </w:rPr>
        <w:t xml:space="preserve">which </w:t>
      </w:r>
      <w:r w:rsidR="00CC4AEC" w:rsidRPr="002C6F76">
        <w:rPr>
          <w:rFonts w:cs="Times New Roman"/>
          <w:shd w:val="clear" w:color="auto" w:fill="FFFFFF"/>
        </w:rPr>
        <w:t>consist</w:t>
      </w:r>
      <w:r w:rsidR="004938F1" w:rsidRPr="002C6F76">
        <w:rPr>
          <w:rFonts w:cs="Times New Roman"/>
          <w:shd w:val="clear" w:color="auto" w:fill="FFFFFF"/>
        </w:rPr>
        <w:t>s</w:t>
      </w:r>
      <w:r w:rsidR="00CC4AEC" w:rsidRPr="002C6F76">
        <w:rPr>
          <w:rFonts w:cs="Times New Roman"/>
          <w:shd w:val="clear" w:color="auto" w:fill="FFFFFF"/>
        </w:rPr>
        <w:t xml:space="preserve"> of stages of EIA</w:t>
      </w:r>
      <w:r w:rsidR="00EA4C89" w:rsidRPr="002C6F76">
        <w:rPr>
          <w:rFonts w:cs="Times New Roman"/>
          <w:shd w:val="clear" w:color="auto" w:fill="FFFFFF"/>
        </w:rPr>
        <w:t xml:space="preserve"> process</w:t>
      </w:r>
      <w:r w:rsidR="00411379" w:rsidRPr="002C6F76">
        <w:rPr>
          <w:rFonts w:cs="Times New Roman"/>
          <w:shd w:val="clear" w:color="auto" w:fill="FFFFFF"/>
        </w:rPr>
        <w:t xml:space="preserve">, </w:t>
      </w:r>
      <w:r w:rsidR="00CC4AEC" w:rsidRPr="002C6F76">
        <w:rPr>
          <w:rFonts w:cs="Times New Roman"/>
          <w:shd w:val="clear" w:color="auto" w:fill="FFFFFF"/>
        </w:rPr>
        <w:t>legislative provisions, guidelines and institutional set up for EIA</w:t>
      </w:r>
      <w:r w:rsidR="00D0354C" w:rsidRPr="002C6F76">
        <w:rPr>
          <w:rFonts w:cs="Times New Roman"/>
          <w:shd w:val="clear" w:color="auto" w:fill="FFFFFF"/>
        </w:rPr>
        <w:t xml:space="preserve"> help</w:t>
      </w:r>
      <w:r w:rsidR="004938F1" w:rsidRPr="002C6F76">
        <w:rPr>
          <w:rFonts w:cs="Times New Roman"/>
          <w:shd w:val="clear" w:color="auto" w:fill="FFFFFF"/>
        </w:rPr>
        <w:t>ed</w:t>
      </w:r>
      <w:r w:rsidR="00D0354C" w:rsidRPr="002C6F76">
        <w:rPr>
          <w:rFonts w:cs="Times New Roman"/>
          <w:shd w:val="clear" w:color="auto" w:fill="FFFFFF"/>
        </w:rPr>
        <w:t xml:space="preserve"> in </w:t>
      </w:r>
      <w:r w:rsidR="00CC4AEC" w:rsidRPr="002C6F76">
        <w:rPr>
          <w:rFonts w:cs="Times New Roman"/>
          <w:shd w:val="clear" w:color="auto" w:fill="FFFFFF"/>
        </w:rPr>
        <w:t>provid</w:t>
      </w:r>
      <w:r w:rsidR="00D0354C" w:rsidRPr="002C6F76">
        <w:rPr>
          <w:rFonts w:cs="Times New Roman"/>
          <w:shd w:val="clear" w:color="auto" w:fill="FFFFFF"/>
        </w:rPr>
        <w:t>ing</w:t>
      </w:r>
      <w:r w:rsidR="00CC4AEC" w:rsidRPr="002C6F76">
        <w:rPr>
          <w:rFonts w:cs="Times New Roman"/>
          <w:shd w:val="clear" w:color="auto" w:fill="FFFFFF"/>
        </w:rPr>
        <w:t xml:space="preserve"> a comprehensive </w:t>
      </w:r>
      <w:r w:rsidR="00D0354C" w:rsidRPr="002C6F76">
        <w:rPr>
          <w:rFonts w:cs="Times New Roman"/>
          <w:shd w:val="clear" w:color="auto" w:fill="FFFFFF"/>
        </w:rPr>
        <w:t>evaluation</w:t>
      </w:r>
      <w:r w:rsidR="00CC4AEC" w:rsidRPr="002C6F76">
        <w:rPr>
          <w:rFonts w:cs="Times New Roman"/>
          <w:shd w:val="clear" w:color="auto" w:fill="FFFFFF"/>
        </w:rPr>
        <w:t xml:space="preserve"> </w:t>
      </w:r>
      <w:r w:rsidR="009A4516">
        <w:rPr>
          <w:rFonts w:cs="Times New Roman"/>
          <w:shd w:val="clear" w:color="auto" w:fill="FFFFFF"/>
        </w:rPr>
        <w:t xml:space="preserve">framework </w:t>
      </w:r>
      <w:r w:rsidR="00CC4AEC" w:rsidRPr="002C6F76">
        <w:rPr>
          <w:rFonts w:cs="Times New Roman"/>
          <w:shd w:val="clear" w:color="auto" w:fill="FFFFFF"/>
        </w:rPr>
        <w:t xml:space="preserve">(Nadeem and Hameed, 2008). </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2582"/>
        <w:gridCol w:w="2552"/>
        <w:gridCol w:w="1701"/>
      </w:tblGrid>
      <w:tr w:rsidR="005A4727" w:rsidRPr="002C6F76" w14:paraId="0A90FEC4" w14:textId="77777777" w:rsidTr="000121C3">
        <w:trPr>
          <w:trHeight w:val="377"/>
          <w:jc w:val="center"/>
        </w:trPr>
        <w:tc>
          <w:tcPr>
            <w:tcW w:w="2516" w:type="dxa"/>
            <w:shd w:val="clear" w:color="auto" w:fill="auto"/>
          </w:tcPr>
          <w:p w14:paraId="30AF78A3" w14:textId="77777777" w:rsidR="005A4727" w:rsidRPr="002C6F76" w:rsidRDefault="005A4727" w:rsidP="005A4727">
            <w:pPr>
              <w:spacing w:after="0" w:line="276" w:lineRule="auto"/>
              <w:jc w:val="center"/>
              <w:rPr>
                <w:b/>
                <w:bCs/>
                <w:sz w:val="20"/>
                <w:szCs w:val="20"/>
                <w:lang w:val="en-GB"/>
              </w:rPr>
            </w:pPr>
            <w:r w:rsidRPr="002C6F76">
              <w:rPr>
                <w:rFonts w:eastAsia="Calibri" w:cs="Times New Roman"/>
                <w:b/>
                <w:bCs/>
                <w:sz w:val="20"/>
                <w:szCs w:val="20"/>
              </w:rPr>
              <w:t>Authors</w:t>
            </w:r>
          </w:p>
        </w:tc>
        <w:tc>
          <w:tcPr>
            <w:tcW w:w="2582" w:type="dxa"/>
            <w:shd w:val="clear" w:color="auto" w:fill="auto"/>
          </w:tcPr>
          <w:p w14:paraId="56B3DC0E" w14:textId="77777777" w:rsidR="005A4727" w:rsidRPr="0016663F" w:rsidRDefault="005A4727" w:rsidP="005A4727">
            <w:pPr>
              <w:spacing w:after="0" w:line="276" w:lineRule="auto"/>
              <w:jc w:val="center"/>
              <w:rPr>
                <w:b/>
                <w:bCs/>
                <w:sz w:val="20"/>
                <w:szCs w:val="20"/>
                <w:lang w:val="en-GB"/>
              </w:rPr>
            </w:pPr>
            <w:r w:rsidRPr="0016663F">
              <w:rPr>
                <w:b/>
                <w:bCs/>
                <w:sz w:val="20"/>
                <w:szCs w:val="20"/>
                <w:lang w:val="en-GB"/>
              </w:rPr>
              <w:t>Criteria</w:t>
            </w:r>
          </w:p>
        </w:tc>
        <w:tc>
          <w:tcPr>
            <w:tcW w:w="2552" w:type="dxa"/>
            <w:shd w:val="clear" w:color="auto" w:fill="auto"/>
          </w:tcPr>
          <w:p w14:paraId="4D0DF2EE" w14:textId="77777777" w:rsidR="005A4727" w:rsidRPr="002C6F76" w:rsidRDefault="005A4727" w:rsidP="005A4727">
            <w:pPr>
              <w:spacing w:after="0" w:line="276" w:lineRule="auto"/>
              <w:jc w:val="center"/>
              <w:rPr>
                <w:b/>
                <w:bCs/>
                <w:sz w:val="20"/>
                <w:szCs w:val="20"/>
                <w:lang w:val="en-GB"/>
              </w:rPr>
            </w:pPr>
            <w:r w:rsidRPr="002C6F76">
              <w:rPr>
                <w:b/>
                <w:bCs/>
                <w:sz w:val="20"/>
                <w:szCs w:val="20"/>
                <w:lang w:val="en-GB"/>
              </w:rPr>
              <w:t>EIA system</w:t>
            </w:r>
          </w:p>
        </w:tc>
        <w:tc>
          <w:tcPr>
            <w:tcW w:w="1701" w:type="dxa"/>
            <w:shd w:val="clear" w:color="auto" w:fill="auto"/>
          </w:tcPr>
          <w:p w14:paraId="2B2D793E" w14:textId="77777777" w:rsidR="005A4727" w:rsidRPr="002C6F76" w:rsidRDefault="005A4727" w:rsidP="005A4727">
            <w:pPr>
              <w:spacing w:after="0" w:line="276" w:lineRule="auto"/>
              <w:jc w:val="center"/>
              <w:rPr>
                <w:b/>
                <w:bCs/>
                <w:sz w:val="20"/>
                <w:szCs w:val="20"/>
                <w:lang w:val="en-GB"/>
              </w:rPr>
            </w:pPr>
            <w:r w:rsidRPr="002C6F76">
              <w:rPr>
                <w:b/>
                <w:bCs/>
                <w:sz w:val="20"/>
                <w:szCs w:val="20"/>
                <w:lang w:val="en-GB"/>
              </w:rPr>
              <w:t>Method</w:t>
            </w:r>
          </w:p>
        </w:tc>
      </w:tr>
      <w:tr w:rsidR="005A4727" w:rsidRPr="0016663F" w14:paraId="0544C81A" w14:textId="77777777" w:rsidTr="000121C3">
        <w:trPr>
          <w:trHeight w:val="260"/>
          <w:jc w:val="center"/>
        </w:trPr>
        <w:tc>
          <w:tcPr>
            <w:tcW w:w="2516" w:type="dxa"/>
            <w:shd w:val="clear" w:color="auto" w:fill="auto"/>
            <w:vAlign w:val="center"/>
          </w:tcPr>
          <w:p w14:paraId="778A645D" w14:textId="77777777" w:rsidR="005A4727" w:rsidRPr="002C6F76" w:rsidRDefault="005A4727" w:rsidP="005A4727">
            <w:pPr>
              <w:spacing w:after="0"/>
              <w:jc w:val="left"/>
              <w:rPr>
                <w:sz w:val="20"/>
                <w:szCs w:val="20"/>
                <w:lang w:val="en-GB"/>
              </w:rPr>
            </w:pPr>
            <w:r w:rsidRPr="002C6F76">
              <w:rPr>
                <w:sz w:val="20"/>
                <w:szCs w:val="20"/>
                <w:lang w:val="en-GB"/>
              </w:rPr>
              <w:t>Wood (1995)</w:t>
            </w:r>
          </w:p>
        </w:tc>
        <w:tc>
          <w:tcPr>
            <w:tcW w:w="2582" w:type="dxa"/>
            <w:shd w:val="clear" w:color="auto" w:fill="auto"/>
          </w:tcPr>
          <w:p w14:paraId="133948B6" w14:textId="14123613" w:rsidR="005A4727" w:rsidRPr="0016663F" w:rsidRDefault="005A4727">
            <w:pPr>
              <w:spacing w:after="0"/>
              <w:rPr>
                <w:sz w:val="20"/>
                <w:szCs w:val="20"/>
                <w:lang w:val="en-GB"/>
              </w:rPr>
            </w:pPr>
            <w:r w:rsidRPr="0016663F">
              <w:rPr>
                <w:sz w:val="20"/>
                <w:szCs w:val="20"/>
                <w:lang w:val="en-GB"/>
              </w:rPr>
              <w:t>Wood (1995)</w:t>
            </w:r>
            <w:r w:rsidR="00204AA8" w:rsidRPr="0016663F">
              <w:rPr>
                <w:sz w:val="20"/>
                <w:szCs w:val="20"/>
                <w:lang w:val="en-GB"/>
              </w:rPr>
              <w:t>- Created by Author</w:t>
            </w:r>
          </w:p>
        </w:tc>
        <w:tc>
          <w:tcPr>
            <w:tcW w:w="2552" w:type="dxa"/>
            <w:shd w:val="clear" w:color="auto" w:fill="auto"/>
          </w:tcPr>
          <w:p w14:paraId="17A72A96" w14:textId="77777777" w:rsidR="005A4727" w:rsidRPr="002C6F76" w:rsidRDefault="005A4727" w:rsidP="005A4727">
            <w:pPr>
              <w:spacing w:after="0"/>
              <w:rPr>
                <w:sz w:val="20"/>
                <w:szCs w:val="20"/>
                <w:lang w:val="en-GB"/>
              </w:rPr>
            </w:pPr>
            <w:r w:rsidRPr="002C6F76">
              <w:rPr>
                <w:sz w:val="20"/>
                <w:szCs w:val="20"/>
                <w:lang w:val="en-GB"/>
              </w:rPr>
              <w:t>international context</w:t>
            </w:r>
          </w:p>
        </w:tc>
        <w:tc>
          <w:tcPr>
            <w:tcW w:w="1701" w:type="dxa"/>
            <w:shd w:val="clear" w:color="auto" w:fill="auto"/>
          </w:tcPr>
          <w:p w14:paraId="03198660" w14:textId="0E57811C" w:rsidR="005A4727" w:rsidRPr="0016663F" w:rsidRDefault="00F07CD0" w:rsidP="005A4727">
            <w:pPr>
              <w:spacing w:after="0"/>
              <w:rPr>
                <w:sz w:val="20"/>
                <w:szCs w:val="20"/>
                <w:lang w:val="en-GB"/>
              </w:rPr>
            </w:pPr>
            <w:r w:rsidRPr="0016663F">
              <w:rPr>
                <w:sz w:val="20"/>
                <w:szCs w:val="20"/>
                <w:lang w:val="en-GB"/>
              </w:rPr>
              <w:t>Literature review</w:t>
            </w:r>
          </w:p>
        </w:tc>
      </w:tr>
      <w:tr w:rsidR="005A4727" w:rsidRPr="002C6F76" w14:paraId="2C1D222A" w14:textId="77777777" w:rsidTr="000121C3">
        <w:trPr>
          <w:trHeight w:val="141"/>
          <w:jc w:val="center"/>
        </w:trPr>
        <w:tc>
          <w:tcPr>
            <w:tcW w:w="2516" w:type="dxa"/>
            <w:shd w:val="clear" w:color="auto" w:fill="auto"/>
            <w:vAlign w:val="center"/>
          </w:tcPr>
          <w:p w14:paraId="3ABD3BE7" w14:textId="77777777" w:rsidR="005A4727" w:rsidRPr="002C6F76" w:rsidRDefault="005A4727" w:rsidP="005A4727">
            <w:pPr>
              <w:spacing w:after="0" w:line="276" w:lineRule="auto"/>
              <w:jc w:val="left"/>
              <w:rPr>
                <w:sz w:val="20"/>
                <w:szCs w:val="20"/>
                <w:lang w:val="en-GB"/>
              </w:rPr>
            </w:pPr>
            <w:r w:rsidRPr="002C6F76">
              <w:rPr>
                <w:sz w:val="20"/>
                <w:szCs w:val="20"/>
                <w:lang w:val="en-GB"/>
              </w:rPr>
              <w:t>Annand</w:t>
            </w:r>
            <w:r w:rsidR="009A4516">
              <w:rPr>
                <w:sz w:val="20"/>
                <w:szCs w:val="20"/>
                <w:lang w:val="en-GB"/>
              </w:rPr>
              <w:t>a</w:t>
            </w:r>
            <w:r w:rsidRPr="002C6F76">
              <w:rPr>
                <w:sz w:val="20"/>
                <w:szCs w:val="20"/>
                <w:lang w:val="en-GB"/>
              </w:rPr>
              <w:t>le (2001)</w:t>
            </w:r>
          </w:p>
        </w:tc>
        <w:tc>
          <w:tcPr>
            <w:tcW w:w="2582" w:type="dxa"/>
            <w:shd w:val="clear" w:color="auto" w:fill="auto"/>
          </w:tcPr>
          <w:p w14:paraId="08AFEF12" w14:textId="77777777" w:rsidR="005A4727" w:rsidRPr="002C6F76" w:rsidRDefault="005A4727" w:rsidP="005A4727">
            <w:pPr>
              <w:spacing w:after="0" w:line="480" w:lineRule="auto"/>
              <w:rPr>
                <w:sz w:val="20"/>
                <w:szCs w:val="20"/>
                <w:lang w:val="en-GB"/>
              </w:rPr>
            </w:pPr>
            <w:r w:rsidRPr="002C6F76">
              <w:rPr>
                <w:sz w:val="20"/>
                <w:szCs w:val="20"/>
                <w:lang w:val="en-GB"/>
              </w:rPr>
              <w:t>modified Wood (1995)</w:t>
            </w:r>
          </w:p>
        </w:tc>
        <w:tc>
          <w:tcPr>
            <w:tcW w:w="2552" w:type="dxa"/>
            <w:shd w:val="clear" w:color="auto" w:fill="auto"/>
          </w:tcPr>
          <w:p w14:paraId="607327C8" w14:textId="77777777" w:rsidR="005A4727" w:rsidRPr="002C6F76" w:rsidRDefault="005A4727" w:rsidP="005A4727">
            <w:pPr>
              <w:spacing w:after="0" w:line="480" w:lineRule="auto"/>
              <w:rPr>
                <w:sz w:val="20"/>
                <w:szCs w:val="20"/>
                <w:lang w:val="en-GB"/>
              </w:rPr>
            </w:pPr>
            <w:r w:rsidRPr="002C6F76">
              <w:rPr>
                <w:sz w:val="20"/>
                <w:szCs w:val="20"/>
                <w:lang w:val="en-GB"/>
              </w:rPr>
              <w:t xml:space="preserve">Maldives’s EIA system </w:t>
            </w:r>
          </w:p>
        </w:tc>
        <w:tc>
          <w:tcPr>
            <w:tcW w:w="1701" w:type="dxa"/>
            <w:shd w:val="clear" w:color="auto" w:fill="auto"/>
          </w:tcPr>
          <w:p w14:paraId="3CC9FDDF" w14:textId="3B9032AB" w:rsidR="005A4727" w:rsidRPr="002C6F76" w:rsidRDefault="00F07CD0" w:rsidP="005A4727">
            <w:pPr>
              <w:spacing w:after="0" w:line="480" w:lineRule="auto"/>
              <w:rPr>
                <w:sz w:val="20"/>
                <w:szCs w:val="20"/>
                <w:lang w:val="en-GB"/>
              </w:rPr>
            </w:pPr>
            <w:r>
              <w:rPr>
                <w:sz w:val="20"/>
                <w:szCs w:val="20"/>
                <w:lang w:val="en-GB"/>
              </w:rPr>
              <w:t>L</w:t>
            </w:r>
            <w:r w:rsidRPr="002C6F76">
              <w:rPr>
                <w:sz w:val="20"/>
                <w:szCs w:val="20"/>
                <w:lang w:val="en-GB"/>
              </w:rPr>
              <w:t xml:space="preserve">iterature </w:t>
            </w:r>
            <w:r w:rsidR="005A4727" w:rsidRPr="002C6F76">
              <w:rPr>
                <w:sz w:val="20"/>
                <w:szCs w:val="20"/>
                <w:lang w:val="en-GB"/>
              </w:rPr>
              <w:t>review</w:t>
            </w:r>
          </w:p>
        </w:tc>
      </w:tr>
      <w:tr w:rsidR="005A4727" w:rsidRPr="002C6F76" w14:paraId="762D244F" w14:textId="77777777" w:rsidTr="000121C3">
        <w:trPr>
          <w:trHeight w:val="531"/>
          <w:jc w:val="center"/>
        </w:trPr>
        <w:tc>
          <w:tcPr>
            <w:tcW w:w="2516" w:type="dxa"/>
            <w:shd w:val="clear" w:color="auto" w:fill="auto"/>
            <w:vAlign w:val="center"/>
          </w:tcPr>
          <w:p w14:paraId="74B46A0A" w14:textId="77777777" w:rsidR="005A4727" w:rsidRPr="002C6F76" w:rsidRDefault="005A4727" w:rsidP="005A4727">
            <w:pPr>
              <w:spacing w:after="0" w:line="276" w:lineRule="auto"/>
              <w:jc w:val="left"/>
              <w:rPr>
                <w:sz w:val="20"/>
                <w:szCs w:val="20"/>
                <w:lang w:val="en-GB"/>
              </w:rPr>
            </w:pPr>
            <w:r w:rsidRPr="002C6F76">
              <w:rPr>
                <w:sz w:val="20"/>
                <w:szCs w:val="20"/>
                <w:lang w:val="en-GB"/>
              </w:rPr>
              <w:t>Ahmed and Wood (2002)</w:t>
            </w:r>
          </w:p>
        </w:tc>
        <w:tc>
          <w:tcPr>
            <w:tcW w:w="2582" w:type="dxa"/>
            <w:shd w:val="clear" w:color="auto" w:fill="auto"/>
          </w:tcPr>
          <w:p w14:paraId="4854F818" w14:textId="77777777" w:rsidR="005A4727" w:rsidRPr="002C6F76" w:rsidRDefault="005A4727" w:rsidP="005A4727">
            <w:pPr>
              <w:spacing w:after="0" w:line="276" w:lineRule="auto"/>
              <w:rPr>
                <w:sz w:val="20"/>
                <w:szCs w:val="20"/>
                <w:lang w:val="en-GB"/>
              </w:rPr>
            </w:pPr>
            <w:r w:rsidRPr="002C6F76">
              <w:rPr>
                <w:sz w:val="20"/>
                <w:szCs w:val="20"/>
                <w:lang w:val="en-GB"/>
              </w:rPr>
              <w:t>Ahmed and Wood (2002)</w:t>
            </w:r>
          </w:p>
        </w:tc>
        <w:tc>
          <w:tcPr>
            <w:tcW w:w="2552" w:type="dxa"/>
            <w:shd w:val="clear" w:color="auto" w:fill="auto"/>
          </w:tcPr>
          <w:p w14:paraId="7EBE914C" w14:textId="77777777" w:rsidR="005A4727" w:rsidRPr="002C6F76" w:rsidRDefault="005A4727" w:rsidP="005A4727">
            <w:pPr>
              <w:spacing w:after="0" w:line="276" w:lineRule="auto"/>
              <w:rPr>
                <w:sz w:val="20"/>
                <w:szCs w:val="20"/>
                <w:lang w:val="en-GB"/>
              </w:rPr>
            </w:pPr>
            <w:r w:rsidRPr="002C6F76">
              <w:rPr>
                <w:sz w:val="20"/>
                <w:szCs w:val="20"/>
                <w:lang w:val="en-GB"/>
              </w:rPr>
              <w:t>Egypt, Turkey and Tunisia</w:t>
            </w:r>
          </w:p>
        </w:tc>
        <w:tc>
          <w:tcPr>
            <w:tcW w:w="1701" w:type="dxa"/>
            <w:shd w:val="clear" w:color="auto" w:fill="auto"/>
          </w:tcPr>
          <w:p w14:paraId="6FD915FB" w14:textId="77777777" w:rsidR="005A4727" w:rsidRPr="002C6F76" w:rsidRDefault="005A4727" w:rsidP="005A4727">
            <w:pPr>
              <w:spacing w:after="0" w:line="480" w:lineRule="auto"/>
              <w:rPr>
                <w:sz w:val="20"/>
                <w:szCs w:val="20"/>
                <w:lang w:val="en-GB"/>
              </w:rPr>
            </w:pPr>
            <w:r w:rsidRPr="002C6F76">
              <w:rPr>
                <w:sz w:val="20"/>
                <w:szCs w:val="20"/>
                <w:lang w:val="en-GB"/>
              </w:rPr>
              <w:t>Interview</w:t>
            </w:r>
          </w:p>
        </w:tc>
      </w:tr>
      <w:tr w:rsidR="005A4727" w:rsidRPr="002C6F76" w14:paraId="28439EDD" w14:textId="77777777" w:rsidTr="000121C3">
        <w:trPr>
          <w:trHeight w:val="268"/>
          <w:jc w:val="center"/>
        </w:trPr>
        <w:tc>
          <w:tcPr>
            <w:tcW w:w="2516" w:type="dxa"/>
            <w:shd w:val="clear" w:color="auto" w:fill="auto"/>
            <w:vAlign w:val="center"/>
          </w:tcPr>
          <w:p w14:paraId="3CD6DAB8" w14:textId="77777777" w:rsidR="005A4727" w:rsidRPr="002C6F76" w:rsidRDefault="005A4727" w:rsidP="005A4727">
            <w:pPr>
              <w:spacing w:after="0" w:line="276" w:lineRule="auto"/>
              <w:jc w:val="left"/>
              <w:rPr>
                <w:sz w:val="20"/>
                <w:szCs w:val="20"/>
                <w:lang w:val="en-GB"/>
              </w:rPr>
            </w:pPr>
            <w:r w:rsidRPr="002C6F76">
              <w:rPr>
                <w:sz w:val="20"/>
                <w:szCs w:val="20"/>
                <w:lang w:val="en-GB"/>
              </w:rPr>
              <w:t>El Fadl and El Fadel (2004)</w:t>
            </w:r>
          </w:p>
        </w:tc>
        <w:tc>
          <w:tcPr>
            <w:tcW w:w="2582" w:type="dxa"/>
            <w:shd w:val="clear" w:color="auto" w:fill="auto"/>
          </w:tcPr>
          <w:p w14:paraId="19918D9A" w14:textId="77777777" w:rsidR="005A4727" w:rsidRPr="002C6F76" w:rsidRDefault="005A4727" w:rsidP="005A4727">
            <w:pPr>
              <w:spacing w:after="0" w:line="276" w:lineRule="auto"/>
              <w:rPr>
                <w:sz w:val="20"/>
                <w:szCs w:val="20"/>
                <w:lang w:val="en-GB"/>
              </w:rPr>
            </w:pPr>
            <w:r w:rsidRPr="002C6F76">
              <w:rPr>
                <w:sz w:val="20"/>
                <w:szCs w:val="20"/>
                <w:lang w:val="en-GB"/>
              </w:rPr>
              <w:t>Ahmed and Wood (2002)</w:t>
            </w:r>
          </w:p>
        </w:tc>
        <w:tc>
          <w:tcPr>
            <w:tcW w:w="2552" w:type="dxa"/>
            <w:shd w:val="clear" w:color="auto" w:fill="auto"/>
          </w:tcPr>
          <w:p w14:paraId="7FF20EBB" w14:textId="77777777" w:rsidR="005A4727" w:rsidRPr="002C6F76" w:rsidRDefault="005A4727">
            <w:pPr>
              <w:spacing w:after="0" w:line="276" w:lineRule="auto"/>
              <w:rPr>
                <w:sz w:val="20"/>
                <w:szCs w:val="20"/>
                <w:lang w:val="en-GB"/>
              </w:rPr>
            </w:pPr>
            <w:r w:rsidRPr="002C6F76">
              <w:rPr>
                <w:sz w:val="20"/>
                <w:szCs w:val="20"/>
                <w:lang w:val="en-GB"/>
              </w:rPr>
              <w:t xml:space="preserve">The Middle East and North Africa region </w:t>
            </w:r>
          </w:p>
        </w:tc>
        <w:tc>
          <w:tcPr>
            <w:tcW w:w="1701" w:type="dxa"/>
            <w:shd w:val="clear" w:color="auto" w:fill="auto"/>
          </w:tcPr>
          <w:p w14:paraId="042C0835" w14:textId="77777777" w:rsidR="005A4727" w:rsidRPr="002C6F76" w:rsidRDefault="005A4727" w:rsidP="005A4727">
            <w:pPr>
              <w:spacing w:after="0" w:line="276" w:lineRule="auto"/>
              <w:rPr>
                <w:sz w:val="20"/>
                <w:szCs w:val="20"/>
                <w:lang w:val="en-GB"/>
              </w:rPr>
            </w:pPr>
            <w:r w:rsidRPr="002C6F76">
              <w:rPr>
                <w:sz w:val="20"/>
                <w:szCs w:val="20"/>
                <w:lang w:val="en-GB"/>
              </w:rPr>
              <w:t>literature review</w:t>
            </w:r>
          </w:p>
        </w:tc>
      </w:tr>
      <w:tr w:rsidR="005A4727" w:rsidRPr="002C6F76" w14:paraId="5203D17C" w14:textId="77777777" w:rsidTr="000121C3">
        <w:trPr>
          <w:trHeight w:val="290"/>
          <w:jc w:val="center"/>
        </w:trPr>
        <w:tc>
          <w:tcPr>
            <w:tcW w:w="2516" w:type="dxa"/>
            <w:shd w:val="clear" w:color="auto" w:fill="auto"/>
            <w:vAlign w:val="center"/>
          </w:tcPr>
          <w:p w14:paraId="4532544F" w14:textId="77777777" w:rsidR="005A4727" w:rsidRPr="002C6F76" w:rsidRDefault="005A4727" w:rsidP="005A4727">
            <w:pPr>
              <w:spacing w:after="0" w:line="276" w:lineRule="auto"/>
              <w:jc w:val="left"/>
              <w:rPr>
                <w:sz w:val="20"/>
                <w:szCs w:val="20"/>
                <w:lang w:val="en-GB"/>
              </w:rPr>
            </w:pPr>
            <w:r w:rsidRPr="002C6F76">
              <w:rPr>
                <w:sz w:val="20"/>
                <w:szCs w:val="20"/>
                <w:lang w:val="en-GB"/>
              </w:rPr>
              <w:t>Nadeem and Hameed (2008)</w:t>
            </w:r>
          </w:p>
        </w:tc>
        <w:tc>
          <w:tcPr>
            <w:tcW w:w="2582" w:type="dxa"/>
            <w:shd w:val="clear" w:color="auto" w:fill="auto"/>
          </w:tcPr>
          <w:p w14:paraId="36D9343D" w14:textId="77777777" w:rsidR="005A4727" w:rsidRPr="002C6F76" w:rsidRDefault="005A4727" w:rsidP="005A4727">
            <w:pPr>
              <w:spacing w:after="0" w:line="276" w:lineRule="auto"/>
              <w:rPr>
                <w:sz w:val="20"/>
                <w:szCs w:val="20"/>
                <w:lang w:val="en-GB"/>
              </w:rPr>
            </w:pPr>
            <w:r w:rsidRPr="002C6F76">
              <w:rPr>
                <w:sz w:val="20"/>
                <w:szCs w:val="20"/>
                <w:lang w:val="en-GB"/>
              </w:rPr>
              <w:t>Adapted from Wood (</w:t>
            </w:r>
            <w:r w:rsidR="0087741E" w:rsidRPr="002C6F76">
              <w:rPr>
                <w:sz w:val="20"/>
                <w:szCs w:val="20"/>
                <w:lang w:val="en-GB"/>
              </w:rPr>
              <w:t>1995</w:t>
            </w:r>
            <w:r w:rsidRPr="002C6F76">
              <w:rPr>
                <w:sz w:val="20"/>
                <w:szCs w:val="20"/>
                <w:lang w:val="en-GB"/>
              </w:rPr>
              <w:t>); Ahmad and Wood (2002); Fuller (1999).</w:t>
            </w:r>
          </w:p>
        </w:tc>
        <w:tc>
          <w:tcPr>
            <w:tcW w:w="2552" w:type="dxa"/>
            <w:shd w:val="clear" w:color="auto" w:fill="auto"/>
          </w:tcPr>
          <w:p w14:paraId="45B5E452" w14:textId="77777777" w:rsidR="005A4727" w:rsidRPr="002C6F76" w:rsidRDefault="005A4727">
            <w:pPr>
              <w:spacing w:after="0" w:line="276" w:lineRule="auto"/>
              <w:rPr>
                <w:sz w:val="20"/>
                <w:szCs w:val="20"/>
                <w:lang w:val="en-GB"/>
              </w:rPr>
            </w:pPr>
            <w:r w:rsidRPr="002C6F76">
              <w:rPr>
                <w:sz w:val="20"/>
                <w:szCs w:val="20"/>
                <w:lang w:val="en-GB"/>
              </w:rPr>
              <w:t xml:space="preserve">Pakistan’s EIA system </w:t>
            </w:r>
          </w:p>
        </w:tc>
        <w:tc>
          <w:tcPr>
            <w:tcW w:w="1701" w:type="dxa"/>
            <w:shd w:val="clear" w:color="auto" w:fill="auto"/>
          </w:tcPr>
          <w:p w14:paraId="6E0507A9" w14:textId="30B3625A" w:rsidR="005A4727" w:rsidRPr="002C6F76" w:rsidRDefault="00F07CD0" w:rsidP="005A4727">
            <w:pPr>
              <w:spacing w:after="0" w:line="276" w:lineRule="auto"/>
              <w:rPr>
                <w:sz w:val="20"/>
                <w:szCs w:val="20"/>
                <w:lang w:val="en-GB"/>
              </w:rPr>
            </w:pPr>
            <w:r>
              <w:rPr>
                <w:sz w:val="20"/>
                <w:szCs w:val="20"/>
                <w:lang w:val="en-GB"/>
              </w:rPr>
              <w:t>L</w:t>
            </w:r>
            <w:r w:rsidRPr="002C6F76">
              <w:rPr>
                <w:sz w:val="20"/>
                <w:szCs w:val="20"/>
                <w:lang w:val="en-GB"/>
              </w:rPr>
              <w:t xml:space="preserve">iterature </w:t>
            </w:r>
            <w:r w:rsidR="005A4727" w:rsidRPr="002C6F76">
              <w:rPr>
                <w:sz w:val="20"/>
                <w:szCs w:val="20"/>
                <w:lang w:val="en-GB"/>
              </w:rPr>
              <w:t>review and interview</w:t>
            </w:r>
          </w:p>
        </w:tc>
      </w:tr>
      <w:tr w:rsidR="005A4727" w:rsidRPr="002C6F76" w14:paraId="260C7BCE" w14:textId="77777777" w:rsidTr="000121C3">
        <w:trPr>
          <w:trHeight w:val="215"/>
          <w:jc w:val="center"/>
        </w:trPr>
        <w:tc>
          <w:tcPr>
            <w:tcW w:w="2516" w:type="dxa"/>
            <w:shd w:val="clear" w:color="auto" w:fill="auto"/>
            <w:vAlign w:val="center"/>
          </w:tcPr>
          <w:p w14:paraId="77885BE2" w14:textId="77777777" w:rsidR="005A4727" w:rsidRPr="002C6F76" w:rsidRDefault="005A4727" w:rsidP="005A4727">
            <w:pPr>
              <w:spacing w:after="0"/>
              <w:jc w:val="left"/>
              <w:rPr>
                <w:sz w:val="20"/>
                <w:szCs w:val="20"/>
                <w:lang w:val="en-GB"/>
              </w:rPr>
            </w:pPr>
            <w:r w:rsidRPr="002C6F76">
              <w:rPr>
                <w:sz w:val="20"/>
                <w:szCs w:val="20"/>
                <w:lang w:val="en-GB"/>
              </w:rPr>
              <w:t>Badr (2009)</w:t>
            </w:r>
          </w:p>
        </w:tc>
        <w:tc>
          <w:tcPr>
            <w:tcW w:w="2582" w:type="dxa"/>
            <w:shd w:val="clear" w:color="auto" w:fill="auto"/>
          </w:tcPr>
          <w:p w14:paraId="4539E523" w14:textId="77777777" w:rsidR="005A4727" w:rsidRPr="002C6F76" w:rsidRDefault="005A4727" w:rsidP="005A4727">
            <w:pPr>
              <w:spacing w:after="0"/>
              <w:rPr>
                <w:sz w:val="20"/>
                <w:szCs w:val="20"/>
                <w:lang w:val="en-GB"/>
              </w:rPr>
            </w:pPr>
            <w:r w:rsidRPr="002C6F76">
              <w:rPr>
                <w:sz w:val="20"/>
                <w:szCs w:val="20"/>
                <w:lang w:val="en-GB"/>
              </w:rPr>
              <w:t>Ahmed and Wood (2002)</w:t>
            </w:r>
          </w:p>
        </w:tc>
        <w:tc>
          <w:tcPr>
            <w:tcW w:w="2552" w:type="dxa"/>
            <w:shd w:val="clear" w:color="auto" w:fill="auto"/>
          </w:tcPr>
          <w:p w14:paraId="59184941" w14:textId="77777777" w:rsidR="005A4727" w:rsidRPr="002C6F76" w:rsidRDefault="005A4727" w:rsidP="005A4727">
            <w:pPr>
              <w:spacing w:after="0"/>
              <w:rPr>
                <w:sz w:val="20"/>
                <w:szCs w:val="20"/>
                <w:lang w:val="en-GB"/>
              </w:rPr>
            </w:pPr>
            <w:r w:rsidRPr="002C6F76">
              <w:rPr>
                <w:sz w:val="20"/>
                <w:szCs w:val="20"/>
                <w:lang w:val="en-GB"/>
              </w:rPr>
              <w:t>Egypt’s EIA system</w:t>
            </w:r>
          </w:p>
        </w:tc>
        <w:tc>
          <w:tcPr>
            <w:tcW w:w="1701" w:type="dxa"/>
            <w:shd w:val="clear" w:color="auto" w:fill="auto"/>
          </w:tcPr>
          <w:p w14:paraId="13BF1EC7" w14:textId="77777777" w:rsidR="005A4727" w:rsidRPr="002C6F76" w:rsidRDefault="005A4727" w:rsidP="005A4727">
            <w:pPr>
              <w:spacing w:after="0" w:line="276" w:lineRule="auto"/>
              <w:rPr>
                <w:sz w:val="20"/>
                <w:szCs w:val="20"/>
                <w:lang w:val="en-GB"/>
              </w:rPr>
            </w:pPr>
            <w:r w:rsidRPr="002C6F76">
              <w:rPr>
                <w:sz w:val="20"/>
                <w:szCs w:val="20"/>
                <w:lang w:val="en-GB"/>
              </w:rPr>
              <w:t>Interview</w:t>
            </w:r>
          </w:p>
        </w:tc>
      </w:tr>
      <w:tr w:rsidR="005A4727" w:rsidRPr="002C6F76" w14:paraId="0062545E" w14:textId="77777777" w:rsidTr="000121C3">
        <w:trPr>
          <w:trHeight w:val="215"/>
          <w:jc w:val="center"/>
        </w:trPr>
        <w:tc>
          <w:tcPr>
            <w:tcW w:w="2516" w:type="dxa"/>
            <w:shd w:val="clear" w:color="auto" w:fill="auto"/>
            <w:vAlign w:val="center"/>
          </w:tcPr>
          <w:p w14:paraId="47F65A90" w14:textId="77777777" w:rsidR="005A4727" w:rsidRPr="002C6F76" w:rsidRDefault="00C7510A" w:rsidP="009211DD">
            <w:pPr>
              <w:spacing w:after="0" w:line="276" w:lineRule="auto"/>
              <w:jc w:val="left"/>
              <w:rPr>
                <w:sz w:val="20"/>
                <w:szCs w:val="20"/>
                <w:lang w:val="en-GB"/>
              </w:rPr>
            </w:pPr>
            <w:r w:rsidRPr="009211DD">
              <w:rPr>
                <w:sz w:val="20"/>
                <w:szCs w:val="20"/>
                <w:lang w:val="en-GB"/>
              </w:rPr>
              <w:t xml:space="preserve">Moradi </w:t>
            </w:r>
            <w:r w:rsidR="005A4727" w:rsidRPr="009211DD">
              <w:rPr>
                <w:sz w:val="20"/>
                <w:szCs w:val="20"/>
                <w:lang w:val="en-GB"/>
              </w:rPr>
              <w:t>(2009)</w:t>
            </w:r>
          </w:p>
        </w:tc>
        <w:tc>
          <w:tcPr>
            <w:tcW w:w="2582" w:type="dxa"/>
            <w:shd w:val="clear" w:color="auto" w:fill="auto"/>
          </w:tcPr>
          <w:p w14:paraId="50FD2027" w14:textId="77777777" w:rsidR="005A4727" w:rsidRPr="002C6F76" w:rsidRDefault="005A4727" w:rsidP="009211DD">
            <w:pPr>
              <w:spacing w:after="0" w:line="276" w:lineRule="auto"/>
              <w:jc w:val="left"/>
              <w:rPr>
                <w:sz w:val="20"/>
                <w:szCs w:val="20"/>
                <w:lang w:val="en-GB"/>
              </w:rPr>
            </w:pPr>
            <w:r w:rsidRPr="002C6F76">
              <w:rPr>
                <w:sz w:val="20"/>
                <w:szCs w:val="20"/>
                <w:lang w:val="en-GB"/>
              </w:rPr>
              <w:t>Ahmed and Wood (2002)</w:t>
            </w:r>
          </w:p>
        </w:tc>
        <w:tc>
          <w:tcPr>
            <w:tcW w:w="2552" w:type="dxa"/>
            <w:shd w:val="clear" w:color="auto" w:fill="auto"/>
          </w:tcPr>
          <w:p w14:paraId="19C749D8" w14:textId="77777777" w:rsidR="005A4727" w:rsidRPr="002C6F76" w:rsidRDefault="005A4727" w:rsidP="009211DD">
            <w:pPr>
              <w:spacing w:after="0" w:line="276" w:lineRule="auto"/>
              <w:jc w:val="left"/>
              <w:rPr>
                <w:sz w:val="20"/>
                <w:szCs w:val="20"/>
                <w:lang w:val="en-GB"/>
              </w:rPr>
            </w:pPr>
            <w:r w:rsidRPr="002C6F76">
              <w:rPr>
                <w:sz w:val="20"/>
                <w:szCs w:val="20"/>
                <w:lang w:val="en-GB"/>
              </w:rPr>
              <w:t xml:space="preserve">Iran’s </w:t>
            </w:r>
            <w:r w:rsidR="00DA5169" w:rsidRPr="002C6F76">
              <w:rPr>
                <w:sz w:val="20"/>
                <w:szCs w:val="20"/>
                <w:lang w:val="en-GB"/>
              </w:rPr>
              <w:t>EIA</w:t>
            </w:r>
            <w:r w:rsidRPr="002C6F76">
              <w:rPr>
                <w:sz w:val="20"/>
                <w:szCs w:val="20"/>
                <w:lang w:val="en-GB"/>
              </w:rPr>
              <w:t xml:space="preserve"> system</w:t>
            </w:r>
          </w:p>
        </w:tc>
        <w:tc>
          <w:tcPr>
            <w:tcW w:w="1701" w:type="dxa"/>
            <w:shd w:val="clear" w:color="auto" w:fill="auto"/>
          </w:tcPr>
          <w:p w14:paraId="0D689680" w14:textId="5C1188A7" w:rsidR="005A4727" w:rsidRPr="002C6F76" w:rsidRDefault="00F07CD0" w:rsidP="005A4727">
            <w:pPr>
              <w:spacing w:after="0" w:line="276" w:lineRule="auto"/>
              <w:rPr>
                <w:sz w:val="20"/>
                <w:szCs w:val="20"/>
                <w:lang w:val="en-GB"/>
              </w:rPr>
            </w:pPr>
            <w:r>
              <w:rPr>
                <w:sz w:val="20"/>
                <w:szCs w:val="20"/>
                <w:lang w:val="en-GB"/>
              </w:rPr>
              <w:t>L</w:t>
            </w:r>
            <w:r w:rsidRPr="002C6F76">
              <w:rPr>
                <w:sz w:val="20"/>
                <w:szCs w:val="20"/>
                <w:lang w:val="en-GB"/>
              </w:rPr>
              <w:t xml:space="preserve">iterature </w:t>
            </w:r>
            <w:r w:rsidR="005A4727" w:rsidRPr="002C6F76">
              <w:rPr>
                <w:sz w:val="20"/>
                <w:szCs w:val="20"/>
                <w:lang w:val="en-GB"/>
              </w:rPr>
              <w:t>review and document analysis</w:t>
            </w:r>
          </w:p>
        </w:tc>
      </w:tr>
      <w:tr w:rsidR="005A4727" w:rsidRPr="002C6F76" w14:paraId="0BBE2FD5" w14:textId="77777777" w:rsidTr="000121C3">
        <w:trPr>
          <w:jc w:val="center"/>
        </w:trPr>
        <w:tc>
          <w:tcPr>
            <w:tcW w:w="2516" w:type="dxa"/>
            <w:shd w:val="clear" w:color="auto" w:fill="auto"/>
            <w:vAlign w:val="center"/>
          </w:tcPr>
          <w:p w14:paraId="574B3F89" w14:textId="77777777" w:rsidR="005A4727" w:rsidRPr="002C6F76" w:rsidRDefault="005A4727" w:rsidP="005A4727">
            <w:pPr>
              <w:spacing w:after="0" w:line="276" w:lineRule="auto"/>
              <w:jc w:val="left"/>
              <w:rPr>
                <w:sz w:val="20"/>
                <w:szCs w:val="20"/>
                <w:lang w:val="en-GB"/>
              </w:rPr>
            </w:pPr>
            <w:r w:rsidRPr="002C6F76">
              <w:rPr>
                <w:sz w:val="20"/>
                <w:szCs w:val="20"/>
                <w:lang w:val="en-GB"/>
              </w:rPr>
              <w:t>Panigrahi and Amirapu (2012)</w:t>
            </w:r>
          </w:p>
        </w:tc>
        <w:tc>
          <w:tcPr>
            <w:tcW w:w="2582" w:type="dxa"/>
            <w:shd w:val="clear" w:color="auto" w:fill="auto"/>
          </w:tcPr>
          <w:p w14:paraId="7CD15D1C" w14:textId="77777777" w:rsidR="005A4727" w:rsidRPr="002C6F76" w:rsidRDefault="005A4727" w:rsidP="009211DD">
            <w:pPr>
              <w:spacing w:after="0" w:line="276" w:lineRule="auto"/>
              <w:jc w:val="left"/>
              <w:rPr>
                <w:sz w:val="20"/>
                <w:szCs w:val="20"/>
                <w:lang w:val="en-GB"/>
              </w:rPr>
            </w:pPr>
            <w:r w:rsidRPr="002C6F76">
              <w:rPr>
                <w:sz w:val="20"/>
                <w:szCs w:val="20"/>
                <w:lang w:val="en-GB"/>
              </w:rPr>
              <w:t xml:space="preserve">Ahmed and Wood (2002) </w:t>
            </w:r>
          </w:p>
        </w:tc>
        <w:tc>
          <w:tcPr>
            <w:tcW w:w="2552" w:type="dxa"/>
            <w:shd w:val="clear" w:color="auto" w:fill="auto"/>
          </w:tcPr>
          <w:p w14:paraId="06EDEA72" w14:textId="77777777" w:rsidR="005A4727" w:rsidRPr="002C6F76" w:rsidRDefault="005A4727" w:rsidP="009211DD">
            <w:pPr>
              <w:spacing w:after="0" w:line="276" w:lineRule="auto"/>
              <w:jc w:val="left"/>
              <w:rPr>
                <w:sz w:val="20"/>
                <w:szCs w:val="20"/>
                <w:lang w:val="en-GB"/>
              </w:rPr>
            </w:pPr>
            <w:r w:rsidRPr="002C6F76">
              <w:rPr>
                <w:sz w:val="20"/>
                <w:szCs w:val="20"/>
                <w:lang w:val="en-GB"/>
              </w:rPr>
              <w:t>India EIA system</w:t>
            </w:r>
          </w:p>
        </w:tc>
        <w:tc>
          <w:tcPr>
            <w:tcW w:w="1701" w:type="dxa"/>
            <w:shd w:val="clear" w:color="auto" w:fill="auto"/>
          </w:tcPr>
          <w:p w14:paraId="7047C0D9" w14:textId="401CF2B8" w:rsidR="005A4727" w:rsidRPr="002C6F76" w:rsidRDefault="00F07CD0" w:rsidP="005A4727">
            <w:pPr>
              <w:spacing w:after="0" w:line="276" w:lineRule="auto"/>
              <w:rPr>
                <w:sz w:val="20"/>
                <w:szCs w:val="20"/>
                <w:lang w:val="en-GB"/>
              </w:rPr>
            </w:pPr>
            <w:r>
              <w:rPr>
                <w:sz w:val="20"/>
                <w:szCs w:val="20"/>
                <w:lang w:val="en-GB"/>
              </w:rPr>
              <w:t>L</w:t>
            </w:r>
            <w:r w:rsidRPr="002C6F76">
              <w:rPr>
                <w:sz w:val="20"/>
                <w:szCs w:val="20"/>
                <w:lang w:val="en-GB"/>
              </w:rPr>
              <w:t xml:space="preserve">iterature </w:t>
            </w:r>
            <w:r w:rsidR="005A4727" w:rsidRPr="002C6F76">
              <w:rPr>
                <w:sz w:val="20"/>
                <w:szCs w:val="20"/>
                <w:lang w:val="en-GB"/>
              </w:rPr>
              <w:t>review, and interview</w:t>
            </w:r>
          </w:p>
        </w:tc>
      </w:tr>
      <w:tr w:rsidR="005A4727" w:rsidRPr="002C6F76" w14:paraId="234683D1" w14:textId="77777777" w:rsidTr="000121C3">
        <w:trPr>
          <w:jc w:val="center"/>
        </w:trPr>
        <w:tc>
          <w:tcPr>
            <w:tcW w:w="2516" w:type="dxa"/>
            <w:shd w:val="clear" w:color="auto" w:fill="auto"/>
            <w:vAlign w:val="center"/>
          </w:tcPr>
          <w:p w14:paraId="1A3DC08B" w14:textId="77777777" w:rsidR="005A4727" w:rsidRPr="002C6F76" w:rsidRDefault="005A4727" w:rsidP="005A4727">
            <w:pPr>
              <w:spacing w:after="0" w:line="276" w:lineRule="auto"/>
              <w:jc w:val="left"/>
              <w:rPr>
                <w:sz w:val="20"/>
                <w:szCs w:val="20"/>
                <w:lang w:val="en-GB"/>
              </w:rPr>
            </w:pPr>
            <w:r w:rsidRPr="002C6F76">
              <w:rPr>
                <w:sz w:val="20"/>
                <w:szCs w:val="20"/>
                <w:lang w:val="en-GB"/>
              </w:rPr>
              <w:t>Wayakone, and Makoto (2012)</w:t>
            </w:r>
          </w:p>
        </w:tc>
        <w:tc>
          <w:tcPr>
            <w:tcW w:w="2582" w:type="dxa"/>
            <w:shd w:val="clear" w:color="auto" w:fill="auto"/>
          </w:tcPr>
          <w:p w14:paraId="4E1056E2" w14:textId="77777777" w:rsidR="005A4727" w:rsidRPr="002C6F76" w:rsidRDefault="005A4727" w:rsidP="005A4727">
            <w:pPr>
              <w:spacing w:after="0" w:line="276" w:lineRule="auto"/>
              <w:rPr>
                <w:sz w:val="20"/>
                <w:szCs w:val="20"/>
                <w:lang w:val="en-GB"/>
              </w:rPr>
            </w:pPr>
            <w:r w:rsidRPr="002C6F76">
              <w:rPr>
                <w:sz w:val="20"/>
                <w:szCs w:val="20"/>
                <w:lang w:val="en-GB"/>
              </w:rPr>
              <w:t>Adapted from Wood (1995).</w:t>
            </w:r>
          </w:p>
        </w:tc>
        <w:tc>
          <w:tcPr>
            <w:tcW w:w="2552" w:type="dxa"/>
            <w:shd w:val="clear" w:color="auto" w:fill="auto"/>
          </w:tcPr>
          <w:p w14:paraId="63E1F364" w14:textId="77777777" w:rsidR="005A4727" w:rsidRPr="002C6F76" w:rsidRDefault="005A4727" w:rsidP="005A4727">
            <w:pPr>
              <w:spacing w:after="0" w:line="276" w:lineRule="auto"/>
              <w:rPr>
                <w:sz w:val="20"/>
                <w:szCs w:val="20"/>
                <w:lang w:val="en-GB"/>
              </w:rPr>
            </w:pPr>
            <w:r w:rsidRPr="002C6F76">
              <w:rPr>
                <w:sz w:val="20"/>
                <w:szCs w:val="20"/>
                <w:lang w:val="en-GB"/>
              </w:rPr>
              <w:t>Lao PDR’s EIA systems</w:t>
            </w:r>
          </w:p>
        </w:tc>
        <w:tc>
          <w:tcPr>
            <w:tcW w:w="1701" w:type="dxa"/>
            <w:shd w:val="clear" w:color="auto" w:fill="auto"/>
          </w:tcPr>
          <w:p w14:paraId="6E43349E" w14:textId="12ABC871" w:rsidR="005A4727" w:rsidRPr="002C6F76" w:rsidRDefault="00F07CD0" w:rsidP="005A4727">
            <w:pPr>
              <w:spacing w:after="0" w:line="276" w:lineRule="auto"/>
              <w:rPr>
                <w:sz w:val="20"/>
                <w:szCs w:val="20"/>
                <w:lang w:val="en-GB"/>
              </w:rPr>
            </w:pPr>
            <w:r>
              <w:rPr>
                <w:sz w:val="20"/>
                <w:szCs w:val="20"/>
                <w:lang w:val="en-GB"/>
              </w:rPr>
              <w:t>L</w:t>
            </w:r>
            <w:r w:rsidRPr="002C6F76">
              <w:rPr>
                <w:sz w:val="20"/>
                <w:szCs w:val="20"/>
                <w:lang w:val="en-GB"/>
              </w:rPr>
              <w:t xml:space="preserve">iterature </w:t>
            </w:r>
            <w:r w:rsidR="005A4727" w:rsidRPr="002C6F76">
              <w:rPr>
                <w:sz w:val="20"/>
                <w:szCs w:val="20"/>
                <w:lang w:val="en-GB"/>
              </w:rPr>
              <w:t>review</w:t>
            </w:r>
          </w:p>
        </w:tc>
      </w:tr>
      <w:tr w:rsidR="005A4727" w:rsidRPr="002C6F76" w14:paraId="666AB03C" w14:textId="77777777" w:rsidTr="000121C3">
        <w:trPr>
          <w:jc w:val="center"/>
        </w:trPr>
        <w:tc>
          <w:tcPr>
            <w:tcW w:w="2516" w:type="dxa"/>
            <w:shd w:val="clear" w:color="auto" w:fill="auto"/>
            <w:vAlign w:val="center"/>
          </w:tcPr>
          <w:p w14:paraId="633BAA7C" w14:textId="77777777" w:rsidR="005A4727" w:rsidRPr="002C6F76" w:rsidRDefault="005A4727" w:rsidP="005A4727">
            <w:pPr>
              <w:spacing w:after="0" w:line="276" w:lineRule="auto"/>
              <w:jc w:val="left"/>
              <w:rPr>
                <w:sz w:val="20"/>
                <w:szCs w:val="20"/>
                <w:lang w:val="en-GB"/>
              </w:rPr>
            </w:pPr>
            <w:r w:rsidRPr="002C6F76">
              <w:rPr>
                <w:sz w:val="20"/>
                <w:szCs w:val="20"/>
                <w:lang w:val="en-GB"/>
              </w:rPr>
              <w:t>Al-Azri et al., 2014</w:t>
            </w:r>
          </w:p>
        </w:tc>
        <w:tc>
          <w:tcPr>
            <w:tcW w:w="2582" w:type="dxa"/>
            <w:shd w:val="clear" w:color="auto" w:fill="auto"/>
          </w:tcPr>
          <w:p w14:paraId="030854C8" w14:textId="77777777" w:rsidR="005A4727" w:rsidRPr="002C6F76" w:rsidRDefault="005A4727" w:rsidP="005A4727">
            <w:pPr>
              <w:spacing w:after="0" w:line="276" w:lineRule="auto"/>
              <w:rPr>
                <w:sz w:val="20"/>
                <w:szCs w:val="20"/>
                <w:lang w:val="en-GB"/>
              </w:rPr>
            </w:pPr>
            <w:r w:rsidRPr="002C6F76">
              <w:rPr>
                <w:sz w:val="20"/>
                <w:szCs w:val="20"/>
                <w:lang w:val="en-GB"/>
              </w:rPr>
              <w:t>Ahmed and Wood (2002)</w:t>
            </w:r>
          </w:p>
        </w:tc>
        <w:tc>
          <w:tcPr>
            <w:tcW w:w="2552" w:type="dxa"/>
            <w:shd w:val="clear" w:color="auto" w:fill="auto"/>
          </w:tcPr>
          <w:p w14:paraId="71A92830" w14:textId="77777777" w:rsidR="005A4727" w:rsidRPr="002C6F76" w:rsidRDefault="005A4727" w:rsidP="005A4727">
            <w:pPr>
              <w:spacing w:after="0" w:line="276" w:lineRule="auto"/>
              <w:rPr>
                <w:sz w:val="20"/>
                <w:szCs w:val="20"/>
                <w:lang w:val="en-GB"/>
              </w:rPr>
            </w:pPr>
            <w:r w:rsidRPr="002C6F76">
              <w:rPr>
                <w:sz w:val="20"/>
                <w:szCs w:val="20"/>
                <w:lang w:val="en-GB"/>
              </w:rPr>
              <w:t>EIA systems in the Gulf Cooperation Council States</w:t>
            </w:r>
          </w:p>
        </w:tc>
        <w:tc>
          <w:tcPr>
            <w:tcW w:w="1701" w:type="dxa"/>
            <w:shd w:val="clear" w:color="auto" w:fill="auto"/>
          </w:tcPr>
          <w:p w14:paraId="0177A7BD" w14:textId="53E2BCE3" w:rsidR="005A4727" w:rsidRPr="002C6F76" w:rsidRDefault="00F07CD0" w:rsidP="005A4727">
            <w:pPr>
              <w:spacing w:after="0" w:line="276" w:lineRule="auto"/>
              <w:rPr>
                <w:sz w:val="20"/>
                <w:szCs w:val="20"/>
                <w:lang w:val="en-GB"/>
              </w:rPr>
            </w:pPr>
            <w:r>
              <w:rPr>
                <w:sz w:val="20"/>
                <w:szCs w:val="20"/>
                <w:lang w:val="en-GB"/>
              </w:rPr>
              <w:t>L</w:t>
            </w:r>
            <w:r w:rsidRPr="002C6F76">
              <w:rPr>
                <w:sz w:val="20"/>
                <w:szCs w:val="20"/>
                <w:lang w:val="en-GB"/>
              </w:rPr>
              <w:t xml:space="preserve">iterature </w:t>
            </w:r>
            <w:r w:rsidR="005A4727" w:rsidRPr="002C6F76">
              <w:rPr>
                <w:sz w:val="20"/>
                <w:szCs w:val="20"/>
                <w:lang w:val="en-GB"/>
              </w:rPr>
              <w:t>review</w:t>
            </w:r>
          </w:p>
        </w:tc>
      </w:tr>
      <w:tr w:rsidR="00491435" w:rsidRPr="002C6F76" w14:paraId="64D2728D" w14:textId="77777777" w:rsidTr="000121C3">
        <w:trPr>
          <w:jc w:val="center"/>
        </w:trPr>
        <w:tc>
          <w:tcPr>
            <w:tcW w:w="2516" w:type="dxa"/>
            <w:shd w:val="clear" w:color="auto" w:fill="auto"/>
            <w:vAlign w:val="center"/>
          </w:tcPr>
          <w:p w14:paraId="25F7DEF1" w14:textId="77777777" w:rsidR="00491435" w:rsidRPr="002C6F76" w:rsidRDefault="00491435" w:rsidP="00491435">
            <w:pPr>
              <w:spacing w:after="0" w:line="276" w:lineRule="auto"/>
              <w:jc w:val="left"/>
              <w:rPr>
                <w:sz w:val="20"/>
                <w:szCs w:val="20"/>
                <w:lang w:val="en-GB"/>
              </w:rPr>
            </w:pPr>
            <w:r w:rsidRPr="002C6F76">
              <w:rPr>
                <w:sz w:val="20"/>
                <w:szCs w:val="20"/>
                <w:lang w:val="en-GB"/>
              </w:rPr>
              <w:t>Ahmad and Ferdausi (2016)</w:t>
            </w:r>
          </w:p>
        </w:tc>
        <w:tc>
          <w:tcPr>
            <w:tcW w:w="2582" w:type="dxa"/>
            <w:shd w:val="clear" w:color="auto" w:fill="auto"/>
          </w:tcPr>
          <w:p w14:paraId="31308D22" w14:textId="77777777" w:rsidR="00491435" w:rsidRPr="002C6F76" w:rsidRDefault="00491435" w:rsidP="00491435">
            <w:pPr>
              <w:spacing w:after="0" w:line="276" w:lineRule="auto"/>
              <w:rPr>
                <w:sz w:val="20"/>
                <w:szCs w:val="20"/>
                <w:lang w:val="en-GB"/>
              </w:rPr>
            </w:pPr>
            <w:r w:rsidRPr="002C6F76">
              <w:rPr>
                <w:sz w:val="20"/>
                <w:szCs w:val="20"/>
                <w:lang w:val="en-GB"/>
              </w:rPr>
              <w:t>Annand</w:t>
            </w:r>
            <w:r w:rsidR="009A4516">
              <w:rPr>
                <w:sz w:val="20"/>
                <w:szCs w:val="20"/>
                <w:lang w:val="en-GB"/>
              </w:rPr>
              <w:t>a</w:t>
            </w:r>
            <w:r w:rsidRPr="002C6F76">
              <w:rPr>
                <w:sz w:val="20"/>
                <w:szCs w:val="20"/>
                <w:lang w:val="en-GB"/>
              </w:rPr>
              <w:t>le (2001)</w:t>
            </w:r>
          </w:p>
        </w:tc>
        <w:tc>
          <w:tcPr>
            <w:tcW w:w="2552" w:type="dxa"/>
            <w:shd w:val="clear" w:color="auto" w:fill="auto"/>
          </w:tcPr>
          <w:p w14:paraId="2EA31311" w14:textId="77777777" w:rsidR="00491435" w:rsidRPr="002C6F76" w:rsidRDefault="00491435" w:rsidP="00491435">
            <w:pPr>
              <w:spacing w:after="0" w:line="276" w:lineRule="auto"/>
              <w:rPr>
                <w:sz w:val="20"/>
                <w:szCs w:val="20"/>
                <w:lang w:val="en-GB"/>
              </w:rPr>
            </w:pPr>
            <w:r w:rsidRPr="002C6F76">
              <w:rPr>
                <w:sz w:val="20"/>
                <w:szCs w:val="20"/>
                <w:lang w:val="en-GB"/>
              </w:rPr>
              <w:t xml:space="preserve">Bangladesh’s EIA system </w:t>
            </w:r>
          </w:p>
        </w:tc>
        <w:tc>
          <w:tcPr>
            <w:tcW w:w="1701" w:type="dxa"/>
            <w:shd w:val="clear" w:color="auto" w:fill="auto"/>
          </w:tcPr>
          <w:p w14:paraId="411F321E" w14:textId="05602C86" w:rsidR="00491435" w:rsidRPr="002C6F76" w:rsidRDefault="00F07CD0" w:rsidP="00491435">
            <w:pPr>
              <w:spacing w:after="0" w:line="276" w:lineRule="auto"/>
              <w:rPr>
                <w:sz w:val="20"/>
                <w:szCs w:val="20"/>
                <w:lang w:val="en-GB"/>
              </w:rPr>
            </w:pPr>
            <w:r>
              <w:rPr>
                <w:sz w:val="20"/>
                <w:szCs w:val="20"/>
                <w:lang w:val="en-GB"/>
              </w:rPr>
              <w:t>L</w:t>
            </w:r>
            <w:r w:rsidRPr="002C6F76">
              <w:rPr>
                <w:sz w:val="20"/>
                <w:szCs w:val="20"/>
                <w:lang w:val="en-GB"/>
              </w:rPr>
              <w:t xml:space="preserve">iterature </w:t>
            </w:r>
            <w:r w:rsidR="00491435" w:rsidRPr="002C6F76">
              <w:rPr>
                <w:sz w:val="20"/>
                <w:szCs w:val="20"/>
                <w:lang w:val="en-GB"/>
              </w:rPr>
              <w:t>review</w:t>
            </w:r>
          </w:p>
        </w:tc>
      </w:tr>
      <w:tr w:rsidR="00491435" w:rsidRPr="002C6F76" w14:paraId="7DB5C013" w14:textId="77777777" w:rsidTr="000121C3">
        <w:trPr>
          <w:trHeight w:val="50"/>
          <w:jc w:val="center"/>
        </w:trPr>
        <w:tc>
          <w:tcPr>
            <w:tcW w:w="2516" w:type="dxa"/>
            <w:shd w:val="clear" w:color="auto" w:fill="auto"/>
            <w:vAlign w:val="center"/>
          </w:tcPr>
          <w:p w14:paraId="78817A43" w14:textId="77777777" w:rsidR="00491435" w:rsidRPr="002C6F76" w:rsidRDefault="00491435" w:rsidP="00491435">
            <w:pPr>
              <w:spacing w:after="0" w:line="276" w:lineRule="auto"/>
              <w:jc w:val="left"/>
              <w:rPr>
                <w:sz w:val="20"/>
                <w:szCs w:val="20"/>
                <w:lang w:val="en-GB"/>
              </w:rPr>
            </w:pPr>
            <w:r w:rsidRPr="002C6F76">
              <w:rPr>
                <w:sz w:val="20"/>
                <w:szCs w:val="20"/>
                <w:lang w:val="en-GB"/>
              </w:rPr>
              <w:t>Aung (2017)</w:t>
            </w:r>
          </w:p>
        </w:tc>
        <w:tc>
          <w:tcPr>
            <w:tcW w:w="2582" w:type="dxa"/>
            <w:shd w:val="clear" w:color="auto" w:fill="auto"/>
          </w:tcPr>
          <w:p w14:paraId="1A3C63E3" w14:textId="77777777" w:rsidR="00491435" w:rsidRPr="002C6F76" w:rsidRDefault="00491435" w:rsidP="00491435">
            <w:pPr>
              <w:spacing w:after="0" w:line="276" w:lineRule="auto"/>
              <w:rPr>
                <w:sz w:val="20"/>
                <w:szCs w:val="20"/>
                <w:lang w:val="en-GB"/>
              </w:rPr>
            </w:pPr>
            <w:r w:rsidRPr="002C6F76">
              <w:rPr>
                <w:sz w:val="20"/>
                <w:szCs w:val="20"/>
                <w:lang w:val="en-GB"/>
              </w:rPr>
              <w:t>Annand</w:t>
            </w:r>
            <w:r w:rsidR="009A4516">
              <w:rPr>
                <w:sz w:val="20"/>
                <w:szCs w:val="20"/>
                <w:lang w:val="en-GB"/>
              </w:rPr>
              <w:t>a</w:t>
            </w:r>
            <w:r w:rsidRPr="002C6F76">
              <w:rPr>
                <w:sz w:val="20"/>
                <w:szCs w:val="20"/>
                <w:lang w:val="en-GB"/>
              </w:rPr>
              <w:t>le (2001)</w:t>
            </w:r>
          </w:p>
        </w:tc>
        <w:tc>
          <w:tcPr>
            <w:tcW w:w="2552" w:type="dxa"/>
            <w:shd w:val="clear" w:color="auto" w:fill="auto"/>
          </w:tcPr>
          <w:p w14:paraId="19D0C592" w14:textId="77777777" w:rsidR="00491435" w:rsidRPr="002C6F76" w:rsidRDefault="00491435" w:rsidP="00491435">
            <w:pPr>
              <w:spacing w:after="0" w:line="276" w:lineRule="auto"/>
              <w:rPr>
                <w:sz w:val="20"/>
                <w:szCs w:val="20"/>
                <w:lang w:val="en-GB"/>
              </w:rPr>
            </w:pPr>
            <w:r w:rsidRPr="002C6F76">
              <w:rPr>
                <w:sz w:val="20"/>
                <w:szCs w:val="20"/>
                <w:lang w:val="en-GB"/>
              </w:rPr>
              <w:t>Myanmar’s EIA system</w:t>
            </w:r>
          </w:p>
        </w:tc>
        <w:tc>
          <w:tcPr>
            <w:tcW w:w="1701" w:type="dxa"/>
            <w:shd w:val="clear" w:color="auto" w:fill="auto"/>
          </w:tcPr>
          <w:p w14:paraId="79383E2A" w14:textId="77777777" w:rsidR="00491435" w:rsidRPr="002C6F76" w:rsidRDefault="00491435" w:rsidP="00491435">
            <w:pPr>
              <w:spacing w:after="0" w:line="276" w:lineRule="auto"/>
              <w:rPr>
                <w:sz w:val="20"/>
                <w:szCs w:val="20"/>
                <w:lang w:val="en-GB"/>
              </w:rPr>
            </w:pPr>
            <w:r w:rsidRPr="002C6F76">
              <w:rPr>
                <w:sz w:val="20"/>
                <w:szCs w:val="20"/>
                <w:lang w:val="en-GB"/>
              </w:rPr>
              <w:t>Literature review, Semi structure interview</w:t>
            </w:r>
          </w:p>
        </w:tc>
      </w:tr>
    </w:tbl>
    <w:p w14:paraId="22D44182" w14:textId="77777777" w:rsidR="00C51334" w:rsidRPr="001A5E8D" w:rsidRDefault="00C51334" w:rsidP="00C51334">
      <w:pPr>
        <w:jc w:val="center"/>
        <w:rPr>
          <w:rFonts w:asciiTheme="majorBidi" w:hAnsiTheme="majorBidi" w:cstheme="majorBidi"/>
          <w:b/>
          <w:bCs/>
          <w:sz w:val="6"/>
          <w:szCs w:val="6"/>
          <w:lang w:val="en-GB"/>
        </w:rPr>
      </w:pPr>
    </w:p>
    <w:p w14:paraId="40968B9E" w14:textId="77777777" w:rsidR="008C62E9" w:rsidRPr="002C6F76" w:rsidRDefault="00C51334" w:rsidP="001A5E8D">
      <w:pPr>
        <w:jc w:val="center"/>
        <w:rPr>
          <w:lang w:val="en-GB"/>
        </w:rPr>
      </w:pPr>
      <w:r w:rsidRPr="002C6F76">
        <w:rPr>
          <w:rFonts w:asciiTheme="majorBidi" w:hAnsiTheme="majorBidi" w:cstheme="majorBidi"/>
          <w:b/>
          <w:bCs/>
          <w:sz w:val="20"/>
          <w:szCs w:val="20"/>
          <w:lang w:val="en-GB"/>
        </w:rPr>
        <w:t>Table 1. Different EIA criteria in reviewing EIA systems</w:t>
      </w:r>
    </w:p>
    <w:p w14:paraId="6A7709D5" w14:textId="3D07F40F" w:rsidR="000C5893" w:rsidRPr="002C6F76" w:rsidRDefault="009A4516" w:rsidP="00D22648">
      <w:r>
        <w:rPr>
          <w:rFonts w:cs="Times New Roman"/>
          <w:shd w:val="clear" w:color="auto" w:fill="FFFFFF"/>
        </w:rPr>
        <w:t>L</w:t>
      </w:r>
      <w:r w:rsidR="004938F1" w:rsidRPr="002C6F76">
        <w:rPr>
          <w:rFonts w:cs="Times New Roman"/>
          <w:shd w:val="clear" w:color="auto" w:fill="FFFFFF"/>
        </w:rPr>
        <w:t>ike Pakistan, Iran</w:t>
      </w:r>
      <w:r>
        <w:rPr>
          <w:rFonts w:cs="Times New Roman"/>
          <w:shd w:val="clear" w:color="auto" w:fill="FFFFFF"/>
        </w:rPr>
        <w:t>’s</w:t>
      </w:r>
      <w:r w:rsidR="004938F1" w:rsidRPr="002C6F76">
        <w:rPr>
          <w:rFonts w:cs="Times New Roman"/>
          <w:shd w:val="clear" w:color="auto" w:fill="FFFFFF"/>
        </w:rPr>
        <w:t xml:space="preserve"> EIA system </w:t>
      </w:r>
      <w:r>
        <w:rPr>
          <w:rFonts w:cs="Times New Roman"/>
          <w:shd w:val="clear" w:color="auto" w:fill="FFFFFF"/>
        </w:rPr>
        <w:t xml:space="preserve">has not yet been </w:t>
      </w:r>
      <w:r w:rsidR="00995AAC" w:rsidRPr="0016663F">
        <w:rPr>
          <w:rFonts w:eastAsiaTheme="minorHAnsi" w:cs="Times New Roman"/>
          <w:color w:val="000000"/>
          <w:szCs w:val="24"/>
          <w:lang w:val="en-GB" w:bidi="ar-SA"/>
        </w:rPr>
        <w:t>thoroughly reviewed in international scientific journals</w:t>
      </w:r>
      <w:r w:rsidRPr="0016663F">
        <w:rPr>
          <w:rFonts w:cs="Times New Roman"/>
          <w:szCs w:val="24"/>
          <w:shd w:val="clear" w:color="auto" w:fill="FFFFFF"/>
        </w:rPr>
        <w:t xml:space="preserve">. </w:t>
      </w:r>
      <w:r w:rsidRPr="0016663F">
        <w:rPr>
          <w:rFonts w:cs="Times New Roman"/>
          <w:shd w:val="clear" w:color="auto" w:fill="FFFFFF"/>
        </w:rPr>
        <w:t>Therefore</w:t>
      </w:r>
      <w:r w:rsidR="004938F1" w:rsidRPr="0016663F">
        <w:rPr>
          <w:rFonts w:cs="Times New Roman"/>
          <w:shd w:val="clear" w:color="auto" w:fill="FFFFFF"/>
        </w:rPr>
        <w:t xml:space="preserve">, </w:t>
      </w:r>
      <w:r w:rsidR="00A70DF4" w:rsidRPr="0016663F">
        <w:t>Nadeem and H</w:t>
      </w:r>
      <w:r w:rsidR="00A70DF4" w:rsidRPr="002C6F76">
        <w:t xml:space="preserve">ameed’s </w:t>
      </w:r>
      <w:r w:rsidR="00677086">
        <w:t>criteria</w:t>
      </w:r>
      <w:r w:rsidR="005A70BE">
        <w:t xml:space="preserve"> from </w:t>
      </w:r>
      <w:r w:rsidR="00A70DF4" w:rsidRPr="002C6F76">
        <w:t>2008</w:t>
      </w:r>
      <w:r w:rsidR="00C6359F" w:rsidRPr="002C6F76">
        <w:t xml:space="preserve"> </w:t>
      </w:r>
      <w:r w:rsidR="005A70BE">
        <w:t xml:space="preserve">was </w:t>
      </w:r>
      <w:r>
        <w:t xml:space="preserve">considered particularly </w:t>
      </w:r>
      <w:r w:rsidR="0010202A" w:rsidRPr="002C6F76">
        <w:t>suitable</w:t>
      </w:r>
      <w:r w:rsidR="005A70BE">
        <w:t xml:space="preserve"> </w:t>
      </w:r>
      <w:r w:rsidR="005A70BE">
        <w:lastRenderedPageBreak/>
        <w:t>as a basis for our research</w:t>
      </w:r>
      <w:r w:rsidR="00C6359F" w:rsidRPr="002C6F76">
        <w:t xml:space="preserve">. However, </w:t>
      </w:r>
      <w:r w:rsidR="00D0354C" w:rsidRPr="002C6F76">
        <w:t>as EIA is context-specific</w:t>
      </w:r>
      <w:r w:rsidR="005A70BE">
        <w:t>,</w:t>
      </w:r>
      <w:r w:rsidR="00D0354C" w:rsidRPr="002C6F76">
        <w:t xml:space="preserve"> </w:t>
      </w:r>
      <w:r w:rsidR="00922EC4" w:rsidRPr="002C6F76">
        <w:t>criteria</w:t>
      </w:r>
      <w:r w:rsidR="004938F1" w:rsidRPr="002C6F76">
        <w:t xml:space="preserve"> </w:t>
      </w:r>
      <w:r>
        <w:t xml:space="preserve">need to be </w:t>
      </w:r>
      <w:r w:rsidR="004938F1" w:rsidRPr="002C6F76">
        <w:t xml:space="preserve">tailored </w:t>
      </w:r>
      <w:r>
        <w:t xml:space="preserve">to </w:t>
      </w:r>
      <w:r w:rsidR="004938F1" w:rsidRPr="002C6F76">
        <w:t xml:space="preserve">the idiosyncrasies </w:t>
      </w:r>
      <w:r w:rsidR="00D0354C" w:rsidRPr="002C6F76">
        <w:rPr>
          <w:rFonts w:asciiTheme="majorBidi" w:hAnsiTheme="majorBidi" w:cstheme="majorBidi"/>
          <w:szCs w:val="24"/>
          <w:lang w:val="en-GB" w:bidi="ar-SA"/>
        </w:rPr>
        <w:t xml:space="preserve">of the country in which </w:t>
      </w:r>
      <w:r w:rsidR="004938F1" w:rsidRPr="002C6F76">
        <w:rPr>
          <w:rFonts w:asciiTheme="majorBidi" w:hAnsiTheme="majorBidi" w:cstheme="majorBidi"/>
          <w:szCs w:val="24"/>
          <w:lang w:val="en-GB" w:bidi="ar-SA"/>
        </w:rPr>
        <w:t>it is applied</w:t>
      </w:r>
      <w:r w:rsidR="00D0354C" w:rsidRPr="002C6F76">
        <w:t xml:space="preserve"> (</w:t>
      </w:r>
      <w:r w:rsidR="0069442F" w:rsidRPr="002C6F76">
        <w:rPr>
          <w:sz w:val="23"/>
          <w:szCs w:val="23"/>
        </w:rPr>
        <w:t xml:space="preserve">Bond and Pope, 2012; </w:t>
      </w:r>
      <w:r w:rsidR="00D0354C" w:rsidRPr="002C6F76">
        <w:rPr>
          <w:sz w:val="23"/>
          <w:szCs w:val="23"/>
        </w:rPr>
        <w:t xml:space="preserve">Morgan, 2012; </w:t>
      </w:r>
      <w:r w:rsidR="00D0354C" w:rsidRPr="002C6F76">
        <w:t xml:space="preserve">Zvija´kova et al., 2014). Accordingly, </w:t>
      </w:r>
      <w:r w:rsidR="00C6359F" w:rsidRPr="002C6F76">
        <w:t>some sub</w:t>
      </w:r>
      <w:r w:rsidR="0010202A" w:rsidRPr="002C6F76">
        <w:t>-</w:t>
      </w:r>
      <w:r w:rsidR="00C6359F" w:rsidRPr="002C6F76">
        <w:t xml:space="preserve">criteria </w:t>
      </w:r>
      <w:r w:rsidR="00A70DF4" w:rsidRPr="002C6F76">
        <w:t xml:space="preserve">were </w:t>
      </w:r>
      <w:r w:rsidR="004938F1" w:rsidRPr="002C6F76">
        <w:t>modified</w:t>
      </w:r>
      <w:r w:rsidR="00A70DF4" w:rsidRPr="002C6F76">
        <w:t xml:space="preserve"> </w:t>
      </w:r>
      <w:r w:rsidR="00D0354C" w:rsidRPr="002C6F76">
        <w:t xml:space="preserve">to </w:t>
      </w:r>
      <w:r w:rsidR="005A70BE">
        <w:t xml:space="preserve">better </w:t>
      </w:r>
      <w:r w:rsidR="00D0354C" w:rsidRPr="002C6F76">
        <w:t xml:space="preserve">suit the </w:t>
      </w:r>
      <w:r w:rsidR="00A70DF4" w:rsidRPr="002C6F76">
        <w:t xml:space="preserve">Iranian </w:t>
      </w:r>
      <w:r w:rsidR="00D0354C" w:rsidRPr="002C6F76">
        <w:t xml:space="preserve">context. </w:t>
      </w:r>
      <w:r w:rsidR="00491435" w:rsidRPr="002C6F76">
        <w:rPr>
          <w:rFonts w:cs="Times New Roman"/>
          <w:shd w:val="clear" w:color="auto" w:fill="FFFFFF"/>
        </w:rPr>
        <w:t xml:space="preserve">For </w:t>
      </w:r>
      <w:r w:rsidR="0010202A" w:rsidRPr="002C6F76">
        <w:rPr>
          <w:rFonts w:cs="Times New Roman"/>
          <w:shd w:val="clear" w:color="auto" w:fill="FFFFFF"/>
        </w:rPr>
        <w:t>example,</w:t>
      </w:r>
      <w:r w:rsidR="00491435" w:rsidRPr="002C6F76">
        <w:rPr>
          <w:rFonts w:cs="Times New Roman"/>
          <w:shd w:val="clear" w:color="auto" w:fill="FFFFFF"/>
        </w:rPr>
        <w:t xml:space="preserve"> </w:t>
      </w:r>
      <w:r w:rsidR="0010202A" w:rsidRPr="002C6F76">
        <w:t>the</w:t>
      </w:r>
      <w:r w:rsidR="008C62E9" w:rsidRPr="002C6F76">
        <w:t xml:space="preserve"> </w:t>
      </w:r>
      <w:r w:rsidR="000C5893" w:rsidRPr="002C6F76">
        <w:t xml:space="preserve">legal basis in Iran </w:t>
      </w:r>
      <w:r w:rsidR="00C66A0C" w:rsidRPr="002C6F76">
        <w:t xml:space="preserve">is not </w:t>
      </w:r>
      <w:r>
        <w:t xml:space="preserve">an </w:t>
      </w:r>
      <w:r w:rsidR="00C66A0C" w:rsidRPr="002C6F76">
        <w:t>EIA</w:t>
      </w:r>
      <w:r w:rsidR="0010202A" w:rsidRPr="002C6F76">
        <w:t>-</w:t>
      </w:r>
      <w:r w:rsidR="00C66A0C" w:rsidRPr="002C6F76">
        <w:t xml:space="preserve">specific law, </w:t>
      </w:r>
      <w:r w:rsidR="0010202A" w:rsidRPr="002C6F76">
        <w:t xml:space="preserve">so </w:t>
      </w:r>
      <w:r w:rsidR="00C66A0C" w:rsidRPr="002C6F76">
        <w:t>question</w:t>
      </w:r>
      <w:r w:rsidR="00EC130F" w:rsidRPr="002C6F76">
        <w:t>s</w:t>
      </w:r>
      <w:r w:rsidR="00C66A0C" w:rsidRPr="002C6F76">
        <w:t xml:space="preserve"> about sufficiency of </w:t>
      </w:r>
      <w:r w:rsidR="002B6272" w:rsidRPr="002C6F76">
        <w:t xml:space="preserve">the </w:t>
      </w:r>
      <w:r w:rsidR="00C66A0C" w:rsidRPr="002C6F76">
        <w:t>existing law</w:t>
      </w:r>
      <w:r w:rsidR="0076694F" w:rsidRPr="002C6F76">
        <w:t xml:space="preserve"> </w:t>
      </w:r>
      <w:r w:rsidR="00B666A8" w:rsidRPr="002C6F76">
        <w:t>and</w:t>
      </w:r>
      <w:r w:rsidR="0076694F" w:rsidRPr="002C6F76">
        <w:t xml:space="preserve"> implications of proceeding without EIA approval </w:t>
      </w:r>
      <w:r w:rsidR="00D0354C" w:rsidRPr="002C6F76">
        <w:t xml:space="preserve">were considered to </w:t>
      </w:r>
      <w:r w:rsidR="00C66A0C" w:rsidRPr="002C6F76">
        <w:t xml:space="preserve">be </w:t>
      </w:r>
      <w:r w:rsidR="002B6272" w:rsidRPr="002C6F76">
        <w:t>important sub</w:t>
      </w:r>
      <w:r w:rsidR="0010202A" w:rsidRPr="002C6F76">
        <w:t>-</w:t>
      </w:r>
      <w:r w:rsidR="002B6272" w:rsidRPr="002C6F76">
        <w:t>criter</w:t>
      </w:r>
      <w:r w:rsidR="0076694F" w:rsidRPr="002C6F76">
        <w:t>ia</w:t>
      </w:r>
      <w:r w:rsidR="00C66A0C" w:rsidRPr="002C6F76">
        <w:t xml:space="preserve">. </w:t>
      </w:r>
    </w:p>
    <w:p w14:paraId="73C11D9F" w14:textId="77777777" w:rsidR="001D31C5" w:rsidRPr="002C6F76" w:rsidRDefault="00614B23" w:rsidP="004938F1">
      <w:pPr>
        <w:pStyle w:val="title2"/>
        <w:numPr>
          <w:ilvl w:val="0"/>
          <w:numId w:val="0"/>
        </w:numPr>
        <w:bidi w:val="0"/>
        <w:jc w:val="both"/>
        <w:rPr>
          <w:rFonts w:asciiTheme="majorBidi" w:hAnsiTheme="majorBidi" w:cstheme="majorBidi"/>
          <w:b/>
          <w:bCs/>
          <w:iCs w:val="0"/>
          <w:color w:val="000000"/>
          <w:lang w:val="en-GB"/>
        </w:rPr>
      </w:pPr>
      <w:r w:rsidRPr="002C6F76">
        <w:rPr>
          <w:rFonts w:asciiTheme="majorBidi" w:hAnsiTheme="majorBidi" w:cstheme="majorBidi"/>
          <w:b/>
          <w:bCs/>
          <w:iCs w:val="0"/>
          <w:color w:val="000000"/>
          <w:lang w:val="en-GB"/>
        </w:rPr>
        <w:t>2.</w:t>
      </w:r>
      <w:r w:rsidR="00D0354C" w:rsidRPr="002C6F76">
        <w:rPr>
          <w:rFonts w:asciiTheme="majorBidi" w:hAnsiTheme="majorBidi" w:cstheme="majorBidi"/>
          <w:b/>
          <w:bCs/>
          <w:iCs w:val="0"/>
          <w:color w:val="000000"/>
          <w:lang w:val="en-GB"/>
        </w:rPr>
        <w:t>3</w:t>
      </w:r>
      <w:r w:rsidRPr="002C6F76">
        <w:rPr>
          <w:rFonts w:asciiTheme="majorBidi" w:hAnsiTheme="majorBidi" w:cstheme="majorBidi"/>
          <w:b/>
          <w:bCs/>
          <w:iCs w:val="0"/>
          <w:color w:val="000000"/>
          <w:lang w:val="en-GB"/>
        </w:rPr>
        <w:t>.</w:t>
      </w:r>
      <w:r w:rsidR="00A72C90" w:rsidRPr="002C6F76">
        <w:rPr>
          <w:rFonts w:asciiTheme="majorBidi" w:hAnsiTheme="majorBidi" w:cstheme="majorBidi"/>
          <w:b/>
          <w:bCs/>
          <w:iCs w:val="0"/>
          <w:color w:val="000000"/>
          <w:lang w:val="en-GB"/>
        </w:rPr>
        <w:t xml:space="preserve"> </w:t>
      </w:r>
      <w:r w:rsidR="009C7E01" w:rsidRPr="002C6F76">
        <w:rPr>
          <w:rFonts w:asciiTheme="majorBidi" w:hAnsiTheme="majorBidi" w:cstheme="majorBidi"/>
          <w:b/>
          <w:bCs/>
          <w:iCs w:val="0"/>
          <w:color w:val="000000"/>
          <w:lang w:val="en-GB"/>
        </w:rPr>
        <w:t>Methodology</w:t>
      </w:r>
    </w:p>
    <w:p w14:paraId="05F60C9A" w14:textId="29F22FE0" w:rsidR="00406350" w:rsidRPr="002C6F76" w:rsidRDefault="00BA2A0F" w:rsidP="0029290B">
      <w:pPr>
        <w:rPr>
          <w:rFonts w:asciiTheme="majorBidi" w:hAnsiTheme="majorBidi" w:cstheme="majorBidi"/>
          <w:b/>
          <w:bCs/>
          <w:sz w:val="20"/>
          <w:szCs w:val="20"/>
          <w:lang w:val="en-GB"/>
        </w:rPr>
      </w:pPr>
      <w:r w:rsidRPr="002C6F76">
        <w:t xml:space="preserve">The </w:t>
      </w:r>
      <w:r w:rsidR="00BC3639" w:rsidRPr="002C6F76">
        <w:t xml:space="preserve">Iranian EIA system </w:t>
      </w:r>
      <w:r w:rsidRPr="002C6F76">
        <w:t xml:space="preserve">was first reviewed </w:t>
      </w:r>
      <w:r w:rsidR="00BC3639" w:rsidRPr="002C6F76">
        <w:t xml:space="preserve">in 2009 </w:t>
      </w:r>
      <w:r w:rsidRPr="002C6F76">
        <w:t>by Moradi</w:t>
      </w:r>
      <w:r w:rsidR="00C14BC1">
        <w:t xml:space="preserve"> </w:t>
      </w:r>
      <w:r w:rsidR="00C14BC1" w:rsidRPr="0016663F">
        <w:t>in his PhD thesis</w:t>
      </w:r>
      <w:r w:rsidRPr="0016663F">
        <w:t xml:space="preserve">. </w:t>
      </w:r>
      <w:r w:rsidR="00BC3639" w:rsidRPr="0016663F">
        <w:t>His</w:t>
      </w:r>
      <w:r w:rsidR="00BC3639" w:rsidRPr="002C6F76">
        <w:t xml:space="preserve"> discussion focused </w:t>
      </w:r>
      <w:r w:rsidRPr="002C6F76">
        <w:t xml:space="preserve">on </w:t>
      </w:r>
      <w:r w:rsidR="00BC3639" w:rsidRPr="002C6F76">
        <w:t xml:space="preserve">using a literature review and document </w:t>
      </w:r>
      <w:r w:rsidR="00696489" w:rsidRPr="002C6F76">
        <w:t>analysis but</w:t>
      </w:r>
      <w:r w:rsidR="00BC3639" w:rsidRPr="002C6F76">
        <w:t xml:space="preserve"> was constrained by the scarcity of </w:t>
      </w:r>
      <w:r w:rsidR="009A4516">
        <w:t xml:space="preserve">the </w:t>
      </w:r>
      <w:r w:rsidR="00BC3639" w:rsidRPr="002C6F76">
        <w:t xml:space="preserve">Iranian EIA literature. </w:t>
      </w:r>
      <w:r w:rsidRPr="002C6F76">
        <w:t xml:space="preserve">To overcome this obstacle, </w:t>
      </w:r>
      <w:r w:rsidR="005A70BE">
        <w:t xml:space="preserve">we reviewed </w:t>
      </w:r>
      <w:r w:rsidR="00BC3639" w:rsidRPr="002C6F76">
        <w:t xml:space="preserve">the </w:t>
      </w:r>
      <w:r w:rsidR="009C7E01" w:rsidRPr="002C6F76">
        <w:t xml:space="preserve">Iranian EIA system against </w:t>
      </w:r>
      <w:r w:rsidR="00297438" w:rsidRPr="002C6F76">
        <w:t>the adapted</w:t>
      </w:r>
      <w:r w:rsidR="005A4727" w:rsidRPr="002C6F76">
        <w:t xml:space="preserve"> </w:t>
      </w:r>
      <w:r w:rsidR="009C7E01" w:rsidRPr="002C6F76">
        <w:t xml:space="preserve">criteria </w:t>
      </w:r>
      <w:r w:rsidR="005A4727" w:rsidRPr="002C6F76">
        <w:t>(Table 2)</w:t>
      </w:r>
      <w:r w:rsidR="009A4516">
        <w:t>,</w:t>
      </w:r>
      <w:r w:rsidR="005A4727" w:rsidRPr="002C6F76">
        <w:rPr>
          <w:rFonts w:asciiTheme="majorBidi" w:hAnsiTheme="majorBidi" w:cstheme="majorBidi"/>
          <w:b/>
          <w:bCs/>
          <w:sz w:val="20"/>
          <w:szCs w:val="20"/>
          <w:lang w:val="en-GB"/>
        </w:rPr>
        <w:t xml:space="preserve"> </w:t>
      </w:r>
      <w:r w:rsidR="009C7E01" w:rsidRPr="002C6F76">
        <w:t xml:space="preserve">using data collected through a combination of a literature review, document </w:t>
      </w:r>
      <w:r w:rsidR="009211DD" w:rsidRPr="002C6F76">
        <w:t>analys</w:t>
      </w:r>
      <w:r w:rsidR="009211DD">
        <w:t>i</w:t>
      </w:r>
      <w:r w:rsidR="009211DD" w:rsidRPr="002C6F76">
        <w:t xml:space="preserve">s </w:t>
      </w:r>
      <w:r w:rsidR="009C7E01" w:rsidRPr="002C6F76">
        <w:t xml:space="preserve">and semi-structured interviews.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242"/>
        <w:gridCol w:w="1105"/>
        <w:gridCol w:w="1038"/>
        <w:gridCol w:w="1127"/>
      </w:tblGrid>
      <w:tr w:rsidR="00406350" w:rsidRPr="002C6F76" w14:paraId="4DB1C716" w14:textId="77777777" w:rsidTr="002B6272">
        <w:trPr>
          <w:trHeight w:val="233"/>
          <w:jc w:val="center"/>
        </w:trPr>
        <w:tc>
          <w:tcPr>
            <w:tcW w:w="1838" w:type="dxa"/>
            <w:vMerge w:val="restart"/>
            <w:vAlign w:val="center"/>
          </w:tcPr>
          <w:p w14:paraId="4B4E3315" w14:textId="77777777" w:rsidR="00406350" w:rsidRPr="002C6F76" w:rsidRDefault="00406350">
            <w:pPr>
              <w:pStyle w:val="ListBullet"/>
              <w:numPr>
                <w:ilvl w:val="0"/>
                <w:numId w:val="0"/>
              </w:numPr>
              <w:spacing w:after="0" w:line="276" w:lineRule="auto"/>
              <w:jc w:val="center"/>
              <w:rPr>
                <w:b/>
                <w:bCs/>
                <w:sz w:val="20"/>
                <w:szCs w:val="20"/>
              </w:rPr>
            </w:pPr>
            <w:r w:rsidRPr="002C6F76">
              <w:rPr>
                <w:b/>
                <w:bCs/>
                <w:sz w:val="20"/>
                <w:szCs w:val="20"/>
              </w:rPr>
              <w:t>criteria</w:t>
            </w:r>
          </w:p>
        </w:tc>
        <w:tc>
          <w:tcPr>
            <w:tcW w:w="4242" w:type="dxa"/>
            <w:vMerge w:val="restart"/>
            <w:shd w:val="clear" w:color="auto" w:fill="auto"/>
            <w:vAlign w:val="center"/>
          </w:tcPr>
          <w:p w14:paraId="120A7CE1" w14:textId="77777777" w:rsidR="00406350" w:rsidRPr="002C6F76" w:rsidRDefault="00406350">
            <w:pPr>
              <w:pStyle w:val="ListBullet"/>
              <w:numPr>
                <w:ilvl w:val="0"/>
                <w:numId w:val="0"/>
              </w:numPr>
              <w:spacing w:after="0" w:line="276" w:lineRule="auto"/>
              <w:jc w:val="center"/>
              <w:rPr>
                <w:b/>
                <w:bCs/>
                <w:sz w:val="20"/>
                <w:szCs w:val="20"/>
              </w:rPr>
            </w:pPr>
            <w:r w:rsidRPr="002C6F76">
              <w:rPr>
                <w:b/>
                <w:bCs/>
                <w:sz w:val="20"/>
                <w:szCs w:val="20"/>
              </w:rPr>
              <w:t>Sub criteria</w:t>
            </w:r>
          </w:p>
        </w:tc>
        <w:tc>
          <w:tcPr>
            <w:tcW w:w="3270" w:type="dxa"/>
            <w:gridSpan w:val="3"/>
            <w:shd w:val="clear" w:color="auto" w:fill="auto"/>
            <w:vAlign w:val="center"/>
          </w:tcPr>
          <w:p w14:paraId="37658BD2" w14:textId="77777777" w:rsidR="00406350" w:rsidRPr="002C6F76" w:rsidRDefault="00406350" w:rsidP="003A1813">
            <w:pPr>
              <w:pStyle w:val="ListBullet"/>
              <w:numPr>
                <w:ilvl w:val="0"/>
                <w:numId w:val="0"/>
              </w:numPr>
              <w:spacing w:after="0" w:line="276" w:lineRule="auto"/>
              <w:jc w:val="center"/>
              <w:rPr>
                <w:b/>
                <w:bCs/>
                <w:sz w:val="20"/>
                <w:szCs w:val="20"/>
              </w:rPr>
            </w:pPr>
            <w:r w:rsidRPr="002C6F76">
              <w:rPr>
                <w:b/>
                <w:bCs/>
                <w:sz w:val="20"/>
                <w:szCs w:val="20"/>
              </w:rPr>
              <w:t>Source of data</w:t>
            </w:r>
          </w:p>
        </w:tc>
      </w:tr>
      <w:tr w:rsidR="00276257" w:rsidRPr="002C6F76" w14:paraId="41668FB8" w14:textId="77777777" w:rsidTr="002B6272">
        <w:trPr>
          <w:trHeight w:val="245"/>
          <w:jc w:val="center"/>
        </w:trPr>
        <w:tc>
          <w:tcPr>
            <w:tcW w:w="1838" w:type="dxa"/>
            <w:vMerge/>
          </w:tcPr>
          <w:p w14:paraId="382F81FE" w14:textId="77777777" w:rsidR="00406350" w:rsidRPr="002C6F76" w:rsidRDefault="00406350" w:rsidP="003A1813">
            <w:pPr>
              <w:pStyle w:val="ListBullet"/>
              <w:numPr>
                <w:ilvl w:val="0"/>
                <w:numId w:val="0"/>
              </w:numPr>
              <w:spacing w:after="0" w:line="276" w:lineRule="auto"/>
              <w:jc w:val="center"/>
              <w:rPr>
                <w:b/>
                <w:bCs/>
                <w:sz w:val="20"/>
                <w:szCs w:val="20"/>
              </w:rPr>
            </w:pPr>
          </w:p>
        </w:tc>
        <w:tc>
          <w:tcPr>
            <w:tcW w:w="4242" w:type="dxa"/>
            <w:vMerge/>
            <w:shd w:val="clear" w:color="auto" w:fill="auto"/>
            <w:vAlign w:val="center"/>
          </w:tcPr>
          <w:p w14:paraId="119AAF70" w14:textId="77777777" w:rsidR="00406350" w:rsidRPr="002C6F76" w:rsidRDefault="00406350" w:rsidP="003A1813">
            <w:pPr>
              <w:pStyle w:val="ListBullet"/>
              <w:numPr>
                <w:ilvl w:val="0"/>
                <w:numId w:val="0"/>
              </w:numPr>
              <w:spacing w:after="0" w:line="276" w:lineRule="auto"/>
              <w:jc w:val="center"/>
              <w:rPr>
                <w:b/>
                <w:bCs/>
                <w:sz w:val="20"/>
                <w:szCs w:val="20"/>
              </w:rPr>
            </w:pPr>
          </w:p>
        </w:tc>
        <w:tc>
          <w:tcPr>
            <w:tcW w:w="1105" w:type="dxa"/>
            <w:shd w:val="clear" w:color="auto" w:fill="auto"/>
            <w:vAlign w:val="center"/>
          </w:tcPr>
          <w:p w14:paraId="76491E12" w14:textId="77777777" w:rsidR="00406350" w:rsidRPr="002C6F76" w:rsidRDefault="00406350" w:rsidP="003A1813">
            <w:pPr>
              <w:pStyle w:val="ListBullet"/>
              <w:numPr>
                <w:ilvl w:val="0"/>
                <w:numId w:val="0"/>
              </w:numPr>
              <w:spacing w:after="0" w:line="276" w:lineRule="auto"/>
              <w:jc w:val="center"/>
              <w:rPr>
                <w:b/>
                <w:bCs/>
                <w:sz w:val="20"/>
                <w:szCs w:val="20"/>
              </w:rPr>
            </w:pPr>
            <w:r w:rsidRPr="002C6F76">
              <w:rPr>
                <w:b/>
                <w:bCs/>
                <w:sz w:val="20"/>
                <w:szCs w:val="20"/>
              </w:rPr>
              <w:t>Literature review</w:t>
            </w:r>
          </w:p>
        </w:tc>
        <w:tc>
          <w:tcPr>
            <w:tcW w:w="1038" w:type="dxa"/>
            <w:shd w:val="clear" w:color="auto" w:fill="auto"/>
            <w:vAlign w:val="center"/>
          </w:tcPr>
          <w:p w14:paraId="6E139631" w14:textId="77777777" w:rsidR="00406350" w:rsidRPr="002C6F76" w:rsidRDefault="00406350" w:rsidP="003A1813">
            <w:pPr>
              <w:pStyle w:val="ListBullet"/>
              <w:numPr>
                <w:ilvl w:val="0"/>
                <w:numId w:val="0"/>
              </w:numPr>
              <w:spacing w:after="0" w:line="276" w:lineRule="auto"/>
              <w:jc w:val="center"/>
              <w:rPr>
                <w:b/>
                <w:bCs/>
                <w:sz w:val="20"/>
                <w:szCs w:val="20"/>
              </w:rPr>
            </w:pPr>
            <w:r w:rsidRPr="002C6F76">
              <w:rPr>
                <w:b/>
                <w:bCs/>
                <w:sz w:val="20"/>
                <w:szCs w:val="20"/>
              </w:rPr>
              <w:t>Interview</w:t>
            </w:r>
          </w:p>
        </w:tc>
        <w:tc>
          <w:tcPr>
            <w:tcW w:w="1127" w:type="dxa"/>
            <w:shd w:val="clear" w:color="auto" w:fill="auto"/>
          </w:tcPr>
          <w:p w14:paraId="0075C72C" w14:textId="77777777" w:rsidR="00406350" w:rsidRPr="002C6F76" w:rsidRDefault="00406350" w:rsidP="003A1813">
            <w:pPr>
              <w:pStyle w:val="ListBullet"/>
              <w:numPr>
                <w:ilvl w:val="0"/>
                <w:numId w:val="0"/>
              </w:numPr>
              <w:spacing w:after="0" w:line="276" w:lineRule="auto"/>
              <w:jc w:val="center"/>
              <w:rPr>
                <w:b/>
                <w:bCs/>
                <w:sz w:val="20"/>
                <w:szCs w:val="20"/>
              </w:rPr>
            </w:pPr>
            <w:r w:rsidRPr="002C6F76">
              <w:rPr>
                <w:b/>
                <w:bCs/>
                <w:sz w:val="20"/>
                <w:szCs w:val="20"/>
              </w:rPr>
              <w:t>Document analysis</w:t>
            </w:r>
          </w:p>
        </w:tc>
      </w:tr>
      <w:tr w:rsidR="00EC0702" w:rsidRPr="002C6F76" w14:paraId="4D3AC366" w14:textId="77777777" w:rsidTr="002B6272">
        <w:trPr>
          <w:trHeight w:val="70"/>
          <w:jc w:val="center"/>
        </w:trPr>
        <w:tc>
          <w:tcPr>
            <w:tcW w:w="1838" w:type="dxa"/>
            <w:vMerge w:val="restart"/>
            <w:vAlign w:val="center"/>
          </w:tcPr>
          <w:p w14:paraId="16A44A2F" w14:textId="77777777" w:rsidR="00EC0702" w:rsidRPr="002C6F76" w:rsidRDefault="00EC0702" w:rsidP="003B0F84">
            <w:pPr>
              <w:pStyle w:val="ListBullet"/>
              <w:numPr>
                <w:ilvl w:val="0"/>
                <w:numId w:val="0"/>
              </w:numPr>
              <w:spacing w:after="0" w:line="360" w:lineRule="auto"/>
              <w:ind w:left="90" w:firstLine="3"/>
              <w:jc w:val="center"/>
              <w:rPr>
                <w:b/>
                <w:bCs/>
                <w:sz w:val="20"/>
                <w:szCs w:val="20"/>
              </w:rPr>
            </w:pPr>
            <w:r w:rsidRPr="002C6F76">
              <w:rPr>
                <w:b/>
                <w:bCs/>
                <w:sz w:val="20"/>
                <w:szCs w:val="20"/>
              </w:rPr>
              <w:t>Legislative provisions for EIA</w:t>
            </w:r>
          </w:p>
        </w:tc>
        <w:tc>
          <w:tcPr>
            <w:tcW w:w="4242" w:type="dxa"/>
            <w:shd w:val="clear" w:color="auto" w:fill="auto"/>
            <w:vAlign w:val="center"/>
          </w:tcPr>
          <w:p w14:paraId="37BE9ED4" w14:textId="5C61BA81" w:rsidR="00EC0702" w:rsidRPr="002C6F76" w:rsidRDefault="00EC0702" w:rsidP="003B0F84">
            <w:pPr>
              <w:pStyle w:val="ListBullet"/>
              <w:numPr>
                <w:ilvl w:val="0"/>
                <w:numId w:val="0"/>
              </w:numPr>
              <w:spacing w:after="0" w:line="240" w:lineRule="auto"/>
              <w:ind w:left="15" w:firstLine="18"/>
              <w:jc w:val="left"/>
              <w:rPr>
                <w:sz w:val="20"/>
                <w:szCs w:val="20"/>
              </w:rPr>
            </w:pPr>
            <w:r w:rsidRPr="002C6F76">
              <w:rPr>
                <w:sz w:val="20"/>
                <w:szCs w:val="20"/>
              </w:rPr>
              <w:t>EIA</w:t>
            </w:r>
            <w:r w:rsidR="00E97D77">
              <w:rPr>
                <w:sz w:val="20"/>
                <w:szCs w:val="20"/>
              </w:rPr>
              <w:t xml:space="preserve"> </w:t>
            </w:r>
            <w:r w:rsidR="00E97D77" w:rsidRPr="0016663F">
              <w:rPr>
                <w:sz w:val="20"/>
                <w:szCs w:val="20"/>
              </w:rPr>
              <w:t>legal basis</w:t>
            </w:r>
            <w:r w:rsidRPr="002C6F76">
              <w:rPr>
                <w:sz w:val="20"/>
                <w:szCs w:val="20"/>
              </w:rPr>
              <w:t xml:space="preserve"> </w:t>
            </w:r>
          </w:p>
        </w:tc>
        <w:tc>
          <w:tcPr>
            <w:tcW w:w="1105" w:type="dxa"/>
            <w:shd w:val="clear" w:color="auto" w:fill="auto"/>
          </w:tcPr>
          <w:p w14:paraId="26DFF5DF" w14:textId="77777777" w:rsidR="00EC0702" w:rsidRPr="002C6F76" w:rsidRDefault="00EC0702" w:rsidP="003A1813">
            <w:pPr>
              <w:pStyle w:val="ListBullet"/>
              <w:numPr>
                <w:ilvl w:val="0"/>
                <w:numId w:val="0"/>
              </w:numPr>
              <w:spacing w:after="0" w:line="276" w:lineRule="auto"/>
              <w:jc w:val="center"/>
              <w:rPr>
                <w:rFonts w:asciiTheme="majorBidi" w:hAnsiTheme="majorBidi" w:cstheme="majorBidi"/>
                <w:b/>
                <w:bCs/>
                <w:sz w:val="20"/>
                <w:szCs w:val="20"/>
              </w:rPr>
            </w:pPr>
            <w:r w:rsidRPr="002C6F76">
              <w:rPr>
                <w:rFonts w:asciiTheme="majorBidi" w:hAnsiTheme="majorBidi" w:cstheme="majorBidi"/>
                <w:b/>
                <w:bCs/>
                <w:sz w:val="20"/>
                <w:szCs w:val="20"/>
              </w:rPr>
              <w:t>●</w:t>
            </w:r>
          </w:p>
        </w:tc>
        <w:tc>
          <w:tcPr>
            <w:tcW w:w="1038" w:type="dxa"/>
            <w:shd w:val="clear" w:color="auto" w:fill="auto"/>
            <w:vAlign w:val="center"/>
          </w:tcPr>
          <w:p w14:paraId="78E83118" w14:textId="77777777" w:rsidR="00EC0702" w:rsidRPr="002C6F76" w:rsidRDefault="00EC0702">
            <w:pPr>
              <w:pStyle w:val="ListBullet"/>
              <w:numPr>
                <w:ilvl w:val="0"/>
                <w:numId w:val="0"/>
              </w:numPr>
              <w:spacing w:after="0" w:line="276" w:lineRule="auto"/>
              <w:jc w:val="center"/>
              <w:rPr>
                <w:rFonts w:asciiTheme="majorBidi" w:hAnsiTheme="majorBidi" w:cstheme="majorBidi"/>
                <w:b/>
                <w:bCs/>
                <w:sz w:val="20"/>
                <w:szCs w:val="20"/>
              </w:rPr>
            </w:pPr>
            <w:r w:rsidRPr="002C6F76">
              <w:rPr>
                <w:rFonts w:asciiTheme="majorBidi" w:hAnsiTheme="majorBidi" w:cstheme="majorBidi"/>
                <w:b/>
                <w:bCs/>
                <w:sz w:val="20"/>
                <w:szCs w:val="20"/>
              </w:rPr>
              <w:t>●</w:t>
            </w:r>
            <w:r w:rsidRPr="002C6F76" w:rsidDel="00EC0702">
              <w:rPr>
                <w:rFonts w:asciiTheme="majorBidi" w:hAnsiTheme="majorBidi" w:cstheme="majorBidi"/>
                <w:b/>
                <w:bCs/>
                <w:sz w:val="20"/>
                <w:szCs w:val="20"/>
              </w:rPr>
              <w:t xml:space="preserve"> </w:t>
            </w:r>
          </w:p>
        </w:tc>
        <w:tc>
          <w:tcPr>
            <w:tcW w:w="1127" w:type="dxa"/>
            <w:shd w:val="clear" w:color="auto" w:fill="auto"/>
          </w:tcPr>
          <w:p w14:paraId="7EB051B0" w14:textId="54C373E6" w:rsidR="00EC0702" w:rsidRPr="002C6F76" w:rsidRDefault="00DB296F" w:rsidP="002B6272">
            <w:pPr>
              <w:pStyle w:val="ListBullet"/>
              <w:numPr>
                <w:ilvl w:val="0"/>
                <w:numId w:val="0"/>
              </w:numPr>
              <w:spacing w:after="0" w:line="276" w:lineRule="auto"/>
              <w:ind w:left="-118"/>
              <w:jc w:val="center"/>
              <w:rPr>
                <w:rFonts w:asciiTheme="majorBidi" w:hAnsiTheme="majorBidi" w:cstheme="majorBidi"/>
                <w:b/>
                <w:bCs/>
                <w:sz w:val="20"/>
                <w:szCs w:val="20"/>
              </w:rPr>
            </w:pPr>
            <w:r w:rsidRPr="002C6F76">
              <w:rPr>
                <w:rFonts w:asciiTheme="majorBidi" w:hAnsiTheme="majorBidi" w:cstheme="majorBidi"/>
                <w:b/>
                <w:bCs/>
                <w:sz w:val="20"/>
                <w:szCs w:val="20"/>
              </w:rPr>
              <w:t>●</w:t>
            </w:r>
          </w:p>
        </w:tc>
      </w:tr>
      <w:tr w:rsidR="00EC0702" w:rsidRPr="002C6F76" w14:paraId="08CEFF98" w14:textId="77777777" w:rsidTr="002B6272">
        <w:trPr>
          <w:trHeight w:val="143"/>
          <w:jc w:val="center"/>
        </w:trPr>
        <w:tc>
          <w:tcPr>
            <w:tcW w:w="1838" w:type="dxa"/>
            <w:vMerge/>
            <w:vAlign w:val="center"/>
          </w:tcPr>
          <w:p w14:paraId="626700A3" w14:textId="77777777" w:rsidR="00EC0702" w:rsidRPr="002C6F76" w:rsidRDefault="00EC0702" w:rsidP="003B0F84">
            <w:pPr>
              <w:pStyle w:val="ListBullet"/>
              <w:numPr>
                <w:ilvl w:val="0"/>
                <w:numId w:val="0"/>
              </w:numPr>
              <w:spacing w:after="0" w:line="360" w:lineRule="auto"/>
              <w:ind w:left="90" w:firstLine="3"/>
              <w:jc w:val="center"/>
              <w:rPr>
                <w:b/>
                <w:bCs/>
                <w:sz w:val="20"/>
                <w:szCs w:val="20"/>
              </w:rPr>
            </w:pPr>
          </w:p>
        </w:tc>
        <w:tc>
          <w:tcPr>
            <w:tcW w:w="4242" w:type="dxa"/>
            <w:shd w:val="clear" w:color="auto" w:fill="auto"/>
            <w:vAlign w:val="center"/>
          </w:tcPr>
          <w:p w14:paraId="24904C3A" w14:textId="77777777" w:rsidR="00EC0702" w:rsidRPr="002C6F76" w:rsidRDefault="00EC0702" w:rsidP="003B0F84">
            <w:pPr>
              <w:pStyle w:val="ListBullet"/>
              <w:numPr>
                <w:ilvl w:val="0"/>
                <w:numId w:val="0"/>
              </w:numPr>
              <w:spacing w:after="0" w:line="240" w:lineRule="auto"/>
              <w:ind w:left="15" w:firstLine="18"/>
              <w:jc w:val="left"/>
              <w:rPr>
                <w:sz w:val="20"/>
                <w:szCs w:val="20"/>
              </w:rPr>
            </w:pPr>
            <w:r w:rsidRPr="002C6F76">
              <w:rPr>
                <w:sz w:val="20"/>
                <w:szCs w:val="20"/>
              </w:rPr>
              <w:t>Adequacy of the law for conducting an EIA</w:t>
            </w:r>
          </w:p>
        </w:tc>
        <w:tc>
          <w:tcPr>
            <w:tcW w:w="1105" w:type="dxa"/>
            <w:shd w:val="clear" w:color="auto" w:fill="auto"/>
          </w:tcPr>
          <w:p w14:paraId="4EC90CD5" w14:textId="77777777" w:rsidR="00EC0702" w:rsidRPr="002C6F76" w:rsidRDefault="00EC0702" w:rsidP="003A1813">
            <w:pPr>
              <w:pStyle w:val="ListBullet"/>
              <w:numPr>
                <w:ilvl w:val="0"/>
                <w:numId w:val="0"/>
              </w:numPr>
              <w:spacing w:after="0" w:line="276" w:lineRule="auto"/>
              <w:jc w:val="center"/>
              <w:rPr>
                <w:rFonts w:asciiTheme="majorBidi" w:hAnsiTheme="majorBidi" w:cstheme="majorBidi"/>
                <w:b/>
                <w:bCs/>
                <w:sz w:val="20"/>
                <w:szCs w:val="20"/>
              </w:rPr>
            </w:pPr>
            <w:r w:rsidRPr="002C6F76">
              <w:rPr>
                <w:rFonts w:asciiTheme="majorBidi" w:hAnsiTheme="majorBidi" w:cstheme="majorBidi"/>
                <w:b/>
                <w:bCs/>
                <w:sz w:val="20"/>
                <w:szCs w:val="20"/>
              </w:rPr>
              <w:t>●</w:t>
            </w:r>
          </w:p>
        </w:tc>
        <w:tc>
          <w:tcPr>
            <w:tcW w:w="1038" w:type="dxa"/>
            <w:shd w:val="clear" w:color="auto" w:fill="auto"/>
          </w:tcPr>
          <w:p w14:paraId="11FE3753" w14:textId="77777777" w:rsidR="00EC0702" w:rsidRPr="002C6F76" w:rsidRDefault="00EC0702" w:rsidP="003A1813">
            <w:pPr>
              <w:pStyle w:val="ListBullet"/>
              <w:numPr>
                <w:ilvl w:val="0"/>
                <w:numId w:val="0"/>
              </w:numPr>
              <w:spacing w:after="0" w:line="276" w:lineRule="auto"/>
              <w:jc w:val="center"/>
              <w:rPr>
                <w:rFonts w:asciiTheme="majorBidi" w:hAnsiTheme="majorBidi" w:cstheme="majorBidi"/>
                <w:b/>
                <w:bCs/>
                <w:sz w:val="20"/>
                <w:szCs w:val="20"/>
              </w:rPr>
            </w:pPr>
            <w:r w:rsidRPr="002C6F76">
              <w:rPr>
                <w:rFonts w:asciiTheme="majorBidi" w:hAnsiTheme="majorBidi" w:cstheme="majorBidi"/>
                <w:b/>
                <w:bCs/>
                <w:sz w:val="20"/>
                <w:szCs w:val="20"/>
              </w:rPr>
              <w:t>●</w:t>
            </w:r>
          </w:p>
        </w:tc>
        <w:tc>
          <w:tcPr>
            <w:tcW w:w="1127" w:type="dxa"/>
            <w:shd w:val="clear" w:color="auto" w:fill="auto"/>
          </w:tcPr>
          <w:p w14:paraId="609D2CDD" w14:textId="77777777" w:rsidR="00EC0702" w:rsidRPr="002C6F76" w:rsidRDefault="00EC0702" w:rsidP="002B6272">
            <w:pPr>
              <w:pStyle w:val="ListBullet"/>
              <w:numPr>
                <w:ilvl w:val="0"/>
                <w:numId w:val="0"/>
              </w:numPr>
              <w:spacing w:after="0" w:line="276" w:lineRule="auto"/>
              <w:ind w:left="-118"/>
              <w:jc w:val="center"/>
              <w:rPr>
                <w:rFonts w:asciiTheme="majorBidi" w:hAnsiTheme="majorBidi" w:cstheme="majorBidi"/>
                <w:b/>
                <w:bCs/>
                <w:sz w:val="20"/>
                <w:szCs w:val="20"/>
              </w:rPr>
            </w:pPr>
            <w:r w:rsidRPr="002C6F76">
              <w:rPr>
                <w:rFonts w:asciiTheme="majorBidi" w:hAnsiTheme="majorBidi" w:cstheme="majorBidi"/>
                <w:b/>
                <w:bCs/>
                <w:sz w:val="20"/>
                <w:szCs w:val="20"/>
              </w:rPr>
              <w:t>–</w:t>
            </w:r>
          </w:p>
        </w:tc>
      </w:tr>
      <w:tr w:rsidR="00EC0702" w:rsidRPr="002C6F76" w14:paraId="1269B701" w14:textId="77777777" w:rsidTr="002B6272">
        <w:trPr>
          <w:trHeight w:val="242"/>
          <w:jc w:val="center"/>
        </w:trPr>
        <w:tc>
          <w:tcPr>
            <w:tcW w:w="1838" w:type="dxa"/>
            <w:vMerge/>
            <w:vAlign w:val="center"/>
          </w:tcPr>
          <w:p w14:paraId="08300D84" w14:textId="77777777" w:rsidR="00EC0702" w:rsidRPr="002C6F76" w:rsidRDefault="00EC0702" w:rsidP="003B0F84">
            <w:pPr>
              <w:pStyle w:val="ListBullet"/>
              <w:numPr>
                <w:ilvl w:val="0"/>
                <w:numId w:val="0"/>
              </w:numPr>
              <w:spacing w:after="0" w:line="360" w:lineRule="auto"/>
              <w:ind w:left="90" w:firstLine="3"/>
              <w:jc w:val="center"/>
              <w:rPr>
                <w:b/>
                <w:bCs/>
                <w:sz w:val="20"/>
                <w:szCs w:val="20"/>
              </w:rPr>
            </w:pPr>
          </w:p>
        </w:tc>
        <w:tc>
          <w:tcPr>
            <w:tcW w:w="4242" w:type="dxa"/>
            <w:shd w:val="clear" w:color="auto" w:fill="auto"/>
            <w:vAlign w:val="center"/>
          </w:tcPr>
          <w:p w14:paraId="36832345" w14:textId="77777777" w:rsidR="00EC0702" w:rsidRPr="002C6F76" w:rsidRDefault="00EC0702" w:rsidP="003B0F84">
            <w:pPr>
              <w:pStyle w:val="ListBullet"/>
              <w:numPr>
                <w:ilvl w:val="0"/>
                <w:numId w:val="0"/>
              </w:numPr>
              <w:spacing w:after="0" w:line="240" w:lineRule="auto"/>
              <w:ind w:left="15" w:firstLine="18"/>
              <w:jc w:val="left"/>
              <w:rPr>
                <w:sz w:val="20"/>
                <w:szCs w:val="20"/>
              </w:rPr>
            </w:pPr>
            <w:r w:rsidRPr="002C6F76">
              <w:rPr>
                <w:sz w:val="20"/>
                <w:szCs w:val="20"/>
              </w:rPr>
              <w:t>The EIA process steps in regulations</w:t>
            </w:r>
          </w:p>
        </w:tc>
        <w:tc>
          <w:tcPr>
            <w:tcW w:w="1105" w:type="dxa"/>
            <w:shd w:val="clear" w:color="auto" w:fill="auto"/>
          </w:tcPr>
          <w:p w14:paraId="5FECEF3F" w14:textId="77777777" w:rsidR="00EC0702" w:rsidRPr="002C6F76" w:rsidRDefault="00EC0702" w:rsidP="003A1813">
            <w:pPr>
              <w:pStyle w:val="ListBullet"/>
              <w:numPr>
                <w:ilvl w:val="0"/>
                <w:numId w:val="0"/>
              </w:numPr>
              <w:spacing w:after="0" w:line="276" w:lineRule="auto"/>
              <w:jc w:val="center"/>
              <w:rPr>
                <w:rFonts w:asciiTheme="majorBidi" w:hAnsiTheme="majorBidi" w:cstheme="majorBidi"/>
                <w:b/>
                <w:bCs/>
                <w:sz w:val="20"/>
                <w:szCs w:val="20"/>
              </w:rPr>
            </w:pPr>
            <w:r w:rsidRPr="002C6F76">
              <w:rPr>
                <w:rFonts w:asciiTheme="majorBidi" w:hAnsiTheme="majorBidi" w:cstheme="majorBidi"/>
                <w:b/>
                <w:bCs/>
                <w:sz w:val="20"/>
                <w:szCs w:val="20"/>
              </w:rPr>
              <w:t>–</w:t>
            </w:r>
          </w:p>
        </w:tc>
        <w:tc>
          <w:tcPr>
            <w:tcW w:w="1038" w:type="dxa"/>
            <w:shd w:val="clear" w:color="auto" w:fill="auto"/>
          </w:tcPr>
          <w:p w14:paraId="1FA33448" w14:textId="77777777" w:rsidR="00EC0702" w:rsidRPr="002C6F76" w:rsidRDefault="00EC0702" w:rsidP="003A1813">
            <w:pPr>
              <w:pStyle w:val="ListBullet"/>
              <w:numPr>
                <w:ilvl w:val="0"/>
                <w:numId w:val="0"/>
              </w:numPr>
              <w:spacing w:after="0" w:line="276" w:lineRule="auto"/>
              <w:jc w:val="center"/>
              <w:rPr>
                <w:rFonts w:asciiTheme="majorBidi" w:hAnsiTheme="majorBidi" w:cstheme="majorBidi"/>
                <w:b/>
                <w:bCs/>
                <w:sz w:val="20"/>
                <w:szCs w:val="20"/>
              </w:rPr>
            </w:pPr>
            <w:r w:rsidRPr="002C6F76">
              <w:rPr>
                <w:rFonts w:asciiTheme="majorBidi" w:hAnsiTheme="majorBidi" w:cstheme="majorBidi"/>
                <w:b/>
                <w:bCs/>
                <w:sz w:val="20"/>
                <w:szCs w:val="20"/>
              </w:rPr>
              <w:t>●</w:t>
            </w:r>
          </w:p>
        </w:tc>
        <w:tc>
          <w:tcPr>
            <w:tcW w:w="1127" w:type="dxa"/>
            <w:shd w:val="clear" w:color="auto" w:fill="auto"/>
          </w:tcPr>
          <w:p w14:paraId="53197350" w14:textId="77777777" w:rsidR="00EC0702" w:rsidRPr="002C6F76" w:rsidRDefault="00EC0702" w:rsidP="002B6272">
            <w:pPr>
              <w:pStyle w:val="ListBullet"/>
              <w:numPr>
                <w:ilvl w:val="0"/>
                <w:numId w:val="0"/>
              </w:numPr>
              <w:spacing w:after="0" w:line="276" w:lineRule="auto"/>
              <w:ind w:left="-118"/>
              <w:jc w:val="center"/>
              <w:rPr>
                <w:rFonts w:asciiTheme="majorBidi" w:hAnsiTheme="majorBidi" w:cstheme="majorBidi"/>
                <w:b/>
                <w:bCs/>
                <w:sz w:val="20"/>
                <w:szCs w:val="20"/>
              </w:rPr>
            </w:pPr>
            <w:r w:rsidRPr="002C6F76">
              <w:rPr>
                <w:rFonts w:asciiTheme="majorBidi" w:hAnsiTheme="majorBidi" w:cstheme="majorBidi"/>
                <w:b/>
                <w:bCs/>
                <w:sz w:val="20"/>
                <w:szCs w:val="20"/>
              </w:rPr>
              <w:t>–</w:t>
            </w:r>
          </w:p>
        </w:tc>
      </w:tr>
      <w:tr w:rsidR="00EC0702" w:rsidRPr="002C6F76" w14:paraId="759F5749" w14:textId="77777777" w:rsidTr="002B6272">
        <w:trPr>
          <w:jc w:val="center"/>
        </w:trPr>
        <w:tc>
          <w:tcPr>
            <w:tcW w:w="1838" w:type="dxa"/>
            <w:vMerge/>
            <w:vAlign w:val="center"/>
          </w:tcPr>
          <w:p w14:paraId="7C9E6D43" w14:textId="77777777" w:rsidR="00EC0702" w:rsidRPr="002C6F76" w:rsidRDefault="00EC0702" w:rsidP="003B0F84">
            <w:pPr>
              <w:pStyle w:val="ListBullet"/>
              <w:numPr>
                <w:ilvl w:val="0"/>
                <w:numId w:val="0"/>
              </w:numPr>
              <w:spacing w:after="0" w:line="360" w:lineRule="auto"/>
              <w:ind w:left="90" w:firstLine="3"/>
              <w:jc w:val="center"/>
              <w:rPr>
                <w:b/>
                <w:bCs/>
                <w:sz w:val="20"/>
                <w:szCs w:val="20"/>
              </w:rPr>
            </w:pPr>
          </w:p>
        </w:tc>
        <w:tc>
          <w:tcPr>
            <w:tcW w:w="4242" w:type="dxa"/>
            <w:shd w:val="clear" w:color="auto" w:fill="auto"/>
            <w:vAlign w:val="center"/>
          </w:tcPr>
          <w:p w14:paraId="64D2A39D" w14:textId="77777777" w:rsidR="00EC0702" w:rsidRPr="002C6F76" w:rsidRDefault="00EC0702" w:rsidP="003B0F84">
            <w:pPr>
              <w:pStyle w:val="ListBullet"/>
              <w:numPr>
                <w:ilvl w:val="0"/>
                <w:numId w:val="0"/>
              </w:numPr>
              <w:spacing w:after="0" w:line="240" w:lineRule="auto"/>
              <w:ind w:left="15" w:firstLine="18"/>
              <w:jc w:val="left"/>
              <w:rPr>
                <w:sz w:val="20"/>
                <w:szCs w:val="20"/>
              </w:rPr>
            </w:pPr>
            <w:r w:rsidRPr="002C6F76">
              <w:rPr>
                <w:sz w:val="20"/>
                <w:szCs w:val="20"/>
              </w:rPr>
              <w:t>Implications of proceeding without EIA approval</w:t>
            </w:r>
          </w:p>
        </w:tc>
        <w:tc>
          <w:tcPr>
            <w:tcW w:w="1105" w:type="dxa"/>
            <w:shd w:val="clear" w:color="auto" w:fill="auto"/>
          </w:tcPr>
          <w:p w14:paraId="7FDBBD09" w14:textId="77777777" w:rsidR="00EC0702" w:rsidRPr="002C6F76" w:rsidRDefault="00EC0702" w:rsidP="003A1813">
            <w:pPr>
              <w:pStyle w:val="ListBullet"/>
              <w:numPr>
                <w:ilvl w:val="0"/>
                <w:numId w:val="0"/>
              </w:numPr>
              <w:spacing w:after="0" w:line="276" w:lineRule="auto"/>
              <w:jc w:val="center"/>
              <w:rPr>
                <w:rFonts w:asciiTheme="majorBidi" w:hAnsiTheme="majorBidi" w:cstheme="majorBidi"/>
                <w:b/>
                <w:bCs/>
                <w:sz w:val="20"/>
                <w:szCs w:val="20"/>
              </w:rPr>
            </w:pPr>
            <w:r w:rsidRPr="002C6F76">
              <w:rPr>
                <w:rFonts w:asciiTheme="majorBidi" w:hAnsiTheme="majorBidi" w:cstheme="majorBidi"/>
                <w:b/>
                <w:bCs/>
                <w:sz w:val="20"/>
                <w:szCs w:val="20"/>
              </w:rPr>
              <w:t>–</w:t>
            </w:r>
          </w:p>
        </w:tc>
        <w:tc>
          <w:tcPr>
            <w:tcW w:w="1038" w:type="dxa"/>
            <w:shd w:val="clear" w:color="auto" w:fill="auto"/>
          </w:tcPr>
          <w:p w14:paraId="2BEFFDE7" w14:textId="77777777" w:rsidR="00EC0702" w:rsidRPr="002C6F76" w:rsidRDefault="00EC0702" w:rsidP="003A1813">
            <w:pPr>
              <w:pStyle w:val="ListBullet"/>
              <w:numPr>
                <w:ilvl w:val="0"/>
                <w:numId w:val="0"/>
              </w:numPr>
              <w:spacing w:after="0" w:line="276" w:lineRule="auto"/>
              <w:jc w:val="center"/>
              <w:rPr>
                <w:rFonts w:asciiTheme="majorBidi" w:hAnsiTheme="majorBidi" w:cstheme="majorBidi"/>
                <w:b/>
                <w:bCs/>
                <w:sz w:val="20"/>
                <w:szCs w:val="20"/>
              </w:rPr>
            </w:pPr>
            <w:r w:rsidRPr="002C6F76">
              <w:rPr>
                <w:rFonts w:asciiTheme="majorBidi" w:hAnsiTheme="majorBidi" w:cstheme="majorBidi"/>
                <w:b/>
                <w:bCs/>
                <w:sz w:val="20"/>
                <w:szCs w:val="20"/>
              </w:rPr>
              <w:t>●</w:t>
            </w:r>
          </w:p>
        </w:tc>
        <w:tc>
          <w:tcPr>
            <w:tcW w:w="1127" w:type="dxa"/>
            <w:shd w:val="clear" w:color="auto" w:fill="auto"/>
          </w:tcPr>
          <w:p w14:paraId="30EC55AB" w14:textId="77777777" w:rsidR="00EC0702" w:rsidRPr="002C6F76" w:rsidRDefault="00EC0702" w:rsidP="002B6272">
            <w:pPr>
              <w:pStyle w:val="ListBullet"/>
              <w:numPr>
                <w:ilvl w:val="0"/>
                <w:numId w:val="0"/>
              </w:numPr>
              <w:spacing w:after="0" w:line="276" w:lineRule="auto"/>
              <w:ind w:left="-118"/>
              <w:jc w:val="center"/>
              <w:rPr>
                <w:rFonts w:asciiTheme="majorBidi" w:hAnsiTheme="majorBidi" w:cstheme="majorBidi"/>
                <w:b/>
                <w:bCs/>
                <w:sz w:val="20"/>
                <w:szCs w:val="20"/>
              </w:rPr>
            </w:pPr>
            <w:r w:rsidRPr="002C6F76">
              <w:rPr>
                <w:rFonts w:asciiTheme="majorBidi" w:hAnsiTheme="majorBidi" w:cstheme="majorBidi"/>
                <w:b/>
                <w:bCs/>
                <w:sz w:val="20"/>
                <w:szCs w:val="20"/>
              </w:rPr>
              <w:t>–</w:t>
            </w:r>
          </w:p>
        </w:tc>
      </w:tr>
      <w:tr w:rsidR="00EC0702" w:rsidRPr="002C6F76" w14:paraId="670D35BC" w14:textId="77777777" w:rsidTr="002B6272">
        <w:trPr>
          <w:trHeight w:val="287"/>
          <w:jc w:val="center"/>
        </w:trPr>
        <w:tc>
          <w:tcPr>
            <w:tcW w:w="1838" w:type="dxa"/>
            <w:vMerge w:val="restart"/>
            <w:vAlign w:val="center"/>
          </w:tcPr>
          <w:p w14:paraId="7CE4875F" w14:textId="77777777" w:rsidR="00EC0702" w:rsidRPr="002C6F76" w:rsidRDefault="00EC0702">
            <w:pPr>
              <w:pStyle w:val="ListBullet"/>
              <w:numPr>
                <w:ilvl w:val="0"/>
                <w:numId w:val="0"/>
              </w:numPr>
              <w:spacing w:after="0" w:line="360" w:lineRule="auto"/>
              <w:ind w:left="90" w:firstLine="3"/>
              <w:jc w:val="center"/>
              <w:rPr>
                <w:b/>
                <w:bCs/>
                <w:sz w:val="20"/>
                <w:szCs w:val="20"/>
              </w:rPr>
            </w:pPr>
            <w:r w:rsidRPr="002C6F76">
              <w:rPr>
                <w:b/>
                <w:bCs/>
                <w:sz w:val="20"/>
                <w:szCs w:val="20"/>
              </w:rPr>
              <w:t>Administrative set up</w:t>
            </w:r>
            <w:r w:rsidR="00F15851" w:rsidRPr="002C6F76">
              <w:rPr>
                <w:b/>
                <w:bCs/>
                <w:sz w:val="20"/>
                <w:szCs w:val="20"/>
              </w:rPr>
              <w:t xml:space="preserve"> </w:t>
            </w:r>
            <w:r w:rsidRPr="002C6F76">
              <w:rPr>
                <w:b/>
                <w:bCs/>
                <w:sz w:val="20"/>
                <w:szCs w:val="20"/>
              </w:rPr>
              <w:t>for EIA</w:t>
            </w:r>
          </w:p>
        </w:tc>
        <w:tc>
          <w:tcPr>
            <w:tcW w:w="4242" w:type="dxa"/>
            <w:shd w:val="clear" w:color="auto" w:fill="auto"/>
            <w:vAlign w:val="center"/>
          </w:tcPr>
          <w:p w14:paraId="662A5174" w14:textId="77777777" w:rsidR="00EC0702" w:rsidRPr="002C6F76" w:rsidRDefault="00EC0702" w:rsidP="003B0F84">
            <w:pPr>
              <w:pStyle w:val="ListBullet"/>
              <w:numPr>
                <w:ilvl w:val="0"/>
                <w:numId w:val="0"/>
              </w:numPr>
              <w:spacing w:after="0" w:line="240" w:lineRule="auto"/>
              <w:ind w:left="15" w:firstLine="18"/>
              <w:jc w:val="left"/>
              <w:rPr>
                <w:sz w:val="20"/>
                <w:szCs w:val="20"/>
              </w:rPr>
            </w:pPr>
            <w:r w:rsidRPr="002C6F76">
              <w:rPr>
                <w:sz w:val="20"/>
                <w:szCs w:val="20"/>
              </w:rPr>
              <w:t>Competent authority for EIA</w:t>
            </w:r>
          </w:p>
        </w:tc>
        <w:tc>
          <w:tcPr>
            <w:tcW w:w="1105" w:type="dxa"/>
            <w:shd w:val="clear" w:color="auto" w:fill="auto"/>
          </w:tcPr>
          <w:p w14:paraId="0083B86B" w14:textId="77777777" w:rsidR="00EC0702" w:rsidRPr="002C6F76" w:rsidRDefault="00EC0702" w:rsidP="003A1813">
            <w:pPr>
              <w:pStyle w:val="ListBullet"/>
              <w:numPr>
                <w:ilvl w:val="0"/>
                <w:numId w:val="0"/>
              </w:numPr>
              <w:spacing w:after="0" w:line="240" w:lineRule="auto"/>
              <w:jc w:val="center"/>
              <w:rPr>
                <w:rFonts w:asciiTheme="majorBidi" w:hAnsiTheme="majorBidi" w:cstheme="majorBidi"/>
                <w:b/>
                <w:bCs/>
                <w:sz w:val="20"/>
                <w:szCs w:val="20"/>
              </w:rPr>
            </w:pPr>
            <w:r w:rsidRPr="002C6F76">
              <w:rPr>
                <w:rFonts w:asciiTheme="majorBidi" w:hAnsiTheme="majorBidi" w:cstheme="majorBidi"/>
                <w:b/>
                <w:bCs/>
                <w:sz w:val="20"/>
                <w:szCs w:val="20"/>
              </w:rPr>
              <w:t>●</w:t>
            </w:r>
          </w:p>
        </w:tc>
        <w:tc>
          <w:tcPr>
            <w:tcW w:w="1038" w:type="dxa"/>
            <w:shd w:val="clear" w:color="auto" w:fill="auto"/>
          </w:tcPr>
          <w:p w14:paraId="58469C37" w14:textId="77777777" w:rsidR="00EC0702" w:rsidRPr="002C6F76" w:rsidRDefault="00EC0702" w:rsidP="006C3F03">
            <w:pPr>
              <w:pStyle w:val="ListBullet"/>
              <w:numPr>
                <w:ilvl w:val="0"/>
                <w:numId w:val="0"/>
              </w:numPr>
              <w:spacing w:after="0" w:line="276" w:lineRule="auto"/>
              <w:jc w:val="center"/>
              <w:rPr>
                <w:rFonts w:asciiTheme="majorBidi" w:hAnsiTheme="majorBidi" w:cstheme="majorBidi"/>
                <w:b/>
                <w:bCs/>
                <w:sz w:val="20"/>
                <w:szCs w:val="20"/>
              </w:rPr>
            </w:pPr>
            <w:r w:rsidRPr="002C6F76">
              <w:rPr>
                <w:rFonts w:asciiTheme="majorBidi" w:hAnsiTheme="majorBidi" w:cstheme="majorBidi"/>
                <w:b/>
                <w:bCs/>
                <w:sz w:val="20"/>
                <w:szCs w:val="20"/>
              </w:rPr>
              <w:t>●</w:t>
            </w:r>
          </w:p>
        </w:tc>
        <w:tc>
          <w:tcPr>
            <w:tcW w:w="1127" w:type="dxa"/>
            <w:shd w:val="clear" w:color="auto" w:fill="auto"/>
          </w:tcPr>
          <w:p w14:paraId="27E3BE6D" w14:textId="77777777" w:rsidR="00EC0702" w:rsidRPr="002C6F76" w:rsidRDefault="00EC0702" w:rsidP="002B6272">
            <w:pPr>
              <w:pStyle w:val="ListBullet"/>
              <w:numPr>
                <w:ilvl w:val="0"/>
                <w:numId w:val="0"/>
              </w:numPr>
              <w:spacing w:after="0" w:line="240" w:lineRule="auto"/>
              <w:ind w:left="-118"/>
              <w:jc w:val="center"/>
              <w:rPr>
                <w:rFonts w:asciiTheme="majorBidi" w:hAnsiTheme="majorBidi" w:cstheme="majorBidi"/>
                <w:b/>
                <w:bCs/>
                <w:sz w:val="20"/>
                <w:szCs w:val="20"/>
              </w:rPr>
            </w:pPr>
            <w:r w:rsidRPr="002C6F76">
              <w:rPr>
                <w:rFonts w:asciiTheme="majorBidi" w:hAnsiTheme="majorBidi" w:cstheme="majorBidi"/>
                <w:b/>
                <w:bCs/>
                <w:sz w:val="20"/>
                <w:szCs w:val="20"/>
              </w:rPr>
              <w:t>●</w:t>
            </w:r>
          </w:p>
        </w:tc>
      </w:tr>
      <w:tr w:rsidR="00EC0702" w:rsidRPr="002C6F76" w14:paraId="4F208A12" w14:textId="77777777" w:rsidTr="002B6272">
        <w:trPr>
          <w:trHeight w:val="197"/>
          <w:jc w:val="center"/>
        </w:trPr>
        <w:tc>
          <w:tcPr>
            <w:tcW w:w="1838" w:type="dxa"/>
            <w:vMerge/>
            <w:vAlign w:val="center"/>
          </w:tcPr>
          <w:p w14:paraId="00D35AD9" w14:textId="77777777" w:rsidR="00EC0702" w:rsidRPr="002C6F76" w:rsidRDefault="00EC0702" w:rsidP="003B0F84">
            <w:pPr>
              <w:pStyle w:val="ListBullet"/>
              <w:numPr>
                <w:ilvl w:val="0"/>
                <w:numId w:val="0"/>
              </w:numPr>
              <w:spacing w:after="0" w:line="360" w:lineRule="auto"/>
              <w:ind w:left="90" w:firstLine="3"/>
              <w:jc w:val="center"/>
              <w:rPr>
                <w:b/>
                <w:bCs/>
                <w:sz w:val="20"/>
                <w:szCs w:val="20"/>
              </w:rPr>
            </w:pPr>
          </w:p>
        </w:tc>
        <w:tc>
          <w:tcPr>
            <w:tcW w:w="4242" w:type="dxa"/>
            <w:shd w:val="clear" w:color="auto" w:fill="auto"/>
            <w:vAlign w:val="center"/>
          </w:tcPr>
          <w:p w14:paraId="4750D960" w14:textId="77777777" w:rsidR="00EC0702" w:rsidRPr="002C6F76" w:rsidRDefault="00EC0702" w:rsidP="003B0F84">
            <w:pPr>
              <w:pStyle w:val="ListBullet"/>
              <w:numPr>
                <w:ilvl w:val="0"/>
                <w:numId w:val="0"/>
              </w:numPr>
              <w:spacing w:after="0" w:line="240" w:lineRule="auto"/>
              <w:ind w:left="15" w:firstLine="18"/>
              <w:jc w:val="left"/>
              <w:rPr>
                <w:sz w:val="20"/>
                <w:szCs w:val="20"/>
              </w:rPr>
            </w:pPr>
            <w:r w:rsidRPr="002C6F76">
              <w:rPr>
                <w:sz w:val="20"/>
                <w:szCs w:val="20"/>
              </w:rPr>
              <w:t>EIA review body</w:t>
            </w:r>
          </w:p>
        </w:tc>
        <w:tc>
          <w:tcPr>
            <w:tcW w:w="1105" w:type="dxa"/>
            <w:shd w:val="clear" w:color="auto" w:fill="auto"/>
          </w:tcPr>
          <w:p w14:paraId="03B0079B" w14:textId="77777777" w:rsidR="00EC0702" w:rsidRPr="002C6F76" w:rsidRDefault="00EC0702" w:rsidP="003A1813">
            <w:pPr>
              <w:pStyle w:val="ListBullet"/>
              <w:numPr>
                <w:ilvl w:val="0"/>
                <w:numId w:val="0"/>
              </w:numPr>
              <w:spacing w:after="0" w:line="240" w:lineRule="auto"/>
              <w:jc w:val="center"/>
              <w:rPr>
                <w:rFonts w:asciiTheme="majorBidi" w:hAnsiTheme="majorBidi" w:cstheme="majorBidi"/>
                <w:b/>
                <w:bCs/>
                <w:sz w:val="20"/>
                <w:szCs w:val="20"/>
              </w:rPr>
            </w:pPr>
            <w:r w:rsidRPr="002C6F76">
              <w:rPr>
                <w:rFonts w:asciiTheme="majorBidi" w:hAnsiTheme="majorBidi" w:cstheme="majorBidi"/>
                <w:b/>
                <w:bCs/>
                <w:sz w:val="20"/>
                <w:szCs w:val="20"/>
              </w:rPr>
              <w:t>–</w:t>
            </w:r>
          </w:p>
        </w:tc>
        <w:tc>
          <w:tcPr>
            <w:tcW w:w="1038" w:type="dxa"/>
            <w:shd w:val="clear" w:color="auto" w:fill="auto"/>
          </w:tcPr>
          <w:p w14:paraId="13206814" w14:textId="77777777" w:rsidR="00EC0702" w:rsidRPr="002C6F76" w:rsidRDefault="00EC0702" w:rsidP="006C3F03">
            <w:pPr>
              <w:pStyle w:val="ListBullet"/>
              <w:numPr>
                <w:ilvl w:val="0"/>
                <w:numId w:val="0"/>
              </w:numPr>
              <w:spacing w:after="0" w:line="276" w:lineRule="auto"/>
              <w:jc w:val="center"/>
              <w:rPr>
                <w:rFonts w:asciiTheme="majorBidi" w:hAnsiTheme="majorBidi" w:cstheme="majorBidi"/>
                <w:b/>
                <w:bCs/>
                <w:sz w:val="20"/>
                <w:szCs w:val="20"/>
              </w:rPr>
            </w:pPr>
            <w:r w:rsidRPr="002C6F76">
              <w:rPr>
                <w:rFonts w:asciiTheme="majorBidi" w:hAnsiTheme="majorBidi" w:cstheme="majorBidi"/>
                <w:b/>
                <w:bCs/>
                <w:sz w:val="20"/>
                <w:szCs w:val="20"/>
              </w:rPr>
              <w:t>●</w:t>
            </w:r>
          </w:p>
        </w:tc>
        <w:tc>
          <w:tcPr>
            <w:tcW w:w="1127" w:type="dxa"/>
            <w:shd w:val="clear" w:color="auto" w:fill="auto"/>
          </w:tcPr>
          <w:p w14:paraId="5D458588" w14:textId="77777777" w:rsidR="00EC0702" w:rsidRPr="002C6F76" w:rsidRDefault="00EC0702" w:rsidP="002B6272">
            <w:pPr>
              <w:pStyle w:val="ListBullet"/>
              <w:numPr>
                <w:ilvl w:val="0"/>
                <w:numId w:val="0"/>
              </w:numPr>
              <w:spacing w:after="0" w:line="240" w:lineRule="auto"/>
              <w:ind w:left="-118"/>
              <w:jc w:val="center"/>
              <w:rPr>
                <w:rFonts w:asciiTheme="majorBidi" w:hAnsiTheme="majorBidi" w:cstheme="majorBidi"/>
                <w:b/>
                <w:bCs/>
                <w:sz w:val="20"/>
                <w:szCs w:val="20"/>
              </w:rPr>
            </w:pPr>
            <w:r w:rsidRPr="002C6F76">
              <w:rPr>
                <w:rFonts w:asciiTheme="majorBidi" w:hAnsiTheme="majorBidi" w:cstheme="majorBidi"/>
                <w:b/>
                <w:bCs/>
                <w:sz w:val="20"/>
                <w:szCs w:val="20"/>
              </w:rPr>
              <w:t>–</w:t>
            </w:r>
          </w:p>
        </w:tc>
      </w:tr>
      <w:tr w:rsidR="00EC0702" w:rsidRPr="002C6F76" w14:paraId="775AE5A8" w14:textId="77777777" w:rsidTr="002B6272">
        <w:trPr>
          <w:trHeight w:val="287"/>
          <w:jc w:val="center"/>
        </w:trPr>
        <w:tc>
          <w:tcPr>
            <w:tcW w:w="1838" w:type="dxa"/>
            <w:vMerge/>
            <w:vAlign w:val="center"/>
          </w:tcPr>
          <w:p w14:paraId="2E5DC24F" w14:textId="77777777" w:rsidR="00EC0702" w:rsidRPr="002C6F76" w:rsidRDefault="00EC0702" w:rsidP="003B0F84">
            <w:pPr>
              <w:pStyle w:val="ListBullet"/>
              <w:numPr>
                <w:ilvl w:val="0"/>
                <w:numId w:val="0"/>
              </w:numPr>
              <w:spacing w:after="0" w:line="360" w:lineRule="auto"/>
              <w:ind w:left="90" w:firstLine="3"/>
              <w:jc w:val="center"/>
              <w:rPr>
                <w:b/>
                <w:bCs/>
                <w:sz w:val="20"/>
                <w:szCs w:val="20"/>
              </w:rPr>
            </w:pPr>
          </w:p>
        </w:tc>
        <w:tc>
          <w:tcPr>
            <w:tcW w:w="4242" w:type="dxa"/>
            <w:shd w:val="clear" w:color="auto" w:fill="auto"/>
            <w:vAlign w:val="center"/>
          </w:tcPr>
          <w:p w14:paraId="5DF42E82" w14:textId="77777777" w:rsidR="00EC0702" w:rsidRPr="002C6F76" w:rsidRDefault="00EC0702" w:rsidP="003B0F84">
            <w:pPr>
              <w:pStyle w:val="ListBullet"/>
              <w:numPr>
                <w:ilvl w:val="0"/>
                <w:numId w:val="0"/>
              </w:numPr>
              <w:spacing w:after="0" w:line="240" w:lineRule="auto"/>
              <w:ind w:left="15" w:firstLine="18"/>
              <w:jc w:val="left"/>
              <w:rPr>
                <w:sz w:val="20"/>
                <w:szCs w:val="20"/>
              </w:rPr>
            </w:pPr>
            <w:r w:rsidRPr="002C6F76">
              <w:rPr>
                <w:sz w:val="20"/>
                <w:szCs w:val="20"/>
              </w:rPr>
              <w:t xml:space="preserve">EIA centralisation at the national level </w:t>
            </w:r>
          </w:p>
        </w:tc>
        <w:tc>
          <w:tcPr>
            <w:tcW w:w="1105" w:type="dxa"/>
            <w:shd w:val="clear" w:color="auto" w:fill="auto"/>
          </w:tcPr>
          <w:p w14:paraId="7BA91AF2" w14:textId="77777777" w:rsidR="00EC0702" w:rsidRPr="002C6F76" w:rsidRDefault="00EC0702" w:rsidP="003A1813">
            <w:pPr>
              <w:pStyle w:val="ListBullet"/>
              <w:numPr>
                <w:ilvl w:val="0"/>
                <w:numId w:val="0"/>
              </w:numPr>
              <w:spacing w:after="0" w:line="240" w:lineRule="auto"/>
              <w:jc w:val="center"/>
              <w:rPr>
                <w:rFonts w:asciiTheme="majorBidi" w:hAnsiTheme="majorBidi" w:cstheme="majorBidi"/>
                <w:b/>
                <w:bCs/>
                <w:sz w:val="20"/>
                <w:szCs w:val="20"/>
              </w:rPr>
            </w:pPr>
            <w:r w:rsidRPr="002C6F76">
              <w:rPr>
                <w:rFonts w:asciiTheme="majorBidi" w:hAnsiTheme="majorBidi" w:cstheme="majorBidi"/>
                <w:b/>
                <w:bCs/>
                <w:sz w:val="20"/>
                <w:szCs w:val="20"/>
              </w:rPr>
              <w:t>–</w:t>
            </w:r>
          </w:p>
        </w:tc>
        <w:tc>
          <w:tcPr>
            <w:tcW w:w="1038" w:type="dxa"/>
            <w:shd w:val="clear" w:color="auto" w:fill="auto"/>
          </w:tcPr>
          <w:p w14:paraId="217BC16F" w14:textId="77777777" w:rsidR="00EC0702" w:rsidRPr="002C6F76" w:rsidRDefault="00EC0702" w:rsidP="006C3F03">
            <w:pPr>
              <w:pStyle w:val="ListBullet"/>
              <w:numPr>
                <w:ilvl w:val="0"/>
                <w:numId w:val="0"/>
              </w:numPr>
              <w:spacing w:after="0" w:line="276" w:lineRule="auto"/>
              <w:jc w:val="center"/>
              <w:rPr>
                <w:rFonts w:asciiTheme="majorBidi" w:hAnsiTheme="majorBidi" w:cstheme="majorBidi"/>
                <w:b/>
                <w:bCs/>
                <w:sz w:val="20"/>
                <w:szCs w:val="20"/>
              </w:rPr>
            </w:pPr>
            <w:r w:rsidRPr="002C6F76">
              <w:rPr>
                <w:rFonts w:asciiTheme="majorBidi" w:hAnsiTheme="majorBidi" w:cstheme="majorBidi"/>
                <w:b/>
                <w:bCs/>
                <w:sz w:val="20"/>
                <w:szCs w:val="20"/>
              </w:rPr>
              <w:t>●</w:t>
            </w:r>
          </w:p>
        </w:tc>
        <w:tc>
          <w:tcPr>
            <w:tcW w:w="1127" w:type="dxa"/>
            <w:shd w:val="clear" w:color="auto" w:fill="auto"/>
          </w:tcPr>
          <w:p w14:paraId="23B87B32" w14:textId="77777777" w:rsidR="00EC0702" w:rsidRPr="002C6F76" w:rsidRDefault="00EC0702" w:rsidP="002B6272">
            <w:pPr>
              <w:pStyle w:val="ListBullet"/>
              <w:numPr>
                <w:ilvl w:val="0"/>
                <w:numId w:val="0"/>
              </w:numPr>
              <w:spacing w:after="0" w:line="240" w:lineRule="auto"/>
              <w:ind w:left="-118"/>
              <w:jc w:val="center"/>
              <w:rPr>
                <w:rFonts w:asciiTheme="majorBidi" w:hAnsiTheme="majorBidi" w:cstheme="majorBidi"/>
                <w:b/>
                <w:bCs/>
                <w:sz w:val="20"/>
                <w:szCs w:val="20"/>
              </w:rPr>
            </w:pPr>
            <w:r w:rsidRPr="002C6F76">
              <w:rPr>
                <w:rFonts w:asciiTheme="majorBidi" w:hAnsiTheme="majorBidi" w:cstheme="majorBidi"/>
                <w:b/>
                <w:bCs/>
                <w:sz w:val="20"/>
                <w:szCs w:val="20"/>
              </w:rPr>
              <w:t>–</w:t>
            </w:r>
          </w:p>
        </w:tc>
      </w:tr>
      <w:tr w:rsidR="00EC0702" w:rsidRPr="002C6F76" w14:paraId="4FC7AA2E" w14:textId="77777777" w:rsidTr="002B6272">
        <w:trPr>
          <w:trHeight w:val="242"/>
          <w:jc w:val="center"/>
        </w:trPr>
        <w:tc>
          <w:tcPr>
            <w:tcW w:w="1838" w:type="dxa"/>
            <w:vMerge w:val="restart"/>
            <w:vAlign w:val="center"/>
          </w:tcPr>
          <w:p w14:paraId="75295C95" w14:textId="77777777" w:rsidR="00EC0702" w:rsidRPr="002C6F76" w:rsidRDefault="00EC0702" w:rsidP="003B0F84">
            <w:pPr>
              <w:pStyle w:val="ListBullet"/>
              <w:numPr>
                <w:ilvl w:val="0"/>
                <w:numId w:val="0"/>
              </w:numPr>
              <w:spacing w:after="0" w:line="360" w:lineRule="auto"/>
              <w:ind w:left="90" w:firstLine="3"/>
              <w:jc w:val="center"/>
              <w:rPr>
                <w:b/>
                <w:bCs/>
                <w:sz w:val="20"/>
                <w:szCs w:val="20"/>
              </w:rPr>
            </w:pPr>
            <w:r w:rsidRPr="002C6F76">
              <w:rPr>
                <w:b/>
                <w:bCs/>
                <w:sz w:val="20"/>
                <w:szCs w:val="20"/>
              </w:rPr>
              <w:t>EIA process</w:t>
            </w:r>
          </w:p>
        </w:tc>
        <w:tc>
          <w:tcPr>
            <w:tcW w:w="4242" w:type="dxa"/>
            <w:shd w:val="clear" w:color="auto" w:fill="auto"/>
            <w:vAlign w:val="center"/>
          </w:tcPr>
          <w:p w14:paraId="4ED1B863" w14:textId="77777777" w:rsidR="00EC0702" w:rsidRPr="002C6F76" w:rsidRDefault="00EC0702" w:rsidP="003B0F84">
            <w:pPr>
              <w:pStyle w:val="ListBullet"/>
              <w:numPr>
                <w:ilvl w:val="0"/>
                <w:numId w:val="0"/>
              </w:numPr>
              <w:spacing w:after="0" w:line="276" w:lineRule="auto"/>
              <w:ind w:left="360" w:hanging="360"/>
              <w:jc w:val="left"/>
              <w:rPr>
                <w:sz w:val="20"/>
                <w:szCs w:val="20"/>
              </w:rPr>
            </w:pPr>
            <w:r w:rsidRPr="002C6F76">
              <w:rPr>
                <w:sz w:val="20"/>
                <w:szCs w:val="20"/>
              </w:rPr>
              <w:t xml:space="preserve">Screening </w:t>
            </w:r>
          </w:p>
        </w:tc>
        <w:tc>
          <w:tcPr>
            <w:tcW w:w="1105" w:type="dxa"/>
            <w:shd w:val="clear" w:color="auto" w:fill="auto"/>
          </w:tcPr>
          <w:p w14:paraId="5E9B9C55" w14:textId="77777777" w:rsidR="00EC0702" w:rsidRPr="002C6F76" w:rsidRDefault="00EC0702" w:rsidP="003A1813">
            <w:pPr>
              <w:pStyle w:val="ListBullet"/>
              <w:numPr>
                <w:ilvl w:val="0"/>
                <w:numId w:val="0"/>
              </w:numPr>
              <w:spacing w:after="0" w:line="240" w:lineRule="auto"/>
              <w:jc w:val="center"/>
              <w:rPr>
                <w:rFonts w:asciiTheme="majorBidi" w:hAnsiTheme="majorBidi" w:cstheme="majorBidi"/>
                <w:b/>
                <w:bCs/>
                <w:sz w:val="20"/>
                <w:szCs w:val="20"/>
              </w:rPr>
            </w:pPr>
            <w:r w:rsidRPr="002C6F76">
              <w:rPr>
                <w:rFonts w:asciiTheme="majorBidi" w:hAnsiTheme="majorBidi" w:cstheme="majorBidi"/>
                <w:b/>
                <w:bCs/>
                <w:sz w:val="20"/>
                <w:szCs w:val="20"/>
              </w:rPr>
              <w:t>●</w:t>
            </w:r>
          </w:p>
        </w:tc>
        <w:tc>
          <w:tcPr>
            <w:tcW w:w="1038" w:type="dxa"/>
            <w:shd w:val="clear" w:color="auto" w:fill="auto"/>
          </w:tcPr>
          <w:p w14:paraId="12C95813" w14:textId="77777777" w:rsidR="00EC0702" w:rsidRPr="002C6F76" w:rsidRDefault="00EC0702" w:rsidP="006C3F03">
            <w:pPr>
              <w:pStyle w:val="ListBullet"/>
              <w:numPr>
                <w:ilvl w:val="0"/>
                <w:numId w:val="0"/>
              </w:numPr>
              <w:spacing w:after="0" w:line="276" w:lineRule="auto"/>
              <w:jc w:val="center"/>
              <w:rPr>
                <w:rFonts w:asciiTheme="majorBidi" w:hAnsiTheme="majorBidi" w:cstheme="majorBidi"/>
                <w:b/>
                <w:bCs/>
                <w:sz w:val="20"/>
                <w:szCs w:val="20"/>
              </w:rPr>
            </w:pPr>
            <w:r w:rsidRPr="002C6F76">
              <w:rPr>
                <w:rFonts w:asciiTheme="majorBidi" w:hAnsiTheme="majorBidi" w:cstheme="majorBidi"/>
                <w:b/>
                <w:bCs/>
                <w:sz w:val="20"/>
                <w:szCs w:val="20"/>
              </w:rPr>
              <w:t>●</w:t>
            </w:r>
          </w:p>
        </w:tc>
        <w:tc>
          <w:tcPr>
            <w:tcW w:w="1127" w:type="dxa"/>
            <w:shd w:val="clear" w:color="auto" w:fill="auto"/>
          </w:tcPr>
          <w:p w14:paraId="514499A8" w14:textId="77777777" w:rsidR="00EC0702" w:rsidRPr="002C6F76" w:rsidRDefault="00EC0702" w:rsidP="002B6272">
            <w:pPr>
              <w:pStyle w:val="ListBullet"/>
              <w:numPr>
                <w:ilvl w:val="0"/>
                <w:numId w:val="0"/>
              </w:numPr>
              <w:spacing w:after="0" w:line="240" w:lineRule="auto"/>
              <w:ind w:left="-118"/>
              <w:jc w:val="center"/>
              <w:rPr>
                <w:rFonts w:asciiTheme="majorBidi" w:hAnsiTheme="majorBidi" w:cstheme="majorBidi"/>
                <w:b/>
                <w:bCs/>
                <w:sz w:val="20"/>
                <w:szCs w:val="20"/>
              </w:rPr>
            </w:pPr>
            <w:r w:rsidRPr="002C6F76">
              <w:rPr>
                <w:rFonts w:asciiTheme="majorBidi" w:hAnsiTheme="majorBidi" w:cstheme="majorBidi"/>
                <w:b/>
                <w:bCs/>
                <w:sz w:val="20"/>
                <w:szCs w:val="20"/>
              </w:rPr>
              <w:t>●</w:t>
            </w:r>
          </w:p>
        </w:tc>
      </w:tr>
      <w:tr w:rsidR="00EC0702" w:rsidRPr="002C6F76" w14:paraId="284CCE87" w14:textId="77777777" w:rsidTr="002B6272">
        <w:trPr>
          <w:trHeight w:val="305"/>
          <w:jc w:val="center"/>
        </w:trPr>
        <w:tc>
          <w:tcPr>
            <w:tcW w:w="1838" w:type="dxa"/>
            <w:vMerge/>
          </w:tcPr>
          <w:p w14:paraId="39D892FC" w14:textId="77777777" w:rsidR="00EC0702" w:rsidRPr="002C6F76" w:rsidRDefault="00EC0702" w:rsidP="003A1813">
            <w:pPr>
              <w:pStyle w:val="ListBullet"/>
              <w:numPr>
                <w:ilvl w:val="0"/>
                <w:numId w:val="0"/>
              </w:numPr>
              <w:spacing w:after="0" w:line="276" w:lineRule="auto"/>
              <w:ind w:left="357" w:hanging="309"/>
              <w:jc w:val="left"/>
              <w:rPr>
                <w:sz w:val="20"/>
                <w:szCs w:val="20"/>
                <w:lang w:eastAsia="en-GB"/>
              </w:rPr>
            </w:pPr>
          </w:p>
        </w:tc>
        <w:tc>
          <w:tcPr>
            <w:tcW w:w="4242" w:type="dxa"/>
            <w:shd w:val="clear" w:color="auto" w:fill="auto"/>
            <w:vAlign w:val="center"/>
          </w:tcPr>
          <w:p w14:paraId="448B9315" w14:textId="77777777" w:rsidR="00EC0702" w:rsidRPr="002C6F76" w:rsidRDefault="00EC0702" w:rsidP="003B0F84">
            <w:pPr>
              <w:pStyle w:val="ListBullet"/>
              <w:numPr>
                <w:ilvl w:val="0"/>
                <w:numId w:val="0"/>
              </w:numPr>
              <w:spacing w:after="0" w:line="276" w:lineRule="auto"/>
              <w:ind w:left="360" w:hanging="360"/>
              <w:jc w:val="left"/>
              <w:rPr>
                <w:sz w:val="20"/>
                <w:szCs w:val="20"/>
              </w:rPr>
            </w:pPr>
            <w:r w:rsidRPr="002C6F76">
              <w:rPr>
                <w:sz w:val="20"/>
                <w:szCs w:val="20"/>
              </w:rPr>
              <w:t xml:space="preserve">Scoping </w:t>
            </w:r>
          </w:p>
        </w:tc>
        <w:tc>
          <w:tcPr>
            <w:tcW w:w="1105" w:type="dxa"/>
            <w:shd w:val="clear" w:color="auto" w:fill="auto"/>
          </w:tcPr>
          <w:p w14:paraId="399655AF" w14:textId="77777777" w:rsidR="00EC0702" w:rsidRPr="002C6F76" w:rsidRDefault="00EC0702" w:rsidP="003A1813">
            <w:pPr>
              <w:pStyle w:val="ListBullet"/>
              <w:numPr>
                <w:ilvl w:val="0"/>
                <w:numId w:val="0"/>
              </w:numPr>
              <w:spacing w:after="0" w:line="240" w:lineRule="auto"/>
              <w:jc w:val="center"/>
              <w:rPr>
                <w:rFonts w:asciiTheme="majorBidi" w:hAnsiTheme="majorBidi" w:cstheme="majorBidi"/>
                <w:b/>
                <w:bCs/>
                <w:sz w:val="20"/>
                <w:szCs w:val="20"/>
              </w:rPr>
            </w:pPr>
            <w:r w:rsidRPr="002C6F76">
              <w:rPr>
                <w:rFonts w:asciiTheme="majorBidi" w:hAnsiTheme="majorBidi" w:cstheme="majorBidi"/>
                <w:b/>
                <w:bCs/>
                <w:sz w:val="20"/>
                <w:szCs w:val="20"/>
              </w:rPr>
              <w:t>●</w:t>
            </w:r>
          </w:p>
        </w:tc>
        <w:tc>
          <w:tcPr>
            <w:tcW w:w="1038" w:type="dxa"/>
            <w:shd w:val="clear" w:color="auto" w:fill="auto"/>
          </w:tcPr>
          <w:p w14:paraId="5761F83C" w14:textId="77777777" w:rsidR="00EC0702" w:rsidRPr="002C6F76" w:rsidRDefault="00EC0702" w:rsidP="006C3F03">
            <w:pPr>
              <w:pStyle w:val="ListBullet"/>
              <w:numPr>
                <w:ilvl w:val="0"/>
                <w:numId w:val="0"/>
              </w:numPr>
              <w:spacing w:after="0" w:line="276" w:lineRule="auto"/>
              <w:jc w:val="center"/>
              <w:rPr>
                <w:rFonts w:asciiTheme="majorBidi" w:hAnsiTheme="majorBidi" w:cstheme="majorBidi"/>
                <w:b/>
                <w:bCs/>
                <w:sz w:val="20"/>
                <w:szCs w:val="20"/>
              </w:rPr>
            </w:pPr>
            <w:r w:rsidRPr="002C6F76">
              <w:rPr>
                <w:rFonts w:asciiTheme="majorBidi" w:hAnsiTheme="majorBidi" w:cstheme="majorBidi"/>
                <w:b/>
                <w:bCs/>
                <w:sz w:val="20"/>
                <w:szCs w:val="20"/>
              </w:rPr>
              <w:t>●</w:t>
            </w:r>
          </w:p>
        </w:tc>
        <w:tc>
          <w:tcPr>
            <w:tcW w:w="1127" w:type="dxa"/>
            <w:shd w:val="clear" w:color="auto" w:fill="auto"/>
          </w:tcPr>
          <w:p w14:paraId="647CF195" w14:textId="77777777" w:rsidR="00EC0702" w:rsidRPr="002C6F76" w:rsidRDefault="00EC0702" w:rsidP="002B6272">
            <w:pPr>
              <w:pStyle w:val="ListBullet"/>
              <w:numPr>
                <w:ilvl w:val="0"/>
                <w:numId w:val="0"/>
              </w:numPr>
              <w:spacing w:after="0" w:line="240" w:lineRule="auto"/>
              <w:ind w:left="-118"/>
              <w:jc w:val="center"/>
              <w:rPr>
                <w:rFonts w:asciiTheme="majorBidi" w:hAnsiTheme="majorBidi" w:cstheme="majorBidi"/>
                <w:b/>
                <w:bCs/>
                <w:sz w:val="20"/>
                <w:szCs w:val="20"/>
              </w:rPr>
            </w:pPr>
            <w:r w:rsidRPr="002C6F76">
              <w:rPr>
                <w:rFonts w:asciiTheme="majorBidi" w:hAnsiTheme="majorBidi" w:cstheme="majorBidi"/>
                <w:b/>
                <w:bCs/>
                <w:sz w:val="20"/>
                <w:szCs w:val="20"/>
              </w:rPr>
              <w:t>–</w:t>
            </w:r>
          </w:p>
        </w:tc>
      </w:tr>
      <w:tr w:rsidR="00EC0702" w:rsidRPr="002C6F76" w14:paraId="323AB2C7" w14:textId="77777777" w:rsidTr="002B6272">
        <w:trPr>
          <w:trHeight w:val="363"/>
          <w:jc w:val="center"/>
        </w:trPr>
        <w:tc>
          <w:tcPr>
            <w:tcW w:w="1838" w:type="dxa"/>
            <w:vMerge/>
          </w:tcPr>
          <w:p w14:paraId="259BCC03" w14:textId="77777777" w:rsidR="00EC0702" w:rsidRPr="002C6F76" w:rsidRDefault="00EC0702" w:rsidP="003A1813">
            <w:pPr>
              <w:pStyle w:val="ListBullet"/>
              <w:numPr>
                <w:ilvl w:val="0"/>
                <w:numId w:val="0"/>
              </w:numPr>
              <w:spacing w:after="0" w:line="276" w:lineRule="auto"/>
              <w:ind w:left="357" w:hanging="309"/>
              <w:jc w:val="left"/>
              <w:rPr>
                <w:sz w:val="20"/>
                <w:szCs w:val="20"/>
              </w:rPr>
            </w:pPr>
          </w:p>
        </w:tc>
        <w:tc>
          <w:tcPr>
            <w:tcW w:w="4242" w:type="dxa"/>
            <w:shd w:val="clear" w:color="auto" w:fill="auto"/>
            <w:vAlign w:val="center"/>
          </w:tcPr>
          <w:p w14:paraId="64EE670E" w14:textId="77777777" w:rsidR="00EC0702" w:rsidRPr="002C6F76" w:rsidRDefault="00EC0702" w:rsidP="003B0F84">
            <w:pPr>
              <w:pStyle w:val="ListBullet"/>
              <w:numPr>
                <w:ilvl w:val="0"/>
                <w:numId w:val="0"/>
              </w:numPr>
              <w:spacing w:after="0" w:line="276" w:lineRule="auto"/>
              <w:ind w:left="360" w:hanging="360"/>
              <w:jc w:val="left"/>
              <w:rPr>
                <w:sz w:val="20"/>
                <w:szCs w:val="20"/>
              </w:rPr>
            </w:pPr>
            <w:r w:rsidRPr="002C6F76">
              <w:rPr>
                <w:sz w:val="20"/>
                <w:szCs w:val="20"/>
              </w:rPr>
              <w:t xml:space="preserve">Consideration of alternatives </w:t>
            </w:r>
          </w:p>
        </w:tc>
        <w:tc>
          <w:tcPr>
            <w:tcW w:w="1105" w:type="dxa"/>
            <w:shd w:val="clear" w:color="auto" w:fill="auto"/>
          </w:tcPr>
          <w:p w14:paraId="28F4675E" w14:textId="77777777" w:rsidR="00EC0702" w:rsidRPr="002C6F76" w:rsidRDefault="00EC0702" w:rsidP="003A1813">
            <w:pPr>
              <w:pStyle w:val="ListBullet"/>
              <w:numPr>
                <w:ilvl w:val="0"/>
                <w:numId w:val="0"/>
              </w:numPr>
              <w:spacing w:after="0" w:line="240" w:lineRule="auto"/>
              <w:jc w:val="center"/>
              <w:rPr>
                <w:rFonts w:asciiTheme="majorBidi" w:hAnsiTheme="majorBidi" w:cstheme="majorBidi"/>
                <w:b/>
                <w:bCs/>
                <w:sz w:val="20"/>
                <w:szCs w:val="20"/>
              </w:rPr>
            </w:pPr>
            <w:r w:rsidRPr="002C6F76">
              <w:rPr>
                <w:rFonts w:asciiTheme="majorBidi" w:hAnsiTheme="majorBidi" w:cstheme="majorBidi"/>
                <w:b/>
                <w:bCs/>
                <w:sz w:val="20"/>
                <w:szCs w:val="20"/>
              </w:rPr>
              <w:t>●</w:t>
            </w:r>
          </w:p>
        </w:tc>
        <w:tc>
          <w:tcPr>
            <w:tcW w:w="1038" w:type="dxa"/>
            <w:shd w:val="clear" w:color="auto" w:fill="auto"/>
          </w:tcPr>
          <w:p w14:paraId="432E4E79" w14:textId="77777777" w:rsidR="00EC0702" w:rsidRPr="002C6F76" w:rsidRDefault="00EC0702" w:rsidP="006C3F03">
            <w:pPr>
              <w:pStyle w:val="ListBullet"/>
              <w:numPr>
                <w:ilvl w:val="0"/>
                <w:numId w:val="0"/>
              </w:numPr>
              <w:spacing w:after="0" w:line="276" w:lineRule="auto"/>
              <w:jc w:val="center"/>
              <w:rPr>
                <w:rFonts w:asciiTheme="majorBidi" w:hAnsiTheme="majorBidi" w:cstheme="majorBidi"/>
                <w:b/>
                <w:bCs/>
                <w:sz w:val="20"/>
                <w:szCs w:val="20"/>
              </w:rPr>
            </w:pPr>
            <w:r w:rsidRPr="002C6F76">
              <w:rPr>
                <w:rFonts w:asciiTheme="majorBidi" w:hAnsiTheme="majorBidi" w:cstheme="majorBidi"/>
                <w:b/>
                <w:bCs/>
                <w:sz w:val="20"/>
                <w:szCs w:val="20"/>
              </w:rPr>
              <w:t>●</w:t>
            </w:r>
          </w:p>
        </w:tc>
        <w:tc>
          <w:tcPr>
            <w:tcW w:w="1127" w:type="dxa"/>
            <w:shd w:val="clear" w:color="auto" w:fill="auto"/>
          </w:tcPr>
          <w:p w14:paraId="6285632D" w14:textId="77777777" w:rsidR="00EC0702" w:rsidRPr="002C6F76" w:rsidRDefault="00EC0702" w:rsidP="002B6272">
            <w:pPr>
              <w:pStyle w:val="ListBullet"/>
              <w:numPr>
                <w:ilvl w:val="0"/>
                <w:numId w:val="0"/>
              </w:numPr>
              <w:spacing w:after="0" w:line="240" w:lineRule="auto"/>
              <w:ind w:left="-118"/>
              <w:jc w:val="center"/>
              <w:rPr>
                <w:rFonts w:asciiTheme="majorBidi" w:hAnsiTheme="majorBidi" w:cstheme="majorBidi"/>
                <w:b/>
                <w:bCs/>
                <w:sz w:val="20"/>
                <w:szCs w:val="20"/>
              </w:rPr>
            </w:pPr>
            <w:r w:rsidRPr="002C6F76">
              <w:rPr>
                <w:rFonts w:asciiTheme="majorBidi" w:hAnsiTheme="majorBidi" w:cstheme="majorBidi"/>
                <w:b/>
                <w:bCs/>
                <w:sz w:val="20"/>
                <w:szCs w:val="20"/>
              </w:rPr>
              <w:t>–</w:t>
            </w:r>
          </w:p>
        </w:tc>
      </w:tr>
      <w:tr w:rsidR="00EC0702" w:rsidRPr="002C6F76" w14:paraId="2B584D1E" w14:textId="77777777" w:rsidTr="002B6272">
        <w:trPr>
          <w:trHeight w:val="99"/>
          <w:jc w:val="center"/>
        </w:trPr>
        <w:tc>
          <w:tcPr>
            <w:tcW w:w="1838" w:type="dxa"/>
            <w:vMerge/>
          </w:tcPr>
          <w:p w14:paraId="10E958AF" w14:textId="77777777" w:rsidR="00EC0702" w:rsidRPr="002C6F76" w:rsidRDefault="00EC0702" w:rsidP="003A1813">
            <w:pPr>
              <w:pStyle w:val="ListBullet"/>
              <w:numPr>
                <w:ilvl w:val="0"/>
                <w:numId w:val="0"/>
              </w:numPr>
              <w:spacing w:after="0" w:line="276" w:lineRule="auto"/>
              <w:ind w:left="357" w:hanging="309"/>
              <w:jc w:val="left"/>
              <w:rPr>
                <w:sz w:val="20"/>
                <w:szCs w:val="20"/>
              </w:rPr>
            </w:pPr>
          </w:p>
        </w:tc>
        <w:tc>
          <w:tcPr>
            <w:tcW w:w="4242" w:type="dxa"/>
            <w:shd w:val="clear" w:color="auto" w:fill="auto"/>
            <w:vAlign w:val="center"/>
          </w:tcPr>
          <w:p w14:paraId="62FBE3A0" w14:textId="77777777" w:rsidR="00EC0702" w:rsidRPr="002C6F76" w:rsidRDefault="00EC0702" w:rsidP="003B0F84">
            <w:pPr>
              <w:pStyle w:val="ListBullet"/>
              <w:numPr>
                <w:ilvl w:val="0"/>
                <w:numId w:val="0"/>
              </w:numPr>
              <w:spacing w:after="0" w:line="276" w:lineRule="auto"/>
              <w:ind w:left="15" w:firstLine="18"/>
              <w:jc w:val="left"/>
              <w:rPr>
                <w:sz w:val="20"/>
                <w:szCs w:val="20"/>
                <w:lang w:eastAsia="en-GB"/>
              </w:rPr>
            </w:pPr>
            <w:r w:rsidRPr="002C6F76">
              <w:rPr>
                <w:sz w:val="20"/>
                <w:szCs w:val="20"/>
                <w:lang w:eastAsia="en-GB"/>
              </w:rPr>
              <w:t>Public participation</w:t>
            </w:r>
          </w:p>
        </w:tc>
        <w:tc>
          <w:tcPr>
            <w:tcW w:w="1105" w:type="dxa"/>
            <w:shd w:val="clear" w:color="auto" w:fill="auto"/>
          </w:tcPr>
          <w:p w14:paraId="745857D9" w14:textId="77777777" w:rsidR="00EC0702" w:rsidRPr="002C6F76" w:rsidRDefault="00EC0702" w:rsidP="003A1813">
            <w:pPr>
              <w:pStyle w:val="ListBullet"/>
              <w:numPr>
                <w:ilvl w:val="0"/>
                <w:numId w:val="0"/>
              </w:numPr>
              <w:spacing w:after="0" w:line="240" w:lineRule="auto"/>
              <w:jc w:val="center"/>
              <w:rPr>
                <w:rFonts w:asciiTheme="majorBidi" w:hAnsiTheme="majorBidi" w:cstheme="majorBidi"/>
                <w:b/>
                <w:bCs/>
                <w:sz w:val="20"/>
                <w:szCs w:val="20"/>
              </w:rPr>
            </w:pPr>
            <w:r w:rsidRPr="002C6F76">
              <w:rPr>
                <w:rFonts w:asciiTheme="majorBidi" w:hAnsiTheme="majorBidi" w:cstheme="majorBidi"/>
                <w:b/>
                <w:bCs/>
                <w:sz w:val="20"/>
                <w:szCs w:val="20"/>
              </w:rPr>
              <w:t>●</w:t>
            </w:r>
          </w:p>
        </w:tc>
        <w:tc>
          <w:tcPr>
            <w:tcW w:w="1038" w:type="dxa"/>
            <w:shd w:val="clear" w:color="auto" w:fill="auto"/>
          </w:tcPr>
          <w:p w14:paraId="7C2F2128" w14:textId="77777777" w:rsidR="00EC0702" w:rsidRPr="002C6F76" w:rsidRDefault="00EC0702" w:rsidP="006C3F03">
            <w:pPr>
              <w:pStyle w:val="ListBullet"/>
              <w:numPr>
                <w:ilvl w:val="0"/>
                <w:numId w:val="0"/>
              </w:numPr>
              <w:spacing w:after="0" w:line="276" w:lineRule="auto"/>
              <w:jc w:val="center"/>
              <w:rPr>
                <w:rFonts w:asciiTheme="majorBidi" w:hAnsiTheme="majorBidi" w:cstheme="majorBidi"/>
                <w:b/>
                <w:bCs/>
                <w:sz w:val="20"/>
                <w:szCs w:val="20"/>
              </w:rPr>
            </w:pPr>
            <w:r w:rsidRPr="002C6F76">
              <w:rPr>
                <w:rFonts w:asciiTheme="majorBidi" w:hAnsiTheme="majorBidi" w:cstheme="majorBidi"/>
                <w:b/>
                <w:bCs/>
                <w:sz w:val="20"/>
                <w:szCs w:val="20"/>
              </w:rPr>
              <w:t>●</w:t>
            </w:r>
          </w:p>
        </w:tc>
        <w:tc>
          <w:tcPr>
            <w:tcW w:w="1127" w:type="dxa"/>
            <w:shd w:val="clear" w:color="auto" w:fill="auto"/>
          </w:tcPr>
          <w:p w14:paraId="3717E927" w14:textId="77777777" w:rsidR="00EC0702" w:rsidRPr="002C6F76" w:rsidRDefault="00EC0702" w:rsidP="002B6272">
            <w:pPr>
              <w:pStyle w:val="ListBullet"/>
              <w:numPr>
                <w:ilvl w:val="0"/>
                <w:numId w:val="0"/>
              </w:numPr>
              <w:spacing w:after="0" w:line="240" w:lineRule="auto"/>
              <w:ind w:left="-118"/>
              <w:jc w:val="center"/>
              <w:rPr>
                <w:rFonts w:asciiTheme="majorBidi" w:hAnsiTheme="majorBidi" w:cstheme="majorBidi"/>
                <w:b/>
                <w:bCs/>
                <w:sz w:val="20"/>
                <w:szCs w:val="20"/>
              </w:rPr>
            </w:pPr>
            <w:r w:rsidRPr="002C6F76">
              <w:rPr>
                <w:rFonts w:asciiTheme="majorBidi" w:hAnsiTheme="majorBidi" w:cstheme="majorBidi"/>
                <w:b/>
                <w:bCs/>
                <w:sz w:val="20"/>
                <w:szCs w:val="20"/>
              </w:rPr>
              <w:t>–</w:t>
            </w:r>
          </w:p>
        </w:tc>
      </w:tr>
      <w:tr w:rsidR="00EC0702" w:rsidRPr="002C6F76" w14:paraId="06C86342" w14:textId="77777777" w:rsidTr="002B6272">
        <w:trPr>
          <w:trHeight w:val="242"/>
          <w:jc w:val="center"/>
        </w:trPr>
        <w:tc>
          <w:tcPr>
            <w:tcW w:w="1838" w:type="dxa"/>
            <w:vMerge/>
          </w:tcPr>
          <w:p w14:paraId="75934A77" w14:textId="77777777" w:rsidR="00EC0702" w:rsidRPr="002C6F76" w:rsidRDefault="00EC0702" w:rsidP="003A1813">
            <w:pPr>
              <w:pStyle w:val="ListBullet"/>
              <w:numPr>
                <w:ilvl w:val="0"/>
                <w:numId w:val="0"/>
              </w:numPr>
              <w:spacing w:after="0" w:line="276" w:lineRule="auto"/>
              <w:ind w:left="357" w:hanging="309"/>
              <w:jc w:val="left"/>
              <w:rPr>
                <w:sz w:val="20"/>
                <w:szCs w:val="20"/>
              </w:rPr>
            </w:pPr>
          </w:p>
        </w:tc>
        <w:tc>
          <w:tcPr>
            <w:tcW w:w="4242" w:type="dxa"/>
            <w:shd w:val="clear" w:color="auto" w:fill="auto"/>
            <w:vAlign w:val="center"/>
          </w:tcPr>
          <w:p w14:paraId="2E9CBDE1" w14:textId="77777777" w:rsidR="00EC0702" w:rsidRPr="002C6F76" w:rsidRDefault="00EC0702" w:rsidP="003B0F84">
            <w:pPr>
              <w:pStyle w:val="ListBullet"/>
              <w:numPr>
                <w:ilvl w:val="0"/>
                <w:numId w:val="0"/>
              </w:numPr>
              <w:spacing w:after="0" w:line="276" w:lineRule="auto"/>
              <w:ind w:left="15" w:firstLine="18"/>
              <w:jc w:val="left"/>
              <w:rPr>
                <w:sz w:val="20"/>
                <w:szCs w:val="20"/>
                <w:lang w:eastAsia="en-GB"/>
              </w:rPr>
            </w:pPr>
            <w:r w:rsidRPr="002C6F76">
              <w:rPr>
                <w:sz w:val="20"/>
                <w:szCs w:val="20"/>
                <w:lang w:eastAsia="en-GB"/>
              </w:rPr>
              <w:t xml:space="preserve">EIA reviewing </w:t>
            </w:r>
          </w:p>
        </w:tc>
        <w:tc>
          <w:tcPr>
            <w:tcW w:w="1105" w:type="dxa"/>
            <w:shd w:val="clear" w:color="auto" w:fill="auto"/>
          </w:tcPr>
          <w:p w14:paraId="4E2D23F3" w14:textId="77777777" w:rsidR="00EC0702" w:rsidRPr="002C6F76" w:rsidRDefault="00EC0702" w:rsidP="003A1813">
            <w:pPr>
              <w:pStyle w:val="ListBullet"/>
              <w:numPr>
                <w:ilvl w:val="0"/>
                <w:numId w:val="0"/>
              </w:numPr>
              <w:spacing w:after="0" w:line="240" w:lineRule="auto"/>
              <w:jc w:val="center"/>
              <w:rPr>
                <w:rFonts w:asciiTheme="majorBidi" w:hAnsiTheme="majorBidi" w:cstheme="majorBidi"/>
                <w:b/>
                <w:bCs/>
                <w:sz w:val="20"/>
                <w:szCs w:val="20"/>
              </w:rPr>
            </w:pPr>
            <w:r w:rsidRPr="002C6F76">
              <w:rPr>
                <w:rFonts w:asciiTheme="majorBidi" w:hAnsiTheme="majorBidi" w:cstheme="majorBidi"/>
                <w:b/>
                <w:bCs/>
                <w:sz w:val="20"/>
                <w:szCs w:val="20"/>
              </w:rPr>
              <w:t>–</w:t>
            </w:r>
          </w:p>
        </w:tc>
        <w:tc>
          <w:tcPr>
            <w:tcW w:w="1038" w:type="dxa"/>
            <w:shd w:val="clear" w:color="auto" w:fill="auto"/>
          </w:tcPr>
          <w:p w14:paraId="34C8F87F" w14:textId="77777777" w:rsidR="00EC0702" w:rsidRPr="002C6F76" w:rsidRDefault="00EC0702" w:rsidP="006C3F03">
            <w:pPr>
              <w:pStyle w:val="ListBullet"/>
              <w:numPr>
                <w:ilvl w:val="0"/>
                <w:numId w:val="0"/>
              </w:numPr>
              <w:spacing w:after="0" w:line="276" w:lineRule="auto"/>
              <w:jc w:val="center"/>
              <w:rPr>
                <w:rFonts w:asciiTheme="majorBidi" w:hAnsiTheme="majorBidi" w:cstheme="majorBidi"/>
                <w:b/>
                <w:bCs/>
                <w:sz w:val="20"/>
                <w:szCs w:val="20"/>
              </w:rPr>
            </w:pPr>
            <w:r w:rsidRPr="002C6F76">
              <w:rPr>
                <w:rFonts w:asciiTheme="majorBidi" w:hAnsiTheme="majorBidi" w:cstheme="majorBidi"/>
                <w:b/>
                <w:bCs/>
                <w:sz w:val="20"/>
                <w:szCs w:val="20"/>
              </w:rPr>
              <w:t>●</w:t>
            </w:r>
          </w:p>
        </w:tc>
        <w:tc>
          <w:tcPr>
            <w:tcW w:w="1127" w:type="dxa"/>
            <w:shd w:val="clear" w:color="auto" w:fill="auto"/>
          </w:tcPr>
          <w:p w14:paraId="1CF1E419" w14:textId="77777777" w:rsidR="00EC0702" w:rsidRPr="002C6F76" w:rsidRDefault="00EC0702" w:rsidP="002B6272">
            <w:pPr>
              <w:pStyle w:val="ListBullet"/>
              <w:numPr>
                <w:ilvl w:val="0"/>
                <w:numId w:val="0"/>
              </w:numPr>
              <w:spacing w:after="0" w:line="240" w:lineRule="auto"/>
              <w:ind w:left="-118"/>
              <w:jc w:val="center"/>
              <w:rPr>
                <w:rFonts w:asciiTheme="majorBidi" w:hAnsiTheme="majorBidi" w:cstheme="majorBidi"/>
                <w:b/>
                <w:bCs/>
                <w:sz w:val="20"/>
                <w:szCs w:val="20"/>
              </w:rPr>
            </w:pPr>
            <w:r w:rsidRPr="002C6F76">
              <w:rPr>
                <w:rFonts w:asciiTheme="majorBidi" w:hAnsiTheme="majorBidi" w:cstheme="majorBidi"/>
                <w:b/>
                <w:bCs/>
                <w:sz w:val="20"/>
                <w:szCs w:val="20"/>
              </w:rPr>
              <w:t>–</w:t>
            </w:r>
          </w:p>
        </w:tc>
      </w:tr>
      <w:tr w:rsidR="00EC0702" w:rsidRPr="002C6F76" w14:paraId="3D530142" w14:textId="77777777" w:rsidTr="002B6272">
        <w:trPr>
          <w:trHeight w:val="350"/>
          <w:jc w:val="center"/>
        </w:trPr>
        <w:tc>
          <w:tcPr>
            <w:tcW w:w="1838" w:type="dxa"/>
            <w:vMerge/>
          </w:tcPr>
          <w:p w14:paraId="50949C17" w14:textId="77777777" w:rsidR="00EC0702" w:rsidRPr="002C6F76" w:rsidRDefault="00EC0702" w:rsidP="003A1813">
            <w:pPr>
              <w:pStyle w:val="ListBullet"/>
              <w:numPr>
                <w:ilvl w:val="0"/>
                <w:numId w:val="0"/>
              </w:numPr>
              <w:spacing w:after="0" w:line="276" w:lineRule="auto"/>
              <w:ind w:left="357" w:hanging="309"/>
              <w:jc w:val="left"/>
              <w:rPr>
                <w:sz w:val="20"/>
                <w:szCs w:val="20"/>
                <w:lang w:eastAsia="en-GB"/>
              </w:rPr>
            </w:pPr>
          </w:p>
        </w:tc>
        <w:tc>
          <w:tcPr>
            <w:tcW w:w="4242" w:type="dxa"/>
            <w:shd w:val="clear" w:color="auto" w:fill="auto"/>
            <w:vAlign w:val="center"/>
          </w:tcPr>
          <w:p w14:paraId="7034F246" w14:textId="77777777" w:rsidR="00EC0702" w:rsidRPr="002C6F76" w:rsidRDefault="000651E4" w:rsidP="000651E4">
            <w:pPr>
              <w:pStyle w:val="ListBullet"/>
              <w:numPr>
                <w:ilvl w:val="0"/>
                <w:numId w:val="0"/>
              </w:numPr>
              <w:spacing w:after="0" w:line="276" w:lineRule="auto"/>
              <w:ind w:left="360" w:hanging="360"/>
              <w:jc w:val="left"/>
              <w:rPr>
                <w:sz w:val="20"/>
                <w:szCs w:val="20"/>
              </w:rPr>
            </w:pPr>
            <w:r w:rsidRPr="002C6F76">
              <w:rPr>
                <w:sz w:val="20"/>
                <w:szCs w:val="20"/>
              </w:rPr>
              <w:t>EIA Follow-up</w:t>
            </w:r>
          </w:p>
        </w:tc>
        <w:tc>
          <w:tcPr>
            <w:tcW w:w="1105" w:type="dxa"/>
            <w:shd w:val="clear" w:color="auto" w:fill="auto"/>
          </w:tcPr>
          <w:p w14:paraId="3A3F520E" w14:textId="77777777" w:rsidR="00EC0702" w:rsidRPr="002C6F76" w:rsidRDefault="000651E4" w:rsidP="003A1813">
            <w:pPr>
              <w:pStyle w:val="ListBullet"/>
              <w:numPr>
                <w:ilvl w:val="0"/>
                <w:numId w:val="0"/>
              </w:numPr>
              <w:spacing w:after="0" w:line="240" w:lineRule="auto"/>
              <w:jc w:val="center"/>
              <w:rPr>
                <w:rFonts w:asciiTheme="majorBidi" w:hAnsiTheme="majorBidi" w:cstheme="majorBidi"/>
                <w:b/>
                <w:bCs/>
                <w:sz w:val="20"/>
                <w:szCs w:val="20"/>
              </w:rPr>
            </w:pPr>
            <w:r w:rsidRPr="002C6F76">
              <w:rPr>
                <w:rFonts w:asciiTheme="majorBidi" w:hAnsiTheme="majorBidi" w:cstheme="majorBidi"/>
                <w:b/>
                <w:bCs/>
                <w:sz w:val="20"/>
                <w:szCs w:val="20"/>
              </w:rPr>
              <w:t>–</w:t>
            </w:r>
          </w:p>
        </w:tc>
        <w:tc>
          <w:tcPr>
            <w:tcW w:w="1038" w:type="dxa"/>
            <w:shd w:val="clear" w:color="auto" w:fill="auto"/>
          </w:tcPr>
          <w:p w14:paraId="2A3BA8D9" w14:textId="77777777" w:rsidR="00EC0702" w:rsidRPr="002C6F76" w:rsidRDefault="00EC0702" w:rsidP="006C3F03">
            <w:pPr>
              <w:pStyle w:val="ListBullet"/>
              <w:numPr>
                <w:ilvl w:val="0"/>
                <w:numId w:val="0"/>
              </w:numPr>
              <w:spacing w:after="0" w:line="276" w:lineRule="auto"/>
              <w:jc w:val="center"/>
              <w:rPr>
                <w:rFonts w:asciiTheme="majorBidi" w:hAnsiTheme="majorBidi" w:cstheme="majorBidi"/>
                <w:b/>
                <w:bCs/>
                <w:sz w:val="20"/>
                <w:szCs w:val="20"/>
              </w:rPr>
            </w:pPr>
            <w:r w:rsidRPr="002C6F76">
              <w:rPr>
                <w:rFonts w:asciiTheme="majorBidi" w:hAnsiTheme="majorBidi" w:cstheme="majorBidi"/>
                <w:b/>
                <w:bCs/>
                <w:sz w:val="20"/>
                <w:szCs w:val="20"/>
              </w:rPr>
              <w:t>●</w:t>
            </w:r>
          </w:p>
        </w:tc>
        <w:tc>
          <w:tcPr>
            <w:tcW w:w="1127" w:type="dxa"/>
            <w:shd w:val="clear" w:color="auto" w:fill="auto"/>
          </w:tcPr>
          <w:p w14:paraId="4DC9446E" w14:textId="77777777" w:rsidR="00EC0702" w:rsidRPr="002C6F76" w:rsidRDefault="00EC0702" w:rsidP="002B6272">
            <w:pPr>
              <w:pStyle w:val="ListBullet"/>
              <w:numPr>
                <w:ilvl w:val="0"/>
                <w:numId w:val="0"/>
              </w:numPr>
              <w:spacing w:after="0" w:line="240" w:lineRule="auto"/>
              <w:ind w:left="-118"/>
              <w:jc w:val="center"/>
              <w:rPr>
                <w:rFonts w:asciiTheme="majorBidi" w:hAnsiTheme="majorBidi" w:cstheme="majorBidi"/>
                <w:b/>
                <w:bCs/>
                <w:sz w:val="20"/>
                <w:szCs w:val="20"/>
              </w:rPr>
            </w:pPr>
            <w:r w:rsidRPr="002C6F76">
              <w:rPr>
                <w:rFonts w:asciiTheme="majorBidi" w:hAnsiTheme="majorBidi" w:cstheme="majorBidi"/>
                <w:b/>
                <w:bCs/>
                <w:sz w:val="20"/>
                <w:szCs w:val="20"/>
              </w:rPr>
              <w:t>–</w:t>
            </w:r>
          </w:p>
        </w:tc>
      </w:tr>
    </w:tbl>
    <w:p w14:paraId="34641DE4" w14:textId="77777777" w:rsidR="00F15509" w:rsidRPr="002C6F76" w:rsidRDefault="00F15509" w:rsidP="003B0F84">
      <w:pPr>
        <w:pStyle w:val="ListBullet"/>
        <w:numPr>
          <w:ilvl w:val="0"/>
          <w:numId w:val="0"/>
        </w:numPr>
        <w:spacing w:after="0" w:line="276" w:lineRule="auto"/>
        <w:ind w:left="15" w:firstLine="18"/>
        <w:jc w:val="left"/>
        <w:rPr>
          <w:sz w:val="20"/>
          <w:szCs w:val="20"/>
        </w:rPr>
      </w:pPr>
      <w:r w:rsidRPr="002C6F76">
        <w:rPr>
          <w:sz w:val="20"/>
          <w:szCs w:val="20"/>
        </w:rPr>
        <w:t>Source: Adapted from Na</w:t>
      </w:r>
      <w:r w:rsidR="00A96F32" w:rsidRPr="002C6F76">
        <w:rPr>
          <w:sz w:val="20"/>
          <w:szCs w:val="20"/>
        </w:rPr>
        <w:t>d</w:t>
      </w:r>
      <w:r w:rsidRPr="002C6F76">
        <w:rPr>
          <w:sz w:val="20"/>
          <w:szCs w:val="20"/>
        </w:rPr>
        <w:t>eem and Hameed (2008)</w:t>
      </w:r>
      <w:r w:rsidR="00066BD8" w:rsidRPr="002C6F76">
        <w:rPr>
          <w:sz w:val="20"/>
          <w:szCs w:val="20"/>
        </w:rPr>
        <w:t xml:space="preserve">. </w:t>
      </w:r>
    </w:p>
    <w:p w14:paraId="7FDB704B" w14:textId="77777777" w:rsidR="00B666A8" w:rsidRPr="002C6F76" w:rsidRDefault="00F15851" w:rsidP="00B666A8">
      <w:pPr>
        <w:pStyle w:val="ListBullet"/>
        <w:numPr>
          <w:ilvl w:val="0"/>
          <w:numId w:val="0"/>
        </w:numPr>
        <w:spacing w:after="0" w:line="276" w:lineRule="auto"/>
        <w:jc w:val="left"/>
        <w:rPr>
          <w:sz w:val="20"/>
          <w:szCs w:val="20"/>
        </w:rPr>
      </w:pPr>
      <w:r w:rsidRPr="002C6F76">
        <w:rPr>
          <w:rFonts w:asciiTheme="majorBidi" w:hAnsiTheme="majorBidi" w:cstheme="majorBidi"/>
          <w:b/>
          <w:bCs/>
          <w:sz w:val="20"/>
          <w:szCs w:val="20"/>
        </w:rPr>
        <w:t>–</w:t>
      </w:r>
      <w:r w:rsidR="00066BD8" w:rsidRPr="002C6F76">
        <w:rPr>
          <w:sz w:val="20"/>
          <w:szCs w:val="20"/>
        </w:rPr>
        <w:t xml:space="preserve"> Information not available.</w:t>
      </w:r>
    </w:p>
    <w:p w14:paraId="206FDD7E" w14:textId="114F2C80" w:rsidR="00066BD8" w:rsidRDefault="00F15851" w:rsidP="00B666A8">
      <w:pPr>
        <w:pStyle w:val="ListBullet"/>
        <w:numPr>
          <w:ilvl w:val="0"/>
          <w:numId w:val="0"/>
        </w:numPr>
        <w:spacing w:after="0" w:line="276" w:lineRule="auto"/>
        <w:jc w:val="left"/>
        <w:rPr>
          <w:sz w:val="20"/>
          <w:szCs w:val="20"/>
        </w:rPr>
      </w:pPr>
      <w:r w:rsidRPr="002C6F76">
        <w:rPr>
          <w:rFonts w:ascii="Calibri" w:hAnsi="Calibri" w:cs="Calibri"/>
          <w:b/>
          <w:bCs/>
          <w:sz w:val="20"/>
          <w:szCs w:val="20"/>
        </w:rPr>
        <w:t>●</w:t>
      </w:r>
      <w:r w:rsidR="00066BD8" w:rsidRPr="002C6F76">
        <w:rPr>
          <w:rFonts w:ascii="Calibri" w:hAnsi="Calibri" w:cs="Calibri"/>
          <w:sz w:val="24"/>
          <w:szCs w:val="24"/>
        </w:rPr>
        <w:t xml:space="preserve"> </w:t>
      </w:r>
      <w:r w:rsidR="00066BD8" w:rsidRPr="002C6F76">
        <w:rPr>
          <w:sz w:val="20"/>
          <w:szCs w:val="20"/>
        </w:rPr>
        <w:t>Information available.</w:t>
      </w:r>
    </w:p>
    <w:p w14:paraId="256AE1F3" w14:textId="6A897C3A" w:rsidR="00C51334" w:rsidRDefault="00C51334" w:rsidP="0029290B">
      <w:pPr>
        <w:pStyle w:val="ListBullet"/>
        <w:numPr>
          <w:ilvl w:val="0"/>
          <w:numId w:val="0"/>
        </w:numPr>
        <w:spacing w:after="0" w:line="276" w:lineRule="auto"/>
        <w:jc w:val="center"/>
        <w:rPr>
          <w:sz w:val="20"/>
          <w:szCs w:val="20"/>
        </w:rPr>
      </w:pPr>
      <w:r w:rsidRPr="002C6F76">
        <w:rPr>
          <w:rFonts w:asciiTheme="majorBidi" w:hAnsiTheme="majorBidi" w:cstheme="majorBidi"/>
          <w:b/>
          <w:bCs/>
          <w:sz w:val="20"/>
          <w:szCs w:val="20"/>
        </w:rPr>
        <w:t>Table 2. List of evaluation criteria and sub criteria used to analyse the EIA system of Iran</w:t>
      </w:r>
    </w:p>
    <w:p w14:paraId="0F26527D" w14:textId="77777777" w:rsidR="0069442F" w:rsidRPr="002C6F76" w:rsidRDefault="0069442F" w:rsidP="00B666A8">
      <w:pPr>
        <w:pStyle w:val="ListBullet"/>
        <w:numPr>
          <w:ilvl w:val="0"/>
          <w:numId w:val="0"/>
        </w:numPr>
        <w:spacing w:after="0" w:line="276" w:lineRule="auto"/>
        <w:jc w:val="left"/>
        <w:rPr>
          <w:sz w:val="24"/>
          <w:szCs w:val="24"/>
        </w:rPr>
      </w:pPr>
    </w:p>
    <w:p w14:paraId="17408833" w14:textId="44A7FD6A" w:rsidR="003A2988" w:rsidRDefault="00C731E6" w:rsidP="00297438">
      <w:pPr>
        <w:spacing w:after="0"/>
      </w:pPr>
      <w:r w:rsidRPr="002C6F76">
        <w:t xml:space="preserve">With regards to </w:t>
      </w:r>
      <w:r w:rsidR="009A4516">
        <w:t xml:space="preserve">the </w:t>
      </w:r>
      <w:r w:rsidRPr="002C6F76">
        <w:t xml:space="preserve">literature review, it was noted that little published information is available on the Iranian EIA system. Due to the embryonic </w:t>
      </w:r>
      <w:r w:rsidR="003A2988" w:rsidRPr="002C6F76">
        <w:t xml:space="preserve">state </w:t>
      </w:r>
      <w:r w:rsidRPr="002C6F76">
        <w:t xml:space="preserve">of EIA research within the country, </w:t>
      </w:r>
      <w:r w:rsidR="003A2988" w:rsidRPr="002C6F76">
        <w:t xml:space="preserve">a </w:t>
      </w:r>
      <w:r w:rsidRPr="002C6F76">
        <w:t xml:space="preserve">literature review in itself </w:t>
      </w:r>
      <w:r w:rsidR="009A4516">
        <w:t xml:space="preserve">wouldn’t have </w:t>
      </w:r>
      <w:r w:rsidRPr="002C6F76">
        <w:t>provide</w:t>
      </w:r>
      <w:r w:rsidR="009A4516">
        <w:t>d a</w:t>
      </w:r>
      <w:r w:rsidRPr="002C6F76">
        <w:t xml:space="preserve"> </w:t>
      </w:r>
      <w:r w:rsidR="003A2988" w:rsidRPr="002C6F76">
        <w:t xml:space="preserve">sufficient </w:t>
      </w:r>
      <w:r w:rsidR="00E17AA1">
        <w:t xml:space="preserve">level of </w:t>
      </w:r>
      <w:r w:rsidRPr="002C6F76">
        <w:t xml:space="preserve">understanding. </w:t>
      </w:r>
      <w:r w:rsidR="003A2988" w:rsidRPr="002C6F76">
        <w:t>Consequently</w:t>
      </w:r>
      <w:r w:rsidRPr="002C6F76">
        <w:t>, semi-</w:t>
      </w:r>
      <w:r w:rsidRPr="002C6F76">
        <w:lastRenderedPageBreak/>
        <w:t xml:space="preserve">structured interviews were </w:t>
      </w:r>
      <w:r w:rsidR="00BB1E15">
        <w:t xml:space="preserve">conducted </w:t>
      </w:r>
      <w:r w:rsidR="00E17AA1">
        <w:t xml:space="preserve">with </w:t>
      </w:r>
      <w:r w:rsidRPr="002C6F76">
        <w:t>EIA actors</w:t>
      </w:r>
      <w:r w:rsidR="00BB1E15">
        <w:t xml:space="preserve">, taking into account </w:t>
      </w:r>
      <w:r w:rsidRPr="002C6F76">
        <w:t>differen</w:t>
      </w:r>
      <w:r w:rsidR="00BB1E15">
        <w:t>t</w:t>
      </w:r>
      <w:r w:rsidRPr="002C6F76">
        <w:t xml:space="preserve"> perceptions of different actors</w:t>
      </w:r>
      <w:r w:rsidR="003A2988" w:rsidRPr="002C6F76">
        <w:t>. F</w:t>
      </w:r>
      <w:r w:rsidR="00297438" w:rsidRPr="002C6F76">
        <w:t xml:space="preserve">or </w:t>
      </w:r>
      <w:r w:rsidR="003A2988" w:rsidRPr="002C6F76">
        <w:t>example,</w:t>
      </w:r>
      <w:r w:rsidRPr="002C6F76">
        <w:t xml:space="preserve"> consultants earning money from </w:t>
      </w:r>
      <w:r w:rsidR="00E17AA1">
        <w:t xml:space="preserve">preparing </w:t>
      </w:r>
      <w:r w:rsidRPr="002C6F76">
        <w:t xml:space="preserve">EIA </w:t>
      </w:r>
      <w:r w:rsidR="00E17AA1">
        <w:t xml:space="preserve">reports </w:t>
      </w:r>
      <w:r w:rsidR="00D85377" w:rsidRPr="002C6F76">
        <w:t>c</w:t>
      </w:r>
      <w:r w:rsidR="00E17AA1">
        <w:t>ould</w:t>
      </w:r>
      <w:r w:rsidR="00D85377" w:rsidRPr="002C6F76">
        <w:t xml:space="preserve"> be </w:t>
      </w:r>
      <w:r w:rsidRPr="002C6F76">
        <w:t xml:space="preserve">more positive than a proponent paying for it (Arts et al., 2012). Care was </w:t>
      </w:r>
      <w:r w:rsidR="00BB1E15">
        <w:t xml:space="preserve">thus </w:t>
      </w:r>
      <w:r w:rsidR="00E17AA1">
        <w:t xml:space="preserve">taken </w:t>
      </w:r>
      <w:r w:rsidRPr="002C6F76">
        <w:t xml:space="preserve">to </w:t>
      </w:r>
      <w:r w:rsidR="00E17AA1">
        <w:t xml:space="preserve">have a good mix of </w:t>
      </w:r>
      <w:r w:rsidRPr="002C6F76">
        <w:t xml:space="preserve">interviewees </w:t>
      </w:r>
      <w:r w:rsidR="00E17AA1">
        <w:t xml:space="preserve">representing </w:t>
      </w:r>
      <w:r w:rsidRPr="002C6F76">
        <w:t>competent authorities, consultancies, universities, NGOs and proponents</w:t>
      </w:r>
      <w:r w:rsidR="00645365">
        <w:t xml:space="preserve">. This is </w:t>
      </w:r>
      <w:r w:rsidRPr="002C6F76">
        <w:t>illustrated in Fig</w:t>
      </w:r>
      <w:r w:rsidR="003A2988" w:rsidRPr="002C6F76">
        <w:t>ure</w:t>
      </w:r>
      <w:r w:rsidRPr="002C6F76">
        <w:t xml:space="preserve"> </w:t>
      </w:r>
      <w:r w:rsidR="00F9397A" w:rsidRPr="002C6F76">
        <w:t>3</w:t>
      </w:r>
      <w:r w:rsidRPr="002C6F76">
        <w:t xml:space="preserve">. </w:t>
      </w:r>
      <w:r w:rsidR="00420D65" w:rsidRPr="002C6F76">
        <w:t xml:space="preserve">As questions were EIA-specific, </w:t>
      </w:r>
      <w:r w:rsidR="00645365">
        <w:t xml:space="preserve">the general </w:t>
      </w:r>
      <w:r w:rsidR="00696489" w:rsidRPr="002C6F76">
        <w:t>public</w:t>
      </w:r>
      <w:r w:rsidR="00420D65" w:rsidRPr="002C6F76">
        <w:t xml:space="preserve"> </w:t>
      </w:r>
      <w:r w:rsidR="00645365">
        <w:t xml:space="preserve">was </w:t>
      </w:r>
      <w:r w:rsidR="00420D65" w:rsidRPr="002C6F76">
        <w:t xml:space="preserve">not included in the interviews. </w:t>
      </w:r>
      <w:r w:rsidRPr="002C6F76">
        <w:t xml:space="preserve">Thirty interviewees were selected using snowball sampling, commencing with referrals from known contacts in the Iranian EIA community. Due to the range of roles, the sample is representative of all EIA actors at a national level. </w:t>
      </w:r>
    </w:p>
    <w:p w14:paraId="4B9FDCC3" w14:textId="77777777" w:rsidR="005A70BE" w:rsidRPr="002C6F76" w:rsidRDefault="005A70BE" w:rsidP="00297438">
      <w:pPr>
        <w:spacing w:after="0"/>
      </w:pPr>
    </w:p>
    <w:p w14:paraId="21B5CF97" w14:textId="77777777" w:rsidR="00C731E6" w:rsidRPr="002C6F76" w:rsidRDefault="00645365" w:rsidP="00297438">
      <w:pPr>
        <w:spacing w:after="0"/>
      </w:pPr>
      <w:r>
        <w:t>D</w:t>
      </w:r>
      <w:r w:rsidR="00C731E6" w:rsidRPr="002C6F76">
        <w:t xml:space="preserve">ata was further substantiated </w:t>
      </w:r>
      <w:r>
        <w:t>using</w:t>
      </w:r>
      <w:r w:rsidRPr="002C6F76">
        <w:t xml:space="preserve"> </w:t>
      </w:r>
      <w:r w:rsidR="00D85377" w:rsidRPr="002C6F76">
        <w:t>d</w:t>
      </w:r>
      <w:r w:rsidR="00C731E6" w:rsidRPr="002C6F76">
        <w:t>ocumentary review</w:t>
      </w:r>
      <w:r>
        <w:t xml:space="preserve">, </w:t>
      </w:r>
      <w:r w:rsidR="00C731E6" w:rsidRPr="002C6F76">
        <w:t>includ</w:t>
      </w:r>
      <w:r>
        <w:t>ing</w:t>
      </w:r>
      <w:r w:rsidR="00C731E6" w:rsidRPr="002C6F76">
        <w:t xml:space="preserve"> official </w:t>
      </w:r>
      <w:r w:rsidR="00D0354C" w:rsidRPr="002C6F76">
        <w:t xml:space="preserve">publications </w:t>
      </w:r>
      <w:r w:rsidR="00C731E6" w:rsidRPr="002C6F76">
        <w:t xml:space="preserve">such as legislation and reports released by the DoE. </w:t>
      </w:r>
      <w:r>
        <w:t>M</w:t>
      </w:r>
      <w:r w:rsidR="003A2988" w:rsidRPr="002C6F76">
        <w:t xml:space="preserve">ost </w:t>
      </w:r>
      <w:r w:rsidR="00C731E6" w:rsidRPr="002C6F76">
        <w:t xml:space="preserve">of the documents are published in Persian. </w:t>
      </w:r>
      <w:r>
        <w:t xml:space="preserve">They </w:t>
      </w:r>
      <w:r w:rsidR="00C731E6" w:rsidRPr="002C6F76">
        <w:t xml:space="preserve">were translated wherever possible </w:t>
      </w:r>
      <w:r>
        <w:t xml:space="preserve">for consideration in </w:t>
      </w:r>
      <w:r w:rsidR="00C731E6" w:rsidRPr="002C6F76">
        <w:t xml:space="preserve">research. </w:t>
      </w:r>
    </w:p>
    <w:p w14:paraId="56E99D22" w14:textId="19A06BDB" w:rsidR="00DD5BBC" w:rsidRDefault="00DD5BBC" w:rsidP="00297438">
      <w:pPr>
        <w:spacing w:after="0"/>
      </w:pPr>
    </w:p>
    <w:p w14:paraId="3A5669E1" w14:textId="36CDD227" w:rsidR="00204AA8" w:rsidRDefault="00204AA8" w:rsidP="00204AA8">
      <w:pPr>
        <w:spacing w:after="0"/>
        <w:jc w:val="center"/>
      </w:pPr>
      <w:r w:rsidRPr="0016663F">
        <w:rPr>
          <w:noProof/>
          <w:lang w:val="en-GB" w:eastAsia="en-GB" w:bidi="ar-SA"/>
        </w:rPr>
        <w:drawing>
          <wp:inline distT="0" distB="0" distL="0" distR="0" wp14:anchorId="1103FC03" wp14:editId="40CA3B50">
            <wp:extent cx="4641850" cy="2787650"/>
            <wp:effectExtent l="0" t="0" r="6350" b="12700"/>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78EEDCB" w14:textId="77777777" w:rsidR="00420D65" w:rsidRPr="002C6F76" w:rsidRDefault="007C3064" w:rsidP="00022499">
      <w:pPr>
        <w:jc w:val="center"/>
        <w:rPr>
          <w:rFonts w:asciiTheme="majorBidi" w:hAnsiTheme="majorBidi" w:cstheme="majorBidi"/>
          <w:b/>
          <w:bCs/>
          <w:sz w:val="20"/>
          <w:szCs w:val="20"/>
          <w:lang w:val="en-GB"/>
        </w:rPr>
      </w:pPr>
      <w:bookmarkStart w:id="8" w:name="_Toc509390556"/>
      <w:r w:rsidRPr="002C6F76">
        <w:rPr>
          <w:rFonts w:asciiTheme="majorBidi" w:hAnsiTheme="majorBidi" w:cstheme="majorBidi"/>
          <w:b/>
          <w:bCs/>
          <w:sz w:val="20"/>
          <w:szCs w:val="20"/>
          <w:lang w:val="en-GB"/>
        </w:rPr>
        <w:t xml:space="preserve">Fig. </w:t>
      </w:r>
      <w:r w:rsidR="00F9397A" w:rsidRPr="002C6F76">
        <w:rPr>
          <w:rFonts w:asciiTheme="majorBidi" w:hAnsiTheme="majorBidi" w:cstheme="majorBidi"/>
          <w:b/>
          <w:bCs/>
          <w:sz w:val="20"/>
          <w:szCs w:val="20"/>
          <w:lang w:val="en-GB"/>
        </w:rPr>
        <w:t>3</w:t>
      </w:r>
      <w:r w:rsidRPr="002C6F76">
        <w:rPr>
          <w:rFonts w:asciiTheme="majorBidi" w:hAnsiTheme="majorBidi" w:cstheme="majorBidi"/>
          <w:b/>
          <w:bCs/>
          <w:sz w:val="20"/>
          <w:szCs w:val="20"/>
          <w:lang w:val="en-GB"/>
        </w:rPr>
        <w:t xml:space="preserve">. </w:t>
      </w:r>
      <w:r w:rsidR="00F643B6" w:rsidRPr="002C6F76">
        <w:rPr>
          <w:rFonts w:asciiTheme="majorBidi" w:hAnsiTheme="majorBidi" w:cstheme="majorBidi"/>
          <w:b/>
          <w:bCs/>
          <w:sz w:val="20"/>
          <w:szCs w:val="20"/>
          <w:lang w:val="en-GB"/>
        </w:rPr>
        <w:t>Interview participants by organisation type</w:t>
      </w:r>
      <w:bookmarkEnd w:id="8"/>
      <w:r w:rsidR="00645365">
        <w:rPr>
          <w:rFonts w:asciiTheme="majorBidi" w:hAnsiTheme="majorBidi" w:cstheme="majorBidi"/>
          <w:b/>
          <w:bCs/>
          <w:sz w:val="20"/>
          <w:szCs w:val="20"/>
          <w:lang w:val="en-GB"/>
        </w:rPr>
        <w:t xml:space="preserve">; </w:t>
      </w:r>
      <w:r w:rsidR="00645365" w:rsidRPr="00E6460D">
        <w:rPr>
          <w:rFonts w:asciiTheme="majorBidi" w:hAnsiTheme="majorBidi" w:cstheme="majorBidi"/>
          <w:b/>
          <w:bCs/>
          <w:sz w:val="20"/>
          <w:szCs w:val="20"/>
          <w:lang w:val="en-GB"/>
        </w:rPr>
        <w:t>N=30</w:t>
      </w:r>
    </w:p>
    <w:p w14:paraId="41457344" w14:textId="77777777" w:rsidR="00C9131E" w:rsidRPr="002C6F76" w:rsidRDefault="00C9131E" w:rsidP="00A24442">
      <w:pPr>
        <w:autoSpaceDE w:val="0"/>
        <w:autoSpaceDN w:val="0"/>
        <w:adjustRightInd w:val="0"/>
        <w:spacing w:after="0" w:line="480" w:lineRule="auto"/>
        <w:jc w:val="left"/>
        <w:rPr>
          <w:rFonts w:asciiTheme="majorBidi" w:hAnsiTheme="majorBidi" w:cstheme="majorBidi"/>
          <w:bCs/>
          <w:szCs w:val="24"/>
        </w:rPr>
      </w:pPr>
    </w:p>
    <w:p w14:paraId="38A9EFEE" w14:textId="77777777" w:rsidR="00BB1E15" w:rsidRDefault="00BB1E15">
      <w:pPr>
        <w:spacing w:after="200" w:line="276" w:lineRule="auto"/>
        <w:jc w:val="left"/>
        <w:rPr>
          <w:rFonts w:asciiTheme="majorBidi" w:hAnsiTheme="majorBidi" w:cstheme="majorBidi"/>
          <w:b/>
          <w:bCs/>
          <w:color w:val="000000"/>
          <w:szCs w:val="24"/>
          <w:lang w:val="en-GB" w:bidi="ar-SA"/>
        </w:rPr>
      </w:pPr>
      <w:r>
        <w:rPr>
          <w:rFonts w:asciiTheme="majorBidi" w:hAnsiTheme="majorBidi" w:cstheme="majorBidi"/>
          <w:b/>
          <w:bCs/>
          <w:color w:val="000000"/>
          <w:lang w:val="en-GB"/>
        </w:rPr>
        <w:br w:type="page"/>
      </w:r>
    </w:p>
    <w:p w14:paraId="2063CE8C" w14:textId="67C62C9A" w:rsidR="00E42FEF" w:rsidRPr="002C6F76" w:rsidRDefault="00181414" w:rsidP="00A432BF">
      <w:pPr>
        <w:pStyle w:val="ListParagraph"/>
        <w:numPr>
          <w:ilvl w:val="0"/>
          <w:numId w:val="5"/>
        </w:numPr>
        <w:shd w:val="clear" w:color="auto" w:fill="FFFFFF"/>
        <w:spacing w:before="240" w:after="0"/>
        <w:ind w:left="450"/>
        <w:rPr>
          <w:rFonts w:asciiTheme="majorBidi" w:hAnsiTheme="majorBidi" w:cstheme="majorBidi"/>
          <w:b/>
          <w:bCs/>
          <w:lang w:val="en-GB"/>
        </w:rPr>
      </w:pPr>
      <w:r w:rsidRPr="002C6F76">
        <w:rPr>
          <w:rFonts w:asciiTheme="majorBidi" w:hAnsiTheme="majorBidi" w:cstheme="majorBidi"/>
          <w:b/>
          <w:bCs/>
          <w:color w:val="000000"/>
          <w:lang w:val="en-GB"/>
        </w:rPr>
        <w:lastRenderedPageBreak/>
        <w:t>Iran</w:t>
      </w:r>
      <w:r w:rsidR="00645365">
        <w:rPr>
          <w:rFonts w:asciiTheme="majorBidi" w:hAnsiTheme="majorBidi" w:cstheme="majorBidi"/>
          <w:b/>
          <w:bCs/>
          <w:color w:val="000000"/>
          <w:lang w:val="en-GB"/>
        </w:rPr>
        <w:t>’s</w:t>
      </w:r>
      <w:r w:rsidRPr="002C6F76">
        <w:rPr>
          <w:rFonts w:asciiTheme="majorBidi" w:hAnsiTheme="majorBidi" w:cstheme="majorBidi"/>
          <w:b/>
          <w:bCs/>
          <w:color w:val="000000"/>
          <w:lang w:val="en-GB"/>
        </w:rPr>
        <w:t xml:space="preserve"> EIA</w:t>
      </w:r>
      <w:r w:rsidRPr="002C6F76">
        <w:rPr>
          <w:b/>
          <w:bCs/>
        </w:rPr>
        <w:t xml:space="preserve"> system </w:t>
      </w:r>
    </w:p>
    <w:p w14:paraId="2FF79858" w14:textId="633373B0" w:rsidR="006A1815" w:rsidRPr="002C6F76" w:rsidRDefault="00FB3965" w:rsidP="006A1815">
      <w:pPr>
        <w:spacing w:before="240"/>
      </w:pPr>
      <w:r w:rsidRPr="002C6F76">
        <w:t xml:space="preserve">This section </w:t>
      </w:r>
      <w:r w:rsidR="006A1815" w:rsidRPr="002C6F76">
        <w:t xml:space="preserve">presents the </w:t>
      </w:r>
      <w:r w:rsidR="00D0354C" w:rsidRPr="002C6F76">
        <w:t>findings</w:t>
      </w:r>
      <w:r w:rsidR="00BB1E15">
        <w:t>,</w:t>
      </w:r>
      <w:r w:rsidR="00D0354C" w:rsidRPr="002C6F76">
        <w:t xml:space="preserve"> </w:t>
      </w:r>
      <w:r w:rsidR="00BB1E15">
        <w:t xml:space="preserve">following </w:t>
      </w:r>
      <w:r w:rsidR="00D0354C" w:rsidRPr="002C6F76">
        <w:t>the framework ad</w:t>
      </w:r>
      <w:r w:rsidR="003D1098">
        <w:t>a</w:t>
      </w:r>
      <w:r w:rsidR="00D0354C" w:rsidRPr="002C6F76">
        <w:t>pted (</w:t>
      </w:r>
      <w:r w:rsidR="009211DD">
        <w:t>s</w:t>
      </w:r>
      <w:r w:rsidR="009211DD" w:rsidRPr="002C6F76">
        <w:t xml:space="preserve">ee </w:t>
      </w:r>
      <w:r w:rsidR="00D0354C" w:rsidRPr="002C6F76">
        <w:t>Table 2)</w:t>
      </w:r>
      <w:r w:rsidR="00645365">
        <w:t xml:space="preserve">. It is organized along </w:t>
      </w:r>
      <w:r w:rsidR="00D0354C" w:rsidRPr="002C6F76">
        <w:t xml:space="preserve">the headings of </w:t>
      </w:r>
      <w:r w:rsidR="006A1815" w:rsidRPr="002C6F76">
        <w:t xml:space="preserve">EIA legislative </w:t>
      </w:r>
      <w:r w:rsidR="00696489" w:rsidRPr="002C6F76">
        <w:t>provision</w:t>
      </w:r>
      <w:r w:rsidR="006A1815" w:rsidRPr="002C6F76">
        <w:t xml:space="preserve">, EIA process and EIA </w:t>
      </w:r>
      <w:r w:rsidR="003A2988" w:rsidRPr="002C6F76">
        <w:t>administration</w:t>
      </w:r>
      <w:r w:rsidR="006A1815" w:rsidRPr="002C6F76">
        <w:t>.</w:t>
      </w:r>
    </w:p>
    <w:p w14:paraId="489C2662" w14:textId="77777777" w:rsidR="00F25151" w:rsidRPr="002C6F76" w:rsidRDefault="005B116D" w:rsidP="00C65F56">
      <w:pPr>
        <w:pStyle w:val="title2"/>
        <w:numPr>
          <w:ilvl w:val="0"/>
          <w:numId w:val="0"/>
        </w:numPr>
        <w:bidi w:val="0"/>
        <w:jc w:val="both"/>
        <w:rPr>
          <w:rFonts w:asciiTheme="majorBidi" w:hAnsiTheme="majorBidi"/>
          <w:lang w:val="en-GB"/>
        </w:rPr>
      </w:pPr>
      <w:r w:rsidRPr="002C6F76">
        <w:rPr>
          <w:rFonts w:asciiTheme="majorBidi" w:hAnsiTheme="majorBidi" w:cstheme="majorBidi"/>
          <w:b/>
          <w:bCs/>
          <w:i w:val="0"/>
          <w:lang w:val="en-GB"/>
        </w:rPr>
        <w:t>3.1</w:t>
      </w:r>
      <w:r w:rsidR="00E905DB" w:rsidRPr="002C6F76">
        <w:rPr>
          <w:rFonts w:asciiTheme="majorBidi" w:hAnsiTheme="majorBidi" w:cstheme="majorBidi"/>
          <w:b/>
          <w:bCs/>
          <w:i w:val="0"/>
          <w:lang w:val="en-GB"/>
        </w:rPr>
        <w:t>.</w:t>
      </w:r>
      <w:r w:rsidRPr="002C6F76">
        <w:rPr>
          <w:rFonts w:asciiTheme="majorBidi" w:hAnsiTheme="majorBidi" w:cstheme="majorBidi"/>
          <w:b/>
          <w:bCs/>
          <w:i w:val="0"/>
          <w:lang w:val="en-GB"/>
        </w:rPr>
        <w:t xml:space="preserve"> </w:t>
      </w:r>
      <w:bookmarkStart w:id="9" w:name="_Toc509434051"/>
      <w:r w:rsidR="00F25151" w:rsidRPr="002C6F76">
        <w:rPr>
          <w:rFonts w:asciiTheme="majorBidi" w:hAnsiTheme="majorBidi" w:cstheme="majorBidi"/>
          <w:b/>
          <w:bCs/>
          <w:i w:val="0"/>
          <w:lang w:val="en-GB"/>
        </w:rPr>
        <w:t>Legislative provision for EIA</w:t>
      </w:r>
      <w:bookmarkEnd w:id="9"/>
    </w:p>
    <w:p w14:paraId="29796335" w14:textId="77777777" w:rsidR="008F674A" w:rsidRPr="002C6F76" w:rsidRDefault="001020EF" w:rsidP="00D72D70">
      <w:pPr>
        <w:shd w:val="clear" w:color="auto" w:fill="FFFFFF"/>
        <w:spacing w:after="0"/>
      </w:pPr>
      <w:r w:rsidRPr="002C6F76">
        <w:t xml:space="preserve">In some countries, EIA legislation is integral to </w:t>
      </w:r>
      <w:r w:rsidR="00645365">
        <w:t xml:space="preserve">the </w:t>
      </w:r>
      <w:r w:rsidRPr="002C6F76">
        <w:t>general environmental law (</w:t>
      </w:r>
      <w:r w:rsidR="00A84DA0" w:rsidRPr="002C6F76">
        <w:t>Sadler</w:t>
      </w:r>
      <w:r w:rsidRPr="002C6F76">
        <w:t>, 1996;</w:t>
      </w:r>
      <w:r w:rsidR="0078277F" w:rsidRPr="002C6F76">
        <w:t xml:space="preserve"> </w:t>
      </w:r>
      <w:r w:rsidR="00A84DA0" w:rsidRPr="002C6F76">
        <w:t>Wood</w:t>
      </w:r>
      <w:r w:rsidRPr="002C6F76">
        <w:t xml:space="preserve">, 2003). Moradi (2009) claimed that Iranian EIA law is a part of </w:t>
      </w:r>
      <w:r w:rsidR="003A2988" w:rsidRPr="002C6F76">
        <w:t xml:space="preserve">the </w:t>
      </w:r>
      <w:r w:rsidRPr="002C6F76">
        <w:t xml:space="preserve">NDP, </w:t>
      </w:r>
      <w:r w:rsidR="003A2988" w:rsidRPr="002C6F76">
        <w:t xml:space="preserve">which </w:t>
      </w:r>
      <w:r w:rsidRPr="002C6F76">
        <w:t xml:space="preserve">means every NDP should be ratified by </w:t>
      </w:r>
      <w:r w:rsidR="003A2988" w:rsidRPr="002C6F76">
        <w:t>P</w:t>
      </w:r>
      <w:r w:rsidRPr="002C6F76">
        <w:t xml:space="preserve">arliament before each following 5-year period starts. </w:t>
      </w:r>
      <w:r w:rsidR="003A2988" w:rsidRPr="002C6F76">
        <w:t>His</w:t>
      </w:r>
      <w:r w:rsidRPr="002C6F76">
        <w:t xml:space="preserve"> </w:t>
      </w:r>
      <w:r w:rsidR="003A2988" w:rsidRPr="002C6F76">
        <w:t>primary</w:t>
      </w:r>
      <w:r w:rsidRPr="002C6F76">
        <w:t xml:space="preserve"> concern about the Iranian EIA system was the lack of specific parliamentary </w:t>
      </w:r>
      <w:r w:rsidR="00645365">
        <w:t xml:space="preserve">EIA </w:t>
      </w:r>
      <w:r w:rsidRPr="002C6F76">
        <w:t>law. The lack of clear penalties for violations has been highlighted by other authors</w:t>
      </w:r>
      <w:r w:rsidR="00645365">
        <w:t>, too</w:t>
      </w:r>
      <w:r w:rsidRPr="002C6F76">
        <w:t xml:space="preserve"> (Rahmati, 2013). </w:t>
      </w:r>
    </w:p>
    <w:p w14:paraId="30DFA76B" w14:textId="77777777" w:rsidR="006A6A29" w:rsidRPr="002C6F76" w:rsidRDefault="006A6A29" w:rsidP="00D72D70">
      <w:pPr>
        <w:shd w:val="clear" w:color="auto" w:fill="FFFFFF"/>
        <w:spacing w:after="0"/>
      </w:pPr>
    </w:p>
    <w:p w14:paraId="0F948C82" w14:textId="13F73C86" w:rsidR="0029290B" w:rsidRDefault="00022499" w:rsidP="0029290B">
      <w:pPr>
        <w:tabs>
          <w:tab w:val="center" w:pos="4680"/>
          <w:tab w:val="right" w:pos="9360"/>
        </w:tabs>
        <w:spacing w:after="0" w:line="480" w:lineRule="auto"/>
        <w:jc w:val="left"/>
      </w:pPr>
      <w:r>
        <w:tab/>
      </w:r>
      <w:r w:rsidR="006E4F65">
        <w:rPr>
          <w:noProof/>
          <w:lang w:val="en-GB" w:eastAsia="en-GB" w:bidi="ar-SA"/>
        </w:rPr>
        <w:drawing>
          <wp:inline distT="0" distB="0" distL="0" distR="0" wp14:anchorId="731E16BE" wp14:editId="0DAC610F">
            <wp:extent cx="4762500" cy="2768600"/>
            <wp:effectExtent l="19050" t="19050" r="19050" b="12700"/>
            <wp:docPr id="10" name="Picture 10"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 4.jpg"/>
                    <pic:cNvPicPr/>
                  </pic:nvPicPr>
                  <pic:blipFill>
                    <a:blip r:embed="rId13">
                      <a:extLst>
                        <a:ext uri="{28A0092B-C50C-407E-A947-70E740481C1C}">
                          <a14:useLocalDpi xmlns:a14="http://schemas.microsoft.com/office/drawing/2010/main" val="0"/>
                        </a:ext>
                      </a:extLst>
                    </a:blip>
                    <a:stretch>
                      <a:fillRect/>
                    </a:stretch>
                  </pic:blipFill>
                  <pic:spPr>
                    <a:xfrm>
                      <a:off x="0" y="0"/>
                      <a:ext cx="4762500" cy="2768600"/>
                    </a:xfrm>
                    <a:prstGeom prst="rect">
                      <a:avLst/>
                    </a:prstGeom>
                    <a:ln w="12700">
                      <a:solidFill>
                        <a:schemeClr val="tx1"/>
                      </a:solidFill>
                    </a:ln>
                  </pic:spPr>
                </pic:pic>
              </a:graphicData>
            </a:graphic>
          </wp:inline>
        </w:drawing>
      </w:r>
    </w:p>
    <w:p w14:paraId="55CC68A4" w14:textId="1B8EB877" w:rsidR="00AD6AB7" w:rsidRDefault="007C3064" w:rsidP="0029290B">
      <w:pPr>
        <w:tabs>
          <w:tab w:val="center" w:pos="4680"/>
          <w:tab w:val="right" w:pos="9360"/>
        </w:tabs>
        <w:spacing w:after="0" w:line="480" w:lineRule="auto"/>
        <w:jc w:val="center"/>
        <w:rPr>
          <w:rFonts w:asciiTheme="majorBidi" w:hAnsiTheme="majorBidi" w:cstheme="majorBidi"/>
          <w:b/>
          <w:bCs/>
          <w:sz w:val="20"/>
          <w:szCs w:val="20"/>
          <w:lang w:val="en-GB"/>
        </w:rPr>
      </w:pPr>
      <w:bookmarkStart w:id="10" w:name="_Toc509390557"/>
      <w:r w:rsidRPr="002C6F76">
        <w:rPr>
          <w:rFonts w:asciiTheme="majorBidi" w:hAnsiTheme="majorBidi" w:cstheme="majorBidi"/>
          <w:b/>
          <w:bCs/>
          <w:sz w:val="20"/>
          <w:szCs w:val="20"/>
          <w:lang w:val="en-GB"/>
        </w:rPr>
        <w:t>Fig</w:t>
      </w:r>
      <w:r w:rsidRPr="002C6F76">
        <w:rPr>
          <w:rFonts w:asciiTheme="majorBidi" w:eastAsia="Calibri" w:hAnsiTheme="majorBidi" w:cstheme="majorBidi"/>
          <w:b/>
          <w:bCs/>
          <w:sz w:val="20"/>
          <w:szCs w:val="20"/>
          <w:lang w:val="en-GB" w:bidi="ar-SA"/>
        </w:rPr>
        <w:t xml:space="preserve">. </w:t>
      </w:r>
      <w:r w:rsidR="00F9397A" w:rsidRPr="002C6F76">
        <w:rPr>
          <w:rFonts w:asciiTheme="majorBidi" w:eastAsia="Calibri" w:hAnsiTheme="majorBidi" w:cstheme="majorBidi"/>
          <w:b/>
          <w:bCs/>
          <w:sz w:val="20"/>
          <w:szCs w:val="20"/>
          <w:lang w:val="en-GB" w:bidi="ar-SA"/>
        </w:rPr>
        <w:t>4</w:t>
      </w:r>
      <w:r w:rsidR="00D9415E">
        <w:rPr>
          <w:rFonts w:asciiTheme="majorBidi" w:eastAsia="Calibri" w:hAnsiTheme="majorBidi" w:cstheme="majorBidi"/>
          <w:b/>
          <w:bCs/>
          <w:sz w:val="20"/>
          <w:szCs w:val="20"/>
          <w:lang w:val="en-GB" w:bidi="ar-SA"/>
        </w:rPr>
        <w:t>.</w:t>
      </w:r>
      <w:r w:rsidRPr="002C6F76">
        <w:rPr>
          <w:rFonts w:asciiTheme="majorBidi" w:eastAsia="Calibri" w:hAnsiTheme="majorBidi" w:cstheme="majorBidi"/>
          <w:b/>
          <w:bCs/>
          <w:sz w:val="20"/>
          <w:szCs w:val="20"/>
          <w:lang w:val="en-GB" w:bidi="ar-SA"/>
        </w:rPr>
        <w:t xml:space="preserve"> </w:t>
      </w:r>
      <w:r w:rsidR="00AD6AB7" w:rsidRPr="002C6F76">
        <w:rPr>
          <w:rFonts w:asciiTheme="majorBidi" w:eastAsia="Calibri" w:hAnsiTheme="majorBidi" w:cstheme="majorBidi"/>
          <w:b/>
          <w:bCs/>
          <w:sz w:val="20"/>
          <w:szCs w:val="20"/>
          <w:lang w:val="en-GB" w:bidi="ar-SA"/>
        </w:rPr>
        <w:t>Responses</w:t>
      </w:r>
      <w:r w:rsidR="00AD6AB7" w:rsidRPr="002C6F76">
        <w:rPr>
          <w:rFonts w:asciiTheme="majorBidi" w:hAnsiTheme="majorBidi" w:cstheme="majorBidi"/>
          <w:b/>
          <w:bCs/>
          <w:sz w:val="20"/>
          <w:szCs w:val="20"/>
          <w:lang w:val="en-GB"/>
        </w:rPr>
        <w:t xml:space="preserve"> to the question of sufficiency</w:t>
      </w:r>
      <w:bookmarkEnd w:id="10"/>
      <w:r w:rsidR="000068D1">
        <w:rPr>
          <w:rFonts w:asciiTheme="majorBidi" w:hAnsiTheme="majorBidi" w:cstheme="majorBidi"/>
          <w:b/>
          <w:bCs/>
          <w:sz w:val="20"/>
          <w:szCs w:val="20"/>
          <w:lang w:val="en-GB"/>
        </w:rPr>
        <w:t xml:space="preserve"> of</w:t>
      </w:r>
      <w:r w:rsidR="00AD6AB7" w:rsidRPr="002C6F76">
        <w:rPr>
          <w:rFonts w:asciiTheme="majorBidi" w:hAnsiTheme="majorBidi" w:cstheme="majorBidi"/>
          <w:b/>
          <w:bCs/>
          <w:sz w:val="20"/>
          <w:szCs w:val="20"/>
          <w:lang w:val="en-GB"/>
        </w:rPr>
        <w:t xml:space="preserve"> </w:t>
      </w:r>
      <w:r w:rsidR="000068D1" w:rsidRPr="002C6F76">
        <w:rPr>
          <w:rFonts w:asciiTheme="majorBidi" w:hAnsiTheme="majorBidi" w:cstheme="majorBidi"/>
          <w:b/>
          <w:bCs/>
          <w:sz w:val="20"/>
          <w:szCs w:val="20"/>
          <w:lang w:val="en-GB"/>
        </w:rPr>
        <w:t>EIA</w:t>
      </w:r>
      <w:r w:rsidR="0029290B">
        <w:rPr>
          <w:rFonts w:asciiTheme="majorBidi" w:hAnsiTheme="majorBidi" w:cstheme="majorBidi"/>
          <w:b/>
          <w:bCs/>
          <w:sz w:val="20"/>
          <w:szCs w:val="20"/>
          <w:lang w:val="en-GB"/>
        </w:rPr>
        <w:t xml:space="preserve"> </w:t>
      </w:r>
      <w:r w:rsidR="000068D1">
        <w:rPr>
          <w:rFonts w:asciiTheme="majorBidi" w:hAnsiTheme="majorBidi" w:cstheme="majorBidi"/>
          <w:b/>
          <w:bCs/>
          <w:sz w:val="20"/>
          <w:szCs w:val="20"/>
          <w:lang w:val="en-GB"/>
        </w:rPr>
        <w:t>existing</w:t>
      </w:r>
      <w:r w:rsidR="000068D1" w:rsidRPr="002C6F76">
        <w:rPr>
          <w:rFonts w:asciiTheme="majorBidi" w:hAnsiTheme="majorBidi" w:cstheme="majorBidi"/>
          <w:b/>
          <w:bCs/>
          <w:sz w:val="20"/>
          <w:szCs w:val="20"/>
          <w:lang w:val="en-GB"/>
        </w:rPr>
        <w:t xml:space="preserve"> </w:t>
      </w:r>
      <w:r w:rsidR="000068D1">
        <w:rPr>
          <w:rFonts w:asciiTheme="majorBidi" w:hAnsiTheme="majorBidi" w:cstheme="majorBidi"/>
          <w:b/>
          <w:bCs/>
          <w:sz w:val="20"/>
          <w:szCs w:val="20"/>
          <w:lang w:val="en-GB"/>
        </w:rPr>
        <w:t>legislation</w:t>
      </w:r>
    </w:p>
    <w:p w14:paraId="1714F3CA" w14:textId="77777777" w:rsidR="0029290B" w:rsidRPr="002C6F76" w:rsidRDefault="0029290B" w:rsidP="0029290B">
      <w:pPr>
        <w:tabs>
          <w:tab w:val="center" w:pos="4680"/>
          <w:tab w:val="right" w:pos="9360"/>
        </w:tabs>
        <w:spacing w:after="0" w:line="480" w:lineRule="auto"/>
        <w:jc w:val="center"/>
        <w:rPr>
          <w:rFonts w:asciiTheme="majorBidi" w:hAnsiTheme="majorBidi" w:cstheme="majorBidi"/>
          <w:b/>
          <w:bCs/>
          <w:sz w:val="20"/>
          <w:szCs w:val="20"/>
          <w:lang w:val="en-GB"/>
        </w:rPr>
      </w:pPr>
    </w:p>
    <w:p w14:paraId="1DD73DE3" w14:textId="37D051CB" w:rsidR="002F4433" w:rsidRPr="002C6F76" w:rsidRDefault="00645365" w:rsidP="00A24442">
      <w:r>
        <w:t xml:space="preserve">With regards </w:t>
      </w:r>
      <w:r w:rsidR="008F674A" w:rsidRPr="002C6F76">
        <w:t xml:space="preserve">to the sufficiency of </w:t>
      </w:r>
      <w:r>
        <w:t xml:space="preserve">existing </w:t>
      </w:r>
      <w:r w:rsidR="008F674A" w:rsidRPr="002C6F76">
        <w:t xml:space="preserve">EIA legislation, 63% </w:t>
      </w:r>
      <w:r>
        <w:t xml:space="preserve">of the </w:t>
      </w:r>
      <w:r w:rsidR="008F674A" w:rsidRPr="002C6F76">
        <w:t xml:space="preserve">interviewees </w:t>
      </w:r>
      <w:r w:rsidR="002A4086" w:rsidRPr="00C61E17">
        <w:t>(19)</w:t>
      </w:r>
      <w:r w:rsidR="002A4086">
        <w:t xml:space="preserve"> </w:t>
      </w:r>
      <w:r w:rsidR="008F674A" w:rsidRPr="002C6F76">
        <w:t xml:space="preserve">agreed that the regulations are not sufficient </w:t>
      </w:r>
      <w:r w:rsidR="002A4086">
        <w:t>in that they do not</w:t>
      </w:r>
      <w:r w:rsidR="008F674A" w:rsidRPr="002C6F76">
        <w:t xml:space="preserve"> cover all aspects of an EIA system</w:t>
      </w:r>
      <w:r w:rsidR="003274CD" w:rsidRPr="002C6F76">
        <w:t xml:space="preserve"> (</w:t>
      </w:r>
      <w:r w:rsidR="002A4086">
        <w:t>s</w:t>
      </w:r>
      <w:r w:rsidR="003274CD" w:rsidRPr="002C6F76">
        <w:t xml:space="preserve">ee </w:t>
      </w:r>
      <w:r w:rsidR="007C3064" w:rsidRPr="002C6F76">
        <w:t>Fig</w:t>
      </w:r>
      <w:r w:rsidR="000C2CE1" w:rsidRPr="002C6F76">
        <w:t>ure</w:t>
      </w:r>
      <w:r w:rsidR="007C3064" w:rsidRPr="002C6F76">
        <w:t xml:space="preserve"> </w:t>
      </w:r>
      <w:r w:rsidR="00F9397A" w:rsidRPr="002C6F76">
        <w:t>4</w:t>
      </w:r>
      <w:r w:rsidR="003274CD" w:rsidRPr="002C6F76">
        <w:t>)</w:t>
      </w:r>
      <w:r w:rsidR="008F674A" w:rsidRPr="002C6F76">
        <w:t xml:space="preserve">. The DoE’s participants in particular believe that EIA legislation is insufficient. They claimed that </w:t>
      </w:r>
      <w:r w:rsidR="00BB1E15">
        <w:t xml:space="preserve">the </w:t>
      </w:r>
      <w:r w:rsidR="008F674A" w:rsidRPr="002C6F76">
        <w:t xml:space="preserve">current EIA law (part of NDP) only compels proponents to prepare EIA reports during the feasibility study, but lacks a penal code section for offenders. </w:t>
      </w:r>
      <w:r w:rsidR="006F15FC" w:rsidRPr="002C6F76">
        <w:t xml:space="preserve">Accordingly, </w:t>
      </w:r>
      <w:r w:rsidR="002F4433" w:rsidRPr="002C6F76">
        <w:t>two interviewees claim</w:t>
      </w:r>
      <w:r w:rsidR="00BB1E15">
        <w:t>ed</w:t>
      </w:r>
      <w:r w:rsidR="002F4433" w:rsidRPr="002C6F76">
        <w:t xml:space="preserve"> that if a proponent commences a project without an EIA, Article 690 of </w:t>
      </w:r>
      <w:r w:rsidR="000C2CE1" w:rsidRPr="002C6F76">
        <w:t xml:space="preserve">the </w:t>
      </w:r>
      <w:r w:rsidR="002F4433" w:rsidRPr="002C6F76">
        <w:lastRenderedPageBreak/>
        <w:t>Islamic penal code</w:t>
      </w:r>
      <w:r w:rsidR="006F15FC" w:rsidRPr="002C6F76">
        <w:t xml:space="preserve"> of Iran</w:t>
      </w:r>
      <w:r w:rsidR="002F4433" w:rsidRPr="002C6F76">
        <w:t xml:space="preserve"> only compels them to pay a penalty for environmental degradation. </w:t>
      </w:r>
      <w:r w:rsidR="00C81D76" w:rsidRPr="002C6F76">
        <w:t xml:space="preserve">As </w:t>
      </w:r>
      <w:r w:rsidR="008A3208" w:rsidRPr="002C6F76">
        <w:t>the financial penalt</w:t>
      </w:r>
      <w:r w:rsidR="000C2CE1" w:rsidRPr="002C6F76">
        <w:t>ies</w:t>
      </w:r>
      <w:r w:rsidR="008A3208" w:rsidRPr="002C6F76">
        <w:t xml:space="preserve"> are relatively low, </w:t>
      </w:r>
      <w:r w:rsidR="002F4433" w:rsidRPr="002C6F76">
        <w:t>proponent</w:t>
      </w:r>
      <w:r w:rsidR="002A4086">
        <w:t>s</w:t>
      </w:r>
      <w:r w:rsidR="002F4433" w:rsidRPr="002C6F76">
        <w:t xml:space="preserve"> </w:t>
      </w:r>
      <w:r w:rsidR="002A4086">
        <w:t xml:space="preserve">will </w:t>
      </w:r>
      <w:r w:rsidR="002F4433" w:rsidRPr="002C6F76">
        <w:t xml:space="preserve">pay the penalty and continue the project. </w:t>
      </w:r>
      <w:r w:rsidR="002A4086">
        <w:t>In this context, a</w:t>
      </w:r>
      <w:r w:rsidR="002F4433" w:rsidRPr="002C6F76">
        <w:t xml:space="preserve">n interviewee from a proponent </w:t>
      </w:r>
      <w:r w:rsidR="002A4086">
        <w:t>suggested</w:t>
      </w:r>
      <w:r w:rsidR="002F4433" w:rsidRPr="002C6F76">
        <w:t>:</w:t>
      </w:r>
      <w:r w:rsidR="006F15FC" w:rsidRPr="002C6F76">
        <w:t xml:space="preserve"> </w:t>
      </w:r>
      <w:r w:rsidR="002F4433" w:rsidRPr="002C6F76">
        <w:t xml:space="preserve">"We commenced a railway project without EIA approval and we received a letter from the court regarding environmental degradation in </w:t>
      </w:r>
      <w:r w:rsidR="00BB1E15">
        <w:t xml:space="preserve">the </w:t>
      </w:r>
      <w:r w:rsidR="002F4433" w:rsidRPr="002C6F76">
        <w:t>project area (but not because of lack of EIA</w:t>
      </w:r>
      <w:r w:rsidR="00E079EB" w:rsidRPr="002C6F76">
        <w:t xml:space="preserve"> approval</w:t>
      </w:r>
      <w:r w:rsidR="002F4433" w:rsidRPr="002C6F76">
        <w:t>). Thus, we could continue our construction by paying the fine."</w:t>
      </w:r>
    </w:p>
    <w:p w14:paraId="656DECED" w14:textId="352C5262" w:rsidR="00FA47BA" w:rsidRPr="002C6F76" w:rsidRDefault="00DC07CB" w:rsidP="00D866A8">
      <w:pPr>
        <w:spacing w:after="0"/>
      </w:pPr>
      <w:r w:rsidRPr="002C6F76">
        <w:t>Another topic which emerged from some interviews was the issue of ‘s</w:t>
      </w:r>
      <w:r w:rsidR="00D866A8" w:rsidRPr="002C6F76">
        <w:t>ufficient</w:t>
      </w:r>
      <w:r w:rsidRPr="002C6F76">
        <w:t xml:space="preserve"> legislation versus weak implementation’. </w:t>
      </w:r>
      <w:r w:rsidR="000C2CE1" w:rsidRPr="002C6F76">
        <w:t>Of the eight</w:t>
      </w:r>
      <w:r w:rsidR="006F15FC" w:rsidRPr="002C6F76">
        <w:t xml:space="preserve"> interviewees (27%) </w:t>
      </w:r>
      <w:r w:rsidR="000C2CE1" w:rsidRPr="002C6F76">
        <w:t xml:space="preserve">who </w:t>
      </w:r>
      <w:r w:rsidR="006F15FC" w:rsidRPr="002C6F76">
        <w:t>claimed that the current EIA legal basis is sufficient</w:t>
      </w:r>
      <w:r w:rsidR="00FA47BA" w:rsidRPr="002C6F76">
        <w:t>,</w:t>
      </w:r>
      <w:r w:rsidR="006F15FC" w:rsidRPr="002C6F76">
        <w:t xml:space="preserve"> </w:t>
      </w:r>
      <w:r w:rsidR="000C2CE1" w:rsidRPr="002C6F76">
        <w:t>five</w:t>
      </w:r>
      <w:r w:rsidR="006F15FC" w:rsidRPr="002C6F76">
        <w:t xml:space="preserve"> were from consultanc</w:t>
      </w:r>
      <w:r w:rsidR="00BB1E15">
        <w:t>ies</w:t>
      </w:r>
      <w:r w:rsidR="006F15FC" w:rsidRPr="002C6F76">
        <w:t xml:space="preserve"> and</w:t>
      </w:r>
      <w:r w:rsidR="003E5013" w:rsidRPr="002C6F76">
        <w:t xml:space="preserve"> </w:t>
      </w:r>
      <w:r w:rsidR="001175D9">
        <w:t>three</w:t>
      </w:r>
      <w:r w:rsidR="001175D9" w:rsidRPr="002C6F76">
        <w:t xml:space="preserve"> </w:t>
      </w:r>
      <w:r w:rsidR="003E5013" w:rsidRPr="002C6F76">
        <w:t>from</w:t>
      </w:r>
      <w:r w:rsidR="006F15FC" w:rsidRPr="002C6F76">
        <w:t xml:space="preserve"> NGOs</w:t>
      </w:r>
      <w:r w:rsidRPr="002C6F76">
        <w:t>.</w:t>
      </w:r>
      <w:r w:rsidR="006F15FC" w:rsidRPr="002C6F76">
        <w:t xml:space="preserve"> </w:t>
      </w:r>
      <w:r w:rsidR="00A10987" w:rsidRPr="002C6F76">
        <w:t xml:space="preserve">These interviewees claimed that the main problem lies in the administration of the law and that there is a gap between legislation and implementation. </w:t>
      </w:r>
      <w:r w:rsidR="00D866A8" w:rsidRPr="002C6F76">
        <w:t>A</w:t>
      </w:r>
      <w:r w:rsidR="000C2CE1" w:rsidRPr="002C6F76">
        <w:t>n</w:t>
      </w:r>
      <w:r w:rsidR="00A10987" w:rsidRPr="002C6F76">
        <w:t xml:space="preserve"> EIA expert in </w:t>
      </w:r>
      <w:r w:rsidR="000C2CE1" w:rsidRPr="002C6F76">
        <w:t xml:space="preserve">the </w:t>
      </w:r>
      <w:r w:rsidR="00A10987" w:rsidRPr="002C6F76">
        <w:t xml:space="preserve">Ministry of </w:t>
      </w:r>
      <w:r w:rsidR="000C2CE1" w:rsidRPr="002C6F76">
        <w:t>P</w:t>
      </w:r>
      <w:r w:rsidR="00A10987" w:rsidRPr="002C6F76">
        <w:t>etroleum</w:t>
      </w:r>
      <w:r w:rsidR="00D866A8" w:rsidRPr="002C6F76">
        <w:t xml:space="preserve"> claimed that </w:t>
      </w:r>
      <w:r w:rsidR="000C2CE1" w:rsidRPr="002C6F76">
        <w:t>A</w:t>
      </w:r>
      <w:r w:rsidR="00A10987" w:rsidRPr="002C6F76">
        <w:t xml:space="preserve">rticle 8 of the EIA directive considered penalties for </w:t>
      </w:r>
      <w:r w:rsidR="00E079EB" w:rsidRPr="002C6F76">
        <w:t>EIA offenders</w:t>
      </w:r>
      <w:r w:rsidR="003453AC" w:rsidRPr="002C6F76">
        <w:t xml:space="preserve"> </w:t>
      </w:r>
      <w:r w:rsidR="00E079EB" w:rsidRPr="002C6F76">
        <w:t>based on</w:t>
      </w:r>
      <w:r w:rsidR="003453AC" w:rsidRPr="002C6F76">
        <w:t xml:space="preserve"> </w:t>
      </w:r>
      <w:r w:rsidR="000C2CE1" w:rsidRPr="002C6F76">
        <w:t>A</w:t>
      </w:r>
      <w:r w:rsidR="003453AC" w:rsidRPr="002C6F76">
        <w:t xml:space="preserve">rticle 690 of </w:t>
      </w:r>
      <w:r w:rsidR="002A4086">
        <w:t xml:space="preserve">the </w:t>
      </w:r>
      <w:r w:rsidR="003453AC" w:rsidRPr="002C6F76">
        <w:t>Islamic penal code</w:t>
      </w:r>
      <w:r w:rsidR="00E079EB" w:rsidRPr="002C6F76">
        <w:t>,</w:t>
      </w:r>
      <w:r w:rsidR="00A10987" w:rsidRPr="002C6F76">
        <w:t xml:space="preserve"> </w:t>
      </w:r>
      <w:r w:rsidR="000C2CE1" w:rsidRPr="002C6F76">
        <w:t>but</w:t>
      </w:r>
      <w:r w:rsidR="00A10987" w:rsidRPr="002C6F76">
        <w:t xml:space="preserve"> the DoE </w:t>
      </w:r>
      <w:r w:rsidR="002A4086">
        <w:t xml:space="preserve">cannot </w:t>
      </w:r>
      <w:r w:rsidR="00A10987" w:rsidRPr="002C6F76">
        <w:t xml:space="preserve">enforce EIA implementation. </w:t>
      </w:r>
      <w:r w:rsidR="00E079EB" w:rsidRPr="002C6F76">
        <w:t>Two</w:t>
      </w:r>
      <w:r w:rsidR="00A10987" w:rsidRPr="002C6F76">
        <w:t xml:space="preserve"> interviewees claim</w:t>
      </w:r>
      <w:r w:rsidR="002A4086">
        <w:t>ed</w:t>
      </w:r>
      <w:r w:rsidR="00A10987" w:rsidRPr="002C6F76">
        <w:t xml:space="preserve"> that if a proponent commence</w:t>
      </w:r>
      <w:r w:rsidR="002A4086">
        <w:t>d</w:t>
      </w:r>
      <w:r w:rsidR="00A10987" w:rsidRPr="002C6F76">
        <w:t xml:space="preserve"> a project without an EIA, </w:t>
      </w:r>
      <w:r w:rsidR="000C2CE1" w:rsidRPr="002C6F76">
        <w:t>A</w:t>
      </w:r>
      <w:r w:rsidR="00A10987" w:rsidRPr="002C6F76">
        <w:t>rticle 690</w:t>
      </w:r>
      <w:r w:rsidR="003453AC" w:rsidRPr="002C6F76">
        <w:t xml:space="preserve"> of Islamic penal code</w:t>
      </w:r>
      <w:r w:rsidR="00A10987" w:rsidRPr="002C6F76">
        <w:t xml:space="preserve"> </w:t>
      </w:r>
      <w:r w:rsidR="002A4086">
        <w:t xml:space="preserve">could not </w:t>
      </w:r>
      <w:r w:rsidR="00D866A8" w:rsidRPr="002C6F76">
        <w:t>stop</w:t>
      </w:r>
      <w:r w:rsidR="000C2CE1" w:rsidRPr="002C6F76">
        <w:t xml:space="preserve"> the project</w:t>
      </w:r>
      <w:r w:rsidR="00D866A8" w:rsidRPr="002C6F76">
        <w:t xml:space="preserve"> proceeding </w:t>
      </w:r>
      <w:r w:rsidR="000C2CE1" w:rsidRPr="002C6F76">
        <w:t>without</w:t>
      </w:r>
      <w:r w:rsidR="00C82578" w:rsidRPr="002C6F76">
        <w:t xml:space="preserve"> EIA approval. </w:t>
      </w:r>
      <w:r w:rsidR="00D866A8" w:rsidRPr="002C6F76">
        <w:t>Accordingly, s</w:t>
      </w:r>
      <w:r w:rsidR="00BF6C7D" w:rsidRPr="002C6F76">
        <w:t>ome</w:t>
      </w:r>
      <w:r w:rsidR="00FA47BA" w:rsidRPr="002C6F76">
        <w:t xml:space="preserve"> interviewees</w:t>
      </w:r>
      <w:r w:rsidR="004060F9" w:rsidRPr="002C6F76">
        <w:t xml:space="preserve"> mentioned</w:t>
      </w:r>
      <w:r w:rsidR="00FA47BA" w:rsidRPr="002C6F76">
        <w:t xml:space="preserve"> that a recent investigation which </w:t>
      </w:r>
      <w:r w:rsidR="002A4086">
        <w:t xml:space="preserve">was </w:t>
      </w:r>
      <w:r w:rsidR="00FA47BA" w:rsidRPr="002C6F76">
        <w:t>completed by the Iranian General Inspection Organi</w:t>
      </w:r>
      <w:r w:rsidR="00BB1E15">
        <w:t>z</w:t>
      </w:r>
      <w:r w:rsidR="00FA47BA" w:rsidRPr="002C6F76">
        <w:t>ation (IGIO)</w:t>
      </w:r>
      <w:r w:rsidR="00D866A8" w:rsidRPr="002C6F76">
        <w:t xml:space="preserve"> revealed </w:t>
      </w:r>
      <w:r w:rsidR="003274CD" w:rsidRPr="002C6F76">
        <w:t xml:space="preserve">that a total of </w:t>
      </w:r>
      <w:r w:rsidR="00FA47BA" w:rsidRPr="002C6F76">
        <w:t>174 projects ha</w:t>
      </w:r>
      <w:r w:rsidR="00BB1E15">
        <w:t>d</w:t>
      </w:r>
      <w:r w:rsidR="003274CD" w:rsidRPr="002C6F76">
        <w:t xml:space="preserve"> </w:t>
      </w:r>
      <w:r w:rsidR="00FA47BA" w:rsidRPr="002C6F76">
        <w:t xml:space="preserve">commenced without EIA approval. </w:t>
      </w:r>
      <w:r w:rsidR="003274CD" w:rsidRPr="002C6F76">
        <w:t xml:space="preserve">The interviewees were further questioned </w:t>
      </w:r>
      <w:r w:rsidR="004474F3" w:rsidRPr="002C6F76">
        <w:rPr>
          <w:bCs/>
        </w:rPr>
        <w:t>about the implications of proceeding without EIA approval</w:t>
      </w:r>
      <w:r w:rsidR="003274CD" w:rsidRPr="002C6F76">
        <w:rPr>
          <w:bCs/>
        </w:rPr>
        <w:t xml:space="preserve">. Their opinion </w:t>
      </w:r>
      <w:r w:rsidR="002A4086">
        <w:rPr>
          <w:bCs/>
        </w:rPr>
        <w:t xml:space="preserve">is </w:t>
      </w:r>
      <w:r w:rsidR="003274CD" w:rsidRPr="002C6F76">
        <w:rPr>
          <w:bCs/>
        </w:rPr>
        <w:t>summarized in Fig 5.</w:t>
      </w:r>
    </w:p>
    <w:p w14:paraId="45273A88" w14:textId="6DF22945" w:rsidR="00E079EB" w:rsidRPr="002C6F76" w:rsidRDefault="00E079EB" w:rsidP="00D866A8">
      <w:pPr>
        <w:spacing w:after="0"/>
      </w:pPr>
    </w:p>
    <w:p w14:paraId="0CFD459B" w14:textId="46C9E99E" w:rsidR="00FA47BA" w:rsidRPr="002C6F76" w:rsidRDefault="006E4F65" w:rsidP="00FA47BA">
      <w:pPr>
        <w:jc w:val="center"/>
      </w:pPr>
      <w:r>
        <w:rPr>
          <w:noProof/>
          <w:lang w:val="en-GB" w:eastAsia="en-GB" w:bidi="ar-SA"/>
        </w:rPr>
        <w:lastRenderedPageBreak/>
        <w:drawing>
          <wp:inline distT="0" distB="0" distL="0" distR="0" wp14:anchorId="11EA03D6" wp14:editId="444C3F40">
            <wp:extent cx="5200650" cy="2997200"/>
            <wp:effectExtent l="19050" t="19050" r="19050" b="12700"/>
            <wp:docPr id="11" name="Picture 1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 5.jpg"/>
                    <pic:cNvPicPr/>
                  </pic:nvPicPr>
                  <pic:blipFill>
                    <a:blip r:embed="rId14">
                      <a:extLst>
                        <a:ext uri="{28A0092B-C50C-407E-A947-70E740481C1C}">
                          <a14:useLocalDpi xmlns:a14="http://schemas.microsoft.com/office/drawing/2010/main" val="0"/>
                        </a:ext>
                      </a:extLst>
                    </a:blip>
                    <a:stretch>
                      <a:fillRect/>
                    </a:stretch>
                  </pic:blipFill>
                  <pic:spPr>
                    <a:xfrm>
                      <a:off x="0" y="0"/>
                      <a:ext cx="5200650" cy="2997200"/>
                    </a:xfrm>
                    <a:prstGeom prst="rect">
                      <a:avLst/>
                    </a:prstGeom>
                    <a:ln w="12700">
                      <a:solidFill>
                        <a:schemeClr val="tx1"/>
                      </a:solidFill>
                    </a:ln>
                  </pic:spPr>
                </pic:pic>
              </a:graphicData>
            </a:graphic>
          </wp:inline>
        </w:drawing>
      </w:r>
      <w:r w:rsidR="00DC0C40">
        <w:rPr>
          <w:noProof/>
          <w:lang w:val="en-GB" w:eastAsia="en-GB" w:bidi="ar-SA"/>
        </w:rPr>
        <mc:AlternateContent>
          <mc:Choice Requires="wpi">
            <w:drawing>
              <wp:anchor distT="0" distB="0" distL="114300" distR="114300" simplePos="0" relativeHeight="251663360" behindDoc="0" locked="0" layoutInCell="1" allowOverlap="1" wp14:anchorId="421CA3E6" wp14:editId="5FC87E6D">
                <wp:simplePos x="0" y="0"/>
                <wp:positionH relativeFrom="column">
                  <wp:posOffset>4858500</wp:posOffset>
                </wp:positionH>
                <wp:positionV relativeFrom="paragraph">
                  <wp:posOffset>1419570</wp:posOffset>
                </wp:positionV>
                <wp:extent cx="120240" cy="57960"/>
                <wp:effectExtent l="95250" t="95250" r="51435" b="113665"/>
                <wp:wrapNone/>
                <wp:docPr id="9" name="Ink 9"/>
                <wp:cNvGraphicFramePr/>
                <a:graphic xmlns:a="http://schemas.openxmlformats.org/drawingml/2006/main">
                  <a:graphicData uri="http://schemas.microsoft.com/office/word/2010/wordprocessingInk">
                    <w14:contentPart bwMode="auto" r:id="rId15">
                      <w14:nvContentPartPr>
                        <w14:cNvContentPartPr/>
                      </w14:nvContentPartPr>
                      <w14:xfrm>
                        <a:off x="0" y="0"/>
                        <a:ext cx="120240" cy="5796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E98E4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377.6pt;margin-top:106.85pt;width:19.4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">
                <v:imagedata r:id="rId18" o:title=""/>
              </v:shape>
            </w:pict>
          </mc:Fallback>
        </mc:AlternateContent>
      </w:r>
      <w:r w:rsidR="00DC0C40">
        <w:rPr>
          <w:noProof/>
          <w:lang w:val="en-GB" w:eastAsia="en-GB" w:bidi="ar-SA"/>
        </w:rPr>
        <mc:AlternateContent>
          <mc:Choice Requires="wpi">
            <w:drawing>
              <wp:anchor distT="0" distB="0" distL="114300" distR="114300" simplePos="0" relativeHeight="251662336" behindDoc="0" locked="0" layoutInCell="1" allowOverlap="1" wp14:anchorId="29A70D91" wp14:editId="08C031B8">
                <wp:simplePos x="0" y="0"/>
                <wp:positionH relativeFrom="column">
                  <wp:posOffset>3981180</wp:posOffset>
                </wp:positionH>
                <wp:positionV relativeFrom="paragraph">
                  <wp:posOffset>320850</wp:posOffset>
                </wp:positionV>
                <wp:extent cx="142920" cy="33840"/>
                <wp:effectExtent l="95250" t="95250" r="85725" b="118745"/>
                <wp:wrapNone/>
                <wp:docPr id="8" name="Ink 8"/>
                <wp:cNvGraphicFramePr/>
                <a:graphic xmlns:a="http://schemas.openxmlformats.org/drawingml/2006/main">
                  <a:graphicData uri="http://schemas.microsoft.com/office/word/2010/wordprocessingInk">
                    <w14:contentPart bwMode="auto" r:id="rId19">
                      <w14:nvContentPartPr>
                        <w14:cNvContentPartPr/>
                      </w14:nvContentPartPr>
                      <w14:xfrm>
                        <a:off x="0" y="0"/>
                        <a:ext cx="142920" cy="3384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60AE07" id="Ink 8" o:spid="_x0000_s1026" type="#_x0000_t75" style="position:absolute;margin-left:308.55pt;margin-top:20.25pt;width:21.15pt;height:12.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">
                <v:imagedata r:id="rId20" o:title=""/>
              </v:shape>
            </w:pict>
          </mc:Fallback>
        </mc:AlternateContent>
      </w:r>
      <w:r w:rsidR="00DC0C40">
        <w:rPr>
          <w:noProof/>
          <w:lang w:val="en-GB" w:eastAsia="en-GB" w:bidi="ar-SA"/>
        </w:rPr>
        <mc:AlternateContent>
          <mc:Choice Requires="wpi">
            <w:drawing>
              <wp:anchor distT="0" distB="0" distL="114300" distR="114300" simplePos="0" relativeHeight="251661312" behindDoc="0" locked="0" layoutInCell="1" allowOverlap="1" wp14:anchorId="5040229B" wp14:editId="477C6814">
                <wp:simplePos x="0" y="0"/>
                <wp:positionH relativeFrom="column">
                  <wp:posOffset>3130140</wp:posOffset>
                </wp:positionH>
                <wp:positionV relativeFrom="paragraph">
                  <wp:posOffset>1197450</wp:posOffset>
                </wp:positionV>
                <wp:extent cx="88560" cy="13320"/>
                <wp:effectExtent l="76200" t="95250" r="83185" b="120650"/>
                <wp:wrapNone/>
                <wp:docPr id="7" name="Ink 7"/>
                <wp:cNvGraphicFramePr/>
                <a:graphic xmlns:a="http://schemas.openxmlformats.org/drawingml/2006/main">
                  <a:graphicData uri="http://schemas.microsoft.com/office/word/2010/wordprocessingInk">
                    <w14:contentPart bwMode="auto" r:id="rId21">
                      <w14:nvContentPartPr>
                        <w14:cNvContentPartPr/>
                      </w14:nvContentPartPr>
                      <w14:xfrm>
                        <a:off x="0" y="0"/>
                        <a:ext cx="88560" cy="1332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5598F2" id="Ink 7" o:spid="_x0000_s1026" type="#_x0000_t75" style="position:absolute;margin-left:241.5pt;margin-top:89.2pt;width:16.9pt;height:11.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">
                <v:imagedata r:id="rId22" o:title=""/>
              </v:shape>
            </w:pict>
          </mc:Fallback>
        </mc:AlternateContent>
      </w:r>
      <w:r w:rsidR="00DC0C40">
        <w:rPr>
          <w:noProof/>
          <w:lang w:val="en-GB" w:eastAsia="en-GB" w:bidi="ar-SA"/>
        </w:rPr>
        <mc:AlternateContent>
          <mc:Choice Requires="wpi">
            <w:drawing>
              <wp:anchor distT="0" distB="0" distL="114300" distR="114300" simplePos="0" relativeHeight="251660288" behindDoc="0" locked="0" layoutInCell="1" allowOverlap="1" wp14:anchorId="0AB1A3F5" wp14:editId="5BEB9591">
                <wp:simplePos x="0" y="0"/>
                <wp:positionH relativeFrom="column">
                  <wp:posOffset>2184060</wp:posOffset>
                </wp:positionH>
                <wp:positionV relativeFrom="paragraph">
                  <wp:posOffset>733770</wp:posOffset>
                </wp:positionV>
                <wp:extent cx="192240" cy="110160"/>
                <wp:effectExtent l="95250" t="95250" r="36830" b="118745"/>
                <wp:wrapNone/>
                <wp:docPr id="5" name="Ink 5"/>
                <wp:cNvGraphicFramePr/>
                <a:graphic xmlns:a="http://schemas.openxmlformats.org/drawingml/2006/main">
                  <a:graphicData uri="http://schemas.microsoft.com/office/word/2010/wordprocessingInk">
                    <w14:contentPart bwMode="auto" r:id="rId23">
                      <w14:nvContentPartPr>
                        <w14:cNvContentPartPr/>
                      </w14:nvContentPartPr>
                      <w14:xfrm>
                        <a:off x="0" y="0"/>
                        <a:ext cx="192240" cy="11016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9B9E04" id="Ink 5" o:spid="_x0000_s1026" type="#_x0000_t75" style="position:absolute;margin-left:167pt;margin-top:52.8pt;width:25.15pt;height:18.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">
                <v:imagedata r:id="rId24" o:title=""/>
              </v:shape>
            </w:pict>
          </mc:Fallback>
        </mc:AlternateContent>
      </w:r>
      <w:r w:rsidR="00DC0C40">
        <w:rPr>
          <w:noProof/>
          <w:lang w:val="en-GB" w:eastAsia="en-GB" w:bidi="ar-SA"/>
        </w:rPr>
        <mc:AlternateContent>
          <mc:Choice Requires="wpi">
            <w:drawing>
              <wp:anchor distT="0" distB="0" distL="114300" distR="114300" simplePos="0" relativeHeight="251659264" behindDoc="0" locked="0" layoutInCell="1" allowOverlap="1" wp14:anchorId="77D5B1EA" wp14:editId="5C1760D5">
                <wp:simplePos x="0" y="0"/>
                <wp:positionH relativeFrom="column">
                  <wp:posOffset>1396740</wp:posOffset>
                </wp:positionH>
                <wp:positionV relativeFrom="paragraph">
                  <wp:posOffset>772290</wp:posOffset>
                </wp:positionV>
                <wp:extent cx="179280" cy="61200"/>
                <wp:effectExtent l="95250" t="95250" r="106680" b="110490"/>
                <wp:wrapNone/>
                <wp:docPr id="3" name="Ink 3"/>
                <wp:cNvGraphicFramePr/>
                <a:graphic xmlns:a="http://schemas.openxmlformats.org/drawingml/2006/main">
                  <a:graphicData uri="http://schemas.microsoft.com/office/word/2010/wordprocessingInk">
                    <w14:contentPart bwMode="auto" r:id="rId25">
                      <w14:nvContentPartPr>
                        <w14:cNvContentPartPr/>
                      </w14:nvContentPartPr>
                      <w14:xfrm>
                        <a:off x="0" y="0"/>
                        <a:ext cx="179280" cy="6120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C56996" id="Ink 3" o:spid="_x0000_s1026" type="#_x0000_t75" style="position:absolute;margin-left:105.05pt;margin-top:55.85pt;width:24.05pt;height:14.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">
                <v:imagedata r:id="rId26" o:title=""/>
              </v:shape>
            </w:pict>
          </mc:Fallback>
        </mc:AlternateContent>
      </w:r>
    </w:p>
    <w:p w14:paraId="6B6408BF" w14:textId="77777777" w:rsidR="00FA47BA" w:rsidRPr="002C6F76" w:rsidRDefault="007C3064" w:rsidP="00FA47BA">
      <w:pPr>
        <w:pStyle w:val="Figure"/>
        <w:rPr>
          <w:rFonts w:asciiTheme="majorBidi" w:hAnsiTheme="majorBidi" w:cstheme="majorBidi"/>
          <w:bCs/>
          <w:color w:val="auto"/>
          <w:sz w:val="20"/>
          <w:szCs w:val="20"/>
        </w:rPr>
      </w:pPr>
      <w:bookmarkStart w:id="11" w:name="_Toc513721140"/>
      <w:r w:rsidRPr="002C6F76">
        <w:rPr>
          <w:rFonts w:asciiTheme="majorBidi" w:hAnsiTheme="majorBidi" w:cstheme="majorBidi"/>
          <w:bCs/>
          <w:color w:val="auto"/>
          <w:sz w:val="20"/>
          <w:szCs w:val="20"/>
        </w:rPr>
        <w:t xml:space="preserve">Fig. </w:t>
      </w:r>
      <w:r w:rsidR="00F9397A" w:rsidRPr="002C6F76">
        <w:rPr>
          <w:rFonts w:asciiTheme="majorBidi" w:hAnsiTheme="majorBidi" w:cstheme="majorBidi"/>
          <w:bCs/>
          <w:color w:val="auto"/>
          <w:sz w:val="20"/>
          <w:szCs w:val="20"/>
        </w:rPr>
        <w:t>5</w:t>
      </w:r>
      <w:r w:rsidRPr="002C6F76">
        <w:rPr>
          <w:rFonts w:asciiTheme="majorBidi" w:hAnsiTheme="majorBidi" w:cstheme="majorBidi"/>
          <w:bCs/>
          <w:color w:val="auto"/>
          <w:sz w:val="20"/>
          <w:szCs w:val="20"/>
        </w:rPr>
        <w:t xml:space="preserve">. </w:t>
      </w:r>
      <w:r w:rsidR="00FA47BA" w:rsidRPr="002C6F76">
        <w:rPr>
          <w:rFonts w:asciiTheme="majorBidi" w:hAnsiTheme="majorBidi" w:cstheme="majorBidi"/>
          <w:bCs/>
          <w:color w:val="auto"/>
          <w:sz w:val="20"/>
          <w:szCs w:val="20"/>
        </w:rPr>
        <w:t>Reasons for starting projects without EIA approvals</w:t>
      </w:r>
      <w:bookmarkEnd w:id="11"/>
    </w:p>
    <w:p w14:paraId="77B0857D" w14:textId="00615877" w:rsidR="00E079EB" w:rsidRPr="002C6F76" w:rsidRDefault="00E079EB" w:rsidP="00E079EB">
      <w:r w:rsidRPr="002C6F76">
        <w:t xml:space="preserve">Six interviewees (22%) from the EIA Bureau stated that due to </w:t>
      </w:r>
      <w:r w:rsidR="002A4086">
        <w:t xml:space="preserve">the </w:t>
      </w:r>
      <w:r w:rsidRPr="002C6F76">
        <w:t xml:space="preserve">lack of penalties, courts </w:t>
      </w:r>
      <w:r w:rsidR="002A4086">
        <w:t>were not</w:t>
      </w:r>
      <w:r w:rsidR="002A4086" w:rsidRPr="002C6F76">
        <w:t xml:space="preserve"> </w:t>
      </w:r>
      <w:r w:rsidRPr="002C6F76">
        <w:t>issu</w:t>
      </w:r>
      <w:r w:rsidR="002A4086">
        <w:t>ing</w:t>
      </w:r>
      <w:r w:rsidRPr="002C6F76">
        <w:t xml:space="preserve"> verdict</w:t>
      </w:r>
      <w:r w:rsidR="002A4086">
        <w:t>s</w:t>
      </w:r>
      <w:r w:rsidRPr="002C6F76">
        <w:t xml:space="preserve"> against proponents who start their projects without an EIA. Proponents sometimes dare to commence their project without an EIA for this reason. One interviewee from the DoE stated</w:t>
      </w:r>
      <w:r w:rsidR="00645A3F">
        <w:t xml:space="preserve"> that</w:t>
      </w:r>
      <w:r w:rsidRPr="002C6F76">
        <w:t xml:space="preserve">: "A motorway </w:t>
      </w:r>
      <w:r w:rsidR="002B5F83" w:rsidRPr="002C6F76">
        <w:t>began</w:t>
      </w:r>
      <w:r w:rsidRPr="002C6F76">
        <w:t xml:space="preserve"> construct</w:t>
      </w:r>
      <w:r w:rsidR="002B5F83" w:rsidRPr="002C6F76">
        <w:t>ion</w:t>
      </w:r>
      <w:r w:rsidRPr="002C6F76">
        <w:t xml:space="preserve"> without EIA approval in a national park. However, the project was stopped by </w:t>
      </w:r>
      <w:r w:rsidR="002A4086">
        <w:t xml:space="preserve">the </w:t>
      </w:r>
      <w:r w:rsidRPr="002C6F76">
        <w:t xml:space="preserve">DoE not due to the absence </w:t>
      </w:r>
      <w:r w:rsidR="00133A73">
        <w:t xml:space="preserve">of </w:t>
      </w:r>
      <w:r w:rsidRPr="002C6F76">
        <w:t xml:space="preserve">an EIA approval but </w:t>
      </w:r>
      <w:r w:rsidR="006A6A29" w:rsidRPr="002C6F76">
        <w:t>based on</w:t>
      </w:r>
      <w:r w:rsidR="000C7B89" w:rsidRPr="002C6F76">
        <w:t xml:space="preserve"> </w:t>
      </w:r>
      <w:r w:rsidRPr="002C6F76">
        <w:t>other laws".</w:t>
      </w:r>
    </w:p>
    <w:p w14:paraId="49FE0139" w14:textId="1C9DF1DA" w:rsidR="00EA18BF" w:rsidRDefault="00E079EB" w:rsidP="00E079EB">
      <w:r w:rsidRPr="002C6F76">
        <w:t xml:space="preserve">Six interviewees (22%) mostly working in EIA consultancies said that the DoE weakness in </w:t>
      </w:r>
      <w:r w:rsidR="00EA18BF">
        <w:t xml:space="preserve">carrying out </w:t>
      </w:r>
      <w:r w:rsidRPr="002C6F76">
        <w:t>inspection</w:t>
      </w:r>
      <w:r w:rsidR="00EA18BF">
        <w:t>s</w:t>
      </w:r>
      <w:r w:rsidRPr="002C6F76">
        <w:t xml:space="preserve"> was the most important reason </w:t>
      </w:r>
      <w:r w:rsidR="000C7B89" w:rsidRPr="002C6F76">
        <w:t>allow</w:t>
      </w:r>
      <w:r w:rsidR="00EA18BF">
        <w:t>ing</w:t>
      </w:r>
      <w:r w:rsidR="000C7B89" w:rsidRPr="002C6F76">
        <w:t xml:space="preserve"> </w:t>
      </w:r>
      <w:r w:rsidRPr="002C6F76">
        <w:t xml:space="preserve">proponents </w:t>
      </w:r>
      <w:r w:rsidR="000C7B89" w:rsidRPr="002C6F76">
        <w:t xml:space="preserve">to </w:t>
      </w:r>
      <w:r w:rsidRPr="002C6F76">
        <w:t>begin projects without EIA. Some interviewees claimed that lack of both</w:t>
      </w:r>
      <w:r w:rsidR="00EA18BF">
        <w:t>,</w:t>
      </w:r>
      <w:r w:rsidRPr="002C6F76">
        <w:t xml:space="preserve"> punishment and inspection made it easier for some proponents to violate EIA requirement</w:t>
      </w:r>
      <w:r w:rsidR="00EA18BF">
        <w:t>s</w:t>
      </w:r>
      <w:r w:rsidRPr="002C6F76">
        <w:t>. An interviewee added</w:t>
      </w:r>
      <w:r w:rsidR="00645A3F">
        <w:t xml:space="preserve"> that</w:t>
      </w:r>
      <w:r w:rsidRPr="002C6F76">
        <w:t xml:space="preserve">: </w:t>
      </w:r>
    </w:p>
    <w:p w14:paraId="3081C871" w14:textId="77777777" w:rsidR="00E079EB" w:rsidRPr="002C6F76" w:rsidRDefault="00E079EB" w:rsidP="00E079EB">
      <w:r w:rsidRPr="002C6F76">
        <w:t xml:space="preserve">"The enforcement of an EIA law can make the DoE and local EIA offices more responsible </w:t>
      </w:r>
      <w:r w:rsidR="00D11E40" w:rsidRPr="002C6F76">
        <w:t xml:space="preserve">and compel them to </w:t>
      </w:r>
      <w:r w:rsidRPr="002C6F76">
        <w:t>have strong inspection plan</w:t>
      </w:r>
      <w:r w:rsidR="00EA18BF">
        <w:t>s</w:t>
      </w:r>
      <w:r w:rsidRPr="002C6F76">
        <w:t xml:space="preserve">. In addition to this, a clear punishment chapter and stronger EIA law </w:t>
      </w:r>
      <w:r w:rsidR="00D11E40" w:rsidRPr="002C6F76">
        <w:t xml:space="preserve">will </w:t>
      </w:r>
      <w:r w:rsidR="004F4D32" w:rsidRPr="002C6F76">
        <w:t>enable</w:t>
      </w:r>
      <w:r w:rsidR="00D11E40" w:rsidRPr="002C6F76">
        <w:t xml:space="preserve"> j</w:t>
      </w:r>
      <w:r w:rsidRPr="002C6F76">
        <w:t>udicial review to issue verdict</w:t>
      </w:r>
      <w:r w:rsidR="00D11E40" w:rsidRPr="002C6F76">
        <w:t>s</w:t>
      </w:r>
      <w:r w:rsidRPr="002C6F76">
        <w:t xml:space="preserve"> for offenders based on the absence of EIA approval". </w:t>
      </w:r>
    </w:p>
    <w:p w14:paraId="7C5BEDBC" w14:textId="506030C7" w:rsidR="009E6FD2" w:rsidRPr="002C6F76" w:rsidRDefault="00E079EB" w:rsidP="00E079EB">
      <w:r w:rsidRPr="002C6F76">
        <w:lastRenderedPageBreak/>
        <w:t xml:space="preserve">30% </w:t>
      </w:r>
      <w:r w:rsidR="00EA18BF">
        <w:t xml:space="preserve">(9) of the </w:t>
      </w:r>
      <w:r w:rsidRPr="002C6F76">
        <w:t xml:space="preserve">interviewees who were mostly developers stated that the EIA approval process was very bureaucratic and took too much time to complete. Some interviewees </w:t>
      </w:r>
      <w:r w:rsidR="00EA18BF">
        <w:t xml:space="preserve">also </w:t>
      </w:r>
      <w:r w:rsidRPr="002C6F76">
        <w:t xml:space="preserve">stated that </w:t>
      </w:r>
      <w:r w:rsidR="002B5F83" w:rsidRPr="002C6F76">
        <w:t>m</w:t>
      </w:r>
      <w:r w:rsidRPr="002C6F76">
        <w:t>ost EIA approval process</w:t>
      </w:r>
      <w:r w:rsidR="002B5F83" w:rsidRPr="002C6F76">
        <w:t>es</w:t>
      </w:r>
      <w:r w:rsidRPr="002C6F76">
        <w:t xml:space="preserve"> in </w:t>
      </w:r>
      <w:r w:rsidR="002B5F83" w:rsidRPr="002C6F76">
        <w:t xml:space="preserve">the </w:t>
      </w:r>
      <w:r w:rsidRPr="002C6F76">
        <w:t xml:space="preserve">EIA bureau </w:t>
      </w:r>
      <w:r w:rsidR="002B5F83" w:rsidRPr="002C6F76">
        <w:t>would</w:t>
      </w:r>
      <w:r w:rsidRPr="002C6F76">
        <w:t xml:space="preserve"> take </w:t>
      </w:r>
      <w:r w:rsidR="00645A3F">
        <w:t xml:space="preserve">between </w:t>
      </w:r>
      <w:r w:rsidRPr="002C6F76">
        <w:t xml:space="preserve">3 </w:t>
      </w:r>
      <w:r w:rsidR="00645A3F">
        <w:t xml:space="preserve">and </w:t>
      </w:r>
      <w:r w:rsidRPr="002C6F76">
        <w:t xml:space="preserve">4 years. Consequently, it is common for the developer to begin the project while </w:t>
      </w:r>
      <w:r w:rsidR="00EA18BF">
        <w:t xml:space="preserve">the </w:t>
      </w:r>
      <w:r w:rsidRPr="002C6F76">
        <w:t xml:space="preserve">EIA process is </w:t>
      </w:r>
      <w:r w:rsidR="00EA18BF">
        <w:t xml:space="preserve">still </w:t>
      </w:r>
      <w:r w:rsidRPr="002C6F76">
        <w:t>being carried out. Finally, 1</w:t>
      </w:r>
      <w:r w:rsidR="00EA18BF">
        <w:t>0</w:t>
      </w:r>
      <w:r w:rsidRPr="002C6F76">
        <w:t xml:space="preserve">% </w:t>
      </w:r>
      <w:r w:rsidR="00EA18BF">
        <w:t xml:space="preserve">(3) </w:t>
      </w:r>
      <w:r w:rsidRPr="002C6F76">
        <w:t xml:space="preserve">of </w:t>
      </w:r>
      <w:r w:rsidR="00EA18BF">
        <w:t xml:space="preserve">the </w:t>
      </w:r>
      <w:r w:rsidRPr="002C6F76">
        <w:t xml:space="preserve">interviewees mentioned political pressure </w:t>
      </w:r>
      <w:r w:rsidR="00EA18BF">
        <w:t xml:space="preserve">as </w:t>
      </w:r>
      <w:r w:rsidRPr="002C6F76">
        <w:t xml:space="preserve">another </w:t>
      </w:r>
      <w:r w:rsidR="00EA18BF">
        <w:t xml:space="preserve">possible </w:t>
      </w:r>
      <w:r w:rsidRPr="002C6F76">
        <w:t xml:space="preserve">reason </w:t>
      </w:r>
      <w:r w:rsidR="00EA18BF">
        <w:t xml:space="preserve">for </w:t>
      </w:r>
      <w:r w:rsidRPr="002C6F76">
        <w:t>proponents start</w:t>
      </w:r>
      <w:r w:rsidR="00EA18BF">
        <w:t>ing</w:t>
      </w:r>
      <w:r w:rsidRPr="002C6F76">
        <w:t xml:space="preserve"> their projects without EIA approval. Some regional proponents and lobbyists use their power and influence to start important projects without EIA. </w:t>
      </w:r>
    </w:p>
    <w:p w14:paraId="6DBC3610" w14:textId="77777777" w:rsidR="00E432B5" w:rsidRPr="002C6F76" w:rsidRDefault="00E432B5" w:rsidP="00C65F56">
      <w:pPr>
        <w:pStyle w:val="title2"/>
        <w:numPr>
          <w:ilvl w:val="0"/>
          <w:numId w:val="0"/>
        </w:numPr>
        <w:bidi w:val="0"/>
        <w:jc w:val="both"/>
        <w:rPr>
          <w:rFonts w:asciiTheme="majorBidi" w:hAnsiTheme="majorBidi" w:cstheme="majorBidi"/>
          <w:b/>
          <w:bCs/>
          <w:i w:val="0"/>
          <w:color w:val="000000"/>
          <w:lang w:val="en-GB"/>
        </w:rPr>
      </w:pPr>
      <w:r w:rsidRPr="002C6F76">
        <w:rPr>
          <w:rFonts w:asciiTheme="majorBidi" w:hAnsiTheme="majorBidi" w:cstheme="majorBidi"/>
          <w:b/>
          <w:bCs/>
          <w:i w:val="0"/>
          <w:iCs w:val="0"/>
          <w:color w:val="000000"/>
          <w:lang w:val="en-GB"/>
        </w:rPr>
        <w:t xml:space="preserve">3.2. </w:t>
      </w:r>
      <w:r w:rsidR="00CF39D7" w:rsidRPr="002C6F76">
        <w:rPr>
          <w:rFonts w:asciiTheme="majorBidi" w:hAnsiTheme="majorBidi" w:cstheme="majorBidi"/>
          <w:b/>
          <w:bCs/>
          <w:i w:val="0"/>
          <w:iCs w:val="0"/>
          <w:color w:val="000000"/>
          <w:lang w:val="en-GB"/>
        </w:rPr>
        <w:t>EIA process</w:t>
      </w:r>
    </w:p>
    <w:p w14:paraId="6872EBE3" w14:textId="77777777" w:rsidR="00954B7F" w:rsidRPr="002C6F76" w:rsidRDefault="00954B7F" w:rsidP="0040316A">
      <w:pPr>
        <w:spacing w:before="240" w:after="0"/>
        <w:rPr>
          <w:rFonts w:asciiTheme="majorBidi" w:hAnsiTheme="majorBidi" w:cstheme="majorBidi"/>
          <w:color w:val="000000"/>
          <w:lang w:val="en-GB"/>
        </w:rPr>
      </w:pPr>
      <w:r w:rsidRPr="002C6F76">
        <w:rPr>
          <w:rFonts w:asciiTheme="majorBidi" w:hAnsiTheme="majorBidi" w:cstheme="majorBidi"/>
          <w:color w:val="000000"/>
          <w:lang w:val="en-GB"/>
        </w:rPr>
        <w:t>3.2.1. Screening</w:t>
      </w:r>
    </w:p>
    <w:p w14:paraId="1BD048D8" w14:textId="5E7F6F8F" w:rsidR="004B2E27" w:rsidRPr="002C6F76" w:rsidRDefault="004F7FE8" w:rsidP="00405641">
      <w:pPr>
        <w:spacing w:before="240"/>
      </w:pPr>
      <w:r w:rsidRPr="002C6F76">
        <w:t xml:space="preserve">Screening in Iran is based on a threshold prepared by the </w:t>
      </w:r>
      <w:r w:rsidR="0006546B" w:rsidRPr="002C6F76">
        <w:t xml:space="preserve">DoE </w:t>
      </w:r>
      <w:r w:rsidRPr="002C6F76">
        <w:t xml:space="preserve">(Ahmadvand et al., 2009; Moradi, 2009). </w:t>
      </w:r>
      <w:r w:rsidR="00622AEC" w:rsidRPr="002C6F76">
        <w:t>In Decree 138, 1994, the DoE initially prepared a list of 7 project types</w:t>
      </w:r>
      <w:r w:rsidR="00D17C64" w:rsidRPr="002C6F76">
        <w:t xml:space="preserve"> that</w:t>
      </w:r>
      <w:r w:rsidR="00622AEC" w:rsidRPr="002C6F76">
        <w:t xml:space="preserve"> require an EIA. Since </w:t>
      </w:r>
      <w:r w:rsidR="00D17C64" w:rsidRPr="002C6F76">
        <w:t>then</w:t>
      </w:r>
      <w:r w:rsidR="00622AEC" w:rsidRPr="002C6F76">
        <w:t xml:space="preserve"> this list has been updated and </w:t>
      </w:r>
      <w:r w:rsidR="001F1876" w:rsidRPr="002C6F76">
        <w:t xml:space="preserve">now </w:t>
      </w:r>
      <w:r w:rsidR="00622AEC" w:rsidRPr="002C6F76">
        <w:t>include</w:t>
      </w:r>
      <w:r w:rsidR="00D17C64" w:rsidRPr="002C6F76">
        <w:t>s</w:t>
      </w:r>
      <w:r w:rsidR="00622AEC" w:rsidRPr="002C6F76">
        <w:t xml:space="preserve"> 55 project types </w:t>
      </w:r>
      <w:r w:rsidR="009349AE">
        <w:t xml:space="preserve">that are </w:t>
      </w:r>
      <w:r w:rsidR="00622AEC" w:rsidRPr="002C6F76">
        <w:t xml:space="preserve">subject to EIA (DoE, 2017). </w:t>
      </w:r>
      <w:r w:rsidR="00B22659" w:rsidRPr="002C6F76">
        <w:t xml:space="preserve">However, </w:t>
      </w:r>
      <w:r w:rsidR="002A111C" w:rsidRPr="002C6F76">
        <w:t xml:space="preserve">74% </w:t>
      </w:r>
      <w:r w:rsidR="009349AE">
        <w:t xml:space="preserve">(22) </w:t>
      </w:r>
      <w:r w:rsidR="00D17C64" w:rsidRPr="002C6F76">
        <w:t xml:space="preserve">of </w:t>
      </w:r>
      <w:r w:rsidR="00C21B62">
        <w:t xml:space="preserve">the </w:t>
      </w:r>
      <w:r w:rsidR="002A111C" w:rsidRPr="002C6F76">
        <w:t xml:space="preserve">interviewees claimed that this list does not cover all developments, and some projects such as urban development are not </w:t>
      </w:r>
      <w:r w:rsidR="00645A3F">
        <w:t>on</w:t>
      </w:r>
      <w:r w:rsidR="00645A3F" w:rsidRPr="002C6F76">
        <w:t xml:space="preserve"> </w:t>
      </w:r>
      <w:r w:rsidR="002A111C" w:rsidRPr="002C6F76">
        <w:t xml:space="preserve">the list. Moreover, </w:t>
      </w:r>
      <w:r w:rsidR="00B22659" w:rsidRPr="002C6F76">
        <w:t xml:space="preserve">all </w:t>
      </w:r>
      <w:r w:rsidR="001020EF" w:rsidRPr="002C6F76">
        <w:t xml:space="preserve">interviewees </w:t>
      </w:r>
      <w:r w:rsidR="00B22659" w:rsidRPr="002C6F76">
        <w:t xml:space="preserve">claimed that the </w:t>
      </w:r>
      <w:r w:rsidR="004B2E27" w:rsidRPr="002C6F76">
        <w:t>screening</w:t>
      </w:r>
      <w:r w:rsidR="002A111C" w:rsidRPr="002C6F76">
        <w:t xml:space="preserve"> list</w:t>
      </w:r>
      <w:r w:rsidR="004B2E27" w:rsidRPr="002C6F76">
        <w:t xml:space="preserve"> need</w:t>
      </w:r>
      <w:r w:rsidR="00645A3F">
        <w:t>ed</w:t>
      </w:r>
      <w:r w:rsidR="004B2E27" w:rsidRPr="002C6F76">
        <w:t xml:space="preserve"> to be followed </w:t>
      </w:r>
      <w:r w:rsidR="00D17C64" w:rsidRPr="002C6F76">
        <w:t xml:space="preserve">on </w:t>
      </w:r>
      <w:r w:rsidR="004B2E27" w:rsidRPr="002C6F76">
        <w:t>a case-by-case approach</w:t>
      </w:r>
      <w:r w:rsidR="002A111C" w:rsidRPr="002C6F76">
        <w:t>, because</w:t>
      </w:r>
      <w:r w:rsidR="003F4C69" w:rsidRPr="002C6F76">
        <w:t xml:space="preserve"> </w:t>
      </w:r>
      <w:r w:rsidR="004B2E27" w:rsidRPr="002C6F76">
        <w:t xml:space="preserve">the scale does not allow </w:t>
      </w:r>
      <w:r w:rsidR="009349AE">
        <w:t xml:space="preserve">for </w:t>
      </w:r>
      <w:r w:rsidR="004B2E27" w:rsidRPr="002C6F76">
        <w:t xml:space="preserve">some projects to be included. </w:t>
      </w:r>
      <w:r w:rsidR="00D15D9A" w:rsidRPr="002C6F76">
        <w:t>However,</w:t>
      </w:r>
      <w:r w:rsidR="00AD3C67" w:rsidRPr="002C6F76">
        <w:t xml:space="preserve"> they </w:t>
      </w:r>
      <w:r w:rsidR="00D17C64" w:rsidRPr="002C6F76">
        <w:t xml:space="preserve">also </w:t>
      </w:r>
      <w:r w:rsidR="00AD3C67" w:rsidRPr="002C6F76">
        <w:t xml:space="preserve">believed that there </w:t>
      </w:r>
      <w:r w:rsidR="00645A3F">
        <w:t>was</w:t>
      </w:r>
      <w:r w:rsidR="00645A3F" w:rsidRPr="002C6F76">
        <w:t xml:space="preserve"> </w:t>
      </w:r>
      <w:r w:rsidR="00E41275" w:rsidRPr="002C6F76">
        <w:t xml:space="preserve">a </w:t>
      </w:r>
      <w:r w:rsidR="00AD3C67" w:rsidRPr="002C6F76">
        <w:t xml:space="preserve">shortage of </w:t>
      </w:r>
      <w:r w:rsidR="000244A5" w:rsidRPr="002C6F76">
        <w:t xml:space="preserve">resource </w:t>
      </w:r>
      <w:r w:rsidR="00AD3C67" w:rsidRPr="002C6F76">
        <w:t xml:space="preserve">capacity in all provinces </w:t>
      </w:r>
      <w:r w:rsidR="009349AE">
        <w:t xml:space="preserve">which is in the way of </w:t>
      </w:r>
      <w:r w:rsidR="00AD3C67" w:rsidRPr="002C6F76">
        <w:t xml:space="preserve">the DoE </w:t>
      </w:r>
      <w:r w:rsidR="00D17C64" w:rsidRPr="002C6F76">
        <w:t>adopt</w:t>
      </w:r>
      <w:r w:rsidR="009349AE">
        <w:t>ing</w:t>
      </w:r>
      <w:r w:rsidR="00D17C64" w:rsidRPr="002C6F76">
        <w:t xml:space="preserve"> a</w:t>
      </w:r>
      <w:r w:rsidR="00AD3C67" w:rsidRPr="002C6F76">
        <w:t xml:space="preserve"> case-by-case approach. </w:t>
      </w:r>
    </w:p>
    <w:p w14:paraId="20875718" w14:textId="77777777" w:rsidR="00954B7F" w:rsidRPr="002C6F76" w:rsidRDefault="00954B7F" w:rsidP="00405641">
      <w:pPr>
        <w:rPr>
          <w:rFonts w:asciiTheme="majorBidi" w:hAnsiTheme="majorBidi" w:cstheme="majorBidi"/>
          <w:color w:val="000000"/>
          <w:lang w:val="en-GB"/>
        </w:rPr>
      </w:pPr>
      <w:r w:rsidRPr="002C6F76">
        <w:rPr>
          <w:rFonts w:asciiTheme="majorBidi" w:hAnsiTheme="majorBidi" w:cstheme="majorBidi"/>
          <w:color w:val="000000"/>
          <w:lang w:val="en-GB"/>
        </w:rPr>
        <w:t>3.2.2. Scoping</w:t>
      </w:r>
    </w:p>
    <w:p w14:paraId="0324F848" w14:textId="61EE0564" w:rsidR="009C2A30" w:rsidRPr="002C6F76" w:rsidRDefault="00D31D24" w:rsidP="00405641">
      <w:pPr>
        <w:spacing w:after="0"/>
      </w:pPr>
      <w:r w:rsidRPr="002C6F76">
        <w:t>S</w:t>
      </w:r>
      <w:r w:rsidR="004F7FE8" w:rsidRPr="002C6F76">
        <w:t xml:space="preserve">coping in Iran is based on EIA guidelines </w:t>
      </w:r>
      <w:r w:rsidRPr="002C6F76">
        <w:t xml:space="preserve">and terms of reference (TOR) </w:t>
      </w:r>
      <w:r w:rsidR="004F7FE8" w:rsidRPr="002C6F76">
        <w:t>prepared by the DoE for 17 project types</w:t>
      </w:r>
      <w:r w:rsidRPr="002C6F76">
        <w:t xml:space="preserve"> </w:t>
      </w:r>
      <w:r w:rsidR="009C2A30" w:rsidRPr="002C6F76">
        <w:t>(</w:t>
      </w:r>
      <w:r w:rsidR="0069442F" w:rsidRPr="002C6F76">
        <w:t>Ahmadvand et al;</w:t>
      </w:r>
      <w:r w:rsidR="0069442F" w:rsidRPr="002C6F76" w:rsidDel="009C2A30">
        <w:t xml:space="preserve"> </w:t>
      </w:r>
      <w:r w:rsidR="0069442F" w:rsidRPr="002C6F76">
        <w:t>2009</w:t>
      </w:r>
      <w:r w:rsidR="0069442F">
        <w:t xml:space="preserve">; </w:t>
      </w:r>
      <w:r w:rsidR="009C2A30" w:rsidRPr="002C6F76">
        <w:t>Moradi, 2009)</w:t>
      </w:r>
      <w:r w:rsidR="00D17C64" w:rsidRPr="002C6F76">
        <w:t>. Until</w:t>
      </w:r>
      <w:r w:rsidR="009C2A30" w:rsidRPr="002C6F76">
        <w:t xml:space="preserve"> </w:t>
      </w:r>
      <w:r w:rsidR="00BB71DD" w:rsidRPr="002C6F76">
        <w:t xml:space="preserve">now </w:t>
      </w:r>
      <w:r w:rsidR="00BF4711" w:rsidRPr="002C6F76">
        <w:t>these guidelines have not been updated</w:t>
      </w:r>
      <w:r w:rsidR="00D17C64" w:rsidRPr="002C6F76">
        <w:t>, which</w:t>
      </w:r>
      <w:r w:rsidR="009C2A30" w:rsidRPr="002C6F76">
        <w:t xml:space="preserve"> means </w:t>
      </w:r>
      <w:r w:rsidR="00645A3F">
        <w:t xml:space="preserve">that at </w:t>
      </w:r>
      <w:r w:rsidR="00BB71DD" w:rsidRPr="002C6F76">
        <w:t xml:space="preserve">this stage </w:t>
      </w:r>
      <w:r w:rsidR="00645A3F">
        <w:t xml:space="preserve">it </w:t>
      </w:r>
      <w:r w:rsidR="00BB71DD" w:rsidRPr="002C6F76">
        <w:t xml:space="preserve">is very static and </w:t>
      </w:r>
      <w:r w:rsidR="009C2A30" w:rsidRPr="002C6F76">
        <w:t xml:space="preserve">there is no public participation at </w:t>
      </w:r>
      <w:r w:rsidR="00D17C64" w:rsidRPr="002C6F76">
        <w:t xml:space="preserve">the </w:t>
      </w:r>
      <w:r w:rsidR="009C2A30" w:rsidRPr="002C6F76">
        <w:t xml:space="preserve">scoping stage of </w:t>
      </w:r>
      <w:r w:rsidR="00D17C64" w:rsidRPr="002C6F76">
        <w:t xml:space="preserve">the </w:t>
      </w:r>
      <w:r w:rsidR="009C2A30" w:rsidRPr="002C6F76">
        <w:t xml:space="preserve">Iranian EIA system. </w:t>
      </w:r>
    </w:p>
    <w:p w14:paraId="3C559D5A" w14:textId="2CE0CC5D" w:rsidR="003F1912" w:rsidRPr="002C6F76" w:rsidRDefault="00D31D24" w:rsidP="00F37049">
      <w:pPr>
        <w:spacing w:before="240" w:after="0"/>
      </w:pPr>
      <w:r w:rsidRPr="002C6F76">
        <w:t>Twenty-one interviewees</w:t>
      </w:r>
      <w:r w:rsidR="00D70A8D" w:rsidRPr="002C6F76">
        <w:t xml:space="preserve"> </w:t>
      </w:r>
      <w:r w:rsidR="00B5213C" w:rsidRPr="002C6F76">
        <w:t xml:space="preserve">were </w:t>
      </w:r>
      <w:r w:rsidR="00D70A8D" w:rsidRPr="002C6F76">
        <w:t>ask</w:t>
      </w:r>
      <w:r w:rsidR="00F56E7C">
        <w:t>ed</w:t>
      </w:r>
      <w:r w:rsidR="00D70A8D" w:rsidRPr="002C6F76">
        <w:t xml:space="preserve"> about scoping</w:t>
      </w:r>
      <w:r w:rsidR="00B5213C" w:rsidRPr="002C6F76">
        <w:t>. D</w:t>
      </w:r>
      <w:r w:rsidR="00D70A8D" w:rsidRPr="002C6F76">
        <w:t xml:space="preserve">evelopers </w:t>
      </w:r>
      <w:r w:rsidR="00B5213C" w:rsidRPr="002C6F76">
        <w:t xml:space="preserve">were </w:t>
      </w:r>
      <w:r w:rsidR="00D70A8D" w:rsidRPr="002C6F76">
        <w:t xml:space="preserve">excluded from scoping questions as </w:t>
      </w:r>
      <w:r w:rsidR="001D2342" w:rsidRPr="002C6F76">
        <w:t>initial discussion</w:t>
      </w:r>
      <w:r w:rsidR="00F56E7C">
        <w:t>s</w:t>
      </w:r>
      <w:r w:rsidR="001D2342" w:rsidRPr="002C6F76">
        <w:t xml:space="preserve"> revealed that </w:t>
      </w:r>
      <w:r w:rsidR="00D70A8D" w:rsidRPr="002C6F76">
        <w:t xml:space="preserve">they were not aware of </w:t>
      </w:r>
      <w:r w:rsidR="00B5213C" w:rsidRPr="002C6F76">
        <w:t xml:space="preserve">the </w:t>
      </w:r>
      <w:r w:rsidR="00D70A8D" w:rsidRPr="002C6F76">
        <w:t xml:space="preserve">scoping process. </w:t>
      </w:r>
      <w:r w:rsidR="00B5213C" w:rsidRPr="002C6F76">
        <w:t>This</w:t>
      </w:r>
      <w:r w:rsidRPr="002C6F76">
        <w:t xml:space="preserve"> </w:t>
      </w:r>
      <w:r w:rsidR="00F56E7C">
        <w:t xml:space="preserve">is an indication </w:t>
      </w:r>
      <w:r w:rsidR="00F26DBF">
        <w:t xml:space="preserve">of a lack of </w:t>
      </w:r>
      <w:r w:rsidRPr="002C6F76">
        <w:t>stakeholder engagement</w:t>
      </w:r>
      <w:r w:rsidR="00F26DBF">
        <w:t>. Furthermore</w:t>
      </w:r>
      <w:r w:rsidR="002D7834">
        <w:t>,</w:t>
      </w:r>
      <w:r w:rsidR="00F26DBF">
        <w:t xml:space="preserve"> this does not allow the </w:t>
      </w:r>
      <w:r w:rsidRPr="002C6F76">
        <w:t xml:space="preserve">developers </w:t>
      </w:r>
      <w:r w:rsidR="00F26DBF">
        <w:lastRenderedPageBreak/>
        <w:t xml:space="preserve">to explore different </w:t>
      </w:r>
      <w:r w:rsidRPr="002C6F76">
        <w:t>kind</w:t>
      </w:r>
      <w:r w:rsidR="00645A3F">
        <w:t>s</w:t>
      </w:r>
      <w:r w:rsidRPr="002C6F76">
        <w:t xml:space="preserve"> of impacts and issues need</w:t>
      </w:r>
      <w:r w:rsidR="00F56E7C">
        <w:t>ed</w:t>
      </w:r>
      <w:r w:rsidRPr="002C6F76">
        <w:t xml:space="preserve"> to be included</w:t>
      </w:r>
      <w:r w:rsidR="006C51E7" w:rsidRPr="002C6F76">
        <w:t xml:space="preserve"> in EIA</w:t>
      </w:r>
      <w:r w:rsidRPr="002C6F76">
        <w:t xml:space="preserve">. </w:t>
      </w:r>
      <w:r w:rsidR="00D61326" w:rsidRPr="002C6F76">
        <w:t xml:space="preserve">However, EIA itself is unlikely to be effective without meaningful engagement </w:t>
      </w:r>
      <w:r w:rsidR="00F56E7C">
        <w:t>of</w:t>
      </w:r>
      <w:r w:rsidR="00F56E7C" w:rsidRPr="002C6F76">
        <w:t xml:space="preserve"> </w:t>
      </w:r>
      <w:r w:rsidR="00D61326" w:rsidRPr="002C6F76">
        <w:t>relevant stakeholders (Aung, 2017).</w:t>
      </w:r>
      <w:r w:rsidR="00545B07" w:rsidRPr="002C6F76">
        <w:t xml:space="preserve"> </w:t>
      </w:r>
    </w:p>
    <w:p w14:paraId="10B254D0" w14:textId="4FC1971F" w:rsidR="00D9415E" w:rsidRPr="002C6F76" w:rsidRDefault="00F56E7C" w:rsidP="00F37049">
      <w:pPr>
        <w:spacing w:before="240" w:after="0"/>
      </w:pPr>
      <w:r>
        <w:t>U</w:t>
      </w:r>
      <w:r w:rsidR="009C2A30" w:rsidRPr="002C6F76">
        <w:t xml:space="preserve">nderstanding </w:t>
      </w:r>
      <w:r>
        <w:t xml:space="preserve">the </w:t>
      </w:r>
      <w:r w:rsidR="009C2A30" w:rsidRPr="002C6F76">
        <w:t xml:space="preserve">scoping stage is not coherent in Iran, as </w:t>
      </w:r>
      <w:r w:rsidR="00D31D24" w:rsidRPr="002C6F76">
        <w:t xml:space="preserve">42% </w:t>
      </w:r>
      <w:r>
        <w:t>(</w:t>
      </w:r>
      <w:r w:rsidR="00C21B62">
        <w:t>9</w:t>
      </w:r>
      <w:r>
        <w:t xml:space="preserve">) </w:t>
      </w:r>
      <w:r w:rsidR="00D31D24" w:rsidRPr="002C6F76">
        <w:t xml:space="preserve">of interviewees </w:t>
      </w:r>
      <w:r w:rsidR="004F7FE8" w:rsidRPr="002C6F76">
        <w:t xml:space="preserve">stated </w:t>
      </w:r>
      <w:r w:rsidR="001D2342" w:rsidRPr="002C6F76">
        <w:t xml:space="preserve">that </w:t>
      </w:r>
      <w:r w:rsidR="004F7FE8" w:rsidRPr="002C6F76">
        <w:t xml:space="preserve">there is </w:t>
      </w:r>
      <w:r w:rsidR="00645A3F">
        <w:t xml:space="preserve">a </w:t>
      </w:r>
      <w:r w:rsidR="004F7FE8" w:rsidRPr="002C6F76">
        <w:t>scoping stage in the EIA process</w:t>
      </w:r>
      <w:r w:rsidR="00B5213C" w:rsidRPr="002C6F76">
        <w:t>. Furthermore</w:t>
      </w:r>
      <w:r w:rsidR="004F7FE8" w:rsidRPr="002C6F76">
        <w:t xml:space="preserve">, scoping </w:t>
      </w:r>
      <w:r>
        <w:t xml:space="preserve">is perceived </w:t>
      </w:r>
      <w:r w:rsidR="004F7FE8" w:rsidRPr="002C6F76">
        <w:t xml:space="preserve">as </w:t>
      </w:r>
      <w:r>
        <w:t xml:space="preserve">a stage at which </w:t>
      </w:r>
      <w:r w:rsidR="004F7FE8" w:rsidRPr="002C6F76">
        <w:t>geographical boundaries</w:t>
      </w:r>
      <w:r w:rsidR="00452A30" w:rsidRPr="002C6F76">
        <w:t xml:space="preserve"> </w:t>
      </w:r>
      <w:r>
        <w:t xml:space="preserve">are merely defined </w:t>
      </w:r>
      <w:r w:rsidR="00452A30" w:rsidRPr="002C6F76">
        <w:t>for the EIA</w:t>
      </w:r>
      <w:r w:rsidR="003F1912" w:rsidRPr="002C6F76">
        <w:t xml:space="preserve"> study</w:t>
      </w:r>
      <w:r w:rsidR="00943BE5" w:rsidRPr="002C6F76">
        <w:t xml:space="preserve">. These interviewees were from consultancies, </w:t>
      </w:r>
      <w:r>
        <w:t xml:space="preserve">the </w:t>
      </w:r>
      <w:r w:rsidR="00943BE5" w:rsidRPr="002C6F76">
        <w:t xml:space="preserve">EIA Bureau, </w:t>
      </w:r>
      <w:r w:rsidR="00E41275" w:rsidRPr="002C6F76">
        <w:t>and</w:t>
      </w:r>
      <w:r w:rsidR="00943BE5" w:rsidRPr="002C6F76">
        <w:t xml:space="preserve"> universities</w:t>
      </w:r>
      <w:r w:rsidR="00452A30" w:rsidRPr="002C6F76">
        <w:t>.</w:t>
      </w:r>
      <w:r w:rsidR="004F7FE8" w:rsidRPr="002C6F76">
        <w:t xml:space="preserve"> On the other hand, </w:t>
      </w:r>
      <w:r w:rsidR="00E42256" w:rsidRPr="002C6F76">
        <w:t xml:space="preserve">58% </w:t>
      </w:r>
      <w:r w:rsidR="00580CCA">
        <w:t>(</w:t>
      </w:r>
      <w:r w:rsidR="00C21B62">
        <w:t>12</w:t>
      </w:r>
      <w:r w:rsidR="00580CCA">
        <w:t xml:space="preserve">) </w:t>
      </w:r>
      <w:r w:rsidR="00E42256" w:rsidRPr="002C6F76">
        <w:t xml:space="preserve">of </w:t>
      </w:r>
      <w:r w:rsidR="004F7FE8" w:rsidRPr="002C6F76">
        <w:t xml:space="preserve">interviewees, </w:t>
      </w:r>
      <w:r w:rsidR="0031368C" w:rsidRPr="002C6F76">
        <w:t xml:space="preserve">who believed that scoping means identifying significant issues and determining those that need to be addressed in the </w:t>
      </w:r>
      <w:r w:rsidR="0073316B" w:rsidRPr="002C6F76">
        <w:t>EIA,</w:t>
      </w:r>
      <w:r w:rsidR="004F7FE8" w:rsidRPr="002C6F76">
        <w:t xml:space="preserve"> said that the scoping step is bypassed </w:t>
      </w:r>
      <w:r w:rsidR="00B5213C" w:rsidRPr="002C6F76">
        <w:t xml:space="preserve">in Iran </w:t>
      </w:r>
      <w:r w:rsidR="004F7FE8" w:rsidRPr="002C6F76">
        <w:t xml:space="preserve">by writing </w:t>
      </w:r>
      <w:r w:rsidR="00573E18" w:rsidRPr="002C6F76">
        <w:t xml:space="preserve">EIA </w:t>
      </w:r>
      <w:r w:rsidR="004F7FE8" w:rsidRPr="002C6F76">
        <w:t>reports according to a</w:t>
      </w:r>
      <w:r w:rsidR="00452A30" w:rsidRPr="002C6F76">
        <w:t xml:space="preserve"> </w:t>
      </w:r>
      <w:r w:rsidR="004F7FE8" w:rsidRPr="002C6F76">
        <w:t>guideline</w:t>
      </w:r>
      <w:r w:rsidR="00580CCA">
        <w:t xml:space="preserve"> or other terms of reference</w:t>
      </w:r>
      <w:r w:rsidR="004F7FE8" w:rsidRPr="002C6F76">
        <w:t xml:space="preserve">. </w:t>
      </w:r>
      <w:r w:rsidR="003F1912" w:rsidRPr="002C6F76">
        <w:t>This group</w:t>
      </w:r>
      <w:r w:rsidR="00B5213C" w:rsidRPr="002C6F76">
        <w:t xml:space="preserve"> </w:t>
      </w:r>
      <w:r w:rsidR="00580CCA">
        <w:t xml:space="preserve">was </w:t>
      </w:r>
      <w:r w:rsidR="001F1876" w:rsidRPr="002C6F76">
        <w:t xml:space="preserve">also interested to know more about </w:t>
      </w:r>
      <w:r w:rsidR="003F1912" w:rsidRPr="002C6F76">
        <w:t xml:space="preserve">how scoping should be done according to international scoping guidance. </w:t>
      </w:r>
    </w:p>
    <w:p w14:paraId="246C74F3" w14:textId="77777777" w:rsidR="00107E53" w:rsidRPr="002C6F76" w:rsidRDefault="00107E53" w:rsidP="00F9397A">
      <w:pPr>
        <w:spacing w:before="240"/>
        <w:rPr>
          <w:rFonts w:asciiTheme="majorBidi" w:hAnsiTheme="majorBidi" w:cstheme="majorBidi"/>
          <w:color w:val="000000"/>
          <w:lang w:val="en-GB"/>
        </w:rPr>
      </w:pPr>
      <w:r w:rsidRPr="002C6F76">
        <w:rPr>
          <w:rFonts w:asciiTheme="majorBidi" w:hAnsiTheme="majorBidi" w:cstheme="majorBidi"/>
          <w:color w:val="000000"/>
          <w:lang w:val="en-GB"/>
        </w:rPr>
        <w:t>3.2.3. Assessment of alternatives</w:t>
      </w:r>
    </w:p>
    <w:p w14:paraId="6FCF4965" w14:textId="50CF6ACF" w:rsidR="0009277D" w:rsidRPr="002C6F76" w:rsidRDefault="00107E53" w:rsidP="00F9397A">
      <w:r w:rsidRPr="002C6F76">
        <w:t>Moradi (2009) noted that consideration of alternative</w:t>
      </w:r>
      <w:r w:rsidR="00D161E4" w:rsidRPr="002C6F76">
        <w:t>s</w:t>
      </w:r>
      <w:r w:rsidRPr="002C6F76">
        <w:t xml:space="preserve"> in the Iranian EIA system is mentioned in </w:t>
      </w:r>
      <w:r w:rsidR="000B7C62" w:rsidRPr="002C6F76">
        <w:t xml:space="preserve">the Iranian </w:t>
      </w:r>
      <w:r w:rsidRPr="002C6F76">
        <w:t>EIA directive, requir</w:t>
      </w:r>
      <w:r w:rsidR="00403E13">
        <w:t>ing</w:t>
      </w:r>
      <w:r w:rsidRPr="002C6F76">
        <w:t xml:space="preserve"> that technical and spatial alternatives of a project should be included in the EIA report. </w:t>
      </w:r>
      <w:r w:rsidR="00461FA0" w:rsidRPr="002C6F76">
        <w:t xml:space="preserve">Goldooz (2010) also </w:t>
      </w:r>
      <w:r w:rsidR="00B5213C" w:rsidRPr="002C6F76">
        <w:t xml:space="preserve">believed </w:t>
      </w:r>
      <w:r w:rsidR="00461FA0" w:rsidRPr="002C6F76">
        <w:t xml:space="preserve">that the examination of alternatives </w:t>
      </w:r>
      <w:r w:rsidR="00B5213C" w:rsidRPr="002C6F76">
        <w:t xml:space="preserve">did </w:t>
      </w:r>
      <w:r w:rsidR="00461FA0" w:rsidRPr="002C6F76">
        <w:t>not actually happen in Iran. Most</w:t>
      </w:r>
      <w:r w:rsidRPr="002C6F76">
        <w:t xml:space="preserve"> respondents commented that only two alternatives, consisting of the proposed project (i.e. the preferred option) along with the zero (i.e. no action) alternative are considered in </w:t>
      </w:r>
      <w:r w:rsidR="00645A3F">
        <w:t xml:space="preserve">the </w:t>
      </w:r>
      <w:r w:rsidRPr="002C6F76">
        <w:t xml:space="preserve">EIA reports. </w:t>
      </w:r>
      <w:r w:rsidR="002A111C" w:rsidRPr="002C6F76">
        <w:t xml:space="preserve">The interviewees were asked about the reasons behind not considering </w:t>
      </w:r>
      <w:r w:rsidR="00403E13">
        <w:t xml:space="preserve">e.g. </w:t>
      </w:r>
      <w:r w:rsidRPr="002C6F76">
        <w:t>technical and spatial alternatives</w:t>
      </w:r>
      <w:r w:rsidR="002A111C" w:rsidRPr="002C6F76">
        <w:t xml:space="preserve"> in EIA process</w:t>
      </w:r>
      <w:r w:rsidR="00F74256" w:rsidRPr="002C6F76">
        <w:t xml:space="preserve">. Eleven </w:t>
      </w:r>
      <w:r w:rsidRPr="002C6F76">
        <w:t>interviewees stated that EIA is conducted at the latest project plan stage when most of the details have been finalised and there is no opportunity to consider alternatives.</w:t>
      </w:r>
      <w:r w:rsidR="00327A51" w:rsidRPr="002C6F76">
        <w:t xml:space="preserve"> </w:t>
      </w:r>
      <w:r w:rsidRPr="002C6F76">
        <w:t>Eight interviewees said that even if the projects ha</w:t>
      </w:r>
      <w:r w:rsidR="00645A3F">
        <w:t>d</w:t>
      </w:r>
      <w:r w:rsidRPr="002C6F76">
        <w:t xml:space="preserve"> spatial alternatives, the final alternative is selected only based on economic criteria in the feasibility phase.</w:t>
      </w:r>
      <w:r w:rsidR="00327A51" w:rsidRPr="002C6F76">
        <w:t xml:space="preserve"> </w:t>
      </w:r>
      <w:r w:rsidRPr="002C6F76">
        <w:t>Six interviewees also pointed out that political issue</w:t>
      </w:r>
      <w:r w:rsidR="00B5213C" w:rsidRPr="002C6F76">
        <w:t>s</w:t>
      </w:r>
      <w:r w:rsidRPr="002C6F76">
        <w:t xml:space="preserve"> on some projects predetermined the location of the project; that is, projects do not consider any spatial alternatives during </w:t>
      </w:r>
      <w:r w:rsidR="00403E13">
        <w:t xml:space="preserve">the </w:t>
      </w:r>
      <w:r w:rsidRPr="002C6F76">
        <w:t>planning process.</w:t>
      </w:r>
    </w:p>
    <w:p w14:paraId="7E3F8D97" w14:textId="77777777" w:rsidR="00F25580" w:rsidRPr="002C6F76" w:rsidRDefault="00F25580" w:rsidP="0015031F">
      <w:pPr>
        <w:spacing w:before="240"/>
        <w:rPr>
          <w:rFonts w:asciiTheme="majorBidi" w:hAnsiTheme="majorBidi" w:cstheme="majorBidi"/>
          <w:color w:val="000000"/>
          <w:lang w:val="en-GB"/>
        </w:rPr>
      </w:pPr>
      <w:r w:rsidRPr="002C6F76">
        <w:rPr>
          <w:rFonts w:asciiTheme="majorBidi" w:hAnsiTheme="majorBidi" w:cstheme="majorBidi"/>
          <w:color w:val="000000"/>
          <w:lang w:val="en-GB"/>
        </w:rPr>
        <w:t>3.2.4. Public participation</w:t>
      </w:r>
    </w:p>
    <w:p w14:paraId="7F134120" w14:textId="0D38EF37" w:rsidR="000F77F1" w:rsidRPr="002C6F76" w:rsidRDefault="000B7C62" w:rsidP="0015031F">
      <w:r w:rsidRPr="002C6F76">
        <w:t xml:space="preserve">Public participation is practically ignored in </w:t>
      </w:r>
      <w:r w:rsidR="003D1098">
        <w:t xml:space="preserve">Iran’s </w:t>
      </w:r>
      <w:r w:rsidRPr="002C6F76">
        <w:t xml:space="preserve">EIA </w:t>
      </w:r>
      <w:r w:rsidR="003D1098">
        <w:t>process</w:t>
      </w:r>
      <w:r w:rsidR="00403E13">
        <w:t xml:space="preserve"> </w:t>
      </w:r>
      <w:r w:rsidRPr="002C6F76">
        <w:t xml:space="preserve">(Nouri and </w:t>
      </w:r>
      <w:r w:rsidR="009211DD" w:rsidRPr="002C6F76">
        <w:t>N</w:t>
      </w:r>
      <w:r w:rsidR="009211DD">
        <w:t>i</w:t>
      </w:r>
      <w:r w:rsidR="009211DD" w:rsidRPr="002C6F76">
        <w:t>koomaram</w:t>
      </w:r>
      <w:r w:rsidRPr="002C6F76">
        <w:t xml:space="preserve">, 2005; Moradi, 2009). </w:t>
      </w:r>
      <w:r w:rsidR="00DB11B7" w:rsidRPr="002C6F76">
        <w:t xml:space="preserve">Ahmadvand et al. (2009) </w:t>
      </w:r>
      <w:r w:rsidRPr="002C6F76">
        <w:t>confirm</w:t>
      </w:r>
      <w:r w:rsidR="00403E13">
        <w:t>ed</w:t>
      </w:r>
      <w:r w:rsidRPr="002C6F76">
        <w:t xml:space="preserve"> that </w:t>
      </w:r>
      <w:r w:rsidR="00DB11B7" w:rsidRPr="002C6F76">
        <w:t xml:space="preserve">there </w:t>
      </w:r>
      <w:r w:rsidR="00645A3F">
        <w:t>was</w:t>
      </w:r>
      <w:r w:rsidR="00645A3F" w:rsidRPr="002C6F76">
        <w:t xml:space="preserve"> </w:t>
      </w:r>
      <w:r w:rsidR="00DB11B7" w:rsidRPr="002C6F76">
        <w:t xml:space="preserve">no legal requirement </w:t>
      </w:r>
      <w:r w:rsidR="00403E13">
        <w:t>for</w:t>
      </w:r>
      <w:r w:rsidR="00403E13" w:rsidRPr="002C6F76">
        <w:t xml:space="preserve"> </w:t>
      </w:r>
      <w:r w:rsidRPr="002C6F76">
        <w:t>public participation</w:t>
      </w:r>
      <w:r w:rsidR="00DB11B7" w:rsidRPr="002C6F76">
        <w:t xml:space="preserve">. </w:t>
      </w:r>
      <w:r w:rsidR="00403E13">
        <w:t xml:space="preserve">This </w:t>
      </w:r>
      <w:r w:rsidRPr="002C6F76">
        <w:t xml:space="preserve">was </w:t>
      </w:r>
      <w:r w:rsidR="004E3EA7">
        <w:t xml:space="preserve">endorsed </w:t>
      </w:r>
      <w:r w:rsidR="00B5213C" w:rsidRPr="002C6F76">
        <w:t xml:space="preserve">by </w:t>
      </w:r>
      <w:r w:rsidR="00403E13">
        <w:t xml:space="preserve">86% (26) of the </w:t>
      </w:r>
      <w:r w:rsidR="00F25580" w:rsidRPr="002C6F76">
        <w:t>interviewees</w:t>
      </w:r>
      <w:r w:rsidR="000F77F1" w:rsidRPr="002C6F76">
        <w:t xml:space="preserve">. </w:t>
      </w:r>
      <w:r w:rsidR="000D2D65" w:rsidRPr="002C6F76">
        <w:t xml:space="preserve">Three interviewees claimed that </w:t>
      </w:r>
      <w:r w:rsidR="000D2D65" w:rsidRPr="002C6F76">
        <w:lastRenderedPageBreak/>
        <w:t xml:space="preserve">the main reason for this </w:t>
      </w:r>
      <w:r w:rsidR="000F77F1" w:rsidRPr="002C6F76">
        <w:t xml:space="preserve">was that </w:t>
      </w:r>
      <w:r w:rsidR="000D2D65" w:rsidRPr="002C6F76">
        <w:t xml:space="preserve">public participation </w:t>
      </w:r>
      <w:r w:rsidR="00B5213C" w:rsidRPr="002C6F76">
        <w:t xml:space="preserve">had </w:t>
      </w:r>
      <w:r w:rsidR="000D2D65" w:rsidRPr="002C6F76">
        <w:t>not been included</w:t>
      </w:r>
      <w:r w:rsidR="000F77F1" w:rsidRPr="002C6F76">
        <w:t xml:space="preserve"> in the ‘Iranian EIA </w:t>
      </w:r>
      <w:r w:rsidR="00645A3F">
        <w:t>D</w:t>
      </w:r>
      <w:r w:rsidR="006C51E7" w:rsidRPr="002C6F76">
        <w:t>irective ‘</w:t>
      </w:r>
      <w:r w:rsidR="000F77F1" w:rsidRPr="002C6F76">
        <w:t xml:space="preserve">, and ‘Guidance to EIA </w:t>
      </w:r>
      <w:r w:rsidR="00645A3F">
        <w:t>R</w:t>
      </w:r>
      <w:r w:rsidR="006C51E7" w:rsidRPr="002C6F76">
        <w:t>eport ‘</w:t>
      </w:r>
      <w:r w:rsidR="000F77F1" w:rsidRPr="002C6F76">
        <w:t xml:space="preserve">, </w:t>
      </w:r>
      <w:r w:rsidR="00B5213C" w:rsidRPr="002C6F76">
        <w:t xml:space="preserve">meaning </w:t>
      </w:r>
      <w:r w:rsidR="000F77F1" w:rsidRPr="002C6F76">
        <w:t xml:space="preserve">there is no requirement for involving the public and stakeholders. However, two interviewees added </w:t>
      </w:r>
      <w:r w:rsidR="00403E13">
        <w:t xml:space="preserve">an important </w:t>
      </w:r>
      <w:r w:rsidR="000F77F1" w:rsidRPr="002C6F76">
        <w:t>point</w:t>
      </w:r>
      <w:r w:rsidR="00403E13">
        <w:t>, namely that</w:t>
      </w:r>
      <w:r w:rsidR="00C21B62">
        <w:t>:</w:t>
      </w:r>
      <w:r w:rsidR="007630D7" w:rsidRPr="002C6F76">
        <w:t xml:space="preserve"> </w:t>
      </w:r>
      <w:r w:rsidR="007630D7" w:rsidRPr="00DB296F">
        <w:t>"</w:t>
      </w:r>
      <w:r w:rsidR="000F77F1" w:rsidRPr="00DB296F">
        <w:t xml:space="preserve">The Iranian dominant culture is </w:t>
      </w:r>
      <w:r w:rsidR="001D2342" w:rsidRPr="00DB296F">
        <w:t xml:space="preserve">based on </w:t>
      </w:r>
      <w:r w:rsidR="000F77F1" w:rsidRPr="00DB296F">
        <w:t>centrali</w:t>
      </w:r>
      <w:r w:rsidR="007E4B18">
        <w:t>z</w:t>
      </w:r>
      <w:r w:rsidR="000F77F1" w:rsidRPr="00DB296F">
        <w:t xml:space="preserve">ed </w:t>
      </w:r>
      <w:r w:rsidR="00B5213C" w:rsidRPr="00DB296F">
        <w:t>decision-</w:t>
      </w:r>
      <w:r w:rsidR="000F77F1" w:rsidRPr="00DB296F">
        <w:t>making</w:t>
      </w:r>
      <w:r w:rsidR="00B5213C" w:rsidRPr="00DB296F">
        <w:t>,</w:t>
      </w:r>
      <w:r w:rsidR="000F77F1" w:rsidRPr="00DB296F">
        <w:t xml:space="preserve"> which hinders the development of public participation not only in EIA project</w:t>
      </w:r>
      <w:r w:rsidR="00B5213C" w:rsidRPr="00DB296F">
        <w:t>s</w:t>
      </w:r>
      <w:r w:rsidR="000F77F1" w:rsidRPr="00DB296F">
        <w:t xml:space="preserve"> but </w:t>
      </w:r>
      <w:r w:rsidR="001D2342" w:rsidRPr="00DB296F">
        <w:t xml:space="preserve">in </w:t>
      </w:r>
      <w:r w:rsidR="000F77F1" w:rsidRPr="00DB296F">
        <w:t>all developments in Iran</w:t>
      </w:r>
      <w:r w:rsidR="007630D7" w:rsidRPr="00DB296F">
        <w:t>"</w:t>
      </w:r>
      <w:r w:rsidR="000F77F1" w:rsidRPr="00DB296F">
        <w:t>.</w:t>
      </w:r>
    </w:p>
    <w:p w14:paraId="20B653C6" w14:textId="11683965" w:rsidR="009C485F" w:rsidRPr="002C6F76" w:rsidRDefault="000D2D65" w:rsidP="009C485F">
      <w:r w:rsidRPr="002C6F76">
        <w:t>Interestingly</w:t>
      </w:r>
      <w:r w:rsidR="00C463EB">
        <w:t>,</w:t>
      </w:r>
      <w:r w:rsidRPr="002C6F76">
        <w:t xml:space="preserve"> 14% </w:t>
      </w:r>
      <w:r w:rsidR="00C463EB">
        <w:t xml:space="preserve">(4) </w:t>
      </w:r>
      <w:r w:rsidR="004572BD" w:rsidRPr="002C6F76">
        <w:t xml:space="preserve">of </w:t>
      </w:r>
      <w:r w:rsidR="00C463EB">
        <w:t xml:space="preserve">the </w:t>
      </w:r>
      <w:r w:rsidR="004572BD" w:rsidRPr="002C6F76">
        <w:t xml:space="preserve">interviewees, </w:t>
      </w:r>
      <w:r w:rsidR="009C485F" w:rsidRPr="002C6F76">
        <w:t>mostly from water resource consultancies</w:t>
      </w:r>
      <w:r w:rsidR="004572BD" w:rsidRPr="002C6F76">
        <w:t>,</w:t>
      </w:r>
      <w:r w:rsidR="009C485F" w:rsidRPr="002C6F76">
        <w:t xml:space="preserve"> </w:t>
      </w:r>
      <w:r w:rsidR="00C463EB">
        <w:t xml:space="preserve">thought </w:t>
      </w:r>
      <w:r w:rsidRPr="002C6F76">
        <w:t xml:space="preserve">that there </w:t>
      </w:r>
      <w:r w:rsidR="00C463EB">
        <w:t xml:space="preserve">was </w:t>
      </w:r>
      <w:r w:rsidR="007E4B18">
        <w:t xml:space="preserve">some </w:t>
      </w:r>
      <w:r w:rsidRPr="002C6F76">
        <w:t>public participation</w:t>
      </w:r>
      <w:r w:rsidR="007E4B18">
        <w:t xml:space="preserve"> happening</w:t>
      </w:r>
      <w:r w:rsidRPr="002C6F76">
        <w:t xml:space="preserve">. </w:t>
      </w:r>
      <w:r w:rsidR="009C485F" w:rsidRPr="002C6F76">
        <w:t xml:space="preserve">They said that </w:t>
      </w:r>
      <w:r w:rsidR="00C463EB">
        <w:t xml:space="preserve">it was </w:t>
      </w:r>
      <w:r w:rsidR="009C485F" w:rsidRPr="002C6F76">
        <w:t>carried out for resettlement projects that directly affect</w:t>
      </w:r>
      <w:r w:rsidR="007E4B18">
        <w:t>ed</w:t>
      </w:r>
      <w:r w:rsidR="009C485F" w:rsidRPr="002C6F76">
        <w:t xml:space="preserve"> people's livelihoods. </w:t>
      </w:r>
      <w:r w:rsidR="004E3EA7">
        <w:t xml:space="preserve">However, public participation is a key component of EIA, not just in some </w:t>
      </w:r>
      <w:r w:rsidR="007E4B18">
        <w:t xml:space="preserve">specific cases, </w:t>
      </w:r>
      <w:r w:rsidR="004E3EA7">
        <w:t xml:space="preserve">but </w:t>
      </w:r>
      <w:r w:rsidR="007E4B18">
        <w:t xml:space="preserve">always and </w:t>
      </w:r>
      <w:r w:rsidR="004E3EA7">
        <w:t>everywhere (see e.g. Nadeem and Fischer,</w:t>
      </w:r>
      <w:r w:rsidR="00444483">
        <w:t xml:space="preserve"> 2011</w:t>
      </w:r>
      <w:r w:rsidR="004E3EA7">
        <w:t>). Therefore</w:t>
      </w:r>
      <w:r w:rsidR="00297020">
        <w:t>,</w:t>
      </w:r>
      <w:r w:rsidR="004E3EA7">
        <w:t xml:space="preserve"> this </w:t>
      </w:r>
      <w:r w:rsidR="007E4B18">
        <w:t xml:space="preserve">issue </w:t>
      </w:r>
      <w:r w:rsidR="004E3EA7">
        <w:t>will need to be addressed in Iran.</w:t>
      </w:r>
    </w:p>
    <w:p w14:paraId="0DB8A32E" w14:textId="77777777" w:rsidR="00F25580" w:rsidRPr="002C6F76" w:rsidRDefault="0003011A" w:rsidP="0015031F">
      <w:pPr>
        <w:spacing w:before="240"/>
        <w:rPr>
          <w:rFonts w:asciiTheme="majorBidi" w:hAnsiTheme="majorBidi" w:cstheme="majorBidi"/>
          <w:color w:val="000000"/>
          <w:lang w:val="en-GB"/>
        </w:rPr>
      </w:pPr>
      <w:r w:rsidRPr="002C6F76">
        <w:rPr>
          <w:rFonts w:asciiTheme="majorBidi" w:hAnsiTheme="majorBidi" w:cstheme="majorBidi"/>
          <w:color w:val="000000"/>
          <w:lang w:val="en-GB"/>
        </w:rPr>
        <w:t>3.2.</w:t>
      </w:r>
      <w:r w:rsidR="003D54D8" w:rsidRPr="002C6F76">
        <w:rPr>
          <w:rFonts w:asciiTheme="majorBidi" w:hAnsiTheme="majorBidi" w:cstheme="majorBidi"/>
          <w:color w:val="000000"/>
          <w:lang w:val="en-GB"/>
        </w:rPr>
        <w:t>5</w:t>
      </w:r>
      <w:r w:rsidRPr="002C6F76">
        <w:rPr>
          <w:rFonts w:asciiTheme="majorBidi" w:hAnsiTheme="majorBidi" w:cstheme="majorBidi"/>
          <w:color w:val="000000"/>
          <w:lang w:val="en-GB"/>
        </w:rPr>
        <w:t xml:space="preserve">. </w:t>
      </w:r>
      <w:bookmarkStart w:id="12" w:name="_Hlk515699846"/>
      <w:r w:rsidR="00AB42A3" w:rsidRPr="002C6F76">
        <w:t>EIA Follow-up</w:t>
      </w:r>
      <w:bookmarkEnd w:id="12"/>
    </w:p>
    <w:p w14:paraId="7F58E3CA" w14:textId="4128F294" w:rsidR="008876FA" w:rsidRPr="002C6F76" w:rsidRDefault="00F25580" w:rsidP="0054225C">
      <w:r w:rsidRPr="002C6F76">
        <w:t>An effective EIA system is characteri</w:t>
      </w:r>
      <w:r w:rsidR="005102E8">
        <w:t>z</w:t>
      </w:r>
      <w:r w:rsidRPr="002C6F76">
        <w:t xml:space="preserve">ed by proper implementation of mitigation measures along with monitoring (Momtaz and </w:t>
      </w:r>
      <w:r w:rsidR="007F4F62" w:rsidRPr="002C6F76">
        <w:t>Kabir</w:t>
      </w:r>
      <w:r w:rsidRPr="002C6F76">
        <w:t xml:space="preserve">; 2013). There is no literature </w:t>
      </w:r>
      <w:r w:rsidR="005102E8" w:rsidRPr="00DB296F">
        <w:t>on</w:t>
      </w:r>
      <w:r w:rsidR="005102E8">
        <w:t xml:space="preserve"> </w:t>
      </w:r>
      <w:r w:rsidR="0054225C" w:rsidRPr="002C6F76">
        <w:t>EIA Follow-up</w:t>
      </w:r>
      <w:r w:rsidR="0054225C" w:rsidRPr="002C6F76" w:rsidDel="0054225C">
        <w:t xml:space="preserve"> </w:t>
      </w:r>
      <w:r w:rsidRPr="002C6F76">
        <w:t xml:space="preserve">in Iran. However, interviewees </w:t>
      </w:r>
      <w:r w:rsidR="00906030" w:rsidRPr="002C6F76">
        <w:t>unanimous</w:t>
      </w:r>
      <w:r w:rsidR="006C37BB" w:rsidRPr="002C6F76">
        <w:t xml:space="preserve">ly agreed that </w:t>
      </w:r>
      <w:r w:rsidR="00906030" w:rsidRPr="002C6F76">
        <w:t xml:space="preserve">mitigating measures </w:t>
      </w:r>
      <w:r w:rsidR="005102E8">
        <w:t>we</w:t>
      </w:r>
      <w:r w:rsidR="006C37BB" w:rsidRPr="002C6F76">
        <w:t xml:space="preserve">re </w:t>
      </w:r>
      <w:r w:rsidR="00906030" w:rsidRPr="002C6F76">
        <w:t>not being implemented</w:t>
      </w:r>
      <w:r w:rsidR="00297020">
        <w:t>.</w:t>
      </w:r>
      <w:r w:rsidR="00906030" w:rsidRPr="002C6F76">
        <w:t xml:space="preserve"> </w:t>
      </w:r>
      <w:r w:rsidR="00297020">
        <w:t>M</w:t>
      </w:r>
      <w:r w:rsidRPr="002C6F76">
        <w:t xml:space="preserve">onitoring </w:t>
      </w:r>
      <w:r w:rsidR="005102E8">
        <w:t>was</w:t>
      </w:r>
      <w:r w:rsidR="00297020">
        <w:t xml:space="preserve"> </w:t>
      </w:r>
      <w:r w:rsidR="006C37BB" w:rsidRPr="002C6F76">
        <w:t xml:space="preserve">seriously deficient within the Iranian </w:t>
      </w:r>
      <w:r w:rsidRPr="002C6F76">
        <w:t>EIA system</w:t>
      </w:r>
      <w:r w:rsidR="006C37BB" w:rsidRPr="002C6F76">
        <w:t xml:space="preserve"> </w:t>
      </w:r>
      <w:r w:rsidRPr="002C6F76">
        <w:t>(Ahmadvand et al., 2009</w:t>
      </w:r>
      <w:r w:rsidR="008E4569" w:rsidRPr="002C6F76">
        <w:t>; Moradi, 2009</w:t>
      </w:r>
      <w:r w:rsidRPr="002C6F76">
        <w:t>)</w:t>
      </w:r>
      <w:r w:rsidR="00FC175A" w:rsidRPr="002C6F76">
        <w:t>. A</w:t>
      </w:r>
      <w:r w:rsidRPr="002C6F76">
        <w:t xml:space="preserve">ll interviewees confirmed </w:t>
      </w:r>
      <w:r w:rsidR="00B021B2" w:rsidRPr="002C6F76">
        <w:t xml:space="preserve">this and claimed that </w:t>
      </w:r>
      <w:r w:rsidRPr="002C6F76">
        <w:t xml:space="preserve">lack of </w:t>
      </w:r>
      <w:r w:rsidR="00B5213C" w:rsidRPr="002C6F76">
        <w:t xml:space="preserve">penalties </w:t>
      </w:r>
      <w:r w:rsidRPr="002C6F76">
        <w:t xml:space="preserve">and </w:t>
      </w:r>
      <w:r w:rsidR="00B021B2" w:rsidRPr="002C6F76">
        <w:t xml:space="preserve">inspection </w:t>
      </w:r>
      <w:r w:rsidR="006C51E7" w:rsidRPr="002C6F76">
        <w:t>discourage</w:t>
      </w:r>
      <w:r w:rsidR="005102E8">
        <w:t>d</w:t>
      </w:r>
      <w:r w:rsidR="00B021B2" w:rsidRPr="002C6F76">
        <w:t xml:space="preserve"> developers </w:t>
      </w:r>
      <w:r w:rsidR="00B5213C" w:rsidRPr="002C6F76">
        <w:t xml:space="preserve">from </w:t>
      </w:r>
      <w:r w:rsidR="00B021B2" w:rsidRPr="002C6F76">
        <w:t>implement</w:t>
      </w:r>
      <w:r w:rsidR="00B5213C" w:rsidRPr="002C6F76">
        <w:t>ing</w:t>
      </w:r>
      <w:r w:rsidR="00B021B2" w:rsidRPr="002C6F76">
        <w:t xml:space="preserve"> monitoring.</w:t>
      </w:r>
      <w:r w:rsidR="0054225C" w:rsidRPr="002C6F76">
        <w:t xml:space="preserve"> They</w:t>
      </w:r>
      <w:r w:rsidR="008876FA" w:rsidRPr="002C6F76">
        <w:t xml:space="preserve"> claimed that inspection</w:t>
      </w:r>
      <w:r w:rsidR="00B5213C" w:rsidRPr="002C6F76">
        <w:t>s</w:t>
      </w:r>
      <w:r w:rsidR="008876FA" w:rsidRPr="002C6F76">
        <w:t xml:space="preserve"> </w:t>
      </w:r>
      <w:r w:rsidR="005102E8">
        <w:t>we</w:t>
      </w:r>
      <w:r w:rsidR="00B5213C" w:rsidRPr="002C6F76">
        <w:t>re</w:t>
      </w:r>
      <w:r w:rsidR="008876FA" w:rsidRPr="002C6F76">
        <w:t xml:space="preserve"> very </w:t>
      </w:r>
      <w:r w:rsidR="0054225C" w:rsidRPr="002C6F76">
        <w:t>weak and</w:t>
      </w:r>
      <w:r w:rsidR="008876FA" w:rsidRPr="002C6F76">
        <w:t xml:space="preserve"> </w:t>
      </w:r>
      <w:r w:rsidR="005102E8">
        <w:t>we</w:t>
      </w:r>
      <w:r w:rsidR="005102E8" w:rsidRPr="002C6F76">
        <w:t xml:space="preserve">re </w:t>
      </w:r>
      <w:r w:rsidR="008876FA" w:rsidRPr="002C6F76">
        <w:t xml:space="preserve">conducted at random due to a shortage of </w:t>
      </w:r>
      <w:r w:rsidR="007417CD" w:rsidRPr="002C6F76">
        <w:t>resource capacity</w:t>
      </w:r>
      <w:r w:rsidR="008876FA" w:rsidRPr="002C6F76">
        <w:t xml:space="preserve"> in the DoE and the provincial body. The inspection office</w:t>
      </w:r>
      <w:r w:rsidR="00D15D9A" w:rsidRPr="002C6F76">
        <w:t>r</w:t>
      </w:r>
      <w:r w:rsidR="008876FA" w:rsidRPr="002C6F76">
        <w:t xml:space="preserve"> </w:t>
      </w:r>
      <w:r w:rsidR="00B5213C" w:rsidRPr="002C6F76">
        <w:t>from</w:t>
      </w:r>
      <w:r w:rsidR="008876FA" w:rsidRPr="002C6F76">
        <w:t xml:space="preserve"> the DoE </w:t>
      </w:r>
      <w:r w:rsidR="00D15D9A" w:rsidRPr="002C6F76">
        <w:t xml:space="preserve">confirmed </w:t>
      </w:r>
      <w:r w:rsidR="00B5213C" w:rsidRPr="002C6F76">
        <w:t>this</w:t>
      </w:r>
      <w:r w:rsidR="0048550B" w:rsidRPr="002C6F76">
        <w:t xml:space="preserve"> </w:t>
      </w:r>
      <w:r w:rsidR="00D15D9A" w:rsidRPr="002C6F76">
        <w:t xml:space="preserve">and </w:t>
      </w:r>
      <w:r w:rsidR="008876FA" w:rsidRPr="002C6F76">
        <w:t xml:space="preserve">stated that </w:t>
      </w:r>
      <w:r w:rsidR="00D15D9A" w:rsidRPr="002C6F76">
        <w:t xml:space="preserve">there is </w:t>
      </w:r>
      <w:r w:rsidR="005102E8">
        <w:t xml:space="preserve">a </w:t>
      </w:r>
      <w:r w:rsidR="008876FA" w:rsidRPr="002C6F76">
        <w:t xml:space="preserve">serious lack of </w:t>
      </w:r>
      <w:r w:rsidR="00573E18" w:rsidRPr="002C6F76">
        <w:t>personnel</w:t>
      </w:r>
      <w:r w:rsidR="007630D7" w:rsidRPr="002C6F76">
        <w:t xml:space="preserve"> capacity regarding inspection responsibility</w:t>
      </w:r>
      <w:r w:rsidR="008876FA" w:rsidRPr="002C6F76">
        <w:t xml:space="preserve"> in Tehran </w:t>
      </w:r>
      <w:r w:rsidR="005102E8">
        <w:t>as well as</w:t>
      </w:r>
      <w:r w:rsidR="005102E8" w:rsidRPr="002C6F76">
        <w:t xml:space="preserve"> </w:t>
      </w:r>
      <w:r w:rsidR="007E4B18">
        <w:t xml:space="preserve">in </w:t>
      </w:r>
      <w:r w:rsidR="008876FA" w:rsidRPr="002C6F76">
        <w:t>all provinces</w:t>
      </w:r>
      <w:r w:rsidR="00D15D9A" w:rsidRPr="002C6F76">
        <w:t>.</w:t>
      </w:r>
      <w:r w:rsidR="008876FA" w:rsidRPr="002C6F76">
        <w:t xml:space="preserve"> </w:t>
      </w:r>
      <w:r w:rsidR="00D15D9A" w:rsidRPr="002C6F76">
        <w:t>Therefore,</w:t>
      </w:r>
      <w:r w:rsidR="008876FA" w:rsidRPr="002C6F76">
        <w:t xml:space="preserve"> it </w:t>
      </w:r>
      <w:r w:rsidR="00D15D9A" w:rsidRPr="002C6F76">
        <w:t xml:space="preserve">is </w:t>
      </w:r>
      <w:r w:rsidR="008876FA" w:rsidRPr="002C6F76">
        <w:t xml:space="preserve">not possible to oversee whether </w:t>
      </w:r>
      <w:r w:rsidR="00D15D9A" w:rsidRPr="002C6F76">
        <w:t>all</w:t>
      </w:r>
      <w:r w:rsidR="008876FA" w:rsidRPr="002C6F76">
        <w:t xml:space="preserve"> developer</w:t>
      </w:r>
      <w:r w:rsidR="00D15D9A" w:rsidRPr="002C6F76">
        <w:t>s</w:t>
      </w:r>
      <w:r w:rsidR="008876FA" w:rsidRPr="002C6F76">
        <w:t xml:space="preserve"> </w:t>
      </w:r>
      <w:r w:rsidR="00D15D9A" w:rsidRPr="002C6F76">
        <w:t>are</w:t>
      </w:r>
      <w:r w:rsidR="008876FA" w:rsidRPr="002C6F76">
        <w:t xml:space="preserve"> </w:t>
      </w:r>
      <w:r w:rsidR="008D0FC0" w:rsidRPr="002C6F76">
        <w:t>complying</w:t>
      </w:r>
      <w:r w:rsidR="008876FA" w:rsidRPr="002C6F76">
        <w:t xml:space="preserve"> </w:t>
      </w:r>
      <w:r w:rsidR="008D0FC0" w:rsidRPr="002C6F76">
        <w:t xml:space="preserve">with </w:t>
      </w:r>
      <w:r w:rsidR="008876FA" w:rsidRPr="002C6F76">
        <w:t>the EIA</w:t>
      </w:r>
      <w:r w:rsidR="008D0FC0" w:rsidRPr="002C6F76">
        <w:t xml:space="preserve"> approval</w:t>
      </w:r>
      <w:r w:rsidR="008876FA" w:rsidRPr="002C6F76">
        <w:t xml:space="preserve">. </w:t>
      </w:r>
    </w:p>
    <w:p w14:paraId="1027B28C" w14:textId="77777777" w:rsidR="00FF2641" w:rsidRPr="002C6F76" w:rsidRDefault="00614B23" w:rsidP="00405641">
      <w:pPr>
        <w:spacing w:before="240" w:after="0"/>
        <w:rPr>
          <w:rFonts w:asciiTheme="majorBidi" w:hAnsiTheme="majorBidi" w:cstheme="majorBidi"/>
          <w:b/>
          <w:bCs/>
          <w:szCs w:val="24"/>
          <w:lang w:val="en-GB"/>
        </w:rPr>
      </w:pPr>
      <w:r w:rsidRPr="002C6F76">
        <w:rPr>
          <w:rFonts w:asciiTheme="majorBidi" w:hAnsiTheme="majorBidi" w:cstheme="majorBidi"/>
          <w:b/>
          <w:bCs/>
          <w:szCs w:val="24"/>
          <w:lang w:val="en-GB"/>
        </w:rPr>
        <w:t xml:space="preserve">3.3. </w:t>
      </w:r>
      <w:r w:rsidR="00CF39D7" w:rsidRPr="002C6F76">
        <w:rPr>
          <w:rFonts w:asciiTheme="majorBidi" w:hAnsiTheme="majorBidi" w:cstheme="majorBidi"/>
          <w:b/>
          <w:bCs/>
          <w:szCs w:val="24"/>
          <w:lang w:val="en-GB"/>
        </w:rPr>
        <w:t>EIA administration</w:t>
      </w:r>
    </w:p>
    <w:p w14:paraId="5DF96991" w14:textId="666E8BB1" w:rsidR="001A6317" w:rsidRPr="002C6F76" w:rsidRDefault="00F9397A" w:rsidP="00405641">
      <w:pPr>
        <w:spacing w:before="240"/>
      </w:pPr>
      <w:r w:rsidRPr="002C6F76">
        <w:t>The DoE established the EIA Bureau</w:t>
      </w:r>
      <w:r w:rsidR="00E41275" w:rsidRPr="002C6F76">
        <w:t xml:space="preserve"> </w:t>
      </w:r>
      <w:r w:rsidRPr="002C6F76">
        <w:t>under the Division of Human Environment in 1975</w:t>
      </w:r>
      <w:r w:rsidR="0048550B" w:rsidRPr="002C6F76">
        <w:t xml:space="preserve">, shown in </w:t>
      </w:r>
      <w:r w:rsidRPr="002C6F76">
        <w:t>Fig</w:t>
      </w:r>
      <w:r w:rsidR="0048550B" w:rsidRPr="002C6F76">
        <w:t>ure</w:t>
      </w:r>
      <w:r w:rsidR="00E41275" w:rsidRPr="002C6F76">
        <w:t xml:space="preserve"> </w:t>
      </w:r>
      <w:r w:rsidRPr="002C6F76">
        <w:t>6. The EIA Bureau is responsible for supervising the screening process, managing the review of EIA reports, deciding on the acceptability of EIA reports, and issuing EIA Guidelines (Ahmad</w:t>
      </w:r>
      <w:r w:rsidR="00093A27">
        <w:t>v</w:t>
      </w:r>
      <w:r w:rsidRPr="002C6F76">
        <w:t>and et al. 2009).</w:t>
      </w:r>
      <w:r w:rsidR="00A9219A" w:rsidRPr="002C6F76">
        <w:t xml:space="preserve"> </w:t>
      </w:r>
      <w:r w:rsidR="0048550B" w:rsidRPr="002C6F76">
        <w:t>This</w:t>
      </w:r>
      <w:r w:rsidR="00A9219A" w:rsidRPr="002C6F76">
        <w:t xml:space="preserve"> means all decisions </w:t>
      </w:r>
      <w:r w:rsidR="00093A27">
        <w:t xml:space="preserve">on </w:t>
      </w:r>
      <w:r w:rsidR="00A9219A" w:rsidRPr="002C6F76">
        <w:t>EIA reports and approval are made in</w:t>
      </w:r>
      <w:r w:rsidR="0048550B" w:rsidRPr="002C6F76">
        <w:t xml:space="preserve"> the</w:t>
      </w:r>
      <w:r w:rsidR="00A9219A" w:rsidRPr="002C6F76">
        <w:t xml:space="preserve"> EIA Burea</w:t>
      </w:r>
      <w:r w:rsidR="001A6317" w:rsidRPr="002C6F76">
        <w:t>u</w:t>
      </w:r>
      <w:r w:rsidR="0048550B" w:rsidRPr="002C6F76">
        <w:t>,</w:t>
      </w:r>
      <w:r w:rsidR="001A6317" w:rsidRPr="002C6F76">
        <w:t xml:space="preserve"> which </w:t>
      </w:r>
      <w:r w:rsidR="0048550B" w:rsidRPr="002C6F76">
        <w:t>further demonstrates</w:t>
      </w:r>
      <w:r w:rsidR="001A6317" w:rsidRPr="002C6F76">
        <w:t xml:space="preserve"> the </w:t>
      </w:r>
      <w:r w:rsidR="004E522E" w:rsidRPr="002C6F76">
        <w:t xml:space="preserve">centralized </w:t>
      </w:r>
      <w:r w:rsidR="00093A27">
        <w:t xml:space="preserve">set-up </w:t>
      </w:r>
      <w:r w:rsidR="004E522E" w:rsidRPr="002C6F76">
        <w:t xml:space="preserve">of </w:t>
      </w:r>
      <w:r w:rsidR="00093A27">
        <w:t xml:space="preserve">the </w:t>
      </w:r>
      <w:r w:rsidR="001A6317" w:rsidRPr="002C6F76">
        <w:t xml:space="preserve">Iranian EIA administration </w:t>
      </w:r>
      <w:r w:rsidR="001A6317" w:rsidRPr="002C6F76">
        <w:lastRenderedPageBreak/>
        <w:t>at the national level. The head of the EIA Bureau confirmed this and stated that</w:t>
      </w:r>
      <w:r w:rsidR="00093A27">
        <w:t xml:space="preserve"> in</w:t>
      </w:r>
      <w:r w:rsidR="001A6317" w:rsidRPr="002C6F76">
        <w:t xml:space="preserve"> </w:t>
      </w:r>
      <w:r w:rsidR="00093A27">
        <w:t xml:space="preserve">order to become less </w:t>
      </w:r>
      <w:r w:rsidR="00EF4EC4" w:rsidRPr="002C6F76">
        <w:t>centrali</w:t>
      </w:r>
      <w:r w:rsidR="007E4B18">
        <w:t>z</w:t>
      </w:r>
      <w:r w:rsidR="00093A27">
        <w:t>ed</w:t>
      </w:r>
      <w:r w:rsidR="001A6317" w:rsidRPr="002C6F76">
        <w:t xml:space="preserve">, the EIA bureau formed a provincial EIA </w:t>
      </w:r>
      <w:r w:rsidR="00AE4CCA" w:rsidRPr="002C6F76">
        <w:t>committee</w:t>
      </w:r>
      <w:r w:rsidR="001A6317" w:rsidRPr="002C6F76">
        <w:t xml:space="preserve"> in 2013 to give local </w:t>
      </w:r>
      <w:r w:rsidR="00557EF1" w:rsidRPr="002C6F76">
        <w:t>organi</w:t>
      </w:r>
      <w:r w:rsidR="00093A27">
        <w:t>z</w:t>
      </w:r>
      <w:r w:rsidR="00557EF1" w:rsidRPr="002C6F76">
        <w:t>ations</w:t>
      </w:r>
      <w:r w:rsidR="001A6317" w:rsidRPr="002C6F76">
        <w:t xml:space="preserve"> an opportunity to participate in the EIA process. If a provincial </w:t>
      </w:r>
      <w:r w:rsidR="00AE4CCA" w:rsidRPr="002C6F76">
        <w:t>committee</w:t>
      </w:r>
      <w:r w:rsidR="001A6317" w:rsidRPr="002C6F76">
        <w:t xml:space="preserve"> doesn’t approve </w:t>
      </w:r>
      <w:r w:rsidR="00093A27">
        <w:t xml:space="preserve">an </w:t>
      </w:r>
      <w:r w:rsidR="001A6317" w:rsidRPr="002C6F76">
        <w:t xml:space="preserve">EIA, then the report is not sent to the EIA bureau for final review. </w:t>
      </w:r>
      <w:r w:rsidR="00445484" w:rsidRPr="002C6F76">
        <w:t>Furthermore</w:t>
      </w:r>
      <w:r w:rsidR="001A6317" w:rsidRPr="002C6F76">
        <w:t>, 20 types of project</w:t>
      </w:r>
      <w:r w:rsidR="004E522E" w:rsidRPr="002C6F76">
        <w:t>s</w:t>
      </w:r>
      <w:r w:rsidR="001A6317" w:rsidRPr="002C6F76">
        <w:t xml:space="preserve"> have recently been delegated </w:t>
      </w:r>
      <w:r w:rsidR="00445484" w:rsidRPr="002C6F76">
        <w:t xml:space="preserve">to </w:t>
      </w:r>
      <w:r w:rsidR="0048550B" w:rsidRPr="002C6F76">
        <w:t xml:space="preserve">the </w:t>
      </w:r>
      <w:r w:rsidR="001A6317" w:rsidRPr="002C6F76">
        <w:t xml:space="preserve">provincial EIA </w:t>
      </w:r>
      <w:r w:rsidR="00AE4CCA" w:rsidRPr="002C6F76">
        <w:t>committee</w:t>
      </w:r>
      <w:r w:rsidR="001A6317" w:rsidRPr="002C6F76">
        <w:t xml:space="preserve"> </w:t>
      </w:r>
      <w:r w:rsidR="004E522E" w:rsidRPr="002C6F76">
        <w:t xml:space="preserve">for </w:t>
      </w:r>
      <w:r w:rsidR="001A6317" w:rsidRPr="002C6F76">
        <w:t>mak</w:t>
      </w:r>
      <w:r w:rsidR="00445484" w:rsidRPr="002C6F76">
        <w:t>ing</w:t>
      </w:r>
      <w:r w:rsidR="001A6317" w:rsidRPr="002C6F76">
        <w:t xml:space="preserve"> final decision</w:t>
      </w:r>
      <w:r w:rsidR="0048550B" w:rsidRPr="002C6F76">
        <w:t>s</w:t>
      </w:r>
      <w:r w:rsidR="001A6317" w:rsidRPr="002C6F76">
        <w:t>.</w:t>
      </w:r>
    </w:p>
    <w:p w14:paraId="4453CF2B" w14:textId="1DBD01B4" w:rsidR="003515FD" w:rsidRPr="002C6F76" w:rsidRDefault="00093A27" w:rsidP="003515FD">
      <w:r>
        <w:t>T</w:t>
      </w:r>
      <w:r w:rsidR="003F782A" w:rsidRPr="002C6F76">
        <w:t xml:space="preserve">he EIA Bureau has approximately 15 staff members </w:t>
      </w:r>
      <w:r w:rsidR="00573E18" w:rsidRPr="002C6F76">
        <w:t>at national level</w:t>
      </w:r>
      <w:r w:rsidR="003F782A" w:rsidRPr="002C6F76">
        <w:t xml:space="preserve"> (Ahmadvand et al., 2009)</w:t>
      </w:r>
      <w:r w:rsidR="00062A81" w:rsidRPr="002C6F76">
        <w:t>,</w:t>
      </w:r>
      <w:r w:rsidR="003F782A" w:rsidRPr="002C6F76">
        <w:t xml:space="preserve"> and there </w:t>
      </w:r>
      <w:r w:rsidR="00943BE5" w:rsidRPr="002C6F76">
        <w:t>are</w:t>
      </w:r>
      <w:r w:rsidR="003F782A" w:rsidRPr="002C6F76">
        <w:t xml:space="preserve"> one to five experts in each of the DoE offices in </w:t>
      </w:r>
      <w:r>
        <w:t xml:space="preserve">each of the </w:t>
      </w:r>
      <w:r w:rsidR="003F782A" w:rsidRPr="002C6F76">
        <w:t xml:space="preserve">33 provinces </w:t>
      </w:r>
      <w:bookmarkStart w:id="13" w:name="_Toc492545912"/>
      <w:bookmarkStart w:id="14" w:name="_Toc492545955"/>
      <w:bookmarkStart w:id="15" w:name="_Toc492546148"/>
      <w:bookmarkStart w:id="16" w:name="_Toc492546191"/>
      <w:bookmarkStart w:id="17" w:name="_Toc492546192"/>
      <w:bookmarkStart w:id="18" w:name="_Toc492545916"/>
      <w:bookmarkStart w:id="19" w:name="_Toc492545959"/>
      <w:bookmarkStart w:id="20" w:name="_Toc492546152"/>
      <w:bookmarkStart w:id="21" w:name="_Toc492546195"/>
      <w:bookmarkStart w:id="22" w:name="_Toc492545917"/>
      <w:bookmarkStart w:id="23" w:name="_Toc492545960"/>
      <w:bookmarkStart w:id="24" w:name="_Toc492546153"/>
      <w:bookmarkStart w:id="25" w:name="_Toc492546196"/>
      <w:bookmarkStart w:id="26" w:name="_Toc492545918"/>
      <w:bookmarkStart w:id="27" w:name="_Toc492545961"/>
      <w:bookmarkStart w:id="28" w:name="_Toc492546154"/>
      <w:bookmarkStart w:id="29" w:name="_Toc492546197"/>
      <w:bookmarkStart w:id="30" w:name="_Toc492545919"/>
      <w:bookmarkStart w:id="31" w:name="_Toc492545962"/>
      <w:bookmarkStart w:id="32" w:name="_Toc492546155"/>
      <w:bookmarkStart w:id="33" w:name="_Toc492546198"/>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00E439A7" w:rsidRPr="002C6F76">
        <w:t xml:space="preserve">who have </w:t>
      </w:r>
      <w:r w:rsidR="008037FE" w:rsidRPr="002C6F76">
        <w:t>responsibility for</w:t>
      </w:r>
      <w:r w:rsidR="00E439A7" w:rsidRPr="002C6F76">
        <w:t xml:space="preserve"> review</w:t>
      </w:r>
      <w:r w:rsidR="008037FE" w:rsidRPr="002C6F76">
        <w:t>ing</w:t>
      </w:r>
      <w:r w:rsidR="00E439A7" w:rsidRPr="002C6F76">
        <w:t xml:space="preserve"> EIA reports and </w:t>
      </w:r>
      <w:r w:rsidR="007E4B18">
        <w:t xml:space="preserve">for </w:t>
      </w:r>
      <w:r w:rsidR="008037FE" w:rsidRPr="002C6F76">
        <w:t xml:space="preserve">inspection </w:t>
      </w:r>
      <w:r w:rsidR="00E439A7" w:rsidRPr="002C6F76">
        <w:t>(Goldooz, 2009).</w:t>
      </w:r>
      <w:r w:rsidR="008037FE" w:rsidRPr="002C6F76">
        <w:t xml:space="preserve"> </w:t>
      </w:r>
      <w:r w:rsidR="008C482B" w:rsidRPr="002C6F76">
        <w:t xml:space="preserve">Most interviewees </w:t>
      </w:r>
      <w:r>
        <w:t>suggested</w:t>
      </w:r>
      <w:r w:rsidRPr="002C6F76">
        <w:t xml:space="preserve"> </w:t>
      </w:r>
      <w:r w:rsidR="008C482B" w:rsidRPr="002C6F76">
        <w:t xml:space="preserve">that the </w:t>
      </w:r>
      <w:r w:rsidR="008C482B" w:rsidRPr="00D375E7">
        <w:t xml:space="preserve">DoE </w:t>
      </w:r>
      <w:r w:rsidRPr="00D375E7">
        <w:t>was under</w:t>
      </w:r>
      <w:r w:rsidR="00557EF1" w:rsidRPr="00D375E7">
        <w:t>staff</w:t>
      </w:r>
      <w:r w:rsidRPr="00D375E7">
        <w:t>ed</w:t>
      </w:r>
      <w:r w:rsidR="00557EF1" w:rsidRPr="00D375E7">
        <w:t xml:space="preserve"> </w:t>
      </w:r>
      <w:r w:rsidRPr="00D375E7">
        <w:t xml:space="preserve">for </w:t>
      </w:r>
      <w:r w:rsidR="00557EF1" w:rsidRPr="00D375E7">
        <w:t>cop</w:t>
      </w:r>
      <w:r w:rsidRPr="00D375E7">
        <w:t>ing</w:t>
      </w:r>
      <w:r w:rsidR="00557EF1" w:rsidRPr="002C6F76">
        <w:t xml:space="preserve"> with </w:t>
      </w:r>
      <w:r w:rsidR="00062A81" w:rsidRPr="002C6F76">
        <w:t>a</w:t>
      </w:r>
      <w:r w:rsidR="00557EF1" w:rsidRPr="002C6F76">
        <w:t xml:space="preserve"> workload </w:t>
      </w:r>
      <w:r w:rsidR="00062A81" w:rsidRPr="002C6F76">
        <w:t xml:space="preserve">that </w:t>
      </w:r>
      <w:r w:rsidR="00557EF1" w:rsidRPr="002C6F76">
        <w:t>includ</w:t>
      </w:r>
      <w:r w:rsidR="00062A81" w:rsidRPr="002C6F76">
        <w:t>es</w:t>
      </w:r>
      <w:r w:rsidR="008C482B" w:rsidRPr="002C6F76">
        <w:t xml:space="preserve"> screening, </w:t>
      </w:r>
      <w:r w:rsidR="00557EF1" w:rsidRPr="002C6F76">
        <w:t>reviewing reports</w:t>
      </w:r>
      <w:r w:rsidR="008C482B" w:rsidRPr="002C6F76">
        <w:t xml:space="preserve">, and inspection. </w:t>
      </w:r>
    </w:p>
    <w:p w14:paraId="5E3F8940" w14:textId="39F1E163" w:rsidR="005E4B4B" w:rsidRPr="002C6F76" w:rsidRDefault="00F25580" w:rsidP="003515FD">
      <w:r w:rsidRPr="002C6F76">
        <w:t xml:space="preserve">Ahmadvand et al. (2009) </w:t>
      </w:r>
      <w:r w:rsidR="002F6BC5" w:rsidRPr="002C6F76">
        <w:t xml:space="preserve">and Moradi (2009) </w:t>
      </w:r>
      <w:r w:rsidRPr="002C6F76">
        <w:t>believe</w:t>
      </w:r>
      <w:r w:rsidR="007E4B18">
        <w:t>d</w:t>
      </w:r>
      <w:r w:rsidRPr="002C6F76">
        <w:t xml:space="preserve"> that some </w:t>
      </w:r>
      <w:r w:rsidR="00F173A0" w:rsidRPr="002C6F76">
        <w:t xml:space="preserve">of the </w:t>
      </w:r>
      <w:r w:rsidRPr="002C6F76">
        <w:t xml:space="preserve">staff in the EIA Bureau </w:t>
      </w:r>
      <w:r w:rsidR="007E4B18">
        <w:t>we</w:t>
      </w:r>
      <w:r w:rsidRPr="002C6F76">
        <w:t xml:space="preserve">re not </w:t>
      </w:r>
      <w:r w:rsidR="00F208FA">
        <w:t xml:space="preserve">sufficiently </w:t>
      </w:r>
      <w:r w:rsidRPr="002C6F76">
        <w:t>professionally qualified</w:t>
      </w:r>
      <w:r w:rsidR="00B021B2" w:rsidRPr="002C6F76">
        <w:t xml:space="preserve"> for their role</w:t>
      </w:r>
      <w:r w:rsidRPr="002C6F76">
        <w:t xml:space="preserve">. </w:t>
      </w:r>
      <w:r w:rsidR="00B021B2" w:rsidRPr="002C6F76">
        <w:t>This was confirmed during interviews. T</w:t>
      </w:r>
      <w:r w:rsidRPr="002C6F76">
        <w:t xml:space="preserve">welve interviewees </w:t>
      </w:r>
      <w:r w:rsidR="006C51E7" w:rsidRPr="002C6F76">
        <w:t>emphasized</w:t>
      </w:r>
      <w:r w:rsidR="00062A81" w:rsidRPr="002C6F76">
        <w:t xml:space="preserve"> </w:t>
      </w:r>
      <w:r w:rsidR="00F208FA">
        <w:t xml:space="preserve">the need for </w:t>
      </w:r>
      <w:r w:rsidR="00B021B2" w:rsidRPr="002C6F76">
        <w:t xml:space="preserve">training for the </w:t>
      </w:r>
      <w:r w:rsidR="00F208FA">
        <w:t xml:space="preserve">EIA Bureau </w:t>
      </w:r>
      <w:r w:rsidR="00B021B2" w:rsidRPr="002C6F76">
        <w:t>staff</w:t>
      </w:r>
      <w:r w:rsidRPr="002C6F76">
        <w:t xml:space="preserve">. The </w:t>
      </w:r>
      <w:r w:rsidR="00F173A0" w:rsidRPr="002C6F76">
        <w:t xml:space="preserve">other </w:t>
      </w:r>
      <w:r w:rsidRPr="002C6F76">
        <w:rPr>
          <w:lang w:eastAsia="en-GB"/>
        </w:rPr>
        <w:t>weakness</w:t>
      </w:r>
      <w:r w:rsidRPr="002C6F76">
        <w:t xml:space="preserve"> mentioned by all interviewees was that existing guidelines </w:t>
      </w:r>
      <w:r w:rsidR="00F208FA">
        <w:t xml:space="preserve">were too </w:t>
      </w:r>
      <w:r w:rsidRPr="002C6F76">
        <w:t xml:space="preserve">general and ineffective. </w:t>
      </w:r>
      <w:r w:rsidR="005E6581" w:rsidRPr="002C6F76">
        <w:t>These guidelines were published in 2001 by the DoE</w:t>
      </w:r>
      <w:r w:rsidR="00F173A0" w:rsidRPr="002C6F76">
        <w:t xml:space="preserve"> and </w:t>
      </w:r>
      <w:r w:rsidR="00062A81" w:rsidRPr="002C6F76">
        <w:t xml:space="preserve">it </w:t>
      </w:r>
      <w:r w:rsidR="00B021B2" w:rsidRPr="002C6F76">
        <w:t xml:space="preserve">is the </w:t>
      </w:r>
      <w:r w:rsidRPr="002C6F76">
        <w:t>EIA Bureau</w:t>
      </w:r>
      <w:r w:rsidR="00B021B2" w:rsidRPr="002C6F76">
        <w:t>’s</w:t>
      </w:r>
      <w:r w:rsidRPr="002C6F76">
        <w:t xml:space="preserve"> responsibility </w:t>
      </w:r>
      <w:r w:rsidR="00B021B2" w:rsidRPr="002C6F76">
        <w:t xml:space="preserve">to update </w:t>
      </w:r>
      <w:r w:rsidR="00F173A0" w:rsidRPr="002C6F76">
        <w:t>the</w:t>
      </w:r>
      <w:r w:rsidR="00062A81" w:rsidRPr="002C6F76">
        <w:t>m,</w:t>
      </w:r>
      <w:r w:rsidR="00F173A0" w:rsidRPr="002C6F76">
        <w:t xml:space="preserve"> </w:t>
      </w:r>
      <w:r w:rsidR="00B021B2" w:rsidRPr="002C6F76">
        <w:t xml:space="preserve">which has not </w:t>
      </w:r>
      <w:r w:rsidR="00F208FA">
        <w:t xml:space="preserve">happened to date </w:t>
      </w:r>
      <w:r w:rsidRPr="002C6F76">
        <w:t>(Ahmadvand et al., 2009).</w:t>
      </w:r>
      <w:r w:rsidR="001665F8" w:rsidRPr="002C6F76">
        <w:t xml:space="preserve"> </w:t>
      </w:r>
      <w:r w:rsidR="00F208FA">
        <w:t>T</w:t>
      </w:r>
      <w:r w:rsidR="003006C0" w:rsidRPr="002C6F76">
        <w:t xml:space="preserve">he head of the EIA Bureau </w:t>
      </w:r>
      <w:r w:rsidR="00F208FA">
        <w:t xml:space="preserve">stated </w:t>
      </w:r>
      <w:r w:rsidR="003006C0" w:rsidRPr="002C6F76">
        <w:t xml:space="preserve">that the DoE is </w:t>
      </w:r>
      <w:r w:rsidR="00927537" w:rsidRPr="002C6F76">
        <w:t xml:space="preserve">currently </w:t>
      </w:r>
      <w:r w:rsidR="003006C0" w:rsidRPr="002C6F76">
        <w:t xml:space="preserve">preparing </w:t>
      </w:r>
      <w:r w:rsidR="00F208FA">
        <w:t xml:space="preserve">an </w:t>
      </w:r>
      <w:r w:rsidR="00C02CD0" w:rsidRPr="002C6F76">
        <w:t>update</w:t>
      </w:r>
      <w:r w:rsidR="003006C0" w:rsidRPr="002C6F76">
        <w:t xml:space="preserve"> and context specific guidelines, and has </w:t>
      </w:r>
      <w:r w:rsidR="00F208FA">
        <w:t xml:space="preserve">associated </w:t>
      </w:r>
      <w:r w:rsidR="003006C0" w:rsidRPr="002C6F76">
        <w:t>contracts with consultancies for 4 types of projects</w:t>
      </w:r>
      <w:r w:rsidR="00F208FA">
        <w:t>,</w:t>
      </w:r>
      <w:r w:rsidR="00F37049" w:rsidRPr="002C6F76">
        <w:t xml:space="preserve"> including dams, landfills, </w:t>
      </w:r>
      <w:r w:rsidR="001F1876" w:rsidRPr="002C6F76">
        <w:t>power plants</w:t>
      </w:r>
      <w:r w:rsidR="00F37049" w:rsidRPr="002C6F76">
        <w:t xml:space="preserve"> and oil industries.</w:t>
      </w:r>
    </w:p>
    <w:p w14:paraId="468133EB" w14:textId="77777777" w:rsidR="002A0D5B" w:rsidRDefault="00AC3D12" w:rsidP="00F9397A">
      <w:pPr>
        <w:spacing w:after="0"/>
        <w:jc w:val="center"/>
      </w:pPr>
      <w:r>
        <w:rPr>
          <w:noProof/>
          <w:lang w:val="en-GB" w:eastAsia="en-GB" w:bidi="ar-SA"/>
        </w:rPr>
        <w:lastRenderedPageBreak/>
        <w:drawing>
          <wp:inline distT="0" distB="0" distL="0" distR="0" wp14:anchorId="07EAAAEB" wp14:editId="50AB9D30">
            <wp:extent cx="4921250" cy="3225101"/>
            <wp:effectExtent l="19050" t="19050" r="12700" b="13970"/>
            <wp:docPr id="53" name="Picture 53"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DoE chart.jpg"/>
                    <pic:cNvPicPr/>
                  </pic:nvPicPr>
                  <pic:blipFill>
                    <a:blip r:embed="rId27">
                      <a:extLst>
                        <a:ext uri="{28A0092B-C50C-407E-A947-70E740481C1C}">
                          <a14:useLocalDpi xmlns:a14="http://schemas.microsoft.com/office/drawing/2010/main" val="0"/>
                        </a:ext>
                      </a:extLst>
                    </a:blip>
                    <a:stretch>
                      <a:fillRect/>
                    </a:stretch>
                  </pic:blipFill>
                  <pic:spPr>
                    <a:xfrm>
                      <a:off x="0" y="0"/>
                      <a:ext cx="4936736" cy="3235250"/>
                    </a:xfrm>
                    <a:prstGeom prst="rect">
                      <a:avLst/>
                    </a:prstGeom>
                    <a:ln w="19050">
                      <a:solidFill>
                        <a:schemeClr val="tx1"/>
                      </a:solidFill>
                    </a:ln>
                  </pic:spPr>
                </pic:pic>
              </a:graphicData>
            </a:graphic>
          </wp:inline>
        </w:drawing>
      </w:r>
    </w:p>
    <w:p w14:paraId="65B185C7" w14:textId="77777777" w:rsidR="00F9397A" w:rsidRPr="002C6F76" w:rsidRDefault="00F9397A" w:rsidP="00F9397A">
      <w:pPr>
        <w:autoSpaceDE w:val="0"/>
        <w:autoSpaceDN w:val="0"/>
        <w:adjustRightInd w:val="0"/>
        <w:spacing w:after="0" w:line="480" w:lineRule="auto"/>
        <w:jc w:val="center"/>
        <w:rPr>
          <w:rFonts w:asciiTheme="majorBidi" w:hAnsiTheme="majorBidi" w:cstheme="majorBidi"/>
          <w:b/>
          <w:bCs/>
          <w:sz w:val="20"/>
          <w:szCs w:val="20"/>
          <w:lang w:val="en-GB"/>
        </w:rPr>
      </w:pPr>
      <w:bookmarkStart w:id="34" w:name="_Toc513721141"/>
      <w:r w:rsidRPr="002C6F76">
        <w:rPr>
          <w:rFonts w:asciiTheme="majorBidi" w:hAnsiTheme="majorBidi" w:cstheme="majorBidi"/>
          <w:b/>
          <w:bCs/>
          <w:sz w:val="20"/>
          <w:szCs w:val="20"/>
          <w:lang w:val="en-GB"/>
        </w:rPr>
        <w:t>Fig. 6. Iranian DoE Organization Structure</w:t>
      </w:r>
      <w:bookmarkEnd w:id="34"/>
      <w:r w:rsidRPr="002C6F76">
        <w:rPr>
          <w:rFonts w:asciiTheme="majorBidi" w:hAnsiTheme="majorBidi" w:cstheme="majorBidi"/>
          <w:b/>
          <w:bCs/>
          <w:sz w:val="20"/>
          <w:szCs w:val="20"/>
          <w:lang w:val="en-GB"/>
        </w:rPr>
        <w:t xml:space="preserve"> (Translated from Persian version on the </w:t>
      </w:r>
      <w:bookmarkStart w:id="35" w:name="_Hlk513795377"/>
      <w:r w:rsidRPr="002C6F76">
        <w:rPr>
          <w:rFonts w:asciiTheme="majorBidi" w:hAnsiTheme="majorBidi" w:cstheme="majorBidi"/>
          <w:b/>
          <w:bCs/>
          <w:sz w:val="20"/>
          <w:szCs w:val="20"/>
          <w:lang w:val="en-GB"/>
        </w:rPr>
        <w:t>DoE website, 2017</w:t>
      </w:r>
      <w:bookmarkEnd w:id="35"/>
      <w:r w:rsidRPr="002C6F76">
        <w:rPr>
          <w:rFonts w:asciiTheme="majorBidi" w:hAnsiTheme="majorBidi" w:cstheme="majorBidi"/>
          <w:b/>
          <w:bCs/>
          <w:sz w:val="20"/>
          <w:szCs w:val="20"/>
          <w:lang w:val="en-GB"/>
        </w:rPr>
        <w:t>)</w:t>
      </w:r>
    </w:p>
    <w:p w14:paraId="6666011A" w14:textId="1F9A6BBF" w:rsidR="002371CE" w:rsidRPr="0016663F" w:rsidRDefault="00444C8C" w:rsidP="00A432BF">
      <w:pPr>
        <w:pStyle w:val="ListParagraph"/>
        <w:numPr>
          <w:ilvl w:val="0"/>
          <w:numId w:val="5"/>
        </w:numPr>
        <w:shd w:val="clear" w:color="auto" w:fill="FFFFFF"/>
        <w:spacing w:before="240"/>
        <w:ind w:left="450"/>
        <w:rPr>
          <w:rFonts w:asciiTheme="majorBidi" w:hAnsiTheme="majorBidi" w:cstheme="majorBidi"/>
          <w:color w:val="000000"/>
          <w:lang w:val="en-GB"/>
        </w:rPr>
      </w:pPr>
      <w:r w:rsidRPr="0016663F">
        <w:rPr>
          <w:rFonts w:asciiTheme="majorBidi" w:hAnsiTheme="majorBidi" w:cstheme="majorBidi"/>
          <w:b/>
          <w:bCs/>
          <w:color w:val="000000"/>
          <w:lang w:val="en-GB"/>
        </w:rPr>
        <w:t xml:space="preserve">Evaluation of the Iranian </w:t>
      </w:r>
      <w:r w:rsidR="008B5420" w:rsidRPr="0016663F">
        <w:rPr>
          <w:rFonts w:asciiTheme="majorBidi" w:hAnsiTheme="majorBidi" w:cstheme="majorBidi"/>
          <w:b/>
          <w:bCs/>
          <w:color w:val="000000"/>
          <w:lang w:val="en-GB"/>
        </w:rPr>
        <w:t>EIA</w:t>
      </w:r>
      <w:r w:rsidRPr="0016663F">
        <w:rPr>
          <w:rFonts w:asciiTheme="majorBidi" w:hAnsiTheme="majorBidi" w:cstheme="majorBidi"/>
          <w:b/>
          <w:bCs/>
          <w:color w:val="000000"/>
          <w:lang w:val="en-GB"/>
        </w:rPr>
        <w:t xml:space="preserve"> System</w:t>
      </w:r>
    </w:p>
    <w:p w14:paraId="3B875DBF" w14:textId="325F55FE" w:rsidR="00EB58A8" w:rsidRPr="00AF61D7" w:rsidRDefault="00EA3D56" w:rsidP="002D7834">
      <w:pPr>
        <w:rPr>
          <w:rFonts w:asciiTheme="majorBidi" w:hAnsiTheme="majorBidi" w:cstheme="majorBidi"/>
          <w:szCs w:val="24"/>
          <w:shd w:val="clear" w:color="auto" w:fill="FFFFFF"/>
        </w:rPr>
      </w:pPr>
      <w:r w:rsidRPr="002C6F76">
        <w:rPr>
          <w:rFonts w:asciiTheme="majorBidi" w:hAnsiTheme="majorBidi" w:cstheme="majorBidi"/>
          <w:lang w:val="en-GB"/>
        </w:rPr>
        <w:t xml:space="preserve">Iran </w:t>
      </w:r>
      <w:r w:rsidRPr="002C6F76">
        <w:t>is</w:t>
      </w:r>
      <w:r w:rsidRPr="002C6F76">
        <w:rPr>
          <w:rFonts w:asciiTheme="majorBidi" w:hAnsiTheme="majorBidi" w:cstheme="majorBidi"/>
          <w:lang w:val="en-GB"/>
        </w:rPr>
        <w:t xml:space="preserve"> a developing country </w:t>
      </w:r>
      <w:r w:rsidR="007E4B18">
        <w:rPr>
          <w:rFonts w:asciiTheme="majorBidi" w:hAnsiTheme="majorBidi" w:cstheme="majorBidi"/>
          <w:lang w:val="en-GB"/>
        </w:rPr>
        <w:t xml:space="preserve">in which </w:t>
      </w:r>
      <w:r w:rsidRPr="002C6F76">
        <w:rPr>
          <w:rFonts w:asciiTheme="majorBidi" w:hAnsiTheme="majorBidi" w:cstheme="majorBidi"/>
          <w:lang w:val="en-GB"/>
        </w:rPr>
        <w:t xml:space="preserve">EIA was introduced more than 20 years ago. </w:t>
      </w:r>
      <w:r w:rsidRPr="002C6F76">
        <w:t xml:space="preserve">Moradi (2009, p.91) evaluated the Iranian EIA system for the first time based on corresponding laws and guidelines, but the dearth of literature meant </w:t>
      </w:r>
      <w:r w:rsidR="001C062F" w:rsidRPr="002C6F76">
        <w:t>these documents and literature review couldn’t provide a comprehensive picture</w:t>
      </w:r>
      <w:r w:rsidRPr="002C6F76">
        <w:t xml:space="preserve">. This paper has used a triangulation of literature review, document analysis and semi-structured interviews to overcome the weakness faced by Moradi’s (2009) review and strengthen the validity of the findings. The comparison of results of EIA in Iran in 2018 with those provided by Moradi (2009) reveals that over </w:t>
      </w:r>
      <w:r w:rsidR="002A7609">
        <w:t>the past</w:t>
      </w:r>
      <w:r w:rsidR="002A7609" w:rsidRPr="002C6F76">
        <w:t xml:space="preserve"> </w:t>
      </w:r>
      <w:r w:rsidRPr="002C6F76">
        <w:t xml:space="preserve">decade weaknesses of the EIA system </w:t>
      </w:r>
      <w:r w:rsidR="002A7609">
        <w:t xml:space="preserve">appear to </w:t>
      </w:r>
      <w:r w:rsidRPr="002C6F76">
        <w:t xml:space="preserve">have not changed much. </w:t>
      </w:r>
      <w:r w:rsidR="00815D9E" w:rsidRPr="0016663F">
        <w:t xml:space="preserve">However, this should not undermine the fact that being a centralized Government, Iran has actually adopted EIA within its planning framework and also encouragingly, the country has initiated SEA as well. This is a major strength for a country with </w:t>
      </w:r>
      <w:r w:rsidR="007E4B18" w:rsidRPr="0016663F">
        <w:t xml:space="preserve">a complex </w:t>
      </w:r>
      <w:r w:rsidR="00815D9E" w:rsidRPr="0016663F">
        <w:t>political context like Iran</w:t>
      </w:r>
      <w:r w:rsidR="007E4B18" w:rsidRPr="0016663F">
        <w:t>’s</w:t>
      </w:r>
      <w:r w:rsidR="00815D9E" w:rsidRPr="0016663F">
        <w:t xml:space="preserve"> as it indicates a will to adopt such democratic tools in delivering sustainability.</w:t>
      </w:r>
      <w:r w:rsidR="002D7834" w:rsidRPr="0016663F">
        <w:t xml:space="preserve"> </w:t>
      </w:r>
      <w:r w:rsidR="00815D9E" w:rsidRPr="0016663F">
        <w:t xml:space="preserve">Nevertheless, the EIA system </w:t>
      </w:r>
      <w:r w:rsidR="00EB58A8" w:rsidRPr="0016663F">
        <w:t xml:space="preserve">in Iran </w:t>
      </w:r>
      <w:r w:rsidR="00815D9E" w:rsidRPr="0016663F">
        <w:t xml:space="preserve">is still embryonic and suffers from various deficiencies </w:t>
      </w:r>
      <w:r w:rsidR="007E4B18" w:rsidRPr="0016663F">
        <w:t>that</w:t>
      </w:r>
      <w:r w:rsidR="00815D9E" w:rsidRPr="0016663F">
        <w:t xml:space="preserve"> are</w:t>
      </w:r>
      <w:r w:rsidR="007E4B18" w:rsidRPr="0016663F">
        <w:t>, however,</w:t>
      </w:r>
      <w:r w:rsidR="00815D9E" w:rsidRPr="0016663F">
        <w:t xml:space="preserve"> </w:t>
      </w:r>
      <w:r w:rsidR="007E4B18" w:rsidRPr="0016663F">
        <w:t xml:space="preserve">also </w:t>
      </w:r>
      <w:r w:rsidR="00815D9E" w:rsidRPr="0016663F">
        <w:t xml:space="preserve">not uncommon </w:t>
      </w:r>
      <w:r w:rsidR="007E4B18" w:rsidRPr="0016663F">
        <w:t>elsewhere</w:t>
      </w:r>
      <w:r w:rsidR="00815D9E" w:rsidRPr="0016663F">
        <w:t xml:space="preserve">. </w:t>
      </w:r>
      <w:r w:rsidR="00EB58A8" w:rsidRPr="0016663F">
        <w:t>Table 3 summarizes the main findings of this paper with regards to the performance of the EIA system i</w:t>
      </w:r>
      <w:r w:rsidR="00EB58A8" w:rsidRPr="0016663F">
        <w:rPr>
          <w:color w:val="000000" w:themeColor="text1"/>
        </w:rPr>
        <w:t>n Iran.</w:t>
      </w:r>
      <w:r w:rsidR="00EB58A8" w:rsidRPr="0016663F">
        <w:rPr>
          <w:rFonts w:asciiTheme="majorBidi" w:hAnsiTheme="majorBidi" w:cstheme="majorBidi"/>
          <w:color w:val="000000" w:themeColor="text1"/>
          <w:szCs w:val="24"/>
          <w:shd w:val="clear" w:color="auto" w:fill="FFFFFF"/>
        </w:rPr>
        <w:t xml:space="preserve"> </w:t>
      </w:r>
      <w:r w:rsidR="00AF61D7" w:rsidRPr="0016663F">
        <w:rPr>
          <w:rFonts w:asciiTheme="majorBidi" w:hAnsiTheme="majorBidi" w:cstheme="majorBidi"/>
          <w:szCs w:val="24"/>
          <w:shd w:val="clear" w:color="auto" w:fill="FFFFFF"/>
        </w:rPr>
        <w:t xml:space="preserve">Fully achieved suggests that there is enough evidence for us to conclude that the criteria have been met. </w:t>
      </w:r>
      <w:r w:rsidR="00AF61D7" w:rsidRPr="0016663F">
        <w:rPr>
          <w:rFonts w:asciiTheme="majorBidi" w:hAnsiTheme="majorBidi" w:cstheme="majorBidi"/>
          <w:szCs w:val="24"/>
          <w:shd w:val="clear" w:color="auto" w:fill="FFFFFF"/>
        </w:rPr>
        <w:lastRenderedPageBreak/>
        <w:t>Partially indicates though there are some evidence that the criteria may be adopted, there are still gaps in the system. Not achieved at all indicates that there is evidence indicating criteria is not being met.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4203"/>
        <w:gridCol w:w="1752"/>
      </w:tblGrid>
      <w:tr w:rsidR="00EB58A8" w:rsidRPr="002C6F76" w14:paraId="3ED733A8" w14:textId="77777777" w:rsidTr="00EB58A8">
        <w:trPr>
          <w:trHeight w:val="70"/>
          <w:jc w:val="center"/>
        </w:trPr>
        <w:tc>
          <w:tcPr>
            <w:tcW w:w="2262" w:type="dxa"/>
            <w:vAlign w:val="center"/>
          </w:tcPr>
          <w:p w14:paraId="24334B5E" w14:textId="77777777" w:rsidR="00EB58A8" w:rsidRPr="002C6F76" w:rsidRDefault="00EB58A8" w:rsidP="00EB58A8">
            <w:pPr>
              <w:pStyle w:val="ListBullet"/>
              <w:numPr>
                <w:ilvl w:val="0"/>
                <w:numId w:val="0"/>
              </w:numPr>
              <w:spacing w:after="0" w:line="276" w:lineRule="auto"/>
              <w:jc w:val="center"/>
              <w:rPr>
                <w:b/>
                <w:bCs/>
                <w:sz w:val="20"/>
                <w:szCs w:val="20"/>
              </w:rPr>
            </w:pPr>
            <w:r w:rsidRPr="002C6F76">
              <w:rPr>
                <w:b/>
                <w:bCs/>
                <w:sz w:val="20"/>
                <w:szCs w:val="20"/>
              </w:rPr>
              <w:t>Criteria</w:t>
            </w:r>
          </w:p>
        </w:tc>
        <w:tc>
          <w:tcPr>
            <w:tcW w:w="4203" w:type="dxa"/>
            <w:shd w:val="clear" w:color="auto" w:fill="auto"/>
            <w:vAlign w:val="center"/>
          </w:tcPr>
          <w:p w14:paraId="5EDF0A92" w14:textId="77777777" w:rsidR="00EB58A8" w:rsidRPr="002C6F76" w:rsidRDefault="00EB58A8" w:rsidP="00EB58A8">
            <w:pPr>
              <w:pStyle w:val="ListBullet"/>
              <w:numPr>
                <w:ilvl w:val="0"/>
                <w:numId w:val="0"/>
              </w:numPr>
              <w:spacing w:after="0" w:line="276" w:lineRule="auto"/>
              <w:jc w:val="center"/>
              <w:rPr>
                <w:b/>
                <w:bCs/>
                <w:sz w:val="20"/>
                <w:szCs w:val="20"/>
              </w:rPr>
            </w:pPr>
            <w:r w:rsidRPr="002C6F76">
              <w:rPr>
                <w:b/>
                <w:bCs/>
                <w:sz w:val="20"/>
                <w:szCs w:val="20"/>
              </w:rPr>
              <w:t>Sub criteria</w:t>
            </w:r>
          </w:p>
        </w:tc>
        <w:tc>
          <w:tcPr>
            <w:tcW w:w="1752" w:type="dxa"/>
            <w:shd w:val="clear" w:color="auto" w:fill="auto"/>
            <w:vAlign w:val="center"/>
          </w:tcPr>
          <w:p w14:paraId="2DA57070" w14:textId="77777777" w:rsidR="00EB58A8" w:rsidRPr="002C6F76" w:rsidRDefault="00EB58A8" w:rsidP="00EB58A8">
            <w:pPr>
              <w:pStyle w:val="ListBullet"/>
              <w:numPr>
                <w:ilvl w:val="0"/>
                <w:numId w:val="0"/>
              </w:numPr>
              <w:spacing w:after="0" w:line="276" w:lineRule="auto"/>
              <w:jc w:val="center"/>
              <w:rPr>
                <w:b/>
                <w:bCs/>
                <w:sz w:val="20"/>
                <w:szCs w:val="20"/>
              </w:rPr>
            </w:pPr>
            <w:r w:rsidRPr="002C6F76">
              <w:rPr>
                <w:rFonts w:ascii="Arial" w:eastAsiaTheme="minorHAnsi" w:hAnsi="Arial" w:cs="Arial"/>
                <w:b/>
                <w:bCs/>
                <w:sz w:val="16"/>
                <w:szCs w:val="16"/>
              </w:rPr>
              <w:t xml:space="preserve">Performance of EIA </w:t>
            </w:r>
          </w:p>
        </w:tc>
      </w:tr>
      <w:tr w:rsidR="00EB58A8" w:rsidRPr="002C6F76" w14:paraId="21D863E3" w14:textId="77777777" w:rsidTr="00EB58A8">
        <w:trPr>
          <w:trHeight w:val="70"/>
          <w:jc w:val="center"/>
        </w:trPr>
        <w:tc>
          <w:tcPr>
            <w:tcW w:w="2262" w:type="dxa"/>
            <w:vMerge w:val="restart"/>
            <w:vAlign w:val="center"/>
          </w:tcPr>
          <w:p w14:paraId="60E58BFF" w14:textId="77777777" w:rsidR="00EB58A8" w:rsidRPr="002C6F76" w:rsidRDefault="00EB58A8" w:rsidP="00EB58A8">
            <w:pPr>
              <w:pStyle w:val="ListBullet"/>
              <w:numPr>
                <w:ilvl w:val="0"/>
                <w:numId w:val="0"/>
              </w:numPr>
              <w:spacing w:after="0" w:line="360" w:lineRule="auto"/>
              <w:ind w:left="90" w:firstLine="3"/>
              <w:jc w:val="center"/>
              <w:rPr>
                <w:b/>
                <w:bCs/>
                <w:sz w:val="20"/>
                <w:szCs w:val="20"/>
              </w:rPr>
            </w:pPr>
            <w:r w:rsidRPr="002C6F76">
              <w:rPr>
                <w:b/>
                <w:bCs/>
                <w:sz w:val="20"/>
                <w:szCs w:val="20"/>
              </w:rPr>
              <w:t>Legislative provisions for EIA</w:t>
            </w:r>
          </w:p>
        </w:tc>
        <w:tc>
          <w:tcPr>
            <w:tcW w:w="4203" w:type="dxa"/>
            <w:shd w:val="clear" w:color="auto" w:fill="auto"/>
            <w:vAlign w:val="center"/>
          </w:tcPr>
          <w:p w14:paraId="613898EA" w14:textId="77777777" w:rsidR="00EB58A8" w:rsidRPr="002C6F76" w:rsidRDefault="00EB58A8" w:rsidP="00EB58A8">
            <w:pPr>
              <w:pStyle w:val="ListBullet"/>
              <w:numPr>
                <w:ilvl w:val="0"/>
                <w:numId w:val="0"/>
              </w:numPr>
              <w:spacing w:after="0" w:line="240" w:lineRule="auto"/>
              <w:ind w:left="15" w:firstLine="18"/>
              <w:jc w:val="left"/>
              <w:rPr>
                <w:sz w:val="20"/>
                <w:szCs w:val="20"/>
              </w:rPr>
            </w:pPr>
            <w:r w:rsidRPr="002C6F76">
              <w:rPr>
                <w:sz w:val="20"/>
                <w:szCs w:val="20"/>
              </w:rPr>
              <w:t>EIA</w:t>
            </w:r>
            <w:r>
              <w:rPr>
                <w:sz w:val="20"/>
                <w:szCs w:val="20"/>
              </w:rPr>
              <w:t xml:space="preserve"> legal basis</w:t>
            </w:r>
          </w:p>
        </w:tc>
        <w:tc>
          <w:tcPr>
            <w:tcW w:w="1752" w:type="dxa"/>
            <w:shd w:val="clear" w:color="auto" w:fill="auto"/>
          </w:tcPr>
          <w:p w14:paraId="534F3CB2" w14:textId="77777777" w:rsidR="00EB58A8" w:rsidRPr="002C6F76" w:rsidRDefault="00EB58A8" w:rsidP="00EB58A8">
            <w:pPr>
              <w:pStyle w:val="ListBullet"/>
              <w:numPr>
                <w:ilvl w:val="0"/>
                <w:numId w:val="0"/>
              </w:numPr>
              <w:spacing w:after="0" w:line="240" w:lineRule="auto"/>
              <w:jc w:val="center"/>
              <w:rPr>
                <w:rFonts w:asciiTheme="majorBidi" w:hAnsiTheme="majorBidi" w:cstheme="majorBidi"/>
                <w:b/>
                <w:bCs/>
                <w:sz w:val="20"/>
                <w:szCs w:val="20"/>
              </w:rPr>
            </w:pPr>
            <w:r w:rsidRPr="002C6F76">
              <w:rPr>
                <w:rFonts w:asciiTheme="majorBidi" w:eastAsiaTheme="minorHAnsi" w:hAnsiTheme="majorBidi" w:cstheme="majorBidi"/>
                <w:sz w:val="20"/>
                <w:szCs w:val="20"/>
              </w:rPr>
              <w:t>Ο</w:t>
            </w:r>
          </w:p>
        </w:tc>
      </w:tr>
      <w:tr w:rsidR="00EB58A8" w:rsidRPr="002C6F76" w14:paraId="7584BE9E" w14:textId="77777777" w:rsidTr="00EB58A8">
        <w:trPr>
          <w:trHeight w:val="125"/>
          <w:jc w:val="center"/>
        </w:trPr>
        <w:tc>
          <w:tcPr>
            <w:tcW w:w="2262" w:type="dxa"/>
            <w:vMerge/>
            <w:vAlign w:val="center"/>
          </w:tcPr>
          <w:p w14:paraId="057CD289" w14:textId="77777777" w:rsidR="00EB58A8" w:rsidRPr="002C6F76" w:rsidRDefault="00EB58A8" w:rsidP="00EB58A8">
            <w:pPr>
              <w:pStyle w:val="ListBullet"/>
              <w:numPr>
                <w:ilvl w:val="0"/>
                <w:numId w:val="0"/>
              </w:numPr>
              <w:spacing w:after="0" w:line="360" w:lineRule="auto"/>
              <w:ind w:left="90" w:firstLine="3"/>
              <w:jc w:val="center"/>
              <w:rPr>
                <w:b/>
                <w:bCs/>
                <w:sz w:val="20"/>
                <w:szCs w:val="20"/>
              </w:rPr>
            </w:pPr>
          </w:p>
        </w:tc>
        <w:tc>
          <w:tcPr>
            <w:tcW w:w="4203" w:type="dxa"/>
            <w:shd w:val="clear" w:color="auto" w:fill="auto"/>
            <w:vAlign w:val="center"/>
          </w:tcPr>
          <w:p w14:paraId="20A587CC" w14:textId="77777777" w:rsidR="00EB58A8" w:rsidRPr="002C6F76" w:rsidRDefault="00EB58A8" w:rsidP="00EB58A8">
            <w:pPr>
              <w:pStyle w:val="ListBullet"/>
              <w:numPr>
                <w:ilvl w:val="0"/>
                <w:numId w:val="0"/>
              </w:numPr>
              <w:spacing w:after="0" w:line="240" w:lineRule="auto"/>
              <w:ind w:left="15" w:firstLine="18"/>
              <w:jc w:val="left"/>
              <w:rPr>
                <w:sz w:val="20"/>
                <w:szCs w:val="20"/>
              </w:rPr>
            </w:pPr>
            <w:r w:rsidRPr="002C6F76">
              <w:rPr>
                <w:sz w:val="20"/>
                <w:szCs w:val="20"/>
              </w:rPr>
              <w:t>Adequacy of the law for conducting an EIA</w:t>
            </w:r>
          </w:p>
        </w:tc>
        <w:tc>
          <w:tcPr>
            <w:tcW w:w="1752" w:type="dxa"/>
            <w:shd w:val="clear" w:color="auto" w:fill="auto"/>
          </w:tcPr>
          <w:p w14:paraId="09574F2A" w14:textId="77777777" w:rsidR="00EB58A8" w:rsidRPr="002C6F76" w:rsidRDefault="00EB58A8" w:rsidP="00EB58A8">
            <w:pPr>
              <w:pStyle w:val="ListBullet"/>
              <w:numPr>
                <w:ilvl w:val="0"/>
                <w:numId w:val="0"/>
              </w:numPr>
              <w:spacing w:after="0" w:line="276" w:lineRule="auto"/>
              <w:jc w:val="center"/>
              <w:rPr>
                <w:rFonts w:asciiTheme="majorBidi" w:hAnsiTheme="majorBidi" w:cstheme="majorBidi"/>
                <w:b/>
                <w:bCs/>
                <w:sz w:val="20"/>
                <w:szCs w:val="20"/>
              </w:rPr>
            </w:pPr>
            <w:r w:rsidRPr="002C6F76">
              <w:rPr>
                <w:rFonts w:asciiTheme="majorBidi" w:eastAsiaTheme="minorHAnsi" w:hAnsiTheme="majorBidi" w:cstheme="majorBidi"/>
                <w:b/>
                <w:bCs/>
                <w:sz w:val="20"/>
                <w:szCs w:val="20"/>
              </w:rPr>
              <w:t>©</w:t>
            </w:r>
          </w:p>
        </w:tc>
      </w:tr>
      <w:tr w:rsidR="00EB58A8" w:rsidRPr="002C6F76" w14:paraId="7B499FF7" w14:textId="77777777" w:rsidTr="00EB58A8">
        <w:trPr>
          <w:trHeight w:val="242"/>
          <w:jc w:val="center"/>
        </w:trPr>
        <w:tc>
          <w:tcPr>
            <w:tcW w:w="2262" w:type="dxa"/>
            <w:vMerge/>
            <w:vAlign w:val="center"/>
          </w:tcPr>
          <w:p w14:paraId="0091B4BB" w14:textId="77777777" w:rsidR="00EB58A8" w:rsidRPr="002C6F76" w:rsidRDefault="00EB58A8" w:rsidP="00EB58A8">
            <w:pPr>
              <w:pStyle w:val="ListBullet"/>
              <w:numPr>
                <w:ilvl w:val="0"/>
                <w:numId w:val="0"/>
              </w:numPr>
              <w:spacing w:after="0" w:line="360" w:lineRule="auto"/>
              <w:ind w:left="90" w:firstLine="3"/>
              <w:jc w:val="center"/>
              <w:rPr>
                <w:b/>
                <w:bCs/>
                <w:sz w:val="20"/>
                <w:szCs w:val="20"/>
              </w:rPr>
            </w:pPr>
          </w:p>
        </w:tc>
        <w:tc>
          <w:tcPr>
            <w:tcW w:w="4203" w:type="dxa"/>
            <w:shd w:val="clear" w:color="auto" w:fill="auto"/>
            <w:vAlign w:val="center"/>
          </w:tcPr>
          <w:p w14:paraId="70CF0AD3" w14:textId="77777777" w:rsidR="00EB58A8" w:rsidRPr="002C6F76" w:rsidRDefault="00EB58A8" w:rsidP="00EB58A8">
            <w:pPr>
              <w:pStyle w:val="ListBullet"/>
              <w:numPr>
                <w:ilvl w:val="0"/>
                <w:numId w:val="0"/>
              </w:numPr>
              <w:spacing w:after="0" w:line="240" w:lineRule="auto"/>
              <w:ind w:left="15" w:firstLine="18"/>
              <w:jc w:val="left"/>
              <w:rPr>
                <w:sz w:val="20"/>
                <w:szCs w:val="20"/>
              </w:rPr>
            </w:pPr>
            <w:r w:rsidRPr="002C6F76">
              <w:rPr>
                <w:sz w:val="20"/>
                <w:szCs w:val="20"/>
              </w:rPr>
              <w:t>The EIA process steps in regulations</w:t>
            </w:r>
          </w:p>
        </w:tc>
        <w:tc>
          <w:tcPr>
            <w:tcW w:w="1752" w:type="dxa"/>
            <w:shd w:val="clear" w:color="auto" w:fill="auto"/>
          </w:tcPr>
          <w:p w14:paraId="51DF36E4" w14:textId="77777777" w:rsidR="00EB58A8" w:rsidRPr="002C6F76" w:rsidRDefault="00EB58A8" w:rsidP="00EB58A8">
            <w:pPr>
              <w:pStyle w:val="ListBullet"/>
              <w:numPr>
                <w:ilvl w:val="0"/>
                <w:numId w:val="0"/>
              </w:numPr>
              <w:spacing w:after="0" w:line="276" w:lineRule="auto"/>
              <w:jc w:val="center"/>
              <w:rPr>
                <w:rFonts w:asciiTheme="majorBidi" w:hAnsiTheme="majorBidi" w:cstheme="majorBidi"/>
                <w:b/>
                <w:bCs/>
                <w:sz w:val="20"/>
                <w:szCs w:val="20"/>
              </w:rPr>
            </w:pPr>
            <w:r w:rsidRPr="002C6F76">
              <w:rPr>
                <w:rFonts w:asciiTheme="majorBidi" w:eastAsiaTheme="minorHAnsi" w:hAnsiTheme="majorBidi" w:cstheme="majorBidi"/>
                <w:sz w:val="20"/>
                <w:szCs w:val="20"/>
              </w:rPr>
              <w:t>Ο</w:t>
            </w:r>
          </w:p>
        </w:tc>
      </w:tr>
      <w:tr w:rsidR="00EB58A8" w:rsidRPr="002C6F76" w14:paraId="08B373CE" w14:textId="77777777" w:rsidTr="00EB58A8">
        <w:trPr>
          <w:trHeight w:val="70"/>
          <w:jc w:val="center"/>
        </w:trPr>
        <w:tc>
          <w:tcPr>
            <w:tcW w:w="2262" w:type="dxa"/>
            <w:vMerge/>
            <w:vAlign w:val="center"/>
          </w:tcPr>
          <w:p w14:paraId="528AD073" w14:textId="77777777" w:rsidR="00EB58A8" w:rsidRPr="002C6F76" w:rsidRDefault="00EB58A8" w:rsidP="00EB58A8">
            <w:pPr>
              <w:pStyle w:val="ListBullet"/>
              <w:numPr>
                <w:ilvl w:val="0"/>
                <w:numId w:val="0"/>
              </w:numPr>
              <w:spacing w:after="0" w:line="360" w:lineRule="auto"/>
              <w:ind w:left="90" w:firstLine="3"/>
              <w:jc w:val="center"/>
              <w:rPr>
                <w:b/>
                <w:bCs/>
                <w:sz w:val="20"/>
                <w:szCs w:val="20"/>
              </w:rPr>
            </w:pPr>
          </w:p>
        </w:tc>
        <w:tc>
          <w:tcPr>
            <w:tcW w:w="4203" w:type="dxa"/>
            <w:shd w:val="clear" w:color="auto" w:fill="auto"/>
            <w:vAlign w:val="center"/>
          </w:tcPr>
          <w:p w14:paraId="326BA039" w14:textId="77777777" w:rsidR="00EB58A8" w:rsidRPr="002C6F76" w:rsidRDefault="00EB58A8" w:rsidP="00EB58A8">
            <w:pPr>
              <w:pStyle w:val="ListBullet"/>
              <w:numPr>
                <w:ilvl w:val="0"/>
                <w:numId w:val="0"/>
              </w:numPr>
              <w:spacing w:after="0" w:line="240" w:lineRule="auto"/>
              <w:ind w:left="15" w:firstLine="18"/>
              <w:jc w:val="left"/>
              <w:rPr>
                <w:sz w:val="20"/>
                <w:szCs w:val="20"/>
              </w:rPr>
            </w:pPr>
            <w:r w:rsidRPr="002C6F76">
              <w:rPr>
                <w:sz w:val="20"/>
                <w:szCs w:val="20"/>
              </w:rPr>
              <w:t>Implications of proceeding without EIA approval</w:t>
            </w:r>
          </w:p>
        </w:tc>
        <w:tc>
          <w:tcPr>
            <w:tcW w:w="1752" w:type="dxa"/>
            <w:shd w:val="clear" w:color="auto" w:fill="auto"/>
          </w:tcPr>
          <w:p w14:paraId="65EE7961" w14:textId="77777777" w:rsidR="00EB58A8" w:rsidRPr="002C6F76" w:rsidRDefault="00EB58A8" w:rsidP="00EB58A8">
            <w:pPr>
              <w:pStyle w:val="ListBullet"/>
              <w:numPr>
                <w:ilvl w:val="0"/>
                <w:numId w:val="0"/>
              </w:numPr>
              <w:spacing w:after="0" w:line="276" w:lineRule="auto"/>
              <w:jc w:val="center"/>
              <w:rPr>
                <w:rFonts w:asciiTheme="majorBidi" w:hAnsiTheme="majorBidi" w:cstheme="majorBidi"/>
                <w:b/>
                <w:bCs/>
                <w:sz w:val="20"/>
                <w:szCs w:val="20"/>
              </w:rPr>
            </w:pPr>
            <w:r w:rsidRPr="002C6F76">
              <w:rPr>
                <w:rFonts w:asciiTheme="majorBidi" w:eastAsiaTheme="minorHAnsi" w:hAnsiTheme="majorBidi" w:cstheme="majorBidi"/>
                <w:sz w:val="20"/>
                <w:szCs w:val="20"/>
              </w:rPr>
              <w:t>Ο</w:t>
            </w:r>
          </w:p>
        </w:tc>
      </w:tr>
      <w:tr w:rsidR="00EB58A8" w:rsidRPr="002C6F76" w14:paraId="6426898D" w14:textId="77777777" w:rsidTr="00EB58A8">
        <w:trPr>
          <w:trHeight w:val="70"/>
          <w:jc w:val="center"/>
        </w:trPr>
        <w:tc>
          <w:tcPr>
            <w:tcW w:w="2262" w:type="dxa"/>
            <w:vMerge w:val="restart"/>
            <w:vAlign w:val="center"/>
          </w:tcPr>
          <w:p w14:paraId="676E5916" w14:textId="77777777" w:rsidR="00EB58A8" w:rsidRPr="002C6F76" w:rsidRDefault="00EB58A8" w:rsidP="00EB58A8">
            <w:pPr>
              <w:pStyle w:val="ListBullet"/>
              <w:numPr>
                <w:ilvl w:val="0"/>
                <w:numId w:val="0"/>
              </w:numPr>
              <w:spacing w:after="0" w:line="360" w:lineRule="auto"/>
              <w:ind w:left="90" w:firstLine="3"/>
              <w:jc w:val="center"/>
              <w:rPr>
                <w:b/>
                <w:bCs/>
                <w:sz w:val="20"/>
                <w:szCs w:val="20"/>
              </w:rPr>
            </w:pPr>
            <w:r w:rsidRPr="002C6F76">
              <w:rPr>
                <w:b/>
                <w:bCs/>
                <w:sz w:val="20"/>
                <w:szCs w:val="20"/>
              </w:rPr>
              <w:t>Administrative set up for EIA</w:t>
            </w:r>
          </w:p>
        </w:tc>
        <w:tc>
          <w:tcPr>
            <w:tcW w:w="4203" w:type="dxa"/>
            <w:shd w:val="clear" w:color="auto" w:fill="auto"/>
            <w:vAlign w:val="center"/>
          </w:tcPr>
          <w:p w14:paraId="0F5C8420" w14:textId="77777777" w:rsidR="00EB58A8" w:rsidRPr="002C6F76" w:rsidRDefault="00EB58A8" w:rsidP="00EB58A8">
            <w:pPr>
              <w:pStyle w:val="ListBullet"/>
              <w:numPr>
                <w:ilvl w:val="0"/>
                <w:numId w:val="0"/>
              </w:numPr>
              <w:spacing w:after="0" w:line="240" w:lineRule="auto"/>
              <w:ind w:left="15" w:firstLine="18"/>
              <w:jc w:val="left"/>
              <w:rPr>
                <w:sz w:val="20"/>
                <w:szCs w:val="20"/>
              </w:rPr>
            </w:pPr>
            <w:r w:rsidRPr="002C6F76">
              <w:rPr>
                <w:sz w:val="20"/>
                <w:szCs w:val="20"/>
              </w:rPr>
              <w:t>Competent authority for EIA</w:t>
            </w:r>
          </w:p>
        </w:tc>
        <w:tc>
          <w:tcPr>
            <w:tcW w:w="1752" w:type="dxa"/>
            <w:shd w:val="clear" w:color="auto" w:fill="auto"/>
          </w:tcPr>
          <w:p w14:paraId="6B457F03" w14:textId="77777777" w:rsidR="00EB58A8" w:rsidRPr="002C6F76" w:rsidRDefault="00EB58A8" w:rsidP="00EB58A8">
            <w:pPr>
              <w:pStyle w:val="ListBullet"/>
              <w:numPr>
                <w:ilvl w:val="0"/>
                <w:numId w:val="0"/>
              </w:numPr>
              <w:spacing w:after="0" w:line="240" w:lineRule="auto"/>
              <w:jc w:val="center"/>
              <w:rPr>
                <w:rFonts w:asciiTheme="majorBidi" w:hAnsiTheme="majorBidi" w:cstheme="majorBidi"/>
                <w:b/>
                <w:bCs/>
                <w:sz w:val="20"/>
                <w:szCs w:val="20"/>
              </w:rPr>
            </w:pPr>
            <w:r w:rsidRPr="002C6F76">
              <w:rPr>
                <w:rFonts w:asciiTheme="majorBidi" w:eastAsiaTheme="minorHAnsi" w:hAnsiTheme="majorBidi" w:cstheme="majorBidi"/>
                <w:b/>
                <w:bCs/>
                <w:sz w:val="20"/>
                <w:szCs w:val="20"/>
              </w:rPr>
              <w:t>©</w:t>
            </w:r>
          </w:p>
        </w:tc>
      </w:tr>
      <w:tr w:rsidR="00EB58A8" w:rsidRPr="002C6F76" w14:paraId="7DAA7A66" w14:textId="77777777" w:rsidTr="00EB58A8">
        <w:trPr>
          <w:trHeight w:val="197"/>
          <w:jc w:val="center"/>
        </w:trPr>
        <w:tc>
          <w:tcPr>
            <w:tcW w:w="2262" w:type="dxa"/>
            <w:vMerge/>
            <w:vAlign w:val="center"/>
          </w:tcPr>
          <w:p w14:paraId="3577E2FB" w14:textId="77777777" w:rsidR="00EB58A8" w:rsidRPr="002C6F76" w:rsidRDefault="00EB58A8" w:rsidP="00EB58A8">
            <w:pPr>
              <w:pStyle w:val="ListBullet"/>
              <w:numPr>
                <w:ilvl w:val="0"/>
                <w:numId w:val="0"/>
              </w:numPr>
              <w:spacing w:after="0" w:line="360" w:lineRule="auto"/>
              <w:ind w:left="90" w:firstLine="3"/>
              <w:jc w:val="center"/>
              <w:rPr>
                <w:b/>
                <w:bCs/>
                <w:sz w:val="20"/>
                <w:szCs w:val="20"/>
              </w:rPr>
            </w:pPr>
          </w:p>
        </w:tc>
        <w:tc>
          <w:tcPr>
            <w:tcW w:w="4203" w:type="dxa"/>
            <w:shd w:val="clear" w:color="auto" w:fill="auto"/>
            <w:vAlign w:val="center"/>
          </w:tcPr>
          <w:p w14:paraId="534B7B38" w14:textId="77777777" w:rsidR="00EB58A8" w:rsidRPr="002C6F76" w:rsidRDefault="00EB58A8" w:rsidP="00EB58A8">
            <w:pPr>
              <w:pStyle w:val="ListBullet"/>
              <w:numPr>
                <w:ilvl w:val="0"/>
                <w:numId w:val="0"/>
              </w:numPr>
              <w:spacing w:after="0" w:line="240" w:lineRule="auto"/>
              <w:ind w:left="15" w:firstLine="18"/>
              <w:jc w:val="left"/>
              <w:rPr>
                <w:sz w:val="20"/>
                <w:szCs w:val="20"/>
              </w:rPr>
            </w:pPr>
            <w:r w:rsidRPr="002C6F76">
              <w:rPr>
                <w:sz w:val="20"/>
                <w:szCs w:val="20"/>
              </w:rPr>
              <w:t>EIA review body</w:t>
            </w:r>
          </w:p>
        </w:tc>
        <w:tc>
          <w:tcPr>
            <w:tcW w:w="1752" w:type="dxa"/>
            <w:shd w:val="clear" w:color="auto" w:fill="auto"/>
          </w:tcPr>
          <w:p w14:paraId="11C2EA7D" w14:textId="77777777" w:rsidR="00EB58A8" w:rsidRPr="002C6F76" w:rsidRDefault="00EB58A8" w:rsidP="00EB58A8">
            <w:pPr>
              <w:pStyle w:val="ListBullet"/>
              <w:numPr>
                <w:ilvl w:val="0"/>
                <w:numId w:val="0"/>
              </w:numPr>
              <w:spacing w:after="0" w:line="240" w:lineRule="auto"/>
              <w:jc w:val="center"/>
              <w:rPr>
                <w:rFonts w:asciiTheme="majorBidi" w:hAnsiTheme="majorBidi" w:cstheme="majorBidi"/>
                <w:b/>
                <w:bCs/>
                <w:sz w:val="20"/>
                <w:szCs w:val="20"/>
              </w:rPr>
            </w:pPr>
            <w:r w:rsidRPr="002C6F76">
              <w:rPr>
                <w:rFonts w:asciiTheme="majorBidi" w:eastAsiaTheme="minorHAnsi" w:hAnsiTheme="majorBidi" w:cstheme="majorBidi"/>
                <w:b/>
                <w:bCs/>
                <w:sz w:val="20"/>
                <w:szCs w:val="20"/>
              </w:rPr>
              <w:t>©</w:t>
            </w:r>
          </w:p>
        </w:tc>
      </w:tr>
      <w:tr w:rsidR="00EB58A8" w:rsidRPr="002C6F76" w14:paraId="59D70EC6" w14:textId="77777777" w:rsidTr="00EB58A8">
        <w:trPr>
          <w:trHeight w:val="287"/>
          <w:jc w:val="center"/>
        </w:trPr>
        <w:tc>
          <w:tcPr>
            <w:tcW w:w="2262" w:type="dxa"/>
            <w:vMerge/>
            <w:vAlign w:val="center"/>
          </w:tcPr>
          <w:p w14:paraId="102695B7" w14:textId="77777777" w:rsidR="00EB58A8" w:rsidRPr="002C6F76" w:rsidRDefault="00EB58A8" w:rsidP="00EB58A8">
            <w:pPr>
              <w:pStyle w:val="ListBullet"/>
              <w:numPr>
                <w:ilvl w:val="0"/>
                <w:numId w:val="0"/>
              </w:numPr>
              <w:spacing w:after="0" w:line="360" w:lineRule="auto"/>
              <w:ind w:left="90" w:firstLine="3"/>
              <w:jc w:val="center"/>
              <w:rPr>
                <w:b/>
                <w:bCs/>
                <w:sz w:val="20"/>
                <w:szCs w:val="20"/>
              </w:rPr>
            </w:pPr>
          </w:p>
        </w:tc>
        <w:tc>
          <w:tcPr>
            <w:tcW w:w="4203" w:type="dxa"/>
            <w:shd w:val="clear" w:color="auto" w:fill="auto"/>
            <w:vAlign w:val="center"/>
          </w:tcPr>
          <w:p w14:paraId="334A4E4B" w14:textId="77777777" w:rsidR="00EB58A8" w:rsidRPr="002C6F76" w:rsidRDefault="00EB58A8" w:rsidP="00EB58A8">
            <w:pPr>
              <w:pStyle w:val="ListBullet"/>
              <w:numPr>
                <w:ilvl w:val="0"/>
                <w:numId w:val="0"/>
              </w:numPr>
              <w:spacing w:after="0" w:line="240" w:lineRule="auto"/>
              <w:ind w:left="15" w:firstLine="18"/>
              <w:jc w:val="left"/>
              <w:rPr>
                <w:sz w:val="20"/>
                <w:szCs w:val="20"/>
              </w:rPr>
            </w:pPr>
            <w:r w:rsidRPr="002C6F76">
              <w:rPr>
                <w:sz w:val="20"/>
                <w:szCs w:val="20"/>
              </w:rPr>
              <w:t xml:space="preserve">EIA centralisation at the national level </w:t>
            </w:r>
          </w:p>
        </w:tc>
        <w:tc>
          <w:tcPr>
            <w:tcW w:w="1752" w:type="dxa"/>
            <w:shd w:val="clear" w:color="auto" w:fill="auto"/>
          </w:tcPr>
          <w:p w14:paraId="44AA71A8" w14:textId="77777777" w:rsidR="00EB58A8" w:rsidRPr="002C6F76" w:rsidRDefault="00EB58A8" w:rsidP="00EB58A8">
            <w:pPr>
              <w:pStyle w:val="ListBullet"/>
              <w:numPr>
                <w:ilvl w:val="0"/>
                <w:numId w:val="0"/>
              </w:numPr>
              <w:spacing w:after="0" w:line="240" w:lineRule="auto"/>
              <w:jc w:val="center"/>
              <w:rPr>
                <w:rFonts w:asciiTheme="majorBidi" w:hAnsiTheme="majorBidi" w:cstheme="majorBidi"/>
                <w:b/>
                <w:bCs/>
                <w:sz w:val="20"/>
                <w:szCs w:val="20"/>
              </w:rPr>
            </w:pPr>
            <w:r w:rsidRPr="002C6F76">
              <w:rPr>
                <w:rFonts w:asciiTheme="majorBidi" w:eastAsiaTheme="minorHAnsi" w:hAnsiTheme="majorBidi" w:cstheme="majorBidi"/>
                <w:b/>
                <w:bCs/>
                <w:sz w:val="20"/>
                <w:szCs w:val="20"/>
              </w:rPr>
              <w:t>©</w:t>
            </w:r>
          </w:p>
        </w:tc>
      </w:tr>
      <w:tr w:rsidR="00EB58A8" w:rsidRPr="002C6F76" w14:paraId="12910BAB" w14:textId="77777777" w:rsidTr="00EB58A8">
        <w:trPr>
          <w:trHeight w:val="70"/>
          <w:jc w:val="center"/>
        </w:trPr>
        <w:tc>
          <w:tcPr>
            <w:tcW w:w="2262" w:type="dxa"/>
            <w:vMerge w:val="restart"/>
            <w:vAlign w:val="center"/>
          </w:tcPr>
          <w:p w14:paraId="2A5EAC7B" w14:textId="77777777" w:rsidR="00EB58A8" w:rsidRPr="002C6F76" w:rsidRDefault="00EB58A8" w:rsidP="00EB58A8">
            <w:pPr>
              <w:pStyle w:val="ListBullet"/>
              <w:numPr>
                <w:ilvl w:val="0"/>
                <w:numId w:val="0"/>
              </w:numPr>
              <w:spacing w:after="0" w:line="360" w:lineRule="auto"/>
              <w:ind w:left="90" w:firstLine="3"/>
              <w:jc w:val="center"/>
              <w:rPr>
                <w:b/>
                <w:bCs/>
                <w:sz w:val="20"/>
                <w:szCs w:val="20"/>
              </w:rPr>
            </w:pPr>
            <w:r w:rsidRPr="002C6F76">
              <w:rPr>
                <w:b/>
                <w:bCs/>
                <w:sz w:val="20"/>
                <w:szCs w:val="20"/>
              </w:rPr>
              <w:t>EIA process</w:t>
            </w:r>
          </w:p>
        </w:tc>
        <w:tc>
          <w:tcPr>
            <w:tcW w:w="4203" w:type="dxa"/>
            <w:shd w:val="clear" w:color="auto" w:fill="auto"/>
            <w:vAlign w:val="center"/>
          </w:tcPr>
          <w:p w14:paraId="0D0BA967" w14:textId="77777777" w:rsidR="00EB58A8" w:rsidRPr="002C6F76" w:rsidRDefault="00EB58A8" w:rsidP="00EB58A8">
            <w:pPr>
              <w:pStyle w:val="ListBullet"/>
              <w:numPr>
                <w:ilvl w:val="0"/>
                <w:numId w:val="0"/>
              </w:numPr>
              <w:spacing w:after="0" w:line="276" w:lineRule="auto"/>
              <w:ind w:left="360" w:hanging="360"/>
              <w:jc w:val="left"/>
              <w:rPr>
                <w:sz w:val="20"/>
                <w:szCs w:val="20"/>
              </w:rPr>
            </w:pPr>
            <w:r w:rsidRPr="002C6F76">
              <w:rPr>
                <w:sz w:val="20"/>
                <w:szCs w:val="20"/>
              </w:rPr>
              <w:t xml:space="preserve">Screening </w:t>
            </w:r>
          </w:p>
        </w:tc>
        <w:tc>
          <w:tcPr>
            <w:tcW w:w="1752" w:type="dxa"/>
            <w:shd w:val="clear" w:color="auto" w:fill="auto"/>
          </w:tcPr>
          <w:p w14:paraId="136E892C" w14:textId="77777777" w:rsidR="00EB58A8" w:rsidRPr="002C6F76" w:rsidRDefault="00EB58A8" w:rsidP="00EB58A8">
            <w:pPr>
              <w:pStyle w:val="ListBullet"/>
              <w:numPr>
                <w:ilvl w:val="0"/>
                <w:numId w:val="0"/>
              </w:numPr>
              <w:spacing w:after="0" w:line="240" w:lineRule="auto"/>
              <w:jc w:val="center"/>
              <w:rPr>
                <w:rFonts w:asciiTheme="majorBidi" w:hAnsiTheme="majorBidi" w:cstheme="majorBidi"/>
                <w:b/>
                <w:bCs/>
                <w:sz w:val="20"/>
                <w:szCs w:val="20"/>
              </w:rPr>
            </w:pPr>
            <w:r w:rsidRPr="002C6F76">
              <w:rPr>
                <w:rFonts w:asciiTheme="majorBidi" w:eastAsiaTheme="minorHAnsi" w:hAnsiTheme="majorBidi" w:cstheme="majorBidi"/>
                <w:b/>
                <w:bCs/>
                <w:sz w:val="20"/>
                <w:szCs w:val="20"/>
              </w:rPr>
              <w:t>©</w:t>
            </w:r>
          </w:p>
        </w:tc>
      </w:tr>
      <w:tr w:rsidR="00EB58A8" w:rsidRPr="002C6F76" w14:paraId="57EC616B" w14:textId="77777777" w:rsidTr="00EB58A8">
        <w:trPr>
          <w:trHeight w:val="70"/>
          <w:jc w:val="center"/>
        </w:trPr>
        <w:tc>
          <w:tcPr>
            <w:tcW w:w="2262" w:type="dxa"/>
            <w:vMerge/>
          </w:tcPr>
          <w:p w14:paraId="617958D0" w14:textId="77777777" w:rsidR="00EB58A8" w:rsidRPr="002C6F76" w:rsidRDefault="00EB58A8" w:rsidP="00EB58A8">
            <w:pPr>
              <w:pStyle w:val="ListBullet"/>
              <w:numPr>
                <w:ilvl w:val="0"/>
                <w:numId w:val="0"/>
              </w:numPr>
              <w:spacing w:after="0" w:line="276" w:lineRule="auto"/>
              <w:ind w:left="357" w:hanging="309"/>
              <w:jc w:val="left"/>
              <w:rPr>
                <w:sz w:val="20"/>
                <w:szCs w:val="20"/>
                <w:lang w:eastAsia="en-GB"/>
              </w:rPr>
            </w:pPr>
          </w:p>
        </w:tc>
        <w:tc>
          <w:tcPr>
            <w:tcW w:w="4203" w:type="dxa"/>
            <w:shd w:val="clear" w:color="auto" w:fill="auto"/>
            <w:vAlign w:val="center"/>
          </w:tcPr>
          <w:p w14:paraId="07511E86" w14:textId="77777777" w:rsidR="00EB58A8" w:rsidRPr="002C6F76" w:rsidRDefault="00EB58A8" w:rsidP="00EB58A8">
            <w:pPr>
              <w:pStyle w:val="ListBullet"/>
              <w:numPr>
                <w:ilvl w:val="0"/>
                <w:numId w:val="0"/>
              </w:numPr>
              <w:spacing w:after="0" w:line="276" w:lineRule="auto"/>
              <w:ind w:left="360" w:hanging="360"/>
              <w:jc w:val="left"/>
              <w:rPr>
                <w:sz w:val="20"/>
                <w:szCs w:val="20"/>
              </w:rPr>
            </w:pPr>
            <w:r w:rsidRPr="002C6F76">
              <w:rPr>
                <w:sz w:val="20"/>
                <w:szCs w:val="20"/>
              </w:rPr>
              <w:t xml:space="preserve">Scoping </w:t>
            </w:r>
          </w:p>
        </w:tc>
        <w:tc>
          <w:tcPr>
            <w:tcW w:w="1752" w:type="dxa"/>
            <w:shd w:val="clear" w:color="auto" w:fill="auto"/>
          </w:tcPr>
          <w:p w14:paraId="4E0CB0ED" w14:textId="77777777" w:rsidR="00EB58A8" w:rsidRPr="002C6F76" w:rsidRDefault="00EB58A8" w:rsidP="00EB58A8">
            <w:pPr>
              <w:pStyle w:val="ListBullet"/>
              <w:numPr>
                <w:ilvl w:val="0"/>
                <w:numId w:val="0"/>
              </w:numPr>
              <w:spacing w:after="0" w:line="240" w:lineRule="auto"/>
              <w:jc w:val="center"/>
              <w:rPr>
                <w:rFonts w:asciiTheme="majorBidi" w:hAnsiTheme="majorBidi" w:cstheme="majorBidi"/>
                <w:b/>
                <w:bCs/>
                <w:sz w:val="20"/>
                <w:szCs w:val="20"/>
              </w:rPr>
            </w:pPr>
            <w:r w:rsidRPr="002C6F76">
              <w:rPr>
                <w:rFonts w:asciiTheme="majorBidi" w:eastAsiaTheme="minorHAnsi" w:hAnsiTheme="majorBidi" w:cstheme="majorBidi"/>
                <w:sz w:val="20"/>
                <w:szCs w:val="20"/>
              </w:rPr>
              <w:t>Ο</w:t>
            </w:r>
          </w:p>
        </w:tc>
      </w:tr>
      <w:tr w:rsidR="00EB58A8" w:rsidRPr="002C6F76" w14:paraId="6CF63B92" w14:textId="77777777" w:rsidTr="00EB58A8">
        <w:trPr>
          <w:trHeight w:val="170"/>
          <w:jc w:val="center"/>
        </w:trPr>
        <w:tc>
          <w:tcPr>
            <w:tcW w:w="2262" w:type="dxa"/>
            <w:vMerge/>
          </w:tcPr>
          <w:p w14:paraId="2262203D" w14:textId="77777777" w:rsidR="00EB58A8" w:rsidRPr="002C6F76" w:rsidRDefault="00EB58A8" w:rsidP="00EB58A8">
            <w:pPr>
              <w:pStyle w:val="ListBullet"/>
              <w:numPr>
                <w:ilvl w:val="0"/>
                <w:numId w:val="0"/>
              </w:numPr>
              <w:spacing w:after="0" w:line="276" w:lineRule="auto"/>
              <w:ind w:left="357" w:hanging="309"/>
              <w:jc w:val="left"/>
              <w:rPr>
                <w:sz w:val="20"/>
                <w:szCs w:val="20"/>
              </w:rPr>
            </w:pPr>
          </w:p>
        </w:tc>
        <w:tc>
          <w:tcPr>
            <w:tcW w:w="4203" w:type="dxa"/>
            <w:shd w:val="clear" w:color="auto" w:fill="auto"/>
            <w:vAlign w:val="center"/>
          </w:tcPr>
          <w:p w14:paraId="297B79E3" w14:textId="77777777" w:rsidR="00EB58A8" w:rsidRPr="002C6F76" w:rsidRDefault="00EB58A8" w:rsidP="00EB58A8">
            <w:pPr>
              <w:pStyle w:val="ListBullet"/>
              <w:numPr>
                <w:ilvl w:val="0"/>
                <w:numId w:val="0"/>
              </w:numPr>
              <w:spacing w:after="0" w:line="276" w:lineRule="auto"/>
              <w:ind w:left="360" w:hanging="360"/>
              <w:jc w:val="left"/>
              <w:rPr>
                <w:sz w:val="20"/>
                <w:szCs w:val="20"/>
              </w:rPr>
            </w:pPr>
            <w:r w:rsidRPr="002C6F76">
              <w:rPr>
                <w:sz w:val="20"/>
                <w:szCs w:val="20"/>
              </w:rPr>
              <w:t xml:space="preserve">Consideration of alternatives </w:t>
            </w:r>
          </w:p>
        </w:tc>
        <w:tc>
          <w:tcPr>
            <w:tcW w:w="1752" w:type="dxa"/>
            <w:shd w:val="clear" w:color="auto" w:fill="auto"/>
          </w:tcPr>
          <w:p w14:paraId="00FFB603" w14:textId="77777777" w:rsidR="00EB58A8" w:rsidRPr="002C6F76" w:rsidRDefault="00EB58A8" w:rsidP="00EB58A8">
            <w:pPr>
              <w:pStyle w:val="ListBullet"/>
              <w:numPr>
                <w:ilvl w:val="0"/>
                <w:numId w:val="0"/>
              </w:numPr>
              <w:spacing w:after="0" w:line="240" w:lineRule="auto"/>
              <w:jc w:val="center"/>
              <w:rPr>
                <w:rFonts w:asciiTheme="majorBidi" w:hAnsiTheme="majorBidi" w:cstheme="majorBidi"/>
                <w:b/>
                <w:bCs/>
                <w:sz w:val="20"/>
                <w:szCs w:val="20"/>
              </w:rPr>
            </w:pPr>
            <w:r w:rsidRPr="002C6F76">
              <w:rPr>
                <w:rFonts w:asciiTheme="majorBidi" w:eastAsiaTheme="minorHAnsi" w:hAnsiTheme="majorBidi" w:cstheme="majorBidi"/>
                <w:b/>
                <w:bCs/>
                <w:sz w:val="20"/>
                <w:szCs w:val="20"/>
              </w:rPr>
              <w:t>©</w:t>
            </w:r>
          </w:p>
        </w:tc>
      </w:tr>
      <w:tr w:rsidR="00EB58A8" w:rsidRPr="002C6F76" w14:paraId="588F5F1C" w14:textId="77777777" w:rsidTr="00EB58A8">
        <w:trPr>
          <w:trHeight w:val="98"/>
          <w:jc w:val="center"/>
        </w:trPr>
        <w:tc>
          <w:tcPr>
            <w:tcW w:w="2262" w:type="dxa"/>
            <w:vMerge/>
          </w:tcPr>
          <w:p w14:paraId="3D584FDE" w14:textId="77777777" w:rsidR="00EB58A8" w:rsidRPr="002C6F76" w:rsidRDefault="00EB58A8" w:rsidP="00EB58A8">
            <w:pPr>
              <w:pStyle w:val="ListBullet"/>
              <w:numPr>
                <w:ilvl w:val="0"/>
                <w:numId w:val="0"/>
              </w:numPr>
              <w:spacing w:after="0" w:line="276" w:lineRule="auto"/>
              <w:ind w:left="357" w:hanging="309"/>
              <w:jc w:val="left"/>
              <w:rPr>
                <w:sz w:val="20"/>
                <w:szCs w:val="20"/>
              </w:rPr>
            </w:pPr>
          </w:p>
        </w:tc>
        <w:tc>
          <w:tcPr>
            <w:tcW w:w="4203" w:type="dxa"/>
            <w:shd w:val="clear" w:color="auto" w:fill="auto"/>
            <w:vAlign w:val="center"/>
          </w:tcPr>
          <w:p w14:paraId="7FFCD861" w14:textId="77777777" w:rsidR="00EB58A8" w:rsidRPr="002C6F76" w:rsidRDefault="00EB58A8" w:rsidP="00EB58A8">
            <w:pPr>
              <w:pStyle w:val="ListBullet"/>
              <w:numPr>
                <w:ilvl w:val="0"/>
                <w:numId w:val="0"/>
              </w:numPr>
              <w:spacing w:after="0" w:line="276" w:lineRule="auto"/>
              <w:ind w:left="15" w:firstLine="18"/>
              <w:jc w:val="left"/>
              <w:rPr>
                <w:sz w:val="20"/>
                <w:szCs w:val="20"/>
                <w:lang w:eastAsia="en-GB"/>
              </w:rPr>
            </w:pPr>
            <w:r w:rsidRPr="002C6F76">
              <w:rPr>
                <w:sz w:val="20"/>
                <w:szCs w:val="20"/>
                <w:lang w:eastAsia="en-GB"/>
              </w:rPr>
              <w:t>Public participation</w:t>
            </w:r>
          </w:p>
        </w:tc>
        <w:tc>
          <w:tcPr>
            <w:tcW w:w="1752" w:type="dxa"/>
            <w:shd w:val="clear" w:color="auto" w:fill="auto"/>
          </w:tcPr>
          <w:p w14:paraId="2205EE30" w14:textId="29D7B687" w:rsidR="00EB58A8" w:rsidRPr="002C6F76" w:rsidRDefault="00AF61D7" w:rsidP="00EB58A8">
            <w:pPr>
              <w:pStyle w:val="ListBullet"/>
              <w:numPr>
                <w:ilvl w:val="0"/>
                <w:numId w:val="0"/>
              </w:numPr>
              <w:spacing w:after="0" w:line="240" w:lineRule="auto"/>
              <w:jc w:val="center"/>
              <w:rPr>
                <w:rFonts w:asciiTheme="majorBidi" w:hAnsiTheme="majorBidi" w:cstheme="majorBidi"/>
                <w:b/>
                <w:bCs/>
                <w:sz w:val="20"/>
                <w:szCs w:val="20"/>
              </w:rPr>
            </w:pPr>
            <w:r w:rsidRPr="0029290B">
              <w:rPr>
                <w:rFonts w:asciiTheme="majorBidi" w:eastAsiaTheme="minorHAnsi" w:hAnsiTheme="majorBidi" w:cstheme="majorBidi"/>
                <w:b/>
                <w:bCs/>
                <w:sz w:val="20"/>
                <w:szCs w:val="20"/>
              </w:rPr>
              <w:t>©</w:t>
            </w:r>
          </w:p>
        </w:tc>
      </w:tr>
      <w:tr w:rsidR="00EB58A8" w:rsidRPr="002C6F76" w14:paraId="5060CA66" w14:textId="77777777" w:rsidTr="00EB58A8">
        <w:trPr>
          <w:trHeight w:val="260"/>
          <w:jc w:val="center"/>
        </w:trPr>
        <w:tc>
          <w:tcPr>
            <w:tcW w:w="2262" w:type="dxa"/>
            <w:vMerge/>
          </w:tcPr>
          <w:p w14:paraId="0F408D71" w14:textId="77777777" w:rsidR="00EB58A8" w:rsidRPr="002C6F76" w:rsidRDefault="00EB58A8" w:rsidP="00EB58A8">
            <w:pPr>
              <w:pStyle w:val="ListBullet"/>
              <w:numPr>
                <w:ilvl w:val="0"/>
                <w:numId w:val="0"/>
              </w:numPr>
              <w:spacing w:after="0" w:line="276" w:lineRule="auto"/>
              <w:ind w:left="357" w:hanging="309"/>
              <w:jc w:val="left"/>
              <w:rPr>
                <w:sz w:val="20"/>
                <w:szCs w:val="20"/>
              </w:rPr>
            </w:pPr>
          </w:p>
        </w:tc>
        <w:tc>
          <w:tcPr>
            <w:tcW w:w="4203" w:type="dxa"/>
            <w:shd w:val="clear" w:color="auto" w:fill="auto"/>
            <w:vAlign w:val="center"/>
          </w:tcPr>
          <w:p w14:paraId="3A7EDA7A" w14:textId="77777777" w:rsidR="00EB58A8" w:rsidRPr="002C6F76" w:rsidRDefault="00EB58A8" w:rsidP="00EB58A8">
            <w:pPr>
              <w:pStyle w:val="ListBullet"/>
              <w:numPr>
                <w:ilvl w:val="0"/>
                <w:numId w:val="0"/>
              </w:numPr>
              <w:spacing w:after="0" w:line="276" w:lineRule="auto"/>
              <w:ind w:left="15" w:firstLine="18"/>
              <w:jc w:val="left"/>
              <w:rPr>
                <w:sz w:val="20"/>
                <w:szCs w:val="20"/>
                <w:lang w:eastAsia="en-GB"/>
              </w:rPr>
            </w:pPr>
            <w:r w:rsidRPr="002C6F76">
              <w:rPr>
                <w:sz w:val="20"/>
                <w:szCs w:val="20"/>
                <w:lang w:eastAsia="en-GB"/>
              </w:rPr>
              <w:t xml:space="preserve">EIA reviewing </w:t>
            </w:r>
          </w:p>
        </w:tc>
        <w:tc>
          <w:tcPr>
            <w:tcW w:w="1752" w:type="dxa"/>
            <w:shd w:val="clear" w:color="auto" w:fill="auto"/>
          </w:tcPr>
          <w:p w14:paraId="2F905D87" w14:textId="77777777" w:rsidR="00EB58A8" w:rsidRPr="002C6F76" w:rsidRDefault="00EB58A8" w:rsidP="00EB58A8">
            <w:pPr>
              <w:pStyle w:val="ListBullet"/>
              <w:numPr>
                <w:ilvl w:val="0"/>
                <w:numId w:val="0"/>
              </w:numPr>
              <w:spacing w:after="0" w:line="240" w:lineRule="auto"/>
              <w:jc w:val="center"/>
              <w:rPr>
                <w:rFonts w:asciiTheme="majorBidi" w:hAnsiTheme="majorBidi" w:cstheme="majorBidi"/>
                <w:b/>
                <w:bCs/>
                <w:sz w:val="20"/>
                <w:szCs w:val="20"/>
              </w:rPr>
            </w:pPr>
            <w:r w:rsidRPr="002C6F76">
              <w:rPr>
                <w:rFonts w:asciiTheme="majorBidi" w:eastAsiaTheme="minorHAnsi" w:hAnsiTheme="majorBidi" w:cstheme="majorBidi"/>
                <w:b/>
                <w:bCs/>
                <w:sz w:val="20"/>
                <w:szCs w:val="20"/>
              </w:rPr>
              <w:t>©</w:t>
            </w:r>
          </w:p>
        </w:tc>
      </w:tr>
      <w:tr w:rsidR="00EB58A8" w:rsidRPr="002C6F76" w14:paraId="5A94A644" w14:textId="77777777" w:rsidTr="00EB58A8">
        <w:trPr>
          <w:trHeight w:val="107"/>
          <w:jc w:val="center"/>
        </w:trPr>
        <w:tc>
          <w:tcPr>
            <w:tcW w:w="2262" w:type="dxa"/>
            <w:vMerge/>
          </w:tcPr>
          <w:p w14:paraId="2C419A66" w14:textId="77777777" w:rsidR="00EB58A8" w:rsidRPr="002C6F76" w:rsidRDefault="00EB58A8" w:rsidP="00EB58A8">
            <w:pPr>
              <w:pStyle w:val="ListBullet"/>
              <w:numPr>
                <w:ilvl w:val="0"/>
                <w:numId w:val="0"/>
              </w:numPr>
              <w:spacing w:after="0" w:line="276" w:lineRule="auto"/>
              <w:ind w:left="357" w:hanging="309"/>
              <w:jc w:val="left"/>
              <w:rPr>
                <w:sz w:val="20"/>
                <w:szCs w:val="20"/>
              </w:rPr>
            </w:pPr>
          </w:p>
        </w:tc>
        <w:tc>
          <w:tcPr>
            <w:tcW w:w="4203" w:type="dxa"/>
            <w:shd w:val="clear" w:color="auto" w:fill="auto"/>
            <w:vAlign w:val="center"/>
          </w:tcPr>
          <w:p w14:paraId="6BCD11BF" w14:textId="77777777" w:rsidR="00EB58A8" w:rsidRPr="002C6F76" w:rsidRDefault="00EB58A8" w:rsidP="00EB58A8">
            <w:pPr>
              <w:pStyle w:val="ListBullet"/>
              <w:numPr>
                <w:ilvl w:val="0"/>
                <w:numId w:val="0"/>
              </w:numPr>
              <w:spacing w:after="0" w:line="276" w:lineRule="auto"/>
              <w:ind w:left="15" w:firstLine="18"/>
              <w:jc w:val="left"/>
              <w:rPr>
                <w:sz w:val="20"/>
                <w:szCs w:val="20"/>
                <w:lang w:eastAsia="en-GB"/>
              </w:rPr>
            </w:pPr>
            <w:r w:rsidRPr="002C6F76">
              <w:rPr>
                <w:sz w:val="20"/>
                <w:szCs w:val="20"/>
              </w:rPr>
              <w:t>EIA Follow-up</w:t>
            </w:r>
          </w:p>
        </w:tc>
        <w:tc>
          <w:tcPr>
            <w:tcW w:w="1752" w:type="dxa"/>
            <w:shd w:val="clear" w:color="auto" w:fill="auto"/>
            <w:vAlign w:val="center"/>
          </w:tcPr>
          <w:p w14:paraId="352EAC4C" w14:textId="77777777" w:rsidR="00EB58A8" w:rsidRPr="002C6F76" w:rsidRDefault="00EB58A8" w:rsidP="00EB58A8">
            <w:pPr>
              <w:pStyle w:val="ListBullet"/>
              <w:numPr>
                <w:ilvl w:val="0"/>
                <w:numId w:val="0"/>
              </w:numPr>
              <w:spacing w:after="0" w:line="240" w:lineRule="auto"/>
              <w:jc w:val="center"/>
              <w:rPr>
                <w:rFonts w:asciiTheme="majorBidi" w:hAnsiTheme="majorBidi" w:cstheme="majorBidi"/>
                <w:b/>
                <w:bCs/>
                <w:sz w:val="20"/>
                <w:szCs w:val="20"/>
              </w:rPr>
            </w:pPr>
            <w:r w:rsidRPr="0029290B">
              <w:rPr>
                <w:rFonts w:asciiTheme="majorBidi" w:eastAsiaTheme="minorHAnsi" w:hAnsiTheme="majorBidi" w:cstheme="majorBidi"/>
                <w:sz w:val="20"/>
                <w:szCs w:val="20"/>
              </w:rPr>
              <w:t>Ο</w:t>
            </w:r>
          </w:p>
        </w:tc>
      </w:tr>
    </w:tbl>
    <w:p w14:paraId="134DED98" w14:textId="77777777" w:rsidR="00EB58A8" w:rsidRDefault="00EB58A8" w:rsidP="00EB58A8">
      <w:pPr>
        <w:spacing w:line="240" w:lineRule="auto"/>
        <w:ind w:left="630"/>
        <w:rPr>
          <w:rFonts w:ascii="Arial" w:eastAsiaTheme="minorHAnsi" w:hAnsi="Arial" w:cs="Arial"/>
          <w:sz w:val="16"/>
          <w:szCs w:val="16"/>
          <w:lang w:val="en-GB" w:bidi="ar-SA"/>
        </w:rPr>
      </w:pPr>
      <w:r w:rsidRPr="0029290B">
        <w:rPr>
          <w:rFonts w:asciiTheme="majorBidi" w:eastAsiaTheme="minorHAnsi" w:hAnsiTheme="majorBidi" w:cstheme="majorBidi"/>
          <w:b/>
          <w:bCs/>
          <w:color w:val="000000"/>
          <w:sz w:val="32"/>
          <w:szCs w:val="32"/>
          <w:lang w:val="en-GB" w:bidi="ar-SA"/>
        </w:rPr>
        <w:t>●</w:t>
      </w:r>
      <w:r w:rsidRPr="002C6F76">
        <w:rPr>
          <w:rFonts w:ascii="Arial" w:eastAsiaTheme="minorHAnsi" w:hAnsi="Arial" w:cs="Arial"/>
          <w:sz w:val="16"/>
          <w:szCs w:val="16"/>
          <w:lang w:val="en-GB" w:bidi="ar-SA"/>
        </w:rPr>
        <w:t xml:space="preserve">– Fully achieved, </w:t>
      </w:r>
      <w:r w:rsidRPr="0029290B">
        <w:rPr>
          <w:rFonts w:asciiTheme="majorBidi" w:eastAsiaTheme="minorHAnsi" w:hAnsiTheme="majorBidi" w:cstheme="majorBidi"/>
          <w:b/>
          <w:bCs/>
          <w:color w:val="000000"/>
          <w:sz w:val="20"/>
          <w:szCs w:val="20"/>
          <w:lang w:val="en-GB" w:bidi="ar-SA"/>
        </w:rPr>
        <w:t>©</w:t>
      </w:r>
      <w:r w:rsidRPr="002C6F76">
        <w:rPr>
          <w:rFonts w:ascii="PressWriterSymbols" w:eastAsiaTheme="minorHAnsi" w:hAnsi="PressWriterSymbols" w:cs="PressWriterSymbols"/>
          <w:szCs w:val="24"/>
          <w:lang w:val="en-GB" w:bidi="ar-SA"/>
        </w:rPr>
        <w:t xml:space="preserve"> </w:t>
      </w:r>
      <w:r w:rsidRPr="002C6F76">
        <w:rPr>
          <w:rFonts w:ascii="Arial" w:eastAsiaTheme="minorHAnsi" w:hAnsi="Arial" w:cs="Arial"/>
          <w:sz w:val="16"/>
          <w:szCs w:val="16"/>
          <w:lang w:val="en-GB" w:bidi="ar-SA"/>
        </w:rPr>
        <w:t xml:space="preserve">– Partially achieved, </w:t>
      </w:r>
      <w:r w:rsidRPr="0029290B">
        <w:rPr>
          <w:rFonts w:asciiTheme="majorBidi" w:eastAsiaTheme="minorHAnsi" w:hAnsiTheme="majorBidi" w:cstheme="majorBidi"/>
          <w:color w:val="000000"/>
          <w:sz w:val="20"/>
          <w:szCs w:val="20"/>
          <w:lang w:val="en-GB" w:bidi="ar-SA"/>
        </w:rPr>
        <w:t>Ο</w:t>
      </w:r>
      <w:r w:rsidRPr="002C6F76">
        <w:rPr>
          <w:rFonts w:ascii="Arial" w:eastAsiaTheme="minorHAnsi" w:hAnsi="Arial" w:cs="Arial"/>
          <w:b/>
          <w:bCs/>
          <w:szCs w:val="24"/>
          <w:lang w:val="en-GB" w:bidi="ar-SA"/>
        </w:rPr>
        <w:t xml:space="preserve"> </w:t>
      </w:r>
      <w:r w:rsidRPr="002C6F76">
        <w:rPr>
          <w:rFonts w:ascii="Arial" w:eastAsiaTheme="minorHAnsi" w:hAnsi="Arial" w:cs="Arial"/>
          <w:sz w:val="16"/>
          <w:szCs w:val="16"/>
          <w:lang w:val="en-GB" w:bidi="ar-SA"/>
        </w:rPr>
        <w:t>– Not achieved at all</w:t>
      </w:r>
    </w:p>
    <w:p w14:paraId="2FA09738" w14:textId="77777777" w:rsidR="00EB58A8" w:rsidRDefault="00EB58A8" w:rsidP="00EB58A8">
      <w:pPr>
        <w:spacing w:line="240" w:lineRule="auto"/>
        <w:jc w:val="center"/>
        <w:rPr>
          <w:rFonts w:asciiTheme="majorBidi" w:hAnsiTheme="majorBidi" w:cstheme="majorBidi"/>
          <w:b/>
          <w:bCs/>
          <w:sz w:val="20"/>
          <w:szCs w:val="20"/>
          <w:lang w:val="en-GB"/>
        </w:rPr>
      </w:pPr>
      <w:r w:rsidRPr="002C6F76">
        <w:rPr>
          <w:rFonts w:asciiTheme="majorBidi" w:hAnsiTheme="majorBidi" w:cstheme="majorBidi"/>
          <w:b/>
          <w:bCs/>
          <w:sz w:val="20"/>
          <w:szCs w:val="20"/>
          <w:lang w:val="en-GB"/>
        </w:rPr>
        <w:t>Table 3. The performance of the EIA system in Iran</w:t>
      </w:r>
    </w:p>
    <w:p w14:paraId="74E731CF" w14:textId="77777777" w:rsidR="002D7834" w:rsidRDefault="002D7834" w:rsidP="00815D9E"/>
    <w:p w14:paraId="63982B1F" w14:textId="7BB19FB9" w:rsidR="00E601AB" w:rsidRDefault="00445484" w:rsidP="00815D9E">
      <w:r w:rsidRPr="002C6F76">
        <w:t xml:space="preserve">Based on </w:t>
      </w:r>
      <w:r w:rsidR="007E4B18">
        <w:t xml:space="preserve">the </w:t>
      </w:r>
      <w:r w:rsidRPr="002C6F76">
        <w:t xml:space="preserve">evidence </w:t>
      </w:r>
      <w:r w:rsidR="002A7609">
        <w:t xml:space="preserve">presented </w:t>
      </w:r>
      <w:r w:rsidRPr="002C6F76">
        <w:t xml:space="preserve">in </w:t>
      </w:r>
      <w:r w:rsidR="002A7609">
        <w:t xml:space="preserve">the professional </w:t>
      </w:r>
      <w:r w:rsidRPr="002C6F76">
        <w:t xml:space="preserve">literature and </w:t>
      </w:r>
      <w:r w:rsidR="002A7609">
        <w:t>on the suggestion</w:t>
      </w:r>
      <w:r w:rsidR="00EB58A8">
        <w:t>s</w:t>
      </w:r>
      <w:r w:rsidR="002A7609">
        <w:t xml:space="preserve"> </w:t>
      </w:r>
      <w:r w:rsidR="00657D11">
        <w:t xml:space="preserve">provided </w:t>
      </w:r>
      <w:r w:rsidR="002A7609">
        <w:t xml:space="preserve">by 19 </w:t>
      </w:r>
      <w:r w:rsidRPr="002C6F76">
        <w:t xml:space="preserve">of </w:t>
      </w:r>
      <w:r w:rsidR="002A7609">
        <w:t xml:space="preserve">the 30 </w:t>
      </w:r>
      <w:r w:rsidRPr="002C6F76">
        <w:t xml:space="preserve">interviewees that the NDP is not sufficient, </w:t>
      </w:r>
      <w:r w:rsidR="002A7609">
        <w:t xml:space="preserve">existing </w:t>
      </w:r>
      <w:r w:rsidRPr="002C6F76">
        <w:t xml:space="preserve">EIA legislation is </w:t>
      </w:r>
      <w:r w:rsidR="002A7609">
        <w:t xml:space="preserve">established to be </w:t>
      </w:r>
      <w:r w:rsidRPr="002C6F76">
        <w:t xml:space="preserve">a weakness </w:t>
      </w:r>
      <w:r w:rsidR="00D956F3" w:rsidRPr="002C6F76">
        <w:t xml:space="preserve">in Iran. </w:t>
      </w:r>
      <w:r w:rsidR="002A7609">
        <w:t>Furthermore, t</w:t>
      </w:r>
      <w:r w:rsidR="00D956F3" w:rsidRPr="002C6F76">
        <w:t xml:space="preserve">he country lacks </w:t>
      </w:r>
      <w:r w:rsidR="002A7609">
        <w:t>in</w:t>
      </w:r>
      <w:r w:rsidR="00BC6D80">
        <w:t xml:space="preserve"> </w:t>
      </w:r>
      <w:r w:rsidR="002A7609">
        <w:t xml:space="preserve">effective </w:t>
      </w:r>
      <w:r w:rsidR="00D956F3" w:rsidRPr="002C6F76">
        <w:t xml:space="preserve">penalties </w:t>
      </w:r>
      <w:r w:rsidR="002A7609">
        <w:t>(too low and frequently not enforced)</w:t>
      </w:r>
      <w:r w:rsidR="00D956F3" w:rsidRPr="002C6F76">
        <w:t xml:space="preserve">. </w:t>
      </w:r>
      <w:r w:rsidR="00C86D37" w:rsidRPr="0016663F">
        <w:t>In this context, Basho</w:t>
      </w:r>
      <w:r w:rsidR="00091324" w:rsidRPr="0016663F">
        <w:t>u</w:t>
      </w:r>
      <w:r w:rsidR="00C86D37" w:rsidRPr="0016663F">
        <w:t xml:space="preserve">r (2016) compared the EIA legislations of Lebanon, Palestine, Jordan and Aqaba and found </w:t>
      </w:r>
      <w:r w:rsidR="007E4B18" w:rsidRPr="0016663F">
        <w:t xml:space="preserve">that </w:t>
      </w:r>
      <w:r w:rsidR="00C86D37" w:rsidRPr="0016663F">
        <w:t>they differ</w:t>
      </w:r>
      <w:r w:rsidR="007E4B18" w:rsidRPr="0016663F">
        <w:t>ed</w:t>
      </w:r>
      <w:r w:rsidR="00C86D37" w:rsidRPr="0016663F">
        <w:t xml:space="preserve"> in terms of setting penalties for EIA non-compliance. Lebanon’s Environmental Protection Law stipulates a penalty of up to US$132,000 or a year in prison for proceeding a project without EIA approval (GOL, 2002). The </w:t>
      </w:r>
      <w:r w:rsidR="007E4B18" w:rsidRPr="0016663F">
        <w:t>other</w:t>
      </w:r>
      <w:r w:rsidR="00C86D37" w:rsidRPr="0016663F">
        <w:t xml:space="preserve"> countries don’t specifically address this issue. However, they have specific fines for activities that cause </w:t>
      </w:r>
      <w:r w:rsidR="00444C8C" w:rsidRPr="0016663F">
        <w:t>e</w:t>
      </w:r>
      <w:r w:rsidR="00C86D37" w:rsidRPr="0016663F">
        <w:t>nvironmental degradation (Basho</w:t>
      </w:r>
      <w:r w:rsidR="004F58C5" w:rsidRPr="0016663F">
        <w:t>u</w:t>
      </w:r>
      <w:r w:rsidR="00C86D37" w:rsidRPr="0016663F">
        <w:t xml:space="preserve">r, 2016). </w:t>
      </w:r>
      <w:r w:rsidR="007E4B18" w:rsidRPr="0016663F">
        <w:t xml:space="preserve">The </w:t>
      </w:r>
      <w:r w:rsidR="00C86D37" w:rsidRPr="0016663F">
        <w:t xml:space="preserve">EIA law in Turkey is part of </w:t>
      </w:r>
      <w:r w:rsidR="007E4B18" w:rsidRPr="0016663F">
        <w:t xml:space="preserve">an </w:t>
      </w:r>
      <w:r w:rsidR="00C86D37" w:rsidRPr="0016663F">
        <w:t>Environment Law</w:t>
      </w:r>
      <w:r w:rsidR="007E4B18" w:rsidRPr="0016663F">
        <w:t>.</w:t>
      </w:r>
      <w:r w:rsidR="00C86D37" w:rsidRPr="0016663F">
        <w:t xml:space="preserve"> Article 20 of this law is about imposing administrative fine</w:t>
      </w:r>
      <w:r w:rsidR="007E4B18" w:rsidRPr="0016663F">
        <w:t>s</w:t>
      </w:r>
      <w:r w:rsidR="00C86D37" w:rsidRPr="0016663F">
        <w:t xml:space="preserve"> for violators. According to </w:t>
      </w:r>
      <w:r w:rsidR="007E4B18" w:rsidRPr="0016663F">
        <w:t xml:space="preserve">this </w:t>
      </w:r>
      <w:r w:rsidR="00C86D37" w:rsidRPr="0016663F">
        <w:t>Article “</w:t>
      </w:r>
      <w:r w:rsidR="007E4B18" w:rsidRPr="0016663F">
        <w:t>t</w:t>
      </w:r>
      <w:r w:rsidR="00C86D37" w:rsidRPr="0016663F">
        <w:t>hose who start construction or projects that come into operation before EIA process starts or ends shall be imposed an administrative fine of 2% of the project cost”. Moreover, the investor is obliged to restore the site to its previous state (Elvan, 2018).</w:t>
      </w:r>
      <w:r w:rsidR="00C86D37">
        <w:t xml:space="preserve"> </w:t>
      </w:r>
    </w:p>
    <w:p w14:paraId="3E6F1170" w14:textId="556FF3A8" w:rsidR="00890076" w:rsidRPr="00890076" w:rsidRDefault="007E4B18">
      <w:pPr>
        <w:rPr>
          <w:rFonts w:asciiTheme="majorBidi" w:hAnsiTheme="majorBidi" w:cstheme="majorBidi"/>
          <w:color w:val="943634" w:themeColor="accent2" w:themeShade="BF"/>
          <w:szCs w:val="24"/>
          <w:shd w:val="clear" w:color="auto" w:fill="FFFFFF"/>
        </w:rPr>
      </w:pPr>
      <w:r>
        <w:lastRenderedPageBreak/>
        <w:t>In Iran</w:t>
      </w:r>
      <w:r w:rsidR="00C86D37">
        <w:t xml:space="preserve">, </w:t>
      </w:r>
      <w:bookmarkStart w:id="36" w:name="_Hlk522610756"/>
      <w:r w:rsidR="001231A6" w:rsidRPr="0025521F">
        <w:t xml:space="preserve">EIA legislation needs to become stronger and </w:t>
      </w:r>
      <w:r w:rsidR="001231A6">
        <w:t>a</w:t>
      </w:r>
      <w:r w:rsidR="001231A6" w:rsidRPr="002C6F76">
        <w:t xml:space="preserve">long </w:t>
      </w:r>
      <w:r w:rsidR="00D956F3" w:rsidRPr="002C6F76">
        <w:t xml:space="preserve">with other </w:t>
      </w:r>
      <w:r w:rsidR="002A7609">
        <w:t xml:space="preserve">environmental </w:t>
      </w:r>
      <w:r w:rsidR="00445484" w:rsidRPr="002C6F76">
        <w:t xml:space="preserve">laws, </w:t>
      </w:r>
      <w:r w:rsidR="002A7609">
        <w:t xml:space="preserve">EIA </w:t>
      </w:r>
      <w:r w:rsidR="00445484" w:rsidRPr="002C6F76">
        <w:t xml:space="preserve">legislation </w:t>
      </w:r>
      <w:r w:rsidR="002A7609">
        <w:t xml:space="preserve">should be clear about what effective </w:t>
      </w:r>
      <w:r w:rsidR="00445484" w:rsidRPr="002C6F76">
        <w:t xml:space="preserve">penalties </w:t>
      </w:r>
      <w:r w:rsidR="002A7609">
        <w:t>are</w:t>
      </w:r>
      <w:r w:rsidR="00215423">
        <w:t>. It</w:t>
      </w:r>
      <w:r w:rsidR="002A7609">
        <w:t xml:space="preserve"> </w:t>
      </w:r>
      <w:bookmarkEnd w:id="36"/>
      <w:r w:rsidR="002A7609">
        <w:t xml:space="preserve">should </w:t>
      </w:r>
      <w:r w:rsidR="00215423">
        <w:t xml:space="preserve">also </w:t>
      </w:r>
      <w:r w:rsidR="002A7609">
        <w:t xml:space="preserve">be </w:t>
      </w:r>
      <w:r w:rsidR="00215423">
        <w:t xml:space="preserve">clear </w:t>
      </w:r>
      <w:r w:rsidR="002A7609">
        <w:t xml:space="preserve">how </w:t>
      </w:r>
      <w:r w:rsidR="00445484" w:rsidRPr="002C6F76">
        <w:t xml:space="preserve">enforcement </w:t>
      </w:r>
      <w:r w:rsidR="00215423">
        <w:t xml:space="preserve">is supposed to </w:t>
      </w:r>
      <w:r w:rsidR="002A7609">
        <w:t>happen,</w:t>
      </w:r>
      <w:r w:rsidR="00445484" w:rsidRPr="002C6F76">
        <w:t xml:space="preserve"> includ</w:t>
      </w:r>
      <w:r w:rsidR="002A7609">
        <w:t>ing e.g.</w:t>
      </w:r>
      <w:r w:rsidR="00445484" w:rsidRPr="002C6F76">
        <w:t xml:space="preserve"> </w:t>
      </w:r>
      <w:r w:rsidR="00445484" w:rsidRPr="002C6F76">
        <w:rPr>
          <w:lang w:eastAsia="en-GB"/>
        </w:rPr>
        <w:t>criminal sanction, civil sanction, and administrative sanction</w:t>
      </w:r>
      <w:r w:rsidR="00445484" w:rsidRPr="002C6F76">
        <w:t xml:space="preserve"> (Heidari et al., 2017). </w:t>
      </w:r>
    </w:p>
    <w:p w14:paraId="1C63142E" w14:textId="0FBFE3AC" w:rsidR="00622AEC" w:rsidRPr="002C6F76" w:rsidRDefault="00D956F3" w:rsidP="00F05548">
      <w:r w:rsidRPr="002C6F76">
        <w:t>S</w:t>
      </w:r>
      <w:r w:rsidR="00E51C6E" w:rsidRPr="002C6F76">
        <w:t>creening</w:t>
      </w:r>
      <w:r w:rsidR="008904C7" w:rsidRPr="002C6F76">
        <w:t xml:space="preserve"> </w:t>
      </w:r>
      <w:r w:rsidRPr="002C6F76">
        <w:t xml:space="preserve">has been </w:t>
      </w:r>
      <w:r w:rsidR="001A3AFE">
        <w:t xml:space="preserve">said to be </w:t>
      </w:r>
      <w:r w:rsidRPr="002C6F76">
        <w:t>inadequate b</w:t>
      </w:r>
      <w:r w:rsidR="008904C7" w:rsidRPr="002C6F76">
        <w:t>y interviewees</w:t>
      </w:r>
      <w:r w:rsidR="002515D8" w:rsidRPr="002C6F76">
        <w:t xml:space="preserve"> as </w:t>
      </w:r>
      <w:r w:rsidR="001A3AFE">
        <w:t>the need for EIA</w:t>
      </w:r>
      <w:r w:rsidR="001A3AFE" w:rsidRPr="002C6F76">
        <w:t xml:space="preserve"> </w:t>
      </w:r>
      <w:r w:rsidR="002515D8" w:rsidRPr="002C6F76">
        <w:t xml:space="preserve">is </w:t>
      </w:r>
      <w:r w:rsidRPr="002C6F76">
        <w:t xml:space="preserve">decided </w:t>
      </w:r>
      <w:r w:rsidR="00215423">
        <w:t xml:space="preserve">on </w:t>
      </w:r>
      <w:r w:rsidRPr="002C6F76">
        <w:t xml:space="preserve">only </w:t>
      </w:r>
      <w:r w:rsidR="002376C7" w:rsidRPr="002C6F76">
        <w:t>based on</w:t>
      </w:r>
      <w:r w:rsidRPr="002C6F76">
        <w:t xml:space="preserve"> a thres</w:t>
      </w:r>
      <w:r w:rsidR="002515D8" w:rsidRPr="002C6F76">
        <w:t>hold</w:t>
      </w:r>
      <w:r w:rsidR="008904C7" w:rsidRPr="002C6F76">
        <w:t xml:space="preserve">. </w:t>
      </w:r>
      <w:r w:rsidR="00F05548" w:rsidRPr="002C6F76">
        <w:t>This threshold does not cover all projects, and some</w:t>
      </w:r>
      <w:r w:rsidR="005678DE" w:rsidRPr="002C6F76">
        <w:t xml:space="preserve"> type</w:t>
      </w:r>
      <w:r w:rsidR="00215423">
        <w:t>s</w:t>
      </w:r>
      <w:r w:rsidR="005678DE" w:rsidRPr="002C6F76">
        <w:t xml:space="preserve"> of</w:t>
      </w:r>
      <w:r w:rsidR="00F05548" w:rsidRPr="002C6F76">
        <w:t xml:space="preserve"> development such as urban development projects are not </w:t>
      </w:r>
      <w:r w:rsidR="00215423">
        <w:t>o</w:t>
      </w:r>
      <w:r w:rsidR="00F05548" w:rsidRPr="002C6F76">
        <w:t xml:space="preserve">n the list. </w:t>
      </w:r>
      <w:r w:rsidR="00E87AEC" w:rsidRPr="002C6F76">
        <w:t xml:space="preserve">Moreover, the threshold scale </w:t>
      </w:r>
      <w:r w:rsidRPr="002C6F76">
        <w:t xml:space="preserve">may </w:t>
      </w:r>
      <w:r w:rsidR="00E87AEC" w:rsidRPr="002C6F76">
        <w:t xml:space="preserve">exclude some </w:t>
      </w:r>
      <w:r w:rsidRPr="002C6F76">
        <w:t xml:space="preserve">critical </w:t>
      </w:r>
      <w:r w:rsidR="00E87AEC" w:rsidRPr="002C6F76">
        <w:t xml:space="preserve">projects. </w:t>
      </w:r>
      <w:r w:rsidR="00E87AEC" w:rsidRPr="002C6F76">
        <w:rPr>
          <w:rFonts w:cs="Times New Roman"/>
          <w:shd w:val="clear" w:color="auto" w:fill="FFFFFF"/>
        </w:rPr>
        <w:t xml:space="preserve">For </w:t>
      </w:r>
      <w:r w:rsidR="001E20DB" w:rsidRPr="002C6F76">
        <w:rPr>
          <w:rFonts w:cs="Times New Roman"/>
          <w:shd w:val="clear" w:color="auto" w:fill="FFFFFF"/>
        </w:rPr>
        <w:t>example,</w:t>
      </w:r>
      <w:r w:rsidR="00E87AEC" w:rsidRPr="002C6F76">
        <w:t xml:space="preserve"> based on </w:t>
      </w:r>
      <w:r w:rsidR="009C485F" w:rsidRPr="002C6F76">
        <w:t xml:space="preserve">the </w:t>
      </w:r>
      <w:r w:rsidR="00E87AEC" w:rsidRPr="002C6F76">
        <w:t>Iranian screening list, only dams with a height above 15m need to be subjected to EIA</w:t>
      </w:r>
      <w:r w:rsidR="00CA10E7">
        <w:t>.</w:t>
      </w:r>
      <w:r w:rsidR="00E87AEC" w:rsidRPr="002C6F76">
        <w:t xml:space="preserve"> </w:t>
      </w:r>
      <w:r w:rsidR="00CA10E7">
        <w:t xml:space="preserve">However, </w:t>
      </w:r>
      <w:r w:rsidR="00E87AEC" w:rsidRPr="002C6F76">
        <w:t xml:space="preserve">the question should be whether dams with a height below 15m have significant environmental impact or not. Furthermore, </w:t>
      </w:r>
      <w:r w:rsidR="00395BFE" w:rsidRPr="002C6F76">
        <w:t>the</w:t>
      </w:r>
      <w:r w:rsidR="00E87AEC" w:rsidRPr="002C6F76">
        <w:t xml:space="preserve"> cumulative impacts of such smaller dams </w:t>
      </w:r>
      <w:r w:rsidR="001E20DB" w:rsidRPr="002C6F76">
        <w:t>may</w:t>
      </w:r>
      <w:r w:rsidR="00E87AEC" w:rsidRPr="002C6F76">
        <w:t xml:space="preserve"> have a </w:t>
      </w:r>
      <w:r w:rsidR="001E20DB" w:rsidRPr="002C6F76">
        <w:t xml:space="preserve">more </w:t>
      </w:r>
      <w:r w:rsidR="00E87AEC" w:rsidRPr="002C6F76">
        <w:t>significant impact</w:t>
      </w:r>
      <w:r w:rsidR="001E20DB" w:rsidRPr="002C6F76">
        <w:t xml:space="preserve"> than a single large dam</w:t>
      </w:r>
      <w:r w:rsidR="004F78F1">
        <w:t xml:space="preserve"> (Erlewein, 2013)</w:t>
      </w:r>
      <w:r w:rsidR="00E87AEC" w:rsidRPr="002C6F76">
        <w:t xml:space="preserve">. </w:t>
      </w:r>
      <w:r w:rsidR="002515D8" w:rsidRPr="002C6F76">
        <w:t xml:space="preserve">Rajaram and Das (2010) believe that an </w:t>
      </w:r>
      <w:r w:rsidR="008904C7" w:rsidRPr="002C6F76">
        <w:t>effective screening approach has to be a hybrid of the threshold and case-by-case approaches</w:t>
      </w:r>
      <w:r w:rsidR="002515D8" w:rsidRPr="002C6F76">
        <w:t xml:space="preserve">. </w:t>
      </w:r>
      <w:r w:rsidR="00F05548" w:rsidRPr="002C6F76">
        <w:t xml:space="preserve">Therefore, </w:t>
      </w:r>
      <w:r w:rsidRPr="002C6F76">
        <w:t xml:space="preserve">including aspects of a case-by-case approach can be recommended for </w:t>
      </w:r>
      <w:r w:rsidR="00F05548" w:rsidRPr="002C6F76">
        <w:t>Iran</w:t>
      </w:r>
      <w:r w:rsidR="00C204DC" w:rsidRPr="002C6F76">
        <w:t>’s EIA</w:t>
      </w:r>
      <w:r w:rsidR="00F05548" w:rsidRPr="002C6F76">
        <w:t xml:space="preserve"> screening</w:t>
      </w:r>
      <w:r w:rsidRPr="002C6F76">
        <w:t>.</w:t>
      </w:r>
      <w:r w:rsidR="00F05548" w:rsidRPr="002C6F76">
        <w:t xml:space="preserve"> </w:t>
      </w:r>
      <w:r w:rsidR="00622AEC" w:rsidRPr="002C6F76">
        <w:t xml:space="preserve">However, </w:t>
      </w:r>
      <w:r w:rsidRPr="002C6F76">
        <w:t xml:space="preserve">for such an approach to be </w:t>
      </w:r>
      <w:r w:rsidR="0029763B" w:rsidRPr="002C6F76">
        <w:t>adopted</w:t>
      </w:r>
      <w:r w:rsidRPr="002C6F76">
        <w:t xml:space="preserve"> in </w:t>
      </w:r>
      <w:r w:rsidR="00CA10E7">
        <w:t xml:space="preserve">the </w:t>
      </w:r>
      <w:r w:rsidRPr="002C6F76">
        <w:t>future, the question of capacity building</w:t>
      </w:r>
      <w:r w:rsidR="00CA10E7">
        <w:t>,</w:t>
      </w:r>
      <w:r w:rsidRPr="002C6F76">
        <w:t xml:space="preserve"> both</w:t>
      </w:r>
      <w:r w:rsidR="00CA10E7">
        <w:t>,</w:t>
      </w:r>
      <w:r w:rsidRPr="002C6F76">
        <w:t xml:space="preserve"> institutional </w:t>
      </w:r>
      <w:r w:rsidR="00CA10E7">
        <w:t xml:space="preserve">aspects </w:t>
      </w:r>
      <w:r w:rsidRPr="002C6F76">
        <w:t>and resource</w:t>
      </w:r>
      <w:r w:rsidR="00CA10E7">
        <w:t>s</w:t>
      </w:r>
      <w:r w:rsidRPr="002C6F76">
        <w:t xml:space="preserve"> need to be given importance.</w:t>
      </w:r>
      <w:r w:rsidR="00664399" w:rsidRPr="002C6F76">
        <w:t xml:space="preserve"> </w:t>
      </w:r>
    </w:p>
    <w:p w14:paraId="2009E268" w14:textId="1472F2C2" w:rsidR="002072FE" w:rsidRPr="002C6F76" w:rsidRDefault="00AD653A" w:rsidP="00127FEA">
      <w:r w:rsidRPr="002C6F76">
        <w:t>T</w:t>
      </w:r>
      <w:r w:rsidR="000E4CFA" w:rsidRPr="002C6F76">
        <w:t xml:space="preserve">here is </w:t>
      </w:r>
      <w:r w:rsidR="00CA10E7">
        <w:t xml:space="preserve">a somewhat </w:t>
      </w:r>
      <w:r w:rsidR="000E4CFA" w:rsidRPr="002C6F76">
        <w:t>blurred understanding of what is meant by scoping</w:t>
      </w:r>
      <w:r w:rsidRPr="002C6F76">
        <w:t xml:space="preserve"> among interviewees</w:t>
      </w:r>
      <w:r w:rsidR="000E4CFA" w:rsidRPr="002C6F76">
        <w:t xml:space="preserve">. </w:t>
      </w:r>
      <w:bookmarkStart w:id="37" w:name="_Hlk513800581"/>
      <w:r w:rsidR="00C72C07" w:rsidRPr="002C6F76">
        <w:t>Fischer and Phylip-Jones (2008) state</w:t>
      </w:r>
      <w:r w:rsidR="00CA10E7">
        <w:t>d that</w:t>
      </w:r>
      <w:r w:rsidR="00C72C07" w:rsidRPr="002C6F76">
        <w:t xml:space="preserve"> the purpose of scoping </w:t>
      </w:r>
      <w:r w:rsidR="00CA10E7">
        <w:t xml:space="preserve">was </w:t>
      </w:r>
      <w:r w:rsidR="00C72C07" w:rsidRPr="002C6F76">
        <w:t>to identify the important issues to be considered in an EIA, to determine the space and time boundaries for the EIA and anticipate the significant factors to be studied in detail</w:t>
      </w:r>
      <w:r w:rsidR="0029763B" w:rsidRPr="002C6F76">
        <w:t xml:space="preserve">. However, </w:t>
      </w:r>
      <w:r w:rsidR="00C72C07" w:rsidRPr="002C6F76">
        <w:t xml:space="preserve">some interviewees perceived scoping as </w:t>
      </w:r>
      <w:r w:rsidR="00CA10E7">
        <w:t xml:space="preserve">being </w:t>
      </w:r>
      <w:r w:rsidR="00C72C07" w:rsidRPr="002C6F76">
        <w:t xml:space="preserve">merely defining the </w:t>
      </w:r>
      <w:r w:rsidR="000E4CFA" w:rsidRPr="002C6F76">
        <w:t>space</w:t>
      </w:r>
      <w:r w:rsidR="00C72C07" w:rsidRPr="002C6F76">
        <w:t xml:space="preserve"> boundaries </w:t>
      </w:r>
      <w:r w:rsidR="000E4CFA" w:rsidRPr="002C6F76">
        <w:t>for the EIA</w:t>
      </w:r>
      <w:r w:rsidR="00BF4711" w:rsidRPr="002C6F76">
        <w:t xml:space="preserve">. </w:t>
      </w:r>
      <w:r w:rsidR="00C72C07" w:rsidRPr="002C6F76">
        <w:t>Evidence shows that the scoping step</w:t>
      </w:r>
      <w:r w:rsidR="00191DD1" w:rsidRPr="002C6F76">
        <w:t xml:space="preserve"> in Iran</w:t>
      </w:r>
      <w:r w:rsidR="00C72C07" w:rsidRPr="002C6F76">
        <w:t xml:space="preserve"> is bypassed by writing EIA reports according to guideline</w:t>
      </w:r>
      <w:r w:rsidR="000E4CFA" w:rsidRPr="002C6F76">
        <w:t>s</w:t>
      </w:r>
      <w:r w:rsidR="0029763B" w:rsidRPr="002C6F76">
        <w:t xml:space="preserve"> </w:t>
      </w:r>
      <w:r w:rsidR="00215423">
        <w:t xml:space="preserve">that </w:t>
      </w:r>
      <w:r w:rsidR="00BB71DD" w:rsidRPr="002C6F76">
        <w:t>have</w:t>
      </w:r>
      <w:r w:rsidR="004A279C" w:rsidRPr="002C6F76">
        <w:t xml:space="preserve"> not </w:t>
      </w:r>
      <w:r w:rsidR="00BB71DD" w:rsidRPr="002C6F76">
        <w:t xml:space="preserve">been </w:t>
      </w:r>
      <w:r w:rsidR="004A279C" w:rsidRPr="002C6F76">
        <w:t>updated</w:t>
      </w:r>
      <w:r w:rsidR="00BB71DD" w:rsidRPr="002C6F76">
        <w:t xml:space="preserve"> </w:t>
      </w:r>
      <w:r w:rsidR="00461FA0" w:rsidRPr="002C6F76">
        <w:t>for</w:t>
      </w:r>
      <w:r w:rsidR="00BB71DD" w:rsidRPr="002C6F76">
        <w:t xml:space="preserve"> 20 years</w:t>
      </w:r>
      <w:r w:rsidR="004A279C" w:rsidRPr="002C6F76">
        <w:t xml:space="preserve">. </w:t>
      </w:r>
      <w:r w:rsidR="0029763B" w:rsidRPr="002C6F76">
        <w:t xml:space="preserve">As a result, </w:t>
      </w:r>
      <w:r w:rsidR="00D1369D" w:rsidRPr="002C6F76">
        <w:t xml:space="preserve">the scoping stage </w:t>
      </w:r>
      <w:r w:rsidR="00CA10E7">
        <w:t xml:space="preserve">is </w:t>
      </w:r>
      <w:r w:rsidR="0029763B" w:rsidRPr="002C6F76">
        <w:t>deem</w:t>
      </w:r>
      <w:r w:rsidR="00CA10E7">
        <w:t>ed</w:t>
      </w:r>
      <w:r w:rsidR="0029763B" w:rsidRPr="002C6F76">
        <w:t xml:space="preserve"> to be </w:t>
      </w:r>
      <w:r w:rsidR="00D1369D" w:rsidRPr="002C6F76">
        <w:t xml:space="preserve">neglected </w:t>
      </w:r>
      <w:r w:rsidR="0029763B" w:rsidRPr="002C6F76">
        <w:t>within</w:t>
      </w:r>
      <w:r w:rsidR="00D1369D" w:rsidRPr="002C6F76">
        <w:t xml:space="preserve"> the EIA process</w:t>
      </w:r>
      <w:r w:rsidR="00C72C07" w:rsidRPr="002C6F76">
        <w:t>.</w:t>
      </w:r>
      <w:r w:rsidR="00127FEA" w:rsidRPr="002C6F76">
        <w:t xml:space="preserve"> </w:t>
      </w:r>
      <w:r w:rsidR="00CA10E7">
        <w:t>However, u</w:t>
      </w:r>
      <w:r w:rsidR="005640A5" w:rsidRPr="002C6F76">
        <w:t xml:space="preserve">nderstanding </w:t>
      </w:r>
      <w:r w:rsidR="00CA10E7">
        <w:t xml:space="preserve">of EIA </w:t>
      </w:r>
      <w:r w:rsidR="005640A5" w:rsidRPr="002C6F76">
        <w:t xml:space="preserve">is not just limited </w:t>
      </w:r>
      <w:r w:rsidR="00CA10E7">
        <w:t xml:space="preserve">with regards to </w:t>
      </w:r>
      <w:r w:rsidR="005640A5" w:rsidRPr="002C6F76">
        <w:t>the scoping stage</w:t>
      </w:r>
      <w:r w:rsidR="00CA10E7">
        <w:t>.</w:t>
      </w:r>
      <w:r w:rsidR="005640A5" w:rsidRPr="002C6F76">
        <w:t xml:space="preserve"> </w:t>
      </w:r>
      <w:r w:rsidR="00CA10E7">
        <w:t>S</w:t>
      </w:r>
      <w:r w:rsidRPr="002C6F76">
        <w:t xml:space="preserve">ome </w:t>
      </w:r>
      <w:r w:rsidR="00FD115E" w:rsidRPr="002C6F76">
        <w:t>interviewees from</w:t>
      </w:r>
      <w:r w:rsidRPr="002C6F76">
        <w:t xml:space="preserve"> consultancies </w:t>
      </w:r>
      <w:r w:rsidR="00215423">
        <w:t xml:space="preserve">also </w:t>
      </w:r>
      <w:r w:rsidR="005640A5" w:rsidRPr="002C6F76">
        <w:t xml:space="preserve">had </w:t>
      </w:r>
      <w:r w:rsidR="00CA10E7">
        <w:t xml:space="preserve">a </w:t>
      </w:r>
      <w:r w:rsidR="005640A5" w:rsidRPr="002C6F76">
        <w:t>very poor understanding of</w:t>
      </w:r>
      <w:r w:rsidRPr="002C6F76">
        <w:t xml:space="preserve"> screening and </w:t>
      </w:r>
      <w:r w:rsidR="00CA10E7">
        <w:t xml:space="preserve">the </w:t>
      </w:r>
      <w:r w:rsidR="005640A5" w:rsidRPr="002C6F76">
        <w:t>consider</w:t>
      </w:r>
      <w:r w:rsidR="00CA10E7">
        <w:t>ation of</w:t>
      </w:r>
      <w:r w:rsidR="005640A5" w:rsidRPr="002C6F76">
        <w:t xml:space="preserve"> </w:t>
      </w:r>
      <w:r w:rsidRPr="002C6F76">
        <w:t xml:space="preserve">alternatives. </w:t>
      </w:r>
    </w:p>
    <w:p w14:paraId="363F8460" w14:textId="539E25EE" w:rsidR="00BA57F4" w:rsidRPr="002C6F76" w:rsidRDefault="00CA10E7" w:rsidP="00BA57F4">
      <w:r>
        <w:t xml:space="preserve">Referring to the </w:t>
      </w:r>
      <w:r w:rsidR="00AD653A" w:rsidRPr="002C6F76">
        <w:t xml:space="preserve">categories </w:t>
      </w:r>
      <w:r w:rsidR="005640A5" w:rsidRPr="002C6F76">
        <w:t xml:space="preserve">developed by </w:t>
      </w:r>
      <w:r w:rsidR="00AD653A" w:rsidRPr="002C6F76">
        <w:t xml:space="preserve">Jha-Thakur et al. </w:t>
      </w:r>
      <w:r w:rsidR="005640A5" w:rsidRPr="002C6F76">
        <w:t>(</w:t>
      </w:r>
      <w:r w:rsidR="00AD653A" w:rsidRPr="002C6F76">
        <w:t>2009</w:t>
      </w:r>
      <w:r w:rsidR="00873CA9">
        <w:t>a</w:t>
      </w:r>
      <w:r w:rsidR="00AD653A" w:rsidRPr="002C6F76">
        <w:t>)</w:t>
      </w:r>
      <w:r>
        <w:t xml:space="preserve"> on ‘</w:t>
      </w:r>
      <w:r w:rsidRPr="002C6F76">
        <w:t>learning in appraisal</w:t>
      </w:r>
      <w:r>
        <w:t>’</w:t>
      </w:r>
      <w:r w:rsidR="00AD653A" w:rsidRPr="002C6F76">
        <w:t>, Iran</w:t>
      </w:r>
      <w:r w:rsidR="005640A5" w:rsidRPr="002C6F76">
        <w:t xml:space="preserve">’s </w:t>
      </w:r>
      <w:r w:rsidR="00F43608">
        <w:t xml:space="preserve">development </w:t>
      </w:r>
      <w:r w:rsidR="005640A5" w:rsidRPr="002C6F76">
        <w:t xml:space="preserve">of EIA </w:t>
      </w:r>
      <w:r w:rsidR="00AD653A" w:rsidRPr="002C6F76">
        <w:t xml:space="preserve">is still </w:t>
      </w:r>
      <w:r w:rsidR="00F43608">
        <w:t>at a low level</w:t>
      </w:r>
      <w:r w:rsidR="005640A5" w:rsidRPr="002C6F76">
        <w:t xml:space="preserve">. </w:t>
      </w:r>
      <w:r w:rsidR="00215423">
        <w:t xml:space="preserve">It </w:t>
      </w:r>
      <w:r w:rsidR="00695521" w:rsidRPr="002C6F76">
        <w:t xml:space="preserve">can be said </w:t>
      </w:r>
      <w:r w:rsidR="00215423">
        <w:t xml:space="preserve">to be dealing with </w:t>
      </w:r>
      <w:r w:rsidR="00695521" w:rsidRPr="002C6F76">
        <w:t>‘learning about</w:t>
      </w:r>
      <w:r w:rsidR="0029290B" w:rsidRPr="002C6F76">
        <w:t xml:space="preserve"> EIA</w:t>
      </w:r>
      <w:r w:rsidR="00695521" w:rsidRPr="002C6F76">
        <w:t>’ (p</w:t>
      </w:r>
      <w:r w:rsidR="00DB296F">
        <w:t>,</w:t>
      </w:r>
      <w:r w:rsidR="00695521" w:rsidRPr="002C6F76">
        <w:t>135) i.e. in terms of understanding EIA legal requirement</w:t>
      </w:r>
      <w:r w:rsidR="00215423">
        <w:t>s</w:t>
      </w:r>
      <w:r w:rsidR="00695521" w:rsidRPr="002C6F76">
        <w:t xml:space="preserve"> and procedure</w:t>
      </w:r>
      <w:r w:rsidR="00215423">
        <w:t>s</w:t>
      </w:r>
      <w:r w:rsidR="00695521" w:rsidRPr="002C6F76">
        <w:t xml:space="preserve">. </w:t>
      </w:r>
      <w:r w:rsidR="00F43608">
        <w:t xml:space="preserve">Currently, many </w:t>
      </w:r>
      <w:r w:rsidR="00F43608">
        <w:lastRenderedPageBreak/>
        <w:t xml:space="preserve">involved in EIA are still </w:t>
      </w:r>
      <w:r w:rsidR="00B94F27" w:rsidRPr="002C6F76">
        <w:t xml:space="preserve">‘learning about’ </w:t>
      </w:r>
      <w:r w:rsidR="00F43608">
        <w:t>the instrument, rather than advancing their knowledge on project impacts with EIA</w:t>
      </w:r>
      <w:r w:rsidR="00AD653A" w:rsidRPr="002C6F76">
        <w:t xml:space="preserve">. </w:t>
      </w:r>
      <w:bookmarkStart w:id="38" w:name="_Hlk514665530"/>
      <w:r w:rsidR="00C31666">
        <w:t>This finding in itself is not concerning since even in developed countries with mature EIA system</w:t>
      </w:r>
      <w:r w:rsidR="00215423">
        <w:t>s</w:t>
      </w:r>
      <w:r w:rsidR="00C31666">
        <w:t>, some lower level learning continues to happen</w:t>
      </w:r>
      <w:r w:rsidR="008D67AA">
        <w:t xml:space="preserve"> (</w:t>
      </w:r>
      <w:r w:rsidR="0069442F" w:rsidRPr="00ED6336">
        <w:t>Jha-Thakur and Fischer, 2016</w:t>
      </w:r>
      <w:r w:rsidR="0069442F">
        <w:t xml:space="preserve">; </w:t>
      </w:r>
      <w:r w:rsidR="00ED6336">
        <w:t>Weston, 2002</w:t>
      </w:r>
      <w:r w:rsidR="008D67AA">
        <w:t>)</w:t>
      </w:r>
      <w:r w:rsidR="00C31666">
        <w:t xml:space="preserve">. However, </w:t>
      </w:r>
      <w:r w:rsidR="00AD653A" w:rsidRPr="002C6F76">
        <w:t xml:space="preserve">Kirchhoff (2006) </w:t>
      </w:r>
      <w:bookmarkEnd w:id="38"/>
      <w:r w:rsidR="00AD653A" w:rsidRPr="002C6F76">
        <w:t>believes that f</w:t>
      </w:r>
      <w:r w:rsidR="00127FEA" w:rsidRPr="002C6F76">
        <w:t>or E</w:t>
      </w:r>
      <w:r w:rsidR="002072FE" w:rsidRPr="002C6F76">
        <w:t>I</w:t>
      </w:r>
      <w:r w:rsidR="00127FEA" w:rsidRPr="002C6F76">
        <w:t xml:space="preserve">A to </w:t>
      </w:r>
      <w:r w:rsidR="002848C6" w:rsidRPr="002C6F76">
        <w:t>work</w:t>
      </w:r>
      <w:r w:rsidR="00127FEA" w:rsidRPr="002C6F76">
        <w:t xml:space="preserve"> effectively</w:t>
      </w:r>
      <w:r w:rsidR="00C31666">
        <w:t xml:space="preserve"> and </w:t>
      </w:r>
      <w:r w:rsidR="00F43608">
        <w:t>beyond the ‘learning about the instrument</w:t>
      </w:r>
      <w:r w:rsidR="0029290B">
        <w:t>’</w:t>
      </w:r>
      <w:r w:rsidR="00F43608">
        <w:t xml:space="preserve"> stage, </w:t>
      </w:r>
      <w:r w:rsidR="00127FEA" w:rsidRPr="002C6F76">
        <w:t xml:space="preserve">appropriate skills are needed within government departments, the </w:t>
      </w:r>
      <w:r w:rsidR="002848C6" w:rsidRPr="002C6F76">
        <w:t>developers</w:t>
      </w:r>
      <w:r w:rsidR="00127FEA" w:rsidRPr="002C6F76">
        <w:t>, EIA consultants</w:t>
      </w:r>
      <w:r w:rsidR="002848C6" w:rsidRPr="002C6F76">
        <w:t>,</w:t>
      </w:r>
      <w:r w:rsidR="00127FEA" w:rsidRPr="002C6F76">
        <w:t xml:space="preserve"> academics and NGOs</w:t>
      </w:r>
      <w:r w:rsidR="00AD653A" w:rsidRPr="002C6F76">
        <w:t xml:space="preserve">. </w:t>
      </w:r>
      <w:r w:rsidR="002D2141" w:rsidRPr="002C6F76">
        <w:t xml:space="preserve">Training and education </w:t>
      </w:r>
      <w:r w:rsidR="00B94F27" w:rsidRPr="002C6F76">
        <w:t xml:space="preserve">is needed for </w:t>
      </w:r>
      <w:r w:rsidR="002D2141" w:rsidRPr="002C6F76">
        <w:t>develop</w:t>
      </w:r>
      <w:r w:rsidR="00B94F27" w:rsidRPr="002C6F76">
        <w:t>ing</w:t>
      </w:r>
      <w:r w:rsidR="002D2141" w:rsidRPr="002C6F76">
        <w:t xml:space="preserve"> skills for EIA good practice</w:t>
      </w:r>
      <w:r w:rsidR="00873CA9">
        <w:t xml:space="preserve"> (Jha-Thakur et al, 2009b)</w:t>
      </w:r>
      <w:r w:rsidR="002D2141" w:rsidRPr="002C6F76">
        <w:t xml:space="preserve"> and is </w:t>
      </w:r>
      <w:r w:rsidR="00B94F27" w:rsidRPr="002C6F76">
        <w:t xml:space="preserve">one of the </w:t>
      </w:r>
      <w:r w:rsidR="002D2141" w:rsidRPr="002C6F76">
        <w:t xml:space="preserve">main factors </w:t>
      </w:r>
      <w:r w:rsidR="00B94F27" w:rsidRPr="002C6F76">
        <w:t>for</w:t>
      </w:r>
      <w:r w:rsidR="002D2141" w:rsidRPr="002C6F76">
        <w:t xml:space="preserve"> </w:t>
      </w:r>
      <w:r w:rsidR="006B5410" w:rsidRPr="002C6F76">
        <w:t xml:space="preserve">personnel </w:t>
      </w:r>
      <w:r w:rsidR="002D2141" w:rsidRPr="002C6F76">
        <w:t xml:space="preserve">capacity building (Kirchhoff, 2006). </w:t>
      </w:r>
      <w:r w:rsidR="00B94F27" w:rsidRPr="002C6F76">
        <w:t>Furthermore</w:t>
      </w:r>
      <w:r w:rsidR="006B5410" w:rsidRPr="002C6F76">
        <w:t xml:space="preserve">, </w:t>
      </w:r>
      <w:r w:rsidR="00B94F27" w:rsidRPr="002C6F76">
        <w:t xml:space="preserve">with </w:t>
      </w:r>
      <w:r w:rsidR="006B5410" w:rsidRPr="002C6F76">
        <w:t>re</w:t>
      </w:r>
      <w:r w:rsidR="00676740" w:rsidRPr="002C6F76">
        <w:t>gard</w:t>
      </w:r>
      <w:r w:rsidR="00B94F27" w:rsidRPr="002C6F76">
        <w:t>s</w:t>
      </w:r>
      <w:r w:rsidR="006B5410" w:rsidRPr="002C6F76">
        <w:t xml:space="preserve"> to EIA capacity building in the Iranian EIA administration, workload capacity and in</w:t>
      </w:r>
      <w:r w:rsidR="00873CA9">
        <w:t>adequate</w:t>
      </w:r>
      <w:r w:rsidR="006B5410" w:rsidRPr="002C6F76">
        <w:t xml:space="preserve"> staff </w:t>
      </w:r>
      <w:r w:rsidR="00873CA9">
        <w:t xml:space="preserve">numbers </w:t>
      </w:r>
      <w:r w:rsidR="00B94F27" w:rsidRPr="002C6F76">
        <w:t xml:space="preserve">are </w:t>
      </w:r>
      <w:r w:rsidR="006B5410" w:rsidRPr="002C6F76">
        <w:t>important factor</w:t>
      </w:r>
      <w:r w:rsidR="005640A5" w:rsidRPr="002C6F76">
        <w:t>s</w:t>
      </w:r>
      <w:r w:rsidR="006B5410" w:rsidRPr="002C6F76">
        <w:t xml:space="preserve"> </w:t>
      </w:r>
      <w:r w:rsidR="00215423">
        <w:t>that</w:t>
      </w:r>
      <w:r w:rsidR="00215423" w:rsidRPr="002C6F76">
        <w:t xml:space="preserve"> </w:t>
      </w:r>
      <w:r w:rsidR="006B5410" w:rsidRPr="002C6F76">
        <w:t>w</w:t>
      </w:r>
      <w:r w:rsidR="005640A5" w:rsidRPr="002C6F76">
        <w:t>ere</w:t>
      </w:r>
      <w:r w:rsidR="006B5410" w:rsidRPr="002C6F76">
        <w:t xml:space="preserve"> mentioned by most interviewees. </w:t>
      </w:r>
      <w:r w:rsidR="00BA57F4" w:rsidRPr="002C6F76">
        <w:t xml:space="preserve">Capacity building is also a </w:t>
      </w:r>
      <w:r w:rsidR="00215423">
        <w:t>prime</w:t>
      </w:r>
      <w:r w:rsidR="00215423" w:rsidRPr="002C6F76">
        <w:t xml:space="preserve"> </w:t>
      </w:r>
      <w:r w:rsidR="00BA57F4" w:rsidRPr="002C6F76">
        <w:t>factor for EIA administrator decentralization. The Iranian EIA system has recently considered decentraliz</w:t>
      </w:r>
      <w:r w:rsidR="00215423">
        <w:t xml:space="preserve">ation of the </w:t>
      </w:r>
      <w:r w:rsidR="00BA57F4" w:rsidRPr="002C6F76">
        <w:t xml:space="preserve">EIA administration as each province </w:t>
      </w:r>
      <w:r w:rsidR="00873CA9">
        <w:t>is</w:t>
      </w:r>
      <w:r w:rsidR="00873CA9" w:rsidRPr="002C6F76">
        <w:t xml:space="preserve"> </w:t>
      </w:r>
      <w:r w:rsidR="00BA57F4" w:rsidRPr="002C6F76">
        <w:t xml:space="preserve">responsible for the EIA decision making. In doing </w:t>
      </w:r>
      <w:r w:rsidR="00873CA9">
        <w:t>so</w:t>
      </w:r>
      <w:r w:rsidR="00BA57F4" w:rsidRPr="002C6F76">
        <w:t>, 20 types of project</w:t>
      </w:r>
      <w:r w:rsidR="00215423">
        <w:t>s</w:t>
      </w:r>
      <w:r w:rsidR="00BA57F4" w:rsidRPr="002C6F76">
        <w:t xml:space="preserve"> have recently been delegated to provincial EIA committee</w:t>
      </w:r>
      <w:r w:rsidR="00873CA9">
        <w:t>s</w:t>
      </w:r>
      <w:r w:rsidR="00BA57F4" w:rsidRPr="002C6F76">
        <w:t xml:space="preserve"> </w:t>
      </w:r>
      <w:r w:rsidR="00873CA9">
        <w:t xml:space="preserve">for </w:t>
      </w:r>
      <w:r w:rsidR="00BA57F4" w:rsidRPr="002C6F76">
        <w:t xml:space="preserve">review and </w:t>
      </w:r>
      <w:r w:rsidR="00873CA9">
        <w:t>for reaching</w:t>
      </w:r>
      <w:r w:rsidR="00BA57F4" w:rsidRPr="002C6F76">
        <w:t xml:space="preserve"> final decision</w:t>
      </w:r>
      <w:r w:rsidR="00215423">
        <w:t>s</w:t>
      </w:r>
      <w:r w:rsidR="00BA57F4" w:rsidRPr="002C6F76">
        <w:t>. However, insufficient</w:t>
      </w:r>
      <w:r w:rsidR="00873CA9">
        <w:t>ly</w:t>
      </w:r>
      <w:r w:rsidR="00BA57F4" w:rsidRPr="002C6F76">
        <w:t xml:space="preserve"> qualified personnel can be </w:t>
      </w:r>
      <w:r w:rsidR="00873CA9">
        <w:t xml:space="preserve">a </w:t>
      </w:r>
      <w:r w:rsidR="00BA57F4" w:rsidRPr="002C6F76">
        <w:t xml:space="preserve">greater issue </w:t>
      </w:r>
      <w:r w:rsidR="00873CA9">
        <w:t xml:space="preserve">at </w:t>
      </w:r>
      <w:r w:rsidR="00BA57F4" w:rsidRPr="002C6F76">
        <w:t>provinc</w:t>
      </w:r>
      <w:r w:rsidR="00873CA9">
        <w:t>ial</w:t>
      </w:r>
      <w:r w:rsidR="00BA57F4" w:rsidRPr="002C6F76">
        <w:t xml:space="preserve"> level which affects decision making. </w:t>
      </w:r>
      <w:r w:rsidR="00657D11">
        <w:t xml:space="preserve">This has been observed in India where decentralization itself has not helped in enhancing EIA efficiency (Paliwal and Srivastava, </w:t>
      </w:r>
      <w:r w:rsidR="00C31666">
        <w:t>20</w:t>
      </w:r>
      <w:r w:rsidR="00657D11">
        <w:t>12). T</w:t>
      </w:r>
      <w:r w:rsidR="00BA57F4" w:rsidRPr="002C6F76">
        <w:t>herefore, before re-defini</w:t>
      </w:r>
      <w:r w:rsidR="00657D11">
        <w:t xml:space="preserve">ng </w:t>
      </w:r>
      <w:r w:rsidR="00BA57F4" w:rsidRPr="002C6F76">
        <w:t>roles and delegating EIA decision making responsibility</w:t>
      </w:r>
      <w:r w:rsidR="00C31666">
        <w:t xml:space="preserve">, </w:t>
      </w:r>
      <w:r w:rsidR="00C31666" w:rsidRPr="002C6F76">
        <w:t>development of provincial capacity is needed</w:t>
      </w:r>
      <w:r w:rsidR="00BA57F4" w:rsidRPr="002C6F76">
        <w:t xml:space="preserve">. </w:t>
      </w:r>
    </w:p>
    <w:bookmarkEnd w:id="37"/>
    <w:p w14:paraId="3DC6337D" w14:textId="6281FDA0" w:rsidR="003B4D2B" w:rsidRPr="002C6F76" w:rsidRDefault="00DA72D9" w:rsidP="003B4D2B">
      <w:r>
        <w:t>P</w:t>
      </w:r>
      <w:r w:rsidR="0076164A" w:rsidRPr="002C6F76">
        <w:t xml:space="preserve">ublic </w:t>
      </w:r>
      <w:r w:rsidR="0076164A" w:rsidRPr="0016663F">
        <w:t xml:space="preserve">participation </w:t>
      </w:r>
      <w:r w:rsidR="00B6323D" w:rsidRPr="0016663F">
        <w:t xml:space="preserve">is </w:t>
      </w:r>
      <w:r w:rsidRPr="0016663F">
        <w:t xml:space="preserve">currently </w:t>
      </w:r>
      <w:r w:rsidR="00107EE8" w:rsidRPr="0016663F">
        <w:t xml:space="preserve">the weakest link </w:t>
      </w:r>
      <w:r w:rsidR="0076164A" w:rsidRPr="0016663F">
        <w:t xml:space="preserve">in Iran’s EIA </w:t>
      </w:r>
      <w:r w:rsidR="00B6323D" w:rsidRPr="0016663F">
        <w:t>process</w:t>
      </w:r>
      <w:r w:rsidR="00D159E0" w:rsidRPr="0016663F">
        <w:t xml:space="preserve"> and</w:t>
      </w:r>
      <w:r w:rsidR="00D159E0" w:rsidRPr="002C6F76">
        <w:t xml:space="preserve"> legislation</w:t>
      </w:r>
      <w:r w:rsidR="00B6323D" w:rsidRPr="002C6F76">
        <w:t xml:space="preserve"> (</w:t>
      </w:r>
      <w:r w:rsidR="0069442F" w:rsidRPr="002C6F76">
        <w:t>Ahmadvand et al., 2009</w:t>
      </w:r>
      <w:r w:rsidR="0069442F">
        <w:t xml:space="preserve">; </w:t>
      </w:r>
      <w:r w:rsidR="0069442F" w:rsidRPr="002C6F76">
        <w:t>Moradi, 2009;</w:t>
      </w:r>
      <w:r w:rsidR="0069442F">
        <w:t xml:space="preserve"> </w:t>
      </w:r>
      <w:r w:rsidR="00B6323D" w:rsidRPr="002C6F76">
        <w:t xml:space="preserve">Nouri and </w:t>
      </w:r>
      <w:r w:rsidR="00E079EB" w:rsidRPr="002C6F76">
        <w:t>Nikoomaram</w:t>
      </w:r>
      <w:r w:rsidR="00B6323D" w:rsidRPr="002C6F76">
        <w:t>, 2005)</w:t>
      </w:r>
      <w:r w:rsidR="00680B42" w:rsidRPr="002C6F76">
        <w:t>. In this context, Chen (2013</w:t>
      </w:r>
      <w:r w:rsidR="0078277F" w:rsidRPr="002C6F76">
        <w:t xml:space="preserve">) </w:t>
      </w:r>
      <w:r>
        <w:t>suggest</w:t>
      </w:r>
      <w:r w:rsidR="00215423">
        <w:t>ed</w:t>
      </w:r>
      <w:r>
        <w:t xml:space="preserve"> </w:t>
      </w:r>
      <w:r w:rsidR="00680B42" w:rsidRPr="002C6F76">
        <w:t xml:space="preserve">that the development of public participation provisions in EIA legislation </w:t>
      </w:r>
      <w:r>
        <w:t xml:space="preserve">is frequently </w:t>
      </w:r>
      <w:r w:rsidR="00680B42" w:rsidRPr="002C6F76">
        <w:t xml:space="preserve">influenced by </w:t>
      </w:r>
      <w:r>
        <w:t xml:space="preserve">a </w:t>
      </w:r>
      <w:r w:rsidR="00680B42" w:rsidRPr="002C6F76">
        <w:t xml:space="preserve">country’s political culture of decision making. Public participation is valued less </w:t>
      </w:r>
      <w:r>
        <w:t xml:space="preserve">in countries </w:t>
      </w:r>
      <w:r w:rsidR="00680B42" w:rsidRPr="002C6F76">
        <w:t>where the political culture is less open and democratic (</w:t>
      </w:r>
      <w:r w:rsidR="0069442F" w:rsidRPr="002C6F76">
        <w:t>Chen, 2013</w:t>
      </w:r>
      <w:r w:rsidR="0069442F">
        <w:t xml:space="preserve">; </w:t>
      </w:r>
      <w:r w:rsidR="00680B42" w:rsidRPr="002C6F76">
        <w:t>Purnama, 2003). Iran is administered by central government (Hashemi, 2012) and according to the existing distribution of administrative functions</w:t>
      </w:r>
      <w:r w:rsidR="00215423">
        <w:t>,</w:t>
      </w:r>
      <w:r w:rsidR="00680B42" w:rsidRPr="002C6F76">
        <w:t xml:space="preserve"> Iran can be considered a </w:t>
      </w:r>
      <w:r w:rsidR="00FD115E" w:rsidRPr="002C6F76">
        <w:t>centrali</w:t>
      </w:r>
      <w:r w:rsidR="00215423">
        <w:t>z</w:t>
      </w:r>
      <w:r w:rsidR="00FD115E" w:rsidRPr="002C6F76">
        <w:t xml:space="preserve">ed </w:t>
      </w:r>
      <w:r w:rsidR="00680B42" w:rsidRPr="002C6F76">
        <w:t>country (Dienel et al., 2017)</w:t>
      </w:r>
      <w:r w:rsidR="00B94F27" w:rsidRPr="002C6F76">
        <w:t xml:space="preserve"> </w:t>
      </w:r>
      <w:r w:rsidR="00680B42" w:rsidRPr="002C6F76">
        <w:t>which hinders the development of public participation culture in the EIA</w:t>
      </w:r>
      <w:r w:rsidR="00DF7553" w:rsidRPr="002C6F76">
        <w:t xml:space="preserve"> system</w:t>
      </w:r>
      <w:r w:rsidR="00680B42" w:rsidRPr="002C6F76">
        <w:t xml:space="preserve">. </w:t>
      </w:r>
      <w:r w:rsidR="003B4D2B" w:rsidRPr="002C6F76">
        <w:t>Chen confirmed this and stated that in many developing countries</w:t>
      </w:r>
      <w:r w:rsidR="00215423">
        <w:t>,</w:t>
      </w:r>
      <w:r w:rsidR="003B4D2B" w:rsidRPr="002C6F76">
        <w:t xml:space="preserve"> the </w:t>
      </w:r>
      <w:r w:rsidR="000F4964" w:rsidRPr="002C6F76">
        <w:t>centrali</w:t>
      </w:r>
      <w:r>
        <w:t>z</w:t>
      </w:r>
      <w:r w:rsidR="000F4964" w:rsidRPr="002C6F76">
        <w:t>ed</w:t>
      </w:r>
      <w:r w:rsidR="003B4D2B" w:rsidRPr="002C6F76">
        <w:t xml:space="preserve"> and top-down governance mode is likely to constrain the development of public participation provisions in EIA. </w:t>
      </w:r>
      <w:r>
        <w:t>Also</w:t>
      </w:r>
      <w:r w:rsidR="003B4D2B" w:rsidRPr="002C6F76">
        <w:t xml:space="preserve">, two interviewees claimed that </w:t>
      </w:r>
      <w:r w:rsidR="00FD115E" w:rsidRPr="002C6F76">
        <w:t xml:space="preserve">the </w:t>
      </w:r>
      <w:r w:rsidR="003B4D2B" w:rsidRPr="002C6F76">
        <w:t xml:space="preserve">low-level </w:t>
      </w:r>
      <w:r w:rsidR="00B6323D" w:rsidRPr="002C6F76">
        <w:t xml:space="preserve">of environmental </w:t>
      </w:r>
      <w:r w:rsidR="00FD115E" w:rsidRPr="002C6F76">
        <w:t xml:space="preserve">awareness in the </w:t>
      </w:r>
      <w:r w:rsidR="00215423">
        <w:t>population</w:t>
      </w:r>
      <w:r w:rsidR="00215423" w:rsidRPr="002C6F76">
        <w:t xml:space="preserve"> </w:t>
      </w:r>
      <w:r w:rsidR="003B4D2B" w:rsidRPr="002C6F76">
        <w:t>can constrain effective public participation</w:t>
      </w:r>
      <w:r w:rsidR="00B6323D" w:rsidRPr="002C6F76">
        <w:t xml:space="preserve"> </w:t>
      </w:r>
      <w:r w:rsidR="003B4D2B" w:rsidRPr="002C6F76">
        <w:t xml:space="preserve">and in turn </w:t>
      </w:r>
      <w:r w:rsidR="00107EE8">
        <w:t xml:space="preserve">can </w:t>
      </w:r>
      <w:r w:rsidR="003D7998" w:rsidRPr="002C6F76">
        <w:t xml:space="preserve">dilute </w:t>
      </w:r>
      <w:r w:rsidR="003B4D2B" w:rsidRPr="002C6F76">
        <w:t xml:space="preserve">the </w:t>
      </w:r>
      <w:r w:rsidR="003D7998" w:rsidRPr="002C6F76">
        <w:t>effect</w:t>
      </w:r>
      <w:r w:rsidR="003B4D2B" w:rsidRPr="002C6F76">
        <w:t xml:space="preserve"> of public participation. </w:t>
      </w:r>
      <w:r w:rsidR="00D159E0" w:rsidRPr="002C6F76">
        <w:t xml:space="preserve">The </w:t>
      </w:r>
      <w:r w:rsidR="00D159E0" w:rsidRPr="002C6F76">
        <w:lastRenderedPageBreak/>
        <w:t xml:space="preserve">influence of </w:t>
      </w:r>
      <w:r w:rsidR="006D4A0E">
        <w:t xml:space="preserve">a </w:t>
      </w:r>
      <w:r w:rsidR="00D159E0" w:rsidRPr="002C6F76">
        <w:t xml:space="preserve">low level of public awareness </w:t>
      </w:r>
      <w:r w:rsidR="00185188" w:rsidRPr="002C6F76">
        <w:t xml:space="preserve">as a barrier </w:t>
      </w:r>
      <w:r w:rsidR="00D159E0" w:rsidRPr="002C6F76">
        <w:t>on effective public participation</w:t>
      </w:r>
      <w:r w:rsidR="007535BF" w:rsidRPr="002C6F76">
        <w:t xml:space="preserve"> in EIA system</w:t>
      </w:r>
      <w:r w:rsidR="00D159E0" w:rsidRPr="002C6F76">
        <w:t xml:space="preserve"> has been affirmed by other authors</w:t>
      </w:r>
      <w:r w:rsidR="00185188" w:rsidRPr="002C6F76">
        <w:t xml:space="preserve"> (Chen, 2013)</w:t>
      </w:r>
      <w:r w:rsidR="007535BF" w:rsidRPr="002C6F76">
        <w:t>.</w:t>
      </w:r>
      <w:r w:rsidR="00B6323D" w:rsidRPr="002C6F76">
        <w:t xml:space="preserve"> </w:t>
      </w:r>
    </w:p>
    <w:p w14:paraId="77B2095D" w14:textId="77777777" w:rsidR="0036264A" w:rsidRPr="002C6F76" w:rsidRDefault="0036264A" w:rsidP="0036264A">
      <w:r w:rsidRPr="002C6F76">
        <w:t xml:space="preserve">Consideration of alternatives </w:t>
      </w:r>
      <w:r w:rsidR="00B94F27" w:rsidRPr="002C6F76">
        <w:t xml:space="preserve">lies </w:t>
      </w:r>
      <w:r w:rsidR="00461C6C">
        <w:t>at</w:t>
      </w:r>
      <w:r w:rsidR="00461C6C" w:rsidRPr="002C6F76">
        <w:t xml:space="preserve"> </w:t>
      </w:r>
      <w:r w:rsidRPr="002C6F76">
        <w:t xml:space="preserve">the heart of EIA (Glasson et al., 2012), </w:t>
      </w:r>
      <w:r w:rsidR="00FD115E" w:rsidRPr="002C6F76">
        <w:t>but</w:t>
      </w:r>
      <w:r w:rsidRPr="002C6F76">
        <w:t xml:space="preserve"> is inadequately carried out in many countries (Kamijo and Huang, 2016). </w:t>
      </w:r>
      <w:r w:rsidR="00FD115E" w:rsidRPr="002C6F76">
        <w:t>The</w:t>
      </w:r>
      <w:r w:rsidRPr="002C6F76">
        <w:t xml:space="preserve"> Iranian EIA directive mention</w:t>
      </w:r>
      <w:r w:rsidR="00E72D4E">
        <w:t>s</w:t>
      </w:r>
      <w:r w:rsidRPr="002C6F76">
        <w:t xml:space="preserve"> that technical and spatial alternatives of projects should be included in the EIA report,</w:t>
      </w:r>
      <w:r w:rsidR="00FD115E" w:rsidRPr="002C6F76">
        <w:t xml:space="preserve"> but</w:t>
      </w:r>
      <w:r w:rsidRPr="002C6F76">
        <w:t xml:space="preserve"> inadequacy of </w:t>
      </w:r>
      <w:r w:rsidR="00E72D4E">
        <w:t xml:space="preserve">the </w:t>
      </w:r>
      <w:r w:rsidRPr="002C6F76">
        <w:t xml:space="preserve">consideration </w:t>
      </w:r>
      <w:r w:rsidR="00E72D4E">
        <w:t xml:space="preserve">of alternatives </w:t>
      </w:r>
      <w:r w:rsidRPr="002C6F76">
        <w:t xml:space="preserve">was </w:t>
      </w:r>
      <w:r w:rsidR="00E72D4E">
        <w:t xml:space="preserve">identified as a </w:t>
      </w:r>
      <w:r w:rsidRPr="002C6F76">
        <w:t>weakness by Moradi (2009). Most interviewees also confirmed th</w:t>
      </w:r>
      <w:r w:rsidR="00E72D4E">
        <w:t>is,</w:t>
      </w:r>
      <w:r w:rsidRPr="002C6F76">
        <w:t xml:space="preserve"> comment</w:t>
      </w:r>
      <w:r w:rsidR="00E72D4E">
        <w:t>ing</w:t>
      </w:r>
      <w:r w:rsidRPr="002C6F76">
        <w:t xml:space="preserve"> that </w:t>
      </w:r>
      <w:r w:rsidR="00E72D4E">
        <w:t xml:space="preserve">the consideration of alternatives </w:t>
      </w:r>
      <w:r w:rsidRPr="002C6F76">
        <w:t xml:space="preserve">is still limited in </w:t>
      </w:r>
      <w:r w:rsidR="0019750C" w:rsidRPr="002C6F76">
        <w:t xml:space="preserve">the </w:t>
      </w:r>
      <w:r w:rsidRPr="002C6F76">
        <w:t xml:space="preserve">Iranian EIA system. </w:t>
      </w:r>
    </w:p>
    <w:p w14:paraId="041E3584" w14:textId="069409AB" w:rsidR="00AD6AB7" w:rsidRDefault="00AD6AB7" w:rsidP="007F4F62">
      <w:r w:rsidRPr="002C6F76">
        <w:t>Another weakness identified in</w:t>
      </w:r>
      <w:r w:rsidR="00FD115E" w:rsidRPr="002C6F76">
        <w:t xml:space="preserve"> the</w:t>
      </w:r>
      <w:r w:rsidRPr="002C6F76">
        <w:t xml:space="preserve"> Iranian EIA system </w:t>
      </w:r>
      <w:r w:rsidR="0036264A" w:rsidRPr="002C6F76">
        <w:t xml:space="preserve">is </w:t>
      </w:r>
      <w:r w:rsidR="00461C6C">
        <w:t>the</w:t>
      </w:r>
      <w:r w:rsidR="00461C6C" w:rsidRPr="002C6F76">
        <w:t xml:space="preserve"> </w:t>
      </w:r>
      <w:r w:rsidRPr="002C6F76">
        <w:t xml:space="preserve">lack of EIA </w:t>
      </w:r>
      <w:r w:rsidR="00BA57F4" w:rsidRPr="002C6F76">
        <w:t>follow-up</w:t>
      </w:r>
      <w:r w:rsidRPr="002C6F76">
        <w:t xml:space="preserve">. </w:t>
      </w:r>
      <w:r w:rsidR="00461C6C">
        <w:t>However, a</w:t>
      </w:r>
      <w:r w:rsidR="003515FD" w:rsidRPr="002C6F76">
        <w:t xml:space="preserve">s </w:t>
      </w:r>
      <w:r w:rsidR="00DC7283" w:rsidRPr="002C6F76">
        <w:t>Glasson et al. (20</w:t>
      </w:r>
      <w:r w:rsidR="003C162B" w:rsidRPr="002C6F76">
        <w:t>12</w:t>
      </w:r>
      <w:r w:rsidR="00DC7283" w:rsidRPr="002C6F76">
        <w:t>) state</w:t>
      </w:r>
      <w:r w:rsidR="00461C6C">
        <w:t>d</w:t>
      </w:r>
      <w:r w:rsidR="00FD115E" w:rsidRPr="002C6F76">
        <w:t>,</w:t>
      </w:r>
      <w:r w:rsidR="003515FD" w:rsidRPr="002C6F76">
        <w:t xml:space="preserve"> </w:t>
      </w:r>
      <w:r w:rsidR="00DC7283" w:rsidRPr="002C6F76">
        <w:t>monitoring and inspection of project implementation following approval are often absent from the EIA process</w:t>
      </w:r>
      <w:r w:rsidR="003515FD" w:rsidRPr="002C6F76">
        <w:t>,</w:t>
      </w:r>
      <w:r w:rsidR="00DC7283" w:rsidRPr="002C6F76">
        <w:t xml:space="preserve"> </w:t>
      </w:r>
      <w:r w:rsidR="003515FD" w:rsidRPr="002C6F76">
        <w:t>which was</w:t>
      </w:r>
      <w:r w:rsidR="00DC7283" w:rsidRPr="002C6F76">
        <w:t xml:space="preserve"> </w:t>
      </w:r>
      <w:r w:rsidR="00FD115E" w:rsidRPr="002C6F76">
        <w:t>evident in Iran</w:t>
      </w:r>
      <w:r w:rsidR="00DC7283" w:rsidRPr="002C6F76">
        <w:t xml:space="preserve"> </w:t>
      </w:r>
      <w:r w:rsidR="00EA3D56" w:rsidRPr="002C6F76">
        <w:t>(</w:t>
      </w:r>
      <w:r w:rsidR="00DC7283" w:rsidRPr="002C6F76">
        <w:t>Ghodoosi et al.</w:t>
      </w:r>
      <w:r w:rsidR="00EA3D56" w:rsidRPr="002C6F76">
        <w:t>,</w:t>
      </w:r>
      <w:r w:rsidR="0036264A" w:rsidRPr="002C6F76">
        <w:t xml:space="preserve"> </w:t>
      </w:r>
      <w:r w:rsidR="00DC7283" w:rsidRPr="002C6F76">
        <w:t>2006</w:t>
      </w:r>
      <w:r w:rsidR="00EA3D56" w:rsidRPr="002C6F76">
        <w:t xml:space="preserve">; </w:t>
      </w:r>
      <w:r w:rsidR="00DC7283" w:rsidRPr="002C6F76">
        <w:t>Moradi (2009)</w:t>
      </w:r>
      <w:r w:rsidR="003515FD" w:rsidRPr="002C6F76">
        <w:t>.</w:t>
      </w:r>
      <w:r w:rsidR="00DC7283" w:rsidRPr="002C6F76">
        <w:t xml:space="preserve"> </w:t>
      </w:r>
      <w:r w:rsidR="00FD115E" w:rsidRPr="002C6F76">
        <w:t>Interviewees</w:t>
      </w:r>
      <w:r w:rsidR="003515FD" w:rsidRPr="002C6F76">
        <w:t xml:space="preserve"> </w:t>
      </w:r>
      <w:r w:rsidR="00461C6C">
        <w:t>suggested</w:t>
      </w:r>
      <w:r w:rsidR="00461C6C" w:rsidRPr="002C6F76">
        <w:t xml:space="preserve"> </w:t>
      </w:r>
      <w:r w:rsidRPr="002C6F76">
        <w:t xml:space="preserve">that </w:t>
      </w:r>
      <w:r w:rsidR="00FD115E" w:rsidRPr="002C6F76">
        <w:t xml:space="preserve">the </w:t>
      </w:r>
      <w:r w:rsidRPr="002C6F76">
        <w:t xml:space="preserve">lack of </w:t>
      </w:r>
      <w:r w:rsidR="00461C6C">
        <w:t xml:space="preserve">adequate </w:t>
      </w:r>
      <w:r w:rsidRPr="002C6F76">
        <w:t>penalt</w:t>
      </w:r>
      <w:r w:rsidR="00461C6C">
        <w:t>ies</w:t>
      </w:r>
      <w:r w:rsidRPr="002C6F76">
        <w:t xml:space="preserve"> and inspection are the main reason</w:t>
      </w:r>
      <w:r w:rsidR="00B7677E" w:rsidRPr="002C6F76">
        <w:t>s</w:t>
      </w:r>
      <w:r w:rsidRPr="002C6F76">
        <w:t xml:space="preserve"> </w:t>
      </w:r>
      <w:r w:rsidR="00461C6C">
        <w:t xml:space="preserve">for </w:t>
      </w:r>
      <w:r w:rsidRPr="002C6F76">
        <w:t xml:space="preserve">this weakness. </w:t>
      </w:r>
      <w:r w:rsidR="00461C6C">
        <w:t>T</w:t>
      </w:r>
      <w:r w:rsidR="00EA3D56" w:rsidRPr="002C6F76">
        <w:t>his is</w:t>
      </w:r>
      <w:r w:rsidR="00461C6C">
        <w:t>, however,</w:t>
      </w:r>
      <w:r w:rsidR="00EA3D56" w:rsidRPr="002C6F76">
        <w:t xml:space="preserve"> </w:t>
      </w:r>
      <w:r w:rsidR="00461C6C">
        <w:t>frequently observed elsewhere, too</w:t>
      </w:r>
      <w:r w:rsidR="00EA3D56" w:rsidRPr="002C6F76">
        <w:t xml:space="preserve">. </w:t>
      </w:r>
      <w:r w:rsidR="0036264A" w:rsidRPr="002C6F76">
        <w:t xml:space="preserve">For </w:t>
      </w:r>
      <w:r w:rsidR="00FD115E" w:rsidRPr="002C6F76">
        <w:t>example,</w:t>
      </w:r>
      <w:r w:rsidR="003515FD" w:rsidRPr="002C6F76">
        <w:t xml:space="preserve"> </w:t>
      </w:r>
      <w:r w:rsidRPr="002C6F76">
        <w:t>EU Directive 97/11/EC that form</w:t>
      </w:r>
      <w:r w:rsidR="003515FD" w:rsidRPr="002C6F76">
        <w:t>s</w:t>
      </w:r>
      <w:r w:rsidRPr="002C6F76">
        <w:t xml:space="preserve"> the basis for EIA legislation makes no provision for </w:t>
      </w:r>
      <w:r w:rsidR="00BA2AC5">
        <w:t>EU m</w:t>
      </w:r>
      <w:r w:rsidR="003515FD" w:rsidRPr="002C6F76">
        <w:t xml:space="preserve">ember </w:t>
      </w:r>
      <w:r w:rsidR="00BA2AC5">
        <w:t>s</w:t>
      </w:r>
      <w:r w:rsidR="003515FD" w:rsidRPr="002C6F76">
        <w:t>tates</w:t>
      </w:r>
      <w:r w:rsidRPr="002C6F76">
        <w:t xml:space="preserve"> to </w:t>
      </w:r>
      <w:r w:rsidR="00461C6C">
        <w:t xml:space="preserve">engage in </w:t>
      </w:r>
      <w:r w:rsidRPr="002C6F76">
        <w:t>monitoring</w:t>
      </w:r>
      <w:r w:rsidR="00DF23E2" w:rsidRPr="002C6F76">
        <w:t xml:space="preserve">. </w:t>
      </w:r>
    </w:p>
    <w:p w14:paraId="15F7BED4" w14:textId="09EA18D5" w:rsidR="00662391" w:rsidRPr="002C6F76" w:rsidRDefault="00C31666" w:rsidP="006150F8">
      <w:r w:rsidRPr="00536E27">
        <w:rPr>
          <w:lang w:eastAsia="en-GB"/>
        </w:rPr>
        <w:t xml:space="preserve">Many of the shortcomings discussed above are </w:t>
      </w:r>
      <w:r w:rsidRPr="0016663F">
        <w:rPr>
          <w:lang w:eastAsia="en-GB"/>
        </w:rPr>
        <w:t xml:space="preserve">common within </w:t>
      </w:r>
      <w:r w:rsidR="00D41F3C" w:rsidRPr="0016663F">
        <w:rPr>
          <w:lang w:eastAsia="en-GB"/>
        </w:rPr>
        <w:t>immature EIA systems</w:t>
      </w:r>
      <w:r w:rsidRPr="0016663F">
        <w:rPr>
          <w:lang w:eastAsia="en-GB"/>
        </w:rPr>
        <w:t>.</w:t>
      </w:r>
      <w:r w:rsidRPr="00536E27">
        <w:rPr>
          <w:lang w:eastAsia="en-GB"/>
        </w:rPr>
        <w:t xml:space="preserve"> These include </w:t>
      </w:r>
      <w:r w:rsidR="00897CAF" w:rsidRPr="00536E27">
        <w:rPr>
          <w:lang w:eastAsia="en-GB"/>
        </w:rPr>
        <w:t xml:space="preserve">incomplete EIA regulatory framework, deficiency </w:t>
      </w:r>
      <w:r w:rsidR="00BA2AC5">
        <w:rPr>
          <w:lang w:eastAsia="en-GB"/>
        </w:rPr>
        <w:t>of the</w:t>
      </w:r>
      <w:r w:rsidR="00BA2AC5" w:rsidRPr="00536E27">
        <w:rPr>
          <w:lang w:eastAsia="en-GB"/>
        </w:rPr>
        <w:t xml:space="preserve"> </w:t>
      </w:r>
      <w:r w:rsidR="00897CAF" w:rsidRPr="00536E27">
        <w:rPr>
          <w:lang w:eastAsia="en-GB"/>
        </w:rPr>
        <w:t xml:space="preserve">scoping </w:t>
      </w:r>
      <w:r w:rsidR="00BA2AC5">
        <w:rPr>
          <w:lang w:eastAsia="en-GB"/>
        </w:rPr>
        <w:t>stage</w:t>
      </w:r>
      <w:r w:rsidR="00897CAF" w:rsidRPr="00536E27">
        <w:rPr>
          <w:lang w:eastAsia="en-GB"/>
        </w:rPr>
        <w:t xml:space="preserve">, ineffective public participation, lack of follow-up and EIA implementation </w:t>
      </w:r>
      <w:r w:rsidRPr="00536E27">
        <w:rPr>
          <w:lang w:eastAsia="en-GB"/>
        </w:rPr>
        <w:t xml:space="preserve">(Kolhoff et </w:t>
      </w:r>
      <w:r w:rsidR="00BA2AC5">
        <w:rPr>
          <w:lang w:eastAsia="en-GB"/>
        </w:rPr>
        <w:t>a</w:t>
      </w:r>
      <w:r w:rsidRPr="00536E27">
        <w:rPr>
          <w:lang w:eastAsia="en-GB"/>
        </w:rPr>
        <w:t xml:space="preserve">l., 2009). </w:t>
      </w:r>
      <w:r w:rsidR="00897CAF" w:rsidRPr="00536E27">
        <w:rPr>
          <w:lang w:eastAsia="en-GB"/>
        </w:rPr>
        <w:t xml:space="preserve">Although, </w:t>
      </w:r>
      <w:r w:rsidR="00897CAF" w:rsidRPr="00536E27">
        <w:t xml:space="preserve">Nadeem and Hameed (2008) found that Pakistan has sound legal provisions for EIA, they revealed several </w:t>
      </w:r>
      <w:r w:rsidR="00AC3D12" w:rsidRPr="00536E27">
        <w:t xml:space="preserve">deficiencies </w:t>
      </w:r>
      <w:r w:rsidR="00897CAF" w:rsidRPr="00536E27">
        <w:t>in the EIA process, administration and implementation</w:t>
      </w:r>
      <w:r w:rsidR="00BA2AC5">
        <w:t>,</w:t>
      </w:r>
      <w:r w:rsidR="00897CAF" w:rsidRPr="00536E27">
        <w:t xml:space="preserve"> owing to inadequate resource capacities, deficiencies in screening, scoping, ineffective public participation and absent of EIA follow-up. Panigrahi and Amirapu (2012) reviewed the EIA system in India and reveal</w:t>
      </w:r>
      <w:r w:rsidRPr="00536E27">
        <w:t>ed</w:t>
      </w:r>
      <w:r w:rsidR="00897CAF" w:rsidRPr="00536E27">
        <w:t xml:space="preserve"> various </w:t>
      </w:r>
      <w:r w:rsidR="00BA2AC5">
        <w:t xml:space="preserve">and similar </w:t>
      </w:r>
      <w:r w:rsidR="00897CAF" w:rsidRPr="00536E27">
        <w:t xml:space="preserve">drawbacks of </w:t>
      </w:r>
      <w:r w:rsidR="00AC3D12" w:rsidRPr="00536E27">
        <w:t xml:space="preserve">India’s </w:t>
      </w:r>
      <w:r w:rsidR="00897CAF" w:rsidRPr="00536E27">
        <w:t>EIA system. These mainly include; inadequate capacity of EIA approval authorities, deficiencies in screening and scoping, poor quality EIA reports, inadequate public participation and weak EIA follow-up.</w:t>
      </w:r>
      <w:r w:rsidRPr="003C4C5F">
        <w:t xml:space="preserve"> Though</w:t>
      </w:r>
      <w:r>
        <w:t xml:space="preserve"> common, Iran’s shortcomings coupled with its unique socio-economic context </w:t>
      </w:r>
      <w:r w:rsidR="003C4C5F">
        <w:t xml:space="preserve">makes it a challenging setting for a democratic tool such as EIA. </w:t>
      </w:r>
    </w:p>
    <w:p w14:paraId="5C60957E" w14:textId="77777777" w:rsidR="0060381B" w:rsidRPr="002C6F76" w:rsidRDefault="001D31C5" w:rsidP="00A432BF">
      <w:pPr>
        <w:pStyle w:val="ListParagraph"/>
        <w:numPr>
          <w:ilvl w:val="0"/>
          <w:numId w:val="5"/>
        </w:numPr>
        <w:shd w:val="clear" w:color="auto" w:fill="FFFFFF"/>
        <w:spacing w:before="240"/>
        <w:ind w:left="450"/>
        <w:rPr>
          <w:rFonts w:asciiTheme="majorBidi" w:hAnsiTheme="majorBidi" w:cstheme="majorBidi"/>
          <w:lang w:val="en-GB"/>
        </w:rPr>
      </w:pPr>
      <w:r w:rsidRPr="002C6F76">
        <w:rPr>
          <w:rFonts w:asciiTheme="majorBidi" w:hAnsiTheme="majorBidi" w:cstheme="majorBidi"/>
          <w:b/>
          <w:bCs/>
          <w:color w:val="000000"/>
          <w:lang w:val="en-GB"/>
        </w:rPr>
        <w:t>Conclusion</w:t>
      </w:r>
      <w:r w:rsidR="00461C6C">
        <w:rPr>
          <w:rFonts w:asciiTheme="majorBidi" w:hAnsiTheme="majorBidi" w:cstheme="majorBidi"/>
          <w:b/>
          <w:bCs/>
          <w:color w:val="000000"/>
          <w:lang w:val="en-GB"/>
        </w:rPr>
        <w:t>s</w:t>
      </w:r>
      <w:r w:rsidRPr="002C6F76">
        <w:rPr>
          <w:rFonts w:asciiTheme="majorBidi" w:hAnsiTheme="majorBidi" w:cstheme="majorBidi"/>
          <w:lang w:val="en-GB"/>
        </w:rPr>
        <w:t xml:space="preserve"> </w:t>
      </w:r>
    </w:p>
    <w:p w14:paraId="0053F1BF" w14:textId="0ABCC52B" w:rsidR="00FA27DC" w:rsidRPr="002C6F76" w:rsidRDefault="00AF43E6">
      <w:r w:rsidRPr="002C6F76">
        <w:lastRenderedPageBreak/>
        <w:t xml:space="preserve">This paper </w:t>
      </w:r>
      <w:r w:rsidR="00945F93">
        <w:t>aims</w:t>
      </w:r>
      <w:r w:rsidR="00461C6C">
        <w:t xml:space="preserve"> at </w:t>
      </w:r>
      <w:r w:rsidRPr="002C6F76">
        <w:t>contributi</w:t>
      </w:r>
      <w:r w:rsidR="00461C6C">
        <w:t>ng</w:t>
      </w:r>
      <w:r w:rsidRPr="002C6F76">
        <w:t xml:space="preserve"> to the understanding of </w:t>
      </w:r>
      <w:r w:rsidR="00461C6C">
        <w:t xml:space="preserve">the </w:t>
      </w:r>
      <w:r w:rsidRPr="002C6F76">
        <w:t xml:space="preserve">EIA legal framework, process and </w:t>
      </w:r>
      <w:r w:rsidR="00461C6C">
        <w:t xml:space="preserve">general </w:t>
      </w:r>
      <w:r w:rsidRPr="002C6F76">
        <w:t xml:space="preserve">implementation in Iran. </w:t>
      </w:r>
      <w:r w:rsidR="00D57C16">
        <w:t xml:space="preserve">In the paper </w:t>
      </w:r>
      <w:r w:rsidR="000D5A12" w:rsidRPr="002C6F76">
        <w:t xml:space="preserve">we </w:t>
      </w:r>
      <w:r w:rsidR="00461C6C">
        <w:t xml:space="preserve">have suggested various measures for overcoming current weaknesses. Importantly, we </w:t>
      </w:r>
      <w:r w:rsidR="000D5A12" w:rsidRPr="002C6F76">
        <w:t xml:space="preserve">believe that regulators in Iran need to revise national EIA regulation to </w:t>
      </w:r>
      <w:r w:rsidR="00461C6C">
        <w:t xml:space="preserve">address </w:t>
      </w:r>
      <w:r w:rsidR="00BE29E7" w:rsidRPr="002C6F76">
        <w:t xml:space="preserve">the </w:t>
      </w:r>
      <w:r w:rsidR="000D5A12" w:rsidRPr="002C6F76">
        <w:t xml:space="preserve">lack </w:t>
      </w:r>
      <w:r w:rsidR="003C4C5F">
        <w:t xml:space="preserve">of </w:t>
      </w:r>
      <w:r w:rsidR="00461C6C">
        <w:t xml:space="preserve">adequate </w:t>
      </w:r>
      <w:r w:rsidR="000D5A12" w:rsidRPr="002C6F76">
        <w:t>penalties for EIA violation</w:t>
      </w:r>
      <w:r w:rsidR="00945F93">
        <w:t>s</w:t>
      </w:r>
      <w:r w:rsidR="000D5A12" w:rsidRPr="002C6F76">
        <w:t xml:space="preserve">. </w:t>
      </w:r>
      <w:r w:rsidR="006107F8" w:rsidRPr="002C6F76">
        <w:t xml:space="preserve">The existing EIA legal basis (as an article of </w:t>
      </w:r>
      <w:r w:rsidR="00F675DB">
        <w:t xml:space="preserve">the </w:t>
      </w:r>
      <w:r w:rsidR="006107F8" w:rsidRPr="002C6F76">
        <w:t xml:space="preserve">NDP) </w:t>
      </w:r>
      <w:r w:rsidR="00BE29E7" w:rsidRPr="002C6F76">
        <w:t>is</w:t>
      </w:r>
      <w:r w:rsidR="006107F8" w:rsidRPr="002C6F76">
        <w:t xml:space="preserve"> not strong enough </w:t>
      </w:r>
      <w:r w:rsidR="00F675DB">
        <w:t>f</w:t>
      </w:r>
      <w:r w:rsidR="006107F8" w:rsidRPr="002C6F76">
        <w:t>o</w:t>
      </w:r>
      <w:r w:rsidR="00F675DB">
        <w:t>r</w:t>
      </w:r>
      <w:r w:rsidR="006107F8" w:rsidRPr="002C6F76">
        <w:t xml:space="preserve"> </w:t>
      </w:r>
      <w:r w:rsidR="00F675DB">
        <w:t xml:space="preserve">effective </w:t>
      </w:r>
      <w:r w:rsidR="006107F8" w:rsidRPr="002C6F76">
        <w:t xml:space="preserve">action against EIA offenders. The parliamentary law needs </w:t>
      </w:r>
      <w:r w:rsidR="000D5A12" w:rsidRPr="002C6F76">
        <w:t xml:space="preserve">to determine penalties to enforce </w:t>
      </w:r>
      <w:r w:rsidR="006054ED" w:rsidRPr="002C6F76">
        <w:t>EIA legislation</w:t>
      </w:r>
      <w:r w:rsidR="000D5A12" w:rsidRPr="002C6F76">
        <w:t>.</w:t>
      </w:r>
      <w:r w:rsidRPr="002C6F76">
        <w:t xml:space="preserve"> </w:t>
      </w:r>
      <w:r w:rsidR="006107F8" w:rsidRPr="002C6F76">
        <w:t xml:space="preserve">In this context, </w:t>
      </w:r>
      <w:r w:rsidR="003F1912" w:rsidRPr="002C6F76">
        <w:t xml:space="preserve">the role of </w:t>
      </w:r>
      <w:r w:rsidR="0097347B" w:rsidRPr="002C6F76">
        <w:t>parliament</w:t>
      </w:r>
      <w:r w:rsidR="003F1912" w:rsidRPr="002C6F76">
        <w:t xml:space="preserve"> in </w:t>
      </w:r>
      <w:r w:rsidR="00B1760F" w:rsidRPr="002C6F76">
        <w:t>passing EIA regulation is key toward</w:t>
      </w:r>
      <w:r w:rsidR="00F675DB">
        <w:t>s</w:t>
      </w:r>
      <w:r w:rsidR="00B1760F" w:rsidRPr="002C6F76">
        <w:t xml:space="preserve"> </w:t>
      </w:r>
      <w:r w:rsidR="00EB3481" w:rsidRPr="002C6F76">
        <w:t xml:space="preserve">having </w:t>
      </w:r>
      <w:r w:rsidR="00F675DB">
        <w:t xml:space="preserve">an effective </w:t>
      </w:r>
      <w:r w:rsidR="00EB3481" w:rsidRPr="002C6F76">
        <w:t xml:space="preserve">EIA specific law. </w:t>
      </w:r>
    </w:p>
    <w:p w14:paraId="2F6DE03D" w14:textId="18CD44A8" w:rsidR="00EF4EC4" w:rsidRPr="002C6F76" w:rsidRDefault="00F675DB" w:rsidP="004B7779">
      <w:r>
        <w:t>T</w:t>
      </w:r>
      <w:r w:rsidR="00FA27DC" w:rsidRPr="002C6F76">
        <w:t xml:space="preserve">here are </w:t>
      </w:r>
      <w:r w:rsidR="00ED0594">
        <w:t xml:space="preserve">currently </w:t>
      </w:r>
      <w:r w:rsidR="00FA27DC" w:rsidRPr="002C6F76">
        <w:t xml:space="preserve">several </w:t>
      </w:r>
      <w:r w:rsidR="00ED0594">
        <w:t xml:space="preserve">problems with </w:t>
      </w:r>
      <w:r w:rsidR="00FA27DC" w:rsidRPr="002C6F76">
        <w:t xml:space="preserve">EIA </w:t>
      </w:r>
      <w:r w:rsidR="00ED0594">
        <w:t>in Iran</w:t>
      </w:r>
      <w:r w:rsidR="00FA27DC" w:rsidRPr="002C6F76">
        <w:t xml:space="preserve">. </w:t>
      </w:r>
      <w:r w:rsidR="00EA3D56" w:rsidRPr="002C6F76">
        <w:t>These include d</w:t>
      </w:r>
      <w:r w:rsidR="007345A6" w:rsidRPr="002C6F76">
        <w:t xml:space="preserve">eficiencies in screening and scoping, public participation, </w:t>
      </w:r>
      <w:r w:rsidR="00FD482A" w:rsidRPr="002C6F76">
        <w:t>alternative consideration</w:t>
      </w:r>
      <w:r w:rsidR="007345A6" w:rsidRPr="002C6F76">
        <w:t xml:space="preserve">, </w:t>
      </w:r>
      <w:r w:rsidR="00A11056" w:rsidRPr="002C6F76">
        <w:t xml:space="preserve">and </w:t>
      </w:r>
      <w:r w:rsidR="00AF43E6" w:rsidRPr="002C6F76">
        <w:t xml:space="preserve">EIA </w:t>
      </w:r>
      <w:r w:rsidR="00A26436" w:rsidRPr="002C6F76">
        <w:t xml:space="preserve">follow-up. </w:t>
      </w:r>
      <w:r w:rsidR="00B56EC5">
        <w:t>S</w:t>
      </w:r>
      <w:r w:rsidR="00A26436" w:rsidRPr="002C6F76">
        <w:t xml:space="preserve">ome of the major areas </w:t>
      </w:r>
      <w:r w:rsidR="001B11DB" w:rsidRPr="002C6F76">
        <w:t xml:space="preserve">arising </w:t>
      </w:r>
      <w:r w:rsidR="00B56EC5">
        <w:t xml:space="preserve">are connected with </w:t>
      </w:r>
      <w:r w:rsidR="00710C14" w:rsidRPr="002C6F76">
        <w:t>in</w:t>
      </w:r>
      <w:r w:rsidR="007C5CCD" w:rsidRPr="002C6F76">
        <w:t>sufficient</w:t>
      </w:r>
      <w:r w:rsidR="00B56EC5">
        <w:t>ly</w:t>
      </w:r>
      <w:r w:rsidR="007C5CCD" w:rsidRPr="002C6F76">
        <w:t xml:space="preserve"> </w:t>
      </w:r>
      <w:r w:rsidR="001B11DB" w:rsidRPr="002C6F76">
        <w:t xml:space="preserve">qualified personnel. As </w:t>
      </w:r>
      <w:r w:rsidR="00B56EC5">
        <w:t xml:space="preserve">explained, the </w:t>
      </w:r>
      <w:r w:rsidR="003F32F1" w:rsidRPr="002C6F76">
        <w:t>l</w:t>
      </w:r>
      <w:r w:rsidR="001B11DB" w:rsidRPr="002C6F76">
        <w:t>ack of inspection by the DoE influence</w:t>
      </w:r>
      <w:r w:rsidR="00CF5927">
        <w:t>s</w:t>
      </w:r>
      <w:r w:rsidR="001B11DB" w:rsidRPr="002C6F76">
        <w:t xml:space="preserve"> EIA implementation </w:t>
      </w:r>
      <w:r w:rsidR="0059195B" w:rsidRPr="002C6F76">
        <w:t>and discourage</w:t>
      </w:r>
      <w:r w:rsidR="003F32F1" w:rsidRPr="002C6F76">
        <w:t>s</w:t>
      </w:r>
      <w:r w:rsidR="0059195B" w:rsidRPr="002C6F76">
        <w:t xml:space="preserve"> developers to commit to EIA and implement mitigation measurement and monitoring. </w:t>
      </w:r>
      <w:r w:rsidR="00545B07" w:rsidRPr="002C6F76">
        <w:t xml:space="preserve">Iran is </w:t>
      </w:r>
      <w:r w:rsidR="00CF5927">
        <w:t xml:space="preserve">currently </w:t>
      </w:r>
      <w:r w:rsidR="00545B07" w:rsidRPr="002C6F76">
        <w:t xml:space="preserve">still </w:t>
      </w:r>
      <w:r w:rsidR="00CF5927">
        <w:t>‘</w:t>
      </w:r>
      <w:r w:rsidR="00545B07" w:rsidRPr="002C6F76">
        <w:t>learning about EIA</w:t>
      </w:r>
      <w:r w:rsidR="00CF5927">
        <w:t>’</w:t>
      </w:r>
      <w:r w:rsidR="00545B07" w:rsidRPr="002C6F76">
        <w:t xml:space="preserve"> </w:t>
      </w:r>
      <w:r w:rsidR="00CF5927">
        <w:t xml:space="preserve">rather than learning about how to enhance </w:t>
      </w:r>
      <w:r w:rsidR="003C4C5F">
        <w:t xml:space="preserve">environmental protection through </w:t>
      </w:r>
      <w:r w:rsidR="00CF5927">
        <w:t>EIA</w:t>
      </w:r>
      <w:r w:rsidR="00A26CEA">
        <w:t xml:space="preserve"> imple</w:t>
      </w:r>
      <w:r w:rsidR="003C4C5F">
        <w:t>mentation</w:t>
      </w:r>
      <w:r w:rsidR="00A11056" w:rsidRPr="002C6F76">
        <w:t>. Thus,</w:t>
      </w:r>
      <w:r w:rsidR="00545B07" w:rsidRPr="002C6F76">
        <w:t xml:space="preserve"> prioritiz</w:t>
      </w:r>
      <w:r w:rsidR="00CF5927">
        <w:t>ing</w:t>
      </w:r>
      <w:r w:rsidR="00545B07" w:rsidRPr="002C6F76">
        <w:t xml:space="preserve"> capacity building is urgently needed. It is vital to develop capacity for actors involve</w:t>
      </w:r>
      <w:r w:rsidR="00CF5927">
        <w:t>d</w:t>
      </w:r>
      <w:r w:rsidR="00545B07" w:rsidRPr="002C6F76">
        <w:t xml:space="preserve"> in EIA</w:t>
      </w:r>
      <w:r w:rsidR="00CF5927">
        <w:t>,</w:t>
      </w:r>
      <w:r w:rsidR="00545B07" w:rsidRPr="002C6F76">
        <w:t xml:space="preserve"> including </w:t>
      </w:r>
      <w:r w:rsidR="00943BE5" w:rsidRPr="002C6F76">
        <w:t xml:space="preserve">DoE staff, consultants, developers, NGOs and universities to improve </w:t>
      </w:r>
      <w:r w:rsidR="00A11056" w:rsidRPr="002C6F76">
        <w:t xml:space="preserve">EIA stages such as </w:t>
      </w:r>
      <w:r w:rsidR="00943BE5" w:rsidRPr="002C6F76">
        <w:t xml:space="preserve">screening, scoping, EIA reviewing, monitoring and inspection. </w:t>
      </w:r>
      <w:r w:rsidR="00FC2597" w:rsidRPr="002C6F76">
        <w:t xml:space="preserve">Another weakness relevant to capacity building in the Iranian EIA system </w:t>
      </w:r>
      <w:r w:rsidR="005777D7" w:rsidRPr="002C6F76">
        <w:t xml:space="preserve">is </w:t>
      </w:r>
      <w:r w:rsidR="00FC2597" w:rsidRPr="002C6F76">
        <w:t>guidance document</w:t>
      </w:r>
      <w:r w:rsidR="00CF5927">
        <w:t>s</w:t>
      </w:r>
      <w:r w:rsidR="00FC2597" w:rsidRPr="002C6F76">
        <w:t xml:space="preserve"> which the DoE has failed to update. The existing </w:t>
      </w:r>
      <w:r w:rsidR="0099787B" w:rsidRPr="002C6F76">
        <w:t>guidelines</w:t>
      </w:r>
      <w:r w:rsidR="00FC2597" w:rsidRPr="002C6F76">
        <w:t xml:space="preserve"> </w:t>
      </w:r>
      <w:r w:rsidR="0099787B" w:rsidRPr="002C6F76">
        <w:t>are</w:t>
      </w:r>
      <w:r w:rsidR="00FC2597" w:rsidRPr="002C6F76">
        <w:t xml:space="preserve"> </w:t>
      </w:r>
      <w:r w:rsidR="00B96F78" w:rsidRPr="002C6F76">
        <w:t>sectoral;</w:t>
      </w:r>
      <w:r w:rsidR="00FC2597" w:rsidRPr="002C6F76">
        <w:t xml:space="preserve"> however</w:t>
      </w:r>
      <w:r w:rsidR="00B96F78" w:rsidRPr="002C6F76">
        <w:t>,</w:t>
      </w:r>
      <w:r w:rsidR="00FC2597" w:rsidRPr="002C6F76">
        <w:t xml:space="preserve"> it is important </w:t>
      </w:r>
      <w:r w:rsidR="00CF5927">
        <w:t xml:space="preserve">that </w:t>
      </w:r>
      <w:r w:rsidR="00B96F78" w:rsidRPr="002C6F76">
        <w:t>the DoE</w:t>
      </w:r>
      <w:r w:rsidR="00FC2597" w:rsidRPr="002C6F76">
        <w:t xml:space="preserve"> provide</w:t>
      </w:r>
      <w:r w:rsidR="00B96F78" w:rsidRPr="002C6F76">
        <w:t>s guidelines relating to</w:t>
      </w:r>
      <w:r w:rsidR="00FC2597" w:rsidRPr="002C6F76">
        <w:t xml:space="preserve"> screening, scoping</w:t>
      </w:r>
      <w:r w:rsidR="00B96F78" w:rsidRPr="002C6F76">
        <w:t>,</w:t>
      </w:r>
      <w:r w:rsidR="00FC2597" w:rsidRPr="002C6F76">
        <w:t xml:space="preserve"> public participation</w:t>
      </w:r>
      <w:r w:rsidR="00B96F78" w:rsidRPr="002C6F76">
        <w:t xml:space="preserve"> and reviewing reports.</w:t>
      </w:r>
      <w:r w:rsidR="00FC2597" w:rsidRPr="002C6F76">
        <w:t xml:space="preserve"> </w:t>
      </w:r>
    </w:p>
    <w:p w14:paraId="25405250" w14:textId="3FF0BDD8" w:rsidR="007C5CCD" w:rsidRPr="002C6F76" w:rsidRDefault="00CF5927" w:rsidP="007C5CCD">
      <w:r>
        <w:t>T</w:t>
      </w:r>
      <w:r w:rsidR="00676740" w:rsidRPr="002C6F76">
        <w:t xml:space="preserve">he Iranian decision-making culture </w:t>
      </w:r>
      <w:r>
        <w:t xml:space="preserve">currently </w:t>
      </w:r>
      <w:r w:rsidR="00676740" w:rsidRPr="002C6F76">
        <w:t>hinders the development of public participation in EIA</w:t>
      </w:r>
      <w:bookmarkStart w:id="39" w:name="_Hlk513802459"/>
      <w:r w:rsidR="009166E8" w:rsidRPr="002C6F76">
        <w:t xml:space="preserve">. Nevertheless, </w:t>
      </w:r>
      <w:r w:rsidR="00676740" w:rsidRPr="002C6F76">
        <w:t>the absen</w:t>
      </w:r>
      <w:r>
        <w:t>ce</w:t>
      </w:r>
      <w:r w:rsidR="00676740" w:rsidRPr="002C6F76">
        <w:t xml:space="preserve"> of public participation in the Iranian EIA directive needs to be </w:t>
      </w:r>
      <w:r>
        <w:t xml:space="preserve">addressed in order to </w:t>
      </w:r>
      <w:r w:rsidR="009166E8" w:rsidRPr="002C6F76">
        <w:t>compel EIA actors to involve stakeholders</w:t>
      </w:r>
      <w:r w:rsidR="00676740" w:rsidRPr="002C6F76">
        <w:t xml:space="preserve"> </w:t>
      </w:r>
      <w:r w:rsidR="005777D7" w:rsidRPr="002C6F76">
        <w:t>during</w:t>
      </w:r>
      <w:r w:rsidR="00676740" w:rsidRPr="002C6F76">
        <w:t xml:space="preserve"> </w:t>
      </w:r>
      <w:r>
        <w:t xml:space="preserve">the </w:t>
      </w:r>
      <w:r w:rsidR="00676740" w:rsidRPr="002C6F76">
        <w:t>EIA process.</w:t>
      </w:r>
      <w:bookmarkEnd w:id="39"/>
      <w:r w:rsidR="007C5CCD" w:rsidRPr="002C6F76">
        <w:t xml:space="preserve"> The DoE at national and provinc</w:t>
      </w:r>
      <w:r w:rsidR="003C4C5F">
        <w:t>ial</w:t>
      </w:r>
      <w:r w:rsidR="007C5CCD" w:rsidRPr="002C6F76">
        <w:t xml:space="preserve"> level</w:t>
      </w:r>
      <w:r w:rsidR="00D57C16">
        <w:t>s</w:t>
      </w:r>
      <w:r w:rsidR="007C5CCD" w:rsidRPr="002C6F76">
        <w:t xml:space="preserve"> </w:t>
      </w:r>
      <w:r>
        <w:t>should</w:t>
      </w:r>
      <w:r w:rsidRPr="002C6F76">
        <w:t xml:space="preserve"> </w:t>
      </w:r>
      <w:r w:rsidR="007C5CCD" w:rsidRPr="002C6F76">
        <w:t xml:space="preserve">have a mechanism </w:t>
      </w:r>
      <w:r>
        <w:t xml:space="preserve">in place </w:t>
      </w:r>
      <w:r w:rsidR="007C5CCD" w:rsidRPr="002C6F76">
        <w:t>to ensure that this participation starts from scoping, that the proponent has consulted stakeholders and incorporate</w:t>
      </w:r>
      <w:r>
        <w:t>s</w:t>
      </w:r>
      <w:r w:rsidR="007C5CCD" w:rsidRPr="002C6F76">
        <w:t xml:space="preserve"> their concerns into the EIA process.</w:t>
      </w:r>
    </w:p>
    <w:p w14:paraId="0C03BB1A" w14:textId="4E3C295B" w:rsidR="000C00A7" w:rsidRDefault="004E3EA7" w:rsidP="0042005C">
      <w:r>
        <w:t xml:space="preserve">It is important to point out that in our paper we have only looked at certain </w:t>
      </w:r>
      <w:r w:rsidR="00E90DD3" w:rsidRPr="002C6F76">
        <w:rPr>
          <w:lang w:val="en-GB"/>
        </w:rPr>
        <w:t>EIA system components</w:t>
      </w:r>
      <w:r>
        <w:rPr>
          <w:lang w:val="en-GB"/>
        </w:rPr>
        <w:t>,</w:t>
      </w:r>
      <w:r w:rsidR="00E90DD3" w:rsidRPr="002C6F76">
        <w:rPr>
          <w:lang w:val="en-GB"/>
        </w:rPr>
        <w:t xml:space="preserve"> </w:t>
      </w:r>
      <w:r>
        <w:rPr>
          <w:lang w:val="en-GB"/>
        </w:rPr>
        <w:t xml:space="preserve">including </w:t>
      </w:r>
      <w:r w:rsidR="00E90DD3" w:rsidRPr="002C6F76">
        <w:rPr>
          <w:lang w:val="en-GB"/>
        </w:rPr>
        <w:t>EIA legislation, EIA administration and the EIA process</w:t>
      </w:r>
      <w:r>
        <w:rPr>
          <w:lang w:val="en-GB"/>
        </w:rPr>
        <w:t>.</w:t>
      </w:r>
      <w:r w:rsidR="00E90DD3" w:rsidRPr="002C6F76">
        <w:rPr>
          <w:lang w:val="en-GB"/>
        </w:rPr>
        <w:t xml:space="preserve"> </w:t>
      </w:r>
      <w:r>
        <w:rPr>
          <w:lang w:val="en-GB"/>
        </w:rPr>
        <w:t xml:space="preserve">This has followed on from what other authors had introduced earlier, in particular Nadeem and Hameed (2008). </w:t>
      </w:r>
      <w:r w:rsidR="00557EF1" w:rsidRPr="002C6F76">
        <w:rPr>
          <w:lang w:val="en-GB"/>
        </w:rPr>
        <w:t>To</w:t>
      </w:r>
      <w:r w:rsidR="00E90DD3" w:rsidRPr="002C6F76">
        <w:rPr>
          <w:lang w:val="en-GB"/>
        </w:rPr>
        <w:t xml:space="preserve"> </w:t>
      </w:r>
      <w:r w:rsidR="00E90DD3" w:rsidRPr="002C6F76">
        <w:rPr>
          <w:lang w:val="en-GB"/>
        </w:rPr>
        <w:lastRenderedPageBreak/>
        <w:t xml:space="preserve">establish </w:t>
      </w:r>
      <w:r>
        <w:rPr>
          <w:lang w:val="en-GB"/>
        </w:rPr>
        <w:t xml:space="preserve">overall </w:t>
      </w:r>
      <w:r w:rsidR="00E90DD3" w:rsidRPr="002C6F76">
        <w:rPr>
          <w:lang w:val="en-GB"/>
        </w:rPr>
        <w:t xml:space="preserve">EIA performance in Iran, </w:t>
      </w:r>
      <w:r w:rsidR="00630D41" w:rsidRPr="002C6F76">
        <w:rPr>
          <w:lang w:val="en-GB"/>
        </w:rPr>
        <w:t>further research</w:t>
      </w:r>
      <w:r>
        <w:rPr>
          <w:lang w:val="en-GB"/>
        </w:rPr>
        <w:t xml:space="preserve"> is</w:t>
      </w:r>
      <w:r w:rsidR="00630D41" w:rsidRPr="002C6F76">
        <w:rPr>
          <w:lang w:val="en-GB"/>
        </w:rPr>
        <w:t xml:space="preserve"> need</w:t>
      </w:r>
      <w:r>
        <w:rPr>
          <w:lang w:val="en-GB"/>
        </w:rPr>
        <w:t>ed</w:t>
      </w:r>
      <w:r w:rsidR="00630D41" w:rsidRPr="002C6F76">
        <w:rPr>
          <w:lang w:val="en-GB"/>
        </w:rPr>
        <w:t xml:space="preserve"> to explore </w:t>
      </w:r>
      <w:r>
        <w:rPr>
          <w:lang w:val="en-GB"/>
        </w:rPr>
        <w:t xml:space="preserve">the </w:t>
      </w:r>
      <w:r w:rsidR="00742A97" w:rsidRPr="002C6F76">
        <w:rPr>
          <w:lang w:val="en-GB"/>
        </w:rPr>
        <w:t xml:space="preserve">factors </w:t>
      </w:r>
      <w:r>
        <w:rPr>
          <w:lang w:val="en-GB"/>
        </w:rPr>
        <w:t xml:space="preserve">that </w:t>
      </w:r>
      <w:r w:rsidR="00742A97" w:rsidRPr="002C6F76">
        <w:rPr>
          <w:lang w:val="en-GB"/>
        </w:rPr>
        <w:t xml:space="preserve">influence </w:t>
      </w:r>
      <w:r w:rsidR="0054032B" w:rsidRPr="002C6F76">
        <w:t>EIA implementation</w:t>
      </w:r>
      <w:r w:rsidR="00742A97" w:rsidRPr="002C6F76">
        <w:t xml:space="preserve"> and performance</w:t>
      </w:r>
      <w:r w:rsidR="00B96F78" w:rsidRPr="002C6F76">
        <w:t>.</w:t>
      </w:r>
    </w:p>
    <w:p w14:paraId="750B7407" w14:textId="4E9BDF40" w:rsidR="00653934" w:rsidRDefault="00653934">
      <w:pPr>
        <w:spacing w:after="200" w:line="276" w:lineRule="auto"/>
        <w:jc w:val="left"/>
      </w:pPr>
      <w:r>
        <w:br w:type="page"/>
      </w:r>
    </w:p>
    <w:p w14:paraId="062D9CFB" w14:textId="77777777" w:rsidR="001D31C5" w:rsidRPr="002C6F76" w:rsidRDefault="001D31C5" w:rsidP="0013244B">
      <w:pPr>
        <w:spacing w:after="200" w:line="276" w:lineRule="auto"/>
        <w:jc w:val="left"/>
        <w:rPr>
          <w:rFonts w:asciiTheme="majorBidi" w:hAnsiTheme="majorBidi" w:cstheme="majorBidi"/>
          <w:b/>
          <w:bCs/>
          <w:szCs w:val="24"/>
          <w:lang w:val="en-GB" w:bidi="ar-SA"/>
        </w:rPr>
      </w:pPr>
      <w:r w:rsidRPr="002C6F76">
        <w:rPr>
          <w:rFonts w:asciiTheme="majorBidi" w:hAnsiTheme="majorBidi" w:cstheme="majorBidi"/>
          <w:b/>
          <w:bCs/>
          <w:szCs w:val="24"/>
          <w:lang w:val="en-GB" w:bidi="ar-SA"/>
        </w:rPr>
        <w:lastRenderedPageBreak/>
        <w:t>References</w:t>
      </w:r>
    </w:p>
    <w:p w14:paraId="1EEBF611" w14:textId="77777777" w:rsidR="007F4F62" w:rsidRDefault="007F4F62" w:rsidP="00BB38EB">
      <w:pPr>
        <w:spacing w:before="240"/>
        <w:rPr>
          <w:rFonts w:eastAsiaTheme="minorHAnsi"/>
          <w:lang w:val="en-GB" w:bidi="ar-SA"/>
        </w:rPr>
      </w:pPr>
      <w:r w:rsidRPr="002C6F76">
        <w:rPr>
          <w:rFonts w:eastAsiaTheme="minorHAnsi"/>
          <w:lang w:val="en-GB" w:bidi="ar-SA"/>
        </w:rPr>
        <w:t>Ahmad</w:t>
      </w:r>
      <w:r w:rsidR="00DF7553" w:rsidRPr="002C6F76">
        <w:rPr>
          <w:rFonts w:eastAsiaTheme="minorHAnsi"/>
          <w:lang w:val="en-GB" w:bidi="ar-SA"/>
        </w:rPr>
        <w:t>,</w:t>
      </w:r>
      <w:r w:rsidRPr="002C6F76">
        <w:rPr>
          <w:rFonts w:eastAsiaTheme="minorHAnsi"/>
          <w:lang w:val="en-GB" w:bidi="ar-SA"/>
        </w:rPr>
        <w:t xml:space="preserve"> B.</w:t>
      </w:r>
      <w:r w:rsidR="005C2D97" w:rsidRPr="002C6F76">
        <w:rPr>
          <w:rFonts w:eastAsiaTheme="minorHAnsi"/>
          <w:lang w:val="en-GB" w:bidi="ar-SA"/>
        </w:rPr>
        <w:t>,</w:t>
      </w:r>
      <w:r w:rsidRPr="002C6F76">
        <w:rPr>
          <w:rFonts w:eastAsiaTheme="minorHAnsi"/>
          <w:lang w:val="en-GB" w:bidi="ar-SA"/>
        </w:rPr>
        <w:t xml:space="preserve"> </w:t>
      </w:r>
      <w:r w:rsidR="0049465C" w:rsidRPr="002C6F76">
        <w:rPr>
          <w:rFonts w:eastAsiaTheme="minorHAnsi"/>
          <w:lang w:val="en-GB" w:bidi="ar-SA"/>
        </w:rPr>
        <w:t xml:space="preserve">and </w:t>
      </w:r>
      <w:r w:rsidR="00C74A2E" w:rsidRPr="002C6F76">
        <w:rPr>
          <w:rFonts w:eastAsiaTheme="minorHAnsi"/>
          <w:lang w:val="en-GB" w:bidi="ar-SA"/>
        </w:rPr>
        <w:t>C.</w:t>
      </w:r>
      <w:r w:rsidR="00E54FB3" w:rsidRPr="002C6F76">
        <w:rPr>
          <w:rFonts w:eastAsiaTheme="minorHAnsi"/>
          <w:lang w:val="en-GB" w:bidi="ar-SA"/>
        </w:rPr>
        <w:t xml:space="preserve"> </w:t>
      </w:r>
      <w:r w:rsidRPr="002C6F76">
        <w:rPr>
          <w:rFonts w:eastAsiaTheme="minorHAnsi"/>
          <w:lang w:val="en-GB" w:bidi="ar-SA"/>
        </w:rPr>
        <w:t>Wood</w:t>
      </w:r>
      <w:r w:rsidR="00C74A2E" w:rsidRPr="002C6F76">
        <w:rPr>
          <w:rFonts w:eastAsiaTheme="minorHAnsi"/>
          <w:lang w:val="en-GB" w:bidi="ar-SA"/>
        </w:rPr>
        <w:t>.</w:t>
      </w:r>
      <w:r w:rsidRPr="002C6F76">
        <w:rPr>
          <w:rFonts w:eastAsiaTheme="minorHAnsi"/>
          <w:lang w:val="en-GB" w:bidi="ar-SA"/>
        </w:rPr>
        <w:t xml:space="preserve"> 2002</w:t>
      </w:r>
      <w:r w:rsidR="00DF7553" w:rsidRPr="002C6F76">
        <w:rPr>
          <w:rFonts w:eastAsiaTheme="minorHAnsi"/>
          <w:lang w:val="en-GB" w:bidi="ar-SA"/>
        </w:rPr>
        <w:t xml:space="preserve">. </w:t>
      </w:r>
      <w:r w:rsidR="00BA3D60" w:rsidRPr="002C6F76">
        <w:rPr>
          <w:rFonts w:asciiTheme="majorBidi" w:hAnsiTheme="majorBidi" w:cstheme="majorBidi"/>
          <w:color w:val="000000"/>
          <w:szCs w:val="24"/>
          <w:lang w:val="en-GB"/>
        </w:rPr>
        <w:t>“</w:t>
      </w:r>
      <w:r w:rsidRPr="002C6F76">
        <w:rPr>
          <w:rFonts w:eastAsiaTheme="minorHAnsi"/>
          <w:lang w:val="en-GB" w:bidi="ar-SA"/>
        </w:rPr>
        <w:t>A comparative evaluation of the EIA systems in Egypt,</w:t>
      </w:r>
      <w:r w:rsidR="00DF7553" w:rsidRPr="002C6F76">
        <w:rPr>
          <w:rFonts w:eastAsiaTheme="minorHAnsi"/>
          <w:lang w:val="en-GB" w:bidi="ar-SA"/>
        </w:rPr>
        <w:t xml:space="preserve"> </w:t>
      </w:r>
      <w:r w:rsidRPr="002C6F76">
        <w:rPr>
          <w:rFonts w:eastAsiaTheme="minorHAnsi"/>
          <w:lang w:val="en-GB" w:bidi="ar-SA"/>
        </w:rPr>
        <w:t>Turkey and Tunisia</w:t>
      </w:r>
      <w:r w:rsidR="00BA3D60" w:rsidRPr="002C6F76">
        <w:rPr>
          <w:rFonts w:eastAsiaTheme="minorHAnsi"/>
          <w:lang w:val="en-GB" w:bidi="ar-SA"/>
        </w:rPr>
        <w:t>.</w:t>
      </w:r>
      <w:r w:rsidR="00BA3D60" w:rsidRPr="002C6F76">
        <w:rPr>
          <w:rFonts w:asciiTheme="majorBidi" w:hAnsiTheme="majorBidi" w:cstheme="majorBidi"/>
          <w:szCs w:val="24"/>
          <w:lang w:val="en-GB"/>
        </w:rPr>
        <w:t>”</w:t>
      </w:r>
      <w:r w:rsidRPr="002C6F76">
        <w:rPr>
          <w:rFonts w:eastAsiaTheme="minorHAnsi"/>
          <w:lang w:val="en-GB" w:bidi="ar-SA"/>
        </w:rPr>
        <w:t xml:space="preserve"> </w:t>
      </w:r>
      <w:r w:rsidRPr="002C6F76">
        <w:rPr>
          <w:rFonts w:asciiTheme="majorBidi" w:hAnsiTheme="majorBidi" w:cstheme="majorBidi"/>
          <w:i/>
          <w:iCs/>
          <w:color w:val="000000"/>
          <w:szCs w:val="24"/>
          <w:lang w:val="en-GB"/>
        </w:rPr>
        <w:t>Environmental Impact Assessment Review</w:t>
      </w:r>
      <w:r w:rsidRPr="002C6F76">
        <w:rPr>
          <w:rFonts w:eastAsiaTheme="minorHAnsi"/>
          <w:lang w:val="en-GB" w:bidi="ar-SA"/>
        </w:rPr>
        <w:t xml:space="preserve"> 22</w:t>
      </w:r>
      <w:r w:rsidR="005C2D97" w:rsidRPr="002C6F76">
        <w:rPr>
          <w:rFonts w:eastAsiaTheme="minorHAnsi"/>
          <w:lang w:val="en-GB" w:bidi="ar-SA"/>
        </w:rPr>
        <w:t xml:space="preserve">: </w:t>
      </w:r>
      <w:r w:rsidRPr="002C6F76">
        <w:rPr>
          <w:rFonts w:eastAsiaTheme="minorHAnsi"/>
          <w:lang w:val="en-GB" w:bidi="ar-SA"/>
        </w:rPr>
        <w:t>213–234.</w:t>
      </w:r>
    </w:p>
    <w:p w14:paraId="5D4BBC72" w14:textId="77777777" w:rsidR="00281E5A" w:rsidRDefault="00281E5A" w:rsidP="003F53AB">
      <w:pPr>
        <w:spacing w:before="240"/>
        <w:rPr>
          <w:rFonts w:eastAsiaTheme="minorHAnsi"/>
          <w:lang w:val="en-GB" w:bidi="ar-SA"/>
        </w:rPr>
      </w:pPr>
      <w:r w:rsidRPr="002C6F76">
        <w:rPr>
          <w:lang w:val="en-GB"/>
        </w:rPr>
        <w:t xml:space="preserve">Ahmad, T., </w:t>
      </w:r>
      <w:r w:rsidR="0049465C" w:rsidRPr="002C6F76">
        <w:rPr>
          <w:rFonts w:eastAsiaTheme="minorHAnsi"/>
          <w:lang w:val="en-GB" w:bidi="ar-SA"/>
        </w:rPr>
        <w:t xml:space="preserve">and </w:t>
      </w:r>
      <w:r w:rsidRPr="002C6F76">
        <w:rPr>
          <w:lang w:val="en-GB"/>
        </w:rPr>
        <w:t>S.A. Ferdausi.</w:t>
      </w:r>
      <w:r w:rsidR="003C162B" w:rsidRPr="002C6F76">
        <w:rPr>
          <w:lang w:val="en-GB"/>
        </w:rPr>
        <w:t xml:space="preserve"> </w:t>
      </w:r>
      <w:r w:rsidRPr="002C6F76">
        <w:rPr>
          <w:lang w:val="en-GB"/>
        </w:rPr>
        <w:t>2016</w:t>
      </w:r>
      <w:r w:rsidRPr="002C6F76">
        <w:rPr>
          <w:rFonts w:asciiTheme="majorBidi" w:hAnsiTheme="majorBidi" w:cstheme="majorBidi"/>
          <w:szCs w:val="24"/>
          <w:lang w:val="en-GB"/>
        </w:rPr>
        <w:t xml:space="preserve">. </w:t>
      </w:r>
      <w:r w:rsidRPr="002C6F76">
        <w:rPr>
          <w:rFonts w:asciiTheme="majorBidi" w:eastAsiaTheme="minorHAnsi" w:hAnsiTheme="majorBidi" w:cstheme="majorBidi"/>
          <w:szCs w:val="24"/>
          <w:lang w:val="en-GB" w:bidi="ar-SA"/>
        </w:rPr>
        <w:t>“</w:t>
      </w:r>
      <w:r w:rsidRPr="002C6F76">
        <w:rPr>
          <w:lang w:val="en-GB"/>
        </w:rPr>
        <w:t>Evaluation of EIA system in Bangladesh</w:t>
      </w:r>
      <w:r w:rsidRPr="002C6F76">
        <w:rPr>
          <w:rFonts w:asciiTheme="majorBidi" w:eastAsiaTheme="minorHAnsi" w:hAnsiTheme="majorBidi" w:cstheme="majorBidi"/>
          <w:color w:val="1A171B"/>
          <w:szCs w:val="24"/>
          <w:lang w:val="en-GB" w:bidi="ar-SA"/>
        </w:rPr>
        <w:t>.”</w:t>
      </w:r>
      <w:r w:rsidRPr="002C6F76">
        <w:rPr>
          <w:lang w:val="en-GB"/>
        </w:rPr>
        <w:t xml:space="preserve"> </w:t>
      </w:r>
      <w:r w:rsidR="00CE7042" w:rsidRPr="002E646B">
        <w:rPr>
          <w:lang w:val="en-GB"/>
        </w:rPr>
        <w:t xml:space="preserve">Paper presented at the </w:t>
      </w:r>
      <w:r w:rsidR="00AA1CC1" w:rsidRPr="002E646B">
        <w:rPr>
          <w:rFonts w:eastAsiaTheme="minorHAnsi"/>
          <w:lang w:val="en-GB" w:bidi="ar-SA"/>
        </w:rPr>
        <w:t>International Association of Impact Assessment</w:t>
      </w:r>
      <w:r w:rsidR="00CE7042" w:rsidRPr="002E646B">
        <w:rPr>
          <w:rFonts w:eastAsiaTheme="minorHAnsi"/>
          <w:lang w:val="en-GB" w:bidi="ar-SA"/>
        </w:rPr>
        <w:t xml:space="preserve">, </w:t>
      </w:r>
      <w:r w:rsidR="00AA1CC1" w:rsidRPr="002E646B">
        <w:rPr>
          <w:rFonts w:eastAsiaTheme="minorHAnsi"/>
          <w:lang w:val="en-GB" w:bidi="ar-SA"/>
        </w:rPr>
        <w:t>Aichi-Nagoya, Japan</w:t>
      </w:r>
      <w:r w:rsidR="00CE7042" w:rsidRPr="002E646B">
        <w:rPr>
          <w:rFonts w:eastAsiaTheme="minorHAnsi"/>
          <w:lang w:val="en-GB" w:bidi="ar-SA"/>
        </w:rPr>
        <w:t xml:space="preserve">, </w:t>
      </w:r>
      <w:r w:rsidR="00CE7042" w:rsidRPr="002E646B">
        <w:t>11 - 14</w:t>
      </w:r>
      <w:r w:rsidR="00CE7042">
        <w:t xml:space="preserve"> May.</w:t>
      </w:r>
    </w:p>
    <w:p w14:paraId="3D894C30" w14:textId="77777777" w:rsidR="00281E5A" w:rsidRDefault="000E3E07" w:rsidP="00BB38EB">
      <w:pPr>
        <w:spacing w:before="240"/>
        <w:rPr>
          <w:rFonts w:eastAsiaTheme="minorHAnsi"/>
          <w:lang w:val="en-GB" w:bidi="ar-SA"/>
        </w:rPr>
      </w:pPr>
      <w:r w:rsidRPr="002C6F76">
        <w:rPr>
          <w:rFonts w:eastAsiaTheme="minorHAnsi"/>
          <w:lang w:val="en-GB" w:bidi="ar-SA"/>
        </w:rPr>
        <w:t>Ahmad</w:t>
      </w:r>
      <w:r w:rsidR="00783040" w:rsidRPr="002C6F76">
        <w:rPr>
          <w:rFonts w:eastAsiaTheme="minorHAnsi"/>
          <w:lang w:val="en-GB" w:bidi="ar-SA"/>
        </w:rPr>
        <w:t>,</w:t>
      </w:r>
      <w:r w:rsidR="009844CD">
        <w:rPr>
          <w:rFonts w:eastAsiaTheme="minorHAnsi"/>
          <w:lang w:val="en-GB" w:bidi="ar-SA"/>
        </w:rPr>
        <w:t xml:space="preserve"> </w:t>
      </w:r>
      <w:r w:rsidR="00783040" w:rsidRPr="002C6F76">
        <w:rPr>
          <w:rFonts w:eastAsiaTheme="minorHAnsi"/>
          <w:lang w:val="en-GB" w:bidi="ar-SA"/>
        </w:rPr>
        <w:t>Y.</w:t>
      </w:r>
      <w:r w:rsidR="003C162B" w:rsidRPr="002C6F76">
        <w:rPr>
          <w:rFonts w:eastAsiaTheme="minorHAnsi"/>
          <w:lang w:val="en-GB" w:bidi="ar-SA"/>
        </w:rPr>
        <w:t>J.</w:t>
      </w:r>
      <w:r w:rsidR="00783040" w:rsidRPr="002C6F76">
        <w:rPr>
          <w:rFonts w:eastAsiaTheme="minorHAnsi"/>
          <w:lang w:val="en-GB" w:bidi="ar-SA"/>
        </w:rPr>
        <w:t xml:space="preserve">, </w:t>
      </w:r>
      <w:r w:rsidR="0049465C" w:rsidRPr="002C6F76">
        <w:rPr>
          <w:rFonts w:eastAsiaTheme="minorHAnsi"/>
          <w:lang w:val="en-GB" w:bidi="ar-SA"/>
        </w:rPr>
        <w:t xml:space="preserve">and </w:t>
      </w:r>
      <w:r w:rsidR="00FD5D72" w:rsidRPr="002C6F76">
        <w:rPr>
          <w:rFonts w:eastAsiaTheme="minorHAnsi"/>
          <w:lang w:val="en-GB" w:bidi="ar-SA"/>
        </w:rPr>
        <w:t xml:space="preserve">G.K. </w:t>
      </w:r>
      <w:r w:rsidR="00783040" w:rsidRPr="002C6F76">
        <w:rPr>
          <w:rFonts w:eastAsiaTheme="minorHAnsi"/>
          <w:lang w:val="en-GB" w:bidi="ar-SA"/>
        </w:rPr>
        <w:t>Sammy</w:t>
      </w:r>
      <w:r w:rsidR="00FD5D72">
        <w:rPr>
          <w:rFonts w:eastAsiaTheme="minorHAnsi"/>
          <w:lang w:val="en-GB" w:bidi="ar-SA"/>
        </w:rPr>
        <w:t>.</w:t>
      </w:r>
      <w:r w:rsidR="00783040" w:rsidRPr="002C6F76">
        <w:rPr>
          <w:rFonts w:eastAsiaTheme="minorHAnsi"/>
          <w:lang w:val="en-GB" w:bidi="ar-SA"/>
        </w:rPr>
        <w:t xml:space="preserve"> 1985</w:t>
      </w:r>
      <w:r w:rsidR="00AA1CC1">
        <w:rPr>
          <w:rFonts w:eastAsiaTheme="minorHAnsi"/>
          <w:lang w:val="en-GB" w:bidi="ar-SA"/>
        </w:rPr>
        <w:t>.</w:t>
      </w:r>
      <w:r w:rsidR="00AA1CC1" w:rsidRPr="002C6F76">
        <w:rPr>
          <w:rFonts w:eastAsiaTheme="minorHAnsi"/>
          <w:lang w:val="en-GB" w:bidi="ar-SA"/>
        </w:rPr>
        <w:t xml:space="preserve"> </w:t>
      </w:r>
      <w:r w:rsidR="00783040" w:rsidRPr="002C6F76">
        <w:rPr>
          <w:rFonts w:eastAsiaTheme="minorHAnsi"/>
          <w:lang w:val="en-GB" w:bidi="ar-SA"/>
        </w:rPr>
        <w:t>Guideline to Environmental Impact Assessment in Developing Countries, United Nations Environmental Programme</w:t>
      </w:r>
      <w:r w:rsidR="00C14DAC">
        <w:rPr>
          <w:rFonts w:eastAsiaTheme="minorHAnsi"/>
          <w:lang w:val="en-GB" w:bidi="ar-SA"/>
        </w:rPr>
        <w:t>.</w:t>
      </w:r>
      <w:r w:rsidR="00C14DAC" w:rsidRPr="002C6F76">
        <w:rPr>
          <w:rFonts w:eastAsiaTheme="minorHAnsi"/>
          <w:lang w:val="en-GB" w:bidi="ar-SA"/>
        </w:rPr>
        <w:t xml:space="preserve"> </w:t>
      </w:r>
      <w:r w:rsidR="00783040" w:rsidRPr="002C6F76">
        <w:rPr>
          <w:rFonts w:eastAsiaTheme="minorHAnsi"/>
          <w:lang w:val="en-GB" w:bidi="ar-SA"/>
        </w:rPr>
        <w:t>Second Edition</w:t>
      </w:r>
      <w:r w:rsidR="00C14DAC">
        <w:rPr>
          <w:rFonts w:eastAsiaTheme="minorHAnsi"/>
          <w:lang w:val="en-GB" w:bidi="ar-SA"/>
        </w:rPr>
        <w:t>.</w:t>
      </w:r>
      <w:r w:rsidR="00C14DAC" w:rsidRPr="002C6F76">
        <w:rPr>
          <w:rFonts w:eastAsiaTheme="minorHAnsi"/>
          <w:lang w:val="en-GB" w:bidi="ar-SA"/>
        </w:rPr>
        <w:t xml:space="preserve"> </w:t>
      </w:r>
      <w:r w:rsidR="00783040" w:rsidRPr="002C6F76">
        <w:rPr>
          <w:rFonts w:eastAsiaTheme="minorHAnsi"/>
          <w:lang w:val="en-GB" w:bidi="ar-SA"/>
        </w:rPr>
        <w:t>U.K.</w:t>
      </w:r>
    </w:p>
    <w:p w14:paraId="573CA10E" w14:textId="77777777" w:rsidR="00FD5D72" w:rsidRPr="00C14DAC" w:rsidRDefault="00FD5D72" w:rsidP="00C14DAC">
      <w:pPr>
        <w:rPr>
          <w:rFonts w:asciiTheme="majorBidi" w:hAnsiTheme="majorBidi" w:cstheme="majorBidi"/>
          <w:i/>
          <w:iCs/>
          <w:color w:val="000000"/>
          <w:szCs w:val="24"/>
          <w:lang w:val="en-GB"/>
        </w:rPr>
      </w:pPr>
      <w:r w:rsidRPr="00622496">
        <w:rPr>
          <w:lang w:val="en-GB"/>
        </w:rPr>
        <w:t>Ahmadvand, M., E. Karami, G</w:t>
      </w:r>
      <w:r>
        <w:rPr>
          <w:lang w:val="en-GB"/>
        </w:rPr>
        <w:t>.</w:t>
      </w:r>
      <w:r w:rsidRPr="00622496">
        <w:rPr>
          <w:lang w:val="en-GB"/>
        </w:rPr>
        <w:t>H. Zamani,</w:t>
      </w:r>
      <w:r>
        <w:rPr>
          <w:lang w:val="en-GB"/>
        </w:rPr>
        <w:t xml:space="preserve"> and</w:t>
      </w:r>
      <w:r w:rsidRPr="00622496">
        <w:rPr>
          <w:lang w:val="en-GB"/>
        </w:rPr>
        <w:t xml:space="preserve"> F.</w:t>
      </w:r>
      <w:r>
        <w:rPr>
          <w:lang w:val="en-GB"/>
        </w:rPr>
        <w:t xml:space="preserve"> </w:t>
      </w:r>
      <w:r w:rsidRPr="00622496">
        <w:rPr>
          <w:lang w:val="en-GB"/>
        </w:rPr>
        <w:t xml:space="preserve">Vanclay. 2009. </w:t>
      </w:r>
      <w:r w:rsidRPr="00622496">
        <w:rPr>
          <w:rFonts w:asciiTheme="majorBidi" w:hAnsiTheme="majorBidi" w:cstheme="majorBidi"/>
          <w:color w:val="000000"/>
          <w:szCs w:val="24"/>
          <w:lang w:val="en-GB"/>
        </w:rPr>
        <w:t>“</w:t>
      </w:r>
      <w:r w:rsidRPr="00622496">
        <w:rPr>
          <w:lang w:val="en-GB"/>
        </w:rPr>
        <w:t>Evaluating the Use of Social Impa</w:t>
      </w:r>
      <w:r w:rsidRPr="00C14DAC">
        <w:rPr>
          <w:rFonts w:asciiTheme="majorBidi" w:hAnsiTheme="majorBidi" w:cstheme="majorBidi"/>
          <w:i/>
          <w:iCs/>
          <w:color w:val="000000"/>
          <w:szCs w:val="24"/>
          <w:lang w:val="en-GB"/>
        </w:rPr>
        <w:t xml:space="preserve">ct Assessment in the Context of Agricultural Development Projects in Iran.” </w:t>
      </w:r>
      <w:r w:rsidRPr="00622496">
        <w:rPr>
          <w:rFonts w:asciiTheme="majorBidi" w:hAnsiTheme="majorBidi" w:cstheme="majorBidi"/>
          <w:i/>
          <w:iCs/>
          <w:color w:val="000000"/>
          <w:szCs w:val="24"/>
          <w:lang w:val="en-GB"/>
        </w:rPr>
        <w:t>Environmental Impact Assessment Review</w:t>
      </w:r>
      <w:r w:rsidRPr="00C14DAC">
        <w:rPr>
          <w:rFonts w:asciiTheme="majorBidi" w:hAnsiTheme="majorBidi" w:cstheme="majorBidi"/>
          <w:i/>
          <w:iCs/>
          <w:color w:val="000000"/>
          <w:szCs w:val="24"/>
          <w:lang w:val="en-GB"/>
        </w:rPr>
        <w:t xml:space="preserve"> </w:t>
      </w:r>
      <w:r w:rsidRPr="0022189A">
        <w:rPr>
          <w:rFonts w:asciiTheme="majorBidi" w:hAnsiTheme="majorBidi" w:cstheme="majorBidi"/>
          <w:iCs/>
          <w:color w:val="000000"/>
          <w:szCs w:val="24"/>
          <w:lang w:val="en-GB"/>
        </w:rPr>
        <w:t>29: 399-407.</w:t>
      </w:r>
    </w:p>
    <w:p w14:paraId="4BFB8B33" w14:textId="77777777" w:rsidR="00C14DAC" w:rsidRPr="002C6F76" w:rsidRDefault="00C14DAC" w:rsidP="00C14DAC">
      <w:pPr>
        <w:rPr>
          <w:rFonts w:eastAsiaTheme="minorHAnsi"/>
          <w:lang w:val="en-GB" w:bidi="ar-SA"/>
        </w:rPr>
      </w:pPr>
      <w:r w:rsidRPr="003F53AB">
        <w:rPr>
          <w:rFonts w:eastAsiaTheme="minorHAnsi"/>
        </w:rPr>
        <w:t>Al-Azria,</w:t>
      </w:r>
      <w:r w:rsidRPr="002C6F76">
        <w:rPr>
          <w:rFonts w:eastAsiaTheme="minorHAnsi"/>
        </w:rPr>
        <w:t xml:space="preserve"> N.S., R.O. Al-Busaidia1, H. Sulaiman, and A</w:t>
      </w:r>
      <w:r w:rsidR="001C49D8">
        <w:rPr>
          <w:rFonts w:eastAsiaTheme="minorHAnsi"/>
        </w:rPr>
        <w:t>.</w:t>
      </w:r>
      <w:r w:rsidR="001C49D8" w:rsidRPr="002C6F76">
        <w:rPr>
          <w:rFonts w:eastAsiaTheme="minorHAnsi"/>
        </w:rPr>
        <w:t xml:space="preserve"> </w:t>
      </w:r>
      <w:r w:rsidRPr="002C6F76">
        <w:rPr>
          <w:rFonts w:eastAsiaTheme="minorHAnsi"/>
        </w:rPr>
        <w:t>R. Al-Azri. 2014</w:t>
      </w:r>
      <w:r w:rsidRPr="002C6F76">
        <w:rPr>
          <w:rFonts w:asciiTheme="majorBidi" w:hAnsiTheme="majorBidi" w:cstheme="majorBidi"/>
          <w:szCs w:val="24"/>
          <w:lang w:val="en-GB"/>
        </w:rPr>
        <w:t xml:space="preserve">. </w:t>
      </w:r>
      <w:r w:rsidRPr="002C6F76">
        <w:rPr>
          <w:rFonts w:asciiTheme="majorBidi" w:eastAsiaTheme="minorHAnsi" w:hAnsiTheme="majorBidi" w:cstheme="majorBidi"/>
          <w:szCs w:val="24"/>
          <w:lang w:val="en-GB" w:bidi="ar-SA"/>
        </w:rPr>
        <w:t>“</w:t>
      </w:r>
      <w:r w:rsidRPr="002C6F76">
        <w:rPr>
          <w:rFonts w:eastAsiaTheme="minorHAnsi"/>
        </w:rPr>
        <w:t>Comparative evaluation of EIA systems in the Gulf Cooperation Council States</w:t>
      </w:r>
      <w:r w:rsidRPr="002C6F76">
        <w:rPr>
          <w:rFonts w:asciiTheme="majorBidi" w:eastAsiaTheme="minorHAnsi" w:hAnsiTheme="majorBidi" w:cstheme="majorBidi"/>
          <w:color w:val="1A171B"/>
          <w:szCs w:val="24"/>
          <w:lang w:val="en-GB" w:bidi="ar-SA"/>
        </w:rPr>
        <w:t>.”</w:t>
      </w:r>
      <w:r w:rsidRPr="002C6F76">
        <w:rPr>
          <w:lang w:val="en-GB"/>
        </w:rPr>
        <w:t xml:space="preserve"> </w:t>
      </w:r>
      <w:r w:rsidRPr="002C6F76">
        <w:rPr>
          <w:rFonts w:asciiTheme="majorBidi" w:hAnsiTheme="majorBidi" w:cstheme="majorBidi"/>
          <w:i/>
          <w:iCs/>
          <w:color w:val="000000"/>
          <w:szCs w:val="24"/>
          <w:lang w:val="en-GB"/>
        </w:rPr>
        <w:t>Impact Assessment and Project Appraisal</w:t>
      </w:r>
      <w:r w:rsidRPr="002C6F76">
        <w:rPr>
          <w:rFonts w:eastAsiaTheme="minorHAnsi"/>
        </w:rPr>
        <w:t xml:space="preserve"> 32 </w:t>
      </w:r>
      <w:r w:rsidR="00CE7042">
        <w:rPr>
          <w:rFonts w:eastAsiaTheme="minorHAnsi"/>
        </w:rPr>
        <w:t>(</w:t>
      </w:r>
      <w:r w:rsidRPr="002C6F76">
        <w:rPr>
          <w:rFonts w:eastAsiaTheme="minorHAnsi"/>
        </w:rPr>
        <w:t>2</w:t>
      </w:r>
      <w:r w:rsidR="00CE7042">
        <w:rPr>
          <w:rFonts w:eastAsiaTheme="minorHAnsi"/>
        </w:rPr>
        <w:t>):</w:t>
      </w:r>
      <w:r w:rsidR="00CE7042" w:rsidRPr="002C6F76">
        <w:rPr>
          <w:rFonts w:eastAsiaTheme="minorHAnsi"/>
        </w:rPr>
        <w:t xml:space="preserve"> </w:t>
      </w:r>
      <w:r w:rsidRPr="002C6F76">
        <w:rPr>
          <w:rFonts w:eastAsiaTheme="minorHAnsi"/>
        </w:rPr>
        <w:t>136–149</w:t>
      </w:r>
      <w:r w:rsidR="001C49D8">
        <w:rPr>
          <w:rFonts w:eastAsiaTheme="minorHAnsi"/>
        </w:rPr>
        <w:t>.</w:t>
      </w:r>
      <w:r w:rsidR="001C49D8" w:rsidRPr="002C6F76">
        <w:rPr>
          <w:rFonts w:eastAsiaTheme="minorHAnsi"/>
        </w:rPr>
        <w:t xml:space="preserve"> </w:t>
      </w:r>
      <w:hyperlink r:id="rId28" w:history="1">
        <w:r w:rsidR="00CE7042" w:rsidRPr="002C6F76">
          <w:rPr>
            <w:rFonts w:eastAsiaTheme="minorHAnsi"/>
            <w:lang w:val="en-GB" w:bidi="ar-SA"/>
          </w:rPr>
          <w:t xml:space="preserve">DOI: </w:t>
        </w:r>
        <w:r w:rsidRPr="002C6F76">
          <w:rPr>
            <w:rFonts w:eastAsiaTheme="minorHAnsi"/>
            <w:lang w:val="en-GB" w:bidi="ar-SA"/>
          </w:rPr>
          <w:t>10.1080/14615517.2014.893620</w:t>
        </w:r>
      </w:hyperlink>
      <w:r w:rsidRPr="002C6F76">
        <w:rPr>
          <w:rFonts w:eastAsiaTheme="minorHAnsi"/>
          <w:lang w:val="en-GB" w:bidi="ar-SA"/>
        </w:rPr>
        <w:t>.</w:t>
      </w:r>
    </w:p>
    <w:p w14:paraId="0C17F9B3" w14:textId="77777777" w:rsidR="00A96F32" w:rsidRDefault="00A96F32" w:rsidP="00BB38EB">
      <w:pPr>
        <w:spacing w:before="240"/>
        <w:rPr>
          <w:rFonts w:eastAsiaTheme="minorHAnsi"/>
          <w:lang w:val="en-GB" w:bidi="ar-SA"/>
        </w:rPr>
      </w:pPr>
      <w:r w:rsidRPr="002C6F76">
        <w:rPr>
          <w:rFonts w:eastAsiaTheme="minorHAnsi"/>
          <w:lang w:val="en-GB" w:bidi="ar-SA"/>
        </w:rPr>
        <w:t xml:space="preserve">Annandale, D. </w:t>
      </w:r>
      <w:r w:rsidR="00513BCB" w:rsidRPr="002C6F76">
        <w:rPr>
          <w:rFonts w:eastAsiaTheme="minorHAnsi"/>
          <w:lang w:val="en-GB" w:bidi="ar-SA"/>
        </w:rPr>
        <w:t>2001</w:t>
      </w:r>
      <w:r w:rsidR="00513BCB" w:rsidRPr="002C6F76">
        <w:rPr>
          <w:rFonts w:asciiTheme="majorBidi" w:hAnsiTheme="majorBidi" w:cstheme="majorBidi"/>
          <w:szCs w:val="24"/>
          <w:lang w:val="en-GB"/>
        </w:rPr>
        <w:t xml:space="preserve">. </w:t>
      </w:r>
      <w:r w:rsidR="00513BCB" w:rsidRPr="002C6F76">
        <w:rPr>
          <w:rFonts w:asciiTheme="majorBidi" w:eastAsiaTheme="minorHAnsi" w:hAnsiTheme="majorBidi" w:cstheme="majorBidi"/>
          <w:szCs w:val="24"/>
          <w:lang w:val="en-GB" w:bidi="ar-SA"/>
        </w:rPr>
        <w:t>“</w:t>
      </w:r>
      <w:r w:rsidRPr="002C6F76">
        <w:rPr>
          <w:rFonts w:eastAsiaTheme="minorHAnsi"/>
          <w:lang w:val="en-GB" w:bidi="ar-SA"/>
        </w:rPr>
        <w:t>Developing and evaluating environmental impact assessment systems for small developing Countries</w:t>
      </w:r>
      <w:r w:rsidR="00E848C6" w:rsidRPr="002C6F76">
        <w:rPr>
          <w:rFonts w:asciiTheme="majorBidi" w:eastAsiaTheme="minorHAnsi" w:hAnsiTheme="majorBidi" w:cstheme="majorBidi"/>
          <w:color w:val="1A171B"/>
          <w:szCs w:val="24"/>
          <w:lang w:val="en-GB" w:bidi="ar-SA"/>
        </w:rPr>
        <w:t>.”</w:t>
      </w:r>
      <w:r w:rsidR="00E848C6" w:rsidRPr="002C6F76">
        <w:rPr>
          <w:lang w:val="en-GB"/>
        </w:rPr>
        <w:t xml:space="preserve"> </w:t>
      </w:r>
      <w:r w:rsidRPr="002C6F76">
        <w:rPr>
          <w:rFonts w:asciiTheme="majorBidi" w:hAnsiTheme="majorBidi" w:cstheme="majorBidi"/>
          <w:i/>
          <w:iCs/>
          <w:color w:val="000000"/>
          <w:szCs w:val="24"/>
          <w:lang w:val="en-GB"/>
        </w:rPr>
        <w:t>Impact Assessment and Project Appraisal</w:t>
      </w:r>
      <w:r w:rsidRPr="002C6F76">
        <w:rPr>
          <w:rFonts w:eastAsiaTheme="minorHAnsi"/>
          <w:lang w:val="en-GB" w:bidi="ar-SA"/>
        </w:rPr>
        <w:t xml:space="preserve"> 19</w:t>
      </w:r>
      <w:r w:rsidR="00CE7042">
        <w:rPr>
          <w:rFonts w:eastAsiaTheme="minorHAnsi"/>
          <w:lang w:val="en-GB" w:bidi="ar-SA"/>
        </w:rPr>
        <w:t xml:space="preserve"> (</w:t>
      </w:r>
      <w:r w:rsidRPr="002C6F76">
        <w:rPr>
          <w:rFonts w:eastAsiaTheme="minorHAnsi"/>
          <w:lang w:val="en-GB" w:bidi="ar-SA"/>
        </w:rPr>
        <w:t>3</w:t>
      </w:r>
      <w:r w:rsidR="00CE7042">
        <w:rPr>
          <w:rFonts w:eastAsiaTheme="minorHAnsi"/>
          <w:lang w:val="en-GB" w:bidi="ar-SA"/>
        </w:rPr>
        <w:t>):</w:t>
      </w:r>
      <w:r w:rsidRPr="002C6F76">
        <w:rPr>
          <w:rFonts w:eastAsiaTheme="minorHAnsi"/>
          <w:lang w:val="en-GB" w:bidi="ar-SA"/>
        </w:rPr>
        <w:t xml:space="preserve"> 187-193</w:t>
      </w:r>
      <w:r w:rsidR="00513BCB" w:rsidRPr="002C6F76">
        <w:rPr>
          <w:rFonts w:eastAsiaTheme="minorHAnsi"/>
          <w:lang w:val="en-GB" w:bidi="ar-SA"/>
        </w:rPr>
        <w:t>. DOI: 10.3152/147154601781766998.</w:t>
      </w:r>
    </w:p>
    <w:p w14:paraId="0ED2F729" w14:textId="77777777" w:rsidR="003F53AB" w:rsidRPr="00C14DAC" w:rsidRDefault="003F53AB" w:rsidP="003F53AB">
      <w:pPr>
        <w:rPr>
          <w:rFonts w:asciiTheme="majorBidi" w:hAnsiTheme="majorBidi" w:cstheme="majorBidi"/>
          <w:i/>
          <w:iCs/>
          <w:color w:val="000000"/>
          <w:szCs w:val="24"/>
          <w:lang w:val="en-GB"/>
        </w:rPr>
      </w:pPr>
      <w:r w:rsidRPr="003F53AB">
        <w:rPr>
          <w:lang w:val="en-GB"/>
        </w:rPr>
        <w:t xml:space="preserve">Arts, J., H.A.C. Runhaar, T.B. Fischer, U. </w:t>
      </w:r>
      <w:r w:rsidRPr="001C49D8">
        <w:rPr>
          <w:lang w:val="en-GB"/>
        </w:rPr>
        <w:t>Jha-Thakur</w:t>
      </w:r>
      <w:r w:rsidRPr="003F53AB">
        <w:rPr>
          <w:lang w:val="en-GB"/>
        </w:rPr>
        <w:t>, F.V. Laerhoven, P.P.J.</w:t>
      </w:r>
      <w:r w:rsidRPr="003F53AB" w:rsidDel="00BA3D60">
        <w:rPr>
          <w:lang w:val="en-GB"/>
        </w:rPr>
        <w:t xml:space="preserve"> </w:t>
      </w:r>
      <w:r w:rsidRPr="003F53AB">
        <w:rPr>
          <w:lang w:val="en-GB"/>
        </w:rPr>
        <w:t>Driessen, and V. Onyango</w:t>
      </w:r>
      <w:r w:rsidRPr="002C6F76">
        <w:rPr>
          <w:lang w:val="en-GB"/>
        </w:rPr>
        <w:t>. 2013</w:t>
      </w:r>
      <w:r w:rsidRPr="002C6F76">
        <w:rPr>
          <w:rFonts w:asciiTheme="majorBidi" w:hAnsiTheme="majorBidi" w:cstheme="majorBidi"/>
          <w:szCs w:val="24"/>
          <w:lang w:val="en-GB"/>
        </w:rPr>
        <w:t xml:space="preserve">. </w:t>
      </w:r>
      <w:r w:rsidRPr="002C6F76">
        <w:rPr>
          <w:rFonts w:asciiTheme="majorBidi" w:eastAsiaTheme="minorHAnsi" w:hAnsiTheme="majorBidi" w:cstheme="majorBidi"/>
          <w:szCs w:val="24"/>
          <w:lang w:val="en-GB" w:bidi="ar-SA"/>
        </w:rPr>
        <w:t>“</w:t>
      </w:r>
      <w:r w:rsidRPr="002C6F76">
        <w:rPr>
          <w:lang w:val="en-GB"/>
        </w:rPr>
        <w:t xml:space="preserve">The effectiveness of EIA as an instrument for environmental governance </w:t>
      </w:r>
      <w:r w:rsidRPr="001C49D8">
        <w:rPr>
          <w:lang w:val="en-GB"/>
        </w:rPr>
        <w:t>reflecting on 25 years of EIA practice in the Netherlands and the UK.”</w:t>
      </w:r>
      <w:r w:rsidRPr="00C14DAC">
        <w:rPr>
          <w:rFonts w:asciiTheme="majorBidi" w:hAnsiTheme="majorBidi" w:cstheme="majorBidi"/>
          <w:i/>
          <w:iCs/>
          <w:color w:val="000000"/>
          <w:szCs w:val="24"/>
          <w:lang w:val="en-GB"/>
        </w:rPr>
        <w:t xml:space="preserve"> </w:t>
      </w:r>
      <w:r w:rsidRPr="002C6F76">
        <w:rPr>
          <w:rFonts w:asciiTheme="majorBidi" w:hAnsiTheme="majorBidi" w:cstheme="majorBidi"/>
          <w:i/>
          <w:iCs/>
          <w:color w:val="000000"/>
          <w:szCs w:val="24"/>
          <w:lang w:val="en-GB"/>
        </w:rPr>
        <w:t>Environmental Assessment Policy and Management</w:t>
      </w:r>
      <w:r w:rsidRPr="00C14DAC">
        <w:rPr>
          <w:rFonts w:asciiTheme="majorBidi" w:hAnsiTheme="majorBidi" w:cstheme="majorBidi"/>
          <w:i/>
          <w:iCs/>
          <w:color w:val="000000"/>
          <w:szCs w:val="24"/>
          <w:lang w:val="en-GB"/>
        </w:rPr>
        <w:t xml:space="preserve"> </w:t>
      </w:r>
      <w:r w:rsidRPr="0022189A">
        <w:rPr>
          <w:rFonts w:asciiTheme="majorBidi" w:hAnsiTheme="majorBidi" w:cstheme="majorBidi"/>
          <w:iCs/>
          <w:color w:val="000000"/>
          <w:szCs w:val="24"/>
          <w:lang w:val="en-GB"/>
        </w:rPr>
        <w:t>14</w:t>
      </w:r>
      <w:r w:rsidR="00CE7042">
        <w:rPr>
          <w:rFonts w:asciiTheme="majorBidi" w:hAnsiTheme="majorBidi" w:cstheme="majorBidi"/>
          <w:iCs/>
          <w:color w:val="000000"/>
          <w:szCs w:val="24"/>
          <w:lang w:val="en-GB"/>
        </w:rPr>
        <w:t xml:space="preserve"> </w:t>
      </w:r>
      <w:r w:rsidRPr="0022189A">
        <w:rPr>
          <w:rFonts w:asciiTheme="majorBidi" w:hAnsiTheme="majorBidi" w:cstheme="majorBidi"/>
          <w:iCs/>
          <w:color w:val="000000"/>
          <w:szCs w:val="24"/>
          <w:lang w:val="en-GB"/>
        </w:rPr>
        <w:t>(4): 1-40</w:t>
      </w:r>
      <w:r w:rsidR="00CE7042">
        <w:rPr>
          <w:rFonts w:asciiTheme="majorBidi" w:hAnsiTheme="majorBidi" w:cstheme="majorBidi"/>
          <w:iCs/>
          <w:color w:val="000000"/>
          <w:szCs w:val="24"/>
          <w:lang w:val="en-GB"/>
        </w:rPr>
        <w:t>.</w:t>
      </w:r>
      <w:r w:rsidRPr="0022189A">
        <w:rPr>
          <w:rFonts w:asciiTheme="majorBidi" w:hAnsiTheme="majorBidi" w:cstheme="majorBidi"/>
          <w:iCs/>
          <w:color w:val="000000"/>
          <w:szCs w:val="24"/>
          <w:lang w:val="en-GB"/>
        </w:rPr>
        <w:t xml:space="preserve"> DOI 10.1142/S1464333212500251.</w:t>
      </w:r>
    </w:p>
    <w:p w14:paraId="4E609D09" w14:textId="77777777" w:rsidR="00F758D0" w:rsidRPr="002C6F76" w:rsidRDefault="00F758D0" w:rsidP="00476763">
      <w:pPr>
        <w:rPr>
          <w:rFonts w:eastAsiaTheme="minorHAnsi"/>
          <w:lang w:val="en-GB" w:bidi="ar-SA"/>
        </w:rPr>
      </w:pPr>
      <w:r w:rsidRPr="002C6F76">
        <w:rPr>
          <w:rFonts w:eastAsiaTheme="minorHAnsi"/>
          <w:lang w:val="en-GB" w:bidi="ar-SA"/>
        </w:rPr>
        <w:t>Aung, T.</w:t>
      </w:r>
      <w:r w:rsidR="00E54FB3" w:rsidRPr="002C6F76">
        <w:rPr>
          <w:rFonts w:eastAsiaTheme="minorHAnsi"/>
          <w:lang w:val="en-GB" w:bidi="ar-SA"/>
        </w:rPr>
        <w:t xml:space="preserve"> </w:t>
      </w:r>
      <w:r w:rsidRPr="002C6F76">
        <w:rPr>
          <w:rFonts w:eastAsiaTheme="minorHAnsi"/>
          <w:lang w:val="en-GB" w:bidi="ar-SA"/>
        </w:rPr>
        <w:t>S</w:t>
      </w:r>
      <w:r w:rsidR="00E54FB3" w:rsidRPr="002C6F76">
        <w:rPr>
          <w:rFonts w:eastAsiaTheme="minorHAnsi"/>
          <w:lang w:val="en-GB" w:bidi="ar-SA"/>
        </w:rPr>
        <w:t xml:space="preserve">. </w:t>
      </w:r>
      <w:r w:rsidRPr="002C6F76">
        <w:rPr>
          <w:rFonts w:eastAsiaTheme="minorHAnsi"/>
          <w:lang w:val="en-GB" w:bidi="ar-SA"/>
        </w:rPr>
        <w:t>2017</w:t>
      </w:r>
      <w:r w:rsidR="00513BCB" w:rsidRPr="002C6F76">
        <w:rPr>
          <w:rFonts w:asciiTheme="majorBidi" w:hAnsiTheme="majorBidi" w:cstheme="majorBidi"/>
          <w:szCs w:val="24"/>
          <w:lang w:val="en-GB"/>
        </w:rPr>
        <w:t xml:space="preserve">. </w:t>
      </w:r>
      <w:r w:rsidR="00513BCB" w:rsidRPr="002C6F76">
        <w:rPr>
          <w:rFonts w:asciiTheme="majorBidi" w:eastAsiaTheme="minorHAnsi" w:hAnsiTheme="majorBidi" w:cstheme="majorBidi"/>
          <w:szCs w:val="24"/>
          <w:lang w:val="en-GB" w:bidi="ar-SA"/>
        </w:rPr>
        <w:t>“</w:t>
      </w:r>
      <w:r w:rsidRPr="002C6F76">
        <w:rPr>
          <w:rFonts w:eastAsiaTheme="minorHAnsi"/>
          <w:lang w:val="en-GB" w:bidi="ar-SA"/>
        </w:rPr>
        <w:t>Evaluation of the environmental impact assessment system and implementation in Myanmar: Its significance in oil and gas industry</w:t>
      </w:r>
      <w:r w:rsidR="00E848C6" w:rsidRPr="002C6F76">
        <w:rPr>
          <w:rFonts w:asciiTheme="majorBidi" w:eastAsiaTheme="minorHAnsi" w:hAnsiTheme="majorBidi" w:cstheme="majorBidi"/>
          <w:color w:val="1A171B"/>
          <w:szCs w:val="24"/>
          <w:lang w:val="en-GB" w:bidi="ar-SA"/>
        </w:rPr>
        <w:t>.”</w:t>
      </w:r>
      <w:r w:rsidR="00E848C6" w:rsidRPr="002C6F76">
        <w:rPr>
          <w:lang w:val="en-GB"/>
        </w:rPr>
        <w:t xml:space="preserve"> </w:t>
      </w:r>
      <w:r w:rsidRPr="002C6F76">
        <w:rPr>
          <w:rFonts w:asciiTheme="majorBidi" w:hAnsiTheme="majorBidi" w:cstheme="majorBidi"/>
          <w:i/>
          <w:iCs/>
          <w:color w:val="000000"/>
          <w:szCs w:val="24"/>
          <w:lang w:val="en-GB"/>
        </w:rPr>
        <w:t>Environmental Impact Assessment Review</w:t>
      </w:r>
      <w:r w:rsidRPr="002C6F76">
        <w:rPr>
          <w:rFonts w:eastAsiaTheme="minorHAnsi"/>
          <w:lang w:val="en-GB" w:bidi="ar-SA"/>
        </w:rPr>
        <w:t>. 66: 24–32</w:t>
      </w:r>
      <w:r w:rsidR="0051008B" w:rsidRPr="002C6F76">
        <w:rPr>
          <w:rFonts w:eastAsiaTheme="minorHAnsi"/>
          <w:lang w:val="en-GB" w:bidi="ar-SA"/>
        </w:rPr>
        <w:t>.</w:t>
      </w:r>
    </w:p>
    <w:p w14:paraId="6B754480" w14:textId="0EF962C0" w:rsidR="00F758D0" w:rsidRDefault="00F758D0" w:rsidP="00476763">
      <w:pPr>
        <w:rPr>
          <w:rFonts w:eastAsiaTheme="minorHAnsi"/>
          <w:lang w:val="en-GB" w:bidi="ar-SA"/>
        </w:rPr>
      </w:pPr>
      <w:r w:rsidRPr="002C6F76">
        <w:rPr>
          <w:rFonts w:eastAsiaTheme="minorHAnsi"/>
          <w:lang w:val="en-GB" w:bidi="ar-SA"/>
        </w:rPr>
        <w:t>Badr, E</w:t>
      </w:r>
      <w:r w:rsidR="0049465C" w:rsidRPr="002C6F76">
        <w:rPr>
          <w:rFonts w:eastAsiaTheme="minorHAnsi"/>
          <w:lang w:val="en-GB" w:bidi="ar-SA"/>
        </w:rPr>
        <w:t>.</w:t>
      </w:r>
      <w:r w:rsidRPr="002C6F76">
        <w:rPr>
          <w:rFonts w:eastAsiaTheme="minorHAnsi"/>
          <w:lang w:val="en-GB" w:bidi="ar-SA"/>
        </w:rPr>
        <w:t xml:space="preserve"> A</w:t>
      </w:r>
      <w:r w:rsidR="00E54FB3" w:rsidRPr="002C6F76">
        <w:rPr>
          <w:rFonts w:eastAsiaTheme="minorHAnsi"/>
          <w:lang w:val="en-GB" w:bidi="ar-SA"/>
        </w:rPr>
        <w:t xml:space="preserve">. </w:t>
      </w:r>
      <w:r w:rsidRPr="002C6F76">
        <w:rPr>
          <w:rFonts w:eastAsiaTheme="minorHAnsi"/>
          <w:lang w:val="en-GB" w:bidi="ar-SA"/>
        </w:rPr>
        <w:t>2009</w:t>
      </w:r>
      <w:r w:rsidR="00513BCB" w:rsidRPr="002C6F76">
        <w:rPr>
          <w:rFonts w:asciiTheme="majorBidi" w:hAnsiTheme="majorBidi" w:cstheme="majorBidi"/>
          <w:szCs w:val="24"/>
          <w:lang w:val="en-GB"/>
        </w:rPr>
        <w:t xml:space="preserve">. </w:t>
      </w:r>
      <w:r w:rsidR="00513BCB" w:rsidRPr="002C6F76">
        <w:rPr>
          <w:rFonts w:asciiTheme="majorBidi" w:eastAsiaTheme="minorHAnsi" w:hAnsiTheme="majorBidi" w:cstheme="majorBidi"/>
          <w:szCs w:val="24"/>
          <w:lang w:val="en-GB" w:bidi="ar-SA"/>
        </w:rPr>
        <w:t>“</w:t>
      </w:r>
      <w:r w:rsidRPr="002C6F76">
        <w:rPr>
          <w:rFonts w:eastAsiaTheme="minorHAnsi"/>
          <w:lang w:val="en-GB" w:bidi="ar-SA"/>
        </w:rPr>
        <w:t>Evaluation of the environmental impact assessment system in Egypt</w:t>
      </w:r>
      <w:r w:rsidR="00E848C6" w:rsidRPr="002C6F76">
        <w:rPr>
          <w:rFonts w:asciiTheme="majorBidi" w:eastAsiaTheme="minorHAnsi" w:hAnsiTheme="majorBidi" w:cstheme="majorBidi"/>
          <w:color w:val="1A171B"/>
          <w:szCs w:val="24"/>
          <w:lang w:val="en-GB" w:bidi="ar-SA"/>
        </w:rPr>
        <w:t>.”</w:t>
      </w:r>
      <w:r w:rsidR="00E848C6" w:rsidRPr="002C6F76">
        <w:rPr>
          <w:lang w:val="en-GB"/>
        </w:rPr>
        <w:t xml:space="preserve"> </w:t>
      </w:r>
      <w:r w:rsidRPr="002C6F76">
        <w:rPr>
          <w:rFonts w:asciiTheme="majorBidi" w:hAnsiTheme="majorBidi" w:cstheme="majorBidi"/>
          <w:i/>
          <w:iCs/>
          <w:color w:val="000000"/>
          <w:szCs w:val="24"/>
          <w:lang w:val="en-GB"/>
        </w:rPr>
        <w:t>Impact Assessment and Project Appraisal</w:t>
      </w:r>
      <w:r w:rsidRPr="002C6F76">
        <w:rPr>
          <w:rFonts w:eastAsiaTheme="minorHAnsi"/>
          <w:lang w:val="en-GB" w:bidi="ar-SA"/>
        </w:rPr>
        <w:t xml:space="preserve"> 27</w:t>
      </w:r>
      <w:r w:rsidR="00E54FB3" w:rsidRPr="002C6F76">
        <w:rPr>
          <w:rFonts w:eastAsiaTheme="minorHAnsi"/>
          <w:lang w:val="en-GB" w:bidi="ar-SA"/>
        </w:rPr>
        <w:t>(</w:t>
      </w:r>
      <w:r w:rsidRPr="002C6F76">
        <w:rPr>
          <w:rFonts w:eastAsiaTheme="minorHAnsi"/>
          <w:lang w:val="en-GB" w:bidi="ar-SA"/>
        </w:rPr>
        <w:t>3</w:t>
      </w:r>
      <w:r w:rsidR="00E54FB3" w:rsidRPr="002C6F76">
        <w:rPr>
          <w:rFonts w:eastAsiaTheme="minorHAnsi"/>
          <w:lang w:val="en-GB" w:bidi="ar-SA"/>
        </w:rPr>
        <w:t xml:space="preserve">): </w:t>
      </w:r>
      <w:r w:rsidRPr="002C6F76">
        <w:rPr>
          <w:rFonts w:eastAsiaTheme="minorHAnsi"/>
          <w:lang w:val="en-GB" w:bidi="ar-SA"/>
        </w:rPr>
        <w:t>193-203.</w:t>
      </w:r>
    </w:p>
    <w:p w14:paraId="216C2567" w14:textId="64DD0546" w:rsidR="00091324" w:rsidRDefault="00091324" w:rsidP="00091324">
      <w:pPr>
        <w:spacing w:before="240"/>
      </w:pPr>
      <w:r w:rsidRPr="004063AA">
        <w:lastRenderedPageBreak/>
        <w:t>Bashour</w:t>
      </w:r>
      <w:r>
        <w:t>,</w:t>
      </w:r>
      <w:r w:rsidRPr="004063AA">
        <w:t xml:space="preserve"> </w:t>
      </w:r>
      <w:r w:rsidRPr="00773691">
        <w:t>L</w:t>
      </w:r>
      <w:r>
        <w:t>.</w:t>
      </w:r>
      <w:r w:rsidRPr="00773691">
        <w:t xml:space="preserve"> </w:t>
      </w:r>
      <w:r w:rsidRPr="004063AA">
        <w:t>2016</w:t>
      </w:r>
      <w:r>
        <w:t>.</w:t>
      </w:r>
      <w:r w:rsidRPr="004063AA">
        <w:t xml:space="preserve"> Comparative analysis of enabling legislation for</w:t>
      </w:r>
      <w:r>
        <w:t xml:space="preserve"> </w:t>
      </w:r>
      <w:r w:rsidRPr="004063AA">
        <w:t>EIA follow-up in Lebanon, Palestine and Jordan (and Aqaba)</w:t>
      </w:r>
      <w:r w:rsidR="004F58C5">
        <w:t>.</w:t>
      </w:r>
      <w:r w:rsidRPr="004063AA">
        <w:t xml:space="preserve"> </w:t>
      </w:r>
      <w:r w:rsidRPr="004F58C5">
        <w:rPr>
          <w:rFonts w:asciiTheme="majorBidi" w:hAnsiTheme="majorBidi" w:cstheme="majorBidi"/>
          <w:i/>
          <w:iCs/>
          <w:color w:val="000000"/>
          <w:szCs w:val="24"/>
          <w:lang w:val="en-GB"/>
        </w:rPr>
        <w:t>Impact Assessment and Project Appraisal</w:t>
      </w:r>
      <w:r w:rsidRPr="004063AA">
        <w:t xml:space="preserve"> 34:1, 72-78</w:t>
      </w:r>
      <w:r w:rsidR="004F58C5">
        <w:t>.</w:t>
      </w:r>
      <w:r w:rsidRPr="004063AA">
        <w:t xml:space="preserve"> DOI: 10.1080/14615517.2015.107574</w:t>
      </w:r>
      <w:r>
        <w:t>.</w:t>
      </w:r>
    </w:p>
    <w:p w14:paraId="0CD1C15D" w14:textId="77777777" w:rsidR="00F758D0" w:rsidRPr="002C6F76" w:rsidRDefault="00F758D0" w:rsidP="00476763">
      <w:pPr>
        <w:rPr>
          <w:rFonts w:eastAsiaTheme="minorHAnsi"/>
          <w:lang w:val="en-GB" w:bidi="ar-SA"/>
        </w:rPr>
      </w:pPr>
      <w:r w:rsidRPr="002C6F76">
        <w:t>Bond, A.</w:t>
      </w:r>
      <w:r w:rsidR="00AF7209" w:rsidRPr="002C6F76">
        <w:t>,</w:t>
      </w:r>
      <w:r w:rsidRPr="002C6F76">
        <w:t xml:space="preserve"> </w:t>
      </w:r>
      <w:r w:rsidR="007F7AAE" w:rsidRPr="002C6F76">
        <w:t xml:space="preserve">and </w:t>
      </w:r>
      <w:r w:rsidR="0049465C" w:rsidRPr="002C6F76">
        <w:t xml:space="preserve">J. </w:t>
      </w:r>
      <w:r w:rsidRPr="002C6F76">
        <w:t>Pope</w:t>
      </w:r>
      <w:r w:rsidR="0049465C" w:rsidRPr="002C6F76">
        <w:t xml:space="preserve">. </w:t>
      </w:r>
      <w:r w:rsidRPr="002C6F76">
        <w:t>2012</w:t>
      </w:r>
      <w:r w:rsidR="00513BCB" w:rsidRPr="002C6F76">
        <w:rPr>
          <w:rFonts w:asciiTheme="majorBidi" w:hAnsiTheme="majorBidi" w:cstheme="majorBidi"/>
          <w:szCs w:val="24"/>
          <w:lang w:val="en-GB"/>
        </w:rPr>
        <w:t xml:space="preserve">. </w:t>
      </w:r>
      <w:r w:rsidR="00513BCB" w:rsidRPr="002C6F76">
        <w:rPr>
          <w:rFonts w:asciiTheme="majorBidi" w:eastAsiaTheme="minorHAnsi" w:hAnsiTheme="majorBidi" w:cstheme="majorBidi"/>
          <w:szCs w:val="24"/>
          <w:lang w:val="en-GB" w:bidi="ar-SA"/>
        </w:rPr>
        <w:t>“</w:t>
      </w:r>
      <w:r w:rsidRPr="002C6F76">
        <w:t>The state of the art of impact assessment</w:t>
      </w:r>
      <w:r w:rsidR="00E54FB3" w:rsidRPr="002C6F76">
        <w:rPr>
          <w:rFonts w:asciiTheme="majorBidi" w:eastAsiaTheme="minorHAnsi" w:hAnsiTheme="majorBidi" w:cstheme="majorBidi"/>
          <w:color w:val="1A171B"/>
          <w:szCs w:val="24"/>
          <w:lang w:val="en-GB" w:bidi="ar-SA"/>
        </w:rPr>
        <w:t>.”</w:t>
      </w:r>
      <w:r w:rsidR="00E54FB3" w:rsidRPr="002C6F76">
        <w:rPr>
          <w:lang w:val="en-GB"/>
        </w:rPr>
        <w:t xml:space="preserve"> </w:t>
      </w:r>
      <w:r w:rsidRPr="002C6F76">
        <w:rPr>
          <w:rFonts w:asciiTheme="majorBidi" w:hAnsiTheme="majorBidi" w:cstheme="majorBidi"/>
          <w:i/>
          <w:iCs/>
          <w:color w:val="000000"/>
          <w:szCs w:val="24"/>
          <w:lang w:val="en-GB"/>
        </w:rPr>
        <w:t>Impact Assessment and Project Appraisal</w:t>
      </w:r>
      <w:r w:rsidRPr="002C6F76">
        <w:rPr>
          <w:rFonts w:eastAsiaTheme="minorHAnsi"/>
          <w:lang w:val="en-GB" w:bidi="ar-SA"/>
        </w:rPr>
        <w:t xml:space="preserve"> 30</w:t>
      </w:r>
      <w:r w:rsidR="00351BD2">
        <w:rPr>
          <w:rFonts w:eastAsiaTheme="minorHAnsi"/>
          <w:lang w:val="en-GB" w:bidi="ar-SA"/>
        </w:rPr>
        <w:t>:</w:t>
      </w:r>
      <w:r w:rsidRPr="002C6F76">
        <w:rPr>
          <w:rFonts w:eastAsiaTheme="minorHAnsi"/>
          <w:lang w:val="en-GB" w:bidi="ar-SA"/>
        </w:rPr>
        <w:t>11–</w:t>
      </w:r>
      <w:r w:rsidRPr="002C6F76">
        <w:t>4.</w:t>
      </w:r>
    </w:p>
    <w:p w14:paraId="65F3BEC3" w14:textId="77777777" w:rsidR="00F758D0" w:rsidRPr="002C6F76" w:rsidRDefault="00F758D0" w:rsidP="00476763">
      <w:pPr>
        <w:rPr>
          <w:rFonts w:eastAsiaTheme="minorHAnsi"/>
        </w:rPr>
      </w:pPr>
      <w:r w:rsidRPr="002C6F76">
        <w:rPr>
          <w:rFonts w:eastAsiaTheme="minorHAnsi"/>
          <w:lang w:val="en-GB" w:bidi="ar-SA"/>
        </w:rPr>
        <w:t>Briffett</w:t>
      </w:r>
      <w:r w:rsidR="002870C7" w:rsidRPr="002C6F76">
        <w:rPr>
          <w:rFonts w:eastAsiaTheme="minorHAnsi"/>
          <w:lang w:val="en-GB" w:bidi="ar-SA"/>
        </w:rPr>
        <w:t>,</w:t>
      </w:r>
      <w:r w:rsidRPr="002C6F76">
        <w:rPr>
          <w:rFonts w:eastAsiaTheme="minorHAnsi"/>
          <w:lang w:val="en-GB" w:bidi="ar-SA"/>
        </w:rPr>
        <w:t xml:space="preserve"> C</w:t>
      </w:r>
      <w:r w:rsidR="00513BCB" w:rsidRPr="002C6F76">
        <w:rPr>
          <w:rFonts w:asciiTheme="majorBidi" w:hAnsiTheme="majorBidi" w:cstheme="majorBidi"/>
          <w:szCs w:val="24"/>
          <w:lang w:val="en-GB"/>
        </w:rPr>
        <w:t xml:space="preserve">. </w:t>
      </w:r>
      <w:r w:rsidR="00E54FB3" w:rsidRPr="002C6F76">
        <w:rPr>
          <w:rFonts w:eastAsiaTheme="minorHAnsi"/>
          <w:lang w:val="en-GB" w:bidi="ar-SA"/>
        </w:rPr>
        <w:t>1999.</w:t>
      </w:r>
      <w:r w:rsidR="00E54FB3" w:rsidRPr="002C6F76">
        <w:rPr>
          <w:rFonts w:asciiTheme="majorBidi" w:eastAsiaTheme="minorHAnsi" w:hAnsiTheme="majorBidi" w:cstheme="majorBidi"/>
          <w:szCs w:val="24"/>
          <w:lang w:val="en-GB" w:bidi="ar-SA"/>
        </w:rPr>
        <w:t xml:space="preserve"> </w:t>
      </w:r>
      <w:r w:rsidRPr="002C6F76">
        <w:rPr>
          <w:rFonts w:eastAsiaTheme="minorHAnsi"/>
          <w:lang w:val="en-GB" w:bidi="ar-SA"/>
        </w:rPr>
        <w:t xml:space="preserve">Environmental impact assessment in East Asia. In: Petts J, editor. Handbook of environmental impact assessment: environmental impact assessment in practice: impact and </w:t>
      </w:r>
      <w:r w:rsidRPr="002C6F76">
        <w:rPr>
          <w:rFonts w:eastAsiaTheme="minorHAnsi"/>
        </w:rPr>
        <w:t xml:space="preserve">limitations, vol. 2. Oxford: </w:t>
      </w:r>
      <w:r w:rsidR="002870C7" w:rsidRPr="002C6F76">
        <w:rPr>
          <w:rFonts w:eastAsiaTheme="minorHAnsi"/>
        </w:rPr>
        <w:t>Blackwell;</w:t>
      </w:r>
      <w:r w:rsidRPr="002C6F76">
        <w:rPr>
          <w:rFonts w:eastAsiaTheme="minorHAnsi"/>
        </w:rPr>
        <w:t xml:space="preserve"> 143–67.</w:t>
      </w:r>
    </w:p>
    <w:p w14:paraId="52EA1E99" w14:textId="77777777" w:rsidR="002023BC" w:rsidRPr="002C6F76" w:rsidRDefault="002023BC" w:rsidP="002023BC">
      <w:pPr>
        <w:rPr>
          <w:rFonts w:eastAsiaTheme="minorHAnsi"/>
        </w:rPr>
      </w:pPr>
      <w:r w:rsidRPr="002C6F76">
        <w:rPr>
          <w:rFonts w:eastAsiaTheme="minorHAnsi"/>
        </w:rPr>
        <w:t>Cashmore</w:t>
      </w:r>
      <w:r w:rsidR="0049465C" w:rsidRPr="002C6F76">
        <w:rPr>
          <w:rFonts w:eastAsiaTheme="minorHAnsi"/>
        </w:rPr>
        <w:t>,</w:t>
      </w:r>
      <w:r w:rsidRPr="002C6F76">
        <w:rPr>
          <w:rFonts w:eastAsiaTheme="minorHAnsi"/>
        </w:rPr>
        <w:t xml:space="preserve"> M</w:t>
      </w:r>
      <w:r w:rsidR="0049465C" w:rsidRPr="002C6F76">
        <w:rPr>
          <w:rFonts w:eastAsiaTheme="minorHAnsi"/>
        </w:rPr>
        <w:t>.</w:t>
      </w:r>
      <w:r w:rsidRPr="002C6F76">
        <w:rPr>
          <w:rFonts w:eastAsiaTheme="minorHAnsi"/>
        </w:rPr>
        <w:t xml:space="preserve">, </w:t>
      </w:r>
      <w:r w:rsidR="00084648" w:rsidRPr="002C6F76">
        <w:rPr>
          <w:rFonts w:eastAsiaTheme="minorHAnsi"/>
        </w:rPr>
        <w:t xml:space="preserve">A. </w:t>
      </w:r>
      <w:r w:rsidRPr="002C6F76">
        <w:rPr>
          <w:rFonts w:eastAsiaTheme="minorHAnsi"/>
        </w:rPr>
        <w:t>Bond</w:t>
      </w:r>
      <w:r w:rsidR="00084648" w:rsidRPr="002C6F76">
        <w:rPr>
          <w:rFonts w:eastAsiaTheme="minorHAnsi"/>
        </w:rPr>
        <w:t>,</w:t>
      </w:r>
      <w:r w:rsidRPr="002C6F76">
        <w:rPr>
          <w:rFonts w:eastAsiaTheme="minorHAnsi"/>
        </w:rPr>
        <w:t xml:space="preserve"> </w:t>
      </w:r>
      <w:r w:rsidR="00AF7209" w:rsidRPr="002C6F76">
        <w:rPr>
          <w:rFonts w:eastAsiaTheme="minorHAnsi"/>
        </w:rPr>
        <w:t xml:space="preserve">B. </w:t>
      </w:r>
      <w:r w:rsidRPr="002C6F76">
        <w:rPr>
          <w:rFonts w:eastAsiaTheme="minorHAnsi"/>
        </w:rPr>
        <w:t xml:space="preserve">Sadler. 2009. Introduction: the effectiveness of impact assessment instruments. Impact Assess Project Appraisal. </w:t>
      </w:r>
      <w:r w:rsidR="00351BD2">
        <w:rPr>
          <w:rFonts w:eastAsiaTheme="minorHAnsi"/>
        </w:rPr>
        <w:t>DOI</w:t>
      </w:r>
      <w:r w:rsidRPr="002C6F76">
        <w:rPr>
          <w:rFonts w:eastAsiaTheme="minorHAnsi"/>
        </w:rPr>
        <w:t>:10.3152/146155109X454285.</w:t>
      </w:r>
    </w:p>
    <w:p w14:paraId="7AA4B2AA" w14:textId="77777777" w:rsidR="00D72D70" w:rsidRDefault="00D72D70" w:rsidP="00537223">
      <w:pPr>
        <w:rPr>
          <w:rFonts w:eastAsiaTheme="minorHAnsi"/>
        </w:rPr>
      </w:pPr>
      <w:r w:rsidRPr="002C6F76">
        <w:rPr>
          <w:rFonts w:eastAsiaTheme="minorHAnsi"/>
        </w:rPr>
        <w:t>Chen</w:t>
      </w:r>
      <w:r w:rsidR="002870C7" w:rsidRPr="002C6F76">
        <w:rPr>
          <w:rFonts w:eastAsiaTheme="minorHAnsi"/>
        </w:rPr>
        <w:t xml:space="preserve">, </w:t>
      </w:r>
      <w:r w:rsidRPr="002C6F76">
        <w:rPr>
          <w:rFonts w:eastAsiaTheme="minorHAnsi"/>
        </w:rPr>
        <w:t>J</w:t>
      </w:r>
      <w:r w:rsidR="00E54FB3" w:rsidRPr="002C6F76">
        <w:rPr>
          <w:rFonts w:eastAsiaTheme="minorHAnsi"/>
        </w:rPr>
        <w:t xml:space="preserve">. </w:t>
      </w:r>
      <w:r w:rsidRPr="002C6F76">
        <w:rPr>
          <w:rFonts w:eastAsiaTheme="minorHAnsi"/>
        </w:rPr>
        <w:t xml:space="preserve">2013. </w:t>
      </w:r>
      <w:r w:rsidR="002E646B">
        <w:t>“</w:t>
      </w:r>
      <w:r w:rsidRPr="002C6F76">
        <w:rPr>
          <w:rFonts w:eastAsiaTheme="minorHAnsi"/>
        </w:rPr>
        <w:t>Public participation provisions in Environmental Impact Assessment (EIA) legal system Case studies in China, India and Indonesia</w:t>
      </w:r>
      <w:r w:rsidR="002E646B">
        <w:rPr>
          <w:rFonts w:eastAsiaTheme="minorHAnsi"/>
        </w:rPr>
        <w:t>.</w:t>
      </w:r>
      <w:r w:rsidR="002E646B">
        <w:t xml:space="preserve">” </w:t>
      </w:r>
      <w:r w:rsidRPr="002C6F76">
        <w:rPr>
          <w:rFonts w:eastAsiaTheme="minorHAnsi"/>
        </w:rPr>
        <w:t xml:space="preserve">Master </w:t>
      </w:r>
      <w:r w:rsidR="002E646B">
        <w:t>diss.</w:t>
      </w:r>
      <w:r w:rsidRPr="002C6F76">
        <w:rPr>
          <w:rFonts w:eastAsiaTheme="minorHAnsi"/>
        </w:rPr>
        <w:t>, University of Utrecht.</w:t>
      </w:r>
    </w:p>
    <w:p w14:paraId="1B6710DB" w14:textId="77777777" w:rsidR="00C14DAC" w:rsidRPr="002C6F76" w:rsidRDefault="00C14DAC" w:rsidP="00537223">
      <w:pPr>
        <w:rPr>
          <w:rFonts w:eastAsiaTheme="minorHAnsi"/>
        </w:rPr>
      </w:pPr>
      <w:r w:rsidRPr="002C6F76">
        <w:rPr>
          <w:rFonts w:eastAsiaTheme="minorHAnsi"/>
          <w:lang w:val="en-GB" w:bidi="ar-SA"/>
        </w:rPr>
        <w:t xml:space="preserve">CITET </w:t>
      </w:r>
      <w:r>
        <w:rPr>
          <w:rFonts w:eastAsiaTheme="minorHAnsi"/>
          <w:lang w:val="en-GB" w:bidi="ar-SA"/>
        </w:rPr>
        <w:t>(</w:t>
      </w:r>
      <w:r w:rsidRPr="002C6F76">
        <w:rPr>
          <w:rFonts w:eastAsiaTheme="minorHAnsi"/>
          <w:lang w:val="en-GB" w:bidi="ar-SA"/>
        </w:rPr>
        <w:t>Tunis International Centre for Environmental Technologies</w:t>
      </w:r>
      <w:r>
        <w:rPr>
          <w:rFonts w:eastAsiaTheme="minorHAnsi"/>
          <w:lang w:val="en-GB" w:bidi="ar-SA"/>
        </w:rPr>
        <w:t>)</w:t>
      </w:r>
      <w:r w:rsidRPr="002C6F76">
        <w:rPr>
          <w:rFonts w:eastAsiaTheme="minorHAnsi"/>
        </w:rPr>
        <w:t xml:space="preserve"> </w:t>
      </w:r>
      <w:r w:rsidRPr="002C6F76">
        <w:rPr>
          <w:rFonts w:eastAsiaTheme="minorHAnsi"/>
          <w:lang w:val="en-GB" w:bidi="ar-SA"/>
        </w:rPr>
        <w:t xml:space="preserve">2003. </w:t>
      </w:r>
      <w:r w:rsidRPr="0022189A">
        <w:rPr>
          <w:rFonts w:eastAsiaTheme="minorHAnsi"/>
          <w:i/>
          <w:lang w:val="en-GB" w:bidi="ar-SA"/>
        </w:rPr>
        <w:t>Working together to strengthen the environ environment: strengthening EIA systems in the Mediterranean region</w:t>
      </w:r>
      <w:r w:rsidRPr="002C6F76">
        <w:rPr>
          <w:rFonts w:eastAsiaTheme="minorHAnsi"/>
          <w:lang w:val="en-GB" w:bidi="ar-SA"/>
        </w:rPr>
        <w:t>. Tunis: CITET.</w:t>
      </w:r>
    </w:p>
    <w:p w14:paraId="5BFE6704" w14:textId="77777777" w:rsidR="00F758D0" w:rsidRPr="002C6F76" w:rsidRDefault="00F758D0" w:rsidP="00476763">
      <w:pPr>
        <w:rPr>
          <w:rFonts w:eastAsiaTheme="minorHAnsi"/>
        </w:rPr>
      </w:pPr>
      <w:r w:rsidRPr="002C6F76">
        <w:rPr>
          <w:rFonts w:eastAsiaTheme="minorHAnsi"/>
        </w:rPr>
        <w:t>Dienel, H</w:t>
      </w:r>
      <w:r w:rsidR="002870C7" w:rsidRPr="002C6F76">
        <w:rPr>
          <w:rFonts w:eastAsiaTheme="minorHAnsi"/>
        </w:rPr>
        <w:t>.</w:t>
      </w:r>
      <w:r w:rsidRPr="002C6F76">
        <w:rPr>
          <w:rFonts w:eastAsiaTheme="minorHAnsi"/>
        </w:rPr>
        <w:t>, L. Shirazi, M</w:t>
      </w:r>
      <w:r w:rsidR="00084648" w:rsidRPr="002C6F76">
        <w:rPr>
          <w:rFonts w:eastAsiaTheme="minorHAnsi"/>
        </w:rPr>
        <w:t>.</w:t>
      </w:r>
      <w:r w:rsidRPr="002C6F76">
        <w:rPr>
          <w:rFonts w:eastAsiaTheme="minorHAnsi"/>
        </w:rPr>
        <w:t xml:space="preserve"> R. Schroder, </w:t>
      </w:r>
      <w:r w:rsidR="00BB38EB" w:rsidRPr="002C6F76">
        <w:rPr>
          <w:lang w:val="en-GB"/>
        </w:rPr>
        <w:t>and</w:t>
      </w:r>
      <w:r w:rsidRPr="002C6F76">
        <w:rPr>
          <w:rFonts w:eastAsiaTheme="minorHAnsi"/>
        </w:rPr>
        <w:t xml:space="preserve"> </w:t>
      </w:r>
      <w:r w:rsidR="00AF7209" w:rsidRPr="002C6F76">
        <w:rPr>
          <w:rFonts w:eastAsiaTheme="minorHAnsi"/>
        </w:rPr>
        <w:t xml:space="preserve">J. </w:t>
      </w:r>
      <w:r w:rsidRPr="002C6F76">
        <w:rPr>
          <w:rFonts w:eastAsiaTheme="minorHAnsi"/>
        </w:rPr>
        <w:t>Schmithals. 2017. Citizens’ participation in urban planning and developmet in Iran.</w:t>
      </w:r>
      <w:r w:rsidR="00E848C6" w:rsidRPr="002C6F76">
        <w:rPr>
          <w:rFonts w:eastAsiaTheme="minorHAnsi"/>
        </w:rPr>
        <w:t xml:space="preserve"> </w:t>
      </w:r>
      <w:r w:rsidRPr="002C6F76">
        <w:rPr>
          <w:rFonts w:eastAsiaTheme="minorHAnsi"/>
        </w:rPr>
        <w:t>Routlege. New York.</w:t>
      </w:r>
    </w:p>
    <w:p w14:paraId="49C2ECE7" w14:textId="77777777" w:rsidR="00F758D0" w:rsidRPr="002C6F76" w:rsidRDefault="00F758D0" w:rsidP="00476763">
      <w:pPr>
        <w:rPr>
          <w:rFonts w:eastAsiaTheme="minorHAnsi"/>
        </w:rPr>
      </w:pPr>
      <w:r w:rsidRPr="002C6F76">
        <w:rPr>
          <w:rFonts w:eastAsiaTheme="minorHAnsi"/>
        </w:rPr>
        <w:t>Doberstein</w:t>
      </w:r>
      <w:r w:rsidR="002870C7" w:rsidRPr="002C6F76">
        <w:rPr>
          <w:rFonts w:eastAsiaTheme="minorHAnsi"/>
        </w:rPr>
        <w:t>,</w:t>
      </w:r>
      <w:r w:rsidRPr="002C6F76">
        <w:rPr>
          <w:rFonts w:eastAsiaTheme="minorHAnsi"/>
        </w:rPr>
        <w:t xml:space="preserve"> B. </w:t>
      </w:r>
      <w:r w:rsidR="00E848C6" w:rsidRPr="002C6F76">
        <w:rPr>
          <w:rFonts w:eastAsiaTheme="minorHAnsi"/>
        </w:rPr>
        <w:t>2003</w:t>
      </w:r>
      <w:r w:rsidR="00E848C6" w:rsidRPr="002C6F76">
        <w:rPr>
          <w:rFonts w:asciiTheme="majorBidi" w:hAnsiTheme="majorBidi" w:cstheme="majorBidi"/>
          <w:szCs w:val="24"/>
          <w:lang w:val="en-GB"/>
        </w:rPr>
        <w:t xml:space="preserve">. </w:t>
      </w:r>
      <w:r w:rsidR="00E848C6" w:rsidRPr="002C6F76">
        <w:rPr>
          <w:rFonts w:asciiTheme="majorBidi" w:eastAsiaTheme="minorHAnsi" w:hAnsiTheme="majorBidi" w:cstheme="majorBidi"/>
          <w:szCs w:val="24"/>
          <w:lang w:val="en-GB" w:bidi="ar-SA"/>
        </w:rPr>
        <w:t>“</w:t>
      </w:r>
      <w:r w:rsidRPr="002C6F76">
        <w:rPr>
          <w:rFonts w:eastAsiaTheme="minorHAnsi"/>
        </w:rPr>
        <w:t>Environmental capacity-building in a transitional economy: the emergence of the EIA capacity in Vietnam</w:t>
      </w:r>
      <w:r w:rsidR="00E54FB3" w:rsidRPr="002C6F76">
        <w:rPr>
          <w:rFonts w:asciiTheme="majorBidi" w:eastAsiaTheme="minorHAnsi" w:hAnsiTheme="majorBidi" w:cstheme="majorBidi"/>
          <w:color w:val="1A171B"/>
          <w:szCs w:val="24"/>
          <w:lang w:val="en-GB" w:bidi="ar-SA"/>
        </w:rPr>
        <w:t>.”</w:t>
      </w:r>
      <w:r w:rsidR="00E54FB3" w:rsidRPr="002C6F76">
        <w:rPr>
          <w:lang w:val="en-GB"/>
        </w:rPr>
        <w:t xml:space="preserve"> </w:t>
      </w:r>
      <w:r w:rsidRPr="002C6F76">
        <w:rPr>
          <w:rFonts w:asciiTheme="majorBidi" w:hAnsiTheme="majorBidi" w:cstheme="majorBidi"/>
          <w:i/>
          <w:iCs/>
          <w:color w:val="000000"/>
          <w:szCs w:val="24"/>
          <w:lang w:val="en-GB"/>
        </w:rPr>
        <w:t>Impact Assess Project Appraisal</w:t>
      </w:r>
      <w:r w:rsidR="00E54FB3" w:rsidRPr="002C6F76">
        <w:rPr>
          <w:rFonts w:eastAsiaTheme="minorHAnsi"/>
        </w:rPr>
        <w:t xml:space="preserve">. </w:t>
      </w:r>
      <w:r w:rsidRPr="002C6F76">
        <w:rPr>
          <w:rFonts w:eastAsiaTheme="minorHAnsi"/>
        </w:rPr>
        <w:t>21(1):</w:t>
      </w:r>
      <w:r w:rsidR="003F53AB">
        <w:rPr>
          <w:rFonts w:eastAsiaTheme="minorHAnsi"/>
        </w:rPr>
        <w:t xml:space="preserve"> </w:t>
      </w:r>
      <w:r w:rsidRPr="002C6F76">
        <w:rPr>
          <w:rFonts w:eastAsiaTheme="minorHAnsi"/>
        </w:rPr>
        <w:t>25–42.</w:t>
      </w:r>
    </w:p>
    <w:p w14:paraId="4ABA3427" w14:textId="35FE04BA" w:rsidR="00130ECB" w:rsidRPr="002C6F76" w:rsidRDefault="00130ECB" w:rsidP="00130ECB">
      <w:pPr>
        <w:rPr>
          <w:rFonts w:eastAsiaTheme="minorHAnsi"/>
        </w:rPr>
      </w:pPr>
      <w:r w:rsidRPr="002C6F76">
        <w:rPr>
          <w:rFonts w:eastAsiaTheme="minorHAnsi"/>
        </w:rPr>
        <w:t>DoE (Department of the environment) 201</w:t>
      </w:r>
      <w:r>
        <w:rPr>
          <w:rFonts w:eastAsiaTheme="minorHAnsi"/>
        </w:rPr>
        <w:t>6</w:t>
      </w:r>
      <w:r w:rsidRPr="0022189A">
        <w:rPr>
          <w:rFonts w:eastAsiaTheme="minorHAnsi"/>
          <w:i/>
        </w:rPr>
        <w:t xml:space="preserve">. </w:t>
      </w:r>
      <w:r>
        <w:rPr>
          <w:rFonts w:eastAsiaTheme="minorHAnsi"/>
          <w:i/>
        </w:rPr>
        <w:t>Environmental Impact Assessment process</w:t>
      </w:r>
      <w:r w:rsidRPr="0022189A">
        <w:rPr>
          <w:rFonts w:eastAsiaTheme="minorHAnsi"/>
          <w:i/>
        </w:rPr>
        <w:t xml:space="preserve"> in Iran</w:t>
      </w:r>
      <w:r>
        <w:rPr>
          <w:rFonts w:eastAsiaTheme="minorHAnsi"/>
        </w:rPr>
        <w:t xml:space="preserve">. </w:t>
      </w:r>
      <w:r w:rsidRPr="002C6F76">
        <w:rPr>
          <w:rFonts w:eastAsiaTheme="minorHAnsi"/>
        </w:rPr>
        <w:t>Tehran</w:t>
      </w:r>
      <w:r>
        <w:rPr>
          <w:rFonts w:eastAsiaTheme="minorHAnsi"/>
        </w:rPr>
        <w:t>:</w:t>
      </w:r>
      <w:r w:rsidRPr="002C6F76">
        <w:rPr>
          <w:rFonts w:eastAsiaTheme="minorHAnsi"/>
        </w:rPr>
        <w:t xml:space="preserve"> DoE. (</w:t>
      </w:r>
      <w:r>
        <w:rPr>
          <w:rFonts w:eastAsiaTheme="minorHAnsi"/>
        </w:rPr>
        <w:t>T</w:t>
      </w:r>
      <w:r w:rsidRPr="002C6F76">
        <w:rPr>
          <w:rFonts w:eastAsiaTheme="minorHAnsi"/>
        </w:rPr>
        <w:t>ranslated from Persian version).</w:t>
      </w:r>
    </w:p>
    <w:p w14:paraId="56073BB3" w14:textId="6D082683" w:rsidR="002C6F76" w:rsidRPr="002C6F76" w:rsidRDefault="002C6F76" w:rsidP="002C6F76">
      <w:pPr>
        <w:rPr>
          <w:rFonts w:eastAsiaTheme="minorHAnsi"/>
        </w:rPr>
      </w:pPr>
      <w:r w:rsidRPr="002C6F76">
        <w:rPr>
          <w:rFonts w:eastAsiaTheme="minorHAnsi"/>
        </w:rPr>
        <w:t>DoE (Department of the environment) 2017</w:t>
      </w:r>
      <w:r w:rsidR="003F53AB" w:rsidRPr="0022189A">
        <w:rPr>
          <w:rFonts w:eastAsiaTheme="minorHAnsi"/>
          <w:i/>
        </w:rPr>
        <w:t xml:space="preserve">. </w:t>
      </w:r>
      <w:r w:rsidRPr="0022189A">
        <w:rPr>
          <w:rFonts w:eastAsiaTheme="minorHAnsi"/>
          <w:i/>
        </w:rPr>
        <w:t>Environmental rules and Standards in Iran</w:t>
      </w:r>
      <w:r w:rsidR="0016126D">
        <w:rPr>
          <w:rFonts w:eastAsiaTheme="minorHAnsi"/>
        </w:rPr>
        <w:t xml:space="preserve">. </w:t>
      </w:r>
      <w:r w:rsidRPr="002C6F76">
        <w:rPr>
          <w:rFonts w:eastAsiaTheme="minorHAnsi"/>
        </w:rPr>
        <w:t>Tehran</w:t>
      </w:r>
      <w:r w:rsidR="002E646B">
        <w:rPr>
          <w:rFonts w:eastAsiaTheme="minorHAnsi"/>
        </w:rPr>
        <w:t>:</w:t>
      </w:r>
      <w:r w:rsidR="002E646B" w:rsidRPr="002C6F76">
        <w:rPr>
          <w:rFonts w:eastAsiaTheme="minorHAnsi"/>
        </w:rPr>
        <w:t xml:space="preserve"> DoE</w:t>
      </w:r>
      <w:r w:rsidRPr="002C6F76">
        <w:rPr>
          <w:rFonts w:eastAsiaTheme="minorHAnsi"/>
        </w:rPr>
        <w:t>. (</w:t>
      </w:r>
      <w:r w:rsidR="00130ECB">
        <w:rPr>
          <w:rFonts w:eastAsiaTheme="minorHAnsi"/>
        </w:rPr>
        <w:t>T</w:t>
      </w:r>
      <w:r w:rsidR="00130ECB" w:rsidRPr="002C6F76">
        <w:rPr>
          <w:rFonts w:eastAsiaTheme="minorHAnsi"/>
        </w:rPr>
        <w:t xml:space="preserve">ranslated </w:t>
      </w:r>
      <w:r w:rsidRPr="002C6F76">
        <w:rPr>
          <w:rFonts w:eastAsiaTheme="minorHAnsi"/>
        </w:rPr>
        <w:t>from Persian version).</w:t>
      </w:r>
    </w:p>
    <w:p w14:paraId="6E8A1D70" w14:textId="77777777" w:rsidR="00F758D0" w:rsidRPr="002C6F76" w:rsidRDefault="00F758D0" w:rsidP="00476763">
      <w:pPr>
        <w:rPr>
          <w:rFonts w:eastAsiaTheme="minorHAnsi"/>
        </w:rPr>
      </w:pPr>
      <w:r w:rsidRPr="002C6F76">
        <w:rPr>
          <w:rFonts w:eastAsiaTheme="minorHAnsi"/>
        </w:rPr>
        <w:t>Drayson, K</w:t>
      </w:r>
      <w:bookmarkStart w:id="40" w:name="_Hlk515692312"/>
      <w:r w:rsidRPr="002C6F76">
        <w:rPr>
          <w:rFonts w:eastAsiaTheme="minorHAnsi"/>
        </w:rPr>
        <w:t>.,</w:t>
      </w:r>
      <w:bookmarkEnd w:id="40"/>
      <w:r w:rsidRPr="002C6F76">
        <w:rPr>
          <w:rFonts w:eastAsiaTheme="minorHAnsi"/>
        </w:rPr>
        <w:t xml:space="preserve"> </w:t>
      </w:r>
      <w:r w:rsidR="00084648" w:rsidRPr="002C6F76">
        <w:rPr>
          <w:rFonts w:eastAsiaTheme="minorHAnsi"/>
        </w:rPr>
        <w:t>G.</w:t>
      </w:r>
      <w:r w:rsidRPr="002C6F76">
        <w:rPr>
          <w:rFonts w:eastAsiaTheme="minorHAnsi"/>
        </w:rPr>
        <w:t>Wood,</w:t>
      </w:r>
      <w:r w:rsidR="00BB38EB" w:rsidRPr="002C6F76">
        <w:rPr>
          <w:lang w:val="en-GB"/>
        </w:rPr>
        <w:t xml:space="preserve"> and</w:t>
      </w:r>
      <w:r w:rsidRPr="002C6F76">
        <w:rPr>
          <w:rFonts w:eastAsiaTheme="minorHAnsi"/>
        </w:rPr>
        <w:t xml:space="preserve"> </w:t>
      </w:r>
      <w:r w:rsidR="00AF7209" w:rsidRPr="002C6F76">
        <w:rPr>
          <w:rFonts w:eastAsiaTheme="minorHAnsi"/>
        </w:rPr>
        <w:t xml:space="preserve">S. </w:t>
      </w:r>
      <w:r w:rsidRPr="002C6F76">
        <w:rPr>
          <w:rFonts w:eastAsiaTheme="minorHAnsi"/>
        </w:rPr>
        <w:t>Thompson</w:t>
      </w:r>
      <w:r w:rsidR="00E54FB3" w:rsidRPr="002C6F76">
        <w:rPr>
          <w:rFonts w:eastAsiaTheme="minorHAnsi"/>
        </w:rPr>
        <w:t xml:space="preserve">. </w:t>
      </w:r>
      <w:r w:rsidRPr="002C6F76">
        <w:rPr>
          <w:rFonts w:eastAsiaTheme="minorHAnsi"/>
        </w:rPr>
        <w:t>2017</w:t>
      </w:r>
      <w:r w:rsidR="00E848C6" w:rsidRPr="002C6F76">
        <w:rPr>
          <w:rFonts w:asciiTheme="majorBidi" w:hAnsiTheme="majorBidi" w:cstheme="majorBidi"/>
          <w:szCs w:val="24"/>
          <w:lang w:val="en-GB"/>
        </w:rPr>
        <w:t xml:space="preserve">. </w:t>
      </w:r>
      <w:r w:rsidR="00E848C6" w:rsidRPr="002C6F76">
        <w:rPr>
          <w:rFonts w:asciiTheme="majorBidi" w:eastAsiaTheme="minorHAnsi" w:hAnsiTheme="majorBidi" w:cstheme="majorBidi"/>
          <w:szCs w:val="24"/>
          <w:lang w:val="en-GB" w:bidi="ar-SA"/>
        </w:rPr>
        <w:t>“</w:t>
      </w:r>
      <w:r w:rsidRPr="002C6F76">
        <w:rPr>
          <w:rFonts w:eastAsiaTheme="minorHAnsi"/>
        </w:rPr>
        <w:t>An evaluation of ecological impact assessment procedural effectiveness over time</w:t>
      </w:r>
      <w:r w:rsidR="00E54FB3" w:rsidRPr="002C6F76">
        <w:rPr>
          <w:rFonts w:asciiTheme="majorBidi" w:eastAsiaTheme="minorHAnsi" w:hAnsiTheme="majorBidi" w:cstheme="majorBidi"/>
          <w:color w:val="1A171B"/>
          <w:szCs w:val="24"/>
          <w:lang w:val="en-GB" w:bidi="ar-SA"/>
        </w:rPr>
        <w:t>.”</w:t>
      </w:r>
      <w:r w:rsidR="00E54FB3" w:rsidRPr="002C6F76">
        <w:rPr>
          <w:lang w:val="en-GB"/>
        </w:rPr>
        <w:t xml:space="preserve"> </w:t>
      </w:r>
      <w:r w:rsidRPr="002C6F76">
        <w:rPr>
          <w:rFonts w:asciiTheme="majorBidi" w:hAnsiTheme="majorBidi" w:cstheme="majorBidi"/>
          <w:i/>
          <w:iCs/>
          <w:color w:val="000000"/>
          <w:szCs w:val="24"/>
          <w:lang w:val="en-GB"/>
        </w:rPr>
        <w:t>Environmental Science &amp; Policy</w:t>
      </w:r>
      <w:r w:rsidRPr="002C6F76">
        <w:rPr>
          <w:rFonts w:eastAsiaTheme="minorHAnsi"/>
        </w:rPr>
        <w:t xml:space="preserve"> 70</w:t>
      </w:r>
      <w:r w:rsidR="003F53AB">
        <w:rPr>
          <w:rFonts w:eastAsiaTheme="minorHAnsi"/>
        </w:rPr>
        <w:t xml:space="preserve">: </w:t>
      </w:r>
      <w:r w:rsidRPr="002C6F76">
        <w:rPr>
          <w:rFonts w:eastAsiaTheme="minorHAnsi"/>
        </w:rPr>
        <w:t xml:space="preserve">54–66.  </w:t>
      </w:r>
    </w:p>
    <w:p w14:paraId="4398429B" w14:textId="4C576D13" w:rsidR="00F758D0" w:rsidRDefault="00F758D0" w:rsidP="00476763">
      <w:pPr>
        <w:rPr>
          <w:rFonts w:eastAsiaTheme="minorHAnsi"/>
        </w:rPr>
      </w:pPr>
      <w:r w:rsidRPr="002C6F76">
        <w:rPr>
          <w:rFonts w:eastAsiaTheme="minorHAnsi"/>
        </w:rPr>
        <w:lastRenderedPageBreak/>
        <w:t>El-Fadl</w:t>
      </w:r>
      <w:r w:rsidR="002870C7" w:rsidRPr="002C6F76">
        <w:rPr>
          <w:rFonts w:eastAsiaTheme="minorHAnsi"/>
        </w:rPr>
        <w:t>,</w:t>
      </w:r>
      <w:r w:rsidRPr="002C6F76">
        <w:rPr>
          <w:rFonts w:eastAsiaTheme="minorHAnsi"/>
        </w:rPr>
        <w:t xml:space="preserve"> K</w:t>
      </w:r>
      <w:r w:rsidR="000E1E8E" w:rsidRPr="002C6F76">
        <w:rPr>
          <w:rFonts w:eastAsiaTheme="minorHAnsi"/>
        </w:rPr>
        <w:t>.,</w:t>
      </w:r>
      <w:r w:rsidRPr="002C6F76">
        <w:rPr>
          <w:rFonts w:eastAsiaTheme="minorHAnsi"/>
        </w:rPr>
        <w:t xml:space="preserve"> </w:t>
      </w:r>
      <w:r w:rsidR="00084648" w:rsidRPr="002C6F76">
        <w:rPr>
          <w:rFonts w:eastAsiaTheme="minorHAnsi"/>
        </w:rPr>
        <w:t xml:space="preserve">M. </w:t>
      </w:r>
      <w:r w:rsidRPr="002C6F76">
        <w:rPr>
          <w:rFonts w:eastAsiaTheme="minorHAnsi"/>
        </w:rPr>
        <w:t>El-Fadel. 2004</w:t>
      </w:r>
      <w:r w:rsidR="00E848C6" w:rsidRPr="002C6F76">
        <w:rPr>
          <w:rFonts w:asciiTheme="majorBidi" w:hAnsiTheme="majorBidi" w:cstheme="majorBidi"/>
          <w:szCs w:val="24"/>
          <w:lang w:val="en-GB"/>
        </w:rPr>
        <w:t xml:space="preserve">. </w:t>
      </w:r>
      <w:r w:rsidR="00E848C6" w:rsidRPr="002C6F76">
        <w:rPr>
          <w:rFonts w:asciiTheme="majorBidi" w:eastAsiaTheme="minorHAnsi" w:hAnsiTheme="majorBidi" w:cstheme="majorBidi"/>
          <w:szCs w:val="24"/>
          <w:lang w:val="en-GB" w:bidi="ar-SA"/>
        </w:rPr>
        <w:t>“</w:t>
      </w:r>
      <w:r w:rsidRPr="002C6F76">
        <w:rPr>
          <w:rFonts w:eastAsiaTheme="minorHAnsi"/>
        </w:rPr>
        <w:t>Comparative assessment of EIA systems in MENA countries: challenges and prospects</w:t>
      </w:r>
      <w:r w:rsidR="00E54FB3" w:rsidRPr="002C6F76">
        <w:rPr>
          <w:rFonts w:asciiTheme="majorBidi" w:eastAsiaTheme="minorHAnsi" w:hAnsiTheme="majorBidi" w:cstheme="majorBidi"/>
          <w:color w:val="1A171B"/>
          <w:szCs w:val="24"/>
          <w:lang w:val="en-GB" w:bidi="ar-SA"/>
        </w:rPr>
        <w:t>.”</w:t>
      </w:r>
      <w:r w:rsidR="00E54FB3" w:rsidRPr="002C6F76">
        <w:rPr>
          <w:lang w:val="en-GB"/>
        </w:rPr>
        <w:t xml:space="preserve"> </w:t>
      </w:r>
      <w:r w:rsidRPr="002C6F76">
        <w:rPr>
          <w:rFonts w:asciiTheme="majorBidi" w:hAnsiTheme="majorBidi" w:cstheme="majorBidi"/>
          <w:i/>
          <w:iCs/>
          <w:color w:val="000000"/>
          <w:szCs w:val="24"/>
          <w:lang w:val="en-GB"/>
        </w:rPr>
        <w:t>Environmental Impact Assessment Review</w:t>
      </w:r>
      <w:r w:rsidRPr="002C6F76">
        <w:rPr>
          <w:rFonts w:eastAsiaTheme="minorHAnsi"/>
        </w:rPr>
        <w:t>. 24:</w:t>
      </w:r>
      <w:r w:rsidR="003F53AB">
        <w:rPr>
          <w:rFonts w:eastAsiaTheme="minorHAnsi"/>
        </w:rPr>
        <w:t xml:space="preserve"> </w:t>
      </w:r>
      <w:r w:rsidRPr="002C6F76">
        <w:rPr>
          <w:rFonts w:eastAsiaTheme="minorHAnsi"/>
        </w:rPr>
        <w:t>553–593.</w:t>
      </w:r>
    </w:p>
    <w:p w14:paraId="14B11AD3" w14:textId="000D158D" w:rsidR="004F58C5" w:rsidRDefault="004F58C5" w:rsidP="004F58C5">
      <w:pPr>
        <w:spacing w:before="240"/>
      </w:pPr>
      <w:r w:rsidRPr="00714E97">
        <w:t>Elvan</w:t>
      </w:r>
      <w:r>
        <w:t>,</w:t>
      </w:r>
      <w:r w:rsidRPr="00714E97">
        <w:t xml:space="preserve"> OD</w:t>
      </w:r>
      <w:r>
        <w:t xml:space="preserve">. 2018. </w:t>
      </w:r>
      <w:r>
        <w:rPr>
          <w:rFonts w:eastAsiaTheme="minorHAnsi"/>
        </w:rPr>
        <w:t>“</w:t>
      </w:r>
      <w:r w:rsidRPr="00714E97">
        <w:t>Analysis of environmental impact assessment practices and legislation in</w:t>
      </w:r>
      <w:r>
        <w:t xml:space="preserve"> </w:t>
      </w:r>
      <w:r w:rsidRPr="00714E97">
        <w:t>Turkey</w:t>
      </w:r>
      <w:r>
        <w:rPr>
          <w:rFonts w:eastAsiaTheme="minorHAnsi"/>
        </w:rPr>
        <w:t>”.</w:t>
      </w:r>
      <w:r>
        <w:t xml:space="preserve"> </w:t>
      </w:r>
      <w:r w:rsidRPr="004F58C5">
        <w:rPr>
          <w:rFonts w:eastAsiaTheme="minorHAnsi"/>
          <w:i/>
        </w:rPr>
        <w:t>Environmental Science and Policy</w:t>
      </w:r>
      <w:r>
        <w:t xml:space="preserve"> 48: 1-6.</w:t>
      </w:r>
    </w:p>
    <w:p w14:paraId="434003F5" w14:textId="0BB28359" w:rsidR="003C4C5F" w:rsidRDefault="003C4C5F" w:rsidP="00476763">
      <w:pPr>
        <w:rPr>
          <w:rFonts w:ascii="AdvTT5235d5a9" w:eastAsiaTheme="minorHAnsi" w:hAnsi="AdvTT5235d5a9" w:cs="AdvTT5235d5a9"/>
          <w:color w:val="0000FF"/>
          <w:sz w:val="13"/>
          <w:szCs w:val="13"/>
          <w:lang w:val="en-GB" w:bidi="ar-SA"/>
        </w:rPr>
      </w:pPr>
      <w:r>
        <w:rPr>
          <w:rFonts w:eastAsiaTheme="minorHAnsi"/>
        </w:rPr>
        <w:t>Erlewein, A. 2013. “Disappearing rivers-The limits of environmental assessment for hydropower in India</w:t>
      </w:r>
      <w:r w:rsidR="004F58C5">
        <w:rPr>
          <w:rFonts w:eastAsiaTheme="minorHAnsi"/>
        </w:rPr>
        <w:t xml:space="preserve">”. </w:t>
      </w:r>
      <w:r w:rsidRPr="00C55760">
        <w:rPr>
          <w:rFonts w:eastAsiaTheme="minorHAnsi"/>
          <w:i/>
        </w:rPr>
        <w:t>Environmental Impact Assessment Review</w:t>
      </w:r>
      <w:r>
        <w:rPr>
          <w:rFonts w:eastAsiaTheme="minorHAnsi"/>
        </w:rPr>
        <w:t xml:space="preserve"> 43: 135-143. </w:t>
      </w:r>
    </w:p>
    <w:p w14:paraId="2F9EBB8A" w14:textId="77777777" w:rsidR="008B33D9" w:rsidRPr="002C6F76" w:rsidRDefault="008B33D9" w:rsidP="008B33D9">
      <w:pPr>
        <w:rPr>
          <w:rFonts w:eastAsiaTheme="minorHAnsi"/>
        </w:rPr>
      </w:pPr>
      <w:r w:rsidRPr="002C6F76">
        <w:rPr>
          <w:rFonts w:eastAsiaTheme="minorHAnsi"/>
        </w:rPr>
        <w:t xml:space="preserve">ESCWA </w:t>
      </w:r>
      <w:r w:rsidR="00351BD2">
        <w:rPr>
          <w:rFonts w:eastAsiaTheme="minorHAnsi"/>
        </w:rPr>
        <w:t>(</w:t>
      </w:r>
      <w:r w:rsidRPr="002C6F76">
        <w:rPr>
          <w:rFonts w:eastAsiaTheme="minorHAnsi"/>
        </w:rPr>
        <w:t>Economic and Social Commission for Western Asia</w:t>
      </w:r>
      <w:r w:rsidR="00351BD2">
        <w:rPr>
          <w:rFonts w:eastAsiaTheme="minorHAnsi"/>
        </w:rPr>
        <w:t>)</w:t>
      </w:r>
      <w:r w:rsidRPr="002C6F76">
        <w:rPr>
          <w:rFonts w:eastAsiaTheme="minorHAnsi"/>
        </w:rPr>
        <w:t xml:space="preserve"> 2001. </w:t>
      </w:r>
      <w:r w:rsidRPr="0022189A">
        <w:rPr>
          <w:rFonts w:eastAsiaTheme="minorHAnsi"/>
          <w:i/>
        </w:rPr>
        <w:t>A study on the evaluation of environmental impact assessment in selected ESCWA countries.</w:t>
      </w:r>
      <w:r w:rsidRPr="002C6F76">
        <w:rPr>
          <w:rFonts w:eastAsiaTheme="minorHAnsi"/>
        </w:rPr>
        <w:t xml:space="preserve"> New York: </w:t>
      </w:r>
      <w:r w:rsidR="002E646B" w:rsidRPr="002C6F76">
        <w:rPr>
          <w:rFonts w:eastAsiaTheme="minorHAnsi"/>
        </w:rPr>
        <w:t>ESCWA</w:t>
      </w:r>
      <w:r w:rsidR="002E646B">
        <w:rPr>
          <w:rFonts w:eastAsiaTheme="minorHAnsi"/>
        </w:rPr>
        <w:t>.</w:t>
      </w:r>
    </w:p>
    <w:p w14:paraId="778D6AE8" w14:textId="77777777" w:rsidR="002023BC" w:rsidRPr="002C6F76" w:rsidRDefault="002023BC" w:rsidP="002023BC">
      <w:pPr>
        <w:rPr>
          <w:rFonts w:eastAsiaTheme="minorHAnsi"/>
        </w:rPr>
      </w:pPr>
      <w:r w:rsidRPr="002C6F76">
        <w:rPr>
          <w:rFonts w:eastAsiaTheme="minorHAnsi"/>
        </w:rPr>
        <w:t>Fischer, T</w:t>
      </w:r>
      <w:r w:rsidR="00351BD2">
        <w:rPr>
          <w:rFonts w:eastAsiaTheme="minorHAnsi"/>
        </w:rPr>
        <w:t>.</w:t>
      </w:r>
      <w:r w:rsidRPr="002C6F76">
        <w:rPr>
          <w:rFonts w:eastAsiaTheme="minorHAnsi"/>
        </w:rPr>
        <w:t>B</w:t>
      </w:r>
      <w:r w:rsidR="00AF7209" w:rsidRPr="002C6F76">
        <w:rPr>
          <w:rFonts w:eastAsiaTheme="minorHAnsi"/>
        </w:rPr>
        <w:t>.,</w:t>
      </w:r>
      <w:r w:rsidRPr="002C6F76">
        <w:rPr>
          <w:rFonts w:eastAsiaTheme="minorHAnsi"/>
        </w:rPr>
        <w:t xml:space="preserve"> and P</w:t>
      </w:r>
      <w:r w:rsidR="0049465C" w:rsidRPr="002C6F76">
        <w:rPr>
          <w:rFonts w:eastAsiaTheme="minorHAnsi"/>
        </w:rPr>
        <w:t>.</w:t>
      </w:r>
      <w:r w:rsidRPr="002C6F76">
        <w:rPr>
          <w:rFonts w:eastAsiaTheme="minorHAnsi"/>
        </w:rPr>
        <w:t xml:space="preserve"> Gazzola</w:t>
      </w:r>
      <w:r w:rsidR="0049465C" w:rsidRPr="002C6F76">
        <w:rPr>
          <w:rFonts w:eastAsiaTheme="minorHAnsi"/>
        </w:rPr>
        <w:t>.</w:t>
      </w:r>
      <w:r w:rsidRPr="002C6F76">
        <w:rPr>
          <w:rFonts w:eastAsiaTheme="minorHAnsi"/>
        </w:rPr>
        <w:t xml:space="preserve"> 2006. </w:t>
      </w:r>
      <w:r w:rsidR="00351BD2" w:rsidRPr="002C6F76">
        <w:rPr>
          <w:rFonts w:asciiTheme="majorBidi" w:eastAsiaTheme="minorHAnsi" w:hAnsiTheme="majorBidi" w:cstheme="majorBidi"/>
          <w:szCs w:val="24"/>
          <w:lang w:val="en-GB" w:bidi="ar-SA"/>
        </w:rPr>
        <w:t>“</w:t>
      </w:r>
      <w:r w:rsidRPr="002C6F76">
        <w:rPr>
          <w:rFonts w:eastAsiaTheme="minorHAnsi"/>
        </w:rPr>
        <w:t>SEA good practice elements and performance criteria — equally valid in all countries? — the case of Italy.</w:t>
      </w:r>
      <w:r w:rsidR="00351BD2" w:rsidRPr="002C6F76">
        <w:rPr>
          <w:rFonts w:asciiTheme="majorBidi" w:eastAsiaTheme="minorHAnsi" w:hAnsiTheme="majorBidi" w:cstheme="majorBidi"/>
          <w:color w:val="1A171B"/>
          <w:szCs w:val="24"/>
          <w:lang w:val="en-GB" w:bidi="ar-SA"/>
        </w:rPr>
        <w:t>”</w:t>
      </w:r>
      <w:r w:rsidRPr="002C6F76">
        <w:rPr>
          <w:rFonts w:eastAsiaTheme="minorHAnsi"/>
        </w:rPr>
        <w:t xml:space="preserve"> </w:t>
      </w:r>
      <w:r w:rsidRPr="0022189A">
        <w:rPr>
          <w:rFonts w:eastAsiaTheme="minorHAnsi"/>
          <w:i/>
        </w:rPr>
        <w:t>Environment Impact Assessment Review</w:t>
      </w:r>
      <w:r w:rsidR="00351BD2">
        <w:rPr>
          <w:rFonts w:eastAsiaTheme="minorHAnsi"/>
        </w:rPr>
        <w:t xml:space="preserve"> </w:t>
      </w:r>
      <w:r w:rsidRPr="002C6F76">
        <w:rPr>
          <w:rFonts w:eastAsiaTheme="minorHAnsi"/>
        </w:rPr>
        <w:t>26(4</w:t>
      </w:r>
      <w:r w:rsidR="003F53AB" w:rsidRPr="002C6F76">
        <w:rPr>
          <w:rFonts w:eastAsiaTheme="minorHAnsi"/>
        </w:rPr>
        <w:t>)</w:t>
      </w:r>
      <w:r w:rsidR="003F53AB">
        <w:rPr>
          <w:rFonts w:eastAsiaTheme="minorHAnsi"/>
        </w:rPr>
        <w:t>:</w:t>
      </w:r>
      <w:r w:rsidR="003F53AB" w:rsidRPr="002C6F76">
        <w:rPr>
          <w:rFonts w:eastAsiaTheme="minorHAnsi"/>
        </w:rPr>
        <w:t xml:space="preserve"> </w:t>
      </w:r>
      <w:r w:rsidRPr="002C6F76">
        <w:rPr>
          <w:rFonts w:eastAsiaTheme="minorHAnsi"/>
        </w:rPr>
        <w:t>396–409.</w:t>
      </w:r>
    </w:p>
    <w:p w14:paraId="074B34F4" w14:textId="5A65B39D" w:rsidR="005854DC" w:rsidRDefault="005854DC" w:rsidP="002023BC">
      <w:pPr>
        <w:rPr>
          <w:rFonts w:eastAsiaTheme="minorHAnsi"/>
        </w:rPr>
      </w:pPr>
      <w:r w:rsidRPr="002C6F76">
        <w:rPr>
          <w:rFonts w:eastAsiaTheme="minorHAnsi"/>
        </w:rPr>
        <w:t>Fischer, TB</w:t>
      </w:r>
      <w:r w:rsidR="00AF7209" w:rsidRPr="002C6F76">
        <w:rPr>
          <w:rFonts w:eastAsiaTheme="minorHAnsi"/>
        </w:rPr>
        <w:t>.,</w:t>
      </w:r>
      <w:r w:rsidRPr="002C6F76">
        <w:rPr>
          <w:rFonts w:eastAsiaTheme="minorHAnsi"/>
        </w:rPr>
        <w:t xml:space="preserve"> and </w:t>
      </w:r>
      <w:r w:rsidR="00C57F6A" w:rsidRPr="002C6F76">
        <w:rPr>
          <w:rFonts w:eastAsiaTheme="minorHAnsi"/>
        </w:rPr>
        <w:t>J</w:t>
      </w:r>
      <w:r w:rsidR="0049465C" w:rsidRPr="002C6F76">
        <w:rPr>
          <w:rFonts w:eastAsiaTheme="minorHAnsi"/>
        </w:rPr>
        <w:t>.</w:t>
      </w:r>
      <w:r w:rsidR="00C57F6A" w:rsidRPr="002C6F76">
        <w:rPr>
          <w:rFonts w:eastAsiaTheme="minorHAnsi"/>
        </w:rPr>
        <w:t xml:space="preserve"> </w:t>
      </w:r>
      <w:r w:rsidRPr="002C6F76">
        <w:rPr>
          <w:rFonts w:eastAsiaTheme="minorHAnsi"/>
        </w:rPr>
        <w:t>Phylip-Jones. 2008. Scoping in environmental assessment. In T. B. Fischer, P. Gazzola, U. Jha-Thakur, I. Belcakova, &amp; R. Aschemann (Eds.), Environmental Assessment Lecturers' Handbook (pp. 7). Bratislava: ROAD</w:t>
      </w:r>
      <w:r w:rsidR="004F58C5">
        <w:rPr>
          <w:rFonts w:eastAsiaTheme="minorHAnsi"/>
        </w:rPr>
        <w:t>.</w:t>
      </w:r>
    </w:p>
    <w:p w14:paraId="6B3B330E" w14:textId="5155AA4B" w:rsidR="00DE3638" w:rsidRPr="002C6F76" w:rsidRDefault="00DE3638" w:rsidP="00DE3638">
      <w:pPr>
        <w:rPr>
          <w:rFonts w:eastAsiaTheme="minorHAnsi"/>
        </w:rPr>
      </w:pPr>
      <w:r w:rsidRPr="00DE3638">
        <w:rPr>
          <w:rFonts w:eastAsiaTheme="minorHAnsi"/>
        </w:rPr>
        <w:t>Fuller</w:t>
      </w:r>
      <w:r w:rsidR="004F58C5">
        <w:rPr>
          <w:rFonts w:eastAsiaTheme="minorHAnsi"/>
        </w:rPr>
        <w:t>,</w:t>
      </w:r>
      <w:r w:rsidRPr="00DE3638">
        <w:rPr>
          <w:rFonts w:eastAsiaTheme="minorHAnsi"/>
        </w:rPr>
        <w:t xml:space="preserve"> K. </w:t>
      </w:r>
      <w:r>
        <w:rPr>
          <w:rFonts w:eastAsiaTheme="minorHAnsi"/>
        </w:rPr>
        <w:t xml:space="preserve">1999. </w:t>
      </w:r>
      <w:r w:rsidRPr="00DE3638">
        <w:rPr>
          <w:rFonts w:eastAsiaTheme="minorHAnsi"/>
        </w:rPr>
        <w:t>Quality and quality control in environmental impact assessment. In:</w:t>
      </w:r>
      <w:r>
        <w:rPr>
          <w:rFonts w:eastAsiaTheme="minorHAnsi"/>
        </w:rPr>
        <w:t xml:space="preserve"> </w:t>
      </w:r>
      <w:r w:rsidRPr="00DE3638">
        <w:rPr>
          <w:rFonts w:eastAsiaTheme="minorHAnsi"/>
        </w:rPr>
        <w:t>Petts</w:t>
      </w:r>
      <w:r>
        <w:rPr>
          <w:rFonts w:eastAsiaTheme="minorHAnsi"/>
        </w:rPr>
        <w:t>.</w:t>
      </w:r>
      <w:r w:rsidRPr="00DE3638">
        <w:rPr>
          <w:rFonts w:eastAsiaTheme="minorHAnsi"/>
        </w:rPr>
        <w:t xml:space="preserve"> J, editor. Handbook of environmental impact assessment, vol. 2.</w:t>
      </w:r>
      <w:r>
        <w:rPr>
          <w:rFonts w:eastAsiaTheme="minorHAnsi"/>
        </w:rPr>
        <w:t xml:space="preserve"> </w:t>
      </w:r>
      <w:r w:rsidRPr="00DE3638">
        <w:rPr>
          <w:rFonts w:eastAsiaTheme="minorHAnsi"/>
        </w:rPr>
        <w:t>Environmental impact assessment in practice: impact and limitations.</w:t>
      </w:r>
      <w:r>
        <w:rPr>
          <w:rFonts w:eastAsiaTheme="minorHAnsi"/>
        </w:rPr>
        <w:t xml:space="preserve"> </w:t>
      </w:r>
      <w:r w:rsidRPr="00DE3638">
        <w:rPr>
          <w:rFonts w:eastAsiaTheme="minorHAnsi"/>
        </w:rPr>
        <w:t>Oxford: Blackwell; p. 55–82</w:t>
      </w:r>
      <w:r>
        <w:rPr>
          <w:rFonts w:eastAsiaTheme="minorHAnsi"/>
        </w:rPr>
        <w:t>.</w:t>
      </w:r>
    </w:p>
    <w:p w14:paraId="592285B0" w14:textId="3BD6F610" w:rsidR="00F758D0" w:rsidRDefault="00F758D0" w:rsidP="00476763">
      <w:pPr>
        <w:rPr>
          <w:rFonts w:eastAsiaTheme="minorHAnsi"/>
        </w:rPr>
      </w:pPr>
      <w:r w:rsidRPr="002C6F76">
        <w:rPr>
          <w:rFonts w:eastAsiaTheme="minorHAnsi"/>
        </w:rPr>
        <w:t>Glasson, J.</w:t>
      </w:r>
      <w:r w:rsidR="00AF7209" w:rsidRPr="002C6F76">
        <w:rPr>
          <w:rFonts w:eastAsiaTheme="minorHAnsi"/>
        </w:rPr>
        <w:t>,</w:t>
      </w:r>
      <w:r w:rsidRPr="002C6F76">
        <w:rPr>
          <w:rFonts w:eastAsiaTheme="minorHAnsi"/>
        </w:rPr>
        <w:t xml:space="preserve"> </w:t>
      </w:r>
      <w:r w:rsidR="00084648" w:rsidRPr="002C6F76">
        <w:rPr>
          <w:rFonts w:eastAsiaTheme="minorHAnsi"/>
        </w:rPr>
        <w:t xml:space="preserve">R. </w:t>
      </w:r>
      <w:r w:rsidRPr="002C6F76">
        <w:rPr>
          <w:rFonts w:eastAsiaTheme="minorHAnsi"/>
        </w:rPr>
        <w:t xml:space="preserve">Therivel, </w:t>
      </w:r>
      <w:r w:rsidR="00BB38EB" w:rsidRPr="002C6F76">
        <w:rPr>
          <w:rFonts w:eastAsiaTheme="minorHAnsi"/>
        </w:rPr>
        <w:t>and</w:t>
      </w:r>
      <w:r w:rsidRPr="002C6F76">
        <w:rPr>
          <w:rFonts w:eastAsiaTheme="minorHAnsi"/>
        </w:rPr>
        <w:t xml:space="preserve"> </w:t>
      </w:r>
      <w:r w:rsidR="00AF7209" w:rsidRPr="002C6F76">
        <w:rPr>
          <w:rFonts w:eastAsiaTheme="minorHAnsi"/>
        </w:rPr>
        <w:t xml:space="preserve">A. </w:t>
      </w:r>
      <w:r w:rsidRPr="002C6F76">
        <w:rPr>
          <w:rFonts w:eastAsiaTheme="minorHAnsi"/>
        </w:rPr>
        <w:t>Chadwick.</w:t>
      </w:r>
      <w:r w:rsidR="00E54FB3" w:rsidRPr="002C6F76" w:rsidDel="00E54FB3">
        <w:rPr>
          <w:rFonts w:eastAsiaTheme="minorHAnsi"/>
        </w:rPr>
        <w:t xml:space="preserve"> </w:t>
      </w:r>
      <w:r w:rsidRPr="002C6F76">
        <w:rPr>
          <w:rFonts w:eastAsiaTheme="minorHAnsi"/>
        </w:rPr>
        <w:t>2012. Introduction to environmental impact assessment. 4th Edition. Oxan: Routledge.</w:t>
      </w:r>
    </w:p>
    <w:p w14:paraId="6CFBBB00" w14:textId="3AD160C8" w:rsidR="004F58C5" w:rsidRDefault="004F58C5" w:rsidP="004F58C5">
      <w:pPr>
        <w:spacing w:before="240"/>
      </w:pPr>
      <w:r w:rsidRPr="004063AA">
        <w:t>[GOL] Government of Lebanon. 2002. Environmental Protection</w:t>
      </w:r>
      <w:r>
        <w:t xml:space="preserve"> </w:t>
      </w:r>
      <w:r w:rsidRPr="004063AA">
        <w:t>Law</w:t>
      </w:r>
      <w:r w:rsidR="008B17C2">
        <w:t>.</w:t>
      </w:r>
      <w:r w:rsidRPr="004063AA">
        <w:t xml:space="preserve"> No. 444.</w:t>
      </w:r>
    </w:p>
    <w:p w14:paraId="1C6F9678" w14:textId="77777777" w:rsidR="002E646B" w:rsidRPr="002C6F76" w:rsidRDefault="00F758D0" w:rsidP="00476763">
      <w:pPr>
        <w:rPr>
          <w:rFonts w:eastAsiaTheme="minorHAnsi"/>
        </w:rPr>
      </w:pPr>
      <w:r w:rsidRPr="002C6F76">
        <w:rPr>
          <w:rFonts w:eastAsiaTheme="minorHAnsi"/>
        </w:rPr>
        <w:t xml:space="preserve">Hashemi, M. 2012. </w:t>
      </w:r>
      <w:r w:rsidR="002E646B">
        <w:t>“</w:t>
      </w:r>
      <w:r w:rsidRPr="002C6F76">
        <w:rPr>
          <w:rFonts w:eastAsiaTheme="minorHAnsi"/>
        </w:rPr>
        <w:t>A socio-technical assessment framework for integrated water resource management in Lake Urmia Basin, Iran.</w:t>
      </w:r>
      <w:r w:rsidR="002E646B">
        <w:t>”</w:t>
      </w:r>
      <w:r w:rsidRPr="002C6F76">
        <w:rPr>
          <w:rFonts w:eastAsiaTheme="minorHAnsi"/>
        </w:rPr>
        <w:t xml:space="preserve"> PhD </w:t>
      </w:r>
      <w:r w:rsidR="002E646B">
        <w:rPr>
          <w:rFonts w:eastAsiaTheme="minorHAnsi"/>
        </w:rPr>
        <w:t>diss</w:t>
      </w:r>
      <w:r w:rsidRPr="002C6F76">
        <w:rPr>
          <w:rFonts w:eastAsiaTheme="minorHAnsi"/>
        </w:rPr>
        <w:t>.</w:t>
      </w:r>
      <w:r w:rsidR="002E646B">
        <w:rPr>
          <w:rFonts w:eastAsiaTheme="minorHAnsi"/>
        </w:rPr>
        <w:t>,</w:t>
      </w:r>
      <w:r w:rsidRPr="002C6F76">
        <w:rPr>
          <w:rFonts w:eastAsiaTheme="minorHAnsi"/>
        </w:rPr>
        <w:t xml:space="preserve"> Newcastle University. </w:t>
      </w:r>
    </w:p>
    <w:p w14:paraId="7FEC31C9" w14:textId="77777777" w:rsidR="00F758D0" w:rsidRPr="002C6F76" w:rsidRDefault="00F758D0" w:rsidP="00476763">
      <w:r w:rsidRPr="002C6F76">
        <w:t>Heidari, F</w:t>
      </w:r>
      <w:r w:rsidR="001A1F67" w:rsidRPr="002C6F76">
        <w:t>.</w:t>
      </w:r>
      <w:r w:rsidRPr="002C6F76">
        <w:t xml:space="preserve">, </w:t>
      </w:r>
      <w:r w:rsidR="00084648" w:rsidRPr="002C6F76">
        <w:t xml:space="preserve">F. </w:t>
      </w:r>
      <w:r w:rsidRPr="002C6F76">
        <w:t>Dabiri,</w:t>
      </w:r>
      <w:r w:rsidR="00BB38EB" w:rsidRPr="002C6F76">
        <w:rPr>
          <w:lang w:val="en-GB"/>
        </w:rPr>
        <w:t xml:space="preserve"> and</w:t>
      </w:r>
      <w:r w:rsidR="00BB38EB" w:rsidRPr="002C6F76">
        <w:rPr>
          <w:rFonts w:eastAsiaTheme="minorHAnsi"/>
        </w:rPr>
        <w:t xml:space="preserve"> </w:t>
      </w:r>
      <w:r w:rsidR="00AF7209" w:rsidRPr="002C6F76">
        <w:rPr>
          <w:rFonts w:eastAsiaTheme="minorHAnsi"/>
        </w:rPr>
        <w:t xml:space="preserve">M. </w:t>
      </w:r>
      <w:r w:rsidRPr="002C6F76">
        <w:t>Heidari</w:t>
      </w:r>
      <w:r w:rsidR="00BB38EB" w:rsidRPr="002C6F76">
        <w:t>.</w:t>
      </w:r>
      <w:r w:rsidRPr="002C6F76">
        <w:t xml:space="preserve"> 2017</w:t>
      </w:r>
      <w:r w:rsidR="00E848C6" w:rsidRPr="002C6F76">
        <w:rPr>
          <w:rFonts w:asciiTheme="majorBidi" w:hAnsiTheme="majorBidi" w:cstheme="majorBidi"/>
          <w:szCs w:val="24"/>
          <w:lang w:val="en-GB"/>
        </w:rPr>
        <w:t xml:space="preserve">. </w:t>
      </w:r>
      <w:r w:rsidR="00E848C6" w:rsidRPr="002C6F76">
        <w:rPr>
          <w:rFonts w:asciiTheme="majorBidi" w:eastAsiaTheme="minorHAnsi" w:hAnsiTheme="majorBidi" w:cstheme="majorBidi"/>
          <w:szCs w:val="24"/>
          <w:lang w:val="en-GB" w:bidi="ar-SA"/>
        </w:rPr>
        <w:t>“</w:t>
      </w:r>
      <w:r w:rsidRPr="002C6F76">
        <w:t>Legal system governing on water pollution in Iran</w:t>
      </w:r>
      <w:r w:rsidR="00E54FB3" w:rsidRPr="002C6F76">
        <w:rPr>
          <w:rFonts w:asciiTheme="majorBidi" w:eastAsiaTheme="minorHAnsi" w:hAnsiTheme="majorBidi" w:cstheme="majorBidi"/>
          <w:color w:val="1A171B"/>
          <w:szCs w:val="24"/>
          <w:lang w:val="en-GB" w:bidi="ar-SA"/>
        </w:rPr>
        <w:t>.”</w:t>
      </w:r>
      <w:r w:rsidR="00E54FB3" w:rsidRPr="002C6F76">
        <w:rPr>
          <w:lang w:val="en-GB"/>
        </w:rPr>
        <w:t xml:space="preserve"> </w:t>
      </w:r>
      <w:r w:rsidRPr="002C6F76">
        <w:rPr>
          <w:rFonts w:asciiTheme="majorBidi" w:hAnsiTheme="majorBidi" w:cstheme="majorBidi"/>
          <w:i/>
          <w:iCs/>
          <w:color w:val="000000"/>
          <w:szCs w:val="24"/>
          <w:lang w:val="en-GB"/>
        </w:rPr>
        <w:t>Geoscience and Environment Protection</w:t>
      </w:r>
      <w:r w:rsidRPr="002C6F76">
        <w:t xml:space="preserve"> 5</w:t>
      </w:r>
      <w:r w:rsidR="002870C7" w:rsidRPr="002C6F76">
        <w:t xml:space="preserve">: </w:t>
      </w:r>
      <w:r w:rsidRPr="002C6F76">
        <w:t>36-59.</w:t>
      </w:r>
    </w:p>
    <w:p w14:paraId="233EF511" w14:textId="77777777" w:rsidR="002023BC" w:rsidRPr="002C6F76" w:rsidRDefault="002023BC" w:rsidP="002023BC">
      <w:r w:rsidRPr="002C6F76">
        <w:lastRenderedPageBreak/>
        <w:t>Hilding-Rydevik, T</w:t>
      </w:r>
      <w:r w:rsidR="00AF7209" w:rsidRPr="002C6F76">
        <w:t>.,</w:t>
      </w:r>
      <w:r w:rsidRPr="002C6F76">
        <w:t xml:space="preserve"> and H</w:t>
      </w:r>
      <w:r w:rsidR="0049465C" w:rsidRPr="002C6F76">
        <w:t>.</w:t>
      </w:r>
      <w:r w:rsidRPr="002C6F76">
        <w:t xml:space="preserve"> Bjarnadóttir</w:t>
      </w:r>
      <w:r w:rsidR="005854DC" w:rsidRPr="002C6F76">
        <w:t>.</w:t>
      </w:r>
      <w:r w:rsidR="0049465C" w:rsidRPr="002C6F76">
        <w:t xml:space="preserve"> </w:t>
      </w:r>
      <w:r w:rsidRPr="002C6F76">
        <w:t xml:space="preserve">2007. Context awareness and sensitivity in SEA implementation. </w:t>
      </w:r>
      <w:r w:rsidRPr="0022189A">
        <w:rPr>
          <w:i/>
        </w:rPr>
        <w:t>Environmental Impact Assessment Review</w:t>
      </w:r>
      <w:r w:rsidRPr="002C6F76">
        <w:t xml:space="preserve"> 27(7</w:t>
      </w:r>
      <w:r w:rsidR="003F53AB" w:rsidRPr="002C6F76">
        <w:t>)</w:t>
      </w:r>
      <w:r w:rsidR="003F53AB">
        <w:t>:</w:t>
      </w:r>
      <w:r w:rsidR="003F53AB" w:rsidRPr="002C6F76">
        <w:t xml:space="preserve"> </w:t>
      </w:r>
      <w:r w:rsidRPr="002C6F76">
        <w:t>666–684.</w:t>
      </w:r>
    </w:p>
    <w:p w14:paraId="414C4932" w14:textId="77777777" w:rsidR="000134A8" w:rsidRPr="002C6F76" w:rsidRDefault="000134A8">
      <w:r w:rsidRPr="002C6F76">
        <w:t>George</w:t>
      </w:r>
      <w:r w:rsidR="002870C7" w:rsidRPr="002C6F76">
        <w:t>,</w:t>
      </w:r>
      <w:r w:rsidRPr="002C6F76">
        <w:t xml:space="preserve"> C. 2000</w:t>
      </w:r>
      <w:r w:rsidR="00E848C6" w:rsidRPr="002C6F76">
        <w:t>. “</w:t>
      </w:r>
      <w:r w:rsidRPr="002C6F76">
        <w:t>Environmental monitoring, Management and Auditing</w:t>
      </w:r>
      <w:r w:rsidR="00E54FB3" w:rsidRPr="002C6F76">
        <w:rPr>
          <w:rFonts w:asciiTheme="majorBidi" w:eastAsiaTheme="minorHAnsi" w:hAnsiTheme="majorBidi" w:cstheme="majorBidi"/>
          <w:color w:val="1A171B"/>
          <w:szCs w:val="24"/>
          <w:lang w:val="en-GB" w:bidi="ar-SA"/>
        </w:rPr>
        <w:t>.”</w:t>
      </w:r>
      <w:r w:rsidR="00E54FB3" w:rsidRPr="002C6F76">
        <w:rPr>
          <w:lang w:val="en-GB"/>
        </w:rPr>
        <w:t xml:space="preserve"> </w:t>
      </w:r>
      <w:r w:rsidRPr="002C6F76">
        <w:t>In: Lee N and George C, editors. Environmental Assessment in Developing Countries and Transitional</w:t>
      </w:r>
      <w:r w:rsidR="0072486C" w:rsidRPr="002C6F76">
        <w:t xml:space="preserve"> </w:t>
      </w:r>
      <w:r w:rsidRPr="002C6F76">
        <w:t>Countries. Chichester: Wiley.</w:t>
      </w:r>
    </w:p>
    <w:p w14:paraId="26A0C999" w14:textId="77777777" w:rsidR="003C162B" w:rsidRDefault="003C162B" w:rsidP="003C162B">
      <w:pPr>
        <w:rPr>
          <w:rFonts w:asciiTheme="majorBidi" w:hAnsiTheme="majorBidi" w:cstheme="majorBidi"/>
          <w:color w:val="212121"/>
          <w:szCs w:val="24"/>
          <w:lang w:val="en-GB" w:eastAsia="en-GB" w:bidi="ar-SA"/>
        </w:rPr>
      </w:pPr>
      <w:r w:rsidRPr="002C6F76">
        <w:t>Ghodoosi</w:t>
      </w:r>
      <w:r w:rsidR="0049465C" w:rsidRPr="002C6F76">
        <w:t>,</w:t>
      </w:r>
      <w:r w:rsidRPr="002C6F76">
        <w:t xml:space="preserve"> F., </w:t>
      </w:r>
      <w:r w:rsidR="00084648" w:rsidRPr="002C6F76">
        <w:t xml:space="preserve">A. </w:t>
      </w:r>
      <w:r w:rsidRPr="002C6F76">
        <w:t>Sotouteh</w:t>
      </w:r>
      <w:r w:rsidR="0049465C" w:rsidRPr="002C6F76">
        <w:t>,</w:t>
      </w:r>
      <w:r w:rsidRPr="002C6F76">
        <w:t xml:space="preserve"> and </w:t>
      </w:r>
      <w:r w:rsidR="00AF7209" w:rsidRPr="002C6F76">
        <w:t xml:space="preserve">R. </w:t>
      </w:r>
      <w:r w:rsidRPr="002C6F76">
        <w:t xml:space="preserve">Chalabianlou. 2006. An emphasis on the need for systematic review of the environmental impact assessment process in </w:t>
      </w:r>
      <w:r w:rsidRPr="00DB296F">
        <w:t xml:space="preserve">Iran. </w:t>
      </w:r>
      <w:r w:rsidR="00CE7042" w:rsidRPr="00DB296F">
        <w:rPr>
          <w:lang w:val="en-GB"/>
        </w:rPr>
        <w:t xml:space="preserve">Paper presented </w:t>
      </w:r>
      <w:r w:rsidR="00CE7042" w:rsidRPr="00DB296F">
        <w:t>at</w:t>
      </w:r>
      <w:r w:rsidR="00CE7042">
        <w:t xml:space="preserve"> the</w:t>
      </w:r>
      <w:r w:rsidRPr="002C6F76">
        <w:t xml:space="preserve"> 3</w:t>
      </w:r>
      <w:r w:rsidRPr="002C6F76">
        <w:rPr>
          <w:vertAlign w:val="superscript"/>
        </w:rPr>
        <w:t>rd</w:t>
      </w:r>
      <w:r w:rsidRPr="002C6F76">
        <w:t xml:space="preserve"> National conference on Environmental Impact Assessment</w:t>
      </w:r>
      <w:r w:rsidR="00CE7042">
        <w:t>,</w:t>
      </w:r>
      <w:r w:rsidRPr="002C6F76">
        <w:t xml:space="preserve"> Tehran, Iran.</w:t>
      </w:r>
      <w:r w:rsidR="001C49D8" w:rsidRPr="00622496">
        <w:rPr>
          <w:rFonts w:asciiTheme="majorBidi" w:hAnsiTheme="majorBidi" w:cstheme="majorBidi"/>
          <w:i/>
          <w:iCs/>
          <w:szCs w:val="24"/>
          <w:lang w:val="en-GB"/>
        </w:rPr>
        <w:t xml:space="preserve"> </w:t>
      </w:r>
      <w:r w:rsidR="001C49D8" w:rsidRPr="00622496">
        <w:rPr>
          <w:rFonts w:asciiTheme="majorBidi" w:hAnsiTheme="majorBidi" w:cstheme="majorBidi"/>
          <w:color w:val="212121"/>
          <w:szCs w:val="24"/>
          <w:lang w:val="en-GB" w:eastAsia="en-GB" w:bidi="ar-SA"/>
        </w:rPr>
        <w:t>(Translated from Persian)</w:t>
      </w:r>
    </w:p>
    <w:p w14:paraId="0162C289" w14:textId="77777777" w:rsidR="00BE2B9C" w:rsidRPr="002C6F76" w:rsidRDefault="00BE2B9C">
      <w:r w:rsidRPr="002C6F76">
        <w:t xml:space="preserve">Goldooz, </w:t>
      </w:r>
      <w:r w:rsidR="005854DC" w:rsidRPr="002C6F76">
        <w:t xml:space="preserve">S. 2011. Educational evaluation of Iranian DoE staff. </w:t>
      </w:r>
      <w:r w:rsidR="005854DC" w:rsidRPr="0022189A">
        <w:rPr>
          <w:i/>
        </w:rPr>
        <w:t>Environmental Science</w:t>
      </w:r>
      <w:r w:rsidR="005854DC" w:rsidRPr="002C6F76">
        <w:t xml:space="preserve"> 8</w:t>
      </w:r>
      <w:r w:rsidR="00351BD2">
        <w:t xml:space="preserve"> (</w:t>
      </w:r>
      <w:r w:rsidR="005854DC" w:rsidRPr="002C6F76">
        <w:t>1</w:t>
      </w:r>
      <w:r w:rsidR="00351BD2">
        <w:t>):</w:t>
      </w:r>
      <w:r w:rsidR="00351BD2" w:rsidRPr="002C6F76">
        <w:t xml:space="preserve"> </w:t>
      </w:r>
      <w:r w:rsidR="005854DC" w:rsidRPr="002C6F76">
        <w:t>189-204.</w:t>
      </w:r>
      <w:r w:rsidR="001C49D8" w:rsidRPr="00622496">
        <w:rPr>
          <w:rFonts w:asciiTheme="majorBidi" w:hAnsiTheme="majorBidi" w:cstheme="majorBidi"/>
          <w:i/>
          <w:iCs/>
          <w:szCs w:val="24"/>
          <w:lang w:val="en-GB"/>
        </w:rPr>
        <w:t xml:space="preserve"> </w:t>
      </w:r>
      <w:r w:rsidR="001C49D8" w:rsidRPr="00622496">
        <w:rPr>
          <w:rFonts w:asciiTheme="majorBidi" w:hAnsiTheme="majorBidi" w:cstheme="majorBidi"/>
          <w:color w:val="212121"/>
          <w:szCs w:val="24"/>
          <w:lang w:val="en-GB" w:eastAsia="en-GB" w:bidi="ar-SA"/>
        </w:rPr>
        <w:t>(Translated from Persian)</w:t>
      </w:r>
    </w:p>
    <w:p w14:paraId="44CDADFA" w14:textId="77777777" w:rsidR="008A7B26" w:rsidRDefault="003F53AB">
      <w:pPr>
        <w:rPr>
          <w:rFonts w:eastAsiaTheme="minorHAnsi"/>
        </w:rPr>
      </w:pPr>
      <w:r w:rsidRPr="0022189A">
        <w:t>Jha-Thakur</w:t>
      </w:r>
      <w:r w:rsidR="008A7B26" w:rsidRPr="002C6F76">
        <w:t>, U. 200</w:t>
      </w:r>
      <w:r w:rsidR="00281E5A" w:rsidRPr="002C6F76">
        <w:t xml:space="preserve">6. </w:t>
      </w:r>
      <w:r w:rsidR="003E3BEC">
        <w:t>“</w:t>
      </w:r>
      <w:r w:rsidR="00281E5A" w:rsidRPr="002C6F76">
        <w:t>EIA follow-up of open cast coal mines in India.</w:t>
      </w:r>
      <w:r w:rsidR="003E3BEC">
        <w:t>”</w:t>
      </w:r>
      <w:r w:rsidR="00281E5A" w:rsidRPr="002C6F76">
        <w:t xml:space="preserve"> </w:t>
      </w:r>
      <w:r w:rsidR="00281E5A" w:rsidRPr="002C6F76">
        <w:rPr>
          <w:rFonts w:eastAsiaTheme="minorHAnsi"/>
        </w:rPr>
        <w:t xml:space="preserve">PhD </w:t>
      </w:r>
      <w:r w:rsidR="003E3BEC">
        <w:rPr>
          <w:rFonts w:eastAsiaTheme="minorHAnsi"/>
        </w:rPr>
        <w:t>diss</w:t>
      </w:r>
      <w:r w:rsidR="00281E5A" w:rsidRPr="002C6F76">
        <w:rPr>
          <w:rFonts w:eastAsiaTheme="minorHAnsi"/>
        </w:rPr>
        <w:t xml:space="preserve">. University of Liverpool. </w:t>
      </w:r>
    </w:p>
    <w:p w14:paraId="667A4A68" w14:textId="77777777" w:rsidR="00873CA9" w:rsidRPr="001C49D8" w:rsidRDefault="00873CA9" w:rsidP="001C49D8">
      <w:pPr>
        <w:rPr>
          <w:lang w:val="en-GB"/>
        </w:rPr>
      </w:pPr>
      <w:r w:rsidRPr="00E76B87">
        <w:rPr>
          <w:bCs/>
        </w:rPr>
        <w:t xml:space="preserve">Jha-Thakur, U.; </w:t>
      </w:r>
      <w:r w:rsidR="0091168F" w:rsidRPr="00E76B87">
        <w:t xml:space="preserve">P. </w:t>
      </w:r>
      <w:r w:rsidRPr="00E76B87">
        <w:rPr>
          <w:bCs/>
        </w:rPr>
        <w:t>Gazzola,</w:t>
      </w:r>
      <w:r w:rsidRPr="00E76B87">
        <w:t xml:space="preserve"> </w:t>
      </w:r>
      <w:r w:rsidR="0091168F" w:rsidRPr="00E76B87">
        <w:rPr>
          <w:bCs/>
        </w:rPr>
        <w:t>T.B</w:t>
      </w:r>
      <w:r w:rsidR="0091168F">
        <w:rPr>
          <w:bCs/>
        </w:rPr>
        <w:t>.</w:t>
      </w:r>
      <w:r w:rsidR="0091168F" w:rsidRPr="00E76B87" w:rsidDel="0091168F">
        <w:t xml:space="preserve"> </w:t>
      </w:r>
      <w:r w:rsidRPr="00E76B87">
        <w:rPr>
          <w:bCs/>
        </w:rPr>
        <w:t xml:space="preserve">Fischer, </w:t>
      </w:r>
      <w:r w:rsidR="0091168F" w:rsidRPr="00E76B87">
        <w:rPr>
          <w:bCs/>
        </w:rPr>
        <w:t xml:space="preserve">D. </w:t>
      </w:r>
      <w:r w:rsidRPr="00E76B87">
        <w:rPr>
          <w:bCs/>
        </w:rPr>
        <w:t>Peel, and</w:t>
      </w:r>
      <w:r w:rsidR="0091168F" w:rsidRPr="00E76B87">
        <w:rPr>
          <w:bCs/>
        </w:rPr>
        <w:t xml:space="preserve"> S</w:t>
      </w:r>
      <w:r w:rsidR="0091168F">
        <w:rPr>
          <w:bCs/>
        </w:rPr>
        <w:t>.</w:t>
      </w:r>
      <w:r w:rsidR="0091168F" w:rsidRPr="00E76B87">
        <w:rPr>
          <w:bCs/>
        </w:rPr>
        <w:t xml:space="preserve"> </w:t>
      </w:r>
      <w:r w:rsidRPr="00E76B87">
        <w:rPr>
          <w:bCs/>
        </w:rPr>
        <w:t>Kidd. 2009</w:t>
      </w:r>
      <w:r>
        <w:rPr>
          <w:bCs/>
        </w:rPr>
        <w:t>a</w:t>
      </w:r>
      <w:r w:rsidRPr="00E76B87">
        <w:rPr>
          <w:bCs/>
        </w:rPr>
        <w:t xml:space="preserve">. </w:t>
      </w:r>
      <w:r w:rsidR="0091168F" w:rsidRPr="002C6F76">
        <w:rPr>
          <w:rFonts w:asciiTheme="majorBidi" w:eastAsiaTheme="minorHAnsi" w:hAnsiTheme="majorBidi" w:cstheme="majorBidi"/>
          <w:szCs w:val="24"/>
          <w:lang w:val="en-GB" w:bidi="ar-SA"/>
        </w:rPr>
        <w:t>“</w:t>
      </w:r>
      <w:r w:rsidRPr="00E76B87">
        <w:rPr>
          <w:bCs/>
        </w:rPr>
        <w:t xml:space="preserve">SEA effectiveness – The </w:t>
      </w:r>
      <w:r w:rsidRPr="001C49D8">
        <w:rPr>
          <w:lang w:val="en-GB"/>
        </w:rPr>
        <w:t>Significance of Learning</w:t>
      </w:r>
      <w:r w:rsidR="0091168F" w:rsidRPr="002C6F76">
        <w:rPr>
          <w:rFonts w:asciiTheme="majorBidi" w:eastAsiaTheme="minorHAnsi" w:hAnsiTheme="majorBidi" w:cstheme="majorBidi"/>
          <w:color w:val="1A171B"/>
          <w:szCs w:val="24"/>
          <w:lang w:val="en-GB" w:bidi="ar-SA"/>
        </w:rPr>
        <w:t>.”</w:t>
      </w:r>
      <w:r w:rsidR="0091168F" w:rsidRPr="001C49D8">
        <w:rPr>
          <w:lang w:val="en-GB"/>
        </w:rPr>
        <w:t xml:space="preserve"> </w:t>
      </w:r>
      <w:r w:rsidRPr="0022189A">
        <w:rPr>
          <w:i/>
          <w:lang w:val="en-GB"/>
        </w:rPr>
        <w:t>Impact Assessment and Project Appraisal</w:t>
      </w:r>
      <w:r w:rsidRPr="001C49D8">
        <w:rPr>
          <w:lang w:val="en-GB"/>
        </w:rPr>
        <w:t xml:space="preserve"> 27(2): 133-144. </w:t>
      </w:r>
    </w:p>
    <w:p w14:paraId="7C85665F" w14:textId="77777777" w:rsidR="00873CA9" w:rsidRPr="001C49D8" w:rsidRDefault="00873CA9" w:rsidP="001C49D8">
      <w:pPr>
        <w:rPr>
          <w:lang w:val="en-GB"/>
        </w:rPr>
      </w:pPr>
      <w:r w:rsidRPr="001C49D8">
        <w:rPr>
          <w:lang w:val="en-GB"/>
        </w:rPr>
        <w:t xml:space="preserve">Jha-Thakur U; </w:t>
      </w:r>
      <w:r w:rsidR="0091168F">
        <w:rPr>
          <w:lang w:val="en-GB"/>
        </w:rPr>
        <w:t>B.</w:t>
      </w:r>
      <w:r w:rsidR="0091168F" w:rsidRPr="001C49D8">
        <w:rPr>
          <w:lang w:val="en-GB"/>
        </w:rPr>
        <w:t>T</w:t>
      </w:r>
      <w:r w:rsidR="0091168F">
        <w:rPr>
          <w:lang w:val="en-GB"/>
        </w:rPr>
        <w:t>.</w:t>
      </w:r>
      <w:r w:rsidR="0091168F" w:rsidRPr="001C49D8">
        <w:rPr>
          <w:lang w:val="en-GB"/>
        </w:rPr>
        <w:t xml:space="preserve"> </w:t>
      </w:r>
      <w:r w:rsidRPr="001C49D8">
        <w:rPr>
          <w:lang w:val="en-GB"/>
        </w:rPr>
        <w:t>Fischer</w:t>
      </w:r>
      <w:r w:rsidR="0091168F">
        <w:rPr>
          <w:lang w:val="en-GB"/>
        </w:rPr>
        <w:t>,</w:t>
      </w:r>
      <w:r w:rsidRPr="001C49D8">
        <w:rPr>
          <w:lang w:val="en-GB"/>
        </w:rPr>
        <w:t xml:space="preserve"> </w:t>
      </w:r>
      <w:r w:rsidR="0091168F" w:rsidRPr="001C49D8">
        <w:rPr>
          <w:lang w:val="en-GB"/>
        </w:rPr>
        <w:t>P</w:t>
      </w:r>
      <w:r w:rsidR="0091168F">
        <w:rPr>
          <w:lang w:val="en-GB"/>
        </w:rPr>
        <w:t>.</w:t>
      </w:r>
      <w:r w:rsidR="0091168F" w:rsidRPr="001C49D8">
        <w:rPr>
          <w:lang w:val="en-GB"/>
        </w:rPr>
        <w:t xml:space="preserve"> </w:t>
      </w:r>
      <w:r w:rsidRPr="001C49D8">
        <w:rPr>
          <w:lang w:val="en-GB"/>
        </w:rPr>
        <w:t>Gazzola</w:t>
      </w:r>
      <w:r w:rsidR="0091168F">
        <w:rPr>
          <w:lang w:val="en-GB"/>
        </w:rPr>
        <w:t>,</w:t>
      </w:r>
      <w:r w:rsidRPr="001C49D8">
        <w:rPr>
          <w:lang w:val="en-GB"/>
        </w:rPr>
        <w:t xml:space="preserve"> </w:t>
      </w:r>
      <w:r w:rsidR="0091168F" w:rsidRPr="001C49D8">
        <w:rPr>
          <w:lang w:val="en-GB"/>
        </w:rPr>
        <w:t>S</w:t>
      </w:r>
      <w:r w:rsidR="0091168F">
        <w:rPr>
          <w:lang w:val="en-GB"/>
        </w:rPr>
        <w:t>.</w:t>
      </w:r>
      <w:r w:rsidR="0091168F" w:rsidRPr="001C49D8">
        <w:rPr>
          <w:lang w:val="en-GB"/>
        </w:rPr>
        <w:t xml:space="preserve"> </w:t>
      </w:r>
      <w:r w:rsidRPr="001C49D8">
        <w:rPr>
          <w:lang w:val="en-GB"/>
        </w:rPr>
        <w:t>Kidd</w:t>
      </w:r>
      <w:r w:rsidR="0091168F">
        <w:rPr>
          <w:lang w:val="en-GB"/>
        </w:rPr>
        <w:t>, and</w:t>
      </w:r>
      <w:r w:rsidRPr="001C49D8">
        <w:rPr>
          <w:lang w:val="en-GB"/>
        </w:rPr>
        <w:t xml:space="preserve"> </w:t>
      </w:r>
      <w:r w:rsidR="0091168F" w:rsidRPr="001C49D8">
        <w:rPr>
          <w:lang w:val="en-GB"/>
        </w:rPr>
        <w:t>D</w:t>
      </w:r>
      <w:r w:rsidR="0091168F">
        <w:rPr>
          <w:lang w:val="en-GB"/>
        </w:rPr>
        <w:t>.</w:t>
      </w:r>
      <w:r w:rsidR="0091168F" w:rsidRPr="001C49D8">
        <w:rPr>
          <w:lang w:val="en-GB"/>
        </w:rPr>
        <w:t xml:space="preserve"> </w:t>
      </w:r>
      <w:r w:rsidRPr="001C49D8">
        <w:rPr>
          <w:lang w:val="en-GB"/>
        </w:rPr>
        <w:t>Peel</w:t>
      </w:r>
      <w:r w:rsidR="0091168F">
        <w:rPr>
          <w:lang w:val="en-GB"/>
        </w:rPr>
        <w:t>.</w:t>
      </w:r>
      <w:r w:rsidRPr="001C49D8">
        <w:rPr>
          <w:lang w:val="en-GB"/>
        </w:rPr>
        <w:t xml:space="preserve"> 2009b. </w:t>
      </w:r>
      <w:r w:rsidR="0091168F" w:rsidRPr="002C6F76">
        <w:rPr>
          <w:rFonts w:asciiTheme="majorBidi" w:eastAsiaTheme="minorHAnsi" w:hAnsiTheme="majorBidi" w:cstheme="majorBidi"/>
          <w:szCs w:val="24"/>
          <w:lang w:val="en-GB" w:bidi="ar-SA"/>
        </w:rPr>
        <w:t>“</w:t>
      </w:r>
      <w:r w:rsidRPr="001C49D8">
        <w:rPr>
          <w:lang w:val="en-GB"/>
        </w:rPr>
        <w:t>Exploring relevant skills and knowledge areas for strategic environmental assessment</w:t>
      </w:r>
      <w:r w:rsidR="0091168F" w:rsidRPr="002C6F76">
        <w:rPr>
          <w:rFonts w:asciiTheme="majorBidi" w:eastAsiaTheme="minorHAnsi" w:hAnsiTheme="majorBidi" w:cstheme="majorBidi"/>
          <w:color w:val="1A171B"/>
          <w:szCs w:val="24"/>
          <w:lang w:val="en-GB" w:bidi="ar-SA"/>
        </w:rPr>
        <w:t>.”</w:t>
      </w:r>
      <w:r w:rsidRPr="001C49D8">
        <w:rPr>
          <w:lang w:val="en-GB"/>
        </w:rPr>
        <w:t xml:space="preserve"> </w:t>
      </w:r>
      <w:r w:rsidRPr="0022189A">
        <w:rPr>
          <w:i/>
          <w:lang w:val="en-GB"/>
        </w:rPr>
        <w:t>The Environmentalist</w:t>
      </w:r>
      <w:r w:rsidRPr="001C49D8">
        <w:rPr>
          <w:lang w:val="en-GB"/>
        </w:rPr>
        <w:t xml:space="preserve"> 92(2): 12-16.</w:t>
      </w:r>
    </w:p>
    <w:p w14:paraId="24B54E9D" w14:textId="77777777" w:rsidR="00F758D0" w:rsidRPr="002C6F76" w:rsidRDefault="00F758D0" w:rsidP="00476763">
      <w:r w:rsidRPr="001C49D8">
        <w:rPr>
          <w:lang w:val="en-GB"/>
        </w:rPr>
        <w:t>Jon</w:t>
      </w:r>
      <w:r w:rsidRPr="002C6F76">
        <w:t xml:space="preserve">es, S. 2009. The Islamic Republic of Iran: An introduction. House of Commons Library. </w:t>
      </w:r>
    </w:p>
    <w:p w14:paraId="5A959980" w14:textId="77777777" w:rsidR="00F758D0" w:rsidRDefault="00F758D0" w:rsidP="00476763">
      <w:pPr>
        <w:rPr>
          <w:rFonts w:eastAsiaTheme="minorHAnsi"/>
        </w:rPr>
      </w:pPr>
      <w:r w:rsidRPr="001D54ED">
        <w:rPr>
          <w:rFonts w:eastAsiaTheme="minorHAnsi"/>
        </w:rPr>
        <w:t xml:space="preserve">Kabir, S.M.Z., </w:t>
      </w:r>
      <w:r w:rsidR="00084648" w:rsidRPr="001D54ED">
        <w:rPr>
          <w:rFonts w:eastAsiaTheme="minorHAnsi"/>
        </w:rPr>
        <w:t>S</w:t>
      </w:r>
      <w:r w:rsidR="00084648" w:rsidRPr="001D54ED">
        <w:rPr>
          <w:lang w:val="en-GB"/>
        </w:rPr>
        <w:t xml:space="preserve">. </w:t>
      </w:r>
      <w:r w:rsidRPr="001D54ED">
        <w:rPr>
          <w:rFonts w:eastAsiaTheme="minorHAnsi"/>
        </w:rPr>
        <w:t xml:space="preserve">Momtaz, </w:t>
      </w:r>
      <w:r w:rsidR="00BB38EB" w:rsidRPr="001D54ED">
        <w:rPr>
          <w:lang w:val="en-GB"/>
        </w:rPr>
        <w:t>and</w:t>
      </w:r>
      <w:r w:rsidR="00BB38EB" w:rsidRPr="001D54ED">
        <w:rPr>
          <w:rFonts w:eastAsiaTheme="minorHAnsi"/>
        </w:rPr>
        <w:t xml:space="preserve"> </w:t>
      </w:r>
      <w:r w:rsidR="00AF7209" w:rsidRPr="001D54ED">
        <w:rPr>
          <w:rFonts w:eastAsiaTheme="minorHAnsi"/>
        </w:rPr>
        <w:t xml:space="preserve">A.W. </w:t>
      </w:r>
      <w:r w:rsidRPr="001D54ED">
        <w:rPr>
          <w:rFonts w:eastAsiaTheme="minorHAnsi"/>
        </w:rPr>
        <w:t>Gladstone</w:t>
      </w:r>
      <w:r w:rsidR="00E848C6" w:rsidRPr="001D54ED">
        <w:rPr>
          <w:rFonts w:eastAsiaTheme="minorHAnsi"/>
        </w:rPr>
        <w:t xml:space="preserve">. </w:t>
      </w:r>
      <w:r w:rsidRPr="001D54ED">
        <w:rPr>
          <w:rFonts w:eastAsiaTheme="minorHAnsi"/>
        </w:rPr>
        <w:t xml:space="preserve">2010. </w:t>
      </w:r>
      <w:r w:rsidR="00E848C6" w:rsidRPr="001D54ED">
        <w:rPr>
          <w:rFonts w:asciiTheme="majorBidi" w:eastAsiaTheme="minorHAnsi" w:hAnsiTheme="majorBidi" w:cstheme="majorBidi"/>
          <w:szCs w:val="24"/>
          <w:lang w:val="en-GB" w:bidi="ar-SA"/>
        </w:rPr>
        <w:t>“</w:t>
      </w:r>
      <w:r w:rsidRPr="001D54ED">
        <w:rPr>
          <w:rFonts w:eastAsiaTheme="minorHAnsi"/>
        </w:rPr>
        <w:t>The quality of Environmental Impact Statement (EIS) in Bangladesh</w:t>
      </w:r>
      <w:r w:rsidR="00E54FB3" w:rsidRPr="001D54ED">
        <w:rPr>
          <w:rFonts w:asciiTheme="majorBidi" w:eastAsiaTheme="minorHAnsi" w:hAnsiTheme="majorBidi" w:cstheme="majorBidi"/>
          <w:color w:val="1A171B"/>
          <w:szCs w:val="24"/>
          <w:lang w:val="en-GB" w:bidi="ar-SA"/>
        </w:rPr>
        <w:t>.”</w:t>
      </w:r>
      <w:r w:rsidR="001D54ED" w:rsidRPr="001D54ED">
        <w:rPr>
          <w:lang w:val="en-GB"/>
        </w:rPr>
        <w:t xml:space="preserve"> Paper presented at the </w:t>
      </w:r>
      <w:r w:rsidR="001D54ED" w:rsidRPr="001D54ED">
        <w:rPr>
          <w:rFonts w:eastAsiaTheme="minorHAnsi"/>
          <w:lang w:val="en-GB" w:bidi="ar-SA"/>
        </w:rPr>
        <w:t xml:space="preserve">International Association of Impact Assessment, </w:t>
      </w:r>
      <w:r w:rsidR="001D54ED" w:rsidRPr="001D54ED">
        <w:t>Geneva, Switzerland. 6-11 April.</w:t>
      </w:r>
      <w:r w:rsidR="001D54ED" w:rsidRPr="001D54ED" w:rsidDel="001D54ED">
        <w:rPr>
          <w:rFonts w:eastAsiaTheme="minorHAnsi"/>
        </w:rPr>
        <w:t xml:space="preserve"> </w:t>
      </w:r>
    </w:p>
    <w:p w14:paraId="382EB3BE" w14:textId="77777777" w:rsidR="00F758D0" w:rsidRPr="002C6F76" w:rsidRDefault="00F758D0" w:rsidP="00476763">
      <w:pPr>
        <w:rPr>
          <w:rFonts w:eastAsiaTheme="minorHAnsi"/>
        </w:rPr>
      </w:pPr>
      <w:r w:rsidRPr="002C6F76">
        <w:rPr>
          <w:rFonts w:eastAsiaTheme="minorHAnsi"/>
        </w:rPr>
        <w:t>Kamijo, T.</w:t>
      </w:r>
      <w:r w:rsidR="00AF7209" w:rsidRPr="002C6F76">
        <w:rPr>
          <w:rFonts w:eastAsiaTheme="minorHAnsi"/>
        </w:rPr>
        <w:t>,</w:t>
      </w:r>
      <w:r w:rsidRPr="002C6F76">
        <w:rPr>
          <w:rFonts w:eastAsiaTheme="minorHAnsi"/>
        </w:rPr>
        <w:t xml:space="preserve"> </w:t>
      </w:r>
      <w:r w:rsidR="0049465C" w:rsidRPr="002C6F76">
        <w:rPr>
          <w:rFonts w:eastAsiaTheme="minorHAnsi"/>
          <w:lang w:val="en-GB" w:bidi="ar-SA"/>
        </w:rPr>
        <w:t xml:space="preserve">and </w:t>
      </w:r>
      <w:r w:rsidR="0049465C" w:rsidRPr="002C6F76">
        <w:rPr>
          <w:rFonts w:eastAsiaTheme="minorHAnsi"/>
        </w:rPr>
        <w:t xml:space="preserve">G. </w:t>
      </w:r>
      <w:r w:rsidRPr="002C6F76">
        <w:rPr>
          <w:rFonts w:eastAsiaTheme="minorHAnsi"/>
        </w:rPr>
        <w:t>Huang. 2016</w:t>
      </w:r>
      <w:r w:rsidR="00E848C6" w:rsidRPr="002C6F76">
        <w:rPr>
          <w:rFonts w:asciiTheme="majorBidi" w:hAnsiTheme="majorBidi" w:cstheme="majorBidi"/>
          <w:szCs w:val="24"/>
          <w:lang w:val="en-GB"/>
        </w:rPr>
        <w:t xml:space="preserve">. </w:t>
      </w:r>
      <w:r w:rsidR="00E848C6" w:rsidRPr="002C6F76">
        <w:rPr>
          <w:rFonts w:asciiTheme="majorBidi" w:eastAsiaTheme="minorHAnsi" w:hAnsiTheme="majorBidi" w:cstheme="majorBidi"/>
          <w:szCs w:val="24"/>
          <w:lang w:val="en-GB" w:bidi="ar-SA"/>
        </w:rPr>
        <w:t>“</w:t>
      </w:r>
      <w:r w:rsidRPr="002C6F76">
        <w:rPr>
          <w:rFonts w:eastAsiaTheme="minorHAnsi"/>
        </w:rPr>
        <w:t>Improving the quality of environmental impacts assessment reports: effectiveness of alternatives analysis and public involvement in JICA supported projects</w:t>
      </w:r>
      <w:r w:rsidR="00E54FB3" w:rsidRPr="002C6F76">
        <w:rPr>
          <w:rFonts w:asciiTheme="majorBidi" w:eastAsiaTheme="minorHAnsi" w:hAnsiTheme="majorBidi" w:cstheme="majorBidi"/>
          <w:color w:val="1A171B"/>
          <w:szCs w:val="24"/>
          <w:lang w:val="en-GB" w:bidi="ar-SA"/>
        </w:rPr>
        <w:t>.”</w:t>
      </w:r>
      <w:r w:rsidR="00E54FB3" w:rsidRPr="002C6F76">
        <w:rPr>
          <w:lang w:val="en-GB"/>
        </w:rPr>
        <w:t xml:space="preserve"> </w:t>
      </w:r>
      <w:r w:rsidRPr="002C6F76">
        <w:rPr>
          <w:rFonts w:eastAsiaTheme="minorHAnsi"/>
          <w:i/>
        </w:rPr>
        <w:t>Impact Assessment and Project Appraisal</w:t>
      </w:r>
      <w:r w:rsidR="00E848C6" w:rsidRPr="002C6F76">
        <w:rPr>
          <w:rFonts w:eastAsiaTheme="minorHAnsi"/>
        </w:rPr>
        <w:t xml:space="preserve"> </w:t>
      </w:r>
      <w:r w:rsidRPr="002C6F76">
        <w:rPr>
          <w:rFonts w:eastAsiaTheme="minorHAnsi"/>
        </w:rPr>
        <w:t>34</w:t>
      </w:r>
      <w:r w:rsidR="003F53AB">
        <w:rPr>
          <w:rFonts w:eastAsiaTheme="minorHAnsi"/>
        </w:rPr>
        <w:t xml:space="preserve"> (</w:t>
      </w:r>
      <w:r w:rsidRPr="002C6F76">
        <w:rPr>
          <w:rFonts w:eastAsiaTheme="minorHAnsi"/>
        </w:rPr>
        <w:t>2</w:t>
      </w:r>
      <w:r w:rsidR="003F53AB">
        <w:rPr>
          <w:rFonts w:eastAsiaTheme="minorHAnsi"/>
        </w:rPr>
        <w:t>):</w:t>
      </w:r>
      <w:r w:rsidRPr="002C6F76">
        <w:rPr>
          <w:rFonts w:eastAsiaTheme="minorHAnsi"/>
        </w:rPr>
        <w:t>143-151</w:t>
      </w:r>
      <w:r w:rsidR="003F53AB">
        <w:rPr>
          <w:rFonts w:eastAsiaTheme="minorHAnsi"/>
        </w:rPr>
        <w:t>.</w:t>
      </w:r>
      <w:r w:rsidR="0091168F">
        <w:rPr>
          <w:rFonts w:eastAsiaTheme="minorHAnsi"/>
        </w:rPr>
        <w:t xml:space="preserve"> </w:t>
      </w:r>
      <w:r w:rsidR="0091168F" w:rsidRPr="002C6F76">
        <w:rPr>
          <w:rFonts w:eastAsiaTheme="minorHAnsi"/>
        </w:rPr>
        <w:t>DOI</w:t>
      </w:r>
      <w:r w:rsidR="0091168F">
        <w:rPr>
          <w:rFonts w:eastAsiaTheme="minorHAnsi"/>
        </w:rPr>
        <w:t>:</w:t>
      </w:r>
      <w:r w:rsidRPr="002C6F76">
        <w:rPr>
          <w:rFonts w:eastAsiaTheme="minorHAnsi"/>
        </w:rPr>
        <w:t>10.1080/14615517.2016.1176402</w:t>
      </w:r>
    </w:p>
    <w:p w14:paraId="72B25D9B" w14:textId="77777777" w:rsidR="00185B2E" w:rsidRDefault="00185B2E" w:rsidP="00185B2E">
      <w:r w:rsidRPr="002C6F76">
        <w:rPr>
          <w:lang w:val="en-GB"/>
        </w:rPr>
        <w:t>Kirchhoff</w:t>
      </w:r>
      <w:r w:rsidR="00AF7209" w:rsidRPr="002C6F76">
        <w:rPr>
          <w:lang w:val="en-GB"/>
        </w:rPr>
        <w:t xml:space="preserve">, </w:t>
      </w:r>
      <w:r w:rsidR="0049465C" w:rsidRPr="002C6F76">
        <w:rPr>
          <w:lang w:val="en-GB"/>
        </w:rPr>
        <w:t>D.</w:t>
      </w:r>
      <w:r w:rsidR="00AF7209" w:rsidRPr="002C6F76">
        <w:rPr>
          <w:lang w:val="en-GB"/>
        </w:rPr>
        <w:t>,</w:t>
      </w:r>
      <w:r w:rsidR="0049465C" w:rsidRPr="002C6F76">
        <w:rPr>
          <w:lang w:val="en-GB"/>
        </w:rPr>
        <w:t xml:space="preserve"> </w:t>
      </w:r>
      <w:r w:rsidRPr="002C6F76">
        <w:rPr>
          <w:lang w:val="en-GB"/>
        </w:rPr>
        <w:t>2006</w:t>
      </w:r>
      <w:r w:rsidR="00E848C6" w:rsidRPr="002C6F76">
        <w:rPr>
          <w:rFonts w:asciiTheme="majorBidi" w:hAnsiTheme="majorBidi" w:cstheme="majorBidi"/>
          <w:szCs w:val="24"/>
          <w:lang w:val="en-GB"/>
        </w:rPr>
        <w:t xml:space="preserve">. </w:t>
      </w:r>
      <w:r w:rsidR="00E848C6" w:rsidRPr="002C6F76">
        <w:rPr>
          <w:rFonts w:asciiTheme="majorBidi" w:eastAsiaTheme="minorHAnsi" w:hAnsiTheme="majorBidi" w:cstheme="majorBidi"/>
          <w:szCs w:val="24"/>
          <w:lang w:val="en-GB" w:bidi="ar-SA"/>
        </w:rPr>
        <w:t>“</w:t>
      </w:r>
      <w:r w:rsidRPr="002C6F76">
        <w:rPr>
          <w:lang w:val="en-GB"/>
        </w:rPr>
        <w:t>Capacity building for EIA in Brazil: Preliminary considerations and problems to be overcome</w:t>
      </w:r>
      <w:r w:rsidR="00E54FB3" w:rsidRPr="002C6F76">
        <w:rPr>
          <w:rFonts w:asciiTheme="majorBidi" w:eastAsiaTheme="minorHAnsi" w:hAnsiTheme="majorBidi" w:cstheme="majorBidi"/>
          <w:color w:val="1A171B"/>
          <w:szCs w:val="24"/>
          <w:lang w:val="en-GB" w:bidi="ar-SA"/>
        </w:rPr>
        <w:t>.”</w:t>
      </w:r>
      <w:r w:rsidR="00E54FB3" w:rsidRPr="002C6F76">
        <w:rPr>
          <w:lang w:val="en-GB"/>
        </w:rPr>
        <w:t xml:space="preserve"> </w:t>
      </w:r>
      <w:r w:rsidRPr="002C6F76">
        <w:rPr>
          <w:rFonts w:asciiTheme="majorBidi" w:hAnsiTheme="majorBidi" w:cstheme="majorBidi"/>
          <w:i/>
          <w:iCs/>
          <w:color w:val="000000"/>
          <w:szCs w:val="24"/>
          <w:lang w:val="en-GB"/>
        </w:rPr>
        <w:t>Environmental Assessment Policy and Management</w:t>
      </w:r>
      <w:r w:rsidRPr="002C6F76">
        <w:t xml:space="preserve"> 8 (1</w:t>
      </w:r>
      <w:r w:rsidR="00E54FB3" w:rsidRPr="002C6F76">
        <w:t>):</w:t>
      </w:r>
      <w:r w:rsidRPr="002C6F76">
        <w:t>1–18.</w:t>
      </w:r>
    </w:p>
    <w:p w14:paraId="3FBDFE7E" w14:textId="77777777" w:rsidR="00CA5C04" w:rsidRPr="00CA5C04" w:rsidRDefault="00CA5C04" w:rsidP="00CA5C04">
      <w:pPr>
        <w:tabs>
          <w:tab w:val="num" w:pos="270"/>
          <w:tab w:val="right" w:pos="8931"/>
        </w:tabs>
        <w:autoSpaceDE w:val="0"/>
        <w:autoSpaceDN w:val="0"/>
        <w:adjustRightInd w:val="0"/>
        <w:ind w:left="33" w:right="95"/>
        <w:rPr>
          <w:szCs w:val="24"/>
        </w:rPr>
      </w:pPr>
      <w:r w:rsidRPr="00CA5C04">
        <w:rPr>
          <w:szCs w:val="24"/>
        </w:rPr>
        <w:lastRenderedPageBreak/>
        <w:t>Kolhoff</w:t>
      </w:r>
      <w:r>
        <w:rPr>
          <w:szCs w:val="24"/>
        </w:rPr>
        <w:t>,</w:t>
      </w:r>
      <w:r w:rsidRPr="00CA5C04">
        <w:rPr>
          <w:szCs w:val="24"/>
        </w:rPr>
        <w:t xml:space="preserve"> A</w:t>
      </w:r>
      <w:r>
        <w:rPr>
          <w:szCs w:val="24"/>
        </w:rPr>
        <w:t>.</w:t>
      </w:r>
      <w:r w:rsidRPr="00CA5C04">
        <w:rPr>
          <w:szCs w:val="24"/>
        </w:rPr>
        <w:t>J., A.C. H</w:t>
      </w:r>
      <w:r>
        <w:rPr>
          <w:szCs w:val="24"/>
        </w:rPr>
        <w:t>.</w:t>
      </w:r>
      <w:r w:rsidRPr="00CA5C04">
        <w:rPr>
          <w:szCs w:val="24"/>
        </w:rPr>
        <w:t xml:space="preserve"> Runhaar</w:t>
      </w:r>
      <w:r>
        <w:rPr>
          <w:szCs w:val="24"/>
        </w:rPr>
        <w:t>,</w:t>
      </w:r>
      <w:r w:rsidRPr="00CA5C04">
        <w:rPr>
          <w:szCs w:val="24"/>
        </w:rPr>
        <w:t xml:space="preserve"> </w:t>
      </w:r>
      <w:r>
        <w:rPr>
          <w:szCs w:val="24"/>
        </w:rPr>
        <w:t>and</w:t>
      </w:r>
      <w:r w:rsidRPr="00CA5C04">
        <w:rPr>
          <w:szCs w:val="24"/>
        </w:rPr>
        <w:t xml:space="preserve"> P</w:t>
      </w:r>
      <w:r>
        <w:rPr>
          <w:szCs w:val="24"/>
        </w:rPr>
        <w:t>.</w:t>
      </w:r>
      <w:r w:rsidRPr="00CA5C04">
        <w:rPr>
          <w:szCs w:val="24"/>
        </w:rPr>
        <w:t>P.J. Driessen</w:t>
      </w:r>
      <w:r>
        <w:rPr>
          <w:szCs w:val="24"/>
        </w:rPr>
        <w:t xml:space="preserve">. </w:t>
      </w:r>
      <w:r w:rsidRPr="00CA5C04">
        <w:rPr>
          <w:szCs w:val="24"/>
        </w:rPr>
        <w:t>2009</w:t>
      </w:r>
      <w:r>
        <w:rPr>
          <w:szCs w:val="24"/>
        </w:rPr>
        <w:t>.</w:t>
      </w:r>
      <w:r w:rsidRPr="00CA5C04">
        <w:rPr>
          <w:szCs w:val="24"/>
        </w:rPr>
        <w:t xml:space="preserve"> The</w:t>
      </w:r>
      <w:r>
        <w:rPr>
          <w:szCs w:val="24"/>
        </w:rPr>
        <w:t xml:space="preserve"> </w:t>
      </w:r>
      <w:r w:rsidRPr="00CA5C04">
        <w:rPr>
          <w:szCs w:val="24"/>
        </w:rPr>
        <w:t>contribution of capacities and context to EIA system performance and effectiveness in</w:t>
      </w:r>
      <w:r>
        <w:rPr>
          <w:szCs w:val="24"/>
        </w:rPr>
        <w:t xml:space="preserve"> </w:t>
      </w:r>
      <w:r w:rsidRPr="00CA5C04">
        <w:rPr>
          <w:szCs w:val="24"/>
        </w:rPr>
        <w:t>developing countries: towards a better understanding</w:t>
      </w:r>
      <w:r w:rsidR="003F53AB">
        <w:rPr>
          <w:szCs w:val="24"/>
        </w:rPr>
        <w:t>.</w:t>
      </w:r>
      <w:r w:rsidR="003F53AB" w:rsidRPr="00CA5C04">
        <w:rPr>
          <w:szCs w:val="24"/>
        </w:rPr>
        <w:t xml:space="preserve"> </w:t>
      </w:r>
      <w:r w:rsidRPr="003F53AB">
        <w:rPr>
          <w:rFonts w:asciiTheme="majorBidi" w:hAnsiTheme="majorBidi" w:cstheme="majorBidi"/>
          <w:i/>
          <w:iCs/>
          <w:color w:val="000000"/>
          <w:szCs w:val="24"/>
          <w:lang w:val="en-GB"/>
        </w:rPr>
        <w:t>Impact Assessment and Project Appraisal</w:t>
      </w:r>
      <w:r w:rsidR="0091168F">
        <w:rPr>
          <w:szCs w:val="24"/>
        </w:rPr>
        <w:t xml:space="preserve"> </w:t>
      </w:r>
      <w:r w:rsidRPr="00CA5C04">
        <w:rPr>
          <w:szCs w:val="24"/>
        </w:rPr>
        <w:t>27</w:t>
      </w:r>
      <w:r w:rsidR="003F53AB">
        <w:rPr>
          <w:szCs w:val="24"/>
        </w:rPr>
        <w:t>(</w:t>
      </w:r>
      <w:r w:rsidRPr="00CA5C04">
        <w:rPr>
          <w:szCs w:val="24"/>
        </w:rPr>
        <w:t>4</w:t>
      </w:r>
      <w:r w:rsidR="003F53AB">
        <w:rPr>
          <w:szCs w:val="24"/>
        </w:rPr>
        <w:t>):</w:t>
      </w:r>
      <w:r w:rsidRPr="00CA5C04">
        <w:rPr>
          <w:szCs w:val="24"/>
        </w:rPr>
        <w:t xml:space="preserve"> 271-282</w:t>
      </w:r>
      <w:r w:rsidR="003F53AB">
        <w:rPr>
          <w:szCs w:val="24"/>
        </w:rPr>
        <w:t>.</w:t>
      </w:r>
      <w:r w:rsidR="003F53AB" w:rsidRPr="00CA5C04">
        <w:rPr>
          <w:szCs w:val="24"/>
        </w:rPr>
        <w:t xml:space="preserve"> </w:t>
      </w:r>
      <w:r w:rsidRPr="00CA5C04">
        <w:rPr>
          <w:szCs w:val="24"/>
        </w:rPr>
        <w:t>DOI: 10.3152/146155109X479459</w:t>
      </w:r>
      <w:r>
        <w:rPr>
          <w:szCs w:val="24"/>
        </w:rPr>
        <w:t>.</w:t>
      </w:r>
    </w:p>
    <w:p w14:paraId="76D8F2EC" w14:textId="77777777" w:rsidR="00185B2E" w:rsidRPr="002C6F76" w:rsidRDefault="00B54583" w:rsidP="00185B2E">
      <w:pPr>
        <w:tabs>
          <w:tab w:val="num" w:pos="270"/>
          <w:tab w:val="right" w:pos="8931"/>
        </w:tabs>
        <w:autoSpaceDE w:val="0"/>
        <w:autoSpaceDN w:val="0"/>
        <w:adjustRightInd w:val="0"/>
        <w:ind w:left="33" w:right="95"/>
      </w:pPr>
      <w:r w:rsidRPr="002C6F76">
        <w:rPr>
          <w:szCs w:val="24"/>
        </w:rPr>
        <w:t xml:space="preserve">Khosravi. F., </w:t>
      </w:r>
      <w:r w:rsidR="0049465C" w:rsidRPr="002C6F76">
        <w:rPr>
          <w:rFonts w:eastAsiaTheme="minorHAnsi"/>
          <w:lang w:val="en-GB" w:bidi="ar-SA"/>
        </w:rPr>
        <w:t xml:space="preserve">and </w:t>
      </w:r>
      <w:r w:rsidR="0049465C" w:rsidRPr="002C6F76">
        <w:rPr>
          <w:szCs w:val="24"/>
        </w:rPr>
        <w:t xml:space="preserve">U. </w:t>
      </w:r>
      <w:r w:rsidR="003F53AB" w:rsidRPr="003F53AB">
        <w:rPr>
          <w:szCs w:val="24"/>
        </w:rPr>
        <w:t>Jha-Thakur</w:t>
      </w:r>
      <w:r w:rsidR="0049465C" w:rsidRPr="002C6F76">
        <w:rPr>
          <w:szCs w:val="24"/>
        </w:rPr>
        <w:t xml:space="preserve">. </w:t>
      </w:r>
      <w:r w:rsidRPr="002C6F76">
        <w:rPr>
          <w:szCs w:val="24"/>
        </w:rPr>
        <w:t>2018</w:t>
      </w:r>
      <w:r w:rsidR="00E848C6" w:rsidRPr="002C6F76">
        <w:rPr>
          <w:rFonts w:asciiTheme="majorBidi" w:hAnsiTheme="majorBidi" w:cstheme="majorBidi"/>
          <w:szCs w:val="24"/>
          <w:lang w:val="en-GB"/>
        </w:rPr>
        <w:t xml:space="preserve">. </w:t>
      </w:r>
      <w:r w:rsidR="00E848C6" w:rsidRPr="002C6F76">
        <w:rPr>
          <w:rFonts w:asciiTheme="majorBidi" w:eastAsiaTheme="minorHAnsi" w:hAnsiTheme="majorBidi" w:cstheme="majorBidi"/>
          <w:szCs w:val="24"/>
          <w:lang w:val="en-GB" w:bidi="ar-SA"/>
        </w:rPr>
        <w:t>“</w:t>
      </w:r>
      <w:r w:rsidRPr="002C6F76">
        <w:t xml:space="preserve">Managing uncertainties through scenario analysis in strategic environmental assessment”. </w:t>
      </w:r>
      <w:r w:rsidRPr="002C6F76">
        <w:rPr>
          <w:rFonts w:asciiTheme="majorBidi" w:hAnsiTheme="majorBidi" w:cstheme="majorBidi"/>
          <w:i/>
          <w:iCs/>
          <w:color w:val="000000"/>
          <w:szCs w:val="24"/>
          <w:lang w:val="en-GB"/>
        </w:rPr>
        <w:t>Environmental Planning and Management</w:t>
      </w:r>
      <w:r w:rsidRPr="002C6F76">
        <w:t xml:space="preserve">. </w:t>
      </w:r>
      <w:hyperlink r:id="rId29" w:history="1">
        <w:r w:rsidR="002023BC" w:rsidRPr="003F53AB">
          <w:t>https://doi.org/10.1080/09640568.2018.1456913</w:t>
        </w:r>
      </w:hyperlink>
      <w:r w:rsidR="00185B2E" w:rsidRPr="002C6F76">
        <w:t>.</w:t>
      </w:r>
    </w:p>
    <w:p w14:paraId="7BEC4F0D" w14:textId="77777777" w:rsidR="002023BC" w:rsidRPr="002C6F76" w:rsidRDefault="002023BC" w:rsidP="002023BC">
      <w:pPr>
        <w:tabs>
          <w:tab w:val="num" w:pos="270"/>
          <w:tab w:val="right" w:pos="8931"/>
        </w:tabs>
        <w:autoSpaceDE w:val="0"/>
        <w:autoSpaceDN w:val="0"/>
        <w:adjustRightInd w:val="0"/>
        <w:ind w:left="33" w:right="95"/>
        <w:rPr>
          <w:szCs w:val="24"/>
        </w:rPr>
      </w:pPr>
      <w:r w:rsidRPr="002C6F76">
        <w:rPr>
          <w:szCs w:val="24"/>
        </w:rPr>
        <w:t>Kørnøv, L</w:t>
      </w:r>
      <w:r w:rsidR="00AF7209" w:rsidRPr="002C6F76">
        <w:rPr>
          <w:szCs w:val="24"/>
        </w:rPr>
        <w:t>.,</w:t>
      </w:r>
      <w:r w:rsidRPr="002C6F76">
        <w:rPr>
          <w:szCs w:val="24"/>
        </w:rPr>
        <w:t xml:space="preserve"> and W</w:t>
      </w:r>
      <w:r w:rsidR="0049465C" w:rsidRPr="002C6F76">
        <w:rPr>
          <w:szCs w:val="24"/>
        </w:rPr>
        <w:t>.</w:t>
      </w:r>
      <w:r w:rsidRPr="002C6F76">
        <w:rPr>
          <w:szCs w:val="24"/>
        </w:rPr>
        <w:t>A</w:t>
      </w:r>
      <w:r w:rsidR="0049465C" w:rsidRPr="002C6F76">
        <w:rPr>
          <w:szCs w:val="24"/>
        </w:rPr>
        <w:t>.</w:t>
      </w:r>
      <w:r w:rsidRPr="002C6F76">
        <w:rPr>
          <w:szCs w:val="24"/>
        </w:rPr>
        <w:t>H</w:t>
      </w:r>
      <w:r w:rsidR="0049465C" w:rsidRPr="002C6F76">
        <w:rPr>
          <w:szCs w:val="24"/>
        </w:rPr>
        <w:t>.</w:t>
      </w:r>
      <w:r w:rsidRPr="002C6F76">
        <w:rPr>
          <w:szCs w:val="24"/>
        </w:rPr>
        <w:t xml:space="preserve"> </w:t>
      </w:r>
      <w:r w:rsidR="0049465C" w:rsidRPr="002C6F76">
        <w:rPr>
          <w:szCs w:val="24"/>
        </w:rPr>
        <w:t xml:space="preserve">Thissen. </w:t>
      </w:r>
      <w:r w:rsidRPr="002C6F76">
        <w:rPr>
          <w:szCs w:val="24"/>
        </w:rPr>
        <w:t xml:space="preserve">2000. Rationality in decision- and policy-making: Implications for strategic environmental assessment. </w:t>
      </w:r>
      <w:r w:rsidRPr="0022189A">
        <w:rPr>
          <w:rFonts w:asciiTheme="majorBidi" w:hAnsiTheme="majorBidi" w:cstheme="majorBidi"/>
          <w:i/>
          <w:iCs/>
          <w:color w:val="000000"/>
          <w:szCs w:val="24"/>
          <w:lang w:val="en-GB"/>
        </w:rPr>
        <w:t>Impact Assessment and Project Appraisal</w:t>
      </w:r>
      <w:r w:rsidRPr="002C6F76">
        <w:rPr>
          <w:szCs w:val="24"/>
        </w:rPr>
        <w:t xml:space="preserve"> 18(3</w:t>
      </w:r>
      <w:r w:rsidR="003F53AB" w:rsidRPr="002C6F76">
        <w:rPr>
          <w:szCs w:val="24"/>
        </w:rPr>
        <w:t>)</w:t>
      </w:r>
      <w:r w:rsidR="003F53AB">
        <w:rPr>
          <w:szCs w:val="24"/>
        </w:rPr>
        <w:t>:</w:t>
      </w:r>
      <w:r w:rsidR="003F53AB" w:rsidRPr="002C6F76">
        <w:rPr>
          <w:szCs w:val="24"/>
        </w:rPr>
        <w:t xml:space="preserve"> </w:t>
      </w:r>
      <w:r w:rsidRPr="002C6F76">
        <w:rPr>
          <w:szCs w:val="24"/>
        </w:rPr>
        <w:t>191–200.</w:t>
      </w:r>
    </w:p>
    <w:p w14:paraId="33A1A7B9" w14:textId="77777777" w:rsidR="00F758D0" w:rsidRPr="002C6F76" w:rsidRDefault="00F758D0" w:rsidP="00476763">
      <w:pPr>
        <w:rPr>
          <w:rFonts w:eastAsiaTheme="minorHAnsi"/>
        </w:rPr>
      </w:pPr>
      <w:r w:rsidRPr="002C6F76">
        <w:rPr>
          <w:rFonts w:eastAsiaTheme="minorHAnsi"/>
        </w:rPr>
        <w:t>Marara, M</w:t>
      </w:r>
      <w:r w:rsidR="002870C7" w:rsidRPr="002C6F76">
        <w:rPr>
          <w:rFonts w:eastAsiaTheme="minorHAnsi"/>
        </w:rPr>
        <w:t>.</w:t>
      </w:r>
      <w:r w:rsidR="000E1E8E" w:rsidRPr="002C6F76">
        <w:rPr>
          <w:rFonts w:eastAsiaTheme="minorHAnsi"/>
        </w:rPr>
        <w:t>,</w:t>
      </w:r>
      <w:r w:rsidRPr="002C6F76">
        <w:rPr>
          <w:rFonts w:eastAsiaTheme="minorHAnsi"/>
        </w:rPr>
        <w:t xml:space="preserve"> </w:t>
      </w:r>
      <w:r w:rsidR="00084648" w:rsidRPr="002C6F76">
        <w:rPr>
          <w:rFonts w:eastAsiaTheme="minorHAnsi"/>
        </w:rPr>
        <w:t xml:space="preserve">N. </w:t>
      </w:r>
      <w:r w:rsidRPr="002C6F76">
        <w:rPr>
          <w:rFonts w:eastAsiaTheme="minorHAnsi"/>
        </w:rPr>
        <w:t>Okello</w:t>
      </w:r>
      <w:r w:rsidR="002870C7" w:rsidRPr="002C6F76">
        <w:rPr>
          <w:rFonts w:eastAsiaTheme="minorHAnsi"/>
        </w:rPr>
        <w:t>,</w:t>
      </w:r>
      <w:r w:rsidRPr="002C6F76">
        <w:rPr>
          <w:rFonts w:eastAsiaTheme="minorHAnsi"/>
        </w:rPr>
        <w:t xml:space="preserve"> </w:t>
      </w:r>
      <w:r w:rsidR="00084648" w:rsidRPr="002C6F76">
        <w:rPr>
          <w:rFonts w:eastAsiaTheme="minorHAnsi"/>
        </w:rPr>
        <w:t xml:space="preserve">Z. </w:t>
      </w:r>
      <w:r w:rsidRPr="002C6F76">
        <w:rPr>
          <w:rFonts w:eastAsiaTheme="minorHAnsi"/>
        </w:rPr>
        <w:t xml:space="preserve">Kuhanwa, </w:t>
      </w:r>
      <w:r w:rsidR="00084648" w:rsidRPr="002C6F76">
        <w:rPr>
          <w:rFonts w:eastAsiaTheme="minorHAnsi"/>
        </w:rPr>
        <w:t xml:space="preserve">W. </w:t>
      </w:r>
      <w:r w:rsidRPr="002C6F76">
        <w:rPr>
          <w:rFonts w:eastAsiaTheme="minorHAnsi"/>
        </w:rPr>
        <w:t>Douven</w:t>
      </w:r>
      <w:r w:rsidR="00CA5C04">
        <w:rPr>
          <w:rFonts w:eastAsiaTheme="minorHAnsi"/>
        </w:rPr>
        <w:t>,</w:t>
      </w:r>
      <w:r w:rsidR="00CA5C04" w:rsidRPr="002C6F76">
        <w:rPr>
          <w:rFonts w:eastAsiaTheme="minorHAnsi"/>
        </w:rPr>
        <w:t xml:space="preserve"> </w:t>
      </w:r>
      <w:r w:rsidR="00084648" w:rsidRPr="002C6F76">
        <w:rPr>
          <w:rFonts w:eastAsiaTheme="minorHAnsi"/>
        </w:rPr>
        <w:t>L</w:t>
      </w:r>
      <w:r w:rsidR="00084648" w:rsidRPr="002C6F76">
        <w:rPr>
          <w:lang w:val="en-GB"/>
        </w:rPr>
        <w:t xml:space="preserve">. </w:t>
      </w:r>
      <w:r w:rsidRPr="002C6F76">
        <w:rPr>
          <w:rFonts w:eastAsiaTheme="minorHAnsi"/>
        </w:rPr>
        <w:t xml:space="preserve">Beevers, </w:t>
      </w:r>
      <w:r w:rsidR="00BB38EB" w:rsidRPr="002C6F76">
        <w:rPr>
          <w:lang w:val="en-GB"/>
        </w:rPr>
        <w:t>and</w:t>
      </w:r>
      <w:r w:rsidR="00BB38EB" w:rsidRPr="002C6F76">
        <w:rPr>
          <w:rFonts w:eastAsiaTheme="minorHAnsi"/>
        </w:rPr>
        <w:t xml:space="preserve"> </w:t>
      </w:r>
      <w:r w:rsidR="00AF7209" w:rsidRPr="002C6F76">
        <w:rPr>
          <w:rFonts w:eastAsiaTheme="minorHAnsi"/>
        </w:rPr>
        <w:t xml:space="preserve">J. </w:t>
      </w:r>
      <w:r w:rsidRPr="002C6F76">
        <w:rPr>
          <w:rFonts w:eastAsiaTheme="minorHAnsi"/>
        </w:rPr>
        <w:t>Leentvaar. 2011</w:t>
      </w:r>
      <w:r w:rsidR="00E848C6" w:rsidRPr="002C6F76">
        <w:rPr>
          <w:rFonts w:asciiTheme="majorBidi" w:hAnsiTheme="majorBidi" w:cstheme="majorBidi"/>
          <w:szCs w:val="24"/>
          <w:lang w:val="en-GB"/>
        </w:rPr>
        <w:t xml:space="preserve">. </w:t>
      </w:r>
      <w:r w:rsidR="00E848C6" w:rsidRPr="002C6F76">
        <w:rPr>
          <w:rFonts w:asciiTheme="majorBidi" w:eastAsiaTheme="minorHAnsi" w:hAnsiTheme="majorBidi" w:cstheme="majorBidi"/>
          <w:szCs w:val="24"/>
          <w:lang w:val="en-GB" w:bidi="ar-SA"/>
        </w:rPr>
        <w:t>“</w:t>
      </w:r>
      <w:r w:rsidRPr="002C6F76">
        <w:rPr>
          <w:rFonts w:eastAsiaTheme="minorHAnsi"/>
        </w:rPr>
        <w:t>The importance of context in delivering effective EIA: Case studies from East Africa</w:t>
      </w:r>
      <w:r w:rsidR="00E54FB3" w:rsidRPr="002C6F76">
        <w:rPr>
          <w:rFonts w:asciiTheme="majorBidi" w:eastAsiaTheme="minorHAnsi" w:hAnsiTheme="majorBidi" w:cstheme="majorBidi"/>
          <w:color w:val="1A171B"/>
          <w:szCs w:val="24"/>
          <w:lang w:val="en-GB" w:bidi="ar-SA"/>
        </w:rPr>
        <w:t>.”</w:t>
      </w:r>
      <w:r w:rsidR="00E54FB3" w:rsidRPr="002C6F76">
        <w:rPr>
          <w:lang w:val="en-GB"/>
        </w:rPr>
        <w:t xml:space="preserve"> </w:t>
      </w:r>
      <w:r w:rsidRPr="002C6F76">
        <w:rPr>
          <w:rFonts w:asciiTheme="majorBidi" w:hAnsiTheme="majorBidi" w:cstheme="majorBidi"/>
          <w:i/>
          <w:iCs/>
          <w:color w:val="000000"/>
          <w:szCs w:val="24"/>
          <w:lang w:val="en-GB"/>
        </w:rPr>
        <w:t>Environmental Impact Assessment Review</w:t>
      </w:r>
      <w:r w:rsidRPr="002C6F76">
        <w:rPr>
          <w:rFonts w:eastAsiaTheme="minorHAnsi"/>
        </w:rPr>
        <w:t xml:space="preserve"> 31</w:t>
      </w:r>
      <w:r w:rsidR="003F53AB">
        <w:rPr>
          <w:rFonts w:eastAsiaTheme="minorHAnsi"/>
        </w:rPr>
        <w:t>:</w:t>
      </w:r>
      <w:r w:rsidR="003F53AB" w:rsidRPr="002C6F76">
        <w:rPr>
          <w:rFonts w:eastAsiaTheme="minorHAnsi"/>
        </w:rPr>
        <w:t xml:space="preserve"> </w:t>
      </w:r>
      <w:r w:rsidRPr="002C6F76">
        <w:rPr>
          <w:rFonts w:eastAsiaTheme="minorHAnsi"/>
        </w:rPr>
        <w:t>286–296.</w:t>
      </w:r>
    </w:p>
    <w:p w14:paraId="5BAC43BD" w14:textId="77777777" w:rsidR="00BC1295" w:rsidRPr="002C6F76" w:rsidRDefault="007F4F62" w:rsidP="000134A8">
      <w:pPr>
        <w:rPr>
          <w:rFonts w:eastAsiaTheme="minorHAnsi"/>
        </w:rPr>
      </w:pPr>
      <w:r w:rsidRPr="002C6F76">
        <w:rPr>
          <w:rFonts w:eastAsiaTheme="minorHAnsi"/>
        </w:rPr>
        <w:t>Momtaz</w:t>
      </w:r>
      <w:r w:rsidR="002870C7" w:rsidRPr="002C6F76">
        <w:rPr>
          <w:rFonts w:eastAsiaTheme="minorHAnsi"/>
        </w:rPr>
        <w:t>,</w:t>
      </w:r>
      <w:r w:rsidRPr="002C6F76">
        <w:rPr>
          <w:rFonts w:eastAsiaTheme="minorHAnsi"/>
        </w:rPr>
        <w:t xml:space="preserve"> S.</w:t>
      </w:r>
      <w:r w:rsidR="002870C7" w:rsidRPr="002C6F76">
        <w:rPr>
          <w:rFonts w:eastAsiaTheme="minorHAnsi"/>
        </w:rPr>
        <w:t>,</w:t>
      </w:r>
      <w:r w:rsidRPr="002C6F76">
        <w:rPr>
          <w:rFonts w:eastAsiaTheme="minorHAnsi"/>
        </w:rPr>
        <w:t xml:space="preserve"> </w:t>
      </w:r>
      <w:r w:rsidR="0049465C" w:rsidRPr="002C6F76">
        <w:rPr>
          <w:rFonts w:eastAsiaTheme="minorHAnsi"/>
          <w:lang w:val="en-GB" w:bidi="ar-SA"/>
        </w:rPr>
        <w:t xml:space="preserve">and </w:t>
      </w:r>
      <w:r w:rsidR="0049465C" w:rsidRPr="002C6F76">
        <w:rPr>
          <w:rFonts w:eastAsiaTheme="minorHAnsi"/>
        </w:rPr>
        <w:t xml:space="preserve">S.M.Z. </w:t>
      </w:r>
      <w:r w:rsidRPr="002C6F76">
        <w:rPr>
          <w:rFonts w:eastAsiaTheme="minorHAnsi"/>
        </w:rPr>
        <w:t>Kabir</w:t>
      </w:r>
      <w:r w:rsidR="0049465C" w:rsidRPr="002C6F76">
        <w:rPr>
          <w:rFonts w:eastAsiaTheme="minorHAnsi"/>
        </w:rPr>
        <w:t>.</w:t>
      </w:r>
      <w:r w:rsidRPr="002C6F76">
        <w:rPr>
          <w:rFonts w:eastAsiaTheme="minorHAnsi"/>
        </w:rPr>
        <w:t xml:space="preserve"> 2013</w:t>
      </w:r>
      <w:r w:rsidR="00E848C6" w:rsidRPr="002C6F76">
        <w:rPr>
          <w:rFonts w:asciiTheme="majorBidi" w:hAnsiTheme="majorBidi" w:cstheme="majorBidi"/>
          <w:szCs w:val="24"/>
          <w:lang w:val="en-GB"/>
        </w:rPr>
        <w:t xml:space="preserve">. </w:t>
      </w:r>
      <w:r w:rsidR="00BC1295" w:rsidRPr="002B66FD">
        <w:rPr>
          <w:rFonts w:eastAsiaTheme="minorHAnsi"/>
          <w:i/>
        </w:rPr>
        <w:t>Evaluating Environmental and Social Impact Assessment in Developing Countries</w:t>
      </w:r>
      <w:r w:rsidR="00E54FB3" w:rsidRPr="002C6F76">
        <w:rPr>
          <w:rFonts w:asciiTheme="majorBidi" w:eastAsiaTheme="minorHAnsi" w:hAnsiTheme="majorBidi" w:cstheme="majorBidi"/>
          <w:color w:val="1A171B"/>
          <w:szCs w:val="24"/>
          <w:lang w:val="en-GB" w:bidi="ar-SA"/>
        </w:rPr>
        <w:t>.</w:t>
      </w:r>
      <w:r w:rsidR="00E54FB3" w:rsidRPr="002C6F76">
        <w:rPr>
          <w:lang w:val="en-GB"/>
        </w:rPr>
        <w:t xml:space="preserve"> </w:t>
      </w:r>
      <w:r w:rsidRPr="002C6F76">
        <w:rPr>
          <w:rFonts w:eastAsiaTheme="minorHAnsi"/>
        </w:rPr>
        <w:t>Waltham</w:t>
      </w:r>
      <w:r w:rsidR="002B66FD">
        <w:rPr>
          <w:rFonts w:eastAsiaTheme="minorHAnsi"/>
        </w:rPr>
        <w:t>:</w:t>
      </w:r>
      <w:r w:rsidR="002B66FD" w:rsidRPr="002C6F76">
        <w:rPr>
          <w:rFonts w:eastAsiaTheme="minorHAnsi"/>
        </w:rPr>
        <w:t xml:space="preserve"> </w:t>
      </w:r>
      <w:r w:rsidRPr="002C6F76">
        <w:rPr>
          <w:rFonts w:eastAsiaTheme="minorHAnsi"/>
        </w:rPr>
        <w:t>Elsevier.</w:t>
      </w:r>
    </w:p>
    <w:p w14:paraId="7AAF9A33" w14:textId="77777777" w:rsidR="00F758D0" w:rsidRPr="002C6F76" w:rsidRDefault="00F758D0" w:rsidP="00476763">
      <w:pPr>
        <w:rPr>
          <w:rFonts w:eastAsiaTheme="minorHAnsi"/>
        </w:rPr>
      </w:pPr>
      <w:r w:rsidRPr="002C6F76">
        <w:rPr>
          <w:rFonts w:eastAsiaTheme="minorHAnsi"/>
        </w:rPr>
        <w:t xml:space="preserve">Moradi, H. </w:t>
      </w:r>
      <w:r w:rsidR="00625EF2" w:rsidRPr="002C6F76">
        <w:rPr>
          <w:rFonts w:eastAsiaTheme="minorHAnsi"/>
        </w:rPr>
        <w:t>2009</w:t>
      </w:r>
      <w:r w:rsidR="00E848C6" w:rsidRPr="002C6F76">
        <w:rPr>
          <w:rFonts w:asciiTheme="majorBidi" w:hAnsiTheme="majorBidi" w:cstheme="majorBidi"/>
          <w:szCs w:val="24"/>
          <w:lang w:val="en-GB"/>
        </w:rPr>
        <w:t xml:space="preserve">. </w:t>
      </w:r>
      <w:r w:rsidR="00E848C6" w:rsidRPr="002C6F76">
        <w:rPr>
          <w:rFonts w:asciiTheme="majorBidi" w:eastAsiaTheme="minorHAnsi" w:hAnsiTheme="majorBidi" w:cstheme="majorBidi"/>
          <w:szCs w:val="24"/>
          <w:lang w:val="en-GB" w:bidi="ar-SA"/>
        </w:rPr>
        <w:t>“</w:t>
      </w:r>
      <w:r w:rsidRPr="002C6F76">
        <w:rPr>
          <w:rFonts w:eastAsiaTheme="minorHAnsi"/>
        </w:rPr>
        <w:t xml:space="preserve">Biodiversity, climate change and environmental impact assessment”. </w:t>
      </w:r>
      <w:r w:rsidRPr="002C6F76">
        <w:t xml:space="preserve">PhD </w:t>
      </w:r>
      <w:r w:rsidR="003E3BEC">
        <w:t>diss.</w:t>
      </w:r>
      <w:r w:rsidRPr="002C6F76">
        <w:t xml:space="preserve">, </w:t>
      </w:r>
      <w:r w:rsidRPr="002C6F76">
        <w:rPr>
          <w:rFonts w:eastAsiaTheme="minorHAnsi"/>
        </w:rPr>
        <w:t>University of Zurich</w:t>
      </w:r>
      <w:r w:rsidR="001C49D8">
        <w:rPr>
          <w:rFonts w:eastAsiaTheme="minorHAnsi"/>
        </w:rPr>
        <w:t>.</w:t>
      </w:r>
    </w:p>
    <w:p w14:paraId="3DBB8FFD" w14:textId="77777777" w:rsidR="00F758D0" w:rsidRPr="002C6F76" w:rsidRDefault="00F758D0" w:rsidP="00476763">
      <w:pPr>
        <w:rPr>
          <w:rFonts w:eastAsiaTheme="minorHAnsi"/>
        </w:rPr>
      </w:pPr>
      <w:r w:rsidRPr="002C6F76">
        <w:rPr>
          <w:rFonts w:eastAsiaTheme="minorHAnsi"/>
        </w:rPr>
        <w:t>Morgan, R.K., 2012</w:t>
      </w:r>
      <w:r w:rsidR="00E848C6" w:rsidRPr="002C6F76">
        <w:rPr>
          <w:rFonts w:asciiTheme="majorBidi" w:hAnsiTheme="majorBidi" w:cstheme="majorBidi"/>
          <w:szCs w:val="24"/>
          <w:lang w:val="en-GB"/>
        </w:rPr>
        <w:t xml:space="preserve">. </w:t>
      </w:r>
      <w:r w:rsidR="00E848C6" w:rsidRPr="002C6F76">
        <w:rPr>
          <w:rFonts w:asciiTheme="majorBidi" w:eastAsiaTheme="minorHAnsi" w:hAnsiTheme="majorBidi" w:cstheme="majorBidi"/>
          <w:szCs w:val="24"/>
          <w:lang w:val="en-GB" w:bidi="ar-SA"/>
        </w:rPr>
        <w:t>“</w:t>
      </w:r>
      <w:r w:rsidRPr="002C6F76">
        <w:rPr>
          <w:rFonts w:eastAsiaTheme="minorHAnsi"/>
        </w:rPr>
        <w:t>Environmental impact assessment: the state of the art</w:t>
      </w:r>
      <w:r w:rsidR="00E54FB3" w:rsidRPr="002C6F76">
        <w:rPr>
          <w:rFonts w:asciiTheme="majorBidi" w:eastAsiaTheme="minorHAnsi" w:hAnsiTheme="majorBidi" w:cstheme="majorBidi"/>
          <w:color w:val="1A171B"/>
          <w:szCs w:val="24"/>
          <w:lang w:val="en-GB" w:bidi="ar-SA"/>
        </w:rPr>
        <w:t>.”</w:t>
      </w:r>
      <w:r w:rsidR="00E54FB3" w:rsidRPr="002C6F76">
        <w:rPr>
          <w:lang w:val="en-GB"/>
        </w:rPr>
        <w:t xml:space="preserve"> </w:t>
      </w:r>
      <w:r w:rsidRPr="002C6F76">
        <w:rPr>
          <w:rFonts w:asciiTheme="majorBidi" w:hAnsiTheme="majorBidi" w:cstheme="majorBidi"/>
          <w:i/>
          <w:iCs/>
          <w:color w:val="000000"/>
          <w:szCs w:val="24"/>
          <w:lang w:val="en-GB"/>
        </w:rPr>
        <w:t>Impact Assess</w:t>
      </w:r>
      <w:r w:rsidR="00893654">
        <w:rPr>
          <w:rFonts w:asciiTheme="majorBidi" w:hAnsiTheme="majorBidi" w:cstheme="majorBidi"/>
          <w:i/>
          <w:iCs/>
          <w:color w:val="000000"/>
          <w:szCs w:val="24"/>
          <w:lang w:val="en-GB"/>
        </w:rPr>
        <w:t>ment</w:t>
      </w:r>
      <w:r w:rsidRPr="002C6F76">
        <w:rPr>
          <w:rFonts w:asciiTheme="majorBidi" w:hAnsiTheme="majorBidi" w:cstheme="majorBidi"/>
          <w:i/>
          <w:iCs/>
          <w:color w:val="000000"/>
          <w:szCs w:val="24"/>
          <w:lang w:val="en-GB"/>
        </w:rPr>
        <w:t xml:space="preserve"> Project Appraisal</w:t>
      </w:r>
      <w:r w:rsidRPr="002C6F76">
        <w:rPr>
          <w:rFonts w:eastAsiaTheme="minorHAnsi"/>
        </w:rPr>
        <w:t xml:space="preserve"> 30</w:t>
      </w:r>
      <w:r w:rsidR="002B66FD">
        <w:rPr>
          <w:rFonts w:eastAsiaTheme="minorHAnsi"/>
        </w:rPr>
        <w:t xml:space="preserve"> (1)</w:t>
      </w:r>
      <w:r w:rsidR="00E54FB3" w:rsidRPr="002C6F76">
        <w:rPr>
          <w:rFonts w:eastAsiaTheme="minorHAnsi"/>
        </w:rPr>
        <w:t xml:space="preserve">: </w:t>
      </w:r>
      <w:r w:rsidRPr="002C6F76">
        <w:rPr>
          <w:rFonts w:eastAsiaTheme="minorHAnsi"/>
        </w:rPr>
        <w:t>5–14.</w:t>
      </w:r>
    </w:p>
    <w:p w14:paraId="5F8FA151" w14:textId="77777777" w:rsidR="00F758D0" w:rsidRPr="002C6F76" w:rsidRDefault="00F758D0" w:rsidP="00476763">
      <w:pPr>
        <w:rPr>
          <w:lang w:val="en-GB"/>
        </w:rPr>
      </w:pPr>
      <w:r w:rsidRPr="002C6F76">
        <w:rPr>
          <w:lang w:val="en-GB"/>
        </w:rPr>
        <w:t xml:space="preserve">MPO (Management and Planning Organization) 1994. </w:t>
      </w:r>
      <w:r w:rsidRPr="002C6F76">
        <w:rPr>
          <w:i/>
          <w:iCs/>
          <w:lang w:val="en-GB"/>
        </w:rPr>
        <w:t>The Documents of the Second Five-Year National Development Plan for the Economic, Social and Cultural Development of the Islamic Republic of Iran.</w:t>
      </w:r>
      <w:r w:rsidRPr="002C6F76">
        <w:rPr>
          <w:lang w:val="en-GB"/>
        </w:rPr>
        <w:t xml:space="preserve"> Tehran: MPO.</w:t>
      </w:r>
    </w:p>
    <w:p w14:paraId="242C9A69" w14:textId="77777777" w:rsidR="00F758D0" w:rsidRPr="002C6F76" w:rsidRDefault="00F758D0" w:rsidP="00476763">
      <w:pPr>
        <w:rPr>
          <w:lang w:val="en-GB"/>
        </w:rPr>
      </w:pPr>
      <w:r w:rsidRPr="002C6F76">
        <w:rPr>
          <w:lang w:val="en-GB"/>
        </w:rPr>
        <w:t xml:space="preserve">MPO (Management and Planning Organization) 1999. </w:t>
      </w:r>
      <w:r w:rsidRPr="002C6F76">
        <w:rPr>
          <w:i/>
          <w:iCs/>
          <w:lang w:val="en-GB"/>
        </w:rPr>
        <w:t>The Documents of the Third Five-Year National Plan for the Economic, Social, and Cultural Development of the Islamic Republic of Iran</w:t>
      </w:r>
      <w:r w:rsidRPr="002C6F76">
        <w:rPr>
          <w:lang w:val="en-GB"/>
        </w:rPr>
        <w:t>. Tehran: MPO.</w:t>
      </w:r>
    </w:p>
    <w:p w14:paraId="5E2C7CE5" w14:textId="77777777" w:rsidR="00F758D0" w:rsidRPr="002C6F76" w:rsidRDefault="00F758D0" w:rsidP="00476763">
      <w:pPr>
        <w:rPr>
          <w:lang w:val="en-GB"/>
        </w:rPr>
      </w:pPr>
      <w:r w:rsidRPr="002C6F76">
        <w:rPr>
          <w:lang w:val="en-GB"/>
        </w:rPr>
        <w:lastRenderedPageBreak/>
        <w:t xml:space="preserve">MPO (Management and Planning Organization) 2005. </w:t>
      </w:r>
      <w:r w:rsidRPr="002C6F76">
        <w:rPr>
          <w:i/>
          <w:iCs/>
          <w:lang w:val="en-GB"/>
        </w:rPr>
        <w:t xml:space="preserve">The Documents of the Fourth Five-Year National Plan for the Economic, Social, and Cultural Development of the Islamic Republic of Iran. </w:t>
      </w:r>
      <w:r w:rsidRPr="002C6F76">
        <w:rPr>
          <w:lang w:val="en-GB"/>
        </w:rPr>
        <w:t>Tehran: MPO.</w:t>
      </w:r>
    </w:p>
    <w:p w14:paraId="6BC0335B" w14:textId="77777777" w:rsidR="00F758D0" w:rsidRPr="002C6F76" w:rsidRDefault="00F758D0" w:rsidP="00476763">
      <w:pPr>
        <w:rPr>
          <w:lang w:val="en-GB"/>
        </w:rPr>
      </w:pPr>
      <w:r w:rsidRPr="002C6F76">
        <w:rPr>
          <w:lang w:val="en-GB"/>
        </w:rPr>
        <w:t xml:space="preserve">MPO (Management and Planning Organization) 2010. </w:t>
      </w:r>
      <w:r w:rsidRPr="002C6F76">
        <w:rPr>
          <w:i/>
          <w:iCs/>
          <w:lang w:val="en-GB"/>
        </w:rPr>
        <w:t>The Documents of the Fifth Five-Year National Plan for the Economic, Social, and Cultural Development of the Islamic Republic of Iran</w:t>
      </w:r>
      <w:r w:rsidRPr="002C6F76">
        <w:rPr>
          <w:lang w:val="en-GB"/>
        </w:rPr>
        <w:t>. Tehran: MPO.</w:t>
      </w:r>
    </w:p>
    <w:p w14:paraId="477F25EA" w14:textId="77777777" w:rsidR="00F758D0" w:rsidRPr="002C6F76" w:rsidRDefault="00F758D0" w:rsidP="00476763">
      <w:pPr>
        <w:rPr>
          <w:lang w:eastAsia="en-GB"/>
        </w:rPr>
      </w:pPr>
      <w:r w:rsidRPr="002C6F76">
        <w:rPr>
          <w:rFonts w:eastAsiaTheme="minorHAnsi"/>
        </w:rPr>
        <w:t>Munyazikwiye</w:t>
      </w:r>
      <w:r w:rsidR="00AF7209" w:rsidRPr="002C6F76">
        <w:rPr>
          <w:rFonts w:eastAsiaTheme="minorHAnsi"/>
        </w:rPr>
        <w:t>,</w:t>
      </w:r>
      <w:r w:rsidRPr="002C6F76">
        <w:rPr>
          <w:lang w:eastAsia="en-GB"/>
        </w:rPr>
        <w:t xml:space="preserve"> F. 2011. An Assessment of Environmental Impact Assessment Procedures and Challenges faced by Environmental Officers in EIA implementation in Rwanda</w:t>
      </w:r>
      <w:r w:rsidR="00893654">
        <w:rPr>
          <w:lang w:eastAsia="en-GB"/>
        </w:rPr>
        <w:t>. M</w:t>
      </w:r>
      <w:r w:rsidR="00BA3D60" w:rsidRPr="002C6F76">
        <w:rPr>
          <w:lang w:eastAsia="en-GB"/>
        </w:rPr>
        <w:t>aster’s</w:t>
      </w:r>
      <w:r w:rsidRPr="002C6F76">
        <w:rPr>
          <w:lang w:eastAsia="en-GB"/>
        </w:rPr>
        <w:t xml:space="preserve"> </w:t>
      </w:r>
      <w:r w:rsidR="00893654">
        <w:rPr>
          <w:lang w:eastAsia="en-GB"/>
        </w:rPr>
        <w:t xml:space="preserve">Thesis. </w:t>
      </w:r>
      <w:r w:rsidRPr="002C6F76">
        <w:rPr>
          <w:lang w:eastAsia="en-GB"/>
        </w:rPr>
        <w:t>University of Kwazulu-Natal.</w:t>
      </w:r>
    </w:p>
    <w:p w14:paraId="73DE6596" w14:textId="77777777" w:rsidR="004E3EA7" w:rsidRPr="001C49D8" w:rsidRDefault="004E3EA7" w:rsidP="00347B78">
      <w:pPr>
        <w:rPr>
          <w:rFonts w:eastAsiaTheme="minorHAnsi"/>
          <w:lang w:val="en-GB" w:bidi="ar-SA"/>
        </w:rPr>
      </w:pPr>
      <w:r w:rsidRPr="00347B78">
        <w:rPr>
          <w:lang w:eastAsia="en-GB"/>
        </w:rPr>
        <w:t>Nadeem</w:t>
      </w:r>
      <w:r w:rsidRPr="001C49D8">
        <w:rPr>
          <w:rFonts w:eastAsiaTheme="minorHAnsi"/>
          <w:lang w:val="en-GB" w:bidi="ar-SA"/>
        </w:rPr>
        <w:t>, O.</w:t>
      </w:r>
      <w:r w:rsidR="0016126D">
        <w:rPr>
          <w:rFonts w:eastAsiaTheme="minorHAnsi"/>
          <w:lang w:val="en-GB" w:bidi="ar-SA"/>
        </w:rPr>
        <w:t>,</w:t>
      </w:r>
      <w:r w:rsidRPr="001C49D8">
        <w:rPr>
          <w:rFonts w:eastAsiaTheme="minorHAnsi"/>
          <w:lang w:val="en-GB" w:bidi="ar-SA"/>
        </w:rPr>
        <w:t xml:space="preserve"> and </w:t>
      </w:r>
      <w:r w:rsidR="0016126D" w:rsidRPr="001C49D8">
        <w:rPr>
          <w:rFonts w:eastAsiaTheme="minorHAnsi"/>
          <w:lang w:val="en-GB" w:bidi="ar-SA"/>
        </w:rPr>
        <w:t xml:space="preserve">T.B. </w:t>
      </w:r>
      <w:r w:rsidRPr="001C49D8">
        <w:rPr>
          <w:rFonts w:eastAsiaTheme="minorHAnsi"/>
          <w:lang w:val="en-GB" w:bidi="ar-SA"/>
        </w:rPr>
        <w:t>Fischer</w:t>
      </w:r>
      <w:r w:rsidR="0016126D">
        <w:rPr>
          <w:rFonts w:eastAsiaTheme="minorHAnsi"/>
          <w:lang w:val="en-GB" w:bidi="ar-SA"/>
        </w:rPr>
        <w:t>.</w:t>
      </w:r>
      <w:r w:rsidRPr="001C49D8">
        <w:rPr>
          <w:rFonts w:eastAsiaTheme="minorHAnsi"/>
          <w:lang w:val="en-GB" w:bidi="ar-SA"/>
        </w:rPr>
        <w:t xml:space="preserve"> 2011</w:t>
      </w:r>
      <w:r w:rsidR="00347B78" w:rsidRPr="002C6F76">
        <w:rPr>
          <w:rFonts w:asciiTheme="majorBidi" w:hAnsiTheme="majorBidi" w:cstheme="majorBidi"/>
          <w:szCs w:val="24"/>
          <w:lang w:val="en-GB"/>
        </w:rPr>
        <w:t xml:space="preserve">. </w:t>
      </w:r>
      <w:r w:rsidR="00347B78" w:rsidRPr="002C6F76">
        <w:rPr>
          <w:rFonts w:asciiTheme="majorBidi" w:eastAsiaTheme="minorHAnsi" w:hAnsiTheme="majorBidi" w:cstheme="majorBidi"/>
          <w:szCs w:val="24"/>
          <w:lang w:val="en-GB" w:bidi="ar-SA"/>
        </w:rPr>
        <w:t>“</w:t>
      </w:r>
      <w:r w:rsidRPr="001C49D8">
        <w:rPr>
          <w:rFonts w:eastAsiaTheme="minorHAnsi"/>
          <w:bCs/>
          <w:lang w:val="en-GB" w:bidi="ar-SA"/>
        </w:rPr>
        <w:t>An Evaluation Framework for Effective Public Participation in EIA in Pakistan</w:t>
      </w:r>
      <w:r w:rsidR="00347B78" w:rsidRPr="002C6F76">
        <w:rPr>
          <w:rFonts w:asciiTheme="majorBidi" w:eastAsiaTheme="minorHAnsi" w:hAnsiTheme="majorBidi" w:cstheme="majorBidi"/>
          <w:color w:val="1A171B"/>
          <w:szCs w:val="24"/>
          <w:lang w:val="en-GB" w:bidi="ar-SA"/>
        </w:rPr>
        <w:t>.”</w:t>
      </w:r>
      <w:r w:rsidR="00347B78" w:rsidRPr="002C6F76">
        <w:rPr>
          <w:lang w:val="en-GB"/>
        </w:rPr>
        <w:t xml:space="preserve"> </w:t>
      </w:r>
      <w:r w:rsidR="00347B78" w:rsidRPr="002C6F76">
        <w:rPr>
          <w:rFonts w:asciiTheme="majorBidi" w:hAnsiTheme="majorBidi" w:cstheme="majorBidi"/>
          <w:i/>
          <w:iCs/>
          <w:color w:val="000000"/>
          <w:szCs w:val="24"/>
          <w:lang w:val="en-GB"/>
        </w:rPr>
        <w:t>Environmental Impact Assessment Review</w:t>
      </w:r>
      <w:r w:rsidR="00893654">
        <w:rPr>
          <w:rFonts w:eastAsiaTheme="minorHAnsi"/>
        </w:rPr>
        <w:t xml:space="preserve"> </w:t>
      </w:r>
      <w:r w:rsidRPr="001C49D8">
        <w:rPr>
          <w:rFonts w:eastAsiaTheme="minorHAnsi"/>
          <w:lang w:val="en-GB" w:bidi="ar-SA"/>
        </w:rPr>
        <w:t>31(1): 36-47.</w:t>
      </w:r>
    </w:p>
    <w:p w14:paraId="35EC14B1" w14:textId="77777777" w:rsidR="00F758D0" w:rsidRPr="002C6F76" w:rsidRDefault="00F758D0" w:rsidP="00476763">
      <w:pPr>
        <w:rPr>
          <w:rFonts w:eastAsiaTheme="minorHAnsi"/>
        </w:rPr>
      </w:pPr>
      <w:r w:rsidRPr="002C6F76">
        <w:rPr>
          <w:rFonts w:eastAsiaTheme="minorHAnsi"/>
        </w:rPr>
        <w:t>Nadeem, O.</w:t>
      </w:r>
      <w:r w:rsidR="00AF7209" w:rsidRPr="002C6F76">
        <w:rPr>
          <w:rFonts w:eastAsiaTheme="minorHAnsi"/>
        </w:rPr>
        <w:t>,</w:t>
      </w:r>
      <w:r w:rsidRPr="002C6F76">
        <w:rPr>
          <w:rFonts w:eastAsiaTheme="minorHAnsi"/>
        </w:rPr>
        <w:t xml:space="preserve"> </w:t>
      </w:r>
      <w:r w:rsidR="0049465C" w:rsidRPr="002C6F76">
        <w:rPr>
          <w:rFonts w:eastAsiaTheme="minorHAnsi"/>
          <w:lang w:val="en-GB" w:bidi="ar-SA"/>
        </w:rPr>
        <w:t xml:space="preserve">and </w:t>
      </w:r>
      <w:r w:rsidR="0049465C" w:rsidRPr="002C6F76">
        <w:rPr>
          <w:rFonts w:eastAsiaTheme="minorHAnsi"/>
        </w:rPr>
        <w:t xml:space="preserve">R. </w:t>
      </w:r>
      <w:r w:rsidRPr="002C6F76">
        <w:rPr>
          <w:rFonts w:eastAsiaTheme="minorHAnsi"/>
        </w:rPr>
        <w:t>Hameed</w:t>
      </w:r>
      <w:r w:rsidR="0049465C" w:rsidRPr="002C6F76">
        <w:rPr>
          <w:rFonts w:eastAsiaTheme="minorHAnsi"/>
        </w:rPr>
        <w:t>.</w:t>
      </w:r>
      <w:r w:rsidRPr="002C6F76">
        <w:rPr>
          <w:rFonts w:eastAsiaTheme="minorHAnsi"/>
        </w:rPr>
        <w:t xml:space="preserve"> 2008</w:t>
      </w:r>
      <w:r w:rsidR="00E848C6" w:rsidRPr="002C6F76">
        <w:rPr>
          <w:rFonts w:asciiTheme="majorBidi" w:hAnsiTheme="majorBidi" w:cstheme="majorBidi"/>
          <w:szCs w:val="24"/>
          <w:lang w:val="en-GB"/>
        </w:rPr>
        <w:t xml:space="preserve">. </w:t>
      </w:r>
      <w:r w:rsidR="00E848C6" w:rsidRPr="002C6F76">
        <w:rPr>
          <w:rFonts w:asciiTheme="majorBidi" w:eastAsiaTheme="minorHAnsi" w:hAnsiTheme="majorBidi" w:cstheme="majorBidi"/>
          <w:szCs w:val="24"/>
          <w:lang w:val="en-GB" w:bidi="ar-SA"/>
        </w:rPr>
        <w:t>“</w:t>
      </w:r>
      <w:r w:rsidRPr="002C6F76">
        <w:rPr>
          <w:rFonts w:eastAsiaTheme="minorHAnsi"/>
        </w:rPr>
        <w:t>Evaluation of environmental impact assessment system in Pakistan</w:t>
      </w:r>
      <w:r w:rsidR="00E54FB3" w:rsidRPr="002C6F76">
        <w:rPr>
          <w:rFonts w:asciiTheme="majorBidi" w:eastAsiaTheme="minorHAnsi" w:hAnsiTheme="majorBidi" w:cstheme="majorBidi"/>
          <w:color w:val="1A171B"/>
          <w:szCs w:val="24"/>
          <w:lang w:val="en-GB" w:bidi="ar-SA"/>
        </w:rPr>
        <w:t>.”</w:t>
      </w:r>
      <w:r w:rsidR="00E54FB3" w:rsidRPr="002C6F76">
        <w:rPr>
          <w:lang w:val="en-GB"/>
        </w:rPr>
        <w:t xml:space="preserve"> </w:t>
      </w:r>
      <w:r w:rsidRPr="002C6F76">
        <w:rPr>
          <w:rFonts w:asciiTheme="majorBidi" w:hAnsiTheme="majorBidi" w:cstheme="majorBidi"/>
          <w:i/>
          <w:iCs/>
          <w:color w:val="000000"/>
          <w:szCs w:val="24"/>
          <w:lang w:val="en-GB"/>
        </w:rPr>
        <w:t>Environmental Impact Assessment Review</w:t>
      </w:r>
      <w:r w:rsidR="00893654">
        <w:rPr>
          <w:rFonts w:eastAsiaTheme="minorHAnsi"/>
        </w:rPr>
        <w:t xml:space="preserve"> </w:t>
      </w:r>
      <w:r w:rsidRPr="002C6F76">
        <w:rPr>
          <w:rFonts w:eastAsiaTheme="minorHAnsi"/>
        </w:rPr>
        <w:t>28: 562–571.</w:t>
      </w:r>
    </w:p>
    <w:p w14:paraId="3CE2A50A" w14:textId="4A17E5DB" w:rsidR="0072486C" w:rsidRDefault="00F758D0" w:rsidP="0072486C">
      <w:pPr>
        <w:rPr>
          <w:rFonts w:eastAsiaTheme="minorHAnsi"/>
        </w:rPr>
      </w:pPr>
      <w:r w:rsidRPr="002C6F76">
        <w:rPr>
          <w:rFonts w:eastAsiaTheme="minorHAnsi"/>
        </w:rPr>
        <w:t>Nouri, J.</w:t>
      </w:r>
      <w:r w:rsidR="001A1F67" w:rsidRPr="002C6F76">
        <w:rPr>
          <w:rFonts w:eastAsiaTheme="minorHAnsi"/>
        </w:rPr>
        <w:t>,</w:t>
      </w:r>
      <w:r w:rsidRPr="002C6F76">
        <w:rPr>
          <w:rFonts w:eastAsiaTheme="minorHAnsi"/>
        </w:rPr>
        <w:t xml:space="preserve"> </w:t>
      </w:r>
      <w:r w:rsidR="0049465C" w:rsidRPr="002C6F76">
        <w:rPr>
          <w:rFonts w:eastAsiaTheme="minorHAnsi"/>
        </w:rPr>
        <w:t xml:space="preserve">and H. </w:t>
      </w:r>
      <w:r w:rsidRPr="002C6F76">
        <w:rPr>
          <w:rFonts w:eastAsiaTheme="minorHAnsi"/>
        </w:rPr>
        <w:t>Nikoomaram. 2005</w:t>
      </w:r>
      <w:r w:rsidR="00E54FB3" w:rsidRPr="002C6F76">
        <w:rPr>
          <w:rFonts w:asciiTheme="majorBidi" w:hAnsiTheme="majorBidi" w:cstheme="majorBidi"/>
          <w:szCs w:val="24"/>
          <w:lang w:val="en-GB"/>
        </w:rPr>
        <w:t xml:space="preserve">. </w:t>
      </w:r>
      <w:r w:rsidR="00E54FB3" w:rsidRPr="002C6F76">
        <w:rPr>
          <w:rFonts w:asciiTheme="majorBidi" w:eastAsiaTheme="minorHAnsi" w:hAnsiTheme="majorBidi" w:cstheme="majorBidi"/>
          <w:szCs w:val="24"/>
          <w:lang w:val="en-GB" w:bidi="ar-SA"/>
        </w:rPr>
        <w:t>“</w:t>
      </w:r>
      <w:r w:rsidRPr="002C6F76">
        <w:rPr>
          <w:rFonts w:eastAsiaTheme="minorHAnsi"/>
        </w:rPr>
        <w:t>Comparison of the Environmental Impact Assessment procedure in Iran with the other countries</w:t>
      </w:r>
      <w:r w:rsidR="00E54FB3" w:rsidRPr="002C6F76">
        <w:rPr>
          <w:rFonts w:asciiTheme="majorBidi" w:eastAsiaTheme="minorHAnsi" w:hAnsiTheme="majorBidi" w:cstheme="majorBidi"/>
          <w:color w:val="1A171B"/>
          <w:szCs w:val="24"/>
          <w:lang w:val="en-GB" w:bidi="ar-SA"/>
        </w:rPr>
        <w:t>.”</w:t>
      </w:r>
      <w:r w:rsidR="00E54FB3" w:rsidRPr="002C6F76">
        <w:rPr>
          <w:lang w:val="en-GB"/>
        </w:rPr>
        <w:t xml:space="preserve"> </w:t>
      </w:r>
      <w:r w:rsidRPr="002C6F76">
        <w:rPr>
          <w:rFonts w:eastAsiaTheme="minorHAnsi"/>
          <w:i/>
        </w:rPr>
        <w:t>European Journal of Scientific Research</w:t>
      </w:r>
      <w:r w:rsidRPr="002C6F76">
        <w:rPr>
          <w:rFonts w:eastAsiaTheme="minorHAnsi"/>
        </w:rPr>
        <w:t xml:space="preserve"> 1: 87 – 96. </w:t>
      </w:r>
    </w:p>
    <w:p w14:paraId="23EDB2B9" w14:textId="4DD851D8" w:rsidR="00695521" w:rsidRPr="00695521" w:rsidRDefault="003C4C5F" w:rsidP="00695521">
      <w:pPr>
        <w:rPr>
          <w:rFonts w:eastAsiaTheme="minorHAnsi"/>
        </w:rPr>
      </w:pPr>
      <w:r>
        <w:rPr>
          <w:rFonts w:eastAsiaTheme="minorHAnsi"/>
        </w:rPr>
        <w:t xml:space="preserve">Paliwal, R., and </w:t>
      </w:r>
      <w:r w:rsidR="00695521">
        <w:rPr>
          <w:rFonts w:eastAsiaTheme="minorHAnsi"/>
        </w:rPr>
        <w:t xml:space="preserve">L. </w:t>
      </w:r>
      <w:r>
        <w:rPr>
          <w:rFonts w:eastAsiaTheme="minorHAnsi"/>
        </w:rPr>
        <w:t>Srivastava</w:t>
      </w:r>
      <w:r w:rsidR="00695521">
        <w:rPr>
          <w:rFonts w:eastAsiaTheme="minorHAnsi"/>
        </w:rPr>
        <w:t>.</w:t>
      </w:r>
      <w:r>
        <w:rPr>
          <w:rFonts w:eastAsiaTheme="minorHAnsi"/>
        </w:rPr>
        <w:t xml:space="preserve"> “Adequacy of the follow-up process in India and barriers to its effective implementation”</w:t>
      </w:r>
      <w:r w:rsidR="00695521">
        <w:rPr>
          <w:rFonts w:eastAsiaTheme="minorHAnsi"/>
        </w:rPr>
        <w:t xml:space="preserve">. </w:t>
      </w:r>
      <w:r w:rsidRPr="00695521">
        <w:rPr>
          <w:rFonts w:eastAsiaTheme="minorHAnsi"/>
          <w:i/>
        </w:rPr>
        <w:t xml:space="preserve">Environmental Planning and Management </w:t>
      </w:r>
      <w:r w:rsidRPr="00DB296F">
        <w:rPr>
          <w:rFonts w:eastAsiaTheme="minorHAnsi"/>
        </w:rPr>
        <w:t>55</w:t>
      </w:r>
      <w:r w:rsidR="00DB296F" w:rsidRPr="00DB296F">
        <w:rPr>
          <w:rFonts w:eastAsiaTheme="minorHAnsi"/>
        </w:rPr>
        <w:t>(2)</w:t>
      </w:r>
      <w:r>
        <w:rPr>
          <w:rFonts w:eastAsiaTheme="minorHAnsi"/>
        </w:rPr>
        <w:t>: 191-210</w:t>
      </w:r>
      <w:r w:rsidR="00695521">
        <w:rPr>
          <w:rFonts w:eastAsiaTheme="minorHAnsi"/>
        </w:rPr>
        <w:t xml:space="preserve">. </w:t>
      </w:r>
      <w:hyperlink r:id="rId30" w:history="1">
        <w:r w:rsidR="00695521" w:rsidRPr="00695521">
          <w:rPr>
            <w:rFonts w:eastAsiaTheme="minorHAnsi"/>
          </w:rPr>
          <w:t>https://doi.org/10.1</w:t>
        </w:r>
        <w:r w:rsidR="00695521" w:rsidRPr="00DB296F">
          <w:rPr>
            <w:rFonts w:eastAsiaTheme="minorHAnsi"/>
          </w:rPr>
          <w:t>080/09640568.201</w:t>
        </w:r>
        <w:r w:rsidR="00695521" w:rsidRPr="00695521">
          <w:rPr>
            <w:rFonts w:eastAsiaTheme="minorHAnsi"/>
          </w:rPr>
          <w:t>1.588063</w:t>
        </w:r>
      </w:hyperlink>
      <w:r w:rsidR="00695521" w:rsidRPr="00695521">
        <w:rPr>
          <w:rFonts w:eastAsiaTheme="minorHAnsi"/>
        </w:rPr>
        <w:t>.</w:t>
      </w:r>
    </w:p>
    <w:p w14:paraId="381652BD" w14:textId="4DEB71CF" w:rsidR="0072486C" w:rsidRPr="002C6F76" w:rsidRDefault="0072486C" w:rsidP="0072486C">
      <w:pPr>
        <w:rPr>
          <w:rFonts w:eastAsiaTheme="minorHAnsi"/>
        </w:rPr>
      </w:pPr>
      <w:r w:rsidRPr="002C6F76">
        <w:rPr>
          <w:rFonts w:cs="Times New Roman"/>
          <w:szCs w:val="24"/>
          <w:lang w:val="en-GB" w:eastAsia="en-GB" w:bidi="ar-SA"/>
        </w:rPr>
        <w:t>Panigrahi</w:t>
      </w:r>
      <w:r w:rsidRPr="002C6F76">
        <w:rPr>
          <w:rFonts w:cs="Times New Roman"/>
          <w:color w:val="000000"/>
          <w:lang w:val="en-GB" w:eastAsia="en-GB" w:bidi="ar-SA"/>
        </w:rPr>
        <w:t xml:space="preserve">, </w:t>
      </w:r>
      <w:r w:rsidR="00BB38EB" w:rsidRPr="002C6F76">
        <w:rPr>
          <w:rFonts w:cs="Times New Roman"/>
          <w:color w:val="000000"/>
          <w:lang w:val="en-GB" w:eastAsia="en-GB" w:bidi="ar-SA"/>
        </w:rPr>
        <w:t xml:space="preserve">J. </w:t>
      </w:r>
      <w:r w:rsidRPr="002C6F76">
        <w:rPr>
          <w:rFonts w:cs="Times New Roman"/>
          <w:color w:val="000000"/>
          <w:lang w:val="en-GB" w:eastAsia="en-GB" w:bidi="ar-SA"/>
        </w:rPr>
        <w:t>K.</w:t>
      </w:r>
      <w:r w:rsidR="001A1F67" w:rsidRPr="002C6F76">
        <w:rPr>
          <w:rFonts w:cs="Times New Roman"/>
          <w:color w:val="000000"/>
          <w:lang w:val="en-GB" w:eastAsia="en-GB" w:bidi="ar-SA"/>
        </w:rPr>
        <w:t>,</w:t>
      </w:r>
      <w:r w:rsidRPr="002C6F76">
        <w:rPr>
          <w:rFonts w:cs="Times New Roman"/>
          <w:color w:val="0000FF"/>
          <w:lang w:val="en-GB" w:eastAsia="en-GB" w:bidi="ar-SA"/>
        </w:rPr>
        <w:t xml:space="preserve"> </w:t>
      </w:r>
      <w:r w:rsidR="0049465C" w:rsidRPr="002C6F76">
        <w:rPr>
          <w:rFonts w:eastAsiaTheme="minorHAnsi"/>
          <w:lang w:val="en-GB" w:bidi="ar-SA"/>
        </w:rPr>
        <w:t xml:space="preserve">and </w:t>
      </w:r>
      <w:r w:rsidR="0049465C" w:rsidRPr="002C6F76">
        <w:rPr>
          <w:rFonts w:cs="Times New Roman"/>
          <w:color w:val="000000"/>
          <w:szCs w:val="24"/>
          <w:lang w:val="en-GB" w:eastAsia="en-GB" w:bidi="ar-SA"/>
        </w:rPr>
        <w:t xml:space="preserve">S. </w:t>
      </w:r>
      <w:r w:rsidRPr="002C6F76">
        <w:rPr>
          <w:rFonts w:cs="Times New Roman"/>
          <w:color w:val="000000"/>
          <w:szCs w:val="24"/>
          <w:lang w:val="en-GB" w:eastAsia="en-GB" w:bidi="ar-SA"/>
        </w:rPr>
        <w:t>Amirapu</w:t>
      </w:r>
      <w:r w:rsidR="0049465C" w:rsidRPr="002C6F76">
        <w:rPr>
          <w:rFonts w:cs="Times New Roman"/>
          <w:color w:val="000000"/>
          <w:lang w:val="en-GB" w:eastAsia="en-GB" w:bidi="ar-SA"/>
        </w:rPr>
        <w:t>.</w:t>
      </w:r>
      <w:r w:rsidRPr="002C6F76">
        <w:rPr>
          <w:rFonts w:cs="Times New Roman"/>
          <w:color w:val="000000"/>
          <w:lang w:val="en-GB" w:eastAsia="en-GB" w:bidi="ar-SA"/>
        </w:rPr>
        <w:t xml:space="preserve"> </w:t>
      </w:r>
      <w:r w:rsidRPr="002C6F76">
        <w:rPr>
          <w:rFonts w:cs="Times New Roman"/>
          <w:color w:val="000000"/>
          <w:szCs w:val="24"/>
          <w:lang w:val="en-GB" w:eastAsia="en-GB" w:bidi="ar-SA"/>
        </w:rPr>
        <w:t>2012</w:t>
      </w:r>
      <w:r w:rsidR="00E848C6" w:rsidRPr="002C6F76">
        <w:rPr>
          <w:rFonts w:cs="Times New Roman"/>
          <w:color w:val="000000"/>
          <w:szCs w:val="24"/>
          <w:lang w:val="en-GB" w:eastAsia="en-GB" w:bidi="ar-SA"/>
        </w:rPr>
        <w:t>. “</w:t>
      </w:r>
      <w:r w:rsidRPr="002C6F76">
        <w:rPr>
          <w:rFonts w:cs="Times New Roman"/>
          <w:color w:val="000000"/>
          <w:szCs w:val="24"/>
          <w:lang w:val="en-GB" w:eastAsia="en-GB" w:bidi="ar-SA"/>
        </w:rPr>
        <w:t>An assessment of EIA system in India</w:t>
      </w:r>
      <w:r w:rsidR="00695521" w:rsidRPr="002C6F76">
        <w:rPr>
          <w:rFonts w:asciiTheme="majorBidi" w:eastAsiaTheme="minorHAnsi" w:hAnsiTheme="majorBidi" w:cstheme="majorBidi"/>
          <w:color w:val="1A171B"/>
          <w:szCs w:val="24"/>
          <w:lang w:val="en-GB" w:bidi="ar-SA"/>
        </w:rPr>
        <w:t>.”</w:t>
      </w:r>
      <w:r w:rsidRPr="002C6F76">
        <w:rPr>
          <w:rFonts w:cs="Times New Roman"/>
          <w:color w:val="000000"/>
          <w:szCs w:val="24"/>
          <w:lang w:val="en-GB" w:eastAsia="en-GB" w:bidi="ar-SA"/>
        </w:rPr>
        <w:t xml:space="preserve"> </w:t>
      </w:r>
      <w:r w:rsidRPr="002C6F76">
        <w:rPr>
          <w:rFonts w:eastAsiaTheme="minorHAnsi"/>
          <w:i/>
        </w:rPr>
        <w:t>Environmental Impact Assessment Review</w:t>
      </w:r>
      <w:r w:rsidRPr="002C6F76">
        <w:rPr>
          <w:rFonts w:eastAsiaTheme="minorHAnsi"/>
        </w:rPr>
        <w:t xml:space="preserve"> 35: 23–36</w:t>
      </w:r>
      <w:r w:rsidR="002870C7" w:rsidRPr="002C6F76">
        <w:rPr>
          <w:rFonts w:eastAsiaTheme="minorHAnsi"/>
        </w:rPr>
        <w:t>.</w:t>
      </w:r>
    </w:p>
    <w:p w14:paraId="4B70E484" w14:textId="77777777" w:rsidR="00F758D0" w:rsidRPr="002C6F76" w:rsidRDefault="00F758D0" w:rsidP="00476763">
      <w:r w:rsidRPr="002C6F76">
        <w:t>Purnama, D. 2003</w:t>
      </w:r>
      <w:r w:rsidR="00E848C6" w:rsidRPr="002C6F76">
        <w:rPr>
          <w:rFonts w:asciiTheme="majorBidi" w:hAnsiTheme="majorBidi" w:cstheme="majorBidi"/>
          <w:szCs w:val="24"/>
          <w:lang w:val="en-GB"/>
        </w:rPr>
        <w:t xml:space="preserve">. </w:t>
      </w:r>
      <w:r w:rsidR="00E848C6" w:rsidRPr="002C6F76">
        <w:rPr>
          <w:rFonts w:asciiTheme="majorBidi" w:eastAsiaTheme="minorHAnsi" w:hAnsiTheme="majorBidi" w:cstheme="majorBidi"/>
          <w:szCs w:val="24"/>
          <w:lang w:val="en-GB" w:bidi="ar-SA"/>
        </w:rPr>
        <w:t>“</w:t>
      </w:r>
      <w:r w:rsidRPr="002C6F76">
        <w:t>Reform of the EIA process in Indonesia: improving the role of public involvement</w:t>
      </w:r>
      <w:r w:rsidR="00E54FB3" w:rsidRPr="002C6F76">
        <w:rPr>
          <w:rFonts w:asciiTheme="majorBidi" w:eastAsiaTheme="minorHAnsi" w:hAnsiTheme="majorBidi" w:cstheme="majorBidi"/>
          <w:color w:val="1A171B"/>
          <w:szCs w:val="24"/>
          <w:lang w:val="en-GB" w:bidi="ar-SA"/>
        </w:rPr>
        <w:t>.”</w:t>
      </w:r>
      <w:r w:rsidR="00E54FB3" w:rsidRPr="002C6F76">
        <w:rPr>
          <w:lang w:val="en-GB"/>
        </w:rPr>
        <w:t xml:space="preserve"> </w:t>
      </w:r>
      <w:r w:rsidRPr="002C6F76">
        <w:rPr>
          <w:rFonts w:asciiTheme="majorBidi" w:hAnsiTheme="majorBidi" w:cstheme="majorBidi"/>
          <w:i/>
          <w:iCs/>
          <w:color w:val="000000"/>
          <w:szCs w:val="24"/>
          <w:lang w:val="en-GB"/>
        </w:rPr>
        <w:t>Environmental Impact Assessment Review</w:t>
      </w:r>
      <w:r w:rsidR="00E54FB3" w:rsidRPr="002C6F76">
        <w:t xml:space="preserve"> </w:t>
      </w:r>
      <w:r w:rsidRPr="002C6F76">
        <w:t>23</w:t>
      </w:r>
      <w:r w:rsidR="00E54FB3" w:rsidRPr="002C6F76">
        <w:t xml:space="preserve">: </w:t>
      </w:r>
      <w:r w:rsidRPr="002C6F76">
        <w:t>415–439.</w:t>
      </w:r>
    </w:p>
    <w:p w14:paraId="44FB7D36" w14:textId="77777777" w:rsidR="00F758D0" w:rsidRPr="002C6F76" w:rsidRDefault="00F758D0" w:rsidP="00476763">
      <w:r w:rsidRPr="002C6F76">
        <w:t>Rahmati, A. 2014. The Trend of EIA in Iran and the Recent Challenges</w:t>
      </w:r>
      <w:r w:rsidR="001C49D8">
        <w:t>.</w:t>
      </w:r>
      <w:r w:rsidRPr="002C6F76">
        <w:t xml:space="preserve"> (Translated from Persian)</w:t>
      </w:r>
    </w:p>
    <w:p w14:paraId="7EFF519C" w14:textId="77777777" w:rsidR="00F758D0" w:rsidRPr="002C6F76" w:rsidRDefault="00F758D0" w:rsidP="00476763">
      <w:pPr>
        <w:rPr>
          <w:rFonts w:eastAsiaTheme="minorHAnsi"/>
        </w:rPr>
      </w:pPr>
      <w:r w:rsidRPr="002C6F76">
        <w:rPr>
          <w:rFonts w:eastAsiaTheme="minorHAnsi"/>
        </w:rPr>
        <w:t>Rajaram</w:t>
      </w:r>
      <w:r w:rsidR="0016126D">
        <w:rPr>
          <w:rFonts w:eastAsiaTheme="minorHAnsi"/>
        </w:rPr>
        <w:t>,</w:t>
      </w:r>
      <w:r w:rsidR="0016126D" w:rsidRPr="002C6F76">
        <w:rPr>
          <w:rFonts w:eastAsiaTheme="minorHAnsi"/>
        </w:rPr>
        <w:t xml:space="preserve"> </w:t>
      </w:r>
      <w:r w:rsidRPr="002C6F76">
        <w:rPr>
          <w:rFonts w:eastAsiaTheme="minorHAnsi"/>
        </w:rPr>
        <w:t xml:space="preserve">T., </w:t>
      </w:r>
      <w:r w:rsidR="0049465C" w:rsidRPr="002C6F76">
        <w:rPr>
          <w:rFonts w:eastAsiaTheme="minorHAnsi"/>
          <w:lang w:val="en-GB" w:bidi="ar-SA"/>
        </w:rPr>
        <w:t xml:space="preserve">and </w:t>
      </w:r>
      <w:r w:rsidRPr="002C6F76">
        <w:rPr>
          <w:rFonts w:eastAsiaTheme="minorHAnsi"/>
        </w:rPr>
        <w:t>A</w:t>
      </w:r>
      <w:r w:rsidR="0049465C" w:rsidRPr="002C6F76">
        <w:rPr>
          <w:rFonts w:eastAsiaTheme="minorHAnsi"/>
        </w:rPr>
        <w:t>.</w:t>
      </w:r>
      <w:r w:rsidRPr="002C6F76">
        <w:rPr>
          <w:rFonts w:eastAsiaTheme="minorHAnsi"/>
        </w:rPr>
        <w:t xml:space="preserve"> Das. 2011</w:t>
      </w:r>
      <w:r w:rsidR="00E848C6" w:rsidRPr="002C6F76">
        <w:rPr>
          <w:rFonts w:asciiTheme="majorBidi" w:hAnsiTheme="majorBidi" w:cstheme="majorBidi"/>
          <w:szCs w:val="24"/>
          <w:lang w:val="en-GB"/>
        </w:rPr>
        <w:t xml:space="preserve">. </w:t>
      </w:r>
      <w:r w:rsidR="00E848C6" w:rsidRPr="002C6F76">
        <w:rPr>
          <w:rFonts w:asciiTheme="majorBidi" w:eastAsiaTheme="minorHAnsi" w:hAnsiTheme="majorBidi" w:cstheme="majorBidi"/>
          <w:szCs w:val="24"/>
          <w:lang w:val="en-GB" w:bidi="ar-SA"/>
        </w:rPr>
        <w:t>“</w:t>
      </w:r>
      <w:r w:rsidRPr="002C6F76">
        <w:rPr>
          <w:rFonts w:eastAsiaTheme="minorHAnsi"/>
        </w:rPr>
        <w:t>Screening for EIA in India: Enhancing effectiveness through ecological carrying capacity approach</w:t>
      </w:r>
      <w:r w:rsidR="00E54FB3" w:rsidRPr="002C6F76">
        <w:rPr>
          <w:rFonts w:asciiTheme="majorBidi" w:eastAsiaTheme="minorHAnsi" w:hAnsiTheme="majorBidi" w:cstheme="majorBidi"/>
          <w:color w:val="1A171B"/>
          <w:szCs w:val="24"/>
          <w:lang w:val="en-GB" w:bidi="ar-SA"/>
        </w:rPr>
        <w:t>.”</w:t>
      </w:r>
      <w:r w:rsidR="00E54FB3" w:rsidRPr="002C6F76">
        <w:rPr>
          <w:lang w:val="en-GB"/>
        </w:rPr>
        <w:t xml:space="preserve"> </w:t>
      </w:r>
      <w:r w:rsidRPr="002C6F76">
        <w:rPr>
          <w:rFonts w:asciiTheme="majorBidi" w:hAnsiTheme="majorBidi" w:cstheme="majorBidi"/>
          <w:i/>
          <w:iCs/>
          <w:color w:val="000000"/>
          <w:szCs w:val="24"/>
          <w:lang w:val="en-GB"/>
        </w:rPr>
        <w:t>Environmental Management</w:t>
      </w:r>
      <w:r w:rsidRPr="002C6F76">
        <w:rPr>
          <w:rFonts w:eastAsiaTheme="minorHAnsi"/>
        </w:rPr>
        <w:t xml:space="preserve"> 92:140-148</w:t>
      </w:r>
      <w:r w:rsidR="0051008B" w:rsidRPr="002C6F76">
        <w:rPr>
          <w:rFonts w:eastAsiaTheme="minorHAnsi"/>
        </w:rPr>
        <w:t>.</w:t>
      </w:r>
    </w:p>
    <w:p w14:paraId="23EADB70" w14:textId="77777777" w:rsidR="003E612F" w:rsidRPr="002C6F76" w:rsidRDefault="003E612F" w:rsidP="003E612F">
      <w:pPr>
        <w:rPr>
          <w:rFonts w:eastAsiaTheme="minorHAnsi"/>
        </w:rPr>
      </w:pPr>
      <w:r w:rsidRPr="002C6F76">
        <w:rPr>
          <w:rFonts w:eastAsiaTheme="minorHAnsi"/>
        </w:rPr>
        <w:lastRenderedPageBreak/>
        <w:t>Runhaar, HAC</w:t>
      </w:r>
      <w:r w:rsidR="001A1F67" w:rsidRPr="002C6F76">
        <w:rPr>
          <w:rFonts w:eastAsiaTheme="minorHAnsi"/>
        </w:rPr>
        <w:t>.,</w:t>
      </w:r>
      <w:r w:rsidRPr="002C6F76">
        <w:rPr>
          <w:rFonts w:eastAsiaTheme="minorHAnsi"/>
        </w:rPr>
        <w:t xml:space="preserve"> and P</w:t>
      </w:r>
      <w:r w:rsidR="0049465C" w:rsidRPr="002C6F76">
        <w:rPr>
          <w:rFonts w:eastAsiaTheme="minorHAnsi"/>
        </w:rPr>
        <w:t>.</w:t>
      </w:r>
      <w:r w:rsidRPr="002C6F76">
        <w:rPr>
          <w:rFonts w:eastAsiaTheme="minorHAnsi"/>
        </w:rPr>
        <w:t>P</w:t>
      </w:r>
      <w:r w:rsidR="0049465C" w:rsidRPr="002C6F76">
        <w:rPr>
          <w:rFonts w:eastAsiaTheme="minorHAnsi"/>
        </w:rPr>
        <w:t>.</w:t>
      </w:r>
      <w:r w:rsidRPr="002C6F76">
        <w:rPr>
          <w:rFonts w:eastAsiaTheme="minorHAnsi"/>
        </w:rPr>
        <w:t>J</w:t>
      </w:r>
      <w:r w:rsidR="0049465C" w:rsidRPr="002C6F76">
        <w:rPr>
          <w:rFonts w:eastAsiaTheme="minorHAnsi"/>
        </w:rPr>
        <w:t>.</w:t>
      </w:r>
      <w:r w:rsidRPr="002C6F76">
        <w:rPr>
          <w:rFonts w:eastAsiaTheme="minorHAnsi"/>
        </w:rPr>
        <w:t xml:space="preserve"> Driessen</w:t>
      </w:r>
      <w:r w:rsidR="0049465C" w:rsidRPr="002C6F76">
        <w:rPr>
          <w:rFonts w:eastAsiaTheme="minorHAnsi"/>
        </w:rPr>
        <w:t xml:space="preserve">. </w:t>
      </w:r>
      <w:r w:rsidRPr="002C6F76">
        <w:rPr>
          <w:rFonts w:eastAsiaTheme="minorHAnsi"/>
        </w:rPr>
        <w:t xml:space="preserve">2007. </w:t>
      </w:r>
      <w:r w:rsidR="00893654" w:rsidRPr="002C6F76">
        <w:rPr>
          <w:rFonts w:asciiTheme="majorBidi" w:eastAsiaTheme="minorHAnsi" w:hAnsiTheme="majorBidi" w:cstheme="majorBidi"/>
          <w:szCs w:val="24"/>
          <w:lang w:val="en-GB" w:bidi="ar-SA"/>
        </w:rPr>
        <w:t>“</w:t>
      </w:r>
      <w:r w:rsidRPr="002C6F76">
        <w:rPr>
          <w:rFonts w:eastAsiaTheme="minorHAnsi"/>
        </w:rPr>
        <w:t>What makes strategic environmental assessment successful environmental assessment?</w:t>
      </w:r>
      <w:r w:rsidR="00893654" w:rsidRPr="002C6F76">
        <w:rPr>
          <w:rFonts w:asciiTheme="majorBidi" w:eastAsiaTheme="minorHAnsi" w:hAnsiTheme="majorBidi" w:cstheme="majorBidi"/>
          <w:color w:val="1A171B"/>
          <w:szCs w:val="24"/>
          <w:lang w:val="en-GB" w:bidi="ar-SA"/>
        </w:rPr>
        <w:t>”</w:t>
      </w:r>
      <w:r w:rsidR="00893654" w:rsidRPr="002C6F76">
        <w:rPr>
          <w:lang w:val="en-GB"/>
        </w:rPr>
        <w:t xml:space="preserve"> </w:t>
      </w:r>
      <w:r w:rsidRPr="0022189A">
        <w:rPr>
          <w:i/>
          <w:iCs/>
          <w:lang w:val="en-GB"/>
        </w:rPr>
        <w:t>Impact Assessment and Project Appraisal</w:t>
      </w:r>
      <w:r w:rsidRPr="002C6F76">
        <w:rPr>
          <w:rFonts w:eastAsiaTheme="minorHAnsi"/>
        </w:rPr>
        <w:t xml:space="preserve"> 25(1</w:t>
      </w:r>
      <w:r w:rsidR="002B66FD" w:rsidRPr="002C6F76">
        <w:rPr>
          <w:rFonts w:eastAsiaTheme="minorHAnsi"/>
        </w:rPr>
        <w:t>)</w:t>
      </w:r>
      <w:r w:rsidR="002B66FD">
        <w:rPr>
          <w:rFonts w:eastAsiaTheme="minorHAnsi"/>
        </w:rPr>
        <w:t>:</w:t>
      </w:r>
      <w:r w:rsidR="002B66FD" w:rsidRPr="002C6F76">
        <w:rPr>
          <w:rFonts w:eastAsiaTheme="minorHAnsi"/>
        </w:rPr>
        <w:t xml:space="preserve"> </w:t>
      </w:r>
      <w:r w:rsidRPr="002C6F76">
        <w:rPr>
          <w:rFonts w:eastAsiaTheme="minorHAnsi"/>
        </w:rPr>
        <w:t>2–14.</w:t>
      </w:r>
    </w:p>
    <w:p w14:paraId="03F124A5" w14:textId="77777777" w:rsidR="00A96F32" w:rsidRPr="002C6F76" w:rsidRDefault="00A96F32" w:rsidP="00476763">
      <w:pPr>
        <w:rPr>
          <w:rFonts w:eastAsiaTheme="minorHAnsi"/>
        </w:rPr>
      </w:pPr>
      <w:r w:rsidRPr="002C6F76">
        <w:rPr>
          <w:rFonts w:eastAsiaTheme="minorHAnsi"/>
        </w:rPr>
        <w:t>S</w:t>
      </w:r>
      <w:r w:rsidR="00BF4AEA" w:rsidRPr="002C6F76">
        <w:rPr>
          <w:rFonts w:eastAsiaTheme="minorHAnsi"/>
        </w:rPr>
        <w:t>adler</w:t>
      </w:r>
      <w:r w:rsidRPr="002C6F76">
        <w:rPr>
          <w:rFonts w:eastAsiaTheme="minorHAnsi"/>
        </w:rPr>
        <w:t>, B. 1996</w:t>
      </w:r>
      <w:r w:rsidR="00E54FB3" w:rsidRPr="002C6F76">
        <w:rPr>
          <w:rFonts w:eastAsiaTheme="minorHAnsi"/>
        </w:rPr>
        <w:t xml:space="preserve">. </w:t>
      </w:r>
      <w:r w:rsidRPr="009844CD">
        <w:rPr>
          <w:rFonts w:eastAsiaTheme="minorHAnsi"/>
          <w:i/>
        </w:rPr>
        <w:t xml:space="preserve">International Study of the Effectiveness of Environmental Assessment, </w:t>
      </w:r>
      <w:r w:rsidR="009844CD" w:rsidRPr="009844CD">
        <w:rPr>
          <w:rFonts w:eastAsiaTheme="minorHAnsi"/>
          <w:i/>
        </w:rPr>
        <w:t>Environmental assessment in a changing world: Evaluating Practice to Improve Performance</w:t>
      </w:r>
      <w:r w:rsidR="009844CD">
        <w:t xml:space="preserve">, </w:t>
      </w:r>
      <w:r w:rsidRPr="002C6F76">
        <w:rPr>
          <w:rFonts w:eastAsiaTheme="minorHAnsi"/>
        </w:rPr>
        <w:t>Canadian Environmental Assessment Agency</w:t>
      </w:r>
      <w:r w:rsidR="009844CD">
        <w:rPr>
          <w:rFonts w:eastAsiaTheme="minorHAnsi"/>
        </w:rPr>
        <w:t xml:space="preserve"> and the International Association for Impact Assessment, Minister of Supply and Service, Canada.</w:t>
      </w:r>
    </w:p>
    <w:p w14:paraId="55176FF5" w14:textId="77777777" w:rsidR="00A11C71" w:rsidRPr="002C6F76" w:rsidRDefault="00A11C71" w:rsidP="00A11C71">
      <w:pPr>
        <w:rPr>
          <w:rFonts w:eastAsiaTheme="minorHAnsi"/>
        </w:rPr>
      </w:pPr>
      <w:r w:rsidRPr="002C6F76">
        <w:rPr>
          <w:rFonts w:eastAsiaTheme="minorHAnsi"/>
        </w:rPr>
        <w:t xml:space="preserve">Sadler, B </w:t>
      </w:r>
      <w:r w:rsidR="0049465C" w:rsidRPr="002C6F76">
        <w:rPr>
          <w:rFonts w:eastAsiaTheme="minorHAnsi"/>
        </w:rPr>
        <w:t>.</w:t>
      </w:r>
      <w:r w:rsidRPr="002C6F76">
        <w:rPr>
          <w:rFonts w:eastAsiaTheme="minorHAnsi"/>
        </w:rPr>
        <w:t>2004. On evaluating the success of EIA and SEA</w:t>
      </w:r>
      <w:r w:rsidRPr="00607A28">
        <w:rPr>
          <w:rFonts w:eastAsiaTheme="minorHAnsi"/>
          <w:i/>
        </w:rPr>
        <w:t>. In Assessing Impact — Handbook of EIA and SEA Follow-Up</w:t>
      </w:r>
      <w:r w:rsidR="00607A28">
        <w:rPr>
          <w:rFonts w:eastAsiaTheme="minorHAnsi"/>
        </w:rPr>
        <w:t>.</w:t>
      </w:r>
      <w:r w:rsidR="00607A28" w:rsidRPr="002C6F76">
        <w:rPr>
          <w:rFonts w:eastAsiaTheme="minorHAnsi"/>
        </w:rPr>
        <w:t xml:space="preserve"> </w:t>
      </w:r>
      <w:r w:rsidRPr="002C6F76">
        <w:rPr>
          <w:rFonts w:eastAsiaTheme="minorHAnsi"/>
        </w:rPr>
        <w:t>A</w:t>
      </w:r>
      <w:r w:rsidR="00607A28">
        <w:rPr>
          <w:rFonts w:eastAsiaTheme="minorHAnsi"/>
        </w:rPr>
        <w:t>.</w:t>
      </w:r>
      <w:r w:rsidRPr="002C6F76">
        <w:rPr>
          <w:rFonts w:eastAsiaTheme="minorHAnsi"/>
        </w:rPr>
        <w:t xml:space="preserve"> Morrisson-Saunders and J Arts (eds.), Earthscan, London, pp. 248–285.</w:t>
      </w:r>
    </w:p>
    <w:p w14:paraId="7F2EF5AC" w14:textId="77777777" w:rsidR="008B33D9" w:rsidRPr="002C6F76" w:rsidRDefault="008B33D9" w:rsidP="008B33D9">
      <w:pPr>
        <w:rPr>
          <w:lang w:val="en-GB"/>
        </w:rPr>
      </w:pPr>
      <w:r w:rsidRPr="002C6F76">
        <w:rPr>
          <w:lang w:val="en-GB"/>
        </w:rPr>
        <w:t>Suwanteep</w:t>
      </w:r>
      <w:r w:rsidR="001A1F67" w:rsidRPr="002C6F76">
        <w:rPr>
          <w:lang w:val="en-GB"/>
        </w:rPr>
        <w:t>,</w:t>
      </w:r>
      <w:r w:rsidRPr="002C6F76">
        <w:rPr>
          <w:lang w:val="en-GB"/>
        </w:rPr>
        <w:t xml:space="preserve"> K</w:t>
      </w:r>
      <w:r w:rsidR="001A1F67" w:rsidRPr="002C6F76">
        <w:rPr>
          <w:lang w:val="en-GB"/>
        </w:rPr>
        <w:t>.</w:t>
      </w:r>
      <w:r w:rsidRPr="002C6F76">
        <w:rPr>
          <w:lang w:val="en-GB"/>
        </w:rPr>
        <w:t xml:space="preserve">, </w:t>
      </w:r>
      <w:r w:rsidR="00084648" w:rsidRPr="002C6F76">
        <w:rPr>
          <w:lang w:val="en-GB"/>
        </w:rPr>
        <w:t xml:space="preserve">T. </w:t>
      </w:r>
      <w:r w:rsidRPr="002C6F76">
        <w:rPr>
          <w:lang w:val="en-GB"/>
        </w:rPr>
        <w:t>Murayama</w:t>
      </w:r>
      <w:r w:rsidR="00BB38EB" w:rsidRPr="002C6F76">
        <w:rPr>
          <w:lang w:val="en-GB"/>
        </w:rPr>
        <w:t>, and</w:t>
      </w:r>
      <w:r w:rsidR="00BB38EB" w:rsidRPr="002C6F76">
        <w:rPr>
          <w:rFonts w:eastAsiaTheme="minorHAnsi"/>
        </w:rPr>
        <w:t xml:space="preserve"> </w:t>
      </w:r>
      <w:r w:rsidR="00AF7209" w:rsidRPr="002C6F76">
        <w:rPr>
          <w:rFonts w:eastAsiaTheme="minorHAnsi"/>
        </w:rPr>
        <w:t xml:space="preserve">S. </w:t>
      </w:r>
      <w:r w:rsidRPr="002C6F76">
        <w:rPr>
          <w:lang w:val="en-GB"/>
        </w:rPr>
        <w:t>Nishikizawa. 2016</w:t>
      </w:r>
      <w:r w:rsidR="00E848C6" w:rsidRPr="002C6F76">
        <w:rPr>
          <w:rFonts w:asciiTheme="majorBidi" w:hAnsiTheme="majorBidi" w:cstheme="majorBidi"/>
          <w:szCs w:val="24"/>
          <w:lang w:val="en-GB"/>
        </w:rPr>
        <w:t xml:space="preserve">. </w:t>
      </w:r>
      <w:r w:rsidR="00E848C6" w:rsidRPr="002C6F76">
        <w:rPr>
          <w:rFonts w:asciiTheme="majorBidi" w:eastAsiaTheme="minorHAnsi" w:hAnsiTheme="majorBidi" w:cstheme="majorBidi"/>
          <w:szCs w:val="24"/>
          <w:lang w:val="en-GB" w:bidi="ar-SA"/>
        </w:rPr>
        <w:t>“</w:t>
      </w:r>
      <w:r w:rsidRPr="002C6F76">
        <w:rPr>
          <w:lang w:val="en-GB"/>
        </w:rPr>
        <w:t>Environmental impact assessment systemin Thailand and its comparison with those in China and Japan</w:t>
      </w:r>
      <w:r w:rsidR="00E54FB3" w:rsidRPr="002C6F76">
        <w:rPr>
          <w:rFonts w:asciiTheme="majorBidi" w:eastAsiaTheme="minorHAnsi" w:hAnsiTheme="majorBidi" w:cstheme="majorBidi"/>
          <w:color w:val="1A171B"/>
          <w:szCs w:val="24"/>
          <w:lang w:val="en-GB" w:bidi="ar-SA"/>
        </w:rPr>
        <w:t>.”</w:t>
      </w:r>
      <w:r w:rsidR="00E54FB3" w:rsidRPr="002C6F76">
        <w:rPr>
          <w:lang w:val="en-GB"/>
        </w:rPr>
        <w:t xml:space="preserve"> </w:t>
      </w:r>
      <w:r w:rsidRPr="002C6F76">
        <w:rPr>
          <w:i/>
          <w:lang w:val="en-GB"/>
        </w:rPr>
        <w:t xml:space="preserve">Environmental Impact Assessment Review </w:t>
      </w:r>
      <w:r w:rsidRPr="002C6F76">
        <w:rPr>
          <w:lang w:val="en-GB"/>
        </w:rPr>
        <w:t>58</w:t>
      </w:r>
      <w:r w:rsidR="00E54FB3" w:rsidRPr="002C6F76">
        <w:rPr>
          <w:lang w:val="en-GB"/>
        </w:rPr>
        <w:t xml:space="preserve">: </w:t>
      </w:r>
      <w:r w:rsidRPr="002C6F76">
        <w:rPr>
          <w:lang w:val="en-GB"/>
        </w:rPr>
        <w:t>12–24</w:t>
      </w:r>
      <w:r w:rsidR="00061B90" w:rsidRPr="002C6F76">
        <w:rPr>
          <w:lang w:val="en-GB"/>
        </w:rPr>
        <w:t>.</w:t>
      </w:r>
    </w:p>
    <w:p w14:paraId="4793C85C" w14:textId="77777777" w:rsidR="00061B90" w:rsidRPr="002C6F76" w:rsidRDefault="00061B90" w:rsidP="00061B90">
      <w:pPr>
        <w:rPr>
          <w:lang w:val="en-GB"/>
        </w:rPr>
      </w:pPr>
      <w:r w:rsidRPr="002C6F76">
        <w:t>Taghvaee, A.</w:t>
      </w:r>
      <w:r w:rsidR="001A1F67" w:rsidRPr="002C6F76">
        <w:t>,</w:t>
      </w:r>
      <w:r w:rsidRPr="002C6F76">
        <w:t xml:space="preserve"> </w:t>
      </w:r>
      <w:r w:rsidR="00084648" w:rsidRPr="002C6F76">
        <w:t xml:space="preserve">S.M. </w:t>
      </w:r>
      <w:r w:rsidRPr="002C6F76">
        <w:t>Khodashanas</w:t>
      </w:r>
      <w:r w:rsidR="00BB38EB" w:rsidRPr="002C6F76">
        <w:rPr>
          <w:lang w:val="en-GB"/>
        </w:rPr>
        <w:t>, and</w:t>
      </w:r>
      <w:r w:rsidR="00BB38EB" w:rsidRPr="002C6F76">
        <w:rPr>
          <w:rFonts w:eastAsiaTheme="minorHAnsi"/>
        </w:rPr>
        <w:t xml:space="preserve"> </w:t>
      </w:r>
      <w:r w:rsidR="00AF7209" w:rsidRPr="002C6F76">
        <w:rPr>
          <w:rFonts w:eastAsiaTheme="minorHAnsi"/>
        </w:rPr>
        <w:t xml:space="preserve">H. </w:t>
      </w:r>
      <w:r w:rsidRPr="002C6F76">
        <w:t>Gholamalizadeh. 2015</w:t>
      </w:r>
      <w:r w:rsidR="00E848C6" w:rsidRPr="002C6F76">
        <w:rPr>
          <w:rFonts w:asciiTheme="majorBidi" w:hAnsiTheme="majorBidi" w:cstheme="majorBidi"/>
          <w:szCs w:val="24"/>
          <w:lang w:val="en-GB"/>
        </w:rPr>
        <w:t xml:space="preserve">. </w:t>
      </w:r>
      <w:r w:rsidR="00E848C6" w:rsidRPr="002C6F76">
        <w:rPr>
          <w:rFonts w:asciiTheme="majorBidi" w:eastAsiaTheme="minorHAnsi" w:hAnsiTheme="majorBidi" w:cstheme="majorBidi"/>
          <w:szCs w:val="24"/>
          <w:lang w:val="en-GB" w:bidi="ar-SA"/>
        </w:rPr>
        <w:t>“</w:t>
      </w:r>
      <w:r w:rsidRPr="002C6F76">
        <w:t xml:space="preserve">Environmental Problems in Iran's Law. </w:t>
      </w:r>
      <w:r w:rsidRPr="002C6F76">
        <w:rPr>
          <w:rFonts w:asciiTheme="majorBidi" w:hAnsiTheme="majorBidi" w:cstheme="majorBidi"/>
          <w:i/>
          <w:iCs/>
          <w:color w:val="000000"/>
          <w:szCs w:val="24"/>
          <w:lang w:val="en-GB"/>
        </w:rPr>
        <w:t>Biological Forum</w:t>
      </w:r>
      <w:r w:rsidRPr="002C6F76">
        <w:t xml:space="preserve"> 7</w:t>
      </w:r>
      <w:r w:rsidR="00E54FB3" w:rsidRPr="002C6F76">
        <w:t>(</w:t>
      </w:r>
      <w:r w:rsidRPr="002C6F76">
        <w:t>1</w:t>
      </w:r>
      <w:r w:rsidR="00E54FB3" w:rsidRPr="002C6F76">
        <w:t>)</w:t>
      </w:r>
      <w:r w:rsidRPr="002C6F76">
        <w:t xml:space="preserve">: 111-114. </w:t>
      </w:r>
    </w:p>
    <w:p w14:paraId="0B7A5B73" w14:textId="77777777" w:rsidR="00F758D0" w:rsidRPr="002C6F76" w:rsidRDefault="00F758D0" w:rsidP="00476763">
      <w:pPr>
        <w:rPr>
          <w:lang w:val="en-GB"/>
        </w:rPr>
      </w:pPr>
      <w:r w:rsidRPr="002C6F76">
        <w:rPr>
          <w:lang w:val="en-GB"/>
        </w:rPr>
        <w:t>UNDP (</w:t>
      </w:r>
      <w:hyperlink r:id="rId31" w:history="1">
        <w:r w:rsidRPr="002C6F76">
          <w:rPr>
            <w:lang w:val="en-GB"/>
          </w:rPr>
          <w:t>United Nations Development Programme</w:t>
        </w:r>
      </w:hyperlink>
      <w:r w:rsidRPr="002C6F76">
        <w:rPr>
          <w:lang w:val="en-GB"/>
        </w:rPr>
        <w:t>) 2003</w:t>
      </w:r>
      <w:r w:rsidRPr="002C6F76">
        <w:rPr>
          <w:i/>
          <w:iCs/>
          <w:lang w:val="en-GB"/>
        </w:rPr>
        <w:t xml:space="preserve">. Sustainable Development Strategy and Strategic Environmental Assessment: Enabling Activities and Capacity Building. </w:t>
      </w:r>
      <w:r w:rsidRPr="002C6F76">
        <w:rPr>
          <w:lang w:val="en-GB"/>
        </w:rPr>
        <w:t>New York: UNDP.</w:t>
      </w:r>
    </w:p>
    <w:p w14:paraId="7012FF13" w14:textId="77777777" w:rsidR="00F2701A" w:rsidRPr="00D02A9D" w:rsidRDefault="00F2701A" w:rsidP="00F2701A">
      <w:pPr>
        <w:rPr>
          <w:lang w:val="en-GB"/>
        </w:rPr>
      </w:pPr>
      <w:r w:rsidRPr="002C6F76">
        <w:rPr>
          <w:lang w:val="en-GB"/>
        </w:rPr>
        <w:t>Wayakone, S., and I. Makoto. 2012</w:t>
      </w:r>
      <w:r w:rsidRPr="002C6F76">
        <w:rPr>
          <w:rFonts w:asciiTheme="majorBidi" w:hAnsiTheme="majorBidi" w:cstheme="majorBidi"/>
          <w:szCs w:val="24"/>
          <w:lang w:val="en-GB"/>
        </w:rPr>
        <w:t xml:space="preserve">. </w:t>
      </w:r>
      <w:r w:rsidRPr="002C6F76">
        <w:rPr>
          <w:rFonts w:asciiTheme="majorBidi" w:eastAsiaTheme="minorHAnsi" w:hAnsiTheme="majorBidi" w:cstheme="majorBidi"/>
          <w:szCs w:val="24"/>
          <w:lang w:val="en-GB" w:bidi="ar-SA"/>
        </w:rPr>
        <w:t>“</w:t>
      </w:r>
      <w:r w:rsidRPr="002C6F76">
        <w:rPr>
          <w:lang w:val="en-GB"/>
        </w:rPr>
        <w:t>Evaluation of the environmental impacts assessment (EIA) system in Lao PDR</w:t>
      </w:r>
      <w:r w:rsidRPr="002C6F76">
        <w:rPr>
          <w:rFonts w:asciiTheme="majorBidi" w:eastAsiaTheme="minorHAnsi" w:hAnsiTheme="majorBidi" w:cstheme="majorBidi"/>
          <w:color w:val="1A171B"/>
          <w:szCs w:val="24"/>
          <w:lang w:val="en-GB" w:bidi="ar-SA"/>
        </w:rPr>
        <w:t>.”</w:t>
      </w:r>
      <w:r w:rsidRPr="002C6F76">
        <w:rPr>
          <w:lang w:val="en-GB"/>
        </w:rPr>
        <w:t xml:space="preserve"> </w:t>
      </w:r>
      <w:r w:rsidRPr="002C6F76">
        <w:rPr>
          <w:i/>
          <w:lang w:val="en-GB"/>
        </w:rPr>
        <w:t>Environmental Protection</w:t>
      </w:r>
      <w:r w:rsidRPr="002C6F76">
        <w:rPr>
          <w:lang w:val="en-GB"/>
        </w:rPr>
        <w:t xml:space="preserve"> 3: 1655–1670. </w:t>
      </w:r>
      <w:r w:rsidR="00456405">
        <w:t>DOI:</w:t>
      </w:r>
      <w:r w:rsidRPr="002C6F76">
        <w:rPr>
          <w:lang w:val="en-GB"/>
        </w:rPr>
        <w:t>10.4236/jep.2012.312182.</w:t>
      </w:r>
    </w:p>
    <w:p w14:paraId="23D073DD" w14:textId="77777777" w:rsidR="001C49D8" w:rsidRPr="00AF61D7" w:rsidRDefault="001C49D8" w:rsidP="001C49D8">
      <w:pPr>
        <w:rPr>
          <w:lang w:val="en-GB"/>
        </w:rPr>
      </w:pPr>
      <w:r w:rsidRPr="00AF61D7">
        <w:rPr>
          <w:lang w:val="en-GB"/>
        </w:rPr>
        <w:t xml:space="preserve">Wood, C. 1995. Environmental Impact Assessment: A Comparative Review. </w:t>
      </w:r>
      <w:r w:rsidR="00456405" w:rsidRPr="00AF61D7">
        <w:rPr>
          <w:lang w:val="en-GB"/>
        </w:rPr>
        <w:t xml:space="preserve">Harlow: </w:t>
      </w:r>
      <w:r w:rsidRPr="00AF61D7">
        <w:rPr>
          <w:lang w:val="en-GB"/>
        </w:rPr>
        <w:t xml:space="preserve">Longman, </w:t>
      </w:r>
    </w:p>
    <w:p w14:paraId="0EF9B7C9" w14:textId="77777777" w:rsidR="007152ED" w:rsidRPr="00456405" w:rsidRDefault="007152ED" w:rsidP="00456405">
      <w:pPr>
        <w:rPr>
          <w:lang w:val="en-GB"/>
        </w:rPr>
      </w:pPr>
      <w:r w:rsidRPr="00456405">
        <w:rPr>
          <w:lang w:val="en-GB"/>
        </w:rPr>
        <w:t xml:space="preserve">Wood, C. 2003. </w:t>
      </w:r>
      <w:r w:rsidRPr="00AF61D7">
        <w:rPr>
          <w:lang w:val="en-GB"/>
        </w:rPr>
        <w:t>Environmental Impact Assessment: A Comparative Review</w:t>
      </w:r>
      <w:r w:rsidRPr="00456405">
        <w:rPr>
          <w:lang w:val="en-GB"/>
        </w:rPr>
        <w:t xml:space="preserve">. </w:t>
      </w:r>
      <w:r w:rsidR="00456405" w:rsidRPr="00456405">
        <w:rPr>
          <w:lang w:val="en-GB"/>
        </w:rPr>
        <w:t xml:space="preserve">2nd ed. </w:t>
      </w:r>
      <w:r w:rsidRPr="00456405">
        <w:rPr>
          <w:lang w:val="en-GB"/>
        </w:rPr>
        <w:t>Harlow: Prentice Hall.</w:t>
      </w:r>
    </w:p>
    <w:p w14:paraId="1D0C4CF9" w14:textId="193FD6A8" w:rsidR="00F2701A" w:rsidRPr="002C6F76" w:rsidRDefault="00F2701A" w:rsidP="00456405">
      <w:pPr>
        <w:rPr>
          <w:lang w:val="en-GB"/>
        </w:rPr>
      </w:pPr>
      <w:r w:rsidRPr="002C6F76">
        <w:rPr>
          <w:lang w:val="en-GB"/>
        </w:rPr>
        <w:t>Yousefi, H., Y. Noorollahi, and</w:t>
      </w:r>
      <w:r w:rsidRPr="002C6F76">
        <w:rPr>
          <w:rFonts w:eastAsiaTheme="minorHAnsi"/>
        </w:rPr>
        <w:t xml:space="preserve"> S. </w:t>
      </w:r>
      <w:r w:rsidRPr="002C6F76">
        <w:rPr>
          <w:lang w:val="en-GB"/>
        </w:rPr>
        <w:t>Peirow. 2015</w:t>
      </w:r>
      <w:r w:rsidRPr="002C6F76">
        <w:rPr>
          <w:rFonts w:asciiTheme="majorBidi" w:hAnsiTheme="majorBidi" w:cstheme="majorBidi"/>
          <w:szCs w:val="24"/>
          <w:lang w:val="en-GB"/>
        </w:rPr>
        <w:t xml:space="preserve">. </w:t>
      </w:r>
      <w:r w:rsidRPr="002C6F76">
        <w:rPr>
          <w:rFonts w:asciiTheme="majorBidi" w:eastAsiaTheme="minorHAnsi" w:hAnsiTheme="majorBidi" w:cstheme="majorBidi"/>
          <w:szCs w:val="24"/>
          <w:lang w:val="en-GB" w:bidi="ar-SA"/>
        </w:rPr>
        <w:t>“</w:t>
      </w:r>
      <w:r w:rsidRPr="002C6F76">
        <w:rPr>
          <w:lang w:val="en-GB"/>
        </w:rPr>
        <w:t>Status of Environmental Impact Assessment</w:t>
      </w:r>
      <w:r w:rsidRPr="002C6F76">
        <w:rPr>
          <w:rFonts w:asciiTheme="majorBidi" w:eastAsiaTheme="minorHAnsi" w:hAnsiTheme="majorBidi" w:cstheme="majorBidi"/>
          <w:color w:val="1A171B"/>
          <w:szCs w:val="24"/>
          <w:lang w:val="en-GB" w:bidi="ar-SA"/>
        </w:rPr>
        <w:t>.”</w:t>
      </w:r>
      <w:r w:rsidRPr="002C6F76">
        <w:rPr>
          <w:lang w:val="en-GB"/>
        </w:rPr>
        <w:t xml:space="preserve"> </w:t>
      </w:r>
      <w:r w:rsidRPr="002C6F76">
        <w:rPr>
          <w:i/>
          <w:lang w:val="en-GB"/>
        </w:rPr>
        <w:t>Environmental Policy and Law</w:t>
      </w:r>
      <w:r w:rsidRPr="002C6F76">
        <w:rPr>
          <w:lang w:val="en-GB"/>
        </w:rPr>
        <w:t xml:space="preserve"> 45:(6) 320-325.</w:t>
      </w:r>
      <w:r w:rsidR="009C747C">
        <w:rPr>
          <w:lang w:val="en-GB"/>
        </w:rPr>
        <w:t>2w</w:t>
      </w:r>
    </w:p>
    <w:p w14:paraId="7BF1B3B6" w14:textId="77777777" w:rsidR="00A96F32" w:rsidRPr="002C6F76" w:rsidRDefault="00A80A63" w:rsidP="00BF4AEA">
      <w:pPr>
        <w:rPr>
          <w:lang w:eastAsia="en-GB"/>
        </w:rPr>
      </w:pPr>
      <w:hyperlink r:id="rId32" w:history="1">
        <w:r w:rsidR="00A96F32" w:rsidRPr="002C6F76">
          <w:rPr>
            <w:lang w:eastAsia="en-GB"/>
          </w:rPr>
          <w:t>Zaboli</w:t>
        </w:r>
      </w:hyperlink>
      <w:r w:rsidR="00A96F32" w:rsidRPr="002C6F76">
        <w:rPr>
          <w:lang w:eastAsia="en-GB"/>
        </w:rPr>
        <w:t>, P.</w:t>
      </w:r>
      <w:r w:rsidR="001A1F67" w:rsidRPr="002C6F76">
        <w:rPr>
          <w:lang w:eastAsia="en-GB"/>
        </w:rPr>
        <w:t>,</w:t>
      </w:r>
      <w:r w:rsidR="00A96F32" w:rsidRPr="002C6F76">
        <w:rPr>
          <w:lang w:eastAsia="en-GB"/>
        </w:rPr>
        <w:t xml:space="preserve"> </w:t>
      </w:r>
      <w:r w:rsidR="00084648" w:rsidRPr="002C6F76">
        <w:rPr>
          <w:lang w:eastAsia="en-GB"/>
        </w:rPr>
        <w:t xml:space="preserve">A. </w:t>
      </w:r>
      <w:hyperlink r:id="rId33" w:history="1">
        <w:r w:rsidR="00A96F32" w:rsidRPr="002C6F76">
          <w:rPr>
            <w:lang w:eastAsia="en-GB"/>
          </w:rPr>
          <w:t>Hashemi-Meshkini</w:t>
        </w:r>
      </w:hyperlink>
      <w:r w:rsidR="00A96F32" w:rsidRPr="002C6F76">
        <w:rPr>
          <w:lang w:eastAsia="en-GB"/>
        </w:rPr>
        <w:t xml:space="preserve">, </w:t>
      </w:r>
      <w:r w:rsidR="00084648" w:rsidRPr="002C6F76">
        <w:rPr>
          <w:lang w:eastAsia="en-GB"/>
        </w:rPr>
        <w:t>M.</w:t>
      </w:r>
      <w:hyperlink r:id="rId34" w:history="1">
        <w:r w:rsidR="00A96F32" w:rsidRPr="002C6F76">
          <w:rPr>
            <w:lang w:eastAsia="en-GB"/>
          </w:rPr>
          <w:t>Varmaghani</w:t>
        </w:r>
      </w:hyperlink>
      <w:r w:rsidR="00A96F32" w:rsidRPr="002C6F76">
        <w:rPr>
          <w:lang w:eastAsia="en-GB"/>
        </w:rPr>
        <w:t xml:space="preserve">, </w:t>
      </w:r>
      <w:r w:rsidR="0051008B" w:rsidRPr="002C6F76">
        <w:rPr>
          <w:lang w:eastAsia="en-GB"/>
        </w:rPr>
        <w:t xml:space="preserve">H. </w:t>
      </w:r>
      <w:hyperlink r:id="rId35" w:history="1">
        <w:r w:rsidR="00A96F32" w:rsidRPr="002C6F76">
          <w:rPr>
            <w:lang w:eastAsia="en-GB"/>
          </w:rPr>
          <w:t>Gholami</w:t>
        </w:r>
      </w:hyperlink>
      <w:r w:rsidR="00A96F32" w:rsidRPr="002C6F76">
        <w:rPr>
          <w:lang w:eastAsia="en-GB"/>
        </w:rPr>
        <w:t xml:space="preserve">, </w:t>
      </w:r>
      <w:r w:rsidR="0051008B" w:rsidRPr="002C6F76">
        <w:rPr>
          <w:lang w:eastAsia="en-GB"/>
        </w:rPr>
        <w:t xml:space="preserve">I. </w:t>
      </w:r>
      <w:hyperlink r:id="rId36" w:history="1">
        <w:r w:rsidR="00A96F32" w:rsidRPr="002C6F76">
          <w:rPr>
            <w:lang w:eastAsia="en-GB"/>
          </w:rPr>
          <w:t>Vazirian</w:t>
        </w:r>
      </w:hyperlink>
      <w:r w:rsidR="00A96F32" w:rsidRPr="002C6F76">
        <w:rPr>
          <w:lang w:eastAsia="en-GB"/>
        </w:rPr>
        <w:t xml:space="preserve">, </w:t>
      </w:r>
      <w:r w:rsidR="0051008B" w:rsidRPr="002C6F76">
        <w:rPr>
          <w:lang w:eastAsia="en-GB"/>
        </w:rPr>
        <w:t xml:space="preserve">H. </w:t>
      </w:r>
      <w:hyperlink r:id="rId37" w:history="1">
        <w:r w:rsidR="00A96F32" w:rsidRPr="002C6F76">
          <w:rPr>
            <w:lang w:eastAsia="en-GB"/>
          </w:rPr>
          <w:t>Zekri</w:t>
        </w:r>
      </w:hyperlink>
      <w:r w:rsidR="0051008B" w:rsidRPr="002C6F76">
        <w:rPr>
          <w:lang w:eastAsia="en-GB"/>
        </w:rPr>
        <w:t>, SH.</w:t>
      </w:r>
      <w:r w:rsidR="00A96F32" w:rsidRPr="002C6F76">
        <w:rPr>
          <w:lang w:eastAsia="en-GB"/>
        </w:rPr>
        <w:t xml:space="preserve"> </w:t>
      </w:r>
      <w:hyperlink r:id="rId38" w:history="1">
        <w:r w:rsidR="00A96F32" w:rsidRPr="002C6F76">
          <w:rPr>
            <w:lang w:eastAsia="en-GB"/>
          </w:rPr>
          <w:t>Eslamitabar</w:t>
        </w:r>
      </w:hyperlink>
      <w:r w:rsidR="00A96F32" w:rsidRPr="002C6F76">
        <w:rPr>
          <w:lang w:eastAsia="en-GB"/>
        </w:rPr>
        <w:t>,</w:t>
      </w:r>
      <w:r w:rsidR="00BB38EB" w:rsidRPr="002C6F76">
        <w:rPr>
          <w:lang w:val="en-GB"/>
        </w:rPr>
        <w:t xml:space="preserve"> and</w:t>
      </w:r>
      <w:r w:rsidR="00BB38EB" w:rsidRPr="002C6F76">
        <w:rPr>
          <w:rFonts w:eastAsiaTheme="minorHAnsi"/>
        </w:rPr>
        <w:t xml:space="preserve"> </w:t>
      </w:r>
      <w:r w:rsidR="00AF7209" w:rsidRPr="002C6F76">
        <w:rPr>
          <w:rFonts w:eastAsiaTheme="minorHAnsi"/>
        </w:rPr>
        <w:t xml:space="preserve">A. </w:t>
      </w:r>
      <w:hyperlink r:id="rId39" w:history="1">
        <w:r w:rsidR="00A96F32" w:rsidRPr="002C6F76">
          <w:rPr>
            <w:lang w:eastAsia="en-GB"/>
          </w:rPr>
          <w:t>Kebriaeezadeh</w:t>
        </w:r>
      </w:hyperlink>
      <w:r w:rsidR="00A96F32" w:rsidRPr="002C6F76">
        <w:rPr>
          <w:lang w:eastAsia="en-GB"/>
        </w:rPr>
        <w:t>. 2016</w:t>
      </w:r>
      <w:r w:rsidR="00E848C6" w:rsidRPr="002C6F76">
        <w:rPr>
          <w:rFonts w:asciiTheme="majorBidi" w:hAnsiTheme="majorBidi" w:cstheme="majorBidi"/>
          <w:szCs w:val="24"/>
          <w:lang w:val="en-GB"/>
        </w:rPr>
        <w:t xml:space="preserve">. </w:t>
      </w:r>
      <w:r w:rsidR="00E848C6" w:rsidRPr="002C6F76">
        <w:rPr>
          <w:rFonts w:asciiTheme="majorBidi" w:eastAsiaTheme="minorHAnsi" w:hAnsiTheme="majorBidi" w:cstheme="majorBidi"/>
          <w:szCs w:val="24"/>
          <w:lang w:val="en-GB" w:bidi="ar-SA"/>
        </w:rPr>
        <w:t>“</w:t>
      </w:r>
      <w:r w:rsidR="00A96F32" w:rsidRPr="002C6F76">
        <w:rPr>
          <w:lang w:eastAsia="en-GB"/>
        </w:rPr>
        <w:t>Pharmaceutical laws and regulations in Iran: An overview</w:t>
      </w:r>
      <w:r w:rsidR="00E54FB3" w:rsidRPr="002C6F76">
        <w:rPr>
          <w:rFonts w:asciiTheme="majorBidi" w:eastAsiaTheme="minorHAnsi" w:hAnsiTheme="majorBidi" w:cstheme="majorBidi"/>
          <w:color w:val="1A171B"/>
          <w:szCs w:val="24"/>
          <w:lang w:val="en-GB" w:bidi="ar-SA"/>
        </w:rPr>
        <w:t>.”</w:t>
      </w:r>
      <w:r w:rsidR="00A96F32" w:rsidRPr="002C6F76">
        <w:rPr>
          <w:lang w:eastAsia="en-GB"/>
        </w:rPr>
        <w:t xml:space="preserve"> </w:t>
      </w:r>
      <w:r w:rsidR="00A96F32" w:rsidRPr="002C6F76">
        <w:rPr>
          <w:rFonts w:asciiTheme="majorBidi" w:hAnsiTheme="majorBidi" w:cstheme="majorBidi"/>
          <w:i/>
          <w:iCs/>
          <w:color w:val="000000"/>
          <w:szCs w:val="24"/>
          <w:lang w:val="en-GB"/>
        </w:rPr>
        <w:t>Journal of research in Pharmacy Practice</w:t>
      </w:r>
      <w:r w:rsidR="00A96F32" w:rsidRPr="002C6F76">
        <w:rPr>
          <w:lang w:eastAsia="en-GB"/>
        </w:rPr>
        <w:t xml:space="preserve"> 5(3): 155–161.</w:t>
      </w:r>
    </w:p>
    <w:p w14:paraId="0288435C" w14:textId="77777777" w:rsidR="00F758D0" w:rsidRPr="002C6F76" w:rsidRDefault="00F758D0" w:rsidP="0022189A">
      <w:pPr>
        <w:jc w:val="left"/>
        <w:rPr>
          <w:rFonts w:ascii="AdvPS6F01" w:eastAsiaTheme="minorHAnsi" w:hAnsi="AdvPS6F01" w:cs="AdvPS6F01"/>
        </w:rPr>
      </w:pPr>
      <w:r w:rsidRPr="002C6F76">
        <w:rPr>
          <w:lang w:eastAsia="en-GB"/>
        </w:rPr>
        <w:t xml:space="preserve">Zeremarian, T.K., </w:t>
      </w:r>
      <w:r w:rsidR="001A1F67" w:rsidRPr="002C6F76">
        <w:rPr>
          <w:lang w:eastAsia="en-GB"/>
        </w:rPr>
        <w:t xml:space="preserve">and N. </w:t>
      </w:r>
      <w:r w:rsidRPr="002C6F76">
        <w:rPr>
          <w:lang w:eastAsia="en-GB"/>
        </w:rPr>
        <w:t>Quinn</w:t>
      </w:r>
      <w:r w:rsidR="001A1F67" w:rsidRPr="002C6F76">
        <w:rPr>
          <w:lang w:eastAsia="en-GB"/>
        </w:rPr>
        <w:t>.</w:t>
      </w:r>
      <w:r w:rsidRPr="002C6F76">
        <w:rPr>
          <w:lang w:eastAsia="en-GB"/>
        </w:rPr>
        <w:t xml:space="preserve"> 2007</w:t>
      </w:r>
      <w:r w:rsidR="00E848C6" w:rsidRPr="002C6F76">
        <w:rPr>
          <w:rFonts w:asciiTheme="majorBidi" w:hAnsiTheme="majorBidi" w:cstheme="majorBidi"/>
          <w:szCs w:val="24"/>
          <w:lang w:val="en-GB"/>
        </w:rPr>
        <w:t xml:space="preserve">. </w:t>
      </w:r>
      <w:r w:rsidR="00E848C6" w:rsidRPr="002C6F76">
        <w:rPr>
          <w:rFonts w:asciiTheme="majorBidi" w:eastAsiaTheme="minorHAnsi" w:hAnsiTheme="majorBidi" w:cstheme="majorBidi"/>
          <w:szCs w:val="24"/>
          <w:lang w:val="en-GB" w:bidi="ar-SA"/>
        </w:rPr>
        <w:t>“</w:t>
      </w:r>
      <w:r w:rsidRPr="002C6F76">
        <w:rPr>
          <w:lang w:eastAsia="en-GB"/>
        </w:rPr>
        <w:t>An evaluation of environmental impact assessment in Eritrea</w:t>
      </w:r>
      <w:r w:rsidR="00E54FB3" w:rsidRPr="002C6F76">
        <w:rPr>
          <w:rFonts w:asciiTheme="majorBidi" w:eastAsiaTheme="minorHAnsi" w:hAnsiTheme="majorBidi" w:cstheme="majorBidi"/>
          <w:color w:val="1A171B"/>
          <w:szCs w:val="24"/>
          <w:lang w:val="en-GB" w:bidi="ar-SA"/>
        </w:rPr>
        <w:t>.”</w:t>
      </w:r>
      <w:r w:rsidR="00E54FB3" w:rsidRPr="002C6F76">
        <w:rPr>
          <w:lang w:val="en-GB"/>
        </w:rPr>
        <w:t xml:space="preserve"> </w:t>
      </w:r>
      <w:r w:rsidRPr="002C6F76">
        <w:rPr>
          <w:rFonts w:asciiTheme="majorBidi" w:hAnsiTheme="majorBidi" w:cstheme="majorBidi"/>
          <w:i/>
          <w:iCs/>
          <w:color w:val="000000"/>
          <w:szCs w:val="24"/>
          <w:lang w:val="en-GB"/>
        </w:rPr>
        <w:t>Impact Assessment</w:t>
      </w:r>
      <w:r w:rsidR="00BF4AEA" w:rsidRPr="002C6F76">
        <w:rPr>
          <w:rFonts w:asciiTheme="majorBidi" w:hAnsiTheme="majorBidi" w:cstheme="majorBidi"/>
          <w:i/>
          <w:iCs/>
          <w:color w:val="000000"/>
          <w:szCs w:val="24"/>
          <w:lang w:val="en-GB"/>
        </w:rPr>
        <w:t xml:space="preserve"> </w:t>
      </w:r>
      <w:r w:rsidRPr="002C6F76">
        <w:rPr>
          <w:rFonts w:asciiTheme="majorBidi" w:hAnsiTheme="majorBidi" w:cstheme="majorBidi"/>
          <w:i/>
          <w:iCs/>
          <w:color w:val="000000"/>
          <w:szCs w:val="24"/>
          <w:lang w:val="en-GB"/>
        </w:rPr>
        <w:t>Project. Appraisal</w:t>
      </w:r>
      <w:r w:rsidRPr="002C6F76">
        <w:rPr>
          <w:lang w:eastAsia="en-GB"/>
        </w:rPr>
        <w:t xml:space="preserve"> 25 (1</w:t>
      </w:r>
      <w:r w:rsidR="00E54FB3" w:rsidRPr="002C6F76">
        <w:rPr>
          <w:lang w:eastAsia="en-GB"/>
        </w:rPr>
        <w:t xml:space="preserve">): </w:t>
      </w:r>
      <w:r w:rsidRPr="002C6F76">
        <w:rPr>
          <w:lang w:eastAsia="en-GB"/>
        </w:rPr>
        <w:t xml:space="preserve">53–63. </w:t>
      </w:r>
      <w:hyperlink r:id="rId40" w:history="1">
        <w:r w:rsidR="00893654" w:rsidRPr="002C6F76">
          <w:rPr>
            <w:lang w:eastAsia="en-GB"/>
          </w:rPr>
          <w:t>DOI:</w:t>
        </w:r>
        <w:r w:rsidR="008A7B26" w:rsidRPr="002C6F76">
          <w:rPr>
            <w:lang w:eastAsia="en-GB"/>
          </w:rPr>
          <w:t>10.3152/</w:t>
        </w:r>
      </w:hyperlink>
      <w:r w:rsidR="008A7B26" w:rsidRPr="0022189A">
        <w:rPr>
          <w:lang w:eastAsia="en-GB"/>
        </w:rPr>
        <w:t>46155107X190604.</w:t>
      </w:r>
    </w:p>
    <w:p w14:paraId="408CC5D0" w14:textId="77777777" w:rsidR="00185B2E" w:rsidRPr="00622496" w:rsidRDefault="001C49D8" w:rsidP="00185B2E">
      <w:pPr>
        <w:rPr>
          <w:lang w:val="en-GB"/>
        </w:rPr>
      </w:pPr>
      <w:r w:rsidRPr="002C6F76">
        <w:rPr>
          <w:lang w:eastAsia="en-GB"/>
        </w:rPr>
        <w:t>Zvija´kova, L., M. Zeleňákováa, and P. Purczb. 2014. Evaluation of environmental impact assessment effectiveness in Slovakia</w:t>
      </w:r>
      <w:r w:rsidR="00893654">
        <w:rPr>
          <w:lang w:eastAsia="en-GB"/>
        </w:rPr>
        <w:t>.</w:t>
      </w:r>
      <w:r w:rsidRPr="002C6F76">
        <w:rPr>
          <w:lang w:eastAsia="en-GB"/>
        </w:rPr>
        <w:t xml:space="preserve"> </w:t>
      </w:r>
      <w:r w:rsidRPr="0022189A">
        <w:rPr>
          <w:rFonts w:asciiTheme="majorBidi" w:hAnsiTheme="majorBidi" w:cstheme="majorBidi"/>
          <w:i/>
          <w:iCs/>
          <w:color w:val="000000"/>
          <w:szCs w:val="24"/>
          <w:lang w:val="en-GB"/>
        </w:rPr>
        <w:t>Impact Assessment and Project Appraisal</w:t>
      </w:r>
      <w:r w:rsidR="00893654">
        <w:rPr>
          <w:rFonts w:asciiTheme="majorBidi" w:hAnsiTheme="majorBidi" w:cstheme="majorBidi"/>
          <w:i/>
          <w:iCs/>
          <w:color w:val="000000"/>
          <w:szCs w:val="24"/>
          <w:lang w:val="en-GB"/>
        </w:rPr>
        <w:t xml:space="preserve"> </w:t>
      </w:r>
      <w:r w:rsidR="00893654" w:rsidRPr="0022189A">
        <w:rPr>
          <w:lang w:eastAsia="en-GB"/>
        </w:rPr>
        <w:t xml:space="preserve">32 (2): 150-161. </w:t>
      </w:r>
      <w:r w:rsidRPr="002C6F76">
        <w:rPr>
          <w:lang w:eastAsia="en-GB"/>
        </w:rPr>
        <w:t>DOI: 10.1080/14615517.2014.893124.</w:t>
      </w:r>
    </w:p>
    <w:sectPr w:rsidR="00185B2E" w:rsidRPr="00622496" w:rsidSect="00557311">
      <w:footerReference w:type="default" r:id="rId41"/>
      <w:pgSz w:w="12240" w:h="15840"/>
      <w:pgMar w:top="1440" w:right="1440" w:bottom="1701" w:left="1440" w:header="720" w:footer="4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45E8C" w14:textId="77777777" w:rsidR="00A80A63" w:rsidRDefault="00A80A63" w:rsidP="00251AD2">
      <w:pPr>
        <w:spacing w:after="0" w:line="240" w:lineRule="auto"/>
      </w:pPr>
      <w:r>
        <w:separator/>
      </w:r>
    </w:p>
  </w:endnote>
  <w:endnote w:type="continuationSeparator" w:id="0">
    <w:p w14:paraId="4B7DB2C3" w14:textId="77777777" w:rsidR="00A80A63" w:rsidRDefault="00A80A63" w:rsidP="00251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tra">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BMitra">
    <w:altName w:val="Times New Roman"/>
    <w:panose1 w:val="00000000000000000000"/>
    <w:charset w:val="B2"/>
    <w:family w:val="auto"/>
    <w:notTrueType/>
    <w:pitch w:val="default"/>
    <w:sig w:usb0="00002001" w:usb1="00000000" w:usb2="00000000" w:usb3="00000000" w:csb0="00000040" w:csb1="00000000"/>
  </w:font>
  <w:font w:name="B Nazanin">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vP45996F">
    <w:altName w:val="Times New Roman"/>
    <w:panose1 w:val="00000000000000000000"/>
    <w:charset w:val="00"/>
    <w:family w:val="roman"/>
    <w:notTrueType/>
    <w:pitch w:val="default"/>
    <w:sig w:usb0="00000003" w:usb1="00000000" w:usb2="00000000" w:usb3="00000000" w:csb0="00000001" w:csb1="00000000"/>
  </w:font>
  <w:font w:name="PressWriterSymbols">
    <w:altName w:val="Times New Roman"/>
    <w:panose1 w:val="00000000000000000000"/>
    <w:charset w:val="00"/>
    <w:family w:val="auto"/>
    <w:notTrueType/>
    <w:pitch w:val="default"/>
    <w:sig w:usb0="00000003" w:usb1="00000000" w:usb2="00000000" w:usb3="00000000" w:csb0="00000001" w:csb1="00000000"/>
  </w:font>
  <w:font w:name="AdvTT5235d5a9">
    <w:altName w:val="Cambria"/>
    <w:panose1 w:val="00000000000000000000"/>
    <w:charset w:val="00"/>
    <w:family w:val="roman"/>
    <w:notTrueType/>
    <w:pitch w:val="default"/>
    <w:sig w:usb0="00000003" w:usb1="00000000" w:usb2="00000000" w:usb3="00000000" w:csb0="00000001" w:csb1="00000000"/>
  </w:font>
  <w:font w:name="AdvPS6F01">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513232"/>
      <w:docPartObj>
        <w:docPartGallery w:val="Page Numbers (Bottom of Page)"/>
        <w:docPartUnique/>
      </w:docPartObj>
    </w:sdtPr>
    <w:sdtEndPr/>
    <w:sdtContent>
      <w:p w14:paraId="14DEDC75" w14:textId="77777777" w:rsidR="00A16D4C" w:rsidRDefault="00A16D4C">
        <w:pPr>
          <w:pStyle w:val="Footer"/>
          <w:jc w:val="center"/>
        </w:pPr>
        <w:r>
          <w:fldChar w:fldCharType="begin"/>
        </w:r>
        <w:r>
          <w:instrText xml:space="preserve"> PAGE   \* MERGEFORMAT </w:instrText>
        </w:r>
        <w:r>
          <w:fldChar w:fldCharType="separate"/>
        </w:r>
        <w:r w:rsidR="0016663F">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17C76" w14:textId="77777777" w:rsidR="00A80A63" w:rsidRDefault="00A80A63" w:rsidP="00251AD2">
      <w:pPr>
        <w:spacing w:after="0" w:line="240" w:lineRule="auto"/>
      </w:pPr>
      <w:r>
        <w:separator/>
      </w:r>
    </w:p>
  </w:footnote>
  <w:footnote w:type="continuationSeparator" w:id="0">
    <w:p w14:paraId="597067A9" w14:textId="77777777" w:rsidR="00A80A63" w:rsidRDefault="00A80A63" w:rsidP="00251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1AE610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8DC81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667076"/>
    <w:multiLevelType w:val="hybridMultilevel"/>
    <w:tmpl w:val="7A4C266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71F5E58"/>
    <w:multiLevelType w:val="multilevel"/>
    <w:tmpl w:val="1AB617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C01211"/>
    <w:multiLevelType w:val="multilevel"/>
    <w:tmpl w:val="96A6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770C36"/>
    <w:multiLevelType w:val="hybridMultilevel"/>
    <w:tmpl w:val="36C2282C"/>
    <w:lvl w:ilvl="0" w:tplc="F1282560">
      <w:start w:val="1"/>
      <w:numFmt w:val="decimal"/>
      <w:pStyle w:val="Title1"/>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5FF4EC4"/>
    <w:multiLevelType w:val="hybridMultilevel"/>
    <w:tmpl w:val="B9C08BBA"/>
    <w:lvl w:ilvl="0" w:tplc="1F1A6E2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B67BBE"/>
    <w:multiLevelType w:val="multilevel"/>
    <w:tmpl w:val="1500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8066A0"/>
    <w:multiLevelType w:val="multilevel"/>
    <w:tmpl w:val="9CC0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F03E06"/>
    <w:multiLevelType w:val="hybridMultilevel"/>
    <w:tmpl w:val="5A1C6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D25E8"/>
    <w:multiLevelType w:val="multilevel"/>
    <w:tmpl w:val="E74002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D0A1DBB"/>
    <w:multiLevelType w:val="hybridMultilevel"/>
    <w:tmpl w:val="548E5586"/>
    <w:lvl w:ilvl="0" w:tplc="85D6CD1A">
      <w:start w:val="3"/>
      <w:numFmt w:val="decimal"/>
      <w:lvlText w:val="%1."/>
      <w:lvlJc w:val="left"/>
      <w:pPr>
        <w:ind w:left="720" w:hanging="360"/>
      </w:pPr>
      <w:rPr>
        <w:rFonts w:hint="default"/>
        <w:b/>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B969DA"/>
    <w:multiLevelType w:val="hybridMultilevel"/>
    <w:tmpl w:val="390ABFB2"/>
    <w:lvl w:ilvl="0" w:tplc="2070B5E0">
      <w:start w:val="1"/>
      <w:numFmt w:val="decimal"/>
      <w:pStyle w:val="title2"/>
      <w:lvlText w:val="2.%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612535A"/>
    <w:multiLevelType w:val="multilevel"/>
    <w:tmpl w:val="E546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1"/>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1"/>
  </w:num>
  <w:num w:numId="16">
    <w:abstractNumId w:val="4"/>
  </w:num>
  <w:num w:numId="17">
    <w:abstractNumId w:val="13"/>
  </w:num>
  <w:num w:numId="18">
    <w:abstractNumId w:val="6"/>
  </w:num>
  <w:num w:numId="19">
    <w:abstractNumId w:val="7"/>
  </w:num>
  <w:num w:numId="20">
    <w:abstractNumId w:val="1"/>
  </w:num>
  <w:num w:numId="2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C5"/>
    <w:rsid w:val="000001DA"/>
    <w:rsid w:val="00000B88"/>
    <w:rsid w:val="00000E92"/>
    <w:rsid w:val="00000EFF"/>
    <w:rsid w:val="000010C2"/>
    <w:rsid w:val="000018A9"/>
    <w:rsid w:val="00002B1B"/>
    <w:rsid w:val="00003176"/>
    <w:rsid w:val="000038E6"/>
    <w:rsid w:val="00003A1F"/>
    <w:rsid w:val="00003B5F"/>
    <w:rsid w:val="00004DD9"/>
    <w:rsid w:val="000068D1"/>
    <w:rsid w:val="00006935"/>
    <w:rsid w:val="00007ADB"/>
    <w:rsid w:val="00010DFB"/>
    <w:rsid w:val="000121C3"/>
    <w:rsid w:val="00012431"/>
    <w:rsid w:val="000134A8"/>
    <w:rsid w:val="00013BEB"/>
    <w:rsid w:val="00013DF8"/>
    <w:rsid w:val="00013E24"/>
    <w:rsid w:val="000160F5"/>
    <w:rsid w:val="00016D5E"/>
    <w:rsid w:val="00017713"/>
    <w:rsid w:val="000179C4"/>
    <w:rsid w:val="000179F7"/>
    <w:rsid w:val="00017ADF"/>
    <w:rsid w:val="0002087F"/>
    <w:rsid w:val="00021DDD"/>
    <w:rsid w:val="00022499"/>
    <w:rsid w:val="00023A55"/>
    <w:rsid w:val="000244A5"/>
    <w:rsid w:val="000244D8"/>
    <w:rsid w:val="000246B2"/>
    <w:rsid w:val="00025314"/>
    <w:rsid w:val="000262BD"/>
    <w:rsid w:val="00027628"/>
    <w:rsid w:val="00027B7B"/>
    <w:rsid w:val="0003011A"/>
    <w:rsid w:val="00030A21"/>
    <w:rsid w:val="00031142"/>
    <w:rsid w:val="0003262D"/>
    <w:rsid w:val="00032971"/>
    <w:rsid w:val="000337A3"/>
    <w:rsid w:val="00034C69"/>
    <w:rsid w:val="00034F66"/>
    <w:rsid w:val="00035229"/>
    <w:rsid w:val="00036022"/>
    <w:rsid w:val="0003616D"/>
    <w:rsid w:val="000379AC"/>
    <w:rsid w:val="00040B04"/>
    <w:rsid w:val="00041D70"/>
    <w:rsid w:val="00042EE7"/>
    <w:rsid w:val="0004313E"/>
    <w:rsid w:val="000434C3"/>
    <w:rsid w:val="000436A3"/>
    <w:rsid w:val="0004416B"/>
    <w:rsid w:val="000448AF"/>
    <w:rsid w:val="000449EF"/>
    <w:rsid w:val="00045436"/>
    <w:rsid w:val="00045E60"/>
    <w:rsid w:val="00046455"/>
    <w:rsid w:val="00050004"/>
    <w:rsid w:val="00051093"/>
    <w:rsid w:val="000511BB"/>
    <w:rsid w:val="00051AF2"/>
    <w:rsid w:val="00051CE7"/>
    <w:rsid w:val="000528E0"/>
    <w:rsid w:val="00052F14"/>
    <w:rsid w:val="00054825"/>
    <w:rsid w:val="000557F9"/>
    <w:rsid w:val="000560A5"/>
    <w:rsid w:val="00056CAB"/>
    <w:rsid w:val="00056D5B"/>
    <w:rsid w:val="00057F3A"/>
    <w:rsid w:val="00061463"/>
    <w:rsid w:val="000619A2"/>
    <w:rsid w:val="00061B90"/>
    <w:rsid w:val="00061BE1"/>
    <w:rsid w:val="00062A81"/>
    <w:rsid w:val="00062B49"/>
    <w:rsid w:val="000632AE"/>
    <w:rsid w:val="00063756"/>
    <w:rsid w:val="00063A06"/>
    <w:rsid w:val="0006513D"/>
    <w:rsid w:val="000651E4"/>
    <w:rsid w:val="00065355"/>
    <w:rsid w:val="0006546B"/>
    <w:rsid w:val="000654A8"/>
    <w:rsid w:val="00066BD8"/>
    <w:rsid w:val="00066F7F"/>
    <w:rsid w:val="000676FF"/>
    <w:rsid w:val="0007148A"/>
    <w:rsid w:val="000722DD"/>
    <w:rsid w:val="000727C9"/>
    <w:rsid w:val="00073099"/>
    <w:rsid w:val="0007494E"/>
    <w:rsid w:val="00074A2A"/>
    <w:rsid w:val="000751C7"/>
    <w:rsid w:val="000753FA"/>
    <w:rsid w:val="00076997"/>
    <w:rsid w:val="00077397"/>
    <w:rsid w:val="00077DB2"/>
    <w:rsid w:val="0008031B"/>
    <w:rsid w:val="0008068D"/>
    <w:rsid w:val="00080B40"/>
    <w:rsid w:val="00081878"/>
    <w:rsid w:val="00082562"/>
    <w:rsid w:val="0008268F"/>
    <w:rsid w:val="000831B3"/>
    <w:rsid w:val="000835FA"/>
    <w:rsid w:val="00083DEC"/>
    <w:rsid w:val="00084648"/>
    <w:rsid w:val="00085C05"/>
    <w:rsid w:val="000900B0"/>
    <w:rsid w:val="00090841"/>
    <w:rsid w:val="000912B8"/>
    <w:rsid w:val="00091324"/>
    <w:rsid w:val="000923DB"/>
    <w:rsid w:val="0009277D"/>
    <w:rsid w:val="00092A7D"/>
    <w:rsid w:val="00093A27"/>
    <w:rsid w:val="00093A2B"/>
    <w:rsid w:val="00093B04"/>
    <w:rsid w:val="000944A7"/>
    <w:rsid w:val="00094CC2"/>
    <w:rsid w:val="000950FF"/>
    <w:rsid w:val="00095365"/>
    <w:rsid w:val="000A12FC"/>
    <w:rsid w:val="000A16F3"/>
    <w:rsid w:val="000A1B04"/>
    <w:rsid w:val="000A2243"/>
    <w:rsid w:val="000A2D28"/>
    <w:rsid w:val="000A2EBE"/>
    <w:rsid w:val="000A393E"/>
    <w:rsid w:val="000A40BB"/>
    <w:rsid w:val="000A4270"/>
    <w:rsid w:val="000A43D4"/>
    <w:rsid w:val="000A469E"/>
    <w:rsid w:val="000A5901"/>
    <w:rsid w:val="000A642F"/>
    <w:rsid w:val="000A7631"/>
    <w:rsid w:val="000A7D3D"/>
    <w:rsid w:val="000B124D"/>
    <w:rsid w:val="000B24DB"/>
    <w:rsid w:val="000B329E"/>
    <w:rsid w:val="000B3D46"/>
    <w:rsid w:val="000B3D47"/>
    <w:rsid w:val="000B41FB"/>
    <w:rsid w:val="000B4CBF"/>
    <w:rsid w:val="000B5195"/>
    <w:rsid w:val="000B5B75"/>
    <w:rsid w:val="000B611B"/>
    <w:rsid w:val="000B6233"/>
    <w:rsid w:val="000B6278"/>
    <w:rsid w:val="000B630E"/>
    <w:rsid w:val="000B7C62"/>
    <w:rsid w:val="000C00A7"/>
    <w:rsid w:val="000C098D"/>
    <w:rsid w:val="000C1512"/>
    <w:rsid w:val="000C1804"/>
    <w:rsid w:val="000C1A22"/>
    <w:rsid w:val="000C1D6F"/>
    <w:rsid w:val="000C2186"/>
    <w:rsid w:val="000C2CE1"/>
    <w:rsid w:val="000C4B41"/>
    <w:rsid w:val="000C5893"/>
    <w:rsid w:val="000C5FAE"/>
    <w:rsid w:val="000C6BA0"/>
    <w:rsid w:val="000C73A0"/>
    <w:rsid w:val="000C7B89"/>
    <w:rsid w:val="000D127B"/>
    <w:rsid w:val="000D12B6"/>
    <w:rsid w:val="000D2D65"/>
    <w:rsid w:val="000D4E0C"/>
    <w:rsid w:val="000D4E4E"/>
    <w:rsid w:val="000D5A12"/>
    <w:rsid w:val="000D5C7A"/>
    <w:rsid w:val="000D681E"/>
    <w:rsid w:val="000D6B4D"/>
    <w:rsid w:val="000D6EEB"/>
    <w:rsid w:val="000D7E27"/>
    <w:rsid w:val="000E0FFB"/>
    <w:rsid w:val="000E1E8E"/>
    <w:rsid w:val="000E3E07"/>
    <w:rsid w:val="000E4842"/>
    <w:rsid w:val="000E4CFA"/>
    <w:rsid w:val="000E5539"/>
    <w:rsid w:val="000E6A71"/>
    <w:rsid w:val="000E6B4C"/>
    <w:rsid w:val="000E6BD5"/>
    <w:rsid w:val="000E7950"/>
    <w:rsid w:val="000E7C38"/>
    <w:rsid w:val="000F00D3"/>
    <w:rsid w:val="000F1C89"/>
    <w:rsid w:val="000F3468"/>
    <w:rsid w:val="000F470A"/>
    <w:rsid w:val="000F4964"/>
    <w:rsid w:val="000F690F"/>
    <w:rsid w:val="000F76EB"/>
    <w:rsid w:val="000F77F1"/>
    <w:rsid w:val="000F7951"/>
    <w:rsid w:val="000F7BD9"/>
    <w:rsid w:val="00100198"/>
    <w:rsid w:val="001012C0"/>
    <w:rsid w:val="00101714"/>
    <w:rsid w:val="0010202A"/>
    <w:rsid w:val="001020EF"/>
    <w:rsid w:val="00102760"/>
    <w:rsid w:val="00102F35"/>
    <w:rsid w:val="00103DAD"/>
    <w:rsid w:val="0010450A"/>
    <w:rsid w:val="00104FA8"/>
    <w:rsid w:val="001056FD"/>
    <w:rsid w:val="00105B6B"/>
    <w:rsid w:val="00106D00"/>
    <w:rsid w:val="00107972"/>
    <w:rsid w:val="00107E53"/>
    <w:rsid w:val="00107EE8"/>
    <w:rsid w:val="00110CBC"/>
    <w:rsid w:val="0011168F"/>
    <w:rsid w:val="00111DFC"/>
    <w:rsid w:val="00113872"/>
    <w:rsid w:val="00113AA8"/>
    <w:rsid w:val="0011514E"/>
    <w:rsid w:val="001156C8"/>
    <w:rsid w:val="001175D9"/>
    <w:rsid w:val="00117625"/>
    <w:rsid w:val="001211DE"/>
    <w:rsid w:val="00121A20"/>
    <w:rsid w:val="00121CB0"/>
    <w:rsid w:val="00121D62"/>
    <w:rsid w:val="00122BBD"/>
    <w:rsid w:val="001231A6"/>
    <w:rsid w:val="001244D0"/>
    <w:rsid w:val="00124CE4"/>
    <w:rsid w:val="00125096"/>
    <w:rsid w:val="00125C22"/>
    <w:rsid w:val="00127FEA"/>
    <w:rsid w:val="00130AFA"/>
    <w:rsid w:val="00130ECB"/>
    <w:rsid w:val="0013244B"/>
    <w:rsid w:val="00132F1E"/>
    <w:rsid w:val="00133660"/>
    <w:rsid w:val="00133A73"/>
    <w:rsid w:val="00134099"/>
    <w:rsid w:val="001342ED"/>
    <w:rsid w:val="00134527"/>
    <w:rsid w:val="001345F1"/>
    <w:rsid w:val="00134A15"/>
    <w:rsid w:val="00135B2E"/>
    <w:rsid w:val="001378B0"/>
    <w:rsid w:val="00137972"/>
    <w:rsid w:val="00137EBA"/>
    <w:rsid w:val="00143DA6"/>
    <w:rsid w:val="0014469E"/>
    <w:rsid w:val="001456E7"/>
    <w:rsid w:val="00145E8C"/>
    <w:rsid w:val="00146183"/>
    <w:rsid w:val="001462A0"/>
    <w:rsid w:val="00146A3E"/>
    <w:rsid w:val="0015031F"/>
    <w:rsid w:val="00150C78"/>
    <w:rsid w:val="00151006"/>
    <w:rsid w:val="00151F93"/>
    <w:rsid w:val="0015332E"/>
    <w:rsid w:val="00153F88"/>
    <w:rsid w:val="00155336"/>
    <w:rsid w:val="00155E31"/>
    <w:rsid w:val="001576D1"/>
    <w:rsid w:val="001610FE"/>
    <w:rsid w:val="0016126D"/>
    <w:rsid w:val="00162E7B"/>
    <w:rsid w:val="00162F57"/>
    <w:rsid w:val="001641B0"/>
    <w:rsid w:val="00164461"/>
    <w:rsid w:val="00165B80"/>
    <w:rsid w:val="00165DBD"/>
    <w:rsid w:val="00165F45"/>
    <w:rsid w:val="001665CD"/>
    <w:rsid w:val="001665F8"/>
    <w:rsid w:val="0016663F"/>
    <w:rsid w:val="00170243"/>
    <w:rsid w:val="00170ACE"/>
    <w:rsid w:val="00170EF2"/>
    <w:rsid w:val="0017454C"/>
    <w:rsid w:val="00174D1D"/>
    <w:rsid w:val="001765E2"/>
    <w:rsid w:val="0017693D"/>
    <w:rsid w:val="001770B8"/>
    <w:rsid w:val="0017745F"/>
    <w:rsid w:val="00177F04"/>
    <w:rsid w:val="001802AF"/>
    <w:rsid w:val="00181414"/>
    <w:rsid w:val="00182749"/>
    <w:rsid w:val="00183878"/>
    <w:rsid w:val="00185188"/>
    <w:rsid w:val="00185716"/>
    <w:rsid w:val="00185B2E"/>
    <w:rsid w:val="00185C6F"/>
    <w:rsid w:val="00186568"/>
    <w:rsid w:val="00190C29"/>
    <w:rsid w:val="001915FD"/>
    <w:rsid w:val="001919B4"/>
    <w:rsid w:val="00191DD1"/>
    <w:rsid w:val="001924C7"/>
    <w:rsid w:val="00192870"/>
    <w:rsid w:val="00193367"/>
    <w:rsid w:val="00193623"/>
    <w:rsid w:val="00195E0C"/>
    <w:rsid w:val="0019667E"/>
    <w:rsid w:val="0019750C"/>
    <w:rsid w:val="001A01A7"/>
    <w:rsid w:val="001A0563"/>
    <w:rsid w:val="001A1F67"/>
    <w:rsid w:val="001A2676"/>
    <w:rsid w:val="001A3775"/>
    <w:rsid w:val="001A3AFE"/>
    <w:rsid w:val="001A3BF5"/>
    <w:rsid w:val="001A53C6"/>
    <w:rsid w:val="001A5E8D"/>
    <w:rsid w:val="001A6317"/>
    <w:rsid w:val="001A6ADF"/>
    <w:rsid w:val="001A79B0"/>
    <w:rsid w:val="001A7FA9"/>
    <w:rsid w:val="001B0CF8"/>
    <w:rsid w:val="001B11DB"/>
    <w:rsid w:val="001B1580"/>
    <w:rsid w:val="001B2036"/>
    <w:rsid w:val="001B2906"/>
    <w:rsid w:val="001B381E"/>
    <w:rsid w:val="001B440A"/>
    <w:rsid w:val="001B446E"/>
    <w:rsid w:val="001B454B"/>
    <w:rsid w:val="001B4918"/>
    <w:rsid w:val="001B5AB0"/>
    <w:rsid w:val="001B60D8"/>
    <w:rsid w:val="001B60DE"/>
    <w:rsid w:val="001B64BC"/>
    <w:rsid w:val="001B6F41"/>
    <w:rsid w:val="001B7D3C"/>
    <w:rsid w:val="001C062F"/>
    <w:rsid w:val="001C155B"/>
    <w:rsid w:val="001C1CA8"/>
    <w:rsid w:val="001C284C"/>
    <w:rsid w:val="001C2DFF"/>
    <w:rsid w:val="001C2F50"/>
    <w:rsid w:val="001C49D8"/>
    <w:rsid w:val="001C57D0"/>
    <w:rsid w:val="001C5C0C"/>
    <w:rsid w:val="001C6840"/>
    <w:rsid w:val="001D024B"/>
    <w:rsid w:val="001D0EAF"/>
    <w:rsid w:val="001D15BA"/>
    <w:rsid w:val="001D1FFC"/>
    <w:rsid w:val="001D2306"/>
    <w:rsid w:val="001D2342"/>
    <w:rsid w:val="001D31C5"/>
    <w:rsid w:val="001D3708"/>
    <w:rsid w:val="001D5448"/>
    <w:rsid w:val="001D54ED"/>
    <w:rsid w:val="001D63A6"/>
    <w:rsid w:val="001D76B7"/>
    <w:rsid w:val="001E0DFC"/>
    <w:rsid w:val="001E154E"/>
    <w:rsid w:val="001E20DB"/>
    <w:rsid w:val="001E25C5"/>
    <w:rsid w:val="001E4A29"/>
    <w:rsid w:val="001E55D1"/>
    <w:rsid w:val="001E5E0C"/>
    <w:rsid w:val="001E73EC"/>
    <w:rsid w:val="001F0E61"/>
    <w:rsid w:val="001F0F34"/>
    <w:rsid w:val="001F105D"/>
    <w:rsid w:val="001F164D"/>
    <w:rsid w:val="001F1876"/>
    <w:rsid w:val="001F371E"/>
    <w:rsid w:val="001F44C6"/>
    <w:rsid w:val="001F4523"/>
    <w:rsid w:val="001F45A5"/>
    <w:rsid w:val="001F488E"/>
    <w:rsid w:val="001F53FD"/>
    <w:rsid w:val="001F7D03"/>
    <w:rsid w:val="001F7FC1"/>
    <w:rsid w:val="002010C2"/>
    <w:rsid w:val="00201949"/>
    <w:rsid w:val="002023BC"/>
    <w:rsid w:val="00202695"/>
    <w:rsid w:val="00202CCA"/>
    <w:rsid w:val="0020366A"/>
    <w:rsid w:val="00204AA8"/>
    <w:rsid w:val="00204B39"/>
    <w:rsid w:val="00205635"/>
    <w:rsid w:val="00206904"/>
    <w:rsid w:val="002072FE"/>
    <w:rsid w:val="0020761C"/>
    <w:rsid w:val="0020769F"/>
    <w:rsid w:val="002129E7"/>
    <w:rsid w:val="00212B97"/>
    <w:rsid w:val="00213CBD"/>
    <w:rsid w:val="00213E9F"/>
    <w:rsid w:val="00214013"/>
    <w:rsid w:val="00214CA6"/>
    <w:rsid w:val="0021525D"/>
    <w:rsid w:val="00215423"/>
    <w:rsid w:val="0021599D"/>
    <w:rsid w:val="002164BB"/>
    <w:rsid w:val="002167DA"/>
    <w:rsid w:val="00216C94"/>
    <w:rsid w:val="00220144"/>
    <w:rsid w:val="00221002"/>
    <w:rsid w:val="0022189A"/>
    <w:rsid w:val="00221F6D"/>
    <w:rsid w:val="00223746"/>
    <w:rsid w:val="00224109"/>
    <w:rsid w:val="00226231"/>
    <w:rsid w:val="002268B9"/>
    <w:rsid w:val="0022750A"/>
    <w:rsid w:val="002306D3"/>
    <w:rsid w:val="0023083F"/>
    <w:rsid w:val="002308A1"/>
    <w:rsid w:val="0023165C"/>
    <w:rsid w:val="00231933"/>
    <w:rsid w:val="002328E8"/>
    <w:rsid w:val="00234173"/>
    <w:rsid w:val="00235539"/>
    <w:rsid w:val="002371CE"/>
    <w:rsid w:val="002376C7"/>
    <w:rsid w:val="00240319"/>
    <w:rsid w:val="00240320"/>
    <w:rsid w:val="00240AF8"/>
    <w:rsid w:val="00242839"/>
    <w:rsid w:val="002444B9"/>
    <w:rsid w:val="002450CA"/>
    <w:rsid w:val="002452B2"/>
    <w:rsid w:val="002456D4"/>
    <w:rsid w:val="00245AAD"/>
    <w:rsid w:val="002465DF"/>
    <w:rsid w:val="00247005"/>
    <w:rsid w:val="0024728E"/>
    <w:rsid w:val="00250E81"/>
    <w:rsid w:val="002515D8"/>
    <w:rsid w:val="00251AD2"/>
    <w:rsid w:val="002521B5"/>
    <w:rsid w:val="00253978"/>
    <w:rsid w:val="00253E68"/>
    <w:rsid w:val="00253FF2"/>
    <w:rsid w:val="00256CF5"/>
    <w:rsid w:val="002603EA"/>
    <w:rsid w:val="0026061D"/>
    <w:rsid w:val="002608AF"/>
    <w:rsid w:val="00261E69"/>
    <w:rsid w:val="002628C8"/>
    <w:rsid w:val="00263960"/>
    <w:rsid w:val="00264670"/>
    <w:rsid w:val="00270F33"/>
    <w:rsid w:val="00271C33"/>
    <w:rsid w:val="002724A5"/>
    <w:rsid w:val="002726B8"/>
    <w:rsid w:val="0027285E"/>
    <w:rsid w:val="0027358D"/>
    <w:rsid w:val="00274606"/>
    <w:rsid w:val="00274763"/>
    <w:rsid w:val="002749A8"/>
    <w:rsid w:val="002758C1"/>
    <w:rsid w:val="00276216"/>
    <w:rsid w:val="00276257"/>
    <w:rsid w:val="002766F1"/>
    <w:rsid w:val="002768F9"/>
    <w:rsid w:val="00277825"/>
    <w:rsid w:val="002779DB"/>
    <w:rsid w:val="00277C7F"/>
    <w:rsid w:val="00280BC0"/>
    <w:rsid w:val="002813E0"/>
    <w:rsid w:val="00281E5A"/>
    <w:rsid w:val="00282415"/>
    <w:rsid w:val="00283C40"/>
    <w:rsid w:val="002841E4"/>
    <w:rsid w:val="002848C6"/>
    <w:rsid w:val="00285190"/>
    <w:rsid w:val="00285B9A"/>
    <w:rsid w:val="00285BA9"/>
    <w:rsid w:val="00286410"/>
    <w:rsid w:val="00286747"/>
    <w:rsid w:val="00286AD3"/>
    <w:rsid w:val="002870C7"/>
    <w:rsid w:val="002871EC"/>
    <w:rsid w:val="00287C25"/>
    <w:rsid w:val="002902F6"/>
    <w:rsid w:val="002905D2"/>
    <w:rsid w:val="00290A28"/>
    <w:rsid w:val="00290B96"/>
    <w:rsid w:val="00291790"/>
    <w:rsid w:val="00291819"/>
    <w:rsid w:val="0029290B"/>
    <w:rsid w:val="00293B3B"/>
    <w:rsid w:val="00294C94"/>
    <w:rsid w:val="00294E1E"/>
    <w:rsid w:val="00294E91"/>
    <w:rsid w:val="002955D6"/>
    <w:rsid w:val="00297020"/>
    <w:rsid w:val="00297438"/>
    <w:rsid w:val="0029763B"/>
    <w:rsid w:val="002977DD"/>
    <w:rsid w:val="0029783F"/>
    <w:rsid w:val="002A020F"/>
    <w:rsid w:val="002A0A58"/>
    <w:rsid w:val="002A0D5B"/>
    <w:rsid w:val="002A0E06"/>
    <w:rsid w:val="002A111C"/>
    <w:rsid w:val="002A13EE"/>
    <w:rsid w:val="002A1DB8"/>
    <w:rsid w:val="002A1E5C"/>
    <w:rsid w:val="002A2B8F"/>
    <w:rsid w:val="002A4086"/>
    <w:rsid w:val="002A42C4"/>
    <w:rsid w:val="002A699F"/>
    <w:rsid w:val="002A6BC9"/>
    <w:rsid w:val="002A6F9C"/>
    <w:rsid w:val="002A7609"/>
    <w:rsid w:val="002A7635"/>
    <w:rsid w:val="002A792E"/>
    <w:rsid w:val="002A7B95"/>
    <w:rsid w:val="002A7FE1"/>
    <w:rsid w:val="002B0FD1"/>
    <w:rsid w:val="002B1D90"/>
    <w:rsid w:val="002B212E"/>
    <w:rsid w:val="002B259E"/>
    <w:rsid w:val="002B3051"/>
    <w:rsid w:val="002B3152"/>
    <w:rsid w:val="002B4667"/>
    <w:rsid w:val="002B4FCD"/>
    <w:rsid w:val="002B5F83"/>
    <w:rsid w:val="002B5FC1"/>
    <w:rsid w:val="002B6272"/>
    <w:rsid w:val="002B65EB"/>
    <w:rsid w:val="002B664E"/>
    <w:rsid w:val="002B66FD"/>
    <w:rsid w:val="002B6867"/>
    <w:rsid w:val="002B7268"/>
    <w:rsid w:val="002B7E28"/>
    <w:rsid w:val="002C00DA"/>
    <w:rsid w:val="002C0463"/>
    <w:rsid w:val="002C0D2D"/>
    <w:rsid w:val="002C22D4"/>
    <w:rsid w:val="002C2359"/>
    <w:rsid w:val="002C26E9"/>
    <w:rsid w:val="002C2727"/>
    <w:rsid w:val="002C3500"/>
    <w:rsid w:val="002C369D"/>
    <w:rsid w:val="002C4A0D"/>
    <w:rsid w:val="002C4CCD"/>
    <w:rsid w:val="002C51DB"/>
    <w:rsid w:val="002C5A1F"/>
    <w:rsid w:val="002C6F76"/>
    <w:rsid w:val="002C7421"/>
    <w:rsid w:val="002C758C"/>
    <w:rsid w:val="002C77D0"/>
    <w:rsid w:val="002D0876"/>
    <w:rsid w:val="002D0A2F"/>
    <w:rsid w:val="002D2141"/>
    <w:rsid w:val="002D2738"/>
    <w:rsid w:val="002D2748"/>
    <w:rsid w:val="002D2901"/>
    <w:rsid w:val="002D2D10"/>
    <w:rsid w:val="002D3E34"/>
    <w:rsid w:val="002D4437"/>
    <w:rsid w:val="002D4875"/>
    <w:rsid w:val="002D6931"/>
    <w:rsid w:val="002D7834"/>
    <w:rsid w:val="002E31DF"/>
    <w:rsid w:val="002E3530"/>
    <w:rsid w:val="002E3C1E"/>
    <w:rsid w:val="002E4715"/>
    <w:rsid w:val="002E4B71"/>
    <w:rsid w:val="002E5243"/>
    <w:rsid w:val="002E646B"/>
    <w:rsid w:val="002F0099"/>
    <w:rsid w:val="002F223B"/>
    <w:rsid w:val="002F4433"/>
    <w:rsid w:val="002F51C2"/>
    <w:rsid w:val="002F52B6"/>
    <w:rsid w:val="002F5900"/>
    <w:rsid w:val="002F5F22"/>
    <w:rsid w:val="002F6BC5"/>
    <w:rsid w:val="002F7FB9"/>
    <w:rsid w:val="003006C0"/>
    <w:rsid w:val="00302ADC"/>
    <w:rsid w:val="0030301D"/>
    <w:rsid w:val="0030332E"/>
    <w:rsid w:val="00303C5E"/>
    <w:rsid w:val="00303EA4"/>
    <w:rsid w:val="0030612A"/>
    <w:rsid w:val="00310649"/>
    <w:rsid w:val="00310A1F"/>
    <w:rsid w:val="00310CB2"/>
    <w:rsid w:val="00311025"/>
    <w:rsid w:val="003120F5"/>
    <w:rsid w:val="00312826"/>
    <w:rsid w:val="00312AD0"/>
    <w:rsid w:val="0031368C"/>
    <w:rsid w:val="00315639"/>
    <w:rsid w:val="00315F84"/>
    <w:rsid w:val="003179CB"/>
    <w:rsid w:val="00320086"/>
    <w:rsid w:val="0032074A"/>
    <w:rsid w:val="00320F91"/>
    <w:rsid w:val="003213D6"/>
    <w:rsid w:val="003215C0"/>
    <w:rsid w:val="0032179C"/>
    <w:rsid w:val="0032300F"/>
    <w:rsid w:val="003230B1"/>
    <w:rsid w:val="00324682"/>
    <w:rsid w:val="0032489A"/>
    <w:rsid w:val="00325018"/>
    <w:rsid w:val="00326D22"/>
    <w:rsid w:val="003274CD"/>
    <w:rsid w:val="00327A51"/>
    <w:rsid w:val="0033024C"/>
    <w:rsid w:val="003305CD"/>
    <w:rsid w:val="00332EC3"/>
    <w:rsid w:val="003338E3"/>
    <w:rsid w:val="00334B2F"/>
    <w:rsid w:val="0033521F"/>
    <w:rsid w:val="00335E06"/>
    <w:rsid w:val="00336597"/>
    <w:rsid w:val="003375C1"/>
    <w:rsid w:val="00337B04"/>
    <w:rsid w:val="00337D55"/>
    <w:rsid w:val="00340529"/>
    <w:rsid w:val="003406C1"/>
    <w:rsid w:val="003407B5"/>
    <w:rsid w:val="00340C69"/>
    <w:rsid w:val="00340F26"/>
    <w:rsid w:val="003413FE"/>
    <w:rsid w:val="00341AEE"/>
    <w:rsid w:val="00341E8D"/>
    <w:rsid w:val="0034239F"/>
    <w:rsid w:val="003423C7"/>
    <w:rsid w:val="003427DE"/>
    <w:rsid w:val="00343233"/>
    <w:rsid w:val="003443A5"/>
    <w:rsid w:val="003453AC"/>
    <w:rsid w:val="0034565B"/>
    <w:rsid w:val="00345A83"/>
    <w:rsid w:val="00346C54"/>
    <w:rsid w:val="00347B78"/>
    <w:rsid w:val="00347FEE"/>
    <w:rsid w:val="00350773"/>
    <w:rsid w:val="003507A5"/>
    <w:rsid w:val="003515FD"/>
    <w:rsid w:val="00351BD2"/>
    <w:rsid w:val="00352E3E"/>
    <w:rsid w:val="003534B0"/>
    <w:rsid w:val="003541C5"/>
    <w:rsid w:val="00354CC9"/>
    <w:rsid w:val="00357577"/>
    <w:rsid w:val="00357589"/>
    <w:rsid w:val="00357642"/>
    <w:rsid w:val="003613B2"/>
    <w:rsid w:val="00361F37"/>
    <w:rsid w:val="0036264A"/>
    <w:rsid w:val="00362D6D"/>
    <w:rsid w:val="0036367F"/>
    <w:rsid w:val="003638CC"/>
    <w:rsid w:val="00363C9D"/>
    <w:rsid w:val="0036471C"/>
    <w:rsid w:val="0036532C"/>
    <w:rsid w:val="0036624E"/>
    <w:rsid w:val="00366C60"/>
    <w:rsid w:val="00367491"/>
    <w:rsid w:val="00370551"/>
    <w:rsid w:val="00372417"/>
    <w:rsid w:val="003726C4"/>
    <w:rsid w:val="00372BBE"/>
    <w:rsid w:val="00374A32"/>
    <w:rsid w:val="00375169"/>
    <w:rsid w:val="00375F15"/>
    <w:rsid w:val="00376E3D"/>
    <w:rsid w:val="00376F95"/>
    <w:rsid w:val="003773EA"/>
    <w:rsid w:val="00380E7D"/>
    <w:rsid w:val="003810BB"/>
    <w:rsid w:val="00381605"/>
    <w:rsid w:val="00381BE2"/>
    <w:rsid w:val="00382E78"/>
    <w:rsid w:val="0038349C"/>
    <w:rsid w:val="003836A4"/>
    <w:rsid w:val="00383F60"/>
    <w:rsid w:val="00384481"/>
    <w:rsid w:val="003852A3"/>
    <w:rsid w:val="0038534E"/>
    <w:rsid w:val="003859D1"/>
    <w:rsid w:val="00386AAA"/>
    <w:rsid w:val="0038706F"/>
    <w:rsid w:val="00390812"/>
    <w:rsid w:val="003921B9"/>
    <w:rsid w:val="00392535"/>
    <w:rsid w:val="00392FDE"/>
    <w:rsid w:val="003937F0"/>
    <w:rsid w:val="00393EBF"/>
    <w:rsid w:val="00394B00"/>
    <w:rsid w:val="00395BFE"/>
    <w:rsid w:val="003A1813"/>
    <w:rsid w:val="003A185D"/>
    <w:rsid w:val="003A27D2"/>
    <w:rsid w:val="003A2988"/>
    <w:rsid w:val="003A3893"/>
    <w:rsid w:val="003A5056"/>
    <w:rsid w:val="003A5DC9"/>
    <w:rsid w:val="003A65F6"/>
    <w:rsid w:val="003A6BD0"/>
    <w:rsid w:val="003A7919"/>
    <w:rsid w:val="003A795C"/>
    <w:rsid w:val="003B0F84"/>
    <w:rsid w:val="003B1B38"/>
    <w:rsid w:val="003B255C"/>
    <w:rsid w:val="003B2D7E"/>
    <w:rsid w:val="003B2E51"/>
    <w:rsid w:val="003B462D"/>
    <w:rsid w:val="003B472F"/>
    <w:rsid w:val="003B4D2B"/>
    <w:rsid w:val="003B4E87"/>
    <w:rsid w:val="003B57AC"/>
    <w:rsid w:val="003B763B"/>
    <w:rsid w:val="003B7DC2"/>
    <w:rsid w:val="003C058E"/>
    <w:rsid w:val="003C0742"/>
    <w:rsid w:val="003C13B4"/>
    <w:rsid w:val="003C162B"/>
    <w:rsid w:val="003C1F01"/>
    <w:rsid w:val="003C2A1A"/>
    <w:rsid w:val="003C2BA4"/>
    <w:rsid w:val="003C3B67"/>
    <w:rsid w:val="003C4C5F"/>
    <w:rsid w:val="003C580D"/>
    <w:rsid w:val="003C5FEB"/>
    <w:rsid w:val="003C69A3"/>
    <w:rsid w:val="003C7A39"/>
    <w:rsid w:val="003C7D4F"/>
    <w:rsid w:val="003C7DF6"/>
    <w:rsid w:val="003D017E"/>
    <w:rsid w:val="003D1098"/>
    <w:rsid w:val="003D114A"/>
    <w:rsid w:val="003D16F6"/>
    <w:rsid w:val="003D2256"/>
    <w:rsid w:val="003D3D6B"/>
    <w:rsid w:val="003D3E1C"/>
    <w:rsid w:val="003D53C6"/>
    <w:rsid w:val="003D54D8"/>
    <w:rsid w:val="003D569B"/>
    <w:rsid w:val="003D5F0E"/>
    <w:rsid w:val="003D623D"/>
    <w:rsid w:val="003D7998"/>
    <w:rsid w:val="003D7F3C"/>
    <w:rsid w:val="003E0A63"/>
    <w:rsid w:val="003E0C5D"/>
    <w:rsid w:val="003E19CE"/>
    <w:rsid w:val="003E2876"/>
    <w:rsid w:val="003E316F"/>
    <w:rsid w:val="003E33CB"/>
    <w:rsid w:val="003E3BEC"/>
    <w:rsid w:val="003E417F"/>
    <w:rsid w:val="003E5013"/>
    <w:rsid w:val="003E612F"/>
    <w:rsid w:val="003E6CCA"/>
    <w:rsid w:val="003E6D63"/>
    <w:rsid w:val="003E6D8C"/>
    <w:rsid w:val="003E6E2C"/>
    <w:rsid w:val="003E6E76"/>
    <w:rsid w:val="003E7877"/>
    <w:rsid w:val="003F05A3"/>
    <w:rsid w:val="003F14B9"/>
    <w:rsid w:val="003F1912"/>
    <w:rsid w:val="003F2705"/>
    <w:rsid w:val="003F32F1"/>
    <w:rsid w:val="003F33A0"/>
    <w:rsid w:val="003F37A7"/>
    <w:rsid w:val="003F41D5"/>
    <w:rsid w:val="003F4C69"/>
    <w:rsid w:val="003F52D7"/>
    <w:rsid w:val="003F53AB"/>
    <w:rsid w:val="003F5DE6"/>
    <w:rsid w:val="003F5FAB"/>
    <w:rsid w:val="003F62A8"/>
    <w:rsid w:val="003F782A"/>
    <w:rsid w:val="003F7AF4"/>
    <w:rsid w:val="0040065B"/>
    <w:rsid w:val="00400C34"/>
    <w:rsid w:val="0040316A"/>
    <w:rsid w:val="00403489"/>
    <w:rsid w:val="004039EC"/>
    <w:rsid w:val="00403E13"/>
    <w:rsid w:val="004043A7"/>
    <w:rsid w:val="00404C05"/>
    <w:rsid w:val="00405641"/>
    <w:rsid w:val="00405CF8"/>
    <w:rsid w:val="004060F9"/>
    <w:rsid w:val="00406350"/>
    <w:rsid w:val="0040644F"/>
    <w:rsid w:val="004067F0"/>
    <w:rsid w:val="00410F14"/>
    <w:rsid w:val="00411335"/>
    <w:rsid w:val="00411379"/>
    <w:rsid w:val="00411B9A"/>
    <w:rsid w:val="00411D0D"/>
    <w:rsid w:val="004121D1"/>
    <w:rsid w:val="00412764"/>
    <w:rsid w:val="00413020"/>
    <w:rsid w:val="00413981"/>
    <w:rsid w:val="00414868"/>
    <w:rsid w:val="00414FC2"/>
    <w:rsid w:val="0041589A"/>
    <w:rsid w:val="00415C8C"/>
    <w:rsid w:val="00416283"/>
    <w:rsid w:val="00416A33"/>
    <w:rsid w:val="00417DBE"/>
    <w:rsid w:val="0042005C"/>
    <w:rsid w:val="00420D65"/>
    <w:rsid w:val="00424607"/>
    <w:rsid w:val="004248D3"/>
    <w:rsid w:val="00424AF5"/>
    <w:rsid w:val="004251D5"/>
    <w:rsid w:val="00426083"/>
    <w:rsid w:val="00426529"/>
    <w:rsid w:val="004275DF"/>
    <w:rsid w:val="00427A69"/>
    <w:rsid w:val="00427EB8"/>
    <w:rsid w:val="004301A3"/>
    <w:rsid w:val="00430A86"/>
    <w:rsid w:val="00430F08"/>
    <w:rsid w:val="00431D01"/>
    <w:rsid w:val="00433BEA"/>
    <w:rsid w:val="00434F04"/>
    <w:rsid w:val="00435087"/>
    <w:rsid w:val="00435CF2"/>
    <w:rsid w:val="00437047"/>
    <w:rsid w:val="0043705A"/>
    <w:rsid w:val="004379D2"/>
    <w:rsid w:val="00437E12"/>
    <w:rsid w:val="00437FD7"/>
    <w:rsid w:val="00440AD8"/>
    <w:rsid w:val="00440C4D"/>
    <w:rsid w:val="00440DDF"/>
    <w:rsid w:val="00441C80"/>
    <w:rsid w:val="00441D8D"/>
    <w:rsid w:val="0044248B"/>
    <w:rsid w:val="00442881"/>
    <w:rsid w:val="00444483"/>
    <w:rsid w:val="00444C8C"/>
    <w:rsid w:val="00445484"/>
    <w:rsid w:val="00445991"/>
    <w:rsid w:val="00445F2B"/>
    <w:rsid w:val="00447352"/>
    <w:rsid w:val="004474F3"/>
    <w:rsid w:val="0044776E"/>
    <w:rsid w:val="00451C54"/>
    <w:rsid w:val="00452299"/>
    <w:rsid w:val="00452A30"/>
    <w:rsid w:val="00452C89"/>
    <w:rsid w:val="004541E3"/>
    <w:rsid w:val="004543EF"/>
    <w:rsid w:val="00454E45"/>
    <w:rsid w:val="00455EF6"/>
    <w:rsid w:val="004561E1"/>
    <w:rsid w:val="00456405"/>
    <w:rsid w:val="00456D95"/>
    <w:rsid w:val="00456F83"/>
    <w:rsid w:val="004572BD"/>
    <w:rsid w:val="00460DC9"/>
    <w:rsid w:val="00461C6C"/>
    <w:rsid w:val="00461FA0"/>
    <w:rsid w:val="0046209D"/>
    <w:rsid w:val="004622B5"/>
    <w:rsid w:val="00463EC4"/>
    <w:rsid w:val="00464089"/>
    <w:rsid w:val="0046455E"/>
    <w:rsid w:val="00464DDD"/>
    <w:rsid w:val="00464FDE"/>
    <w:rsid w:val="00465353"/>
    <w:rsid w:val="00465738"/>
    <w:rsid w:val="00465CD3"/>
    <w:rsid w:val="0046629D"/>
    <w:rsid w:val="004663B4"/>
    <w:rsid w:val="004702DE"/>
    <w:rsid w:val="0047038B"/>
    <w:rsid w:val="0047040C"/>
    <w:rsid w:val="00470E08"/>
    <w:rsid w:val="00470EA0"/>
    <w:rsid w:val="00471A4A"/>
    <w:rsid w:val="00471CDE"/>
    <w:rsid w:val="00474390"/>
    <w:rsid w:val="00474604"/>
    <w:rsid w:val="0047576D"/>
    <w:rsid w:val="00476763"/>
    <w:rsid w:val="00476959"/>
    <w:rsid w:val="004778C4"/>
    <w:rsid w:val="0048023D"/>
    <w:rsid w:val="00481306"/>
    <w:rsid w:val="004825B5"/>
    <w:rsid w:val="00482CE3"/>
    <w:rsid w:val="00484719"/>
    <w:rsid w:val="0048550B"/>
    <w:rsid w:val="00485BF0"/>
    <w:rsid w:val="00485D61"/>
    <w:rsid w:val="00487040"/>
    <w:rsid w:val="0048705C"/>
    <w:rsid w:val="004879E2"/>
    <w:rsid w:val="00487A73"/>
    <w:rsid w:val="00487E45"/>
    <w:rsid w:val="00490EFC"/>
    <w:rsid w:val="00491435"/>
    <w:rsid w:val="004925AD"/>
    <w:rsid w:val="004926CF"/>
    <w:rsid w:val="004937B5"/>
    <w:rsid w:val="004938F1"/>
    <w:rsid w:val="0049465C"/>
    <w:rsid w:val="00494DF2"/>
    <w:rsid w:val="004962BD"/>
    <w:rsid w:val="004963F0"/>
    <w:rsid w:val="004966F7"/>
    <w:rsid w:val="004968DD"/>
    <w:rsid w:val="00497A60"/>
    <w:rsid w:val="00497B40"/>
    <w:rsid w:val="004A027E"/>
    <w:rsid w:val="004A0AC5"/>
    <w:rsid w:val="004A14F1"/>
    <w:rsid w:val="004A1B07"/>
    <w:rsid w:val="004A1B35"/>
    <w:rsid w:val="004A279C"/>
    <w:rsid w:val="004A2FD1"/>
    <w:rsid w:val="004A3B9D"/>
    <w:rsid w:val="004A426C"/>
    <w:rsid w:val="004A4390"/>
    <w:rsid w:val="004A50FE"/>
    <w:rsid w:val="004A512A"/>
    <w:rsid w:val="004A5334"/>
    <w:rsid w:val="004A6019"/>
    <w:rsid w:val="004A6B12"/>
    <w:rsid w:val="004A73E1"/>
    <w:rsid w:val="004B0B69"/>
    <w:rsid w:val="004B11BE"/>
    <w:rsid w:val="004B1AEE"/>
    <w:rsid w:val="004B1C22"/>
    <w:rsid w:val="004B2E27"/>
    <w:rsid w:val="004B3075"/>
    <w:rsid w:val="004B3A57"/>
    <w:rsid w:val="004B494B"/>
    <w:rsid w:val="004B5A10"/>
    <w:rsid w:val="004B7779"/>
    <w:rsid w:val="004B7BF2"/>
    <w:rsid w:val="004C059B"/>
    <w:rsid w:val="004C0992"/>
    <w:rsid w:val="004C376F"/>
    <w:rsid w:val="004C4865"/>
    <w:rsid w:val="004C5CFF"/>
    <w:rsid w:val="004C71D8"/>
    <w:rsid w:val="004D046A"/>
    <w:rsid w:val="004D1BD3"/>
    <w:rsid w:val="004D1D17"/>
    <w:rsid w:val="004D304B"/>
    <w:rsid w:val="004D465F"/>
    <w:rsid w:val="004D4BE9"/>
    <w:rsid w:val="004D5EF0"/>
    <w:rsid w:val="004D7811"/>
    <w:rsid w:val="004E0BC7"/>
    <w:rsid w:val="004E12E5"/>
    <w:rsid w:val="004E1419"/>
    <w:rsid w:val="004E14AF"/>
    <w:rsid w:val="004E3EA7"/>
    <w:rsid w:val="004E47C2"/>
    <w:rsid w:val="004E4CCC"/>
    <w:rsid w:val="004E4D26"/>
    <w:rsid w:val="004E51D1"/>
    <w:rsid w:val="004E522E"/>
    <w:rsid w:val="004E59DF"/>
    <w:rsid w:val="004F215D"/>
    <w:rsid w:val="004F3098"/>
    <w:rsid w:val="004F48FE"/>
    <w:rsid w:val="004F4D32"/>
    <w:rsid w:val="004F4EB1"/>
    <w:rsid w:val="004F5701"/>
    <w:rsid w:val="004F58C5"/>
    <w:rsid w:val="004F5A40"/>
    <w:rsid w:val="004F67A0"/>
    <w:rsid w:val="004F6CA3"/>
    <w:rsid w:val="004F7014"/>
    <w:rsid w:val="004F750B"/>
    <w:rsid w:val="004F76EE"/>
    <w:rsid w:val="004F78F1"/>
    <w:rsid w:val="004F7FE8"/>
    <w:rsid w:val="00500481"/>
    <w:rsid w:val="00500546"/>
    <w:rsid w:val="005011C2"/>
    <w:rsid w:val="0050142F"/>
    <w:rsid w:val="00501606"/>
    <w:rsid w:val="00502204"/>
    <w:rsid w:val="00502346"/>
    <w:rsid w:val="0050284A"/>
    <w:rsid w:val="005035E1"/>
    <w:rsid w:val="005037C8"/>
    <w:rsid w:val="00503D49"/>
    <w:rsid w:val="00503F7D"/>
    <w:rsid w:val="005045C8"/>
    <w:rsid w:val="00504CD2"/>
    <w:rsid w:val="00504FB2"/>
    <w:rsid w:val="005079C0"/>
    <w:rsid w:val="0051008B"/>
    <w:rsid w:val="005102E8"/>
    <w:rsid w:val="00511B19"/>
    <w:rsid w:val="0051226F"/>
    <w:rsid w:val="00513BCB"/>
    <w:rsid w:val="005143EA"/>
    <w:rsid w:val="00515032"/>
    <w:rsid w:val="005161B9"/>
    <w:rsid w:val="005162E2"/>
    <w:rsid w:val="00517440"/>
    <w:rsid w:val="00524B48"/>
    <w:rsid w:val="00524FAD"/>
    <w:rsid w:val="00525583"/>
    <w:rsid w:val="00525DE5"/>
    <w:rsid w:val="00526347"/>
    <w:rsid w:val="00526449"/>
    <w:rsid w:val="00526466"/>
    <w:rsid w:val="00526721"/>
    <w:rsid w:val="00527065"/>
    <w:rsid w:val="00527960"/>
    <w:rsid w:val="00530A32"/>
    <w:rsid w:val="005312EC"/>
    <w:rsid w:val="0053150F"/>
    <w:rsid w:val="005317FC"/>
    <w:rsid w:val="0053229B"/>
    <w:rsid w:val="00532F1E"/>
    <w:rsid w:val="00532F5F"/>
    <w:rsid w:val="005334B9"/>
    <w:rsid w:val="00533A67"/>
    <w:rsid w:val="005349E5"/>
    <w:rsid w:val="00534BAB"/>
    <w:rsid w:val="005355CD"/>
    <w:rsid w:val="005356F4"/>
    <w:rsid w:val="00535FEC"/>
    <w:rsid w:val="00536E27"/>
    <w:rsid w:val="00537223"/>
    <w:rsid w:val="005401EF"/>
    <w:rsid w:val="0054032B"/>
    <w:rsid w:val="005407A3"/>
    <w:rsid w:val="00540F17"/>
    <w:rsid w:val="0054128F"/>
    <w:rsid w:val="00541FA9"/>
    <w:rsid w:val="00541FB6"/>
    <w:rsid w:val="0054225C"/>
    <w:rsid w:val="00542395"/>
    <w:rsid w:val="00542B05"/>
    <w:rsid w:val="00543793"/>
    <w:rsid w:val="005447DB"/>
    <w:rsid w:val="00544E18"/>
    <w:rsid w:val="00545522"/>
    <w:rsid w:val="00545B07"/>
    <w:rsid w:val="00545BEF"/>
    <w:rsid w:val="00545C81"/>
    <w:rsid w:val="00545CAF"/>
    <w:rsid w:val="00546B8E"/>
    <w:rsid w:val="00547CD1"/>
    <w:rsid w:val="00547D16"/>
    <w:rsid w:val="00550B35"/>
    <w:rsid w:val="005514D9"/>
    <w:rsid w:val="0055258B"/>
    <w:rsid w:val="0055304C"/>
    <w:rsid w:val="005537E0"/>
    <w:rsid w:val="005538EE"/>
    <w:rsid w:val="00553CE2"/>
    <w:rsid w:val="0055467B"/>
    <w:rsid w:val="00554A97"/>
    <w:rsid w:val="00554FB7"/>
    <w:rsid w:val="0055524C"/>
    <w:rsid w:val="00555475"/>
    <w:rsid w:val="0055598B"/>
    <w:rsid w:val="00555B19"/>
    <w:rsid w:val="00555CA5"/>
    <w:rsid w:val="0055697F"/>
    <w:rsid w:val="00557311"/>
    <w:rsid w:val="00557EF1"/>
    <w:rsid w:val="005609F7"/>
    <w:rsid w:val="005611F3"/>
    <w:rsid w:val="005624BD"/>
    <w:rsid w:val="00563524"/>
    <w:rsid w:val="005640A5"/>
    <w:rsid w:val="00564E17"/>
    <w:rsid w:val="00564E45"/>
    <w:rsid w:val="005678DE"/>
    <w:rsid w:val="005709AA"/>
    <w:rsid w:val="00570DC7"/>
    <w:rsid w:val="00572199"/>
    <w:rsid w:val="005733FA"/>
    <w:rsid w:val="00573CBD"/>
    <w:rsid w:val="00573E18"/>
    <w:rsid w:val="00573EEE"/>
    <w:rsid w:val="00574829"/>
    <w:rsid w:val="00574AA9"/>
    <w:rsid w:val="00575FC5"/>
    <w:rsid w:val="00577253"/>
    <w:rsid w:val="005776F0"/>
    <w:rsid w:val="005777D7"/>
    <w:rsid w:val="00580CCA"/>
    <w:rsid w:val="00581555"/>
    <w:rsid w:val="0058194F"/>
    <w:rsid w:val="00581BBD"/>
    <w:rsid w:val="005820DE"/>
    <w:rsid w:val="0058222F"/>
    <w:rsid w:val="00583D1B"/>
    <w:rsid w:val="00583DE5"/>
    <w:rsid w:val="00583EB6"/>
    <w:rsid w:val="0058428D"/>
    <w:rsid w:val="00584851"/>
    <w:rsid w:val="00585431"/>
    <w:rsid w:val="005854DC"/>
    <w:rsid w:val="0058559A"/>
    <w:rsid w:val="00585FA2"/>
    <w:rsid w:val="00585FCE"/>
    <w:rsid w:val="00586D85"/>
    <w:rsid w:val="0059005D"/>
    <w:rsid w:val="005909B3"/>
    <w:rsid w:val="0059106C"/>
    <w:rsid w:val="0059195B"/>
    <w:rsid w:val="00592175"/>
    <w:rsid w:val="00592F98"/>
    <w:rsid w:val="00594690"/>
    <w:rsid w:val="005946A4"/>
    <w:rsid w:val="0059491C"/>
    <w:rsid w:val="0059553E"/>
    <w:rsid w:val="00595AB0"/>
    <w:rsid w:val="00596350"/>
    <w:rsid w:val="005964C3"/>
    <w:rsid w:val="005967C6"/>
    <w:rsid w:val="00597BBF"/>
    <w:rsid w:val="005A03DE"/>
    <w:rsid w:val="005A2BCD"/>
    <w:rsid w:val="005A2C3B"/>
    <w:rsid w:val="005A4727"/>
    <w:rsid w:val="005A4AED"/>
    <w:rsid w:val="005A5DF5"/>
    <w:rsid w:val="005A6E93"/>
    <w:rsid w:val="005A70BE"/>
    <w:rsid w:val="005A724F"/>
    <w:rsid w:val="005A7750"/>
    <w:rsid w:val="005B0029"/>
    <w:rsid w:val="005B116D"/>
    <w:rsid w:val="005B2431"/>
    <w:rsid w:val="005B2881"/>
    <w:rsid w:val="005B37DD"/>
    <w:rsid w:val="005B47D5"/>
    <w:rsid w:val="005B53A2"/>
    <w:rsid w:val="005B5958"/>
    <w:rsid w:val="005B602B"/>
    <w:rsid w:val="005B67C2"/>
    <w:rsid w:val="005B6E10"/>
    <w:rsid w:val="005C02CB"/>
    <w:rsid w:val="005C0D82"/>
    <w:rsid w:val="005C1539"/>
    <w:rsid w:val="005C20C9"/>
    <w:rsid w:val="005C2B1C"/>
    <w:rsid w:val="005C2D97"/>
    <w:rsid w:val="005C34D6"/>
    <w:rsid w:val="005C3AB9"/>
    <w:rsid w:val="005C3ABD"/>
    <w:rsid w:val="005C3F91"/>
    <w:rsid w:val="005C4255"/>
    <w:rsid w:val="005C5143"/>
    <w:rsid w:val="005C53D6"/>
    <w:rsid w:val="005C56D4"/>
    <w:rsid w:val="005C5E8C"/>
    <w:rsid w:val="005C6B44"/>
    <w:rsid w:val="005D19C8"/>
    <w:rsid w:val="005D1E12"/>
    <w:rsid w:val="005D3ED4"/>
    <w:rsid w:val="005D3F61"/>
    <w:rsid w:val="005D4583"/>
    <w:rsid w:val="005D4730"/>
    <w:rsid w:val="005D617F"/>
    <w:rsid w:val="005E08C0"/>
    <w:rsid w:val="005E10B1"/>
    <w:rsid w:val="005E1422"/>
    <w:rsid w:val="005E19E2"/>
    <w:rsid w:val="005E1FF5"/>
    <w:rsid w:val="005E235D"/>
    <w:rsid w:val="005E2599"/>
    <w:rsid w:val="005E2A06"/>
    <w:rsid w:val="005E332D"/>
    <w:rsid w:val="005E43AD"/>
    <w:rsid w:val="005E454F"/>
    <w:rsid w:val="005E4B4B"/>
    <w:rsid w:val="005E54A4"/>
    <w:rsid w:val="005E57F0"/>
    <w:rsid w:val="005E596F"/>
    <w:rsid w:val="005E6581"/>
    <w:rsid w:val="005E6DEA"/>
    <w:rsid w:val="005E6F4C"/>
    <w:rsid w:val="005E7C37"/>
    <w:rsid w:val="005E7C3D"/>
    <w:rsid w:val="005F07E0"/>
    <w:rsid w:val="005F0B8B"/>
    <w:rsid w:val="005F1B2F"/>
    <w:rsid w:val="005F2D6A"/>
    <w:rsid w:val="005F632E"/>
    <w:rsid w:val="005F760C"/>
    <w:rsid w:val="00601986"/>
    <w:rsid w:val="0060381B"/>
    <w:rsid w:val="00603E7B"/>
    <w:rsid w:val="006054ED"/>
    <w:rsid w:val="00605918"/>
    <w:rsid w:val="006073C9"/>
    <w:rsid w:val="006073E7"/>
    <w:rsid w:val="00607A28"/>
    <w:rsid w:val="006107F8"/>
    <w:rsid w:val="00610BE3"/>
    <w:rsid w:val="00611FF5"/>
    <w:rsid w:val="00612177"/>
    <w:rsid w:val="0061368B"/>
    <w:rsid w:val="0061493B"/>
    <w:rsid w:val="00614B07"/>
    <w:rsid w:val="00614B23"/>
    <w:rsid w:val="006150F8"/>
    <w:rsid w:val="00615656"/>
    <w:rsid w:val="006203C9"/>
    <w:rsid w:val="0062186D"/>
    <w:rsid w:val="006219C4"/>
    <w:rsid w:val="00622270"/>
    <w:rsid w:val="00622496"/>
    <w:rsid w:val="00622AEC"/>
    <w:rsid w:val="00623D19"/>
    <w:rsid w:val="00623E47"/>
    <w:rsid w:val="00624ADC"/>
    <w:rsid w:val="00624C0C"/>
    <w:rsid w:val="0062523A"/>
    <w:rsid w:val="00625EF2"/>
    <w:rsid w:val="006261E4"/>
    <w:rsid w:val="006276D8"/>
    <w:rsid w:val="00627C7B"/>
    <w:rsid w:val="00630D41"/>
    <w:rsid w:val="00635F1A"/>
    <w:rsid w:val="00636D11"/>
    <w:rsid w:val="00636DDD"/>
    <w:rsid w:val="00637587"/>
    <w:rsid w:val="00640892"/>
    <w:rsid w:val="0064093E"/>
    <w:rsid w:val="00641CA8"/>
    <w:rsid w:val="00644899"/>
    <w:rsid w:val="00645365"/>
    <w:rsid w:val="00645A3F"/>
    <w:rsid w:val="00645C22"/>
    <w:rsid w:val="00645CB2"/>
    <w:rsid w:val="00646837"/>
    <w:rsid w:val="00646A98"/>
    <w:rsid w:val="00647867"/>
    <w:rsid w:val="0065026C"/>
    <w:rsid w:val="00650693"/>
    <w:rsid w:val="00650A86"/>
    <w:rsid w:val="0065104F"/>
    <w:rsid w:val="00651590"/>
    <w:rsid w:val="006527DA"/>
    <w:rsid w:val="00652CDA"/>
    <w:rsid w:val="00652DF9"/>
    <w:rsid w:val="00652E0B"/>
    <w:rsid w:val="0065369D"/>
    <w:rsid w:val="00653934"/>
    <w:rsid w:val="00653DBE"/>
    <w:rsid w:val="00654909"/>
    <w:rsid w:val="00654CC2"/>
    <w:rsid w:val="006550EF"/>
    <w:rsid w:val="00655CED"/>
    <w:rsid w:val="00655F15"/>
    <w:rsid w:val="006564E4"/>
    <w:rsid w:val="006569C5"/>
    <w:rsid w:val="00656E66"/>
    <w:rsid w:val="006571C8"/>
    <w:rsid w:val="00657BA7"/>
    <w:rsid w:val="00657D11"/>
    <w:rsid w:val="0066113F"/>
    <w:rsid w:val="006614E0"/>
    <w:rsid w:val="0066161F"/>
    <w:rsid w:val="00661971"/>
    <w:rsid w:val="00661C43"/>
    <w:rsid w:val="006622E5"/>
    <w:rsid w:val="00662391"/>
    <w:rsid w:val="00662CA8"/>
    <w:rsid w:val="00662D72"/>
    <w:rsid w:val="00663493"/>
    <w:rsid w:val="006634E2"/>
    <w:rsid w:val="00664399"/>
    <w:rsid w:val="0066551C"/>
    <w:rsid w:val="006658FC"/>
    <w:rsid w:val="00665C75"/>
    <w:rsid w:val="00666CC8"/>
    <w:rsid w:val="00666D52"/>
    <w:rsid w:val="00666EC1"/>
    <w:rsid w:val="006712E3"/>
    <w:rsid w:val="006713F9"/>
    <w:rsid w:val="00672506"/>
    <w:rsid w:val="00673A27"/>
    <w:rsid w:val="00675143"/>
    <w:rsid w:val="00675232"/>
    <w:rsid w:val="00676740"/>
    <w:rsid w:val="00676791"/>
    <w:rsid w:val="00676FEC"/>
    <w:rsid w:val="00677086"/>
    <w:rsid w:val="006774F9"/>
    <w:rsid w:val="00677C07"/>
    <w:rsid w:val="00680B42"/>
    <w:rsid w:val="00682172"/>
    <w:rsid w:val="006825E6"/>
    <w:rsid w:val="00682F77"/>
    <w:rsid w:val="00683C97"/>
    <w:rsid w:val="00684130"/>
    <w:rsid w:val="00684991"/>
    <w:rsid w:val="00684FF9"/>
    <w:rsid w:val="00685721"/>
    <w:rsid w:val="00685784"/>
    <w:rsid w:val="006907E3"/>
    <w:rsid w:val="00691D33"/>
    <w:rsid w:val="00691DED"/>
    <w:rsid w:val="00692984"/>
    <w:rsid w:val="00692B4C"/>
    <w:rsid w:val="0069442F"/>
    <w:rsid w:val="006944D2"/>
    <w:rsid w:val="006950F7"/>
    <w:rsid w:val="00695521"/>
    <w:rsid w:val="00695A72"/>
    <w:rsid w:val="00695FBF"/>
    <w:rsid w:val="006960A1"/>
    <w:rsid w:val="0069614C"/>
    <w:rsid w:val="006963CB"/>
    <w:rsid w:val="00696489"/>
    <w:rsid w:val="00697C7B"/>
    <w:rsid w:val="006A08AA"/>
    <w:rsid w:val="006A125F"/>
    <w:rsid w:val="006A1815"/>
    <w:rsid w:val="006A19A0"/>
    <w:rsid w:val="006A3B83"/>
    <w:rsid w:val="006A5E3A"/>
    <w:rsid w:val="006A668D"/>
    <w:rsid w:val="006A6755"/>
    <w:rsid w:val="006A6A29"/>
    <w:rsid w:val="006A6A39"/>
    <w:rsid w:val="006A6C32"/>
    <w:rsid w:val="006A7721"/>
    <w:rsid w:val="006B079D"/>
    <w:rsid w:val="006B11A0"/>
    <w:rsid w:val="006B1BD6"/>
    <w:rsid w:val="006B2997"/>
    <w:rsid w:val="006B4173"/>
    <w:rsid w:val="006B49F6"/>
    <w:rsid w:val="006B4BE5"/>
    <w:rsid w:val="006B5410"/>
    <w:rsid w:val="006B55EB"/>
    <w:rsid w:val="006B654D"/>
    <w:rsid w:val="006B6C6F"/>
    <w:rsid w:val="006B765E"/>
    <w:rsid w:val="006C03D4"/>
    <w:rsid w:val="006C0811"/>
    <w:rsid w:val="006C0F20"/>
    <w:rsid w:val="006C1D4A"/>
    <w:rsid w:val="006C2951"/>
    <w:rsid w:val="006C30D4"/>
    <w:rsid w:val="006C37BB"/>
    <w:rsid w:val="006C3AAD"/>
    <w:rsid w:val="006C3F03"/>
    <w:rsid w:val="006C440C"/>
    <w:rsid w:val="006C51E7"/>
    <w:rsid w:val="006C5F64"/>
    <w:rsid w:val="006C6715"/>
    <w:rsid w:val="006C6A4C"/>
    <w:rsid w:val="006C7606"/>
    <w:rsid w:val="006D1CF1"/>
    <w:rsid w:val="006D299B"/>
    <w:rsid w:val="006D2D05"/>
    <w:rsid w:val="006D49B2"/>
    <w:rsid w:val="006D4A0E"/>
    <w:rsid w:val="006D5179"/>
    <w:rsid w:val="006D5324"/>
    <w:rsid w:val="006D6372"/>
    <w:rsid w:val="006D6381"/>
    <w:rsid w:val="006D6CFD"/>
    <w:rsid w:val="006E08A0"/>
    <w:rsid w:val="006E0BF4"/>
    <w:rsid w:val="006E12C7"/>
    <w:rsid w:val="006E228F"/>
    <w:rsid w:val="006E3B7A"/>
    <w:rsid w:val="006E4F65"/>
    <w:rsid w:val="006E5334"/>
    <w:rsid w:val="006E55ED"/>
    <w:rsid w:val="006E5C0A"/>
    <w:rsid w:val="006E5E78"/>
    <w:rsid w:val="006E6469"/>
    <w:rsid w:val="006E6950"/>
    <w:rsid w:val="006F06A9"/>
    <w:rsid w:val="006F13EC"/>
    <w:rsid w:val="006F15FC"/>
    <w:rsid w:val="006F3756"/>
    <w:rsid w:val="006F46A1"/>
    <w:rsid w:val="006F4A81"/>
    <w:rsid w:val="006F61C4"/>
    <w:rsid w:val="006F626F"/>
    <w:rsid w:val="006F674E"/>
    <w:rsid w:val="006F7E26"/>
    <w:rsid w:val="007000C3"/>
    <w:rsid w:val="00700175"/>
    <w:rsid w:val="00700306"/>
    <w:rsid w:val="007008B6"/>
    <w:rsid w:val="00701CAB"/>
    <w:rsid w:val="0070209C"/>
    <w:rsid w:val="007020B0"/>
    <w:rsid w:val="007028C1"/>
    <w:rsid w:val="00702C3E"/>
    <w:rsid w:val="0070351A"/>
    <w:rsid w:val="00704D4A"/>
    <w:rsid w:val="00704E8F"/>
    <w:rsid w:val="00705A00"/>
    <w:rsid w:val="007065EB"/>
    <w:rsid w:val="007076A0"/>
    <w:rsid w:val="00710825"/>
    <w:rsid w:val="00710C14"/>
    <w:rsid w:val="00711201"/>
    <w:rsid w:val="007152ED"/>
    <w:rsid w:val="007157C4"/>
    <w:rsid w:val="00716EDA"/>
    <w:rsid w:val="007170F1"/>
    <w:rsid w:val="00717615"/>
    <w:rsid w:val="00721309"/>
    <w:rsid w:val="00721A32"/>
    <w:rsid w:val="00721D76"/>
    <w:rsid w:val="007223FA"/>
    <w:rsid w:val="00722876"/>
    <w:rsid w:val="007234DE"/>
    <w:rsid w:val="00723AC9"/>
    <w:rsid w:val="0072486C"/>
    <w:rsid w:val="007256A7"/>
    <w:rsid w:val="00725EE7"/>
    <w:rsid w:val="00725F61"/>
    <w:rsid w:val="0072697F"/>
    <w:rsid w:val="007274F5"/>
    <w:rsid w:val="0073043A"/>
    <w:rsid w:val="00730541"/>
    <w:rsid w:val="00730854"/>
    <w:rsid w:val="0073162E"/>
    <w:rsid w:val="00731B54"/>
    <w:rsid w:val="00731E26"/>
    <w:rsid w:val="007323E3"/>
    <w:rsid w:val="007326DE"/>
    <w:rsid w:val="0073313B"/>
    <w:rsid w:val="0073316B"/>
    <w:rsid w:val="00733ED0"/>
    <w:rsid w:val="007345A6"/>
    <w:rsid w:val="007346B7"/>
    <w:rsid w:val="007347AD"/>
    <w:rsid w:val="007363F0"/>
    <w:rsid w:val="00736574"/>
    <w:rsid w:val="00736F85"/>
    <w:rsid w:val="00737515"/>
    <w:rsid w:val="00737EF7"/>
    <w:rsid w:val="00740807"/>
    <w:rsid w:val="00740FBB"/>
    <w:rsid w:val="007411A1"/>
    <w:rsid w:val="007417CD"/>
    <w:rsid w:val="00741EB8"/>
    <w:rsid w:val="00742A97"/>
    <w:rsid w:val="00743843"/>
    <w:rsid w:val="00743C9F"/>
    <w:rsid w:val="00744154"/>
    <w:rsid w:val="007454DE"/>
    <w:rsid w:val="00745512"/>
    <w:rsid w:val="00745723"/>
    <w:rsid w:val="007466AD"/>
    <w:rsid w:val="007469BB"/>
    <w:rsid w:val="00747FCC"/>
    <w:rsid w:val="007512E8"/>
    <w:rsid w:val="00752475"/>
    <w:rsid w:val="00752F60"/>
    <w:rsid w:val="007531A8"/>
    <w:rsid w:val="007535BF"/>
    <w:rsid w:val="0075371C"/>
    <w:rsid w:val="0075373F"/>
    <w:rsid w:val="00753946"/>
    <w:rsid w:val="007542D8"/>
    <w:rsid w:val="007558DD"/>
    <w:rsid w:val="0075683B"/>
    <w:rsid w:val="00756E19"/>
    <w:rsid w:val="007571AA"/>
    <w:rsid w:val="007576E3"/>
    <w:rsid w:val="00757843"/>
    <w:rsid w:val="00757C99"/>
    <w:rsid w:val="00757D59"/>
    <w:rsid w:val="00760DF0"/>
    <w:rsid w:val="0076164A"/>
    <w:rsid w:val="007617A6"/>
    <w:rsid w:val="007624AB"/>
    <w:rsid w:val="00762FF0"/>
    <w:rsid w:val="007630D7"/>
    <w:rsid w:val="00764097"/>
    <w:rsid w:val="007654F4"/>
    <w:rsid w:val="0076694F"/>
    <w:rsid w:val="007702A4"/>
    <w:rsid w:val="0077086A"/>
    <w:rsid w:val="00770C57"/>
    <w:rsid w:val="00771353"/>
    <w:rsid w:val="00773F15"/>
    <w:rsid w:val="00774373"/>
    <w:rsid w:val="0077449E"/>
    <w:rsid w:val="00775C0B"/>
    <w:rsid w:val="00775E1A"/>
    <w:rsid w:val="00776231"/>
    <w:rsid w:val="00776D26"/>
    <w:rsid w:val="007770FA"/>
    <w:rsid w:val="007776E9"/>
    <w:rsid w:val="00781597"/>
    <w:rsid w:val="00782198"/>
    <w:rsid w:val="00782741"/>
    <w:rsid w:val="0078277F"/>
    <w:rsid w:val="0078300B"/>
    <w:rsid w:val="00783040"/>
    <w:rsid w:val="00783C3B"/>
    <w:rsid w:val="0078596F"/>
    <w:rsid w:val="007869ED"/>
    <w:rsid w:val="00786EF4"/>
    <w:rsid w:val="007871CC"/>
    <w:rsid w:val="00787AFF"/>
    <w:rsid w:val="00792129"/>
    <w:rsid w:val="007958DB"/>
    <w:rsid w:val="00795A89"/>
    <w:rsid w:val="0079642A"/>
    <w:rsid w:val="00796DEA"/>
    <w:rsid w:val="00797897"/>
    <w:rsid w:val="007A0549"/>
    <w:rsid w:val="007A0D76"/>
    <w:rsid w:val="007A129B"/>
    <w:rsid w:val="007A1B5B"/>
    <w:rsid w:val="007A4074"/>
    <w:rsid w:val="007A430D"/>
    <w:rsid w:val="007A5049"/>
    <w:rsid w:val="007A51DD"/>
    <w:rsid w:val="007A5EED"/>
    <w:rsid w:val="007A675B"/>
    <w:rsid w:val="007A6FB1"/>
    <w:rsid w:val="007A70F5"/>
    <w:rsid w:val="007A77F3"/>
    <w:rsid w:val="007B0BDD"/>
    <w:rsid w:val="007B3BFE"/>
    <w:rsid w:val="007B6336"/>
    <w:rsid w:val="007B642C"/>
    <w:rsid w:val="007B6B42"/>
    <w:rsid w:val="007B7043"/>
    <w:rsid w:val="007B7B92"/>
    <w:rsid w:val="007C159B"/>
    <w:rsid w:val="007C246F"/>
    <w:rsid w:val="007C289B"/>
    <w:rsid w:val="007C3064"/>
    <w:rsid w:val="007C3ED0"/>
    <w:rsid w:val="007C4421"/>
    <w:rsid w:val="007C4BE8"/>
    <w:rsid w:val="007C5C60"/>
    <w:rsid w:val="007C5CCD"/>
    <w:rsid w:val="007C69FA"/>
    <w:rsid w:val="007C705A"/>
    <w:rsid w:val="007C7F72"/>
    <w:rsid w:val="007D1E48"/>
    <w:rsid w:val="007D236E"/>
    <w:rsid w:val="007D2B98"/>
    <w:rsid w:val="007D30A9"/>
    <w:rsid w:val="007D37AE"/>
    <w:rsid w:val="007D3EF9"/>
    <w:rsid w:val="007D49A7"/>
    <w:rsid w:val="007D59F9"/>
    <w:rsid w:val="007D6A4C"/>
    <w:rsid w:val="007D6B8C"/>
    <w:rsid w:val="007D7148"/>
    <w:rsid w:val="007E177C"/>
    <w:rsid w:val="007E1C73"/>
    <w:rsid w:val="007E3FF2"/>
    <w:rsid w:val="007E4332"/>
    <w:rsid w:val="007E4B18"/>
    <w:rsid w:val="007E4C55"/>
    <w:rsid w:val="007E5B99"/>
    <w:rsid w:val="007E6C45"/>
    <w:rsid w:val="007E7597"/>
    <w:rsid w:val="007E75FF"/>
    <w:rsid w:val="007E7675"/>
    <w:rsid w:val="007E7849"/>
    <w:rsid w:val="007F055B"/>
    <w:rsid w:val="007F1BD9"/>
    <w:rsid w:val="007F2CB1"/>
    <w:rsid w:val="007F2E80"/>
    <w:rsid w:val="007F3611"/>
    <w:rsid w:val="007F3DAE"/>
    <w:rsid w:val="007F46F2"/>
    <w:rsid w:val="007F4AF3"/>
    <w:rsid w:val="007F4F62"/>
    <w:rsid w:val="007F5213"/>
    <w:rsid w:val="007F556A"/>
    <w:rsid w:val="007F608C"/>
    <w:rsid w:val="007F6491"/>
    <w:rsid w:val="007F6E07"/>
    <w:rsid w:val="007F7AAE"/>
    <w:rsid w:val="00800318"/>
    <w:rsid w:val="00801D6D"/>
    <w:rsid w:val="00802536"/>
    <w:rsid w:val="00802A72"/>
    <w:rsid w:val="00802DE7"/>
    <w:rsid w:val="008037FE"/>
    <w:rsid w:val="00804ADE"/>
    <w:rsid w:val="00804DBB"/>
    <w:rsid w:val="00805DB0"/>
    <w:rsid w:val="00810330"/>
    <w:rsid w:val="0081067C"/>
    <w:rsid w:val="008114D3"/>
    <w:rsid w:val="00813184"/>
    <w:rsid w:val="00813B45"/>
    <w:rsid w:val="00813E23"/>
    <w:rsid w:val="00815097"/>
    <w:rsid w:val="00815D9E"/>
    <w:rsid w:val="00817332"/>
    <w:rsid w:val="00820C08"/>
    <w:rsid w:val="008211F0"/>
    <w:rsid w:val="00822AAE"/>
    <w:rsid w:val="00825525"/>
    <w:rsid w:val="00826924"/>
    <w:rsid w:val="00826E55"/>
    <w:rsid w:val="0082774C"/>
    <w:rsid w:val="0082788A"/>
    <w:rsid w:val="00827899"/>
    <w:rsid w:val="00830A75"/>
    <w:rsid w:val="00830D77"/>
    <w:rsid w:val="00831C8E"/>
    <w:rsid w:val="008320FC"/>
    <w:rsid w:val="00832274"/>
    <w:rsid w:val="008326BC"/>
    <w:rsid w:val="00833731"/>
    <w:rsid w:val="00836FC7"/>
    <w:rsid w:val="008377E3"/>
    <w:rsid w:val="00837C13"/>
    <w:rsid w:val="0084023B"/>
    <w:rsid w:val="008405A7"/>
    <w:rsid w:val="008426CE"/>
    <w:rsid w:val="0084498E"/>
    <w:rsid w:val="00844C07"/>
    <w:rsid w:val="00846F87"/>
    <w:rsid w:val="0084750D"/>
    <w:rsid w:val="00850C2E"/>
    <w:rsid w:val="00850C7A"/>
    <w:rsid w:val="00851227"/>
    <w:rsid w:val="008522A8"/>
    <w:rsid w:val="00852627"/>
    <w:rsid w:val="00854A44"/>
    <w:rsid w:val="00854C4B"/>
    <w:rsid w:val="00857EF1"/>
    <w:rsid w:val="00861D7F"/>
    <w:rsid w:val="00861FAA"/>
    <w:rsid w:val="008625CE"/>
    <w:rsid w:val="0086321E"/>
    <w:rsid w:val="00863256"/>
    <w:rsid w:val="0086485D"/>
    <w:rsid w:val="00864C33"/>
    <w:rsid w:val="00865EE6"/>
    <w:rsid w:val="00865F91"/>
    <w:rsid w:val="008660DE"/>
    <w:rsid w:val="00866D9F"/>
    <w:rsid w:val="00867303"/>
    <w:rsid w:val="00870353"/>
    <w:rsid w:val="00871C0F"/>
    <w:rsid w:val="008729F7"/>
    <w:rsid w:val="008730BC"/>
    <w:rsid w:val="00873CA9"/>
    <w:rsid w:val="008747B5"/>
    <w:rsid w:val="008771BE"/>
    <w:rsid w:val="00877203"/>
    <w:rsid w:val="0087741E"/>
    <w:rsid w:val="00877C3C"/>
    <w:rsid w:val="00877CC7"/>
    <w:rsid w:val="00881CAD"/>
    <w:rsid w:val="00881CBB"/>
    <w:rsid w:val="008828FD"/>
    <w:rsid w:val="008836DB"/>
    <w:rsid w:val="008845CB"/>
    <w:rsid w:val="00884A71"/>
    <w:rsid w:val="00885B1C"/>
    <w:rsid w:val="008872B9"/>
    <w:rsid w:val="008876FA"/>
    <w:rsid w:val="00887DC4"/>
    <w:rsid w:val="00890076"/>
    <w:rsid w:val="008904C7"/>
    <w:rsid w:val="00890E01"/>
    <w:rsid w:val="008910F2"/>
    <w:rsid w:val="008924E2"/>
    <w:rsid w:val="00892EFE"/>
    <w:rsid w:val="00893654"/>
    <w:rsid w:val="00894193"/>
    <w:rsid w:val="008943BE"/>
    <w:rsid w:val="008948FA"/>
    <w:rsid w:val="0089513C"/>
    <w:rsid w:val="00896EDC"/>
    <w:rsid w:val="0089721B"/>
    <w:rsid w:val="00897CAF"/>
    <w:rsid w:val="008A13BD"/>
    <w:rsid w:val="008A146E"/>
    <w:rsid w:val="008A1845"/>
    <w:rsid w:val="008A2777"/>
    <w:rsid w:val="008A3208"/>
    <w:rsid w:val="008A3642"/>
    <w:rsid w:val="008A48A9"/>
    <w:rsid w:val="008A5200"/>
    <w:rsid w:val="008A7B26"/>
    <w:rsid w:val="008B133B"/>
    <w:rsid w:val="008B141A"/>
    <w:rsid w:val="008B1423"/>
    <w:rsid w:val="008B17A8"/>
    <w:rsid w:val="008B17C2"/>
    <w:rsid w:val="008B1CC9"/>
    <w:rsid w:val="008B2CDD"/>
    <w:rsid w:val="008B327B"/>
    <w:rsid w:val="008B3331"/>
    <w:rsid w:val="008B33D9"/>
    <w:rsid w:val="008B3991"/>
    <w:rsid w:val="008B4470"/>
    <w:rsid w:val="008B4E52"/>
    <w:rsid w:val="008B4F2D"/>
    <w:rsid w:val="008B5110"/>
    <w:rsid w:val="008B5179"/>
    <w:rsid w:val="008B5420"/>
    <w:rsid w:val="008B67ED"/>
    <w:rsid w:val="008B67FE"/>
    <w:rsid w:val="008C0C5C"/>
    <w:rsid w:val="008C138E"/>
    <w:rsid w:val="008C1551"/>
    <w:rsid w:val="008C1A69"/>
    <w:rsid w:val="008C2BB5"/>
    <w:rsid w:val="008C2D02"/>
    <w:rsid w:val="008C33B0"/>
    <w:rsid w:val="008C3F2F"/>
    <w:rsid w:val="008C3F7F"/>
    <w:rsid w:val="008C43BE"/>
    <w:rsid w:val="008C482B"/>
    <w:rsid w:val="008C4F36"/>
    <w:rsid w:val="008C62E9"/>
    <w:rsid w:val="008D0FC0"/>
    <w:rsid w:val="008D1B9E"/>
    <w:rsid w:val="008D244C"/>
    <w:rsid w:val="008D2CF7"/>
    <w:rsid w:val="008D2FF7"/>
    <w:rsid w:val="008D3950"/>
    <w:rsid w:val="008D49FF"/>
    <w:rsid w:val="008D4E7B"/>
    <w:rsid w:val="008D67AA"/>
    <w:rsid w:val="008D6FE7"/>
    <w:rsid w:val="008D7021"/>
    <w:rsid w:val="008D7606"/>
    <w:rsid w:val="008D7E39"/>
    <w:rsid w:val="008E2BD0"/>
    <w:rsid w:val="008E4569"/>
    <w:rsid w:val="008E4B86"/>
    <w:rsid w:val="008E763A"/>
    <w:rsid w:val="008E76BA"/>
    <w:rsid w:val="008F0160"/>
    <w:rsid w:val="008F1374"/>
    <w:rsid w:val="008F171E"/>
    <w:rsid w:val="008F1862"/>
    <w:rsid w:val="008F1886"/>
    <w:rsid w:val="008F1E4E"/>
    <w:rsid w:val="008F2241"/>
    <w:rsid w:val="008F2A2E"/>
    <w:rsid w:val="008F3127"/>
    <w:rsid w:val="008F4463"/>
    <w:rsid w:val="008F5DA4"/>
    <w:rsid w:val="008F674A"/>
    <w:rsid w:val="008F6C96"/>
    <w:rsid w:val="009001A2"/>
    <w:rsid w:val="00900742"/>
    <w:rsid w:val="00900BB9"/>
    <w:rsid w:val="00900DED"/>
    <w:rsid w:val="009019DF"/>
    <w:rsid w:val="00901C3D"/>
    <w:rsid w:val="00901CAD"/>
    <w:rsid w:val="009024D0"/>
    <w:rsid w:val="009029F8"/>
    <w:rsid w:val="00902B1A"/>
    <w:rsid w:val="0090346E"/>
    <w:rsid w:val="009037E6"/>
    <w:rsid w:val="00904718"/>
    <w:rsid w:val="00906030"/>
    <w:rsid w:val="00906354"/>
    <w:rsid w:val="0091168F"/>
    <w:rsid w:val="009121D0"/>
    <w:rsid w:val="0091430F"/>
    <w:rsid w:val="0091433C"/>
    <w:rsid w:val="009147E0"/>
    <w:rsid w:val="00914D28"/>
    <w:rsid w:val="009160A8"/>
    <w:rsid w:val="009160FF"/>
    <w:rsid w:val="009166E8"/>
    <w:rsid w:val="00916910"/>
    <w:rsid w:val="00916E82"/>
    <w:rsid w:val="009176AE"/>
    <w:rsid w:val="00917AA0"/>
    <w:rsid w:val="00917DA2"/>
    <w:rsid w:val="0092071A"/>
    <w:rsid w:val="00920809"/>
    <w:rsid w:val="009208A5"/>
    <w:rsid w:val="009208D3"/>
    <w:rsid w:val="009211DD"/>
    <w:rsid w:val="00921EB1"/>
    <w:rsid w:val="0092217C"/>
    <w:rsid w:val="009225D7"/>
    <w:rsid w:val="00922EC4"/>
    <w:rsid w:val="00924C2A"/>
    <w:rsid w:val="00924EC8"/>
    <w:rsid w:val="00924ED9"/>
    <w:rsid w:val="00925311"/>
    <w:rsid w:val="009259FE"/>
    <w:rsid w:val="00925B99"/>
    <w:rsid w:val="0092697B"/>
    <w:rsid w:val="00926B27"/>
    <w:rsid w:val="00927537"/>
    <w:rsid w:val="00927EC4"/>
    <w:rsid w:val="00930569"/>
    <w:rsid w:val="00930705"/>
    <w:rsid w:val="00930C24"/>
    <w:rsid w:val="00931E69"/>
    <w:rsid w:val="00931FF5"/>
    <w:rsid w:val="009320EE"/>
    <w:rsid w:val="00932C50"/>
    <w:rsid w:val="00934100"/>
    <w:rsid w:val="009349AE"/>
    <w:rsid w:val="00934D60"/>
    <w:rsid w:val="00935E7A"/>
    <w:rsid w:val="0093655D"/>
    <w:rsid w:val="00936FC8"/>
    <w:rsid w:val="0094018D"/>
    <w:rsid w:val="00940747"/>
    <w:rsid w:val="009416DD"/>
    <w:rsid w:val="0094208E"/>
    <w:rsid w:val="0094395A"/>
    <w:rsid w:val="00943BE5"/>
    <w:rsid w:val="00944C01"/>
    <w:rsid w:val="00945DF4"/>
    <w:rsid w:val="00945F93"/>
    <w:rsid w:val="00946682"/>
    <w:rsid w:val="00946A8E"/>
    <w:rsid w:val="00946AFC"/>
    <w:rsid w:val="00947317"/>
    <w:rsid w:val="00947D28"/>
    <w:rsid w:val="00951033"/>
    <w:rsid w:val="0095221F"/>
    <w:rsid w:val="00952A0A"/>
    <w:rsid w:val="0095361B"/>
    <w:rsid w:val="00953625"/>
    <w:rsid w:val="00953C5E"/>
    <w:rsid w:val="00953CC8"/>
    <w:rsid w:val="00953FA2"/>
    <w:rsid w:val="00954948"/>
    <w:rsid w:val="00954B7F"/>
    <w:rsid w:val="0095570E"/>
    <w:rsid w:val="00956135"/>
    <w:rsid w:val="00957954"/>
    <w:rsid w:val="0096084F"/>
    <w:rsid w:val="00960A09"/>
    <w:rsid w:val="00960C60"/>
    <w:rsid w:val="00960D4C"/>
    <w:rsid w:val="00960E34"/>
    <w:rsid w:val="009611C0"/>
    <w:rsid w:val="00961A69"/>
    <w:rsid w:val="00962186"/>
    <w:rsid w:val="00962DD9"/>
    <w:rsid w:val="009630E4"/>
    <w:rsid w:val="00963245"/>
    <w:rsid w:val="00963BBA"/>
    <w:rsid w:val="00964979"/>
    <w:rsid w:val="00964A32"/>
    <w:rsid w:val="00964D14"/>
    <w:rsid w:val="0096565C"/>
    <w:rsid w:val="009658B6"/>
    <w:rsid w:val="00966701"/>
    <w:rsid w:val="009672AD"/>
    <w:rsid w:val="00967477"/>
    <w:rsid w:val="00970157"/>
    <w:rsid w:val="009710ED"/>
    <w:rsid w:val="00971187"/>
    <w:rsid w:val="009717EF"/>
    <w:rsid w:val="00971C45"/>
    <w:rsid w:val="00971FAA"/>
    <w:rsid w:val="00972B71"/>
    <w:rsid w:val="00972BE6"/>
    <w:rsid w:val="0097347B"/>
    <w:rsid w:val="00973936"/>
    <w:rsid w:val="00974359"/>
    <w:rsid w:val="00974B30"/>
    <w:rsid w:val="009750A8"/>
    <w:rsid w:val="00975B20"/>
    <w:rsid w:val="0098033F"/>
    <w:rsid w:val="00982833"/>
    <w:rsid w:val="009829B6"/>
    <w:rsid w:val="0098347A"/>
    <w:rsid w:val="00983519"/>
    <w:rsid w:val="00983C6C"/>
    <w:rsid w:val="009844CD"/>
    <w:rsid w:val="009845ED"/>
    <w:rsid w:val="0098553F"/>
    <w:rsid w:val="009861F8"/>
    <w:rsid w:val="00986832"/>
    <w:rsid w:val="00986C20"/>
    <w:rsid w:val="0098709A"/>
    <w:rsid w:val="0098739E"/>
    <w:rsid w:val="00987593"/>
    <w:rsid w:val="009907F9"/>
    <w:rsid w:val="00990DF0"/>
    <w:rsid w:val="00991820"/>
    <w:rsid w:val="0099255E"/>
    <w:rsid w:val="00992591"/>
    <w:rsid w:val="00993208"/>
    <w:rsid w:val="009939CF"/>
    <w:rsid w:val="00995242"/>
    <w:rsid w:val="00995AAC"/>
    <w:rsid w:val="0099703E"/>
    <w:rsid w:val="0099787B"/>
    <w:rsid w:val="00997C33"/>
    <w:rsid w:val="009A080C"/>
    <w:rsid w:val="009A0843"/>
    <w:rsid w:val="009A0C80"/>
    <w:rsid w:val="009A2239"/>
    <w:rsid w:val="009A27DF"/>
    <w:rsid w:val="009A3F0C"/>
    <w:rsid w:val="009A4516"/>
    <w:rsid w:val="009A45B4"/>
    <w:rsid w:val="009A50CE"/>
    <w:rsid w:val="009A5DDC"/>
    <w:rsid w:val="009B1504"/>
    <w:rsid w:val="009B1554"/>
    <w:rsid w:val="009B2433"/>
    <w:rsid w:val="009B4E94"/>
    <w:rsid w:val="009B5116"/>
    <w:rsid w:val="009B5265"/>
    <w:rsid w:val="009B55E6"/>
    <w:rsid w:val="009B6D81"/>
    <w:rsid w:val="009B7CBD"/>
    <w:rsid w:val="009C0D0E"/>
    <w:rsid w:val="009C1856"/>
    <w:rsid w:val="009C2A30"/>
    <w:rsid w:val="009C34B0"/>
    <w:rsid w:val="009C36C4"/>
    <w:rsid w:val="009C402E"/>
    <w:rsid w:val="009C485F"/>
    <w:rsid w:val="009C5509"/>
    <w:rsid w:val="009C5C5C"/>
    <w:rsid w:val="009C5C6C"/>
    <w:rsid w:val="009C65A1"/>
    <w:rsid w:val="009C6748"/>
    <w:rsid w:val="009C747C"/>
    <w:rsid w:val="009C7A06"/>
    <w:rsid w:val="009C7E01"/>
    <w:rsid w:val="009D0E67"/>
    <w:rsid w:val="009D1049"/>
    <w:rsid w:val="009D1CE7"/>
    <w:rsid w:val="009D2D2A"/>
    <w:rsid w:val="009D31D0"/>
    <w:rsid w:val="009D410F"/>
    <w:rsid w:val="009D4950"/>
    <w:rsid w:val="009D4E1F"/>
    <w:rsid w:val="009D654D"/>
    <w:rsid w:val="009D6A89"/>
    <w:rsid w:val="009E1552"/>
    <w:rsid w:val="009E2544"/>
    <w:rsid w:val="009E2B3D"/>
    <w:rsid w:val="009E302F"/>
    <w:rsid w:val="009E3D83"/>
    <w:rsid w:val="009E62C0"/>
    <w:rsid w:val="009E6D9E"/>
    <w:rsid w:val="009E6FD2"/>
    <w:rsid w:val="009E703B"/>
    <w:rsid w:val="009E7B73"/>
    <w:rsid w:val="009F0036"/>
    <w:rsid w:val="009F05D3"/>
    <w:rsid w:val="009F06A4"/>
    <w:rsid w:val="009F1068"/>
    <w:rsid w:val="009F1F6D"/>
    <w:rsid w:val="009F250D"/>
    <w:rsid w:val="009F3027"/>
    <w:rsid w:val="009F3BBE"/>
    <w:rsid w:val="009F3F4B"/>
    <w:rsid w:val="009F4FCD"/>
    <w:rsid w:val="009F5306"/>
    <w:rsid w:val="009F54F0"/>
    <w:rsid w:val="009F5D18"/>
    <w:rsid w:val="009F61FA"/>
    <w:rsid w:val="009F64A6"/>
    <w:rsid w:val="009F671A"/>
    <w:rsid w:val="009F68F0"/>
    <w:rsid w:val="009F6E18"/>
    <w:rsid w:val="009F7FC7"/>
    <w:rsid w:val="00A0189A"/>
    <w:rsid w:val="00A02228"/>
    <w:rsid w:val="00A02F55"/>
    <w:rsid w:val="00A03406"/>
    <w:rsid w:val="00A0501C"/>
    <w:rsid w:val="00A05403"/>
    <w:rsid w:val="00A06DA0"/>
    <w:rsid w:val="00A0725C"/>
    <w:rsid w:val="00A07E91"/>
    <w:rsid w:val="00A10987"/>
    <w:rsid w:val="00A11056"/>
    <w:rsid w:val="00A1149D"/>
    <w:rsid w:val="00A11C71"/>
    <w:rsid w:val="00A127E7"/>
    <w:rsid w:val="00A150C4"/>
    <w:rsid w:val="00A16D4C"/>
    <w:rsid w:val="00A17700"/>
    <w:rsid w:val="00A205EA"/>
    <w:rsid w:val="00A207C0"/>
    <w:rsid w:val="00A21047"/>
    <w:rsid w:val="00A21096"/>
    <w:rsid w:val="00A2230F"/>
    <w:rsid w:val="00A22EBA"/>
    <w:rsid w:val="00A24442"/>
    <w:rsid w:val="00A25060"/>
    <w:rsid w:val="00A257EE"/>
    <w:rsid w:val="00A259C9"/>
    <w:rsid w:val="00A25B05"/>
    <w:rsid w:val="00A26436"/>
    <w:rsid w:val="00A269EA"/>
    <w:rsid w:val="00A26CEA"/>
    <w:rsid w:val="00A27309"/>
    <w:rsid w:val="00A30D32"/>
    <w:rsid w:val="00A31814"/>
    <w:rsid w:val="00A319BD"/>
    <w:rsid w:val="00A352F0"/>
    <w:rsid w:val="00A3549E"/>
    <w:rsid w:val="00A36260"/>
    <w:rsid w:val="00A3678D"/>
    <w:rsid w:val="00A36DFE"/>
    <w:rsid w:val="00A37BCE"/>
    <w:rsid w:val="00A37F05"/>
    <w:rsid w:val="00A405D2"/>
    <w:rsid w:val="00A41B6B"/>
    <w:rsid w:val="00A432BF"/>
    <w:rsid w:val="00A44432"/>
    <w:rsid w:val="00A4454A"/>
    <w:rsid w:val="00A44E67"/>
    <w:rsid w:val="00A45972"/>
    <w:rsid w:val="00A45A2A"/>
    <w:rsid w:val="00A45B60"/>
    <w:rsid w:val="00A46C5D"/>
    <w:rsid w:val="00A50533"/>
    <w:rsid w:val="00A51105"/>
    <w:rsid w:val="00A521D3"/>
    <w:rsid w:val="00A539DD"/>
    <w:rsid w:val="00A53C06"/>
    <w:rsid w:val="00A53FDE"/>
    <w:rsid w:val="00A5401D"/>
    <w:rsid w:val="00A54064"/>
    <w:rsid w:val="00A54B7A"/>
    <w:rsid w:val="00A56759"/>
    <w:rsid w:val="00A56E9D"/>
    <w:rsid w:val="00A572B2"/>
    <w:rsid w:val="00A619ED"/>
    <w:rsid w:val="00A6259F"/>
    <w:rsid w:val="00A643D5"/>
    <w:rsid w:val="00A64DE0"/>
    <w:rsid w:val="00A67215"/>
    <w:rsid w:val="00A67CF3"/>
    <w:rsid w:val="00A67DF9"/>
    <w:rsid w:val="00A70DF4"/>
    <w:rsid w:val="00A71D88"/>
    <w:rsid w:val="00A72B5F"/>
    <w:rsid w:val="00A72C90"/>
    <w:rsid w:val="00A72DAE"/>
    <w:rsid w:val="00A7367A"/>
    <w:rsid w:val="00A73ADE"/>
    <w:rsid w:val="00A7422F"/>
    <w:rsid w:val="00A74E42"/>
    <w:rsid w:val="00A75D0D"/>
    <w:rsid w:val="00A76115"/>
    <w:rsid w:val="00A762C7"/>
    <w:rsid w:val="00A80A63"/>
    <w:rsid w:val="00A812FF"/>
    <w:rsid w:val="00A813A5"/>
    <w:rsid w:val="00A814A2"/>
    <w:rsid w:val="00A8229C"/>
    <w:rsid w:val="00A82AF5"/>
    <w:rsid w:val="00A8317F"/>
    <w:rsid w:val="00A833E7"/>
    <w:rsid w:val="00A83A5F"/>
    <w:rsid w:val="00A83D36"/>
    <w:rsid w:val="00A84117"/>
    <w:rsid w:val="00A84685"/>
    <w:rsid w:val="00A84DA0"/>
    <w:rsid w:val="00A851AC"/>
    <w:rsid w:val="00A8569C"/>
    <w:rsid w:val="00A869C0"/>
    <w:rsid w:val="00A86CC1"/>
    <w:rsid w:val="00A87719"/>
    <w:rsid w:val="00A87814"/>
    <w:rsid w:val="00A879E8"/>
    <w:rsid w:val="00A87E4C"/>
    <w:rsid w:val="00A903D7"/>
    <w:rsid w:val="00A905AE"/>
    <w:rsid w:val="00A915DE"/>
    <w:rsid w:val="00A9219A"/>
    <w:rsid w:val="00A935DA"/>
    <w:rsid w:val="00A94B25"/>
    <w:rsid w:val="00A95123"/>
    <w:rsid w:val="00A95997"/>
    <w:rsid w:val="00A96AC4"/>
    <w:rsid w:val="00A96F32"/>
    <w:rsid w:val="00A9745C"/>
    <w:rsid w:val="00AA02F7"/>
    <w:rsid w:val="00AA0516"/>
    <w:rsid w:val="00AA0DAA"/>
    <w:rsid w:val="00AA1082"/>
    <w:rsid w:val="00AA1CC1"/>
    <w:rsid w:val="00AA2F56"/>
    <w:rsid w:val="00AA31E8"/>
    <w:rsid w:val="00AA58B9"/>
    <w:rsid w:val="00AA7522"/>
    <w:rsid w:val="00AA775C"/>
    <w:rsid w:val="00AA7D11"/>
    <w:rsid w:val="00AA7F0C"/>
    <w:rsid w:val="00AB02DF"/>
    <w:rsid w:val="00AB09B4"/>
    <w:rsid w:val="00AB0D80"/>
    <w:rsid w:val="00AB12F5"/>
    <w:rsid w:val="00AB1F8A"/>
    <w:rsid w:val="00AB210A"/>
    <w:rsid w:val="00AB2B92"/>
    <w:rsid w:val="00AB32DA"/>
    <w:rsid w:val="00AB34DD"/>
    <w:rsid w:val="00AB34E7"/>
    <w:rsid w:val="00AB3D1B"/>
    <w:rsid w:val="00AB411E"/>
    <w:rsid w:val="00AB42A3"/>
    <w:rsid w:val="00AB4AED"/>
    <w:rsid w:val="00AB4CAD"/>
    <w:rsid w:val="00AB53C8"/>
    <w:rsid w:val="00AB6264"/>
    <w:rsid w:val="00AB778F"/>
    <w:rsid w:val="00AC08D6"/>
    <w:rsid w:val="00AC0CCA"/>
    <w:rsid w:val="00AC17CC"/>
    <w:rsid w:val="00AC313E"/>
    <w:rsid w:val="00AC34D3"/>
    <w:rsid w:val="00AC35A7"/>
    <w:rsid w:val="00AC3D12"/>
    <w:rsid w:val="00AC6A0F"/>
    <w:rsid w:val="00AC73F0"/>
    <w:rsid w:val="00AC776B"/>
    <w:rsid w:val="00AC7F7A"/>
    <w:rsid w:val="00AD0B67"/>
    <w:rsid w:val="00AD3233"/>
    <w:rsid w:val="00AD3999"/>
    <w:rsid w:val="00AD3C67"/>
    <w:rsid w:val="00AD443E"/>
    <w:rsid w:val="00AD51EB"/>
    <w:rsid w:val="00AD544C"/>
    <w:rsid w:val="00AD5DB3"/>
    <w:rsid w:val="00AD653A"/>
    <w:rsid w:val="00AD6AB7"/>
    <w:rsid w:val="00AD6BD4"/>
    <w:rsid w:val="00AD73EE"/>
    <w:rsid w:val="00AE093E"/>
    <w:rsid w:val="00AE0C17"/>
    <w:rsid w:val="00AE112A"/>
    <w:rsid w:val="00AE1512"/>
    <w:rsid w:val="00AE17EB"/>
    <w:rsid w:val="00AE1AB2"/>
    <w:rsid w:val="00AE1EAB"/>
    <w:rsid w:val="00AE205D"/>
    <w:rsid w:val="00AE4CCA"/>
    <w:rsid w:val="00AE583E"/>
    <w:rsid w:val="00AE6719"/>
    <w:rsid w:val="00AE6847"/>
    <w:rsid w:val="00AE6DBF"/>
    <w:rsid w:val="00AE73D4"/>
    <w:rsid w:val="00AE750B"/>
    <w:rsid w:val="00AE774C"/>
    <w:rsid w:val="00AF0987"/>
    <w:rsid w:val="00AF09CE"/>
    <w:rsid w:val="00AF0FD3"/>
    <w:rsid w:val="00AF118F"/>
    <w:rsid w:val="00AF22F4"/>
    <w:rsid w:val="00AF2AAE"/>
    <w:rsid w:val="00AF38D9"/>
    <w:rsid w:val="00AF3B90"/>
    <w:rsid w:val="00AF403E"/>
    <w:rsid w:val="00AF43E6"/>
    <w:rsid w:val="00AF494B"/>
    <w:rsid w:val="00AF5AA0"/>
    <w:rsid w:val="00AF5EEB"/>
    <w:rsid w:val="00AF61D7"/>
    <w:rsid w:val="00AF7209"/>
    <w:rsid w:val="00AF7390"/>
    <w:rsid w:val="00AF7D8F"/>
    <w:rsid w:val="00B00702"/>
    <w:rsid w:val="00B01DA9"/>
    <w:rsid w:val="00B021B2"/>
    <w:rsid w:val="00B0237E"/>
    <w:rsid w:val="00B026C6"/>
    <w:rsid w:val="00B03105"/>
    <w:rsid w:val="00B0339C"/>
    <w:rsid w:val="00B06B07"/>
    <w:rsid w:val="00B06CED"/>
    <w:rsid w:val="00B074CF"/>
    <w:rsid w:val="00B07A34"/>
    <w:rsid w:val="00B11AF2"/>
    <w:rsid w:val="00B13685"/>
    <w:rsid w:val="00B1387D"/>
    <w:rsid w:val="00B14004"/>
    <w:rsid w:val="00B142DF"/>
    <w:rsid w:val="00B14566"/>
    <w:rsid w:val="00B14983"/>
    <w:rsid w:val="00B1515A"/>
    <w:rsid w:val="00B15B06"/>
    <w:rsid w:val="00B1600D"/>
    <w:rsid w:val="00B16BAE"/>
    <w:rsid w:val="00B1760F"/>
    <w:rsid w:val="00B22659"/>
    <w:rsid w:val="00B239C0"/>
    <w:rsid w:val="00B23F99"/>
    <w:rsid w:val="00B241F4"/>
    <w:rsid w:val="00B24330"/>
    <w:rsid w:val="00B24916"/>
    <w:rsid w:val="00B24DAC"/>
    <w:rsid w:val="00B2537A"/>
    <w:rsid w:val="00B25628"/>
    <w:rsid w:val="00B27821"/>
    <w:rsid w:val="00B302A8"/>
    <w:rsid w:val="00B305B5"/>
    <w:rsid w:val="00B362B1"/>
    <w:rsid w:val="00B3642F"/>
    <w:rsid w:val="00B36A1D"/>
    <w:rsid w:val="00B36F28"/>
    <w:rsid w:val="00B40022"/>
    <w:rsid w:val="00B40256"/>
    <w:rsid w:val="00B42295"/>
    <w:rsid w:val="00B429C6"/>
    <w:rsid w:val="00B42AA3"/>
    <w:rsid w:val="00B42B7A"/>
    <w:rsid w:val="00B43566"/>
    <w:rsid w:val="00B44206"/>
    <w:rsid w:val="00B44601"/>
    <w:rsid w:val="00B45A10"/>
    <w:rsid w:val="00B461BC"/>
    <w:rsid w:val="00B46B08"/>
    <w:rsid w:val="00B5063D"/>
    <w:rsid w:val="00B50E39"/>
    <w:rsid w:val="00B51A31"/>
    <w:rsid w:val="00B5213C"/>
    <w:rsid w:val="00B5347E"/>
    <w:rsid w:val="00B53A87"/>
    <w:rsid w:val="00B53DEB"/>
    <w:rsid w:val="00B54583"/>
    <w:rsid w:val="00B55916"/>
    <w:rsid w:val="00B55A67"/>
    <w:rsid w:val="00B56A1D"/>
    <w:rsid w:val="00B56EC5"/>
    <w:rsid w:val="00B57DEF"/>
    <w:rsid w:val="00B61EA7"/>
    <w:rsid w:val="00B628E0"/>
    <w:rsid w:val="00B62963"/>
    <w:rsid w:val="00B62B76"/>
    <w:rsid w:val="00B62D4F"/>
    <w:rsid w:val="00B63107"/>
    <w:rsid w:val="00B6323D"/>
    <w:rsid w:val="00B65221"/>
    <w:rsid w:val="00B65862"/>
    <w:rsid w:val="00B666A8"/>
    <w:rsid w:val="00B66986"/>
    <w:rsid w:val="00B67720"/>
    <w:rsid w:val="00B67F44"/>
    <w:rsid w:val="00B70B84"/>
    <w:rsid w:val="00B71C03"/>
    <w:rsid w:val="00B72F8B"/>
    <w:rsid w:val="00B74283"/>
    <w:rsid w:val="00B74729"/>
    <w:rsid w:val="00B74A32"/>
    <w:rsid w:val="00B7677E"/>
    <w:rsid w:val="00B81D47"/>
    <w:rsid w:val="00B83711"/>
    <w:rsid w:val="00B83FD5"/>
    <w:rsid w:val="00B845D1"/>
    <w:rsid w:val="00B84904"/>
    <w:rsid w:val="00B86A29"/>
    <w:rsid w:val="00B92521"/>
    <w:rsid w:val="00B92706"/>
    <w:rsid w:val="00B92E12"/>
    <w:rsid w:val="00B931A3"/>
    <w:rsid w:val="00B94F27"/>
    <w:rsid w:val="00B953A7"/>
    <w:rsid w:val="00B95977"/>
    <w:rsid w:val="00B95AD8"/>
    <w:rsid w:val="00B961C6"/>
    <w:rsid w:val="00B967FD"/>
    <w:rsid w:val="00B96B42"/>
    <w:rsid w:val="00B96F6D"/>
    <w:rsid w:val="00B96F78"/>
    <w:rsid w:val="00B97630"/>
    <w:rsid w:val="00B976DD"/>
    <w:rsid w:val="00BA019E"/>
    <w:rsid w:val="00BA024B"/>
    <w:rsid w:val="00BA07A4"/>
    <w:rsid w:val="00BA0C1D"/>
    <w:rsid w:val="00BA15F6"/>
    <w:rsid w:val="00BA1866"/>
    <w:rsid w:val="00BA2A0F"/>
    <w:rsid w:val="00BA2AC5"/>
    <w:rsid w:val="00BA346C"/>
    <w:rsid w:val="00BA3D60"/>
    <w:rsid w:val="00BA3E7A"/>
    <w:rsid w:val="00BA4D7D"/>
    <w:rsid w:val="00BA57F4"/>
    <w:rsid w:val="00BA5D07"/>
    <w:rsid w:val="00BA6561"/>
    <w:rsid w:val="00BA7424"/>
    <w:rsid w:val="00BB00AE"/>
    <w:rsid w:val="00BB03CE"/>
    <w:rsid w:val="00BB0408"/>
    <w:rsid w:val="00BB05BF"/>
    <w:rsid w:val="00BB1E15"/>
    <w:rsid w:val="00BB26D1"/>
    <w:rsid w:val="00BB38EB"/>
    <w:rsid w:val="00BB472F"/>
    <w:rsid w:val="00BB5877"/>
    <w:rsid w:val="00BB69F4"/>
    <w:rsid w:val="00BB71DD"/>
    <w:rsid w:val="00BC1295"/>
    <w:rsid w:val="00BC1CC8"/>
    <w:rsid w:val="00BC204C"/>
    <w:rsid w:val="00BC2458"/>
    <w:rsid w:val="00BC318C"/>
    <w:rsid w:val="00BC3396"/>
    <w:rsid w:val="00BC3639"/>
    <w:rsid w:val="00BC3999"/>
    <w:rsid w:val="00BC4362"/>
    <w:rsid w:val="00BC4F7E"/>
    <w:rsid w:val="00BC5653"/>
    <w:rsid w:val="00BC5A04"/>
    <w:rsid w:val="00BC5B7D"/>
    <w:rsid w:val="00BC6008"/>
    <w:rsid w:val="00BC6D80"/>
    <w:rsid w:val="00BC79AE"/>
    <w:rsid w:val="00BC7ACE"/>
    <w:rsid w:val="00BD077A"/>
    <w:rsid w:val="00BD0C0A"/>
    <w:rsid w:val="00BD0C29"/>
    <w:rsid w:val="00BD1498"/>
    <w:rsid w:val="00BD202E"/>
    <w:rsid w:val="00BD21F8"/>
    <w:rsid w:val="00BD314B"/>
    <w:rsid w:val="00BD36BB"/>
    <w:rsid w:val="00BD37F2"/>
    <w:rsid w:val="00BD4A69"/>
    <w:rsid w:val="00BD51B3"/>
    <w:rsid w:val="00BD57A8"/>
    <w:rsid w:val="00BD5DAA"/>
    <w:rsid w:val="00BD6510"/>
    <w:rsid w:val="00BD6512"/>
    <w:rsid w:val="00BD725F"/>
    <w:rsid w:val="00BD74F5"/>
    <w:rsid w:val="00BE0D8E"/>
    <w:rsid w:val="00BE0EE1"/>
    <w:rsid w:val="00BE1347"/>
    <w:rsid w:val="00BE1598"/>
    <w:rsid w:val="00BE1656"/>
    <w:rsid w:val="00BE23F3"/>
    <w:rsid w:val="00BE29E7"/>
    <w:rsid w:val="00BE2B9C"/>
    <w:rsid w:val="00BE3AC4"/>
    <w:rsid w:val="00BE4559"/>
    <w:rsid w:val="00BE4970"/>
    <w:rsid w:val="00BE4D2C"/>
    <w:rsid w:val="00BE5581"/>
    <w:rsid w:val="00BE595A"/>
    <w:rsid w:val="00BE6343"/>
    <w:rsid w:val="00BE69D7"/>
    <w:rsid w:val="00BE6B63"/>
    <w:rsid w:val="00BE7A92"/>
    <w:rsid w:val="00BF183F"/>
    <w:rsid w:val="00BF2CD8"/>
    <w:rsid w:val="00BF31B5"/>
    <w:rsid w:val="00BF335E"/>
    <w:rsid w:val="00BF3536"/>
    <w:rsid w:val="00BF3C33"/>
    <w:rsid w:val="00BF3CF8"/>
    <w:rsid w:val="00BF4711"/>
    <w:rsid w:val="00BF4AA2"/>
    <w:rsid w:val="00BF4AEA"/>
    <w:rsid w:val="00BF54FF"/>
    <w:rsid w:val="00BF5839"/>
    <w:rsid w:val="00BF6C7D"/>
    <w:rsid w:val="00BF7347"/>
    <w:rsid w:val="00C0000A"/>
    <w:rsid w:val="00C01171"/>
    <w:rsid w:val="00C01D93"/>
    <w:rsid w:val="00C01F66"/>
    <w:rsid w:val="00C02CD0"/>
    <w:rsid w:val="00C03EE3"/>
    <w:rsid w:val="00C042A2"/>
    <w:rsid w:val="00C04823"/>
    <w:rsid w:val="00C048AF"/>
    <w:rsid w:val="00C05523"/>
    <w:rsid w:val="00C05B0F"/>
    <w:rsid w:val="00C05D1B"/>
    <w:rsid w:val="00C05FE4"/>
    <w:rsid w:val="00C0601A"/>
    <w:rsid w:val="00C077CE"/>
    <w:rsid w:val="00C10A22"/>
    <w:rsid w:val="00C113F3"/>
    <w:rsid w:val="00C12608"/>
    <w:rsid w:val="00C12675"/>
    <w:rsid w:val="00C13399"/>
    <w:rsid w:val="00C133AB"/>
    <w:rsid w:val="00C1373F"/>
    <w:rsid w:val="00C139C4"/>
    <w:rsid w:val="00C13C6D"/>
    <w:rsid w:val="00C14BC1"/>
    <w:rsid w:val="00C14DAC"/>
    <w:rsid w:val="00C1648A"/>
    <w:rsid w:val="00C16D0F"/>
    <w:rsid w:val="00C16DF4"/>
    <w:rsid w:val="00C17AEF"/>
    <w:rsid w:val="00C204DC"/>
    <w:rsid w:val="00C2088E"/>
    <w:rsid w:val="00C215B0"/>
    <w:rsid w:val="00C21B62"/>
    <w:rsid w:val="00C22430"/>
    <w:rsid w:val="00C2258D"/>
    <w:rsid w:val="00C2277D"/>
    <w:rsid w:val="00C236F8"/>
    <w:rsid w:val="00C23B18"/>
    <w:rsid w:val="00C24EBE"/>
    <w:rsid w:val="00C256AB"/>
    <w:rsid w:val="00C260F8"/>
    <w:rsid w:val="00C27C22"/>
    <w:rsid w:val="00C27EF9"/>
    <w:rsid w:val="00C300EC"/>
    <w:rsid w:val="00C3055F"/>
    <w:rsid w:val="00C30771"/>
    <w:rsid w:val="00C314B8"/>
    <w:rsid w:val="00C31666"/>
    <w:rsid w:val="00C32C8D"/>
    <w:rsid w:val="00C32E0D"/>
    <w:rsid w:val="00C3323D"/>
    <w:rsid w:val="00C337D9"/>
    <w:rsid w:val="00C35C6A"/>
    <w:rsid w:val="00C35E22"/>
    <w:rsid w:val="00C36BFE"/>
    <w:rsid w:val="00C37C67"/>
    <w:rsid w:val="00C4223D"/>
    <w:rsid w:val="00C429A5"/>
    <w:rsid w:val="00C42E8C"/>
    <w:rsid w:val="00C42F09"/>
    <w:rsid w:val="00C43027"/>
    <w:rsid w:val="00C443A4"/>
    <w:rsid w:val="00C44628"/>
    <w:rsid w:val="00C44811"/>
    <w:rsid w:val="00C456BB"/>
    <w:rsid w:val="00C457D9"/>
    <w:rsid w:val="00C463EB"/>
    <w:rsid w:val="00C46917"/>
    <w:rsid w:val="00C473A5"/>
    <w:rsid w:val="00C475CF"/>
    <w:rsid w:val="00C47DC1"/>
    <w:rsid w:val="00C51334"/>
    <w:rsid w:val="00C518FB"/>
    <w:rsid w:val="00C522AC"/>
    <w:rsid w:val="00C52441"/>
    <w:rsid w:val="00C526E8"/>
    <w:rsid w:val="00C53214"/>
    <w:rsid w:val="00C536AF"/>
    <w:rsid w:val="00C5444F"/>
    <w:rsid w:val="00C5495F"/>
    <w:rsid w:val="00C55760"/>
    <w:rsid w:val="00C56A0E"/>
    <w:rsid w:val="00C56FB9"/>
    <w:rsid w:val="00C57F6A"/>
    <w:rsid w:val="00C60951"/>
    <w:rsid w:val="00C60B90"/>
    <w:rsid w:val="00C61281"/>
    <w:rsid w:val="00C612D3"/>
    <w:rsid w:val="00C6197F"/>
    <w:rsid w:val="00C61E17"/>
    <w:rsid w:val="00C6359F"/>
    <w:rsid w:val="00C64741"/>
    <w:rsid w:val="00C6545A"/>
    <w:rsid w:val="00C65E45"/>
    <w:rsid w:val="00C65F56"/>
    <w:rsid w:val="00C663CE"/>
    <w:rsid w:val="00C66A0C"/>
    <w:rsid w:val="00C66CBD"/>
    <w:rsid w:val="00C6747E"/>
    <w:rsid w:val="00C674A7"/>
    <w:rsid w:val="00C705E8"/>
    <w:rsid w:val="00C709F6"/>
    <w:rsid w:val="00C72439"/>
    <w:rsid w:val="00C72C07"/>
    <w:rsid w:val="00C731E6"/>
    <w:rsid w:val="00C7358C"/>
    <w:rsid w:val="00C74608"/>
    <w:rsid w:val="00C74A2E"/>
    <w:rsid w:val="00C74D56"/>
    <w:rsid w:val="00C7510A"/>
    <w:rsid w:val="00C76974"/>
    <w:rsid w:val="00C7733A"/>
    <w:rsid w:val="00C77720"/>
    <w:rsid w:val="00C77B4E"/>
    <w:rsid w:val="00C77D42"/>
    <w:rsid w:val="00C8001F"/>
    <w:rsid w:val="00C81AD2"/>
    <w:rsid w:val="00C81D76"/>
    <w:rsid w:val="00C82578"/>
    <w:rsid w:val="00C83778"/>
    <w:rsid w:val="00C845BD"/>
    <w:rsid w:val="00C848D1"/>
    <w:rsid w:val="00C85F26"/>
    <w:rsid w:val="00C86D37"/>
    <w:rsid w:val="00C9131E"/>
    <w:rsid w:val="00C91B8D"/>
    <w:rsid w:val="00C91BB0"/>
    <w:rsid w:val="00C91C5D"/>
    <w:rsid w:val="00C9261F"/>
    <w:rsid w:val="00C9342A"/>
    <w:rsid w:val="00C93D17"/>
    <w:rsid w:val="00C94481"/>
    <w:rsid w:val="00C976FE"/>
    <w:rsid w:val="00C97E11"/>
    <w:rsid w:val="00CA0334"/>
    <w:rsid w:val="00CA0796"/>
    <w:rsid w:val="00CA0864"/>
    <w:rsid w:val="00CA10E7"/>
    <w:rsid w:val="00CA17D2"/>
    <w:rsid w:val="00CA21C4"/>
    <w:rsid w:val="00CA24E0"/>
    <w:rsid w:val="00CA4089"/>
    <w:rsid w:val="00CA42FF"/>
    <w:rsid w:val="00CA4485"/>
    <w:rsid w:val="00CA5466"/>
    <w:rsid w:val="00CA5C04"/>
    <w:rsid w:val="00CA6176"/>
    <w:rsid w:val="00CA781D"/>
    <w:rsid w:val="00CB0B6E"/>
    <w:rsid w:val="00CB1C0B"/>
    <w:rsid w:val="00CB2D5E"/>
    <w:rsid w:val="00CB2EE1"/>
    <w:rsid w:val="00CB3B1C"/>
    <w:rsid w:val="00CB4384"/>
    <w:rsid w:val="00CC044A"/>
    <w:rsid w:val="00CC05C2"/>
    <w:rsid w:val="00CC103E"/>
    <w:rsid w:val="00CC13AE"/>
    <w:rsid w:val="00CC1B4F"/>
    <w:rsid w:val="00CC2364"/>
    <w:rsid w:val="00CC2D28"/>
    <w:rsid w:val="00CC3E32"/>
    <w:rsid w:val="00CC40DB"/>
    <w:rsid w:val="00CC4AEC"/>
    <w:rsid w:val="00CC4BBA"/>
    <w:rsid w:val="00CC5357"/>
    <w:rsid w:val="00CC6AD5"/>
    <w:rsid w:val="00CC7796"/>
    <w:rsid w:val="00CD07C0"/>
    <w:rsid w:val="00CD08E4"/>
    <w:rsid w:val="00CD0C29"/>
    <w:rsid w:val="00CD0C98"/>
    <w:rsid w:val="00CD0F74"/>
    <w:rsid w:val="00CD1B67"/>
    <w:rsid w:val="00CD2444"/>
    <w:rsid w:val="00CD32A1"/>
    <w:rsid w:val="00CD36FD"/>
    <w:rsid w:val="00CD3FF3"/>
    <w:rsid w:val="00CD519D"/>
    <w:rsid w:val="00CD531C"/>
    <w:rsid w:val="00CD64B0"/>
    <w:rsid w:val="00CD67FE"/>
    <w:rsid w:val="00CE1414"/>
    <w:rsid w:val="00CE1774"/>
    <w:rsid w:val="00CE58DC"/>
    <w:rsid w:val="00CE5C8E"/>
    <w:rsid w:val="00CE6E68"/>
    <w:rsid w:val="00CE7042"/>
    <w:rsid w:val="00CE7340"/>
    <w:rsid w:val="00CE740E"/>
    <w:rsid w:val="00CF0999"/>
    <w:rsid w:val="00CF1336"/>
    <w:rsid w:val="00CF1C29"/>
    <w:rsid w:val="00CF202C"/>
    <w:rsid w:val="00CF39D7"/>
    <w:rsid w:val="00CF4E90"/>
    <w:rsid w:val="00CF4F7D"/>
    <w:rsid w:val="00CF587B"/>
    <w:rsid w:val="00CF5927"/>
    <w:rsid w:val="00CF5A5F"/>
    <w:rsid w:val="00CF5C19"/>
    <w:rsid w:val="00CF5CB9"/>
    <w:rsid w:val="00CF61E0"/>
    <w:rsid w:val="00CF7F18"/>
    <w:rsid w:val="00D001DD"/>
    <w:rsid w:val="00D00FB9"/>
    <w:rsid w:val="00D0162F"/>
    <w:rsid w:val="00D01C8D"/>
    <w:rsid w:val="00D02A9D"/>
    <w:rsid w:val="00D02B6B"/>
    <w:rsid w:val="00D0354C"/>
    <w:rsid w:val="00D03B65"/>
    <w:rsid w:val="00D0419A"/>
    <w:rsid w:val="00D04538"/>
    <w:rsid w:val="00D04AF8"/>
    <w:rsid w:val="00D06157"/>
    <w:rsid w:val="00D06243"/>
    <w:rsid w:val="00D0630D"/>
    <w:rsid w:val="00D07218"/>
    <w:rsid w:val="00D07235"/>
    <w:rsid w:val="00D0783C"/>
    <w:rsid w:val="00D07DAD"/>
    <w:rsid w:val="00D11B29"/>
    <w:rsid w:val="00D11E40"/>
    <w:rsid w:val="00D121AB"/>
    <w:rsid w:val="00D124D9"/>
    <w:rsid w:val="00D126AB"/>
    <w:rsid w:val="00D134C9"/>
    <w:rsid w:val="00D134CB"/>
    <w:rsid w:val="00D1369D"/>
    <w:rsid w:val="00D1440E"/>
    <w:rsid w:val="00D14432"/>
    <w:rsid w:val="00D15691"/>
    <w:rsid w:val="00D159E0"/>
    <w:rsid w:val="00D15D9A"/>
    <w:rsid w:val="00D161E4"/>
    <w:rsid w:val="00D1642A"/>
    <w:rsid w:val="00D17716"/>
    <w:rsid w:val="00D17939"/>
    <w:rsid w:val="00D17B7F"/>
    <w:rsid w:val="00D17C64"/>
    <w:rsid w:val="00D17E16"/>
    <w:rsid w:val="00D2048E"/>
    <w:rsid w:val="00D20DB0"/>
    <w:rsid w:val="00D213D1"/>
    <w:rsid w:val="00D2218D"/>
    <w:rsid w:val="00D22648"/>
    <w:rsid w:val="00D231E8"/>
    <w:rsid w:val="00D247B1"/>
    <w:rsid w:val="00D26972"/>
    <w:rsid w:val="00D301B1"/>
    <w:rsid w:val="00D317A0"/>
    <w:rsid w:val="00D31C04"/>
    <w:rsid w:val="00D31CA5"/>
    <w:rsid w:val="00D31D24"/>
    <w:rsid w:val="00D323DB"/>
    <w:rsid w:val="00D32BFB"/>
    <w:rsid w:val="00D32DC2"/>
    <w:rsid w:val="00D33023"/>
    <w:rsid w:val="00D34FB0"/>
    <w:rsid w:val="00D36FE0"/>
    <w:rsid w:val="00D371E0"/>
    <w:rsid w:val="00D372EC"/>
    <w:rsid w:val="00D375E7"/>
    <w:rsid w:val="00D37899"/>
    <w:rsid w:val="00D378A4"/>
    <w:rsid w:val="00D41558"/>
    <w:rsid w:val="00D41F3C"/>
    <w:rsid w:val="00D42411"/>
    <w:rsid w:val="00D42F51"/>
    <w:rsid w:val="00D447CD"/>
    <w:rsid w:val="00D44DDA"/>
    <w:rsid w:val="00D450A7"/>
    <w:rsid w:val="00D45B82"/>
    <w:rsid w:val="00D45F9A"/>
    <w:rsid w:val="00D51A24"/>
    <w:rsid w:val="00D526C9"/>
    <w:rsid w:val="00D543CD"/>
    <w:rsid w:val="00D54608"/>
    <w:rsid w:val="00D5506A"/>
    <w:rsid w:val="00D560F7"/>
    <w:rsid w:val="00D56173"/>
    <w:rsid w:val="00D57C16"/>
    <w:rsid w:val="00D61326"/>
    <w:rsid w:val="00D61B89"/>
    <w:rsid w:val="00D61C6D"/>
    <w:rsid w:val="00D62260"/>
    <w:rsid w:val="00D637BE"/>
    <w:rsid w:val="00D64430"/>
    <w:rsid w:val="00D6461C"/>
    <w:rsid w:val="00D65E56"/>
    <w:rsid w:val="00D65E8F"/>
    <w:rsid w:val="00D66897"/>
    <w:rsid w:val="00D669F6"/>
    <w:rsid w:val="00D66B97"/>
    <w:rsid w:val="00D7039F"/>
    <w:rsid w:val="00D70A8D"/>
    <w:rsid w:val="00D71E76"/>
    <w:rsid w:val="00D71FBD"/>
    <w:rsid w:val="00D72D70"/>
    <w:rsid w:val="00D72FB1"/>
    <w:rsid w:val="00D742FE"/>
    <w:rsid w:val="00D74D51"/>
    <w:rsid w:val="00D74F19"/>
    <w:rsid w:val="00D75BE8"/>
    <w:rsid w:val="00D763DB"/>
    <w:rsid w:val="00D76E96"/>
    <w:rsid w:val="00D77E52"/>
    <w:rsid w:val="00D8038E"/>
    <w:rsid w:val="00D8100D"/>
    <w:rsid w:val="00D81251"/>
    <w:rsid w:val="00D828C9"/>
    <w:rsid w:val="00D82B74"/>
    <w:rsid w:val="00D82C79"/>
    <w:rsid w:val="00D82F27"/>
    <w:rsid w:val="00D84AE6"/>
    <w:rsid w:val="00D85377"/>
    <w:rsid w:val="00D853E4"/>
    <w:rsid w:val="00D8654C"/>
    <w:rsid w:val="00D866A8"/>
    <w:rsid w:val="00D86D7C"/>
    <w:rsid w:val="00D86D94"/>
    <w:rsid w:val="00D8715C"/>
    <w:rsid w:val="00D876A6"/>
    <w:rsid w:val="00D87BE8"/>
    <w:rsid w:val="00D90D26"/>
    <w:rsid w:val="00D92C4F"/>
    <w:rsid w:val="00D9415E"/>
    <w:rsid w:val="00D94243"/>
    <w:rsid w:val="00D956F3"/>
    <w:rsid w:val="00D965AA"/>
    <w:rsid w:val="00D96BFE"/>
    <w:rsid w:val="00DA0257"/>
    <w:rsid w:val="00DA1EC4"/>
    <w:rsid w:val="00DA2813"/>
    <w:rsid w:val="00DA2B28"/>
    <w:rsid w:val="00DA3AC9"/>
    <w:rsid w:val="00DA425F"/>
    <w:rsid w:val="00DA5169"/>
    <w:rsid w:val="00DA601E"/>
    <w:rsid w:val="00DA69DF"/>
    <w:rsid w:val="00DA72D9"/>
    <w:rsid w:val="00DA7391"/>
    <w:rsid w:val="00DB09D1"/>
    <w:rsid w:val="00DB11B7"/>
    <w:rsid w:val="00DB296F"/>
    <w:rsid w:val="00DB2D86"/>
    <w:rsid w:val="00DB35C6"/>
    <w:rsid w:val="00DB40BD"/>
    <w:rsid w:val="00DB465F"/>
    <w:rsid w:val="00DB52E5"/>
    <w:rsid w:val="00DB5883"/>
    <w:rsid w:val="00DB7053"/>
    <w:rsid w:val="00DB73AF"/>
    <w:rsid w:val="00DC0767"/>
    <w:rsid w:val="00DC07CB"/>
    <w:rsid w:val="00DC0C40"/>
    <w:rsid w:val="00DC0D1F"/>
    <w:rsid w:val="00DC171F"/>
    <w:rsid w:val="00DC28C4"/>
    <w:rsid w:val="00DC29A4"/>
    <w:rsid w:val="00DC35E2"/>
    <w:rsid w:val="00DC62DC"/>
    <w:rsid w:val="00DC6699"/>
    <w:rsid w:val="00DC7283"/>
    <w:rsid w:val="00DC72F5"/>
    <w:rsid w:val="00DC7618"/>
    <w:rsid w:val="00DC770E"/>
    <w:rsid w:val="00DD058A"/>
    <w:rsid w:val="00DD1034"/>
    <w:rsid w:val="00DD1692"/>
    <w:rsid w:val="00DD17A0"/>
    <w:rsid w:val="00DD195D"/>
    <w:rsid w:val="00DD3648"/>
    <w:rsid w:val="00DD4693"/>
    <w:rsid w:val="00DD4A24"/>
    <w:rsid w:val="00DD4FEF"/>
    <w:rsid w:val="00DD58F4"/>
    <w:rsid w:val="00DD5BBC"/>
    <w:rsid w:val="00DD797C"/>
    <w:rsid w:val="00DE05A3"/>
    <w:rsid w:val="00DE2085"/>
    <w:rsid w:val="00DE31AA"/>
    <w:rsid w:val="00DE34DF"/>
    <w:rsid w:val="00DE3638"/>
    <w:rsid w:val="00DE4C80"/>
    <w:rsid w:val="00DE7838"/>
    <w:rsid w:val="00DF0423"/>
    <w:rsid w:val="00DF0999"/>
    <w:rsid w:val="00DF0ACF"/>
    <w:rsid w:val="00DF23E2"/>
    <w:rsid w:val="00DF309A"/>
    <w:rsid w:val="00DF416A"/>
    <w:rsid w:val="00DF6431"/>
    <w:rsid w:val="00DF65C4"/>
    <w:rsid w:val="00DF7553"/>
    <w:rsid w:val="00DF7EF9"/>
    <w:rsid w:val="00E005F4"/>
    <w:rsid w:val="00E01FFD"/>
    <w:rsid w:val="00E02D31"/>
    <w:rsid w:val="00E041F6"/>
    <w:rsid w:val="00E05A60"/>
    <w:rsid w:val="00E06DD5"/>
    <w:rsid w:val="00E079EB"/>
    <w:rsid w:val="00E10D98"/>
    <w:rsid w:val="00E1148A"/>
    <w:rsid w:val="00E11D0F"/>
    <w:rsid w:val="00E12BDF"/>
    <w:rsid w:val="00E14DAC"/>
    <w:rsid w:val="00E14E25"/>
    <w:rsid w:val="00E16BEF"/>
    <w:rsid w:val="00E17AA1"/>
    <w:rsid w:val="00E20D8B"/>
    <w:rsid w:val="00E21060"/>
    <w:rsid w:val="00E2161A"/>
    <w:rsid w:val="00E22087"/>
    <w:rsid w:val="00E226AE"/>
    <w:rsid w:val="00E228BB"/>
    <w:rsid w:val="00E23C65"/>
    <w:rsid w:val="00E248EB"/>
    <w:rsid w:val="00E24AA9"/>
    <w:rsid w:val="00E24F6D"/>
    <w:rsid w:val="00E255BC"/>
    <w:rsid w:val="00E255BD"/>
    <w:rsid w:val="00E25664"/>
    <w:rsid w:val="00E25B05"/>
    <w:rsid w:val="00E2604A"/>
    <w:rsid w:val="00E26228"/>
    <w:rsid w:val="00E2657C"/>
    <w:rsid w:val="00E26917"/>
    <w:rsid w:val="00E316D9"/>
    <w:rsid w:val="00E31C21"/>
    <w:rsid w:val="00E31D48"/>
    <w:rsid w:val="00E33459"/>
    <w:rsid w:val="00E3380A"/>
    <w:rsid w:val="00E33D5D"/>
    <w:rsid w:val="00E3429E"/>
    <w:rsid w:val="00E3716D"/>
    <w:rsid w:val="00E41275"/>
    <w:rsid w:val="00E42256"/>
    <w:rsid w:val="00E42FEF"/>
    <w:rsid w:val="00E432B5"/>
    <w:rsid w:val="00E439A7"/>
    <w:rsid w:val="00E45635"/>
    <w:rsid w:val="00E45C9D"/>
    <w:rsid w:val="00E470B5"/>
    <w:rsid w:val="00E5056A"/>
    <w:rsid w:val="00E507FE"/>
    <w:rsid w:val="00E518B5"/>
    <w:rsid w:val="00E51C6E"/>
    <w:rsid w:val="00E51D53"/>
    <w:rsid w:val="00E520DB"/>
    <w:rsid w:val="00E524A0"/>
    <w:rsid w:val="00E52AE4"/>
    <w:rsid w:val="00E53919"/>
    <w:rsid w:val="00E54E13"/>
    <w:rsid w:val="00E54FB3"/>
    <w:rsid w:val="00E55CFF"/>
    <w:rsid w:val="00E601AB"/>
    <w:rsid w:val="00E602C1"/>
    <w:rsid w:val="00E6140C"/>
    <w:rsid w:val="00E61537"/>
    <w:rsid w:val="00E61F17"/>
    <w:rsid w:val="00E620D1"/>
    <w:rsid w:val="00E62308"/>
    <w:rsid w:val="00E6460D"/>
    <w:rsid w:val="00E64DC0"/>
    <w:rsid w:val="00E66C68"/>
    <w:rsid w:val="00E6709B"/>
    <w:rsid w:val="00E67690"/>
    <w:rsid w:val="00E6798D"/>
    <w:rsid w:val="00E716C7"/>
    <w:rsid w:val="00E71B3E"/>
    <w:rsid w:val="00E726D4"/>
    <w:rsid w:val="00E72D4E"/>
    <w:rsid w:val="00E749EC"/>
    <w:rsid w:val="00E75F89"/>
    <w:rsid w:val="00E775D6"/>
    <w:rsid w:val="00E777E1"/>
    <w:rsid w:val="00E77875"/>
    <w:rsid w:val="00E77A6F"/>
    <w:rsid w:val="00E801F1"/>
    <w:rsid w:val="00E8066A"/>
    <w:rsid w:val="00E815DE"/>
    <w:rsid w:val="00E82B95"/>
    <w:rsid w:val="00E848C6"/>
    <w:rsid w:val="00E85000"/>
    <w:rsid w:val="00E8552A"/>
    <w:rsid w:val="00E85709"/>
    <w:rsid w:val="00E857D2"/>
    <w:rsid w:val="00E872A0"/>
    <w:rsid w:val="00E875B6"/>
    <w:rsid w:val="00E878BD"/>
    <w:rsid w:val="00E87AEC"/>
    <w:rsid w:val="00E905DB"/>
    <w:rsid w:val="00E90D6F"/>
    <w:rsid w:val="00E90DD3"/>
    <w:rsid w:val="00E916F4"/>
    <w:rsid w:val="00E91E8A"/>
    <w:rsid w:val="00E91ECB"/>
    <w:rsid w:val="00E9537D"/>
    <w:rsid w:val="00E95552"/>
    <w:rsid w:val="00E97D77"/>
    <w:rsid w:val="00E97DD7"/>
    <w:rsid w:val="00EA08F0"/>
    <w:rsid w:val="00EA173A"/>
    <w:rsid w:val="00EA18BF"/>
    <w:rsid w:val="00EA3D56"/>
    <w:rsid w:val="00EA450F"/>
    <w:rsid w:val="00EA46B6"/>
    <w:rsid w:val="00EA4C89"/>
    <w:rsid w:val="00EA5CFE"/>
    <w:rsid w:val="00EA69B0"/>
    <w:rsid w:val="00EA69CE"/>
    <w:rsid w:val="00EA6ECA"/>
    <w:rsid w:val="00EA7139"/>
    <w:rsid w:val="00EB1E02"/>
    <w:rsid w:val="00EB2E3B"/>
    <w:rsid w:val="00EB3481"/>
    <w:rsid w:val="00EB536A"/>
    <w:rsid w:val="00EB58A8"/>
    <w:rsid w:val="00EB7295"/>
    <w:rsid w:val="00EB7ADA"/>
    <w:rsid w:val="00EC0684"/>
    <w:rsid w:val="00EC0702"/>
    <w:rsid w:val="00EC130F"/>
    <w:rsid w:val="00EC420B"/>
    <w:rsid w:val="00EC4C6A"/>
    <w:rsid w:val="00EC4F54"/>
    <w:rsid w:val="00EC55B6"/>
    <w:rsid w:val="00EC66AE"/>
    <w:rsid w:val="00EC6B23"/>
    <w:rsid w:val="00EC6D3C"/>
    <w:rsid w:val="00EC75D4"/>
    <w:rsid w:val="00ED0594"/>
    <w:rsid w:val="00ED1B50"/>
    <w:rsid w:val="00ED4D40"/>
    <w:rsid w:val="00ED5035"/>
    <w:rsid w:val="00ED6336"/>
    <w:rsid w:val="00ED7249"/>
    <w:rsid w:val="00ED7325"/>
    <w:rsid w:val="00EE016B"/>
    <w:rsid w:val="00EE10AC"/>
    <w:rsid w:val="00EE260E"/>
    <w:rsid w:val="00EE316C"/>
    <w:rsid w:val="00EE4233"/>
    <w:rsid w:val="00EE4752"/>
    <w:rsid w:val="00EE484E"/>
    <w:rsid w:val="00EE4A30"/>
    <w:rsid w:val="00EE5244"/>
    <w:rsid w:val="00EF01E9"/>
    <w:rsid w:val="00EF02FC"/>
    <w:rsid w:val="00EF05FD"/>
    <w:rsid w:val="00EF38C5"/>
    <w:rsid w:val="00EF4B99"/>
    <w:rsid w:val="00EF4EC4"/>
    <w:rsid w:val="00EF5B1A"/>
    <w:rsid w:val="00EF6035"/>
    <w:rsid w:val="00EF77FC"/>
    <w:rsid w:val="00F01E6D"/>
    <w:rsid w:val="00F02CD9"/>
    <w:rsid w:val="00F034D0"/>
    <w:rsid w:val="00F044B2"/>
    <w:rsid w:val="00F04CCA"/>
    <w:rsid w:val="00F05548"/>
    <w:rsid w:val="00F07538"/>
    <w:rsid w:val="00F0761C"/>
    <w:rsid w:val="00F07CD0"/>
    <w:rsid w:val="00F07F47"/>
    <w:rsid w:val="00F1074B"/>
    <w:rsid w:val="00F10E37"/>
    <w:rsid w:val="00F11AB1"/>
    <w:rsid w:val="00F1247A"/>
    <w:rsid w:val="00F138BA"/>
    <w:rsid w:val="00F15509"/>
    <w:rsid w:val="00F15851"/>
    <w:rsid w:val="00F16986"/>
    <w:rsid w:val="00F1726E"/>
    <w:rsid w:val="00F173A0"/>
    <w:rsid w:val="00F17B25"/>
    <w:rsid w:val="00F17F35"/>
    <w:rsid w:val="00F208FA"/>
    <w:rsid w:val="00F24028"/>
    <w:rsid w:val="00F24202"/>
    <w:rsid w:val="00F25151"/>
    <w:rsid w:val="00F253B2"/>
    <w:rsid w:val="00F25580"/>
    <w:rsid w:val="00F26406"/>
    <w:rsid w:val="00F2649E"/>
    <w:rsid w:val="00F26D0C"/>
    <w:rsid w:val="00F26D2A"/>
    <w:rsid w:val="00F26DBF"/>
    <w:rsid w:val="00F2701A"/>
    <w:rsid w:val="00F271BA"/>
    <w:rsid w:val="00F273B3"/>
    <w:rsid w:val="00F27B2C"/>
    <w:rsid w:val="00F30417"/>
    <w:rsid w:val="00F30FED"/>
    <w:rsid w:val="00F33D84"/>
    <w:rsid w:val="00F33EE9"/>
    <w:rsid w:val="00F34585"/>
    <w:rsid w:val="00F347F2"/>
    <w:rsid w:val="00F34F88"/>
    <w:rsid w:val="00F351F3"/>
    <w:rsid w:val="00F35459"/>
    <w:rsid w:val="00F35518"/>
    <w:rsid w:val="00F35620"/>
    <w:rsid w:val="00F3640D"/>
    <w:rsid w:val="00F37049"/>
    <w:rsid w:val="00F37ACC"/>
    <w:rsid w:val="00F40ED5"/>
    <w:rsid w:val="00F43608"/>
    <w:rsid w:val="00F4447C"/>
    <w:rsid w:val="00F456A2"/>
    <w:rsid w:val="00F45BBA"/>
    <w:rsid w:val="00F4658B"/>
    <w:rsid w:val="00F46C4B"/>
    <w:rsid w:val="00F46E38"/>
    <w:rsid w:val="00F50505"/>
    <w:rsid w:val="00F50543"/>
    <w:rsid w:val="00F50BA5"/>
    <w:rsid w:val="00F50BAD"/>
    <w:rsid w:val="00F50EAD"/>
    <w:rsid w:val="00F51745"/>
    <w:rsid w:val="00F518F9"/>
    <w:rsid w:val="00F53AFE"/>
    <w:rsid w:val="00F53DE2"/>
    <w:rsid w:val="00F54168"/>
    <w:rsid w:val="00F5435D"/>
    <w:rsid w:val="00F5437B"/>
    <w:rsid w:val="00F546AF"/>
    <w:rsid w:val="00F54EF8"/>
    <w:rsid w:val="00F551FF"/>
    <w:rsid w:val="00F56E7C"/>
    <w:rsid w:val="00F6266E"/>
    <w:rsid w:val="00F62D09"/>
    <w:rsid w:val="00F63635"/>
    <w:rsid w:val="00F63C46"/>
    <w:rsid w:val="00F64294"/>
    <w:rsid w:val="00F643B6"/>
    <w:rsid w:val="00F645AF"/>
    <w:rsid w:val="00F64DA6"/>
    <w:rsid w:val="00F6548F"/>
    <w:rsid w:val="00F656D7"/>
    <w:rsid w:val="00F662BD"/>
    <w:rsid w:val="00F66AF5"/>
    <w:rsid w:val="00F6703A"/>
    <w:rsid w:val="00F675DB"/>
    <w:rsid w:val="00F70B1F"/>
    <w:rsid w:val="00F71281"/>
    <w:rsid w:val="00F73715"/>
    <w:rsid w:val="00F74105"/>
    <w:rsid w:val="00F74256"/>
    <w:rsid w:val="00F74C99"/>
    <w:rsid w:val="00F758D0"/>
    <w:rsid w:val="00F7668B"/>
    <w:rsid w:val="00F766B5"/>
    <w:rsid w:val="00F7670C"/>
    <w:rsid w:val="00F77049"/>
    <w:rsid w:val="00F776CB"/>
    <w:rsid w:val="00F7789E"/>
    <w:rsid w:val="00F77F16"/>
    <w:rsid w:val="00F80051"/>
    <w:rsid w:val="00F80485"/>
    <w:rsid w:val="00F80F43"/>
    <w:rsid w:val="00F82AB1"/>
    <w:rsid w:val="00F83149"/>
    <w:rsid w:val="00F83CBE"/>
    <w:rsid w:val="00F8404E"/>
    <w:rsid w:val="00F84464"/>
    <w:rsid w:val="00F8478D"/>
    <w:rsid w:val="00F852B0"/>
    <w:rsid w:val="00F85374"/>
    <w:rsid w:val="00F85EEA"/>
    <w:rsid w:val="00F86446"/>
    <w:rsid w:val="00F86CD7"/>
    <w:rsid w:val="00F871B6"/>
    <w:rsid w:val="00F8799F"/>
    <w:rsid w:val="00F905D0"/>
    <w:rsid w:val="00F90675"/>
    <w:rsid w:val="00F90E33"/>
    <w:rsid w:val="00F93081"/>
    <w:rsid w:val="00F9397A"/>
    <w:rsid w:val="00F967F6"/>
    <w:rsid w:val="00F968C8"/>
    <w:rsid w:val="00F97C3F"/>
    <w:rsid w:val="00FA0149"/>
    <w:rsid w:val="00FA06D6"/>
    <w:rsid w:val="00FA17E0"/>
    <w:rsid w:val="00FA2039"/>
    <w:rsid w:val="00FA27DC"/>
    <w:rsid w:val="00FA299E"/>
    <w:rsid w:val="00FA3094"/>
    <w:rsid w:val="00FA32AA"/>
    <w:rsid w:val="00FA4444"/>
    <w:rsid w:val="00FA44B2"/>
    <w:rsid w:val="00FA47BA"/>
    <w:rsid w:val="00FA53C8"/>
    <w:rsid w:val="00FA5C14"/>
    <w:rsid w:val="00FA6661"/>
    <w:rsid w:val="00FA6BCB"/>
    <w:rsid w:val="00FB180F"/>
    <w:rsid w:val="00FB1F4F"/>
    <w:rsid w:val="00FB3558"/>
    <w:rsid w:val="00FB3965"/>
    <w:rsid w:val="00FB3F86"/>
    <w:rsid w:val="00FB4455"/>
    <w:rsid w:val="00FB53F7"/>
    <w:rsid w:val="00FB55A4"/>
    <w:rsid w:val="00FB5AEB"/>
    <w:rsid w:val="00FB60C8"/>
    <w:rsid w:val="00FB7904"/>
    <w:rsid w:val="00FC0110"/>
    <w:rsid w:val="00FC0382"/>
    <w:rsid w:val="00FC12C2"/>
    <w:rsid w:val="00FC1638"/>
    <w:rsid w:val="00FC175A"/>
    <w:rsid w:val="00FC2597"/>
    <w:rsid w:val="00FC3E5C"/>
    <w:rsid w:val="00FC4321"/>
    <w:rsid w:val="00FC46A3"/>
    <w:rsid w:val="00FC4ECF"/>
    <w:rsid w:val="00FC552E"/>
    <w:rsid w:val="00FC5F5D"/>
    <w:rsid w:val="00FC622F"/>
    <w:rsid w:val="00FD115E"/>
    <w:rsid w:val="00FD1DC9"/>
    <w:rsid w:val="00FD3888"/>
    <w:rsid w:val="00FD482A"/>
    <w:rsid w:val="00FD4F72"/>
    <w:rsid w:val="00FD5CBD"/>
    <w:rsid w:val="00FD5CDB"/>
    <w:rsid w:val="00FD5D72"/>
    <w:rsid w:val="00FD5F22"/>
    <w:rsid w:val="00FD5FE3"/>
    <w:rsid w:val="00FD65FA"/>
    <w:rsid w:val="00FD6F9D"/>
    <w:rsid w:val="00FE09C9"/>
    <w:rsid w:val="00FE0BE4"/>
    <w:rsid w:val="00FE13A1"/>
    <w:rsid w:val="00FE14B3"/>
    <w:rsid w:val="00FE23EE"/>
    <w:rsid w:val="00FE348C"/>
    <w:rsid w:val="00FE467D"/>
    <w:rsid w:val="00FE5157"/>
    <w:rsid w:val="00FE5E65"/>
    <w:rsid w:val="00FE6001"/>
    <w:rsid w:val="00FE6543"/>
    <w:rsid w:val="00FE663A"/>
    <w:rsid w:val="00FE6875"/>
    <w:rsid w:val="00FE6C5A"/>
    <w:rsid w:val="00FE736A"/>
    <w:rsid w:val="00FE7B76"/>
    <w:rsid w:val="00FF0321"/>
    <w:rsid w:val="00FF1496"/>
    <w:rsid w:val="00FF1E52"/>
    <w:rsid w:val="00FF2641"/>
    <w:rsid w:val="00FF2D99"/>
    <w:rsid w:val="00FF3AF2"/>
    <w:rsid w:val="00FF48D9"/>
    <w:rsid w:val="00FF64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BE4D"/>
  <w15:docId w15:val="{37992450-D955-4C4D-95F5-3E619239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8D0"/>
    <w:pPr>
      <w:spacing w:after="240" w:line="360" w:lineRule="auto"/>
      <w:jc w:val="both"/>
    </w:pPr>
    <w:rPr>
      <w:rFonts w:ascii="Times New Roman" w:eastAsia="Times New Roman" w:hAnsi="Times New Roman" w:cs="Mitra"/>
      <w:sz w:val="24"/>
      <w:szCs w:val="28"/>
      <w:lang w:val="en-US" w:bidi="fa-IR"/>
    </w:rPr>
  </w:style>
  <w:style w:type="paragraph" w:styleId="Heading1">
    <w:name w:val="heading 1"/>
    <w:basedOn w:val="Normal"/>
    <w:link w:val="Heading1Char"/>
    <w:qFormat/>
    <w:rsid w:val="002D4875"/>
    <w:pPr>
      <w:spacing w:before="100" w:beforeAutospacing="1" w:line="240" w:lineRule="auto"/>
      <w:jc w:val="left"/>
      <w:outlineLvl w:val="0"/>
    </w:pPr>
    <w:rPr>
      <w:rFonts w:cs="Times New Roman"/>
      <w:b/>
      <w:bCs/>
      <w:kern w:val="36"/>
      <w:sz w:val="48"/>
      <w:szCs w:val="48"/>
      <w:lang w:bidi="ar-SA"/>
    </w:rPr>
  </w:style>
  <w:style w:type="paragraph" w:styleId="Heading2">
    <w:name w:val="heading 2"/>
    <w:basedOn w:val="Normal"/>
    <w:next w:val="Normal"/>
    <w:link w:val="Heading2Char"/>
    <w:unhideWhenUsed/>
    <w:qFormat/>
    <w:rsid w:val="006752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66A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07E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uiPriority w:val="99"/>
    <w:rsid w:val="001D31C5"/>
    <w:pPr>
      <w:numPr>
        <w:numId w:val="1"/>
      </w:numPr>
      <w:bidi/>
      <w:spacing w:after="0"/>
    </w:pPr>
    <w:rPr>
      <w:rFonts w:ascii="BMitra" w:cs="BMitra"/>
      <w:b/>
      <w:bCs/>
      <w:szCs w:val="24"/>
      <w:lang w:bidi="ar-SA"/>
    </w:rPr>
  </w:style>
  <w:style w:type="paragraph" w:customStyle="1" w:styleId="title2">
    <w:name w:val="title2"/>
    <w:basedOn w:val="Normal"/>
    <w:uiPriority w:val="99"/>
    <w:rsid w:val="001D31C5"/>
    <w:pPr>
      <w:numPr>
        <w:numId w:val="2"/>
      </w:numPr>
      <w:bidi/>
      <w:spacing w:after="0"/>
      <w:jc w:val="lowKashida"/>
    </w:pPr>
    <w:rPr>
      <w:rFonts w:ascii="BMitra" w:cs="BMitra"/>
      <w:i/>
      <w:iCs/>
      <w:szCs w:val="24"/>
    </w:rPr>
  </w:style>
  <w:style w:type="paragraph" w:customStyle="1" w:styleId="ImagesNote">
    <w:name w:val="Images Note"/>
    <w:basedOn w:val="Normal"/>
    <w:next w:val="Normal"/>
    <w:link w:val="ImagesNoteChar1"/>
    <w:rsid w:val="001D31C5"/>
    <w:pPr>
      <w:bidi/>
      <w:spacing w:before="100" w:after="200" w:line="300" w:lineRule="auto"/>
      <w:jc w:val="center"/>
    </w:pPr>
    <w:rPr>
      <w:i/>
      <w:iCs/>
      <w:sz w:val="20"/>
      <w:szCs w:val="24"/>
    </w:rPr>
  </w:style>
  <w:style w:type="character" w:customStyle="1" w:styleId="ImagesNoteChar1">
    <w:name w:val="Images Note Char1"/>
    <w:basedOn w:val="DefaultParagraphFont"/>
    <w:link w:val="ImagesNote"/>
    <w:rsid w:val="001D31C5"/>
    <w:rPr>
      <w:rFonts w:ascii="Times New Roman" w:eastAsia="Times New Roman" w:hAnsi="Times New Roman" w:cs="Mitra"/>
      <w:i/>
      <w:iCs/>
      <w:sz w:val="20"/>
      <w:szCs w:val="24"/>
      <w:lang w:val="en-US" w:bidi="fa-IR"/>
    </w:rPr>
  </w:style>
  <w:style w:type="paragraph" w:customStyle="1" w:styleId="a">
    <w:name w:val="متن"/>
    <w:basedOn w:val="Normal"/>
    <w:uiPriority w:val="99"/>
    <w:rsid w:val="001D31C5"/>
    <w:pPr>
      <w:bidi/>
      <w:spacing w:after="0" w:line="240" w:lineRule="auto"/>
      <w:ind w:firstLine="369"/>
      <w:jc w:val="lowKashida"/>
    </w:pPr>
    <w:rPr>
      <w:rFonts w:ascii="BMitra" w:cs="B Nazanin"/>
    </w:rPr>
  </w:style>
  <w:style w:type="character" w:customStyle="1" w:styleId="hps">
    <w:name w:val="hps"/>
    <w:basedOn w:val="DefaultParagraphFont"/>
    <w:rsid w:val="001D31C5"/>
  </w:style>
  <w:style w:type="character" w:customStyle="1" w:styleId="st">
    <w:name w:val="st"/>
    <w:basedOn w:val="DefaultParagraphFont"/>
    <w:rsid w:val="001D31C5"/>
  </w:style>
  <w:style w:type="character" w:styleId="Emphasis">
    <w:name w:val="Emphasis"/>
    <w:basedOn w:val="DefaultParagraphFont"/>
    <w:uiPriority w:val="20"/>
    <w:qFormat/>
    <w:rsid w:val="001D31C5"/>
    <w:rPr>
      <w:b/>
      <w:bCs/>
      <w:i w:val="0"/>
      <w:iCs w:val="0"/>
    </w:rPr>
  </w:style>
  <w:style w:type="paragraph" w:styleId="ListParagraph">
    <w:name w:val="List Paragraph"/>
    <w:basedOn w:val="Normal"/>
    <w:uiPriority w:val="34"/>
    <w:qFormat/>
    <w:rsid w:val="001D31C5"/>
    <w:pPr>
      <w:spacing w:line="240" w:lineRule="auto"/>
      <w:ind w:left="720"/>
      <w:jc w:val="left"/>
    </w:pPr>
    <w:rPr>
      <w:rFonts w:cs="Times New Roman"/>
      <w:szCs w:val="24"/>
      <w:lang w:bidi="ar-SA"/>
    </w:rPr>
  </w:style>
  <w:style w:type="character" w:customStyle="1" w:styleId="atn">
    <w:name w:val="atn"/>
    <w:basedOn w:val="DefaultParagraphFont"/>
    <w:rsid w:val="001D31C5"/>
  </w:style>
  <w:style w:type="paragraph" w:styleId="BalloonText">
    <w:name w:val="Balloon Text"/>
    <w:basedOn w:val="Normal"/>
    <w:link w:val="BalloonTextChar"/>
    <w:uiPriority w:val="99"/>
    <w:semiHidden/>
    <w:unhideWhenUsed/>
    <w:rsid w:val="001D3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1C5"/>
    <w:rPr>
      <w:rFonts w:ascii="Tahoma" w:eastAsia="Times New Roman" w:hAnsi="Tahoma" w:cs="Tahoma"/>
      <w:sz w:val="16"/>
      <w:szCs w:val="16"/>
      <w:lang w:val="en-US" w:bidi="fa-IR"/>
    </w:rPr>
  </w:style>
  <w:style w:type="paragraph" w:styleId="Header">
    <w:name w:val="header"/>
    <w:basedOn w:val="Normal"/>
    <w:link w:val="HeaderChar"/>
    <w:uiPriority w:val="99"/>
    <w:unhideWhenUsed/>
    <w:rsid w:val="00251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AD2"/>
    <w:rPr>
      <w:rFonts w:ascii="Times New Roman" w:eastAsia="Times New Roman" w:hAnsi="Times New Roman" w:cs="Mitra"/>
      <w:sz w:val="24"/>
      <w:szCs w:val="28"/>
      <w:lang w:val="en-US" w:bidi="fa-IR"/>
    </w:rPr>
  </w:style>
  <w:style w:type="paragraph" w:styleId="Footer">
    <w:name w:val="footer"/>
    <w:basedOn w:val="Normal"/>
    <w:link w:val="FooterChar"/>
    <w:uiPriority w:val="99"/>
    <w:unhideWhenUsed/>
    <w:rsid w:val="00251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AD2"/>
    <w:rPr>
      <w:rFonts w:ascii="Times New Roman" w:eastAsia="Times New Roman" w:hAnsi="Times New Roman" w:cs="Mitra"/>
      <w:sz w:val="24"/>
      <w:szCs w:val="28"/>
      <w:lang w:val="en-US" w:bidi="fa-IR"/>
    </w:rPr>
  </w:style>
  <w:style w:type="paragraph" w:styleId="FootnoteText">
    <w:name w:val="footnote text"/>
    <w:basedOn w:val="Normal"/>
    <w:link w:val="FootnoteTextChar"/>
    <w:uiPriority w:val="99"/>
    <w:unhideWhenUsed/>
    <w:rsid w:val="008948FA"/>
    <w:pPr>
      <w:bidi/>
      <w:spacing w:after="0" w:line="240" w:lineRule="auto"/>
      <w:ind w:firstLine="284"/>
      <w:jc w:val="left"/>
    </w:pPr>
    <w:rPr>
      <w:rFonts w:ascii="BMitra" w:cs="BMitra"/>
      <w:sz w:val="20"/>
      <w:szCs w:val="20"/>
    </w:rPr>
  </w:style>
  <w:style w:type="character" w:customStyle="1" w:styleId="FootnoteTextChar">
    <w:name w:val="Footnote Text Char"/>
    <w:basedOn w:val="DefaultParagraphFont"/>
    <w:link w:val="FootnoteText"/>
    <w:uiPriority w:val="99"/>
    <w:rsid w:val="008948FA"/>
    <w:rPr>
      <w:rFonts w:ascii="BMitra" w:eastAsia="Times New Roman" w:hAnsi="Times New Roman" w:cs="BMitra"/>
      <w:sz w:val="20"/>
      <w:szCs w:val="20"/>
      <w:lang w:val="en-US" w:bidi="fa-IR"/>
    </w:rPr>
  </w:style>
  <w:style w:type="character" w:styleId="FootnoteReference">
    <w:name w:val="footnote reference"/>
    <w:basedOn w:val="DefaultParagraphFont"/>
    <w:uiPriority w:val="99"/>
    <w:semiHidden/>
    <w:unhideWhenUsed/>
    <w:rsid w:val="008948FA"/>
    <w:rPr>
      <w:vertAlign w:val="superscript"/>
    </w:rPr>
  </w:style>
  <w:style w:type="table" w:styleId="TableGrid">
    <w:name w:val="Table Grid"/>
    <w:basedOn w:val="TableNormal"/>
    <w:uiPriority w:val="59"/>
    <w:rsid w:val="00542B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BE69D7"/>
  </w:style>
  <w:style w:type="character" w:styleId="Hyperlink">
    <w:name w:val="Hyperlink"/>
    <w:basedOn w:val="DefaultParagraphFont"/>
    <w:uiPriority w:val="99"/>
    <w:unhideWhenUsed/>
    <w:rsid w:val="00517440"/>
    <w:rPr>
      <w:color w:val="0000FF" w:themeColor="hyperlink"/>
      <w:u w:val="single"/>
    </w:rPr>
  </w:style>
  <w:style w:type="character" w:styleId="CommentReference">
    <w:name w:val="annotation reference"/>
    <w:basedOn w:val="DefaultParagraphFont"/>
    <w:uiPriority w:val="99"/>
    <w:semiHidden/>
    <w:unhideWhenUsed/>
    <w:rsid w:val="00A82AF5"/>
    <w:rPr>
      <w:sz w:val="16"/>
      <w:szCs w:val="16"/>
    </w:rPr>
  </w:style>
  <w:style w:type="paragraph" w:styleId="CommentText">
    <w:name w:val="annotation text"/>
    <w:basedOn w:val="Normal"/>
    <w:link w:val="CommentTextChar"/>
    <w:uiPriority w:val="99"/>
    <w:unhideWhenUsed/>
    <w:rsid w:val="00A82AF5"/>
    <w:pPr>
      <w:spacing w:line="240" w:lineRule="auto"/>
    </w:pPr>
    <w:rPr>
      <w:sz w:val="20"/>
      <w:szCs w:val="20"/>
    </w:rPr>
  </w:style>
  <w:style w:type="character" w:customStyle="1" w:styleId="CommentTextChar">
    <w:name w:val="Comment Text Char"/>
    <w:basedOn w:val="DefaultParagraphFont"/>
    <w:link w:val="CommentText"/>
    <w:uiPriority w:val="99"/>
    <w:rsid w:val="00A82AF5"/>
    <w:rPr>
      <w:rFonts w:ascii="Times New Roman" w:eastAsia="Times New Roman" w:hAnsi="Times New Roman" w:cs="Mitra"/>
      <w:sz w:val="20"/>
      <w:szCs w:val="20"/>
      <w:lang w:val="en-US" w:bidi="fa-IR"/>
    </w:rPr>
  </w:style>
  <w:style w:type="paragraph" w:styleId="CommentSubject">
    <w:name w:val="annotation subject"/>
    <w:basedOn w:val="CommentText"/>
    <w:next w:val="CommentText"/>
    <w:link w:val="CommentSubjectChar"/>
    <w:uiPriority w:val="99"/>
    <w:semiHidden/>
    <w:unhideWhenUsed/>
    <w:rsid w:val="00A82AF5"/>
    <w:rPr>
      <w:b/>
      <w:bCs/>
    </w:rPr>
  </w:style>
  <w:style w:type="character" w:customStyle="1" w:styleId="CommentSubjectChar">
    <w:name w:val="Comment Subject Char"/>
    <w:basedOn w:val="CommentTextChar"/>
    <w:link w:val="CommentSubject"/>
    <w:uiPriority w:val="99"/>
    <w:semiHidden/>
    <w:rsid w:val="00A82AF5"/>
    <w:rPr>
      <w:rFonts w:ascii="Times New Roman" w:eastAsia="Times New Roman" w:hAnsi="Times New Roman" w:cs="Mitra"/>
      <w:b/>
      <w:bCs/>
      <w:sz w:val="20"/>
      <w:szCs w:val="20"/>
      <w:lang w:val="en-US" w:bidi="fa-IR"/>
    </w:rPr>
  </w:style>
  <w:style w:type="paragraph" w:styleId="Revision">
    <w:name w:val="Revision"/>
    <w:hidden/>
    <w:uiPriority w:val="99"/>
    <w:semiHidden/>
    <w:rsid w:val="000C1804"/>
    <w:pPr>
      <w:spacing w:after="0" w:line="240" w:lineRule="auto"/>
    </w:pPr>
    <w:rPr>
      <w:rFonts w:ascii="Times New Roman" w:eastAsia="Times New Roman" w:hAnsi="Times New Roman" w:cs="Mitra"/>
      <w:sz w:val="24"/>
      <w:szCs w:val="28"/>
      <w:lang w:val="en-US" w:bidi="fa-IR"/>
    </w:rPr>
  </w:style>
  <w:style w:type="paragraph" w:customStyle="1" w:styleId="fulltext">
    <w:name w:val="fulltext"/>
    <w:basedOn w:val="Normal"/>
    <w:rsid w:val="006E08A0"/>
    <w:pPr>
      <w:spacing w:before="100" w:beforeAutospacing="1" w:line="240" w:lineRule="auto"/>
      <w:jc w:val="left"/>
    </w:pPr>
    <w:rPr>
      <w:rFonts w:cs="Times New Roman"/>
      <w:szCs w:val="24"/>
      <w:lang w:val="en-GB" w:eastAsia="en-GB" w:bidi="ar-SA"/>
    </w:rPr>
  </w:style>
  <w:style w:type="character" w:customStyle="1" w:styleId="country">
    <w:name w:val="country"/>
    <w:basedOn w:val="DefaultParagraphFont"/>
    <w:rsid w:val="006E08A0"/>
  </w:style>
  <w:style w:type="character" w:customStyle="1" w:styleId="hlfld-contribauthor">
    <w:name w:val="hlfld-contribauthor"/>
    <w:basedOn w:val="DefaultParagraphFont"/>
    <w:rsid w:val="009F1F6D"/>
  </w:style>
  <w:style w:type="character" w:customStyle="1" w:styleId="Heading1Char">
    <w:name w:val="Heading 1 Char"/>
    <w:basedOn w:val="DefaultParagraphFont"/>
    <w:link w:val="Heading1"/>
    <w:uiPriority w:val="9"/>
    <w:rsid w:val="002D4875"/>
    <w:rPr>
      <w:rFonts w:ascii="Times New Roman" w:eastAsia="Times New Roman" w:hAnsi="Times New Roman" w:cs="Times New Roman"/>
      <w:b/>
      <w:bCs/>
      <w:kern w:val="36"/>
      <w:sz w:val="48"/>
      <w:szCs w:val="48"/>
      <w:lang w:val="en-US"/>
    </w:rPr>
  </w:style>
  <w:style w:type="character" w:customStyle="1" w:styleId="name">
    <w:name w:val="name"/>
    <w:basedOn w:val="DefaultParagraphFont"/>
    <w:rsid w:val="002D4875"/>
  </w:style>
  <w:style w:type="character" w:customStyle="1" w:styleId="Heading3Char">
    <w:name w:val="Heading 3 Char"/>
    <w:basedOn w:val="DefaultParagraphFont"/>
    <w:link w:val="Heading3"/>
    <w:uiPriority w:val="9"/>
    <w:rsid w:val="00EC66AE"/>
    <w:rPr>
      <w:rFonts w:asciiTheme="majorHAnsi" w:eastAsiaTheme="majorEastAsia" w:hAnsiTheme="majorHAnsi" w:cstheme="majorBidi"/>
      <w:b/>
      <w:bCs/>
      <w:color w:val="4F81BD" w:themeColor="accent1"/>
      <w:sz w:val="24"/>
      <w:szCs w:val="28"/>
      <w:lang w:val="en-US" w:bidi="fa-IR"/>
    </w:rPr>
  </w:style>
  <w:style w:type="character" w:customStyle="1" w:styleId="mixed-citation">
    <w:name w:val="mixed-citation"/>
    <w:basedOn w:val="DefaultParagraphFont"/>
    <w:rsid w:val="00DF65C4"/>
  </w:style>
  <w:style w:type="character" w:customStyle="1" w:styleId="ref-journal">
    <w:name w:val="ref-journal"/>
    <w:basedOn w:val="DefaultParagraphFont"/>
    <w:rsid w:val="00DF65C4"/>
  </w:style>
  <w:style w:type="paragraph" w:customStyle="1" w:styleId="Newparagraph">
    <w:name w:val="New paragraph"/>
    <w:basedOn w:val="Normal"/>
    <w:qFormat/>
    <w:rsid w:val="00BF31B5"/>
    <w:pPr>
      <w:spacing w:after="0" w:line="480" w:lineRule="auto"/>
      <w:ind w:firstLine="720"/>
      <w:jc w:val="left"/>
    </w:pPr>
    <w:rPr>
      <w:rFonts w:cs="Times New Roman"/>
      <w:szCs w:val="24"/>
      <w:lang w:val="en-GB" w:eastAsia="en-GB" w:bidi="ar-SA"/>
    </w:rPr>
  </w:style>
  <w:style w:type="paragraph" w:customStyle="1" w:styleId="Default">
    <w:name w:val="Default"/>
    <w:rsid w:val="00034C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675232"/>
    <w:rPr>
      <w:rFonts w:asciiTheme="majorHAnsi" w:eastAsiaTheme="majorEastAsia" w:hAnsiTheme="majorHAnsi" w:cstheme="majorBidi"/>
      <w:b/>
      <w:bCs/>
      <w:color w:val="4F81BD" w:themeColor="accent1"/>
      <w:sz w:val="26"/>
      <w:szCs w:val="26"/>
      <w:lang w:val="en-US" w:bidi="fa-IR"/>
    </w:rPr>
  </w:style>
  <w:style w:type="character" w:customStyle="1" w:styleId="size-xl">
    <w:name w:val="size-xl"/>
    <w:basedOn w:val="DefaultParagraphFont"/>
    <w:rsid w:val="00675232"/>
  </w:style>
  <w:style w:type="character" w:customStyle="1" w:styleId="size-m">
    <w:name w:val="size-m"/>
    <w:basedOn w:val="DefaultParagraphFont"/>
    <w:rsid w:val="00675232"/>
  </w:style>
  <w:style w:type="paragraph" w:styleId="HTMLPreformatted">
    <w:name w:val="HTML Preformatted"/>
    <w:basedOn w:val="Normal"/>
    <w:link w:val="HTMLPreformattedChar"/>
    <w:uiPriority w:val="99"/>
    <w:semiHidden/>
    <w:unhideWhenUsed/>
    <w:rsid w:val="008C3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en-GB" w:eastAsia="en-GB" w:bidi="ar-SA"/>
    </w:rPr>
  </w:style>
  <w:style w:type="character" w:customStyle="1" w:styleId="HTMLPreformattedChar">
    <w:name w:val="HTML Preformatted Char"/>
    <w:basedOn w:val="DefaultParagraphFont"/>
    <w:link w:val="HTMLPreformatted"/>
    <w:uiPriority w:val="99"/>
    <w:semiHidden/>
    <w:rsid w:val="008C3F2F"/>
    <w:rPr>
      <w:rFonts w:ascii="Courier New" w:eastAsia="Times New Roman" w:hAnsi="Courier New" w:cs="Courier New"/>
      <w:sz w:val="20"/>
      <w:szCs w:val="20"/>
      <w:lang w:eastAsia="en-GB"/>
    </w:rPr>
  </w:style>
  <w:style w:type="paragraph" w:customStyle="1" w:styleId="Figure">
    <w:name w:val="Figure"/>
    <w:basedOn w:val="Normal"/>
    <w:rsid w:val="00F643B6"/>
    <w:pPr>
      <w:jc w:val="center"/>
    </w:pPr>
    <w:rPr>
      <w:rFonts w:eastAsia="Calibri" w:cs="Times New Roman"/>
      <w:b/>
      <w:color w:val="7030A0"/>
      <w:sz w:val="22"/>
      <w:szCs w:val="22"/>
      <w:lang w:val="en-GB" w:bidi="ar-SA"/>
    </w:rPr>
  </w:style>
  <w:style w:type="paragraph" w:styleId="ListBullet">
    <w:name w:val="List Bullet"/>
    <w:basedOn w:val="Normal"/>
    <w:link w:val="ListBulletChar"/>
    <w:uiPriority w:val="99"/>
    <w:unhideWhenUsed/>
    <w:qFormat/>
    <w:rsid w:val="00406350"/>
    <w:pPr>
      <w:numPr>
        <w:numId w:val="4"/>
      </w:numPr>
      <w:spacing w:after="360" w:line="480" w:lineRule="auto"/>
      <w:contextualSpacing/>
    </w:pPr>
    <w:rPr>
      <w:rFonts w:eastAsia="Calibri" w:cs="Times New Roman"/>
      <w:color w:val="000000"/>
      <w:sz w:val="22"/>
      <w:szCs w:val="22"/>
      <w:lang w:val="en-GB" w:bidi="ar-SA"/>
    </w:rPr>
  </w:style>
  <w:style w:type="character" w:customStyle="1" w:styleId="ListBulletChar">
    <w:name w:val="List Bullet Char"/>
    <w:link w:val="ListBullet"/>
    <w:rsid w:val="00406350"/>
    <w:rPr>
      <w:rFonts w:ascii="Times New Roman" w:eastAsia="Calibri" w:hAnsi="Times New Roman" w:cs="Times New Roman"/>
      <w:color w:val="000000"/>
    </w:rPr>
  </w:style>
  <w:style w:type="paragraph" w:customStyle="1" w:styleId="TableHeading">
    <w:name w:val="TableHeading"/>
    <w:basedOn w:val="Figure"/>
    <w:rsid w:val="00F15509"/>
    <w:pPr>
      <w:spacing w:after="120"/>
    </w:pPr>
  </w:style>
  <w:style w:type="character" w:customStyle="1" w:styleId="Heading4Char">
    <w:name w:val="Heading 4 Char"/>
    <w:basedOn w:val="DefaultParagraphFont"/>
    <w:link w:val="Heading4"/>
    <w:uiPriority w:val="9"/>
    <w:semiHidden/>
    <w:rsid w:val="00107E53"/>
    <w:rPr>
      <w:rFonts w:asciiTheme="majorHAnsi" w:eastAsiaTheme="majorEastAsia" w:hAnsiTheme="majorHAnsi" w:cstheme="majorBidi"/>
      <w:b/>
      <w:bCs/>
      <w:i/>
      <w:iCs/>
      <w:color w:val="4F81BD" w:themeColor="accent1"/>
      <w:sz w:val="24"/>
      <w:szCs w:val="28"/>
      <w:lang w:val="en-US" w:bidi="fa-IR"/>
    </w:rPr>
  </w:style>
  <w:style w:type="paragraph" w:customStyle="1" w:styleId="Quote1">
    <w:name w:val="Quote1"/>
    <w:basedOn w:val="Normal"/>
    <w:rsid w:val="00692984"/>
    <w:pPr>
      <w:spacing w:line="480" w:lineRule="auto"/>
      <w:ind w:left="298"/>
    </w:pPr>
    <w:rPr>
      <w:rFonts w:eastAsia="Calibri" w:cs="Times New Roman"/>
      <w:i/>
      <w:iCs/>
      <w:color w:val="000000"/>
      <w:sz w:val="22"/>
      <w:szCs w:val="22"/>
      <w:lang w:val="en-GB" w:bidi="ar-SA"/>
    </w:rPr>
  </w:style>
  <w:style w:type="paragraph" w:customStyle="1" w:styleId="References">
    <w:name w:val="References"/>
    <w:basedOn w:val="Normal"/>
    <w:qFormat/>
    <w:rsid w:val="00E31D48"/>
    <w:pPr>
      <w:jc w:val="left"/>
    </w:pPr>
    <w:rPr>
      <w:rFonts w:eastAsia="Calibri" w:cs="Times New Roman"/>
      <w:color w:val="000000"/>
      <w:sz w:val="22"/>
      <w:szCs w:val="22"/>
      <w:lang w:val="en-GB" w:bidi="ar-SA"/>
    </w:rPr>
  </w:style>
  <w:style w:type="character" w:customStyle="1" w:styleId="a-size-large">
    <w:name w:val="a-size-large"/>
    <w:basedOn w:val="DefaultParagraphFont"/>
    <w:rsid w:val="00BC1295"/>
  </w:style>
  <w:style w:type="character" w:customStyle="1" w:styleId="anchor-text">
    <w:name w:val="anchor-text"/>
    <w:basedOn w:val="DefaultParagraphFont"/>
    <w:rsid w:val="007F4F62"/>
  </w:style>
  <w:style w:type="paragraph" w:customStyle="1" w:styleId="Quote2">
    <w:name w:val="Quote2"/>
    <w:basedOn w:val="Normal"/>
    <w:rsid w:val="008F674A"/>
    <w:pPr>
      <w:spacing w:line="480" w:lineRule="auto"/>
      <w:ind w:left="298"/>
    </w:pPr>
    <w:rPr>
      <w:rFonts w:asciiTheme="majorBidi" w:eastAsia="Calibri" w:hAnsiTheme="majorBidi" w:cs="Times New Roman"/>
      <w:i/>
      <w:iCs/>
      <w:color w:val="000000"/>
      <w:sz w:val="22"/>
      <w:szCs w:val="22"/>
      <w:lang w:val="en-GB" w:bidi="ar-SA"/>
    </w:rPr>
  </w:style>
  <w:style w:type="paragraph" w:customStyle="1" w:styleId="Quote3">
    <w:name w:val="Quote3"/>
    <w:basedOn w:val="Normal"/>
    <w:rsid w:val="00FA47BA"/>
    <w:pPr>
      <w:spacing w:line="480" w:lineRule="auto"/>
      <w:ind w:left="298"/>
    </w:pPr>
    <w:rPr>
      <w:rFonts w:eastAsia="Calibri" w:cs="Times New Roman"/>
      <w:i/>
      <w:iCs/>
      <w:color w:val="000000"/>
      <w:sz w:val="22"/>
      <w:szCs w:val="22"/>
      <w:lang w:val="en-GB" w:bidi="ar-SA"/>
    </w:rPr>
  </w:style>
  <w:style w:type="paragraph" w:customStyle="1" w:styleId="Source">
    <w:name w:val="Source"/>
    <w:basedOn w:val="Normal"/>
    <w:rsid w:val="009A0843"/>
    <w:pPr>
      <w:spacing w:after="480" w:line="240" w:lineRule="auto"/>
      <w:jc w:val="center"/>
    </w:pPr>
    <w:rPr>
      <w:rFonts w:eastAsia="Calibri" w:cs="Times New Roman"/>
      <w:color w:val="000000"/>
      <w:sz w:val="20"/>
      <w:szCs w:val="22"/>
      <w:lang w:val="en-GB" w:bidi="ar-SA"/>
    </w:rPr>
  </w:style>
  <w:style w:type="paragraph" w:customStyle="1" w:styleId="Quote4">
    <w:name w:val="Quote4"/>
    <w:basedOn w:val="Normal"/>
    <w:rsid w:val="00A10987"/>
    <w:pPr>
      <w:spacing w:line="480" w:lineRule="auto"/>
      <w:ind w:left="298"/>
    </w:pPr>
    <w:rPr>
      <w:rFonts w:eastAsia="Calibri" w:cs="Times New Roman"/>
      <w:i/>
      <w:iCs/>
      <w:color w:val="000000"/>
      <w:sz w:val="22"/>
      <w:szCs w:val="22"/>
      <w:lang w:val="en-GB" w:bidi="ar-SA"/>
    </w:rPr>
  </w:style>
  <w:style w:type="paragraph" w:customStyle="1" w:styleId="Quote5">
    <w:name w:val="Quote5"/>
    <w:basedOn w:val="Normal"/>
    <w:rsid w:val="008876FA"/>
    <w:pPr>
      <w:spacing w:line="480" w:lineRule="auto"/>
      <w:ind w:left="298"/>
    </w:pPr>
    <w:rPr>
      <w:rFonts w:eastAsia="Calibri" w:cs="Times New Roman"/>
      <w:i/>
      <w:iCs/>
      <w:color w:val="000000"/>
      <w:sz w:val="22"/>
      <w:szCs w:val="22"/>
      <w:lang w:val="en-GB" w:bidi="ar-SA"/>
    </w:rPr>
  </w:style>
  <w:style w:type="character" w:customStyle="1" w:styleId="UnresolvedMention1">
    <w:name w:val="Unresolved Mention1"/>
    <w:basedOn w:val="DefaultParagraphFont"/>
    <w:uiPriority w:val="99"/>
    <w:semiHidden/>
    <w:unhideWhenUsed/>
    <w:rsid w:val="00D02A9D"/>
    <w:rPr>
      <w:color w:val="808080"/>
      <w:shd w:val="clear" w:color="auto" w:fill="E6E6E6"/>
    </w:rPr>
  </w:style>
  <w:style w:type="paragraph" w:styleId="ListNumber">
    <w:name w:val="List Number"/>
    <w:basedOn w:val="Normal"/>
    <w:uiPriority w:val="99"/>
    <w:unhideWhenUsed/>
    <w:qFormat/>
    <w:rsid w:val="00A8317F"/>
    <w:pPr>
      <w:numPr>
        <w:numId w:val="14"/>
      </w:numPr>
      <w:tabs>
        <w:tab w:val="clear" w:pos="360"/>
        <w:tab w:val="left" w:pos="567"/>
      </w:tabs>
      <w:spacing w:line="480" w:lineRule="auto"/>
      <w:ind w:left="567" w:hanging="567"/>
      <w:contextualSpacing/>
    </w:pPr>
    <w:rPr>
      <w:rFonts w:eastAsia="Calibri" w:cs="Times New Roman"/>
      <w:color w:val="000000"/>
      <w:sz w:val="22"/>
      <w:szCs w:val="22"/>
      <w:lang w:val="en-GB" w:bidi="ar-SA"/>
    </w:rPr>
  </w:style>
  <w:style w:type="character" w:customStyle="1" w:styleId="UnresolvedMention2">
    <w:name w:val="Unresolved Mention2"/>
    <w:basedOn w:val="DefaultParagraphFont"/>
    <w:uiPriority w:val="99"/>
    <w:semiHidden/>
    <w:unhideWhenUsed/>
    <w:rsid w:val="002023BC"/>
    <w:rPr>
      <w:color w:val="605E5C"/>
      <w:shd w:val="clear" w:color="auto" w:fill="E1DFDD"/>
    </w:rPr>
  </w:style>
  <w:style w:type="character" w:styleId="Strong">
    <w:name w:val="Strong"/>
    <w:uiPriority w:val="22"/>
    <w:qFormat/>
    <w:rsid w:val="004E3E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31">
      <w:bodyDiv w:val="1"/>
      <w:marLeft w:val="0"/>
      <w:marRight w:val="0"/>
      <w:marTop w:val="0"/>
      <w:marBottom w:val="0"/>
      <w:divBdr>
        <w:top w:val="none" w:sz="0" w:space="0" w:color="auto"/>
        <w:left w:val="none" w:sz="0" w:space="0" w:color="auto"/>
        <w:bottom w:val="none" w:sz="0" w:space="0" w:color="auto"/>
        <w:right w:val="none" w:sz="0" w:space="0" w:color="auto"/>
      </w:divBdr>
    </w:div>
    <w:div w:id="3559584">
      <w:bodyDiv w:val="1"/>
      <w:marLeft w:val="0"/>
      <w:marRight w:val="0"/>
      <w:marTop w:val="0"/>
      <w:marBottom w:val="0"/>
      <w:divBdr>
        <w:top w:val="none" w:sz="0" w:space="0" w:color="auto"/>
        <w:left w:val="none" w:sz="0" w:space="0" w:color="auto"/>
        <w:bottom w:val="none" w:sz="0" w:space="0" w:color="auto"/>
        <w:right w:val="none" w:sz="0" w:space="0" w:color="auto"/>
      </w:divBdr>
      <w:divsChild>
        <w:div w:id="988635613">
          <w:marLeft w:val="0"/>
          <w:marRight w:val="0"/>
          <w:marTop w:val="0"/>
          <w:marBottom w:val="0"/>
          <w:divBdr>
            <w:top w:val="none" w:sz="0" w:space="0" w:color="auto"/>
            <w:left w:val="none" w:sz="0" w:space="0" w:color="auto"/>
            <w:bottom w:val="none" w:sz="0" w:space="0" w:color="auto"/>
            <w:right w:val="none" w:sz="0" w:space="0" w:color="auto"/>
          </w:divBdr>
          <w:divsChild>
            <w:div w:id="206182603">
              <w:marLeft w:val="0"/>
              <w:marRight w:val="0"/>
              <w:marTop w:val="0"/>
              <w:marBottom w:val="0"/>
              <w:divBdr>
                <w:top w:val="none" w:sz="0" w:space="0" w:color="auto"/>
                <w:left w:val="none" w:sz="0" w:space="0" w:color="auto"/>
                <w:bottom w:val="none" w:sz="0" w:space="0" w:color="auto"/>
                <w:right w:val="none" w:sz="0" w:space="0" w:color="auto"/>
              </w:divBdr>
              <w:divsChild>
                <w:div w:id="935213791">
                  <w:marLeft w:val="0"/>
                  <w:marRight w:val="0"/>
                  <w:marTop w:val="0"/>
                  <w:marBottom w:val="0"/>
                  <w:divBdr>
                    <w:top w:val="none" w:sz="0" w:space="0" w:color="auto"/>
                    <w:left w:val="none" w:sz="0" w:space="0" w:color="auto"/>
                    <w:bottom w:val="none" w:sz="0" w:space="0" w:color="auto"/>
                    <w:right w:val="none" w:sz="0" w:space="0" w:color="auto"/>
                  </w:divBdr>
                  <w:divsChild>
                    <w:div w:id="491288789">
                      <w:marLeft w:val="0"/>
                      <w:marRight w:val="0"/>
                      <w:marTop w:val="0"/>
                      <w:marBottom w:val="0"/>
                      <w:divBdr>
                        <w:top w:val="none" w:sz="0" w:space="0" w:color="auto"/>
                        <w:left w:val="none" w:sz="0" w:space="0" w:color="auto"/>
                        <w:bottom w:val="none" w:sz="0" w:space="0" w:color="auto"/>
                        <w:right w:val="none" w:sz="0" w:space="0" w:color="auto"/>
                      </w:divBdr>
                      <w:divsChild>
                        <w:div w:id="1010058682">
                          <w:marLeft w:val="0"/>
                          <w:marRight w:val="0"/>
                          <w:marTop w:val="0"/>
                          <w:marBottom w:val="0"/>
                          <w:divBdr>
                            <w:top w:val="none" w:sz="0" w:space="0" w:color="auto"/>
                            <w:left w:val="none" w:sz="0" w:space="0" w:color="auto"/>
                            <w:bottom w:val="none" w:sz="0" w:space="0" w:color="auto"/>
                            <w:right w:val="none" w:sz="0" w:space="0" w:color="auto"/>
                          </w:divBdr>
                          <w:divsChild>
                            <w:div w:id="962271969">
                              <w:marLeft w:val="0"/>
                              <w:marRight w:val="0"/>
                              <w:marTop w:val="0"/>
                              <w:marBottom w:val="0"/>
                              <w:divBdr>
                                <w:top w:val="none" w:sz="0" w:space="0" w:color="auto"/>
                                <w:left w:val="none" w:sz="0" w:space="0" w:color="auto"/>
                                <w:bottom w:val="none" w:sz="0" w:space="0" w:color="auto"/>
                                <w:right w:val="none" w:sz="0" w:space="0" w:color="auto"/>
                              </w:divBdr>
                              <w:divsChild>
                                <w:div w:id="1980959483">
                                  <w:marLeft w:val="0"/>
                                  <w:marRight w:val="0"/>
                                  <w:marTop w:val="0"/>
                                  <w:marBottom w:val="0"/>
                                  <w:divBdr>
                                    <w:top w:val="none" w:sz="0" w:space="0" w:color="auto"/>
                                    <w:left w:val="none" w:sz="0" w:space="0" w:color="auto"/>
                                    <w:bottom w:val="none" w:sz="0" w:space="0" w:color="auto"/>
                                    <w:right w:val="none" w:sz="0" w:space="0" w:color="auto"/>
                                  </w:divBdr>
                                  <w:divsChild>
                                    <w:div w:id="1181775443">
                                      <w:marLeft w:val="0"/>
                                      <w:marRight w:val="0"/>
                                      <w:marTop w:val="0"/>
                                      <w:marBottom w:val="0"/>
                                      <w:divBdr>
                                        <w:top w:val="none" w:sz="0" w:space="0" w:color="auto"/>
                                        <w:left w:val="none" w:sz="0" w:space="0" w:color="auto"/>
                                        <w:bottom w:val="none" w:sz="0" w:space="0" w:color="auto"/>
                                        <w:right w:val="none" w:sz="0" w:space="0" w:color="auto"/>
                                      </w:divBdr>
                                      <w:divsChild>
                                        <w:div w:id="2095470470">
                                          <w:marLeft w:val="0"/>
                                          <w:marRight w:val="0"/>
                                          <w:marTop w:val="0"/>
                                          <w:marBottom w:val="0"/>
                                          <w:divBdr>
                                            <w:top w:val="none" w:sz="0" w:space="0" w:color="auto"/>
                                            <w:left w:val="none" w:sz="0" w:space="0" w:color="auto"/>
                                            <w:bottom w:val="none" w:sz="0" w:space="0" w:color="auto"/>
                                            <w:right w:val="none" w:sz="0" w:space="0" w:color="auto"/>
                                          </w:divBdr>
                                          <w:divsChild>
                                            <w:div w:id="2052920191">
                                              <w:marLeft w:val="0"/>
                                              <w:marRight w:val="0"/>
                                              <w:marTop w:val="0"/>
                                              <w:marBottom w:val="0"/>
                                              <w:divBdr>
                                                <w:top w:val="none" w:sz="0" w:space="0" w:color="auto"/>
                                                <w:left w:val="none" w:sz="0" w:space="0" w:color="auto"/>
                                                <w:bottom w:val="none" w:sz="0" w:space="0" w:color="auto"/>
                                                <w:right w:val="none" w:sz="0" w:space="0" w:color="auto"/>
                                              </w:divBdr>
                                              <w:divsChild>
                                                <w:div w:id="428280409">
                                                  <w:marLeft w:val="0"/>
                                                  <w:marRight w:val="0"/>
                                                  <w:marTop w:val="0"/>
                                                  <w:marBottom w:val="0"/>
                                                  <w:divBdr>
                                                    <w:top w:val="none" w:sz="0" w:space="0" w:color="auto"/>
                                                    <w:left w:val="none" w:sz="0" w:space="0" w:color="auto"/>
                                                    <w:bottom w:val="none" w:sz="0" w:space="0" w:color="auto"/>
                                                    <w:right w:val="none" w:sz="0" w:space="0" w:color="auto"/>
                                                  </w:divBdr>
                                                  <w:divsChild>
                                                    <w:div w:id="1435788596">
                                                      <w:marLeft w:val="0"/>
                                                      <w:marRight w:val="0"/>
                                                      <w:marTop w:val="0"/>
                                                      <w:marBottom w:val="0"/>
                                                      <w:divBdr>
                                                        <w:top w:val="none" w:sz="0" w:space="0" w:color="auto"/>
                                                        <w:left w:val="none" w:sz="0" w:space="0" w:color="auto"/>
                                                        <w:bottom w:val="none" w:sz="0" w:space="0" w:color="auto"/>
                                                        <w:right w:val="none" w:sz="0" w:space="0" w:color="auto"/>
                                                      </w:divBdr>
                                                      <w:divsChild>
                                                        <w:div w:id="344673975">
                                                          <w:marLeft w:val="0"/>
                                                          <w:marRight w:val="0"/>
                                                          <w:marTop w:val="0"/>
                                                          <w:marBottom w:val="0"/>
                                                          <w:divBdr>
                                                            <w:top w:val="none" w:sz="0" w:space="0" w:color="auto"/>
                                                            <w:left w:val="none" w:sz="0" w:space="0" w:color="auto"/>
                                                            <w:bottom w:val="none" w:sz="0" w:space="0" w:color="auto"/>
                                                            <w:right w:val="none" w:sz="0" w:space="0" w:color="auto"/>
                                                          </w:divBdr>
                                                          <w:divsChild>
                                                            <w:div w:id="1575630335">
                                                              <w:marLeft w:val="0"/>
                                                              <w:marRight w:val="0"/>
                                                              <w:marTop w:val="0"/>
                                                              <w:marBottom w:val="0"/>
                                                              <w:divBdr>
                                                                <w:top w:val="none" w:sz="0" w:space="0" w:color="auto"/>
                                                                <w:left w:val="none" w:sz="0" w:space="0" w:color="auto"/>
                                                                <w:bottom w:val="none" w:sz="0" w:space="0" w:color="auto"/>
                                                                <w:right w:val="none" w:sz="0" w:space="0" w:color="auto"/>
                                                              </w:divBdr>
                                                              <w:divsChild>
                                                                <w:div w:id="1323118044">
                                                                  <w:marLeft w:val="0"/>
                                                                  <w:marRight w:val="0"/>
                                                                  <w:marTop w:val="0"/>
                                                                  <w:marBottom w:val="0"/>
                                                                  <w:divBdr>
                                                                    <w:top w:val="none" w:sz="0" w:space="0" w:color="auto"/>
                                                                    <w:left w:val="none" w:sz="0" w:space="0" w:color="auto"/>
                                                                    <w:bottom w:val="none" w:sz="0" w:space="0" w:color="auto"/>
                                                                    <w:right w:val="none" w:sz="0" w:space="0" w:color="auto"/>
                                                                  </w:divBdr>
                                                                  <w:divsChild>
                                                                    <w:div w:id="126170394">
                                                                      <w:marLeft w:val="0"/>
                                                                      <w:marRight w:val="0"/>
                                                                      <w:marTop w:val="0"/>
                                                                      <w:marBottom w:val="0"/>
                                                                      <w:divBdr>
                                                                        <w:top w:val="none" w:sz="0" w:space="0" w:color="auto"/>
                                                                        <w:left w:val="none" w:sz="0" w:space="0" w:color="auto"/>
                                                                        <w:bottom w:val="none" w:sz="0" w:space="0" w:color="auto"/>
                                                                        <w:right w:val="none" w:sz="0" w:space="0" w:color="auto"/>
                                                                      </w:divBdr>
                                                                      <w:divsChild>
                                                                        <w:div w:id="1038623436">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sChild>
                                                                                <w:div w:id="1399476846">
                                                                                  <w:marLeft w:val="0"/>
                                                                                  <w:marRight w:val="0"/>
                                                                                  <w:marTop w:val="0"/>
                                                                                  <w:marBottom w:val="0"/>
                                                                                  <w:divBdr>
                                                                                    <w:top w:val="none" w:sz="0" w:space="0" w:color="auto"/>
                                                                                    <w:left w:val="none" w:sz="0" w:space="0" w:color="auto"/>
                                                                                    <w:bottom w:val="none" w:sz="0" w:space="0" w:color="auto"/>
                                                                                    <w:right w:val="none" w:sz="0" w:space="0" w:color="auto"/>
                                                                                  </w:divBdr>
                                                                                  <w:divsChild>
                                                                                    <w:div w:id="546531147">
                                                                                      <w:marLeft w:val="0"/>
                                                                                      <w:marRight w:val="0"/>
                                                                                      <w:marTop w:val="0"/>
                                                                                      <w:marBottom w:val="0"/>
                                                                                      <w:divBdr>
                                                                                        <w:top w:val="none" w:sz="0" w:space="0" w:color="auto"/>
                                                                                        <w:left w:val="none" w:sz="0" w:space="0" w:color="auto"/>
                                                                                        <w:bottom w:val="none" w:sz="0" w:space="0" w:color="auto"/>
                                                                                        <w:right w:val="none" w:sz="0" w:space="0" w:color="auto"/>
                                                                                      </w:divBdr>
                                                                                      <w:divsChild>
                                                                                        <w:div w:id="1805779238">
                                                                                          <w:marLeft w:val="0"/>
                                                                                          <w:marRight w:val="0"/>
                                                                                          <w:marTop w:val="0"/>
                                                                                          <w:marBottom w:val="0"/>
                                                                                          <w:divBdr>
                                                                                            <w:top w:val="none" w:sz="0" w:space="0" w:color="auto"/>
                                                                                            <w:left w:val="none" w:sz="0" w:space="0" w:color="auto"/>
                                                                                            <w:bottom w:val="none" w:sz="0" w:space="0" w:color="auto"/>
                                                                                            <w:right w:val="none" w:sz="0" w:space="0" w:color="auto"/>
                                                                                          </w:divBdr>
                                                                                          <w:divsChild>
                                                                                            <w:div w:id="405953185">
                                                                                              <w:marLeft w:val="0"/>
                                                                                              <w:marRight w:val="0"/>
                                                                                              <w:marTop w:val="0"/>
                                                                                              <w:marBottom w:val="0"/>
                                                                                              <w:divBdr>
                                                                                                <w:top w:val="none" w:sz="0" w:space="0" w:color="auto"/>
                                                                                                <w:left w:val="none" w:sz="0" w:space="0" w:color="auto"/>
                                                                                                <w:bottom w:val="none" w:sz="0" w:space="0" w:color="auto"/>
                                                                                                <w:right w:val="none" w:sz="0" w:space="0" w:color="auto"/>
                                                                                              </w:divBdr>
                                                                                              <w:divsChild>
                                                                                                <w:div w:id="1213662182">
                                                                                                  <w:marLeft w:val="0"/>
                                                                                                  <w:marRight w:val="0"/>
                                                                                                  <w:marTop w:val="0"/>
                                                                                                  <w:marBottom w:val="0"/>
                                                                                                  <w:divBdr>
                                                                                                    <w:top w:val="none" w:sz="0" w:space="0" w:color="auto"/>
                                                                                                    <w:left w:val="none" w:sz="0" w:space="0" w:color="auto"/>
                                                                                                    <w:bottom w:val="none" w:sz="0" w:space="0" w:color="auto"/>
                                                                                                    <w:right w:val="none" w:sz="0" w:space="0" w:color="auto"/>
                                                                                                  </w:divBdr>
                                                                                                  <w:divsChild>
                                                                                                    <w:div w:id="832254267">
                                                                                                      <w:marLeft w:val="0"/>
                                                                                                      <w:marRight w:val="0"/>
                                                                                                      <w:marTop w:val="0"/>
                                                                                                      <w:marBottom w:val="0"/>
                                                                                                      <w:divBdr>
                                                                                                        <w:top w:val="none" w:sz="0" w:space="0" w:color="auto"/>
                                                                                                        <w:left w:val="none" w:sz="0" w:space="0" w:color="auto"/>
                                                                                                        <w:bottom w:val="none" w:sz="0" w:space="0" w:color="auto"/>
                                                                                                        <w:right w:val="none" w:sz="0" w:space="0" w:color="auto"/>
                                                                                                      </w:divBdr>
                                                                                                      <w:divsChild>
                                                                                                        <w:div w:id="793641442">
                                                                                                          <w:marLeft w:val="0"/>
                                                                                                          <w:marRight w:val="0"/>
                                                                                                          <w:marTop w:val="0"/>
                                                                                                          <w:marBottom w:val="0"/>
                                                                                                          <w:divBdr>
                                                                                                            <w:top w:val="none" w:sz="0" w:space="0" w:color="auto"/>
                                                                                                            <w:left w:val="none" w:sz="0" w:space="0" w:color="auto"/>
                                                                                                            <w:bottom w:val="none" w:sz="0" w:space="0" w:color="auto"/>
                                                                                                            <w:right w:val="none" w:sz="0" w:space="0" w:color="auto"/>
                                                                                                          </w:divBdr>
                                                                                                          <w:divsChild>
                                                                                                            <w:div w:id="437024848">
                                                                                                              <w:marLeft w:val="0"/>
                                                                                                              <w:marRight w:val="0"/>
                                                                                                              <w:marTop w:val="0"/>
                                                                                                              <w:marBottom w:val="0"/>
                                                                                                              <w:divBdr>
                                                                                                                <w:top w:val="none" w:sz="0" w:space="0" w:color="auto"/>
                                                                                                                <w:left w:val="none" w:sz="0" w:space="0" w:color="auto"/>
                                                                                                                <w:bottom w:val="none" w:sz="0" w:space="0" w:color="auto"/>
                                                                                                                <w:right w:val="none" w:sz="0" w:space="0" w:color="auto"/>
                                                                                                              </w:divBdr>
                                                                                                              <w:divsChild>
                                                                                                                <w:div w:id="1835949867">
                                                                                                                  <w:marLeft w:val="0"/>
                                                                                                                  <w:marRight w:val="0"/>
                                                                                                                  <w:marTop w:val="0"/>
                                                                                                                  <w:marBottom w:val="0"/>
                                                                                                                  <w:divBdr>
                                                                                                                    <w:top w:val="none" w:sz="0" w:space="0" w:color="auto"/>
                                                                                                                    <w:left w:val="none" w:sz="0" w:space="0" w:color="auto"/>
                                                                                                                    <w:bottom w:val="none" w:sz="0" w:space="0" w:color="auto"/>
                                                                                                                    <w:right w:val="none" w:sz="0" w:space="0" w:color="auto"/>
                                                                                                                  </w:divBdr>
                                                                                                                  <w:divsChild>
                                                                                                                    <w:div w:id="1857963286">
                                                                                                                      <w:marLeft w:val="0"/>
                                                                                                                      <w:marRight w:val="0"/>
                                                                                                                      <w:marTop w:val="0"/>
                                                                                                                      <w:marBottom w:val="0"/>
                                                                                                                      <w:divBdr>
                                                                                                                        <w:top w:val="none" w:sz="0" w:space="0" w:color="auto"/>
                                                                                                                        <w:left w:val="none" w:sz="0" w:space="0" w:color="auto"/>
                                                                                                                        <w:bottom w:val="none" w:sz="0" w:space="0" w:color="auto"/>
                                                                                                                        <w:right w:val="none" w:sz="0" w:space="0" w:color="auto"/>
                                                                                                                      </w:divBdr>
                                                                                                                      <w:divsChild>
                                                                                                                        <w:div w:id="319580747">
                                                                                                                          <w:marLeft w:val="0"/>
                                                                                                                          <w:marRight w:val="0"/>
                                                                                                                          <w:marTop w:val="0"/>
                                                                                                                          <w:marBottom w:val="0"/>
                                                                                                                          <w:divBdr>
                                                                                                                            <w:top w:val="none" w:sz="0" w:space="0" w:color="auto"/>
                                                                                                                            <w:left w:val="none" w:sz="0" w:space="0" w:color="auto"/>
                                                                                                                            <w:bottom w:val="none" w:sz="0" w:space="0" w:color="auto"/>
                                                                                                                            <w:right w:val="none" w:sz="0" w:space="0" w:color="auto"/>
                                                                                                                          </w:divBdr>
                                                                                                                          <w:divsChild>
                                                                                                                            <w:div w:id="1496803879">
                                                                                                                              <w:marLeft w:val="0"/>
                                                                                                                              <w:marRight w:val="0"/>
                                                                                                                              <w:marTop w:val="0"/>
                                                                                                                              <w:marBottom w:val="0"/>
                                                                                                                              <w:divBdr>
                                                                                                                                <w:top w:val="none" w:sz="0" w:space="0" w:color="auto"/>
                                                                                                                                <w:left w:val="none" w:sz="0" w:space="0" w:color="auto"/>
                                                                                                                                <w:bottom w:val="none" w:sz="0" w:space="0" w:color="auto"/>
                                                                                                                                <w:right w:val="none" w:sz="0" w:space="0" w:color="auto"/>
                                                                                                                              </w:divBdr>
                                                                                                                              <w:divsChild>
                                                                                                                                <w:div w:id="1739160864">
                                                                                                                                  <w:marLeft w:val="0"/>
                                                                                                                                  <w:marRight w:val="0"/>
                                                                                                                                  <w:marTop w:val="0"/>
                                                                                                                                  <w:marBottom w:val="0"/>
                                                                                                                                  <w:divBdr>
                                                                                                                                    <w:top w:val="none" w:sz="0" w:space="0" w:color="auto"/>
                                                                                                                                    <w:left w:val="none" w:sz="0" w:space="0" w:color="auto"/>
                                                                                                                                    <w:bottom w:val="none" w:sz="0" w:space="0" w:color="auto"/>
                                                                                                                                    <w:right w:val="none" w:sz="0" w:space="0" w:color="auto"/>
                                                                                                                                  </w:divBdr>
                                                                                                                                  <w:divsChild>
                                                                                                                                    <w:div w:id="2022311255">
                                                                                                                                      <w:marLeft w:val="0"/>
                                                                                                                                      <w:marRight w:val="0"/>
                                                                                                                                      <w:marTop w:val="0"/>
                                                                                                                                      <w:marBottom w:val="0"/>
                                                                                                                                      <w:divBdr>
                                                                                                                                        <w:top w:val="none" w:sz="0" w:space="0" w:color="auto"/>
                                                                                                                                        <w:left w:val="none" w:sz="0" w:space="0" w:color="auto"/>
                                                                                                                                        <w:bottom w:val="none" w:sz="0" w:space="0" w:color="auto"/>
                                                                                                                                        <w:right w:val="none" w:sz="0" w:space="0" w:color="auto"/>
                                                                                                                                      </w:divBdr>
                                                                                                                                      <w:divsChild>
                                                                                                                                        <w:div w:id="2047175587">
                                                                                                                                          <w:marLeft w:val="0"/>
                                                                                                                                          <w:marRight w:val="0"/>
                                                                                                                                          <w:marTop w:val="0"/>
                                                                                                                                          <w:marBottom w:val="0"/>
                                                                                                                                          <w:divBdr>
                                                                                                                                            <w:top w:val="none" w:sz="0" w:space="0" w:color="auto"/>
                                                                                                                                            <w:left w:val="none" w:sz="0" w:space="0" w:color="auto"/>
                                                                                                                                            <w:bottom w:val="none" w:sz="0" w:space="0" w:color="auto"/>
                                                                                                                                            <w:right w:val="none" w:sz="0" w:space="0" w:color="auto"/>
                                                                                                                                          </w:divBdr>
                                                                                                                                          <w:divsChild>
                                                                                                                                            <w:div w:id="1600329249">
                                                                                                                                              <w:marLeft w:val="0"/>
                                                                                                                                              <w:marRight w:val="0"/>
                                                                                                                                              <w:marTop w:val="0"/>
                                                                                                                                              <w:marBottom w:val="0"/>
                                                                                                                                              <w:divBdr>
                                                                                                                                                <w:top w:val="none" w:sz="0" w:space="0" w:color="auto"/>
                                                                                                                                                <w:left w:val="none" w:sz="0" w:space="0" w:color="auto"/>
                                                                                                                                                <w:bottom w:val="none" w:sz="0" w:space="0" w:color="auto"/>
                                                                                                                                                <w:right w:val="none" w:sz="0" w:space="0" w:color="auto"/>
                                                                                                                                              </w:divBdr>
                                                                                                                                              <w:divsChild>
                                                                                                                                                <w:div w:id="1390349025">
                                                                                                                                                  <w:marLeft w:val="0"/>
                                                                                                                                                  <w:marRight w:val="0"/>
                                                                                                                                                  <w:marTop w:val="0"/>
                                                                                                                                                  <w:marBottom w:val="0"/>
                                                                                                                                                  <w:divBdr>
                                                                                                                                                    <w:top w:val="none" w:sz="0" w:space="0" w:color="auto"/>
                                                                                                                                                    <w:left w:val="none" w:sz="0" w:space="0" w:color="auto"/>
                                                                                                                                                    <w:bottom w:val="none" w:sz="0" w:space="0" w:color="auto"/>
                                                                                                                                                    <w:right w:val="none" w:sz="0" w:space="0" w:color="auto"/>
                                                                                                                                                  </w:divBdr>
                                                                                                                                                  <w:divsChild>
                                                                                                                                                    <w:div w:id="1963343081">
                                                                                                                                                      <w:marLeft w:val="0"/>
                                                                                                                                                      <w:marRight w:val="0"/>
                                                                                                                                                      <w:marTop w:val="0"/>
                                                                                                                                                      <w:marBottom w:val="0"/>
                                                                                                                                                      <w:divBdr>
                                                                                                                                                        <w:top w:val="none" w:sz="0" w:space="0" w:color="auto"/>
                                                                                                                                                        <w:left w:val="none" w:sz="0" w:space="0" w:color="auto"/>
                                                                                                                                                        <w:bottom w:val="none" w:sz="0" w:space="0" w:color="auto"/>
                                                                                                                                                        <w:right w:val="none" w:sz="0" w:space="0" w:color="auto"/>
                                                                                                                                                      </w:divBdr>
                                                                                                                                                      <w:divsChild>
                                                                                                                                                        <w:div w:id="1141120080">
                                                                                                                                                          <w:marLeft w:val="0"/>
                                                                                                                                                          <w:marRight w:val="0"/>
                                                                                                                                                          <w:marTop w:val="0"/>
                                                                                                                                                          <w:marBottom w:val="0"/>
                                                                                                                                                          <w:divBdr>
                                                                                                                                                            <w:top w:val="none" w:sz="0" w:space="0" w:color="auto"/>
                                                                                                                                                            <w:left w:val="none" w:sz="0" w:space="0" w:color="auto"/>
                                                                                                                                                            <w:bottom w:val="none" w:sz="0" w:space="0" w:color="auto"/>
                                                                                                                                                            <w:right w:val="none" w:sz="0" w:space="0" w:color="auto"/>
                                                                                                                                                          </w:divBdr>
                                                                                                                                                        </w:div>
                                                                                                                                                        <w:div w:id="11602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83231">
      <w:bodyDiv w:val="1"/>
      <w:marLeft w:val="0"/>
      <w:marRight w:val="0"/>
      <w:marTop w:val="0"/>
      <w:marBottom w:val="0"/>
      <w:divBdr>
        <w:top w:val="none" w:sz="0" w:space="0" w:color="auto"/>
        <w:left w:val="none" w:sz="0" w:space="0" w:color="auto"/>
        <w:bottom w:val="none" w:sz="0" w:space="0" w:color="auto"/>
        <w:right w:val="none" w:sz="0" w:space="0" w:color="auto"/>
      </w:divBdr>
      <w:divsChild>
        <w:div w:id="974914253">
          <w:marLeft w:val="0"/>
          <w:marRight w:val="0"/>
          <w:marTop w:val="0"/>
          <w:marBottom w:val="0"/>
          <w:divBdr>
            <w:top w:val="none" w:sz="0" w:space="0" w:color="auto"/>
            <w:left w:val="none" w:sz="0" w:space="0" w:color="auto"/>
            <w:bottom w:val="none" w:sz="0" w:space="0" w:color="auto"/>
            <w:right w:val="none" w:sz="0" w:space="0" w:color="auto"/>
          </w:divBdr>
          <w:divsChild>
            <w:div w:id="967393514">
              <w:marLeft w:val="0"/>
              <w:marRight w:val="0"/>
              <w:marTop w:val="0"/>
              <w:marBottom w:val="0"/>
              <w:divBdr>
                <w:top w:val="none" w:sz="0" w:space="0" w:color="auto"/>
                <w:left w:val="none" w:sz="0" w:space="0" w:color="auto"/>
                <w:bottom w:val="none" w:sz="0" w:space="0" w:color="auto"/>
                <w:right w:val="none" w:sz="0" w:space="0" w:color="auto"/>
              </w:divBdr>
              <w:divsChild>
                <w:div w:id="261111040">
                  <w:marLeft w:val="0"/>
                  <w:marRight w:val="0"/>
                  <w:marTop w:val="0"/>
                  <w:marBottom w:val="0"/>
                  <w:divBdr>
                    <w:top w:val="none" w:sz="0" w:space="0" w:color="auto"/>
                    <w:left w:val="none" w:sz="0" w:space="0" w:color="auto"/>
                    <w:bottom w:val="none" w:sz="0" w:space="0" w:color="auto"/>
                    <w:right w:val="none" w:sz="0" w:space="0" w:color="auto"/>
                  </w:divBdr>
                </w:div>
                <w:div w:id="1401978095">
                  <w:marLeft w:val="0"/>
                  <w:marRight w:val="0"/>
                  <w:marTop w:val="0"/>
                  <w:marBottom w:val="0"/>
                  <w:divBdr>
                    <w:top w:val="none" w:sz="0" w:space="0" w:color="auto"/>
                    <w:left w:val="none" w:sz="0" w:space="0" w:color="auto"/>
                    <w:bottom w:val="none" w:sz="0" w:space="0" w:color="auto"/>
                    <w:right w:val="none" w:sz="0" w:space="0" w:color="auto"/>
                  </w:divBdr>
                </w:div>
              </w:divsChild>
            </w:div>
            <w:div w:id="980428854">
              <w:marLeft w:val="0"/>
              <w:marRight w:val="0"/>
              <w:marTop w:val="0"/>
              <w:marBottom w:val="0"/>
              <w:divBdr>
                <w:top w:val="none" w:sz="0" w:space="0" w:color="auto"/>
                <w:left w:val="none" w:sz="0" w:space="0" w:color="auto"/>
                <w:bottom w:val="none" w:sz="0" w:space="0" w:color="auto"/>
                <w:right w:val="none" w:sz="0" w:space="0" w:color="auto"/>
              </w:divBdr>
              <w:divsChild>
                <w:div w:id="329259910">
                  <w:marLeft w:val="0"/>
                  <w:marRight w:val="0"/>
                  <w:marTop w:val="0"/>
                  <w:marBottom w:val="0"/>
                  <w:divBdr>
                    <w:top w:val="none" w:sz="0" w:space="0" w:color="auto"/>
                    <w:left w:val="none" w:sz="0" w:space="0" w:color="auto"/>
                    <w:bottom w:val="none" w:sz="0" w:space="0" w:color="auto"/>
                    <w:right w:val="none" w:sz="0" w:space="0" w:color="auto"/>
                  </w:divBdr>
                </w:div>
                <w:div w:id="1662584494">
                  <w:marLeft w:val="0"/>
                  <w:marRight w:val="0"/>
                  <w:marTop w:val="0"/>
                  <w:marBottom w:val="0"/>
                  <w:divBdr>
                    <w:top w:val="none" w:sz="0" w:space="0" w:color="auto"/>
                    <w:left w:val="none" w:sz="0" w:space="0" w:color="auto"/>
                    <w:bottom w:val="none" w:sz="0" w:space="0" w:color="auto"/>
                    <w:right w:val="none" w:sz="0" w:space="0" w:color="auto"/>
                  </w:divBdr>
                </w:div>
                <w:div w:id="1995335099">
                  <w:marLeft w:val="0"/>
                  <w:marRight w:val="0"/>
                  <w:marTop w:val="0"/>
                  <w:marBottom w:val="0"/>
                  <w:divBdr>
                    <w:top w:val="none" w:sz="0" w:space="0" w:color="auto"/>
                    <w:left w:val="none" w:sz="0" w:space="0" w:color="auto"/>
                    <w:bottom w:val="none" w:sz="0" w:space="0" w:color="auto"/>
                    <w:right w:val="none" w:sz="0" w:space="0" w:color="auto"/>
                  </w:divBdr>
                </w:div>
                <w:div w:id="20120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9140">
      <w:bodyDiv w:val="1"/>
      <w:marLeft w:val="0"/>
      <w:marRight w:val="0"/>
      <w:marTop w:val="0"/>
      <w:marBottom w:val="0"/>
      <w:divBdr>
        <w:top w:val="none" w:sz="0" w:space="0" w:color="auto"/>
        <w:left w:val="none" w:sz="0" w:space="0" w:color="auto"/>
        <w:bottom w:val="none" w:sz="0" w:space="0" w:color="auto"/>
        <w:right w:val="none" w:sz="0" w:space="0" w:color="auto"/>
      </w:divBdr>
      <w:divsChild>
        <w:div w:id="686753350">
          <w:marLeft w:val="0"/>
          <w:marRight w:val="0"/>
          <w:marTop w:val="0"/>
          <w:marBottom w:val="0"/>
          <w:divBdr>
            <w:top w:val="none" w:sz="0" w:space="0" w:color="auto"/>
            <w:left w:val="none" w:sz="0" w:space="0" w:color="auto"/>
            <w:bottom w:val="none" w:sz="0" w:space="0" w:color="auto"/>
            <w:right w:val="none" w:sz="0" w:space="0" w:color="auto"/>
          </w:divBdr>
        </w:div>
        <w:div w:id="1181119929">
          <w:marLeft w:val="0"/>
          <w:marRight w:val="0"/>
          <w:marTop w:val="0"/>
          <w:marBottom w:val="0"/>
          <w:divBdr>
            <w:top w:val="none" w:sz="0" w:space="0" w:color="auto"/>
            <w:left w:val="none" w:sz="0" w:space="0" w:color="auto"/>
            <w:bottom w:val="none" w:sz="0" w:space="0" w:color="auto"/>
            <w:right w:val="none" w:sz="0" w:space="0" w:color="auto"/>
          </w:divBdr>
        </w:div>
        <w:div w:id="1836606791">
          <w:marLeft w:val="0"/>
          <w:marRight w:val="0"/>
          <w:marTop w:val="0"/>
          <w:marBottom w:val="0"/>
          <w:divBdr>
            <w:top w:val="none" w:sz="0" w:space="0" w:color="auto"/>
            <w:left w:val="none" w:sz="0" w:space="0" w:color="auto"/>
            <w:bottom w:val="none" w:sz="0" w:space="0" w:color="auto"/>
            <w:right w:val="none" w:sz="0" w:space="0" w:color="auto"/>
          </w:divBdr>
        </w:div>
      </w:divsChild>
    </w:div>
    <w:div w:id="392512481">
      <w:bodyDiv w:val="1"/>
      <w:marLeft w:val="0"/>
      <w:marRight w:val="0"/>
      <w:marTop w:val="0"/>
      <w:marBottom w:val="0"/>
      <w:divBdr>
        <w:top w:val="none" w:sz="0" w:space="0" w:color="auto"/>
        <w:left w:val="none" w:sz="0" w:space="0" w:color="auto"/>
        <w:bottom w:val="none" w:sz="0" w:space="0" w:color="auto"/>
        <w:right w:val="none" w:sz="0" w:space="0" w:color="auto"/>
      </w:divBdr>
    </w:div>
    <w:div w:id="429661804">
      <w:bodyDiv w:val="1"/>
      <w:marLeft w:val="0"/>
      <w:marRight w:val="0"/>
      <w:marTop w:val="0"/>
      <w:marBottom w:val="0"/>
      <w:divBdr>
        <w:top w:val="none" w:sz="0" w:space="0" w:color="auto"/>
        <w:left w:val="none" w:sz="0" w:space="0" w:color="auto"/>
        <w:bottom w:val="none" w:sz="0" w:space="0" w:color="auto"/>
        <w:right w:val="none" w:sz="0" w:space="0" w:color="auto"/>
      </w:divBdr>
    </w:div>
    <w:div w:id="454520578">
      <w:bodyDiv w:val="1"/>
      <w:marLeft w:val="0"/>
      <w:marRight w:val="0"/>
      <w:marTop w:val="0"/>
      <w:marBottom w:val="0"/>
      <w:divBdr>
        <w:top w:val="none" w:sz="0" w:space="0" w:color="auto"/>
        <w:left w:val="none" w:sz="0" w:space="0" w:color="auto"/>
        <w:bottom w:val="none" w:sz="0" w:space="0" w:color="auto"/>
        <w:right w:val="none" w:sz="0" w:space="0" w:color="auto"/>
      </w:divBdr>
    </w:div>
    <w:div w:id="502936888">
      <w:bodyDiv w:val="1"/>
      <w:marLeft w:val="0"/>
      <w:marRight w:val="0"/>
      <w:marTop w:val="0"/>
      <w:marBottom w:val="0"/>
      <w:divBdr>
        <w:top w:val="none" w:sz="0" w:space="0" w:color="auto"/>
        <w:left w:val="none" w:sz="0" w:space="0" w:color="auto"/>
        <w:bottom w:val="none" w:sz="0" w:space="0" w:color="auto"/>
        <w:right w:val="none" w:sz="0" w:space="0" w:color="auto"/>
      </w:divBdr>
    </w:div>
    <w:div w:id="522715191">
      <w:bodyDiv w:val="1"/>
      <w:marLeft w:val="0"/>
      <w:marRight w:val="0"/>
      <w:marTop w:val="0"/>
      <w:marBottom w:val="0"/>
      <w:divBdr>
        <w:top w:val="none" w:sz="0" w:space="0" w:color="auto"/>
        <w:left w:val="none" w:sz="0" w:space="0" w:color="auto"/>
        <w:bottom w:val="none" w:sz="0" w:space="0" w:color="auto"/>
        <w:right w:val="none" w:sz="0" w:space="0" w:color="auto"/>
      </w:divBdr>
    </w:div>
    <w:div w:id="528109762">
      <w:bodyDiv w:val="1"/>
      <w:marLeft w:val="0"/>
      <w:marRight w:val="0"/>
      <w:marTop w:val="0"/>
      <w:marBottom w:val="0"/>
      <w:divBdr>
        <w:top w:val="none" w:sz="0" w:space="0" w:color="auto"/>
        <w:left w:val="none" w:sz="0" w:space="0" w:color="auto"/>
        <w:bottom w:val="none" w:sz="0" w:space="0" w:color="auto"/>
        <w:right w:val="none" w:sz="0" w:space="0" w:color="auto"/>
      </w:divBdr>
    </w:div>
    <w:div w:id="591088793">
      <w:bodyDiv w:val="1"/>
      <w:marLeft w:val="0"/>
      <w:marRight w:val="0"/>
      <w:marTop w:val="0"/>
      <w:marBottom w:val="0"/>
      <w:divBdr>
        <w:top w:val="none" w:sz="0" w:space="0" w:color="auto"/>
        <w:left w:val="none" w:sz="0" w:space="0" w:color="auto"/>
        <w:bottom w:val="none" w:sz="0" w:space="0" w:color="auto"/>
        <w:right w:val="none" w:sz="0" w:space="0" w:color="auto"/>
      </w:divBdr>
    </w:div>
    <w:div w:id="605118215">
      <w:bodyDiv w:val="1"/>
      <w:marLeft w:val="0"/>
      <w:marRight w:val="0"/>
      <w:marTop w:val="0"/>
      <w:marBottom w:val="0"/>
      <w:divBdr>
        <w:top w:val="none" w:sz="0" w:space="0" w:color="auto"/>
        <w:left w:val="none" w:sz="0" w:space="0" w:color="auto"/>
        <w:bottom w:val="none" w:sz="0" w:space="0" w:color="auto"/>
        <w:right w:val="none" w:sz="0" w:space="0" w:color="auto"/>
      </w:divBdr>
    </w:div>
    <w:div w:id="886722821">
      <w:bodyDiv w:val="1"/>
      <w:marLeft w:val="0"/>
      <w:marRight w:val="0"/>
      <w:marTop w:val="0"/>
      <w:marBottom w:val="0"/>
      <w:divBdr>
        <w:top w:val="none" w:sz="0" w:space="0" w:color="auto"/>
        <w:left w:val="none" w:sz="0" w:space="0" w:color="auto"/>
        <w:bottom w:val="none" w:sz="0" w:space="0" w:color="auto"/>
        <w:right w:val="none" w:sz="0" w:space="0" w:color="auto"/>
      </w:divBdr>
    </w:div>
    <w:div w:id="1051688570">
      <w:bodyDiv w:val="1"/>
      <w:marLeft w:val="0"/>
      <w:marRight w:val="0"/>
      <w:marTop w:val="0"/>
      <w:marBottom w:val="0"/>
      <w:divBdr>
        <w:top w:val="none" w:sz="0" w:space="0" w:color="auto"/>
        <w:left w:val="none" w:sz="0" w:space="0" w:color="auto"/>
        <w:bottom w:val="none" w:sz="0" w:space="0" w:color="auto"/>
        <w:right w:val="none" w:sz="0" w:space="0" w:color="auto"/>
      </w:divBdr>
    </w:div>
    <w:div w:id="1283881914">
      <w:bodyDiv w:val="1"/>
      <w:marLeft w:val="0"/>
      <w:marRight w:val="0"/>
      <w:marTop w:val="0"/>
      <w:marBottom w:val="0"/>
      <w:divBdr>
        <w:top w:val="none" w:sz="0" w:space="0" w:color="auto"/>
        <w:left w:val="none" w:sz="0" w:space="0" w:color="auto"/>
        <w:bottom w:val="none" w:sz="0" w:space="0" w:color="auto"/>
        <w:right w:val="none" w:sz="0" w:space="0" w:color="auto"/>
      </w:divBdr>
    </w:div>
    <w:div w:id="1357846358">
      <w:bodyDiv w:val="1"/>
      <w:marLeft w:val="0"/>
      <w:marRight w:val="0"/>
      <w:marTop w:val="0"/>
      <w:marBottom w:val="0"/>
      <w:divBdr>
        <w:top w:val="none" w:sz="0" w:space="0" w:color="auto"/>
        <w:left w:val="none" w:sz="0" w:space="0" w:color="auto"/>
        <w:bottom w:val="none" w:sz="0" w:space="0" w:color="auto"/>
        <w:right w:val="none" w:sz="0" w:space="0" w:color="auto"/>
      </w:divBdr>
      <w:divsChild>
        <w:div w:id="869100871">
          <w:marLeft w:val="0"/>
          <w:marRight w:val="0"/>
          <w:marTop w:val="0"/>
          <w:marBottom w:val="0"/>
          <w:divBdr>
            <w:top w:val="none" w:sz="0" w:space="0" w:color="auto"/>
            <w:left w:val="none" w:sz="0" w:space="0" w:color="auto"/>
            <w:bottom w:val="none" w:sz="0" w:space="0" w:color="auto"/>
            <w:right w:val="none" w:sz="0" w:space="0" w:color="auto"/>
          </w:divBdr>
        </w:div>
        <w:div w:id="1131707396">
          <w:marLeft w:val="0"/>
          <w:marRight w:val="0"/>
          <w:marTop w:val="0"/>
          <w:marBottom w:val="0"/>
          <w:divBdr>
            <w:top w:val="none" w:sz="0" w:space="0" w:color="auto"/>
            <w:left w:val="none" w:sz="0" w:space="0" w:color="auto"/>
            <w:bottom w:val="none" w:sz="0" w:space="0" w:color="auto"/>
            <w:right w:val="none" w:sz="0" w:space="0" w:color="auto"/>
          </w:divBdr>
        </w:div>
        <w:div w:id="1218391512">
          <w:marLeft w:val="0"/>
          <w:marRight w:val="0"/>
          <w:marTop w:val="0"/>
          <w:marBottom w:val="0"/>
          <w:divBdr>
            <w:top w:val="none" w:sz="0" w:space="0" w:color="auto"/>
            <w:left w:val="none" w:sz="0" w:space="0" w:color="auto"/>
            <w:bottom w:val="none" w:sz="0" w:space="0" w:color="auto"/>
            <w:right w:val="none" w:sz="0" w:space="0" w:color="auto"/>
          </w:divBdr>
        </w:div>
        <w:div w:id="1934774816">
          <w:marLeft w:val="0"/>
          <w:marRight w:val="0"/>
          <w:marTop w:val="0"/>
          <w:marBottom w:val="0"/>
          <w:divBdr>
            <w:top w:val="none" w:sz="0" w:space="0" w:color="auto"/>
            <w:left w:val="none" w:sz="0" w:space="0" w:color="auto"/>
            <w:bottom w:val="none" w:sz="0" w:space="0" w:color="auto"/>
            <w:right w:val="none" w:sz="0" w:space="0" w:color="auto"/>
          </w:divBdr>
        </w:div>
      </w:divsChild>
    </w:div>
    <w:div w:id="1389643974">
      <w:bodyDiv w:val="1"/>
      <w:marLeft w:val="0"/>
      <w:marRight w:val="0"/>
      <w:marTop w:val="0"/>
      <w:marBottom w:val="0"/>
      <w:divBdr>
        <w:top w:val="none" w:sz="0" w:space="0" w:color="auto"/>
        <w:left w:val="none" w:sz="0" w:space="0" w:color="auto"/>
        <w:bottom w:val="none" w:sz="0" w:space="0" w:color="auto"/>
        <w:right w:val="none" w:sz="0" w:space="0" w:color="auto"/>
      </w:divBdr>
    </w:div>
    <w:div w:id="1401638180">
      <w:bodyDiv w:val="1"/>
      <w:marLeft w:val="0"/>
      <w:marRight w:val="0"/>
      <w:marTop w:val="0"/>
      <w:marBottom w:val="0"/>
      <w:divBdr>
        <w:top w:val="none" w:sz="0" w:space="0" w:color="auto"/>
        <w:left w:val="none" w:sz="0" w:space="0" w:color="auto"/>
        <w:bottom w:val="none" w:sz="0" w:space="0" w:color="auto"/>
        <w:right w:val="none" w:sz="0" w:space="0" w:color="auto"/>
      </w:divBdr>
      <w:divsChild>
        <w:div w:id="1282762929">
          <w:marLeft w:val="0"/>
          <w:marRight w:val="0"/>
          <w:marTop w:val="0"/>
          <w:marBottom w:val="0"/>
          <w:divBdr>
            <w:top w:val="none" w:sz="0" w:space="0" w:color="auto"/>
            <w:left w:val="none" w:sz="0" w:space="0" w:color="auto"/>
            <w:bottom w:val="none" w:sz="0" w:space="0" w:color="auto"/>
            <w:right w:val="none" w:sz="0" w:space="0" w:color="auto"/>
          </w:divBdr>
        </w:div>
        <w:div w:id="1892961352">
          <w:marLeft w:val="0"/>
          <w:marRight w:val="0"/>
          <w:marTop w:val="0"/>
          <w:marBottom w:val="0"/>
          <w:divBdr>
            <w:top w:val="none" w:sz="0" w:space="0" w:color="auto"/>
            <w:left w:val="none" w:sz="0" w:space="0" w:color="auto"/>
            <w:bottom w:val="none" w:sz="0" w:space="0" w:color="auto"/>
            <w:right w:val="none" w:sz="0" w:space="0" w:color="auto"/>
          </w:divBdr>
        </w:div>
        <w:div w:id="1989896191">
          <w:marLeft w:val="0"/>
          <w:marRight w:val="0"/>
          <w:marTop w:val="0"/>
          <w:marBottom w:val="0"/>
          <w:divBdr>
            <w:top w:val="none" w:sz="0" w:space="0" w:color="auto"/>
            <w:left w:val="none" w:sz="0" w:space="0" w:color="auto"/>
            <w:bottom w:val="none" w:sz="0" w:space="0" w:color="auto"/>
            <w:right w:val="none" w:sz="0" w:space="0" w:color="auto"/>
          </w:divBdr>
        </w:div>
      </w:divsChild>
    </w:div>
    <w:div w:id="1527014596">
      <w:bodyDiv w:val="1"/>
      <w:marLeft w:val="0"/>
      <w:marRight w:val="0"/>
      <w:marTop w:val="0"/>
      <w:marBottom w:val="0"/>
      <w:divBdr>
        <w:top w:val="none" w:sz="0" w:space="0" w:color="auto"/>
        <w:left w:val="none" w:sz="0" w:space="0" w:color="auto"/>
        <w:bottom w:val="none" w:sz="0" w:space="0" w:color="auto"/>
        <w:right w:val="none" w:sz="0" w:space="0" w:color="auto"/>
      </w:divBdr>
    </w:div>
    <w:div w:id="1596018339">
      <w:bodyDiv w:val="1"/>
      <w:marLeft w:val="0"/>
      <w:marRight w:val="0"/>
      <w:marTop w:val="0"/>
      <w:marBottom w:val="0"/>
      <w:divBdr>
        <w:top w:val="none" w:sz="0" w:space="0" w:color="auto"/>
        <w:left w:val="none" w:sz="0" w:space="0" w:color="auto"/>
        <w:bottom w:val="none" w:sz="0" w:space="0" w:color="auto"/>
        <w:right w:val="none" w:sz="0" w:space="0" w:color="auto"/>
      </w:divBdr>
    </w:div>
    <w:div w:id="1613123693">
      <w:bodyDiv w:val="1"/>
      <w:marLeft w:val="0"/>
      <w:marRight w:val="0"/>
      <w:marTop w:val="0"/>
      <w:marBottom w:val="0"/>
      <w:divBdr>
        <w:top w:val="none" w:sz="0" w:space="0" w:color="auto"/>
        <w:left w:val="none" w:sz="0" w:space="0" w:color="auto"/>
        <w:bottom w:val="none" w:sz="0" w:space="0" w:color="auto"/>
        <w:right w:val="none" w:sz="0" w:space="0" w:color="auto"/>
      </w:divBdr>
    </w:div>
    <w:div w:id="1747721908">
      <w:bodyDiv w:val="1"/>
      <w:marLeft w:val="0"/>
      <w:marRight w:val="0"/>
      <w:marTop w:val="0"/>
      <w:marBottom w:val="0"/>
      <w:divBdr>
        <w:top w:val="none" w:sz="0" w:space="0" w:color="auto"/>
        <w:left w:val="none" w:sz="0" w:space="0" w:color="auto"/>
        <w:bottom w:val="none" w:sz="0" w:space="0" w:color="auto"/>
        <w:right w:val="none" w:sz="0" w:space="0" w:color="auto"/>
      </w:divBdr>
    </w:div>
    <w:div w:id="1808232077">
      <w:bodyDiv w:val="1"/>
      <w:marLeft w:val="0"/>
      <w:marRight w:val="0"/>
      <w:marTop w:val="0"/>
      <w:marBottom w:val="0"/>
      <w:divBdr>
        <w:top w:val="none" w:sz="0" w:space="0" w:color="auto"/>
        <w:left w:val="none" w:sz="0" w:space="0" w:color="auto"/>
        <w:bottom w:val="none" w:sz="0" w:space="0" w:color="auto"/>
        <w:right w:val="none" w:sz="0" w:space="0" w:color="auto"/>
      </w:divBdr>
    </w:div>
    <w:div w:id="1982882268">
      <w:bodyDiv w:val="1"/>
      <w:marLeft w:val="0"/>
      <w:marRight w:val="0"/>
      <w:marTop w:val="0"/>
      <w:marBottom w:val="0"/>
      <w:divBdr>
        <w:top w:val="none" w:sz="0" w:space="0" w:color="auto"/>
        <w:left w:val="none" w:sz="0" w:space="0" w:color="auto"/>
        <w:bottom w:val="none" w:sz="0" w:space="0" w:color="auto"/>
        <w:right w:val="none" w:sz="0" w:space="0" w:color="auto"/>
      </w:divBdr>
    </w:div>
    <w:div w:id="2040430258">
      <w:bodyDiv w:val="1"/>
      <w:marLeft w:val="0"/>
      <w:marRight w:val="0"/>
      <w:marTop w:val="0"/>
      <w:marBottom w:val="0"/>
      <w:divBdr>
        <w:top w:val="none" w:sz="0" w:space="0" w:color="auto"/>
        <w:left w:val="none" w:sz="0" w:space="0" w:color="auto"/>
        <w:bottom w:val="none" w:sz="0" w:space="0" w:color="auto"/>
        <w:right w:val="none" w:sz="0" w:space="0" w:color="auto"/>
      </w:divBdr>
    </w:div>
    <w:div w:id="213378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hyperlink" Target="https://www-ncbi-nlm-nih-gov.liverpool.idm.oclc.org/pubmed/?term=Kebriaeezadeh%20A%5BAuthor%5D&amp;cauthor=true&amp;cauthor_uid=27512704" TargetMode="External"/><Relationship Id="rId3" Type="http://schemas.openxmlformats.org/officeDocument/2006/relationships/numbering" Target="numbering.xml"/><Relationship Id="rId21" Type="http://schemas.openxmlformats.org/officeDocument/2006/relationships/customXml" Target="ink/ink3.xml"/><Relationship Id="rId34" Type="http://schemas.openxmlformats.org/officeDocument/2006/relationships/hyperlink" Target="https://www-ncbi-nlm-nih-gov.liverpool.idm.oclc.org/pubmed/?term=Varmaghani%20M%5BAuthor%5D&amp;cauthor=true&amp;cauthor_uid=27512704"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25" Type="http://schemas.openxmlformats.org/officeDocument/2006/relationships/customXml" Target="ink/ink5.xml"/><Relationship Id="rId33" Type="http://schemas.openxmlformats.org/officeDocument/2006/relationships/hyperlink" Target="https://www-ncbi-nlm-nih-gov.liverpool.idm.oclc.org/pubmed/?term=Hashemi-Meshkini%20A%5BAuthor%5D&amp;cauthor=true&amp;cauthor_uid=27512704" TargetMode="External"/><Relationship Id="rId38" Type="http://schemas.openxmlformats.org/officeDocument/2006/relationships/hyperlink" Target="https://www-ncbi-nlm-nih-gov.liverpool.idm.oclc.org/pubmed/?term=Eslamitabar%20S%5BAuthor%5D&amp;cauthor=true&amp;cauthor_uid=27512704" TargetMode="External"/><Relationship Id="rId2" Type="http://schemas.openxmlformats.org/officeDocument/2006/relationships/customXml" Target="../customXml/item2.xml"/><Relationship Id="rId20" Type="http://schemas.openxmlformats.org/officeDocument/2006/relationships/image" Target="media/image3.emf"/><Relationship Id="rId29" Type="http://schemas.openxmlformats.org/officeDocument/2006/relationships/hyperlink" Target="https://doi.org/10.1080/09640568.2018.1456913"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image" Target="media/image5.emf"/><Relationship Id="rId32" Type="http://schemas.openxmlformats.org/officeDocument/2006/relationships/hyperlink" Target="https://www-ncbi-nlm-nih-gov.liverpool.idm.oclc.org/pubmed/?term=Zaboli%20P%5BAuthor%5D&amp;cauthor=true&amp;cauthor_uid=27512704" TargetMode="External"/><Relationship Id="rId37" Type="http://schemas.openxmlformats.org/officeDocument/2006/relationships/hyperlink" Target="https://www-ncbi-nlm-nih-gov.liverpool.idm.oclc.org/pubmed/?term=Zekri%20HS%5BAuthor%5D&amp;cauthor=true&amp;cauthor_uid=27512704" TargetMode="External"/><Relationship Id="rId40" Type="http://schemas.openxmlformats.org/officeDocument/2006/relationships/hyperlink" Target="http://dx.doi.org/10.3152/" TargetMode="External"/><Relationship Id="rId5" Type="http://schemas.openxmlformats.org/officeDocument/2006/relationships/settings" Target="settings.xml"/><Relationship Id="rId15" Type="http://schemas.openxmlformats.org/officeDocument/2006/relationships/customXml" Target="ink/ink1.xml"/><Relationship Id="rId23" Type="http://schemas.openxmlformats.org/officeDocument/2006/relationships/customXml" Target="ink/ink4.xml"/><Relationship Id="rId28" Type="http://schemas.openxmlformats.org/officeDocument/2006/relationships/hyperlink" Target="http://dx.doi.org/10.1080/14615517.2014.893620" TargetMode="External"/><Relationship Id="rId36" Type="http://schemas.openxmlformats.org/officeDocument/2006/relationships/hyperlink" Target="https://www-ncbi-nlm-nih-gov.liverpool.idm.oclc.org/pubmed/?term=Vazirian%20I%5BAuthor%5D&amp;cauthor=true&amp;cauthor_uid=27512704" TargetMode="External"/><Relationship Id="rId10" Type="http://schemas.openxmlformats.org/officeDocument/2006/relationships/image" Target="media/image1.jpg"/><Relationship Id="rId19" Type="http://schemas.openxmlformats.org/officeDocument/2006/relationships/customXml" Target="ink/ink2.xml"/><Relationship Id="rId31" Type="http://schemas.openxmlformats.org/officeDocument/2006/relationships/hyperlink" Target="https://www.google.co.uk/url?sa=t&amp;rct=j&amp;q=&amp;esrc=s&amp;source=web&amp;cd=1&amp;cad=rja&amp;uact=8&amp;ved=0ahUKEwjCpsHro8TRAhWmLcAKHWHvA6EQFggaMAA&amp;url=http%3A%2F%2Fwww.undp.org%2F&amp;usg=AFQjCNEULm1nTZluj9MieuoBxcpsA_IH1g" TargetMode="External"/><Relationship Id="rId4" Type="http://schemas.openxmlformats.org/officeDocument/2006/relationships/styles" Target="styles.xml"/><Relationship Id="rId9" Type="http://schemas.openxmlformats.org/officeDocument/2006/relationships/hyperlink" Target="http://www.undp.org/content/undp/en/home.html" TargetMode="External"/><Relationship Id="rId14" Type="http://schemas.openxmlformats.org/officeDocument/2006/relationships/image" Target="media/image4.jpg"/><Relationship Id="rId22" Type="http://schemas.openxmlformats.org/officeDocument/2006/relationships/image" Target="media/image4.emf"/><Relationship Id="rId27" Type="http://schemas.openxmlformats.org/officeDocument/2006/relationships/image" Target="media/image5.jpg"/><Relationship Id="rId30" Type="http://schemas.openxmlformats.org/officeDocument/2006/relationships/hyperlink" Target="https://doi.org/10.1080/09640568.2011.588063" TargetMode="External"/><Relationship Id="rId35" Type="http://schemas.openxmlformats.org/officeDocument/2006/relationships/hyperlink" Target="https://www-ncbi-nlm-nih-gov.liverpool.idm.oclc.org/pubmed/?term=Gholami%20H%5BAuthor%5D&amp;cauthor=true&amp;cauthor_uid=27512704"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Liverpool.%2010.5.18\Liverpool%20PHD%208.3.%2017\Thesis\CHAPTERS\Chapter%205.%20Iran%20EIA%20context\Number%20of%20interviewees%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Sheet2!$B$9</c:f>
              <c:strCache>
                <c:ptCount val="1"/>
                <c:pt idx="0">
                  <c:v>Percentage</c:v>
                </c:pt>
              </c:strCache>
            </c:strRef>
          </c:tx>
          <c:spPr>
            <a:solidFill>
              <a:schemeClr val="bg1">
                <a:lumMod val="65000"/>
              </a:schemeClr>
            </a:solidFill>
            <a:ln>
              <a:noFill/>
            </a:ln>
            <a:effectLst/>
          </c:spPr>
          <c:invertIfNegative val="0"/>
          <c:dLbls>
            <c:dLbl>
              <c:idx val="0"/>
              <c:tx>
                <c:rich>
                  <a:bodyPr/>
                  <a:lstStyle/>
                  <a:p>
                    <a:r>
                      <a:rPr lang="en-US"/>
                      <a:t>N=10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20C-4115-98AD-F98FD4F16710}"/>
                </c:ext>
                <c:ext xmlns:c15="http://schemas.microsoft.com/office/drawing/2012/chart" uri="{CE6537A1-D6FC-4f65-9D91-7224C49458BB}"/>
              </c:extLst>
            </c:dLbl>
            <c:dLbl>
              <c:idx val="1"/>
              <c:tx>
                <c:rich>
                  <a:bodyPr/>
                  <a:lstStyle/>
                  <a:p>
                    <a:r>
                      <a:rPr lang="en-US"/>
                      <a:t>N=8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20C-4115-98AD-F98FD4F16710}"/>
                </c:ext>
                <c:ext xmlns:c15="http://schemas.microsoft.com/office/drawing/2012/chart" uri="{CE6537A1-D6FC-4f65-9D91-7224C49458BB}"/>
              </c:extLst>
            </c:dLbl>
            <c:dLbl>
              <c:idx val="2"/>
              <c:tx>
                <c:rich>
                  <a:bodyPr/>
                  <a:lstStyle/>
                  <a:p>
                    <a:r>
                      <a:rPr lang="en-US"/>
                      <a:t>N=</a:t>
                    </a:r>
                    <a:r>
                      <a:rPr lang="en-US" baseline="0"/>
                      <a:t> 3</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20C-4115-98AD-F98FD4F16710}"/>
                </c:ext>
                <c:ext xmlns:c15="http://schemas.microsoft.com/office/drawing/2012/chart" uri="{CE6537A1-D6FC-4f65-9D91-7224C49458BB}"/>
              </c:extLst>
            </c:dLbl>
            <c:dLbl>
              <c:idx val="3"/>
              <c:tx>
                <c:rich>
                  <a:bodyPr/>
                  <a:lstStyle/>
                  <a:p>
                    <a:r>
                      <a:rPr lang="en-US"/>
                      <a:t>N=4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20C-4115-98AD-F98FD4F16710}"/>
                </c:ext>
                <c:ext xmlns:c15="http://schemas.microsoft.com/office/drawing/2012/chart" uri="{CE6537A1-D6FC-4f65-9D91-7224C49458BB}"/>
              </c:extLst>
            </c:dLbl>
            <c:dLbl>
              <c:idx val="4"/>
              <c:tx>
                <c:rich>
                  <a:bodyPr/>
                  <a:lstStyle/>
                  <a:p>
                    <a:r>
                      <a:rPr lang="en-US"/>
                      <a:t>N=5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20C-4115-98AD-F98FD4F1671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highlight>
                      <a:srgbClr val="FFFF00"/>
                    </a:highlight>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Sheet2!$A$10:$A$14</c:f>
              <c:strCache>
                <c:ptCount val="5"/>
                <c:pt idx="0">
                  <c:v> DoE</c:v>
                </c:pt>
                <c:pt idx="1">
                  <c:v>Consultancy</c:v>
                </c:pt>
                <c:pt idx="2">
                  <c:v>University</c:v>
                </c:pt>
                <c:pt idx="3">
                  <c:v>NGO</c:v>
                </c:pt>
                <c:pt idx="4">
                  <c:v>Developer </c:v>
                </c:pt>
              </c:strCache>
            </c:strRef>
          </c:cat>
          <c:val>
            <c:numRef>
              <c:f>Sheet2!$B$10:$B$14</c:f>
              <c:numCache>
                <c:formatCode>0</c:formatCode>
                <c:ptCount val="5"/>
                <c:pt idx="0">
                  <c:v>33</c:v>
                </c:pt>
                <c:pt idx="1">
                  <c:v>27</c:v>
                </c:pt>
                <c:pt idx="2">
                  <c:v>10</c:v>
                </c:pt>
                <c:pt idx="3">
                  <c:v>13</c:v>
                </c:pt>
                <c:pt idx="4">
                  <c:v>17</c:v>
                </c:pt>
              </c:numCache>
            </c:numRef>
          </c:val>
          <c:extLst xmlns:c16r2="http://schemas.microsoft.com/office/drawing/2015/06/chart">
            <c:ext xmlns:c16="http://schemas.microsoft.com/office/drawing/2014/chart" uri="{C3380CC4-5D6E-409C-BE32-E72D297353CC}">
              <c16:uniqueId val="{00000005-320C-4115-98AD-F98FD4F16710}"/>
            </c:ext>
          </c:extLst>
        </c:ser>
        <c:dLbls>
          <c:showLegendKey val="0"/>
          <c:showVal val="0"/>
          <c:showCatName val="0"/>
          <c:showSerName val="0"/>
          <c:showPercent val="0"/>
          <c:showBubbleSize val="0"/>
        </c:dLbls>
        <c:gapWidth val="150"/>
        <c:axId val="455418896"/>
        <c:axId val="455420464"/>
      </c:barChart>
      <c:catAx>
        <c:axId val="45541889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GB" sz="1200"/>
                  <a:t>Organisation</a:t>
                </a:r>
              </a:p>
            </c:rich>
          </c:tx>
          <c:layout>
            <c:manualLayout>
              <c:xMode val="edge"/>
              <c:yMode val="edge"/>
              <c:x val="0.45145491391179243"/>
              <c:y val="0.90864978902953586"/>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000" b="1" i="0" u="none" strike="noStrike" kern="1200" baseline="0">
                <a:solidFill>
                  <a:schemeClr val="tx1"/>
                </a:solidFill>
                <a:latin typeface="+mn-lt"/>
                <a:ea typeface="+mn-ea"/>
                <a:cs typeface="+mn-cs"/>
              </a:defRPr>
            </a:pPr>
            <a:endParaRPr lang="en-US"/>
          </a:p>
        </c:txPr>
        <c:crossAx val="455420464"/>
        <c:crosses val="autoZero"/>
        <c:auto val="1"/>
        <c:lblAlgn val="ctr"/>
        <c:lblOffset val="100"/>
        <c:noMultiLvlLbl val="0"/>
      </c:catAx>
      <c:valAx>
        <c:axId val="455420464"/>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GB" sz="1200"/>
                  <a:t>Percentage</a:t>
                </a:r>
              </a:p>
            </c:rich>
          </c:tx>
          <c:layout>
            <c:manualLayout>
              <c:xMode val="edge"/>
              <c:yMode val="edge"/>
              <c:x val="2.0956123117223315E-2"/>
              <c:y val="0.34201667829496002"/>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crossAx val="455418896"/>
        <c:crosses val="autoZero"/>
        <c:crossBetween val="between"/>
      </c:valAx>
      <c:spPr>
        <a:solidFill>
          <a:schemeClr val="bg1"/>
        </a:solidFill>
        <a:ln>
          <a:noFill/>
        </a:ln>
        <a:effectLst/>
      </c:spPr>
    </c:plotArea>
    <c:plotVisOnly val="1"/>
    <c:dispBlanksAs val="gap"/>
    <c:showDLblsOverMax val="0"/>
  </c:chart>
  <c:spPr>
    <a:solidFill>
      <a:schemeClr val="bg1"/>
    </a:solidFill>
    <a:ln w="19050" cap="flat" cmpd="sng" algn="ctr">
      <a:solidFill>
        <a:schemeClr val="tx1">
          <a:alpha val="68000"/>
        </a:schemeClr>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6-06T13:23:08.301"/>
    </inkml:context>
    <inkml:brush xml:id="br0">
      <inkml:brushProperty name="width" value="0.35" units="cm"/>
      <inkml:brushProperty name="height" value="0.35" units="cm"/>
      <inkml:brushProperty name="color" value="#FFFFFF"/>
      <inkml:brushProperty name="ignorePressure" value="1"/>
    </inkml:brush>
  </inkml:definitions>
  <inkml:trace contextRef="#ctx0" brushRef="#br0">332 89,'-12'-2,"-1"0,1 0,0-1,0 0,0-1,1-1,0 0,-7-4,-46-17,36 17,19 5,0 1,0 0,-1 1,1 0,0 0,-1 1,1 0,-1 1,-1 0,10 0,-1 0,1 0,0 1,-1-1,1 0,0 1,-1-1,1 0,0 1,0 0,-1-1,1 1,0 0,0 0,0-1,0 1,0 0,0 0,0 0,0 0,0 1,0-1,1 0,-1 0,0 0,1 1,-1-1,1 0,-1 1,1-1,0 0,-1 1,1-1,0 0,0 1,0-1,0 1,0-1,1 0,-1 2,1 2,1 0,-1-1,1 1,-1 0,2-1,-1 1,0-1,1 0,0 0,3 4,-2-2,1-1,1 1,-1-1,1 0,0 0,1 0,-1-1,1 0,-1-1,1 1,0-1,1 0,-1-1,0 0,1 0,3 0,3-1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6-06T13:22:58.153"/>
    </inkml:context>
    <inkml:brush xml:id="br0">
      <inkml:brushProperty name="width" value="0.35" units="cm"/>
      <inkml:brushProperty name="height" value="0.35" units="cm"/>
      <inkml:brushProperty name="color" value="#FFFFFF"/>
      <inkml:brushProperty name="ignorePressure" value="1"/>
    </inkml:brush>
  </inkml:definitions>
  <inkml:trace contextRef="#ctx0" brushRef="#br0">1 1,'0'1,"0"0,1 0,-1 0,0 0,1 0,-1 0,1 0,-1 0,1 0,0 0,-1 0,1-1,0 1,0 0,0 0,-1-1,1 1,0 0,0-1,0 1,0-1,0 1,0-1,28 11,-24-9,74 21,9 0,-68-19,-6 0,0-2,1 0,-1 0,1-2,0 0,-1 0,1-1,-1-1,3-1,-5-1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6-06T13:22:54.791"/>
    </inkml:context>
    <inkml:brush xml:id="br0">
      <inkml:brushProperty name="width" value="0.35" units="cm"/>
      <inkml:brushProperty name="height" value="0.35" units="cm"/>
      <inkml:brushProperty name="color" value="#FFFFFF"/>
      <inkml:brushProperty name="ignorePressure" value="1"/>
    </inkml:brush>
  </inkml:definitions>
  <inkml:trace contextRef="#ctx0" brushRef="#br0">1 1,'31'1,"1"2,-1 1,0 2,27 7,-12-6,-31-7</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6-06T13:22:52.640"/>
    </inkml:context>
    <inkml:brush xml:id="br0">
      <inkml:brushProperty name="width" value="0.35" units="cm"/>
      <inkml:brushProperty name="height" value="0.35" units="cm"/>
      <inkml:brushProperty name="color" value="#FFFFFF"/>
      <inkml:brushProperty name="ignorePressure" value="1"/>
    </inkml:brush>
  </inkml:definitions>
  <inkml:trace contextRef="#ctx0" brushRef="#br0">1 124,'1'-1,"1"0,-1 1,1-1,-1 0,1 0,-1 0,0 0,0 0,1 0,-1 0,0 0,0 0,0-1,0 1,0-2,16-22,-16 24,12-23,-11 18,1 1,-1 0,1 0,1 1,-1-1,3-2,-4 5,0 0,1 0,-1 1,1-1,-1 1,1-1,-1 1,1 0,0 0,0 0,0 0,-1 1,1-1,0 1,3 0,3 0,1 1,-1 0,0 1,1 0,-1 0,0 1,0 0,0 1,0 0,-1 1,0-1,1 1,2 2,2-1,-2 0,2-1,0 0,7 1,-8-3,0 1,0 1,0 0,0 1,-1 0,0 0,3 3,-1 0,0-1,0-1,1-1,13 4,9 3,-33-12,-6-1,-18-7,-11-4,21 6,-1 1,0 0,0 0,0 2,0-1,-6 1,16 2,0-1,0 1,0 0,0 1,0-1,0 0,0 0,1 1,-1-1,0 1,0 0,0-1,1 1,-1 0,0 0,1 0,-1 0,1 0,-1 1,1-1,0 0,-1 1,1-1,0 1,0-1,0 1,0 0,0 1,-2 3,2 1,-1 0,1 0,0 0,0 1,1-1,0 1,-3 35,2-40,1-1,-1 0,1 0,-1 0,0 0,0 0,0 0,0 0,0 0,0 0,-1 0,1 0,-1 0,1-1,-1 1,-2 1,-1-1,1 0,-1 1,0-2,0 1,1 0,-1-1,0 0,1 0,-1-1,0 1,-5-1,-2 0,1-1,-1 0,0 0,1-1,-1 0,-4-3</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6-06T13:22:49.116"/>
    </inkml:context>
    <inkml:brush xml:id="br0">
      <inkml:brushProperty name="width" value="0.35" units="cm"/>
      <inkml:brushProperty name="height" value="0.35" units="cm"/>
      <inkml:brushProperty name="color" value="#FFFFFF"/>
      <inkml:brushProperty name="ignorePressure" value="1"/>
    </inkml:brush>
  </inkml:definitions>
  <inkml:trace contextRef="#ctx0" brushRef="#br0">1 53,'37'13,"85"5,-121-18,1 1,-1-1,1 0,-1 0,1 0,-1 0,1 0,-1 0,1 0,-1 0,1-1,-1 1,1-1,-1 1,0-1,1 0,-1 1,1-1,-1 0,0 0,0 0,0 0,1-1,0-1,0 0,0 0,-1 0,1 0,-1 0,0-1,0 1,0-3,0 2,0 0,0 0,1 0,-1 0,1 0,0 0,1-1,-2 4,0 0,0 0,0 0,1 1,-1-1,0 0,1 1,-1-1,1 1,-1-1,1 1,-1-1,1 1,-1 0,1 0,-1 0,1 0,-1 0,1 0,-1 0,0 1,0-1,1 0,-1 1,2 0,41 16,-37-14,7 2,-1 1,-1 0,1 1,-1 0,0 1,-1 0,1 1,-2-1,1 2,2 4,-4-3,1 0,0 0,7 5,-7-8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60F48-9F53-40E7-AF83-DF2C80D7C3EE}">
  <ds:schemaRefs>
    <ds:schemaRef ds:uri="http://schemas.openxmlformats.org/officeDocument/2006/bibliography"/>
  </ds:schemaRefs>
</ds:datastoreItem>
</file>

<file path=customXml/itemProps2.xml><?xml version="1.0" encoding="utf-8"?>
<ds:datastoreItem xmlns:ds="http://schemas.openxmlformats.org/officeDocument/2006/customXml" ds:itemID="{57599BBD-3E82-447D-8C3E-C169ECC9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8691</Words>
  <Characters>49541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mehri</dc:creator>
  <cp:lastModifiedBy>Prasenjit Thakur</cp:lastModifiedBy>
  <cp:revision>2</cp:revision>
  <cp:lastPrinted>2017-12-10T14:19:00Z</cp:lastPrinted>
  <dcterms:created xsi:type="dcterms:W3CDTF">2018-10-25T21:51:00Z</dcterms:created>
  <dcterms:modified xsi:type="dcterms:W3CDTF">2018-10-25T21:51:00Z</dcterms:modified>
</cp:coreProperties>
</file>