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89066" w14:textId="77777777" w:rsidR="0088542C" w:rsidRPr="0098723C" w:rsidRDefault="0088542C" w:rsidP="009C0FAB">
      <w:pPr>
        <w:pStyle w:val="Heading"/>
        <w:spacing w:after="240" w:line="480" w:lineRule="auto"/>
        <w:rPr>
          <w:color w:val="auto"/>
          <w:lang w:val="en-GB"/>
        </w:rPr>
      </w:pPr>
      <w:bookmarkStart w:id="0" w:name="_Hlk483209761"/>
      <w:bookmarkStart w:id="1" w:name="_GoBack"/>
      <w:bookmarkEnd w:id="1"/>
      <w:r w:rsidRPr="0098723C">
        <w:rPr>
          <w:color w:val="auto"/>
          <w:lang w:val="en-GB"/>
        </w:rPr>
        <w:t>Title</w:t>
      </w:r>
    </w:p>
    <w:p w14:paraId="5D987F7B" w14:textId="08D4742E" w:rsidR="00103A5C" w:rsidRPr="0098723C" w:rsidRDefault="00103A5C" w:rsidP="00103A5C">
      <w:pPr>
        <w:pStyle w:val="Body"/>
        <w:spacing w:after="0" w:line="480" w:lineRule="auto"/>
        <w:jc w:val="both"/>
        <w:rPr>
          <w:rFonts w:ascii="Verdana" w:hAnsi="Verdana"/>
          <w:color w:val="auto"/>
          <w:sz w:val="24"/>
          <w:szCs w:val="24"/>
        </w:rPr>
      </w:pPr>
      <w:r w:rsidRPr="0098723C">
        <w:rPr>
          <w:rFonts w:ascii="Verdana" w:hAnsi="Verdana"/>
          <w:color w:val="auto"/>
          <w:sz w:val="24"/>
          <w:szCs w:val="24"/>
        </w:rPr>
        <w:t xml:space="preserve">All-cause and </w:t>
      </w:r>
      <w:r w:rsidR="00E03423">
        <w:rPr>
          <w:rFonts w:ascii="Verdana" w:hAnsi="Verdana"/>
          <w:color w:val="auto"/>
          <w:sz w:val="24"/>
          <w:szCs w:val="24"/>
        </w:rPr>
        <w:t>c</w:t>
      </w:r>
      <w:r w:rsidRPr="0098723C">
        <w:rPr>
          <w:rFonts w:ascii="Verdana" w:hAnsi="Verdana"/>
          <w:color w:val="auto"/>
          <w:sz w:val="24"/>
          <w:szCs w:val="24"/>
        </w:rPr>
        <w:t>ause-specific mortality rates of patients treated for alcohol use disorders: a meta-analysis</w:t>
      </w:r>
    </w:p>
    <w:p w14:paraId="3E5F7723" w14:textId="77777777" w:rsidR="005C2377" w:rsidRPr="0098723C" w:rsidRDefault="00F42C51" w:rsidP="009C0FAB">
      <w:pPr>
        <w:pStyle w:val="Heading"/>
        <w:spacing w:after="240" w:line="480" w:lineRule="auto"/>
        <w:rPr>
          <w:color w:val="auto"/>
          <w:lang w:val="en-GB"/>
        </w:rPr>
      </w:pPr>
      <w:r w:rsidRPr="0098723C">
        <w:rPr>
          <w:color w:val="auto"/>
          <w:lang w:val="en-GB"/>
        </w:rPr>
        <w:t>Abstract</w:t>
      </w:r>
    </w:p>
    <w:p w14:paraId="6F6A514E" w14:textId="77777777" w:rsidR="003E78F9" w:rsidRPr="0098723C" w:rsidRDefault="00EB03F8" w:rsidP="009C0FAB">
      <w:pPr>
        <w:pStyle w:val="Body"/>
        <w:spacing w:before="240" w:line="480" w:lineRule="auto"/>
        <w:jc w:val="both"/>
        <w:rPr>
          <w:rFonts w:ascii="Verdana" w:hAnsi="Verdana"/>
          <w:color w:val="auto"/>
          <w:sz w:val="24"/>
          <w:szCs w:val="24"/>
          <w:u w:val="single"/>
        </w:rPr>
      </w:pPr>
      <w:bookmarkStart w:id="2" w:name="_Hlk490143229"/>
      <w:r w:rsidRPr="0098723C">
        <w:rPr>
          <w:rFonts w:ascii="Verdana" w:hAnsi="Verdana"/>
          <w:color w:val="auto"/>
          <w:sz w:val="24"/>
          <w:szCs w:val="24"/>
          <w:u w:val="single"/>
        </w:rPr>
        <w:t>Background</w:t>
      </w:r>
    </w:p>
    <w:p w14:paraId="5CBE0423" w14:textId="77777777" w:rsidR="003E78F9" w:rsidRPr="0098723C" w:rsidRDefault="00641D63" w:rsidP="009C0FAB">
      <w:pPr>
        <w:pStyle w:val="Body"/>
        <w:spacing w:before="240" w:line="480" w:lineRule="auto"/>
        <w:jc w:val="both"/>
        <w:rPr>
          <w:rFonts w:ascii="Verdana" w:hAnsi="Verdana"/>
          <w:color w:val="auto"/>
          <w:sz w:val="24"/>
          <w:szCs w:val="24"/>
        </w:rPr>
      </w:pPr>
      <w:r w:rsidRPr="0098723C">
        <w:rPr>
          <w:rFonts w:ascii="Verdana" w:hAnsi="Verdana"/>
          <w:color w:val="auto"/>
          <w:sz w:val="24"/>
          <w:szCs w:val="24"/>
        </w:rPr>
        <w:t>Alt</w:t>
      </w:r>
      <w:r w:rsidR="001D2F1B" w:rsidRPr="0098723C">
        <w:rPr>
          <w:rFonts w:ascii="Verdana" w:hAnsi="Verdana"/>
          <w:color w:val="auto"/>
          <w:sz w:val="24"/>
          <w:szCs w:val="24"/>
        </w:rPr>
        <w:t xml:space="preserve">hough alcohol </w:t>
      </w:r>
      <w:r w:rsidR="00CD3139" w:rsidRPr="0098723C">
        <w:rPr>
          <w:rFonts w:ascii="Verdana" w:hAnsi="Verdana"/>
          <w:color w:val="auto"/>
          <w:sz w:val="24"/>
          <w:szCs w:val="24"/>
        </w:rPr>
        <w:t xml:space="preserve">use disorders </w:t>
      </w:r>
      <w:r w:rsidR="00F85D24" w:rsidRPr="0098723C">
        <w:rPr>
          <w:rFonts w:ascii="Verdana" w:hAnsi="Verdana"/>
          <w:color w:val="auto"/>
          <w:sz w:val="24"/>
          <w:szCs w:val="24"/>
        </w:rPr>
        <w:t xml:space="preserve">(AUD) </w:t>
      </w:r>
      <w:r w:rsidR="00CD3139" w:rsidRPr="0098723C">
        <w:rPr>
          <w:rFonts w:ascii="Verdana" w:hAnsi="Verdana"/>
          <w:color w:val="auto"/>
          <w:sz w:val="24"/>
          <w:szCs w:val="24"/>
        </w:rPr>
        <w:t>are</w:t>
      </w:r>
      <w:r w:rsidR="001D2F1B" w:rsidRPr="0098723C">
        <w:rPr>
          <w:rFonts w:ascii="Verdana" w:hAnsi="Verdana"/>
          <w:color w:val="auto"/>
          <w:sz w:val="24"/>
          <w:szCs w:val="24"/>
        </w:rPr>
        <w:t xml:space="preserve"> </w:t>
      </w:r>
      <w:r w:rsidR="00A0449B" w:rsidRPr="0098723C">
        <w:rPr>
          <w:rFonts w:ascii="Verdana" w:hAnsi="Verdana"/>
          <w:color w:val="auto"/>
          <w:sz w:val="24"/>
          <w:szCs w:val="24"/>
        </w:rPr>
        <w:t xml:space="preserve">known </w:t>
      </w:r>
      <w:r w:rsidR="001D2F1B" w:rsidRPr="0098723C">
        <w:rPr>
          <w:rFonts w:ascii="Verdana" w:hAnsi="Verdana"/>
          <w:color w:val="auto"/>
          <w:sz w:val="24"/>
          <w:szCs w:val="24"/>
        </w:rPr>
        <w:t xml:space="preserve">to increase the </w:t>
      </w:r>
      <w:r w:rsidR="008F018D" w:rsidRPr="0098723C">
        <w:rPr>
          <w:rFonts w:ascii="Verdana" w:hAnsi="Verdana"/>
          <w:color w:val="auto"/>
          <w:sz w:val="24"/>
          <w:szCs w:val="24"/>
        </w:rPr>
        <w:t xml:space="preserve">relative </w:t>
      </w:r>
      <w:r w:rsidR="001D2F1B" w:rsidRPr="0098723C">
        <w:rPr>
          <w:rFonts w:ascii="Verdana" w:hAnsi="Verdana"/>
          <w:color w:val="auto"/>
          <w:sz w:val="24"/>
          <w:szCs w:val="24"/>
        </w:rPr>
        <w:t xml:space="preserve">risk of </w:t>
      </w:r>
      <w:r w:rsidR="00FC7B76" w:rsidRPr="0098723C">
        <w:rPr>
          <w:rFonts w:ascii="Verdana" w:hAnsi="Verdana"/>
          <w:color w:val="auto"/>
          <w:sz w:val="24"/>
          <w:szCs w:val="24"/>
        </w:rPr>
        <w:t>all-cause and</w:t>
      </w:r>
      <w:r w:rsidR="00A0449B" w:rsidRPr="0098723C">
        <w:rPr>
          <w:rFonts w:ascii="Verdana" w:hAnsi="Verdana"/>
          <w:color w:val="auto"/>
          <w:sz w:val="24"/>
          <w:szCs w:val="24"/>
        </w:rPr>
        <w:t xml:space="preserve"> some</w:t>
      </w:r>
      <w:r w:rsidR="00FC7B76" w:rsidRPr="0098723C">
        <w:rPr>
          <w:rFonts w:ascii="Verdana" w:hAnsi="Verdana"/>
          <w:color w:val="auto"/>
          <w:sz w:val="24"/>
          <w:szCs w:val="24"/>
        </w:rPr>
        <w:t xml:space="preserve"> cause-specific mortalit</w:t>
      </w:r>
      <w:r w:rsidR="00A0449B" w:rsidRPr="0098723C">
        <w:rPr>
          <w:rFonts w:ascii="Verdana" w:hAnsi="Verdana"/>
          <w:color w:val="auto"/>
          <w:sz w:val="24"/>
          <w:szCs w:val="24"/>
        </w:rPr>
        <w:t>ies</w:t>
      </w:r>
      <w:r w:rsidR="00FC7B76" w:rsidRPr="0098723C">
        <w:rPr>
          <w:rFonts w:ascii="Verdana" w:hAnsi="Verdana"/>
          <w:color w:val="auto"/>
          <w:sz w:val="24"/>
          <w:szCs w:val="24"/>
        </w:rPr>
        <w:t xml:space="preserve">, </w:t>
      </w:r>
      <w:r w:rsidR="001D2F1B" w:rsidRPr="0098723C">
        <w:rPr>
          <w:rFonts w:ascii="Verdana" w:hAnsi="Verdana"/>
          <w:color w:val="auto"/>
          <w:sz w:val="24"/>
          <w:szCs w:val="24"/>
        </w:rPr>
        <w:t xml:space="preserve">the </w:t>
      </w:r>
      <w:r w:rsidR="008F018D" w:rsidRPr="0098723C">
        <w:rPr>
          <w:rFonts w:ascii="Verdana" w:hAnsi="Verdana"/>
          <w:color w:val="auto"/>
          <w:sz w:val="24"/>
          <w:szCs w:val="24"/>
        </w:rPr>
        <w:t xml:space="preserve">absolute </w:t>
      </w:r>
      <w:r w:rsidR="00FC7B76" w:rsidRPr="0098723C">
        <w:rPr>
          <w:rFonts w:ascii="Verdana" w:hAnsi="Verdana"/>
          <w:color w:val="auto"/>
          <w:sz w:val="24"/>
          <w:szCs w:val="24"/>
        </w:rPr>
        <w:t xml:space="preserve">mortality </w:t>
      </w:r>
      <w:r w:rsidRPr="0098723C">
        <w:rPr>
          <w:rFonts w:ascii="Verdana" w:hAnsi="Verdana"/>
          <w:color w:val="auto"/>
          <w:sz w:val="24"/>
          <w:szCs w:val="24"/>
        </w:rPr>
        <w:t xml:space="preserve">rates </w:t>
      </w:r>
      <w:r w:rsidR="00E441DB" w:rsidRPr="0098723C">
        <w:rPr>
          <w:rFonts w:ascii="Verdana" w:hAnsi="Verdana"/>
          <w:color w:val="auto"/>
          <w:sz w:val="24"/>
          <w:szCs w:val="24"/>
        </w:rPr>
        <w:t xml:space="preserve">of </w:t>
      </w:r>
      <w:r w:rsidR="004713A0" w:rsidRPr="0098723C">
        <w:rPr>
          <w:rFonts w:ascii="Verdana" w:hAnsi="Verdana"/>
          <w:color w:val="auto"/>
          <w:sz w:val="24"/>
          <w:szCs w:val="24"/>
        </w:rPr>
        <w:t xml:space="preserve">the AUD population </w:t>
      </w:r>
      <w:r w:rsidR="004E11FA" w:rsidRPr="0098723C">
        <w:rPr>
          <w:rFonts w:ascii="Verdana" w:hAnsi="Verdana"/>
          <w:color w:val="auto"/>
          <w:sz w:val="24"/>
          <w:szCs w:val="24"/>
        </w:rPr>
        <w:t xml:space="preserve">are </w:t>
      </w:r>
      <w:r w:rsidR="00A65D40" w:rsidRPr="0098723C">
        <w:rPr>
          <w:rFonts w:ascii="Verdana" w:hAnsi="Verdana"/>
          <w:color w:val="auto"/>
          <w:sz w:val="24"/>
          <w:szCs w:val="24"/>
        </w:rPr>
        <w:t>unknown</w:t>
      </w:r>
      <w:r w:rsidR="001D2F1B" w:rsidRPr="0098723C">
        <w:rPr>
          <w:rFonts w:ascii="Verdana" w:hAnsi="Verdana"/>
          <w:color w:val="auto"/>
          <w:sz w:val="24"/>
          <w:szCs w:val="24"/>
        </w:rPr>
        <w:t xml:space="preserve">. Such knowledge would </w:t>
      </w:r>
      <w:r w:rsidR="00A65D40" w:rsidRPr="0098723C">
        <w:rPr>
          <w:rFonts w:ascii="Verdana" w:hAnsi="Verdana"/>
          <w:color w:val="auto"/>
          <w:sz w:val="24"/>
          <w:szCs w:val="24"/>
        </w:rPr>
        <w:t xml:space="preserve">benefit </w:t>
      </w:r>
      <w:r w:rsidR="008F018D" w:rsidRPr="0098723C">
        <w:rPr>
          <w:rFonts w:ascii="Verdana" w:hAnsi="Verdana"/>
          <w:color w:val="auto"/>
          <w:sz w:val="24"/>
          <w:szCs w:val="24"/>
        </w:rPr>
        <w:t>planners of</w:t>
      </w:r>
      <w:r w:rsidRPr="0098723C">
        <w:rPr>
          <w:rFonts w:ascii="Verdana" w:hAnsi="Verdana"/>
          <w:color w:val="auto"/>
          <w:sz w:val="24"/>
          <w:szCs w:val="24"/>
        </w:rPr>
        <w:t xml:space="preserve"> </w:t>
      </w:r>
      <w:r w:rsidR="001D2F1B" w:rsidRPr="0098723C">
        <w:rPr>
          <w:rFonts w:ascii="Verdana" w:hAnsi="Verdana"/>
          <w:color w:val="auto"/>
          <w:sz w:val="24"/>
          <w:szCs w:val="24"/>
        </w:rPr>
        <w:t xml:space="preserve">the provision of services </w:t>
      </w:r>
      <w:r w:rsidR="00A0449B" w:rsidRPr="0098723C">
        <w:rPr>
          <w:rFonts w:ascii="Verdana" w:hAnsi="Verdana"/>
          <w:color w:val="auto"/>
          <w:sz w:val="24"/>
          <w:szCs w:val="24"/>
        </w:rPr>
        <w:t>for</w:t>
      </w:r>
      <w:r w:rsidR="004713A0" w:rsidRPr="0098723C">
        <w:rPr>
          <w:rFonts w:ascii="Verdana" w:hAnsi="Verdana"/>
          <w:color w:val="auto"/>
          <w:sz w:val="24"/>
          <w:szCs w:val="24"/>
        </w:rPr>
        <w:t xml:space="preserve"> </w:t>
      </w:r>
      <w:r w:rsidR="001D2F1B" w:rsidRPr="0098723C">
        <w:rPr>
          <w:rFonts w:ascii="Verdana" w:hAnsi="Verdana"/>
          <w:color w:val="auto"/>
          <w:sz w:val="24"/>
          <w:szCs w:val="24"/>
        </w:rPr>
        <w:t xml:space="preserve">this </w:t>
      </w:r>
      <w:r w:rsidR="00CD3139" w:rsidRPr="0098723C">
        <w:rPr>
          <w:rFonts w:ascii="Verdana" w:hAnsi="Verdana"/>
          <w:color w:val="auto"/>
          <w:sz w:val="24"/>
          <w:szCs w:val="24"/>
        </w:rPr>
        <w:t>population</w:t>
      </w:r>
      <w:r w:rsidR="001F0854" w:rsidRPr="0098723C">
        <w:rPr>
          <w:rFonts w:ascii="Verdana" w:hAnsi="Verdana"/>
          <w:color w:val="auto"/>
          <w:sz w:val="24"/>
          <w:szCs w:val="24"/>
        </w:rPr>
        <w:t xml:space="preserve">, including in </w:t>
      </w:r>
      <w:r w:rsidR="00A0449B" w:rsidRPr="0098723C">
        <w:rPr>
          <w:rFonts w:ascii="Verdana" w:hAnsi="Verdana"/>
          <w:color w:val="auto"/>
          <w:sz w:val="24"/>
          <w:szCs w:val="24"/>
        </w:rPr>
        <w:t>prioritis</w:t>
      </w:r>
      <w:r w:rsidR="001F0854" w:rsidRPr="0098723C">
        <w:rPr>
          <w:rFonts w:ascii="Verdana" w:hAnsi="Verdana"/>
          <w:color w:val="auto"/>
          <w:sz w:val="24"/>
          <w:szCs w:val="24"/>
        </w:rPr>
        <w:t xml:space="preserve">ing </w:t>
      </w:r>
      <w:r w:rsidR="00261A5C" w:rsidRPr="0098723C">
        <w:rPr>
          <w:rFonts w:ascii="Verdana" w:hAnsi="Verdana"/>
          <w:color w:val="auto"/>
          <w:sz w:val="24"/>
          <w:szCs w:val="24"/>
        </w:rPr>
        <w:t xml:space="preserve">the identification </w:t>
      </w:r>
      <w:r w:rsidR="009C0FAB" w:rsidRPr="0098723C">
        <w:rPr>
          <w:rFonts w:ascii="Verdana" w:hAnsi="Verdana"/>
          <w:color w:val="auto"/>
          <w:sz w:val="24"/>
          <w:szCs w:val="24"/>
        </w:rPr>
        <w:t>and/</w:t>
      </w:r>
      <w:r w:rsidR="00261A5C" w:rsidRPr="0098723C">
        <w:rPr>
          <w:rFonts w:ascii="Verdana" w:hAnsi="Verdana"/>
          <w:color w:val="auto"/>
          <w:sz w:val="24"/>
          <w:szCs w:val="24"/>
        </w:rPr>
        <w:t xml:space="preserve">or treatment of </w:t>
      </w:r>
      <w:r w:rsidR="00A0449B" w:rsidRPr="0098723C">
        <w:rPr>
          <w:rFonts w:ascii="Verdana" w:hAnsi="Verdana"/>
          <w:color w:val="auto"/>
          <w:sz w:val="24"/>
          <w:szCs w:val="24"/>
        </w:rPr>
        <w:t>diseases likely to cause their death</w:t>
      </w:r>
      <w:r w:rsidR="001D2F1B" w:rsidRPr="0098723C">
        <w:rPr>
          <w:rFonts w:ascii="Verdana" w:hAnsi="Verdana"/>
          <w:color w:val="auto"/>
          <w:sz w:val="24"/>
          <w:szCs w:val="24"/>
        </w:rPr>
        <w:t>.</w:t>
      </w:r>
    </w:p>
    <w:p w14:paraId="00B194A6" w14:textId="77777777" w:rsidR="003E78F9" w:rsidRPr="0098723C" w:rsidRDefault="003E78F9" w:rsidP="009C0FAB">
      <w:pPr>
        <w:pStyle w:val="Body"/>
        <w:spacing w:before="240" w:line="480" w:lineRule="auto"/>
        <w:jc w:val="both"/>
        <w:rPr>
          <w:rFonts w:ascii="Verdana" w:hAnsi="Verdana"/>
          <w:color w:val="auto"/>
          <w:sz w:val="24"/>
          <w:szCs w:val="24"/>
          <w:u w:val="single"/>
        </w:rPr>
      </w:pPr>
      <w:r w:rsidRPr="0098723C">
        <w:rPr>
          <w:rFonts w:ascii="Verdana" w:hAnsi="Verdana"/>
          <w:color w:val="auto"/>
          <w:sz w:val="24"/>
          <w:szCs w:val="24"/>
          <w:u w:val="single"/>
        </w:rPr>
        <w:t>Methods</w:t>
      </w:r>
    </w:p>
    <w:p w14:paraId="37A0674B" w14:textId="77777777" w:rsidR="00EF01E9" w:rsidRPr="0098723C" w:rsidRDefault="00EF01E9" w:rsidP="009C0FAB">
      <w:pPr>
        <w:pStyle w:val="Body"/>
        <w:spacing w:before="240" w:line="480" w:lineRule="auto"/>
        <w:jc w:val="both"/>
        <w:rPr>
          <w:rFonts w:ascii="Verdana" w:hAnsi="Verdana"/>
          <w:color w:val="auto"/>
          <w:sz w:val="24"/>
          <w:szCs w:val="24"/>
        </w:rPr>
      </w:pPr>
      <w:r w:rsidRPr="0098723C">
        <w:rPr>
          <w:rFonts w:ascii="Verdana" w:hAnsi="Verdana"/>
          <w:color w:val="auto"/>
          <w:sz w:val="24"/>
          <w:szCs w:val="24"/>
        </w:rPr>
        <w:t xml:space="preserve">We </w:t>
      </w:r>
      <w:r w:rsidR="00477A20" w:rsidRPr="0098723C">
        <w:rPr>
          <w:rFonts w:ascii="Verdana" w:hAnsi="Verdana"/>
          <w:color w:val="auto"/>
          <w:sz w:val="24"/>
          <w:szCs w:val="24"/>
        </w:rPr>
        <w:t xml:space="preserve">conducted </w:t>
      </w:r>
      <w:r w:rsidR="008F018D" w:rsidRPr="0098723C">
        <w:rPr>
          <w:rFonts w:ascii="Verdana" w:hAnsi="Verdana"/>
          <w:color w:val="auto"/>
          <w:sz w:val="24"/>
          <w:szCs w:val="24"/>
        </w:rPr>
        <w:t xml:space="preserve">a </w:t>
      </w:r>
      <w:r w:rsidR="00477A20" w:rsidRPr="0098723C">
        <w:rPr>
          <w:rFonts w:ascii="Verdana" w:hAnsi="Verdana"/>
          <w:color w:val="auto"/>
          <w:sz w:val="24"/>
          <w:szCs w:val="24"/>
        </w:rPr>
        <w:t xml:space="preserve">systematic review </w:t>
      </w:r>
      <w:r w:rsidR="00A0449B" w:rsidRPr="0098723C">
        <w:rPr>
          <w:rFonts w:ascii="Verdana" w:hAnsi="Verdana"/>
          <w:color w:val="auto"/>
          <w:sz w:val="24"/>
          <w:szCs w:val="24"/>
        </w:rPr>
        <w:t xml:space="preserve">of </w:t>
      </w:r>
      <w:r w:rsidRPr="0098723C">
        <w:rPr>
          <w:rFonts w:ascii="Verdana" w:hAnsi="Verdana"/>
          <w:color w:val="auto"/>
          <w:sz w:val="24"/>
          <w:szCs w:val="24"/>
        </w:rPr>
        <w:t>studies in English</w:t>
      </w:r>
      <w:r w:rsidR="00A0449B" w:rsidRPr="0098723C">
        <w:rPr>
          <w:rFonts w:ascii="Verdana" w:hAnsi="Verdana"/>
          <w:color w:val="auto"/>
          <w:sz w:val="24"/>
          <w:szCs w:val="24"/>
        </w:rPr>
        <w:t>,</w:t>
      </w:r>
      <w:r w:rsidRPr="0098723C">
        <w:rPr>
          <w:rFonts w:ascii="Verdana" w:hAnsi="Verdana"/>
          <w:color w:val="auto"/>
          <w:sz w:val="24"/>
          <w:szCs w:val="24"/>
        </w:rPr>
        <w:t xml:space="preserve"> report</w:t>
      </w:r>
      <w:r w:rsidR="001D2F1B" w:rsidRPr="0098723C">
        <w:rPr>
          <w:rFonts w:ascii="Verdana" w:hAnsi="Verdana"/>
          <w:color w:val="auto"/>
          <w:sz w:val="24"/>
          <w:szCs w:val="24"/>
        </w:rPr>
        <w:t>ing</w:t>
      </w:r>
      <w:r w:rsidRPr="0098723C">
        <w:rPr>
          <w:rFonts w:ascii="Verdana" w:hAnsi="Verdana"/>
          <w:color w:val="auto"/>
          <w:sz w:val="24"/>
          <w:szCs w:val="24"/>
        </w:rPr>
        <w:t xml:space="preserve"> </w:t>
      </w:r>
      <w:r w:rsidR="004E11FA" w:rsidRPr="0098723C">
        <w:rPr>
          <w:rFonts w:ascii="Verdana" w:hAnsi="Verdana"/>
          <w:color w:val="auto"/>
          <w:sz w:val="24"/>
          <w:szCs w:val="24"/>
        </w:rPr>
        <w:t xml:space="preserve">the </w:t>
      </w:r>
      <w:r w:rsidRPr="0098723C">
        <w:rPr>
          <w:rFonts w:ascii="Verdana" w:hAnsi="Verdana"/>
          <w:color w:val="auto"/>
          <w:sz w:val="24"/>
          <w:szCs w:val="24"/>
        </w:rPr>
        <w:t xml:space="preserve">cause-specific mortality </w:t>
      </w:r>
      <w:r w:rsidR="004E11FA" w:rsidRPr="0098723C">
        <w:rPr>
          <w:rFonts w:ascii="Verdana" w:hAnsi="Verdana"/>
          <w:color w:val="auto"/>
          <w:sz w:val="24"/>
          <w:szCs w:val="24"/>
        </w:rPr>
        <w:t xml:space="preserve">rates </w:t>
      </w:r>
      <w:r w:rsidR="00477A20" w:rsidRPr="0098723C">
        <w:rPr>
          <w:rFonts w:ascii="Verdana" w:hAnsi="Verdana"/>
          <w:color w:val="auto"/>
          <w:sz w:val="24"/>
          <w:szCs w:val="24"/>
        </w:rPr>
        <w:t xml:space="preserve">among </w:t>
      </w:r>
      <w:r w:rsidRPr="0098723C">
        <w:rPr>
          <w:rFonts w:ascii="Verdana" w:hAnsi="Verdana"/>
          <w:color w:val="auto"/>
          <w:sz w:val="24"/>
          <w:szCs w:val="24"/>
        </w:rPr>
        <w:t>p</w:t>
      </w:r>
      <w:r w:rsidR="007B7CE0" w:rsidRPr="0098723C">
        <w:rPr>
          <w:rFonts w:ascii="Verdana" w:hAnsi="Verdana"/>
          <w:color w:val="auto"/>
          <w:sz w:val="24"/>
          <w:szCs w:val="24"/>
        </w:rPr>
        <w:t xml:space="preserve">eople </w:t>
      </w:r>
      <w:r w:rsidRPr="0098723C">
        <w:rPr>
          <w:rFonts w:ascii="Verdana" w:hAnsi="Verdana"/>
          <w:color w:val="auto"/>
          <w:sz w:val="24"/>
          <w:szCs w:val="24"/>
        </w:rPr>
        <w:t xml:space="preserve">treated </w:t>
      </w:r>
      <w:r w:rsidR="004E11FA" w:rsidRPr="0098723C">
        <w:rPr>
          <w:rFonts w:ascii="Verdana" w:hAnsi="Verdana"/>
          <w:color w:val="auto"/>
          <w:sz w:val="24"/>
          <w:szCs w:val="24"/>
        </w:rPr>
        <w:t xml:space="preserve">for </w:t>
      </w:r>
      <w:r w:rsidR="001F6C57" w:rsidRPr="0098723C">
        <w:rPr>
          <w:rFonts w:ascii="Verdana" w:hAnsi="Verdana"/>
          <w:color w:val="auto"/>
          <w:sz w:val="24"/>
          <w:szCs w:val="24"/>
        </w:rPr>
        <w:t>AUD</w:t>
      </w:r>
      <w:r w:rsidRPr="0098723C">
        <w:rPr>
          <w:rFonts w:ascii="Verdana" w:hAnsi="Verdana"/>
          <w:color w:val="auto"/>
          <w:sz w:val="24"/>
          <w:szCs w:val="24"/>
        </w:rPr>
        <w:t xml:space="preserve">. </w:t>
      </w:r>
      <w:r w:rsidR="007B7CE0" w:rsidRPr="0098723C">
        <w:rPr>
          <w:rFonts w:ascii="Verdana" w:hAnsi="Verdana"/>
          <w:color w:val="auto"/>
          <w:sz w:val="24"/>
          <w:szCs w:val="24"/>
        </w:rPr>
        <w:t>Number of deaths by cause</w:t>
      </w:r>
      <w:r w:rsidR="00A0449B" w:rsidRPr="0098723C">
        <w:rPr>
          <w:rFonts w:ascii="Verdana" w:hAnsi="Verdana"/>
          <w:color w:val="auto"/>
          <w:sz w:val="24"/>
          <w:szCs w:val="24"/>
        </w:rPr>
        <w:t>,</w:t>
      </w:r>
      <w:r w:rsidR="007B7CE0" w:rsidRPr="0098723C">
        <w:rPr>
          <w:rFonts w:ascii="Verdana" w:hAnsi="Verdana"/>
          <w:color w:val="auto"/>
          <w:sz w:val="24"/>
          <w:szCs w:val="24"/>
        </w:rPr>
        <w:t xml:space="preserve"> and total person-years of follow-up </w:t>
      </w:r>
      <w:r w:rsidRPr="0098723C">
        <w:rPr>
          <w:rFonts w:ascii="Verdana" w:hAnsi="Verdana"/>
          <w:color w:val="auto"/>
          <w:sz w:val="24"/>
          <w:szCs w:val="24"/>
        </w:rPr>
        <w:t>were extracted</w:t>
      </w:r>
      <w:r w:rsidR="000E79C7" w:rsidRPr="0098723C">
        <w:rPr>
          <w:rFonts w:ascii="Verdana" w:hAnsi="Verdana"/>
          <w:color w:val="auto"/>
          <w:sz w:val="24"/>
          <w:szCs w:val="24"/>
        </w:rPr>
        <w:t xml:space="preserve">. </w:t>
      </w:r>
      <w:r w:rsidR="007B7CE0" w:rsidRPr="0098723C">
        <w:rPr>
          <w:rFonts w:ascii="Verdana" w:hAnsi="Verdana"/>
          <w:color w:val="auto"/>
          <w:sz w:val="24"/>
          <w:szCs w:val="24"/>
        </w:rPr>
        <w:t xml:space="preserve">All-cause and cause-specific mortality rates per 1000 person-years </w:t>
      </w:r>
      <w:r w:rsidR="000E79C7" w:rsidRPr="0098723C">
        <w:rPr>
          <w:rFonts w:ascii="Verdana" w:hAnsi="Verdana"/>
          <w:color w:val="auto"/>
          <w:sz w:val="24"/>
          <w:szCs w:val="24"/>
        </w:rPr>
        <w:t>were meta-analysed assuming random effects.</w:t>
      </w:r>
    </w:p>
    <w:p w14:paraId="1FA76A90" w14:textId="77777777" w:rsidR="003E78F9" w:rsidRPr="0098723C" w:rsidRDefault="003E78F9" w:rsidP="009C0FAB">
      <w:pPr>
        <w:pStyle w:val="Body"/>
        <w:spacing w:before="240" w:line="480" w:lineRule="auto"/>
        <w:jc w:val="both"/>
        <w:rPr>
          <w:rFonts w:ascii="Verdana" w:hAnsi="Verdana"/>
          <w:color w:val="auto"/>
          <w:sz w:val="24"/>
          <w:szCs w:val="24"/>
          <w:u w:val="single"/>
        </w:rPr>
      </w:pPr>
      <w:r w:rsidRPr="0098723C">
        <w:rPr>
          <w:rFonts w:ascii="Verdana" w:hAnsi="Verdana"/>
          <w:color w:val="auto"/>
          <w:sz w:val="24"/>
          <w:szCs w:val="24"/>
          <w:u w:val="single"/>
        </w:rPr>
        <w:t>Results</w:t>
      </w:r>
    </w:p>
    <w:p w14:paraId="74AFCBBC" w14:textId="77777777" w:rsidR="00A3670E" w:rsidRPr="0098723C" w:rsidRDefault="00606134"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lastRenderedPageBreak/>
        <w:t>31</w:t>
      </w:r>
      <w:r w:rsidR="00153664" w:rsidRPr="0098723C">
        <w:rPr>
          <w:rFonts w:ascii="Verdana" w:hAnsi="Verdana"/>
          <w:color w:val="auto"/>
          <w:sz w:val="24"/>
          <w:szCs w:val="24"/>
        </w:rPr>
        <w:t xml:space="preserve"> studies </w:t>
      </w:r>
      <w:r w:rsidR="00A0449B" w:rsidRPr="0098723C">
        <w:rPr>
          <w:rFonts w:ascii="Verdana" w:hAnsi="Verdana"/>
          <w:color w:val="auto"/>
          <w:sz w:val="24"/>
          <w:szCs w:val="24"/>
        </w:rPr>
        <w:t xml:space="preserve">were </w:t>
      </w:r>
      <w:r w:rsidR="00153664" w:rsidRPr="0098723C">
        <w:rPr>
          <w:rFonts w:ascii="Verdana" w:hAnsi="Verdana"/>
          <w:color w:val="auto"/>
          <w:sz w:val="24"/>
          <w:szCs w:val="24"/>
        </w:rPr>
        <w:t xml:space="preserve">included. Participants </w:t>
      </w:r>
      <w:r w:rsidR="00A0449B" w:rsidRPr="0098723C">
        <w:rPr>
          <w:rFonts w:ascii="Verdana" w:hAnsi="Verdana"/>
          <w:color w:val="auto"/>
          <w:sz w:val="24"/>
          <w:szCs w:val="24"/>
        </w:rPr>
        <w:t xml:space="preserve">were </w:t>
      </w:r>
      <w:r w:rsidR="00153664" w:rsidRPr="0098723C">
        <w:rPr>
          <w:rFonts w:ascii="Verdana" w:hAnsi="Verdana"/>
          <w:color w:val="auto"/>
          <w:sz w:val="24"/>
          <w:szCs w:val="24"/>
        </w:rPr>
        <w:t xml:space="preserve">mainly </w:t>
      </w:r>
      <w:r w:rsidR="009C0FAB" w:rsidRPr="0098723C">
        <w:rPr>
          <w:rFonts w:ascii="Verdana" w:hAnsi="Verdana"/>
          <w:color w:val="auto"/>
          <w:sz w:val="24"/>
          <w:szCs w:val="24"/>
        </w:rPr>
        <w:t xml:space="preserve">middle-aged </w:t>
      </w:r>
      <w:r w:rsidR="00153664" w:rsidRPr="0098723C">
        <w:rPr>
          <w:rFonts w:ascii="Verdana" w:hAnsi="Verdana"/>
          <w:color w:val="auto"/>
          <w:sz w:val="24"/>
          <w:szCs w:val="24"/>
        </w:rPr>
        <w:t xml:space="preserve">males. The quality of studies </w:t>
      </w:r>
      <w:r w:rsidR="00A0449B" w:rsidRPr="0098723C">
        <w:rPr>
          <w:rFonts w:ascii="Verdana" w:hAnsi="Verdana"/>
          <w:color w:val="auto"/>
          <w:sz w:val="24"/>
          <w:szCs w:val="24"/>
        </w:rPr>
        <w:t xml:space="preserve">was </w:t>
      </w:r>
      <w:r w:rsidR="00153664" w:rsidRPr="0098723C">
        <w:rPr>
          <w:rFonts w:ascii="Verdana" w:hAnsi="Verdana"/>
          <w:color w:val="auto"/>
          <w:sz w:val="24"/>
          <w:szCs w:val="24"/>
        </w:rPr>
        <w:t>generally good.</w:t>
      </w:r>
      <w:r w:rsidR="00477A20" w:rsidRPr="0098723C">
        <w:rPr>
          <w:rFonts w:ascii="Verdana" w:hAnsi="Verdana"/>
          <w:color w:val="auto"/>
          <w:sz w:val="24"/>
          <w:szCs w:val="24"/>
        </w:rPr>
        <w:t xml:space="preserve"> </w:t>
      </w:r>
      <w:r w:rsidR="005C3A2F" w:rsidRPr="0098723C">
        <w:rPr>
          <w:rFonts w:ascii="Verdana" w:hAnsi="Verdana"/>
          <w:color w:val="auto"/>
          <w:sz w:val="24"/>
          <w:szCs w:val="24"/>
        </w:rPr>
        <w:t>6,768</w:t>
      </w:r>
      <w:r w:rsidR="000E79C7" w:rsidRPr="0098723C">
        <w:rPr>
          <w:rFonts w:ascii="Verdana" w:hAnsi="Verdana"/>
          <w:color w:val="auto"/>
          <w:sz w:val="24"/>
          <w:szCs w:val="24"/>
        </w:rPr>
        <w:t xml:space="preserve"> all-cause deaths in </w:t>
      </w:r>
      <w:r w:rsidR="005C3A2F" w:rsidRPr="0098723C">
        <w:rPr>
          <w:rFonts w:ascii="Verdana" w:hAnsi="Verdana"/>
          <w:color w:val="auto"/>
          <w:sz w:val="24"/>
          <w:szCs w:val="24"/>
        </w:rPr>
        <w:t xml:space="preserve">276,990.7 </w:t>
      </w:r>
      <w:r w:rsidR="004E11FA" w:rsidRPr="0098723C">
        <w:rPr>
          <w:rFonts w:ascii="Verdana" w:hAnsi="Verdana"/>
          <w:color w:val="auto"/>
          <w:sz w:val="24"/>
          <w:szCs w:val="24"/>
        </w:rPr>
        <w:t>p</w:t>
      </w:r>
      <w:r w:rsidR="00A65D40" w:rsidRPr="0098723C">
        <w:rPr>
          <w:rFonts w:ascii="Verdana" w:hAnsi="Verdana"/>
          <w:color w:val="auto"/>
          <w:sz w:val="24"/>
          <w:szCs w:val="24"/>
        </w:rPr>
        <w:t>erson-</w:t>
      </w:r>
      <w:r w:rsidR="004E11FA" w:rsidRPr="0098723C">
        <w:rPr>
          <w:rFonts w:ascii="Verdana" w:hAnsi="Verdana"/>
          <w:color w:val="auto"/>
          <w:sz w:val="24"/>
          <w:szCs w:val="24"/>
        </w:rPr>
        <w:t>y</w:t>
      </w:r>
      <w:r w:rsidR="00A65D40" w:rsidRPr="0098723C">
        <w:rPr>
          <w:rFonts w:ascii="Verdana" w:hAnsi="Verdana"/>
          <w:color w:val="auto"/>
          <w:sz w:val="24"/>
          <w:szCs w:val="24"/>
        </w:rPr>
        <w:t>ears</w:t>
      </w:r>
      <w:r w:rsidR="004E11FA" w:rsidRPr="0098723C">
        <w:rPr>
          <w:rFonts w:ascii="Verdana" w:hAnsi="Verdana"/>
          <w:color w:val="auto"/>
          <w:sz w:val="24"/>
          <w:szCs w:val="24"/>
        </w:rPr>
        <w:t xml:space="preserve"> </w:t>
      </w:r>
      <w:r w:rsidR="000E79C7" w:rsidRPr="0098723C">
        <w:rPr>
          <w:rFonts w:ascii="Verdana" w:hAnsi="Verdana"/>
          <w:color w:val="auto"/>
          <w:sz w:val="24"/>
          <w:szCs w:val="24"/>
        </w:rPr>
        <w:t>of follow-up (</w:t>
      </w:r>
      <w:r w:rsidR="005C3A2F" w:rsidRPr="0098723C">
        <w:rPr>
          <w:rFonts w:ascii="Verdana" w:hAnsi="Verdana"/>
          <w:color w:val="auto"/>
          <w:sz w:val="24"/>
          <w:szCs w:val="24"/>
        </w:rPr>
        <w:t xml:space="preserve">36,375 </w:t>
      </w:r>
      <w:r w:rsidR="007E606F" w:rsidRPr="0098723C">
        <w:rPr>
          <w:rFonts w:ascii="Verdana" w:hAnsi="Verdana"/>
          <w:color w:val="auto"/>
          <w:sz w:val="24"/>
          <w:szCs w:val="24"/>
        </w:rPr>
        <w:t>patients</w:t>
      </w:r>
      <w:r w:rsidR="000E79C7" w:rsidRPr="0098723C">
        <w:rPr>
          <w:rFonts w:ascii="Verdana" w:hAnsi="Verdana"/>
          <w:color w:val="auto"/>
          <w:sz w:val="24"/>
          <w:szCs w:val="24"/>
        </w:rPr>
        <w:t>)</w:t>
      </w:r>
      <w:r w:rsidR="00153664" w:rsidRPr="0098723C">
        <w:rPr>
          <w:rFonts w:ascii="Verdana" w:hAnsi="Verdana"/>
          <w:color w:val="auto"/>
          <w:sz w:val="24"/>
          <w:szCs w:val="24"/>
        </w:rPr>
        <w:t xml:space="preserve"> </w:t>
      </w:r>
      <w:r w:rsidR="00A0449B" w:rsidRPr="0098723C">
        <w:rPr>
          <w:rFonts w:ascii="Verdana" w:hAnsi="Verdana"/>
          <w:color w:val="auto"/>
          <w:sz w:val="24"/>
          <w:szCs w:val="24"/>
        </w:rPr>
        <w:t xml:space="preserve">were </w:t>
      </w:r>
      <w:r w:rsidR="00153664" w:rsidRPr="0098723C">
        <w:rPr>
          <w:rFonts w:ascii="Verdana" w:hAnsi="Verdana"/>
          <w:color w:val="auto"/>
          <w:sz w:val="24"/>
          <w:szCs w:val="24"/>
        </w:rPr>
        <w:t>recorded</w:t>
      </w:r>
      <w:r w:rsidR="00A0449B" w:rsidRPr="0098723C">
        <w:rPr>
          <w:rFonts w:ascii="Verdana" w:hAnsi="Verdana"/>
          <w:color w:val="auto"/>
          <w:sz w:val="24"/>
          <w:szCs w:val="24"/>
        </w:rPr>
        <w:t xml:space="preserve"> and t</w:t>
      </w:r>
      <w:r w:rsidR="00733423" w:rsidRPr="0098723C">
        <w:rPr>
          <w:rFonts w:ascii="Verdana" w:hAnsi="Verdana"/>
          <w:color w:val="auto"/>
          <w:sz w:val="24"/>
          <w:szCs w:val="24"/>
        </w:rPr>
        <w:t>he</w:t>
      </w:r>
      <w:r w:rsidR="007B7CE0" w:rsidRPr="0098723C">
        <w:rPr>
          <w:rFonts w:ascii="Verdana" w:hAnsi="Verdana"/>
          <w:color w:val="auto"/>
          <w:sz w:val="24"/>
          <w:szCs w:val="24"/>
        </w:rPr>
        <w:t xml:space="preserve"> pooled</w:t>
      </w:r>
      <w:r w:rsidR="00723B53" w:rsidRPr="0098723C">
        <w:rPr>
          <w:rFonts w:ascii="Verdana" w:hAnsi="Verdana"/>
          <w:color w:val="auto"/>
          <w:sz w:val="24"/>
          <w:szCs w:val="24"/>
        </w:rPr>
        <w:t xml:space="preserve"> </w:t>
      </w:r>
      <w:r w:rsidR="00733423" w:rsidRPr="0098723C">
        <w:rPr>
          <w:rFonts w:ascii="Verdana" w:hAnsi="Verdana"/>
          <w:color w:val="auto"/>
          <w:sz w:val="24"/>
          <w:szCs w:val="24"/>
        </w:rPr>
        <w:t>a</w:t>
      </w:r>
      <w:r w:rsidR="004F238E" w:rsidRPr="0098723C">
        <w:rPr>
          <w:rFonts w:ascii="Verdana" w:hAnsi="Verdana"/>
          <w:color w:val="auto"/>
          <w:sz w:val="24"/>
          <w:szCs w:val="24"/>
        </w:rPr>
        <w:t xml:space="preserve">ll-cause mortality </w:t>
      </w:r>
      <w:r w:rsidR="00733423" w:rsidRPr="0098723C">
        <w:rPr>
          <w:rFonts w:ascii="Verdana" w:hAnsi="Verdana"/>
          <w:color w:val="auto"/>
          <w:sz w:val="24"/>
          <w:szCs w:val="24"/>
        </w:rPr>
        <w:t xml:space="preserve">rate </w:t>
      </w:r>
      <w:r w:rsidR="00A0449B" w:rsidRPr="0098723C">
        <w:rPr>
          <w:rFonts w:ascii="Verdana" w:hAnsi="Verdana"/>
          <w:color w:val="auto"/>
          <w:sz w:val="24"/>
          <w:szCs w:val="24"/>
        </w:rPr>
        <w:t xml:space="preserve">was </w:t>
      </w:r>
      <w:r w:rsidR="00723B53" w:rsidRPr="0098723C">
        <w:rPr>
          <w:rFonts w:ascii="Verdana" w:hAnsi="Verdana"/>
          <w:color w:val="auto"/>
          <w:sz w:val="24"/>
          <w:szCs w:val="24"/>
        </w:rPr>
        <w:t>2</w:t>
      </w:r>
      <w:r w:rsidR="005C3A2F" w:rsidRPr="0098723C">
        <w:rPr>
          <w:rFonts w:ascii="Verdana" w:hAnsi="Verdana"/>
          <w:color w:val="auto"/>
          <w:sz w:val="24"/>
          <w:szCs w:val="24"/>
        </w:rPr>
        <w:t>7</w:t>
      </w:r>
      <w:r w:rsidR="00723B53" w:rsidRPr="0098723C">
        <w:rPr>
          <w:rFonts w:ascii="Verdana" w:hAnsi="Verdana"/>
          <w:color w:val="auto"/>
          <w:sz w:val="24"/>
          <w:szCs w:val="24"/>
        </w:rPr>
        <w:t>.</w:t>
      </w:r>
      <w:r w:rsidR="005C3A2F" w:rsidRPr="0098723C">
        <w:rPr>
          <w:rFonts w:ascii="Verdana" w:hAnsi="Verdana"/>
          <w:color w:val="auto"/>
          <w:sz w:val="24"/>
          <w:szCs w:val="24"/>
        </w:rPr>
        <w:t>67</w:t>
      </w:r>
      <w:r w:rsidR="00723B53" w:rsidRPr="0098723C">
        <w:rPr>
          <w:rFonts w:ascii="Verdana" w:hAnsi="Verdana"/>
          <w:color w:val="auto"/>
          <w:sz w:val="24"/>
          <w:szCs w:val="24"/>
        </w:rPr>
        <w:t>/</w:t>
      </w:r>
      <w:r w:rsidR="004F238E" w:rsidRPr="0098723C">
        <w:rPr>
          <w:rFonts w:ascii="Verdana" w:hAnsi="Verdana"/>
          <w:color w:val="auto"/>
          <w:sz w:val="24"/>
          <w:szCs w:val="24"/>
        </w:rPr>
        <w:t>1000</w:t>
      </w:r>
      <w:r w:rsidR="00477A20" w:rsidRPr="0098723C">
        <w:rPr>
          <w:rFonts w:ascii="Verdana" w:hAnsi="Verdana"/>
          <w:color w:val="auto"/>
          <w:sz w:val="24"/>
          <w:szCs w:val="24"/>
        </w:rPr>
        <w:t xml:space="preserve"> person years (</w:t>
      </w:r>
      <w:r w:rsidR="004E11FA" w:rsidRPr="0098723C">
        <w:rPr>
          <w:rFonts w:ascii="Verdana" w:hAnsi="Verdana"/>
          <w:color w:val="auto"/>
          <w:sz w:val="24"/>
          <w:szCs w:val="24"/>
        </w:rPr>
        <w:t>py</w:t>
      </w:r>
      <w:r w:rsidR="00477A20" w:rsidRPr="0098723C">
        <w:rPr>
          <w:rFonts w:ascii="Verdana" w:hAnsi="Verdana"/>
          <w:color w:val="auto"/>
          <w:sz w:val="24"/>
          <w:szCs w:val="24"/>
        </w:rPr>
        <w:t>)</w:t>
      </w:r>
      <w:r w:rsidR="004E11FA" w:rsidRPr="0098723C">
        <w:rPr>
          <w:rFonts w:ascii="Verdana" w:hAnsi="Verdana"/>
          <w:color w:val="auto"/>
          <w:sz w:val="24"/>
          <w:szCs w:val="24"/>
        </w:rPr>
        <w:t xml:space="preserve"> </w:t>
      </w:r>
      <w:r w:rsidR="00DF147A" w:rsidRPr="0098723C">
        <w:rPr>
          <w:rFonts w:ascii="Verdana" w:hAnsi="Verdana"/>
          <w:color w:val="auto"/>
          <w:sz w:val="24"/>
          <w:szCs w:val="24"/>
        </w:rPr>
        <w:t>(95% confidence interval (CI) 2</w:t>
      </w:r>
      <w:r w:rsidR="00723B53" w:rsidRPr="0098723C">
        <w:rPr>
          <w:rFonts w:ascii="Verdana" w:hAnsi="Verdana"/>
          <w:color w:val="auto"/>
          <w:sz w:val="24"/>
          <w:szCs w:val="24"/>
        </w:rPr>
        <w:t>3</w:t>
      </w:r>
      <w:r w:rsidR="00DF147A" w:rsidRPr="0098723C">
        <w:rPr>
          <w:rFonts w:ascii="Verdana" w:hAnsi="Verdana"/>
          <w:color w:val="auto"/>
          <w:sz w:val="24"/>
          <w:szCs w:val="24"/>
        </w:rPr>
        <w:t>.</w:t>
      </w:r>
      <w:r w:rsidR="005C3A2F" w:rsidRPr="0098723C">
        <w:rPr>
          <w:rFonts w:ascii="Verdana" w:hAnsi="Verdana"/>
          <w:color w:val="auto"/>
          <w:sz w:val="24"/>
          <w:szCs w:val="24"/>
        </w:rPr>
        <w:t>9</w:t>
      </w:r>
      <w:r w:rsidR="00DF147A" w:rsidRPr="0098723C">
        <w:rPr>
          <w:rFonts w:ascii="Verdana" w:hAnsi="Verdana"/>
          <w:color w:val="auto"/>
          <w:sz w:val="24"/>
          <w:szCs w:val="24"/>
        </w:rPr>
        <w:t xml:space="preserve">, </w:t>
      </w:r>
      <w:r w:rsidR="00723B53" w:rsidRPr="0098723C">
        <w:rPr>
          <w:rFonts w:ascii="Verdana" w:hAnsi="Verdana"/>
          <w:color w:val="auto"/>
          <w:sz w:val="24"/>
          <w:szCs w:val="24"/>
        </w:rPr>
        <w:t>3</w:t>
      </w:r>
      <w:r w:rsidR="005C3A2F" w:rsidRPr="0098723C">
        <w:rPr>
          <w:rFonts w:ascii="Verdana" w:hAnsi="Verdana"/>
          <w:color w:val="auto"/>
          <w:sz w:val="24"/>
          <w:szCs w:val="24"/>
        </w:rPr>
        <w:t>2</w:t>
      </w:r>
      <w:r w:rsidR="00723B53" w:rsidRPr="0098723C">
        <w:rPr>
          <w:rFonts w:ascii="Verdana" w:hAnsi="Verdana"/>
          <w:color w:val="auto"/>
          <w:sz w:val="24"/>
          <w:szCs w:val="24"/>
        </w:rPr>
        <w:t>.</w:t>
      </w:r>
      <w:r w:rsidR="005C3A2F" w:rsidRPr="0098723C">
        <w:rPr>
          <w:rFonts w:ascii="Verdana" w:hAnsi="Verdana"/>
          <w:color w:val="auto"/>
          <w:sz w:val="24"/>
          <w:szCs w:val="24"/>
        </w:rPr>
        <w:t>04</w:t>
      </w:r>
      <w:r w:rsidR="00DF147A" w:rsidRPr="0098723C">
        <w:rPr>
          <w:rFonts w:ascii="Verdana" w:hAnsi="Verdana"/>
          <w:color w:val="auto"/>
          <w:sz w:val="24"/>
          <w:szCs w:val="24"/>
        </w:rPr>
        <w:t xml:space="preserve">). </w:t>
      </w:r>
      <w:r w:rsidR="0007278D" w:rsidRPr="0098723C">
        <w:rPr>
          <w:rFonts w:ascii="Verdana" w:hAnsi="Verdana"/>
          <w:color w:val="auto"/>
          <w:sz w:val="24"/>
          <w:szCs w:val="24"/>
        </w:rPr>
        <w:t>The commonest cause of death in the AUD population</w:t>
      </w:r>
      <w:r w:rsidR="00A65D40" w:rsidRPr="0098723C">
        <w:rPr>
          <w:rFonts w:ascii="Verdana" w:hAnsi="Verdana"/>
          <w:color w:val="auto"/>
          <w:sz w:val="24"/>
          <w:szCs w:val="24"/>
        </w:rPr>
        <w:t xml:space="preserve"> </w:t>
      </w:r>
      <w:r w:rsidR="00A0449B" w:rsidRPr="0098723C">
        <w:rPr>
          <w:rFonts w:ascii="Verdana" w:hAnsi="Verdana"/>
          <w:color w:val="auto"/>
          <w:sz w:val="24"/>
          <w:szCs w:val="24"/>
        </w:rPr>
        <w:t>was</w:t>
      </w:r>
      <w:r w:rsidR="00A0449B" w:rsidRPr="0098723C" w:rsidDel="00927ACE">
        <w:rPr>
          <w:rFonts w:ascii="Verdana" w:hAnsi="Verdana"/>
          <w:color w:val="auto"/>
          <w:sz w:val="24"/>
          <w:szCs w:val="24"/>
        </w:rPr>
        <w:t xml:space="preserve"> </w:t>
      </w:r>
      <w:r w:rsidR="0007278D" w:rsidRPr="0098723C">
        <w:rPr>
          <w:rFonts w:ascii="Verdana" w:hAnsi="Verdana"/>
          <w:color w:val="auto"/>
          <w:sz w:val="24"/>
          <w:szCs w:val="24"/>
        </w:rPr>
        <w:t xml:space="preserve">cardiovascular disease </w:t>
      </w:r>
      <w:r w:rsidR="00A65D40" w:rsidRPr="0098723C">
        <w:rPr>
          <w:rFonts w:ascii="Verdana" w:hAnsi="Verdana"/>
          <w:color w:val="auto"/>
          <w:sz w:val="24"/>
          <w:szCs w:val="24"/>
        </w:rPr>
        <w:t xml:space="preserve">(CVD) </w:t>
      </w:r>
      <w:r w:rsidR="00733423" w:rsidRPr="0098723C">
        <w:rPr>
          <w:rFonts w:ascii="Verdana" w:hAnsi="Verdana"/>
          <w:color w:val="auto"/>
          <w:sz w:val="24"/>
          <w:szCs w:val="24"/>
        </w:rPr>
        <w:t>(</w:t>
      </w:r>
      <w:r w:rsidR="005C3A2F" w:rsidRPr="0098723C">
        <w:rPr>
          <w:rFonts w:ascii="Verdana" w:hAnsi="Verdana"/>
          <w:color w:val="auto"/>
          <w:sz w:val="24"/>
          <w:szCs w:val="24"/>
        </w:rPr>
        <w:t>6.9</w:t>
      </w:r>
      <w:r w:rsidR="00733423" w:rsidRPr="0098723C">
        <w:rPr>
          <w:rFonts w:ascii="Verdana" w:hAnsi="Verdana"/>
          <w:color w:val="auto"/>
          <w:sz w:val="24"/>
          <w:szCs w:val="24"/>
        </w:rPr>
        <w:t xml:space="preserve">/1000py </w:t>
      </w:r>
      <w:r w:rsidR="00DF147A" w:rsidRPr="0098723C">
        <w:rPr>
          <w:rFonts w:ascii="Verdana" w:hAnsi="Verdana"/>
          <w:color w:val="auto"/>
          <w:sz w:val="24"/>
          <w:szCs w:val="24"/>
        </w:rPr>
        <w:t xml:space="preserve">(95%CI </w:t>
      </w:r>
      <w:r w:rsidR="005C3A2F" w:rsidRPr="0098723C">
        <w:rPr>
          <w:rFonts w:ascii="Verdana" w:hAnsi="Verdana"/>
          <w:color w:val="auto"/>
          <w:sz w:val="24"/>
          <w:szCs w:val="24"/>
        </w:rPr>
        <w:t>5.61</w:t>
      </w:r>
      <w:r w:rsidR="00DF147A" w:rsidRPr="0098723C">
        <w:rPr>
          <w:rFonts w:ascii="Verdana" w:hAnsi="Verdana"/>
          <w:color w:val="auto"/>
          <w:sz w:val="24"/>
          <w:szCs w:val="24"/>
        </w:rPr>
        <w:t xml:space="preserve">, </w:t>
      </w:r>
      <w:r w:rsidR="005C3A2F" w:rsidRPr="0098723C">
        <w:rPr>
          <w:rFonts w:ascii="Verdana" w:hAnsi="Verdana"/>
          <w:color w:val="auto"/>
          <w:sz w:val="24"/>
          <w:szCs w:val="24"/>
        </w:rPr>
        <w:t>8</w:t>
      </w:r>
      <w:r w:rsidR="00723B53" w:rsidRPr="0098723C">
        <w:rPr>
          <w:rFonts w:ascii="Verdana" w:hAnsi="Verdana"/>
          <w:color w:val="auto"/>
          <w:sz w:val="24"/>
          <w:szCs w:val="24"/>
        </w:rPr>
        <w:t>.</w:t>
      </w:r>
      <w:r w:rsidR="005C3A2F" w:rsidRPr="0098723C">
        <w:rPr>
          <w:rFonts w:ascii="Verdana" w:hAnsi="Verdana"/>
          <w:color w:val="auto"/>
          <w:sz w:val="24"/>
          <w:szCs w:val="24"/>
        </w:rPr>
        <w:t>49</w:t>
      </w:r>
      <w:r w:rsidR="00DF147A" w:rsidRPr="0098723C">
        <w:rPr>
          <w:rFonts w:ascii="Verdana" w:hAnsi="Verdana"/>
          <w:color w:val="auto"/>
          <w:sz w:val="24"/>
          <w:szCs w:val="24"/>
        </w:rPr>
        <w:t>))</w:t>
      </w:r>
      <w:r w:rsidR="0007278D" w:rsidRPr="0098723C">
        <w:rPr>
          <w:rFonts w:ascii="Verdana" w:hAnsi="Verdana"/>
          <w:color w:val="auto"/>
          <w:sz w:val="24"/>
          <w:szCs w:val="24"/>
        </w:rPr>
        <w:t xml:space="preserve">, </w:t>
      </w:r>
      <w:r w:rsidR="00733423" w:rsidRPr="0098723C">
        <w:rPr>
          <w:rFonts w:ascii="Verdana" w:hAnsi="Verdana"/>
          <w:color w:val="auto"/>
          <w:sz w:val="24"/>
          <w:szCs w:val="24"/>
        </w:rPr>
        <w:t>followed</w:t>
      </w:r>
      <w:r w:rsidR="0007278D" w:rsidRPr="0098723C">
        <w:rPr>
          <w:rFonts w:ascii="Verdana" w:hAnsi="Verdana"/>
          <w:color w:val="auto"/>
          <w:sz w:val="24"/>
          <w:szCs w:val="24"/>
        </w:rPr>
        <w:t xml:space="preserve"> </w:t>
      </w:r>
      <w:r w:rsidR="005C3A2F" w:rsidRPr="0098723C">
        <w:rPr>
          <w:rFonts w:ascii="Verdana" w:hAnsi="Verdana"/>
          <w:color w:val="auto"/>
          <w:sz w:val="24"/>
          <w:szCs w:val="24"/>
        </w:rPr>
        <w:t>by gastrointestinal deaths (5.63/1000py (95%CI 4.1, 7.74)),</w:t>
      </w:r>
      <w:r w:rsidR="00733423" w:rsidRPr="0098723C">
        <w:rPr>
          <w:rFonts w:ascii="Verdana" w:hAnsi="Verdana"/>
          <w:color w:val="auto"/>
          <w:sz w:val="24"/>
          <w:szCs w:val="24"/>
        </w:rPr>
        <w:t xml:space="preserve"> </w:t>
      </w:r>
      <w:r w:rsidR="0007278D" w:rsidRPr="0098723C">
        <w:rPr>
          <w:rFonts w:ascii="Verdana" w:hAnsi="Verdana"/>
          <w:color w:val="auto"/>
          <w:sz w:val="24"/>
          <w:szCs w:val="24"/>
        </w:rPr>
        <w:t xml:space="preserve">unnatural </w:t>
      </w:r>
      <w:r w:rsidR="005C3A2F" w:rsidRPr="0098723C">
        <w:rPr>
          <w:rFonts w:ascii="Verdana" w:hAnsi="Verdana"/>
          <w:color w:val="auto"/>
          <w:sz w:val="24"/>
          <w:szCs w:val="24"/>
        </w:rPr>
        <w:t xml:space="preserve">deaths </w:t>
      </w:r>
      <w:r w:rsidR="001A7A8F" w:rsidRPr="0098723C">
        <w:rPr>
          <w:rFonts w:ascii="Verdana" w:hAnsi="Verdana"/>
          <w:color w:val="auto"/>
          <w:sz w:val="24"/>
          <w:szCs w:val="24"/>
        </w:rPr>
        <w:t>(</w:t>
      </w:r>
      <w:r w:rsidR="005C3A2F" w:rsidRPr="0098723C">
        <w:rPr>
          <w:rFonts w:ascii="Verdana" w:hAnsi="Verdana"/>
          <w:color w:val="auto"/>
          <w:sz w:val="24"/>
          <w:szCs w:val="24"/>
        </w:rPr>
        <w:t>4</w:t>
      </w:r>
      <w:r w:rsidR="001A7A8F" w:rsidRPr="0098723C">
        <w:rPr>
          <w:rFonts w:ascii="Verdana" w:hAnsi="Verdana"/>
          <w:color w:val="auto"/>
          <w:sz w:val="24"/>
          <w:szCs w:val="24"/>
        </w:rPr>
        <w:t>.</w:t>
      </w:r>
      <w:r w:rsidR="005C3A2F" w:rsidRPr="0098723C">
        <w:rPr>
          <w:rFonts w:ascii="Verdana" w:hAnsi="Verdana"/>
          <w:color w:val="auto"/>
          <w:sz w:val="24"/>
          <w:szCs w:val="24"/>
        </w:rPr>
        <w:t>95</w:t>
      </w:r>
      <w:r w:rsidR="001A7A8F" w:rsidRPr="0098723C">
        <w:rPr>
          <w:rFonts w:ascii="Verdana" w:hAnsi="Verdana"/>
          <w:color w:val="auto"/>
          <w:sz w:val="24"/>
          <w:szCs w:val="24"/>
        </w:rPr>
        <w:t>/1000py (95%CI 4.</w:t>
      </w:r>
      <w:r w:rsidR="005C3A2F" w:rsidRPr="0098723C">
        <w:rPr>
          <w:rFonts w:ascii="Verdana" w:hAnsi="Verdana"/>
          <w:color w:val="auto"/>
          <w:sz w:val="24"/>
          <w:szCs w:val="24"/>
        </w:rPr>
        <w:t>01</w:t>
      </w:r>
      <w:r w:rsidR="001A7A8F" w:rsidRPr="0098723C">
        <w:rPr>
          <w:rFonts w:ascii="Verdana" w:hAnsi="Verdana"/>
          <w:color w:val="auto"/>
          <w:sz w:val="24"/>
          <w:szCs w:val="24"/>
        </w:rPr>
        <w:t>, 6.</w:t>
      </w:r>
      <w:r w:rsidR="005C3A2F" w:rsidRPr="0098723C">
        <w:rPr>
          <w:rFonts w:ascii="Verdana" w:hAnsi="Verdana"/>
          <w:color w:val="auto"/>
          <w:sz w:val="24"/>
          <w:szCs w:val="24"/>
        </w:rPr>
        <w:t>09</w:t>
      </w:r>
      <w:r w:rsidR="001A7A8F" w:rsidRPr="0098723C">
        <w:rPr>
          <w:rFonts w:ascii="Verdana" w:hAnsi="Verdana"/>
          <w:color w:val="auto"/>
          <w:sz w:val="24"/>
          <w:szCs w:val="24"/>
        </w:rPr>
        <w:t>))</w:t>
      </w:r>
      <w:r w:rsidR="005C3A2F" w:rsidRPr="0098723C">
        <w:rPr>
          <w:rFonts w:ascii="Verdana" w:hAnsi="Verdana"/>
          <w:color w:val="auto"/>
          <w:sz w:val="24"/>
          <w:szCs w:val="24"/>
        </w:rPr>
        <w:t>,</w:t>
      </w:r>
      <w:r w:rsidR="0007278D" w:rsidRPr="0098723C">
        <w:rPr>
          <w:rFonts w:ascii="Verdana" w:hAnsi="Verdana"/>
          <w:color w:val="auto"/>
          <w:sz w:val="24"/>
          <w:szCs w:val="24"/>
        </w:rPr>
        <w:t xml:space="preserve"> </w:t>
      </w:r>
      <w:r w:rsidR="009070F6" w:rsidRPr="0098723C">
        <w:rPr>
          <w:rFonts w:ascii="Verdana" w:hAnsi="Verdana"/>
          <w:color w:val="auto"/>
          <w:sz w:val="24"/>
          <w:szCs w:val="24"/>
        </w:rPr>
        <w:t>neoplasms</w:t>
      </w:r>
      <w:r w:rsidR="0007278D" w:rsidRPr="0098723C">
        <w:rPr>
          <w:rFonts w:ascii="Verdana" w:hAnsi="Verdana"/>
          <w:color w:val="auto"/>
          <w:sz w:val="24"/>
          <w:szCs w:val="24"/>
        </w:rPr>
        <w:t xml:space="preserve">, </w:t>
      </w:r>
      <w:r w:rsidR="005C3A2F" w:rsidRPr="0098723C">
        <w:rPr>
          <w:rFonts w:ascii="Verdana" w:hAnsi="Verdana"/>
          <w:color w:val="auto"/>
          <w:sz w:val="24"/>
          <w:szCs w:val="24"/>
        </w:rPr>
        <w:t xml:space="preserve">respiratory diseases and </w:t>
      </w:r>
      <w:r w:rsidR="0007278D" w:rsidRPr="0098723C">
        <w:rPr>
          <w:rFonts w:ascii="Verdana" w:hAnsi="Verdana"/>
          <w:color w:val="auto"/>
          <w:sz w:val="24"/>
          <w:szCs w:val="24"/>
        </w:rPr>
        <w:t>substance use disorders.</w:t>
      </w:r>
    </w:p>
    <w:p w14:paraId="1727D8B2" w14:textId="77777777" w:rsidR="003E78F9" w:rsidRPr="0098723C" w:rsidRDefault="003E78F9" w:rsidP="009C0FAB">
      <w:pPr>
        <w:pStyle w:val="Body"/>
        <w:spacing w:before="240" w:line="480" w:lineRule="auto"/>
        <w:jc w:val="both"/>
        <w:rPr>
          <w:rFonts w:ascii="Verdana" w:hAnsi="Verdana"/>
          <w:color w:val="auto"/>
          <w:sz w:val="24"/>
          <w:szCs w:val="24"/>
          <w:u w:val="single"/>
        </w:rPr>
      </w:pPr>
      <w:r w:rsidRPr="0098723C">
        <w:rPr>
          <w:rFonts w:ascii="Verdana" w:hAnsi="Verdana"/>
          <w:color w:val="auto"/>
          <w:sz w:val="24"/>
          <w:szCs w:val="24"/>
          <w:u w:val="single"/>
        </w:rPr>
        <w:t>Conclusion</w:t>
      </w:r>
      <w:r w:rsidR="00A3045D" w:rsidRPr="0098723C">
        <w:rPr>
          <w:rFonts w:ascii="Verdana" w:hAnsi="Verdana"/>
          <w:color w:val="auto"/>
          <w:sz w:val="24"/>
          <w:szCs w:val="24"/>
          <w:u w:val="single"/>
        </w:rPr>
        <w:t>s</w:t>
      </w:r>
    </w:p>
    <w:p w14:paraId="6EB0DFA1" w14:textId="77777777" w:rsidR="00381428" w:rsidRPr="0098723C" w:rsidRDefault="00103A5C" w:rsidP="009C0FAB">
      <w:pPr>
        <w:pStyle w:val="Body"/>
        <w:spacing w:before="240" w:line="480" w:lineRule="auto"/>
        <w:jc w:val="both"/>
        <w:rPr>
          <w:rFonts w:ascii="Verdana" w:hAnsi="Verdana"/>
          <w:color w:val="auto"/>
          <w:sz w:val="24"/>
          <w:szCs w:val="24"/>
        </w:rPr>
      </w:pPr>
      <w:r w:rsidRPr="0098723C">
        <w:rPr>
          <w:rFonts w:ascii="Verdana" w:hAnsi="Verdana"/>
          <w:color w:val="auto"/>
          <w:sz w:val="24"/>
          <w:szCs w:val="24"/>
        </w:rPr>
        <w:t>Patients with AUD</w:t>
      </w:r>
      <w:r w:rsidR="00477A20" w:rsidRPr="0098723C">
        <w:rPr>
          <w:rFonts w:ascii="Verdana" w:hAnsi="Verdana"/>
          <w:color w:val="auto"/>
          <w:sz w:val="24"/>
          <w:szCs w:val="24"/>
        </w:rPr>
        <w:t xml:space="preserve"> have increased rates of all-cause </w:t>
      </w:r>
      <w:r w:rsidR="007A69B5" w:rsidRPr="0098723C">
        <w:rPr>
          <w:rFonts w:ascii="Verdana" w:hAnsi="Verdana"/>
          <w:color w:val="auto"/>
          <w:sz w:val="24"/>
          <w:szCs w:val="24"/>
        </w:rPr>
        <w:t xml:space="preserve">and </w:t>
      </w:r>
      <w:r w:rsidR="00477A20" w:rsidRPr="0098723C">
        <w:rPr>
          <w:rFonts w:ascii="Verdana" w:hAnsi="Verdana"/>
          <w:color w:val="auto"/>
          <w:sz w:val="24"/>
          <w:szCs w:val="24"/>
        </w:rPr>
        <w:t>cause-specific mortality compared to the general population.</w:t>
      </w:r>
      <w:r w:rsidR="00A65D40" w:rsidRPr="0098723C">
        <w:rPr>
          <w:rFonts w:ascii="Verdana" w:hAnsi="Verdana"/>
          <w:color w:val="auto"/>
          <w:sz w:val="24"/>
          <w:szCs w:val="24"/>
        </w:rPr>
        <w:t xml:space="preserve"> </w:t>
      </w:r>
      <w:r w:rsidR="00477A20" w:rsidRPr="0098723C">
        <w:rPr>
          <w:rFonts w:ascii="Verdana" w:hAnsi="Verdana"/>
          <w:color w:val="auto"/>
          <w:sz w:val="24"/>
          <w:szCs w:val="24"/>
        </w:rPr>
        <w:t>L</w:t>
      </w:r>
      <w:r w:rsidR="00A65D40" w:rsidRPr="0098723C">
        <w:rPr>
          <w:rFonts w:ascii="Verdana" w:hAnsi="Verdana"/>
          <w:color w:val="auto"/>
          <w:sz w:val="24"/>
          <w:szCs w:val="24"/>
        </w:rPr>
        <w:t xml:space="preserve">ike the general population, </w:t>
      </w:r>
      <w:r w:rsidR="00477A20" w:rsidRPr="0098723C">
        <w:rPr>
          <w:rFonts w:ascii="Verdana" w:hAnsi="Verdana"/>
          <w:color w:val="auto"/>
          <w:sz w:val="24"/>
          <w:szCs w:val="24"/>
        </w:rPr>
        <w:t xml:space="preserve">they </w:t>
      </w:r>
      <w:r w:rsidR="00A65D40" w:rsidRPr="0098723C">
        <w:rPr>
          <w:rFonts w:ascii="Verdana" w:hAnsi="Verdana"/>
          <w:color w:val="auto"/>
          <w:sz w:val="24"/>
          <w:szCs w:val="24"/>
        </w:rPr>
        <w:t xml:space="preserve">are most likely to die of CVD. </w:t>
      </w:r>
      <w:r w:rsidR="00477A20" w:rsidRPr="0098723C">
        <w:rPr>
          <w:rFonts w:ascii="Verdana" w:hAnsi="Verdana"/>
          <w:color w:val="auto"/>
          <w:sz w:val="24"/>
          <w:szCs w:val="24"/>
        </w:rPr>
        <w:t xml:space="preserve">In contrast to the general population, </w:t>
      </w:r>
      <w:r w:rsidR="00467EF4" w:rsidRPr="0098723C">
        <w:rPr>
          <w:rFonts w:ascii="Verdana" w:hAnsi="Verdana"/>
          <w:color w:val="auto"/>
          <w:sz w:val="24"/>
          <w:szCs w:val="24"/>
        </w:rPr>
        <w:t xml:space="preserve">gastrointestinal and </w:t>
      </w:r>
      <w:r w:rsidR="00A65D40" w:rsidRPr="0098723C">
        <w:rPr>
          <w:rFonts w:ascii="Verdana" w:hAnsi="Verdana"/>
          <w:color w:val="auto"/>
          <w:sz w:val="24"/>
          <w:szCs w:val="24"/>
        </w:rPr>
        <w:t xml:space="preserve">unnatural deaths are the </w:t>
      </w:r>
      <w:r w:rsidR="00153664" w:rsidRPr="0098723C">
        <w:rPr>
          <w:rFonts w:ascii="Verdana" w:hAnsi="Verdana"/>
          <w:color w:val="auto"/>
          <w:sz w:val="24"/>
          <w:szCs w:val="24"/>
        </w:rPr>
        <w:t xml:space="preserve">next most </w:t>
      </w:r>
      <w:r w:rsidR="00A65D40" w:rsidRPr="0098723C">
        <w:rPr>
          <w:rFonts w:ascii="Verdana" w:hAnsi="Verdana"/>
          <w:color w:val="auto"/>
          <w:sz w:val="24"/>
          <w:szCs w:val="24"/>
        </w:rPr>
        <w:t xml:space="preserve">common causes of death. We believe these facts should be </w:t>
      </w:r>
      <w:r w:rsidR="000E51C6" w:rsidRPr="0098723C">
        <w:rPr>
          <w:rFonts w:ascii="Verdana" w:hAnsi="Verdana"/>
          <w:color w:val="auto"/>
          <w:sz w:val="24"/>
          <w:szCs w:val="24"/>
        </w:rPr>
        <w:t xml:space="preserve">considered </w:t>
      </w:r>
      <w:r w:rsidR="00A65D40" w:rsidRPr="0098723C">
        <w:rPr>
          <w:rFonts w:ascii="Verdana" w:hAnsi="Verdana"/>
          <w:color w:val="auto"/>
          <w:sz w:val="24"/>
          <w:szCs w:val="24"/>
        </w:rPr>
        <w:t xml:space="preserve">when planning healthcare services for </w:t>
      </w:r>
      <w:r w:rsidRPr="0098723C">
        <w:rPr>
          <w:rFonts w:ascii="Verdana" w:hAnsi="Verdana"/>
          <w:color w:val="auto"/>
          <w:sz w:val="24"/>
          <w:szCs w:val="24"/>
        </w:rPr>
        <w:t>patients with AUD</w:t>
      </w:r>
      <w:r w:rsidR="00A65D40" w:rsidRPr="0098723C">
        <w:rPr>
          <w:rFonts w:ascii="Verdana" w:hAnsi="Verdana"/>
          <w:color w:val="auto"/>
          <w:sz w:val="24"/>
          <w:szCs w:val="24"/>
        </w:rPr>
        <w:t>.</w:t>
      </w:r>
      <w:r w:rsidR="00153664" w:rsidRPr="0098723C">
        <w:rPr>
          <w:rFonts w:ascii="Verdana" w:hAnsi="Verdana"/>
          <w:color w:val="auto"/>
          <w:sz w:val="24"/>
          <w:szCs w:val="24"/>
        </w:rPr>
        <w:t xml:space="preserve"> </w:t>
      </w:r>
    </w:p>
    <w:bookmarkEnd w:id="2"/>
    <w:p w14:paraId="128021D2" w14:textId="77777777" w:rsidR="00381428" w:rsidRPr="0098723C" w:rsidRDefault="00381428" w:rsidP="009C0FAB">
      <w:pPr>
        <w:pStyle w:val="Body"/>
        <w:spacing w:before="240" w:line="480" w:lineRule="auto"/>
        <w:jc w:val="both"/>
        <w:rPr>
          <w:rFonts w:ascii="Verdana" w:hAnsi="Verdana"/>
          <w:color w:val="auto"/>
          <w:sz w:val="24"/>
          <w:szCs w:val="24"/>
        </w:rPr>
        <w:sectPr w:rsidR="00381428" w:rsidRPr="0098723C">
          <w:pgSz w:w="11900" w:h="16840"/>
          <w:pgMar w:top="1440" w:right="1440" w:bottom="1440" w:left="1440" w:header="708" w:footer="708" w:gutter="0"/>
          <w:pgNumType w:start="1"/>
          <w:cols w:space="720"/>
        </w:sectPr>
      </w:pPr>
    </w:p>
    <w:p w14:paraId="589E325B" w14:textId="77777777" w:rsidR="005C2377" w:rsidRPr="0098723C" w:rsidRDefault="00F42C51" w:rsidP="00281044">
      <w:pPr>
        <w:pStyle w:val="Heading"/>
        <w:spacing w:line="480" w:lineRule="auto"/>
        <w:rPr>
          <w:color w:val="auto"/>
        </w:rPr>
      </w:pPr>
      <w:r w:rsidRPr="0098723C">
        <w:rPr>
          <w:color w:val="auto"/>
          <w:lang w:val="en-GB"/>
        </w:rPr>
        <w:t>Introduction</w:t>
      </w:r>
    </w:p>
    <w:p w14:paraId="47FEA852" w14:textId="77777777" w:rsidR="005C2377" w:rsidRPr="0098723C" w:rsidRDefault="00F42C51" w:rsidP="00B65529">
      <w:pPr>
        <w:pStyle w:val="Body"/>
        <w:spacing w:before="240" w:line="480" w:lineRule="auto"/>
        <w:jc w:val="both"/>
        <w:rPr>
          <w:rFonts w:ascii="Verdana" w:eastAsia="Verdana" w:hAnsi="Verdana" w:cs="Verdana"/>
          <w:color w:val="auto"/>
          <w:sz w:val="24"/>
          <w:szCs w:val="24"/>
        </w:rPr>
      </w:pPr>
      <w:r w:rsidRPr="0098723C">
        <w:rPr>
          <w:rFonts w:ascii="Verdana" w:hAnsi="Verdana"/>
          <w:color w:val="auto"/>
          <w:sz w:val="24"/>
          <w:szCs w:val="24"/>
        </w:rPr>
        <w:t xml:space="preserve">Alcohol use disorders (AUD), a clinical term </w:t>
      </w:r>
      <w:r w:rsidR="00F012A4" w:rsidRPr="0098723C">
        <w:rPr>
          <w:rFonts w:ascii="Verdana" w:hAnsi="Verdana"/>
          <w:color w:val="auto"/>
          <w:sz w:val="24"/>
          <w:szCs w:val="24"/>
        </w:rPr>
        <w:t>describing</w:t>
      </w:r>
      <w:r w:rsidRPr="0098723C">
        <w:rPr>
          <w:rFonts w:ascii="Verdana" w:hAnsi="Verdana"/>
          <w:color w:val="auto"/>
          <w:sz w:val="24"/>
          <w:szCs w:val="24"/>
        </w:rPr>
        <w:t xml:space="preserve"> alcohol dependence and alcohol abuse</w:t>
      </w:r>
      <w:r w:rsidR="000E51C6"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1</w:t>
      </w:r>
      <w:r w:rsidRPr="0098723C">
        <w:rPr>
          <w:rFonts w:ascii="Verdana" w:hAnsi="Verdana"/>
          <w:color w:val="auto"/>
          <w:sz w:val="24"/>
          <w:szCs w:val="24"/>
        </w:rPr>
        <w:t>, are one of the most prevalent mental disorders</w:t>
      </w:r>
      <w:r w:rsidR="007B7CE0" w:rsidRPr="0098723C">
        <w:rPr>
          <w:rFonts w:ascii="Verdana" w:hAnsi="Verdana"/>
          <w:color w:val="auto"/>
          <w:sz w:val="24"/>
          <w:szCs w:val="24"/>
        </w:rPr>
        <w:t xml:space="preserve"> worldwide</w:t>
      </w:r>
      <w:r w:rsidRPr="0098723C">
        <w:rPr>
          <w:rFonts w:ascii="Verdana" w:hAnsi="Verdana"/>
          <w:color w:val="auto"/>
          <w:sz w:val="24"/>
          <w:szCs w:val="24"/>
        </w:rPr>
        <w:t>, affecting an estimated 4.1% of the global population aged 15 to 64 years</w:t>
      </w:r>
      <w:r w:rsidR="000E51C6"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2</w:t>
      </w:r>
      <w:r w:rsidRPr="0098723C">
        <w:rPr>
          <w:rFonts w:ascii="Verdana" w:hAnsi="Verdana"/>
          <w:color w:val="auto"/>
          <w:sz w:val="24"/>
          <w:szCs w:val="24"/>
        </w:rPr>
        <w:t>.</w:t>
      </w:r>
    </w:p>
    <w:p w14:paraId="0F8C34C6" w14:textId="003A3E71" w:rsidR="005C2377" w:rsidRPr="0098723C" w:rsidRDefault="00F42C51" w:rsidP="00B65529">
      <w:pPr>
        <w:pStyle w:val="Body"/>
        <w:spacing w:before="240" w:line="480" w:lineRule="auto"/>
        <w:jc w:val="both"/>
        <w:rPr>
          <w:rFonts w:ascii="Verdana" w:eastAsia="Verdana" w:hAnsi="Verdana" w:cs="Verdana"/>
          <w:color w:val="auto"/>
          <w:sz w:val="24"/>
          <w:szCs w:val="24"/>
        </w:rPr>
      </w:pPr>
      <w:r w:rsidRPr="0098723C">
        <w:rPr>
          <w:rFonts w:ascii="Verdana" w:hAnsi="Verdana"/>
          <w:color w:val="auto"/>
          <w:sz w:val="24"/>
          <w:szCs w:val="24"/>
        </w:rPr>
        <w:t>AUDs are recognised to increase the risk of all-cause mortality and a number of specific causes of death</w:t>
      </w:r>
      <w:r w:rsidR="000E51C6"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3–5</w:t>
      </w:r>
      <w:r w:rsidRPr="0098723C">
        <w:rPr>
          <w:rFonts w:ascii="Verdana" w:hAnsi="Verdana"/>
          <w:color w:val="auto"/>
          <w:sz w:val="24"/>
          <w:szCs w:val="24"/>
        </w:rPr>
        <w:t xml:space="preserve">. </w:t>
      </w:r>
      <w:r w:rsidR="00A65D40" w:rsidRPr="0098723C">
        <w:rPr>
          <w:rFonts w:ascii="Verdana" w:hAnsi="Verdana"/>
          <w:color w:val="auto"/>
          <w:sz w:val="24"/>
          <w:szCs w:val="24"/>
        </w:rPr>
        <w:t xml:space="preserve">Roerecke has conducted two </w:t>
      </w:r>
      <w:r w:rsidRPr="0098723C">
        <w:rPr>
          <w:rFonts w:ascii="Verdana" w:hAnsi="Verdana"/>
          <w:color w:val="auto"/>
          <w:sz w:val="24"/>
          <w:szCs w:val="24"/>
        </w:rPr>
        <w:t xml:space="preserve">meta-analyses </w:t>
      </w:r>
      <w:r w:rsidR="00A65D40" w:rsidRPr="0098723C">
        <w:rPr>
          <w:rFonts w:ascii="Verdana" w:hAnsi="Verdana"/>
          <w:color w:val="auto"/>
          <w:sz w:val="24"/>
          <w:szCs w:val="24"/>
        </w:rPr>
        <w:t xml:space="preserve">of </w:t>
      </w:r>
      <w:r w:rsidR="00E441DB" w:rsidRPr="0098723C">
        <w:rPr>
          <w:rFonts w:ascii="Verdana" w:hAnsi="Verdana"/>
          <w:color w:val="auto"/>
          <w:sz w:val="24"/>
          <w:szCs w:val="24"/>
        </w:rPr>
        <w:t xml:space="preserve">the relative risk of </w:t>
      </w:r>
      <w:r w:rsidR="004C543C" w:rsidRPr="0098723C">
        <w:rPr>
          <w:rFonts w:ascii="Verdana" w:hAnsi="Verdana"/>
          <w:color w:val="auto"/>
          <w:sz w:val="24"/>
          <w:szCs w:val="24"/>
        </w:rPr>
        <w:t xml:space="preserve">all-cause </w:t>
      </w:r>
      <w:r w:rsidR="007B7CE0" w:rsidRPr="0098723C">
        <w:rPr>
          <w:rFonts w:ascii="Verdana" w:hAnsi="Verdana"/>
          <w:color w:val="auto"/>
          <w:sz w:val="24"/>
          <w:szCs w:val="24"/>
        </w:rPr>
        <w:t>or</w:t>
      </w:r>
      <w:r w:rsidR="004C543C" w:rsidRPr="0098723C">
        <w:rPr>
          <w:rFonts w:ascii="Verdana" w:hAnsi="Verdana"/>
          <w:color w:val="auto"/>
          <w:sz w:val="24"/>
          <w:szCs w:val="24"/>
        </w:rPr>
        <w:t xml:space="preserve"> </w:t>
      </w:r>
      <w:r w:rsidRPr="0098723C">
        <w:rPr>
          <w:rFonts w:ascii="Verdana" w:hAnsi="Verdana"/>
          <w:color w:val="auto"/>
          <w:sz w:val="24"/>
          <w:szCs w:val="24"/>
        </w:rPr>
        <w:t>cause-specific mortality in this population.</w:t>
      </w:r>
      <w:r w:rsidR="00DE3C98" w:rsidRPr="0098723C">
        <w:rPr>
          <w:rFonts w:ascii="Verdana" w:hAnsi="Verdana"/>
          <w:color w:val="auto"/>
          <w:sz w:val="24"/>
          <w:szCs w:val="24"/>
        </w:rPr>
        <w:t xml:space="preserve"> </w:t>
      </w:r>
      <w:r w:rsidR="00A65D40" w:rsidRPr="0098723C">
        <w:rPr>
          <w:rFonts w:ascii="Verdana" w:hAnsi="Verdana"/>
          <w:color w:val="auto"/>
          <w:sz w:val="24"/>
          <w:szCs w:val="24"/>
        </w:rPr>
        <w:t xml:space="preserve">The first </w:t>
      </w:r>
      <w:r w:rsidRPr="0098723C">
        <w:rPr>
          <w:rFonts w:ascii="Verdana" w:hAnsi="Verdana"/>
          <w:color w:val="auto"/>
          <w:sz w:val="24"/>
          <w:szCs w:val="24"/>
        </w:rPr>
        <w:t xml:space="preserve">estimated that the risk of all-cause mortality in </w:t>
      </w:r>
      <w:r w:rsidR="008B1AF5" w:rsidRPr="0098723C">
        <w:rPr>
          <w:rFonts w:ascii="Verdana" w:hAnsi="Verdana"/>
          <w:color w:val="auto"/>
          <w:sz w:val="24"/>
          <w:szCs w:val="24"/>
        </w:rPr>
        <w:t xml:space="preserve">male </w:t>
      </w:r>
      <w:r w:rsidR="000652ED" w:rsidRPr="0098723C">
        <w:rPr>
          <w:rFonts w:ascii="Verdana" w:hAnsi="Verdana"/>
          <w:color w:val="auto"/>
          <w:sz w:val="24"/>
          <w:szCs w:val="24"/>
        </w:rPr>
        <w:t>p</w:t>
      </w:r>
      <w:r w:rsidR="00103A5C" w:rsidRPr="0098723C">
        <w:rPr>
          <w:rFonts w:ascii="Verdana" w:hAnsi="Verdana"/>
          <w:color w:val="auto"/>
          <w:sz w:val="24"/>
          <w:szCs w:val="24"/>
        </w:rPr>
        <w:t>atients with AUD</w:t>
      </w:r>
      <w:r w:rsidR="008B1AF5" w:rsidRPr="0098723C">
        <w:rPr>
          <w:rFonts w:ascii="Verdana" w:hAnsi="Verdana"/>
          <w:color w:val="auto"/>
          <w:sz w:val="24"/>
          <w:szCs w:val="24"/>
        </w:rPr>
        <w:t xml:space="preserve"> in </w:t>
      </w:r>
      <w:r w:rsidRPr="0098723C">
        <w:rPr>
          <w:rFonts w:ascii="Verdana" w:hAnsi="Verdana"/>
          <w:color w:val="auto"/>
          <w:sz w:val="24"/>
          <w:szCs w:val="24"/>
        </w:rPr>
        <w:t xml:space="preserve">treatment settings is </w:t>
      </w:r>
      <w:r w:rsidR="00F85D24" w:rsidRPr="0098723C">
        <w:rPr>
          <w:rFonts w:ascii="Verdana" w:hAnsi="Verdana"/>
          <w:color w:val="auto"/>
          <w:sz w:val="24"/>
          <w:szCs w:val="24"/>
        </w:rPr>
        <w:t xml:space="preserve">3.38 times that </w:t>
      </w:r>
      <w:r w:rsidRPr="0098723C">
        <w:rPr>
          <w:rFonts w:ascii="Verdana" w:hAnsi="Verdana"/>
          <w:color w:val="auto"/>
          <w:sz w:val="24"/>
          <w:szCs w:val="24"/>
        </w:rPr>
        <w:t xml:space="preserve">of the general population, whereas in women </w:t>
      </w:r>
      <w:r w:rsidR="00F85D24" w:rsidRPr="0098723C">
        <w:rPr>
          <w:rFonts w:ascii="Verdana" w:hAnsi="Verdana"/>
          <w:color w:val="auto"/>
          <w:sz w:val="24"/>
          <w:szCs w:val="24"/>
        </w:rPr>
        <w:t>it is 2.57</w:t>
      </w:r>
      <w:r w:rsidR="000E51C6"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6</w:t>
      </w:r>
      <w:r w:rsidRPr="0098723C">
        <w:rPr>
          <w:rFonts w:ascii="Verdana" w:hAnsi="Verdana"/>
          <w:color w:val="auto"/>
          <w:sz w:val="24"/>
          <w:szCs w:val="24"/>
        </w:rPr>
        <w:t xml:space="preserve">. </w:t>
      </w:r>
    </w:p>
    <w:p w14:paraId="10D14163" w14:textId="77777777" w:rsidR="003A5DCF" w:rsidRPr="0098723C" w:rsidRDefault="00F42C51" w:rsidP="00B65529">
      <w:pPr>
        <w:pStyle w:val="Body"/>
        <w:spacing w:before="240" w:line="480" w:lineRule="auto"/>
        <w:jc w:val="both"/>
        <w:rPr>
          <w:rFonts w:ascii="Verdana" w:hAnsi="Verdana"/>
          <w:color w:val="auto"/>
          <w:sz w:val="24"/>
          <w:szCs w:val="24"/>
        </w:rPr>
      </w:pPr>
      <w:r w:rsidRPr="0098723C">
        <w:rPr>
          <w:rFonts w:ascii="Verdana" w:hAnsi="Verdana"/>
          <w:color w:val="auto"/>
          <w:sz w:val="24"/>
          <w:szCs w:val="24"/>
        </w:rPr>
        <w:t xml:space="preserve">In </w:t>
      </w:r>
      <w:r w:rsidR="00A65D40" w:rsidRPr="0098723C">
        <w:rPr>
          <w:rFonts w:ascii="Verdana" w:hAnsi="Verdana"/>
          <w:color w:val="auto"/>
          <w:sz w:val="24"/>
          <w:szCs w:val="24"/>
        </w:rPr>
        <w:t>the second</w:t>
      </w:r>
      <w:r w:rsidRPr="0098723C">
        <w:rPr>
          <w:rFonts w:ascii="Verdana" w:hAnsi="Verdana"/>
          <w:color w:val="auto"/>
          <w:sz w:val="24"/>
          <w:szCs w:val="24"/>
        </w:rPr>
        <w:t xml:space="preserve">, Roerecke </w:t>
      </w:r>
      <w:r w:rsidR="00F012A4" w:rsidRPr="0098723C">
        <w:rPr>
          <w:rFonts w:ascii="Verdana" w:hAnsi="Verdana"/>
          <w:color w:val="auto"/>
          <w:sz w:val="24"/>
          <w:szCs w:val="24"/>
        </w:rPr>
        <w:t xml:space="preserve">assessed </w:t>
      </w:r>
      <w:r w:rsidRPr="0098723C">
        <w:rPr>
          <w:rFonts w:ascii="Verdana" w:hAnsi="Verdana"/>
          <w:color w:val="auto"/>
          <w:sz w:val="24"/>
          <w:szCs w:val="24"/>
        </w:rPr>
        <w:t xml:space="preserve">the cause-specific </w:t>
      </w:r>
      <w:r w:rsidR="00477A20" w:rsidRPr="0098723C">
        <w:rPr>
          <w:rFonts w:ascii="Verdana" w:hAnsi="Verdana"/>
          <w:color w:val="auto"/>
          <w:sz w:val="24"/>
          <w:szCs w:val="24"/>
        </w:rPr>
        <w:t xml:space="preserve">standardized mortality ratios (SMR) </w:t>
      </w:r>
      <w:r w:rsidRPr="0098723C">
        <w:rPr>
          <w:rFonts w:ascii="Verdana" w:hAnsi="Verdana"/>
          <w:color w:val="auto"/>
          <w:sz w:val="24"/>
          <w:szCs w:val="24"/>
        </w:rPr>
        <w:t xml:space="preserve">of </w:t>
      </w:r>
      <w:r w:rsidR="00C33829" w:rsidRPr="0098723C">
        <w:rPr>
          <w:rFonts w:ascii="Verdana" w:hAnsi="Verdana"/>
          <w:color w:val="auto"/>
          <w:sz w:val="24"/>
          <w:szCs w:val="24"/>
        </w:rPr>
        <w:t xml:space="preserve">the same population. </w:t>
      </w:r>
      <w:r w:rsidRPr="0098723C">
        <w:rPr>
          <w:rFonts w:ascii="Verdana" w:hAnsi="Verdana"/>
          <w:color w:val="auto"/>
          <w:sz w:val="24"/>
          <w:szCs w:val="24"/>
        </w:rPr>
        <w:t xml:space="preserve">They found that the conditions that </w:t>
      </w:r>
      <w:r w:rsidR="003A5DCF" w:rsidRPr="0098723C">
        <w:rPr>
          <w:rFonts w:ascii="Verdana" w:hAnsi="Verdana"/>
          <w:color w:val="auto"/>
          <w:sz w:val="24"/>
          <w:szCs w:val="24"/>
        </w:rPr>
        <w:t xml:space="preserve">have </w:t>
      </w:r>
      <w:r w:rsidRPr="0098723C">
        <w:rPr>
          <w:rFonts w:ascii="Verdana" w:hAnsi="Verdana"/>
          <w:color w:val="auto"/>
          <w:sz w:val="24"/>
          <w:szCs w:val="24"/>
        </w:rPr>
        <w:t xml:space="preserve">the greatest </w:t>
      </w:r>
      <w:r w:rsidR="00E441DB" w:rsidRPr="0098723C">
        <w:rPr>
          <w:rFonts w:ascii="Verdana" w:hAnsi="Verdana"/>
          <w:color w:val="auto"/>
          <w:sz w:val="24"/>
          <w:szCs w:val="24"/>
        </w:rPr>
        <w:t xml:space="preserve">relative </w:t>
      </w:r>
      <w:r w:rsidRPr="0098723C">
        <w:rPr>
          <w:rFonts w:ascii="Verdana" w:hAnsi="Verdana"/>
          <w:color w:val="auto"/>
          <w:sz w:val="24"/>
          <w:szCs w:val="24"/>
        </w:rPr>
        <w:t xml:space="preserve">risk of mortality in men with </w:t>
      </w:r>
      <w:r w:rsidR="00596C1A" w:rsidRPr="0098723C">
        <w:rPr>
          <w:rFonts w:ascii="Verdana" w:hAnsi="Verdana"/>
          <w:color w:val="auto"/>
          <w:sz w:val="24"/>
          <w:szCs w:val="24"/>
        </w:rPr>
        <w:t>AUD</w:t>
      </w:r>
      <w:r w:rsidRPr="0098723C">
        <w:rPr>
          <w:rFonts w:ascii="Verdana" w:hAnsi="Verdana"/>
          <w:color w:val="auto"/>
          <w:sz w:val="24"/>
          <w:szCs w:val="24"/>
        </w:rPr>
        <w:t xml:space="preserve"> are mental health disorders, digestive diseases and injuries (1</w:t>
      </w:r>
      <w:r w:rsidR="003A5DCF" w:rsidRPr="0098723C">
        <w:rPr>
          <w:rFonts w:ascii="Verdana" w:hAnsi="Verdana"/>
          <w:color w:val="auto"/>
          <w:sz w:val="24"/>
          <w:szCs w:val="24"/>
        </w:rPr>
        <w:t>9.</w:t>
      </w:r>
      <w:r w:rsidRPr="0098723C">
        <w:rPr>
          <w:rFonts w:ascii="Verdana" w:hAnsi="Verdana"/>
          <w:color w:val="auto"/>
          <w:sz w:val="24"/>
          <w:szCs w:val="24"/>
        </w:rPr>
        <w:t xml:space="preserve">8, </w:t>
      </w:r>
      <w:r w:rsidR="003A5DCF" w:rsidRPr="0098723C">
        <w:rPr>
          <w:rFonts w:ascii="Verdana" w:hAnsi="Verdana"/>
          <w:color w:val="auto"/>
          <w:sz w:val="24"/>
          <w:szCs w:val="24"/>
        </w:rPr>
        <w:t>10.74</w:t>
      </w:r>
      <w:r w:rsidRPr="0098723C">
        <w:rPr>
          <w:rFonts w:ascii="Verdana" w:hAnsi="Verdana"/>
          <w:color w:val="auto"/>
          <w:sz w:val="24"/>
          <w:szCs w:val="24"/>
        </w:rPr>
        <w:t xml:space="preserve">, and </w:t>
      </w:r>
      <w:r w:rsidR="003A5DCF" w:rsidRPr="0098723C">
        <w:rPr>
          <w:rFonts w:ascii="Verdana" w:hAnsi="Verdana"/>
          <w:color w:val="auto"/>
          <w:sz w:val="24"/>
          <w:szCs w:val="24"/>
        </w:rPr>
        <w:t>6.</w:t>
      </w:r>
      <w:r w:rsidRPr="0098723C">
        <w:rPr>
          <w:rFonts w:ascii="Verdana" w:hAnsi="Verdana"/>
          <w:color w:val="auto"/>
          <w:sz w:val="24"/>
          <w:szCs w:val="24"/>
        </w:rPr>
        <w:t xml:space="preserve">64 </w:t>
      </w:r>
      <w:r w:rsidR="003A5DCF" w:rsidRPr="0098723C">
        <w:rPr>
          <w:rFonts w:ascii="Verdana" w:hAnsi="Verdana"/>
          <w:color w:val="auto"/>
          <w:sz w:val="24"/>
          <w:szCs w:val="24"/>
        </w:rPr>
        <w:t>times the risk</w:t>
      </w:r>
      <w:r w:rsidR="00477A20" w:rsidRPr="0098723C">
        <w:rPr>
          <w:rFonts w:ascii="Verdana" w:hAnsi="Verdana"/>
          <w:color w:val="auto"/>
          <w:sz w:val="24"/>
          <w:szCs w:val="24"/>
        </w:rPr>
        <w:t xml:space="preserve"> </w:t>
      </w:r>
      <w:r w:rsidR="008F018D" w:rsidRPr="0098723C">
        <w:rPr>
          <w:rFonts w:ascii="Verdana" w:hAnsi="Verdana"/>
          <w:color w:val="auto"/>
          <w:sz w:val="24"/>
          <w:szCs w:val="24"/>
        </w:rPr>
        <w:t xml:space="preserve">within </w:t>
      </w:r>
      <w:r w:rsidR="003A5DCF" w:rsidRPr="0098723C">
        <w:rPr>
          <w:rFonts w:ascii="Verdana" w:hAnsi="Verdana"/>
          <w:color w:val="auto"/>
          <w:sz w:val="24"/>
          <w:szCs w:val="24"/>
        </w:rPr>
        <w:t xml:space="preserve">the standard population </w:t>
      </w:r>
      <w:r w:rsidRPr="0098723C">
        <w:rPr>
          <w:rFonts w:ascii="Verdana" w:hAnsi="Verdana"/>
          <w:color w:val="auto"/>
          <w:sz w:val="24"/>
          <w:szCs w:val="24"/>
        </w:rPr>
        <w:t>respectively</w:t>
      </w:r>
      <w:r w:rsidR="00C35C07" w:rsidRPr="0098723C">
        <w:rPr>
          <w:rFonts w:ascii="Verdana" w:hAnsi="Verdana"/>
          <w:color w:val="auto"/>
          <w:sz w:val="24"/>
          <w:szCs w:val="24"/>
        </w:rPr>
        <w:t>)</w:t>
      </w:r>
      <w:r w:rsidR="000E51C6"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7</w:t>
      </w:r>
      <w:r w:rsidRPr="0098723C">
        <w:rPr>
          <w:rFonts w:ascii="Verdana" w:hAnsi="Verdana"/>
          <w:color w:val="auto"/>
          <w:sz w:val="24"/>
          <w:szCs w:val="24"/>
        </w:rPr>
        <w:t>.</w:t>
      </w:r>
    </w:p>
    <w:p w14:paraId="46C621F2" w14:textId="77777777" w:rsidR="000652ED" w:rsidRPr="0098723C" w:rsidRDefault="000652ED" w:rsidP="00B65529">
      <w:pPr>
        <w:pStyle w:val="Body"/>
        <w:spacing w:before="240" w:line="480" w:lineRule="auto"/>
        <w:jc w:val="both"/>
        <w:rPr>
          <w:rFonts w:ascii="Verdana" w:hAnsi="Verdana"/>
          <w:color w:val="auto"/>
          <w:sz w:val="24"/>
          <w:szCs w:val="24"/>
        </w:rPr>
      </w:pPr>
      <w:r w:rsidRPr="0098723C">
        <w:rPr>
          <w:rFonts w:ascii="Verdana" w:hAnsi="Verdana"/>
          <w:color w:val="auto"/>
          <w:sz w:val="24"/>
          <w:szCs w:val="24"/>
        </w:rPr>
        <w:t xml:space="preserve">Although relative mortality measures (such as the SMR, or relative mortality risk), being measures of effect, are useful in demonstrating an association between AUD and deaths from specific causes, the ‘absolute’ mortality rate, being a measure of disease frequency, would be of benefit to public health practitioners in planning or prioritising the allocation of resources to provide suitable health interventions to prevent deaths from these causes in the AUD population. This is because this measure provides a more accurate estimate of disease burden within populations </w:t>
      </w:r>
      <w:r w:rsidRPr="0098723C">
        <w:rPr>
          <w:rFonts w:ascii="Verdana" w:hAnsi="Verdana"/>
          <w:noProof/>
          <w:color w:val="auto"/>
          <w:sz w:val="24"/>
          <w:szCs w:val="24"/>
          <w:vertAlign w:val="superscript"/>
        </w:rPr>
        <w:t>8,9</w:t>
      </w:r>
      <w:r w:rsidRPr="0098723C">
        <w:rPr>
          <w:rFonts w:ascii="Verdana" w:hAnsi="Verdana"/>
          <w:color w:val="auto"/>
          <w:sz w:val="24"/>
          <w:szCs w:val="24"/>
        </w:rPr>
        <w:t xml:space="preserve">, and is used and often required in population health needs/status assessments </w:t>
      </w:r>
      <w:r w:rsidRPr="0098723C">
        <w:rPr>
          <w:rFonts w:ascii="Verdana" w:hAnsi="Verdana"/>
          <w:noProof/>
          <w:color w:val="auto"/>
          <w:sz w:val="24"/>
          <w:szCs w:val="24"/>
          <w:vertAlign w:val="superscript"/>
        </w:rPr>
        <w:t>10,11</w:t>
      </w:r>
      <w:r w:rsidRPr="0098723C">
        <w:rPr>
          <w:rFonts w:ascii="Verdana" w:hAnsi="Verdana"/>
          <w:color w:val="auto"/>
          <w:sz w:val="24"/>
          <w:szCs w:val="24"/>
        </w:rPr>
        <w:t xml:space="preserve">. </w:t>
      </w:r>
      <w:r w:rsidR="002C3F78" w:rsidRPr="0098723C">
        <w:rPr>
          <w:rFonts w:ascii="Verdana" w:hAnsi="Verdana"/>
          <w:color w:val="auto"/>
          <w:sz w:val="24"/>
          <w:szCs w:val="24"/>
        </w:rPr>
        <w:t>As yet</w:t>
      </w:r>
      <w:r w:rsidR="00CA1B95" w:rsidRPr="0098723C">
        <w:rPr>
          <w:rFonts w:ascii="Verdana" w:hAnsi="Verdana"/>
          <w:color w:val="auto"/>
          <w:sz w:val="24"/>
          <w:szCs w:val="24"/>
        </w:rPr>
        <w:t>,</w:t>
      </w:r>
      <w:r w:rsidR="002C3F78" w:rsidRPr="0098723C">
        <w:rPr>
          <w:rFonts w:ascii="Verdana" w:hAnsi="Verdana"/>
          <w:color w:val="auto"/>
          <w:sz w:val="24"/>
          <w:szCs w:val="24"/>
        </w:rPr>
        <w:t xml:space="preserve"> no systematic</w:t>
      </w:r>
      <w:r w:rsidRPr="0098723C">
        <w:rPr>
          <w:rFonts w:ascii="Verdana" w:hAnsi="Verdana"/>
          <w:color w:val="auto"/>
          <w:sz w:val="24"/>
          <w:szCs w:val="24"/>
        </w:rPr>
        <w:t xml:space="preserve"> review o</w:t>
      </w:r>
      <w:r w:rsidR="002C3F78" w:rsidRPr="0098723C">
        <w:rPr>
          <w:rFonts w:ascii="Verdana" w:hAnsi="Verdana"/>
          <w:color w:val="auto"/>
          <w:sz w:val="24"/>
          <w:szCs w:val="24"/>
        </w:rPr>
        <w:t>f</w:t>
      </w:r>
      <w:r w:rsidRPr="0098723C">
        <w:rPr>
          <w:rFonts w:ascii="Verdana" w:hAnsi="Verdana"/>
          <w:color w:val="auto"/>
          <w:sz w:val="24"/>
          <w:szCs w:val="24"/>
        </w:rPr>
        <w:t xml:space="preserve"> the absolute mortality rates of the AUD population </w:t>
      </w:r>
      <w:r w:rsidR="002C3F78" w:rsidRPr="0098723C">
        <w:rPr>
          <w:rFonts w:ascii="Verdana" w:hAnsi="Verdana"/>
          <w:color w:val="auto"/>
          <w:sz w:val="24"/>
          <w:szCs w:val="24"/>
        </w:rPr>
        <w:t>is available</w:t>
      </w:r>
      <w:r w:rsidRPr="0098723C">
        <w:rPr>
          <w:rFonts w:ascii="Verdana" w:hAnsi="Verdana"/>
          <w:color w:val="auto"/>
          <w:sz w:val="24"/>
          <w:szCs w:val="24"/>
        </w:rPr>
        <w:t>.</w:t>
      </w:r>
    </w:p>
    <w:p w14:paraId="3A11167C" w14:textId="77777777" w:rsidR="000652ED" w:rsidRPr="0098723C" w:rsidRDefault="000652ED" w:rsidP="00B65529">
      <w:pPr>
        <w:pStyle w:val="Body"/>
        <w:spacing w:before="240" w:line="480" w:lineRule="auto"/>
        <w:jc w:val="both"/>
        <w:rPr>
          <w:color w:val="auto"/>
        </w:rPr>
      </w:pPr>
      <w:r w:rsidRPr="0098723C">
        <w:rPr>
          <w:rFonts w:ascii="Verdana" w:hAnsi="Verdana"/>
          <w:color w:val="auto"/>
          <w:sz w:val="24"/>
          <w:szCs w:val="24"/>
          <w:lang w:val="en-GB"/>
        </w:rPr>
        <w:t xml:space="preserve">We therefore aimed to address this knowledge gap by systematically reviewing the cause-specific mortality rates in the AUD population. </w:t>
      </w:r>
    </w:p>
    <w:p w14:paraId="3C985728" w14:textId="77777777" w:rsidR="00636160" w:rsidRPr="0098723C" w:rsidRDefault="00636160" w:rsidP="009C0FAB">
      <w:pPr>
        <w:pStyle w:val="Body"/>
        <w:spacing w:before="240" w:line="480" w:lineRule="auto"/>
        <w:jc w:val="both"/>
        <w:rPr>
          <w:color w:val="auto"/>
        </w:rPr>
        <w:sectPr w:rsidR="00636160" w:rsidRPr="0098723C">
          <w:headerReference w:type="default" r:id="rId8"/>
          <w:footerReference w:type="default" r:id="rId9"/>
          <w:pgSz w:w="11900" w:h="16840"/>
          <w:pgMar w:top="1440" w:right="1440" w:bottom="1440" w:left="1440" w:header="708" w:footer="708" w:gutter="0"/>
          <w:pgNumType w:start="1"/>
          <w:cols w:space="720"/>
        </w:sectPr>
      </w:pPr>
    </w:p>
    <w:p w14:paraId="3B5477A4" w14:textId="77777777" w:rsidR="005C2377" w:rsidRPr="0098723C" w:rsidRDefault="00F42C51" w:rsidP="009C0FAB">
      <w:pPr>
        <w:pStyle w:val="Heading"/>
        <w:spacing w:after="240" w:line="480" w:lineRule="auto"/>
        <w:rPr>
          <w:color w:val="auto"/>
        </w:rPr>
      </w:pPr>
      <w:r w:rsidRPr="0098723C">
        <w:rPr>
          <w:color w:val="auto"/>
        </w:rPr>
        <w:t>Methods</w:t>
      </w:r>
    </w:p>
    <w:p w14:paraId="327EADD0" w14:textId="77777777" w:rsidR="005C2377" w:rsidRPr="0098723C" w:rsidRDefault="00F42C51" w:rsidP="009C0FAB">
      <w:pPr>
        <w:pStyle w:val="Heading2"/>
        <w:spacing w:after="240" w:line="480" w:lineRule="auto"/>
        <w:rPr>
          <w:color w:val="auto"/>
        </w:rPr>
      </w:pPr>
      <w:r w:rsidRPr="0098723C">
        <w:rPr>
          <w:color w:val="auto"/>
        </w:rPr>
        <w:t>Search strategy</w:t>
      </w:r>
    </w:p>
    <w:p w14:paraId="40DED93B" w14:textId="77777777" w:rsidR="005C2377" w:rsidRPr="0098723C" w:rsidRDefault="00B27393" w:rsidP="000A4894">
      <w:pPr>
        <w:pStyle w:val="Body"/>
        <w:spacing w:line="480" w:lineRule="auto"/>
        <w:jc w:val="both"/>
        <w:rPr>
          <w:rFonts w:ascii="Verdana" w:hAnsi="Verdana"/>
          <w:color w:val="auto"/>
          <w:sz w:val="24"/>
          <w:szCs w:val="24"/>
        </w:rPr>
      </w:pPr>
      <w:r w:rsidRPr="0098723C">
        <w:rPr>
          <w:rFonts w:ascii="Verdana" w:hAnsi="Verdana"/>
          <w:color w:val="auto"/>
          <w:sz w:val="24"/>
          <w:szCs w:val="24"/>
        </w:rPr>
        <w:t>We conducted</w:t>
      </w:r>
      <w:r w:rsidR="00F42C51" w:rsidRPr="0098723C">
        <w:rPr>
          <w:rFonts w:ascii="Verdana" w:hAnsi="Verdana"/>
          <w:color w:val="auto"/>
          <w:sz w:val="24"/>
          <w:szCs w:val="24"/>
        </w:rPr>
        <w:t xml:space="preserve"> a systematic literature search in the Medline (via OVID), EMBASE (via OVID), CINAHL and PsycINFO databases from inception to March 2015. We used broad terms related to the concepts of ‘</w:t>
      </w:r>
      <w:r w:rsidR="00F42C51" w:rsidRPr="0098723C">
        <w:rPr>
          <w:rFonts w:ascii="Verdana" w:hAnsi="Verdana"/>
          <w:color w:val="auto"/>
          <w:sz w:val="24"/>
          <w:szCs w:val="24"/>
          <w:lang w:val="en-GB"/>
        </w:rPr>
        <w:t>alcohol</w:t>
      </w:r>
      <w:r w:rsidR="00F42C51" w:rsidRPr="0098723C">
        <w:rPr>
          <w:rFonts w:ascii="Verdana" w:hAnsi="Verdana"/>
          <w:color w:val="auto"/>
          <w:sz w:val="24"/>
          <w:szCs w:val="24"/>
        </w:rPr>
        <w:t>’ AND ‘misuse’ AND ‘death'</w:t>
      </w:r>
      <w:r w:rsidR="008D4C7E" w:rsidRPr="0098723C">
        <w:rPr>
          <w:rFonts w:ascii="Verdana" w:hAnsi="Verdana"/>
          <w:color w:val="auto"/>
          <w:sz w:val="24"/>
          <w:szCs w:val="24"/>
        </w:rPr>
        <w:t>,</w:t>
      </w:r>
      <w:r w:rsidR="00F42C51" w:rsidRPr="0098723C">
        <w:rPr>
          <w:rFonts w:ascii="Verdana" w:hAnsi="Verdana"/>
          <w:color w:val="auto"/>
          <w:sz w:val="24"/>
          <w:szCs w:val="24"/>
        </w:rPr>
        <w:t xml:space="preserve"> </w:t>
      </w:r>
      <w:r w:rsidR="00443824" w:rsidRPr="0098723C">
        <w:rPr>
          <w:rFonts w:ascii="Verdana" w:hAnsi="Verdana"/>
          <w:color w:val="auto"/>
          <w:sz w:val="24"/>
          <w:szCs w:val="24"/>
        </w:rPr>
        <w:t xml:space="preserve">both through use of </w:t>
      </w:r>
      <w:r w:rsidR="00F42C51" w:rsidRPr="0098723C">
        <w:rPr>
          <w:rFonts w:ascii="Verdana" w:hAnsi="Verdana"/>
          <w:color w:val="auto"/>
          <w:sz w:val="24"/>
          <w:szCs w:val="24"/>
        </w:rPr>
        <w:t>free text and indexed search terms</w:t>
      </w:r>
      <w:r w:rsidR="00443824" w:rsidRPr="0098723C">
        <w:rPr>
          <w:rFonts w:ascii="Verdana" w:hAnsi="Verdana"/>
          <w:color w:val="auto"/>
          <w:sz w:val="24"/>
          <w:szCs w:val="24"/>
        </w:rPr>
        <w:t>.</w:t>
      </w:r>
      <w:r w:rsidR="000A4894" w:rsidRPr="0098723C">
        <w:rPr>
          <w:rFonts w:ascii="Verdana" w:hAnsi="Verdana"/>
          <w:color w:val="auto"/>
          <w:sz w:val="24"/>
          <w:szCs w:val="24"/>
        </w:rPr>
        <w:t xml:space="preserve"> </w:t>
      </w:r>
      <w:r w:rsidR="00F42C51" w:rsidRPr="0098723C">
        <w:rPr>
          <w:rFonts w:ascii="Verdana" w:hAnsi="Verdana"/>
          <w:color w:val="auto"/>
          <w:sz w:val="24"/>
          <w:szCs w:val="24"/>
        </w:rPr>
        <w:t xml:space="preserve">The full search strategy is available as </w:t>
      </w:r>
      <w:r w:rsidR="00C776A8" w:rsidRPr="0098723C">
        <w:rPr>
          <w:rFonts w:ascii="Verdana" w:hAnsi="Verdana"/>
          <w:color w:val="auto"/>
          <w:sz w:val="24"/>
          <w:szCs w:val="24"/>
        </w:rPr>
        <w:t>Supplemental Information</w:t>
      </w:r>
      <w:r w:rsidR="00F42C51" w:rsidRPr="0098723C">
        <w:rPr>
          <w:rFonts w:ascii="Verdana" w:hAnsi="Verdana"/>
          <w:color w:val="auto"/>
          <w:sz w:val="24"/>
          <w:szCs w:val="24"/>
        </w:rPr>
        <w:t>, Table S1.</w:t>
      </w:r>
    </w:p>
    <w:p w14:paraId="40409003" w14:textId="77777777" w:rsidR="005C2377" w:rsidRPr="0098723C" w:rsidRDefault="00443824"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We included papers</w:t>
      </w:r>
      <w:r w:rsidR="008D4C7E" w:rsidRPr="0098723C">
        <w:rPr>
          <w:rFonts w:ascii="Verdana" w:hAnsi="Verdana"/>
          <w:color w:val="auto"/>
          <w:sz w:val="24"/>
          <w:szCs w:val="24"/>
        </w:rPr>
        <w:t xml:space="preserve"> </w:t>
      </w:r>
      <w:r w:rsidRPr="0098723C">
        <w:rPr>
          <w:rFonts w:ascii="Verdana" w:hAnsi="Verdana"/>
          <w:color w:val="auto"/>
          <w:sz w:val="24"/>
          <w:szCs w:val="24"/>
        </w:rPr>
        <w:t xml:space="preserve">which </w:t>
      </w:r>
      <w:r w:rsidR="00477A20" w:rsidRPr="0098723C">
        <w:rPr>
          <w:rFonts w:ascii="Verdana" w:hAnsi="Verdana"/>
          <w:color w:val="auto"/>
          <w:sz w:val="24"/>
          <w:szCs w:val="24"/>
        </w:rPr>
        <w:t xml:space="preserve">fulfilled all the following criteria: </w:t>
      </w:r>
      <w:r w:rsidR="00F42C51" w:rsidRPr="0098723C">
        <w:rPr>
          <w:rFonts w:ascii="Verdana" w:hAnsi="Verdana"/>
          <w:color w:val="auto"/>
          <w:sz w:val="24"/>
          <w:szCs w:val="24"/>
        </w:rPr>
        <w:t xml:space="preserve">1) </w:t>
      </w:r>
      <w:r w:rsidRPr="0098723C">
        <w:rPr>
          <w:rFonts w:ascii="Verdana" w:hAnsi="Verdana"/>
          <w:color w:val="auto"/>
          <w:sz w:val="24"/>
          <w:szCs w:val="24"/>
        </w:rPr>
        <w:t>reported</w:t>
      </w:r>
      <w:r w:rsidR="00F42C51" w:rsidRPr="0098723C">
        <w:rPr>
          <w:rFonts w:ascii="Verdana" w:hAnsi="Verdana"/>
          <w:color w:val="auto"/>
          <w:sz w:val="24"/>
          <w:szCs w:val="24"/>
        </w:rPr>
        <w:t xml:space="preserve"> </w:t>
      </w:r>
      <w:r w:rsidR="001A7A8F" w:rsidRPr="0098723C">
        <w:rPr>
          <w:rFonts w:ascii="Verdana" w:hAnsi="Verdana"/>
          <w:color w:val="auto"/>
          <w:sz w:val="24"/>
          <w:szCs w:val="24"/>
        </w:rPr>
        <w:t xml:space="preserve">results from </w:t>
      </w:r>
      <w:r w:rsidR="00F42C51" w:rsidRPr="0098723C">
        <w:rPr>
          <w:rFonts w:ascii="Verdana" w:hAnsi="Verdana"/>
          <w:color w:val="auto"/>
          <w:sz w:val="24"/>
          <w:szCs w:val="24"/>
        </w:rPr>
        <w:t xml:space="preserve">cohort studies, or </w:t>
      </w:r>
      <w:r w:rsidR="00F42C51" w:rsidRPr="0098723C">
        <w:rPr>
          <w:rFonts w:ascii="Verdana" w:hAnsi="Verdana"/>
          <w:color w:val="auto"/>
          <w:sz w:val="24"/>
          <w:szCs w:val="24"/>
          <w:lang w:val="en-GB"/>
        </w:rPr>
        <w:t>intervention trial</w:t>
      </w:r>
      <w:r w:rsidR="00F42C51" w:rsidRPr="0098723C">
        <w:rPr>
          <w:rFonts w:ascii="Verdana" w:hAnsi="Verdana"/>
          <w:color w:val="auto"/>
          <w:sz w:val="24"/>
          <w:szCs w:val="24"/>
        </w:rPr>
        <w:t>s with a non-interven</w:t>
      </w:r>
      <w:r w:rsidR="00EC2064" w:rsidRPr="0098723C">
        <w:rPr>
          <w:rFonts w:ascii="Verdana" w:hAnsi="Verdana"/>
          <w:color w:val="auto"/>
          <w:sz w:val="24"/>
          <w:szCs w:val="24"/>
        </w:rPr>
        <w:t>tion</w:t>
      </w:r>
      <w:r w:rsidR="00F42C51" w:rsidRPr="0098723C">
        <w:rPr>
          <w:rFonts w:ascii="Verdana" w:hAnsi="Verdana"/>
          <w:color w:val="auto"/>
          <w:sz w:val="24"/>
          <w:szCs w:val="24"/>
        </w:rPr>
        <w:t xml:space="preserve"> arm; 2) </w:t>
      </w:r>
      <w:r w:rsidRPr="0098723C">
        <w:rPr>
          <w:rFonts w:ascii="Verdana" w:hAnsi="Verdana"/>
          <w:color w:val="auto"/>
          <w:sz w:val="24"/>
          <w:szCs w:val="24"/>
        </w:rPr>
        <w:t>contained</w:t>
      </w:r>
      <w:r w:rsidR="00F42C51" w:rsidRPr="0098723C">
        <w:rPr>
          <w:rFonts w:ascii="Verdana" w:hAnsi="Verdana"/>
          <w:color w:val="auto"/>
          <w:sz w:val="24"/>
          <w:szCs w:val="24"/>
        </w:rPr>
        <w:t xml:space="preserve"> </w:t>
      </w:r>
      <w:r w:rsidR="008D4C7E" w:rsidRPr="0098723C">
        <w:rPr>
          <w:rFonts w:ascii="Verdana" w:hAnsi="Verdana"/>
          <w:color w:val="auto"/>
          <w:sz w:val="24"/>
          <w:szCs w:val="24"/>
        </w:rPr>
        <w:t>patients treated for AUD</w:t>
      </w:r>
      <w:r w:rsidR="00F42C51" w:rsidRPr="0098723C">
        <w:rPr>
          <w:rFonts w:ascii="Verdana" w:hAnsi="Verdana"/>
          <w:color w:val="auto"/>
          <w:sz w:val="24"/>
          <w:szCs w:val="24"/>
        </w:rPr>
        <w:t xml:space="preserve">; 3) </w:t>
      </w:r>
      <w:r w:rsidRPr="0098723C">
        <w:rPr>
          <w:rFonts w:ascii="Verdana" w:hAnsi="Verdana"/>
          <w:color w:val="auto"/>
          <w:sz w:val="24"/>
          <w:szCs w:val="24"/>
        </w:rPr>
        <w:t xml:space="preserve">included </w:t>
      </w:r>
      <w:r w:rsidR="00F42C51" w:rsidRPr="0098723C">
        <w:rPr>
          <w:rFonts w:ascii="Verdana" w:hAnsi="Verdana"/>
          <w:color w:val="auto"/>
          <w:sz w:val="24"/>
          <w:szCs w:val="24"/>
        </w:rPr>
        <w:t>study endpoints</w:t>
      </w:r>
      <w:r w:rsidRPr="0098723C">
        <w:rPr>
          <w:rFonts w:ascii="Verdana" w:hAnsi="Verdana"/>
          <w:color w:val="auto"/>
          <w:sz w:val="24"/>
          <w:szCs w:val="24"/>
        </w:rPr>
        <w:t xml:space="preserve"> of</w:t>
      </w:r>
      <w:r w:rsidR="00F42C51" w:rsidRPr="0098723C">
        <w:rPr>
          <w:rFonts w:ascii="Verdana" w:hAnsi="Verdana"/>
          <w:color w:val="auto"/>
          <w:sz w:val="24"/>
          <w:szCs w:val="24"/>
        </w:rPr>
        <w:t xml:space="preserve"> cause-specific mortality </w:t>
      </w:r>
      <w:r w:rsidRPr="0098723C">
        <w:rPr>
          <w:rFonts w:ascii="Verdana" w:hAnsi="Verdana"/>
          <w:color w:val="auto"/>
          <w:sz w:val="24"/>
          <w:szCs w:val="24"/>
        </w:rPr>
        <w:t>and presented rates on the basis of</w:t>
      </w:r>
      <w:r w:rsidR="00F42C51" w:rsidRPr="0098723C">
        <w:rPr>
          <w:rFonts w:ascii="Verdana" w:hAnsi="Verdana"/>
          <w:color w:val="auto"/>
          <w:sz w:val="24"/>
          <w:szCs w:val="24"/>
        </w:rPr>
        <w:t xml:space="preserve"> person-time, or other information that allowed transformations to this measure</w:t>
      </w:r>
      <w:r w:rsidRPr="0098723C">
        <w:rPr>
          <w:rFonts w:ascii="Verdana" w:hAnsi="Verdana"/>
          <w:color w:val="auto"/>
          <w:sz w:val="24"/>
          <w:szCs w:val="24"/>
        </w:rPr>
        <w:t xml:space="preserve"> and 4) were published in English</w:t>
      </w:r>
      <w:r w:rsidR="00F42C51" w:rsidRPr="0098723C">
        <w:rPr>
          <w:rFonts w:ascii="Verdana" w:hAnsi="Verdana"/>
          <w:color w:val="auto"/>
          <w:sz w:val="24"/>
          <w:szCs w:val="24"/>
        </w:rPr>
        <w:t>.</w:t>
      </w:r>
    </w:p>
    <w:p w14:paraId="07E1AC4B" w14:textId="77777777" w:rsidR="005C2377" w:rsidRPr="0098723C" w:rsidRDefault="00F42C51" w:rsidP="000A4894">
      <w:pPr>
        <w:pStyle w:val="Body"/>
        <w:spacing w:line="480" w:lineRule="auto"/>
        <w:jc w:val="both"/>
        <w:rPr>
          <w:rFonts w:ascii="Verdana" w:hAnsi="Verdana"/>
          <w:color w:val="auto"/>
          <w:sz w:val="24"/>
          <w:szCs w:val="24"/>
        </w:rPr>
      </w:pPr>
      <w:bookmarkStart w:id="3" w:name="_Hlk507653646"/>
      <w:r w:rsidRPr="0098723C">
        <w:rPr>
          <w:rFonts w:ascii="Verdana" w:hAnsi="Verdana"/>
          <w:color w:val="auto"/>
          <w:sz w:val="24"/>
          <w:szCs w:val="24"/>
        </w:rPr>
        <w:t xml:space="preserve">We also searched for additional articles </w:t>
      </w:r>
      <w:r w:rsidR="00477A20" w:rsidRPr="0098723C">
        <w:rPr>
          <w:rFonts w:ascii="Verdana" w:hAnsi="Verdana"/>
          <w:color w:val="auto"/>
          <w:sz w:val="24"/>
          <w:szCs w:val="24"/>
        </w:rPr>
        <w:t xml:space="preserve">to include </w:t>
      </w:r>
      <w:r w:rsidRPr="0098723C">
        <w:rPr>
          <w:rFonts w:ascii="Verdana" w:hAnsi="Verdana"/>
          <w:color w:val="auto"/>
          <w:sz w:val="24"/>
          <w:szCs w:val="24"/>
        </w:rPr>
        <w:t xml:space="preserve">by checking the reference lists of </w:t>
      </w:r>
      <w:r w:rsidR="004C543C" w:rsidRPr="0098723C">
        <w:rPr>
          <w:rFonts w:ascii="Verdana" w:hAnsi="Verdana"/>
          <w:color w:val="auto"/>
          <w:sz w:val="24"/>
          <w:szCs w:val="24"/>
        </w:rPr>
        <w:t>included studies</w:t>
      </w:r>
      <w:r w:rsidR="000A4894" w:rsidRPr="0098723C">
        <w:rPr>
          <w:rFonts w:ascii="Verdana" w:hAnsi="Verdana"/>
          <w:color w:val="auto"/>
          <w:sz w:val="24"/>
          <w:szCs w:val="24"/>
        </w:rPr>
        <w:t>,</w:t>
      </w:r>
      <w:r w:rsidR="00CA1B95" w:rsidRPr="0098723C">
        <w:rPr>
          <w:rFonts w:ascii="Verdana" w:eastAsia="Verdana" w:hAnsi="Verdana" w:cs="Verdana"/>
          <w:color w:val="auto"/>
          <w:sz w:val="24"/>
          <w:szCs w:val="24"/>
        </w:rPr>
        <w:t xml:space="preserve"> and </w:t>
      </w:r>
      <w:r w:rsidR="000A4894" w:rsidRPr="0098723C">
        <w:rPr>
          <w:rFonts w:ascii="Verdana" w:hAnsi="Verdana"/>
          <w:color w:val="auto"/>
          <w:sz w:val="24"/>
          <w:szCs w:val="24"/>
        </w:rPr>
        <w:t>the titles or abstracts of conference or symposia for the last five years of Alcohol Research UK; the American Society of Addiction Medicine; the Association for Medical Education and Research in Substance Abuse; the Medical Council on Alcohol; the National Institute on Drug Abuse (NIDA) International Forum; and the Society for the Study of Alcohol.</w:t>
      </w:r>
    </w:p>
    <w:bookmarkEnd w:id="3"/>
    <w:p w14:paraId="779B6D9E" w14:textId="77777777" w:rsidR="000E51C6" w:rsidRPr="0098723C" w:rsidRDefault="00AF23AD"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We </w:t>
      </w:r>
      <w:r w:rsidR="00F114D1" w:rsidRPr="0098723C">
        <w:rPr>
          <w:rFonts w:ascii="Verdana" w:hAnsi="Verdana"/>
          <w:color w:val="auto"/>
          <w:sz w:val="24"/>
          <w:szCs w:val="24"/>
        </w:rPr>
        <w:t xml:space="preserve">largely </w:t>
      </w:r>
      <w:r w:rsidRPr="0098723C">
        <w:rPr>
          <w:rFonts w:ascii="Verdana" w:hAnsi="Verdana"/>
          <w:color w:val="auto"/>
          <w:sz w:val="24"/>
          <w:szCs w:val="24"/>
        </w:rPr>
        <w:t>followed published guideline</w:t>
      </w:r>
      <w:r w:rsidR="00F841D1" w:rsidRPr="0098723C">
        <w:rPr>
          <w:rFonts w:ascii="Verdana" w:hAnsi="Verdana"/>
          <w:color w:val="auto"/>
          <w:sz w:val="24"/>
          <w:szCs w:val="24"/>
        </w:rPr>
        <w:t>s</w:t>
      </w:r>
      <w:r w:rsidRPr="0098723C">
        <w:rPr>
          <w:rFonts w:ascii="Verdana" w:hAnsi="Verdana"/>
          <w:color w:val="auto"/>
          <w:sz w:val="24"/>
          <w:szCs w:val="24"/>
        </w:rPr>
        <w:t xml:space="preserve"> on the conduct and reporting of systematic reviews</w:t>
      </w:r>
      <w:r w:rsidR="00F841D1" w:rsidRPr="0098723C">
        <w:rPr>
          <w:rFonts w:ascii="Verdana" w:hAnsi="Verdana"/>
          <w:color w:val="auto"/>
          <w:sz w:val="24"/>
          <w:szCs w:val="24"/>
        </w:rPr>
        <w:t xml:space="preserve">: one in </w:t>
      </w:r>
      <w:r w:rsidR="000E51C6" w:rsidRPr="0098723C">
        <w:rPr>
          <w:rFonts w:ascii="Verdana" w:hAnsi="Verdana"/>
          <w:color w:val="auto"/>
          <w:sz w:val="24"/>
          <w:szCs w:val="24"/>
        </w:rPr>
        <w:t xml:space="preserve">general </w:t>
      </w:r>
      <w:r w:rsidR="006556AA" w:rsidRPr="0098723C">
        <w:rPr>
          <w:rFonts w:ascii="Verdana" w:hAnsi="Verdana"/>
          <w:noProof/>
          <w:color w:val="auto"/>
          <w:sz w:val="24"/>
          <w:szCs w:val="24"/>
          <w:vertAlign w:val="superscript"/>
        </w:rPr>
        <w:t>12</w:t>
      </w:r>
      <w:r w:rsidR="000E51C6" w:rsidRPr="0098723C">
        <w:rPr>
          <w:rFonts w:ascii="Verdana" w:hAnsi="Verdana"/>
          <w:color w:val="auto"/>
          <w:sz w:val="24"/>
          <w:szCs w:val="24"/>
        </w:rPr>
        <w:t xml:space="preserve">, </w:t>
      </w:r>
      <w:r w:rsidR="00F841D1" w:rsidRPr="0098723C">
        <w:rPr>
          <w:rFonts w:ascii="Verdana" w:hAnsi="Verdana"/>
          <w:color w:val="auto"/>
          <w:sz w:val="24"/>
          <w:szCs w:val="24"/>
        </w:rPr>
        <w:t xml:space="preserve">and another </w:t>
      </w:r>
      <w:r w:rsidR="000E51C6" w:rsidRPr="0098723C">
        <w:rPr>
          <w:rFonts w:ascii="Verdana" w:hAnsi="Verdana"/>
          <w:color w:val="auto"/>
          <w:sz w:val="24"/>
          <w:szCs w:val="24"/>
        </w:rPr>
        <w:t xml:space="preserve">of </w:t>
      </w:r>
      <w:hyperlink r:id="rId10" w:history="1">
        <w:r w:rsidR="000E51C6" w:rsidRPr="0098723C">
          <w:rPr>
            <w:rFonts w:ascii="Verdana" w:hAnsi="Verdana"/>
            <w:color w:val="auto"/>
            <w:sz w:val="24"/>
            <w:szCs w:val="24"/>
          </w:rPr>
          <w:t xml:space="preserve">observational studies </w:t>
        </w:r>
      </w:hyperlink>
      <w:r w:rsidR="00F841D1" w:rsidRPr="0098723C">
        <w:rPr>
          <w:rFonts w:ascii="Verdana" w:hAnsi="Verdana"/>
          <w:color w:val="auto"/>
          <w:sz w:val="24"/>
          <w:szCs w:val="24"/>
        </w:rPr>
        <w:t xml:space="preserve">in </w:t>
      </w:r>
      <w:r w:rsidR="000E51C6" w:rsidRPr="0098723C">
        <w:rPr>
          <w:rFonts w:ascii="Verdana" w:hAnsi="Verdana"/>
          <w:color w:val="auto"/>
          <w:sz w:val="24"/>
          <w:szCs w:val="24"/>
        </w:rPr>
        <w:t xml:space="preserve">particular </w:t>
      </w:r>
      <w:r w:rsidR="006556AA" w:rsidRPr="0098723C">
        <w:rPr>
          <w:rFonts w:ascii="Verdana" w:hAnsi="Verdana"/>
          <w:noProof/>
          <w:color w:val="auto"/>
          <w:sz w:val="24"/>
          <w:szCs w:val="24"/>
          <w:vertAlign w:val="superscript"/>
        </w:rPr>
        <w:t>13</w:t>
      </w:r>
      <w:r w:rsidR="000E51C6" w:rsidRPr="0098723C">
        <w:rPr>
          <w:rFonts w:ascii="Verdana" w:hAnsi="Verdana"/>
          <w:color w:val="auto"/>
          <w:sz w:val="24"/>
          <w:szCs w:val="24"/>
        </w:rPr>
        <w:t>.</w:t>
      </w:r>
    </w:p>
    <w:p w14:paraId="20C94554" w14:textId="77777777" w:rsidR="005C2377" w:rsidRPr="0098723C" w:rsidRDefault="00F42C51" w:rsidP="009C0FAB">
      <w:pPr>
        <w:pStyle w:val="Heading2"/>
        <w:spacing w:after="240" w:line="480" w:lineRule="auto"/>
        <w:rPr>
          <w:color w:val="auto"/>
        </w:rPr>
      </w:pPr>
      <w:r w:rsidRPr="0098723C">
        <w:rPr>
          <w:color w:val="auto"/>
        </w:rPr>
        <w:t xml:space="preserve">Screening </w:t>
      </w:r>
    </w:p>
    <w:p w14:paraId="647575F7" w14:textId="77777777" w:rsidR="005C2377" w:rsidRPr="0098723C" w:rsidRDefault="00F42C51"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Title, abstract and full text screening were performed independently by two reviewers (AA and KF for t</w:t>
      </w:r>
      <w:r w:rsidR="001A7A8F" w:rsidRPr="0098723C">
        <w:rPr>
          <w:rFonts w:ascii="Verdana" w:hAnsi="Verdana"/>
          <w:color w:val="auto"/>
          <w:sz w:val="24"/>
          <w:szCs w:val="24"/>
        </w:rPr>
        <w:t>itles</w:t>
      </w:r>
      <w:r w:rsidRPr="0098723C">
        <w:rPr>
          <w:rFonts w:ascii="Verdana" w:hAnsi="Verdana"/>
          <w:color w:val="auto"/>
          <w:sz w:val="24"/>
          <w:szCs w:val="24"/>
        </w:rPr>
        <w:t>, and AA and TC for the other stages). Disagreements were resolved through consensus</w:t>
      </w:r>
      <w:r w:rsidR="00153664" w:rsidRPr="0098723C">
        <w:rPr>
          <w:rFonts w:ascii="Verdana" w:hAnsi="Verdana"/>
          <w:color w:val="auto"/>
          <w:sz w:val="24"/>
          <w:szCs w:val="24"/>
        </w:rPr>
        <w:t xml:space="preserve">. </w:t>
      </w:r>
      <w:r w:rsidR="000E51C6" w:rsidRPr="0098723C">
        <w:rPr>
          <w:rFonts w:ascii="Verdana" w:hAnsi="Verdana"/>
          <w:color w:val="auto"/>
          <w:sz w:val="24"/>
          <w:szCs w:val="24"/>
        </w:rPr>
        <w:t>Any remaining discrepancies were discussed with a 3rd reviewer</w:t>
      </w:r>
      <w:r w:rsidR="000E51C6" w:rsidRPr="0098723C" w:rsidDel="000E51C6">
        <w:rPr>
          <w:rFonts w:ascii="Verdana" w:hAnsi="Verdana"/>
          <w:color w:val="auto"/>
          <w:sz w:val="24"/>
          <w:szCs w:val="24"/>
        </w:rPr>
        <w:t xml:space="preserve"> </w:t>
      </w:r>
      <w:r w:rsidRPr="0098723C">
        <w:rPr>
          <w:rFonts w:ascii="Verdana" w:hAnsi="Verdana"/>
          <w:color w:val="auto"/>
          <w:sz w:val="24"/>
          <w:szCs w:val="24"/>
        </w:rPr>
        <w:t>(TC for t</w:t>
      </w:r>
      <w:r w:rsidR="001A7A8F" w:rsidRPr="0098723C">
        <w:rPr>
          <w:rFonts w:ascii="Verdana" w:hAnsi="Verdana"/>
          <w:color w:val="auto"/>
          <w:sz w:val="24"/>
          <w:szCs w:val="24"/>
        </w:rPr>
        <w:t>itles</w:t>
      </w:r>
      <w:r w:rsidRPr="0098723C">
        <w:rPr>
          <w:rFonts w:ascii="Verdana" w:hAnsi="Verdana"/>
          <w:color w:val="auto"/>
          <w:sz w:val="24"/>
          <w:szCs w:val="24"/>
        </w:rPr>
        <w:t>, and KF for the other stages).</w:t>
      </w:r>
    </w:p>
    <w:p w14:paraId="093B6564" w14:textId="77777777" w:rsidR="00B463AB" w:rsidRPr="0098723C" w:rsidRDefault="00101D96" w:rsidP="009C0FAB">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 xml:space="preserve">Where </w:t>
      </w:r>
      <w:r w:rsidR="00B463AB" w:rsidRPr="0098723C">
        <w:rPr>
          <w:rFonts w:ascii="Verdana" w:hAnsi="Verdana"/>
          <w:color w:val="auto"/>
          <w:sz w:val="24"/>
          <w:szCs w:val="24"/>
        </w:rPr>
        <w:t xml:space="preserve">multiple </w:t>
      </w:r>
      <w:r w:rsidR="005A58CE" w:rsidRPr="0098723C">
        <w:rPr>
          <w:rFonts w:ascii="Verdana" w:hAnsi="Verdana"/>
          <w:color w:val="auto"/>
          <w:sz w:val="24"/>
          <w:szCs w:val="24"/>
        </w:rPr>
        <w:t>articles</w:t>
      </w:r>
      <w:r w:rsidR="00B463AB" w:rsidRPr="0098723C">
        <w:rPr>
          <w:rFonts w:ascii="Verdana" w:hAnsi="Verdana"/>
          <w:color w:val="auto"/>
          <w:sz w:val="24"/>
          <w:szCs w:val="24"/>
        </w:rPr>
        <w:t xml:space="preserve"> </w:t>
      </w:r>
      <w:r w:rsidRPr="0098723C">
        <w:rPr>
          <w:rFonts w:ascii="Verdana" w:hAnsi="Verdana"/>
          <w:color w:val="auto"/>
          <w:sz w:val="24"/>
          <w:szCs w:val="24"/>
        </w:rPr>
        <w:t xml:space="preserve">reported </w:t>
      </w:r>
      <w:r w:rsidR="00B463AB" w:rsidRPr="0098723C">
        <w:rPr>
          <w:rFonts w:ascii="Verdana" w:hAnsi="Verdana"/>
          <w:color w:val="auto"/>
          <w:sz w:val="24"/>
          <w:szCs w:val="24"/>
        </w:rPr>
        <w:t>the same study, we include</w:t>
      </w:r>
      <w:r w:rsidR="00477A20" w:rsidRPr="0098723C">
        <w:rPr>
          <w:rFonts w:ascii="Verdana" w:hAnsi="Verdana"/>
          <w:color w:val="auto"/>
          <w:sz w:val="24"/>
          <w:szCs w:val="24"/>
        </w:rPr>
        <w:t>d</w:t>
      </w:r>
      <w:r w:rsidR="00B463AB" w:rsidRPr="0098723C">
        <w:rPr>
          <w:rFonts w:ascii="Verdana" w:hAnsi="Verdana"/>
          <w:color w:val="auto"/>
          <w:sz w:val="24"/>
          <w:szCs w:val="24"/>
        </w:rPr>
        <w:t xml:space="preserve"> the one </w:t>
      </w:r>
      <w:r w:rsidRPr="0098723C">
        <w:rPr>
          <w:rFonts w:ascii="Verdana" w:hAnsi="Verdana"/>
          <w:color w:val="auto"/>
          <w:sz w:val="24"/>
          <w:szCs w:val="24"/>
        </w:rPr>
        <w:t>reporting</w:t>
      </w:r>
      <w:r w:rsidR="00B463AB" w:rsidRPr="0098723C">
        <w:rPr>
          <w:rFonts w:ascii="Verdana" w:hAnsi="Verdana"/>
          <w:color w:val="auto"/>
          <w:sz w:val="24"/>
          <w:szCs w:val="24"/>
        </w:rPr>
        <w:t xml:space="preserve"> the </w:t>
      </w:r>
      <w:r w:rsidR="00477A20" w:rsidRPr="0098723C">
        <w:rPr>
          <w:rFonts w:ascii="Verdana" w:hAnsi="Verdana"/>
          <w:color w:val="auto"/>
          <w:sz w:val="24"/>
          <w:szCs w:val="24"/>
        </w:rPr>
        <w:t xml:space="preserve">highest number </w:t>
      </w:r>
      <w:r w:rsidR="00B463AB" w:rsidRPr="0098723C">
        <w:rPr>
          <w:rFonts w:ascii="Verdana" w:hAnsi="Verdana"/>
          <w:color w:val="auto"/>
          <w:sz w:val="24"/>
          <w:szCs w:val="24"/>
        </w:rPr>
        <w:t>of person-years.</w:t>
      </w:r>
    </w:p>
    <w:p w14:paraId="46AD6CF1" w14:textId="77777777" w:rsidR="005C2377" w:rsidRPr="0098723C" w:rsidRDefault="0072760C" w:rsidP="009C0FAB">
      <w:pPr>
        <w:pStyle w:val="Heading2"/>
        <w:spacing w:after="240" w:line="480" w:lineRule="auto"/>
        <w:rPr>
          <w:color w:val="auto"/>
        </w:rPr>
      </w:pPr>
      <w:r w:rsidRPr="0098723C">
        <w:rPr>
          <w:color w:val="auto"/>
        </w:rPr>
        <w:t xml:space="preserve">Data </w:t>
      </w:r>
      <w:r w:rsidR="00F42C51" w:rsidRPr="0098723C">
        <w:rPr>
          <w:color w:val="auto"/>
        </w:rPr>
        <w:t>Extraction</w:t>
      </w:r>
    </w:p>
    <w:p w14:paraId="06393B90" w14:textId="557A1FE9" w:rsidR="005C2377" w:rsidRPr="0098723C" w:rsidRDefault="00B22C66" w:rsidP="009C0FAB">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Data from a</w:t>
      </w:r>
      <w:r w:rsidR="00F42C51" w:rsidRPr="0098723C">
        <w:rPr>
          <w:rFonts w:ascii="Verdana" w:hAnsi="Verdana"/>
          <w:color w:val="auto"/>
          <w:sz w:val="24"/>
          <w:szCs w:val="24"/>
        </w:rPr>
        <w:t xml:space="preserve">ll included </w:t>
      </w:r>
      <w:r w:rsidRPr="0098723C">
        <w:rPr>
          <w:rFonts w:ascii="Verdana" w:hAnsi="Verdana"/>
          <w:color w:val="auto"/>
          <w:sz w:val="24"/>
          <w:szCs w:val="24"/>
        </w:rPr>
        <w:t>studies</w:t>
      </w:r>
      <w:r w:rsidR="00F42C51" w:rsidRPr="0098723C">
        <w:rPr>
          <w:rFonts w:ascii="Verdana" w:hAnsi="Verdana"/>
          <w:color w:val="auto"/>
          <w:sz w:val="24"/>
          <w:szCs w:val="24"/>
        </w:rPr>
        <w:t xml:space="preserve"> were extracted by AA </w:t>
      </w:r>
      <w:r w:rsidR="001A7A8F" w:rsidRPr="0098723C">
        <w:rPr>
          <w:rFonts w:ascii="Verdana" w:hAnsi="Verdana"/>
          <w:color w:val="auto"/>
          <w:sz w:val="24"/>
          <w:szCs w:val="24"/>
        </w:rPr>
        <w:t xml:space="preserve">using </w:t>
      </w:r>
      <w:r w:rsidR="00F42C51" w:rsidRPr="0098723C">
        <w:rPr>
          <w:rFonts w:ascii="Verdana" w:hAnsi="Verdana"/>
          <w:color w:val="auto"/>
          <w:sz w:val="24"/>
          <w:szCs w:val="24"/>
        </w:rPr>
        <w:t>a standardised extraction tool</w:t>
      </w:r>
      <w:r w:rsidR="001A7A8F" w:rsidRPr="0098723C">
        <w:rPr>
          <w:rFonts w:ascii="Verdana" w:hAnsi="Verdana"/>
          <w:color w:val="auto"/>
          <w:sz w:val="24"/>
          <w:szCs w:val="24"/>
        </w:rPr>
        <w:t xml:space="preserve"> containing the following items</w:t>
      </w:r>
      <w:r w:rsidR="00D1487E">
        <w:rPr>
          <w:rFonts w:ascii="Verdana" w:hAnsi="Verdana"/>
          <w:color w:val="auto"/>
          <w:sz w:val="24"/>
          <w:szCs w:val="24"/>
        </w:rPr>
        <w:t>:</w:t>
      </w:r>
    </w:p>
    <w:p w14:paraId="5CAEA6E7" w14:textId="77777777" w:rsidR="005C2377" w:rsidRPr="0098723C" w:rsidRDefault="00F42C51" w:rsidP="009C0FAB">
      <w:pPr>
        <w:pStyle w:val="Body"/>
        <w:spacing w:line="480" w:lineRule="auto"/>
        <w:rPr>
          <w:rFonts w:ascii="Verdana" w:eastAsia="Verdana" w:hAnsi="Verdana" w:cs="Verdana"/>
          <w:color w:val="auto"/>
          <w:sz w:val="24"/>
          <w:szCs w:val="24"/>
        </w:rPr>
      </w:pPr>
      <w:r w:rsidRPr="0098723C">
        <w:rPr>
          <w:rFonts w:ascii="Verdana" w:hAnsi="Verdana"/>
          <w:color w:val="auto"/>
          <w:sz w:val="24"/>
          <w:szCs w:val="24"/>
        </w:rPr>
        <w:t>Study report characteristics: Author; year of the study; title of the article; location of study.</w:t>
      </w:r>
    </w:p>
    <w:p w14:paraId="3345D079" w14:textId="77777777" w:rsidR="00F31F45" w:rsidRPr="0098723C" w:rsidRDefault="00F42C51"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Quality appraisal: Quality appraisal was conducted </w:t>
      </w:r>
      <w:r w:rsidR="00B22C66" w:rsidRPr="0098723C">
        <w:rPr>
          <w:rFonts w:ascii="Verdana" w:hAnsi="Verdana"/>
          <w:color w:val="auto"/>
          <w:sz w:val="24"/>
          <w:szCs w:val="24"/>
        </w:rPr>
        <w:t xml:space="preserve">using </w:t>
      </w:r>
      <w:r w:rsidR="00AF23AD" w:rsidRPr="0098723C">
        <w:rPr>
          <w:rFonts w:ascii="Verdana" w:hAnsi="Verdana"/>
          <w:color w:val="auto"/>
          <w:sz w:val="24"/>
          <w:szCs w:val="24"/>
        </w:rPr>
        <w:t xml:space="preserve">an adaptation of </w:t>
      </w:r>
      <w:r w:rsidRPr="0098723C">
        <w:rPr>
          <w:rFonts w:ascii="Verdana" w:hAnsi="Verdana"/>
          <w:color w:val="auto"/>
          <w:sz w:val="24"/>
          <w:szCs w:val="24"/>
        </w:rPr>
        <w:t>the Newcastle Ottawa Scale (NOS)</w:t>
      </w:r>
      <w:r w:rsidR="000E51C6"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14</w:t>
      </w:r>
      <w:r w:rsidR="00101D96" w:rsidRPr="0098723C">
        <w:rPr>
          <w:rFonts w:ascii="Verdana" w:hAnsi="Verdana"/>
          <w:color w:val="auto"/>
          <w:sz w:val="24"/>
          <w:szCs w:val="24"/>
        </w:rPr>
        <w:t xml:space="preserve"> (</w:t>
      </w:r>
      <w:r w:rsidR="000E51C6" w:rsidRPr="0098723C">
        <w:rPr>
          <w:rFonts w:ascii="Verdana" w:hAnsi="Verdana"/>
          <w:color w:val="auto"/>
          <w:sz w:val="24"/>
          <w:szCs w:val="24"/>
        </w:rPr>
        <w:t xml:space="preserve">available in </w:t>
      </w:r>
      <w:r w:rsidR="00C776A8" w:rsidRPr="0098723C">
        <w:rPr>
          <w:rFonts w:ascii="Verdana" w:hAnsi="Verdana"/>
          <w:color w:val="auto"/>
          <w:sz w:val="24"/>
          <w:szCs w:val="24"/>
        </w:rPr>
        <w:t>Supplemental Information,</w:t>
      </w:r>
      <w:r w:rsidR="000E51C6" w:rsidRPr="0098723C">
        <w:rPr>
          <w:rFonts w:ascii="Verdana" w:hAnsi="Verdana"/>
          <w:color w:val="auto"/>
          <w:sz w:val="24"/>
          <w:szCs w:val="24"/>
        </w:rPr>
        <w:t xml:space="preserve"> </w:t>
      </w:r>
      <w:r w:rsidR="00101D96" w:rsidRPr="0098723C">
        <w:rPr>
          <w:rFonts w:ascii="Verdana" w:hAnsi="Verdana"/>
          <w:color w:val="auto"/>
          <w:sz w:val="24"/>
          <w:szCs w:val="24"/>
        </w:rPr>
        <w:t>Table S2)</w:t>
      </w:r>
      <w:r w:rsidRPr="0098723C">
        <w:rPr>
          <w:rFonts w:ascii="Verdana" w:hAnsi="Verdana"/>
          <w:color w:val="auto"/>
          <w:sz w:val="24"/>
          <w:szCs w:val="24"/>
        </w:rPr>
        <w:t xml:space="preserve">. </w:t>
      </w:r>
      <w:r w:rsidR="00101D96" w:rsidRPr="0098723C">
        <w:rPr>
          <w:rFonts w:ascii="Verdana" w:hAnsi="Verdana"/>
          <w:color w:val="auto"/>
          <w:sz w:val="24"/>
          <w:szCs w:val="24"/>
        </w:rPr>
        <w:t>T</w:t>
      </w:r>
      <w:r w:rsidR="001A7A8F" w:rsidRPr="0098723C">
        <w:rPr>
          <w:rFonts w:ascii="Verdana" w:hAnsi="Verdana"/>
          <w:color w:val="auto"/>
          <w:sz w:val="24"/>
          <w:szCs w:val="24"/>
        </w:rPr>
        <w:t xml:space="preserve">his </w:t>
      </w:r>
      <w:r w:rsidR="00F31F45" w:rsidRPr="0098723C">
        <w:rPr>
          <w:rFonts w:ascii="Verdana" w:hAnsi="Verdana"/>
          <w:color w:val="auto"/>
          <w:sz w:val="24"/>
          <w:szCs w:val="24"/>
        </w:rPr>
        <w:t>adaptation</w:t>
      </w:r>
      <w:r w:rsidR="001A7A8F" w:rsidRPr="0098723C">
        <w:rPr>
          <w:rFonts w:ascii="Verdana" w:hAnsi="Verdana"/>
          <w:color w:val="auto"/>
          <w:sz w:val="24"/>
          <w:szCs w:val="24"/>
        </w:rPr>
        <w:t xml:space="preserve"> omitted </w:t>
      </w:r>
      <w:r w:rsidR="00F31F45" w:rsidRPr="0098723C">
        <w:rPr>
          <w:rFonts w:ascii="Verdana" w:hAnsi="Verdana"/>
          <w:color w:val="auto"/>
          <w:sz w:val="24"/>
          <w:szCs w:val="24"/>
        </w:rPr>
        <w:t xml:space="preserve">questions </w:t>
      </w:r>
      <w:r w:rsidR="001A7A8F" w:rsidRPr="0098723C">
        <w:rPr>
          <w:rFonts w:ascii="Verdana" w:hAnsi="Verdana"/>
          <w:color w:val="auto"/>
          <w:sz w:val="24"/>
          <w:szCs w:val="24"/>
        </w:rPr>
        <w:t xml:space="preserve">relating to the </w:t>
      </w:r>
      <w:r w:rsidR="00F31F45" w:rsidRPr="0098723C">
        <w:rPr>
          <w:rFonts w:ascii="Verdana" w:hAnsi="Verdana"/>
          <w:color w:val="auto"/>
          <w:sz w:val="24"/>
          <w:szCs w:val="24"/>
        </w:rPr>
        <w:t>non-exposed cohort as they were inapplicable in our review.</w:t>
      </w:r>
      <w:r w:rsidR="00C658B0" w:rsidRPr="0098723C">
        <w:rPr>
          <w:rFonts w:ascii="Verdana" w:hAnsi="Verdana"/>
          <w:color w:val="auto"/>
          <w:sz w:val="24"/>
          <w:szCs w:val="24"/>
        </w:rPr>
        <w:t xml:space="preserve"> </w:t>
      </w:r>
      <w:bookmarkStart w:id="4" w:name="_Hlk482678810"/>
      <w:r w:rsidR="00C658B0" w:rsidRPr="0098723C">
        <w:rPr>
          <w:rFonts w:ascii="Verdana" w:hAnsi="Verdana"/>
          <w:color w:val="auto"/>
          <w:sz w:val="24"/>
          <w:szCs w:val="24"/>
        </w:rPr>
        <w:t xml:space="preserve">Adequacy of length of follow up </w:t>
      </w:r>
      <w:bookmarkEnd w:id="4"/>
      <w:r w:rsidR="005A58CE" w:rsidRPr="0098723C">
        <w:rPr>
          <w:rFonts w:ascii="Verdana" w:hAnsi="Verdana"/>
          <w:color w:val="auto"/>
          <w:sz w:val="24"/>
          <w:szCs w:val="24"/>
        </w:rPr>
        <w:t>wa</w:t>
      </w:r>
      <w:r w:rsidR="00C658B0" w:rsidRPr="0098723C">
        <w:rPr>
          <w:rFonts w:ascii="Verdana" w:hAnsi="Verdana"/>
          <w:color w:val="auto"/>
          <w:sz w:val="24"/>
          <w:szCs w:val="24"/>
        </w:rPr>
        <w:t xml:space="preserve">s </w:t>
      </w:r>
      <w:r w:rsidR="001D7CDC" w:rsidRPr="0098723C">
        <w:rPr>
          <w:rFonts w:ascii="Verdana" w:hAnsi="Verdana"/>
          <w:color w:val="auto"/>
          <w:sz w:val="24"/>
          <w:szCs w:val="24"/>
        </w:rPr>
        <w:t xml:space="preserve">set </w:t>
      </w:r>
      <w:r w:rsidR="00C658B0" w:rsidRPr="0098723C">
        <w:rPr>
          <w:rFonts w:ascii="Verdana" w:hAnsi="Verdana"/>
          <w:color w:val="auto"/>
          <w:sz w:val="24"/>
          <w:szCs w:val="24"/>
        </w:rPr>
        <w:t xml:space="preserve">as </w:t>
      </w:r>
      <w:r w:rsidR="001D7CDC" w:rsidRPr="0098723C">
        <w:rPr>
          <w:rFonts w:ascii="Verdana" w:hAnsi="Verdana"/>
          <w:color w:val="auto"/>
          <w:sz w:val="24"/>
          <w:szCs w:val="24"/>
        </w:rPr>
        <w:t xml:space="preserve">being </w:t>
      </w:r>
      <w:r w:rsidR="000E51C6" w:rsidRPr="0098723C">
        <w:rPr>
          <w:rFonts w:ascii="Verdana" w:hAnsi="Verdana"/>
          <w:color w:val="auto"/>
          <w:sz w:val="24"/>
          <w:szCs w:val="24"/>
        </w:rPr>
        <w:t xml:space="preserve">six months: the definition of chronicity or long-term as used by the World Organization of Family Doctors </w:t>
      </w:r>
      <w:r w:rsidR="006556AA" w:rsidRPr="0098723C">
        <w:rPr>
          <w:rFonts w:ascii="Verdana" w:hAnsi="Verdana"/>
          <w:noProof/>
          <w:color w:val="auto"/>
          <w:sz w:val="24"/>
          <w:szCs w:val="24"/>
          <w:vertAlign w:val="superscript"/>
        </w:rPr>
        <w:t>15</w:t>
      </w:r>
      <w:r w:rsidR="00C658B0" w:rsidRPr="0098723C">
        <w:rPr>
          <w:rFonts w:ascii="Verdana" w:hAnsi="Verdana"/>
          <w:color w:val="auto"/>
          <w:sz w:val="24"/>
          <w:szCs w:val="24"/>
        </w:rPr>
        <w:t>.</w:t>
      </w:r>
    </w:p>
    <w:p w14:paraId="185B82A8" w14:textId="77777777" w:rsidR="007D62A5" w:rsidRPr="0098723C" w:rsidRDefault="00F42C51"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Mortality data</w:t>
      </w:r>
      <w:r w:rsidR="0072760C" w:rsidRPr="0098723C">
        <w:rPr>
          <w:rFonts w:ascii="Verdana" w:hAnsi="Verdana"/>
          <w:color w:val="auto"/>
          <w:sz w:val="24"/>
          <w:szCs w:val="24"/>
        </w:rPr>
        <w:t>: we</w:t>
      </w:r>
      <w:r w:rsidRPr="0098723C">
        <w:rPr>
          <w:rFonts w:ascii="Verdana" w:hAnsi="Verdana"/>
          <w:color w:val="auto"/>
          <w:sz w:val="24"/>
          <w:szCs w:val="24"/>
        </w:rPr>
        <w:t xml:space="preserve"> extracted</w:t>
      </w:r>
      <w:r w:rsidR="00C50C00" w:rsidRPr="0098723C">
        <w:rPr>
          <w:rFonts w:ascii="Verdana" w:hAnsi="Verdana"/>
          <w:color w:val="auto"/>
          <w:sz w:val="24"/>
          <w:szCs w:val="24"/>
        </w:rPr>
        <w:t xml:space="preserve"> (for</w:t>
      </w:r>
      <w:r w:rsidR="00C604D7" w:rsidRPr="0098723C">
        <w:rPr>
          <w:rFonts w:ascii="Verdana" w:hAnsi="Verdana"/>
          <w:color w:val="auto"/>
          <w:sz w:val="24"/>
          <w:szCs w:val="24"/>
        </w:rPr>
        <w:t xml:space="preserve"> combined-</w:t>
      </w:r>
      <w:r w:rsidR="00C50C00" w:rsidRPr="0098723C">
        <w:rPr>
          <w:rFonts w:ascii="Verdana" w:hAnsi="Verdana"/>
          <w:color w:val="auto"/>
          <w:sz w:val="24"/>
          <w:szCs w:val="24"/>
        </w:rPr>
        <w:t>genders)</w:t>
      </w:r>
      <w:r w:rsidRPr="0098723C">
        <w:rPr>
          <w:rFonts w:ascii="Verdana" w:hAnsi="Verdana"/>
          <w:color w:val="auto"/>
          <w:sz w:val="24"/>
          <w:szCs w:val="24"/>
        </w:rPr>
        <w:t xml:space="preserve"> number of </w:t>
      </w:r>
      <w:r w:rsidR="000652ED" w:rsidRPr="0098723C">
        <w:rPr>
          <w:rFonts w:ascii="Verdana" w:hAnsi="Verdana"/>
          <w:color w:val="auto"/>
          <w:sz w:val="24"/>
          <w:szCs w:val="24"/>
        </w:rPr>
        <w:t>p</w:t>
      </w:r>
      <w:r w:rsidR="00103A5C" w:rsidRPr="0098723C">
        <w:rPr>
          <w:rFonts w:ascii="Verdana" w:hAnsi="Verdana"/>
          <w:color w:val="auto"/>
          <w:sz w:val="24"/>
          <w:szCs w:val="24"/>
        </w:rPr>
        <w:t>atients with AUD</w:t>
      </w:r>
      <w:r w:rsidRPr="0098723C">
        <w:rPr>
          <w:rFonts w:ascii="Verdana" w:hAnsi="Verdana"/>
          <w:color w:val="auto"/>
          <w:sz w:val="24"/>
          <w:szCs w:val="24"/>
        </w:rPr>
        <w:t xml:space="preserve"> at risk</w:t>
      </w:r>
      <w:r w:rsidR="0072760C" w:rsidRPr="0098723C">
        <w:rPr>
          <w:rFonts w:ascii="Verdana" w:hAnsi="Verdana"/>
          <w:color w:val="auto"/>
          <w:sz w:val="24"/>
          <w:szCs w:val="24"/>
        </w:rPr>
        <w:t>,</w:t>
      </w:r>
      <w:r w:rsidRPr="0098723C">
        <w:rPr>
          <w:rFonts w:ascii="Verdana" w:hAnsi="Verdana"/>
          <w:color w:val="auto"/>
          <w:sz w:val="24"/>
          <w:szCs w:val="24"/>
        </w:rPr>
        <w:t xml:space="preserve"> number of deaths </w:t>
      </w:r>
      <w:r w:rsidR="001A7A8F" w:rsidRPr="0098723C">
        <w:rPr>
          <w:rFonts w:ascii="Verdana" w:hAnsi="Verdana"/>
          <w:color w:val="auto"/>
          <w:sz w:val="24"/>
          <w:szCs w:val="24"/>
        </w:rPr>
        <w:t xml:space="preserve">in total and </w:t>
      </w:r>
      <w:r w:rsidRPr="0098723C">
        <w:rPr>
          <w:rFonts w:ascii="Verdana" w:hAnsi="Verdana"/>
          <w:color w:val="auto"/>
          <w:sz w:val="24"/>
          <w:szCs w:val="24"/>
        </w:rPr>
        <w:t>by cause</w:t>
      </w:r>
      <w:r w:rsidR="0072760C" w:rsidRPr="0098723C">
        <w:rPr>
          <w:rFonts w:ascii="Verdana" w:hAnsi="Verdana"/>
          <w:color w:val="auto"/>
          <w:sz w:val="24"/>
          <w:szCs w:val="24"/>
        </w:rPr>
        <w:t>,</w:t>
      </w:r>
      <w:r w:rsidRPr="0098723C">
        <w:rPr>
          <w:rFonts w:ascii="Verdana" w:hAnsi="Verdana"/>
          <w:color w:val="auto"/>
          <w:sz w:val="24"/>
          <w:szCs w:val="24"/>
        </w:rPr>
        <w:t xml:space="preserve"> </w:t>
      </w:r>
      <w:r w:rsidR="001A7A8F" w:rsidRPr="0098723C">
        <w:rPr>
          <w:rFonts w:ascii="Verdana" w:hAnsi="Verdana"/>
          <w:color w:val="auto"/>
          <w:sz w:val="24"/>
          <w:szCs w:val="24"/>
        </w:rPr>
        <w:t xml:space="preserve">and </w:t>
      </w:r>
      <w:r w:rsidRPr="0098723C">
        <w:rPr>
          <w:rFonts w:ascii="Verdana" w:hAnsi="Verdana"/>
          <w:color w:val="auto"/>
          <w:sz w:val="24"/>
          <w:szCs w:val="24"/>
        </w:rPr>
        <w:t>person-years of follow up</w:t>
      </w:r>
      <w:r w:rsidR="001A7A8F" w:rsidRPr="0098723C">
        <w:rPr>
          <w:rFonts w:ascii="Verdana" w:hAnsi="Verdana"/>
          <w:color w:val="auto"/>
          <w:sz w:val="24"/>
          <w:szCs w:val="24"/>
        </w:rPr>
        <w:t>.</w:t>
      </w:r>
    </w:p>
    <w:p w14:paraId="09B03290" w14:textId="04674C69" w:rsidR="007D62A5" w:rsidRPr="0098723C" w:rsidRDefault="000E51C6" w:rsidP="000F5A65">
      <w:pPr>
        <w:pStyle w:val="Body"/>
        <w:spacing w:line="480" w:lineRule="auto"/>
        <w:jc w:val="both"/>
        <w:rPr>
          <w:rFonts w:ascii="Verdana" w:hAnsi="Verdana"/>
          <w:color w:val="auto"/>
          <w:sz w:val="24"/>
          <w:szCs w:val="24"/>
        </w:rPr>
      </w:pPr>
      <w:r w:rsidRPr="0098723C">
        <w:rPr>
          <w:rFonts w:ascii="Verdana" w:hAnsi="Verdana"/>
          <w:color w:val="auto"/>
          <w:sz w:val="24"/>
          <w:szCs w:val="24"/>
        </w:rPr>
        <w:t>We</w:t>
      </w:r>
      <w:r w:rsidR="0072760C" w:rsidRPr="0098723C">
        <w:rPr>
          <w:rFonts w:ascii="Verdana" w:hAnsi="Verdana"/>
          <w:color w:val="auto"/>
          <w:sz w:val="24"/>
          <w:szCs w:val="24"/>
        </w:rPr>
        <w:t xml:space="preserve"> categorised the reported causes of deaths firstly into </w:t>
      </w:r>
      <w:r w:rsidR="007D62A5" w:rsidRPr="0098723C">
        <w:rPr>
          <w:rFonts w:ascii="Verdana" w:hAnsi="Verdana"/>
          <w:color w:val="auto"/>
          <w:sz w:val="24"/>
          <w:szCs w:val="24"/>
        </w:rPr>
        <w:t>eleven broad groups. These are: neoplasms; cardiovascular</w:t>
      </w:r>
      <w:r w:rsidR="00D1487E">
        <w:rPr>
          <w:rFonts w:ascii="Verdana" w:hAnsi="Verdana"/>
          <w:color w:val="auto"/>
          <w:sz w:val="24"/>
          <w:szCs w:val="24"/>
        </w:rPr>
        <w:t>;</w:t>
      </w:r>
      <w:r w:rsidR="007D62A5" w:rsidRPr="0098723C">
        <w:rPr>
          <w:rFonts w:ascii="Verdana" w:hAnsi="Verdana"/>
          <w:color w:val="auto"/>
          <w:sz w:val="24"/>
          <w:szCs w:val="24"/>
        </w:rPr>
        <w:t xml:space="preserve"> neurological</w:t>
      </w:r>
      <w:r w:rsidR="00D1487E">
        <w:rPr>
          <w:rFonts w:ascii="Verdana" w:hAnsi="Verdana"/>
          <w:color w:val="auto"/>
          <w:sz w:val="24"/>
          <w:szCs w:val="24"/>
        </w:rPr>
        <w:t>;</w:t>
      </w:r>
      <w:r w:rsidR="007D62A5" w:rsidRPr="0098723C">
        <w:rPr>
          <w:rFonts w:ascii="Verdana" w:hAnsi="Verdana"/>
          <w:color w:val="auto"/>
          <w:sz w:val="24"/>
          <w:szCs w:val="24"/>
        </w:rPr>
        <w:t xml:space="preserve"> respiratory</w:t>
      </w:r>
      <w:r w:rsidR="00D1487E">
        <w:rPr>
          <w:rFonts w:ascii="Verdana" w:hAnsi="Verdana"/>
          <w:color w:val="auto"/>
          <w:sz w:val="24"/>
          <w:szCs w:val="24"/>
        </w:rPr>
        <w:t>;</w:t>
      </w:r>
      <w:r w:rsidR="007D62A5" w:rsidRPr="0098723C">
        <w:rPr>
          <w:rFonts w:ascii="Verdana" w:hAnsi="Verdana"/>
          <w:color w:val="auto"/>
          <w:sz w:val="24"/>
          <w:szCs w:val="24"/>
        </w:rPr>
        <w:t xml:space="preserve"> gastrointestinal</w:t>
      </w:r>
      <w:r w:rsidR="00D1487E">
        <w:rPr>
          <w:rFonts w:ascii="Verdana" w:hAnsi="Verdana"/>
          <w:color w:val="auto"/>
          <w:sz w:val="24"/>
          <w:szCs w:val="24"/>
        </w:rPr>
        <w:t>;</w:t>
      </w:r>
      <w:r w:rsidR="007D62A5" w:rsidRPr="0098723C">
        <w:rPr>
          <w:rFonts w:ascii="Verdana" w:hAnsi="Verdana"/>
          <w:color w:val="auto"/>
          <w:sz w:val="24"/>
          <w:szCs w:val="24"/>
        </w:rPr>
        <w:t xml:space="preserve"> genitourinary</w:t>
      </w:r>
      <w:r w:rsidR="00D1487E">
        <w:rPr>
          <w:rFonts w:ascii="Verdana" w:hAnsi="Verdana"/>
          <w:color w:val="auto"/>
          <w:sz w:val="24"/>
          <w:szCs w:val="24"/>
        </w:rPr>
        <w:t>;</w:t>
      </w:r>
      <w:r w:rsidR="007D62A5" w:rsidRPr="0098723C">
        <w:rPr>
          <w:rFonts w:ascii="Verdana" w:hAnsi="Verdana"/>
          <w:color w:val="auto"/>
          <w:sz w:val="24"/>
          <w:szCs w:val="24"/>
        </w:rPr>
        <w:t xml:space="preserve"> endocrinological and metabolic; immunological diseases; unnatural or violent deaths; substance use disorders; and infectious diseases. We also grouped the causes of deaths into nine narrow groupings. These </w:t>
      </w:r>
      <w:r w:rsidR="000F5A65" w:rsidRPr="0098723C">
        <w:rPr>
          <w:rFonts w:ascii="Verdana" w:hAnsi="Verdana"/>
          <w:color w:val="auto"/>
          <w:sz w:val="24"/>
          <w:szCs w:val="24"/>
        </w:rPr>
        <w:t>were</w:t>
      </w:r>
      <w:r w:rsidR="007D62A5" w:rsidRPr="0098723C">
        <w:rPr>
          <w:rFonts w:ascii="Verdana" w:hAnsi="Verdana"/>
          <w:color w:val="auto"/>
          <w:sz w:val="24"/>
          <w:szCs w:val="24"/>
        </w:rPr>
        <w:t>: cancers; coronary heart disease; stroke; hypertension; cirrhosis; diabetes mellitus; suicide; alcohol-use disorder; and Human Immunodeficiency Virus infection or Acquired Immune Deficiency Syndrome (HIV/AIDS). These disease groupings were not predetermined, but instead formed pragmatically, using the disease terminologies or the diagnostic codings reported in the included studies.</w:t>
      </w:r>
    </w:p>
    <w:p w14:paraId="47907562" w14:textId="77777777" w:rsidR="005C2377" w:rsidRPr="0098723C" w:rsidRDefault="00F42C51" w:rsidP="009C0FAB">
      <w:pPr>
        <w:pStyle w:val="Heading2"/>
        <w:spacing w:after="240" w:line="480" w:lineRule="auto"/>
        <w:rPr>
          <w:color w:val="auto"/>
        </w:rPr>
      </w:pPr>
      <w:r w:rsidRPr="0098723C">
        <w:rPr>
          <w:color w:val="auto"/>
        </w:rPr>
        <w:t>Analysis</w:t>
      </w:r>
    </w:p>
    <w:p w14:paraId="0BF41DDA" w14:textId="77777777" w:rsidR="005C2377" w:rsidRPr="0098723C" w:rsidRDefault="00F42C51"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Mortality rates were obtained by dividing </w:t>
      </w:r>
      <w:r w:rsidR="00477A20" w:rsidRPr="0098723C">
        <w:rPr>
          <w:rFonts w:ascii="Verdana" w:hAnsi="Verdana"/>
          <w:color w:val="auto"/>
          <w:sz w:val="24"/>
          <w:szCs w:val="24"/>
        </w:rPr>
        <w:t xml:space="preserve">the number of </w:t>
      </w:r>
      <w:r w:rsidRPr="0098723C">
        <w:rPr>
          <w:rFonts w:ascii="Verdana" w:hAnsi="Verdana"/>
          <w:color w:val="auto"/>
          <w:sz w:val="24"/>
          <w:szCs w:val="24"/>
        </w:rPr>
        <w:t>death</w:t>
      </w:r>
      <w:r w:rsidR="00477A20" w:rsidRPr="0098723C">
        <w:rPr>
          <w:rFonts w:ascii="Verdana" w:hAnsi="Verdana"/>
          <w:color w:val="auto"/>
          <w:sz w:val="24"/>
          <w:szCs w:val="24"/>
        </w:rPr>
        <w:t>s</w:t>
      </w:r>
      <w:r w:rsidRPr="0098723C">
        <w:rPr>
          <w:rFonts w:ascii="Verdana" w:hAnsi="Verdana"/>
          <w:color w:val="auto"/>
          <w:sz w:val="24"/>
          <w:szCs w:val="24"/>
        </w:rPr>
        <w:t xml:space="preserve"> by the reported total person-years</w:t>
      </w:r>
      <w:r w:rsidR="00B27393" w:rsidRPr="0098723C">
        <w:rPr>
          <w:rFonts w:ascii="Verdana" w:hAnsi="Verdana"/>
          <w:color w:val="auto"/>
          <w:sz w:val="24"/>
          <w:szCs w:val="24"/>
        </w:rPr>
        <w:t xml:space="preserve"> at risk</w:t>
      </w:r>
      <w:r w:rsidRPr="0098723C">
        <w:rPr>
          <w:rFonts w:ascii="Verdana" w:hAnsi="Verdana"/>
          <w:color w:val="auto"/>
          <w:sz w:val="24"/>
          <w:szCs w:val="24"/>
        </w:rPr>
        <w:t>, and were reported in 1000</w:t>
      </w:r>
      <w:r w:rsidR="00001F40" w:rsidRPr="0098723C">
        <w:rPr>
          <w:rFonts w:ascii="Verdana" w:hAnsi="Verdana"/>
          <w:color w:val="auto"/>
          <w:sz w:val="24"/>
          <w:szCs w:val="24"/>
        </w:rPr>
        <w:t xml:space="preserve"> </w:t>
      </w:r>
      <w:r w:rsidR="00477A20" w:rsidRPr="0098723C">
        <w:rPr>
          <w:rFonts w:ascii="Verdana" w:hAnsi="Verdana"/>
          <w:color w:val="auto"/>
          <w:sz w:val="24"/>
          <w:szCs w:val="24"/>
        </w:rPr>
        <w:t>person</w:t>
      </w:r>
      <w:r w:rsidR="008F018D" w:rsidRPr="0098723C">
        <w:rPr>
          <w:rFonts w:ascii="Verdana" w:hAnsi="Verdana"/>
          <w:color w:val="auto"/>
          <w:sz w:val="24"/>
          <w:szCs w:val="24"/>
        </w:rPr>
        <w:t>-</w:t>
      </w:r>
      <w:r w:rsidR="00477A20" w:rsidRPr="0098723C">
        <w:rPr>
          <w:rFonts w:ascii="Verdana" w:hAnsi="Verdana"/>
          <w:color w:val="auto"/>
          <w:sz w:val="24"/>
          <w:szCs w:val="24"/>
        </w:rPr>
        <w:t>year (</w:t>
      </w:r>
      <w:r w:rsidR="00096B1A" w:rsidRPr="0098723C">
        <w:rPr>
          <w:rFonts w:ascii="Verdana" w:hAnsi="Verdana"/>
          <w:color w:val="auto"/>
          <w:sz w:val="24"/>
          <w:szCs w:val="24"/>
        </w:rPr>
        <w:t>py</w:t>
      </w:r>
      <w:r w:rsidR="00477A20" w:rsidRPr="0098723C">
        <w:rPr>
          <w:rFonts w:ascii="Verdana" w:hAnsi="Verdana"/>
          <w:color w:val="auto"/>
          <w:sz w:val="24"/>
          <w:szCs w:val="24"/>
        </w:rPr>
        <w:t>)</w:t>
      </w:r>
      <w:r w:rsidR="00096B1A" w:rsidRPr="0098723C">
        <w:rPr>
          <w:rFonts w:ascii="Verdana" w:hAnsi="Verdana"/>
          <w:color w:val="auto"/>
          <w:sz w:val="24"/>
          <w:szCs w:val="24"/>
        </w:rPr>
        <w:t xml:space="preserve"> </w:t>
      </w:r>
      <w:r w:rsidRPr="0098723C">
        <w:rPr>
          <w:rFonts w:ascii="Verdana" w:hAnsi="Verdana"/>
          <w:color w:val="auto"/>
          <w:sz w:val="24"/>
          <w:szCs w:val="24"/>
        </w:rPr>
        <w:t>units</w:t>
      </w:r>
      <w:r w:rsidR="00477A20" w:rsidRPr="0098723C">
        <w:rPr>
          <w:rFonts w:ascii="Verdana" w:hAnsi="Verdana"/>
          <w:color w:val="auto"/>
          <w:sz w:val="24"/>
          <w:szCs w:val="24"/>
        </w:rPr>
        <w:t xml:space="preserve"> (with</w:t>
      </w:r>
      <w:r w:rsidRPr="0098723C">
        <w:rPr>
          <w:rFonts w:ascii="Verdana" w:hAnsi="Verdana"/>
          <w:color w:val="auto"/>
          <w:sz w:val="24"/>
          <w:szCs w:val="24"/>
        </w:rPr>
        <w:t xml:space="preserve"> </w:t>
      </w:r>
      <w:r w:rsidR="00001F40" w:rsidRPr="0098723C">
        <w:rPr>
          <w:rFonts w:ascii="Verdana" w:hAnsi="Verdana"/>
          <w:color w:val="auto"/>
          <w:sz w:val="24"/>
          <w:szCs w:val="24"/>
        </w:rPr>
        <w:t>95% confidence intervals</w:t>
      </w:r>
      <w:r w:rsidR="007A69B5" w:rsidRPr="0098723C">
        <w:rPr>
          <w:rFonts w:ascii="Verdana" w:hAnsi="Verdana"/>
          <w:color w:val="auto"/>
          <w:sz w:val="24"/>
          <w:szCs w:val="24"/>
        </w:rPr>
        <w:t xml:space="preserve"> (CI)</w:t>
      </w:r>
      <w:r w:rsidR="00477A20" w:rsidRPr="0098723C">
        <w:rPr>
          <w:rFonts w:ascii="Verdana" w:hAnsi="Verdana"/>
          <w:color w:val="auto"/>
          <w:sz w:val="24"/>
          <w:szCs w:val="24"/>
        </w:rPr>
        <w:t xml:space="preserve">). </w:t>
      </w:r>
      <w:r w:rsidR="00153664" w:rsidRPr="0098723C">
        <w:rPr>
          <w:rFonts w:ascii="Verdana" w:hAnsi="Verdana"/>
          <w:color w:val="auto"/>
          <w:sz w:val="24"/>
          <w:szCs w:val="24"/>
        </w:rPr>
        <w:t xml:space="preserve">All analyses </w:t>
      </w:r>
      <w:r w:rsidR="00036BFD" w:rsidRPr="0098723C">
        <w:rPr>
          <w:rFonts w:ascii="Verdana" w:hAnsi="Verdana"/>
          <w:color w:val="auto"/>
          <w:sz w:val="24"/>
          <w:szCs w:val="24"/>
        </w:rPr>
        <w:t xml:space="preserve">are </w:t>
      </w:r>
      <w:r w:rsidR="00153664" w:rsidRPr="0098723C">
        <w:rPr>
          <w:rFonts w:ascii="Verdana" w:hAnsi="Verdana"/>
          <w:color w:val="auto"/>
          <w:sz w:val="24"/>
          <w:szCs w:val="24"/>
        </w:rPr>
        <w:t xml:space="preserve">presented </w:t>
      </w:r>
      <w:r w:rsidR="00036BFD" w:rsidRPr="0098723C">
        <w:rPr>
          <w:rFonts w:ascii="Verdana" w:hAnsi="Verdana"/>
          <w:color w:val="auto"/>
          <w:sz w:val="24"/>
          <w:szCs w:val="24"/>
        </w:rPr>
        <w:t>for</w:t>
      </w:r>
      <w:r w:rsidR="00153664" w:rsidRPr="0098723C">
        <w:rPr>
          <w:rFonts w:ascii="Verdana" w:hAnsi="Verdana"/>
          <w:color w:val="auto"/>
          <w:sz w:val="24"/>
          <w:szCs w:val="24"/>
        </w:rPr>
        <w:t xml:space="preserve"> </w:t>
      </w:r>
      <w:r w:rsidR="00036BFD" w:rsidRPr="0098723C">
        <w:rPr>
          <w:rFonts w:ascii="Verdana" w:hAnsi="Verdana"/>
          <w:color w:val="auto"/>
          <w:sz w:val="24"/>
          <w:szCs w:val="24"/>
        </w:rPr>
        <w:t>all ages and both sexes combined</w:t>
      </w:r>
      <w:r w:rsidR="00153664" w:rsidRPr="0098723C">
        <w:rPr>
          <w:rFonts w:ascii="Verdana" w:hAnsi="Verdana"/>
          <w:color w:val="auto"/>
          <w:sz w:val="24"/>
          <w:szCs w:val="24"/>
        </w:rPr>
        <w:t xml:space="preserve">, as separate results could not be extracted from the majority of the original study reports. </w:t>
      </w:r>
      <w:r w:rsidRPr="0098723C">
        <w:rPr>
          <w:rFonts w:ascii="Verdana" w:hAnsi="Verdana"/>
          <w:color w:val="auto"/>
          <w:sz w:val="24"/>
          <w:szCs w:val="24"/>
        </w:rPr>
        <w:t xml:space="preserve">Information provided in other ways </w:t>
      </w:r>
      <w:r w:rsidR="00110510" w:rsidRPr="0098723C">
        <w:rPr>
          <w:rFonts w:ascii="Verdana" w:hAnsi="Verdana"/>
          <w:color w:val="auto"/>
          <w:sz w:val="24"/>
          <w:szCs w:val="24"/>
        </w:rPr>
        <w:t>was</w:t>
      </w:r>
      <w:r w:rsidRPr="0098723C">
        <w:rPr>
          <w:rFonts w:ascii="Verdana" w:hAnsi="Verdana"/>
          <w:color w:val="auto"/>
          <w:sz w:val="24"/>
          <w:szCs w:val="24"/>
        </w:rPr>
        <w:t xml:space="preserve">, where possible, transformed to </w:t>
      </w:r>
      <w:r w:rsidR="00001F40" w:rsidRPr="0098723C">
        <w:rPr>
          <w:rFonts w:ascii="Verdana" w:hAnsi="Verdana"/>
          <w:color w:val="auto"/>
          <w:sz w:val="24"/>
          <w:szCs w:val="24"/>
        </w:rPr>
        <w:t>enable us to calculat</w:t>
      </w:r>
      <w:r w:rsidR="00B463AB" w:rsidRPr="0098723C">
        <w:rPr>
          <w:rFonts w:ascii="Verdana" w:hAnsi="Verdana"/>
          <w:color w:val="auto"/>
          <w:sz w:val="24"/>
          <w:szCs w:val="24"/>
        </w:rPr>
        <w:t xml:space="preserve">e </w:t>
      </w:r>
      <w:r w:rsidR="00001F40" w:rsidRPr="0098723C">
        <w:rPr>
          <w:rFonts w:ascii="Verdana" w:hAnsi="Verdana"/>
          <w:color w:val="auto"/>
          <w:sz w:val="24"/>
          <w:szCs w:val="24"/>
        </w:rPr>
        <w:t>mortality rates</w:t>
      </w:r>
      <w:r w:rsidR="00B463AB" w:rsidRPr="0098723C">
        <w:rPr>
          <w:rFonts w:ascii="Verdana" w:hAnsi="Verdana"/>
          <w:color w:val="auto"/>
          <w:sz w:val="24"/>
          <w:szCs w:val="24"/>
        </w:rPr>
        <w:t xml:space="preserve"> </w:t>
      </w:r>
      <w:r w:rsidR="00001F40" w:rsidRPr="0098723C">
        <w:rPr>
          <w:rFonts w:ascii="Verdana" w:hAnsi="Verdana"/>
          <w:color w:val="auto"/>
          <w:sz w:val="24"/>
          <w:szCs w:val="24"/>
        </w:rPr>
        <w:t>and</w:t>
      </w:r>
      <w:r w:rsidR="00B463AB" w:rsidRPr="0098723C">
        <w:rPr>
          <w:rFonts w:ascii="Verdana" w:hAnsi="Verdana"/>
          <w:color w:val="auto"/>
          <w:sz w:val="24"/>
          <w:szCs w:val="24"/>
        </w:rPr>
        <w:t xml:space="preserve"> 95%</w:t>
      </w:r>
      <w:r w:rsidR="000F5A65" w:rsidRPr="0098723C">
        <w:rPr>
          <w:rFonts w:ascii="Verdana" w:hAnsi="Verdana"/>
          <w:color w:val="auto"/>
          <w:sz w:val="24"/>
          <w:szCs w:val="24"/>
        </w:rPr>
        <w:t>CIs</w:t>
      </w:r>
      <w:r w:rsidRPr="0098723C">
        <w:rPr>
          <w:rFonts w:ascii="Verdana" w:hAnsi="Verdana"/>
          <w:color w:val="auto"/>
          <w:sz w:val="24"/>
          <w:szCs w:val="24"/>
        </w:rPr>
        <w:t>.</w:t>
      </w:r>
      <w:r w:rsidR="009F09DE" w:rsidRPr="0098723C">
        <w:rPr>
          <w:rFonts w:ascii="Verdana" w:hAnsi="Verdana"/>
          <w:color w:val="auto"/>
          <w:sz w:val="24"/>
          <w:szCs w:val="24"/>
        </w:rPr>
        <w:t xml:space="preserve"> These transformations are adapted from those used by </w:t>
      </w:r>
      <w:r w:rsidR="004D3565" w:rsidRPr="0098723C">
        <w:rPr>
          <w:rFonts w:ascii="Verdana" w:hAnsi="Verdana"/>
          <w:color w:val="auto"/>
          <w:sz w:val="24"/>
          <w:szCs w:val="24"/>
        </w:rPr>
        <w:t>Degenhardt et al</w:t>
      </w:r>
      <w:r w:rsidR="000E51C6"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16</w:t>
      </w:r>
      <w:r w:rsidR="004D3565" w:rsidRPr="0098723C">
        <w:rPr>
          <w:rFonts w:ascii="Verdana" w:hAnsi="Verdana"/>
          <w:color w:val="auto"/>
          <w:sz w:val="24"/>
          <w:szCs w:val="24"/>
        </w:rPr>
        <w:t>.</w:t>
      </w:r>
      <w:r w:rsidR="00F3483C" w:rsidRPr="0098723C">
        <w:rPr>
          <w:rFonts w:ascii="Verdana" w:hAnsi="Verdana"/>
          <w:color w:val="auto"/>
          <w:sz w:val="24"/>
          <w:szCs w:val="24"/>
        </w:rPr>
        <w:t xml:space="preserve"> The full </w:t>
      </w:r>
      <w:r w:rsidR="00C604D7" w:rsidRPr="0098723C">
        <w:rPr>
          <w:rFonts w:ascii="Verdana" w:hAnsi="Verdana"/>
          <w:color w:val="auto"/>
          <w:sz w:val="24"/>
          <w:szCs w:val="24"/>
        </w:rPr>
        <w:t>list of transformations is</w:t>
      </w:r>
      <w:r w:rsidR="00F3483C" w:rsidRPr="0098723C">
        <w:rPr>
          <w:rFonts w:ascii="Verdana" w:hAnsi="Verdana"/>
          <w:color w:val="auto"/>
          <w:sz w:val="24"/>
          <w:szCs w:val="24"/>
        </w:rPr>
        <w:t xml:space="preserve"> described in </w:t>
      </w:r>
      <w:r w:rsidR="00C776A8" w:rsidRPr="0098723C">
        <w:rPr>
          <w:rFonts w:ascii="Verdana" w:hAnsi="Verdana"/>
          <w:color w:val="auto"/>
          <w:sz w:val="24"/>
          <w:szCs w:val="24"/>
        </w:rPr>
        <w:t>Supplemental Information</w:t>
      </w:r>
      <w:r w:rsidR="00F3483C" w:rsidRPr="0098723C">
        <w:rPr>
          <w:rFonts w:ascii="Verdana" w:hAnsi="Verdana"/>
          <w:color w:val="auto"/>
          <w:sz w:val="24"/>
          <w:szCs w:val="24"/>
        </w:rPr>
        <w:t xml:space="preserve"> S</w:t>
      </w:r>
      <w:r w:rsidR="00FA439E" w:rsidRPr="0098723C">
        <w:rPr>
          <w:rFonts w:ascii="Verdana" w:hAnsi="Verdana"/>
          <w:color w:val="auto"/>
          <w:sz w:val="24"/>
          <w:szCs w:val="24"/>
        </w:rPr>
        <w:t>3</w:t>
      </w:r>
      <w:r w:rsidR="00F3483C" w:rsidRPr="0098723C">
        <w:rPr>
          <w:rFonts w:ascii="Verdana" w:hAnsi="Verdana"/>
          <w:color w:val="auto"/>
          <w:sz w:val="24"/>
          <w:szCs w:val="24"/>
        </w:rPr>
        <w:t>.</w:t>
      </w:r>
    </w:p>
    <w:p w14:paraId="2F29E13B" w14:textId="0B92C9F5" w:rsidR="00036BFD" w:rsidRPr="0098723C" w:rsidRDefault="00F42C51"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The extracted information on cause-specific </w:t>
      </w:r>
      <w:r w:rsidR="00B463AB" w:rsidRPr="0098723C">
        <w:rPr>
          <w:rFonts w:ascii="Verdana" w:hAnsi="Verdana"/>
          <w:color w:val="auto"/>
          <w:sz w:val="24"/>
          <w:szCs w:val="24"/>
        </w:rPr>
        <w:t xml:space="preserve">number of deaths </w:t>
      </w:r>
      <w:r w:rsidRPr="0098723C">
        <w:rPr>
          <w:rFonts w:ascii="Verdana" w:hAnsi="Verdana"/>
          <w:color w:val="auto"/>
          <w:sz w:val="24"/>
          <w:szCs w:val="24"/>
        </w:rPr>
        <w:t xml:space="preserve">and person-years for each cause of death </w:t>
      </w:r>
      <w:r w:rsidR="00D1487E">
        <w:rPr>
          <w:rFonts w:ascii="Verdana" w:hAnsi="Verdana"/>
          <w:color w:val="auto"/>
          <w:sz w:val="24"/>
          <w:szCs w:val="24"/>
        </w:rPr>
        <w:t>was</w:t>
      </w:r>
      <w:r w:rsidR="00D1487E" w:rsidRPr="0098723C">
        <w:rPr>
          <w:rFonts w:ascii="Verdana" w:hAnsi="Verdana"/>
          <w:color w:val="auto"/>
          <w:sz w:val="24"/>
          <w:szCs w:val="24"/>
        </w:rPr>
        <w:t xml:space="preserve"> </w:t>
      </w:r>
      <w:r w:rsidRPr="0098723C">
        <w:rPr>
          <w:rFonts w:ascii="Verdana" w:hAnsi="Verdana"/>
          <w:color w:val="auto"/>
          <w:sz w:val="24"/>
          <w:szCs w:val="24"/>
        </w:rPr>
        <w:t>used to generate standard errors of cause-specific mortality</w:t>
      </w:r>
      <w:r w:rsidR="00126A61" w:rsidRPr="0098723C">
        <w:rPr>
          <w:rFonts w:ascii="Verdana" w:hAnsi="Verdana"/>
          <w:color w:val="auto"/>
          <w:sz w:val="24"/>
          <w:szCs w:val="24"/>
        </w:rPr>
        <w:t xml:space="preserve">. </w:t>
      </w:r>
      <w:r w:rsidRPr="0098723C">
        <w:rPr>
          <w:rFonts w:ascii="Verdana" w:hAnsi="Verdana"/>
          <w:color w:val="auto"/>
          <w:sz w:val="24"/>
          <w:szCs w:val="24"/>
        </w:rPr>
        <w:t xml:space="preserve">Mortality rates and their respective standard errors were pooled across studies for each cause of death </w:t>
      </w:r>
      <w:r w:rsidR="00C50C00" w:rsidRPr="0098723C">
        <w:rPr>
          <w:rFonts w:ascii="Verdana" w:hAnsi="Verdana"/>
          <w:color w:val="auto"/>
          <w:sz w:val="24"/>
          <w:szCs w:val="24"/>
        </w:rPr>
        <w:t>categor</w:t>
      </w:r>
      <w:r w:rsidR="00477A20" w:rsidRPr="0098723C">
        <w:rPr>
          <w:rFonts w:ascii="Verdana" w:hAnsi="Verdana"/>
          <w:color w:val="auto"/>
          <w:sz w:val="24"/>
          <w:szCs w:val="24"/>
        </w:rPr>
        <w:t xml:space="preserve">y </w:t>
      </w:r>
      <w:r w:rsidRPr="0098723C">
        <w:rPr>
          <w:rFonts w:ascii="Verdana" w:hAnsi="Verdana"/>
          <w:color w:val="auto"/>
          <w:sz w:val="24"/>
          <w:szCs w:val="24"/>
        </w:rPr>
        <w:t>in turn</w:t>
      </w:r>
      <w:r w:rsidR="00B27393" w:rsidRPr="0098723C">
        <w:rPr>
          <w:rFonts w:ascii="Verdana" w:hAnsi="Verdana"/>
          <w:color w:val="auto"/>
          <w:sz w:val="24"/>
          <w:szCs w:val="24"/>
        </w:rPr>
        <w:t>.</w:t>
      </w:r>
      <w:r w:rsidR="00B463AB" w:rsidRPr="0098723C">
        <w:rPr>
          <w:rFonts w:ascii="Verdana" w:hAnsi="Verdana"/>
          <w:color w:val="auto"/>
          <w:sz w:val="24"/>
          <w:szCs w:val="24"/>
        </w:rPr>
        <w:t xml:space="preserve"> </w:t>
      </w:r>
      <w:r w:rsidR="00B463AB" w:rsidRPr="0098723C">
        <w:rPr>
          <w:rFonts w:ascii="Verdana" w:hAnsi="Verdana"/>
          <w:color w:val="auto"/>
          <w:sz w:val="24"/>
          <w:lang w:val="en-GB"/>
        </w:rPr>
        <w:t xml:space="preserve">For each study and each cause of death, the natural logarithm of the mortality rate (number of deaths/1000 person-years) </w:t>
      </w:r>
      <w:r w:rsidR="00B463AB" w:rsidRPr="0098723C">
        <w:rPr>
          <w:rFonts w:ascii="Verdana" w:hAnsi="Verdana"/>
          <w:color w:val="auto"/>
          <w:sz w:val="24"/>
          <w:szCs w:val="24"/>
        </w:rPr>
        <w:t xml:space="preserve">was estimated, </w:t>
      </w:r>
      <w:r w:rsidR="00506FE4" w:rsidRPr="0098723C">
        <w:rPr>
          <w:rFonts w:ascii="Verdana" w:hAnsi="Verdana"/>
          <w:color w:val="auto"/>
          <w:sz w:val="24"/>
          <w:szCs w:val="24"/>
        </w:rPr>
        <w:t>w</w:t>
      </w:r>
      <w:r w:rsidR="00477A20" w:rsidRPr="0098723C">
        <w:rPr>
          <w:rFonts w:ascii="Verdana" w:hAnsi="Verdana"/>
          <w:color w:val="auto"/>
          <w:sz w:val="24"/>
          <w:szCs w:val="24"/>
        </w:rPr>
        <w:t xml:space="preserve">ith standard errors computed assuming a Poisson distribution for the number of deaths. </w:t>
      </w:r>
      <w:r w:rsidR="00B463AB" w:rsidRPr="0098723C">
        <w:rPr>
          <w:rFonts w:ascii="Verdana" w:hAnsi="Verdana"/>
          <w:color w:val="auto"/>
          <w:sz w:val="24"/>
          <w:szCs w:val="24"/>
        </w:rPr>
        <w:t>These were then pooled assuming random effects</w:t>
      </w:r>
      <w:r w:rsidR="00B463AB" w:rsidRPr="0098723C">
        <w:rPr>
          <w:rFonts w:ascii="Verdana" w:hAnsi="Verdana"/>
          <w:color w:val="auto"/>
          <w:sz w:val="24"/>
          <w:lang w:val="en-GB"/>
        </w:rPr>
        <w:t xml:space="preserve"> using </w:t>
      </w:r>
      <w:r w:rsidR="00B463AB" w:rsidRPr="0098723C">
        <w:rPr>
          <w:rFonts w:ascii="Verdana" w:hAnsi="Verdana"/>
          <w:color w:val="auto"/>
          <w:sz w:val="24"/>
        </w:rPr>
        <w:t xml:space="preserve">a DerSimonian-Laird random-effect model to allow for between-study heterogeneity, which was estimated </w:t>
      </w:r>
      <w:r w:rsidR="00E94D2F" w:rsidRPr="0098723C">
        <w:rPr>
          <w:rFonts w:ascii="Verdana" w:hAnsi="Verdana"/>
          <w:color w:val="auto"/>
          <w:sz w:val="24"/>
        </w:rPr>
        <w:t xml:space="preserve">by </w:t>
      </w:r>
      <w:r w:rsidR="00B463AB" w:rsidRPr="0098723C">
        <w:rPr>
          <w:rFonts w:ascii="Verdana" w:hAnsi="Verdana"/>
          <w:color w:val="auto"/>
          <w:sz w:val="24"/>
        </w:rPr>
        <w:t>the I</w:t>
      </w:r>
      <w:r w:rsidR="00B463AB" w:rsidRPr="0098723C">
        <w:rPr>
          <w:rFonts w:ascii="Verdana" w:hAnsi="Verdana"/>
          <w:color w:val="auto"/>
          <w:sz w:val="24"/>
          <w:vertAlign w:val="superscript"/>
        </w:rPr>
        <w:t>2</w:t>
      </w:r>
      <w:r w:rsidR="00B463AB" w:rsidRPr="0098723C">
        <w:rPr>
          <w:rFonts w:ascii="Verdana" w:hAnsi="Verdana"/>
          <w:color w:val="auto"/>
          <w:sz w:val="24"/>
          <w:lang w:val="it-IT"/>
        </w:rPr>
        <w:t xml:space="preserve"> statistic</w:t>
      </w:r>
      <w:r w:rsidR="000E51C6" w:rsidRPr="0098723C">
        <w:rPr>
          <w:rFonts w:ascii="Verdana" w:hAnsi="Verdana"/>
          <w:color w:val="auto"/>
          <w:sz w:val="24"/>
          <w:lang w:val="it-IT"/>
        </w:rPr>
        <w:t xml:space="preserve"> </w:t>
      </w:r>
      <w:r w:rsidR="006556AA" w:rsidRPr="0098723C">
        <w:rPr>
          <w:rFonts w:ascii="Verdana" w:hAnsi="Verdana"/>
          <w:noProof/>
          <w:color w:val="auto"/>
          <w:sz w:val="24"/>
          <w:vertAlign w:val="superscript"/>
          <w:lang w:val="it-IT"/>
        </w:rPr>
        <w:t>17,18</w:t>
      </w:r>
      <w:r w:rsidR="00B463AB" w:rsidRPr="0098723C">
        <w:rPr>
          <w:rFonts w:ascii="Verdana" w:hAnsi="Verdana"/>
          <w:color w:val="auto"/>
          <w:sz w:val="24"/>
          <w:lang w:val="en-GB"/>
        </w:rPr>
        <w:t>.</w:t>
      </w:r>
      <w:r w:rsidR="00036BFD" w:rsidRPr="0098723C">
        <w:rPr>
          <w:rFonts w:ascii="Verdana" w:hAnsi="Verdana"/>
          <w:color w:val="auto"/>
          <w:sz w:val="24"/>
          <w:szCs w:val="24"/>
          <w:lang w:val="en-GB"/>
        </w:rPr>
        <w:t xml:space="preserve"> We</w:t>
      </w:r>
      <w:r w:rsidR="00036BFD" w:rsidRPr="0098723C">
        <w:rPr>
          <w:rFonts w:ascii="Verdana" w:hAnsi="Verdana"/>
          <w:color w:val="auto"/>
          <w:sz w:val="24"/>
          <w:szCs w:val="24"/>
        </w:rPr>
        <w:t xml:space="preserve"> present </w:t>
      </w:r>
      <w:r w:rsidR="007D62A5" w:rsidRPr="0098723C">
        <w:rPr>
          <w:rFonts w:ascii="Verdana" w:hAnsi="Verdana"/>
          <w:color w:val="auto"/>
          <w:sz w:val="24"/>
          <w:szCs w:val="24"/>
        </w:rPr>
        <w:t xml:space="preserve">the </w:t>
      </w:r>
      <w:r w:rsidR="00036BFD" w:rsidRPr="0098723C">
        <w:rPr>
          <w:rFonts w:ascii="Verdana" w:hAnsi="Verdana"/>
          <w:color w:val="auto"/>
          <w:sz w:val="24"/>
          <w:szCs w:val="24"/>
        </w:rPr>
        <w:t xml:space="preserve">meta-analysed combined-gender crude cause-specific mortality rates by broad and narrow </w:t>
      </w:r>
      <w:r w:rsidR="007D62A5" w:rsidRPr="0098723C">
        <w:rPr>
          <w:rFonts w:ascii="Verdana" w:hAnsi="Verdana"/>
          <w:color w:val="auto"/>
          <w:sz w:val="24"/>
          <w:szCs w:val="24"/>
        </w:rPr>
        <w:t xml:space="preserve">cause of death </w:t>
      </w:r>
      <w:r w:rsidR="00036BFD" w:rsidRPr="0098723C">
        <w:rPr>
          <w:rFonts w:ascii="Verdana" w:hAnsi="Verdana"/>
          <w:color w:val="auto"/>
          <w:sz w:val="24"/>
          <w:szCs w:val="24"/>
        </w:rPr>
        <w:t>groups for each study.</w:t>
      </w:r>
    </w:p>
    <w:p w14:paraId="74B24E46" w14:textId="77777777" w:rsidR="00C50C00" w:rsidRPr="0098723C" w:rsidRDefault="00477A20" w:rsidP="006556AA">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 xml:space="preserve">We also present the specific causes of death as proportions of all-cause death (referred to here as proportional mortality (PM)). This measure may be useful for public health practitioners who might not have access to sufficient information to form the denominators of risk or rate measures </w:t>
      </w:r>
      <w:r w:rsidR="006556AA" w:rsidRPr="0098723C">
        <w:rPr>
          <w:rFonts w:ascii="Verdana" w:hAnsi="Verdana"/>
          <w:noProof/>
          <w:color w:val="auto"/>
          <w:sz w:val="24"/>
          <w:szCs w:val="24"/>
          <w:vertAlign w:val="superscript"/>
        </w:rPr>
        <w:t>19,20</w:t>
      </w:r>
      <w:r w:rsidR="00DE66F4" w:rsidRPr="0098723C">
        <w:rPr>
          <w:rFonts w:ascii="Verdana" w:hAnsi="Verdana"/>
          <w:color w:val="auto"/>
          <w:sz w:val="24"/>
          <w:szCs w:val="24"/>
        </w:rPr>
        <w:t>.</w:t>
      </w:r>
    </w:p>
    <w:p w14:paraId="7771DC52" w14:textId="77777777" w:rsidR="00F3483C" w:rsidRPr="0098723C" w:rsidRDefault="00250CAB"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Cause</w:t>
      </w:r>
      <w:r w:rsidR="00255CEA" w:rsidRPr="0098723C">
        <w:rPr>
          <w:rFonts w:ascii="Verdana" w:hAnsi="Verdana"/>
          <w:color w:val="auto"/>
          <w:sz w:val="24"/>
          <w:szCs w:val="24"/>
        </w:rPr>
        <w:t>-</w:t>
      </w:r>
      <w:r w:rsidRPr="0098723C">
        <w:rPr>
          <w:rFonts w:ascii="Verdana" w:hAnsi="Verdana"/>
          <w:color w:val="auto"/>
          <w:sz w:val="24"/>
          <w:szCs w:val="24"/>
        </w:rPr>
        <w:t>specific mortality proportions for a given study w</w:t>
      </w:r>
      <w:r w:rsidR="00B463AB" w:rsidRPr="0098723C">
        <w:rPr>
          <w:rFonts w:ascii="Verdana" w:hAnsi="Verdana"/>
          <w:color w:val="auto"/>
          <w:sz w:val="24"/>
          <w:szCs w:val="24"/>
        </w:rPr>
        <w:t xml:space="preserve">ere </w:t>
      </w:r>
      <w:r w:rsidRPr="0098723C">
        <w:rPr>
          <w:rFonts w:ascii="Verdana" w:hAnsi="Verdana"/>
          <w:color w:val="auto"/>
          <w:sz w:val="24"/>
          <w:szCs w:val="24"/>
        </w:rPr>
        <w:t xml:space="preserve">calculated by dividing </w:t>
      </w:r>
      <w:r w:rsidR="00477A20" w:rsidRPr="0098723C">
        <w:rPr>
          <w:rFonts w:ascii="Verdana" w:hAnsi="Verdana"/>
          <w:color w:val="auto"/>
          <w:sz w:val="24"/>
          <w:szCs w:val="24"/>
        </w:rPr>
        <w:t xml:space="preserve">the number </w:t>
      </w:r>
      <w:r w:rsidRPr="0098723C">
        <w:rPr>
          <w:rFonts w:ascii="Verdana" w:hAnsi="Verdana"/>
          <w:color w:val="auto"/>
          <w:sz w:val="24"/>
          <w:szCs w:val="24"/>
        </w:rPr>
        <w:t>of death</w:t>
      </w:r>
      <w:r w:rsidR="00477A20" w:rsidRPr="0098723C">
        <w:rPr>
          <w:rFonts w:ascii="Verdana" w:hAnsi="Verdana"/>
          <w:color w:val="auto"/>
          <w:sz w:val="24"/>
          <w:szCs w:val="24"/>
        </w:rPr>
        <w:t>s</w:t>
      </w:r>
      <w:r w:rsidRPr="0098723C">
        <w:rPr>
          <w:rFonts w:ascii="Verdana" w:hAnsi="Verdana"/>
          <w:color w:val="auto"/>
          <w:sz w:val="24"/>
          <w:szCs w:val="24"/>
        </w:rPr>
        <w:t xml:space="preserve"> </w:t>
      </w:r>
      <w:r w:rsidR="00096B1A" w:rsidRPr="0098723C">
        <w:rPr>
          <w:rFonts w:ascii="Verdana" w:hAnsi="Verdana"/>
          <w:color w:val="auto"/>
          <w:sz w:val="24"/>
          <w:szCs w:val="24"/>
        </w:rPr>
        <w:t xml:space="preserve">due to </w:t>
      </w:r>
      <w:r w:rsidRPr="0098723C">
        <w:rPr>
          <w:rFonts w:ascii="Verdana" w:hAnsi="Verdana"/>
          <w:color w:val="auto"/>
          <w:sz w:val="24"/>
          <w:szCs w:val="24"/>
        </w:rPr>
        <w:t xml:space="preserve">specific cause of death </w:t>
      </w:r>
      <w:r w:rsidR="00255CEA" w:rsidRPr="0098723C">
        <w:rPr>
          <w:rFonts w:ascii="Verdana" w:hAnsi="Verdana"/>
          <w:color w:val="auto"/>
          <w:sz w:val="24"/>
          <w:szCs w:val="24"/>
        </w:rPr>
        <w:t xml:space="preserve">by the number of </w:t>
      </w:r>
      <w:r w:rsidRPr="0098723C">
        <w:rPr>
          <w:rFonts w:ascii="Verdana" w:hAnsi="Verdana"/>
          <w:color w:val="auto"/>
          <w:sz w:val="24"/>
          <w:szCs w:val="24"/>
        </w:rPr>
        <w:t>all</w:t>
      </w:r>
      <w:r w:rsidR="00255CEA" w:rsidRPr="0098723C">
        <w:rPr>
          <w:rFonts w:ascii="Verdana" w:hAnsi="Verdana"/>
          <w:color w:val="auto"/>
          <w:sz w:val="24"/>
          <w:szCs w:val="24"/>
        </w:rPr>
        <w:t xml:space="preserve">-cause </w:t>
      </w:r>
      <w:r w:rsidRPr="0098723C">
        <w:rPr>
          <w:rFonts w:ascii="Verdana" w:hAnsi="Verdana"/>
          <w:color w:val="auto"/>
          <w:sz w:val="24"/>
          <w:szCs w:val="24"/>
        </w:rPr>
        <w:t>deaths in the study</w:t>
      </w:r>
      <w:r w:rsidR="004D12B5" w:rsidRPr="0098723C">
        <w:rPr>
          <w:rFonts w:ascii="Verdana" w:hAnsi="Verdana"/>
          <w:color w:val="auto"/>
          <w:sz w:val="24"/>
          <w:szCs w:val="24"/>
        </w:rPr>
        <w:t xml:space="preserve"> (and presented as percentages)</w:t>
      </w:r>
      <w:r w:rsidRPr="0098723C">
        <w:rPr>
          <w:rFonts w:ascii="Verdana" w:hAnsi="Verdana"/>
          <w:color w:val="auto"/>
          <w:sz w:val="24"/>
          <w:szCs w:val="24"/>
        </w:rPr>
        <w:t xml:space="preserve">. The </w:t>
      </w:r>
      <w:r w:rsidR="00F3483C" w:rsidRPr="0098723C">
        <w:rPr>
          <w:rFonts w:ascii="Verdana" w:hAnsi="Verdana"/>
          <w:color w:val="auto"/>
          <w:sz w:val="24"/>
          <w:szCs w:val="24"/>
        </w:rPr>
        <w:t>proportional mortalities and their respective standard errors were pooled across studies in a similar process to the one described above.</w:t>
      </w:r>
    </w:p>
    <w:p w14:paraId="661E3098" w14:textId="195A7D0B" w:rsidR="00732D46" w:rsidRPr="0098723C" w:rsidRDefault="00B463AB"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Finally we present a comparison of </w:t>
      </w:r>
      <w:r w:rsidR="00732D46" w:rsidRPr="0098723C">
        <w:rPr>
          <w:rFonts w:ascii="Verdana" w:hAnsi="Verdana"/>
          <w:color w:val="auto"/>
          <w:sz w:val="24"/>
          <w:szCs w:val="24"/>
        </w:rPr>
        <w:t>the age</w:t>
      </w:r>
      <w:r w:rsidR="00D1487E">
        <w:rPr>
          <w:rFonts w:ascii="Verdana" w:hAnsi="Verdana"/>
          <w:color w:val="auto"/>
          <w:sz w:val="24"/>
          <w:szCs w:val="24"/>
        </w:rPr>
        <w:t>-</w:t>
      </w:r>
      <w:r w:rsidR="00732D46" w:rsidRPr="0098723C">
        <w:rPr>
          <w:rFonts w:ascii="Verdana" w:hAnsi="Verdana"/>
          <w:color w:val="auto"/>
          <w:sz w:val="24"/>
          <w:szCs w:val="24"/>
        </w:rPr>
        <w:t xml:space="preserve">standardised mortality rate per 1000 population </w:t>
      </w:r>
      <w:r w:rsidRPr="0098723C">
        <w:rPr>
          <w:rFonts w:ascii="Verdana" w:hAnsi="Verdana"/>
          <w:color w:val="auto"/>
          <w:sz w:val="24"/>
          <w:szCs w:val="24"/>
        </w:rPr>
        <w:t xml:space="preserve">between the current study and </w:t>
      </w:r>
      <w:r w:rsidR="00732D46" w:rsidRPr="0098723C">
        <w:rPr>
          <w:rFonts w:ascii="Verdana" w:hAnsi="Verdana"/>
          <w:color w:val="auto"/>
          <w:sz w:val="24"/>
          <w:szCs w:val="24"/>
        </w:rPr>
        <w:t xml:space="preserve">the </w:t>
      </w:r>
      <w:r w:rsidR="00416D1C" w:rsidRPr="0098723C">
        <w:rPr>
          <w:rFonts w:ascii="Verdana" w:hAnsi="Verdana"/>
          <w:color w:val="auto"/>
          <w:sz w:val="24"/>
          <w:szCs w:val="24"/>
        </w:rPr>
        <w:t xml:space="preserve">2013 </w:t>
      </w:r>
      <w:r w:rsidR="00732D46" w:rsidRPr="0098723C">
        <w:rPr>
          <w:rFonts w:ascii="Verdana" w:hAnsi="Verdana"/>
          <w:color w:val="auto"/>
          <w:sz w:val="24"/>
          <w:szCs w:val="24"/>
        </w:rPr>
        <w:t xml:space="preserve">WHO Global Burden of Disease (GBD) Study </w:t>
      </w:r>
      <w:r w:rsidR="00416D1C" w:rsidRPr="0098723C">
        <w:rPr>
          <w:rFonts w:ascii="Verdana" w:hAnsi="Verdana"/>
          <w:color w:val="auto"/>
          <w:sz w:val="24"/>
          <w:szCs w:val="24"/>
        </w:rPr>
        <w:t xml:space="preserve">which reports the 1-year mortality rates for the </w:t>
      </w:r>
      <w:r w:rsidR="00506FE4" w:rsidRPr="0098723C">
        <w:rPr>
          <w:rFonts w:ascii="Verdana" w:hAnsi="Verdana"/>
          <w:color w:val="auto"/>
          <w:sz w:val="24"/>
          <w:szCs w:val="24"/>
        </w:rPr>
        <w:t xml:space="preserve">2010 </w:t>
      </w:r>
      <w:r w:rsidR="00416D1C" w:rsidRPr="0098723C">
        <w:rPr>
          <w:rFonts w:ascii="Verdana" w:hAnsi="Verdana"/>
          <w:color w:val="auto"/>
          <w:sz w:val="24"/>
          <w:szCs w:val="24"/>
        </w:rPr>
        <w:t>global general population</w:t>
      </w:r>
      <w:r w:rsidR="006556AA" w:rsidRPr="0098723C">
        <w:rPr>
          <w:rFonts w:ascii="Verdana" w:hAnsi="Verdana"/>
          <w:noProof/>
          <w:color w:val="auto"/>
          <w:sz w:val="24"/>
          <w:szCs w:val="24"/>
          <w:vertAlign w:val="superscript"/>
        </w:rPr>
        <w:t>21</w:t>
      </w:r>
      <w:r w:rsidRPr="0098723C">
        <w:rPr>
          <w:rFonts w:ascii="Verdana" w:hAnsi="Verdana"/>
          <w:color w:val="auto"/>
          <w:sz w:val="24"/>
          <w:szCs w:val="24"/>
        </w:rPr>
        <w:t xml:space="preserve"> for </w:t>
      </w:r>
      <w:r w:rsidR="00732D46" w:rsidRPr="0098723C">
        <w:rPr>
          <w:rFonts w:ascii="Verdana" w:hAnsi="Verdana"/>
          <w:color w:val="auto"/>
          <w:sz w:val="24"/>
          <w:szCs w:val="24"/>
        </w:rPr>
        <w:t>the top five causes of death in this review.</w:t>
      </w:r>
    </w:p>
    <w:p w14:paraId="2F3B2C55" w14:textId="77777777" w:rsidR="00241843" w:rsidRPr="0098723C" w:rsidRDefault="00477A20" w:rsidP="006556AA">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All analyses were conducted using Stata 14</w:t>
      </w:r>
      <w:r w:rsidR="000E51C6"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22</w:t>
      </w:r>
      <w:r w:rsidRPr="0098723C">
        <w:rPr>
          <w:rFonts w:ascii="Verdana" w:hAnsi="Verdana"/>
          <w:color w:val="auto"/>
          <w:sz w:val="24"/>
          <w:szCs w:val="24"/>
          <w:vertAlign w:val="subscript"/>
        </w:rPr>
        <w:t>.</w:t>
      </w:r>
      <w:r w:rsidR="00153664" w:rsidRPr="0098723C">
        <w:rPr>
          <w:rFonts w:ascii="Verdana" w:hAnsi="Verdana"/>
          <w:color w:val="auto"/>
          <w:sz w:val="24"/>
          <w:szCs w:val="24"/>
          <w:vertAlign w:val="subscript"/>
        </w:rPr>
        <w:t xml:space="preserve"> </w:t>
      </w:r>
    </w:p>
    <w:p w14:paraId="0C208F0D" w14:textId="77777777" w:rsidR="005C2377" w:rsidRPr="0098723C" w:rsidRDefault="005C2377" w:rsidP="009C0FAB">
      <w:pPr>
        <w:pStyle w:val="Body"/>
        <w:spacing w:line="480" w:lineRule="auto"/>
        <w:jc w:val="both"/>
        <w:rPr>
          <w:color w:val="auto"/>
        </w:rPr>
        <w:sectPr w:rsidR="005C2377" w:rsidRPr="0098723C">
          <w:pgSz w:w="11900" w:h="16840"/>
          <w:pgMar w:top="1440" w:right="1440" w:bottom="1440" w:left="1440" w:header="708" w:footer="708" w:gutter="0"/>
          <w:cols w:space="720"/>
        </w:sectPr>
      </w:pPr>
    </w:p>
    <w:p w14:paraId="581C94DA" w14:textId="77777777" w:rsidR="005C2377" w:rsidRPr="0098723C" w:rsidRDefault="00F42C51" w:rsidP="009C0FAB">
      <w:pPr>
        <w:pStyle w:val="Heading"/>
        <w:spacing w:after="240" w:line="480" w:lineRule="auto"/>
        <w:rPr>
          <w:color w:val="auto"/>
        </w:rPr>
      </w:pPr>
      <w:r w:rsidRPr="0098723C">
        <w:rPr>
          <w:color w:val="auto"/>
        </w:rPr>
        <w:t>Results</w:t>
      </w:r>
      <w:r w:rsidR="00723B53" w:rsidRPr="0098723C">
        <w:rPr>
          <w:color w:val="auto"/>
        </w:rPr>
        <w:t xml:space="preserve"> </w:t>
      </w:r>
    </w:p>
    <w:p w14:paraId="5B8752B3" w14:textId="77777777" w:rsidR="005C2377" w:rsidRPr="0098723C" w:rsidRDefault="00F42C51" w:rsidP="009C0FAB">
      <w:pPr>
        <w:pStyle w:val="Heading2"/>
        <w:spacing w:after="240" w:line="480" w:lineRule="auto"/>
        <w:rPr>
          <w:color w:val="auto"/>
        </w:rPr>
      </w:pPr>
      <w:r w:rsidRPr="0098723C">
        <w:rPr>
          <w:color w:val="auto"/>
        </w:rPr>
        <w:t>Flow of included papers</w:t>
      </w:r>
    </w:p>
    <w:p w14:paraId="717C7F41" w14:textId="77777777" w:rsidR="005C2377" w:rsidRPr="0098723C" w:rsidRDefault="00F42C51" w:rsidP="006556AA">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 xml:space="preserve">The </w:t>
      </w:r>
      <w:r w:rsidR="00B463AB" w:rsidRPr="0098723C">
        <w:rPr>
          <w:rFonts w:ascii="Verdana" w:hAnsi="Verdana"/>
          <w:color w:val="auto"/>
          <w:sz w:val="24"/>
          <w:szCs w:val="24"/>
        </w:rPr>
        <w:t xml:space="preserve">initial </w:t>
      </w:r>
      <w:r w:rsidRPr="0098723C">
        <w:rPr>
          <w:rFonts w:ascii="Verdana" w:hAnsi="Verdana"/>
          <w:color w:val="auto"/>
          <w:sz w:val="24"/>
          <w:szCs w:val="24"/>
        </w:rPr>
        <w:t xml:space="preserve">search </w:t>
      </w:r>
      <w:r w:rsidR="00B463AB" w:rsidRPr="0098723C">
        <w:rPr>
          <w:rFonts w:ascii="Verdana" w:hAnsi="Verdana"/>
          <w:color w:val="auto"/>
          <w:sz w:val="24"/>
          <w:szCs w:val="24"/>
        </w:rPr>
        <w:t xml:space="preserve">identified </w:t>
      </w:r>
      <w:r w:rsidR="00126A61" w:rsidRPr="0098723C">
        <w:rPr>
          <w:rFonts w:ascii="Verdana" w:hAnsi="Verdana"/>
          <w:color w:val="auto"/>
          <w:sz w:val="24"/>
          <w:szCs w:val="24"/>
        </w:rPr>
        <w:t>1</w:t>
      </w:r>
      <w:r w:rsidR="008306BD" w:rsidRPr="0098723C">
        <w:rPr>
          <w:rFonts w:ascii="Verdana" w:hAnsi="Verdana"/>
          <w:color w:val="auto"/>
          <w:sz w:val="24"/>
          <w:szCs w:val="24"/>
        </w:rPr>
        <w:t>1644</w:t>
      </w:r>
      <w:r w:rsidR="00126A61" w:rsidRPr="0098723C">
        <w:rPr>
          <w:rFonts w:ascii="Verdana" w:hAnsi="Verdana"/>
          <w:color w:val="auto"/>
          <w:sz w:val="24"/>
          <w:szCs w:val="24"/>
        </w:rPr>
        <w:t xml:space="preserve"> </w:t>
      </w:r>
      <w:r w:rsidRPr="0098723C">
        <w:rPr>
          <w:rFonts w:ascii="Verdana" w:hAnsi="Verdana"/>
          <w:color w:val="auto"/>
          <w:sz w:val="24"/>
          <w:szCs w:val="24"/>
        </w:rPr>
        <w:t xml:space="preserve">unique citations. Title </w:t>
      </w:r>
      <w:r w:rsidR="00EE1916" w:rsidRPr="0098723C">
        <w:rPr>
          <w:rFonts w:ascii="Verdana" w:hAnsi="Verdana"/>
          <w:color w:val="auto"/>
          <w:sz w:val="24"/>
          <w:szCs w:val="24"/>
        </w:rPr>
        <w:t xml:space="preserve">and abstract </w:t>
      </w:r>
      <w:r w:rsidRPr="0098723C">
        <w:rPr>
          <w:rFonts w:ascii="Verdana" w:hAnsi="Verdana"/>
          <w:color w:val="auto"/>
          <w:sz w:val="24"/>
          <w:szCs w:val="24"/>
        </w:rPr>
        <w:t xml:space="preserve">screening excluded </w:t>
      </w:r>
      <w:r w:rsidR="00EE1916" w:rsidRPr="0098723C">
        <w:rPr>
          <w:rFonts w:ascii="Verdana" w:hAnsi="Verdana"/>
          <w:color w:val="auto"/>
          <w:sz w:val="24"/>
          <w:szCs w:val="24"/>
        </w:rPr>
        <w:t>10</w:t>
      </w:r>
      <w:r w:rsidR="005C3A2F" w:rsidRPr="0098723C">
        <w:rPr>
          <w:rFonts w:ascii="Verdana" w:hAnsi="Verdana"/>
          <w:color w:val="auto"/>
          <w:sz w:val="24"/>
          <w:szCs w:val="24"/>
        </w:rPr>
        <w:t>446</w:t>
      </w:r>
      <w:r w:rsidRPr="0098723C">
        <w:rPr>
          <w:rFonts w:ascii="Verdana" w:hAnsi="Verdana"/>
          <w:color w:val="auto"/>
          <w:sz w:val="24"/>
          <w:szCs w:val="24"/>
        </w:rPr>
        <w:t xml:space="preserve"> </w:t>
      </w:r>
      <w:r w:rsidR="00B463AB" w:rsidRPr="0098723C">
        <w:rPr>
          <w:rFonts w:ascii="Verdana" w:hAnsi="Verdana"/>
          <w:color w:val="auto"/>
          <w:sz w:val="24"/>
          <w:szCs w:val="24"/>
        </w:rPr>
        <w:t>of these</w:t>
      </w:r>
      <w:r w:rsidRPr="0098723C">
        <w:rPr>
          <w:rFonts w:ascii="Verdana" w:hAnsi="Verdana"/>
          <w:color w:val="auto"/>
          <w:sz w:val="24"/>
          <w:szCs w:val="24"/>
        </w:rPr>
        <w:t>.</w:t>
      </w:r>
      <w:r w:rsidR="00E353B5" w:rsidRPr="0098723C">
        <w:rPr>
          <w:rFonts w:ascii="Verdana" w:hAnsi="Verdana"/>
          <w:color w:val="auto"/>
          <w:sz w:val="24"/>
          <w:szCs w:val="24"/>
        </w:rPr>
        <w:t xml:space="preserve"> </w:t>
      </w:r>
      <w:r w:rsidRPr="0098723C">
        <w:rPr>
          <w:rFonts w:ascii="Verdana" w:hAnsi="Verdana"/>
          <w:color w:val="auto"/>
          <w:sz w:val="24"/>
          <w:szCs w:val="24"/>
        </w:rPr>
        <w:t>Inter</w:t>
      </w:r>
      <w:r w:rsidR="00E353B5" w:rsidRPr="0098723C">
        <w:rPr>
          <w:rFonts w:ascii="Verdana" w:hAnsi="Verdana"/>
          <w:color w:val="auto"/>
          <w:sz w:val="24"/>
          <w:szCs w:val="24"/>
        </w:rPr>
        <w:t>-</w:t>
      </w:r>
      <w:r w:rsidRPr="0098723C">
        <w:rPr>
          <w:rFonts w:ascii="Verdana" w:hAnsi="Verdana"/>
          <w:color w:val="auto"/>
          <w:sz w:val="24"/>
          <w:szCs w:val="24"/>
        </w:rPr>
        <w:t xml:space="preserve">rater agreement </w:t>
      </w:r>
      <w:r w:rsidR="00B463AB" w:rsidRPr="0098723C">
        <w:rPr>
          <w:rFonts w:ascii="Verdana" w:hAnsi="Verdana"/>
          <w:color w:val="auto"/>
          <w:sz w:val="24"/>
          <w:szCs w:val="24"/>
        </w:rPr>
        <w:t>for the title screen</w:t>
      </w:r>
      <w:r w:rsidRPr="0098723C">
        <w:rPr>
          <w:rFonts w:ascii="Verdana" w:hAnsi="Verdana"/>
          <w:color w:val="auto"/>
          <w:sz w:val="24"/>
          <w:szCs w:val="24"/>
        </w:rPr>
        <w:t xml:space="preserve"> was </w:t>
      </w:r>
      <w:r w:rsidR="00CA1B95" w:rsidRPr="0098723C">
        <w:rPr>
          <w:rFonts w:ascii="Verdana" w:hAnsi="Verdana"/>
          <w:color w:val="auto"/>
          <w:sz w:val="24"/>
          <w:szCs w:val="24"/>
        </w:rPr>
        <w:t xml:space="preserve">moderate </w:t>
      </w:r>
      <w:r w:rsidRPr="0098723C">
        <w:rPr>
          <w:rFonts w:ascii="Verdana" w:hAnsi="Verdana"/>
          <w:color w:val="auto"/>
          <w:sz w:val="24"/>
          <w:szCs w:val="24"/>
        </w:rPr>
        <w:t>(κ=0.</w:t>
      </w:r>
      <w:r w:rsidR="00CA1B95" w:rsidRPr="0098723C">
        <w:rPr>
          <w:rFonts w:ascii="Verdana" w:hAnsi="Verdana"/>
          <w:color w:val="auto"/>
          <w:sz w:val="24"/>
          <w:szCs w:val="24"/>
        </w:rPr>
        <w:t>49</w:t>
      </w:r>
      <w:r w:rsidRPr="0098723C">
        <w:rPr>
          <w:rFonts w:ascii="Verdana" w:hAnsi="Verdana"/>
          <w:color w:val="auto"/>
          <w:sz w:val="24"/>
          <w:szCs w:val="24"/>
        </w:rPr>
        <w:t xml:space="preserve">) and </w:t>
      </w:r>
      <w:r w:rsidR="00477A20" w:rsidRPr="0098723C">
        <w:rPr>
          <w:rFonts w:ascii="Verdana" w:hAnsi="Verdana"/>
          <w:color w:val="auto"/>
          <w:sz w:val="24"/>
          <w:szCs w:val="24"/>
        </w:rPr>
        <w:t xml:space="preserve">for the </w:t>
      </w:r>
      <w:r w:rsidR="00B463AB" w:rsidRPr="0098723C">
        <w:rPr>
          <w:rFonts w:ascii="Verdana" w:hAnsi="Verdana"/>
          <w:color w:val="auto"/>
          <w:sz w:val="24"/>
          <w:szCs w:val="24"/>
        </w:rPr>
        <w:t xml:space="preserve">abstract screen </w:t>
      </w:r>
      <w:r w:rsidR="00CA1B95" w:rsidRPr="0098723C">
        <w:rPr>
          <w:rFonts w:ascii="Verdana" w:hAnsi="Verdana"/>
          <w:color w:val="auto"/>
          <w:sz w:val="24"/>
          <w:szCs w:val="24"/>
        </w:rPr>
        <w:t xml:space="preserve">substantial </w:t>
      </w:r>
      <w:r w:rsidRPr="0098723C">
        <w:rPr>
          <w:rFonts w:ascii="Verdana" w:hAnsi="Verdana"/>
          <w:color w:val="auto"/>
          <w:sz w:val="24"/>
          <w:szCs w:val="24"/>
        </w:rPr>
        <w:t>(κ=0.</w:t>
      </w:r>
      <w:r w:rsidR="00CA1B95" w:rsidRPr="0098723C">
        <w:rPr>
          <w:rFonts w:ascii="Verdana" w:hAnsi="Verdana"/>
          <w:color w:val="auto"/>
          <w:sz w:val="24"/>
          <w:szCs w:val="24"/>
        </w:rPr>
        <w:t>74</w:t>
      </w:r>
      <w:r w:rsidRPr="0098723C">
        <w:rPr>
          <w:rFonts w:ascii="Verdana" w:hAnsi="Verdana"/>
          <w:color w:val="auto"/>
          <w:sz w:val="24"/>
          <w:szCs w:val="24"/>
        </w:rPr>
        <w:t>)</w:t>
      </w:r>
      <w:r w:rsidR="006556AA" w:rsidRPr="0098723C">
        <w:rPr>
          <w:rFonts w:ascii="Verdana" w:hAnsi="Verdana"/>
          <w:noProof/>
          <w:color w:val="auto"/>
          <w:sz w:val="24"/>
          <w:szCs w:val="24"/>
          <w:vertAlign w:val="superscript"/>
        </w:rPr>
        <w:t>23</w:t>
      </w:r>
      <w:r w:rsidRPr="0098723C">
        <w:rPr>
          <w:rFonts w:ascii="Verdana" w:hAnsi="Verdana"/>
          <w:color w:val="auto"/>
          <w:sz w:val="24"/>
          <w:szCs w:val="24"/>
        </w:rPr>
        <w:t xml:space="preserve">. All disagreements were resolved by consensus with no referrals </w:t>
      </w:r>
      <w:r w:rsidR="002A5A70" w:rsidRPr="0098723C">
        <w:rPr>
          <w:rFonts w:ascii="Verdana" w:hAnsi="Verdana"/>
          <w:color w:val="auto"/>
          <w:sz w:val="24"/>
          <w:szCs w:val="24"/>
        </w:rPr>
        <w:t xml:space="preserve">needed </w:t>
      </w:r>
      <w:r w:rsidRPr="0098723C">
        <w:rPr>
          <w:rFonts w:ascii="Verdana" w:hAnsi="Verdana"/>
          <w:color w:val="auto"/>
          <w:sz w:val="24"/>
          <w:szCs w:val="24"/>
        </w:rPr>
        <w:t>for decision by a third reviewer.</w:t>
      </w:r>
    </w:p>
    <w:p w14:paraId="502AE5D6" w14:textId="77777777" w:rsidR="005C2377" w:rsidRPr="0098723C" w:rsidRDefault="00EE1916"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The screening of the full text of </w:t>
      </w:r>
      <w:r w:rsidR="00F42C51" w:rsidRPr="0098723C">
        <w:rPr>
          <w:rFonts w:ascii="Verdana" w:hAnsi="Verdana"/>
          <w:color w:val="auto"/>
          <w:sz w:val="24"/>
          <w:szCs w:val="24"/>
        </w:rPr>
        <w:t>the re</w:t>
      </w:r>
      <w:r w:rsidRPr="0098723C">
        <w:rPr>
          <w:rFonts w:ascii="Verdana" w:hAnsi="Verdana"/>
          <w:color w:val="auto"/>
          <w:sz w:val="24"/>
          <w:szCs w:val="24"/>
        </w:rPr>
        <w:t xml:space="preserve">maining </w:t>
      </w:r>
      <w:r w:rsidR="00F42C51" w:rsidRPr="0098723C">
        <w:rPr>
          <w:rFonts w:ascii="Verdana" w:hAnsi="Verdana"/>
          <w:color w:val="auto"/>
          <w:sz w:val="24"/>
          <w:szCs w:val="24"/>
        </w:rPr>
        <w:t>3</w:t>
      </w:r>
      <w:r w:rsidR="00B463AB" w:rsidRPr="0098723C">
        <w:rPr>
          <w:rFonts w:ascii="Verdana" w:hAnsi="Verdana"/>
          <w:color w:val="auto"/>
          <w:sz w:val="24"/>
          <w:szCs w:val="24"/>
        </w:rPr>
        <w:t>8</w:t>
      </w:r>
      <w:r w:rsidR="00467EF4" w:rsidRPr="0098723C">
        <w:rPr>
          <w:rFonts w:ascii="Verdana" w:hAnsi="Verdana"/>
          <w:color w:val="auto"/>
          <w:sz w:val="24"/>
          <w:szCs w:val="24"/>
        </w:rPr>
        <w:t>6</w:t>
      </w:r>
      <w:r w:rsidR="00F42C51" w:rsidRPr="0098723C">
        <w:rPr>
          <w:rFonts w:ascii="Verdana" w:hAnsi="Verdana"/>
          <w:color w:val="auto"/>
          <w:sz w:val="24"/>
          <w:szCs w:val="24"/>
        </w:rPr>
        <w:t xml:space="preserve"> papers </w:t>
      </w:r>
      <w:r w:rsidRPr="0098723C">
        <w:rPr>
          <w:rFonts w:ascii="Verdana" w:hAnsi="Verdana"/>
          <w:color w:val="auto"/>
          <w:sz w:val="24"/>
          <w:szCs w:val="24"/>
        </w:rPr>
        <w:t>resulted in</w:t>
      </w:r>
      <w:r w:rsidR="00F42C51" w:rsidRPr="0098723C">
        <w:rPr>
          <w:rFonts w:ascii="Verdana" w:hAnsi="Verdana"/>
          <w:color w:val="auto"/>
          <w:sz w:val="24"/>
          <w:szCs w:val="24"/>
        </w:rPr>
        <w:t xml:space="preserve"> </w:t>
      </w:r>
      <w:r w:rsidR="00351C6E" w:rsidRPr="0098723C">
        <w:rPr>
          <w:rFonts w:ascii="Verdana" w:hAnsi="Verdana"/>
          <w:color w:val="auto"/>
          <w:sz w:val="24"/>
          <w:szCs w:val="24"/>
        </w:rPr>
        <w:t>3</w:t>
      </w:r>
      <w:r w:rsidR="00467EF4" w:rsidRPr="0098723C">
        <w:rPr>
          <w:rFonts w:ascii="Verdana" w:hAnsi="Verdana"/>
          <w:color w:val="auto"/>
          <w:sz w:val="24"/>
          <w:szCs w:val="24"/>
        </w:rPr>
        <w:t>55</w:t>
      </w:r>
      <w:r w:rsidR="00351C6E" w:rsidRPr="0098723C">
        <w:rPr>
          <w:rFonts w:ascii="Verdana" w:hAnsi="Verdana"/>
          <w:color w:val="auto"/>
          <w:sz w:val="24"/>
          <w:szCs w:val="24"/>
        </w:rPr>
        <w:t xml:space="preserve"> </w:t>
      </w:r>
      <w:r w:rsidR="00F42C51" w:rsidRPr="0098723C">
        <w:rPr>
          <w:rFonts w:ascii="Verdana" w:hAnsi="Verdana"/>
          <w:color w:val="auto"/>
          <w:sz w:val="24"/>
          <w:szCs w:val="24"/>
        </w:rPr>
        <w:t>study reports</w:t>
      </w:r>
      <w:r w:rsidRPr="0098723C">
        <w:rPr>
          <w:rFonts w:ascii="Verdana" w:hAnsi="Verdana"/>
          <w:color w:val="auto"/>
          <w:sz w:val="24"/>
          <w:szCs w:val="24"/>
        </w:rPr>
        <w:t xml:space="preserve"> being</w:t>
      </w:r>
      <w:r w:rsidR="00F42C51" w:rsidRPr="0098723C">
        <w:rPr>
          <w:rFonts w:ascii="Verdana" w:hAnsi="Verdana"/>
          <w:color w:val="auto"/>
          <w:sz w:val="24"/>
          <w:szCs w:val="24"/>
        </w:rPr>
        <w:t xml:space="preserve"> rejected for the following reasons:</w:t>
      </w:r>
      <w:r w:rsidR="00BB5F29" w:rsidRPr="0098723C">
        <w:rPr>
          <w:rFonts w:ascii="Verdana" w:hAnsi="Verdana"/>
          <w:color w:val="auto"/>
          <w:sz w:val="24"/>
          <w:szCs w:val="24"/>
        </w:rPr>
        <w:t xml:space="preserve"> w</w:t>
      </w:r>
      <w:r w:rsidR="00F42C51" w:rsidRPr="0098723C">
        <w:rPr>
          <w:rFonts w:ascii="Verdana" w:hAnsi="Verdana"/>
          <w:color w:val="auto"/>
          <w:sz w:val="24"/>
          <w:szCs w:val="24"/>
        </w:rPr>
        <w:t>ere not cohort studies or trials with non-intervened arms (n=</w:t>
      </w:r>
      <w:r w:rsidR="006344F2" w:rsidRPr="0098723C">
        <w:rPr>
          <w:rFonts w:ascii="Verdana" w:hAnsi="Verdana"/>
          <w:color w:val="auto"/>
          <w:sz w:val="24"/>
          <w:szCs w:val="24"/>
        </w:rPr>
        <w:t>4</w:t>
      </w:r>
      <w:r w:rsidR="00467EF4" w:rsidRPr="0098723C">
        <w:rPr>
          <w:rFonts w:ascii="Verdana" w:hAnsi="Verdana"/>
          <w:color w:val="auto"/>
          <w:sz w:val="24"/>
          <w:szCs w:val="24"/>
        </w:rPr>
        <w:t>2</w:t>
      </w:r>
      <w:r w:rsidR="00F42C51" w:rsidRPr="0098723C">
        <w:rPr>
          <w:rFonts w:ascii="Verdana" w:hAnsi="Verdana"/>
          <w:color w:val="auto"/>
          <w:sz w:val="24"/>
          <w:szCs w:val="24"/>
        </w:rPr>
        <w:t>)</w:t>
      </w:r>
      <w:r w:rsidR="00BB5F29" w:rsidRPr="0098723C">
        <w:rPr>
          <w:rFonts w:ascii="Verdana" w:hAnsi="Verdana"/>
          <w:color w:val="auto"/>
          <w:sz w:val="24"/>
          <w:szCs w:val="24"/>
        </w:rPr>
        <w:t>; w</w:t>
      </w:r>
      <w:r w:rsidR="00F42C51" w:rsidRPr="0098723C">
        <w:rPr>
          <w:rFonts w:ascii="Verdana" w:hAnsi="Verdana"/>
          <w:color w:val="auto"/>
          <w:sz w:val="24"/>
          <w:szCs w:val="24"/>
        </w:rPr>
        <w:t xml:space="preserve">ere not studies of </w:t>
      </w:r>
      <w:r w:rsidR="00E37DDE" w:rsidRPr="0098723C">
        <w:rPr>
          <w:rFonts w:ascii="Verdana" w:hAnsi="Verdana"/>
          <w:color w:val="auto"/>
          <w:sz w:val="24"/>
          <w:szCs w:val="24"/>
        </w:rPr>
        <w:t xml:space="preserve">patients </w:t>
      </w:r>
      <w:r w:rsidR="001260E4" w:rsidRPr="0098723C">
        <w:rPr>
          <w:rFonts w:ascii="Verdana" w:hAnsi="Verdana"/>
          <w:color w:val="auto"/>
          <w:sz w:val="24"/>
          <w:szCs w:val="24"/>
        </w:rPr>
        <w:t xml:space="preserve">who received treatment for AUD </w:t>
      </w:r>
      <w:r w:rsidR="00F42C51" w:rsidRPr="0098723C">
        <w:rPr>
          <w:rFonts w:ascii="Verdana" w:hAnsi="Verdana"/>
          <w:color w:val="auto"/>
          <w:sz w:val="24"/>
          <w:szCs w:val="24"/>
        </w:rPr>
        <w:t>(n=</w:t>
      </w:r>
      <w:r w:rsidR="006344F2" w:rsidRPr="0098723C">
        <w:rPr>
          <w:rFonts w:ascii="Verdana" w:hAnsi="Verdana"/>
          <w:color w:val="auto"/>
          <w:sz w:val="24"/>
          <w:szCs w:val="24"/>
        </w:rPr>
        <w:t>13</w:t>
      </w:r>
      <w:r w:rsidR="00467EF4" w:rsidRPr="0098723C">
        <w:rPr>
          <w:rFonts w:ascii="Verdana" w:hAnsi="Verdana"/>
          <w:color w:val="auto"/>
          <w:sz w:val="24"/>
          <w:szCs w:val="24"/>
        </w:rPr>
        <w:t>5</w:t>
      </w:r>
      <w:r w:rsidR="00F42C51" w:rsidRPr="0098723C">
        <w:rPr>
          <w:rFonts w:ascii="Verdana" w:hAnsi="Verdana"/>
          <w:color w:val="auto"/>
          <w:sz w:val="24"/>
          <w:szCs w:val="24"/>
        </w:rPr>
        <w:t>)</w:t>
      </w:r>
      <w:r w:rsidR="00BB5F29" w:rsidRPr="0098723C">
        <w:rPr>
          <w:rFonts w:ascii="Verdana" w:hAnsi="Verdana"/>
          <w:color w:val="auto"/>
          <w:sz w:val="24"/>
          <w:szCs w:val="24"/>
        </w:rPr>
        <w:t xml:space="preserve">; </w:t>
      </w:r>
      <w:r w:rsidR="00F114D1" w:rsidRPr="0098723C">
        <w:rPr>
          <w:rFonts w:ascii="Verdana" w:hAnsi="Verdana"/>
          <w:color w:val="auto"/>
          <w:sz w:val="24"/>
          <w:szCs w:val="24"/>
        </w:rPr>
        <w:t xml:space="preserve">did not </w:t>
      </w:r>
      <w:r w:rsidR="00153664" w:rsidRPr="0098723C">
        <w:rPr>
          <w:rFonts w:ascii="Verdana" w:hAnsi="Verdana"/>
          <w:color w:val="auto"/>
          <w:sz w:val="24"/>
          <w:szCs w:val="24"/>
        </w:rPr>
        <w:t xml:space="preserve">report </w:t>
      </w:r>
      <w:r w:rsidR="00F114D1" w:rsidRPr="0098723C">
        <w:rPr>
          <w:rFonts w:ascii="Verdana" w:hAnsi="Verdana"/>
          <w:color w:val="auto"/>
          <w:sz w:val="24"/>
          <w:szCs w:val="24"/>
        </w:rPr>
        <w:t>c</w:t>
      </w:r>
      <w:r w:rsidR="00F42C51" w:rsidRPr="0098723C">
        <w:rPr>
          <w:rFonts w:ascii="Verdana" w:hAnsi="Verdana"/>
          <w:color w:val="auto"/>
          <w:sz w:val="24"/>
          <w:szCs w:val="24"/>
        </w:rPr>
        <w:t>ause</w:t>
      </w:r>
      <w:r w:rsidR="00F114D1" w:rsidRPr="0098723C">
        <w:rPr>
          <w:rFonts w:ascii="Verdana" w:hAnsi="Verdana"/>
          <w:color w:val="auto"/>
          <w:sz w:val="24"/>
          <w:szCs w:val="24"/>
        </w:rPr>
        <w:t>-specific</w:t>
      </w:r>
      <w:r w:rsidR="00F42C51" w:rsidRPr="0098723C">
        <w:rPr>
          <w:rFonts w:ascii="Verdana" w:hAnsi="Verdana"/>
          <w:color w:val="auto"/>
          <w:sz w:val="24"/>
          <w:szCs w:val="24"/>
        </w:rPr>
        <w:t xml:space="preserve"> mortality </w:t>
      </w:r>
      <w:r w:rsidR="00757E26" w:rsidRPr="0098723C">
        <w:rPr>
          <w:rFonts w:ascii="Verdana" w:hAnsi="Verdana"/>
          <w:color w:val="auto"/>
          <w:sz w:val="24"/>
          <w:szCs w:val="24"/>
        </w:rPr>
        <w:t>(n=13</w:t>
      </w:r>
      <w:r w:rsidR="00467EF4" w:rsidRPr="0098723C">
        <w:rPr>
          <w:rFonts w:ascii="Verdana" w:hAnsi="Verdana"/>
          <w:color w:val="auto"/>
          <w:sz w:val="24"/>
          <w:szCs w:val="24"/>
        </w:rPr>
        <w:t>7</w:t>
      </w:r>
      <w:r w:rsidR="00757E26" w:rsidRPr="0098723C">
        <w:rPr>
          <w:rFonts w:ascii="Verdana" w:hAnsi="Verdana"/>
          <w:color w:val="auto"/>
          <w:sz w:val="24"/>
          <w:szCs w:val="24"/>
        </w:rPr>
        <w:t>)</w:t>
      </w:r>
      <w:r w:rsidR="00477A20" w:rsidRPr="0098723C">
        <w:rPr>
          <w:rFonts w:ascii="Verdana" w:hAnsi="Verdana"/>
          <w:color w:val="auto"/>
          <w:sz w:val="24"/>
          <w:szCs w:val="24"/>
        </w:rPr>
        <w:t>;</w:t>
      </w:r>
      <w:r w:rsidR="00757E26" w:rsidRPr="0098723C">
        <w:rPr>
          <w:rFonts w:ascii="Verdana" w:hAnsi="Verdana"/>
          <w:color w:val="auto"/>
          <w:sz w:val="24"/>
          <w:szCs w:val="24"/>
        </w:rPr>
        <w:t xml:space="preserve"> data </w:t>
      </w:r>
      <w:r w:rsidR="00B463AB" w:rsidRPr="0098723C">
        <w:rPr>
          <w:rFonts w:ascii="Verdana" w:hAnsi="Verdana"/>
          <w:color w:val="auto"/>
          <w:sz w:val="24"/>
          <w:szCs w:val="24"/>
        </w:rPr>
        <w:t xml:space="preserve">were presented in a form which could not allow calculation of mortality rates in person years </w:t>
      </w:r>
      <w:r w:rsidR="00F42C51" w:rsidRPr="0098723C">
        <w:rPr>
          <w:rFonts w:ascii="Verdana" w:hAnsi="Verdana"/>
          <w:color w:val="auto"/>
          <w:sz w:val="24"/>
          <w:szCs w:val="24"/>
        </w:rPr>
        <w:t>(n=</w:t>
      </w:r>
      <w:r w:rsidR="00757E26" w:rsidRPr="0098723C">
        <w:rPr>
          <w:rFonts w:ascii="Verdana" w:hAnsi="Verdana"/>
          <w:color w:val="auto"/>
          <w:sz w:val="24"/>
          <w:szCs w:val="24"/>
        </w:rPr>
        <w:t>2</w:t>
      </w:r>
      <w:r w:rsidR="00467EF4" w:rsidRPr="0098723C">
        <w:rPr>
          <w:rFonts w:ascii="Verdana" w:hAnsi="Verdana"/>
          <w:color w:val="auto"/>
          <w:sz w:val="24"/>
          <w:szCs w:val="24"/>
        </w:rPr>
        <w:t>7</w:t>
      </w:r>
      <w:r w:rsidR="00F42C51" w:rsidRPr="0098723C">
        <w:rPr>
          <w:rFonts w:ascii="Verdana" w:hAnsi="Verdana"/>
          <w:color w:val="auto"/>
          <w:sz w:val="24"/>
          <w:szCs w:val="24"/>
        </w:rPr>
        <w:t>)</w:t>
      </w:r>
      <w:r w:rsidR="00BB5F29" w:rsidRPr="0098723C">
        <w:rPr>
          <w:rFonts w:ascii="Verdana" w:hAnsi="Verdana"/>
          <w:color w:val="auto"/>
          <w:sz w:val="24"/>
          <w:szCs w:val="24"/>
        </w:rPr>
        <w:t xml:space="preserve">; </w:t>
      </w:r>
      <w:r w:rsidR="00B463AB" w:rsidRPr="0098723C">
        <w:rPr>
          <w:rFonts w:ascii="Verdana" w:hAnsi="Verdana"/>
          <w:color w:val="auto"/>
          <w:sz w:val="24"/>
          <w:szCs w:val="24"/>
        </w:rPr>
        <w:t xml:space="preserve">or contained data from a study included previously in this review </w:t>
      </w:r>
      <w:r w:rsidR="00F42C51" w:rsidRPr="0098723C">
        <w:rPr>
          <w:rFonts w:ascii="Verdana" w:hAnsi="Verdana"/>
          <w:color w:val="auto"/>
          <w:sz w:val="24"/>
          <w:szCs w:val="24"/>
        </w:rPr>
        <w:t>(n=1</w:t>
      </w:r>
      <w:r w:rsidR="00467EF4" w:rsidRPr="0098723C">
        <w:rPr>
          <w:rFonts w:ascii="Verdana" w:hAnsi="Verdana"/>
          <w:color w:val="auto"/>
          <w:sz w:val="24"/>
          <w:szCs w:val="24"/>
        </w:rPr>
        <w:t>4</w:t>
      </w:r>
      <w:r w:rsidR="00F42C51" w:rsidRPr="0098723C">
        <w:rPr>
          <w:rFonts w:ascii="Verdana" w:hAnsi="Verdana"/>
          <w:color w:val="auto"/>
          <w:sz w:val="24"/>
          <w:szCs w:val="24"/>
        </w:rPr>
        <w:t>)</w:t>
      </w:r>
      <w:r w:rsidR="006344F2" w:rsidRPr="0098723C">
        <w:rPr>
          <w:rFonts w:ascii="Verdana" w:hAnsi="Verdana"/>
          <w:color w:val="auto"/>
          <w:sz w:val="24"/>
          <w:szCs w:val="24"/>
        </w:rPr>
        <w:t>.</w:t>
      </w:r>
    </w:p>
    <w:p w14:paraId="18C01B16" w14:textId="77777777" w:rsidR="005C2377" w:rsidRPr="0098723C" w:rsidRDefault="00F42C51" w:rsidP="009C0FAB">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No additional relevant published studies were identified</w:t>
      </w:r>
      <w:r w:rsidR="000A4894" w:rsidRPr="0098723C">
        <w:rPr>
          <w:rFonts w:ascii="Verdana" w:hAnsi="Verdana"/>
          <w:color w:val="auto"/>
          <w:sz w:val="24"/>
          <w:szCs w:val="24"/>
        </w:rPr>
        <w:t xml:space="preserve"> from the references of included papers or the searches of conference titles or abstracts</w:t>
      </w:r>
      <w:r w:rsidR="00390AC9" w:rsidRPr="0098723C">
        <w:rPr>
          <w:rFonts w:ascii="Verdana" w:hAnsi="Verdana"/>
          <w:color w:val="auto"/>
          <w:sz w:val="24"/>
          <w:szCs w:val="24"/>
        </w:rPr>
        <w:t>.</w:t>
      </w:r>
    </w:p>
    <w:p w14:paraId="1CDBD464" w14:textId="77777777" w:rsidR="00110510" w:rsidRPr="0098723C" w:rsidRDefault="00467EF4"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31</w:t>
      </w:r>
      <w:r w:rsidR="00757E26" w:rsidRPr="0098723C">
        <w:rPr>
          <w:rFonts w:ascii="Verdana" w:hAnsi="Verdana"/>
          <w:color w:val="auto"/>
          <w:sz w:val="24"/>
          <w:szCs w:val="24"/>
        </w:rPr>
        <w:t xml:space="preserve"> </w:t>
      </w:r>
      <w:r w:rsidR="00110510" w:rsidRPr="0098723C">
        <w:rPr>
          <w:rFonts w:ascii="Verdana" w:hAnsi="Verdana"/>
          <w:color w:val="auto"/>
          <w:sz w:val="24"/>
          <w:szCs w:val="24"/>
        </w:rPr>
        <w:t>studies were thus identified for inclusion in this review.</w:t>
      </w:r>
    </w:p>
    <w:p w14:paraId="386FB90D" w14:textId="77777777" w:rsidR="005C2377" w:rsidRPr="0098723C" w:rsidRDefault="00F42C51" w:rsidP="009C0FAB">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 xml:space="preserve">A flow diagram </w:t>
      </w:r>
      <w:r w:rsidR="00477A20" w:rsidRPr="0098723C">
        <w:rPr>
          <w:rFonts w:ascii="Verdana" w:hAnsi="Verdana"/>
          <w:color w:val="auto"/>
          <w:sz w:val="24"/>
          <w:szCs w:val="24"/>
        </w:rPr>
        <w:t xml:space="preserve">for </w:t>
      </w:r>
      <w:r w:rsidRPr="0098723C">
        <w:rPr>
          <w:rFonts w:ascii="Verdana" w:hAnsi="Verdana"/>
          <w:color w:val="auto"/>
          <w:sz w:val="24"/>
          <w:szCs w:val="24"/>
        </w:rPr>
        <w:t>the selection of studies</w:t>
      </w:r>
      <w:r w:rsidR="00970BEB" w:rsidRPr="0098723C">
        <w:rPr>
          <w:rFonts w:ascii="Verdana" w:hAnsi="Verdana"/>
          <w:color w:val="auto"/>
          <w:sz w:val="24"/>
          <w:szCs w:val="24"/>
        </w:rPr>
        <w:t>,</w:t>
      </w:r>
      <w:r w:rsidRPr="0098723C">
        <w:rPr>
          <w:rFonts w:ascii="Verdana" w:hAnsi="Verdana"/>
          <w:color w:val="auto"/>
          <w:sz w:val="24"/>
          <w:szCs w:val="24"/>
        </w:rPr>
        <w:t xml:space="preserve"> </w:t>
      </w:r>
      <w:r w:rsidR="00BB5F29" w:rsidRPr="0098723C">
        <w:rPr>
          <w:rFonts w:ascii="Verdana" w:hAnsi="Verdana"/>
          <w:color w:val="auto"/>
          <w:sz w:val="24"/>
          <w:szCs w:val="24"/>
        </w:rPr>
        <w:t>and the bibliography o</w:t>
      </w:r>
      <w:r w:rsidR="00351C6E" w:rsidRPr="0098723C">
        <w:rPr>
          <w:rFonts w:ascii="Verdana" w:hAnsi="Verdana"/>
          <w:color w:val="auto"/>
          <w:sz w:val="24"/>
          <w:szCs w:val="24"/>
        </w:rPr>
        <w:t>f</w:t>
      </w:r>
      <w:r w:rsidR="00BB5F29" w:rsidRPr="0098723C">
        <w:rPr>
          <w:rFonts w:ascii="Verdana" w:hAnsi="Verdana"/>
          <w:color w:val="auto"/>
          <w:sz w:val="24"/>
          <w:szCs w:val="24"/>
        </w:rPr>
        <w:t xml:space="preserve"> studies </w:t>
      </w:r>
      <w:r w:rsidR="00FA25EF" w:rsidRPr="0098723C">
        <w:rPr>
          <w:rFonts w:ascii="Verdana" w:hAnsi="Verdana"/>
          <w:color w:val="auto"/>
          <w:sz w:val="24"/>
          <w:szCs w:val="24"/>
        </w:rPr>
        <w:t xml:space="preserve">excluded after </w:t>
      </w:r>
      <w:r w:rsidR="00970BEB" w:rsidRPr="0098723C">
        <w:rPr>
          <w:rFonts w:ascii="Verdana" w:hAnsi="Verdana"/>
          <w:color w:val="auto"/>
          <w:sz w:val="24"/>
          <w:szCs w:val="24"/>
        </w:rPr>
        <w:t xml:space="preserve">full text evaluation, </w:t>
      </w:r>
      <w:r w:rsidR="00BB5F29" w:rsidRPr="0098723C">
        <w:rPr>
          <w:rFonts w:ascii="Verdana" w:hAnsi="Verdana"/>
          <w:color w:val="auto"/>
          <w:sz w:val="24"/>
          <w:szCs w:val="24"/>
        </w:rPr>
        <w:t xml:space="preserve">are </w:t>
      </w:r>
      <w:r w:rsidRPr="0098723C">
        <w:rPr>
          <w:rFonts w:ascii="Verdana" w:hAnsi="Verdana"/>
          <w:color w:val="auto"/>
          <w:sz w:val="24"/>
          <w:szCs w:val="24"/>
        </w:rPr>
        <w:t xml:space="preserve">presented in </w:t>
      </w:r>
      <w:r w:rsidR="00C776A8" w:rsidRPr="0098723C">
        <w:rPr>
          <w:rFonts w:ascii="Verdana" w:hAnsi="Verdana"/>
          <w:color w:val="auto"/>
          <w:sz w:val="24"/>
          <w:szCs w:val="24"/>
        </w:rPr>
        <w:t>Supplemental Information</w:t>
      </w:r>
      <w:r w:rsidR="00E24999" w:rsidRPr="0098723C">
        <w:rPr>
          <w:rFonts w:ascii="Verdana" w:hAnsi="Verdana"/>
          <w:color w:val="auto"/>
          <w:sz w:val="24"/>
          <w:szCs w:val="24"/>
        </w:rPr>
        <w:t xml:space="preserve"> </w:t>
      </w:r>
      <w:r w:rsidR="00A65D40" w:rsidRPr="0098723C">
        <w:rPr>
          <w:rFonts w:ascii="Verdana" w:hAnsi="Verdana"/>
          <w:color w:val="auto"/>
          <w:sz w:val="24"/>
          <w:szCs w:val="24"/>
        </w:rPr>
        <w:t>F</w:t>
      </w:r>
      <w:r w:rsidRPr="0098723C">
        <w:rPr>
          <w:rFonts w:ascii="Verdana" w:hAnsi="Verdana"/>
          <w:color w:val="auto"/>
          <w:sz w:val="24"/>
          <w:szCs w:val="24"/>
        </w:rPr>
        <w:t xml:space="preserve">igure </w:t>
      </w:r>
      <w:r w:rsidR="00E24999" w:rsidRPr="0098723C">
        <w:rPr>
          <w:rFonts w:ascii="Verdana" w:hAnsi="Verdana"/>
          <w:color w:val="auto"/>
          <w:sz w:val="24"/>
          <w:szCs w:val="24"/>
        </w:rPr>
        <w:t>S</w:t>
      </w:r>
      <w:r w:rsidR="00FA439E" w:rsidRPr="0098723C">
        <w:rPr>
          <w:rFonts w:ascii="Verdana" w:hAnsi="Verdana"/>
          <w:color w:val="auto"/>
          <w:sz w:val="24"/>
          <w:szCs w:val="24"/>
        </w:rPr>
        <w:t>4</w:t>
      </w:r>
      <w:r w:rsidRPr="0098723C">
        <w:rPr>
          <w:rFonts w:ascii="Verdana" w:hAnsi="Verdana"/>
          <w:color w:val="auto"/>
          <w:sz w:val="24"/>
          <w:szCs w:val="24"/>
        </w:rPr>
        <w:t xml:space="preserve"> </w:t>
      </w:r>
      <w:r w:rsidR="00BB5F29" w:rsidRPr="0098723C">
        <w:rPr>
          <w:rFonts w:ascii="Verdana" w:hAnsi="Verdana"/>
          <w:color w:val="auto"/>
          <w:sz w:val="24"/>
          <w:szCs w:val="24"/>
        </w:rPr>
        <w:t xml:space="preserve">and </w:t>
      </w:r>
      <w:r w:rsidR="00A65D40" w:rsidRPr="0098723C">
        <w:rPr>
          <w:rFonts w:ascii="Verdana" w:hAnsi="Verdana"/>
          <w:color w:val="auto"/>
          <w:sz w:val="24"/>
          <w:szCs w:val="24"/>
        </w:rPr>
        <w:t>B</w:t>
      </w:r>
      <w:r w:rsidR="00D43421" w:rsidRPr="0098723C">
        <w:rPr>
          <w:rFonts w:ascii="Verdana" w:hAnsi="Verdana"/>
          <w:color w:val="auto"/>
          <w:sz w:val="24"/>
          <w:szCs w:val="24"/>
        </w:rPr>
        <w:t xml:space="preserve">ibliography </w:t>
      </w:r>
      <w:r w:rsidR="00351C6E" w:rsidRPr="0098723C">
        <w:rPr>
          <w:rFonts w:ascii="Verdana" w:hAnsi="Verdana"/>
          <w:color w:val="auto"/>
          <w:sz w:val="24"/>
          <w:szCs w:val="24"/>
        </w:rPr>
        <w:t>S</w:t>
      </w:r>
      <w:r w:rsidR="00FA439E" w:rsidRPr="0098723C">
        <w:rPr>
          <w:rFonts w:ascii="Verdana" w:hAnsi="Verdana"/>
          <w:color w:val="auto"/>
          <w:sz w:val="24"/>
          <w:szCs w:val="24"/>
        </w:rPr>
        <w:t>5</w:t>
      </w:r>
      <w:r w:rsidR="00EE561D" w:rsidRPr="0098723C">
        <w:rPr>
          <w:rFonts w:ascii="Verdana" w:hAnsi="Verdana"/>
          <w:color w:val="auto"/>
          <w:sz w:val="24"/>
          <w:szCs w:val="24"/>
        </w:rPr>
        <w:t xml:space="preserve"> respectively</w:t>
      </w:r>
      <w:r w:rsidRPr="0098723C">
        <w:rPr>
          <w:rFonts w:ascii="Verdana" w:hAnsi="Verdana"/>
          <w:color w:val="auto"/>
          <w:sz w:val="24"/>
          <w:szCs w:val="24"/>
        </w:rPr>
        <w:t>.</w:t>
      </w:r>
    </w:p>
    <w:p w14:paraId="311AEE75" w14:textId="77777777" w:rsidR="005C2377" w:rsidRPr="0098723C" w:rsidRDefault="00F42C51" w:rsidP="009C0FAB">
      <w:pPr>
        <w:pStyle w:val="Heading2"/>
        <w:spacing w:after="240" w:line="480" w:lineRule="auto"/>
        <w:rPr>
          <w:color w:val="auto"/>
        </w:rPr>
      </w:pPr>
      <w:r w:rsidRPr="0098723C">
        <w:rPr>
          <w:color w:val="auto"/>
        </w:rPr>
        <w:t xml:space="preserve">Characteristics of </w:t>
      </w:r>
      <w:r w:rsidR="00C604D7" w:rsidRPr="0098723C">
        <w:rPr>
          <w:color w:val="auto"/>
        </w:rPr>
        <w:t xml:space="preserve">included </w:t>
      </w:r>
      <w:r w:rsidRPr="0098723C">
        <w:rPr>
          <w:color w:val="auto"/>
        </w:rPr>
        <w:t>studies</w:t>
      </w:r>
    </w:p>
    <w:p w14:paraId="713AC3F6" w14:textId="77777777" w:rsidR="005C2377" w:rsidRPr="0098723C" w:rsidRDefault="00F42C51" w:rsidP="008B5EC5">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 xml:space="preserve">The </w:t>
      </w:r>
      <w:r w:rsidR="00467EF4" w:rsidRPr="0098723C">
        <w:rPr>
          <w:rFonts w:ascii="Verdana" w:hAnsi="Verdana"/>
          <w:color w:val="auto"/>
          <w:sz w:val="24"/>
          <w:szCs w:val="24"/>
        </w:rPr>
        <w:t>31</w:t>
      </w:r>
      <w:r w:rsidR="0031727C" w:rsidRPr="0098723C">
        <w:rPr>
          <w:rFonts w:ascii="Verdana" w:hAnsi="Verdana"/>
          <w:color w:val="auto"/>
          <w:sz w:val="24"/>
          <w:szCs w:val="24"/>
        </w:rPr>
        <w:t xml:space="preserve"> </w:t>
      </w:r>
      <w:r w:rsidR="0049313F" w:rsidRPr="0098723C">
        <w:rPr>
          <w:rFonts w:ascii="Verdana" w:hAnsi="Verdana"/>
          <w:color w:val="auto"/>
          <w:sz w:val="24"/>
          <w:szCs w:val="24"/>
        </w:rPr>
        <w:t xml:space="preserve">cohort studies </w:t>
      </w:r>
      <w:r w:rsidRPr="0098723C">
        <w:rPr>
          <w:rFonts w:ascii="Verdana" w:hAnsi="Verdana"/>
          <w:color w:val="auto"/>
          <w:sz w:val="24"/>
          <w:szCs w:val="24"/>
        </w:rPr>
        <w:t xml:space="preserve">included in this </w:t>
      </w:r>
      <w:r w:rsidR="0049313F" w:rsidRPr="0098723C">
        <w:rPr>
          <w:rFonts w:ascii="Verdana" w:hAnsi="Verdana"/>
          <w:color w:val="auto"/>
          <w:sz w:val="24"/>
          <w:szCs w:val="24"/>
        </w:rPr>
        <w:t xml:space="preserve">review </w:t>
      </w:r>
      <w:r w:rsidRPr="0098723C">
        <w:rPr>
          <w:rFonts w:ascii="Verdana" w:hAnsi="Verdana"/>
          <w:color w:val="auto"/>
          <w:sz w:val="24"/>
          <w:szCs w:val="24"/>
        </w:rPr>
        <w:t xml:space="preserve">reported </w:t>
      </w:r>
      <w:r w:rsidR="00467EF4" w:rsidRPr="0098723C">
        <w:rPr>
          <w:rFonts w:ascii="Verdana" w:hAnsi="Verdana"/>
          <w:color w:val="auto"/>
          <w:sz w:val="24"/>
          <w:szCs w:val="24"/>
        </w:rPr>
        <w:t xml:space="preserve">36,375 </w:t>
      </w:r>
      <w:r w:rsidR="00333E0A" w:rsidRPr="0098723C">
        <w:rPr>
          <w:rFonts w:ascii="Verdana" w:hAnsi="Verdana"/>
          <w:color w:val="auto"/>
          <w:sz w:val="24"/>
          <w:szCs w:val="24"/>
        </w:rPr>
        <w:t xml:space="preserve">patients treated for </w:t>
      </w:r>
      <w:r w:rsidR="00596C1A" w:rsidRPr="0098723C">
        <w:rPr>
          <w:rFonts w:ascii="Verdana" w:hAnsi="Verdana"/>
          <w:color w:val="auto"/>
          <w:sz w:val="24"/>
          <w:szCs w:val="24"/>
        </w:rPr>
        <w:t xml:space="preserve">AUD </w:t>
      </w:r>
      <w:r w:rsidRPr="0098723C">
        <w:rPr>
          <w:rFonts w:ascii="Verdana" w:hAnsi="Verdana"/>
          <w:color w:val="auto"/>
          <w:sz w:val="24"/>
          <w:szCs w:val="24"/>
        </w:rPr>
        <w:t>(</w:t>
      </w:r>
      <w:r w:rsidR="00477A20" w:rsidRPr="0098723C">
        <w:rPr>
          <w:rFonts w:ascii="Verdana" w:hAnsi="Verdana"/>
          <w:color w:val="auto"/>
          <w:sz w:val="24"/>
          <w:szCs w:val="24"/>
        </w:rPr>
        <w:t>combined-genders</w:t>
      </w:r>
      <w:r w:rsidRPr="0098723C">
        <w:rPr>
          <w:rFonts w:ascii="Verdana" w:hAnsi="Verdana"/>
          <w:color w:val="auto"/>
          <w:sz w:val="24"/>
          <w:szCs w:val="24"/>
        </w:rPr>
        <w:t>)</w:t>
      </w:r>
      <w:r w:rsidR="00E24999" w:rsidRPr="0098723C">
        <w:rPr>
          <w:rFonts w:ascii="Verdana" w:hAnsi="Verdana"/>
          <w:color w:val="auto"/>
          <w:sz w:val="24"/>
          <w:szCs w:val="24"/>
        </w:rPr>
        <w:t>,</w:t>
      </w:r>
      <w:r w:rsidRPr="0098723C">
        <w:rPr>
          <w:rFonts w:ascii="Verdana" w:hAnsi="Verdana"/>
          <w:color w:val="auto"/>
          <w:sz w:val="24"/>
          <w:szCs w:val="24"/>
        </w:rPr>
        <w:t xml:space="preserve"> followed up for a total of </w:t>
      </w:r>
      <w:r w:rsidR="00467EF4" w:rsidRPr="0098723C">
        <w:rPr>
          <w:rFonts w:ascii="Verdana" w:hAnsi="Verdana"/>
          <w:color w:val="auto"/>
          <w:sz w:val="24"/>
          <w:szCs w:val="24"/>
        </w:rPr>
        <w:t xml:space="preserve">276,990.7 </w:t>
      </w:r>
      <w:r w:rsidRPr="0098723C">
        <w:rPr>
          <w:rFonts w:ascii="Verdana" w:hAnsi="Verdana"/>
          <w:color w:val="auto"/>
          <w:sz w:val="24"/>
          <w:szCs w:val="24"/>
        </w:rPr>
        <w:t xml:space="preserve">person-years. </w:t>
      </w:r>
      <w:r w:rsidR="00467EF4" w:rsidRPr="0098723C">
        <w:rPr>
          <w:rFonts w:ascii="Verdana" w:hAnsi="Verdana"/>
          <w:color w:val="auto"/>
          <w:sz w:val="24"/>
          <w:szCs w:val="24"/>
        </w:rPr>
        <w:t>6768</w:t>
      </w:r>
      <w:r w:rsidRPr="0098723C">
        <w:rPr>
          <w:rFonts w:ascii="Verdana" w:hAnsi="Verdana"/>
          <w:color w:val="auto"/>
          <w:sz w:val="24"/>
          <w:szCs w:val="24"/>
        </w:rPr>
        <w:t xml:space="preserve"> all-cause deaths were recorded</w:t>
      </w:r>
      <w:r w:rsidR="000E51C6" w:rsidRPr="0098723C">
        <w:rPr>
          <w:rFonts w:ascii="Verdana" w:hAnsi="Verdana"/>
          <w:color w:val="auto"/>
          <w:sz w:val="24"/>
          <w:szCs w:val="24"/>
        </w:rPr>
        <w:t xml:space="preserve"> </w:t>
      </w:r>
      <w:r w:rsidR="007F3AF5" w:rsidRPr="0098723C">
        <w:rPr>
          <w:rFonts w:ascii="Verdana" w:hAnsi="Verdana"/>
          <w:noProof/>
          <w:color w:val="auto"/>
          <w:sz w:val="24"/>
          <w:szCs w:val="24"/>
          <w:vertAlign w:val="superscript"/>
        </w:rPr>
        <w:t>24–54</w:t>
      </w:r>
      <w:r w:rsidR="00C12C32" w:rsidRPr="0098723C">
        <w:rPr>
          <w:rFonts w:ascii="Verdana" w:hAnsi="Verdana"/>
          <w:color w:val="auto"/>
          <w:sz w:val="24"/>
          <w:szCs w:val="24"/>
        </w:rPr>
        <w:t>.</w:t>
      </w:r>
    </w:p>
    <w:p w14:paraId="767C9CD0" w14:textId="77777777" w:rsidR="005C2377" w:rsidRPr="0098723C" w:rsidRDefault="00467EF4" w:rsidP="009C0FAB">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 xml:space="preserve">Fourteen </w:t>
      </w:r>
      <w:r w:rsidR="00F42C51" w:rsidRPr="0098723C">
        <w:rPr>
          <w:rFonts w:ascii="Verdana" w:hAnsi="Verdana"/>
          <w:color w:val="auto"/>
          <w:sz w:val="24"/>
          <w:szCs w:val="24"/>
        </w:rPr>
        <w:t xml:space="preserve">studies were from </w:t>
      </w:r>
      <w:r w:rsidR="00797FC8" w:rsidRPr="0098723C">
        <w:rPr>
          <w:rFonts w:ascii="Verdana" w:hAnsi="Verdana"/>
          <w:color w:val="auto"/>
          <w:sz w:val="24"/>
          <w:szCs w:val="24"/>
        </w:rPr>
        <w:t>Europe (</w:t>
      </w:r>
      <w:r w:rsidRPr="0098723C">
        <w:rPr>
          <w:rFonts w:ascii="Verdana" w:hAnsi="Verdana"/>
          <w:color w:val="auto"/>
          <w:sz w:val="24"/>
          <w:szCs w:val="24"/>
        </w:rPr>
        <w:t xml:space="preserve">eight </w:t>
      </w:r>
      <w:r w:rsidR="001C0C1D" w:rsidRPr="0098723C">
        <w:rPr>
          <w:rFonts w:ascii="Verdana" w:hAnsi="Verdana"/>
          <w:color w:val="auto"/>
          <w:sz w:val="24"/>
          <w:szCs w:val="24"/>
        </w:rPr>
        <w:t xml:space="preserve">from </w:t>
      </w:r>
      <w:r w:rsidR="00797FC8" w:rsidRPr="0098723C">
        <w:rPr>
          <w:rFonts w:ascii="Verdana" w:hAnsi="Verdana"/>
          <w:color w:val="auto"/>
          <w:sz w:val="24"/>
          <w:szCs w:val="24"/>
        </w:rPr>
        <w:t xml:space="preserve">western or northern Europe </w:t>
      </w:r>
      <w:r w:rsidR="001C0C1D" w:rsidRPr="0098723C">
        <w:rPr>
          <w:rFonts w:ascii="Verdana" w:hAnsi="Verdana"/>
          <w:color w:val="auto"/>
          <w:sz w:val="24"/>
          <w:szCs w:val="24"/>
        </w:rPr>
        <w:t xml:space="preserve">and </w:t>
      </w:r>
      <w:r w:rsidRPr="0098723C">
        <w:rPr>
          <w:rFonts w:ascii="Verdana" w:hAnsi="Verdana"/>
          <w:color w:val="auto"/>
          <w:sz w:val="24"/>
          <w:szCs w:val="24"/>
        </w:rPr>
        <w:t xml:space="preserve">six </w:t>
      </w:r>
      <w:r w:rsidR="00797FC8" w:rsidRPr="0098723C">
        <w:rPr>
          <w:rFonts w:ascii="Verdana" w:hAnsi="Verdana"/>
          <w:color w:val="auto"/>
          <w:sz w:val="24"/>
          <w:szCs w:val="24"/>
        </w:rPr>
        <w:t xml:space="preserve">from southern Europe), nine from </w:t>
      </w:r>
      <w:r w:rsidR="00B26EEF" w:rsidRPr="0098723C">
        <w:rPr>
          <w:rFonts w:ascii="Verdana" w:hAnsi="Verdana"/>
          <w:color w:val="auto"/>
          <w:sz w:val="24"/>
          <w:szCs w:val="24"/>
        </w:rPr>
        <w:t>N</w:t>
      </w:r>
      <w:r w:rsidR="00F42C51" w:rsidRPr="0098723C">
        <w:rPr>
          <w:rFonts w:ascii="Verdana" w:hAnsi="Verdana"/>
          <w:color w:val="auto"/>
          <w:sz w:val="24"/>
          <w:szCs w:val="24"/>
        </w:rPr>
        <w:t xml:space="preserve">orth America, </w:t>
      </w:r>
      <w:r w:rsidR="00797FC8" w:rsidRPr="0098723C">
        <w:rPr>
          <w:rFonts w:ascii="Verdana" w:hAnsi="Verdana"/>
          <w:color w:val="auto"/>
          <w:sz w:val="24"/>
          <w:szCs w:val="24"/>
        </w:rPr>
        <w:t xml:space="preserve">five </w:t>
      </w:r>
      <w:r w:rsidR="00F42C51" w:rsidRPr="0098723C">
        <w:rPr>
          <w:rFonts w:ascii="Verdana" w:hAnsi="Verdana"/>
          <w:color w:val="auto"/>
          <w:sz w:val="24"/>
          <w:szCs w:val="24"/>
        </w:rPr>
        <w:t>from Asia (</w:t>
      </w:r>
      <w:r w:rsidR="00797FC8" w:rsidRPr="0098723C">
        <w:rPr>
          <w:rFonts w:ascii="Verdana" w:hAnsi="Verdana"/>
          <w:color w:val="auto"/>
          <w:sz w:val="24"/>
          <w:szCs w:val="24"/>
        </w:rPr>
        <w:t xml:space="preserve">four from the </w:t>
      </w:r>
      <w:r w:rsidR="00F42C51" w:rsidRPr="0098723C">
        <w:rPr>
          <w:rFonts w:ascii="Verdana" w:hAnsi="Verdana"/>
          <w:color w:val="auto"/>
          <w:sz w:val="24"/>
          <w:szCs w:val="24"/>
        </w:rPr>
        <w:t xml:space="preserve">advanced economies </w:t>
      </w:r>
      <w:r w:rsidR="00797FC8" w:rsidRPr="0098723C">
        <w:rPr>
          <w:rFonts w:ascii="Verdana" w:hAnsi="Verdana"/>
          <w:color w:val="auto"/>
          <w:sz w:val="24"/>
          <w:szCs w:val="24"/>
        </w:rPr>
        <w:t xml:space="preserve">of </w:t>
      </w:r>
      <w:r w:rsidR="00F42C51" w:rsidRPr="0098723C">
        <w:rPr>
          <w:rFonts w:ascii="Verdana" w:hAnsi="Verdana"/>
          <w:color w:val="auto"/>
          <w:sz w:val="24"/>
          <w:szCs w:val="24"/>
        </w:rPr>
        <w:t>Japan and Taiwan</w:t>
      </w:r>
      <w:r w:rsidR="00797FC8" w:rsidRPr="0098723C">
        <w:rPr>
          <w:rFonts w:ascii="Verdana" w:hAnsi="Verdana"/>
          <w:color w:val="auto"/>
          <w:sz w:val="24"/>
          <w:szCs w:val="24"/>
        </w:rPr>
        <w:t>, and one from Sri Lanka</w:t>
      </w:r>
      <w:r w:rsidR="005A2AB7" w:rsidRPr="0098723C">
        <w:rPr>
          <w:rFonts w:ascii="Verdana" w:hAnsi="Verdana"/>
          <w:color w:val="auto"/>
          <w:sz w:val="24"/>
          <w:szCs w:val="24"/>
        </w:rPr>
        <w:t>)</w:t>
      </w:r>
      <w:r w:rsidR="00797FC8" w:rsidRPr="0098723C">
        <w:rPr>
          <w:rFonts w:ascii="Verdana" w:hAnsi="Verdana"/>
          <w:color w:val="auto"/>
          <w:sz w:val="24"/>
          <w:szCs w:val="24"/>
        </w:rPr>
        <w:t>, two from New Zealand and one from South Africa</w:t>
      </w:r>
      <w:r w:rsidR="00F42C51" w:rsidRPr="0098723C">
        <w:rPr>
          <w:rFonts w:ascii="Verdana" w:hAnsi="Verdana"/>
          <w:color w:val="auto"/>
          <w:sz w:val="24"/>
          <w:szCs w:val="24"/>
        </w:rPr>
        <w:t xml:space="preserve">. The </w:t>
      </w:r>
      <w:r w:rsidR="00351C6E" w:rsidRPr="0098723C">
        <w:rPr>
          <w:rFonts w:ascii="Verdana" w:hAnsi="Verdana"/>
          <w:color w:val="auto"/>
          <w:sz w:val="24"/>
          <w:szCs w:val="24"/>
        </w:rPr>
        <w:t>maximum</w:t>
      </w:r>
      <w:r w:rsidR="00F42C51" w:rsidRPr="0098723C">
        <w:rPr>
          <w:rFonts w:ascii="Verdana" w:hAnsi="Verdana"/>
          <w:color w:val="auto"/>
          <w:sz w:val="24"/>
          <w:szCs w:val="24"/>
        </w:rPr>
        <w:t xml:space="preserve"> follow</w:t>
      </w:r>
      <w:r w:rsidR="00797FC8" w:rsidRPr="0098723C">
        <w:rPr>
          <w:rFonts w:ascii="Verdana" w:hAnsi="Verdana"/>
          <w:color w:val="auto"/>
          <w:sz w:val="24"/>
          <w:szCs w:val="24"/>
        </w:rPr>
        <w:t>-</w:t>
      </w:r>
      <w:r w:rsidR="00F42C51" w:rsidRPr="0098723C">
        <w:rPr>
          <w:rFonts w:ascii="Verdana" w:hAnsi="Verdana"/>
          <w:color w:val="auto"/>
          <w:sz w:val="24"/>
          <w:szCs w:val="24"/>
        </w:rPr>
        <w:t>up time</w:t>
      </w:r>
      <w:r w:rsidR="00351C6E" w:rsidRPr="0098723C">
        <w:rPr>
          <w:rFonts w:ascii="Verdana" w:hAnsi="Verdana"/>
          <w:color w:val="auto"/>
          <w:sz w:val="24"/>
          <w:szCs w:val="24"/>
        </w:rPr>
        <w:t xml:space="preserve"> </w:t>
      </w:r>
      <w:r w:rsidR="00797FC8" w:rsidRPr="0098723C">
        <w:rPr>
          <w:rFonts w:ascii="Verdana" w:hAnsi="Verdana"/>
          <w:color w:val="auto"/>
          <w:sz w:val="24"/>
          <w:szCs w:val="24"/>
        </w:rPr>
        <w:t xml:space="preserve">of the studies </w:t>
      </w:r>
      <w:r w:rsidR="00F42C51" w:rsidRPr="0098723C">
        <w:rPr>
          <w:rFonts w:ascii="Verdana" w:hAnsi="Verdana"/>
          <w:color w:val="auto"/>
          <w:sz w:val="24"/>
          <w:szCs w:val="24"/>
        </w:rPr>
        <w:t xml:space="preserve">ranged from </w:t>
      </w:r>
      <w:r w:rsidR="00797FC8" w:rsidRPr="0098723C">
        <w:rPr>
          <w:rFonts w:ascii="Verdana" w:hAnsi="Verdana"/>
          <w:color w:val="auto"/>
          <w:sz w:val="24"/>
          <w:szCs w:val="24"/>
        </w:rPr>
        <w:t xml:space="preserve">three </w:t>
      </w:r>
      <w:r w:rsidR="00F42C51" w:rsidRPr="0098723C">
        <w:rPr>
          <w:rFonts w:ascii="Verdana" w:hAnsi="Verdana"/>
          <w:color w:val="auto"/>
          <w:sz w:val="24"/>
          <w:szCs w:val="24"/>
        </w:rPr>
        <w:t>to 42 years</w:t>
      </w:r>
      <w:r w:rsidR="00797FC8" w:rsidRPr="0098723C">
        <w:rPr>
          <w:rFonts w:ascii="Verdana" w:hAnsi="Verdana"/>
          <w:color w:val="auto"/>
          <w:sz w:val="24"/>
          <w:szCs w:val="24"/>
        </w:rPr>
        <w:t xml:space="preserve"> (mean=1</w:t>
      </w:r>
      <w:r w:rsidR="00F179D4" w:rsidRPr="0098723C">
        <w:rPr>
          <w:rFonts w:ascii="Verdana" w:hAnsi="Verdana"/>
          <w:color w:val="auto"/>
          <w:sz w:val="24"/>
          <w:szCs w:val="24"/>
        </w:rPr>
        <w:t>4</w:t>
      </w:r>
      <w:r w:rsidR="00797FC8" w:rsidRPr="0098723C">
        <w:rPr>
          <w:rFonts w:ascii="Verdana" w:hAnsi="Verdana"/>
          <w:color w:val="auto"/>
          <w:sz w:val="24"/>
          <w:szCs w:val="24"/>
        </w:rPr>
        <w:t>.</w:t>
      </w:r>
      <w:r w:rsidR="00F179D4" w:rsidRPr="0098723C">
        <w:rPr>
          <w:rFonts w:ascii="Verdana" w:hAnsi="Verdana"/>
          <w:color w:val="auto"/>
          <w:sz w:val="24"/>
          <w:szCs w:val="24"/>
        </w:rPr>
        <w:t>06</w:t>
      </w:r>
      <w:r w:rsidR="00797FC8" w:rsidRPr="0098723C">
        <w:rPr>
          <w:rFonts w:ascii="Verdana" w:hAnsi="Verdana"/>
          <w:color w:val="auto"/>
          <w:sz w:val="24"/>
          <w:szCs w:val="24"/>
        </w:rPr>
        <w:t xml:space="preserve"> years)</w:t>
      </w:r>
      <w:r w:rsidR="00DE66F4" w:rsidRPr="0098723C">
        <w:rPr>
          <w:rFonts w:ascii="Verdana" w:hAnsi="Verdana"/>
          <w:color w:val="auto"/>
          <w:sz w:val="24"/>
          <w:szCs w:val="24"/>
        </w:rPr>
        <w:t>.</w:t>
      </w:r>
      <w:r w:rsidR="00797FC8" w:rsidRPr="0098723C">
        <w:rPr>
          <w:rFonts w:ascii="Verdana" w:hAnsi="Verdana"/>
          <w:color w:val="auto"/>
          <w:sz w:val="24"/>
          <w:szCs w:val="24"/>
        </w:rPr>
        <w:t xml:space="preserve"> </w:t>
      </w:r>
      <w:r w:rsidR="005A7E54" w:rsidRPr="0098723C">
        <w:rPr>
          <w:rFonts w:ascii="Verdana" w:hAnsi="Verdana"/>
          <w:color w:val="auto"/>
          <w:sz w:val="24"/>
          <w:szCs w:val="24"/>
        </w:rPr>
        <w:t xml:space="preserve">The </w:t>
      </w:r>
      <w:r w:rsidR="00EE561D" w:rsidRPr="0098723C">
        <w:rPr>
          <w:rFonts w:ascii="Verdana" w:hAnsi="Verdana"/>
          <w:color w:val="auto"/>
          <w:sz w:val="24"/>
          <w:szCs w:val="24"/>
        </w:rPr>
        <w:t xml:space="preserve">average </w:t>
      </w:r>
      <w:r w:rsidR="00A2470F" w:rsidRPr="0098723C">
        <w:rPr>
          <w:rFonts w:ascii="Verdana" w:hAnsi="Verdana"/>
          <w:color w:val="auto"/>
          <w:sz w:val="24"/>
          <w:szCs w:val="24"/>
        </w:rPr>
        <w:t>follow</w:t>
      </w:r>
      <w:r w:rsidR="00797FC8" w:rsidRPr="0098723C">
        <w:rPr>
          <w:rFonts w:ascii="Verdana" w:hAnsi="Verdana"/>
          <w:color w:val="auto"/>
          <w:sz w:val="24"/>
          <w:szCs w:val="24"/>
        </w:rPr>
        <w:t>-</w:t>
      </w:r>
      <w:r w:rsidR="00A2470F" w:rsidRPr="0098723C">
        <w:rPr>
          <w:rFonts w:ascii="Verdana" w:hAnsi="Verdana"/>
          <w:color w:val="auto"/>
          <w:sz w:val="24"/>
          <w:szCs w:val="24"/>
        </w:rPr>
        <w:t xml:space="preserve">up observed </w:t>
      </w:r>
      <w:r w:rsidR="005A7E54" w:rsidRPr="0098723C">
        <w:rPr>
          <w:rFonts w:ascii="Verdana" w:hAnsi="Verdana"/>
          <w:color w:val="auto"/>
          <w:sz w:val="24"/>
          <w:szCs w:val="24"/>
        </w:rPr>
        <w:t xml:space="preserve">per </w:t>
      </w:r>
      <w:r w:rsidR="003761B5" w:rsidRPr="0098723C">
        <w:rPr>
          <w:rFonts w:ascii="Verdana" w:hAnsi="Verdana"/>
          <w:color w:val="auto"/>
          <w:sz w:val="24"/>
          <w:szCs w:val="24"/>
        </w:rPr>
        <w:t xml:space="preserve">participant </w:t>
      </w:r>
      <w:r w:rsidR="005A7E54" w:rsidRPr="0098723C">
        <w:rPr>
          <w:rFonts w:ascii="Verdana" w:hAnsi="Verdana"/>
          <w:color w:val="auto"/>
          <w:sz w:val="24"/>
          <w:szCs w:val="24"/>
        </w:rPr>
        <w:t xml:space="preserve">ranged from </w:t>
      </w:r>
      <w:r w:rsidR="00797FC8" w:rsidRPr="0098723C">
        <w:rPr>
          <w:rFonts w:ascii="Verdana" w:hAnsi="Verdana"/>
          <w:color w:val="auto"/>
          <w:sz w:val="24"/>
          <w:szCs w:val="24"/>
        </w:rPr>
        <w:t>1.5</w:t>
      </w:r>
      <w:r w:rsidR="005A7E54" w:rsidRPr="0098723C">
        <w:rPr>
          <w:rFonts w:ascii="Verdana" w:hAnsi="Verdana"/>
          <w:color w:val="auto"/>
          <w:sz w:val="24"/>
          <w:szCs w:val="24"/>
        </w:rPr>
        <w:t xml:space="preserve"> to </w:t>
      </w:r>
      <w:r w:rsidR="00797FC8" w:rsidRPr="0098723C">
        <w:rPr>
          <w:rFonts w:ascii="Verdana" w:hAnsi="Verdana"/>
          <w:color w:val="auto"/>
          <w:sz w:val="24"/>
          <w:szCs w:val="24"/>
        </w:rPr>
        <w:t xml:space="preserve">18 </w:t>
      </w:r>
      <w:r w:rsidR="00EE561D" w:rsidRPr="0098723C">
        <w:rPr>
          <w:rFonts w:ascii="Verdana" w:hAnsi="Verdana"/>
          <w:color w:val="auto"/>
          <w:sz w:val="24"/>
          <w:szCs w:val="24"/>
        </w:rPr>
        <w:t>years (</w:t>
      </w:r>
      <w:r w:rsidR="005A7E54" w:rsidRPr="0098723C">
        <w:rPr>
          <w:rFonts w:ascii="Verdana" w:hAnsi="Verdana"/>
          <w:color w:val="auto"/>
          <w:sz w:val="24"/>
          <w:szCs w:val="24"/>
        </w:rPr>
        <w:t>mean</w:t>
      </w:r>
      <w:r w:rsidR="00EE561D" w:rsidRPr="0098723C">
        <w:rPr>
          <w:rFonts w:ascii="Verdana" w:hAnsi="Verdana"/>
          <w:color w:val="auto"/>
          <w:sz w:val="24"/>
          <w:szCs w:val="24"/>
        </w:rPr>
        <w:t>=7</w:t>
      </w:r>
      <w:r w:rsidR="00797FC8" w:rsidRPr="0098723C">
        <w:rPr>
          <w:rFonts w:ascii="Verdana" w:hAnsi="Verdana"/>
          <w:color w:val="auto"/>
          <w:sz w:val="24"/>
          <w:szCs w:val="24"/>
        </w:rPr>
        <w:t>.</w:t>
      </w:r>
      <w:r w:rsidR="00F179D4" w:rsidRPr="0098723C">
        <w:rPr>
          <w:rFonts w:ascii="Verdana" w:hAnsi="Verdana"/>
          <w:color w:val="auto"/>
          <w:sz w:val="24"/>
          <w:szCs w:val="24"/>
        </w:rPr>
        <w:t>48</w:t>
      </w:r>
      <w:r w:rsidR="005A7E54" w:rsidRPr="0098723C">
        <w:rPr>
          <w:rFonts w:ascii="Verdana" w:hAnsi="Verdana"/>
          <w:color w:val="auto"/>
          <w:sz w:val="24"/>
          <w:szCs w:val="24"/>
        </w:rPr>
        <w:t xml:space="preserve"> </w:t>
      </w:r>
      <w:r w:rsidR="00797FC8" w:rsidRPr="0098723C">
        <w:rPr>
          <w:rFonts w:ascii="Verdana" w:hAnsi="Verdana"/>
          <w:color w:val="auto"/>
          <w:sz w:val="24"/>
          <w:szCs w:val="24"/>
        </w:rPr>
        <w:t>y</w:t>
      </w:r>
      <w:r w:rsidR="005A7E54" w:rsidRPr="0098723C">
        <w:rPr>
          <w:rFonts w:ascii="Verdana" w:hAnsi="Verdana"/>
          <w:color w:val="auto"/>
          <w:sz w:val="24"/>
          <w:szCs w:val="24"/>
        </w:rPr>
        <w:t>ears</w:t>
      </w:r>
      <w:r w:rsidR="00EE561D" w:rsidRPr="0098723C">
        <w:rPr>
          <w:rFonts w:ascii="Verdana" w:hAnsi="Verdana"/>
          <w:color w:val="auto"/>
          <w:sz w:val="24"/>
          <w:szCs w:val="24"/>
        </w:rPr>
        <w:t>)</w:t>
      </w:r>
      <w:r w:rsidR="005A7E54" w:rsidRPr="0098723C">
        <w:rPr>
          <w:rFonts w:ascii="Verdana" w:hAnsi="Verdana"/>
          <w:color w:val="auto"/>
          <w:sz w:val="24"/>
          <w:szCs w:val="24"/>
        </w:rPr>
        <w:t>.</w:t>
      </w:r>
    </w:p>
    <w:p w14:paraId="2598DFDC" w14:textId="77777777" w:rsidR="00797FC8" w:rsidRPr="0098723C" w:rsidRDefault="00A65D40" w:rsidP="000F5A65">
      <w:pPr>
        <w:pStyle w:val="Body"/>
        <w:pBdr>
          <w:top w:val="none" w:sz="0" w:space="0" w:color="auto"/>
          <w:left w:val="none" w:sz="0" w:space="0" w:color="auto"/>
          <w:bottom w:val="none" w:sz="0" w:space="0" w:color="auto"/>
          <w:right w:val="none" w:sz="0" w:space="0" w:color="auto"/>
        </w:pBdr>
        <w:spacing w:line="480" w:lineRule="auto"/>
        <w:jc w:val="both"/>
        <w:rPr>
          <w:rFonts w:ascii="Verdana" w:hAnsi="Verdana"/>
          <w:color w:val="auto"/>
          <w:sz w:val="24"/>
          <w:szCs w:val="24"/>
        </w:rPr>
      </w:pPr>
      <w:r w:rsidRPr="0098723C">
        <w:rPr>
          <w:rFonts w:ascii="Verdana" w:hAnsi="Verdana"/>
          <w:color w:val="auto"/>
          <w:sz w:val="24"/>
          <w:szCs w:val="24"/>
        </w:rPr>
        <w:t>A</w:t>
      </w:r>
      <w:r w:rsidR="00797FC8" w:rsidRPr="0098723C">
        <w:rPr>
          <w:rFonts w:ascii="Verdana" w:hAnsi="Verdana"/>
          <w:color w:val="auto"/>
          <w:sz w:val="24"/>
          <w:szCs w:val="24"/>
        </w:rPr>
        <w:t>ll 2</w:t>
      </w:r>
      <w:r w:rsidR="00F179D4" w:rsidRPr="0098723C">
        <w:rPr>
          <w:rFonts w:ascii="Verdana" w:hAnsi="Verdana"/>
          <w:color w:val="auto"/>
          <w:sz w:val="24"/>
          <w:szCs w:val="24"/>
        </w:rPr>
        <w:t>8</w:t>
      </w:r>
      <w:r w:rsidR="00797FC8" w:rsidRPr="0098723C">
        <w:rPr>
          <w:rFonts w:ascii="Verdana" w:hAnsi="Verdana"/>
          <w:color w:val="auto"/>
          <w:sz w:val="24"/>
          <w:szCs w:val="24"/>
        </w:rPr>
        <w:t xml:space="preserve"> studies that reported gender breakdown had at least 50% male </w:t>
      </w:r>
      <w:r w:rsidR="003761B5" w:rsidRPr="0098723C">
        <w:rPr>
          <w:rFonts w:ascii="Verdana" w:hAnsi="Verdana"/>
          <w:color w:val="auto"/>
          <w:sz w:val="24"/>
          <w:szCs w:val="24"/>
        </w:rPr>
        <w:t xml:space="preserve">participants </w:t>
      </w:r>
      <w:r w:rsidR="00797FC8" w:rsidRPr="0098723C">
        <w:rPr>
          <w:rFonts w:ascii="Verdana" w:hAnsi="Verdana"/>
          <w:color w:val="auto"/>
          <w:sz w:val="24"/>
          <w:szCs w:val="24"/>
        </w:rPr>
        <w:t>(</w:t>
      </w:r>
      <w:r w:rsidR="009C0FAB" w:rsidRPr="0098723C">
        <w:rPr>
          <w:rFonts w:ascii="Verdana" w:hAnsi="Verdana"/>
          <w:color w:val="auto"/>
          <w:sz w:val="24"/>
          <w:szCs w:val="24"/>
        </w:rPr>
        <w:t xml:space="preserve">range: 50-100%; </w:t>
      </w:r>
      <w:r w:rsidR="00797FC8" w:rsidRPr="0098723C">
        <w:rPr>
          <w:rFonts w:ascii="Verdana" w:hAnsi="Verdana"/>
          <w:color w:val="auto"/>
          <w:sz w:val="24"/>
          <w:szCs w:val="24"/>
        </w:rPr>
        <w:t>me</w:t>
      </w:r>
      <w:r w:rsidR="009C0FAB" w:rsidRPr="0098723C">
        <w:rPr>
          <w:rFonts w:ascii="Verdana" w:hAnsi="Verdana"/>
          <w:color w:val="auto"/>
          <w:sz w:val="24"/>
          <w:szCs w:val="24"/>
        </w:rPr>
        <w:t>dian</w:t>
      </w:r>
      <w:r w:rsidR="00797FC8" w:rsidRPr="0098723C">
        <w:rPr>
          <w:rFonts w:ascii="Verdana" w:hAnsi="Verdana"/>
          <w:color w:val="auto"/>
          <w:sz w:val="24"/>
          <w:szCs w:val="24"/>
        </w:rPr>
        <w:t>=</w:t>
      </w:r>
      <w:r w:rsidR="00F179D4" w:rsidRPr="0098723C">
        <w:rPr>
          <w:rFonts w:ascii="Verdana" w:hAnsi="Verdana"/>
          <w:color w:val="auto"/>
          <w:sz w:val="24"/>
          <w:szCs w:val="24"/>
        </w:rPr>
        <w:t>79</w:t>
      </w:r>
      <w:r w:rsidR="00797FC8" w:rsidRPr="0098723C">
        <w:rPr>
          <w:rFonts w:ascii="Verdana" w:hAnsi="Verdana"/>
          <w:color w:val="auto"/>
          <w:sz w:val="24"/>
          <w:szCs w:val="24"/>
        </w:rPr>
        <w:t>.</w:t>
      </w:r>
      <w:r w:rsidR="00F179D4" w:rsidRPr="0098723C">
        <w:rPr>
          <w:rFonts w:ascii="Verdana" w:hAnsi="Verdana"/>
          <w:color w:val="auto"/>
          <w:sz w:val="24"/>
          <w:szCs w:val="24"/>
        </w:rPr>
        <w:t>98</w:t>
      </w:r>
      <w:r w:rsidR="00797FC8" w:rsidRPr="0098723C">
        <w:rPr>
          <w:rFonts w:ascii="Verdana" w:hAnsi="Verdana"/>
          <w:color w:val="auto"/>
          <w:sz w:val="24"/>
          <w:szCs w:val="24"/>
        </w:rPr>
        <w:t>%)</w:t>
      </w:r>
      <w:r w:rsidR="00477A20" w:rsidRPr="0098723C">
        <w:rPr>
          <w:rFonts w:ascii="Verdana" w:hAnsi="Verdana"/>
          <w:color w:val="auto"/>
          <w:sz w:val="24"/>
          <w:szCs w:val="24"/>
        </w:rPr>
        <w:t>. Six studies had only male participants. A</w:t>
      </w:r>
      <w:r w:rsidR="00797FC8" w:rsidRPr="0098723C">
        <w:rPr>
          <w:rFonts w:ascii="Verdana" w:hAnsi="Verdana"/>
          <w:color w:val="auto"/>
          <w:sz w:val="24"/>
          <w:szCs w:val="24"/>
        </w:rPr>
        <w:t>ll 2</w:t>
      </w:r>
      <w:r w:rsidR="00F179D4" w:rsidRPr="0098723C">
        <w:rPr>
          <w:rFonts w:ascii="Verdana" w:hAnsi="Verdana"/>
          <w:color w:val="auto"/>
          <w:sz w:val="24"/>
          <w:szCs w:val="24"/>
        </w:rPr>
        <w:t>8</w:t>
      </w:r>
      <w:r w:rsidR="00797FC8" w:rsidRPr="0098723C">
        <w:rPr>
          <w:rFonts w:ascii="Verdana" w:hAnsi="Verdana"/>
          <w:color w:val="auto"/>
          <w:sz w:val="24"/>
          <w:szCs w:val="24"/>
        </w:rPr>
        <w:t xml:space="preserve"> studies reporting age at baseline had an average age of study participant</w:t>
      </w:r>
      <w:r w:rsidRPr="0098723C">
        <w:rPr>
          <w:rFonts w:ascii="Verdana" w:hAnsi="Verdana"/>
          <w:color w:val="auto"/>
          <w:sz w:val="24"/>
          <w:szCs w:val="24"/>
        </w:rPr>
        <w:t>s</w:t>
      </w:r>
      <w:r w:rsidR="00797FC8" w:rsidRPr="0098723C">
        <w:rPr>
          <w:rFonts w:ascii="Verdana" w:hAnsi="Verdana"/>
          <w:color w:val="auto"/>
          <w:sz w:val="24"/>
          <w:szCs w:val="24"/>
        </w:rPr>
        <w:t xml:space="preserve"> of at least 30</w:t>
      </w:r>
      <w:r w:rsidR="000F5A65" w:rsidRPr="0098723C">
        <w:rPr>
          <w:rFonts w:ascii="Verdana" w:hAnsi="Verdana"/>
          <w:color w:val="auto"/>
          <w:sz w:val="24"/>
          <w:szCs w:val="24"/>
        </w:rPr>
        <w:t xml:space="preserve"> </w:t>
      </w:r>
      <w:r w:rsidR="00797FC8" w:rsidRPr="0098723C">
        <w:rPr>
          <w:rFonts w:ascii="Verdana" w:hAnsi="Verdana"/>
          <w:color w:val="auto"/>
          <w:sz w:val="24"/>
          <w:szCs w:val="24"/>
        </w:rPr>
        <w:t>(</w:t>
      </w:r>
      <w:r w:rsidR="009C0FAB" w:rsidRPr="0098723C">
        <w:rPr>
          <w:rFonts w:ascii="Verdana" w:hAnsi="Verdana"/>
          <w:color w:val="auto"/>
          <w:sz w:val="24"/>
          <w:szCs w:val="24"/>
        </w:rPr>
        <w:t>range: 34.7-59; median: 44</w:t>
      </w:r>
      <w:r w:rsidR="00797FC8" w:rsidRPr="0098723C">
        <w:rPr>
          <w:rFonts w:ascii="Verdana" w:hAnsi="Verdana"/>
          <w:color w:val="auto"/>
          <w:sz w:val="24"/>
          <w:szCs w:val="24"/>
        </w:rPr>
        <w:t>).</w:t>
      </w:r>
    </w:p>
    <w:p w14:paraId="74D0BDFB" w14:textId="77777777" w:rsidR="00D004C2" w:rsidRPr="0098723C" w:rsidRDefault="00F42C51"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Table 1 summarises the characteristics of included studies.</w:t>
      </w:r>
    </w:p>
    <w:p w14:paraId="071535D5" w14:textId="77777777" w:rsidR="0088542C" w:rsidRPr="0098723C" w:rsidRDefault="0088542C" w:rsidP="00C7666B">
      <w:pPr>
        <w:pStyle w:val="Heading"/>
        <w:jc w:val="left"/>
        <w:rPr>
          <w:rFonts w:eastAsia="Times New Roman" w:cs="Times New Roman"/>
          <w:color w:val="auto"/>
        </w:rPr>
      </w:pPr>
      <w:r w:rsidRPr="0098723C">
        <w:rPr>
          <w:rFonts w:eastAsia="Times New Roman" w:cs="Times New Roman"/>
          <w:color w:val="auto"/>
        </w:rPr>
        <w:t>Table 1: Characteristics of individual studies</w:t>
      </w:r>
    </w:p>
    <w:p w14:paraId="53BED25E" w14:textId="77777777" w:rsidR="0088542C" w:rsidRPr="0098723C" w:rsidRDefault="0088542C" w:rsidP="0088542C">
      <w:pPr>
        <w:pStyle w:val="Body"/>
        <w:rPr>
          <w:color w:val="auto"/>
          <w:lang w:val="fr-FR"/>
        </w:rPr>
      </w:pPr>
      <w:bookmarkStart w:id="5" w:name="_Hlk490150105"/>
      <w:r w:rsidRPr="0098723C">
        <w:rPr>
          <w:color w:val="auto"/>
          <w:lang w:val="fr-FR"/>
        </w:rPr>
        <w:t>[TABLE 1 HERE]</w:t>
      </w:r>
    </w:p>
    <w:bookmarkEnd w:id="5"/>
    <w:p w14:paraId="5A993D82" w14:textId="77777777" w:rsidR="0088542C" w:rsidRPr="0098723C" w:rsidRDefault="0088542C" w:rsidP="008854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Times New Roman" w:hAnsi="Verdana"/>
          <w:sz w:val="16"/>
          <w:szCs w:val="16"/>
        </w:rPr>
      </w:pPr>
      <w:r w:rsidRPr="0098723C">
        <w:rPr>
          <w:rFonts w:ascii="Verdana" w:eastAsia="Times New Roman" w:hAnsi="Verdana"/>
          <w:sz w:val="16"/>
          <w:szCs w:val="16"/>
          <w:lang w:eastAsia="en-GB"/>
        </w:rPr>
        <w:t xml:space="preserve">Key </w:t>
      </w:r>
    </w:p>
    <w:p w14:paraId="43D98A81" w14:textId="77777777" w:rsidR="0088542C" w:rsidRPr="0098723C" w:rsidRDefault="0088542C" w:rsidP="008854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Times New Roman" w:hAnsi="Verdana"/>
          <w:sz w:val="16"/>
          <w:szCs w:val="16"/>
        </w:rPr>
      </w:pPr>
      <w:r w:rsidRPr="0098723C">
        <w:rPr>
          <w:rFonts w:ascii="Verdana" w:eastAsia="Times New Roman" w:hAnsi="Verdana"/>
          <w:sz w:val="16"/>
          <w:szCs w:val="16"/>
          <w:vertAlign w:val="superscript"/>
          <w:lang w:eastAsia="en-GB"/>
        </w:rPr>
        <w:t>1</w:t>
      </w:r>
      <w:r w:rsidRPr="0098723C">
        <w:rPr>
          <w:rFonts w:ascii="Verdana" w:eastAsia="Times New Roman" w:hAnsi="Verdana"/>
          <w:sz w:val="16"/>
          <w:szCs w:val="16"/>
          <w:lang w:eastAsia="en-GB"/>
        </w:rPr>
        <w:t>: mean</w:t>
      </w:r>
    </w:p>
    <w:p w14:paraId="0BA34E62" w14:textId="77777777" w:rsidR="0088542C" w:rsidRPr="0098723C" w:rsidRDefault="0088542C" w:rsidP="008854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Times New Roman" w:hAnsi="Verdana"/>
          <w:sz w:val="16"/>
          <w:szCs w:val="16"/>
        </w:rPr>
      </w:pPr>
      <w:r w:rsidRPr="0098723C">
        <w:rPr>
          <w:rFonts w:ascii="Verdana" w:eastAsia="Times New Roman" w:hAnsi="Verdana"/>
          <w:sz w:val="16"/>
          <w:szCs w:val="16"/>
          <w:vertAlign w:val="superscript"/>
          <w:lang w:eastAsia="en-GB"/>
        </w:rPr>
        <w:t>2</w:t>
      </w:r>
      <w:r w:rsidRPr="0098723C">
        <w:rPr>
          <w:rFonts w:ascii="Verdana" w:eastAsia="Times New Roman" w:hAnsi="Verdana"/>
          <w:sz w:val="16"/>
          <w:szCs w:val="16"/>
          <w:lang w:eastAsia="en-GB"/>
        </w:rPr>
        <w:t>: median</w:t>
      </w:r>
    </w:p>
    <w:p w14:paraId="1302BF13" w14:textId="77777777" w:rsidR="0088542C" w:rsidRPr="0098723C" w:rsidRDefault="0088542C" w:rsidP="008854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Times New Roman" w:hAnsi="Verdana"/>
          <w:sz w:val="16"/>
          <w:szCs w:val="16"/>
          <w:lang w:eastAsia="en-GB"/>
        </w:rPr>
      </w:pPr>
      <w:r w:rsidRPr="0098723C">
        <w:rPr>
          <w:rFonts w:ascii="Verdana" w:eastAsia="Times New Roman" w:hAnsi="Verdana"/>
          <w:sz w:val="16"/>
          <w:szCs w:val="16"/>
          <w:vertAlign w:val="superscript"/>
          <w:lang w:eastAsia="en-GB"/>
        </w:rPr>
        <w:t>3</w:t>
      </w:r>
      <w:r w:rsidRPr="0098723C">
        <w:rPr>
          <w:rFonts w:ascii="Verdana" w:eastAsia="Times New Roman" w:hAnsi="Verdana"/>
          <w:sz w:val="16"/>
          <w:szCs w:val="16"/>
          <w:lang w:eastAsia="en-GB"/>
        </w:rPr>
        <w:t>: mode</w:t>
      </w:r>
    </w:p>
    <w:p w14:paraId="6B68FB97" w14:textId="77777777" w:rsidR="0088542C" w:rsidRPr="0098723C" w:rsidRDefault="0088542C" w:rsidP="008854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Times New Roman" w:hAnsi="Verdana"/>
          <w:sz w:val="16"/>
          <w:szCs w:val="16"/>
          <w:lang w:eastAsia="en-GB"/>
        </w:rPr>
      </w:pPr>
      <w:r w:rsidRPr="0098723C">
        <w:rPr>
          <w:rFonts w:ascii="Verdana" w:eastAsia="Times New Roman" w:hAnsi="Verdana"/>
          <w:sz w:val="16"/>
          <w:szCs w:val="16"/>
          <w:vertAlign w:val="superscript"/>
          <w:lang w:eastAsia="en-GB"/>
        </w:rPr>
        <w:t>4</w:t>
      </w:r>
      <w:r w:rsidRPr="0098723C">
        <w:rPr>
          <w:rFonts w:ascii="Verdana" w:eastAsia="Times New Roman" w:hAnsi="Verdana"/>
          <w:sz w:val="16"/>
          <w:szCs w:val="16"/>
          <w:lang w:eastAsia="en-GB"/>
        </w:rPr>
        <w:t>: actual loss to follow-up not reported or could not be estimated. This figure represents the maximum possible loss to follow up assuming that all those who did not die were lost to follow up.</w:t>
      </w:r>
    </w:p>
    <w:p w14:paraId="42A3048D" w14:textId="77777777" w:rsidR="0024564E" w:rsidRPr="0024564E" w:rsidRDefault="0024564E" w:rsidP="0024564E">
      <w:pPr>
        <w:rPr>
          <w:rFonts w:ascii="Verdana" w:eastAsia="Times New Roman" w:hAnsi="Verdana"/>
          <w:sz w:val="16"/>
          <w:szCs w:val="16"/>
          <w:lang w:eastAsia="en-GB"/>
        </w:rPr>
      </w:pPr>
      <w:r w:rsidRPr="0024564E">
        <w:rPr>
          <w:rFonts w:ascii="Verdana" w:eastAsia="Times New Roman" w:hAnsi="Verdana"/>
          <w:sz w:val="16"/>
          <w:szCs w:val="16"/>
          <w:vertAlign w:val="superscript"/>
          <w:lang w:eastAsia="en-GB"/>
        </w:rPr>
        <w:t>a:</w:t>
      </w:r>
      <w:r w:rsidRPr="0024564E">
        <w:rPr>
          <w:rFonts w:ascii="Verdana" w:eastAsia="Times New Roman" w:hAnsi="Verdana"/>
          <w:sz w:val="16"/>
          <w:szCs w:val="16"/>
          <w:lang w:eastAsia="en-GB"/>
        </w:rPr>
        <w:t xml:space="preserve"> Fuster, D. et al. “Impact of Hepatitis C Virus Infection on the Risk of Death of Alcohol-Dependent Patients.” Journal of Viral Hepatitis 22.1 (2014): 18–24. Journal of Viral Hepatitis.</w:t>
      </w:r>
    </w:p>
    <w:p w14:paraId="3588B8D5" w14:textId="77777777" w:rsidR="0088542C" w:rsidRPr="0098723C" w:rsidRDefault="0088542C" w:rsidP="008854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Times New Roman" w:hAnsi="Verdana"/>
          <w:sz w:val="16"/>
          <w:szCs w:val="16"/>
          <w:lang w:eastAsia="en-GB"/>
        </w:rPr>
      </w:pPr>
      <w:r w:rsidRPr="0098723C">
        <w:rPr>
          <w:rFonts w:ascii="Verdana" w:eastAsia="Times New Roman" w:hAnsi="Verdana"/>
          <w:sz w:val="16"/>
          <w:szCs w:val="16"/>
          <w:lang w:eastAsia="en-GB"/>
        </w:rPr>
        <w:t>na: not reported or available</w:t>
      </w:r>
    </w:p>
    <w:p w14:paraId="59278949" w14:textId="77777777" w:rsidR="0088542C" w:rsidRPr="0098723C" w:rsidRDefault="0088542C" w:rsidP="009C0FAB">
      <w:pPr>
        <w:pStyle w:val="Body"/>
        <w:spacing w:line="480" w:lineRule="auto"/>
        <w:jc w:val="both"/>
        <w:rPr>
          <w:rFonts w:ascii="Verdana" w:hAnsi="Verdana"/>
          <w:color w:val="auto"/>
          <w:sz w:val="24"/>
          <w:szCs w:val="24"/>
        </w:rPr>
      </w:pPr>
    </w:p>
    <w:p w14:paraId="5CCAA16A" w14:textId="77777777" w:rsidR="005C2377" w:rsidRPr="0098723C" w:rsidRDefault="00F42C51" w:rsidP="009C0FAB">
      <w:pPr>
        <w:pStyle w:val="Heading2"/>
        <w:spacing w:after="240" w:line="480" w:lineRule="auto"/>
        <w:rPr>
          <w:color w:val="auto"/>
        </w:rPr>
      </w:pPr>
      <w:r w:rsidRPr="0098723C">
        <w:rPr>
          <w:color w:val="auto"/>
        </w:rPr>
        <w:t xml:space="preserve">Risk of bias assessment </w:t>
      </w:r>
    </w:p>
    <w:p w14:paraId="649F4EED" w14:textId="77777777" w:rsidR="00B968B9" w:rsidRPr="0098723C" w:rsidRDefault="00F42C51"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Overall, the quality of </w:t>
      </w:r>
      <w:r w:rsidR="004751F2" w:rsidRPr="0098723C">
        <w:rPr>
          <w:rFonts w:ascii="Verdana" w:hAnsi="Verdana"/>
          <w:color w:val="auto"/>
          <w:sz w:val="24"/>
          <w:szCs w:val="24"/>
        </w:rPr>
        <w:t xml:space="preserve">included </w:t>
      </w:r>
      <w:r w:rsidRPr="0098723C">
        <w:rPr>
          <w:rFonts w:ascii="Verdana" w:hAnsi="Verdana"/>
          <w:color w:val="auto"/>
          <w:sz w:val="24"/>
          <w:szCs w:val="24"/>
        </w:rPr>
        <w:t xml:space="preserve">studies </w:t>
      </w:r>
      <w:r w:rsidR="001C0C1D" w:rsidRPr="0098723C">
        <w:rPr>
          <w:rFonts w:ascii="Verdana" w:hAnsi="Verdana"/>
          <w:color w:val="auto"/>
          <w:sz w:val="24"/>
          <w:szCs w:val="24"/>
        </w:rPr>
        <w:t xml:space="preserve">was </w:t>
      </w:r>
      <w:r w:rsidR="004B2E91" w:rsidRPr="0098723C">
        <w:rPr>
          <w:rFonts w:ascii="Verdana" w:hAnsi="Verdana"/>
          <w:color w:val="auto"/>
          <w:sz w:val="24"/>
          <w:szCs w:val="24"/>
        </w:rPr>
        <w:t>good</w:t>
      </w:r>
      <w:r w:rsidR="009F417D" w:rsidRPr="0098723C">
        <w:rPr>
          <w:rFonts w:ascii="Verdana" w:hAnsi="Verdana"/>
          <w:color w:val="auto"/>
          <w:sz w:val="24"/>
          <w:szCs w:val="24"/>
        </w:rPr>
        <w:t xml:space="preserve">, with </w:t>
      </w:r>
      <w:r w:rsidR="00797FC8" w:rsidRPr="0098723C">
        <w:rPr>
          <w:rFonts w:ascii="Verdana" w:hAnsi="Verdana"/>
          <w:color w:val="auto"/>
          <w:sz w:val="24"/>
          <w:szCs w:val="24"/>
        </w:rPr>
        <w:t xml:space="preserve">all </w:t>
      </w:r>
      <w:r w:rsidR="009F417D" w:rsidRPr="0098723C">
        <w:rPr>
          <w:rFonts w:ascii="Verdana" w:hAnsi="Verdana"/>
          <w:color w:val="auto"/>
          <w:sz w:val="24"/>
          <w:szCs w:val="24"/>
        </w:rPr>
        <w:t xml:space="preserve">included papers </w:t>
      </w:r>
      <w:r w:rsidR="00A65D40" w:rsidRPr="0098723C">
        <w:rPr>
          <w:rFonts w:ascii="Verdana" w:hAnsi="Verdana"/>
          <w:color w:val="auto"/>
          <w:sz w:val="24"/>
          <w:szCs w:val="24"/>
        </w:rPr>
        <w:t xml:space="preserve">scoring </w:t>
      </w:r>
      <w:r w:rsidR="00797FC8" w:rsidRPr="0098723C">
        <w:rPr>
          <w:rFonts w:ascii="Verdana" w:hAnsi="Verdana"/>
          <w:color w:val="auto"/>
          <w:sz w:val="24"/>
          <w:szCs w:val="24"/>
        </w:rPr>
        <w:t xml:space="preserve">4 </w:t>
      </w:r>
      <w:r w:rsidR="00A65D40" w:rsidRPr="0098723C">
        <w:rPr>
          <w:rFonts w:ascii="Verdana" w:hAnsi="Verdana"/>
          <w:color w:val="auto"/>
          <w:sz w:val="24"/>
          <w:szCs w:val="24"/>
        </w:rPr>
        <w:t xml:space="preserve">or more </w:t>
      </w:r>
      <w:r w:rsidR="00797FC8" w:rsidRPr="0098723C">
        <w:rPr>
          <w:rFonts w:ascii="Verdana" w:hAnsi="Verdana"/>
          <w:color w:val="auto"/>
          <w:sz w:val="24"/>
          <w:szCs w:val="24"/>
        </w:rPr>
        <w:t>from a total of 6</w:t>
      </w:r>
      <w:r w:rsidR="00A65D40" w:rsidRPr="0098723C">
        <w:rPr>
          <w:rFonts w:ascii="Verdana" w:hAnsi="Verdana"/>
          <w:color w:val="auto"/>
          <w:sz w:val="24"/>
          <w:szCs w:val="24"/>
        </w:rPr>
        <w:t>.</w:t>
      </w:r>
      <w:r w:rsidR="00352C9A" w:rsidRPr="0098723C">
        <w:rPr>
          <w:rFonts w:ascii="Verdana" w:hAnsi="Verdana"/>
          <w:color w:val="auto"/>
          <w:sz w:val="24"/>
          <w:szCs w:val="24"/>
        </w:rPr>
        <w:t xml:space="preserve"> </w:t>
      </w:r>
      <w:r w:rsidRPr="0098723C">
        <w:rPr>
          <w:rFonts w:ascii="Verdana" w:hAnsi="Verdana"/>
          <w:color w:val="auto"/>
          <w:sz w:val="24"/>
          <w:szCs w:val="24"/>
        </w:rPr>
        <w:t xml:space="preserve">All </w:t>
      </w:r>
      <w:r w:rsidR="00F76E61" w:rsidRPr="0098723C">
        <w:rPr>
          <w:rFonts w:ascii="Verdana" w:hAnsi="Verdana"/>
          <w:color w:val="auto"/>
          <w:sz w:val="24"/>
          <w:szCs w:val="24"/>
        </w:rPr>
        <w:t>31</w:t>
      </w:r>
      <w:r w:rsidRPr="0098723C">
        <w:rPr>
          <w:rFonts w:ascii="Verdana" w:hAnsi="Verdana"/>
          <w:color w:val="auto"/>
          <w:sz w:val="24"/>
          <w:szCs w:val="24"/>
        </w:rPr>
        <w:t xml:space="preserve"> studies </w:t>
      </w:r>
      <w:r w:rsidR="009F417D" w:rsidRPr="0098723C">
        <w:rPr>
          <w:rFonts w:ascii="Verdana" w:hAnsi="Verdana"/>
          <w:color w:val="auto"/>
          <w:sz w:val="24"/>
          <w:szCs w:val="24"/>
        </w:rPr>
        <w:t>score</w:t>
      </w:r>
      <w:r w:rsidR="00714059" w:rsidRPr="0098723C">
        <w:rPr>
          <w:rFonts w:ascii="Verdana" w:hAnsi="Verdana"/>
          <w:color w:val="auto"/>
          <w:sz w:val="24"/>
          <w:szCs w:val="24"/>
        </w:rPr>
        <w:t>d</w:t>
      </w:r>
      <w:r w:rsidR="009F417D" w:rsidRPr="0098723C">
        <w:rPr>
          <w:rFonts w:ascii="Verdana" w:hAnsi="Verdana"/>
          <w:color w:val="auto"/>
          <w:sz w:val="24"/>
          <w:szCs w:val="24"/>
        </w:rPr>
        <w:t xml:space="preserve"> fully for questions related to ascertainment of </w:t>
      </w:r>
      <w:r w:rsidR="00C604D7" w:rsidRPr="0098723C">
        <w:rPr>
          <w:rFonts w:ascii="Verdana" w:hAnsi="Verdana"/>
          <w:color w:val="auto"/>
          <w:sz w:val="24"/>
          <w:szCs w:val="24"/>
        </w:rPr>
        <w:t xml:space="preserve">AUD </w:t>
      </w:r>
      <w:r w:rsidR="009F417D" w:rsidRPr="0098723C">
        <w:rPr>
          <w:rFonts w:ascii="Verdana" w:hAnsi="Verdana"/>
          <w:color w:val="auto"/>
          <w:sz w:val="24"/>
          <w:szCs w:val="24"/>
        </w:rPr>
        <w:t>status and death, and adequacy of length of follow up.</w:t>
      </w:r>
      <w:r w:rsidR="0031727C" w:rsidRPr="0098723C">
        <w:rPr>
          <w:rFonts w:ascii="Verdana" w:hAnsi="Verdana"/>
          <w:color w:val="auto"/>
          <w:sz w:val="24"/>
          <w:szCs w:val="24"/>
        </w:rPr>
        <w:t xml:space="preserve"> </w:t>
      </w:r>
      <w:r w:rsidR="00F76E61" w:rsidRPr="0098723C">
        <w:rPr>
          <w:rFonts w:ascii="Verdana" w:hAnsi="Verdana"/>
          <w:color w:val="auto"/>
          <w:sz w:val="24"/>
          <w:szCs w:val="24"/>
        </w:rPr>
        <w:t xml:space="preserve">Twelve </w:t>
      </w:r>
      <w:r w:rsidR="0031727C" w:rsidRPr="0098723C">
        <w:rPr>
          <w:rFonts w:ascii="Verdana" w:hAnsi="Verdana"/>
          <w:color w:val="auto"/>
          <w:sz w:val="24"/>
          <w:szCs w:val="24"/>
        </w:rPr>
        <w:t xml:space="preserve">papers </w:t>
      </w:r>
      <w:r w:rsidR="00153664" w:rsidRPr="0098723C">
        <w:rPr>
          <w:rFonts w:ascii="Verdana" w:hAnsi="Verdana"/>
          <w:color w:val="auto"/>
          <w:sz w:val="24"/>
          <w:szCs w:val="24"/>
        </w:rPr>
        <w:t>d</w:t>
      </w:r>
      <w:r w:rsidR="00C35C07" w:rsidRPr="0098723C">
        <w:rPr>
          <w:rFonts w:ascii="Verdana" w:hAnsi="Verdana"/>
          <w:color w:val="auto"/>
          <w:sz w:val="24"/>
          <w:szCs w:val="24"/>
        </w:rPr>
        <w:t>id</w:t>
      </w:r>
      <w:r w:rsidR="00153664" w:rsidRPr="0098723C">
        <w:rPr>
          <w:rFonts w:ascii="Verdana" w:hAnsi="Verdana"/>
          <w:color w:val="auto"/>
          <w:sz w:val="24"/>
          <w:szCs w:val="24"/>
        </w:rPr>
        <w:t xml:space="preserve"> not</w:t>
      </w:r>
      <w:r w:rsidR="0031727C" w:rsidRPr="0098723C">
        <w:rPr>
          <w:rFonts w:ascii="Verdana" w:hAnsi="Verdana"/>
          <w:color w:val="auto"/>
          <w:sz w:val="24"/>
          <w:szCs w:val="24"/>
        </w:rPr>
        <w:t xml:space="preserve"> report whether the sampled cohort </w:t>
      </w:r>
      <w:r w:rsidR="00C35C07" w:rsidRPr="0098723C">
        <w:rPr>
          <w:rFonts w:ascii="Verdana" w:hAnsi="Verdana"/>
          <w:color w:val="auto"/>
          <w:sz w:val="24"/>
          <w:szCs w:val="24"/>
        </w:rPr>
        <w:t>wa</w:t>
      </w:r>
      <w:r w:rsidR="00153664" w:rsidRPr="0098723C">
        <w:rPr>
          <w:rFonts w:ascii="Verdana" w:hAnsi="Verdana"/>
          <w:color w:val="auto"/>
          <w:sz w:val="24"/>
          <w:szCs w:val="24"/>
        </w:rPr>
        <w:t>s</w:t>
      </w:r>
      <w:r w:rsidR="0031727C" w:rsidRPr="0098723C">
        <w:rPr>
          <w:rFonts w:ascii="Verdana" w:hAnsi="Verdana"/>
          <w:color w:val="auto"/>
          <w:sz w:val="24"/>
          <w:szCs w:val="24"/>
        </w:rPr>
        <w:t xml:space="preserve"> representative of all </w:t>
      </w:r>
      <w:r w:rsidR="008B39D9" w:rsidRPr="0098723C">
        <w:rPr>
          <w:rFonts w:ascii="Verdana" w:hAnsi="Verdana"/>
          <w:color w:val="auto"/>
          <w:sz w:val="24"/>
          <w:szCs w:val="24"/>
        </w:rPr>
        <w:t xml:space="preserve">the </w:t>
      </w:r>
      <w:r w:rsidR="0031727C" w:rsidRPr="0098723C">
        <w:rPr>
          <w:rFonts w:ascii="Verdana" w:hAnsi="Verdana"/>
          <w:color w:val="auto"/>
          <w:sz w:val="24"/>
          <w:szCs w:val="24"/>
        </w:rPr>
        <w:t xml:space="preserve">patients receiving therapy for </w:t>
      </w:r>
      <w:r w:rsidR="00596C1A" w:rsidRPr="0098723C">
        <w:rPr>
          <w:rFonts w:ascii="Verdana" w:hAnsi="Verdana"/>
          <w:color w:val="auto"/>
          <w:sz w:val="24"/>
          <w:szCs w:val="24"/>
        </w:rPr>
        <w:t>AUD</w:t>
      </w:r>
      <w:r w:rsidR="0091696F" w:rsidRPr="0098723C">
        <w:rPr>
          <w:rFonts w:ascii="Verdana" w:hAnsi="Verdana"/>
          <w:color w:val="auto"/>
          <w:sz w:val="24"/>
          <w:szCs w:val="24"/>
        </w:rPr>
        <w:t>, a</w:t>
      </w:r>
      <w:r w:rsidR="0031727C" w:rsidRPr="0098723C">
        <w:rPr>
          <w:rFonts w:ascii="Verdana" w:hAnsi="Verdana"/>
          <w:color w:val="auto"/>
          <w:sz w:val="24"/>
          <w:szCs w:val="24"/>
        </w:rPr>
        <w:t xml:space="preserve">nd </w:t>
      </w:r>
      <w:r w:rsidR="00C604D7" w:rsidRPr="0098723C">
        <w:rPr>
          <w:rFonts w:ascii="Verdana" w:hAnsi="Verdana"/>
          <w:color w:val="auto"/>
          <w:sz w:val="24"/>
          <w:szCs w:val="24"/>
        </w:rPr>
        <w:t>1</w:t>
      </w:r>
      <w:r w:rsidR="00F76E61" w:rsidRPr="0098723C">
        <w:rPr>
          <w:rFonts w:ascii="Verdana" w:hAnsi="Verdana"/>
          <w:color w:val="auto"/>
          <w:sz w:val="24"/>
          <w:szCs w:val="24"/>
        </w:rPr>
        <w:t xml:space="preserve">6 </w:t>
      </w:r>
      <w:r w:rsidR="0031727C" w:rsidRPr="0098723C">
        <w:rPr>
          <w:rFonts w:ascii="Verdana" w:hAnsi="Verdana"/>
          <w:color w:val="auto"/>
          <w:sz w:val="24"/>
          <w:szCs w:val="24"/>
        </w:rPr>
        <w:t xml:space="preserve">papers </w:t>
      </w:r>
      <w:r w:rsidR="00C35C07" w:rsidRPr="0098723C">
        <w:rPr>
          <w:rFonts w:ascii="Verdana" w:hAnsi="Verdana"/>
          <w:color w:val="auto"/>
          <w:sz w:val="24"/>
          <w:szCs w:val="24"/>
        </w:rPr>
        <w:t xml:space="preserve">did </w:t>
      </w:r>
      <w:r w:rsidR="0031727C" w:rsidRPr="0098723C">
        <w:rPr>
          <w:rFonts w:ascii="Verdana" w:hAnsi="Verdana"/>
          <w:color w:val="auto"/>
          <w:sz w:val="24"/>
          <w:szCs w:val="24"/>
        </w:rPr>
        <w:t xml:space="preserve">not report the proportion of the cohort that </w:t>
      </w:r>
      <w:r w:rsidR="00153664" w:rsidRPr="0098723C">
        <w:rPr>
          <w:rFonts w:ascii="Verdana" w:hAnsi="Verdana"/>
          <w:color w:val="auto"/>
          <w:sz w:val="24"/>
          <w:szCs w:val="24"/>
        </w:rPr>
        <w:t xml:space="preserve">was </w:t>
      </w:r>
      <w:r w:rsidR="0031727C" w:rsidRPr="0098723C">
        <w:rPr>
          <w:rFonts w:ascii="Verdana" w:hAnsi="Verdana"/>
          <w:color w:val="auto"/>
          <w:sz w:val="24"/>
          <w:szCs w:val="24"/>
        </w:rPr>
        <w:t xml:space="preserve">lost </w:t>
      </w:r>
      <w:r w:rsidR="005A7E54" w:rsidRPr="0098723C">
        <w:rPr>
          <w:rFonts w:ascii="Verdana" w:hAnsi="Verdana"/>
          <w:color w:val="auto"/>
          <w:sz w:val="24"/>
          <w:szCs w:val="24"/>
        </w:rPr>
        <w:t xml:space="preserve">to </w:t>
      </w:r>
      <w:r w:rsidR="0031727C" w:rsidRPr="0098723C">
        <w:rPr>
          <w:rFonts w:ascii="Verdana" w:hAnsi="Verdana"/>
          <w:color w:val="auto"/>
          <w:sz w:val="24"/>
          <w:szCs w:val="24"/>
        </w:rPr>
        <w:t>follow up.</w:t>
      </w:r>
      <w:r w:rsidR="0091696F" w:rsidRPr="0098723C">
        <w:rPr>
          <w:rFonts w:ascii="Verdana" w:hAnsi="Verdana"/>
          <w:color w:val="auto"/>
          <w:sz w:val="24"/>
          <w:szCs w:val="24"/>
        </w:rPr>
        <w:t xml:space="preserve"> </w:t>
      </w:r>
      <w:r w:rsidRPr="0098723C">
        <w:rPr>
          <w:rFonts w:ascii="Verdana" w:hAnsi="Verdana"/>
          <w:color w:val="auto"/>
          <w:sz w:val="24"/>
          <w:szCs w:val="24"/>
        </w:rPr>
        <w:t xml:space="preserve">The quality assessment of </w:t>
      </w:r>
      <w:r w:rsidR="005A7E54" w:rsidRPr="0098723C">
        <w:rPr>
          <w:rFonts w:ascii="Verdana" w:hAnsi="Verdana"/>
          <w:color w:val="auto"/>
          <w:sz w:val="24"/>
          <w:szCs w:val="24"/>
        </w:rPr>
        <w:t xml:space="preserve">the included studies is presented </w:t>
      </w:r>
      <w:r w:rsidRPr="0098723C">
        <w:rPr>
          <w:rFonts w:ascii="Verdana" w:hAnsi="Verdana"/>
          <w:color w:val="auto"/>
          <w:sz w:val="24"/>
          <w:szCs w:val="24"/>
        </w:rPr>
        <w:t xml:space="preserve">in </w:t>
      </w:r>
      <w:r w:rsidR="00C776A8" w:rsidRPr="0098723C">
        <w:rPr>
          <w:rFonts w:ascii="Verdana" w:hAnsi="Verdana"/>
          <w:color w:val="auto"/>
          <w:sz w:val="24"/>
          <w:szCs w:val="24"/>
        </w:rPr>
        <w:t>Supplemental Information</w:t>
      </w:r>
      <w:r w:rsidR="00747512" w:rsidRPr="0098723C">
        <w:rPr>
          <w:rFonts w:ascii="Verdana" w:hAnsi="Verdana"/>
          <w:color w:val="auto"/>
          <w:sz w:val="24"/>
          <w:szCs w:val="24"/>
        </w:rPr>
        <w:t xml:space="preserve"> </w:t>
      </w:r>
      <w:r w:rsidRPr="0098723C">
        <w:rPr>
          <w:rFonts w:ascii="Verdana" w:hAnsi="Verdana"/>
          <w:color w:val="auto"/>
          <w:sz w:val="24"/>
          <w:szCs w:val="24"/>
        </w:rPr>
        <w:t>Table</w:t>
      </w:r>
      <w:r w:rsidR="005A7E54" w:rsidRPr="0098723C">
        <w:rPr>
          <w:rFonts w:ascii="Verdana" w:hAnsi="Verdana"/>
          <w:color w:val="auto"/>
          <w:sz w:val="24"/>
          <w:szCs w:val="24"/>
        </w:rPr>
        <w:t xml:space="preserve"> </w:t>
      </w:r>
      <w:r w:rsidR="00747512" w:rsidRPr="0098723C">
        <w:rPr>
          <w:rFonts w:ascii="Verdana" w:hAnsi="Verdana"/>
          <w:color w:val="auto"/>
          <w:sz w:val="24"/>
          <w:szCs w:val="24"/>
        </w:rPr>
        <w:t>S</w:t>
      </w:r>
      <w:r w:rsidR="00F76E61" w:rsidRPr="0098723C">
        <w:rPr>
          <w:rFonts w:ascii="Verdana" w:hAnsi="Verdana"/>
          <w:color w:val="auto"/>
          <w:sz w:val="24"/>
          <w:szCs w:val="24"/>
        </w:rPr>
        <w:t>6</w:t>
      </w:r>
      <w:r w:rsidR="00747512" w:rsidRPr="0098723C">
        <w:rPr>
          <w:rFonts w:ascii="Verdana" w:hAnsi="Verdana"/>
          <w:color w:val="auto"/>
          <w:sz w:val="24"/>
          <w:szCs w:val="24"/>
        </w:rPr>
        <w:t>.</w:t>
      </w:r>
    </w:p>
    <w:p w14:paraId="4EA3B7C2" w14:textId="77777777" w:rsidR="007279AC" w:rsidRPr="0098723C" w:rsidRDefault="00BD3B25" w:rsidP="009C0FAB">
      <w:pPr>
        <w:pStyle w:val="Heading2"/>
        <w:spacing w:after="240" w:line="480" w:lineRule="auto"/>
        <w:rPr>
          <w:color w:val="auto"/>
        </w:rPr>
      </w:pPr>
      <w:r w:rsidRPr="0098723C">
        <w:rPr>
          <w:color w:val="auto"/>
        </w:rPr>
        <w:t>Meta-a</w:t>
      </w:r>
      <w:r w:rsidR="007279AC" w:rsidRPr="0098723C">
        <w:rPr>
          <w:color w:val="auto"/>
        </w:rPr>
        <w:t>nalysis of all-cause mortality rates</w:t>
      </w:r>
    </w:p>
    <w:p w14:paraId="79CD6943" w14:textId="77777777" w:rsidR="007C7E95" w:rsidRPr="0098723C" w:rsidRDefault="00153664" w:rsidP="000F5A65">
      <w:pPr>
        <w:pStyle w:val="Body"/>
        <w:spacing w:line="480" w:lineRule="auto"/>
        <w:jc w:val="both"/>
        <w:rPr>
          <w:rFonts w:ascii="Verdana" w:hAnsi="Verdana"/>
          <w:color w:val="auto"/>
          <w:sz w:val="24"/>
          <w:szCs w:val="24"/>
        </w:rPr>
      </w:pPr>
      <w:r w:rsidRPr="0098723C">
        <w:rPr>
          <w:rFonts w:ascii="Verdana" w:hAnsi="Verdana"/>
          <w:color w:val="auto"/>
          <w:sz w:val="24"/>
          <w:szCs w:val="24"/>
        </w:rPr>
        <w:t>All-cause mortality among these predominantly middle-aged adults was 2</w:t>
      </w:r>
      <w:r w:rsidR="00DD2713" w:rsidRPr="0098723C">
        <w:rPr>
          <w:rFonts w:ascii="Verdana" w:hAnsi="Verdana"/>
          <w:color w:val="auto"/>
          <w:sz w:val="24"/>
          <w:szCs w:val="24"/>
        </w:rPr>
        <w:t>7</w:t>
      </w:r>
      <w:r w:rsidRPr="0098723C">
        <w:rPr>
          <w:rFonts w:ascii="Verdana" w:hAnsi="Verdana"/>
          <w:color w:val="auto"/>
          <w:sz w:val="24"/>
          <w:szCs w:val="24"/>
        </w:rPr>
        <w:t>.</w:t>
      </w:r>
      <w:r w:rsidR="00DD2713" w:rsidRPr="0098723C">
        <w:rPr>
          <w:rFonts w:ascii="Verdana" w:hAnsi="Verdana"/>
          <w:color w:val="auto"/>
          <w:sz w:val="24"/>
          <w:szCs w:val="24"/>
        </w:rPr>
        <w:t>67</w:t>
      </w:r>
      <w:r w:rsidRPr="0098723C">
        <w:rPr>
          <w:rFonts w:ascii="Verdana" w:hAnsi="Verdana"/>
          <w:color w:val="auto"/>
          <w:sz w:val="24"/>
          <w:szCs w:val="24"/>
        </w:rPr>
        <w:t>/1000py (95%CI 23.9, 3</w:t>
      </w:r>
      <w:r w:rsidR="00974415" w:rsidRPr="0098723C">
        <w:rPr>
          <w:rFonts w:ascii="Verdana" w:hAnsi="Verdana"/>
          <w:color w:val="auto"/>
          <w:sz w:val="24"/>
          <w:szCs w:val="24"/>
        </w:rPr>
        <w:t>2</w:t>
      </w:r>
      <w:r w:rsidRPr="0098723C">
        <w:rPr>
          <w:rFonts w:ascii="Verdana" w:hAnsi="Verdana"/>
          <w:color w:val="auto"/>
          <w:sz w:val="24"/>
          <w:szCs w:val="24"/>
        </w:rPr>
        <w:t>.</w:t>
      </w:r>
      <w:r w:rsidR="00974415" w:rsidRPr="0098723C">
        <w:rPr>
          <w:rFonts w:ascii="Verdana" w:hAnsi="Verdana"/>
          <w:color w:val="auto"/>
          <w:sz w:val="24"/>
          <w:szCs w:val="24"/>
        </w:rPr>
        <w:t>04</w:t>
      </w:r>
      <w:r w:rsidRPr="0098723C">
        <w:rPr>
          <w:rFonts w:ascii="Verdana" w:hAnsi="Verdana"/>
          <w:color w:val="auto"/>
          <w:sz w:val="24"/>
          <w:szCs w:val="24"/>
        </w:rPr>
        <w:t>)</w:t>
      </w:r>
      <w:r w:rsidR="004759A9" w:rsidRPr="0098723C">
        <w:rPr>
          <w:rFonts w:ascii="Verdana" w:hAnsi="Verdana"/>
          <w:color w:val="auto"/>
          <w:sz w:val="24"/>
          <w:szCs w:val="24"/>
        </w:rPr>
        <w:t xml:space="preserve"> </w:t>
      </w:r>
      <w:r w:rsidR="00617972" w:rsidRPr="0098723C">
        <w:rPr>
          <w:rFonts w:ascii="Verdana" w:hAnsi="Verdana"/>
          <w:color w:val="auto"/>
          <w:sz w:val="24"/>
          <w:szCs w:val="24"/>
        </w:rPr>
        <w:t>(Figure 1)</w:t>
      </w:r>
      <w:r w:rsidRPr="0098723C">
        <w:rPr>
          <w:rFonts w:ascii="Verdana" w:hAnsi="Verdana"/>
          <w:color w:val="auto"/>
          <w:sz w:val="24"/>
          <w:szCs w:val="24"/>
        </w:rPr>
        <w:t>.</w:t>
      </w:r>
      <w:r w:rsidR="00714059" w:rsidRPr="0098723C">
        <w:rPr>
          <w:rFonts w:ascii="Verdana" w:hAnsi="Verdana"/>
          <w:color w:val="auto"/>
          <w:sz w:val="24"/>
          <w:szCs w:val="24"/>
        </w:rPr>
        <w:t xml:space="preserve"> </w:t>
      </w:r>
      <w:r w:rsidR="007C7E95" w:rsidRPr="0098723C">
        <w:rPr>
          <w:rFonts w:ascii="Verdana" w:hAnsi="Verdana"/>
          <w:color w:val="auto"/>
          <w:sz w:val="24"/>
          <w:szCs w:val="24"/>
        </w:rPr>
        <w:t>The heterogeneity was high at I</w:t>
      </w:r>
      <w:r w:rsidR="007C7E95" w:rsidRPr="0098723C">
        <w:rPr>
          <w:rFonts w:ascii="Verdana" w:hAnsi="Verdana"/>
          <w:color w:val="auto"/>
          <w:sz w:val="24"/>
          <w:szCs w:val="24"/>
          <w:vertAlign w:val="superscript"/>
        </w:rPr>
        <w:t>2</w:t>
      </w:r>
      <w:r w:rsidR="007C7E95" w:rsidRPr="0098723C">
        <w:rPr>
          <w:rFonts w:ascii="Verdana" w:hAnsi="Verdana"/>
          <w:color w:val="auto"/>
          <w:sz w:val="24"/>
          <w:szCs w:val="24"/>
        </w:rPr>
        <w:t>=96.</w:t>
      </w:r>
      <w:r w:rsidR="00974415" w:rsidRPr="0098723C">
        <w:rPr>
          <w:rFonts w:ascii="Verdana" w:hAnsi="Verdana"/>
          <w:color w:val="auto"/>
          <w:sz w:val="24"/>
          <w:szCs w:val="24"/>
        </w:rPr>
        <w:t>9</w:t>
      </w:r>
      <w:r w:rsidR="007C7E95" w:rsidRPr="0098723C">
        <w:rPr>
          <w:rFonts w:ascii="Verdana" w:hAnsi="Verdana"/>
          <w:color w:val="auto"/>
          <w:sz w:val="24"/>
          <w:szCs w:val="24"/>
        </w:rPr>
        <w:t xml:space="preserve">%. </w:t>
      </w:r>
      <w:r w:rsidR="00714059" w:rsidRPr="0098723C">
        <w:rPr>
          <w:rFonts w:ascii="Verdana" w:hAnsi="Verdana"/>
          <w:color w:val="auto"/>
          <w:sz w:val="24"/>
          <w:szCs w:val="24"/>
        </w:rPr>
        <w:t>This estimate remained high when subgroup analyses were conducted using the following variables: demographic (average age; percent of males; country income level), clinical (the AUD subtype (AUD in general vs alcohol dependence only); mortality rate size), and methodological (study quality; whether there was a reported diagnostic system used to categorise causes of deaths).</w:t>
      </w:r>
    </w:p>
    <w:p w14:paraId="584C1CBC" w14:textId="77777777" w:rsidR="0088542C" w:rsidRPr="0098723C" w:rsidRDefault="0088542C" w:rsidP="0088542C">
      <w:pPr>
        <w:pStyle w:val="Body"/>
        <w:rPr>
          <w:color w:val="auto"/>
          <w:lang w:val="fr-FR"/>
        </w:rPr>
      </w:pPr>
      <w:r w:rsidRPr="0098723C">
        <w:rPr>
          <w:color w:val="auto"/>
          <w:lang w:val="fr-FR"/>
        </w:rPr>
        <w:t>[FIGURE 1 HERE]</w:t>
      </w:r>
    </w:p>
    <w:p w14:paraId="7AF739A0" w14:textId="77777777" w:rsidR="0088542C" w:rsidRPr="0098723C" w:rsidRDefault="0088542C" w:rsidP="0088542C">
      <w:pPr>
        <w:pStyle w:val="Heading"/>
        <w:jc w:val="left"/>
        <w:rPr>
          <w:color w:val="auto"/>
          <w:lang w:val="en-GB"/>
        </w:rPr>
      </w:pPr>
      <w:r w:rsidRPr="0098723C">
        <w:rPr>
          <w:rFonts w:eastAsia="Times New Roman" w:cs="Times New Roman"/>
          <w:color w:val="auto"/>
        </w:rPr>
        <w:t>Figure 1: Forest plot of pooled crude mortality rates: All-Cause Mortality</w:t>
      </w:r>
    </w:p>
    <w:p w14:paraId="796AAD73" w14:textId="77777777" w:rsidR="00153664" w:rsidRPr="0098723C" w:rsidRDefault="00153664" w:rsidP="009C0FAB">
      <w:pPr>
        <w:pStyle w:val="Heading2"/>
        <w:spacing w:after="240" w:line="480" w:lineRule="auto"/>
        <w:rPr>
          <w:color w:val="auto"/>
        </w:rPr>
      </w:pPr>
      <w:r w:rsidRPr="0098723C">
        <w:rPr>
          <w:color w:val="auto"/>
        </w:rPr>
        <w:t>Meta-analysis of cause-specific mortality rates</w:t>
      </w:r>
    </w:p>
    <w:p w14:paraId="0C8D1E93" w14:textId="77777777" w:rsidR="000677CC" w:rsidRPr="0098723C" w:rsidRDefault="00A65D40"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The diagnostic coding or terminology used to define the broad and narrow cause of death groups are presented in </w:t>
      </w:r>
      <w:r w:rsidR="00C776A8" w:rsidRPr="0098723C">
        <w:rPr>
          <w:rFonts w:ascii="Verdana" w:hAnsi="Verdana"/>
          <w:color w:val="auto"/>
          <w:sz w:val="24"/>
          <w:szCs w:val="24"/>
        </w:rPr>
        <w:t>Supplemental Information</w:t>
      </w:r>
      <w:r w:rsidRPr="0098723C">
        <w:rPr>
          <w:rFonts w:ascii="Verdana" w:hAnsi="Verdana"/>
          <w:color w:val="auto"/>
          <w:sz w:val="24"/>
          <w:szCs w:val="24"/>
        </w:rPr>
        <w:t>: Tables S</w:t>
      </w:r>
      <w:r w:rsidR="00FA25EF" w:rsidRPr="0098723C">
        <w:rPr>
          <w:rFonts w:ascii="Verdana" w:hAnsi="Verdana"/>
          <w:color w:val="auto"/>
          <w:sz w:val="24"/>
          <w:szCs w:val="24"/>
        </w:rPr>
        <w:t>7</w:t>
      </w:r>
      <w:r w:rsidRPr="0098723C">
        <w:rPr>
          <w:rFonts w:ascii="Verdana" w:hAnsi="Verdana"/>
          <w:color w:val="auto"/>
          <w:sz w:val="24"/>
          <w:szCs w:val="24"/>
        </w:rPr>
        <w:t>.1 and S</w:t>
      </w:r>
      <w:r w:rsidR="00FA25EF" w:rsidRPr="0098723C">
        <w:rPr>
          <w:rFonts w:ascii="Verdana" w:hAnsi="Verdana"/>
          <w:color w:val="auto"/>
          <w:sz w:val="24"/>
          <w:szCs w:val="24"/>
        </w:rPr>
        <w:t>7</w:t>
      </w:r>
      <w:r w:rsidRPr="0098723C">
        <w:rPr>
          <w:rFonts w:ascii="Verdana" w:hAnsi="Verdana"/>
          <w:color w:val="auto"/>
          <w:sz w:val="24"/>
          <w:szCs w:val="24"/>
        </w:rPr>
        <w:t>.2.</w:t>
      </w:r>
    </w:p>
    <w:p w14:paraId="1CDAA261" w14:textId="77777777" w:rsidR="00DC0EDA" w:rsidRPr="0098723C" w:rsidRDefault="00A65D40" w:rsidP="009C0FAB">
      <w:pPr>
        <w:pStyle w:val="Body"/>
        <w:spacing w:line="480" w:lineRule="auto"/>
        <w:jc w:val="both"/>
        <w:rPr>
          <w:rFonts w:ascii="Verdana" w:eastAsia="Verdana" w:hAnsi="Verdana" w:cs="Verdana"/>
          <w:color w:val="auto"/>
          <w:sz w:val="24"/>
          <w:szCs w:val="24"/>
        </w:rPr>
      </w:pPr>
      <w:r w:rsidRPr="0098723C">
        <w:rPr>
          <w:rFonts w:ascii="Verdana" w:hAnsi="Verdana"/>
          <w:color w:val="auto"/>
          <w:sz w:val="24"/>
          <w:szCs w:val="24"/>
        </w:rPr>
        <w:t>The</w:t>
      </w:r>
      <w:r w:rsidR="00DC0EDA" w:rsidRPr="0098723C">
        <w:rPr>
          <w:rFonts w:ascii="Verdana" w:hAnsi="Verdana"/>
          <w:color w:val="auto"/>
          <w:sz w:val="24"/>
          <w:szCs w:val="24"/>
        </w:rPr>
        <w:t xml:space="preserve"> forest plots of pooled crude mortality rates for </w:t>
      </w:r>
      <w:r w:rsidR="001F6C57" w:rsidRPr="0098723C">
        <w:rPr>
          <w:rFonts w:ascii="Verdana" w:hAnsi="Verdana"/>
          <w:color w:val="auto"/>
          <w:sz w:val="24"/>
          <w:szCs w:val="24"/>
        </w:rPr>
        <w:t xml:space="preserve">the five most common </w:t>
      </w:r>
      <w:r w:rsidR="00DC0EDA" w:rsidRPr="0098723C">
        <w:rPr>
          <w:rFonts w:ascii="Verdana" w:hAnsi="Verdana"/>
          <w:color w:val="auto"/>
          <w:sz w:val="24"/>
          <w:szCs w:val="24"/>
        </w:rPr>
        <w:t xml:space="preserve">cause of death </w:t>
      </w:r>
      <w:r w:rsidRPr="0098723C">
        <w:rPr>
          <w:rFonts w:ascii="Verdana" w:hAnsi="Verdana"/>
          <w:color w:val="auto"/>
          <w:sz w:val="24"/>
          <w:szCs w:val="24"/>
        </w:rPr>
        <w:t xml:space="preserve">are presented </w:t>
      </w:r>
      <w:r w:rsidR="00DC0EDA" w:rsidRPr="0098723C">
        <w:rPr>
          <w:rFonts w:ascii="Verdana" w:hAnsi="Verdana"/>
          <w:color w:val="auto"/>
          <w:sz w:val="24"/>
          <w:szCs w:val="24"/>
        </w:rPr>
        <w:t xml:space="preserve">in </w:t>
      </w:r>
      <w:r w:rsidR="00C776A8" w:rsidRPr="0098723C">
        <w:rPr>
          <w:rFonts w:ascii="Verdana" w:hAnsi="Verdana"/>
          <w:color w:val="auto"/>
          <w:sz w:val="24"/>
          <w:szCs w:val="24"/>
        </w:rPr>
        <w:t>Supplemental Information</w:t>
      </w:r>
      <w:r w:rsidR="00DC0EDA" w:rsidRPr="0098723C">
        <w:rPr>
          <w:rFonts w:ascii="Verdana" w:hAnsi="Verdana"/>
          <w:color w:val="auto"/>
          <w:sz w:val="24"/>
          <w:szCs w:val="24"/>
        </w:rPr>
        <w:t xml:space="preserve"> Tables and Figures S</w:t>
      </w:r>
      <w:r w:rsidR="00FA25EF" w:rsidRPr="0098723C">
        <w:rPr>
          <w:rFonts w:ascii="Verdana" w:hAnsi="Verdana"/>
          <w:color w:val="auto"/>
          <w:sz w:val="24"/>
          <w:szCs w:val="24"/>
        </w:rPr>
        <w:t>8.</w:t>
      </w:r>
      <w:r w:rsidR="00747512" w:rsidRPr="0098723C">
        <w:rPr>
          <w:rFonts w:ascii="Verdana" w:hAnsi="Verdana"/>
          <w:color w:val="auto"/>
          <w:sz w:val="24"/>
          <w:szCs w:val="24"/>
        </w:rPr>
        <w:t>1</w:t>
      </w:r>
      <w:r w:rsidR="00DC0EDA" w:rsidRPr="0098723C">
        <w:rPr>
          <w:rFonts w:ascii="Verdana" w:hAnsi="Verdana"/>
          <w:color w:val="auto"/>
          <w:sz w:val="24"/>
          <w:szCs w:val="24"/>
        </w:rPr>
        <w:t xml:space="preserve"> to S</w:t>
      </w:r>
      <w:r w:rsidR="00FA25EF" w:rsidRPr="0098723C">
        <w:rPr>
          <w:rFonts w:ascii="Verdana" w:hAnsi="Verdana"/>
          <w:color w:val="auto"/>
          <w:sz w:val="24"/>
          <w:szCs w:val="24"/>
        </w:rPr>
        <w:t>8</w:t>
      </w:r>
      <w:r w:rsidR="00C604D7" w:rsidRPr="0098723C">
        <w:rPr>
          <w:rFonts w:ascii="Verdana" w:hAnsi="Verdana"/>
          <w:color w:val="auto"/>
          <w:sz w:val="24"/>
          <w:szCs w:val="24"/>
        </w:rPr>
        <w:t>.</w:t>
      </w:r>
      <w:r w:rsidR="00974415" w:rsidRPr="0098723C">
        <w:rPr>
          <w:rFonts w:ascii="Verdana" w:hAnsi="Verdana"/>
          <w:color w:val="auto"/>
          <w:sz w:val="24"/>
          <w:szCs w:val="24"/>
        </w:rPr>
        <w:t>5</w:t>
      </w:r>
      <w:r w:rsidR="00DC0EDA" w:rsidRPr="0098723C">
        <w:rPr>
          <w:rFonts w:ascii="Verdana" w:hAnsi="Verdana"/>
          <w:color w:val="auto"/>
          <w:sz w:val="24"/>
          <w:szCs w:val="24"/>
        </w:rPr>
        <w:t>.</w:t>
      </w:r>
      <w:r w:rsidR="00FA439E" w:rsidRPr="0098723C">
        <w:rPr>
          <w:rFonts w:ascii="Verdana" w:hAnsi="Verdana"/>
          <w:color w:val="auto"/>
          <w:sz w:val="24"/>
          <w:szCs w:val="24"/>
        </w:rPr>
        <w:t xml:space="preserve"> Details of all-cause and cause-specific mortality rates for each study are </w:t>
      </w:r>
      <w:r w:rsidR="00506FE4" w:rsidRPr="0098723C">
        <w:rPr>
          <w:rFonts w:ascii="Verdana" w:hAnsi="Verdana"/>
          <w:color w:val="auto"/>
          <w:sz w:val="24"/>
          <w:szCs w:val="24"/>
        </w:rPr>
        <w:t xml:space="preserve">presented in </w:t>
      </w:r>
      <w:r w:rsidR="00C776A8" w:rsidRPr="0098723C">
        <w:rPr>
          <w:rFonts w:ascii="Verdana" w:hAnsi="Verdana"/>
          <w:color w:val="auto"/>
          <w:sz w:val="24"/>
          <w:szCs w:val="24"/>
        </w:rPr>
        <w:t>Supplemental Information</w:t>
      </w:r>
      <w:r w:rsidR="00FA439E" w:rsidRPr="0098723C">
        <w:rPr>
          <w:rFonts w:ascii="Verdana" w:hAnsi="Verdana"/>
          <w:color w:val="auto"/>
          <w:sz w:val="24"/>
          <w:szCs w:val="24"/>
        </w:rPr>
        <w:t xml:space="preserve"> Tables S</w:t>
      </w:r>
      <w:r w:rsidR="00974415" w:rsidRPr="0098723C">
        <w:rPr>
          <w:rFonts w:ascii="Verdana" w:hAnsi="Verdana"/>
          <w:color w:val="auto"/>
          <w:sz w:val="24"/>
          <w:szCs w:val="24"/>
        </w:rPr>
        <w:t>9</w:t>
      </w:r>
      <w:r w:rsidR="00FA439E" w:rsidRPr="0098723C">
        <w:rPr>
          <w:rFonts w:ascii="Verdana" w:hAnsi="Verdana"/>
          <w:color w:val="auto"/>
          <w:sz w:val="24"/>
          <w:szCs w:val="24"/>
        </w:rPr>
        <w:t>.1 and S</w:t>
      </w:r>
      <w:r w:rsidR="00974415" w:rsidRPr="0098723C">
        <w:rPr>
          <w:rFonts w:ascii="Verdana" w:hAnsi="Verdana"/>
          <w:color w:val="auto"/>
          <w:sz w:val="24"/>
          <w:szCs w:val="24"/>
        </w:rPr>
        <w:t>9</w:t>
      </w:r>
      <w:r w:rsidR="00FA439E" w:rsidRPr="0098723C">
        <w:rPr>
          <w:rFonts w:ascii="Verdana" w:hAnsi="Verdana"/>
          <w:color w:val="auto"/>
          <w:sz w:val="24"/>
          <w:szCs w:val="24"/>
        </w:rPr>
        <w:t>.2</w:t>
      </w:r>
      <w:r w:rsidR="00C06E8D" w:rsidRPr="0098723C">
        <w:rPr>
          <w:rFonts w:ascii="Verdana" w:hAnsi="Verdana"/>
          <w:color w:val="auto"/>
          <w:sz w:val="24"/>
          <w:szCs w:val="24"/>
        </w:rPr>
        <w:t xml:space="preserve">. We did not present the pooled rates </w:t>
      </w:r>
      <w:r w:rsidR="00F71668" w:rsidRPr="0098723C">
        <w:rPr>
          <w:rFonts w:ascii="Verdana" w:hAnsi="Verdana"/>
          <w:color w:val="auto"/>
          <w:sz w:val="24"/>
          <w:szCs w:val="24"/>
        </w:rPr>
        <w:t xml:space="preserve">for </w:t>
      </w:r>
      <w:r w:rsidR="00C06E8D" w:rsidRPr="0098723C">
        <w:rPr>
          <w:rFonts w:ascii="Verdana" w:hAnsi="Verdana"/>
          <w:color w:val="auto"/>
          <w:sz w:val="24"/>
          <w:szCs w:val="24"/>
        </w:rPr>
        <w:t xml:space="preserve">two </w:t>
      </w:r>
      <w:r w:rsidR="00F71668" w:rsidRPr="0098723C">
        <w:rPr>
          <w:rFonts w:ascii="Verdana" w:hAnsi="Verdana"/>
          <w:color w:val="auto"/>
          <w:sz w:val="24"/>
          <w:szCs w:val="24"/>
        </w:rPr>
        <w:t xml:space="preserve">specific </w:t>
      </w:r>
      <w:r w:rsidR="00C06E8D" w:rsidRPr="0098723C">
        <w:rPr>
          <w:rFonts w:ascii="Verdana" w:hAnsi="Verdana"/>
          <w:color w:val="auto"/>
          <w:sz w:val="24"/>
          <w:szCs w:val="24"/>
        </w:rPr>
        <w:t>causes of deaths (hypertension and HIV) as only two studies contributed data.</w:t>
      </w:r>
    </w:p>
    <w:p w14:paraId="0A9426D4" w14:textId="0DB1C1A9" w:rsidR="00183B2C" w:rsidRPr="0098723C" w:rsidRDefault="00F42C51"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The highest </w:t>
      </w:r>
      <w:r w:rsidR="006A6C53" w:rsidRPr="0098723C">
        <w:rPr>
          <w:rFonts w:ascii="Verdana" w:hAnsi="Verdana"/>
          <w:color w:val="auto"/>
          <w:sz w:val="24"/>
          <w:szCs w:val="24"/>
        </w:rPr>
        <w:t xml:space="preserve">cause-specific </w:t>
      </w:r>
      <w:r w:rsidR="008D4A6A" w:rsidRPr="0098723C">
        <w:rPr>
          <w:rFonts w:ascii="Verdana" w:hAnsi="Verdana"/>
          <w:color w:val="auto"/>
          <w:sz w:val="24"/>
          <w:szCs w:val="24"/>
        </w:rPr>
        <w:t xml:space="preserve">pooled </w:t>
      </w:r>
      <w:r w:rsidRPr="0098723C">
        <w:rPr>
          <w:rFonts w:ascii="Verdana" w:hAnsi="Verdana"/>
          <w:color w:val="auto"/>
          <w:sz w:val="24"/>
          <w:szCs w:val="24"/>
        </w:rPr>
        <w:t xml:space="preserve">mortality rate </w:t>
      </w:r>
      <w:r w:rsidR="00DC0EDA" w:rsidRPr="0098723C">
        <w:rPr>
          <w:rFonts w:ascii="Verdana" w:hAnsi="Verdana"/>
          <w:color w:val="auto"/>
          <w:sz w:val="24"/>
          <w:szCs w:val="24"/>
        </w:rPr>
        <w:t>w</w:t>
      </w:r>
      <w:r w:rsidR="008D24FC" w:rsidRPr="0098723C">
        <w:rPr>
          <w:rFonts w:ascii="Verdana" w:hAnsi="Verdana"/>
          <w:color w:val="auto"/>
          <w:sz w:val="24"/>
          <w:szCs w:val="24"/>
        </w:rPr>
        <w:t>as</w:t>
      </w:r>
      <w:r w:rsidR="00DC0EDA" w:rsidRPr="0098723C">
        <w:rPr>
          <w:rFonts w:ascii="Verdana" w:hAnsi="Verdana"/>
          <w:color w:val="auto"/>
          <w:sz w:val="24"/>
          <w:szCs w:val="24"/>
        </w:rPr>
        <w:t xml:space="preserve"> </w:t>
      </w:r>
      <w:r w:rsidR="008D24FC" w:rsidRPr="0098723C">
        <w:rPr>
          <w:rFonts w:ascii="Verdana" w:hAnsi="Verdana"/>
          <w:color w:val="auto"/>
          <w:sz w:val="24"/>
          <w:szCs w:val="24"/>
        </w:rPr>
        <w:t>that for</w:t>
      </w:r>
      <w:r w:rsidR="00BD3B25" w:rsidRPr="0098723C">
        <w:rPr>
          <w:rFonts w:ascii="Verdana" w:hAnsi="Verdana"/>
          <w:color w:val="auto"/>
          <w:sz w:val="24"/>
          <w:szCs w:val="24"/>
        </w:rPr>
        <w:t xml:space="preserve"> </w:t>
      </w:r>
      <w:r w:rsidRPr="0098723C">
        <w:rPr>
          <w:rFonts w:ascii="Verdana" w:hAnsi="Verdana"/>
          <w:color w:val="auto"/>
          <w:sz w:val="24"/>
          <w:szCs w:val="24"/>
        </w:rPr>
        <w:t xml:space="preserve">cardiovascular diseases </w:t>
      </w:r>
      <w:r w:rsidR="00974415" w:rsidRPr="0098723C">
        <w:rPr>
          <w:rFonts w:ascii="Verdana" w:hAnsi="Verdana"/>
          <w:color w:val="auto"/>
          <w:sz w:val="24"/>
          <w:szCs w:val="24"/>
        </w:rPr>
        <w:t xml:space="preserve">(6.9/1000py (95%CI 5.61, 8.49)), </w:t>
      </w:r>
      <w:r w:rsidRPr="0098723C">
        <w:rPr>
          <w:rFonts w:ascii="Verdana" w:hAnsi="Verdana"/>
          <w:color w:val="auto"/>
          <w:sz w:val="24"/>
          <w:szCs w:val="24"/>
        </w:rPr>
        <w:t>followed</w:t>
      </w:r>
      <w:r w:rsidR="00974415" w:rsidRPr="0098723C">
        <w:rPr>
          <w:rFonts w:ascii="Verdana" w:hAnsi="Verdana"/>
          <w:color w:val="auto"/>
          <w:sz w:val="24"/>
          <w:szCs w:val="24"/>
        </w:rPr>
        <w:t xml:space="preserve"> </w:t>
      </w:r>
      <w:r w:rsidRPr="0098723C">
        <w:rPr>
          <w:rFonts w:ascii="Verdana" w:hAnsi="Verdana"/>
          <w:color w:val="auto"/>
          <w:sz w:val="24"/>
          <w:szCs w:val="24"/>
        </w:rPr>
        <w:t xml:space="preserve">by </w:t>
      </w:r>
      <w:r w:rsidR="00974415" w:rsidRPr="0098723C">
        <w:rPr>
          <w:rFonts w:ascii="Verdana" w:hAnsi="Verdana"/>
          <w:color w:val="auto"/>
          <w:sz w:val="24"/>
          <w:szCs w:val="24"/>
        </w:rPr>
        <w:t>gastrointestinal diseases (5.63/1000py (95%CI 4.1, 7.74)</w:t>
      </w:r>
      <w:r w:rsidR="00DA6643" w:rsidRPr="0098723C">
        <w:rPr>
          <w:rFonts w:ascii="Verdana" w:hAnsi="Verdana"/>
          <w:color w:val="auto"/>
          <w:sz w:val="24"/>
          <w:szCs w:val="24"/>
        </w:rPr>
        <w:t>,</w:t>
      </w:r>
      <w:r w:rsidR="00974415" w:rsidRPr="0098723C">
        <w:rPr>
          <w:rFonts w:ascii="Verdana" w:hAnsi="Verdana"/>
          <w:color w:val="auto"/>
          <w:sz w:val="24"/>
          <w:szCs w:val="24"/>
        </w:rPr>
        <w:t xml:space="preserve"> </w:t>
      </w:r>
      <w:r w:rsidR="00BD3B25" w:rsidRPr="0098723C">
        <w:rPr>
          <w:rFonts w:ascii="Verdana" w:hAnsi="Verdana"/>
          <w:color w:val="auto"/>
          <w:sz w:val="24"/>
          <w:szCs w:val="24"/>
        </w:rPr>
        <w:t xml:space="preserve">unnatural deaths </w:t>
      </w:r>
      <w:r w:rsidR="00974415" w:rsidRPr="0098723C">
        <w:rPr>
          <w:rFonts w:ascii="Verdana" w:hAnsi="Verdana"/>
          <w:color w:val="auto"/>
          <w:sz w:val="24"/>
          <w:szCs w:val="24"/>
        </w:rPr>
        <w:t>(4.95/1000py (95%CI 4.01, 6.09))</w:t>
      </w:r>
      <w:r w:rsidR="00BD3B25" w:rsidRPr="0098723C">
        <w:rPr>
          <w:rFonts w:ascii="Verdana" w:hAnsi="Verdana"/>
          <w:color w:val="auto"/>
          <w:sz w:val="24"/>
          <w:szCs w:val="24"/>
        </w:rPr>
        <w:t xml:space="preserve">, </w:t>
      </w:r>
      <w:r w:rsidR="000E464C" w:rsidRPr="0098723C">
        <w:rPr>
          <w:rFonts w:ascii="Verdana" w:hAnsi="Verdana"/>
          <w:color w:val="auto"/>
          <w:sz w:val="24"/>
          <w:szCs w:val="24"/>
        </w:rPr>
        <w:t xml:space="preserve">neoplasms </w:t>
      </w:r>
      <w:r w:rsidR="002F0465" w:rsidRPr="0098723C">
        <w:rPr>
          <w:rFonts w:ascii="Verdana" w:hAnsi="Verdana"/>
          <w:color w:val="auto"/>
          <w:sz w:val="24"/>
          <w:szCs w:val="24"/>
        </w:rPr>
        <w:t>(</w:t>
      </w:r>
      <w:r w:rsidR="005533D5" w:rsidRPr="0098723C">
        <w:rPr>
          <w:rFonts w:ascii="Verdana" w:hAnsi="Verdana"/>
          <w:color w:val="auto"/>
          <w:sz w:val="24"/>
          <w:szCs w:val="24"/>
        </w:rPr>
        <w:t>4.</w:t>
      </w:r>
      <w:r w:rsidR="00DA6643" w:rsidRPr="0098723C">
        <w:rPr>
          <w:rFonts w:ascii="Verdana" w:hAnsi="Verdana"/>
          <w:color w:val="auto"/>
          <w:sz w:val="24"/>
          <w:szCs w:val="24"/>
        </w:rPr>
        <w:t>47</w:t>
      </w:r>
      <w:r w:rsidR="005533D5" w:rsidRPr="0098723C">
        <w:rPr>
          <w:rFonts w:ascii="Verdana" w:hAnsi="Verdana"/>
          <w:color w:val="auto"/>
          <w:sz w:val="24"/>
          <w:szCs w:val="24"/>
        </w:rPr>
        <w:t>/</w:t>
      </w:r>
      <w:r w:rsidR="002F0465" w:rsidRPr="0098723C">
        <w:rPr>
          <w:rFonts w:ascii="Verdana" w:hAnsi="Verdana"/>
          <w:color w:val="auto"/>
          <w:sz w:val="24"/>
          <w:szCs w:val="24"/>
        </w:rPr>
        <w:t>1000py (</w:t>
      </w:r>
      <w:r w:rsidR="00D1591F" w:rsidRPr="0098723C">
        <w:rPr>
          <w:rFonts w:ascii="Verdana" w:hAnsi="Verdana"/>
          <w:color w:val="auto"/>
          <w:sz w:val="24"/>
          <w:szCs w:val="24"/>
        </w:rPr>
        <w:t>95%CI</w:t>
      </w:r>
      <w:r w:rsidR="002F0465" w:rsidRPr="0098723C">
        <w:rPr>
          <w:rFonts w:ascii="Verdana" w:hAnsi="Verdana"/>
          <w:color w:val="auto"/>
          <w:sz w:val="24"/>
          <w:szCs w:val="24"/>
        </w:rPr>
        <w:t xml:space="preserve"> </w:t>
      </w:r>
      <w:r w:rsidR="00DA6643" w:rsidRPr="0098723C">
        <w:rPr>
          <w:rFonts w:ascii="Verdana" w:hAnsi="Verdana"/>
          <w:color w:val="auto"/>
          <w:sz w:val="24"/>
          <w:szCs w:val="24"/>
        </w:rPr>
        <w:t>3</w:t>
      </w:r>
      <w:r w:rsidR="005533D5" w:rsidRPr="0098723C">
        <w:rPr>
          <w:rFonts w:ascii="Verdana" w:hAnsi="Verdana"/>
          <w:color w:val="auto"/>
          <w:sz w:val="24"/>
          <w:szCs w:val="24"/>
        </w:rPr>
        <w:t>.</w:t>
      </w:r>
      <w:r w:rsidR="00DA6643" w:rsidRPr="0098723C">
        <w:rPr>
          <w:rFonts w:ascii="Verdana" w:hAnsi="Verdana"/>
          <w:color w:val="auto"/>
          <w:sz w:val="24"/>
          <w:szCs w:val="24"/>
        </w:rPr>
        <w:t>34,</w:t>
      </w:r>
      <w:r w:rsidR="002F0465" w:rsidRPr="0098723C">
        <w:rPr>
          <w:rFonts w:ascii="Verdana" w:hAnsi="Verdana"/>
          <w:color w:val="auto"/>
          <w:sz w:val="24"/>
          <w:szCs w:val="24"/>
        </w:rPr>
        <w:t xml:space="preserve"> </w:t>
      </w:r>
      <w:r w:rsidR="00DA6643" w:rsidRPr="0098723C">
        <w:rPr>
          <w:rFonts w:ascii="Verdana" w:hAnsi="Verdana"/>
          <w:color w:val="auto"/>
          <w:sz w:val="24"/>
          <w:szCs w:val="24"/>
        </w:rPr>
        <w:t>6</w:t>
      </w:r>
      <w:r w:rsidR="009262FC">
        <w:rPr>
          <w:rFonts w:ascii="Verdana" w:hAnsi="Verdana"/>
          <w:color w:val="auto"/>
          <w:sz w:val="24"/>
          <w:szCs w:val="24"/>
        </w:rPr>
        <w:t>.0</w:t>
      </w:r>
      <w:r w:rsidR="00372BD4">
        <w:rPr>
          <w:rFonts w:ascii="Verdana" w:hAnsi="Verdana"/>
          <w:color w:val="auto"/>
          <w:sz w:val="24"/>
          <w:szCs w:val="24"/>
        </w:rPr>
        <w:t>0</w:t>
      </w:r>
      <w:r w:rsidR="002F0465" w:rsidRPr="0098723C">
        <w:rPr>
          <w:rFonts w:ascii="Verdana" w:hAnsi="Verdana"/>
          <w:color w:val="auto"/>
          <w:sz w:val="24"/>
          <w:szCs w:val="24"/>
        </w:rPr>
        <w:t xml:space="preserve">)), </w:t>
      </w:r>
      <w:r w:rsidR="00183B2C" w:rsidRPr="0098723C">
        <w:rPr>
          <w:rFonts w:ascii="Verdana" w:hAnsi="Verdana"/>
          <w:color w:val="auto"/>
          <w:sz w:val="24"/>
          <w:szCs w:val="24"/>
        </w:rPr>
        <w:t xml:space="preserve">and </w:t>
      </w:r>
      <w:r w:rsidR="00DA6643" w:rsidRPr="0098723C">
        <w:rPr>
          <w:rFonts w:ascii="Verdana" w:hAnsi="Verdana"/>
          <w:color w:val="auto"/>
          <w:sz w:val="24"/>
          <w:szCs w:val="24"/>
        </w:rPr>
        <w:t>respiratory diseases (1.42/1000py (95%CI 0.96</w:t>
      </w:r>
      <w:r w:rsidR="00372BD4">
        <w:rPr>
          <w:rFonts w:ascii="Verdana" w:hAnsi="Verdana"/>
          <w:color w:val="auto"/>
          <w:sz w:val="24"/>
          <w:szCs w:val="24"/>
        </w:rPr>
        <w:t>, 2.10</w:t>
      </w:r>
      <w:r w:rsidR="00183B2C" w:rsidRPr="0098723C">
        <w:rPr>
          <w:rFonts w:ascii="Verdana" w:hAnsi="Verdana"/>
          <w:color w:val="auto"/>
          <w:sz w:val="24"/>
          <w:szCs w:val="24"/>
        </w:rPr>
        <w:t>)).</w:t>
      </w:r>
    </w:p>
    <w:p w14:paraId="70A24058" w14:textId="77777777" w:rsidR="002F0465" w:rsidRPr="0098723C" w:rsidRDefault="00A65D40"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This is summarized in table </w:t>
      </w:r>
      <w:r w:rsidR="00C976B3" w:rsidRPr="0098723C">
        <w:rPr>
          <w:rFonts w:ascii="Verdana" w:hAnsi="Verdana"/>
          <w:color w:val="auto"/>
          <w:sz w:val="24"/>
          <w:szCs w:val="24"/>
        </w:rPr>
        <w:t>2</w:t>
      </w:r>
      <w:r w:rsidR="002F0465" w:rsidRPr="0098723C">
        <w:rPr>
          <w:rFonts w:ascii="Verdana" w:hAnsi="Verdana"/>
          <w:color w:val="auto"/>
          <w:sz w:val="24"/>
          <w:szCs w:val="24"/>
        </w:rPr>
        <w:t>.</w:t>
      </w:r>
    </w:p>
    <w:p w14:paraId="1B8B6C0D" w14:textId="77777777" w:rsidR="0088542C" w:rsidRPr="0098723C" w:rsidRDefault="0088542C" w:rsidP="0088542C">
      <w:pPr>
        <w:pStyle w:val="Heading"/>
        <w:rPr>
          <w:color w:val="auto"/>
          <w:lang w:val="en-GB"/>
        </w:rPr>
      </w:pPr>
      <w:r w:rsidRPr="0098723C">
        <w:rPr>
          <w:color w:val="auto"/>
          <w:lang w:val="en-GB"/>
        </w:rPr>
        <w:t>Table 2: All-cause and cause-specific mortality rates</w:t>
      </w:r>
    </w:p>
    <w:p w14:paraId="4EBD00C5" w14:textId="77777777" w:rsidR="00E90CC8" w:rsidRPr="0098723C" w:rsidRDefault="00E90CC8" w:rsidP="00E90CC8">
      <w:pPr>
        <w:pStyle w:val="Body"/>
        <w:rPr>
          <w:color w:val="auto"/>
          <w:lang w:val="fr-FR"/>
        </w:rPr>
      </w:pPr>
      <w:r w:rsidRPr="0098723C">
        <w:rPr>
          <w:color w:val="auto"/>
          <w:lang w:val="fr-FR"/>
        </w:rPr>
        <w:t>[TABLE 2 HERE]</w:t>
      </w:r>
    </w:p>
    <w:p w14:paraId="43D35B6F" w14:textId="77777777" w:rsidR="0088542C" w:rsidRPr="0098723C" w:rsidRDefault="0088542C" w:rsidP="0088542C">
      <w:pPr>
        <w:pStyle w:val="Body"/>
        <w:spacing w:line="480" w:lineRule="auto"/>
        <w:jc w:val="both"/>
        <w:rPr>
          <w:rFonts w:ascii="Verdana" w:eastAsia="Verdana" w:hAnsi="Verdana" w:cs="Verdana"/>
          <w:color w:val="auto"/>
          <w:sz w:val="24"/>
          <w:szCs w:val="24"/>
        </w:rPr>
      </w:pPr>
      <w:r w:rsidRPr="0098723C">
        <w:rPr>
          <w:rFonts w:ascii="Verdana" w:hAnsi="Verdana"/>
          <w:color w:val="auto"/>
          <w:sz w:val="16"/>
          <w:szCs w:val="16"/>
        </w:rPr>
        <w:t>Note: the table reports pooled crude rates, for combined-genders</w:t>
      </w:r>
    </w:p>
    <w:p w14:paraId="1E67914F" w14:textId="77777777" w:rsidR="00153664" w:rsidRPr="0098723C" w:rsidRDefault="00153664" w:rsidP="009C0FAB">
      <w:pPr>
        <w:pStyle w:val="Heading2"/>
        <w:spacing w:after="240" w:line="480" w:lineRule="auto"/>
        <w:rPr>
          <w:color w:val="auto"/>
        </w:rPr>
      </w:pPr>
      <w:r w:rsidRPr="0098723C">
        <w:rPr>
          <w:color w:val="auto"/>
        </w:rPr>
        <w:t>Meta-analysis of the proportional mortality of specific causes of death</w:t>
      </w:r>
    </w:p>
    <w:p w14:paraId="063E5154" w14:textId="77777777" w:rsidR="001E3CF1" w:rsidRPr="0098723C" w:rsidRDefault="00A65D40" w:rsidP="009C0FAB">
      <w:pPr>
        <w:pStyle w:val="Body"/>
        <w:spacing w:line="480" w:lineRule="auto"/>
        <w:jc w:val="both"/>
        <w:rPr>
          <w:rFonts w:ascii="Verdana" w:hAnsi="Verdana"/>
          <w:color w:val="auto"/>
          <w:sz w:val="24"/>
          <w:szCs w:val="24"/>
        </w:rPr>
      </w:pPr>
      <w:r w:rsidRPr="0098723C">
        <w:rPr>
          <w:rFonts w:ascii="Verdana" w:eastAsia="Verdana" w:hAnsi="Verdana" w:cs="Verdana"/>
          <w:color w:val="auto"/>
          <w:sz w:val="24"/>
          <w:szCs w:val="24"/>
        </w:rPr>
        <w:t>Presenting this as</w:t>
      </w:r>
      <w:r w:rsidR="00BD3B25" w:rsidRPr="0098723C">
        <w:rPr>
          <w:rFonts w:ascii="Verdana" w:hAnsi="Verdana"/>
          <w:color w:val="auto"/>
          <w:sz w:val="24"/>
          <w:szCs w:val="24"/>
        </w:rPr>
        <w:t xml:space="preserve"> </w:t>
      </w:r>
      <w:r w:rsidR="008D4A6A" w:rsidRPr="0098723C">
        <w:rPr>
          <w:rFonts w:ascii="Verdana" w:hAnsi="Verdana"/>
          <w:color w:val="auto"/>
          <w:sz w:val="24"/>
          <w:szCs w:val="24"/>
        </w:rPr>
        <w:t>cause-specific proportion</w:t>
      </w:r>
      <w:r w:rsidR="00BD3B25" w:rsidRPr="0098723C">
        <w:rPr>
          <w:rFonts w:ascii="Verdana" w:hAnsi="Verdana"/>
          <w:color w:val="auto"/>
          <w:sz w:val="24"/>
          <w:szCs w:val="24"/>
        </w:rPr>
        <w:t>al mortality</w:t>
      </w:r>
      <w:r w:rsidRPr="0098723C">
        <w:rPr>
          <w:rFonts w:ascii="Verdana" w:hAnsi="Verdana"/>
          <w:color w:val="auto"/>
          <w:sz w:val="24"/>
          <w:szCs w:val="24"/>
        </w:rPr>
        <w:t>, t</w:t>
      </w:r>
      <w:r w:rsidR="0000629A" w:rsidRPr="0098723C">
        <w:rPr>
          <w:rFonts w:ascii="Verdana" w:hAnsi="Verdana"/>
          <w:color w:val="auto"/>
          <w:sz w:val="24"/>
          <w:szCs w:val="24"/>
        </w:rPr>
        <w:t>he largest proportional mortality was recorded by cardiovascular diseases, making up 2</w:t>
      </w:r>
      <w:r w:rsidR="00296CD6" w:rsidRPr="0098723C">
        <w:rPr>
          <w:rFonts w:ascii="Verdana" w:hAnsi="Verdana"/>
          <w:color w:val="auto"/>
          <w:sz w:val="24"/>
          <w:szCs w:val="24"/>
        </w:rPr>
        <w:t>4</w:t>
      </w:r>
      <w:r w:rsidR="0000629A" w:rsidRPr="0098723C">
        <w:rPr>
          <w:rFonts w:ascii="Verdana" w:hAnsi="Verdana"/>
          <w:color w:val="auto"/>
          <w:sz w:val="24"/>
          <w:szCs w:val="24"/>
        </w:rPr>
        <w:t>.</w:t>
      </w:r>
      <w:r w:rsidR="00296CD6" w:rsidRPr="0098723C">
        <w:rPr>
          <w:rFonts w:ascii="Verdana" w:hAnsi="Verdana"/>
          <w:color w:val="auto"/>
          <w:sz w:val="24"/>
          <w:szCs w:val="24"/>
        </w:rPr>
        <w:t>55</w:t>
      </w:r>
      <w:r w:rsidR="0000629A" w:rsidRPr="0098723C">
        <w:rPr>
          <w:rFonts w:ascii="Verdana" w:hAnsi="Verdana"/>
          <w:color w:val="auto"/>
          <w:sz w:val="24"/>
          <w:szCs w:val="24"/>
        </w:rPr>
        <w:t>% of deaths</w:t>
      </w:r>
      <w:r w:rsidR="008D4A6A" w:rsidRPr="0098723C">
        <w:rPr>
          <w:rFonts w:ascii="Verdana" w:hAnsi="Verdana"/>
          <w:color w:val="auto"/>
          <w:sz w:val="24"/>
          <w:szCs w:val="24"/>
        </w:rPr>
        <w:t xml:space="preserve"> (</w:t>
      </w:r>
      <w:r w:rsidR="00D1591F" w:rsidRPr="0098723C">
        <w:rPr>
          <w:rFonts w:ascii="Verdana" w:hAnsi="Verdana"/>
          <w:color w:val="auto"/>
          <w:sz w:val="24"/>
          <w:szCs w:val="24"/>
        </w:rPr>
        <w:t>95%CI</w:t>
      </w:r>
      <w:r w:rsidR="008D4A6A" w:rsidRPr="0098723C">
        <w:rPr>
          <w:rFonts w:ascii="Verdana" w:hAnsi="Verdana"/>
          <w:color w:val="auto"/>
          <w:sz w:val="24"/>
          <w:szCs w:val="24"/>
        </w:rPr>
        <w:t xml:space="preserve"> </w:t>
      </w:r>
      <w:r w:rsidR="00BD3B25" w:rsidRPr="0098723C">
        <w:rPr>
          <w:rFonts w:ascii="Verdana" w:hAnsi="Verdana"/>
          <w:color w:val="auto"/>
          <w:sz w:val="24"/>
          <w:szCs w:val="24"/>
        </w:rPr>
        <w:t>20.</w:t>
      </w:r>
      <w:r w:rsidR="00296CD6" w:rsidRPr="0098723C">
        <w:rPr>
          <w:rFonts w:ascii="Verdana" w:hAnsi="Verdana"/>
          <w:color w:val="auto"/>
          <w:sz w:val="24"/>
          <w:szCs w:val="24"/>
        </w:rPr>
        <w:t>14</w:t>
      </w:r>
      <w:r w:rsidR="00EE1321" w:rsidRPr="0098723C">
        <w:rPr>
          <w:rFonts w:ascii="Verdana" w:hAnsi="Verdana"/>
          <w:color w:val="auto"/>
          <w:sz w:val="24"/>
          <w:szCs w:val="24"/>
        </w:rPr>
        <w:t>,</w:t>
      </w:r>
      <w:r w:rsidR="008D4A6A" w:rsidRPr="0098723C">
        <w:rPr>
          <w:rFonts w:ascii="Verdana" w:hAnsi="Verdana"/>
          <w:color w:val="auto"/>
          <w:sz w:val="24"/>
          <w:szCs w:val="24"/>
        </w:rPr>
        <w:t xml:space="preserve"> </w:t>
      </w:r>
      <w:r w:rsidR="00487207" w:rsidRPr="0098723C">
        <w:rPr>
          <w:rFonts w:ascii="Verdana" w:hAnsi="Verdana"/>
          <w:color w:val="auto"/>
          <w:sz w:val="24"/>
          <w:szCs w:val="24"/>
        </w:rPr>
        <w:t>28</w:t>
      </w:r>
      <w:r w:rsidR="00BD3B25" w:rsidRPr="0098723C">
        <w:rPr>
          <w:rFonts w:ascii="Verdana" w:hAnsi="Verdana"/>
          <w:color w:val="auto"/>
          <w:sz w:val="24"/>
          <w:szCs w:val="24"/>
        </w:rPr>
        <w:t>.</w:t>
      </w:r>
      <w:r w:rsidR="00487207" w:rsidRPr="0098723C">
        <w:rPr>
          <w:rFonts w:ascii="Verdana" w:hAnsi="Verdana"/>
          <w:color w:val="auto"/>
          <w:sz w:val="24"/>
          <w:szCs w:val="24"/>
        </w:rPr>
        <w:t>96</w:t>
      </w:r>
      <w:r w:rsidR="008D4A6A" w:rsidRPr="0098723C">
        <w:rPr>
          <w:rFonts w:ascii="Verdana" w:hAnsi="Verdana"/>
          <w:color w:val="auto"/>
          <w:sz w:val="24"/>
          <w:szCs w:val="24"/>
        </w:rPr>
        <w:t>)</w:t>
      </w:r>
      <w:r w:rsidR="00BD3B25" w:rsidRPr="0098723C">
        <w:rPr>
          <w:rFonts w:ascii="Verdana" w:hAnsi="Verdana"/>
          <w:color w:val="auto"/>
          <w:sz w:val="24"/>
          <w:szCs w:val="24"/>
        </w:rPr>
        <w:t xml:space="preserve">. This was followed by </w:t>
      </w:r>
      <w:r w:rsidR="00487207" w:rsidRPr="0098723C">
        <w:rPr>
          <w:rFonts w:ascii="Verdana" w:hAnsi="Verdana"/>
          <w:color w:val="auto"/>
          <w:sz w:val="24"/>
          <w:szCs w:val="24"/>
        </w:rPr>
        <w:t xml:space="preserve">gastrointestinal diseases (20.35% (95%CI 16.39, 24.31)), </w:t>
      </w:r>
      <w:r w:rsidR="00BD3B25" w:rsidRPr="0098723C">
        <w:rPr>
          <w:rFonts w:ascii="Verdana" w:hAnsi="Verdana"/>
          <w:color w:val="auto"/>
          <w:sz w:val="24"/>
          <w:szCs w:val="24"/>
        </w:rPr>
        <w:t>unnatural deaths (1</w:t>
      </w:r>
      <w:r w:rsidR="00487207" w:rsidRPr="0098723C">
        <w:rPr>
          <w:rFonts w:ascii="Verdana" w:hAnsi="Verdana"/>
          <w:color w:val="auto"/>
          <w:sz w:val="24"/>
          <w:szCs w:val="24"/>
        </w:rPr>
        <w:t>8</w:t>
      </w:r>
      <w:r w:rsidR="00BD3B25" w:rsidRPr="0098723C">
        <w:rPr>
          <w:rFonts w:ascii="Verdana" w:hAnsi="Verdana"/>
          <w:color w:val="auto"/>
          <w:sz w:val="24"/>
          <w:szCs w:val="24"/>
        </w:rPr>
        <w:t>.2% (59%CI 15.</w:t>
      </w:r>
      <w:r w:rsidR="00487207" w:rsidRPr="0098723C">
        <w:rPr>
          <w:rFonts w:ascii="Verdana" w:hAnsi="Verdana"/>
          <w:color w:val="auto"/>
          <w:sz w:val="24"/>
          <w:szCs w:val="24"/>
        </w:rPr>
        <w:t>07</w:t>
      </w:r>
      <w:r w:rsidR="00BD3B25" w:rsidRPr="0098723C">
        <w:rPr>
          <w:rFonts w:ascii="Verdana" w:hAnsi="Verdana"/>
          <w:color w:val="auto"/>
          <w:sz w:val="24"/>
          <w:szCs w:val="24"/>
        </w:rPr>
        <w:t>, 2</w:t>
      </w:r>
      <w:r w:rsidR="00487207" w:rsidRPr="0098723C">
        <w:rPr>
          <w:rFonts w:ascii="Verdana" w:hAnsi="Verdana"/>
          <w:color w:val="auto"/>
          <w:sz w:val="24"/>
          <w:szCs w:val="24"/>
        </w:rPr>
        <w:t>1</w:t>
      </w:r>
      <w:r w:rsidR="00BD3B25" w:rsidRPr="0098723C">
        <w:rPr>
          <w:rFonts w:ascii="Verdana" w:hAnsi="Verdana"/>
          <w:color w:val="auto"/>
          <w:sz w:val="24"/>
          <w:szCs w:val="24"/>
        </w:rPr>
        <w:t>.</w:t>
      </w:r>
      <w:r w:rsidR="00487207" w:rsidRPr="0098723C">
        <w:rPr>
          <w:rFonts w:ascii="Verdana" w:hAnsi="Verdana"/>
          <w:color w:val="auto"/>
          <w:sz w:val="24"/>
          <w:szCs w:val="24"/>
        </w:rPr>
        <w:t>34</w:t>
      </w:r>
      <w:r w:rsidR="00BD3B25" w:rsidRPr="0098723C">
        <w:rPr>
          <w:rFonts w:ascii="Verdana" w:hAnsi="Verdana"/>
          <w:color w:val="auto"/>
          <w:sz w:val="24"/>
          <w:szCs w:val="24"/>
        </w:rPr>
        <w:t>)), neoplasms (1</w:t>
      </w:r>
      <w:r w:rsidR="00487207" w:rsidRPr="0098723C">
        <w:rPr>
          <w:rFonts w:ascii="Verdana" w:hAnsi="Verdana"/>
          <w:color w:val="auto"/>
          <w:sz w:val="24"/>
          <w:szCs w:val="24"/>
        </w:rPr>
        <w:t>4</w:t>
      </w:r>
      <w:r w:rsidR="00BD3B25" w:rsidRPr="0098723C">
        <w:rPr>
          <w:rFonts w:ascii="Verdana" w:hAnsi="Verdana"/>
          <w:color w:val="auto"/>
          <w:sz w:val="24"/>
          <w:szCs w:val="24"/>
        </w:rPr>
        <w:t>.</w:t>
      </w:r>
      <w:r w:rsidR="00487207" w:rsidRPr="0098723C">
        <w:rPr>
          <w:rFonts w:ascii="Verdana" w:hAnsi="Verdana"/>
          <w:color w:val="auto"/>
          <w:sz w:val="24"/>
          <w:szCs w:val="24"/>
        </w:rPr>
        <w:t>93</w:t>
      </w:r>
      <w:r w:rsidR="00BD3B25" w:rsidRPr="0098723C">
        <w:rPr>
          <w:rFonts w:ascii="Verdana" w:hAnsi="Verdana"/>
          <w:color w:val="auto"/>
          <w:sz w:val="24"/>
          <w:szCs w:val="24"/>
        </w:rPr>
        <w:t>% (95%CI 1</w:t>
      </w:r>
      <w:r w:rsidR="00487207" w:rsidRPr="0098723C">
        <w:rPr>
          <w:rFonts w:ascii="Verdana" w:hAnsi="Verdana"/>
          <w:color w:val="auto"/>
          <w:sz w:val="24"/>
          <w:szCs w:val="24"/>
        </w:rPr>
        <w:t>1</w:t>
      </w:r>
      <w:r w:rsidR="00BD3B25" w:rsidRPr="0098723C">
        <w:rPr>
          <w:rFonts w:ascii="Verdana" w:hAnsi="Verdana"/>
          <w:color w:val="auto"/>
          <w:sz w:val="24"/>
          <w:szCs w:val="24"/>
        </w:rPr>
        <w:t>.</w:t>
      </w:r>
      <w:r w:rsidR="00487207" w:rsidRPr="0098723C">
        <w:rPr>
          <w:rFonts w:ascii="Verdana" w:hAnsi="Verdana"/>
          <w:color w:val="auto"/>
          <w:sz w:val="24"/>
          <w:szCs w:val="24"/>
        </w:rPr>
        <w:t>35</w:t>
      </w:r>
      <w:r w:rsidR="00BD3B25" w:rsidRPr="0098723C">
        <w:rPr>
          <w:rFonts w:ascii="Verdana" w:hAnsi="Verdana"/>
          <w:color w:val="auto"/>
          <w:sz w:val="24"/>
          <w:szCs w:val="24"/>
        </w:rPr>
        <w:t>, 1</w:t>
      </w:r>
      <w:r w:rsidR="00487207" w:rsidRPr="0098723C">
        <w:rPr>
          <w:rFonts w:ascii="Verdana" w:hAnsi="Verdana"/>
          <w:color w:val="auto"/>
          <w:sz w:val="24"/>
          <w:szCs w:val="24"/>
        </w:rPr>
        <w:t>8</w:t>
      </w:r>
      <w:r w:rsidR="00BD3B25" w:rsidRPr="0098723C">
        <w:rPr>
          <w:rFonts w:ascii="Verdana" w:hAnsi="Verdana"/>
          <w:color w:val="auto"/>
          <w:sz w:val="24"/>
          <w:szCs w:val="24"/>
        </w:rPr>
        <w:t>.</w:t>
      </w:r>
      <w:r w:rsidR="00487207" w:rsidRPr="0098723C">
        <w:rPr>
          <w:rFonts w:ascii="Verdana" w:hAnsi="Verdana"/>
          <w:color w:val="auto"/>
          <w:sz w:val="24"/>
          <w:szCs w:val="24"/>
        </w:rPr>
        <w:t>51</w:t>
      </w:r>
      <w:r w:rsidR="00BD3B25" w:rsidRPr="0098723C">
        <w:rPr>
          <w:rFonts w:ascii="Verdana" w:hAnsi="Verdana"/>
          <w:color w:val="auto"/>
          <w:sz w:val="24"/>
          <w:szCs w:val="24"/>
        </w:rPr>
        <w:t>)), and substance use disorders (5.2</w:t>
      </w:r>
      <w:r w:rsidR="00487207" w:rsidRPr="0098723C">
        <w:rPr>
          <w:rFonts w:ascii="Verdana" w:hAnsi="Verdana"/>
          <w:color w:val="auto"/>
          <w:sz w:val="24"/>
          <w:szCs w:val="24"/>
        </w:rPr>
        <w:t>4</w:t>
      </w:r>
      <w:r w:rsidR="00BD3B25" w:rsidRPr="0098723C">
        <w:rPr>
          <w:rFonts w:ascii="Verdana" w:hAnsi="Verdana"/>
          <w:color w:val="auto"/>
          <w:sz w:val="24"/>
          <w:szCs w:val="24"/>
        </w:rPr>
        <w:t>% (95%CI 3.7</w:t>
      </w:r>
      <w:r w:rsidR="00487207" w:rsidRPr="0098723C">
        <w:rPr>
          <w:rFonts w:ascii="Verdana" w:hAnsi="Verdana"/>
          <w:color w:val="auto"/>
          <w:sz w:val="24"/>
          <w:szCs w:val="24"/>
        </w:rPr>
        <w:t>6</w:t>
      </w:r>
      <w:r w:rsidR="00BD3B25" w:rsidRPr="0098723C">
        <w:rPr>
          <w:rFonts w:ascii="Verdana" w:hAnsi="Verdana"/>
          <w:color w:val="auto"/>
          <w:sz w:val="24"/>
          <w:szCs w:val="24"/>
        </w:rPr>
        <w:t xml:space="preserve">, </w:t>
      </w:r>
      <w:r w:rsidR="00487207" w:rsidRPr="0098723C">
        <w:rPr>
          <w:rFonts w:ascii="Verdana" w:hAnsi="Verdana"/>
          <w:color w:val="auto"/>
          <w:sz w:val="24"/>
          <w:szCs w:val="24"/>
        </w:rPr>
        <w:t>6.</w:t>
      </w:r>
      <w:r w:rsidR="00BD3B25" w:rsidRPr="0098723C">
        <w:rPr>
          <w:rFonts w:ascii="Verdana" w:hAnsi="Verdana"/>
          <w:color w:val="auto"/>
          <w:sz w:val="24"/>
          <w:szCs w:val="24"/>
        </w:rPr>
        <w:t xml:space="preserve">71)). </w:t>
      </w:r>
      <w:r w:rsidRPr="0098723C">
        <w:rPr>
          <w:rFonts w:ascii="Verdana" w:hAnsi="Verdana"/>
          <w:color w:val="auto"/>
          <w:sz w:val="24"/>
          <w:szCs w:val="24"/>
        </w:rPr>
        <w:t xml:space="preserve">This is summarized </w:t>
      </w:r>
      <w:r w:rsidR="0000629A" w:rsidRPr="0098723C">
        <w:rPr>
          <w:rFonts w:ascii="Verdana" w:hAnsi="Verdana"/>
          <w:color w:val="auto"/>
          <w:sz w:val="24"/>
          <w:szCs w:val="24"/>
        </w:rPr>
        <w:t xml:space="preserve">in Table </w:t>
      </w:r>
      <w:r w:rsidR="00C976B3" w:rsidRPr="0098723C">
        <w:rPr>
          <w:rFonts w:ascii="Verdana" w:hAnsi="Verdana"/>
          <w:color w:val="auto"/>
          <w:sz w:val="24"/>
          <w:szCs w:val="24"/>
        </w:rPr>
        <w:t>3</w:t>
      </w:r>
      <w:r w:rsidR="0000629A" w:rsidRPr="0098723C">
        <w:rPr>
          <w:rFonts w:ascii="Verdana" w:hAnsi="Verdana"/>
          <w:color w:val="auto"/>
          <w:sz w:val="24"/>
          <w:szCs w:val="24"/>
        </w:rPr>
        <w:t>.</w:t>
      </w:r>
    </w:p>
    <w:p w14:paraId="1FC2BDE3" w14:textId="77777777" w:rsidR="0088542C" w:rsidRPr="0098723C" w:rsidRDefault="0088542C" w:rsidP="0088542C">
      <w:pPr>
        <w:pStyle w:val="Heading"/>
        <w:rPr>
          <w:color w:val="auto"/>
          <w:lang w:val="en-GB"/>
        </w:rPr>
      </w:pPr>
      <w:r w:rsidRPr="0098723C">
        <w:rPr>
          <w:color w:val="auto"/>
          <w:lang w:val="en-GB"/>
        </w:rPr>
        <w:t>Table 3: Proportional mortality of specific causes of death</w:t>
      </w:r>
    </w:p>
    <w:p w14:paraId="0CFB740D" w14:textId="77777777" w:rsidR="00F30AA3" w:rsidRPr="0098723C" w:rsidRDefault="00F30AA3" w:rsidP="00F30AA3">
      <w:pPr>
        <w:pStyle w:val="Body"/>
        <w:rPr>
          <w:color w:val="auto"/>
          <w:lang w:val="fr-FR"/>
        </w:rPr>
      </w:pPr>
      <w:r w:rsidRPr="0098723C">
        <w:rPr>
          <w:color w:val="auto"/>
          <w:lang w:val="fr-FR"/>
        </w:rPr>
        <w:t>[TABLE 3 HERE]</w:t>
      </w:r>
    </w:p>
    <w:p w14:paraId="259FCE3F" w14:textId="77777777" w:rsidR="0088542C" w:rsidRPr="0098723C" w:rsidRDefault="0088542C" w:rsidP="0088542C">
      <w:pPr>
        <w:pStyle w:val="Body"/>
        <w:spacing w:line="480" w:lineRule="auto"/>
        <w:jc w:val="both"/>
        <w:rPr>
          <w:rFonts w:ascii="Verdana" w:hAnsi="Verdana"/>
          <w:color w:val="auto"/>
          <w:sz w:val="16"/>
          <w:szCs w:val="16"/>
        </w:rPr>
      </w:pPr>
      <w:r w:rsidRPr="0098723C">
        <w:rPr>
          <w:rFonts w:ascii="Verdana" w:hAnsi="Verdana"/>
          <w:color w:val="auto"/>
          <w:sz w:val="16"/>
          <w:szCs w:val="16"/>
        </w:rPr>
        <w:t>Note: the table reports pooled proportions, for combined-genders</w:t>
      </w:r>
    </w:p>
    <w:p w14:paraId="7EB81136" w14:textId="77777777" w:rsidR="00153664" w:rsidRPr="0098723C" w:rsidRDefault="00153664" w:rsidP="009C0FAB">
      <w:pPr>
        <w:pStyle w:val="Heading2"/>
        <w:spacing w:after="240" w:line="480" w:lineRule="auto"/>
        <w:rPr>
          <w:color w:val="auto"/>
        </w:rPr>
      </w:pPr>
      <w:r w:rsidRPr="0098723C">
        <w:rPr>
          <w:color w:val="auto"/>
        </w:rPr>
        <w:t>Comparison of rates and proportional mortality to those of the global population</w:t>
      </w:r>
    </w:p>
    <w:p w14:paraId="76794C02" w14:textId="77777777" w:rsidR="001E3CF1" w:rsidRPr="0098723C" w:rsidRDefault="00506FE4"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Lastly, t</w:t>
      </w:r>
      <w:r w:rsidR="00A65D40" w:rsidRPr="0098723C">
        <w:rPr>
          <w:rFonts w:ascii="Verdana" w:hAnsi="Verdana"/>
          <w:color w:val="auto"/>
          <w:sz w:val="24"/>
          <w:szCs w:val="24"/>
        </w:rPr>
        <w:t xml:space="preserve">able </w:t>
      </w:r>
      <w:r w:rsidR="00C976B3" w:rsidRPr="0098723C">
        <w:rPr>
          <w:rFonts w:ascii="Verdana" w:hAnsi="Verdana"/>
          <w:color w:val="auto"/>
          <w:sz w:val="24"/>
          <w:szCs w:val="24"/>
        </w:rPr>
        <w:t>4</w:t>
      </w:r>
      <w:r w:rsidR="00A65D40" w:rsidRPr="0098723C">
        <w:rPr>
          <w:rFonts w:ascii="Verdana" w:hAnsi="Verdana"/>
          <w:color w:val="auto"/>
          <w:sz w:val="24"/>
          <w:szCs w:val="24"/>
        </w:rPr>
        <w:t xml:space="preserve"> compares the </w:t>
      </w:r>
      <w:r w:rsidR="00010742" w:rsidRPr="0098723C">
        <w:rPr>
          <w:rFonts w:ascii="Verdana" w:hAnsi="Verdana"/>
          <w:color w:val="auto"/>
          <w:sz w:val="24"/>
          <w:szCs w:val="24"/>
        </w:rPr>
        <w:t xml:space="preserve">differences in the pattern of specific causes of death in the alcohol treatment population as distinct from the </w:t>
      </w:r>
      <w:r w:rsidRPr="0098723C">
        <w:rPr>
          <w:rFonts w:ascii="Verdana" w:hAnsi="Verdana"/>
          <w:color w:val="auto"/>
          <w:sz w:val="24"/>
          <w:szCs w:val="24"/>
        </w:rPr>
        <w:t>2010 global general population</w:t>
      </w:r>
      <w:r w:rsidR="004759A9"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21</w:t>
      </w:r>
      <w:r w:rsidR="00010742" w:rsidRPr="0098723C">
        <w:rPr>
          <w:rFonts w:ascii="Verdana" w:hAnsi="Verdana"/>
          <w:color w:val="auto"/>
          <w:sz w:val="24"/>
          <w:szCs w:val="24"/>
        </w:rPr>
        <w:t xml:space="preserve">. </w:t>
      </w:r>
      <w:r w:rsidR="00A65D40" w:rsidRPr="0098723C">
        <w:rPr>
          <w:rFonts w:ascii="Verdana" w:hAnsi="Verdana"/>
          <w:color w:val="auto"/>
          <w:sz w:val="24"/>
          <w:szCs w:val="24"/>
        </w:rPr>
        <w:t>The all-cause mortality in the alcohol treatment population is more than three times that of the general population (2</w:t>
      </w:r>
      <w:r w:rsidR="00487207" w:rsidRPr="0098723C">
        <w:rPr>
          <w:rFonts w:ascii="Verdana" w:hAnsi="Verdana"/>
          <w:color w:val="auto"/>
          <w:sz w:val="24"/>
          <w:szCs w:val="24"/>
        </w:rPr>
        <w:t>7</w:t>
      </w:r>
      <w:r w:rsidR="00A65D40" w:rsidRPr="0098723C">
        <w:rPr>
          <w:rFonts w:ascii="Verdana" w:hAnsi="Verdana"/>
          <w:color w:val="auto"/>
          <w:sz w:val="24"/>
          <w:szCs w:val="24"/>
        </w:rPr>
        <w:t>.</w:t>
      </w:r>
      <w:r w:rsidR="00487207" w:rsidRPr="0098723C">
        <w:rPr>
          <w:rFonts w:ascii="Verdana" w:hAnsi="Verdana"/>
          <w:color w:val="auto"/>
          <w:sz w:val="24"/>
          <w:szCs w:val="24"/>
        </w:rPr>
        <w:t>67</w:t>
      </w:r>
      <w:r w:rsidR="00A65D40" w:rsidRPr="0098723C">
        <w:rPr>
          <w:rFonts w:ascii="Verdana" w:hAnsi="Verdana"/>
          <w:color w:val="auto"/>
          <w:sz w:val="24"/>
          <w:szCs w:val="24"/>
        </w:rPr>
        <w:t xml:space="preserve">/1000py vs. 8.8/1000). </w:t>
      </w:r>
      <w:r w:rsidR="00010742" w:rsidRPr="0098723C">
        <w:rPr>
          <w:rFonts w:ascii="Verdana" w:hAnsi="Verdana"/>
          <w:color w:val="auto"/>
          <w:sz w:val="24"/>
          <w:szCs w:val="24"/>
        </w:rPr>
        <w:t xml:space="preserve">The population </w:t>
      </w:r>
      <w:r w:rsidR="00475D65" w:rsidRPr="0098723C">
        <w:rPr>
          <w:rFonts w:ascii="Verdana" w:hAnsi="Verdana"/>
          <w:color w:val="auto"/>
          <w:sz w:val="24"/>
          <w:szCs w:val="24"/>
        </w:rPr>
        <w:t xml:space="preserve">of patients with AUD </w:t>
      </w:r>
      <w:r w:rsidR="00010742" w:rsidRPr="0098723C">
        <w:rPr>
          <w:rFonts w:ascii="Verdana" w:hAnsi="Verdana"/>
          <w:color w:val="auto"/>
          <w:sz w:val="24"/>
          <w:szCs w:val="24"/>
        </w:rPr>
        <w:t xml:space="preserve">share cardiovascular diseases as the most common cause of death (mortality rate (MR): </w:t>
      </w:r>
      <w:r w:rsidR="00487207" w:rsidRPr="0098723C">
        <w:rPr>
          <w:rFonts w:ascii="Verdana" w:hAnsi="Verdana"/>
          <w:color w:val="auto"/>
          <w:sz w:val="24"/>
          <w:szCs w:val="24"/>
        </w:rPr>
        <w:t>6</w:t>
      </w:r>
      <w:r w:rsidR="00010742" w:rsidRPr="0098723C">
        <w:rPr>
          <w:rFonts w:ascii="Verdana" w:hAnsi="Verdana"/>
          <w:color w:val="auto"/>
          <w:sz w:val="24"/>
          <w:szCs w:val="24"/>
        </w:rPr>
        <w:t>.</w:t>
      </w:r>
      <w:r w:rsidR="00487207" w:rsidRPr="0098723C">
        <w:rPr>
          <w:rFonts w:ascii="Verdana" w:hAnsi="Verdana"/>
          <w:color w:val="auto"/>
          <w:sz w:val="24"/>
          <w:szCs w:val="24"/>
        </w:rPr>
        <w:t>9</w:t>
      </w:r>
      <w:r w:rsidR="00010742" w:rsidRPr="0098723C">
        <w:rPr>
          <w:rFonts w:ascii="Verdana" w:hAnsi="Verdana"/>
          <w:color w:val="auto"/>
          <w:sz w:val="24"/>
          <w:szCs w:val="24"/>
        </w:rPr>
        <w:t xml:space="preserve"> vs 2.93/1000py; proportional mortality (PM): 2</w:t>
      </w:r>
      <w:r w:rsidR="00487207" w:rsidRPr="0098723C">
        <w:rPr>
          <w:rFonts w:ascii="Verdana" w:hAnsi="Verdana"/>
          <w:color w:val="auto"/>
          <w:sz w:val="24"/>
          <w:szCs w:val="24"/>
        </w:rPr>
        <w:t>4</w:t>
      </w:r>
      <w:r w:rsidR="00010742" w:rsidRPr="0098723C">
        <w:rPr>
          <w:rFonts w:ascii="Verdana" w:hAnsi="Verdana"/>
          <w:color w:val="auto"/>
          <w:sz w:val="24"/>
          <w:szCs w:val="24"/>
        </w:rPr>
        <w:t>.</w:t>
      </w:r>
      <w:r w:rsidR="00487207" w:rsidRPr="0098723C">
        <w:rPr>
          <w:rFonts w:ascii="Verdana" w:hAnsi="Verdana"/>
          <w:color w:val="auto"/>
          <w:sz w:val="24"/>
          <w:szCs w:val="24"/>
        </w:rPr>
        <w:t>55</w:t>
      </w:r>
      <w:r w:rsidR="00010742" w:rsidRPr="0098723C">
        <w:rPr>
          <w:rFonts w:ascii="Verdana" w:hAnsi="Verdana"/>
          <w:color w:val="auto"/>
          <w:sz w:val="24"/>
          <w:szCs w:val="24"/>
        </w:rPr>
        <w:t xml:space="preserve"> vs 31.53%). However, gastrointestinal deaths, consisting mostly of cirrhosis (MR: </w:t>
      </w:r>
      <w:r w:rsidR="00487207" w:rsidRPr="0098723C">
        <w:rPr>
          <w:rFonts w:ascii="Verdana" w:hAnsi="Verdana"/>
          <w:color w:val="auto"/>
          <w:sz w:val="24"/>
          <w:szCs w:val="24"/>
        </w:rPr>
        <w:t>5</w:t>
      </w:r>
      <w:r w:rsidR="00010742" w:rsidRPr="0098723C">
        <w:rPr>
          <w:rFonts w:ascii="Verdana" w:hAnsi="Verdana"/>
          <w:color w:val="auto"/>
          <w:sz w:val="24"/>
          <w:szCs w:val="24"/>
        </w:rPr>
        <w:t>.</w:t>
      </w:r>
      <w:r w:rsidR="00487207" w:rsidRPr="0098723C">
        <w:rPr>
          <w:rFonts w:ascii="Verdana" w:hAnsi="Verdana"/>
          <w:color w:val="auto"/>
          <w:sz w:val="24"/>
          <w:szCs w:val="24"/>
        </w:rPr>
        <w:t>63</w:t>
      </w:r>
      <w:r w:rsidR="00010742" w:rsidRPr="0098723C">
        <w:rPr>
          <w:rFonts w:ascii="Verdana" w:hAnsi="Verdana"/>
          <w:color w:val="auto"/>
          <w:sz w:val="24"/>
          <w:szCs w:val="24"/>
        </w:rPr>
        <w:t xml:space="preserve"> vs 0.38/1000py; PM: 20.</w:t>
      </w:r>
      <w:r w:rsidR="00487207" w:rsidRPr="0098723C">
        <w:rPr>
          <w:rFonts w:ascii="Verdana" w:hAnsi="Verdana"/>
          <w:color w:val="auto"/>
          <w:sz w:val="24"/>
          <w:szCs w:val="24"/>
        </w:rPr>
        <w:t xml:space="preserve">35 </w:t>
      </w:r>
      <w:r w:rsidR="00010742" w:rsidRPr="0098723C">
        <w:rPr>
          <w:rFonts w:ascii="Verdana" w:hAnsi="Verdana"/>
          <w:color w:val="auto"/>
          <w:sz w:val="24"/>
          <w:szCs w:val="24"/>
        </w:rPr>
        <w:t xml:space="preserve">vs 6.5%), and unnatural deaths (MR: </w:t>
      </w:r>
      <w:r w:rsidR="00487207" w:rsidRPr="0098723C">
        <w:rPr>
          <w:rFonts w:ascii="Verdana" w:hAnsi="Verdana"/>
          <w:color w:val="auto"/>
          <w:sz w:val="24"/>
          <w:szCs w:val="24"/>
        </w:rPr>
        <w:t>4</w:t>
      </w:r>
      <w:r w:rsidR="00010742" w:rsidRPr="0098723C">
        <w:rPr>
          <w:rFonts w:ascii="Verdana" w:hAnsi="Verdana"/>
          <w:color w:val="auto"/>
          <w:sz w:val="24"/>
          <w:szCs w:val="24"/>
        </w:rPr>
        <w:t>.9</w:t>
      </w:r>
      <w:r w:rsidR="00487207" w:rsidRPr="0098723C">
        <w:rPr>
          <w:rFonts w:ascii="Verdana" w:hAnsi="Verdana"/>
          <w:color w:val="auto"/>
          <w:sz w:val="24"/>
          <w:szCs w:val="24"/>
        </w:rPr>
        <w:t>5</w:t>
      </w:r>
      <w:r w:rsidR="00010742" w:rsidRPr="0098723C">
        <w:rPr>
          <w:rFonts w:ascii="Verdana" w:hAnsi="Verdana"/>
          <w:color w:val="auto"/>
          <w:sz w:val="24"/>
          <w:szCs w:val="24"/>
        </w:rPr>
        <w:t xml:space="preserve"> vs 0.7/1000py; PM: </w:t>
      </w:r>
      <w:r w:rsidR="00487207" w:rsidRPr="0098723C">
        <w:rPr>
          <w:rFonts w:ascii="Verdana" w:hAnsi="Verdana"/>
          <w:color w:val="auto"/>
          <w:sz w:val="24"/>
          <w:szCs w:val="24"/>
        </w:rPr>
        <w:t>18</w:t>
      </w:r>
      <w:r w:rsidR="00010742" w:rsidRPr="0098723C">
        <w:rPr>
          <w:rFonts w:ascii="Verdana" w:hAnsi="Verdana"/>
          <w:color w:val="auto"/>
          <w:sz w:val="24"/>
          <w:szCs w:val="24"/>
        </w:rPr>
        <w:t>.</w:t>
      </w:r>
      <w:r w:rsidR="00487207" w:rsidRPr="0098723C">
        <w:rPr>
          <w:rFonts w:ascii="Verdana" w:hAnsi="Verdana"/>
          <w:color w:val="auto"/>
          <w:sz w:val="24"/>
          <w:szCs w:val="24"/>
        </w:rPr>
        <w:t>2</w:t>
      </w:r>
      <w:r w:rsidR="00010742" w:rsidRPr="0098723C">
        <w:rPr>
          <w:rFonts w:ascii="Verdana" w:hAnsi="Verdana"/>
          <w:color w:val="auto"/>
          <w:sz w:val="24"/>
          <w:szCs w:val="24"/>
        </w:rPr>
        <w:t xml:space="preserve"> vs 8.7%) rank higher in terms of mortality rates as well as proportional mortality in </w:t>
      </w:r>
      <w:r w:rsidR="004314E3" w:rsidRPr="0098723C">
        <w:rPr>
          <w:rFonts w:ascii="Verdana" w:hAnsi="Verdana"/>
          <w:color w:val="auto"/>
          <w:sz w:val="24"/>
          <w:szCs w:val="24"/>
        </w:rPr>
        <w:t>p</w:t>
      </w:r>
      <w:r w:rsidR="00103A5C" w:rsidRPr="0098723C">
        <w:rPr>
          <w:rFonts w:ascii="Verdana" w:hAnsi="Verdana"/>
          <w:color w:val="auto"/>
          <w:sz w:val="24"/>
          <w:szCs w:val="24"/>
        </w:rPr>
        <w:t>atients with AUD</w:t>
      </w:r>
      <w:r w:rsidR="00010742" w:rsidRPr="0098723C">
        <w:rPr>
          <w:rFonts w:ascii="Verdana" w:hAnsi="Verdana"/>
          <w:color w:val="auto"/>
          <w:sz w:val="24"/>
          <w:szCs w:val="24"/>
        </w:rPr>
        <w:t xml:space="preserve"> than they do in the general population, supplanting the rank of neoplasms and infectious diseases.</w:t>
      </w:r>
    </w:p>
    <w:p w14:paraId="2665F19F" w14:textId="77777777" w:rsidR="0088542C" w:rsidRPr="0098723C" w:rsidRDefault="0088542C" w:rsidP="0088542C">
      <w:pPr>
        <w:pStyle w:val="Heading"/>
        <w:rPr>
          <w:color w:val="auto"/>
          <w:lang w:val="en-GB"/>
        </w:rPr>
      </w:pPr>
      <w:r w:rsidRPr="0098723C">
        <w:rPr>
          <w:color w:val="auto"/>
          <w:lang w:val="en-GB"/>
        </w:rPr>
        <w:t>Table 4: Comparisons of meta-analysed mortality rates and proportional mortality versus those reported in the WHO GBD 2013 study for all-cause deaths and the top five most common causes of deaths.</w:t>
      </w:r>
    </w:p>
    <w:p w14:paraId="2FF33535" w14:textId="77777777" w:rsidR="0095748E" w:rsidRPr="0098723C" w:rsidRDefault="0095748E" w:rsidP="0095748E">
      <w:pPr>
        <w:pStyle w:val="Body"/>
        <w:rPr>
          <w:color w:val="auto"/>
          <w:lang w:val="fr-FR"/>
        </w:rPr>
      </w:pPr>
      <w:r w:rsidRPr="0098723C">
        <w:rPr>
          <w:color w:val="auto"/>
          <w:lang w:val="fr-FR"/>
        </w:rPr>
        <w:t>[TABLE 4 HERE]</w:t>
      </w:r>
    </w:p>
    <w:p w14:paraId="204D00EE" w14:textId="77777777" w:rsidR="0088542C" w:rsidRPr="00EB07F6" w:rsidRDefault="0088542C" w:rsidP="0088542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Verdana" w:eastAsia="Helvetica" w:hAnsi="Verdana" w:cs="Helvetica"/>
          <w:sz w:val="16"/>
          <w:szCs w:val="16"/>
          <w:bdr w:val="none" w:sz="0" w:space="0" w:color="auto"/>
        </w:rPr>
      </w:pPr>
      <w:r w:rsidRPr="00EB07F6">
        <w:rPr>
          <w:rFonts w:ascii="Verdana" w:eastAsia="Helvetica" w:hAnsi="Verdana" w:cs="Helvetica"/>
          <w:sz w:val="16"/>
          <w:szCs w:val="16"/>
          <w:bdr w:val="none" w:sz="0" w:space="0" w:color="auto"/>
        </w:rPr>
        <w:t>Note: this table reports crude combined-gender rates and proportions</w:t>
      </w:r>
    </w:p>
    <w:p w14:paraId="452979A9" w14:textId="77777777" w:rsidR="0088542C" w:rsidRPr="00EB07F6" w:rsidRDefault="0088542C" w:rsidP="0088542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Verdana" w:eastAsia="Helvetica" w:hAnsi="Verdana" w:cs="Helvetica"/>
          <w:sz w:val="16"/>
          <w:szCs w:val="16"/>
          <w:bdr w:val="none" w:sz="0" w:space="0" w:color="auto"/>
        </w:rPr>
      </w:pPr>
    </w:p>
    <w:p w14:paraId="632D2202" w14:textId="77777777" w:rsidR="00010742" w:rsidRPr="0098723C" w:rsidRDefault="00010742" w:rsidP="009C0FAB">
      <w:pPr>
        <w:pStyle w:val="Body"/>
        <w:spacing w:line="480" w:lineRule="auto"/>
        <w:jc w:val="both"/>
        <w:rPr>
          <w:rFonts w:ascii="Verdana" w:hAnsi="Verdana"/>
          <w:color w:val="auto"/>
          <w:sz w:val="24"/>
          <w:szCs w:val="24"/>
        </w:rPr>
        <w:sectPr w:rsidR="00010742" w:rsidRPr="0098723C">
          <w:pgSz w:w="11900" w:h="16840"/>
          <w:pgMar w:top="1440" w:right="1440" w:bottom="1440" w:left="1440" w:header="708" w:footer="708" w:gutter="0"/>
          <w:cols w:space="720"/>
        </w:sectPr>
      </w:pPr>
    </w:p>
    <w:p w14:paraId="557E89DB" w14:textId="77777777" w:rsidR="005C2377" w:rsidRPr="0098723C" w:rsidRDefault="00F42C51" w:rsidP="009C0FAB">
      <w:pPr>
        <w:pStyle w:val="Heading"/>
        <w:spacing w:after="240" w:line="480" w:lineRule="auto"/>
        <w:ind w:left="0"/>
        <w:rPr>
          <w:color w:val="auto"/>
        </w:rPr>
      </w:pPr>
      <w:r w:rsidRPr="0098723C">
        <w:rPr>
          <w:color w:val="auto"/>
        </w:rPr>
        <w:t>Discussion</w:t>
      </w:r>
    </w:p>
    <w:p w14:paraId="727B7C4F" w14:textId="77777777" w:rsidR="00AE2081" w:rsidRPr="0098723C" w:rsidRDefault="00AB542D"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We</w:t>
      </w:r>
      <w:r w:rsidR="002C450B" w:rsidRPr="0098723C">
        <w:rPr>
          <w:rFonts w:ascii="Verdana" w:hAnsi="Verdana"/>
          <w:color w:val="auto"/>
          <w:sz w:val="24"/>
          <w:szCs w:val="24"/>
        </w:rPr>
        <w:t xml:space="preserve"> have </w:t>
      </w:r>
      <w:r w:rsidR="008A2972" w:rsidRPr="0098723C">
        <w:rPr>
          <w:rFonts w:ascii="Verdana" w:hAnsi="Verdana"/>
          <w:color w:val="auto"/>
          <w:sz w:val="24"/>
          <w:szCs w:val="24"/>
        </w:rPr>
        <w:t>present</w:t>
      </w:r>
      <w:r w:rsidR="00F114D1" w:rsidRPr="0098723C">
        <w:rPr>
          <w:rFonts w:ascii="Verdana" w:hAnsi="Verdana"/>
          <w:color w:val="auto"/>
          <w:sz w:val="24"/>
          <w:szCs w:val="24"/>
        </w:rPr>
        <w:t>ed</w:t>
      </w:r>
      <w:r w:rsidR="008A2972" w:rsidRPr="0098723C">
        <w:rPr>
          <w:rFonts w:ascii="Verdana" w:hAnsi="Verdana"/>
          <w:color w:val="auto"/>
          <w:sz w:val="24"/>
          <w:szCs w:val="24"/>
        </w:rPr>
        <w:t xml:space="preserve"> </w:t>
      </w:r>
      <w:r w:rsidR="00010742" w:rsidRPr="0098723C">
        <w:rPr>
          <w:rFonts w:ascii="Verdana" w:hAnsi="Verdana"/>
          <w:color w:val="auto"/>
          <w:sz w:val="24"/>
          <w:szCs w:val="24"/>
        </w:rPr>
        <w:t xml:space="preserve">pooled </w:t>
      </w:r>
      <w:r w:rsidR="008A2972" w:rsidRPr="0098723C">
        <w:rPr>
          <w:rFonts w:ascii="Verdana" w:hAnsi="Verdana"/>
          <w:color w:val="auto"/>
          <w:sz w:val="24"/>
          <w:szCs w:val="24"/>
        </w:rPr>
        <w:t xml:space="preserve">estimates </w:t>
      </w:r>
      <w:r w:rsidR="00010742" w:rsidRPr="0098723C">
        <w:rPr>
          <w:rFonts w:ascii="Verdana" w:hAnsi="Verdana"/>
          <w:color w:val="auto"/>
          <w:sz w:val="24"/>
          <w:szCs w:val="24"/>
        </w:rPr>
        <w:t xml:space="preserve">from the published health literature </w:t>
      </w:r>
      <w:r w:rsidR="008A2972" w:rsidRPr="0098723C">
        <w:rPr>
          <w:rFonts w:ascii="Verdana" w:hAnsi="Verdana"/>
          <w:color w:val="auto"/>
          <w:sz w:val="24"/>
          <w:szCs w:val="24"/>
        </w:rPr>
        <w:t xml:space="preserve">of the </w:t>
      </w:r>
      <w:r w:rsidR="00CC3689" w:rsidRPr="0098723C">
        <w:rPr>
          <w:rFonts w:ascii="Verdana" w:hAnsi="Verdana"/>
          <w:color w:val="auto"/>
          <w:sz w:val="24"/>
          <w:szCs w:val="24"/>
        </w:rPr>
        <w:t xml:space="preserve">all-cause and cause-specific </w:t>
      </w:r>
      <w:r w:rsidR="008A2972" w:rsidRPr="0098723C">
        <w:rPr>
          <w:rFonts w:ascii="Verdana" w:hAnsi="Verdana"/>
          <w:color w:val="auto"/>
          <w:sz w:val="24"/>
          <w:szCs w:val="24"/>
        </w:rPr>
        <w:t>mortality rates of AUD</w:t>
      </w:r>
      <w:r w:rsidR="00F51406" w:rsidRPr="0098723C">
        <w:rPr>
          <w:rFonts w:ascii="Verdana" w:hAnsi="Verdana"/>
          <w:color w:val="auto"/>
          <w:sz w:val="24"/>
          <w:szCs w:val="24"/>
        </w:rPr>
        <w:t xml:space="preserve"> treatment patients</w:t>
      </w:r>
      <w:r w:rsidR="008A2972" w:rsidRPr="0098723C">
        <w:rPr>
          <w:rFonts w:ascii="Verdana" w:hAnsi="Verdana"/>
          <w:color w:val="auto"/>
          <w:sz w:val="24"/>
          <w:szCs w:val="24"/>
        </w:rPr>
        <w:t>, and establish</w:t>
      </w:r>
      <w:r w:rsidR="00F114D1" w:rsidRPr="0098723C">
        <w:rPr>
          <w:rFonts w:ascii="Verdana" w:hAnsi="Verdana"/>
          <w:color w:val="auto"/>
          <w:sz w:val="24"/>
          <w:szCs w:val="24"/>
        </w:rPr>
        <w:t>ed</w:t>
      </w:r>
      <w:r w:rsidR="008A2972" w:rsidRPr="0098723C">
        <w:rPr>
          <w:rFonts w:ascii="Verdana" w:hAnsi="Verdana"/>
          <w:color w:val="auto"/>
          <w:sz w:val="24"/>
          <w:szCs w:val="24"/>
        </w:rPr>
        <w:t xml:space="preserve"> the </w:t>
      </w:r>
      <w:r w:rsidR="00ED41BE" w:rsidRPr="0098723C">
        <w:rPr>
          <w:rFonts w:ascii="Verdana" w:hAnsi="Verdana"/>
          <w:color w:val="auto"/>
          <w:sz w:val="24"/>
          <w:szCs w:val="24"/>
        </w:rPr>
        <w:t xml:space="preserve">most </w:t>
      </w:r>
      <w:r w:rsidR="008A2972" w:rsidRPr="0098723C">
        <w:rPr>
          <w:rFonts w:ascii="Verdana" w:hAnsi="Verdana"/>
          <w:color w:val="auto"/>
          <w:sz w:val="24"/>
          <w:szCs w:val="24"/>
        </w:rPr>
        <w:t>common</w:t>
      </w:r>
      <w:r w:rsidR="00ED41BE" w:rsidRPr="0098723C">
        <w:rPr>
          <w:rFonts w:ascii="Verdana" w:hAnsi="Verdana"/>
          <w:color w:val="auto"/>
          <w:sz w:val="24"/>
          <w:szCs w:val="24"/>
        </w:rPr>
        <w:t xml:space="preserve"> </w:t>
      </w:r>
      <w:r w:rsidR="008A2972" w:rsidRPr="0098723C">
        <w:rPr>
          <w:rFonts w:ascii="Verdana" w:hAnsi="Verdana"/>
          <w:color w:val="auto"/>
          <w:sz w:val="24"/>
          <w:szCs w:val="24"/>
        </w:rPr>
        <w:t>causes of deaths for this population</w:t>
      </w:r>
      <w:r w:rsidR="00A2470F" w:rsidRPr="0098723C">
        <w:rPr>
          <w:rFonts w:ascii="Verdana" w:hAnsi="Verdana"/>
          <w:color w:val="auto"/>
          <w:sz w:val="24"/>
          <w:szCs w:val="24"/>
        </w:rPr>
        <w:t>.</w:t>
      </w:r>
    </w:p>
    <w:p w14:paraId="065CD62B" w14:textId="77777777" w:rsidR="00AE2081" w:rsidRPr="0098723C" w:rsidRDefault="00AE2081"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Evidence from </w:t>
      </w:r>
      <w:r w:rsidR="00487207" w:rsidRPr="0098723C">
        <w:rPr>
          <w:rFonts w:ascii="Verdana" w:hAnsi="Verdana"/>
          <w:color w:val="auto"/>
          <w:sz w:val="24"/>
          <w:szCs w:val="24"/>
        </w:rPr>
        <w:t xml:space="preserve">36,375 </w:t>
      </w:r>
      <w:r w:rsidRPr="0098723C">
        <w:rPr>
          <w:rFonts w:ascii="Verdana" w:hAnsi="Verdana"/>
          <w:color w:val="auto"/>
          <w:sz w:val="24"/>
          <w:szCs w:val="24"/>
        </w:rPr>
        <w:t xml:space="preserve">patients, followed up for a total of </w:t>
      </w:r>
      <w:r w:rsidR="00487207" w:rsidRPr="0098723C">
        <w:rPr>
          <w:rFonts w:ascii="Verdana" w:hAnsi="Verdana"/>
          <w:color w:val="auto"/>
          <w:sz w:val="24"/>
          <w:szCs w:val="24"/>
        </w:rPr>
        <w:t xml:space="preserve">276,990.7 </w:t>
      </w:r>
      <w:r w:rsidRPr="0098723C">
        <w:rPr>
          <w:rFonts w:ascii="Verdana" w:hAnsi="Verdana"/>
          <w:color w:val="auto"/>
          <w:sz w:val="24"/>
          <w:szCs w:val="24"/>
        </w:rPr>
        <w:t xml:space="preserve">person-years, across </w:t>
      </w:r>
      <w:r w:rsidR="00487207" w:rsidRPr="0098723C">
        <w:rPr>
          <w:rFonts w:ascii="Verdana" w:hAnsi="Verdana"/>
          <w:color w:val="auto"/>
          <w:sz w:val="24"/>
          <w:szCs w:val="24"/>
        </w:rPr>
        <w:t xml:space="preserve">31 </w:t>
      </w:r>
      <w:r w:rsidRPr="0098723C">
        <w:rPr>
          <w:rFonts w:ascii="Verdana" w:hAnsi="Verdana"/>
          <w:color w:val="auto"/>
          <w:sz w:val="24"/>
          <w:szCs w:val="24"/>
        </w:rPr>
        <w:t xml:space="preserve">studies reveal that the crude all-cause mortality rates in this population, formed largely of middle-aged adults, </w:t>
      </w:r>
      <w:r w:rsidR="00ED41BE" w:rsidRPr="0098723C">
        <w:rPr>
          <w:rFonts w:ascii="Verdana" w:hAnsi="Verdana"/>
          <w:color w:val="auto"/>
          <w:sz w:val="24"/>
          <w:szCs w:val="24"/>
        </w:rPr>
        <w:t xml:space="preserve">is </w:t>
      </w:r>
      <w:r w:rsidRPr="0098723C">
        <w:rPr>
          <w:rFonts w:ascii="Verdana" w:hAnsi="Verdana"/>
          <w:color w:val="auto"/>
          <w:sz w:val="24"/>
          <w:szCs w:val="24"/>
        </w:rPr>
        <w:t>2</w:t>
      </w:r>
      <w:r w:rsidR="00487207" w:rsidRPr="0098723C">
        <w:rPr>
          <w:rFonts w:ascii="Verdana" w:hAnsi="Verdana"/>
          <w:color w:val="auto"/>
          <w:sz w:val="24"/>
          <w:szCs w:val="24"/>
        </w:rPr>
        <w:t>7</w:t>
      </w:r>
      <w:r w:rsidRPr="0098723C">
        <w:rPr>
          <w:rFonts w:ascii="Verdana" w:hAnsi="Verdana"/>
          <w:color w:val="auto"/>
          <w:sz w:val="24"/>
          <w:szCs w:val="24"/>
        </w:rPr>
        <w:t>.</w:t>
      </w:r>
      <w:r w:rsidR="00487207" w:rsidRPr="0098723C">
        <w:rPr>
          <w:rFonts w:ascii="Verdana" w:hAnsi="Verdana"/>
          <w:color w:val="auto"/>
          <w:sz w:val="24"/>
          <w:szCs w:val="24"/>
        </w:rPr>
        <w:t>67</w:t>
      </w:r>
      <w:r w:rsidRPr="0098723C">
        <w:rPr>
          <w:rFonts w:ascii="Verdana" w:hAnsi="Verdana"/>
          <w:color w:val="auto"/>
          <w:sz w:val="24"/>
          <w:szCs w:val="24"/>
        </w:rPr>
        <w:t>/1000py</w:t>
      </w:r>
      <w:r w:rsidR="00ED41BE" w:rsidRPr="0098723C">
        <w:rPr>
          <w:rFonts w:ascii="Verdana" w:hAnsi="Verdana"/>
          <w:color w:val="auto"/>
          <w:sz w:val="24"/>
          <w:szCs w:val="24"/>
        </w:rPr>
        <w:t xml:space="preserve">. The </w:t>
      </w:r>
      <w:r w:rsidRPr="0098723C">
        <w:rPr>
          <w:rFonts w:ascii="Verdana" w:hAnsi="Verdana"/>
          <w:color w:val="auto"/>
          <w:sz w:val="24"/>
          <w:szCs w:val="24"/>
        </w:rPr>
        <w:t>specific cause</w:t>
      </w:r>
      <w:r w:rsidR="00EA0E06" w:rsidRPr="0098723C">
        <w:rPr>
          <w:rFonts w:ascii="Verdana" w:hAnsi="Verdana"/>
          <w:color w:val="auto"/>
          <w:sz w:val="24"/>
          <w:szCs w:val="24"/>
        </w:rPr>
        <w:t>s</w:t>
      </w:r>
      <w:r w:rsidRPr="0098723C">
        <w:rPr>
          <w:rFonts w:ascii="Verdana" w:hAnsi="Verdana"/>
          <w:color w:val="auto"/>
          <w:sz w:val="24"/>
          <w:szCs w:val="24"/>
        </w:rPr>
        <w:t xml:space="preserve"> of death with the highest mortality rates </w:t>
      </w:r>
      <w:r w:rsidR="00EA0E06" w:rsidRPr="0098723C">
        <w:rPr>
          <w:rFonts w:ascii="Verdana" w:hAnsi="Verdana"/>
          <w:color w:val="auto"/>
          <w:sz w:val="24"/>
          <w:szCs w:val="24"/>
        </w:rPr>
        <w:t>are</w:t>
      </w:r>
      <w:r w:rsidR="00597508" w:rsidRPr="0098723C">
        <w:rPr>
          <w:rFonts w:ascii="Verdana" w:hAnsi="Verdana"/>
          <w:color w:val="auto"/>
          <w:sz w:val="24"/>
          <w:szCs w:val="24"/>
        </w:rPr>
        <w:t xml:space="preserve"> </w:t>
      </w:r>
      <w:r w:rsidRPr="0098723C">
        <w:rPr>
          <w:rFonts w:ascii="Verdana" w:hAnsi="Verdana"/>
          <w:color w:val="auto"/>
          <w:sz w:val="24"/>
          <w:szCs w:val="24"/>
        </w:rPr>
        <w:t>cardiovascular diseases (</w:t>
      </w:r>
      <w:r w:rsidR="00487207" w:rsidRPr="0098723C">
        <w:rPr>
          <w:rFonts w:ascii="Verdana" w:hAnsi="Verdana"/>
          <w:color w:val="auto"/>
          <w:sz w:val="24"/>
          <w:szCs w:val="24"/>
        </w:rPr>
        <w:t>6.9</w:t>
      </w:r>
      <w:r w:rsidRPr="0098723C">
        <w:rPr>
          <w:rFonts w:ascii="Verdana" w:hAnsi="Verdana"/>
          <w:color w:val="auto"/>
          <w:sz w:val="24"/>
          <w:szCs w:val="24"/>
        </w:rPr>
        <w:t>/1000py)</w:t>
      </w:r>
      <w:r w:rsidR="00BE6EA0" w:rsidRPr="0098723C">
        <w:rPr>
          <w:rFonts w:ascii="Verdana" w:hAnsi="Verdana"/>
          <w:color w:val="auto"/>
          <w:sz w:val="24"/>
          <w:szCs w:val="24"/>
        </w:rPr>
        <w:t>,</w:t>
      </w:r>
      <w:r w:rsidR="00ED41BE" w:rsidRPr="0098723C">
        <w:rPr>
          <w:rFonts w:ascii="Verdana" w:hAnsi="Verdana"/>
          <w:color w:val="auto"/>
          <w:sz w:val="24"/>
          <w:szCs w:val="24"/>
        </w:rPr>
        <w:t xml:space="preserve"> </w:t>
      </w:r>
      <w:r w:rsidRPr="0098723C">
        <w:rPr>
          <w:rFonts w:ascii="Verdana" w:hAnsi="Verdana"/>
          <w:color w:val="auto"/>
          <w:sz w:val="24"/>
          <w:szCs w:val="24"/>
        </w:rPr>
        <w:t>followed by</w:t>
      </w:r>
      <w:r w:rsidR="00487207" w:rsidRPr="0098723C">
        <w:rPr>
          <w:rFonts w:ascii="Verdana" w:hAnsi="Verdana"/>
          <w:color w:val="auto"/>
          <w:sz w:val="24"/>
          <w:szCs w:val="24"/>
        </w:rPr>
        <w:t xml:space="preserve"> gastrointestinal diseases (5.63/1000py),</w:t>
      </w:r>
      <w:r w:rsidRPr="0098723C">
        <w:rPr>
          <w:rFonts w:ascii="Verdana" w:hAnsi="Verdana"/>
          <w:color w:val="auto"/>
          <w:sz w:val="24"/>
          <w:szCs w:val="24"/>
        </w:rPr>
        <w:t xml:space="preserve"> unnatural deaths </w:t>
      </w:r>
      <w:r w:rsidR="00487207" w:rsidRPr="0098723C">
        <w:rPr>
          <w:rFonts w:ascii="Verdana" w:hAnsi="Verdana"/>
          <w:color w:val="auto"/>
          <w:sz w:val="24"/>
          <w:szCs w:val="24"/>
        </w:rPr>
        <w:t xml:space="preserve">(4.95/1000py), </w:t>
      </w:r>
      <w:r w:rsidRPr="0098723C">
        <w:rPr>
          <w:rFonts w:ascii="Verdana" w:hAnsi="Verdana"/>
          <w:color w:val="auto"/>
          <w:sz w:val="24"/>
          <w:szCs w:val="24"/>
        </w:rPr>
        <w:t>neoplasms (4.</w:t>
      </w:r>
      <w:r w:rsidR="00487207" w:rsidRPr="0098723C">
        <w:rPr>
          <w:rFonts w:ascii="Verdana" w:hAnsi="Verdana"/>
          <w:color w:val="auto"/>
          <w:sz w:val="24"/>
          <w:szCs w:val="24"/>
        </w:rPr>
        <w:t>47</w:t>
      </w:r>
      <w:r w:rsidRPr="0098723C">
        <w:rPr>
          <w:rFonts w:ascii="Verdana" w:hAnsi="Verdana"/>
          <w:color w:val="auto"/>
          <w:sz w:val="24"/>
          <w:szCs w:val="24"/>
        </w:rPr>
        <w:t>/1000py)</w:t>
      </w:r>
      <w:r w:rsidR="00487207" w:rsidRPr="0098723C">
        <w:rPr>
          <w:rFonts w:ascii="Verdana" w:hAnsi="Verdana"/>
          <w:color w:val="auto"/>
          <w:sz w:val="24"/>
          <w:szCs w:val="24"/>
        </w:rPr>
        <w:t>, and respiratory diseases (1.42/1000py)</w:t>
      </w:r>
      <w:r w:rsidR="00BE6EA0" w:rsidRPr="0098723C">
        <w:rPr>
          <w:rFonts w:ascii="Verdana" w:hAnsi="Verdana"/>
          <w:color w:val="auto"/>
          <w:sz w:val="24"/>
          <w:szCs w:val="24"/>
        </w:rPr>
        <w:t>.</w:t>
      </w:r>
    </w:p>
    <w:p w14:paraId="3290DFA7" w14:textId="77777777" w:rsidR="00045721" w:rsidRPr="0098723C" w:rsidRDefault="00045721" w:rsidP="009C0FAB">
      <w:pPr>
        <w:pStyle w:val="Heading2"/>
        <w:spacing w:after="240" w:line="480" w:lineRule="auto"/>
        <w:rPr>
          <w:color w:val="auto"/>
        </w:rPr>
      </w:pPr>
      <w:r w:rsidRPr="0098723C">
        <w:rPr>
          <w:color w:val="auto"/>
        </w:rPr>
        <w:t>Strengths and limitations</w:t>
      </w:r>
    </w:p>
    <w:p w14:paraId="7AE0CDB3" w14:textId="77777777" w:rsidR="00487207" w:rsidRPr="0098723C" w:rsidRDefault="00EC387B">
      <w:pPr>
        <w:pStyle w:val="Body"/>
        <w:spacing w:line="480" w:lineRule="auto"/>
        <w:jc w:val="both"/>
        <w:rPr>
          <w:rFonts w:ascii="Verdana" w:hAnsi="Verdana"/>
          <w:color w:val="auto"/>
          <w:sz w:val="24"/>
          <w:szCs w:val="24"/>
        </w:rPr>
      </w:pPr>
      <w:r w:rsidRPr="0098723C">
        <w:rPr>
          <w:rFonts w:ascii="Verdana" w:hAnsi="Verdana"/>
          <w:color w:val="auto"/>
          <w:sz w:val="24"/>
          <w:szCs w:val="24"/>
        </w:rPr>
        <w:t>The p</w:t>
      </w:r>
      <w:r w:rsidR="00AE2081" w:rsidRPr="0098723C">
        <w:rPr>
          <w:rFonts w:ascii="Verdana" w:hAnsi="Verdana"/>
          <w:color w:val="auto"/>
          <w:sz w:val="24"/>
          <w:szCs w:val="24"/>
        </w:rPr>
        <w:t>resent</w:t>
      </w:r>
      <w:r w:rsidRPr="0098723C">
        <w:rPr>
          <w:rFonts w:ascii="Verdana" w:hAnsi="Verdana"/>
          <w:color w:val="auto"/>
          <w:sz w:val="24"/>
          <w:szCs w:val="24"/>
        </w:rPr>
        <w:t xml:space="preserve">ation of </w:t>
      </w:r>
      <w:r w:rsidR="00A65D40" w:rsidRPr="0098723C">
        <w:rPr>
          <w:rFonts w:ascii="Verdana" w:hAnsi="Verdana"/>
          <w:color w:val="auto"/>
          <w:sz w:val="24"/>
          <w:szCs w:val="24"/>
        </w:rPr>
        <w:t>absolute mortality rates</w:t>
      </w:r>
      <w:r w:rsidRPr="0098723C">
        <w:rPr>
          <w:rFonts w:ascii="Verdana" w:hAnsi="Verdana"/>
          <w:color w:val="auto"/>
          <w:sz w:val="24"/>
          <w:szCs w:val="24"/>
        </w:rPr>
        <w:t xml:space="preserve"> </w:t>
      </w:r>
      <w:r w:rsidR="00A65D40" w:rsidRPr="0098723C">
        <w:rPr>
          <w:rFonts w:ascii="Verdana" w:hAnsi="Verdana"/>
          <w:color w:val="auto"/>
          <w:sz w:val="24"/>
          <w:szCs w:val="24"/>
        </w:rPr>
        <w:t xml:space="preserve">may render our results </w:t>
      </w:r>
      <w:r w:rsidR="00AE2081" w:rsidRPr="0098723C">
        <w:rPr>
          <w:rFonts w:ascii="Verdana" w:hAnsi="Verdana"/>
          <w:color w:val="auto"/>
          <w:sz w:val="24"/>
          <w:szCs w:val="24"/>
        </w:rPr>
        <w:t xml:space="preserve">more useful in the prioritization and planning of health services for </w:t>
      </w:r>
      <w:r w:rsidR="00D21229" w:rsidRPr="0098723C">
        <w:rPr>
          <w:rFonts w:ascii="Verdana" w:hAnsi="Verdana"/>
          <w:color w:val="auto"/>
          <w:sz w:val="24"/>
          <w:szCs w:val="24"/>
        </w:rPr>
        <w:t xml:space="preserve">specific </w:t>
      </w:r>
      <w:r w:rsidR="00AE2081" w:rsidRPr="0098723C">
        <w:rPr>
          <w:rFonts w:ascii="Verdana" w:hAnsi="Verdana"/>
          <w:color w:val="auto"/>
          <w:sz w:val="24"/>
          <w:szCs w:val="24"/>
        </w:rPr>
        <w:t>population</w:t>
      </w:r>
      <w:r w:rsidR="00D21229" w:rsidRPr="0098723C">
        <w:rPr>
          <w:rFonts w:ascii="Verdana" w:hAnsi="Verdana"/>
          <w:color w:val="auto"/>
          <w:sz w:val="24"/>
          <w:szCs w:val="24"/>
        </w:rPr>
        <w:t>s</w:t>
      </w:r>
      <w:r w:rsidR="00AE2081" w:rsidRPr="0098723C">
        <w:rPr>
          <w:rFonts w:ascii="Verdana" w:hAnsi="Verdana"/>
          <w:color w:val="auto"/>
          <w:sz w:val="24"/>
          <w:szCs w:val="24"/>
        </w:rPr>
        <w:t xml:space="preserve"> </w:t>
      </w:r>
      <w:r w:rsidR="00D21229" w:rsidRPr="0098723C">
        <w:rPr>
          <w:rFonts w:ascii="Verdana" w:hAnsi="Verdana"/>
          <w:color w:val="auto"/>
          <w:sz w:val="24"/>
          <w:szCs w:val="24"/>
        </w:rPr>
        <w:t xml:space="preserve">(such as </w:t>
      </w:r>
      <w:r w:rsidR="004314E3" w:rsidRPr="0098723C">
        <w:rPr>
          <w:rFonts w:ascii="Verdana" w:hAnsi="Verdana"/>
          <w:color w:val="auto"/>
          <w:sz w:val="24"/>
          <w:szCs w:val="24"/>
        </w:rPr>
        <w:t>p</w:t>
      </w:r>
      <w:r w:rsidR="00103A5C" w:rsidRPr="0098723C">
        <w:rPr>
          <w:rFonts w:ascii="Verdana" w:hAnsi="Verdana"/>
          <w:color w:val="auto"/>
          <w:sz w:val="24"/>
          <w:szCs w:val="24"/>
        </w:rPr>
        <w:t>atients with AUD</w:t>
      </w:r>
      <w:r w:rsidR="00D21229" w:rsidRPr="0098723C">
        <w:rPr>
          <w:rFonts w:ascii="Verdana" w:hAnsi="Verdana"/>
          <w:color w:val="auto"/>
          <w:sz w:val="24"/>
          <w:szCs w:val="24"/>
        </w:rPr>
        <w:t xml:space="preserve"> in this case) </w:t>
      </w:r>
      <w:r w:rsidR="00AE2081" w:rsidRPr="0098723C">
        <w:rPr>
          <w:rFonts w:ascii="Verdana" w:hAnsi="Verdana"/>
          <w:color w:val="auto"/>
          <w:sz w:val="24"/>
          <w:szCs w:val="24"/>
        </w:rPr>
        <w:t xml:space="preserve">than </w:t>
      </w:r>
      <w:r w:rsidRPr="0098723C">
        <w:rPr>
          <w:rFonts w:ascii="Verdana" w:hAnsi="Verdana"/>
          <w:color w:val="auto"/>
          <w:sz w:val="24"/>
          <w:szCs w:val="24"/>
        </w:rPr>
        <w:t xml:space="preserve">would </w:t>
      </w:r>
      <w:r w:rsidR="00AB542D" w:rsidRPr="0098723C">
        <w:rPr>
          <w:rFonts w:ascii="Verdana" w:hAnsi="Verdana"/>
          <w:color w:val="auto"/>
          <w:sz w:val="24"/>
          <w:szCs w:val="24"/>
        </w:rPr>
        <w:t xml:space="preserve">the relative </w:t>
      </w:r>
      <w:r w:rsidRPr="0098723C">
        <w:rPr>
          <w:rFonts w:ascii="Verdana" w:hAnsi="Verdana"/>
          <w:color w:val="auto"/>
          <w:sz w:val="24"/>
          <w:szCs w:val="24"/>
        </w:rPr>
        <w:t>r</w:t>
      </w:r>
      <w:r w:rsidR="00AE2081" w:rsidRPr="0098723C">
        <w:rPr>
          <w:rFonts w:ascii="Verdana" w:hAnsi="Verdana"/>
          <w:color w:val="auto"/>
          <w:sz w:val="24"/>
          <w:szCs w:val="24"/>
        </w:rPr>
        <w:t xml:space="preserve">isk </w:t>
      </w:r>
      <w:r w:rsidR="00AB542D" w:rsidRPr="0098723C">
        <w:rPr>
          <w:rFonts w:ascii="Verdana" w:hAnsi="Verdana"/>
          <w:color w:val="auto"/>
          <w:sz w:val="24"/>
          <w:szCs w:val="24"/>
        </w:rPr>
        <w:t xml:space="preserve">measures </w:t>
      </w:r>
      <w:r w:rsidR="006556AA" w:rsidRPr="0098723C">
        <w:rPr>
          <w:rFonts w:ascii="Verdana" w:hAnsi="Verdana"/>
          <w:noProof/>
          <w:color w:val="auto"/>
          <w:sz w:val="24"/>
          <w:szCs w:val="24"/>
          <w:vertAlign w:val="superscript"/>
        </w:rPr>
        <w:t>8,9</w:t>
      </w:r>
      <w:r w:rsidR="00153664" w:rsidRPr="0098723C">
        <w:rPr>
          <w:rFonts w:ascii="Verdana" w:hAnsi="Verdana"/>
          <w:color w:val="auto"/>
          <w:sz w:val="24"/>
          <w:szCs w:val="24"/>
        </w:rPr>
        <w:t xml:space="preserve">, </w:t>
      </w:r>
      <w:r w:rsidR="00AE2081" w:rsidRPr="0098723C">
        <w:rPr>
          <w:rFonts w:ascii="Verdana" w:hAnsi="Verdana"/>
          <w:color w:val="auto"/>
          <w:sz w:val="24"/>
          <w:szCs w:val="24"/>
        </w:rPr>
        <w:t>reported by previous reviews of this subject</w:t>
      </w:r>
      <w:r w:rsidR="00E93E20"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6,7</w:t>
      </w:r>
      <w:r w:rsidR="00AE2081" w:rsidRPr="0098723C">
        <w:rPr>
          <w:rFonts w:ascii="Verdana" w:hAnsi="Verdana"/>
          <w:color w:val="auto"/>
          <w:sz w:val="24"/>
          <w:szCs w:val="24"/>
        </w:rPr>
        <w:t>.</w:t>
      </w:r>
    </w:p>
    <w:p w14:paraId="1D404989" w14:textId="77777777" w:rsidR="00A65D40" w:rsidRPr="0098723C" w:rsidRDefault="00A65D40" w:rsidP="00C776A8">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We found that the quality of the studies included in this review </w:t>
      </w:r>
      <w:r w:rsidR="00B8300B" w:rsidRPr="0098723C">
        <w:rPr>
          <w:rFonts w:ascii="Verdana" w:hAnsi="Verdana"/>
          <w:color w:val="auto"/>
          <w:sz w:val="24"/>
          <w:szCs w:val="24"/>
        </w:rPr>
        <w:t xml:space="preserve">was </w:t>
      </w:r>
      <w:r w:rsidRPr="0098723C">
        <w:rPr>
          <w:rFonts w:ascii="Verdana" w:hAnsi="Verdana"/>
          <w:color w:val="auto"/>
          <w:sz w:val="24"/>
          <w:szCs w:val="24"/>
        </w:rPr>
        <w:t>generally good. All the studies include good ascertainment of alcohol</w:t>
      </w:r>
      <w:r w:rsidR="00B8300B" w:rsidRPr="0098723C">
        <w:rPr>
          <w:rFonts w:ascii="Verdana" w:hAnsi="Verdana"/>
          <w:color w:val="auto"/>
          <w:sz w:val="24"/>
          <w:szCs w:val="24"/>
        </w:rPr>
        <w:t xml:space="preserve"> use disorders</w:t>
      </w:r>
      <w:r w:rsidRPr="0098723C">
        <w:rPr>
          <w:rFonts w:ascii="Verdana" w:hAnsi="Verdana"/>
          <w:color w:val="auto"/>
          <w:sz w:val="24"/>
          <w:szCs w:val="24"/>
        </w:rPr>
        <w:t xml:space="preserve">, linkage to national registers for deaths, and loss to follow up </w:t>
      </w:r>
      <w:r w:rsidR="00153664" w:rsidRPr="0098723C">
        <w:rPr>
          <w:rFonts w:ascii="Verdana" w:hAnsi="Verdana"/>
          <w:color w:val="auto"/>
          <w:sz w:val="24"/>
          <w:szCs w:val="24"/>
        </w:rPr>
        <w:t>(</w:t>
      </w:r>
      <w:r w:rsidR="00EC387B" w:rsidRPr="0098723C">
        <w:rPr>
          <w:rFonts w:ascii="Verdana" w:hAnsi="Verdana"/>
          <w:color w:val="auto"/>
          <w:sz w:val="24"/>
          <w:szCs w:val="24"/>
        </w:rPr>
        <w:t>where reported</w:t>
      </w:r>
      <w:r w:rsidR="00153664" w:rsidRPr="0098723C">
        <w:rPr>
          <w:rFonts w:ascii="Verdana" w:hAnsi="Verdana"/>
          <w:color w:val="auto"/>
          <w:sz w:val="24"/>
          <w:szCs w:val="24"/>
        </w:rPr>
        <w:t>)</w:t>
      </w:r>
      <w:r w:rsidRPr="0098723C">
        <w:rPr>
          <w:rFonts w:ascii="Verdana" w:hAnsi="Verdana"/>
          <w:color w:val="auto"/>
          <w:sz w:val="24"/>
          <w:szCs w:val="24"/>
        </w:rPr>
        <w:t xml:space="preserve"> was </w:t>
      </w:r>
      <w:r w:rsidR="00EC387B" w:rsidRPr="0098723C">
        <w:rPr>
          <w:rFonts w:ascii="Verdana" w:hAnsi="Verdana"/>
          <w:color w:val="auto"/>
          <w:sz w:val="24"/>
          <w:szCs w:val="24"/>
        </w:rPr>
        <w:t xml:space="preserve">low </w:t>
      </w:r>
      <w:r w:rsidRPr="0098723C">
        <w:rPr>
          <w:rFonts w:ascii="Verdana" w:hAnsi="Verdana"/>
          <w:color w:val="auto"/>
          <w:sz w:val="24"/>
          <w:szCs w:val="24"/>
        </w:rPr>
        <w:t>(i.e. &lt;20%</w:t>
      </w:r>
      <w:r w:rsidR="00EC387B" w:rsidRPr="0098723C">
        <w:rPr>
          <w:rFonts w:ascii="Verdana" w:hAnsi="Verdana"/>
          <w:color w:val="auto"/>
          <w:sz w:val="24"/>
          <w:szCs w:val="24"/>
        </w:rPr>
        <w:t xml:space="preserve"> </w:t>
      </w:r>
      <w:r w:rsidR="007F3AF5" w:rsidRPr="0098723C">
        <w:rPr>
          <w:rFonts w:ascii="Verdana" w:hAnsi="Verdana"/>
          <w:noProof/>
          <w:color w:val="auto"/>
          <w:sz w:val="24"/>
          <w:szCs w:val="24"/>
          <w:vertAlign w:val="superscript"/>
        </w:rPr>
        <w:t>55</w:t>
      </w:r>
      <w:r w:rsidRPr="0098723C">
        <w:rPr>
          <w:rFonts w:ascii="Verdana" w:hAnsi="Verdana"/>
          <w:color w:val="auto"/>
          <w:sz w:val="24"/>
          <w:szCs w:val="24"/>
        </w:rPr>
        <w:t xml:space="preserve">). Where loss to follow up </w:t>
      </w:r>
      <w:r w:rsidR="00714059" w:rsidRPr="0098723C">
        <w:rPr>
          <w:rFonts w:ascii="Verdana" w:hAnsi="Verdana"/>
          <w:color w:val="auto"/>
          <w:sz w:val="24"/>
          <w:szCs w:val="24"/>
        </w:rPr>
        <w:t>was</w:t>
      </w:r>
      <w:r w:rsidRPr="0098723C">
        <w:rPr>
          <w:rFonts w:ascii="Verdana" w:hAnsi="Verdana"/>
          <w:color w:val="auto"/>
          <w:sz w:val="24"/>
          <w:szCs w:val="24"/>
        </w:rPr>
        <w:t xml:space="preserve"> not </w:t>
      </w:r>
      <w:r w:rsidR="00F114D1" w:rsidRPr="0098723C">
        <w:rPr>
          <w:rFonts w:ascii="Verdana" w:hAnsi="Verdana"/>
          <w:color w:val="auto"/>
          <w:sz w:val="24"/>
          <w:szCs w:val="24"/>
        </w:rPr>
        <w:t xml:space="preserve">explicitly </w:t>
      </w:r>
      <w:r w:rsidRPr="0098723C">
        <w:rPr>
          <w:rFonts w:ascii="Verdana" w:hAnsi="Verdana"/>
          <w:color w:val="auto"/>
          <w:sz w:val="24"/>
          <w:szCs w:val="24"/>
        </w:rPr>
        <w:t>reported</w:t>
      </w:r>
      <w:r w:rsidR="00D21229" w:rsidRPr="0098723C">
        <w:rPr>
          <w:rFonts w:ascii="Verdana" w:hAnsi="Verdana"/>
          <w:color w:val="auto"/>
          <w:sz w:val="24"/>
          <w:szCs w:val="24"/>
        </w:rPr>
        <w:t xml:space="preserve"> </w:t>
      </w:r>
      <w:r w:rsidR="00C776A8" w:rsidRPr="0098723C">
        <w:rPr>
          <w:rFonts w:ascii="Verdana" w:hAnsi="Verdana"/>
          <w:noProof/>
          <w:color w:val="auto"/>
          <w:sz w:val="24"/>
          <w:szCs w:val="24"/>
          <w:vertAlign w:val="superscript"/>
        </w:rPr>
        <w:t>31,41</w:t>
      </w:r>
      <w:r w:rsidRPr="0098723C">
        <w:rPr>
          <w:rFonts w:ascii="Verdana" w:hAnsi="Verdana"/>
          <w:color w:val="auto"/>
          <w:sz w:val="24"/>
          <w:szCs w:val="24"/>
        </w:rPr>
        <w:t xml:space="preserve">, we believe that the loss to follow up </w:t>
      </w:r>
      <w:r w:rsidR="00714059" w:rsidRPr="0098723C">
        <w:rPr>
          <w:rFonts w:ascii="Verdana" w:hAnsi="Verdana"/>
          <w:color w:val="auto"/>
          <w:sz w:val="24"/>
          <w:szCs w:val="24"/>
        </w:rPr>
        <w:t xml:space="preserve">was unlikely to differ greatly </w:t>
      </w:r>
      <w:r w:rsidRPr="0098723C">
        <w:rPr>
          <w:rFonts w:ascii="Verdana" w:hAnsi="Verdana"/>
          <w:color w:val="auto"/>
          <w:sz w:val="24"/>
          <w:szCs w:val="24"/>
        </w:rPr>
        <w:t>to the other studies, as these studies also record</w:t>
      </w:r>
      <w:r w:rsidR="00714059" w:rsidRPr="0098723C">
        <w:rPr>
          <w:rFonts w:ascii="Verdana" w:hAnsi="Verdana"/>
          <w:color w:val="auto"/>
          <w:sz w:val="24"/>
          <w:szCs w:val="24"/>
        </w:rPr>
        <w:t>ed</w:t>
      </w:r>
      <w:r w:rsidRPr="0098723C">
        <w:rPr>
          <w:rFonts w:ascii="Verdana" w:hAnsi="Verdana"/>
          <w:color w:val="auto"/>
          <w:sz w:val="24"/>
          <w:szCs w:val="24"/>
        </w:rPr>
        <w:t xml:space="preserve"> outcomes via linkage to national registration systems where mortality ascertainment is largely complete</w:t>
      </w:r>
      <w:r w:rsidR="005C3696" w:rsidRPr="0098723C">
        <w:rPr>
          <w:rFonts w:ascii="Verdana" w:hAnsi="Verdana"/>
          <w:color w:val="auto"/>
          <w:sz w:val="24"/>
          <w:szCs w:val="24"/>
        </w:rPr>
        <w:t xml:space="preserve"> </w:t>
      </w:r>
      <w:r w:rsidR="007F3AF5" w:rsidRPr="0098723C">
        <w:rPr>
          <w:rFonts w:ascii="Verdana" w:hAnsi="Verdana"/>
          <w:noProof/>
          <w:color w:val="auto"/>
          <w:sz w:val="24"/>
          <w:szCs w:val="24"/>
          <w:vertAlign w:val="superscript"/>
        </w:rPr>
        <w:t>56,57</w:t>
      </w:r>
      <w:r w:rsidRPr="0098723C">
        <w:rPr>
          <w:rFonts w:ascii="Verdana" w:hAnsi="Verdana"/>
          <w:color w:val="auto"/>
          <w:sz w:val="24"/>
          <w:szCs w:val="24"/>
        </w:rPr>
        <w:t>.</w:t>
      </w:r>
    </w:p>
    <w:p w14:paraId="4651C9D6" w14:textId="77777777" w:rsidR="00AE2081" w:rsidRPr="0098723C" w:rsidRDefault="00AE2081"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The</w:t>
      </w:r>
      <w:r w:rsidR="00EC387B" w:rsidRPr="0098723C">
        <w:rPr>
          <w:rFonts w:ascii="Verdana" w:hAnsi="Verdana"/>
          <w:color w:val="auto"/>
          <w:sz w:val="24"/>
          <w:szCs w:val="24"/>
        </w:rPr>
        <w:t xml:space="preserve">re are </w:t>
      </w:r>
      <w:r w:rsidR="00DB55CD" w:rsidRPr="0098723C">
        <w:rPr>
          <w:rFonts w:ascii="Verdana" w:hAnsi="Verdana"/>
          <w:color w:val="auto"/>
          <w:sz w:val="24"/>
          <w:szCs w:val="24"/>
        </w:rPr>
        <w:t xml:space="preserve">nevertheless </w:t>
      </w:r>
      <w:r w:rsidR="00EC387B" w:rsidRPr="0098723C">
        <w:rPr>
          <w:rFonts w:ascii="Verdana" w:hAnsi="Verdana"/>
          <w:color w:val="auto"/>
          <w:sz w:val="24"/>
          <w:szCs w:val="24"/>
        </w:rPr>
        <w:t>some biases that we should consider when interpreting our study.</w:t>
      </w:r>
    </w:p>
    <w:p w14:paraId="4AB8F201" w14:textId="77777777" w:rsidR="004759A9" w:rsidRPr="0098723C" w:rsidRDefault="00D1591F" w:rsidP="00C776A8">
      <w:pPr>
        <w:pStyle w:val="Body"/>
        <w:pBdr>
          <w:top w:val="none" w:sz="0" w:space="0" w:color="auto"/>
          <w:left w:val="none" w:sz="0" w:space="0" w:color="auto"/>
          <w:bottom w:val="none" w:sz="0" w:space="0" w:color="auto"/>
          <w:right w:val="none" w:sz="0" w:space="0" w:color="auto"/>
        </w:pBdr>
        <w:spacing w:line="480" w:lineRule="auto"/>
        <w:jc w:val="both"/>
        <w:rPr>
          <w:rFonts w:ascii="Verdana" w:hAnsi="Verdana"/>
          <w:color w:val="auto"/>
          <w:sz w:val="24"/>
          <w:szCs w:val="24"/>
        </w:rPr>
      </w:pPr>
      <w:r w:rsidRPr="0098723C">
        <w:rPr>
          <w:rFonts w:ascii="Verdana" w:hAnsi="Verdana"/>
          <w:color w:val="auto"/>
          <w:sz w:val="24"/>
          <w:szCs w:val="24"/>
        </w:rPr>
        <w:t>First</w:t>
      </w:r>
      <w:r w:rsidR="003761B5" w:rsidRPr="0098723C">
        <w:rPr>
          <w:rFonts w:ascii="Verdana" w:hAnsi="Verdana"/>
          <w:color w:val="auto"/>
          <w:sz w:val="24"/>
          <w:szCs w:val="24"/>
        </w:rPr>
        <w:t>ly,</w:t>
      </w:r>
      <w:r w:rsidRPr="0098723C">
        <w:rPr>
          <w:rFonts w:ascii="Verdana" w:hAnsi="Verdana"/>
          <w:color w:val="auto"/>
          <w:sz w:val="24"/>
          <w:szCs w:val="24"/>
        </w:rPr>
        <w:t xml:space="preserve"> </w:t>
      </w:r>
      <w:r w:rsidR="00A5282F" w:rsidRPr="0098723C">
        <w:rPr>
          <w:rFonts w:ascii="Verdana" w:hAnsi="Verdana"/>
          <w:color w:val="auto"/>
          <w:sz w:val="24"/>
          <w:szCs w:val="24"/>
        </w:rPr>
        <w:t xml:space="preserve">there </w:t>
      </w:r>
      <w:r w:rsidR="00EA3860" w:rsidRPr="0098723C">
        <w:rPr>
          <w:rFonts w:ascii="Verdana" w:hAnsi="Verdana"/>
          <w:color w:val="auto"/>
          <w:sz w:val="24"/>
          <w:szCs w:val="24"/>
        </w:rPr>
        <w:t xml:space="preserve">is the matter of </w:t>
      </w:r>
      <w:r w:rsidR="00883A4E" w:rsidRPr="0098723C">
        <w:rPr>
          <w:rFonts w:ascii="Verdana" w:hAnsi="Verdana"/>
          <w:color w:val="auto"/>
          <w:sz w:val="24"/>
          <w:szCs w:val="24"/>
        </w:rPr>
        <w:t xml:space="preserve">the </w:t>
      </w:r>
      <w:r w:rsidR="00153664" w:rsidRPr="0098723C">
        <w:rPr>
          <w:rFonts w:ascii="Verdana" w:hAnsi="Verdana"/>
          <w:color w:val="auto"/>
          <w:sz w:val="24"/>
          <w:szCs w:val="24"/>
        </w:rPr>
        <w:t xml:space="preserve">generalisability </w:t>
      </w:r>
      <w:r w:rsidR="00883A4E" w:rsidRPr="0098723C">
        <w:rPr>
          <w:rFonts w:ascii="Verdana" w:hAnsi="Verdana"/>
          <w:color w:val="auto"/>
          <w:sz w:val="24"/>
          <w:szCs w:val="24"/>
        </w:rPr>
        <w:t xml:space="preserve">of the </w:t>
      </w:r>
      <w:r w:rsidR="003761B5" w:rsidRPr="0098723C">
        <w:rPr>
          <w:rFonts w:ascii="Verdana" w:hAnsi="Verdana"/>
          <w:color w:val="auto"/>
          <w:sz w:val="24"/>
          <w:szCs w:val="24"/>
        </w:rPr>
        <w:t>participants of the included studies</w:t>
      </w:r>
      <w:r w:rsidR="00E93E20" w:rsidRPr="0098723C">
        <w:rPr>
          <w:rFonts w:ascii="Verdana" w:hAnsi="Verdana"/>
          <w:color w:val="auto"/>
          <w:sz w:val="24"/>
          <w:szCs w:val="24"/>
        </w:rPr>
        <w:t xml:space="preserve">. </w:t>
      </w:r>
      <w:r w:rsidR="00DC0EDA" w:rsidRPr="0098723C">
        <w:rPr>
          <w:rFonts w:ascii="Verdana" w:hAnsi="Verdana"/>
          <w:color w:val="auto"/>
          <w:sz w:val="24"/>
          <w:szCs w:val="24"/>
        </w:rPr>
        <w:t xml:space="preserve">We have concentrated on populations receiving </w:t>
      </w:r>
      <w:r w:rsidR="00D21229" w:rsidRPr="0098723C">
        <w:rPr>
          <w:rFonts w:ascii="Verdana" w:hAnsi="Verdana"/>
          <w:color w:val="auto"/>
          <w:sz w:val="24"/>
          <w:szCs w:val="24"/>
        </w:rPr>
        <w:t xml:space="preserve">treatment </w:t>
      </w:r>
      <w:r w:rsidR="00DC0EDA" w:rsidRPr="0098723C">
        <w:rPr>
          <w:rFonts w:ascii="Verdana" w:hAnsi="Verdana"/>
          <w:color w:val="auto"/>
          <w:sz w:val="24"/>
          <w:szCs w:val="24"/>
        </w:rPr>
        <w:t>for</w:t>
      </w:r>
      <w:r w:rsidR="008A2972" w:rsidRPr="0098723C">
        <w:rPr>
          <w:rFonts w:ascii="Verdana" w:hAnsi="Verdana"/>
          <w:color w:val="auto"/>
          <w:sz w:val="24"/>
          <w:szCs w:val="24"/>
        </w:rPr>
        <w:t xml:space="preserve"> AUD</w:t>
      </w:r>
      <w:r w:rsidR="00DB55CD" w:rsidRPr="0098723C">
        <w:rPr>
          <w:rFonts w:ascii="Verdana" w:hAnsi="Verdana"/>
          <w:color w:val="auto"/>
          <w:sz w:val="24"/>
          <w:szCs w:val="24"/>
        </w:rPr>
        <w:t xml:space="preserve"> as this is a fairly accessible AUD population</w:t>
      </w:r>
      <w:r w:rsidR="00B8300B" w:rsidRPr="0098723C">
        <w:rPr>
          <w:rFonts w:ascii="Verdana" w:hAnsi="Verdana"/>
          <w:color w:val="auto"/>
          <w:sz w:val="24"/>
          <w:szCs w:val="24"/>
        </w:rPr>
        <w:t>, and one likely to have had AUD carefully assessed</w:t>
      </w:r>
      <w:r w:rsidR="00DC0EDA" w:rsidRPr="0098723C">
        <w:rPr>
          <w:rFonts w:ascii="Verdana" w:hAnsi="Verdana"/>
          <w:color w:val="auto"/>
          <w:sz w:val="24"/>
          <w:szCs w:val="24"/>
        </w:rPr>
        <w:t xml:space="preserve">. Given that the </w:t>
      </w:r>
      <w:r w:rsidR="00A70F28" w:rsidRPr="0098723C">
        <w:rPr>
          <w:rFonts w:ascii="Verdana" w:hAnsi="Verdana"/>
          <w:color w:val="auto"/>
          <w:sz w:val="24"/>
          <w:szCs w:val="24"/>
        </w:rPr>
        <w:t xml:space="preserve">included </w:t>
      </w:r>
      <w:r w:rsidR="00DC0EDA" w:rsidRPr="0098723C">
        <w:rPr>
          <w:rFonts w:ascii="Verdana" w:hAnsi="Verdana"/>
          <w:color w:val="auto"/>
          <w:sz w:val="24"/>
          <w:szCs w:val="24"/>
        </w:rPr>
        <w:t xml:space="preserve">studies were </w:t>
      </w:r>
      <w:bookmarkStart w:id="6" w:name="_Hlk482875344"/>
      <w:r w:rsidR="00DB55CD" w:rsidRPr="0098723C">
        <w:rPr>
          <w:rFonts w:ascii="Verdana" w:hAnsi="Verdana"/>
          <w:color w:val="auto"/>
          <w:sz w:val="24"/>
          <w:szCs w:val="24"/>
        </w:rPr>
        <w:t xml:space="preserve">predominantly </w:t>
      </w:r>
      <w:r w:rsidR="00E93E20" w:rsidRPr="0098723C">
        <w:rPr>
          <w:rFonts w:ascii="Verdana" w:hAnsi="Verdana"/>
          <w:color w:val="auto"/>
          <w:sz w:val="24"/>
          <w:szCs w:val="24"/>
        </w:rPr>
        <w:t xml:space="preserve">conducted </w:t>
      </w:r>
      <w:r w:rsidR="00DC0EDA" w:rsidRPr="0098723C">
        <w:rPr>
          <w:rFonts w:ascii="Verdana" w:hAnsi="Verdana"/>
          <w:color w:val="auto"/>
          <w:sz w:val="24"/>
          <w:szCs w:val="24"/>
        </w:rPr>
        <w:t xml:space="preserve">in advanced economies, </w:t>
      </w:r>
      <w:r w:rsidR="00DB55CD" w:rsidRPr="0098723C">
        <w:rPr>
          <w:rFonts w:ascii="Verdana" w:hAnsi="Verdana"/>
          <w:color w:val="auto"/>
          <w:sz w:val="24"/>
          <w:szCs w:val="24"/>
        </w:rPr>
        <w:t xml:space="preserve">recruited </w:t>
      </w:r>
      <w:r w:rsidR="00EA63B9" w:rsidRPr="0098723C">
        <w:rPr>
          <w:rFonts w:ascii="Verdana" w:hAnsi="Verdana"/>
          <w:color w:val="auto"/>
          <w:sz w:val="24"/>
          <w:szCs w:val="24"/>
        </w:rPr>
        <w:t xml:space="preserve">mostly </w:t>
      </w:r>
      <w:r w:rsidR="00DC0EDA" w:rsidRPr="0098723C">
        <w:rPr>
          <w:rFonts w:ascii="Verdana" w:hAnsi="Verdana"/>
          <w:color w:val="auto"/>
          <w:sz w:val="24"/>
          <w:szCs w:val="24"/>
        </w:rPr>
        <w:t>middle-aged males</w:t>
      </w:r>
      <w:bookmarkEnd w:id="6"/>
      <w:r w:rsidR="00EA63B9" w:rsidRPr="0098723C">
        <w:rPr>
          <w:rFonts w:ascii="Verdana" w:hAnsi="Verdana"/>
          <w:color w:val="auto"/>
          <w:sz w:val="24"/>
          <w:szCs w:val="24"/>
        </w:rPr>
        <w:t xml:space="preserve">, </w:t>
      </w:r>
      <w:r w:rsidR="003761B5" w:rsidRPr="0098723C">
        <w:rPr>
          <w:rFonts w:ascii="Verdana" w:hAnsi="Verdana"/>
          <w:color w:val="auto"/>
          <w:sz w:val="24"/>
          <w:szCs w:val="24"/>
        </w:rPr>
        <w:t xml:space="preserve">and that we reported rates for combined genders, </w:t>
      </w:r>
      <w:r w:rsidR="00DC0EDA" w:rsidRPr="0098723C">
        <w:rPr>
          <w:rFonts w:ascii="Verdana" w:hAnsi="Verdana"/>
          <w:color w:val="auto"/>
          <w:sz w:val="24"/>
          <w:szCs w:val="24"/>
        </w:rPr>
        <w:t xml:space="preserve">the findings of this review are </w:t>
      </w:r>
      <w:r w:rsidR="00ED2A88" w:rsidRPr="0098723C">
        <w:rPr>
          <w:rFonts w:ascii="Verdana" w:hAnsi="Verdana"/>
          <w:color w:val="auto"/>
          <w:sz w:val="24"/>
          <w:szCs w:val="24"/>
        </w:rPr>
        <w:t xml:space="preserve">likely to be </w:t>
      </w:r>
      <w:r w:rsidR="00DC0EDA" w:rsidRPr="0098723C">
        <w:rPr>
          <w:rFonts w:ascii="Verdana" w:hAnsi="Verdana"/>
          <w:color w:val="auto"/>
          <w:sz w:val="24"/>
          <w:szCs w:val="24"/>
        </w:rPr>
        <w:t>generalisable to similar</w:t>
      </w:r>
      <w:r w:rsidR="004C543C" w:rsidRPr="0098723C">
        <w:rPr>
          <w:rFonts w:ascii="Verdana" w:hAnsi="Verdana"/>
          <w:color w:val="auto"/>
          <w:sz w:val="24"/>
          <w:szCs w:val="24"/>
        </w:rPr>
        <w:t xml:space="preserve"> </w:t>
      </w:r>
      <w:r w:rsidR="00A70F28" w:rsidRPr="0098723C">
        <w:rPr>
          <w:rFonts w:ascii="Verdana" w:hAnsi="Verdana"/>
          <w:color w:val="auto"/>
          <w:sz w:val="24"/>
          <w:szCs w:val="24"/>
        </w:rPr>
        <w:t xml:space="preserve">AUD </w:t>
      </w:r>
      <w:r w:rsidR="004C543C" w:rsidRPr="0098723C">
        <w:rPr>
          <w:rFonts w:ascii="Verdana" w:hAnsi="Verdana"/>
          <w:color w:val="auto"/>
          <w:sz w:val="24"/>
          <w:szCs w:val="24"/>
        </w:rPr>
        <w:t>populations</w:t>
      </w:r>
      <w:r w:rsidR="00153664" w:rsidRPr="0098723C">
        <w:rPr>
          <w:rFonts w:ascii="Verdana" w:hAnsi="Verdana"/>
          <w:color w:val="auto"/>
          <w:sz w:val="24"/>
          <w:szCs w:val="24"/>
        </w:rPr>
        <w:t xml:space="preserve"> </w:t>
      </w:r>
      <w:r w:rsidR="00AB542D" w:rsidRPr="0098723C">
        <w:rPr>
          <w:rFonts w:ascii="Verdana" w:hAnsi="Verdana"/>
          <w:color w:val="auto"/>
          <w:sz w:val="24"/>
          <w:szCs w:val="24"/>
        </w:rPr>
        <w:t xml:space="preserve">and </w:t>
      </w:r>
      <w:r w:rsidR="00153664" w:rsidRPr="0098723C">
        <w:rPr>
          <w:rFonts w:ascii="Verdana" w:hAnsi="Verdana"/>
          <w:color w:val="auto"/>
          <w:sz w:val="24"/>
          <w:szCs w:val="24"/>
        </w:rPr>
        <w:t xml:space="preserve">not to </w:t>
      </w:r>
      <w:r w:rsidR="00A70F28" w:rsidRPr="0098723C">
        <w:rPr>
          <w:rFonts w:ascii="Verdana" w:hAnsi="Verdana"/>
          <w:color w:val="auto"/>
          <w:sz w:val="24"/>
          <w:szCs w:val="24"/>
        </w:rPr>
        <w:t>other AUD populations</w:t>
      </w:r>
      <w:r w:rsidR="00B8300B" w:rsidRPr="0098723C">
        <w:rPr>
          <w:rFonts w:ascii="Verdana" w:hAnsi="Verdana"/>
          <w:color w:val="auto"/>
          <w:sz w:val="24"/>
          <w:szCs w:val="24"/>
        </w:rPr>
        <w:t xml:space="preserve"> with</w:t>
      </w:r>
      <w:r w:rsidR="00A70F28" w:rsidRPr="0098723C">
        <w:rPr>
          <w:rFonts w:ascii="Verdana" w:hAnsi="Verdana"/>
          <w:color w:val="auto"/>
          <w:sz w:val="24"/>
          <w:szCs w:val="24"/>
        </w:rPr>
        <w:t xml:space="preserve"> </w:t>
      </w:r>
      <w:r w:rsidR="00E93E20" w:rsidRPr="0098723C">
        <w:rPr>
          <w:rFonts w:ascii="Verdana" w:hAnsi="Verdana"/>
          <w:color w:val="auto"/>
          <w:sz w:val="24"/>
          <w:szCs w:val="24"/>
        </w:rPr>
        <w:t>different demographic, clinical, socioeconomic or other characteristics</w:t>
      </w:r>
      <w:r w:rsidR="00D21229" w:rsidRPr="0098723C">
        <w:rPr>
          <w:rFonts w:ascii="Verdana" w:hAnsi="Verdana"/>
          <w:color w:val="auto"/>
          <w:sz w:val="24"/>
          <w:szCs w:val="24"/>
        </w:rPr>
        <w:t xml:space="preserve">. </w:t>
      </w:r>
      <w:r w:rsidR="00B8300B" w:rsidRPr="0098723C">
        <w:rPr>
          <w:rFonts w:ascii="Verdana" w:hAnsi="Verdana"/>
          <w:color w:val="auto"/>
          <w:sz w:val="24"/>
          <w:szCs w:val="24"/>
        </w:rPr>
        <w:t>An example of such a population might be that described by</w:t>
      </w:r>
      <w:r w:rsidR="00DB55CD" w:rsidRPr="0098723C">
        <w:rPr>
          <w:rFonts w:ascii="Verdana" w:hAnsi="Verdana"/>
          <w:color w:val="auto"/>
          <w:sz w:val="24"/>
          <w:szCs w:val="24"/>
        </w:rPr>
        <w:t xml:space="preserve"> G</w:t>
      </w:r>
      <w:r w:rsidR="00A65D40" w:rsidRPr="0098723C">
        <w:rPr>
          <w:rFonts w:ascii="Verdana" w:hAnsi="Verdana"/>
          <w:color w:val="auto"/>
          <w:sz w:val="24"/>
          <w:szCs w:val="24"/>
        </w:rPr>
        <w:t>unnarsdottir</w:t>
      </w:r>
      <w:r w:rsidR="00597508" w:rsidRPr="0098723C">
        <w:rPr>
          <w:rFonts w:ascii="Verdana" w:hAnsi="Verdana"/>
          <w:color w:val="auto"/>
          <w:sz w:val="24"/>
          <w:szCs w:val="24"/>
        </w:rPr>
        <w:t xml:space="preserve"> et al.</w:t>
      </w:r>
      <w:r w:rsidR="004759A9" w:rsidRPr="0098723C">
        <w:rPr>
          <w:rFonts w:ascii="Verdana" w:hAnsi="Verdana"/>
          <w:color w:val="auto"/>
          <w:sz w:val="24"/>
          <w:szCs w:val="24"/>
        </w:rPr>
        <w:t xml:space="preserve"> </w:t>
      </w:r>
      <w:r w:rsidR="007F3AF5" w:rsidRPr="0098723C">
        <w:rPr>
          <w:rFonts w:ascii="Verdana" w:hAnsi="Verdana"/>
          <w:noProof/>
          <w:color w:val="auto"/>
          <w:sz w:val="24"/>
          <w:szCs w:val="24"/>
          <w:vertAlign w:val="superscript"/>
        </w:rPr>
        <w:t>58</w:t>
      </w:r>
      <w:r w:rsidR="00F51406" w:rsidRPr="00372BD4">
        <w:rPr>
          <w:rFonts w:ascii="Verdana" w:hAnsi="Verdana"/>
          <w:color w:val="auto"/>
          <w:sz w:val="24"/>
          <w:szCs w:val="24"/>
        </w:rPr>
        <w:t xml:space="preserve">, where the AUD population was sampled in the emergency care setting, and consisted of a </w:t>
      </w:r>
      <w:r w:rsidR="00F51406" w:rsidRPr="0098723C">
        <w:rPr>
          <w:rFonts w:ascii="Verdana" w:hAnsi="Verdana"/>
          <w:color w:val="auto"/>
          <w:sz w:val="24"/>
          <w:szCs w:val="24"/>
        </w:rPr>
        <w:t xml:space="preserve">lesser proportion of males (63.7%) </w:t>
      </w:r>
      <w:r w:rsidR="00886366" w:rsidRPr="0098723C">
        <w:rPr>
          <w:rFonts w:ascii="Verdana" w:hAnsi="Verdana"/>
          <w:color w:val="auto"/>
          <w:sz w:val="24"/>
          <w:szCs w:val="24"/>
        </w:rPr>
        <w:t>than ours</w:t>
      </w:r>
      <w:r w:rsidR="00AB542D" w:rsidRPr="0098723C">
        <w:rPr>
          <w:rFonts w:ascii="Verdana" w:hAnsi="Verdana"/>
          <w:color w:val="auto"/>
          <w:sz w:val="24"/>
          <w:szCs w:val="24"/>
        </w:rPr>
        <w:t xml:space="preserve">, and had </w:t>
      </w:r>
      <w:r w:rsidR="00F51406" w:rsidRPr="0098723C">
        <w:rPr>
          <w:rFonts w:ascii="Verdana" w:hAnsi="Verdana"/>
          <w:color w:val="auto"/>
          <w:sz w:val="24"/>
          <w:szCs w:val="24"/>
        </w:rPr>
        <w:t>mortality rates less than th</w:t>
      </w:r>
      <w:r w:rsidR="00886366" w:rsidRPr="0098723C">
        <w:rPr>
          <w:rFonts w:ascii="Verdana" w:hAnsi="Verdana"/>
          <w:color w:val="auto"/>
          <w:sz w:val="24"/>
          <w:szCs w:val="24"/>
        </w:rPr>
        <w:t xml:space="preserve">ose found </w:t>
      </w:r>
      <w:r w:rsidR="00F51406" w:rsidRPr="0098723C">
        <w:rPr>
          <w:rFonts w:ascii="Verdana" w:hAnsi="Verdana"/>
          <w:color w:val="auto"/>
          <w:sz w:val="24"/>
          <w:szCs w:val="24"/>
        </w:rPr>
        <w:t>in this review (e.g. all-cause mortality 12.62 vs 28.08/1000py).</w:t>
      </w:r>
    </w:p>
    <w:p w14:paraId="3428F358" w14:textId="77777777" w:rsidR="004314E3" w:rsidRPr="0098723C" w:rsidRDefault="003761B5" w:rsidP="00C776A8">
      <w:pPr>
        <w:pStyle w:val="Body"/>
        <w:pBdr>
          <w:top w:val="none" w:sz="0" w:space="0" w:color="auto"/>
          <w:left w:val="none" w:sz="0" w:space="0" w:color="auto"/>
          <w:bottom w:val="none" w:sz="0" w:space="0" w:color="auto"/>
          <w:right w:val="none" w:sz="0" w:space="0" w:color="auto"/>
        </w:pBdr>
        <w:spacing w:line="480" w:lineRule="auto"/>
        <w:jc w:val="both"/>
        <w:rPr>
          <w:rFonts w:ascii="Verdana" w:hAnsi="Verdana"/>
          <w:color w:val="auto"/>
          <w:sz w:val="24"/>
          <w:szCs w:val="24"/>
        </w:rPr>
      </w:pPr>
      <w:r w:rsidRPr="0098723C">
        <w:rPr>
          <w:rFonts w:ascii="Verdana" w:hAnsi="Verdana"/>
          <w:color w:val="auto"/>
          <w:sz w:val="24"/>
          <w:szCs w:val="24"/>
        </w:rPr>
        <w:t>Secondly, we</w:t>
      </w:r>
      <w:r w:rsidR="002A39BA" w:rsidRPr="0098723C">
        <w:rPr>
          <w:rFonts w:ascii="Verdana" w:hAnsi="Verdana"/>
          <w:color w:val="auto"/>
          <w:sz w:val="24"/>
          <w:szCs w:val="24"/>
        </w:rPr>
        <w:t xml:space="preserve"> found significant h</w:t>
      </w:r>
      <w:r w:rsidR="002B71E1" w:rsidRPr="0098723C">
        <w:rPr>
          <w:rFonts w:ascii="Verdana" w:hAnsi="Verdana"/>
          <w:color w:val="auto"/>
          <w:sz w:val="24"/>
          <w:szCs w:val="24"/>
        </w:rPr>
        <w:t>eterogeneity</w:t>
      </w:r>
      <w:r w:rsidR="002A39BA" w:rsidRPr="0098723C">
        <w:rPr>
          <w:rFonts w:ascii="Verdana" w:hAnsi="Verdana"/>
          <w:color w:val="auto"/>
          <w:sz w:val="24"/>
          <w:szCs w:val="24"/>
        </w:rPr>
        <w:t xml:space="preserve"> in </w:t>
      </w:r>
      <w:r w:rsidR="00D1219B" w:rsidRPr="0098723C">
        <w:rPr>
          <w:rFonts w:ascii="Verdana" w:hAnsi="Verdana"/>
          <w:color w:val="auto"/>
          <w:sz w:val="24"/>
          <w:szCs w:val="24"/>
        </w:rPr>
        <w:t>the meta-analysed estimates of pooled crude mortality rates</w:t>
      </w:r>
      <w:r w:rsidR="002A39BA" w:rsidRPr="0098723C">
        <w:rPr>
          <w:rFonts w:ascii="Verdana" w:hAnsi="Verdana"/>
          <w:color w:val="auto"/>
          <w:sz w:val="24"/>
          <w:szCs w:val="24"/>
        </w:rPr>
        <w:t xml:space="preserve">. </w:t>
      </w:r>
      <w:r w:rsidRPr="0098723C">
        <w:rPr>
          <w:rFonts w:ascii="Verdana" w:hAnsi="Verdana"/>
          <w:color w:val="auto"/>
          <w:sz w:val="24"/>
          <w:szCs w:val="24"/>
        </w:rPr>
        <w:t xml:space="preserve">Sources of </w:t>
      </w:r>
      <w:r w:rsidR="00F06129" w:rsidRPr="0098723C">
        <w:rPr>
          <w:rFonts w:ascii="Verdana" w:hAnsi="Verdana"/>
          <w:color w:val="auto"/>
          <w:sz w:val="24"/>
          <w:szCs w:val="24"/>
        </w:rPr>
        <w:t xml:space="preserve">this heterogeneity </w:t>
      </w:r>
      <w:r w:rsidR="00C520C5" w:rsidRPr="0098723C">
        <w:rPr>
          <w:rFonts w:ascii="Verdana" w:hAnsi="Verdana"/>
          <w:color w:val="auto"/>
          <w:sz w:val="24"/>
          <w:szCs w:val="24"/>
        </w:rPr>
        <w:t>may include</w:t>
      </w:r>
      <w:r w:rsidRPr="0098723C">
        <w:rPr>
          <w:rFonts w:ascii="Verdana" w:hAnsi="Verdana"/>
          <w:color w:val="auto"/>
          <w:sz w:val="24"/>
          <w:szCs w:val="24"/>
        </w:rPr>
        <w:t xml:space="preserve"> differences in the demographic</w:t>
      </w:r>
      <w:r w:rsidR="00D21229" w:rsidRPr="0098723C">
        <w:rPr>
          <w:rFonts w:ascii="Verdana" w:hAnsi="Verdana"/>
          <w:color w:val="auto"/>
          <w:sz w:val="24"/>
          <w:szCs w:val="24"/>
        </w:rPr>
        <w:t xml:space="preserve"> or clinical</w:t>
      </w:r>
      <w:r w:rsidRPr="0098723C">
        <w:rPr>
          <w:rFonts w:ascii="Verdana" w:hAnsi="Verdana"/>
          <w:color w:val="auto"/>
          <w:sz w:val="24"/>
          <w:szCs w:val="24"/>
        </w:rPr>
        <w:t xml:space="preserve"> characteristics of participants</w:t>
      </w:r>
      <w:r w:rsidR="00D21229" w:rsidRPr="0098723C">
        <w:rPr>
          <w:rFonts w:ascii="Verdana" w:hAnsi="Verdana"/>
          <w:color w:val="auto"/>
          <w:sz w:val="24"/>
          <w:szCs w:val="24"/>
        </w:rPr>
        <w:t xml:space="preserve"> </w:t>
      </w:r>
      <w:r w:rsidR="007F3AF5" w:rsidRPr="0098723C">
        <w:rPr>
          <w:rFonts w:ascii="Verdana" w:hAnsi="Verdana"/>
          <w:noProof/>
          <w:color w:val="auto"/>
          <w:sz w:val="24"/>
          <w:szCs w:val="24"/>
          <w:vertAlign w:val="superscript"/>
        </w:rPr>
        <w:t>59</w:t>
      </w:r>
      <w:r w:rsidR="00D21229" w:rsidRPr="0098723C">
        <w:rPr>
          <w:rFonts w:ascii="Verdana" w:hAnsi="Verdana"/>
          <w:color w:val="auto"/>
          <w:sz w:val="24"/>
          <w:szCs w:val="24"/>
        </w:rPr>
        <w:t xml:space="preserve">. </w:t>
      </w:r>
      <w:r w:rsidR="00EA0E06" w:rsidRPr="0098723C">
        <w:rPr>
          <w:rFonts w:ascii="Verdana" w:hAnsi="Verdana"/>
          <w:color w:val="auto"/>
          <w:sz w:val="24"/>
          <w:szCs w:val="24"/>
        </w:rPr>
        <w:t>Certainly,</w:t>
      </w:r>
      <w:r w:rsidR="00D21229" w:rsidRPr="0098723C">
        <w:rPr>
          <w:rFonts w:ascii="Verdana" w:hAnsi="Verdana"/>
          <w:color w:val="auto"/>
          <w:sz w:val="24"/>
          <w:szCs w:val="24"/>
        </w:rPr>
        <w:t xml:space="preserve"> there was variation in age ranges of participants, ethnic make-up of the range of countries, and the income classification of countries (and these, across different time periods) in the included studies. </w:t>
      </w:r>
    </w:p>
    <w:p w14:paraId="220C4EC9" w14:textId="77777777" w:rsidR="003761B5" w:rsidRPr="0098723C" w:rsidRDefault="00D21229" w:rsidP="00C776A8">
      <w:pPr>
        <w:pStyle w:val="Body"/>
        <w:pBdr>
          <w:top w:val="none" w:sz="0" w:space="0" w:color="auto"/>
          <w:left w:val="none" w:sz="0" w:space="0" w:color="auto"/>
          <w:bottom w:val="none" w:sz="0" w:space="0" w:color="auto"/>
          <w:right w:val="none" w:sz="0" w:space="0" w:color="auto"/>
        </w:pBdr>
        <w:spacing w:line="480" w:lineRule="auto"/>
        <w:jc w:val="both"/>
        <w:rPr>
          <w:rFonts w:ascii="Verdana" w:hAnsi="Verdana"/>
          <w:color w:val="auto"/>
          <w:sz w:val="24"/>
          <w:szCs w:val="24"/>
        </w:rPr>
      </w:pPr>
      <w:r w:rsidRPr="0098723C">
        <w:rPr>
          <w:rFonts w:ascii="Verdana" w:hAnsi="Verdana"/>
          <w:color w:val="auto"/>
          <w:sz w:val="24"/>
          <w:szCs w:val="24"/>
        </w:rPr>
        <w:t>Variation in the AUD treatment regimens themselves might contribute to variation in outcome.</w:t>
      </w:r>
      <w:r w:rsidR="00BD73B8" w:rsidRPr="0098723C">
        <w:rPr>
          <w:rFonts w:ascii="Verdana" w:hAnsi="Verdana"/>
          <w:color w:val="auto"/>
          <w:sz w:val="24"/>
          <w:szCs w:val="24"/>
        </w:rPr>
        <w:t xml:space="preserve"> </w:t>
      </w:r>
      <w:r w:rsidR="00C520C5" w:rsidRPr="0098723C">
        <w:rPr>
          <w:rFonts w:ascii="Verdana" w:hAnsi="Verdana"/>
          <w:color w:val="auto"/>
          <w:sz w:val="24"/>
          <w:szCs w:val="24"/>
        </w:rPr>
        <w:t>M</w:t>
      </w:r>
      <w:r w:rsidR="003761B5" w:rsidRPr="0098723C">
        <w:rPr>
          <w:rFonts w:ascii="Verdana" w:hAnsi="Verdana"/>
          <w:color w:val="auto"/>
          <w:sz w:val="24"/>
          <w:szCs w:val="24"/>
        </w:rPr>
        <w:t>ethodological diversity</w:t>
      </w:r>
      <w:r w:rsidR="00732D46" w:rsidRPr="0098723C">
        <w:rPr>
          <w:rFonts w:ascii="Verdana" w:hAnsi="Verdana"/>
          <w:color w:val="auto"/>
          <w:sz w:val="24"/>
          <w:szCs w:val="24"/>
        </w:rPr>
        <w:t xml:space="preserve"> </w:t>
      </w:r>
      <w:r w:rsidR="00153664" w:rsidRPr="0098723C">
        <w:rPr>
          <w:rFonts w:ascii="Verdana" w:hAnsi="Verdana"/>
          <w:color w:val="auto"/>
          <w:sz w:val="24"/>
          <w:szCs w:val="24"/>
        </w:rPr>
        <w:t>is</w:t>
      </w:r>
      <w:r w:rsidR="00C520C5" w:rsidRPr="0098723C">
        <w:rPr>
          <w:rFonts w:ascii="Verdana" w:hAnsi="Verdana"/>
          <w:color w:val="auto"/>
          <w:sz w:val="24"/>
          <w:szCs w:val="24"/>
        </w:rPr>
        <w:t xml:space="preserve"> also</w:t>
      </w:r>
      <w:r w:rsidR="00153664" w:rsidRPr="0098723C">
        <w:rPr>
          <w:rFonts w:ascii="Verdana" w:hAnsi="Verdana"/>
          <w:color w:val="auto"/>
          <w:sz w:val="24"/>
          <w:szCs w:val="24"/>
        </w:rPr>
        <w:t xml:space="preserve"> possible </w:t>
      </w:r>
      <w:r w:rsidR="00C520C5" w:rsidRPr="0098723C">
        <w:rPr>
          <w:rFonts w:ascii="Verdana" w:hAnsi="Verdana"/>
          <w:color w:val="auto"/>
          <w:sz w:val="24"/>
          <w:szCs w:val="24"/>
        </w:rPr>
        <w:t xml:space="preserve">since </w:t>
      </w:r>
      <w:r w:rsidR="00DC433C" w:rsidRPr="0098723C">
        <w:rPr>
          <w:rFonts w:ascii="Verdana" w:hAnsi="Verdana"/>
          <w:color w:val="auto"/>
          <w:sz w:val="24"/>
          <w:szCs w:val="24"/>
        </w:rPr>
        <w:t xml:space="preserve">there could be </w:t>
      </w:r>
      <w:r w:rsidR="005A5802" w:rsidRPr="0098723C">
        <w:rPr>
          <w:rFonts w:ascii="Verdana" w:hAnsi="Verdana"/>
          <w:color w:val="auto"/>
          <w:sz w:val="24"/>
          <w:szCs w:val="24"/>
        </w:rPr>
        <w:t>variation in the coding of causes of deaths</w:t>
      </w:r>
      <w:r w:rsidR="00DC433C" w:rsidRPr="0098723C">
        <w:rPr>
          <w:rFonts w:ascii="Verdana" w:hAnsi="Verdana"/>
          <w:color w:val="auto"/>
          <w:sz w:val="24"/>
          <w:szCs w:val="24"/>
        </w:rPr>
        <w:t>: whether</w:t>
      </w:r>
      <w:r w:rsidR="005A5802" w:rsidRPr="0098723C">
        <w:rPr>
          <w:rFonts w:ascii="Verdana" w:hAnsi="Verdana"/>
          <w:color w:val="auto"/>
          <w:sz w:val="24"/>
          <w:szCs w:val="24"/>
        </w:rPr>
        <w:t xml:space="preserve"> as </w:t>
      </w:r>
      <w:r w:rsidR="00DC433C" w:rsidRPr="0098723C">
        <w:rPr>
          <w:rFonts w:ascii="Verdana" w:hAnsi="Verdana"/>
          <w:color w:val="auto"/>
          <w:sz w:val="24"/>
          <w:szCs w:val="24"/>
        </w:rPr>
        <w:t>‘</w:t>
      </w:r>
      <w:r w:rsidR="005A5802" w:rsidRPr="0098723C">
        <w:rPr>
          <w:rFonts w:ascii="Verdana" w:hAnsi="Verdana"/>
          <w:color w:val="auto"/>
          <w:sz w:val="24"/>
          <w:szCs w:val="24"/>
        </w:rPr>
        <w:t>mode of death</w:t>
      </w:r>
      <w:r w:rsidR="00DC433C" w:rsidRPr="0098723C">
        <w:rPr>
          <w:rFonts w:ascii="Verdana" w:hAnsi="Verdana"/>
          <w:color w:val="auto"/>
          <w:sz w:val="24"/>
          <w:szCs w:val="24"/>
        </w:rPr>
        <w:t>’</w:t>
      </w:r>
      <w:r w:rsidR="005A5802" w:rsidRPr="0098723C">
        <w:rPr>
          <w:rFonts w:ascii="Verdana" w:hAnsi="Verdana"/>
          <w:color w:val="auto"/>
          <w:sz w:val="24"/>
          <w:szCs w:val="24"/>
        </w:rPr>
        <w:t xml:space="preserve"> (e.g. cardiac arrest) </w:t>
      </w:r>
      <w:r w:rsidR="00C520C5" w:rsidRPr="0098723C">
        <w:rPr>
          <w:rFonts w:ascii="Verdana" w:hAnsi="Verdana"/>
          <w:color w:val="auto"/>
          <w:sz w:val="24"/>
          <w:szCs w:val="24"/>
        </w:rPr>
        <w:t>or as</w:t>
      </w:r>
      <w:r w:rsidR="005A5802" w:rsidRPr="0098723C">
        <w:rPr>
          <w:rFonts w:ascii="Verdana" w:hAnsi="Verdana"/>
          <w:color w:val="auto"/>
          <w:sz w:val="24"/>
          <w:szCs w:val="24"/>
        </w:rPr>
        <w:t xml:space="preserve"> </w:t>
      </w:r>
      <w:r w:rsidR="00DC433C" w:rsidRPr="0098723C">
        <w:rPr>
          <w:rFonts w:ascii="Verdana" w:hAnsi="Verdana"/>
          <w:color w:val="auto"/>
          <w:sz w:val="24"/>
          <w:szCs w:val="24"/>
        </w:rPr>
        <w:t>‘</w:t>
      </w:r>
      <w:r w:rsidR="005A5802" w:rsidRPr="0098723C">
        <w:rPr>
          <w:rFonts w:ascii="Verdana" w:hAnsi="Verdana"/>
          <w:color w:val="auto"/>
          <w:sz w:val="24"/>
          <w:szCs w:val="24"/>
        </w:rPr>
        <w:t>the underlying cause of death</w:t>
      </w:r>
      <w:r w:rsidR="00DC433C" w:rsidRPr="0098723C">
        <w:rPr>
          <w:rFonts w:ascii="Verdana" w:hAnsi="Verdana"/>
          <w:color w:val="auto"/>
          <w:sz w:val="24"/>
          <w:szCs w:val="24"/>
        </w:rPr>
        <w:t>’</w:t>
      </w:r>
      <w:r w:rsidR="005A5802" w:rsidRPr="0098723C">
        <w:rPr>
          <w:rFonts w:ascii="Verdana" w:hAnsi="Verdana"/>
          <w:color w:val="auto"/>
          <w:sz w:val="24"/>
          <w:szCs w:val="24"/>
        </w:rPr>
        <w:t xml:space="preserve"> (e.g. chronic kidney disease)</w:t>
      </w:r>
      <w:r w:rsidR="001A5A5E" w:rsidRPr="0098723C">
        <w:rPr>
          <w:rFonts w:ascii="Verdana" w:hAnsi="Verdana"/>
          <w:color w:val="auto"/>
          <w:sz w:val="24"/>
          <w:szCs w:val="24"/>
        </w:rPr>
        <w:t xml:space="preserve"> </w:t>
      </w:r>
      <w:r w:rsidR="007F3AF5" w:rsidRPr="0098723C">
        <w:rPr>
          <w:rFonts w:ascii="Verdana" w:hAnsi="Verdana"/>
          <w:noProof/>
          <w:color w:val="auto"/>
          <w:sz w:val="24"/>
          <w:szCs w:val="24"/>
          <w:vertAlign w:val="superscript"/>
        </w:rPr>
        <w:t>60</w:t>
      </w:r>
      <w:r w:rsidR="00DC433C" w:rsidRPr="0098723C">
        <w:rPr>
          <w:rFonts w:ascii="Verdana" w:hAnsi="Verdana"/>
          <w:color w:val="auto"/>
          <w:sz w:val="24"/>
          <w:szCs w:val="24"/>
        </w:rPr>
        <w:t>.</w:t>
      </w:r>
      <w:r w:rsidR="00BD73B8" w:rsidRPr="0098723C">
        <w:rPr>
          <w:rFonts w:ascii="Verdana" w:hAnsi="Verdana"/>
          <w:color w:val="auto"/>
          <w:sz w:val="24"/>
          <w:szCs w:val="24"/>
        </w:rPr>
        <w:t xml:space="preserve"> </w:t>
      </w:r>
      <w:r w:rsidR="00DC433C" w:rsidRPr="0098723C">
        <w:rPr>
          <w:rFonts w:ascii="Verdana" w:hAnsi="Verdana"/>
          <w:color w:val="auto"/>
          <w:sz w:val="24"/>
          <w:szCs w:val="24"/>
        </w:rPr>
        <w:t>T</w:t>
      </w:r>
      <w:r w:rsidR="00153664" w:rsidRPr="0098723C">
        <w:rPr>
          <w:rFonts w:ascii="Verdana" w:hAnsi="Verdana"/>
          <w:color w:val="auto"/>
          <w:sz w:val="24"/>
          <w:szCs w:val="24"/>
        </w:rPr>
        <w:t xml:space="preserve">he included studies </w:t>
      </w:r>
      <w:r w:rsidR="00C520C5" w:rsidRPr="0098723C">
        <w:rPr>
          <w:rFonts w:ascii="Verdana" w:hAnsi="Verdana"/>
          <w:color w:val="auto"/>
          <w:sz w:val="24"/>
          <w:szCs w:val="24"/>
        </w:rPr>
        <w:t>do not specify</w:t>
      </w:r>
      <w:r w:rsidR="00153664" w:rsidRPr="0098723C">
        <w:rPr>
          <w:rFonts w:ascii="Verdana" w:hAnsi="Verdana"/>
          <w:color w:val="auto"/>
          <w:sz w:val="24"/>
          <w:szCs w:val="24"/>
        </w:rPr>
        <w:t xml:space="preserve"> which of these two approaches was used</w:t>
      </w:r>
      <w:r w:rsidR="00F06129" w:rsidRPr="0098723C">
        <w:rPr>
          <w:rFonts w:ascii="Verdana" w:hAnsi="Verdana"/>
          <w:color w:val="auto"/>
          <w:sz w:val="24"/>
          <w:szCs w:val="24"/>
        </w:rPr>
        <w:t>.</w:t>
      </w:r>
    </w:p>
    <w:p w14:paraId="4D374A5D" w14:textId="77777777" w:rsidR="000D2729" w:rsidRPr="0098723C" w:rsidRDefault="000D2729" w:rsidP="000D2729">
      <w:pPr>
        <w:pStyle w:val="Body"/>
        <w:pBdr>
          <w:top w:val="none" w:sz="0" w:space="0" w:color="auto"/>
          <w:left w:val="none" w:sz="0" w:space="0" w:color="auto"/>
          <w:bottom w:val="none" w:sz="0" w:space="0" w:color="auto"/>
          <w:right w:val="none" w:sz="0" w:space="0" w:color="auto"/>
        </w:pBdr>
        <w:spacing w:line="480" w:lineRule="auto"/>
        <w:jc w:val="both"/>
        <w:rPr>
          <w:rFonts w:ascii="Verdana" w:hAnsi="Verdana"/>
          <w:color w:val="auto"/>
          <w:sz w:val="24"/>
          <w:szCs w:val="24"/>
        </w:rPr>
      </w:pPr>
      <w:r w:rsidRPr="0098723C">
        <w:rPr>
          <w:rFonts w:ascii="Verdana" w:hAnsi="Verdana"/>
          <w:color w:val="auto"/>
          <w:sz w:val="24"/>
          <w:szCs w:val="24"/>
        </w:rPr>
        <w:t xml:space="preserve">Being a diagnosis made up of either of two elements (alcohol harmful use/abuse, or dependence) under DSM IV </w:t>
      </w:r>
      <w:r w:rsidRPr="0098723C">
        <w:rPr>
          <w:rFonts w:ascii="Verdana" w:hAnsi="Verdana"/>
          <w:noProof/>
          <w:color w:val="auto"/>
          <w:sz w:val="24"/>
          <w:szCs w:val="24"/>
          <w:vertAlign w:val="superscript"/>
        </w:rPr>
        <w:t>1</w:t>
      </w:r>
      <w:r w:rsidRPr="0098723C">
        <w:rPr>
          <w:rFonts w:ascii="Verdana" w:hAnsi="Verdana"/>
          <w:color w:val="auto"/>
          <w:sz w:val="24"/>
          <w:szCs w:val="24"/>
        </w:rPr>
        <w:t>, it is probable that the effect of these two subsets of AUD on mortality is not homogenous. Under DSM V, the distinction between these two subgroups within AUD are removed. The change in diagnostic coding may therefore hide a potentially important difference in the mortality rate between these two AUD subgroups, and it is important therefore to recognize the need for similarly robust estimates of the mortality experience of both subgroups. Unfortunately, currently available data does not permit this.</w:t>
      </w:r>
    </w:p>
    <w:p w14:paraId="5D2CA75A" w14:textId="77777777" w:rsidR="000D2729" w:rsidRPr="0098723C" w:rsidRDefault="000D2729" w:rsidP="000D2729">
      <w:pPr>
        <w:pStyle w:val="Body"/>
        <w:pBdr>
          <w:top w:val="none" w:sz="0" w:space="0" w:color="auto"/>
          <w:left w:val="none" w:sz="0" w:space="0" w:color="auto"/>
          <w:bottom w:val="none" w:sz="0" w:space="0" w:color="auto"/>
          <w:right w:val="none" w:sz="0" w:space="0" w:color="auto"/>
        </w:pBdr>
        <w:spacing w:line="480" w:lineRule="auto"/>
        <w:jc w:val="both"/>
        <w:rPr>
          <w:rFonts w:ascii="Verdana" w:hAnsi="Verdana"/>
          <w:color w:val="auto"/>
          <w:sz w:val="24"/>
          <w:szCs w:val="24"/>
        </w:rPr>
      </w:pPr>
      <w:r w:rsidRPr="0098723C">
        <w:rPr>
          <w:rFonts w:ascii="Verdana" w:hAnsi="Verdana"/>
          <w:color w:val="auto"/>
          <w:sz w:val="24"/>
          <w:szCs w:val="24"/>
        </w:rPr>
        <w:t xml:space="preserve">Nevertheless, it has been shown that those with alcohol dependence are more likely to be categorized as AUD under DSM IV, and those with alcohol abuse less so. This results in AUD treatment populations under DSM V having similar prelavences to those of the AUD population under DSM IV </w:t>
      </w:r>
      <w:r w:rsidR="007F3AF5" w:rsidRPr="0098723C">
        <w:rPr>
          <w:rFonts w:ascii="Verdana" w:hAnsi="Verdana"/>
          <w:noProof/>
          <w:color w:val="auto"/>
          <w:sz w:val="24"/>
          <w:szCs w:val="24"/>
          <w:vertAlign w:val="superscript"/>
        </w:rPr>
        <w:t>61</w:t>
      </w:r>
      <w:r w:rsidRPr="0098723C">
        <w:rPr>
          <w:rFonts w:ascii="Verdana" w:hAnsi="Verdana"/>
          <w:color w:val="auto"/>
          <w:sz w:val="24"/>
          <w:szCs w:val="24"/>
        </w:rPr>
        <w:t>. Patients treated for AUD under DSM V are therefore likely to be similar to patients being treated for AUD under DSM IV, and one could reasonably predict that the mortality rates would be similar.</w:t>
      </w:r>
    </w:p>
    <w:p w14:paraId="151D122C" w14:textId="77777777" w:rsidR="000D2729" w:rsidRPr="0098723C" w:rsidRDefault="000D2729" w:rsidP="000D2729">
      <w:pPr>
        <w:pStyle w:val="Body"/>
        <w:pBdr>
          <w:top w:val="none" w:sz="0" w:space="0" w:color="auto"/>
          <w:left w:val="none" w:sz="0" w:space="0" w:color="auto"/>
          <w:bottom w:val="none" w:sz="0" w:space="0" w:color="auto"/>
          <w:right w:val="none" w:sz="0" w:space="0" w:color="auto"/>
        </w:pBdr>
        <w:spacing w:line="480" w:lineRule="auto"/>
        <w:jc w:val="both"/>
        <w:rPr>
          <w:rFonts w:ascii="Verdana" w:hAnsi="Verdana"/>
          <w:color w:val="auto"/>
          <w:sz w:val="24"/>
          <w:szCs w:val="24"/>
        </w:rPr>
      </w:pPr>
      <w:r w:rsidRPr="0098723C">
        <w:rPr>
          <w:rFonts w:ascii="Verdana" w:hAnsi="Verdana"/>
          <w:color w:val="auto"/>
          <w:sz w:val="24"/>
          <w:szCs w:val="24"/>
        </w:rPr>
        <w:t>Considering the likelihood of alcohol dependence being classified as AUD</w:t>
      </w:r>
      <w:r w:rsidR="00A26082" w:rsidRPr="0098723C">
        <w:rPr>
          <w:rFonts w:ascii="Verdana" w:hAnsi="Verdana"/>
          <w:color w:val="auto"/>
          <w:sz w:val="24"/>
          <w:szCs w:val="24"/>
        </w:rPr>
        <w:t>,</w:t>
      </w:r>
      <w:r w:rsidRPr="0098723C">
        <w:rPr>
          <w:rFonts w:ascii="Verdana" w:hAnsi="Verdana"/>
          <w:color w:val="auto"/>
          <w:sz w:val="24"/>
          <w:szCs w:val="24"/>
        </w:rPr>
        <w:t xml:space="preserve"> as noted above</w:t>
      </w:r>
      <w:r w:rsidR="00A26082" w:rsidRPr="0098723C">
        <w:rPr>
          <w:rFonts w:ascii="Verdana" w:hAnsi="Verdana"/>
          <w:color w:val="auto"/>
          <w:sz w:val="24"/>
          <w:szCs w:val="24"/>
        </w:rPr>
        <w:t>,</w:t>
      </w:r>
      <w:r w:rsidRPr="0098723C">
        <w:rPr>
          <w:rFonts w:ascii="Verdana" w:hAnsi="Verdana"/>
          <w:color w:val="auto"/>
          <w:sz w:val="24"/>
          <w:szCs w:val="24"/>
        </w:rPr>
        <w:t xml:space="preserve"> and that those with alcohol dependence are more likely to be treated compared to those with alcohol abuse</w:t>
      </w:r>
      <w:r w:rsidR="00A26082" w:rsidRPr="0098723C">
        <w:rPr>
          <w:rFonts w:ascii="Verdana" w:hAnsi="Verdana"/>
          <w:color w:val="auto"/>
          <w:sz w:val="24"/>
          <w:szCs w:val="24"/>
        </w:rPr>
        <w:t>, i</w:t>
      </w:r>
      <w:r w:rsidRPr="0098723C">
        <w:rPr>
          <w:rFonts w:ascii="Verdana" w:hAnsi="Verdana"/>
          <w:color w:val="auto"/>
          <w:sz w:val="24"/>
          <w:szCs w:val="24"/>
        </w:rPr>
        <w:t>t follows that our AUD treatment population are those likely to have alcohol dependence</w:t>
      </w:r>
      <w:r w:rsidR="00A26082" w:rsidRPr="0098723C">
        <w:rPr>
          <w:rFonts w:ascii="Verdana" w:hAnsi="Verdana"/>
          <w:color w:val="auto"/>
          <w:sz w:val="24"/>
          <w:szCs w:val="24"/>
        </w:rPr>
        <w:t>. O</w:t>
      </w:r>
      <w:r w:rsidRPr="0098723C">
        <w:rPr>
          <w:rFonts w:ascii="Verdana" w:hAnsi="Verdana"/>
          <w:color w:val="auto"/>
          <w:sz w:val="24"/>
          <w:szCs w:val="24"/>
        </w:rPr>
        <w:t xml:space="preserve">ur results therefore are more likely to reflect mortality in alcohol dependence rather than alcohol abuse. </w:t>
      </w:r>
    </w:p>
    <w:p w14:paraId="174ED9BC" w14:textId="77777777" w:rsidR="004B2E91" w:rsidRPr="0098723C" w:rsidRDefault="00045721" w:rsidP="009C0FAB">
      <w:pPr>
        <w:pStyle w:val="Heading2"/>
        <w:spacing w:after="240" w:line="480" w:lineRule="auto"/>
        <w:rPr>
          <w:color w:val="auto"/>
        </w:rPr>
      </w:pPr>
      <w:r w:rsidRPr="0098723C">
        <w:rPr>
          <w:color w:val="auto"/>
        </w:rPr>
        <w:t>Comparison to previous literature</w:t>
      </w:r>
    </w:p>
    <w:p w14:paraId="4703BA2B" w14:textId="14CEB738" w:rsidR="00A65D40" w:rsidRPr="0098723C" w:rsidRDefault="008A2972" w:rsidP="00C776A8">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There </w:t>
      </w:r>
      <w:r w:rsidR="00793D28" w:rsidRPr="0098723C">
        <w:rPr>
          <w:rFonts w:ascii="Verdana" w:hAnsi="Verdana"/>
          <w:color w:val="auto"/>
          <w:sz w:val="24"/>
          <w:szCs w:val="24"/>
        </w:rPr>
        <w:t xml:space="preserve">have not been </w:t>
      </w:r>
      <w:r w:rsidR="00C520C5" w:rsidRPr="0098723C">
        <w:rPr>
          <w:rFonts w:ascii="Verdana" w:hAnsi="Verdana"/>
          <w:color w:val="auto"/>
          <w:sz w:val="24"/>
          <w:szCs w:val="24"/>
        </w:rPr>
        <w:t xml:space="preserve">previous </w:t>
      </w:r>
      <w:r w:rsidR="00793D28" w:rsidRPr="0098723C">
        <w:rPr>
          <w:rFonts w:ascii="Verdana" w:hAnsi="Verdana"/>
          <w:color w:val="auto"/>
          <w:sz w:val="24"/>
          <w:szCs w:val="24"/>
        </w:rPr>
        <w:t>systematic reviews</w:t>
      </w:r>
      <w:r w:rsidRPr="0098723C">
        <w:rPr>
          <w:rFonts w:ascii="Verdana" w:hAnsi="Verdana"/>
          <w:color w:val="auto"/>
          <w:sz w:val="24"/>
          <w:szCs w:val="24"/>
        </w:rPr>
        <w:t xml:space="preserve"> of mortality rates of alcohol misusers</w:t>
      </w:r>
      <w:r w:rsidR="00793D28" w:rsidRPr="0098723C">
        <w:rPr>
          <w:rFonts w:ascii="Verdana" w:hAnsi="Verdana"/>
          <w:color w:val="auto"/>
          <w:sz w:val="24"/>
          <w:szCs w:val="24"/>
        </w:rPr>
        <w:t xml:space="preserve"> with which</w:t>
      </w:r>
      <w:r w:rsidRPr="0098723C">
        <w:rPr>
          <w:rFonts w:ascii="Verdana" w:hAnsi="Verdana"/>
          <w:color w:val="auto"/>
          <w:sz w:val="24"/>
          <w:szCs w:val="24"/>
        </w:rPr>
        <w:t xml:space="preserve"> to compare </w:t>
      </w:r>
      <w:r w:rsidR="00C520C5" w:rsidRPr="0098723C">
        <w:rPr>
          <w:rFonts w:ascii="Verdana" w:hAnsi="Verdana"/>
          <w:color w:val="auto"/>
          <w:sz w:val="24"/>
          <w:szCs w:val="24"/>
        </w:rPr>
        <w:t xml:space="preserve">our </w:t>
      </w:r>
      <w:r w:rsidRPr="0098723C">
        <w:rPr>
          <w:rFonts w:ascii="Verdana" w:hAnsi="Verdana"/>
          <w:color w:val="auto"/>
          <w:sz w:val="24"/>
          <w:szCs w:val="24"/>
        </w:rPr>
        <w:t>findings.</w:t>
      </w:r>
      <w:r w:rsidR="00A65D40" w:rsidRPr="0098723C">
        <w:rPr>
          <w:rFonts w:ascii="Verdana" w:hAnsi="Verdana"/>
          <w:color w:val="auto"/>
          <w:sz w:val="24"/>
          <w:szCs w:val="24"/>
        </w:rPr>
        <w:t xml:space="preserve"> This is perhaps unsurprising as </w:t>
      </w:r>
      <w:r w:rsidR="004C543C" w:rsidRPr="0098723C">
        <w:rPr>
          <w:rFonts w:ascii="Verdana" w:hAnsi="Verdana"/>
          <w:color w:val="auto"/>
          <w:sz w:val="24"/>
          <w:szCs w:val="24"/>
        </w:rPr>
        <w:t xml:space="preserve">Dickersin has previously highlighted </w:t>
      </w:r>
      <w:r w:rsidR="000F5A65" w:rsidRPr="0098723C">
        <w:rPr>
          <w:rFonts w:ascii="Verdana" w:hAnsi="Verdana"/>
          <w:color w:val="auto"/>
          <w:sz w:val="24"/>
          <w:szCs w:val="24"/>
        </w:rPr>
        <w:t xml:space="preserve">that </w:t>
      </w:r>
      <w:r w:rsidR="004C543C" w:rsidRPr="0098723C">
        <w:rPr>
          <w:rFonts w:ascii="Verdana" w:hAnsi="Verdana"/>
          <w:color w:val="auto"/>
          <w:sz w:val="24"/>
          <w:szCs w:val="24"/>
        </w:rPr>
        <w:t>systematic reviews of “descriptive information</w:t>
      </w:r>
      <w:r w:rsidR="00D21229" w:rsidRPr="0098723C">
        <w:rPr>
          <w:rFonts w:ascii="Verdana" w:hAnsi="Verdana"/>
          <w:color w:val="auto"/>
          <w:sz w:val="24"/>
          <w:szCs w:val="24"/>
        </w:rPr>
        <w:t>”</w:t>
      </w:r>
      <w:r w:rsidR="004C543C" w:rsidRPr="0098723C">
        <w:rPr>
          <w:rFonts w:ascii="Verdana" w:hAnsi="Verdana"/>
          <w:color w:val="auto"/>
          <w:sz w:val="24"/>
          <w:szCs w:val="24"/>
        </w:rPr>
        <w:t xml:space="preserve"> (e.g. disease mechanisms, incidence and prevalence of a condition</w:t>
      </w:r>
      <w:r w:rsidR="00886366" w:rsidRPr="0098723C">
        <w:rPr>
          <w:rFonts w:ascii="Verdana" w:hAnsi="Verdana"/>
          <w:color w:val="auto"/>
          <w:sz w:val="24"/>
          <w:szCs w:val="24"/>
        </w:rPr>
        <w:t>)</w:t>
      </w:r>
      <w:r w:rsidR="004C543C" w:rsidRPr="0098723C">
        <w:rPr>
          <w:rFonts w:ascii="Verdana" w:hAnsi="Verdana"/>
          <w:color w:val="auto"/>
          <w:sz w:val="24"/>
          <w:szCs w:val="24"/>
        </w:rPr>
        <w:t xml:space="preserve"> are </w:t>
      </w:r>
      <w:r w:rsidR="003761B5" w:rsidRPr="0098723C">
        <w:rPr>
          <w:rFonts w:ascii="Verdana" w:hAnsi="Verdana"/>
          <w:color w:val="auto"/>
          <w:sz w:val="24"/>
          <w:szCs w:val="24"/>
        </w:rPr>
        <w:t xml:space="preserve">fewer </w:t>
      </w:r>
      <w:r w:rsidR="00A65D40" w:rsidRPr="0098723C">
        <w:rPr>
          <w:rFonts w:ascii="Verdana" w:hAnsi="Verdana"/>
          <w:color w:val="auto"/>
          <w:sz w:val="24"/>
          <w:szCs w:val="24"/>
        </w:rPr>
        <w:t xml:space="preserve">than </w:t>
      </w:r>
      <w:r w:rsidR="004C543C" w:rsidRPr="0098723C">
        <w:rPr>
          <w:rFonts w:ascii="Verdana" w:hAnsi="Verdana"/>
          <w:color w:val="auto"/>
          <w:sz w:val="24"/>
          <w:szCs w:val="24"/>
        </w:rPr>
        <w:t xml:space="preserve">those </w:t>
      </w:r>
      <w:r w:rsidR="00A65D40" w:rsidRPr="0098723C">
        <w:rPr>
          <w:rFonts w:ascii="Verdana" w:hAnsi="Verdana"/>
          <w:color w:val="auto"/>
          <w:sz w:val="24"/>
          <w:szCs w:val="24"/>
        </w:rPr>
        <w:t xml:space="preserve">of </w:t>
      </w:r>
      <w:r w:rsidR="004C543C" w:rsidRPr="0098723C">
        <w:rPr>
          <w:rFonts w:ascii="Verdana" w:hAnsi="Verdana"/>
          <w:color w:val="auto"/>
          <w:sz w:val="24"/>
          <w:szCs w:val="24"/>
        </w:rPr>
        <w:t>analytical research (i.e. of interventions)</w:t>
      </w:r>
      <w:r w:rsidR="00D21229" w:rsidRPr="0098723C">
        <w:rPr>
          <w:rFonts w:ascii="Verdana" w:hAnsi="Verdana"/>
          <w:color w:val="auto"/>
          <w:sz w:val="24"/>
          <w:szCs w:val="24"/>
        </w:rPr>
        <w:t xml:space="preserve"> </w:t>
      </w:r>
      <w:r w:rsidR="007F3AF5" w:rsidRPr="0098723C">
        <w:rPr>
          <w:rFonts w:ascii="Verdana" w:hAnsi="Verdana"/>
          <w:noProof/>
          <w:color w:val="auto"/>
          <w:sz w:val="24"/>
          <w:szCs w:val="24"/>
          <w:vertAlign w:val="superscript"/>
        </w:rPr>
        <w:t>62</w:t>
      </w:r>
      <w:r w:rsidR="004C543C" w:rsidRPr="0098723C">
        <w:rPr>
          <w:rFonts w:ascii="Verdana" w:hAnsi="Verdana"/>
          <w:color w:val="auto"/>
          <w:sz w:val="24"/>
          <w:szCs w:val="24"/>
        </w:rPr>
        <w:t>.</w:t>
      </w:r>
      <w:r w:rsidR="003761B5" w:rsidRPr="0098723C">
        <w:rPr>
          <w:rFonts w:ascii="Verdana" w:hAnsi="Verdana"/>
          <w:color w:val="auto"/>
          <w:sz w:val="24"/>
          <w:szCs w:val="24"/>
        </w:rPr>
        <w:t xml:space="preserve"> </w:t>
      </w:r>
    </w:p>
    <w:p w14:paraId="7509D84A" w14:textId="77777777" w:rsidR="007042A5" w:rsidRPr="0098723C" w:rsidRDefault="00A65D40"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W</w:t>
      </w:r>
      <w:r w:rsidR="00010742" w:rsidRPr="0098723C">
        <w:rPr>
          <w:rFonts w:ascii="Verdana" w:hAnsi="Verdana"/>
          <w:color w:val="auto"/>
          <w:sz w:val="24"/>
          <w:szCs w:val="24"/>
        </w:rPr>
        <w:t xml:space="preserve">e have demonstrated that </w:t>
      </w:r>
      <w:r w:rsidR="00D21229" w:rsidRPr="0098723C">
        <w:rPr>
          <w:rFonts w:ascii="Verdana" w:hAnsi="Verdana"/>
          <w:color w:val="auto"/>
          <w:sz w:val="24"/>
          <w:szCs w:val="24"/>
        </w:rPr>
        <w:t xml:space="preserve">the </w:t>
      </w:r>
      <w:r w:rsidR="007C7FB5" w:rsidRPr="0098723C">
        <w:rPr>
          <w:rFonts w:ascii="Verdana" w:hAnsi="Verdana"/>
          <w:color w:val="auto"/>
          <w:sz w:val="24"/>
          <w:szCs w:val="24"/>
        </w:rPr>
        <w:t xml:space="preserve">all-cause </w:t>
      </w:r>
      <w:r w:rsidR="00D21229" w:rsidRPr="0098723C">
        <w:rPr>
          <w:rFonts w:ascii="Verdana" w:hAnsi="Verdana"/>
          <w:color w:val="auto"/>
          <w:sz w:val="24"/>
          <w:szCs w:val="24"/>
        </w:rPr>
        <w:t xml:space="preserve">mortality </w:t>
      </w:r>
      <w:r w:rsidR="007C7FB5" w:rsidRPr="0098723C">
        <w:rPr>
          <w:rFonts w:ascii="Verdana" w:hAnsi="Verdana"/>
          <w:color w:val="auto"/>
          <w:sz w:val="24"/>
          <w:szCs w:val="24"/>
        </w:rPr>
        <w:t xml:space="preserve">rates were more than three times </w:t>
      </w:r>
      <w:r w:rsidR="00694636" w:rsidRPr="0098723C">
        <w:rPr>
          <w:rFonts w:ascii="Verdana" w:hAnsi="Verdana"/>
          <w:color w:val="auto"/>
          <w:sz w:val="24"/>
          <w:szCs w:val="24"/>
        </w:rPr>
        <w:t xml:space="preserve">(3.14) </w:t>
      </w:r>
      <w:r w:rsidR="007C7FB5" w:rsidRPr="0098723C">
        <w:rPr>
          <w:rFonts w:ascii="Verdana" w:hAnsi="Verdana"/>
          <w:color w:val="auto"/>
          <w:sz w:val="24"/>
          <w:szCs w:val="24"/>
        </w:rPr>
        <w:t>that of the general population</w:t>
      </w:r>
      <w:r w:rsidR="000F5A65" w:rsidRPr="0098723C">
        <w:rPr>
          <w:rFonts w:ascii="Verdana" w:hAnsi="Verdana"/>
          <w:color w:val="auto"/>
          <w:sz w:val="24"/>
          <w:szCs w:val="24"/>
        </w:rPr>
        <w:t xml:space="preserve"> figures quoted in the 2013 WHO Global Burden of Disease Study </w:t>
      </w:r>
      <w:r w:rsidR="006556AA" w:rsidRPr="0098723C">
        <w:rPr>
          <w:rFonts w:ascii="Verdana" w:hAnsi="Verdana"/>
          <w:noProof/>
          <w:color w:val="auto"/>
          <w:sz w:val="24"/>
          <w:szCs w:val="24"/>
          <w:vertAlign w:val="superscript"/>
        </w:rPr>
        <w:t>21</w:t>
      </w:r>
      <w:r w:rsidR="007C7FB5" w:rsidRPr="0098723C">
        <w:rPr>
          <w:rFonts w:ascii="Verdana" w:hAnsi="Verdana"/>
          <w:color w:val="auto"/>
          <w:sz w:val="24"/>
          <w:szCs w:val="24"/>
        </w:rPr>
        <w:t xml:space="preserve">. </w:t>
      </w:r>
      <w:r w:rsidR="00D41AD2" w:rsidRPr="0098723C">
        <w:rPr>
          <w:rFonts w:ascii="Verdana" w:hAnsi="Verdana"/>
          <w:color w:val="auto"/>
          <w:sz w:val="24"/>
          <w:szCs w:val="24"/>
        </w:rPr>
        <w:t xml:space="preserve">Comparing this to </w:t>
      </w:r>
      <w:r w:rsidR="004D5BF8" w:rsidRPr="0098723C">
        <w:rPr>
          <w:rFonts w:ascii="Verdana" w:hAnsi="Verdana"/>
          <w:color w:val="auto"/>
          <w:sz w:val="24"/>
          <w:szCs w:val="24"/>
        </w:rPr>
        <w:t>Roerecke</w:t>
      </w:r>
      <w:r w:rsidR="00D41AD2" w:rsidRPr="0098723C">
        <w:rPr>
          <w:rFonts w:ascii="Verdana" w:hAnsi="Verdana"/>
          <w:color w:val="auto"/>
          <w:sz w:val="24"/>
          <w:szCs w:val="24"/>
        </w:rPr>
        <w:t xml:space="preserve">’s </w:t>
      </w:r>
      <w:r w:rsidR="007042A5" w:rsidRPr="0098723C">
        <w:rPr>
          <w:rFonts w:ascii="Verdana" w:hAnsi="Verdana"/>
          <w:color w:val="auto"/>
          <w:sz w:val="24"/>
          <w:szCs w:val="24"/>
        </w:rPr>
        <w:t xml:space="preserve">2013 </w:t>
      </w:r>
      <w:r w:rsidR="00D41AD2" w:rsidRPr="0098723C">
        <w:rPr>
          <w:rFonts w:ascii="Verdana" w:hAnsi="Verdana"/>
          <w:color w:val="auto"/>
          <w:sz w:val="24"/>
          <w:szCs w:val="24"/>
        </w:rPr>
        <w:t xml:space="preserve">study, they </w:t>
      </w:r>
      <w:r w:rsidR="00567499" w:rsidRPr="0098723C">
        <w:rPr>
          <w:rFonts w:ascii="Verdana" w:hAnsi="Verdana"/>
          <w:color w:val="auto"/>
          <w:sz w:val="24"/>
          <w:szCs w:val="24"/>
        </w:rPr>
        <w:t xml:space="preserve">observed </w:t>
      </w:r>
      <w:r w:rsidR="003E37A0" w:rsidRPr="0098723C">
        <w:rPr>
          <w:rFonts w:ascii="Verdana" w:hAnsi="Verdana"/>
          <w:color w:val="auto"/>
          <w:sz w:val="24"/>
          <w:szCs w:val="24"/>
        </w:rPr>
        <w:t xml:space="preserve">a </w:t>
      </w:r>
      <w:r w:rsidR="006A4252" w:rsidRPr="0098723C">
        <w:rPr>
          <w:rFonts w:ascii="Verdana" w:hAnsi="Verdana"/>
          <w:color w:val="auto"/>
          <w:sz w:val="24"/>
          <w:szCs w:val="24"/>
        </w:rPr>
        <w:t xml:space="preserve">not too dissimilar </w:t>
      </w:r>
      <w:r w:rsidR="007C7FB5" w:rsidRPr="0098723C">
        <w:rPr>
          <w:rFonts w:ascii="Verdana" w:hAnsi="Verdana"/>
          <w:color w:val="auto"/>
          <w:sz w:val="24"/>
          <w:szCs w:val="24"/>
        </w:rPr>
        <w:t>risk estimate</w:t>
      </w:r>
      <w:r w:rsidR="008D6776" w:rsidRPr="0098723C">
        <w:rPr>
          <w:rFonts w:ascii="Verdana" w:hAnsi="Verdana"/>
          <w:color w:val="auto"/>
          <w:sz w:val="24"/>
          <w:szCs w:val="24"/>
        </w:rPr>
        <w:t xml:space="preserve"> </w:t>
      </w:r>
      <w:r w:rsidR="000F2241" w:rsidRPr="0098723C">
        <w:rPr>
          <w:rFonts w:ascii="Verdana" w:hAnsi="Verdana"/>
          <w:color w:val="auto"/>
          <w:sz w:val="24"/>
          <w:szCs w:val="24"/>
        </w:rPr>
        <w:t xml:space="preserve">in </w:t>
      </w:r>
      <w:r w:rsidR="00694636" w:rsidRPr="0098723C">
        <w:rPr>
          <w:rFonts w:ascii="Verdana" w:hAnsi="Verdana"/>
          <w:color w:val="auto"/>
          <w:sz w:val="24"/>
          <w:szCs w:val="24"/>
        </w:rPr>
        <w:t>his study (</w:t>
      </w:r>
      <w:r w:rsidR="007C7FB5" w:rsidRPr="0098723C">
        <w:rPr>
          <w:rFonts w:ascii="Verdana" w:hAnsi="Verdana"/>
          <w:color w:val="auto"/>
          <w:sz w:val="24"/>
          <w:szCs w:val="24"/>
        </w:rPr>
        <w:t>3.38</w:t>
      </w:r>
      <w:r w:rsidR="00694636" w:rsidRPr="0098723C">
        <w:rPr>
          <w:rFonts w:ascii="Verdana" w:hAnsi="Verdana"/>
          <w:color w:val="auto"/>
          <w:sz w:val="24"/>
          <w:szCs w:val="24"/>
        </w:rPr>
        <w:t>)</w:t>
      </w:r>
      <w:r w:rsidR="00D21229" w:rsidRPr="0098723C">
        <w:rPr>
          <w:rFonts w:ascii="Verdana" w:hAnsi="Verdana"/>
          <w:color w:val="auto"/>
          <w:sz w:val="24"/>
          <w:szCs w:val="24"/>
        </w:rPr>
        <w:t xml:space="preserve"> </w:t>
      </w:r>
      <w:r w:rsidR="006556AA" w:rsidRPr="0098723C">
        <w:rPr>
          <w:rFonts w:ascii="Verdana" w:hAnsi="Verdana"/>
          <w:noProof/>
          <w:color w:val="auto"/>
          <w:sz w:val="24"/>
          <w:szCs w:val="24"/>
          <w:vertAlign w:val="superscript"/>
        </w:rPr>
        <w:t>6</w:t>
      </w:r>
      <w:r w:rsidR="00D21229" w:rsidRPr="0098723C">
        <w:rPr>
          <w:rFonts w:ascii="Verdana" w:hAnsi="Verdana"/>
          <w:color w:val="auto"/>
          <w:sz w:val="24"/>
          <w:szCs w:val="24"/>
        </w:rPr>
        <w:t>, lending support to the validity of our results</w:t>
      </w:r>
      <w:r w:rsidR="007C7FB5" w:rsidRPr="0098723C">
        <w:rPr>
          <w:rFonts w:ascii="Verdana" w:hAnsi="Verdana"/>
          <w:color w:val="auto"/>
          <w:sz w:val="24"/>
          <w:szCs w:val="24"/>
        </w:rPr>
        <w:t xml:space="preserve">. </w:t>
      </w:r>
    </w:p>
    <w:p w14:paraId="15BB7277" w14:textId="77777777" w:rsidR="00886366" w:rsidRPr="0098723C" w:rsidRDefault="00886366"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 xml:space="preserve">Additionally, we found that although both </w:t>
      </w:r>
      <w:r w:rsidR="006C3D74" w:rsidRPr="0098723C">
        <w:rPr>
          <w:rFonts w:ascii="Verdana" w:hAnsi="Verdana"/>
          <w:color w:val="auto"/>
          <w:sz w:val="24"/>
          <w:szCs w:val="24"/>
        </w:rPr>
        <w:t xml:space="preserve">the AUD and general </w:t>
      </w:r>
      <w:r w:rsidRPr="0098723C">
        <w:rPr>
          <w:rFonts w:ascii="Verdana" w:hAnsi="Verdana"/>
          <w:color w:val="auto"/>
          <w:sz w:val="24"/>
          <w:szCs w:val="24"/>
        </w:rPr>
        <w:t xml:space="preserve">populations share CVDs as the most common cause of death, gastrointestinal and unnatural deaths are much more common in the AUD population than they are in the general population. </w:t>
      </w:r>
    </w:p>
    <w:p w14:paraId="53230224" w14:textId="77777777" w:rsidR="00BA2CEF" w:rsidRPr="0098723C" w:rsidRDefault="00886366" w:rsidP="006556AA">
      <w:pPr>
        <w:pStyle w:val="Body"/>
        <w:spacing w:line="480" w:lineRule="auto"/>
        <w:jc w:val="both"/>
        <w:rPr>
          <w:rFonts w:ascii="Verdana" w:hAnsi="Verdana"/>
          <w:color w:val="auto"/>
          <w:sz w:val="24"/>
          <w:szCs w:val="24"/>
        </w:rPr>
      </w:pPr>
      <w:r w:rsidRPr="0098723C">
        <w:rPr>
          <w:rFonts w:ascii="Verdana" w:hAnsi="Verdana"/>
          <w:color w:val="auto"/>
          <w:sz w:val="24"/>
          <w:szCs w:val="24"/>
        </w:rPr>
        <w:t>When compared to the ranks of conditions with the highest standardized mortality ratios (SMR), Roerecke found that these were firstly mental health diseases, followed by digestive diseases, injuries, endocrine diseases, and respiratory diseases. Cardiovascular diseases and cancers were causes of death with the 6</w:t>
      </w:r>
      <w:r w:rsidRPr="0098723C">
        <w:rPr>
          <w:rFonts w:ascii="Verdana" w:hAnsi="Verdana"/>
          <w:color w:val="auto"/>
          <w:sz w:val="24"/>
          <w:szCs w:val="24"/>
          <w:vertAlign w:val="superscript"/>
        </w:rPr>
        <w:t>th</w:t>
      </w:r>
      <w:r w:rsidRPr="0098723C">
        <w:rPr>
          <w:rFonts w:ascii="Verdana" w:hAnsi="Verdana"/>
          <w:color w:val="auto"/>
          <w:sz w:val="24"/>
          <w:szCs w:val="24"/>
        </w:rPr>
        <w:t xml:space="preserve"> and 7</w:t>
      </w:r>
      <w:r w:rsidRPr="0098723C">
        <w:rPr>
          <w:rFonts w:ascii="Verdana" w:hAnsi="Verdana"/>
          <w:color w:val="auto"/>
          <w:sz w:val="24"/>
          <w:szCs w:val="24"/>
          <w:vertAlign w:val="superscript"/>
        </w:rPr>
        <w:t>th</w:t>
      </w:r>
      <w:r w:rsidRPr="0098723C">
        <w:rPr>
          <w:rFonts w:ascii="Verdana" w:hAnsi="Verdana"/>
          <w:color w:val="auto"/>
          <w:sz w:val="24"/>
          <w:szCs w:val="24"/>
        </w:rPr>
        <w:t xml:space="preserve"> highest SMR </w:t>
      </w:r>
      <w:r w:rsidR="006556AA" w:rsidRPr="0098723C">
        <w:rPr>
          <w:rFonts w:ascii="Verdana" w:hAnsi="Verdana"/>
          <w:noProof/>
          <w:color w:val="auto"/>
          <w:sz w:val="24"/>
          <w:szCs w:val="24"/>
          <w:vertAlign w:val="superscript"/>
        </w:rPr>
        <w:t>7</w:t>
      </w:r>
      <w:r w:rsidRPr="0098723C">
        <w:rPr>
          <w:rFonts w:ascii="Verdana" w:hAnsi="Verdana"/>
          <w:color w:val="auto"/>
          <w:sz w:val="24"/>
          <w:szCs w:val="24"/>
        </w:rPr>
        <w:t xml:space="preserve">. Clearly, this demonstrates that the ranks of </w:t>
      </w:r>
      <w:r w:rsidR="00DC433C" w:rsidRPr="0098723C">
        <w:rPr>
          <w:rFonts w:ascii="Verdana" w:hAnsi="Verdana"/>
          <w:color w:val="auto"/>
          <w:sz w:val="24"/>
          <w:szCs w:val="24"/>
        </w:rPr>
        <w:t xml:space="preserve">the </w:t>
      </w:r>
      <w:r w:rsidRPr="0098723C">
        <w:rPr>
          <w:rFonts w:ascii="Verdana" w:hAnsi="Verdana"/>
          <w:color w:val="auto"/>
          <w:sz w:val="24"/>
          <w:szCs w:val="24"/>
        </w:rPr>
        <w:t xml:space="preserve">SMRs or other relative </w:t>
      </w:r>
      <w:r w:rsidR="00C350AE" w:rsidRPr="0098723C">
        <w:rPr>
          <w:rFonts w:ascii="Verdana" w:hAnsi="Verdana"/>
          <w:color w:val="auto"/>
          <w:sz w:val="24"/>
          <w:szCs w:val="24"/>
        </w:rPr>
        <w:t xml:space="preserve">risks or </w:t>
      </w:r>
      <w:r w:rsidRPr="0098723C">
        <w:rPr>
          <w:rFonts w:ascii="Verdana" w:hAnsi="Verdana"/>
          <w:color w:val="auto"/>
          <w:sz w:val="24"/>
          <w:szCs w:val="24"/>
        </w:rPr>
        <w:t>rates of specific causes of death do not necessarily correspond to those of absolute risks or rates.</w:t>
      </w:r>
    </w:p>
    <w:p w14:paraId="011600CA" w14:textId="77777777" w:rsidR="00EF6449" w:rsidRPr="0098723C" w:rsidRDefault="00EF6449" w:rsidP="009C0FAB">
      <w:pPr>
        <w:pStyle w:val="Heading2"/>
        <w:spacing w:after="240" w:line="480" w:lineRule="auto"/>
        <w:rPr>
          <w:color w:val="auto"/>
        </w:rPr>
      </w:pPr>
      <w:r w:rsidRPr="0098723C">
        <w:rPr>
          <w:color w:val="auto"/>
        </w:rPr>
        <w:t>Policy implications</w:t>
      </w:r>
    </w:p>
    <w:p w14:paraId="4428F377" w14:textId="77777777" w:rsidR="00BE6B38" w:rsidRPr="0098723C" w:rsidRDefault="00AD7412" w:rsidP="00BE6B38">
      <w:pPr>
        <w:pStyle w:val="Body"/>
        <w:spacing w:line="480" w:lineRule="auto"/>
        <w:jc w:val="both"/>
        <w:rPr>
          <w:rFonts w:ascii="Verdana" w:hAnsi="Verdana"/>
          <w:color w:val="auto"/>
          <w:sz w:val="24"/>
          <w:szCs w:val="24"/>
        </w:rPr>
      </w:pPr>
      <w:bookmarkStart w:id="7" w:name="_Hlk507653220"/>
      <w:r w:rsidRPr="0098723C">
        <w:rPr>
          <w:rFonts w:ascii="Verdana" w:hAnsi="Verdana"/>
          <w:color w:val="auto"/>
          <w:sz w:val="24"/>
          <w:szCs w:val="24"/>
        </w:rPr>
        <w:t xml:space="preserve">The potential importance of this work is as much in informing what patients with AUD </w:t>
      </w:r>
      <w:r w:rsidR="00BE6B38" w:rsidRPr="0098723C">
        <w:rPr>
          <w:rFonts w:ascii="Verdana" w:hAnsi="Verdana"/>
          <w:color w:val="auto"/>
          <w:sz w:val="24"/>
          <w:szCs w:val="24"/>
        </w:rPr>
        <w:t xml:space="preserve">do </w:t>
      </w:r>
      <w:r w:rsidRPr="0098723C">
        <w:rPr>
          <w:rFonts w:ascii="Verdana" w:hAnsi="Verdana"/>
          <w:color w:val="auto"/>
          <w:sz w:val="24"/>
          <w:szCs w:val="24"/>
        </w:rPr>
        <w:t xml:space="preserve">not die of as in what they do. We have shown that CVD remains the commonest cause of death in this group, and so those planning </w:t>
      </w:r>
      <w:r w:rsidR="00207A9F" w:rsidRPr="0098723C">
        <w:rPr>
          <w:rFonts w:ascii="Verdana" w:hAnsi="Verdana"/>
          <w:color w:val="auto"/>
          <w:sz w:val="24"/>
          <w:szCs w:val="24"/>
        </w:rPr>
        <w:t>or</w:t>
      </w:r>
      <w:r w:rsidRPr="0098723C">
        <w:rPr>
          <w:rFonts w:ascii="Verdana" w:hAnsi="Verdana"/>
          <w:color w:val="auto"/>
          <w:sz w:val="24"/>
          <w:szCs w:val="24"/>
        </w:rPr>
        <w:t xml:space="preserve"> delivering health care to these patients, should not neglect </w:t>
      </w:r>
      <w:r w:rsidR="00BE6B38" w:rsidRPr="0098723C">
        <w:rPr>
          <w:rFonts w:ascii="Verdana" w:hAnsi="Verdana"/>
          <w:color w:val="auto"/>
          <w:sz w:val="24"/>
          <w:szCs w:val="24"/>
        </w:rPr>
        <w:t xml:space="preserve">to assess </w:t>
      </w:r>
      <w:r w:rsidRPr="0098723C">
        <w:rPr>
          <w:rFonts w:ascii="Verdana" w:hAnsi="Verdana"/>
          <w:color w:val="auto"/>
          <w:sz w:val="24"/>
          <w:szCs w:val="24"/>
        </w:rPr>
        <w:t>markers of cardiovascular risk, nor opportunities to reduce that risk. However</w:t>
      </w:r>
      <w:r w:rsidR="00BE6B38" w:rsidRPr="0098723C">
        <w:rPr>
          <w:rFonts w:ascii="Verdana" w:hAnsi="Verdana"/>
          <w:color w:val="auto"/>
          <w:sz w:val="24"/>
          <w:szCs w:val="24"/>
        </w:rPr>
        <w:t>,</w:t>
      </w:r>
      <w:r w:rsidRPr="0098723C">
        <w:rPr>
          <w:rFonts w:ascii="Verdana" w:hAnsi="Verdana"/>
          <w:color w:val="auto"/>
          <w:sz w:val="24"/>
          <w:szCs w:val="24"/>
        </w:rPr>
        <w:t xml:space="preserve"> the </w:t>
      </w:r>
      <w:r w:rsidR="00BE6B38" w:rsidRPr="0098723C">
        <w:rPr>
          <w:rFonts w:ascii="Verdana" w:hAnsi="Verdana"/>
          <w:color w:val="auto"/>
          <w:sz w:val="24"/>
          <w:szCs w:val="24"/>
        </w:rPr>
        <w:t xml:space="preserve">reduced rates of </w:t>
      </w:r>
      <w:r w:rsidRPr="0098723C">
        <w:rPr>
          <w:rFonts w:ascii="Verdana" w:hAnsi="Verdana"/>
          <w:color w:val="auto"/>
          <w:sz w:val="24"/>
          <w:szCs w:val="24"/>
        </w:rPr>
        <w:t xml:space="preserve">malignant deaths </w:t>
      </w:r>
      <w:r w:rsidR="00BE6B38" w:rsidRPr="0098723C">
        <w:rPr>
          <w:rFonts w:ascii="Verdana" w:hAnsi="Verdana"/>
          <w:color w:val="auto"/>
          <w:sz w:val="24"/>
          <w:szCs w:val="24"/>
        </w:rPr>
        <w:t xml:space="preserve">relative to gastrointestinal or </w:t>
      </w:r>
      <w:r w:rsidRPr="0098723C">
        <w:rPr>
          <w:rFonts w:ascii="Verdana" w:hAnsi="Verdana"/>
          <w:color w:val="auto"/>
          <w:sz w:val="24"/>
          <w:szCs w:val="24"/>
        </w:rPr>
        <w:t>unnatural ones, suggest</w:t>
      </w:r>
      <w:r w:rsidR="00BE6B38" w:rsidRPr="0098723C">
        <w:rPr>
          <w:rFonts w:ascii="Verdana" w:hAnsi="Verdana"/>
          <w:color w:val="auto"/>
          <w:sz w:val="24"/>
          <w:szCs w:val="24"/>
        </w:rPr>
        <w:t xml:space="preserve"> </w:t>
      </w:r>
      <w:r w:rsidRPr="0098723C">
        <w:rPr>
          <w:rFonts w:ascii="Verdana" w:hAnsi="Verdana"/>
          <w:color w:val="auto"/>
          <w:sz w:val="24"/>
          <w:szCs w:val="24"/>
        </w:rPr>
        <w:t>that in this group it may be sensible to devote more resource</w:t>
      </w:r>
      <w:r w:rsidR="00BE6B38" w:rsidRPr="0098723C">
        <w:rPr>
          <w:rFonts w:ascii="Verdana" w:hAnsi="Verdana"/>
          <w:color w:val="auto"/>
          <w:sz w:val="24"/>
          <w:szCs w:val="24"/>
        </w:rPr>
        <w:t>s</w:t>
      </w:r>
      <w:r w:rsidRPr="0098723C">
        <w:rPr>
          <w:rFonts w:ascii="Verdana" w:hAnsi="Verdana"/>
          <w:color w:val="auto"/>
          <w:sz w:val="24"/>
          <w:szCs w:val="24"/>
        </w:rPr>
        <w:t xml:space="preserve"> to liver disease</w:t>
      </w:r>
      <w:r w:rsidR="00BE6B38" w:rsidRPr="0098723C">
        <w:rPr>
          <w:rFonts w:ascii="Verdana" w:hAnsi="Verdana"/>
          <w:color w:val="auto"/>
          <w:sz w:val="24"/>
          <w:szCs w:val="24"/>
        </w:rPr>
        <w:t>,</w:t>
      </w:r>
      <w:r w:rsidRPr="0098723C">
        <w:rPr>
          <w:rFonts w:ascii="Verdana" w:hAnsi="Verdana"/>
          <w:color w:val="auto"/>
          <w:sz w:val="24"/>
          <w:szCs w:val="24"/>
        </w:rPr>
        <w:t xml:space="preserve"> for example</w:t>
      </w:r>
      <w:r w:rsidR="00BE6B38" w:rsidRPr="0098723C">
        <w:rPr>
          <w:rFonts w:ascii="Verdana" w:hAnsi="Verdana"/>
          <w:color w:val="auto"/>
          <w:sz w:val="24"/>
          <w:szCs w:val="24"/>
        </w:rPr>
        <w:t>,</w:t>
      </w:r>
      <w:r w:rsidRPr="0098723C">
        <w:rPr>
          <w:rFonts w:ascii="Verdana" w:hAnsi="Verdana"/>
          <w:color w:val="auto"/>
          <w:sz w:val="24"/>
          <w:szCs w:val="24"/>
        </w:rPr>
        <w:t xml:space="preserve"> than to cancer screening. As non-invasive methodologies to screen for advancing liver disease have now been developed, attention to the earlier detection of this may provide opportunities to benefit </w:t>
      </w:r>
      <w:r w:rsidR="00BE6B38" w:rsidRPr="0098723C">
        <w:rPr>
          <w:rFonts w:ascii="Verdana" w:hAnsi="Verdana"/>
          <w:color w:val="auto"/>
          <w:sz w:val="24"/>
          <w:szCs w:val="24"/>
        </w:rPr>
        <w:t xml:space="preserve">these </w:t>
      </w:r>
      <w:r w:rsidRPr="0098723C">
        <w:rPr>
          <w:rFonts w:ascii="Verdana" w:hAnsi="Verdana"/>
          <w:color w:val="auto"/>
          <w:sz w:val="24"/>
          <w:szCs w:val="24"/>
        </w:rPr>
        <w:t>patients</w:t>
      </w:r>
      <w:r w:rsidR="00BE6B38" w:rsidRPr="0098723C">
        <w:rPr>
          <w:rFonts w:ascii="Verdana" w:hAnsi="Verdana"/>
          <w:color w:val="auto"/>
          <w:sz w:val="24"/>
          <w:szCs w:val="24"/>
        </w:rPr>
        <w:t xml:space="preserve">, </w:t>
      </w:r>
      <w:r w:rsidRPr="0098723C">
        <w:rPr>
          <w:rFonts w:ascii="Verdana" w:hAnsi="Verdana"/>
          <w:color w:val="auto"/>
          <w:sz w:val="24"/>
          <w:szCs w:val="24"/>
        </w:rPr>
        <w:t xml:space="preserve">for </w:t>
      </w:r>
      <w:r w:rsidR="00BE6B38" w:rsidRPr="0098723C">
        <w:rPr>
          <w:rFonts w:ascii="Verdana" w:hAnsi="Verdana"/>
          <w:color w:val="auto"/>
          <w:sz w:val="24"/>
          <w:szCs w:val="24"/>
        </w:rPr>
        <w:t xml:space="preserve">instance, via </w:t>
      </w:r>
      <w:r w:rsidRPr="0098723C">
        <w:rPr>
          <w:rFonts w:ascii="Verdana" w:hAnsi="Verdana"/>
          <w:color w:val="auto"/>
          <w:sz w:val="24"/>
          <w:szCs w:val="24"/>
        </w:rPr>
        <w:t xml:space="preserve">prophylaxis against variceal bleeding. Such action has clear potential for benefit when one considers that </w:t>
      </w:r>
      <w:r w:rsidR="00B65529" w:rsidRPr="0098723C">
        <w:rPr>
          <w:rFonts w:ascii="Verdana" w:hAnsi="Verdana"/>
          <w:color w:val="auto"/>
          <w:sz w:val="24"/>
          <w:szCs w:val="24"/>
        </w:rPr>
        <w:t xml:space="preserve">the </w:t>
      </w:r>
      <w:r w:rsidR="00BF0692" w:rsidRPr="0098723C">
        <w:rPr>
          <w:rFonts w:ascii="Verdana" w:hAnsi="Verdana"/>
          <w:color w:val="auto"/>
          <w:sz w:val="24"/>
          <w:szCs w:val="24"/>
        </w:rPr>
        <w:t xml:space="preserve">currently </w:t>
      </w:r>
      <w:r w:rsidR="00B65529" w:rsidRPr="0098723C">
        <w:rPr>
          <w:rFonts w:ascii="Verdana" w:hAnsi="Verdana"/>
          <w:color w:val="auto"/>
          <w:sz w:val="24"/>
          <w:szCs w:val="24"/>
        </w:rPr>
        <w:t xml:space="preserve">available evidence suggests </w:t>
      </w:r>
      <w:r w:rsidR="00DB4DF9" w:rsidRPr="0098723C">
        <w:rPr>
          <w:rFonts w:ascii="Verdana" w:hAnsi="Verdana"/>
          <w:color w:val="auto"/>
          <w:sz w:val="24"/>
          <w:szCs w:val="24"/>
        </w:rPr>
        <w:t xml:space="preserve">nearly half of </w:t>
      </w:r>
      <w:r w:rsidRPr="0098723C">
        <w:rPr>
          <w:rFonts w:ascii="Verdana" w:hAnsi="Verdana"/>
          <w:color w:val="auto"/>
          <w:sz w:val="24"/>
          <w:szCs w:val="24"/>
        </w:rPr>
        <w:t xml:space="preserve">liver disease in </w:t>
      </w:r>
      <w:r w:rsidR="00DB4DF9" w:rsidRPr="0098723C">
        <w:rPr>
          <w:rFonts w:ascii="Verdana" w:hAnsi="Verdana"/>
          <w:color w:val="auto"/>
          <w:sz w:val="24"/>
          <w:szCs w:val="24"/>
        </w:rPr>
        <w:t>England</w:t>
      </w:r>
      <w:r w:rsidRPr="0098723C">
        <w:rPr>
          <w:rFonts w:ascii="Verdana" w:hAnsi="Verdana"/>
          <w:color w:val="auto"/>
          <w:sz w:val="24"/>
          <w:szCs w:val="24"/>
        </w:rPr>
        <w:t xml:space="preserve"> presents with decompensation (such as variceal bleeding or ascites)</w:t>
      </w:r>
      <w:r w:rsidR="008979DF" w:rsidRPr="0098723C">
        <w:rPr>
          <w:rFonts w:ascii="Verdana" w:hAnsi="Verdana"/>
          <w:color w:val="auto"/>
          <w:sz w:val="24"/>
          <w:szCs w:val="24"/>
        </w:rPr>
        <w:t xml:space="preserve"> </w:t>
      </w:r>
      <w:r w:rsidR="007F3AF5" w:rsidRPr="0098723C">
        <w:rPr>
          <w:rFonts w:ascii="Verdana" w:hAnsi="Verdana"/>
          <w:noProof/>
          <w:color w:val="auto"/>
          <w:sz w:val="24"/>
          <w:szCs w:val="24"/>
          <w:vertAlign w:val="superscript"/>
        </w:rPr>
        <w:t>63</w:t>
      </w:r>
      <w:r w:rsidRPr="0098723C">
        <w:rPr>
          <w:rFonts w:ascii="Verdana" w:hAnsi="Verdana"/>
          <w:color w:val="auto"/>
          <w:sz w:val="24"/>
          <w:szCs w:val="24"/>
        </w:rPr>
        <w:t>.</w:t>
      </w:r>
      <w:r w:rsidR="00BE6B38" w:rsidRPr="0098723C">
        <w:rPr>
          <w:rFonts w:ascii="Verdana" w:hAnsi="Verdana"/>
          <w:color w:val="auto"/>
          <w:sz w:val="24"/>
          <w:szCs w:val="24"/>
        </w:rPr>
        <w:t xml:space="preserve"> Such screening for specific causes of deaths is currently in place for populations suffering from certain other conditions at increased risk of mortality (e.g. chronic kidney disease in those with type 2 diabetes) </w:t>
      </w:r>
      <w:r w:rsidR="007F3AF5" w:rsidRPr="0098723C">
        <w:rPr>
          <w:rFonts w:ascii="Verdana" w:hAnsi="Verdana"/>
          <w:noProof/>
          <w:color w:val="auto"/>
          <w:sz w:val="24"/>
          <w:szCs w:val="24"/>
          <w:vertAlign w:val="superscript"/>
        </w:rPr>
        <w:t>64,65</w:t>
      </w:r>
      <w:r w:rsidR="00BE6B38" w:rsidRPr="0098723C">
        <w:rPr>
          <w:rFonts w:ascii="Verdana" w:hAnsi="Verdana"/>
          <w:color w:val="auto"/>
          <w:sz w:val="24"/>
          <w:szCs w:val="24"/>
        </w:rPr>
        <w:t>.</w:t>
      </w:r>
    </w:p>
    <w:p w14:paraId="7210EAE7" w14:textId="77777777" w:rsidR="004314E3" w:rsidRPr="0098723C" w:rsidRDefault="00BE6B38" w:rsidP="0098723C">
      <w:pPr>
        <w:spacing w:line="480" w:lineRule="auto"/>
        <w:jc w:val="both"/>
        <w:rPr>
          <w:rFonts w:eastAsia="Calibri" w:cs="Calibri"/>
          <w:u w:color="000000"/>
          <w:lang w:eastAsia="en-GB"/>
        </w:rPr>
      </w:pPr>
      <w:r w:rsidRPr="0098723C">
        <w:rPr>
          <w:rFonts w:ascii="Verdana" w:eastAsia="Calibri" w:hAnsi="Verdana" w:cs="Calibri"/>
          <w:u w:color="000000"/>
          <w:lang w:eastAsia="en-GB"/>
        </w:rPr>
        <w:t xml:space="preserve">Other than informing the prioritisation of finite resources, and its resulting influence on clinical practice, this work could also help public health professionals. </w:t>
      </w:r>
      <w:r w:rsidR="004314E3" w:rsidRPr="0098723C">
        <w:rPr>
          <w:rFonts w:ascii="Verdana" w:eastAsia="Calibri" w:hAnsi="Verdana" w:cs="Calibri"/>
          <w:u w:color="000000"/>
          <w:lang w:eastAsia="en-GB"/>
        </w:rPr>
        <w:t xml:space="preserve">Those involved in health </w:t>
      </w:r>
      <w:r w:rsidR="00E62094" w:rsidRPr="0098723C">
        <w:rPr>
          <w:rFonts w:ascii="Verdana" w:eastAsia="Calibri" w:hAnsi="Verdana" w:cs="Calibri"/>
          <w:u w:color="000000"/>
          <w:lang w:eastAsia="en-GB"/>
        </w:rPr>
        <w:t>planning can use the pooled mortality rate information provided here</w:t>
      </w:r>
      <w:r w:rsidR="00FF092C" w:rsidRPr="0098723C">
        <w:rPr>
          <w:rFonts w:ascii="Verdana" w:eastAsia="Calibri" w:hAnsi="Verdana" w:cs="Calibri"/>
          <w:u w:color="000000"/>
          <w:lang w:eastAsia="en-GB"/>
        </w:rPr>
        <w:t>, for instance in health needs assessments</w:t>
      </w:r>
      <w:r w:rsidR="00A26082" w:rsidRPr="0098723C">
        <w:rPr>
          <w:rFonts w:ascii="Verdana" w:eastAsia="Calibri" w:hAnsi="Verdana" w:cs="Calibri"/>
          <w:u w:color="000000"/>
          <w:lang w:eastAsia="en-GB"/>
        </w:rPr>
        <w:t xml:space="preserve"> </w:t>
      </w:r>
      <w:r w:rsidR="007F3AF5" w:rsidRPr="0098723C">
        <w:rPr>
          <w:rFonts w:ascii="Verdana" w:eastAsia="Calibri" w:hAnsi="Verdana" w:cs="Calibri"/>
          <w:noProof/>
          <w:u w:color="000000"/>
          <w:vertAlign w:val="superscript"/>
          <w:lang w:eastAsia="en-GB"/>
        </w:rPr>
        <w:t>66</w:t>
      </w:r>
      <w:r w:rsidR="00FF092C" w:rsidRPr="0098723C">
        <w:rPr>
          <w:rFonts w:ascii="Verdana" w:eastAsia="Calibri" w:hAnsi="Verdana" w:cs="Calibri"/>
          <w:u w:color="000000"/>
          <w:lang w:eastAsia="en-GB"/>
        </w:rPr>
        <w:t>,</w:t>
      </w:r>
      <w:r w:rsidR="00E62094" w:rsidRPr="0098723C">
        <w:rPr>
          <w:rFonts w:ascii="Verdana" w:eastAsia="Calibri" w:hAnsi="Verdana" w:cs="Calibri"/>
          <w:u w:color="000000"/>
          <w:lang w:eastAsia="en-GB"/>
        </w:rPr>
        <w:t xml:space="preserve"> to compare </w:t>
      </w:r>
      <w:r w:rsidR="00FF092C" w:rsidRPr="0098723C">
        <w:rPr>
          <w:rFonts w:ascii="Verdana" w:eastAsia="Calibri" w:hAnsi="Verdana" w:cs="Calibri"/>
          <w:u w:color="000000"/>
          <w:lang w:eastAsia="en-GB"/>
        </w:rPr>
        <w:t>against</w:t>
      </w:r>
      <w:r w:rsidR="00E62094" w:rsidRPr="0098723C">
        <w:rPr>
          <w:rFonts w:ascii="Verdana" w:eastAsia="Calibri" w:hAnsi="Verdana" w:cs="Calibri"/>
          <w:u w:color="000000"/>
          <w:lang w:eastAsia="en-GB"/>
        </w:rPr>
        <w:t xml:space="preserve"> those observed in their jurisdictions, </w:t>
      </w:r>
      <w:r w:rsidR="00407BA7" w:rsidRPr="0098723C">
        <w:rPr>
          <w:rFonts w:ascii="Verdana" w:eastAsia="Calibri" w:hAnsi="Verdana" w:cs="Calibri"/>
          <w:u w:color="000000"/>
          <w:lang w:eastAsia="en-GB"/>
        </w:rPr>
        <w:t>or</w:t>
      </w:r>
      <w:r w:rsidR="00E62094" w:rsidRPr="0098723C">
        <w:rPr>
          <w:rFonts w:ascii="Verdana" w:eastAsia="Calibri" w:hAnsi="Verdana" w:cs="Calibri"/>
          <w:u w:color="000000"/>
          <w:lang w:eastAsia="en-GB"/>
        </w:rPr>
        <w:t xml:space="preserve"> </w:t>
      </w:r>
      <w:r w:rsidR="004314E3" w:rsidRPr="0098723C">
        <w:rPr>
          <w:rFonts w:ascii="Verdana" w:eastAsia="Calibri" w:hAnsi="Verdana" w:cs="Calibri"/>
          <w:u w:color="000000"/>
          <w:lang w:eastAsia="en-GB"/>
        </w:rPr>
        <w:t xml:space="preserve">to </w:t>
      </w:r>
      <w:r w:rsidR="00E62094" w:rsidRPr="0098723C">
        <w:rPr>
          <w:rFonts w:ascii="Verdana" w:eastAsia="Calibri" w:hAnsi="Verdana" w:cs="Calibri"/>
          <w:u w:color="000000"/>
          <w:lang w:eastAsia="en-GB"/>
        </w:rPr>
        <w:t xml:space="preserve">estimate </w:t>
      </w:r>
      <w:r w:rsidR="004314E3" w:rsidRPr="0098723C">
        <w:rPr>
          <w:rFonts w:ascii="Verdana" w:eastAsia="Calibri" w:hAnsi="Verdana" w:cs="Calibri"/>
          <w:u w:color="000000"/>
          <w:lang w:eastAsia="en-GB"/>
        </w:rPr>
        <w:t xml:space="preserve">the amount of resources they might need to allocate to </w:t>
      </w:r>
      <w:r w:rsidR="00E62094" w:rsidRPr="0098723C">
        <w:rPr>
          <w:rFonts w:ascii="Verdana" w:eastAsia="Calibri" w:hAnsi="Verdana" w:cs="Calibri"/>
          <w:u w:color="000000"/>
          <w:lang w:eastAsia="en-GB"/>
        </w:rPr>
        <w:t>patients</w:t>
      </w:r>
      <w:r w:rsidR="00475D65" w:rsidRPr="0098723C">
        <w:rPr>
          <w:rFonts w:ascii="Verdana" w:eastAsia="Calibri" w:hAnsi="Verdana" w:cs="Calibri"/>
          <w:u w:color="000000"/>
          <w:lang w:eastAsia="en-GB"/>
        </w:rPr>
        <w:t xml:space="preserve"> with AUD</w:t>
      </w:r>
      <w:r w:rsidR="00E62094" w:rsidRPr="0098723C">
        <w:rPr>
          <w:rFonts w:ascii="Verdana" w:eastAsia="Calibri" w:hAnsi="Verdana" w:cs="Calibri"/>
          <w:u w:color="000000"/>
          <w:lang w:eastAsia="en-GB"/>
        </w:rPr>
        <w:t xml:space="preserve"> in their own locations </w:t>
      </w:r>
      <w:r w:rsidR="004314E3" w:rsidRPr="0098723C">
        <w:rPr>
          <w:rFonts w:ascii="Verdana" w:eastAsia="Calibri" w:hAnsi="Verdana" w:cs="Calibri"/>
          <w:u w:color="000000"/>
          <w:lang w:eastAsia="en-GB"/>
        </w:rPr>
        <w:t>in a year.</w:t>
      </w:r>
    </w:p>
    <w:bookmarkEnd w:id="7"/>
    <w:p w14:paraId="0E10A0F3" w14:textId="77777777" w:rsidR="007C7FB5" w:rsidRPr="0098723C" w:rsidRDefault="007C7FB5" w:rsidP="009C0FAB">
      <w:pPr>
        <w:pStyle w:val="Body"/>
        <w:spacing w:line="480" w:lineRule="auto"/>
        <w:jc w:val="both"/>
        <w:rPr>
          <w:rFonts w:ascii="Verdana" w:hAnsi="Verdana"/>
          <w:color w:val="auto"/>
          <w:sz w:val="24"/>
          <w:szCs w:val="24"/>
        </w:rPr>
      </w:pPr>
      <w:r w:rsidRPr="0098723C">
        <w:rPr>
          <w:rFonts w:ascii="Verdana" w:hAnsi="Verdana"/>
          <w:color w:val="auto"/>
          <w:sz w:val="24"/>
          <w:szCs w:val="24"/>
        </w:rPr>
        <w:t>Finally, b</w:t>
      </w:r>
      <w:r w:rsidR="00A65D40" w:rsidRPr="0098723C">
        <w:rPr>
          <w:rFonts w:ascii="Verdana" w:hAnsi="Verdana"/>
          <w:color w:val="auto"/>
          <w:sz w:val="24"/>
          <w:szCs w:val="24"/>
        </w:rPr>
        <w:t xml:space="preserve">ased on the </w:t>
      </w:r>
      <w:r w:rsidR="009C0FAB" w:rsidRPr="0098723C">
        <w:rPr>
          <w:rFonts w:ascii="Verdana" w:hAnsi="Verdana"/>
          <w:color w:val="auto"/>
          <w:sz w:val="24"/>
          <w:szCs w:val="24"/>
        </w:rPr>
        <w:t xml:space="preserve">demonstration </w:t>
      </w:r>
      <w:r w:rsidR="00A65D40" w:rsidRPr="0098723C">
        <w:rPr>
          <w:rFonts w:ascii="Verdana" w:hAnsi="Verdana"/>
          <w:color w:val="auto"/>
          <w:sz w:val="24"/>
          <w:szCs w:val="24"/>
        </w:rPr>
        <w:t xml:space="preserve">that those conditions with high relative rates of mortality </w:t>
      </w:r>
      <w:r w:rsidR="00F51406" w:rsidRPr="0098723C">
        <w:rPr>
          <w:rFonts w:ascii="Verdana" w:hAnsi="Verdana"/>
          <w:color w:val="auto"/>
          <w:sz w:val="24"/>
          <w:szCs w:val="24"/>
        </w:rPr>
        <w:t xml:space="preserve">do not </w:t>
      </w:r>
      <w:r w:rsidR="000402B9" w:rsidRPr="0098723C">
        <w:rPr>
          <w:rFonts w:ascii="Verdana" w:hAnsi="Verdana"/>
          <w:color w:val="auto"/>
          <w:sz w:val="24"/>
          <w:szCs w:val="24"/>
        </w:rPr>
        <w:t xml:space="preserve">necessarily </w:t>
      </w:r>
      <w:r w:rsidR="00F51406" w:rsidRPr="0098723C">
        <w:rPr>
          <w:rFonts w:ascii="Verdana" w:hAnsi="Verdana"/>
          <w:color w:val="auto"/>
          <w:sz w:val="24"/>
          <w:szCs w:val="24"/>
        </w:rPr>
        <w:t xml:space="preserve">also </w:t>
      </w:r>
      <w:r w:rsidR="00A65D40" w:rsidRPr="0098723C">
        <w:rPr>
          <w:rFonts w:ascii="Verdana" w:hAnsi="Verdana"/>
          <w:color w:val="auto"/>
          <w:sz w:val="24"/>
          <w:szCs w:val="24"/>
        </w:rPr>
        <w:t>have high absolute mortality rates, it is pertinent that</w:t>
      </w:r>
      <w:r w:rsidR="00D21229" w:rsidRPr="0098723C">
        <w:rPr>
          <w:rFonts w:ascii="Verdana" w:hAnsi="Verdana"/>
          <w:color w:val="auto"/>
          <w:sz w:val="24"/>
          <w:szCs w:val="24"/>
        </w:rPr>
        <w:t xml:space="preserve"> health </w:t>
      </w:r>
      <w:r w:rsidRPr="0098723C">
        <w:rPr>
          <w:rFonts w:ascii="Verdana" w:hAnsi="Verdana"/>
          <w:color w:val="auto"/>
          <w:sz w:val="24"/>
          <w:szCs w:val="24"/>
        </w:rPr>
        <w:t xml:space="preserve">researchers respond </w:t>
      </w:r>
      <w:r w:rsidR="00416348" w:rsidRPr="0098723C">
        <w:rPr>
          <w:rFonts w:ascii="Verdana" w:hAnsi="Verdana"/>
          <w:color w:val="auto"/>
          <w:sz w:val="24"/>
          <w:szCs w:val="24"/>
        </w:rPr>
        <w:t xml:space="preserve">to the need for public health relevance </w:t>
      </w:r>
      <w:r w:rsidRPr="0098723C">
        <w:rPr>
          <w:rFonts w:ascii="Verdana" w:hAnsi="Verdana"/>
          <w:color w:val="auto"/>
          <w:sz w:val="24"/>
          <w:szCs w:val="24"/>
        </w:rPr>
        <w:t xml:space="preserve">by </w:t>
      </w:r>
      <w:r w:rsidR="00D21229" w:rsidRPr="0098723C">
        <w:rPr>
          <w:rFonts w:ascii="Verdana" w:hAnsi="Verdana"/>
          <w:color w:val="auto"/>
          <w:sz w:val="24"/>
          <w:szCs w:val="24"/>
        </w:rPr>
        <w:t xml:space="preserve">increasing the reporting of </w:t>
      </w:r>
      <w:r w:rsidRPr="0098723C">
        <w:rPr>
          <w:rFonts w:ascii="Verdana" w:hAnsi="Verdana"/>
          <w:color w:val="auto"/>
          <w:sz w:val="24"/>
          <w:szCs w:val="24"/>
        </w:rPr>
        <w:t>measures</w:t>
      </w:r>
      <w:r w:rsidR="00F51406" w:rsidRPr="0098723C">
        <w:rPr>
          <w:rFonts w:ascii="Verdana" w:hAnsi="Verdana"/>
          <w:color w:val="auto"/>
          <w:sz w:val="24"/>
          <w:szCs w:val="24"/>
        </w:rPr>
        <w:t xml:space="preserve"> of frequency or occurrence</w:t>
      </w:r>
      <w:r w:rsidRPr="0098723C">
        <w:rPr>
          <w:rFonts w:ascii="Verdana" w:hAnsi="Verdana"/>
          <w:color w:val="auto"/>
          <w:sz w:val="24"/>
          <w:szCs w:val="24"/>
        </w:rPr>
        <w:t xml:space="preserve">, and not </w:t>
      </w:r>
      <w:r w:rsidR="00D21229" w:rsidRPr="0098723C">
        <w:rPr>
          <w:rFonts w:ascii="Verdana" w:hAnsi="Verdana"/>
          <w:color w:val="auto"/>
          <w:sz w:val="24"/>
          <w:szCs w:val="24"/>
        </w:rPr>
        <w:t xml:space="preserve">only </w:t>
      </w:r>
      <w:r w:rsidRPr="0098723C">
        <w:rPr>
          <w:rFonts w:ascii="Verdana" w:hAnsi="Verdana"/>
          <w:color w:val="auto"/>
          <w:sz w:val="24"/>
          <w:szCs w:val="24"/>
        </w:rPr>
        <w:t>relative measures of association.</w:t>
      </w:r>
    </w:p>
    <w:p w14:paraId="2EFB35AA" w14:textId="77777777" w:rsidR="005C2377" w:rsidRPr="0098723C" w:rsidRDefault="00D27D30" w:rsidP="009C0FAB">
      <w:pPr>
        <w:pStyle w:val="Heading2"/>
        <w:spacing w:after="240" w:line="480" w:lineRule="auto"/>
        <w:ind w:left="0"/>
        <w:rPr>
          <w:color w:val="auto"/>
        </w:rPr>
      </w:pPr>
      <w:r w:rsidRPr="0098723C">
        <w:rPr>
          <w:color w:val="auto"/>
        </w:rPr>
        <w:t>C</w:t>
      </w:r>
      <w:r w:rsidR="00C2409E" w:rsidRPr="0098723C">
        <w:rPr>
          <w:color w:val="auto"/>
        </w:rPr>
        <w:t>onclusions</w:t>
      </w:r>
    </w:p>
    <w:p w14:paraId="764674C0" w14:textId="77777777" w:rsidR="00021B09" w:rsidRPr="0098723C" w:rsidRDefault="00A65D40" w:rsidP="009C0FAB">
      <w:pPr>
        <w:pStyle w:val="Body"/>
        <w:pBdr>
          <w:top w:val="none" w:sz="0" w:space="0" w:color="auto"/>
          <w:left w:val="none" w:sz="0" w:space="0" w:color="auto"/>
          <w:bottom w:val="none" w:sz="0" w:space="0" w:color="auto"/>
          <w:right w:val="none" w:sz="0" w:space="0" w:color="auto"/>
        </w:pBdr>
        <w:spacing w:line="480" w:lineRule="auto"/>
        <w:jc w:val="both"/>
        <w:rPr>
          <w:rFonts w:ascii="Verdana" w:hAnsi="Verdana"/>
          <w:color w:val="auto"/>
          <w:sz w:val="24"/>
          <w:szCs w:val="24"/>
        </w:rPr>
      </w:pPr>
      <w:r w:rsidRPr="0098723C">
        <w:rPr>
          <w:rFonts w:ascii="Verdana" w:hAnsi="Verdana"/>
          <w:color w:val="auto"/>
          <w:sz w:val="24"/>
          <w:szCs w:val="24"/>
        </w:rPr>
        <w:t xml:space="preserve">Our systematic review </w:t>
      </w:r>
      <w:r w:rsidR="008F018D" w:rsidRPr="0098723C">
        <w:rPr>
          <w:rFonts w:ascii="Verdana" w:hAnsi="Verdana"/>
          <w:color w:val="auto"/>
          <w:sz w:val="24"/>
          <w:szCs w:val="24"/>
        </w:rPr>
        <w:t xml:space="preserve">presents pooled </w:t>
      </w:r>
      <w:r w:rsidR="00D21229" w:rsidRPr="0098723C">
        <w:rPr>
          <w:rFonts w:ascii="Verdana" w:hAnsi="Verdana"/>
          <w:color w:val="auto"/>
          <w:sz w:val="24"/>
          <w:szCs w:val="24"/>
        </w:rPr>
        <w:t xml:space="preserve">crude </w:t>
      </w:r>
      <w:r w:rsidR="005506EF" w:rsidRPr="0098723C">
        <w:rPr>
          <w:rFonts w:ascii="Verdana" w:hAnsi="Verdana"/>
          <w:color w:val="auto"/>
          <w:sz w:val="24"/>
          <w:szCs w:val="24"/>
        </w:rPr>
        <w:t xml:space="preserve">absolute </w:t>
      </w:r>
      <w:r w:rsidR="00D21229" w:rsidRPr="0098723C">
        <w:rPr>
          <w:rFonts w:ascii="Verdana" w:hAnsi="Verdana"/>
          <w:color w:val="auto"/>
          <w:sz w:val="24"/>
          <w:szCs w:val="24"/>
        </w:rPr>
        <w:t xml:space="preserve">all-cause and cause-specific </w:t>
      </w:r>
      <w:r w:rsidR="008F018D" w:rsidRPr="0098723C">
        <w:rPr>
          <w:rFonts w:ascii="Verdana" w:hAnsi="Verdana"/>
          <w:color w:val="auto"/>
          <w:sz w:val="24"/>
          <w:szCs w:val="24"/>
        </w:rPr>
        <w:t>mortality rates.</w:t>
      </w:r>
      <w:r w:rsidR="00207A9F" w:rsidRPr="0098723C">
        <w:rPr>
          <w:rFonts w:ascii="Verdana" w:hAnsi="Verdana"/>
          <w:color w:val="auto"/>
          <w:sz w:val="24"/>
          <w:szCs w:val="24"/>
        </w:rPr>
        <w:t xml:space="preserve"> L</w:t>
      </w:r>
      <w:r w:rsidRPr="0098723C">
        <w:rPr>
          <w:rFonts w:ascii="Verdana" w:hAnsi="Verdana"/>
          <w:color w:val="auto"/>
          <w:sz w:val="24"/>
          <w:szCs w:val="24"/>
        </w:rPr>
        <w:t xml:space="preserve">ike the </w:t>
      </w:r>
      <w:r w:rsidR="00421834" w:rsidRPr="0098723C">
        <w:rPr>
          <w:rFonts w:ascii="Verdana" w:hAnsi="Verdana"/>
          <w:color w:val="auto"/>
          <w:sz w:val="24"/>
          <w:szCs w:val="24"/>
        </w:rPr>
        <w:t xml:space="preserve">general </w:t>
      </w:r>
      <w:r w:rsidRPr="0098723C">
        <w:rPr>
          <w:rFonts w:ascii="Verdana" w:hAnsi="Verdana"/>
          <w:color w:val="auto"/>
          <w:sz w:val="24"/>
          <w:szCs w:val="24"/>
        </w:rPr>
        <w:t xml:space="preserve">population, patients </w:t>
      </w:r>
      <w:r w:rsidR="00421834" w:rsidRPr="0098723C">
        <w:rPr>
          <w:rFonts w:ascii="Verdana" w:hAnsi="Verdana"/>
          <w:color w:val="auto"/>
          <w:sz w:val="24"/>
          <w:szCs w:val="24"/>
        </w:rPr>
        <w:t xml:space="preserve">under treatment for AUD </w:t>
      </w:r>
      <w:r w:rsidRPr="0098723C">
        <w:rPr>
          <w:rFonts w:ascii="Verdana" w:hAnsi="Verdana"/>
          <w:color w:val="auto"/>
          <w:sz w:val="24"/>
          <w:szCs w:val="24"/>
        </w:rPr>
        <w:t xml:space="preserve">are most likely to die of CVDs. </w:t>
      </w:r>
      <w:r w:rsidR="008F018D" w:rsidRPr="0098723C">
        <w:rPr>
          <w:rFonts w:ascii="Verdana" w:hAnsi="Verdana"/>
          <w:color w:val="auto"/>
          <w:sz w:val="24"/>
          <w:szCs w:val="24"/>
        </w:rPr>
        <w:t>However, in contrast to the general population,</w:t>
      </w:r>
      <w:r w:rsidR="008F018D" w:rsidRPr="0098723C" w:rsidDel="008F018D">
        <w:rPr>
          <w:rFonts w:ascii="Verdana" w:hAnsi="Verdana"/>
          <w:color w:val="auto"/>
          <w:sz w:val="24"/>
          <w:szCs w:val="24"/>
        </w:rPr>
        <w:t xml:space="preserve"> </w:t>
      </w:r>
      <w:r w:rsidR="008F018D" w:rsidRPr="0098723C">
        <w:rPr>
          <w:rFonts w:ascii="Verdana" w:hAnsi="Verdana"/>
          <w:color w:val="auto"/>
          <w:sz w:val="24"/>
          <w:szCs w:val="24"/>
        </w:rPr>
        <w:t>the rank</w:t>
      </w:r>
      <w:r w:rsidR="00ED41BE" w:rsidRPr="0098723C">
        <w:rPr>
          <w:rFonts w:ascii="Verdana" w:hAnsi="Verdana"/>
          <w:color w:val="auto"/>
          <w:sz w:val="24"/>
          <w:szCs w:val="24"/>
        </w:rPr>
        <w:t>s</w:t>
      </w:r>
      <w:r w:rsidR="008F018D" w:rsidRPr="0098723C">
        <w:rPr>
          <w:rFonts w:ascii="Verdana" w:hAnsi="Verdana"/>
          <w:color w:val="auto"/>
          <w:sz w:val="24"/>
          <w:szCs w:val="24"/>
        </w:rPr>
        <w:t xml:space="preserve"> of the other common causes of deaths differ</w:t>
      </w:r>
      <w:r w:rsidR="00ED41BE" w:rsidRPr="0098723C">
        <w:rPr>
          <w:rFonts w:ascii="Verdana" w:hAnsi="Verdana"/>
          <w:color w:val="auto"/>
          <w:sz w:val="24"/>
          <w:szCs w:val="24"/>
        </w:rPr>
        <w:t xml:space="preserve">, with </w:t>
      </w:r>
      <w:r w:rsidR="00FF092C" w:rsidRPr="0098723C">
        <w:rPr>
          <w:rFonts w:ascii="Verdana" w:hAnsi="Verdana"/>
          <w:color w:val="auto"/>
          <w:sz w:val="24"/>
          <w:szCs w:val="24"/>
        </w:rPr>
        <w:t xml:space="preserve">gastrointestinal and unnatural </w:t>
      </w:r>
      <w:r w:rsidRPr="0098723C">
        <w:rPr>
          <w:rFonts w:ascii="Verdana" w:hAnsi="Verdana"/>
          <w:color w:val="auto"/>
          <w:sz w:val="24"/>
          <w:szCs w:val="24"/>
        </w:rPr>
        <w:t xml:space="preserve">deaths </w:t>
      </w:r>
      <w:r w:rsidR="00973467" w:rsidRPr="0098723C">
        <w:rPr>
          <w:rFonts w:ascii="Verdana" w:hAnsi="Verdana"/>
          <w:color w:val="auto"/>
          <w:sz w:val="24"/>
          <w:szCs w:val="24"/>
        </w:rPr>
        <w:t xml:space="preserve">being </w:t>
      </w:r>
      <w:r w:rsidRPr="0098723C">
        <w:rPr>
          <w:rFonts w:ascii="Verdana" w:hAnsi="Verdana"/>
          <w:color w:val="auto"/>
          <w:sz w:val="24"/>
          <w:szCs w:val="24"/>
        </w:rPr>
        <w:t xml:space="preserve">the </w:t>
      </w:r>
      <w:r w:rsidR="00FF092C" w:rsidRPr="0098723C">
        <w:rPr>
          <w:rFonts w:ascii="Verdana" w:hAnsi="Verdana"/>
          <w:color w:val="auto"/>
          <w:sz w:val="24"/>
          <w:szCs w:val="24"/>
        </w:rPr>
        <w:t xml:space="preserve">next </w:t>
      </w:r>
      <w:r w:rsidR="00714059" w:rsidRPr="0098723C">
        <w:rPr>
          <w:rFonts w:ascii="Verdana" w:hAnsi="Verdana"/>
          <w:color w:val="auto"/>
          <w:sz w:val="24"/>
          <w:szCs w:val="24"/>
        </w:rPr>
        <w:t xml:space="preserve">most </w:t>
      </w:r>
      <w:r w:rsidRPr="0098723C">
        <w:rPr>
          <w:rFonts w:ascii="Verdana" w:hAnsi="Verdana"/>
          <w:color w:val="auto"/>
          <w:sz w:val="24"/>
          <w:szCs w:val="24"/>
        </w:rPr>
        <w:t>common causes of deaths. We believe that these facts should be borne in mind when planning healthcare services for those with AUDs.</w:t>
      </w:r>
    </w:p>
    <w:p w14:paraId="07F9DA39" w14:textId="77777777" w:rsidR="00021B09" w:rsidRPr="0098723C" w:rsidRDefault="00021B09" w:rsidP="009C0FAB">
      <w:pPr>
        <w:pStyle w:val="Body"/>
        <w:pBdr>
          <w:top w:val="none" w:sz="0" w:space="0" w:color="auto"/>
          <w:left w:val="none" w:sz="0" w:space="0" w:color="auto"/>
          <w:bottom w:val="none" w:sz="0" w:space="0" w:color="auto"/>
          <w:right w:val="none" w:sz="0" w:space="0" w:color="auto"/>
        </w:pBdr>
        <w:spacing w:line="480" w:lineRule="auto"/>
        <w:jc w:val="both"/>
        <w:rPr>
          <w:color w:val="auto"/>
          <w:lang w:val="en-GB"/>
        </w:rPr>
        <w:sectPr w:rsidR="00021B09" w:rsidRPr="0098723C">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708" w:footer="708" w:gutter="0"/>
          <w:cols w:space="720"/>
          <w:docGrid w:linePitch="360"/>
        </w:sectPr>
      </w:pPr>
    </w:p>
    <w:p w14:paraId="1735628C" w14:textId="77777777" w:rsidR="005C2377" w:rsidRPr="0098723C" w:rsidRDefault="00F42C51">
      <w:pPr>
        <w:pStyle w:val="Heading"/>
        <w:rPr>
          <w:color w:val="auto"/>
        </w:rPr>
      </w:pPr>
      <w:r w:rsidRPr="0098723C">
        <w:rPr>
          <w:color w:val="auto"/>
          <w:lang w:val="en-GB"/>
        </w:rPr>
        <w:t>References</w:t>
      </w:r>
    </w:p>
    <w:p w14:paraId="76126448"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 </w:t>
      </w:r>
      <w:r w:rsidRPr="0098723C">
        <w:rPr>
          <w:rFonts w:ascii="Verdana" w:hAnsi="Verdana"/>
          <w:noProof/>
        </w:rPr>
        <w:tab/>
        <w:t xml:space="preserve">Hasin D. Classification of Alcohol Use Disorders. </w:t>
      </w:r>
      <w:r w:rsidRPr="0098723C">
        <w:rPr>
          <w:rFonts w:ascii="Verdana" w:hAnsi="Verdana"/>
          <w:i/>
          <w:iCs/>
          <w:noProof/>
        </w:rPr>
        <w:t>Alcohol Res Health</w:t>
      </w:r>
      <w:r w:rsidRPr="0098723C">
        <w:rPr>
          <w:rFonts w:ascii="Verdana" w:hAnsi="Verdana"/>
          <w:noProof/>
        </w:rPr>
        <w:t>. 2003;27(1):5-17.</w:t>
      </w:r>
    </w:p>
    <w:p w14:paraId="3A9E0CAD"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 </w:t>
      </w:r>
      <w:r w:rsidRPr="0098723C">
        <w:rPr>
          <w:rFonts w:ascii="Verdana" w:hAnsi="Verdana"/>
          <w:noProof/>
        </w:rPr>
        <w:tab/>
        <w:t>World Health Organisation. Global status report on alcohol and health 2014. 2014:1-392. doi:/entity/substance_abuse/publications/global_alcohol_report/en/index.html.</w:t>
      </w:r>
    </w:p>
    <w:p w14:paraId="5C591FB0"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 </w:t>
      </w:r>
      <w:r w:rsidRPr="0098723C">
        <w:rPr>
          <w:rFonts w:ascii="Verdana" w:hAnsi="Verdana"/>
          <w:noProof/>
        </w:rPr>
        <w:tab/>
        <w:t xml:space="preserve">Rehm J. The Risks Associated With Alcohol Use and Alcoholism. </w:t>
      </w:r>
      <w:r w:rsidRPr="0098723C">
        <w:rPr>
          <w:rFonts w:ascii="Verdana" w:hAnsi="Verdana"/>
          <w:i/>
          <w:iCs/>
          <w:noProof/>
        </w:rPr>
        <w:t>Alcohol Res Heal</w:t>
      </w:r>
      <w:r w:rsidRPr="0098723C">
        <w:rPr>
          <w:rFonts w:ascii="Verdana" w:hAnsi="Verdana"/>
          <w:noProof/>
        </w:rPr>
        <w:t>. 2011;34(2):135-143. doi:Fea-AR&amp;H-65.</w:t>
      </w:r>
    </w:p>
    <w:p w14:paraId="622190C8"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 </w:t>
      </w:r>
      <w:r w:rsidRPr="0098723C">
        <w:rPr>
          <w:rFonts w:ascii="Verdana" w:hAnsi="Verdana"/>
          <w:noProof/>
        </w:rPr>
        <w:tab/>
        <w:t xml:space="preserve">Rehm J, Mathers C, Popova S, Thavorncharoensap M, Teerawattananon Y, Patra J. Global burden of disease and injury and economic cost attributable to alcohol use and alcohol-use disorders. </w:t>
      </w:r>
      <w:r w:rsidRPr="0098723C">
        <w:rPr>
          <w:rFonts w:ascii="Verdana" w:hAnsi="Verdana"/>
          <w:i/>
          <w:iCs/>
          <w:noProof/>
        </w:rPr>
        <w:t>Lancet</w:t>
      </w:r>
      <w:r w:rsidRPr="0098723C">
        <w:rPr>
          <w:rFonts w:ascii="Verdana" w:hAnsi="Verdana"/>
          <w:noProof/>
        </w:rPr>
        <w:t>. 2009;373(9682):2223-2233. doi:10.1016/S0140-6736(09)60746-7.</w:t>
      </w:r>
    </w:p>
    <w:p w14:paraId="3CBC2D6F"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 </w:t>
      </w:r>
      <w:r w:rsidRPr="0098723C">
        <w:rPr>
          <w:rFonts w:ascii="Verdana" w:hAnsi="Verdana"/>
          <w:noProof/>
        </w:rPr>
        <w:tab/>
        <w:t xml:space="preserve">Schuckit MA. Alcohol-use disorders. </w:t>
      </w:r>
      <w:r w:rsidRPr="0098723C">
        <w:rPr>
          <w:rFonts w:ascii="Verdana" w:hAnsi="Verdana"/>
          <w:i/>
          <w:iCs/>
          <w:noProof/>
        </w:rPr>
        <w:t>Lancet</w:t>
      </w:r>
      <w:r w:rsidRPr="0098723C">
        <w:rPr>
          <w:rFonts w:ascii="Verdana" w:hAnsi="Verdana"/>
          <w:noProof/>
        </w:rPr>
        <w:t>. 2009;373(9662):492-501. doi:10.1016/S0140-6736(09)60009-X.</w:t>
      </w:r>
    </w:p>
    <w:p w14:paraId="1A27E0EE"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6. </w:t>
      </w:r>
      <w:r w:rsidRPr="0098723C">
        <w:rPr>
          <w:rFonts w:ascii="Verdana" w:hAnsi="Verdana"/>
          <w:noProof/>
        </w:rPr>
        <w:tab/>
        <w:t xml:space="preserve">Roerecke M, Rehm J. Alcohol use disorders and mortality: a systematic review and meta-analysis. </w:t>
      </w:r>
      <w:r w:rsidRPr="0098723C">
        <w:rPr>
          <w:rFonts w:ascii="Verdana" w:hAnsi="Verdana"/>
          <w:i/>
          <w:iCs/>
          <w:noProof/>
        </w:rPr>
        <w:t>Addiction</w:t>
      </w:r>
      <w:r w:rsidRPr="0098723C">
        <w:rPr>
          <w:rFonts w:ascii="Verdana" w:hAnsi="Verdana"/>
          <w:noProof/>
        </w:rPr>
        <w:t>. 2013;108(9):1562-1578.</w:t>
      </w:r>
    </w:p>
    <w:p w14:paraId="06ECC9A1"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7. </w:t>
      </w:r>
      <w:r w:rsidRPr="0098723C">
        <w:rPr>
          <w:rFonts w:ascii="Verdana" w:hAnsi="Verdana"/>
          <w:noProof/>
        </w:rPr>
        <w:tab/>
        <w:t xml:space="preserve">Roerecke M, Rehm J. Cause-specific mortality risk in alcohol use disorder treatment patients: a systematic review and meta-analysis. </w:t>
      </w:r>
      <w:r w:rsidRPr="0098723C">
        <w:rPr>
          <w:rFonts w:ascii="Verdana" w:hAnsi="Verdana"/>
          <w:i/>
          <w:iCs/>
          <w:noProof/>
        </w:rPr>
        <w:t>Int J Epidemiol</w:t>
      </w:r>
      <w:r w:rsidRPr="0098723C">
        <w:rPr>
          <w:rFonts w:ascii="Verdana" w:hAnsi="Verdana"/>
          <w:noProof/>
        </w:rPr>
        <w:t>. 2014;43(3):906-919.</w:t>
      </w:r>
    </w:p>
    <w:p w14:paraId="44FFDDAF"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8. </w:t>
      </w:r>
      <w:r w:rsidRPr="0098723C">
        <w:rPr>
          <w:rFonts w:ascii="Verdana" w:hAnsi="Verdana"/>
          <w:noProof/>
        </w:rPr>
        <w:tab/>
        <w:t xml:space="preserve">Bhopal R. Seven mistakes and potential solutions in epidemiology, including a call for a World Council of Epidemiology and Causality. </w:t>
      </w:r>
      <w:r w:rsidRPr="0098723C">
        <w:rPr>
          <w:rFonts w:ascii="Verdana" w:hAnsi="Verdana"/>
          <w:i/>
          <w:iCs/>
          <w:noProof/>
        </w:rPr>
        <w:t>Emerg Themes Epidemiol</w:t>
      </w:r>
      <w:r w:rsidRPr="0098723C">
        <w:rPr>
          <w:rFonts w:ascii="Verdana" w:hAnsi="Verdana"/>
          <w:noProof/>
        </w:rPr>
        <w:t>. 2009;6(1):6. doi:10.1186/1742-7622-6-6.</w:t>
      </w:r>
    </w:p>
    <w:p w14:paraId="26E86542"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9. </w:t>
      </w:r>
      <w:r w:rsidRPr="0098723C">
        <w:rPr>
          <w:rFonts w:ascii="Verdana" w:hAnsi="Verdana"/>
          <w:noProof/>
        </w:rPr>
        <w:tab/>
        <w:t xml:space="preserve">Gigerenzer G. Making sense of health statistics. </w:t>
      </w:r>
      <w:r w:rsidRPr="0098723C">
        <w:rPr>
          <w:rFonts w:ascii="Verdana" w:hAnsi="Verdana"/>
          <w:i/>
          <w:iCs/>
          <w:noProof/>
        </w:rPr>
        <w:t>Bull World Health Organ</w:t>
      </w:r>
      <w:r w:rsidRPr="0098723C">
        <w:rPr>
          <w:rFonts w:ascii="Verdana" w:hAnsi="Verdana"/>
          <w:noProof/>
        </w:rPr>
        <w:t>. 2009;87(8):567-567. doi:10.1590/s0042-96862009000800003.</w:t>
      </w:r>
    </w:p>
    <w:p w14:paraId="3C8150EB"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10. </w:t>
      </w:r>
      <w:r w:rsidRPr="0098723C">
        <w:rPr>
          <w:rFonts w:ascii="Verdana" w:hAnsi="Verdana"/>
          <w:noProof/>
        </w:rPr>
        <w:tab/>
        <w:t xml:space="preserve">Barnett K. </w:t>
      </w:r>
      <w:r w:rsidRPr="0098723C">
        <w:rPr>
          <w:rFonts w:ascii="Verdana" w:hAnsi="Verdana"/>
          <w:i/>
          <w:iCs/>
          <w:noProof/>
        </w:rPr>
        <w:t>Best Practices for Community Health Needs Assessment and Implementation Strategy Development: A Review of Scientific Methods, Current Practices, and Future Potential. Report of Proceedings from a Public Forum and Interviews of Experts</w:t>
      </w:r>
      <w:r w:rsidRPr="0098723C">
        <w:rPr>
          <w:rFonts w:ascii="Verdana" w:hAnsi="Verdana"/>
          <w:noProof/>
        </w:rPr>
        <w:t>.; 2012.</w:t>
      </w:r>
    </w:p>
    <w:p w14:paraId="480A2D33"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11. </w:t>
      </w:r>
      <w:r w:rsidRPr="0098723C">
        <w:rPr>
          <w:rFonts w:ascii="Verdana" w:hAnsi="Verdana"/>
          <w:noProof/>
        </w:rPr>
        <w:tab/>
        <w:t xml:space="preserve">Public Health England. </w:t>
      </w:r>
      <w:r w:rsidRPr="0098723C">
        <w:rPr>
          <w:rFonts w:ascii="Verdana" w:hAnsi="Verdana"/>
          <w:i/>
          <w:iCs/>
          <w:noProof/>
        </w:rPr>
        <w:t>Adults - Alcohol JSNA Support Pack: Key Data to Support Planning for Effective Alcohol Harm Prevention, Treatment and Recovery in 2017-18</w:t>
      </w:r>
      <w:r w:rsidRPr="0098723C">
        <w:rPr>
          <w:rFonts w:ascii="Verdana" w:hAnsi="Verdana"/>
          <w:noProof/>
        </w:rPr>
        <w:t>.; 2017.</w:t>
      </w:r>
    </w:p>
    <w:p w14:paraId="4974D199"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12. </w:t>
      </w:r>
      <w:r w:rsidRPr="0098723C">
        <w:rPr>
          <w:rFonts w:ascii="Verdana" w:hAnsi="Verdana"/>
          <w:noProof/>
        </w:rPr>
        <w:tab/>
        <w:t xml:space="preserve">Liberati A, Altman DG, Tetzlaff J, et al. The PRISMA statement for reporting systematic reviews and meta-analyses of studies that evaluate healthcare interventions: explanation and elaboration. </w:t>
      </w:r>
      <w:r w:rsidRPr="0098723C">
        <w:rPr>
          <w:rFonts w:ascii="Verdana" w:hAnsi="Verdana"/>
          <w:i/>
          <w:iCs/>
          <w:noProof/>
        </w:rPr>
        <w:t>BMJ</w:t>
      </w:r>
      <w:r w:rsidRPr="0098723C">
        <w:rPr>
          <w:rFonts w:ascii="Verdana" w:hAnsi="Verdana"/>
          <w:noProof/>
        </w:rPr>
        <w:t>. 2009;339(jul21 1):b2700-b2700. doi:10.1136/bmj.b2700.</w:t>
      </w:r>
    </w:p>
    <w:p w14:paraId="2199ACC8"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13. </w:t>
      </w:r>
      <w:r w:rsidRPr="0098723C">
        <w:rPr>
          <w:rFonts w:ascii="Verdana" w:hAnsi="Verdana"/>
          <w:noProof/>
        </w:rPr>
        <w:tab/>
        <w:t xml:space="preserve">Stroup DF, Berlin JA, Morton SC, et al. Meta-analysis of Observational Studies in Epidemiology: A Proposal for Reporting. </w:t>
      </w:r>
      <w:r w:rsidRPr="0098723C">
        <w:rPr>
          <w:rFonts w:ascii="Verdana" w:hAnsi="Verdana"/>
          <w:i/>
          <w:iCs/>
          <w:noProof/>
        </w:rPr>
        <w:t>JAMA</w:t>
      </w:r>
      <w:r w:rsidRPr="0098723C">
        <w:rPr>
          <w:rFonts w:ascii="Verdana" w:hAnsi="Verdana"/>
          <w:noProof/>
        </w:rPr>
        <w:t>. 2000;283(15):2008. doi:10.1001/jama.283.15.2008.</w:t>
      </w:r>
    </w:p>
    <w:p w14:paraId="1F86321A"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14. </w:t>
      </w:r>
      <w:r w:rsidRPr="0098723C">
        <w:rPr>
          <w:rFonts w:ascii="Verdana" w:hAnsi="Verdana"/>
          <w:noProof/>
        </w:rPr>
        <w:tab/>
        <w:t>Wells G, Shea B, O’Connell D, et al. The Newcastle-Ottawa Scale (NOS) for assessing the quality of nonrandomised studies in meta-analyses.</w:t>
      </w:r>
    </w:p>
    <w:p w14:paraId="7A3CC0D2"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15. </w:t>
      </w:r>
      <w:r w:rsidRPr="0098723C">
        <w:rPr>
          <w:rFonts w:ascii="Verdana" w:hAnsi="Verdana"/>
          <w:noProof/>
        </w:rPr>
        <w:tab/>
        <w:t xml:space="preserve">Bentzen N, Bridges-Webb C. An international glossary for GENERAL/FAMILY PRACTICE. </w:t>
      </w:r>
      <w:r w:rsidRPr="0098723C">
        <w:rPr>
          <w:rFonts w:ascii="Verdana" w:hAnsi="Verdana"/>
          <w:i/>
          <w:iCs/>
          <w:noProof/>
        </w:rPr>
        <w:t>Fam Pract</w:t>
      </w:r>
      <w:r w:rsidRPr="0098723C">
        <w:rPr>
          <w:rFonts w:ascii="Verdana" w:hAnsi="Verdana"/>
          <w:noProof/>
        </w:rPr>
        <w:t>. 1995;12(3):267-267. doi:10.1093/fampra/12.3.267.</w:t>
      </w:r>
    </w:p>
    <w:p w14:paraId="07BE2D08"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16. </w:t>
      </w:r>
      <w:r w:rsidRPr="0098723C">
        <w:rPr>
          <w:rFonts w:ascii="Verdana" w:hAnsi="Verdana"/>
          <w:noProof/>
        </w:rPr>
        <w:tab/>
        <w:t xml:space="preserve">Degenhardt L, Bucello C, Mathers B, et al. Mortality among regular or dependent users of heroin and other opioids: a systematic review and meta-analysis of cohort studies. </w:t>
      </w:r>
      <w:r w:rsidRPr="0098723C">
        <w:rPr>
          <w:rFonts w:ascii="Verdana" w:hAnsi="Verdana"/>
          <w:i/>
          <w:iCs/>
          <w:noProof/>
        </w:rPr>
        <w:t>Addiction</w:t>
      </w:r>
      <w:r w:rsidRPr="0098723C">
        <w:rPr>
          <w:rFonts w:ascii="Verdana" w:hAnsi="Verdana"/>
          <w:noProof/>
        </w:rPr>
        <w:t>. 2011;106(1):32-51. doi:10.1111/j.1360-0443.2010.03140.x.</w:t>
      </w:r>
    </w:p>
    <w:p w14:paraId="25D23F62"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17. </w:t>
      </w:r>
      <w:r w:rsidRPr="0098723C">
        <w:rPr>
          <w:rFonts w:ascii="Verdana" w:hAnsi="Verdana"/>
          <w:noProof/>
        </w:rPr>
        <w:tab/>
        <w:t xml:space="preserve">Bradburn MJ, Deeks JJ, Altman DG. metan—an alternative meta-analysis command. In: </w:t>
      </w:r>
      <w:r w:rsidRPr="0098723C">
        <w:rPr>
          <w:rFonts w:ascii="Verdana" w:hAnsi="Verdana"/>
          <w:i/>
          <w:iCs/>
          <w:noProof/>
        </w:rPr>
        <w:t>Stata Technical Bulletin</w:t>
      </w:r>
      <w:r w:rsidRPr="0098723C">
        <w:rPr>
          <w:rFonts w:ascii="Verdana" w:hAnsi="Verdana"/>
          <w:noProof/>
        </w:rPr>
        <w:t>. Vol 44. StataCorp LP.; 1998:4-15.</w:t>
      </w:r>
    </w:p>
    <w:p w14:paraId="0DD66447"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18. </w:t>
      </w:r>
      <w:r w:rsidRPr="0098723C">
        <w:rPr>
          <w:rFonts w:ascii="Verdana" w:hAnsi="Verdana"/>
          <w:noProof/>
        </w:rPr>
        <w:tab/>
        <w:t xml:space="preserve">Harris RJ, Bradburn MJ, Deeks JJ, Harbord RM, Altman DG, Sterne JAC. metan: fixed- and random-effects meta-analysis. </w:t>
      </w:r>
      <w:r w:rsidRPr="0098723C">
        <w:rPr>
          <w:rFonts w:ascii="Verdana" w:hAnsi="Verdana"/>
          <w:i/>
          <w:iCs/>
          <w:noProof/>
        </w:rPr>
        <w:t>Stata J</w:t>
      </w:r>
      <w:r w:rsidRPr="0098723C">
        <w:rPr>
          <w:rFonts w:ascii="Verdana" w:hAnsi="Verdana"/>
          <w:noProof/>
        </w:rPr>
        <w:t>. 2008;8(1):3-28. doi:The Stata Journal.</w:t>
      </w:r>
    </w:p>
    <w:p w14:paraId="74D1AAD1"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19. </w:t>
      </w:r>
      <w:r w:rsidRPr="0098723C">
        <w:rPr>
          <w:rFonts w:ascii="Verdana" w:hAnsi="Verdana"/>
          <w:noProof/>
        </w:rPr>
        <w:tab/>
        <w:t xml:space="preserve">Aveyard P. A fresh look at proportional mortality ratios. </w:t>
      </w:r>
      <w:r w:rsidRPr="0098723C">
        <w:rPr>
          <w:rFonts w:ascii="Verdana" w:hAnsi="Verdana"/>
          <w:i/>
          <w:iCs/>
          <w:noProof/>
        </w:rPr>
        <w:t>Public Health</w:t>
      </w:r>
      <w:r w:rsidRPr="0098723C">
        <w:rPr>
          <w:rFonts w:ascii="Verdana" w:hAnsi="Verdana"/>
          <w:noProof/>
        </w:rPr>
        <w:t>. 1998;112(2):77-80. doi:10.1038/sj.ph.1900442.</w:t>
      </w:r>
    </w:p>
    <w:p w14:paraId="2A930884"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20. </w:t>
      </w:r>
      <w:r w:rsidRPr="0098723C">
        <w:rPr>
          <w:rFonts w:ascii="Verdana" w:hAnsi="Verdana"/>
          <w:noProof/>
        </w:rPr>
        <w:tab/>
        <w:t xml:space="preserve">Kupper LL, McMichael AJ, Symons MJ, Most BM. On the utility of proportional mortality analysis. </w:t>
      </w:r>
      <w:r w:rsidRPr="0098723C">
        <w:rPr>
          <w:rFonts w:ascii="Verdana" w:hAnsi="Verdana"/>
          <w:i/>
          <w:iCs/>
          <w:noProof/>
        </w:rPr>
        <w:t>J Chronic Dis</w:t>
      </w:r>
      <w:r w:rsidRPr="0098723C">
        <w:rPr>
          <w:rFonts w:ascii="Verdana" w:hAnsi="Verdana"/>
          <w:noProof/>
        </w:rPr>
        <w:t>. 1978;31(1):15-22. doi:10.1016/0021-9681(78)90077-2.</w:t>
      </w:r>
    </w:p>
    <w:p w14:paraId="65BA7BB4"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21. </w:t>
      </w:r>
      <w:r w:rsidRPr="0098723C">
        <w:rPr>
          <w:rFonts w:ascii="Verdana" w:hAnsi="Verdana"/>
          <w:noProof/>
        </w:rPr>
        <w:tab/>
        <w:t xml:space="preserve">GBD 2013 Mortality and Causes of Death Collaborators. Global, regional, and national age–sex specific all-cause and cause-specific mortality for 240 causes of death, 1990–2013: a systematic analysis for the Global Burden of Disease Study 2013. </w:t>
      </w:r>
      <w:r w:rsidRPr="0098723C">
        <w:rPr>
          <w:rFonts w:ascii="Verdana" w:hAnsi="Verdana"/>
          <w:i/>
          <w:iCs/>
          <w:noProof/>
        </w:rPr>
        <w:t>Lancet</w:t>
      </w:r>
      <w:r w:rsidRPr="0098723C">
        <w:rPr>
          <w:rFonts w:ascii="Verdana" w:hAnsi="Verdana"/>
          <w:noProof/>
        </w:rPr>
        <w:t>. 2015;385(9963):117-171. doi:10.1016/S0140-6736(14)61682-2.</w:t>
      </w:r>
    </w:p>
    <w:p w14:paraId="3E289ABB"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22. </w:t>
      </w:r>
      <w:r w:rsidRPr="0098723C">
        <w:rPr>
          <w:rFonts w:ascii="Verdana" w:hAnsi="Verdana"/>
          <w:noProof/>
        </w:rPr>
        <w:tab/>
        <w:t>StataCorp LP. Stata Statistical Software: Release 13. 2013.</w:t>
      </w:r>
    </w:p>
    <w:p w14:paraId="36C4D8D1"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23. </w:t>
      </w:r>
      <w:r w:rsidRPr="0098723C">
        <w:rPr>
          <w:rFonts w:ascii="Verdana" w:hAnsi="Verdana"/>
          <w:noProof/>
        </w:rPr>
        <w:tab/>
        <w:t xml:space="preserve">Landis JR, Koch GG. The Measurement of Observer Agreement for Categorical Data. </w:t>
      </w:r>
      <w:r w:rsidRPr="0098723C">
        <w:rPr>
          <w:rFonts w:ascii="Verdana" w:hAnsi="Verdana"/>
          <w:i/>
          <w:iCs/>
          <w:noProof/>
        </w:rPr>
        <w:t>Biometrics</w:t>
      </w:r>
      <w:r w:rsidRPr="0098723C">
        <w:rPr>
          <w:rFonts w:ascii="Verdana" w:hAnsi="Verdana"/>
          <w:noProof/>
        </w:rPr>
        <w:t>. 1977;33(1):159-174. doi:10.2307/2529310.</w:t>
      </w:r>
    </w:p>
    <w:p w14:paraId="38BE9E72"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24. </w:t>
      </w:r>
      <w:r w:rsidRPr="0098723C">
        <w:rPr>
          <w:rFonts w:ascii="Verdana" w:hAnsi="Verdana"/>
          <w:noProof/>
        </w:rPr>
        <w:tab/>
        <w:t xml:space="preserve">Barr HL, Antes D, Ottenberg DJ, Rosen A. Mortality of treated alcoholics and drug addicts: the benefits of abstinence. </w:t>
      </w:r>
      <w:r w:rsidRPr="0098723C">
        <w:rPr>
          <w:rFonts w:ascii="Verdana" w:hAnsi="Verdana"/>
          <w:i/>
          <w:iCs/>
          <w:noProof/>
        </w:rPr>
        <w:t>J Stud Alcohol</w:t>
      </w:r>
      <w:r w:rsidRPr="0098723C">
        <w:rPr>
          <w:rFonts w:ascii="Verdana" w:hAnsi="Verdana"/>
          <w:noProof/>
        </w:rPr>
        <w:t>. 1984;45(5):440-452.</w:t>
      </w:r>
    </w:p>
    <w:p w14:paraId="03D15110"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25. </w:t>
      </w:r>
      <w:r w:rsidRPr="0098723C">
        <w:rPr>
          <w:rFonts w:ascii="Verdana" w:hAnsi="Verdana"/>
          <w:noProof/>
        </w:rPr>
        <w:tab/>
        <w:t xml:space="preserve">Berglund M. Cerebral dysfunction in alcoholism related to mortality and long term social adjustment. </w:t>
      </w:r>
      <w:r w:rsidRPr="0098723C">
        <w:rPr>
          <w:rFonts w:ascii="Verdana" w:hAnsi="Verdana"/>
          <w:i/>
          <w:iCs/>
          <w:noProof/>
        </w:rPr>
        <w:t>Alcohol Clin Exp Res</w:t>
      </w:r>
      <w:r w:rsidRPr="0098723C">
        <w:rPr>
          <w:rFonts w:ascii="Verdana" w:hAnsi="Verdana"/>
          <w:noProof/>
        </w:rPr>
        <w:t>. 1985;9(2):153-157.</w:t>
      </w:r>
    </w:p>
    <w:p w14:paraId="101F7788"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26. </w:t>
      </w:r>
      <w:r w:rsidRPr="0098723C">
        <w:rPr>
          <w:rFonts w:ascii="Verdana" w:hAnsi="Verdana"/>
          <w:noProof/>
        </w:rPr>
        <w:tab/>
        <w:t xml:space="preserve">Blonigen DM, Timko C, Moos BS, Moos RH. Impulsivity is an independent predictor of 15-year mortality risk among individuals seeking help for alcohol-related problems. </w:t>
      </w:r>
      <w:r w:rsidRPr="0098723C">
        <w:rPr>
          <w:rFonts w:ascii="Verdana" w:hAnsi="Verdana"/>
          <w:i/>
          <w:iCs/>
          <w:noProof/>
        </w:rPr>
        <w:t>Alcohol Clin Exp Res</w:t>
      </w:r>
      <w:r w:rsidRPr="0098723C">
        <w:rPr>
          <w:rFonts w:ascii="Verdana" w:hAnsi="Verdana"/>
          <w:noProof/>
        </w:rPr>
        <w:t>. 2011;35(11):2082-2092.</w:t>
      </w:r>
    </w:p>
    <w:p w14:paraId="22395009"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27. </w:t>
      </w:r>
      <w:r w:rsidRPr="0098723C">
        <w:rPr>
          <w:rFonts w:ascii="Verdana" w:hAnsi="Verdana"/>
          <w:noProof/>
        </w:rPr>
        <w:tab/>
        <w:t xml:space="preserve">Bullock KD, Reed RJ, Grant I. Reduced mortality risk in alcoholics who achieve long-term abstinence.[Erratum appears in JAMA 1993 Jan 20;269(3):359]. </w:t>
      </w:r>
      <w:r w:rsidRPr="0098723C">
        <w:rPr>
          <w:rFonts w:ascii="Verdana" w:hAnsi="Verdana"/>
          <w:i/>
          <w:iCs/>
          <w:noProof/>
        </w:rPr>
        <w:t>JAMA</w:t>
      </w:r>
      <w:r w:rsidRPr="0098723C">
        <w:rPr>
          <w:rFonts w:ascii="Verdana" w:hAnsi="Verdana"/>
          <w:noProof/>
        </w:rPr>
        <w:t>. 1992;267(5):668-672.</w:t>
      </w:r>
    </w:p>
    <w:p w14:paraId="0BC02285"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28. </w:t>
      </w:r>
      <w:r w:rsidRPr="0098723C">
        <w:rPr>
          <w:rFonts w:ascii="Verdana" w:hAnsi="Verdana"/>
          <w:noProof/>
        </w:rPr>
        <w:tab/>
        <w:t xml:space="preserve">Chen CC, Kuo CJ, Tsai SY. Causes of death of patients with substance dependence: a record-linkage study in a psychiatric hospital in Taiwan. </w:t>
      </w:r>
      <w:r w:rsidRPr="0098723C">
        <w:rPr>
          <w:rFonts w:ascii="Verdana" w:hAnsi="Verdana"/>
          <w:i/>
          <w:iCs/>
          <w:noProof/>
        </w:rPr>
        <w:t>Addiction</w:t>
      </w:r>
      <w:r w:rsidRPr="0098723C">
        <w:rPr>
          <w:rFonts w:ascii="Verdana" w:hAnsi="Verdana"/>
          <w:noProof/>
        </w:rPr>
        <w:t>. 2001;96(5):729-736.</w:t>
      </w:r>
    </w:p>
    <w:p w14:paraId="64F8F319"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29. </w:t>
      </w:r>
      <w:r w:rsidRPr="0098723C">
        <w:rPr>
          <w:rFonts w:ascii="Verdana" w:hAnsi="Verdana"/>
          <w:noProof/>
        </w:rPr>
        <w:tab/>
        <w:t xml:space="preserve">Costello RM. Long-term mortality from alcoholism: a descriptive analysis. </w:t>
      </w:r>
      <w:r w:rsidRPr="0098723C">
        <w:rPr>
          <w:rFonts w:ascii="Verdana" w:hAnsi="Verdana"/>
          <w:i/>
          <w:iCs/>
          <w:noProof/>
        </w:rPr>
        <w:t>J Stud Alcohol</w:t>
      </w:r>
      <w:r w:rsidRPr="0098723C">
        <w:rPr>
          <w:rFonts w:ascii="Verdana" w:hAnsi="Verdana"/>
          <w:noProof/>
        </w:rPr>
        <w:t>. 2006;67(5):694-699.</w:t>
      </w:r>
    </w:p>
    <w:p w14:paraId="3D92FB6C"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30. </w:t>
      </w:r>
      <w:r w:rsidRPr="0098723C">
        <w:rPr>
          <w:rFonts w:ascii="Verdana" w:hAnsi="Verdana"/>
          <w:noProof/>
        </w:rPr>
        <w:tab/>
        <w:t xml:space="preserve">Dahlgren L, Myrhed M. Alcoholic females. II. Causes of death with reference to sex difference. </w:t>
      </w:r>
      <w:r w:rsidRPr="0098723C">
        <w:rPr>
          <w:rFonts w:ascii="Verdana" w:hAnsi="Verdana"/>
          <w:i/>
          <w:iCs/>
          <w:noProof/>
        </w:rPr>
        <w:t>Acta Psychiatr Scand</w:t>
      </w:r>
      <w:r w:rsidRPr="0098723C">
        <w:rPr>
          <w:rFonts w:ascii="Verdana" w:hAnsi="Verdana"/>
          <w:noProof/>
        </w:rPr>
        <w:t>. 1977;56(2):81-91.</w:t>
      </w:r>
    </w:p>
    <w:p w14:paraId="4AC422F1"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31. </w:t>
      </w:r>
      <w:r w:rsidRPr="0098723C">
        <w:rPr>
          <w:rFonts w:ascii="Verdana" w:hAnsi="Verdana"/>
          <w:noProof/>
        </w:rPr>
        <w:tab/>
        <w:t xml:space="preserve">de Lint J, Schmidt W. Mortality from liver cirrhosis and other causes in alcoholics. A follow-up study of patients with and without a history of enlarged fatty liver. </w:t>
      </w:r>
      <w:r w:rsidRPr="0098723C">
        <w:rPr>
          <w:rFonts w:ascii="Verdana" w:hAnsi="Verdana"/>
          <w:i/>
          <w:iCs/>
          <w:noProof/>
        </w:rPr>
        <w:t>Q J Stud Alcohol</w:t>
      </w:r>
      <w:r w:rsidRPr="0098723C">
        <w:rPr>
          <w:rFonts w:ascii="Verdana" w:hAnsi="Verdana"/>
          <w:noProof/>
        </w:rPr>
        <w:t>. 1970;31(3):705-709.</w:t>
      </w:r>
    </w:p>
    <w:p w14:paraId="617D670B"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32. </w:t>
      </w:r>
      <w:r w:rsidRPr="0098723C">
        <w:rPr>
          <w:rFonts w:ascii="Verdana" w:hAnsi="Verdana"/>
          <w:noProof/>
        </w:rPr>
        <w:tab/>
        <w:t xml:space="preserve">de Lint J, Levinson T. Mortality among patients treated for alcoholism: a 5-year follow-up. </w:t>
      </w:r>
      <w:r w:rsidRPr="0098723C">
        <w:rPr>
          <w:rFonts w:ascii="Verdana" w:hAnsi="Verdana"/>
          <w:i/>
          <w:iCs/>
          <w:noProof/>
        </w:rPr>
        <w:t>Can Med Assoc J</w:t>
      </w:r>
      <w:r w:rsidRPr="0098723C">
        <w:rPr>
          <w:rFonts w:ascii="Verdana" w:hAnsi="Verdana"/>
          <w:noProof/>
        </w:rPr>
        <w:t>. 1975;113(5):385-387.</w:t>
      </w:r>
    </w:p>
    <w:p w14:paraId="22E6F5A0"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33. </w:t>
      </w:r>
      <w:r w:rsidRPr="0098723C">
        <w:rPr>
          <w:rFonts w:ascii="Verdana" w:hAnsi="Verdana"/>
          <w:noProof/>
        </w:rPr>
        <w:tab/>
        <w:t xml:space="preserve">De Silva HJ, Ellawala NS. Influence of temperance on short-term mortality among alcohol-dependent men in Sri Lanka. </w:t>
      </w:r>
      <w:r w:rsidRPr="0098723C">
        <w:rPr>
          <w:rFonts w:ascii="Verdana" w:hAnsi="Verdana"/>
          <w:i/>
          <w:iCs/>
          <w:noProof/>
        </w:rPr>
        <w:t>Alcohol Alcohol</w:t>
      </w:r>
      <w:r w:rsidRPr="0098723C">
        <w:rPr>
          <w:rFonts w:ascii="Verdana" w:hAnsi="Verdana"/>
          <w:noProof/>
        </w:rPr>
        <w:t>. 1994;29(2):199-201.</w:t>
      </w:r>
    </w:p>
    <w:p w14:paraId="1169D2CB"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34. </w:t>
      </w:r>
      <w:r w:rsidRPr="0098723C">
        <w:rPr>
          <w:rFonts w:ascii="Verdana" w:hAnsi="Verdana"/>
          <w:noProof/>
        </w:rPr>
        <w:tab/>
        <w:t xml:space="preserve">Finney JW, Moos RH. The long-term course of treated alcoholism: II. Predictors and correlates of 10-year functioning and mortality. </w:t>
      </w:r>
      <w:r w:rsidRPr="0098723C">
        <w:rPr>
          <w:rFonts w:ascii="Verdana" w:hAnsi="Verdana"/>
          <w:i/>
          <w:iCs/>
          <w:noProof/>
        </w:rPr>
        <w:t>J Stud Alcohol</w:t>
      </w:r>
      <w:r w:rsidRPr="0098723C">
        <w:rPr>
          <w:rFonts w:ascii="Verdana" w:hAnsi="Verdana"/>
          <w:noProof/>
        </w:rPr>
        <w:t>. 1992;53(2):142-153.</w:t>
      </w:r>
    </w:p>
    <w:p w14:paraId="23C87D28"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35. </w:t>
      </w:r>
      <w:r w:rsidRPr="0098723C">
        <w:rPr>
          <w:rFonts w:ascii="Verdana" w:hAnsi="Verdana"/>
          <w:noProof/>
        </w:rPr>
        <w:tab/>
        <w:t xml:space="preserve">Gerdner A, Berglund M. Mortality of treated alcoholics after eight years in relation to short-term outcome. </w:t>
      </w:r>
      <w:r w:rsidRPr="0098723C">
        <w:rPr>
          <w:rFonts w:ascii="Verdana" w:hAnsi="Verdana"/>
          <w:i/>
          <w:iCs/>
          <w:noProof/>
        </w:rPr>
        <w:t>Alcohol Alcohol</w:t>
      </w:r>
      <w:r w:rsidRPr="0098723C">
        <w:rPr>
          <w:rFonts w:ascii="Verdana" w:hAnsi="Verdana"/>
          <w:noProof/>
        </w:rPr>
        <w:t>. 1997;32(5):573-579.</w:t>
      </w:r>
    </w:p>
    <w:p w14:paraId="5D761EFA"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36. </w:t>
      </w:r>
      <w:r w:rsidRPr="0098723C">
        <w:rPr>
          <w:rFonts w:ascii="Verdana" w:hAnsi="Verdana"/>
          <w:noProof/>
        </w:rPr>
        <w:tab/>
        <w:t xml:space="preserve">Gillis LS. The mortality rate and causes of death of treated chronic alcoholics. </w:t>
      </w:r>
      <w:r w:rsidRPr="0098723C">
        <w:rPr>
          <w:rFonts w:ascii="Verdana" w:hAnsi="Verdana"/>
          <w:i/>
          <w:iCs/>
          <w:noProof/>
        </w:rPr>
        <w:t>S Afr Med J</w:t>
      </w:r>
      <w:r w:rsidRPr="0098723C">
        <w:rPr>
          <w:rFonts w:ascii="Verdana" w:hAnsi="Verdana"/>
          <w:noProof/>
        </w:rPr>
        <w:t>. 1969;43(9):230-232.</w:t>
      </w:r>
    </w:p>
    <w:p w14:paraId="178F468C"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37. </w:t>
      </w:r>
      <w:r w:rsidRPr="0098723C">
        <w:rPr>
          <w:rFonts w:ascii="Verdana" w:hAnsi="Verdana"/>
          <w:noProof/>
        </w:rPr>
        <w:tab/>
        <w:t xml:space="preserve">Higuchi S. Mortality of Japanese female alcoholics: a comparative study with male cases. </w:t>
      </w:r>
      <w:r w:rsidRPr="0098723C">
        <w:rPr>
          <w:rFonts w:ascii="Verdana" w:hAnsi="Verdana"/>
          <w:i/>
          <w:iCs/>
          <w:noProof/>
        </w:rPr>
        <w:t>Arukoru Kenkyuto Yakubutsu Ison</w:t>
      </w:r>
      <w:r w:rsidRPr="0098723C">
        <w:rPr>
          <w:rFonts w:ascii="Verdana" w:hAnsi="Verdana"/>
          <w:noProof/>
        </w:rPr>
        <w:t>. 1987;22(3):211-223.</w:t>
      </w:r>
    </w:p>
    <w:p w14:paraId="6E9227A6"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38. </w:t>
      </w:r>
      <w:r w:rsidRPr="0098723C">
        <w:rPr>
          <w:rFonts w:ascii="Verdana" w:hAnsi="Verdana"/>
          <w:noProof/>
        </w:rPr>
        <w:tab/>
        <w:t xml:space="preserve">Johnson I. Outcome of alcoholism in old age. </w:t>
      </w:r>
      <w:r w:rsidRPr="0098723C">
        <w:rPr>
          <w:rFonts w:ascii="Verdana" w:hAnsi="Verdana"/>
          <w:i/>
          <w:iCs/>
          <w:noProof/>
        </w:rPr>
        <w:t>Ir J Psychol Med</w:t>
      </w:r>
      <w:r w:rsidRPr="0098723C">
        <w:rPr>
          <w:rFonts w:ascii="Verdana" w:hAnsi="Verdana"/>
          <w:noProof/>
        </w:rPr>
        <w:t>. 2001;18(4):125-128. doi:10.1017/S0790966700006601.</w:t>
      </w:r>
    </w:p>
    <w:p w14:paraId="7807ED62"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39. </w:t>
      </w:r>
      <w:r w:rsidRPr="0098723C">
        <w:rPr>
          <w:rFonts w:ascii="Verdana" w:hAnsi="Verdana"/>
          <w:noProof/>
        </w:rPr>
        <w:tab/>
        <w:t xml:space="preserve">Lambie DG, Whiteside EA, Bell J, Johnson RH. Mortality associated with alcoholism in New Zealand. </w:t>
      </w:r>
      <w:r w:rsidRPr="0098723C">
        <w:rPr>
          <w:rFonts w:ascii="Verdana" w:hAnsi="Verdana"/>
          <w:i/>
          <w:iCs/>
          <w:noProof/>
        </w:rPr>
        <w:t>N Z Med J</w:t>
      </w:r>
      <w:r w:rsidRPr="0098723C">
        <w:rPr>
          <w:rFonts w:ascii="Verdana" w:hAnsi="Verdana"/>
          <w:noProof/>
        </w:rPr>
        <w:t>. 1983;96(728):199-202.</w:t>
      </w:r>
    </w:p>
    <w:p w14:paraId="632ABFF6"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40. </w:t>
      </w:r>
      <w:r w:rsidRPr="0098723C">
        <w:rPr>
          <w:rFonts w:ascii="Verdana" w:hAnsi="Verdana"/>
          <w:noProof/>
        </w:rPr>
        <w:tab/>
        <w:t xml:space="preserve">Lindberg S, Agren G. Mortality among male and female hospitalized alcoholics in Stockholm 1962-1983. </w:t>
      </w:r>
      <w:r w:rsidRPr="0098723C">
        <w:rPr>
          <w:rFonts w:ascii="Verdana" w:hAnsi="Verdana"/>
          <w:i/>
          <w:iCs/>
          <w:noProof/>
        </w:rPr>
        <w:t>Br J Addict</w:t>
      </w:r>
      <w:r w:rsidRPr="0098723C">
        <w:rPr>
          <w:rFonts w:ascii="Verdana" w:hAnsi="Verdana"/>
          <w:noProof/>
        </w:rPr>
        <w:t>. 1988;83(10):1193-1200. doi:10.1111/j.1360-0443.1988.tb03026.x.</w:t>
      </w:r>
    </w:p>
    <w:p w14:paraId="7A1327D7"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41. </w:t>
      </w:r>
      <w:r w:rsidRPr="0098723C">
        <w:rPr>
          <w:rFonts w:ascii="Verdana" w:hAnsi="Verdana"/>
          <w:noProof/>
        </w:rPr>
        <w:tab/>
        <w:t xml:space="preserve">Lindelius R, Salum I, Ågren G, Agren G. MORTALITY AMONG MALE AND FEMALE ALCOHOLIC PATIENTS TREATED IN A PSYCHIATRIC UNIT. </w:t>
      </w:r>
      <w:r w:rsidRPr="0098723C">
        <w:rPr>
          <w:rFonts w:ascii="Verdana" w:hAnsi="Verdana"/>
          <w:i/>
          <w:iCs/>
          <w:noProof/>
        </w:rPr>
        <w:t>Acta Psychiatr Scand</w:t>
      </w:r>
      <w:r w:rsidRPr="0098723C">
        <w:rPr>
          <w:rFonts w:ascii="Verdana" w:hAnsi="Verdana"/>
          <w:noProof/>
        </w:rPr>
        <w:t>. 1974;50(6):612-618. doi:10.1111/j.1600-0447.1974.tb07524.x.</w:t>
      </w:r>
    </w:p>
    <w:p w14:paraId="4BEC5D63"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42. </w:t>
      </w:r>
      <w:r w:rsidRPr="0098723C">
        <w:rPr>
          <w:rFonts w:ascii="Verdana" w:hAnsi="Verdana"/>
          <w:noProof/>
        </w:rPr>
        <w:tab/>
        <w:t xml:space="preserve">Mackenzie A, Allen RP, Funderburk FR. Mortality and illness in male alcoholics: an 8-year follow-up. </w:t>
      </w:r>
      <w:r w:rsidRPr="0098723C">
        <w:rPr>
          <w:rFonts w:ascii="Verdana" w:hAnsi="Verdana"/>
          <w:i/>
          <w:iCs/>
          <w:noProof/>
        </w:rPr>
        <w:t>Int J Addict</w:t>
      </w:r>
      <w:r w:rsidRPr="0098723C">
        <w:rPr>
          <w:rFonts w:ascii="Verdana" w:hAnsi="Verdana"/>
          <w:noProof/>
        </w:rPr>
        <w:t>. 1986;21(8):865-882.</w:t>
      </w:r>
    </w:p>
    <w:p w14:paraId="45C78996"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43. </w:t>
      </w:r>
      <w:r w:rsidRPr="0098723C">
        <w:rPr>
          <w:rFonts w:ascii="Verdana" w:hAnsi="Verdana"/>
          <w:noProof/>
        </w:rPr>
        <w:tab/>
        <w:t xml:space="preserve">Masudomi I, Isse K, Uchiyama M, Watanabe H. Self-help groups reduce mortality risk: a 5-year follow-up study of alcoholics in the Tokyo metropolitan area. </w:t>
      </w:r>
      <w:r w:rsidRPr="0098723C">
        <w:rPr>
          <w:rFonts w:ascii="Verdana" w:hAnsi="Verdana"/>
          <w:i/>
          <w:iCs/>
          <w:noProof/>
        </w:rPr>
        <w:t>Psychiatry Clin Neurosci</w:t>
      </w:r>
      <w:r w:rsidRPr="0098723C">
        <w:rPr>
          <w:rFonts w:ascii="Verdana" w:hAnsi="Verdana"/>
          <w:noProof/>
        </w:rPr>
        <w:t>. 2004;58(5):551-557.</w:t>
      </w:r>
    </w:p>
    <w:p w14:paraId="12F62B8B"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44. </w:t>
      </w:r>
      <w:r w:rsidRPr="0098723C">
        <w:rPr>
          <w:rFonts w:ascii="Verdana" w:hAnsi="Verdana"/>
          <w:noProof/>
        </w:rPr>
        <w:tab/>
        <w:t xml:space="preserve">Noda T, Imamichi H, Tanaka H, et al. Cause-specific mortality risk among male alcoholics residing in the Osaka metropolitan area. </w:t>
      </w:r>
      <w:r w:rsidRPr="0098723C">
        <w:rPr>
          <w:rFonts w:ascii="Verdana" w:hAnsi="Verdana"/>
          <w:i/>
          <w:iCs/>
          <w:noProof/>
        </w:rPr>
        <w:t>Psychiatry Clin Neurosci</w:t>
      </w:r>
      <w:r w:rsidRPr="0098723C">
        <w:rPr>
          <w:rFonts w:ascii="Verdana" w:hAnsi="Verdana"/>
          <w:noProof/>
        </w:rPr>
        <w:t>. 2001;55(5):465-472.</w:t>
      </w:r>
    </w:p>
    <w:p w14:paraId="08F12421"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45. </w:t>
      </w:r>
      <w:r w:rsidRPr="0098723C">
        <w:rPr>
          <w:rFonts w:ascii="Verdana" w:hAnsi="Verdana"/>
          <w:noProof/>
        </w:rPr>
        <w:tab/>
        <w:t xml:space="preserve">O’Connor A, Daly J. Alcoholics. A twenty year follow-up study. </w:t>
      </w:r>
      <w:r w:rsidRPr="0098723C">
        <w:rPr>
          <w:rFonts w:ascii="Verdana" w:hAnsi="Verdana"/>
          <w:i/>
          <w:iCs/>
          <w:noProof/>
        </w:rPr>
        <w:t>Br J Psychiatry</w:t>
      </w:r>
      <w:r w:rsidRPr="0098723C">
        <w:rPr>
          <w:rFonts w:ascii="Verdana" w:hAnsi="Verdana"/>
          <w:noProof/>
        </w:rPr>
        <w:t>. 1985;146:645-647.</w:t>
      </w:r>
    </w:p>
    <w:p w14:paraId="2603B50C"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46. </w:t>
      </w:r>
      <w:r w:rsidRPr="0098723C">
        <w:rPr>
          <w:rFonts w:ascii="Verdana" w:hAnsi="Verdana"/>
          <w:noProof/>
        </w:rPr>
        <w:tab/>
        <w:t xml:space="preserve">Saieva C, Bardazzi G, Masala G, et al. General and cancer mortality in a large cohort of Italian alcoholics. </w:t>
      </w:r>
      <w:r w:rsidRPr="0098723C">
        <w:rPr>
          <w:rFonts w:ascii="Verdana" w:hAnsi="Verdana"/>
          <w:i/>
          <w:iCs/>
          <w:noProof/>
        </w:rPr>
        <w:t>Alcohol Clin Exp Res</w:t>
      </w:r>
      <w:r w:rsidRPr="0098723C">
        <w:rPr>
          <w:rFonts w:ascii="Verdana" w:hAnsi="Verdana"/>
          <w:noProof/>
        </w:rPr>
        <w:t>. 2012;36(2):342-350.</w:t>
      </w:r>
    </w:p>
    <w:p w14:paraId="77454388"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47. </w:t>
      </w:r>
      <w:r w:rsidRPr="0098723C">
        <w:rPr>
          <w:rFonts w:ascii="Verdana" w:hAnsi="Verdana"/>
          <w:noProof/>
        </w:rPr>
        <w:tab/>
        <w:t xml:space="preserve">Saitz R, Gaeta J, Cheng DM, Richardson JM, Larson MJ, Samet JH. Risk of mortality during four years after substance detoxification in urban adults. </w:t>
      </w:r>
      <w:r w:rsidRPr="0098723C">
        <w:rPr>
          <w:rFonts w:ascii="Verdana" w:hAnsi="Verdana"/>
          <w:i/>
          <w:iCs/>
          <w:noProof/>
        </w:rPr>
        <w:t>J Urban Heal</w:t>
      </w:r>
      <w:r w:rsidRPr="0098723C">
        <w:rPr>
          <w:rFonts w:ascii="Verdana" w:hAnsi="Verdana"/>
          <w:noProof/>
        </w:rPr>
        <w:t>. 2007;84(2):272-282. doi:10.1007/s11524-006-9149-z.</w:t>
      </w:r>
    </w:p>
    <w:p w14:paraId="373C9EC2"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48. </w:t>
      </w:r>
      <w:r w:rsidRPr="0098723C">
        <w:rPr>
          <w:rFonts w:ascii="Verdana" w:hAnsi="Verdana"/>
          <w:noProof/>
        </w:rPr>
        <w:tab/>
        <w:t xml:space="preserve">Sanvisens A, Vallecillo G, Bolao F, et al. Temporal trends in the survival of drug and alcohol abusers according to the primary drug of admission to treatment in Spain. </w:t>
      </w:r>
      <w:r w:rsidRPr="0098723C">
        <w:rPr>
          <w:rFonts w:ascii="Verdana" w:hAnsi="Verdana"/>
          <w:i/>
          <w:iCs/>
          <w:noProof/>
        </w:rPr>
        <w:t>Drug Alcohol Depend</w:t>
      </w:r>
      <w:r w:rsidRPr="0098723C">
        <w:rPr>
          <w:rFonts w:ascii="Verdana" w:hAnsi="Verdana"/>
          <w:noProof/>
        </w:rPr>
        <w:t>. 2014;136:115-120.</w:t>
      </w:r>
    </w:p>
    <w:p w14:paraId="2BA3571D"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49. </w:t>
      </w:r>
      <w:r w:rsidRPr="0098723C">
        <w:rPr>
          <w:rFonts w:ascii="Verdana" w:hAnsi="Verdana"/>
          <w:noProof/>
        </w:rPr>
        <w:tab/>
        <w:t xml:space="preserve">Thorarinsson AA. Mortality among men alcoholics in Iceland, 1951--74. </w:t>
      </w:r>
      <w:r w:rsidRPr="0098723C">
        <w:rPr>
          <w:rFonts w:ascii="Verdana" w:hAnsi="Verdana"/>
          <w:i/>
          <w:iCs/>
          <w:noProof/>
        </w:rPr>
        <w:t>J Stud Alcohol</w:t>
      </w:r>
      <w:r w:rsidRPr="0098723C">
        <w:rPr>
          <w:rFonts w:ascii="Verdana" w:hAnsi="Verdana"/>
          <w:noProof/>
        </w:rPr>
        <w:t>. 1979;40(7):704-718.</w:t>
      </w:r>
    </w:p>
    <w:p w14:paraId="3451B6D2"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50. </w:t>
      </w:r>
      <w:r w:rsidRPr="0098723C">
        <w:rPr>
          <w:rFonts w:ascii="Verdana" w:hAnsi="Verdana"/>
          <w:noProof/>
        </w:rPr>
        <w:tab/>
        <w:t xml:space="preserve">Wells JE, Walker ND. Mortality in a follow up study of 616 alcoholics admitted to an inpatient alcoholism clinic 1972-76. </w:t>
      </w:r>
      <w:r w:rsidRPr="0098723C">
        <w:rPr>
          <w:rFonts w:ascii="Verdana" w:hAnsi="Verdana"/>
          <w:i/>
          <w:iCs/>
          <w:noProof/>
        </w:rPr>
        <w:t>N Z Med J</w:t>
      </w:r>
      <w:r w:rsidRPr="0098723C">
        <w:rPr>
          <w:rFonts w:ascii="Verdana" w:hAnsi="Verdana"/>
          <w:noProof/>
        </w:rPr>
        <w:t>. 1990;103(882):1-3.</w:t>
      </w:r>
    </w:p>
    <w:p w14:paraId="3DDF7479"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51. </w:t>
      </w:r>
      <w:r w:rsidRPr="0098723C">
        <w:rPr>
          <w:rFonts w:ascii="Verdana" w:hAnsi="Verdana"/>
          <w:noProof/>
        </w:rPr>
        <w:tab/>
        <w:t xml:space="preserve">Fuster D, Sanvisens A, Bolao F, et al. Impact of hepatitis C virus infection on the risk of death of alcohol-dependent patients. </w:t>
      </w:r>
      <w:r w:rsidRPr="0098723C">
        <w:rPr>
          <w:rFonts w:ascii="Verdana" w:hAnsi="Verdana"/>
          <w:i/>
          <w:iCs/>
          <w:noProof/>
        </w:rPr>
        <w:t>J Viral Hepat</w:t>
      </w:r>
      <w:r w:rsidRPr="0098723C">
        <w:rPr>
          <w:rFonts w:ascii="Verdana" w:hAnsi="Verdana"/>
          <w:noProof/>
        </w:rPr>
        <w:t>. 2015;22(1):18-24. doi:https://dx.doi.org/10.1111/jvh.12290.</w:t>
      </w:r>
    </w:p>
    <w:p w14:paraId="40842C29"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52. </w:t>
      </w:r>
      <w:r w:rsidRPr="0098723C">
        <w:rPr>
          <w:rFonts w:ascii="Verdana" w:hAnsi="Verdana"/>
          <w:noProof/>
        </w:rPr>
        <w:tab/>
        <w:t xml:space="preserve">Fuster D, Sanvisens A, Bolao F, et al. Markers of inflammation and mortality in a cohort of patients with alcohol dependence. </w:t>
      </w:r>
      <w:r w:rsidRPr="0098723C">
        <w:rPr>
          <w:rFonts w:ascii="Verdana" w:hAnsi="Verdana"/>
          <w:i/>
          <w:iCs/>
          <w:noProof/>
        </w:rPr>
        <w:t>Medicine (Baltimore)</w:t>
      </w:r>
      <w:r w:rsidRPr="0098723C">
        <w:rPr>
          <w:rFonts w:ascii="Verdana" w:hAnsi="Verdana"/>
          <w:noProof/>
        </w:rPr>
        <w:t>. 2015;94(10):e607. doi:https://dx.doi.org/10.1097/MD.0000000000000607.</w:t>
      </w:r>
    </w:p>
    <w:p w14:paraId="299EF172"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53. </w:t>
      </w:r>
      <w:r w:rsidRPr="0098723C">
        <w:rPr>
          <w:rFonts w:ascii="Verdana" w:hAnsi="Verdana"/>
          <w:noProof/>
        </w:rPr>
        <w:tab/>
        <w:t xml:space="preserve">Guitart AM, Espelt A, Castellano Y, Suelves JM, Villalbi JR, Brugal MT. Injury-Related Mortality Over 12 Years in a Cohort of Patients with Alcohol Use Disorders: Higher Mortality Among Young People and Women. </w:t>
      </w:r>
      <w:r w:rsidRPr="0098723C">
        <w:rPr>
          <w:rFonts w:ascii="Verdana" w:hAnsi="Verdana"/>
          <w:i/>
          <w:iCs/>
          <w:noProof/>
        </w:rPr>
        <w:t>Alcohol Clin Exp Res</w:t>
      </w:r>
      <w:r w:rsidRPr="0098723C">
        <w:rPr>
          <w:rFonts w:ascii="Verdana" w:hAnsi="Verdana"/>
          <w:noProof/>
        </w:rPr>
        <w:t>. 2015;39(7):1158-1165. doi:https://dx.doi.org/10.1111/acer.12755.</w:t>
      </w:r>
    </w:p>
    <w:p w14:paraId="51A16001"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54. </w:t>
      </w:r>
      <w:r w:rsidRPr="0098723C">
        <w:rPr>
          <w:rFonts w:ascii="Verdana" w:hAnsi="Verdana"/>
          <w:noProof/>
        </w:rPr>
        <w:tab/>
        <w:t xml:space="preserve">Morandi G, Periche Tomas E, Pirani M. Mortality Risk in Alcoholic Patients in Northern Italy: Comorbidity and Treatment Retention Effects in a 30-Year Follow-Up Study. </w:t>
      </w:r>
      <w:r w:rsidRPr="0098723C">
        <w:rPr>
          <w:rFonts w:ascii="Verdana" w:hAnsi="Verdana"/>
          <w:i/>
          <w:iCs/>
          <w:noProof/>
        </w:rPr>
        <w:t>Alcohol Alcohol</w:t>
      </w:r>
      <w:r w:rsidRPr="0098723C">
        <w:rPr>
          <w:rFonts w:ascii="Verdana" w:hAnsi="Verdana"/>
          <w:noProof/>
        </w:rPr>
        <w:t>. 2016;51(1):63-70. doi:https://dx.doi.org/10.1093/alcalc/agv058.</w:t>
      </w:r>
    </w:p>
    <w:p w14:paraId="36ECEC0B"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55. </w:t>
      </w:r>
      <w:r w:rsidRPr="0098723C">
        <w:rPr>
          <w:rFonts w:ascii="Verdana" w:hAnsi="Verdana"/>
          <w:noProof/>
        </w:rPr>
        <w:tab/>
        <w:t>Oxford Centre for Evidence-based Medicine. Levels of Evidence.</w:t>
      </w:r>
    </w:p>
    <w:p w14:paraId="3A282821"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56. </w:t>
      </w:r>
      <w:r w:rsidRPr="0098723C">
        <w:rPr>
          <w:rFonts w:ascii="Verdana" w:hAnsi="Verdana"/>
          <w:noProof/>
        </w:rPr>
        <w:tab/>
        <w:t xml:space="preserve">Mathers CD, Fat DM, Inoue M, Rao C, Lopez AD. Counting the dead and what they died from: an assessment of the global status of cause of death data. </w:t>
      </w:r>
      <w:r w:rsidRPr="0098723C">
        <w:rPr>
          <w:rFonts w:ascii="Verdana" w:hAnsi="Verdana"/>
          <w:i/>
          <w:iCs/>
          <w:noProof/>
        </w:rPr>
        <w:t>Bull World Health Organ</w:t>
      </w:r>
      <w:r w:rsidRPr="0098723C">
        <w:rPr>
          <w:rFonts w:ascii="Verdana" w:hAnsi="Verdana"/>
          <w:noProof/>
        </w:rPr>
        <w:t>. 2005;83(3):171-177. doi:/S0042-96862005000300009.</w:t>
      </w:r>
    </w:p>
    <w:p w14:paraId="3198546E"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57. </w:t>
      </w:r>
      <w:r w:rsidRPr="0098723C">
        <w:rPr>
          <w:rFonts w:ascii="Verdana" w:hAnsi="Verdana"/>
          <w:noProof/>
        </w:rPr>
        <w:tab/>
        <w:t xml:space="preserve">Mahapatra P, Shibuya K, Lopez AD, et al. Civil registration systems and vital statistics: successes and missed opportunities. </w:t>
      </w:r>
      <w:r w:rsidRPr="0098723C">
        <w:rPr>
          <w:rFonts w:ascii="Verdana" w:hAnsi="Verdana"/>
          <w:i/>
          <w:iCs/>
          <w:noProof/>
        </w:rPr>
        <w:t>Lancet</w:t>
      </w:r>
      <w:r w:rsidRPr="0098723C">
        <w:rPr>
          <w:rFonts w:ascii="Verdana" w:hAnsi="Verdana"/>
          <w:noProof/>
        </w:rPr>
        <w:t>. 2007;370(9599):1653-1663. doi:10.1016/S0140-6736(07)61308-7.</w:t>
      </w:r>
    </w:p>
    <w:p w14:paraId="3BEBBCA7"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58. </w:t>
      </w:r>
      <w:r w:rsidRPr="0098723C">
        <w:rPr>
          <w:rFonts w:ascii="Verdana" w:hAnsi="Verdana"/>
          <w:noProof/>
        </w:rPr>
        <w:tab/>
        <w:t xml:space="preserve">Gunnarsdottir AS, Kristbjornsdottir A, Gudmundsdottir R, Gunnarsdottir OS, Rafnsson V. Survival of patients with alcohol use disorders discharged from an emergency department: a population-based cohort study. </w:t>
      </w:r>
      <w:r w:rsidRPr="0098723C">
        <w:rPr>
          <w:rFonts w:ascii="Verdana" w:hAnsi="Verdana"/>
          <w:i/>
          <w:iCs/>
          <w:noProof/>
        </w:rPr>
        <w:t>BMJ Open</w:t>
      </w:r>
      <w:r w:rsidRPr="0098723C">
        <w:rPr>
          <w:rFonts w:ascii="Verdana" w:hAnsi="Verdana"/>
          <w:noProof/>
        </w:rPr>
        <w:t>. 2014;4(12):e006327. doi:10.1136/bmjopen-2014-006327.</w:t>
      </w:r>
    </w:p>
    <w:p w14:paraId="5DB13173"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59. </w:t>
      </w:r>
      <w:r w:rsidRPr="0098723C">
        <w:rPr>
          <w:rFonts w:ascii="Verdana" w:hAnsi="Verdana"/>
          <w:noProof/>
        </w:rPr>
        <w:tab/>
        <w:t xml:space="preserve">Deeks JJ, Higgins JP, Altman DG. What is heterogeneity? In: </w:t>
      </w:r>
      <w:r w:rsidRPr="0098723C">
        <w:rPr>
          <w:rFonts w:ascii="Verdana" w:hAnsi="Verdana"/>
          <w:i/>
          <w:iCs/>
          <w:noProof/>
        </w:rPr>
        <w:t>Cochrane Handbook for Systematic Reviews of Interventions</w:t>
      </w:r>
      <w:r w:rsidRPr="0098723C">
        <w:rPr>
          <w:rFonts w:ascii="Verdana" w:hAnsi="Verdana"/>
          <w:noProof/>
        </w:rPr>
        <w:t>. John Wiley &amp; Sons Ltd,; 2011:276-277.</w:t>
      </w:r>
    </w:p>
    <w:p w14:paraId="71C3005C"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60. </w:t>
      </w:r>
      <w:r w:rsidRPr="0098723C">
        <w:rPr>
          <w:rFonts w:ascii="Verdana" w:hAnsi="Verdana"/>
          <w:noProof/>
        </w:rPr>
        <w:tab/>
        <w:t xml:space="preserve">Rogers RG, Crimmins EM, Anderson RN. Accuracy of cause-of-death statements. In: Rogers RG, Crimmins EM, eds. </w:t>
      </w:r>
      <w:r w:rsidRPr="0098723C">
        <w:rPr>
          <w:rFonts w:ascii="Verdana" w:hAnsi="Verdana"/>
          <w:i/>
          <w:iCs/>
          <w:noProof/>
        </w:rPr>
        <w:t>International Handbook of Adult Mortality</w:t>
      </w:r>
      <w:r w:rsidRPr="0098723C">
        <w:rPr>
          <w:rFonts w:ascii="Verdana" w:hAnsi="Verdana"/>
          <w:noProof/>
        </w:rPr>
        <w:t>. Springer; 2011:470-472.</w:t>
      </w:r>
    </w:p>
    <w:p w14:paraId="60F1C5BA"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61. </w:t>
      </w:r>
      <w:r w:rsidRPr="0098723C">
        <w:rPr>
          <w:rFonts w:ascii="Verdana" w:hAnsi="Verdana"/>
          <w:noProof/>
        </w:rPr>
        <w:tab/>
        <w:t xml:space="preserve">Bartoli F, Carrà G, Crocamo C, Clerici M. From DSM-IV to DSM-5 alcohol use disorder: An overview of epidemiological data. </w:t>
      </w:r>
      <w:r w:rsidRPr="0098723C">
        <w:rPr>
          <w:rFonts w:ascii="Verdana" w:hAnsi="Verdana"/>
          <w:i/>
          <w:iCs/>
          <w:noProof/>
        </w:rPr>
        <w:t>Addict Behav</w:t>
      </w:r>
      <w:r w:rsidRPr="0098723C">
        <w:rPr>
          <w:rFonts w:ascii="Verdana" w:hAnsi="Verdana"/>
          <w:noProof/>
        </w:rPr>
        <w:t>. 2015;41:46-50. doi:10.1016/J.ADDBEH.2014.09.029.</w:t>
      </w:r>
    </w:p>
    <w:p w14:paraId="363B5799"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62. </w:t>
      </w:r>
      <w:r w:rsidRPr="0098723C">
        <w:rPr>
          <w:rFonts w:ascii="Verdana" w:hAnsi="Verdana"/>
          <w:noProof/>
        </w:rPr>
        <w:tab/>
        <w:t xml:space="preserve">Dickersin K. Systematic reviews in epidemiology: why are we so far behind? </w:t>
      </w:r>
      <w:r w:rsidRPr="0098723C">
        <w:rPr>
          <w:rFonts w:ascii="Verdana" w:hAnsi="Verdana"/>
          <w:i/>
          <w:iCs/>
          <w:noProof/>
        </w:rPr>
        <w:t>Int J Epidemiol</w:t>
      </w:r>
      <w:r w:rsidRPr="0098723C">
        <w:rPr>
          <w:rFonts w:ascii="Verdana" w:hAnsi="Verdana"/>
          <w:noProof/>
        </w:rPr>
        <w:t>. 2002;31(1):6-12. doi:10.1093/ije/31.1.6.</w:t>
      </w:r>
    </w:p>
    <w:p w14:paraId="1D9C590F"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63. </w:t>
      </w:r>
      <w:r w:rsidRPr="0098723C">
        <w:rPr>
          <w:rFonts w:ascii="Verdana" w:hAnsi="Verdana"/>
          <w:noProof/>
        </w:rPr>
        <w:tab/>
        <w:t xml:space="preserve">Ratib S, Fleming KM, Crooks CJ, Aithal GP, West J. 1 and 5 year survival estimates for people with cirrhosis of the liver in England, 1998–2009: A large population study. </w:t>
      </w:r>
      <w:r w:rsidRPr="0098723C">
        <w:rPr>
          <w:rFonts w:ascii="Verdana" w:hAnsi="Verdana"/>
          <w:i/>
          <w:iCs/>
          <w:noProof/>
        </w:rPr>
        <w:t>J Hepatol</w:t>
      </w:r>
      <w:r w:rsidRPr="0098723C">
        <w:rPr>
          <w:rFonts w:ascii="Verdana" w:hAnsi="Verdana"/>
          <w:noProof/>
        </w:rPr>
        <w:t>. 2014;60(2):282-289. doi:10.1016/J.JHEP.2013.09.027.</w:t>
      </w:r>
    </w:p>
    <w:p w14:paraId="12114B13"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64. </w:t>
      </w:r>
      <w:r w:rsidRPr="0098723C">
        <w:rPr>
          <w:rFonts w:ascii="Verdana" w:hAnsi="Verdana"/>
          <w:noProof/>
        </w:rPr>
        <w:tab/>
        <w:t xml:space="preserve">NHS Employers. </w:t>
      </w:r>
      <w:r w:rsidRPr="0098723C">
        <w:rPr>
          <w:rFonts w:ascii="Verdana" w:hAnsi="Verdana"/>
          <w:i/>
          <w:iCs/>
          <w:noProof/>
        </w:rPr>
        <w:t>2016/17 General Medical Services (GMS) Contract Quality and Outcomes Framework (QOF): Guidance for GMS Contract 2016/17</w:t>
      </w:r>
      <w:r w:rsidRPr="0098723C">
        <w:rPr>
          <w:rFonts w:ascii="Verdana" w:hAnsi="Verdana"/>
          <w:noProof/>
        </w:rPr>
        <w:t>.; 2016.</w:t>
      </w:r>
    </w:p>
    <w:p w14:paraId="3C79DB57" w14:textId="77777777" w:rsidR="007F3AF5" w:rsidRPr="0098723C" w:rsidRDefault="007F3AF5" w:rsidP="007F3AF5">
      <w:pPr>
        <w:widowControl w:val="0"/>
        <w:autoSpaceDE w:val="0"/>
        <w:autoSpaceDN w:val="0"/>
        <w:adjustRightInd w:val="0"/>
        <w:spacing w:after="140"/>
        <w:ind w:left="640" w:hanging="640"/>
        <w:rPr>
          <w:rFonts w:ascii="Verdana" w:hAnsi="Verdana"/>
          <w:noProof/>
        </w:rPr>
      </w:pPr>
      <w:r w:rsidRPr="0098723C">
        <w:rPr>
          <w:rFonts w:ascii="Verdana" w:hAnsi="Verdana"/>
          <w:noProof/>
        </w:rPr>
        <w:t xml:space="preserve">65. </w:t>
      </w:r>
      <w:r w:rsidRPr="0098723C">
        <w:rPr>
          <w:rFonts w:ascii="Verdana" w:hAnsi="Verdana"/>
          <w:noProof/>
        </w:rPr>
        <w:tab/>
        <w:t xml:space="preserve">NICE. </w:t>
      </w:r>
      <w:r w:rsidRPr="0098723C">
        <w:rPr>
          <w:rFonts w:ascii="Verdana" w:hAnsi="Verdana"/>
          <w:i/>
          <w:iCs/>
          <w:noProof/>
        </w:rPr>
        <w:t>Chronic Kidney Disease in Adults: Assessment and Management (CG182)</w:t>
      </w:r>
      <w:r w:rsidRPr="0098723C">
        <w:rPr>
          <w:rFonts w:ascii="Verdana" w:hAnsi="Verdana"/>
          <w:noProof/>
        </w:rPr>
        <w:t>.; 2014.</w:t>
      </w:r>
    </w:p>
    <w:p w14:paraId="1F90F3BF" w14:textId="5777749D" w:rsidR="00732D46" w:rsidRPr="00EB07F6" w:rsidRDefault="007F3AF5" w:rsidP="00F4767A">
      <w:pPr>
        <w:widowControl w:val="0"/>
        <w:autoSpaceDE w:val="0"/>
        <w:autoSpaceDN w:val="0"/>
        <w:adjustRightInd w:val="0"/>
        <w:spacing w:after="140"/>
        <w:ind w:left="640" w:hanging="640"/>
        <w:rPr>
          <w:bdr w:val="none" w:sz="0" w:space="0" w:color="auto"/>
        </w:rPr>
      </w:pPr>
      <w:r w:rsidRPr="0098723C">
        <w:rPr>
          <w:rFonts w:ascii="Verdana" w:hAnsi="Verdana"/>
          <w:noProof/>
        </w:rPr>
        <w:t xml:space="preserve">66. </w:t>
      </w:r>
      <w:r w:rsidRPr="0098723C">
        <w:rPr>
          <w:rFonts w:ascii="Verdana" w:hAnsi="Verdana"/>
          <w:noProof/>
        </w:rPr>
        <w:tab/>
        <w:t xml:space="preserve">Williams R, Wright J. Epidemiological issues in health needs assessment. </w:t>
      </w:r>
      <w:r w:rsidRPr="0098723C">
        <w:rPr>
          <w:rFonts w:ascii="Verdana" w:hAnsi="Verdana"/>
          <w:i/>
          <w:iCs/>
          <w:noProof/>
        </w:rPr>
        <w:t>BMJ</w:t>
      </w:r>
      <w:r w:rsidRPr="0098723C">
        <w:rPr>
          <w:rFonts w:ascii="Verdana" w:hAnsi="Verdana"/>
          <w:noProof/>
        </w:rPr>
        <w:t>. 1998;316(7141):1379-1382. doi:10.1136/BMJ.316.7141.1379.</w:t>
      </w:r>
      <w:bookmarkEnd w:id="0"/>
    </w:p>
    <w:sectPr w:rsidR="00732D46" w:rsidRPr="00EB07F6" w:rsidSect="003641ED">
      <w:headerReference w:type="default" r:id="rId17"/>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D4F9E" w14:textId="77777777" w:rsidR="00F60E0E" w:rsidRDefault="00F60E0E" w:rsidP="005C2377">
      <w:r>
        <w:separator/>
      </w:r>
    </w:p>
  </w:endnote>
  <w:endnote w:type="continuationSeparator" w:id="0">
    <w:p w14:paraId="34CD652C" w14:textId="77777777" w:rsidR="00F60E0E" w:rsidRDefault="00F60E0E" w:rsidP="005C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B667" w14:textId="2C5D647D" w:rsidR="001E5235" w:rsidRDefault="001E5235">
    <w:pPr>
      <w:pStyle w:val="Footer"/>
      <w:jc w:val="right"/>
    </w:pPr>
    <w:r>
      <w:fldChar w:fldCharType="begin"/>
    </w:r>
    <w:r>
      <w:instrText xml:space="preserve"> PAGE </w:instrText>
    </w:r>
    <w:r>
      <w:fldChar w:fldCharType="separate"/>
    </w:r>
    <w:r w:rsidR="00590062">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B611" w14:textId="77777777" w:rsidR="001E5235" w:rsidRDefault="001E523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4C64" w14:textId="2288B6EE" w:rsidR="001E5235" w:rsidRDefault="001E5235">
    <w:pPr>
      <w:pStyle w:val="Footer"/>
      <w:pBdr>
        <w:top w:val="none" w:sz="0" w:space="0" w:color="auto"/>
        <w:left w:val="none" w:sz="0" w:space="0" w:color="auto"/>
        <w:bottom w:val="none" w:sz="0" w:space="0" w:color="auto"/>
        <w:right w:val="none" w:sz="0" w:space="0" w:color="auto"/>
      </w:pBdr>
      <w:jc w:val="right"/>
    </w:pPr>
    <w:r>
      <w:fldChar w:fldCharType="begin"/>
    </w:r>
    <w:r>
      <w:instrText xml:space="preserve"> PAGE </w:instrText>
    </w:r>
    <w:r>
      <w:fldChar w:fldCharType="separate"/>
    </w:r>
    <w:r w:rsidR="00590062">
      <w:rPr>
        <w:noProof/>
      </w:rPr>
      <w:t>19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A388" w14:textId="77777777" w:rsidR="001E5235" w:rsidRDefault="001E52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C78EB" w14:textId="77777777" w:rsidR="00F60E0E" w:rsidRDefault="00F60E0E" w:rsidP="005C2377">
      <w:r>
        <w:separator/>
      </w:r>
    </w:p>
  </w:footnote>
  <w:footnote w:type="continuationSeparator" w:id="0">
    <w:p w14:paraId="1BC5F22C" w14:textId="77777777" w:rsidR="00F60E0E" w:rsidRDefault="00F60E0E" w:rsidP="005C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FD22" w14:textId="77777777" w:rsidR="001E5235" w:rsidRDefault="001E5235">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ACEE1" w14:textId="77777777" w:rsidR="001E5235" w:rsidRDefault="001E523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55A3" w14:textId="77777777" w:rsidR="001E5235" w:rsidRDefault="001E5235">
    <w:pPr>
      <w:pStyle w:val="HeaderFooter"/>
      <w:pBdr>
        <w:top w:val="none" w:sz="0" w:space="0" w:color="auto"/>
        <w:left w:val="none" w:sz="0" w:space="0" w:color="auto"/>
        <w:bottom w:val="none" w:sz="0" w:space="0" w:color="auto"/>
        <w:right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48B5" w14:textId="77777777" w:rsidR="001E5235" w:rsidRDefault="001E523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3C8A" w14:textId="77777777" w:rsidR="001E5235" w:rsidRPr="009D7B6B" w:rsidRDefault="001E5235" w:rsidP="009D7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52C4"/>
    <w:multiLevelType w:val="hybridMultilevel"/>
    <w:tmpl w:val="1626147E"/>
    <w:numStyleLink w:val="ImportedStyle2"/>
  </w:abstractNum>
  <w:abstractNum w:abstractNumId="1" w15:restartNumberingAfterBreak="0">
    <w:nsid w:val="0E0049A9"/>
    <w:multiLevelType w:val="hybridMultilevel"/>
    <w:tmpl w:val="B65EA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750D1"/>
    <w:multiLevelType w:val="hybridMultilevel"/>
    <w:tmpl w:val="687CC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26A5D"/>
    <w:multiLevelType w:val="hybridMultilevel"/>
    <w:tmpl w:val="1C7C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B142F"/>
    <w:multiLevelType w:val="hybridMultilevel"/>
    <w:tmpl w:val="53C0537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396E91"/>
    <w:multiLevelType w:val="hybridMultilevel"/>
    <w:tmpl w:val="FE9650F0"/>
    <w:numStyleLink w:val="ImportedStyle1"/>
  </w:abstractNum>
  <w:abstractNum w:abstractNumId="6" w15:restartNumberingAfterBreak="0">
    <w:nsid w:val="371605CD"/>
    <w:multiLevelType w:val="hybridMultilevel"/>
    <w:tmpl w:val="D0862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2B53D6"/>
    <w:multiLevelType w:val="hybridMultilevel"/>
    <w:tmpl w:val="1626147E"/>
    <w:styleLink w:val="ImportedStyle2"/>
    <w:lvl w:ilvl="0" w:tplc="714A8B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6903F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CBDEAAA2">
      <w:start w:val="1"/>
      <w:numFmt w:val="lowerRoman"/>
      <w:lvlText w:val="%3."/>
      <w:lvlJc w:val="left"/>
      <w:pPr>
        <w:ind w:left="2160" w:hanging="298"/>
      </w:pPr>
      <w:rPr>
        <w:rFonts w:hAnsi="Arial Unicode MS"/>
        <w:caps w:val="0"/>
        <w:smallCaps w:val="0"/>
        <w:strike w:val="0"/>
        <w:dstrike w:val="0"/>
        <w:color w:val="000000"/>
        <w:spacing w:val="0"/>
        <w:w w:val="100"/>
        <w:kern w:val="0"/>
        <w:position w:val="0"/>
        <w:highlight w:val="none"/>
        <w:vertAlign w:val="baseline"/>
      </w:rPr>
    </w:lvl>
    <w:lvl w:ilvl="3" w:tplc="9EBAE9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9A36B7D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0C068DBE">
      <w:start w:val="1"/>
      <w:numFmt w:val="lowerRoman"/>
      <w:lvlText w:val="%6."/>
      <w:lvlJc w:val="left"/>
      <w:pPr>
        <w:ind w:left="4320" w:hanging="298"/>
      </w:pPr>
      <w:rPr>
        <w:rFonts w:hAnsi="Arial Unicode MS"/>
        <w:caps w:val="0"/>
        <w:smallCaps w:val="0"/>
        <w:strike w:val="0"/>
        <w:dstrike w:val="0"/>
        <w:color w:val="000000"/>
        <w:spacing w:val="0"/>
        <w:w w:val="100"/>
        <w:kern w:val="0"/>
        <w:position w:val="0"/>
        <w:highlight w:val="none"/>
        <w:vertAlign w:val="baseline"/>
      </w:rPr>
    </w:lvl>
    <w:lvl w:ilvl="6" w:tplc="4398B3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5868054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37E62BC">
      <w:start w:val="1"/>
      <w:numFmt w:val="lowerRoman"/>
      <w:lvlText w:val="%9."/>
      <w:lvlJc w:val="left"/>
      <w:pPr>
        <w:ind w:left="6480" w:hanging="298"/>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4A491FD1"/>
    <w:multiLevelType w:val="hybridMultilevel"/>
    <w:tmpl w:val="42ECB6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B72F05"/>
    <w:multiLevelType w:val="hybridMultilevel"/>
    <w:tmpl w:val="438CA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FD18B8"/>
    <w:multiLevelType w:val="hybridMultilevel"/>
    <w:tmpl w:val="FE9650F0"/>
    <w:styleLink w:val="ImportedStyle1"/>
    <w:lvl w:ilvl="0" w:tplc="6FD6F63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478052D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9CA4E8DE">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51BCE80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BEE2654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C5C2401E">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3B8859F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E529A6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B5EA74CC">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749F3974"/>
    <w:multiLevelType w:val="hybridMultilevel"/>
    <w:tmpl w:val="ABF43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C864D3"/>
    <w:multiLevelType w:val="hybridMultilevel"/>
    <w:tmpl w:val="F0E4E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0"/>
  </w:num>
  <w:num w:numId="5">
    <w:abstractNumId w:val="11"/>
  </w:num>
  <w:num w:numId="6">
    <w:abstractNumId w:val="2"/>
  </w:num>
  <w:num w:numId="7">
    <w:abstractNumId w:val="12"/>
  </w:num>
  <w:num w:numId="8">
    <w:abstractNumId w:val="9"/>
  </w:num>
  <w:num w:numId="9">
    <w:abstractNumId w:val="4"/>
  </w:num>
  <w:num w:numId="10">
    <w:abstractNumId w:val="3"/>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Y2MDQwNze2NDczNDBT0lEKTi0uzszPAykwMqoFAEV+Lu8tAAAA"/>
  </w:docVars>
  <w:rsids>
    <w:rsidRoot w:val="005C2377"/>
    <w:rsid w:val="00001F40"/>
    <w:rsid w:val="0000629A"/>
    <w:rsid w:val="00010742"/>
    <w:rsid w:val="000117DD"/>
    <w:rsid w:val="00021B09"/>
    <w:rsid w:val="00023678"/>
    <w:rsid w:val="00025741"/>
    <w:rsid w:val="00032E6D"/>
    <w:rsid w:val="00036BFD"/>
    <w:rsid w:val="000402B9"/>
    <w:rsid w:val="00045721"/>
    <w:rsid w:val="00052CA2"/>
    <w:rsid w:val="000548C8"/>
    <w:rsid w:val="000565BC"/>
    <w:rsid w:val="00061AF6"/>
    <w:rsid w:val="000652ED"/>
    <w:rsid w:val="0006688D"/>
    <w:rsid w:val="000677CC"/>
    <w:rsid w:val="000714CC"/>
    <w:rsid w:val="0007278D"/>
    <w:rsid w:val="000760ED"/>
    <w:rsid w:val="0007614F"/>
    <w:rsid w:val="000769B7"/>
    <w:rsid w:val="000803C0"/>
    <w:rsid w:val="00094C02"/>
    <w:rsid w:val="00096B1A"/>
    <w:rsid w:val="000A0835"/>
    <w:rsid w:val="000A4894"/>
    <w:rsid w:val="000B5A95"/>
    <w:rsid w:val="000B77C8"/>
    <w:rsid w:val="000D2729"/>
    <w:rsid w:val="000D2760"/>
    <w:rsid w:val="000D3860"/>
    <w:rsid w:val="000E464C"/>
    <w:rsid w:val="000E49AB"/>
    <w:rsid w:val="000E51C6"/>
    <w:rsid w:val="000E6614"/>
    <w:rsid w:val="000E79C7"/>
    <w:rsid w:val="000F2241"/>
    <w:rsid w:val="000F2A30"/>
    <w:rsid w:val="000F43CB"/>
    <w:rsid w:val="000F5A65"/>
    <w:rsid w:val="000F653C"/>
    <w:rsid w:val="00101D96"/>
    <w:rsid w:val="00103A5C"/>
    <w:rsid w:val="0010747D"/>
    <w:rsid w:val="001075E1"/>
    <w:rsid w:val="00110510"/>
    <w:rsid w:val="00115DB8"/>
    <w:rsid w:val="0011634F"/>
    <w:rsid w:val="001260E4"/>
    <w:rsid w:val="00126A61"/>
    <w:rsid w:val="001324EB"/>
    <w:rsid w:val="00135B2C"/>
    <w:rsid w:val="001430A8"/>
    <w:rsid w:val="0014677E"/>
    <w:rsid w:val="00152491"/>
    <w:rsid w:val="00153664"/>
    <w:rsid w:val="001558B2"/>
    <w:rsid w:val="0016400D"/>
    <w:rsid w:val="00164D76"/>
    <w:rsid w:val="00171B58"/>
    <w:rsid w:val="00176ED7"/>
    <w:rsid w:val="00183B2C"/>
    <w:rsid w:val="00183F43"/>
    <w:rsid w:val="0018433C"/>
    <w:rsid w:val="00191AA0"/>
    <w:rsid w:val="001A000D"/>
    <w:rsid w:val="001A320E"/>
    <w:rsid w:val="001A5A5E"/>
    <w:rsid w:val="001A7A8F"/>
    <w:rsid w:val="001B1016"/>
    <w:rsid w:val="001B1C43"/>
    <w:rsid w:val="001B6BE7"/>
    <w:rsid w:val="001C0C1D"/>
    <w:rsid w:val="001D2F1B"/>
    <w:rsid w:val="001D4884"/>
    <w:rsid w:val="001D63E7"/>
    <w:rsid w:val="001D7CDC"/>
    <w:rsid w:val="001E2D55"/>
    <w:rsid w:val="001E3CF1"/>
    <w:rsid w:val="001E49DC"/>
    <w:rsid w:val="001E5235"/>
    <w:rsid w:val="001F0854"/>
    <w:rsid w:val="001F3C4D"/>
    <w:rsid w:val="001F6C57"/>
    <w:rsid w:val="002020A1"/>
    <w:rsid w:val="00204F12"/>
    <w:rsid w:val="0020642E"/>
    <w:rsid w:val="00206D04"/>
    <w:rsid w:val="00207A9F"/>
    <w:rsid w:val="002211BA"/>
    <w:rsid w:val="00226121"/>
    <w:rsid w:val="00241843"/>
    <w:rsid w:val="00241C6D"/>
    <w:rsid w:val="0024475A"/>
    <w:rsid w:val="0024564E"/>
    <w:rsid w:val="00245D6C"/>
    <w:rsid w:val="00246DD1"/>
    <w:rsid w:val="00250CAB"/>
    <w:rsid w:val="00255CEA"/>
    <w:rsid w:val="00261A5C"/>
    <w:rsid w:val="00273633"/>
    <w:rsid w:val="002739DC"/>
    <w:rsid w:val="00274AA9"/>
    <w:rsid w:val="0027645C"/>
    <w:rsid w:val="00281044"/>
    <w:rsid w:val="0028142F"/>
    <w:rsid w:val="002955F6"/>
    <w:rsid w:val="00296CD6"/>
    <w:rsid w:val="00296F6F"/>
    <w:rsid w:val="002A39BA"/>
    <w:rsid w:val="002A5A70"/>
    <w:rsid w:val="002B3379"/>
    <w:rsid w:val="002B4CA1"/>
    <w:rsid w:val="002B71E1"/>
    <w:rsid w:val="002C3F78"/>
    <w:rsid w:val="002C450B"/>
    <w:rsid w:val="002C5906"/>
    <w:rsid w:val="002D0C91"/>
    <w:rsid w:val="002D229F"/>
    <w:rsid w:val="002D46C4"/>
    <w:rsid w:val="002D6AD7"/>
    <w:rsid w:val="002E3DCD"/>
    <w:rsid w:val="002E791C"/>
    <w:rsid w:val="002F0465"/>
    <w:rsid w:val="002F2EAC"/>
    <w:rsid w:val="00302AE4"/>
    <w:rsid w:val="0031447F"/>
    <w:rsid w:val="003159E4"/>
    <w:rsid w:val="0031727C"/>
    <w:rsid w:val="0032023B"/>
    <w:rsid w:val="003229E5"/>
    <w:rsid w:val="003333B2"/>
    <w:rsid w:val="00333E0A"/>
    <w:rsid w:val="003368AE"/>
    <w:rsid w:val="00336AC4"/>
    <w:rsid w:val="003375CE"/>
    <w:rsid w:val="00351C6E"/>
    <w:rsid w:val="00352C9A"/>
    <w:rsid w:val="00354F76"/>
    <w:rsid w:val="00357870"/>
    <w:rsid w:val="0036389A"/>
    <w:rsid w:val="003641ED"/>
    <w:rsid w:val="0036456E"/>
    <w:rsid w:val="0037063F"/>
    <w:rsid w:val="00372BD4"/>
    <w:rsid w:val="003761B5"/>
    <w:rsid w:val="00380348"/>
    <w:rsid w:val="00380D43"/>
    <w:rsid w:val="00381428"/>
    <w:rsid w:val="0038151F"/>
    <w:rsid w:val="00390AC9"/>
    <w:rsid w:val="003A128C"/>
    <w:rsid w:val="003A2D71"/>
    <w:rsid w:val="003A5DCF"/>
    <w:rsid w:val="003B19DA"/>
    <w:rsid w:val="003B2EDE"/>
    <w:rsid w:val="003B5788"/>
    <w:rsid w:val="003B6C78"/>
    <w:rsid w:val="003D0491"/>
    <w:rsid w:val="003E37A0"/>
    <w:rsid w:val="003E78F9"/>
    <w:rsid w:val="00402206"/>
    <w:rsid w:val="0040586F"/>
    <w:rsid w:val="00407BA7"/>
    <w:rsid w:val="004113F8"/>
    <w:rsid w:val="00416348"/>
    <w:rsid w:val="00416D1C"/>
    <w:rsid w:val="00421834"/>
    <w:rsid w:val="0042420C"/>
    <w:rsid w:val="004270A0"/>
    <w:rsid w:val="004314E3"/>
    <w:rsid w:val="00435E3E"/>
    <w:rsid w:val="00436EC8"/>
    <w:rsid w:val="00443824"/>
    <w:rsid w:val="004449D1"/>
    <w:rsid w:val="004458C3"/>
    <w:rsid w:val="004629A0"/>
    <w:rsid w:val="00463EB3"/>
    <w:rsid w:val="00466672"/>
    <w:rsid w:val="00466EBA"/>
    <w:rsid w:val="00467EF4"/>
    <w:rsid w:val="004713A0"/>
    <w:rsid w:val="00471AFD"/>
    <w:rsid w:val="004751F2"/>
    <w:rsid w:val="004759A9"/>
    <w:rsid w:val="00475D65"/>
    <w:rsid w:val="00477A20"/>
    <w:rsid w:val="0048479D"/>
    <w:rsid w:val="00487207"/>
    <w:rsid w:val="004903F5"/>
    <w:rsid w:val="00492CEC"/>
    <w:rsid w:val="0049313F"/>
    <w:rsid w:val="00495020"/>
    <w:rsid w:val="004958F5"/>
    <w:rsid w:val="004A3289"/>
    <w:rsid w:val="004B2E91"/>
    <w:rsid w:val="004B4966"/>
    <w:rsid w:val="004C045F"/>
    <w:rsid w:val="004C543C"/>
    <w:rsid w:val="004D12B5"/>
    <w:rsid w:val="004D2DB9"/>
    <w:rsid w:val="004D3565"/>
    <w:rsid w:val="004D5BF8"/>
    <w:rsid w:val="004D7960"/>
    <w:rsid w:val="004E11FA"/>
    <w:rsid w:val="004E21D0"/>
    <w:rsid w:val="004E553F"/>
    <w:rsid w:val="004E6454"/>
    <w:rsid w:val="004F18D1"/>
    <w:rsid w:val="004F238E"/>
    <w:rsid w:val="00506275"/>
    <w:rsid w:val="00506FE4"/>
    <w:rsid w:val="005117B2"/>
    <w:rsid w:val="005201E7"/>
    <w:rsid w:val="00524371"/>
    <w:rsid w:val="005406CE"/>
    <w:rsid w:val="005506EF"/>
    <w:rsid w:val="005521C1"/>
    <w:rsid w:val="005533D5"/>
    <w:rsid w:val="00557555"/>
    <w:rsid w:val="00567499"/>
    <w:rsid w:val="00577C9F"/>
    <w:rsid w:val="00580F9A"/>
    <w:rsid w:val="00583175"/>
    <w:rsid w:val="00586800"/>
    <w:rsid w:val="00590062"/>
    <w:rsid w:val="00594501"/>
    <w:rsid w:val="00596C1A"/>
    <w:rsid w:val="00597508"/>
    <w:rsid w:val="005A2AB7"/>
    <w:rsid w:val="005A5802"/>
    <w:rsid w:val="005A58CE"/>
    <w:rsid w:val="005A7DAA"/>
    <w:rsid w:val="005A7E54"/>
    <w:rsid w:val="005B5BE6"/>
    <w:rsid w:val="005B6BA4"/>
    <w:rsid w:val="005C04C3"/>
    <w:rsid w:val="005C0989"/>
    <w:rsid w:val="005C2377"/>
    <w:rsid w:val="005C29E9"/>
    <w:rsid w:val="005C3696"/>
    <w:rsid w:val="005C3A2F"/>
    <w:rsid w:val="005D5B73"/>
    <w:rsid w:val="005D6032"/>
    <w:rsid w:val="005D7054"/>
    <w:rsid w:val="005F263B"/>
    <w:rsid w:val="00606134"/>
    <w:rsid w:val="0061339E"/>
    <w:rsid w:val="006146CA"/>
    <w:rsid w:val="00617972"/>
    <w:rsid w:val="00617B3A"/>
    <w:rsid w:val="006248EF"/>
    <w:rsid w:val="006274B2"/>
    <w:rsid w:val="006344F2"/>
    <w:rsid w:val="00636160"/>
    <w:rsid w:val="00641D63"/>
    <w:rsid w:val="00646EC1"/>
    <w:rsid w:val="00652A00"/>
    <w:rsid w:val="006556AA"/>
    <w:rsid w:val="0065570D"/>
    <w:rsid w:val="00657321"/>
    <w:rsid w:val="00657FFB"/>
    <w:rsid w:val="00670498"/>
    <w:rsid w:val="00672E26"/>
    <w:rsid w:val="00675B06"/>
    <w:rsid w:val="00681B79"/>
    <w:rsid w:val="0068692C"/>
    <w:rsid w:val="00692701"/>
    <w:rsid w:val="00694636"/>
    <w:rsid w:val="0069513B"/>
    <w:rsid w:val="006969A6"/>
    <w:rsid w:val="00697D3B"/>
    <w:rsid w:val="006A23E5"/>
    <w:rsid w:val="006A4252"/>
    <w:rsid w:val="006A46AD"/>
    <w:rsid w:val="006A6198"/>
    <w:rsid w:val="006A6C53"/>
    <w:rsid w:val="006B1C69"/>
    <w:rsid w:val="006B35FB"/>
    <w:rsid w:val="006C3D74"/>
    <w:rsid w:val="006C42AA"/>
    <w:rsid w:val="006D3509"/>
    <w:rsid w:val="006D3804"/>
    <w:rsid w:val="006E1264"/>
    <w:rsid w:val="006E5435"/>
    <w:rsid w:val="006E5D7A"/>
    <w:rsid w:val="006E5F92"/>
    <w:rsid w:val="006F0B3A"/>
    <w:rsid w:val="006F3BEB"/>
    <w:rsid w:val="006F740F"/>
    <w:rsid w:val="006F7835"/>
    <w:rsid w:val="006F7F55"/>
    <w:rsid w:val="007042A5"/>
    <w:rsid w:val="00710078"/>
    <w:rsid w:val="00710A29"/>
    <w:rsid w:val="00710B1F"/>
    <w:rsid w:val="00714059"/>
    <w:rsid w:val="00723B53"/>
    <w:rsid w:val="00725A3A"/>
    <w:rsid w:val="0072760C"/>
    <w:rsid w:val="007279AC"/>
    <w:rsid w:val="00727FEE"/>
    <w:rsid w:val="00732D46"/>
    <w:rsid w:val="00733423"/>
    <w:rsid w:val="007359F3"/>
    <w:rsid w:val="007369B3"/>
    <w:rsid w:val="007371AA"/>
    <w:rsid w:val="0074249D"/>
    <w:rsid w:val="00746FAC"/>
    <w:rsid w:val="00747512"/>
    <w:rsid w:val="00754EF2"/>
    <w:rsid w:val="00757409"/>
    <w:rsid w:val="00757E26"/>
    <w:rsid w:val="007650CA"/>
    <w:rsid w:val="0077043D"/>
    <w:rsid w:val="00771234"/>
    <w:rsid w:val="00780250"/>
    <w:rsid w:val="00785475"/>
    <w:rsid w:val="00787D9F"/>
    <w:rsid w:val="00791B00"/>
    <w:rsid w:val="007927EF"/>
    <w:rsid w:val="00793D28"/>
    <w:rsid w:val="00797FC8"/>
    <w:rsid w:val="007A69B5"/>
    <w:rsid w:val="007B70E7"/>
    <w:rsid w:val="007B7CE0"/>
    <w:rsid w:val="007C66E1"/>
    <w:rsid w:val="007C7E95"/>
    <w:rsid w:val="007C7FB5"/>
    <w:rsid w:val="007D30CD"/>
    <w:rsid w:val="007D5A51"/>
    <w:rsid w:val="007D62A5"/>
    <w:rsid w:val="007E4962"/>
    <w:rsid w:val="007E606F"/>
    <w:rsid w:val="007E7970"/>
    <w:rsid w:val="007F3214"/>
    <w:rsid w:val="007F3AF5"/>
    <w:rsid w:val="007F56E3"/>
    <w:rsid w:val="00802467"/>
    <w:rsid w:val="0080332A"/>
    <w:rsid w:val="00804A5F"/>
    <w:rsid w:val="00807A21"/>
    <w:rsid w:val="00814E00"/>
    <w:rsid w:val="00820E75"/>
    <w:rsid w:val="00824B0D"/>
    <w:rsid w:val="008306BD"/>
    <w:rsid w:val="00843ECF"/>
    <w:rsid w:val="00847EA6"/>
    <w:rsid w:val="00852F7C"/>
    <w:rsid w:val="00853CEB"/>
    <w:rsid w:val="00855156"/>
    <w:rsid w:val="0085628E"/>
    <w:rsid w:val="0087567B"/>
    <w:rsid w:val="00875CC1"/>
    <w:rsid w:val="00877878"/>
    <w:rsid w:val="00883A4E"/>
    <w:rsid w:val="0088542C"/>
    <w:rsid w:val="00886366"/>
    <w:rsid w:val="00896997"/>
    <w:rsid w:val="008979DF"/>
    <w:rsid w:val="008A1351"/>
    <w:rsid w:val="008A18CA"/>
    <w:rsid w:val="008A2972"/>
    <w:rsid w:val="008A3A35"/>
    <w:rsid w:val="008A6E33"/>
    <w:rsid w:val="008A71C3"/>
    <w:rsid w:val="008A7A6B"/>
    <w:rsid w:val="008B1AF5"/>
    <w:rsid w:val="008B2001"/>
    <w:rsid w:val="008B272A"/>
    <w:rsid w:val="008B39D9"/>
    <w:rsid w:val="008B5EC5"/>
    <w:rsid w:val="008C6675"/>
    <w:rsid w:val="008C7FC3"/>
    <w:rsid w:val="008D24FC"/>
    <w:rsid w:val="008D4A6A"/>
    <w:rsid w:val="008D4C7E"/>
    <w:rsid w:val="008D6776"/>
    <w:rsid w:val="008E3DDE"/>
    <w:rsid w:val="008F018D"/>
    <w:rsid w:val="008F3FA5"/>
    <w:rsid w:val="0090511D"/>
    <w:rsid w:val="009070F6"/>
    <w:rsid w:val="0091696F"/>
    <w:rsid w:val="00921549"/>
    <w:rsid w:val="00924E3F"/>
    <w:rsid w:val="00926266"/>
    <w:rsid w:val="009262FC"/>
    <w:rsid w:val="00927ACE"/>
    <w:rsid w:val="009305BA"/>
    <w:rsid w:val="00930931"/>
    <w:rsid w:val="009427D5"/>
    <w:rsid w:val="00955337"/>
    <w:rsid w:val="0095555F"/>
    <w:rsid w:val="0095748E"/>
    <w:rsid w:val="00970ABF"/>
    <w:rsid w:val="00970BEB"/>
    <w:rsid w:val="00970D6D"/>
    <w:rsid w:val="009714A4"/>
    <w:rsid w:val="00971B28"/>
    <w:rsid w:val="00973467"/>
    <w:rsid w:val="00974415"/>
    <w:rsid w:val="009844B4"/>
    <w:rsid w:val="0098723C"/>
    <w:rsid w:val="00997C10"/>
    <w:rsid w:val="009A5118"/>
    <w:rsid w:val="009B29A7"/>
    <w:rsid w:val="009B6AD6"/>
    <w:rsid w:val="009C036C"/>
    <w:rsid w:val="009C0FAB"/>
    <w:rsid w:val="009C184D"/>
    <w:rsid w:val="009D391D"/>
    <w:rsid w:val="009D5376"/>
    <w:rsid w:val="009D7B6B"/>
    <w:rsid w:val="009E3013"/>
    <w:rsid w:val="009E6B44"/>
    <w:rsid w:val="009F0758"/>
    <w:rsid w:val="009F09DE"/>
    <w:rsid w:val="009F417D"/>
    <w:rsid w:val="00A01622"/>
    <w:rsid w:val="00A0449B"/>
    <w:rsid w:val="00A2106A"/>
    <w:rsid w:val="00A21274"/>
    <w:rsid w:val="00A2470F"/>
    <w:rsid w:val="00A26082"/>
    <w:rsid w:val="00A3045D"/>
    <w:rsid w:val="00A32154"/>
    <w:rsid w:val="00A32231"/>
    <w:rsid w:val="00A338CE"/>
    <w:rsid w:val="00A33FF9"/>
    <w:rsid w:val="00A35C3C"/>
    <w:rsid w:val="00A3670E"/>
    <w:rsid w:val="00A5282F"/>
    <w:rsid w:val="00A54880"/>
    <w:rsid w:val="00A65D40"/>
    <w:rsid w:val="00A702FB"/>
    <w:rsid w:val="00A70F28"/>
    <w:rsid w:val="00A710D3"/>
    <w:rsid w:val="00A827E9"/>
    <w:rsid w:val="00A83E50"/>
    <w:rsid w:val="00A86FDF"/>
    <w:rsid w:val="00A873BB"/>
    <w:rsid w:val="00A94BD4"/>
    <w:rsid w:val="00AA4A4D"/>
    <w:rsid w:val="00AA6F99"/>
    <w:rsid w:val="00AB542D"/>
    <w:rsid w:val="00AB583C"/>
    <w:rsid w:val="00AD7412"/>
    <w:rsid w:val="00AE2081"/>
    <w:rsid w:val="00AE36BA"/>
    <w:rsid w:val="00AF23AD"/>
    <w:rsid w:val="00B024DA"/>
    <w:rsid w:val="00B06CA7"/>
    <w:rsid w:val="00B1436B"/>
    <w:rsid w:val="00B157CF"/>
    <w:rsid w:val="00B21B14"/>
    <w:rsid w:val="00B22895"/>
    <w:rsid w:val="00B22C66"/>
    <w:rsid w:val="00B26EEF"/>
    <w:rsid w:val="00B27393"/>
    <w:rsid w:val="00B31D30"/>
    <w:rsid w:val="00B354BA"/>
    <w:rsid w:val="00B463AB"/>
    <w:rsid w:val="00B5086B"/>
    <w:rsid w:val="00B5481B"/>
    <w:rsid w:val="00B63D6E"/>
    <w:rsid w:val="00B65529"/>
    <w:rsid w:val="00B8300B"/>
    <w:rsid w:val="00B94C5E"/>
    <w:rsid w:val="00B968B9"/>
    <w:rsid w:val="00BA16EC"/>
    <w:rsid w:val="00BA2CEF"/>
    <w:rsid w:val="00BB20AA"/>
    <w:rsid w:val="00BB29A8"/>
    <w:rsid w:val="00BB5F29"/>
    <w:rsid w:val="00BB6AAE"/>
    <w:rsid w:val="00BC5624"/>
    <w:rsid w:val="00BC6329"/>
    <w:rsid w:val="00BC7992"/>
    <w:rsid w:val="00BD052C"/>
    <w:rsid w:val="00BD3B25"/>
    <w:rsid w:val="00BD6786"/>
    <w:rsid w:val="00BD73B8"/>
    <w:rsid w:val="00BE3BFA"/>
    <w:rsid w:val="00BE630B"/>
    <w:rsid w:val="00BE6B38"/>
    <w:rsid w:val="00BE6EA0"/>
    <w:rsid w:val="00BF0692"/>
    <w:rsid w:val="00BF63C3"/>
    <w:rsid w:val="00C0347D"/>
    <w:rsid w:val="00C06081"/>
    <w:rsid w:val="00C06E8D"/>
    <w:rsid w:val="00C114AA"/>
    <w:rsid w:val="00C12C32"/>
    <w:rsid w:val="00C2278C"/>
    <w:rsid w:val="00C2409E"/>
    <w:rsid w:val="00C243C4"/>
    <w:rsid w:val="00C33829"/>
    <w:rsid w:val="00C350AE"/>
    <w:rsid w:val="00C35BB3"/>
    <w:rsid w:val="00C35C07"/>
    <w:rsid w:val="00C4027E"/>
    <w:rsid w:val="00C40CA4"/>
    <w:rsid w:val="00C43811"/>
    <w:rsid w:val="00C43FB0"/>
    <w:rsid w:val="00C4425B"/>
    <w:rsid w:val="00C466F3"/>
    <w:rsid w:val="00C50C00"/>
    <w:rsid w:val="00C520C5"/>
    <w:rsid w:val="00C53494"/>
    <w:rsid w:val="00C604D7"/>
    <w:rsid w:val="00C640F0"/>
    <w:rsid w:val="00C658B0"/>
    <w:rsid w:val="00C6754A"/>
    <w:rsid w:val="00C67D19"/>
    <w:rsid w:val="00C70F33"/>
    <w:rsid w:val="00C74E73"/>
    <w:rsid w:val="00C7666B"/>
    <w:rsid w:val="00C776A8"/>
    <w:rsid w:val="00C82D98"/>
    <w:rsid w:val="00C920F7"/>
    <w:rsid w:val="00C976B3"/>
    <w:rsid w:val="00CA140A"/>
    <w:rsid w:val="00CA1B95"/>
    <w:rsid w:val="00CA2A6D"/>
    <w:rsid w:val="00CB18F6"/>
    <w:rsid w:val="00CC1A58"/>
    <w:rsid w:val="00CC2DC5"/>
    <w:rsid w:val="00CC3689"/>
    <w:rsid w:val="00CC4B82"/>
    <w:rsid w:val="00CD0A3B"/>
    <w:rsid w:val="00CD1441"/>
    <w:rsid w:val="00CD1976"/>
    <w:rsid w:val="00CD3139"/>
    <w:rsid w:val="00CF741D"/>
    <w:rsid w:val="00CF7AAE"/>
    <w:rsid w:val="00D004C2"/>
    <w:rsid w:val="00D1219B"/>
    <w:rsid w:val="00D1487E"/>
    <w:rsid w:val="00D1591F"/>
    <w:rsid w:val="00D21229"/>
    <w:rsid w:val="00D26A3E"/>
    <w:rsid w:val="00D27D30"/>
    <w:rsid w:val="00D34358"/>
    <w:rsid w:val="00D41AD2"/>
    <w:rsid w:val="00D43421"/>
    <w:rsid w:val="00D454D9"/>
    <w:rsid w:val="00D47803"/>
    <w:rsid w:val="00D57ED6"/>
    <w:rsid w:val="00D60004"/>
    <w:rsid w:val="00D66322"/>
    <w:rsid w:val="00D70DA7"/>
    <w:rsid w:val="00D91C33"/>
    <w:rsid w:val="00D9214F"/>
    <w:rsid w:val="00D921A0"/>
    <w:rsid w:val="00D92891"/>
    <w:rsid w:val="00D93D3A"/>
    <w:rsid w:val="00D93E56"/>
    <w:rsid w:val="00DA3BDB"/>
    <w:rsid w:val="00DA6643"/>
    <w:rsid w:val="00DB4DF9"/>
    <w:rsid w:val="00DB55CD"/>
    <w:rsid w:val="00DB748B"/>
    <w:rsid w:val="00DC0EDA"/>
    <w:rsid w:val="00DC433C"/>
    <w:rsid w:val="00DD2713"/>
    <w:rsid w:val="00DE1DE8"/>
    <w:rsid w:val="00DE3C98"/>
    <w:rsid w:val="00DE5EC2"/>
    <w:rsid w:val="00DE5F44"/>
    <w:rsid w:val="00DE66F4"/>
    <w:rsid w:val="00DF147A"/>
    <w:rsid w:val="00DF2D30"/>
    <w:rsid w:val="00E03423"/>
    <w:rsid w:val="00E03681"/>
    <w:rsid w:val="00E059C2"/>
    <w:rsid w:val="00E05D12"/>
    <w:rsid w:val="00E14945"/>
    <w:rsid w:val="00E15406"/>
    <w:rsid w:val="00E24999"/>
    <w:rsid w:val="00E34BB4"/>
    <w:rsid w:val="00E353B5"/>
    <w:rsid w:val="00E37DDE"/>
    <w:rsid w:val="00E441DB"/>
    <w:rsid w:val="00E52A29"/>
    <w:rsid w:val="00E53C49"/>
    <w:rsid w:val="00E53E81"/>
    <w:rsid w:val="00E5567A"/>
    <w:rsid w:val="00E62094"/>
    <w:rsid w:val="00E62527"/>
    <w:rsid w:val="00E648A3"/>
    <w:rsid w:val="00E657CA"/>
    <w:rsid w:val="00E71726"/>
    <w:rsid w:val="00E76DCF"/>
    <w:rsid w:val="00E853D1"/>
    <w:rsid w:val="00E85F09"/>
    <w:rsid w:val="00E90CC8"/>
    <w:rsid w:val="00E91EF5"/>
    <w:rsid w:val="00E93E20"/>
    <w:rsid w:val="00E94D2F"/>
    <w:rsid w:val="00EA0E06"/>
    <w:rsid w:val="00EA3860"/>
    <w:rsid w:val="00EA3873"/>
    <w:rsid w:val="00EA5F1D"/>
    <w:rsid w:val="00EA63B9"/>
    <w:rsid w:val="00EB03F8"/>
    <w:rsid w:val="00EB07F6"/>
    <w:rsid w:val="00EB3756"/>
    <w:rsid w:val="00EB6CF8"/>
    <w:rsid w:val="00EB774E"/>
    <w:rsid w:val="00EC1815"/>
    <w:rsid w:val="00EC2064"/>
    <w:rsid w:val="00EC387B"/>
    <w:rsid w:val="00EC5520"/>
    <w:rsid w:val="00ED2A88"/>
    <w:rsid w:val="00ED41BE"/>
    <w:rsid w:val="00ED7C2A"/>
    <w:rsid w:val="00EE1321"/>
    <w:rsid w:val="00EE1916"/>
    <w:rsid w:val="00EE561D"/>
    <w:rsid w:val="00EF01E9"/>
    <w:rsid w:val="00EF4DFE"/>
    <w:rsid w:val="00EF6449"/>
    <w:rsid w:val="00F0115E"/>
    <w:rsid w:val="00F012A4"/>
    <w:rsid w:val="00F01C73"/>
    <w:rsid w:val="00F04935"/>
    <w:rsid w:val="00F057CD"/>
    <w:rsid w:val="00F06129"/>
    <w:rsid w:val="00F074E4"/>
    <w:rsid w:val="00F114D1"/>
    <w:rsid w:val="00F179D4"/>
    <w:rsid w:val="00F238CA"/>
    <w:rsid w:val="00F30AA3"/>
    <w:rsid w:val="00F31F45"/>
    <w:rsid w:val="00F3483C"/>
    <w:rsid w:val="00F35848"/>
    <w:rsid w:val="00F3637A"/>
    <w:rsid w:val="00F42C51"/>
    <w:rsid w:val="00F46AB5"/>
    <w:rsid w:val="00F4767A"/>
    <w:rsid w:val="00F51406"/>
    <w:rsid w:val="00F56B1C"/>
    <w:rsid w:val="00F56CD3"/>
    <w:rsid w:val="00F60E0E"/>
    <w:rsid w:val="00F6593C"/>
    <w:rsid w:val="00F71668"/>
    <w:rsid w:val="00F75919"/>
    <w:rsid w:val="00F76E61"/>
    <w:rsid w:val="00F8342C"/>
    <w:rsid w:val="00F841D1"/>
    <w:rsid w:val="00F85D24"/>
    <w:rsid w:val="00F87958"/>
    <w:rsid w:val="00F96D6E"/>
    <w:rsid w:val="00FA25EF"/>
    <w:rsid w:val="00FA439E"/>
    <w:rsid w:val="00FA5E8D"/>
    <w:rsid w:val="00FB0D05"/>
    <w:rsid w:val="00FB39A7"/>
    <w:rsid w:val="00FB657F"/>
    <w:rsid w:val="00FC7B76"/>
    <w:rsid w:val="00FD1DEB"/>
    <w:rsid w:val="00FD73A0"/>
    <w:rsid w:val="00FF092C"/>
    <w:rsid w:val="00FF2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217FD6F"/>
  <w15:docId w15:val="{D961F7BC-DBAF-4B61-B24D-91D2E365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2377"/>
    <w:pPr>
      <w:pBdr>
        <w:top w:val="nil"/>
        <w:left w:val="nil"/>
        <w:bottom w:val="nil"/>
        <w:right w:val="nil"/>
        <w:between w:val="nil"/>
        <w:bar w:val="nil"/>
      </w:pBdr>
    </w:pPr>
    <w:rPr>
      <w:sz w:val="24"/>
      <w:szCs w:val="24"/>
      <w:bdr w:val="nil"/>
      <w:lang w:val="en-US" w:eastAsia="en-US"/>
    </w:rPr>
  </w:style>
  <w:style w:type="paragraph" w:styleId="Heading2">
    <w:name w:val="heading 2"/>
    <w:next w:val="Body"/>
    <w:rsid w:val="005C2377"/>
    <w:pPr>
      <w:keepNext/>
      <w:keepLines/>
      <w:pBdr>
        <w:top w:val="nil"/>
        <w:left w:val="nil"/>
        <w:bottom w:val="nil"/>
        <w:right w:val="nil"/>
        <w:between w:val="nil"/>
        <w:bar w:val="nil"/>
      </w:pBdr>
      <w:spacing w:before="240" w:line="360" w:lineRule="auto"/>
      <w:ind w:left="360"/>
      <w:outlineLvl w:val="1"/>
    </w:pPr>
    <w:rPr>
      <w:rFonts w:ascii="Verdana" w:hAnsi="Verdana" w:cs="Arial Unicode MS"/>
      <w:color w:val="000000"/>
      <w:sz w:val="24"/>
      <w:szCs w:val="24"/>
      <w:u w:val="single" w:color="000000"/>
      <w:bdr w:val="nil"/>
      <w:lang w:val="en-US"/>
    </w:rPr>
  </w:style>
  <w:style w:type="paragraph" w:styleId="Heading3">
    <w:name w:val="heading 3"/>
    <w:basedOn w:val="Normal"/>
    <w:next w:val="Normal"/>
    <w:link w:val="Heading3Char"/>
    <w:uiPriority w:val="9"/>
    <w:semiHidden/>
    <w:unhideWhenUsed/>
    <w:qFormat/>
    <w:rsid w:val="000E51C6"/>
    <w:pPr>
      <w:keepNext/>
      <w:keepLines/>
      <w:spacing w:before="200"/>
      <w:outlineLvl w:val="2"/>
    </w:pPr>
    <w:rPr>
      <w:rFonts w:ascii="Helvetica" w:eastAsia="Helvetica" w:hAnsi="Helvetica" w:cs="Helvetica"/>
      <w:b/>
      <w:bCs/>
      <w:color w:val="4F81BD"/>
    </w:rPr>
  </w:style>
  <w:style w:type="paragraph" w:styleId="Heading5">
    <w:name w:val="heading 5"/>
    <w:basedOn w:val="Normal"/>
    <w:next w:val="Normal"/>
    <w:link w:val="Heading5Char"/>
    <w:uiPriority w:val="9"/>
    <w:semiHidden/>
    <w:unhideWhenUsed/>
    <w:qFormat/>
    <w:rsid w:val="004C543C"/>
    <w:pPr>
      <w:keepNext/>
      <w:keepLines/>
      <w:spacing w:before="200"/>
      <w:outlineLvl w:val="4"/>
    </w:pPr>
    <w:rPr>
      <w:rFonts w:ascii="Helvetica" w:eastAsia="Helvetica" w:hAnsi="Helvetica" w:cs="Helvetic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2377"/>
    <w:rPr>
      <w:u w:val="single"/>
    </w:rPr>
  </w:style>
  <w:style w:type="paragraph" w:customStyle="1" w:styleId="HeaderFooter">
    <w:name w:val="Header &amp; Footer"/>
    <w:rsid w:val="005C2377"/>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customStyle="1" w:styleId="Heading">
    <w:name w:val="Heading"/>
    <w:next w:val="Body"/>
    <w:rsid w:val="005C2377"/>
    <w:pPr>
      <w:keepNext/>
      <w:keepLines/>
      <w:pBdr>
        <w:top w:val="nil"/>
        <w:left w:val="nil"/>
        <w:bottom w:val="nil"/>
        <w:right w:val="nil"/>
        <w:between w:val="nil"/>
        <w:bar w:val="nil"/>
      </w:pBdr>
      <w:spacing w:before="480" w:line="360" w:lineRule="auto"/>
      <w:ind w:left="360"/>
      <w:jc w:val="both"/>
      <w:outlineLvl w:val="0"/>
    </w:pPr>
    <w:rPr>
      <w:rFonts w:ascii="Verdana" w:hAnsi="Verdana" w:cs="Arial Unicode MS"/>
      <w:b/>
      <w:bCs/>
      <w:color w:val="000000"/>
      <w:sz w:val="24"/>
      <w:szCs w:val="24"/>
      <w:u w:color="000000"/>
      <w:bdr w:val="nil"/>
      <w:lang w:val="en-US"/>
    </w:rPr>
  </w:style>
  <w:style w:type="paragraph" w:customStyle="1" w:styleId="Body">
    <w:name w:val="Body"/>
    <w:rsid w:val="005C237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rsid w:val="005C237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rsid w:val="005C2377"/>
    <w:pPr>
      <w:numPr>
        <w:numId w:val="1"/>
      </w:numPr>
    </w:pPr>
  </w:style>
  <w:style w:type="paragraph" w:styleId="Footer">
    <w:name w:val="footer"/>
    <w:rsid w:val="005C2377"/>
    <w:pPr>
      <w:pBdr>
        <w:top w:val="nil"/>
        <w:left w:val="nil"/>
        <w:bottom w:val="nil"/>
        <w:right w:val="nil"/>
        <w:between w:val="nil"/>
        <w:bar w:val="nil"/>
      </w:pBdr>
      <w:tabs>
        <w:tab w:val="center" w:pos="4153"/>
        <w:tab w:val="right" w:pos="8306"/>
      </w:tabs>
    </w:pPr>
    <w:rPr>
      <w:rFonts w:eastAsia="Times New Roman"/>
      <w:color w:val="000000"/>
      <w:sz w:val="24"/>
      <w:szCs w:val="24"/>
      <w:u w:color="000000"/>
      <w:bdr w:val="nil"/>
      <w:lang w:val="en-US"/>
    </w:rPr>
  </w:style>
  <w:style w:type="numbering" w:customStyle="1" w:styleId="ImportedStyle2">
    <w:name w:val="Imported Style 2"/>
    <w:rsid w:val="005C2377"/>
    <w:pPr>
      <w:numPr>
        <w:numId w:val="3"/>
      </w:numPr>
    </w:pPr>
  </w:style>
  <w:style w:type="paragraph" w:styleId="Header">
    <w:name w:val="header"/>
    <w:link w:val="HeaderChar"/>
    <w:rsid w:val="005C2377"/>
    <w:pPr>
      <w:pBdr>
        <w:top w:val="nil"/>
        <w:left w:val="nil"/>
        <w:bottom w:val="nil"/>
        <w:right w:val="nil"/>
        <w:between w:val="nil"/>
        <w:bar w:val="nil"/>
      </w:pBdr>
      <w:tabs>
        <w:tab w:val="center" w:pos="4153"/>
        <w:tab w:val="right" w:pos="8306"/>
      </w:tabs>
    </w:pPr>
    <w:rPr>
      <w:rFonts w:eastAsia="Times New Roman"/>
      <w:color w:val="000000"/>
      <w:sz w:val="24"/>
      <w:szCs w:val="24"/>
      <w:u w:color="000000"/>
      <w:bdr w:val="nil"/>
      <w:lang w:val="en-US"/>
    </w:rPr>
  </w:style>
  <w:style w:type="paragraph" w:styleId="BalloonText">
    <w:name w:val="Balloon Text"/>
    <w:basedOn w:val="Normal"/>
    <w:link w:val="BalloonTextChar"/>
    <w:uiPriority w:val="99"/>
    <w:semiHidden/>
    <w:unhideWhenUsed/>
    <w:rsid w:val="009F417D"/>
    <w:rPr>
      <w:rFonts w:ascii="Tahoma" w:hAnsi="Tahoma" w:cs="Tahoma"/>
      <w:sz w:val="16"/>
      <w:szCs w:val="16"/>
    </w:rPr>
  </w:style>
  <w:style w:type="character" w:customStyle="1" w:styleId="BalloonTextChar">
    <w:name w:val="Balloon Text Char"/>
    <w:link w:val="BalloonText"/>
    <w:uiPriority w:val="99"/>
    <w:semiHidden/>
    <w:rsid w:val="009F417D"/>
    <w:rPr>
      <w:rFonts w:ascii="Tahoma" w:hAnsi="Tahoma" w:cs="Tahoma"/>
      <w:sz w:val="16"/>
      <w:szCs w:val="16"/>
      <w:lang w:val="en-US" w:eastAsia="en-US"/>
    </w:rPr>
  </w:style>
  <w:style w:type="character" w:styleId="CommentReference">
    <w:name w:val="annotation reference"/>
    <w:uiPriority w:val="99"/>
    <w:semiHidden/>
    <w:unhideWhenUsed/>
    <w:rsid w:val="00F012A4"/>
    <w:rPr>
      <w:sz w:val="16"/>
      <w:szCs w:val="16"/>
    </w:rPr>
  </w:style>
  <w:style w:type="paragraph" w:styleId="CommentText">
    <w:name w:val="annotation text"/>
    <w:basedOn w:val="Normal"/>
    <w:link w:val="CommentTextChar"/>
    <w:uiPriority w:val="99"/>
    <w:semiHidden/>
    <w:unhideWhenUsed/>
    <w:rsid w:val="00F012A4"/>
    <w:rPr>
      <w:sz w:val="20"/>
      <w:szCs w:val="20"/>
    </w:rPr>
  </w:style>
  <w:style w:type="character" w:customStyle="1" w:styleId="CommentTextChar">
    <w:name w:val="Comment Text Char"/>
    <w:link w:val="CommentText"/>
    <w:uiPriority w:val="99"/>
    <w:semiHidden/>
    <w:rsid w:val="00F012A4"/>
    <w:rPr>
      <w:lang w:val="en-US" w:eastAsia="en-US"/>
    </w:rPr>
  </w:style>
  <w:style w:type="paragraph" w:styleId="CommentSubject">
    <w:name w:val="annotation subject"/>
    <w:basedOn w:val="CommentText"/>
    <w:next w:val="CommentText"/>
    <w:link w:val="CommentSubjectChar"/>
    <w:uiPriority w:val="99"/>
    <w:semiHidden/>
    <w:unhideWhenUsed/>
    <w:rsid w:val="00F012A4"/>
    <w:rPr>
      <w:b/>
      <w:bCs/>
    </w:rPr>
  </w:style>
  <w:style w:type="character" w:customStyle="1" w:styleId="CommentSubjectChar">
    <w:name w:val="Comment Subject Char"/>
    <w:link w:val="CommentSubject"/>
    <w:uiPriority w:val="99"/>
    <w:semiHidden/>
    <w:rsid w:val="00F012A4"/>
    <w:rPr>
      <w:b/>
      <w:bCs/>
      <w:lang w:val="en-US" w:eastAsia="en-US"/>
    </w:rPr>
  </w:style>
  <w:style w:type="table" w:styleId="TableGrid">
    <w:name w:val="Table Grid"/>
    <w:basedOn w:val="TableNormal"/>
    <w:uiPriority w:val="59"/>
    <w:rsid w:val="00CC2DC5"/>
    <w:rPr>
      <w:rFonts w:ascii="Helvetica" w:eastAsia="Helvetica" w:hAnsi="Helvetica" w:cs="Helvetic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autoRedefine/>
    <w:qFormat/>
    <w:rsid w:val="00D0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360" w:lineRule="auto"/>
      <w:ind w:left="360"/>
      <w:jc w:val="both"/>
      <w:outlineLvl w:val="0"/>
    </w:pPr>
    <w:rPr>
      <w:rFonts w:ascii="Verdana" w:eastAsia="Times New Roman" w:hAnsi="Verdana" w:cs="Courier New"/>
      <w:b/>
      <w:bCs/>
      <w:bdr w:val="none" w:sz="0" w:space="0" w:color="auto"/>
      <w:lang w:val="en-GB"/>
    </w:rPr>
  </w:style>
  <w:style w:type="paragraph" w:styleId="Revision">
    <w:name w:val="Revision"/>
    <w:hidden/>
    <w:uiPriority w:val="99"/>
    <w:semiHidden/>
    <w:rsid w:val="00C243C4"/>
    <w:rPr>
      <w:sz w:val="24"/>
      <w:szCs w:val="24"/>
      <w:bdr w:val="nil"/>
      <w:lang w:val="en-US" w:eastAsia="en-US"/>
    </w:rPr>
  </w:style>
  <w:style w:type="character" w:customStyle="1" w:styleId="Heading5Char">
    <w:name w:val="Heading 5 Char"/>
    <w:link w:val="Heading5"/>
    <w:uiPriority w:val="9"/>
    <w:rsid w:val="004C543C"/>
    <w:rPr>
      <w:rFonts w:ascii="Helvetica" w:eastAsia="Helvetica" w:hAnsi="Helvetica" w:cs="Helvetica"/>
      <w:color w:val="243F60"/>
      <w:sz w:val="24"/>
      <w:szCs w:val="24"/>
      <w:lang w:val="en-US" w:eastAsia="en-US"/>
    </w:rPr>
  </w:style>
  <w:style w:type="character" w:styleId="FollowedHyperlink">
    <w:name w:val="FollowedHyperlink"/>
    <w:uiPriority w:val="99"/>
    <w:semiHidden/>
    <w:unhideWhenUsed/>
    <w:rsid w:val="00E03681"/>
    <w:rPr>
      <w:color w:val="FF00FF"/>
      <w:u w:val="single"/>
    </w:rPr>
  </w:style>
  <w:style w:type="character" w:customStyle="1" w:styleId="Heading3Char">
    <w:name w:val="Heading 3 Char"/>
    <w:link w:val="Heading3"/>
    <w:uiPriority w:val="9"/>
    <w:semiHidden/>
    <w:rsid w:val="000E51C6"/>
    <w:rPr>
      <w:rFonts w:ascii="Helvetica" w:eastAsia="Helvetica" w:hAnsi="Helvetica" w:cs="Helvetica"/>
      <w:b/>
      <w:bCs/>
      <w:color w:val="4F81BD"/>
      <w:sz w:val="24"/>
      <w:szCs w:val="24"/>
      <w:lang w:val="en-US" w:eastAsia="en-US"/>
    </w:rPr>
  </w:style>
  <w:style w:type="character" w:styleId="Emphasis">
    <w:name w:val="Emphasis"/>
    <w:uiPriority w:val="20"/>
    <w:qFormat/>
    <w:rsid w:val="000E51C6"/>
    <w:rPr>
      <w:i/>
      <w:iCs/>
    </w:rPr>
  </w:style>
  <w:style w:type="character" w:customStyle="1" w:styleId="tgc">
    <w:name w:val="_tgc"/>
    <w:basedOn w:val="DefaultParagraphFont"/>
    <w:rsid w:val="007D62A5"/>
  </w:style>
  <w:style w:type="character" w:customStyle="1" w:styleId="HeaderChar">
    <w:name w:val="Header Char"/>
    <w:link w:val="Header"/>
    <w:rsid w:val="009C0FAB"/>
    <w:rPr>
      <w:rFonts w:eastAsia="Times New Roman"/>
      <w:color w:val="000000"/>
      <w:sz w:val="24"/>
      <w:szCs w:val="24"/>
      <w:u w:color="000000"/>
      <w:lang w:val="en-US"/>
    </w:rPr>
  </w:style>
  <w:style w:type="paragraph" w:styleId="NoSpacing">
    <w:name w:val="No Spacing"/>
    <w:uiPriority w:val="1"/>
    <w:qFormat/>
    <w:rsid w:val="004314E3"/>
    <w:rPr>
      <w:rFonts w:ascii="Verdana" w:eastAsia="Microsoft YaHei" w:hAnsi="Verdana"/>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3082">
      <w:bodyDiv w:val="1"/>
      <w:marLeft w:val="0"/>
      <w:marRight w:val="0"/>
      <w:marTop w:val="0"/>
      <w:marBottom w:val="0"/>
      <w:divBdr>
        <w:top w:val="none" w:sz="0" w:space="0" w:color="auto"/>
        <w:left w:val="none" w:sz="0" w:space="0" w:color="auto"/>
        <w:bottom w:val="none" w:sz="0" w:space="0" w:color="auto"/>
        <w:right w:val="none" w:sz="0" w:space="0" w:color="auto"/>
      </w:divBdr>
    </w:div>
    <w:div w:id="445463031">
      <w:bodyDiv w:val="1"/>
      <w:marLeft w:val="0"/>
      <w:marRight w:val="0"/>
      <w:marTop w:val="0"/>
      <w:marBottom w:val="0"/>
      <w:divBdr>
        <w:top w:val="none" w:sz="0" w:space="0" w:color="auto"/>
        <w:left w:val="none" w:sz="0" w:space="0" w:color="auto"/>
        <w:bottom w:val="none" w:sz="0" w:space="0" w:color="auto"/>
        <w:right w:val="none" w:sz="0" w:space="0" w:color="auto"/>
      </w:divBdr>
    </w:div>
    <w:div w:id="700738913">
      <w:bodyDiv w:val="1"/>
      <w:marLeft w:val="0"/>
      <w:marRight w:val="0"/>
      <w:marTop w:val="0"/>
      <w:marBottom w:val="0"/>
      <w:divBdr>
        <w:top w:val="none" w:sz="0" w:space="0" w:color="auto"/>
        <w:left w:val="none" w:sz="0" w:space="0" w:color="auto"/>
        <w:bottom w:val="none" w:sz="0" w:space="0" w:color="auto"/>
        <w:right w:val="none" w:sz="0" w:space="0" w:color="auto"/>
      </w:divBdr>
    </w:div>
    <w:div w:id="709692361">
      <w:bodyDiv w:val="1"/>
      <w:marLeft w:val="0"/>
      <w:marRight w:val="0"/>
      <w:marTop w:val="0"/>
      <w:marBottom w:val="0"/>
      <w:divBdr>
        <w:top w:val="none" w:sz="0" w:space="0" w:color="auto"/>
        <w:left w:val="none" w:sz="0" w:space="0" w:color="auto"/>
        <w:bottom w:val="none" w:sz="0" w:space="0" w:color="auto"/>
        <w:right w:val="none" w:sz="0" w:space="0" w:color="auto"/>
      </w:divBdr>
    </w:div>
    <w:div w:id="747385633">
      <w:bodyDiv w:val="1"/>
      <w:marLeft w:val="0"/>
      <w:marRight w:val="0"/>
      <w:marTop w:val="0"/>
      <w:marBottom w:val="0"/>
      <w:divBdr>
        <w:top w:val="none" w:sz="0" w:space="0" w:color="auto"/>
        <w:left w:val="none" w:sz="0" w:space="0" w:color="auto"/>
        <w:bottom w:val="none" w:sz="0" w:space="0" w:color="auto"/>
        <w:right w:val="none" w:sz="0" w:space="0" w:color="auto"/>
      </w:divBdr>
    </w:div>
    <w:div w:id="815802631">
      <w:bodyDiv w:val="1"/>
      <w:marLeft w:val="0"/>
      <w:marRight w:val="0"/>
      <w:marTop w:val="0"/>
      <w:marBottom w:val="0"/>
      <w:divBdr>
        <w:top w:val="none" w:sz="0" w:space="0" w:color="auto"/>
        <w:left w:val="none" w:sz="0" w:space="0" w:color="auto"/>
        <w:bottom w:val="none" w:sz="0" w:space="0" w:color="auto"/>
        <w:right w:val="none" w:sz="0" w:space="0" w:color="auto"/>
      </w:divBdr>
    </w:div>
    <w:div w:id="848448905">
      <w:bodyDiv w:val="1"/>
      <w:marLeft w:val="0"/>
      <w:marRight w:val="0"/>
      <w:marTop w:val="0"/>
      <w:marBottom w:val="0"/>
      <w:divBdr>
        <w:top w:val="none" w:sz="0" w:space="0" w:color="auto"/>
        <w:left w:val="none" w:sz="0" w:space="0" w:color="auto"/>
        <w:bottom w:val="none" w:sz="0" w:space="0" w:color="auto"/>
        <w:right w:val="none" w:sz="0" w:space="0" w:color="auto"/>
      </w:divBdr>
    </w:div>
    <w:div w:id="875316762">
      <w:bodyDiv w:val="1"/>
      <w:marLeft w:val="0"/>
      <w:marRight w:val="0"/>
      <w:marTop w:val="0"/>
      <w:marBottom w:val="0"/>
      <w:divBdr>
        <w:top w:val="none" w:sz="0" w:space="0" w:color="auto"/>
        <w:left w:val="none" w:sz="0" w:space="0" w:color="auto"/>
        <w:bottom w:val="none" w:sz="0" w:space="0" w:color="auto"/>
        <w:right w:val="none" w:sz="0" w:space="0" w:color="auto"/>
      </w:divBdr>
    </w:div>
    <w:div w:id="880635499">
      <w:bodyDiv w:val="1"/>
      <w:marLeft w:val="0"/>
      <w:marRight w:val="0"/>
      <w:marTop w:val="0"/>
      <w:marBottom w:val="0"/>
      <w:divBdr>
        <w:top w:val="none" w:sz="0" w:space="0" w:color="auto"/>
        <w:left w:val="none" w:sz="0" w:space="0" w:color="auto"/>
        <w:bottom w:val="none" w:sz="0" w:space="0" w:color="auto"/>
        <w:right w:val="none" w:sz="0" w:space="0" w:color="auto"/>
      </w:divBdr>
    </w:div>
    <w:div w:id="1023240152">
      <w:bodyDiv w:val="1"/>
      <w:marLeft w:val="0"/>
      <w:marRight w:val="0"/>
      <w:marTop w:val="0"/>
      <w:marBottom w:val="0"/>
      <w:divBdr>
        <w:top w:val="none" w:sz="0" w:space="0" w:color="auto"/>
        <w:left w:val="none" w:sz="0" w:space="0" w:color="auto"/>
        <w:bottom w:val="none" w:sz="0" w:space="0" w:color="auto"/>
        <w:right w:val="none" w:sz="0" w:space="0" w:color="auto"/>
      </w:divBdr>
    </w:div>
    <w:div w:id="1076442606">
      <w:bodyDiv w:val="1"/>
      <w:marLeft w:val="0"/>
      <w:marRight w:val="0"/>
      <w:marTop w:val="0"/>
      <w:marBottom w:val="0"/>
      <w:divBdr>
        <w:top w:val="none" w:sz="0" w:space="0" w:color="auto"/>
        <w:left w:val="none" w:sz="0" w:space="0" w:color="auto"/>
        <w:bottom w:val="none" w:sz="0" w:space="0" w:color="auto"/>
        <w:right w:val="none" w:sz="0" w:space="0" w:color="auto"/>
      </w:divBdr>
    </w:div>
    <w:div w:id="1214735922">
      <w:bodyDiv w:val="1"/>
      <w:marLeft w:val="0"/>
      <w:marRight w:val="0"/>
      <w:marTop w:val="0"/>
      <w:marBottom w:val="0"/>
      <w:divBdr>
        <w:top w:val="none" w:sz="0" w:space="0" w:color="auto"/>
        <w:left w:val="none" w:sz="0" w:space="0" w:color="auto"/>
        <w:bottom w:val="none" w:sz="0" w:space="0" w:color="auto"/>
        <w:right w:val="none" w:sz="0" w:space="0" w:color="auto"/>
      </w:divBdr>
    </w:div>
    <w:div w:id="1442646975">
      <w:bodyDiv w:val="1"/>
      <w:marLeft w:val="0"/>
      <w:marRight w:val="0"/>
      <w:marTop w:val="0"/>
      <w:marBottom w:val="0"/>
      <w:divBdr>
        <w:top w:val="none" w:sz="0" w:space="0" w:color="auto"/>
        <w:left w:val="none" w:sz="0" w:space="0" w:color="auto"/>
        <w:bottom w:val="none" w:sz="0" w:space="0" w:color="auto"/>
        <w:right w:val="none" w:sz="0" w:space="0" w:color="auto"/>
      </w:divBdr>
    </w:div>
    <w:div w:id="1687243659">
      <w:bodyDiv w:val="1"/>
      <w:marLeft w:val="0"/>
      <w:marRight w:val="0"/>
      <w:marTop w:val="0"/>
      <w:marBottom w:val="0"/>
      <w:divBdr>
        <w:top w:val="none" w:sz="0" w:space="0" w:color="auto"/>
        <w:left w:val="none" w:sz="0" w:space="0" w:color="auto"/>
        <w:bottom w:val="none" w:sz="0" w:space="0" w:color="auto"/>
        <w:right w:val="none" w:sz="0" w:space="0" w:color="auto"/>
      </w:divBdr>
    </w:div>
    <w:div w:id="1708606954">
      <w:bodyDiv w:val="1"/>
      <w:marLeft w:val="0"/>
      <w:marRight w:val="0"/>
      <w:marTop w:val="0"/>
      <w:marBottom w:val="0"/>
      <w:divBdr>
        <w:top w:val="none" w:sz="0" w:space="0" w:color="auto"/>
        <w:left w:val="none" w:sz="0" w:space="0" w:color="auto"/>
        <w:bottom w:val="none" w:sz="0" w:space="0" w:color="auto"/>
        <w:right w:val="none" w:sz="0" w:space="0" w:color="auto"/>
      </w:divBdr>
    </w:div>
    <w:div w:id="1767189239">
      <w:bodyDiv w:val="1"/>
      <w:marLeft w:val="0"/>
      <w:marRight w:val="0"/>
      <w:marTop w:val="0"/>
      <w:marBottom w:val="0"/>
      <w:divBdr>
        <w:top w:val="none" w:sz="0" w:space="0" w:color="auto"/>
        <w:left w:val="none" w:sz="0" w:space="0" w:color="auto"/>
        <w:bottom w:val="none" w:sz="0" w:space="0" w:color="auto"/>
        <w:right w:val="none" w:sz="0" w:space="0" w:color="auto"/>
      </w:divBdr>
    </w:div>
    <w:div w:id="1802453388">
      <w:bodyDiv w:val="1"/>
      <w:marLeft w:val="0"/>
      <w:marRight w:val="0"/>
      <w:marTop w:val="0"/>
      <w:marBottom w:val="0"/>
      <w:divBdr>
        <w:top w:val="none" w:sz="0" w:space="0" w:color="auto"/>
        <w:left w:val="none" w:sz="0" w:space="0" w:color="auto"/>
        <w:bottom w:val="none" w:sz="0" w:space="0" w:color="auto"/>
        <w:right w:val="none" w:sz="0" w:space="0" w:color="auto"/>
      </w:divBdr>
    </w:div>
    <w:div w:id="1906793386">
      <w:bodyDiv w:val="1"/>
      <w:marLeft w:val="0"/>
      <w:marRight w:val="0"/>
      <w:marTop w:val="0"/>
      <w:marBottom w:val="0"/>
      <w:divBdr>
        <w:top w:val="none" w:sz="0" w:space="0" w:color="auto"/>
        <w:left w:val="none" w:sz="0" w:space="0" w:color="auto"/>
        <w:bottom w:val="none" w:sz="0" w:space="0" w:color="auto"/>
        <w:right w:val="none" w:sz="0" w:space="0" w:color="auto"/>
      </w:divBdr>
    </w:div>
    <w:div w:id="1912933608">
      <w:bodyDiv w:val="1"/>
      <w:marLeft w:val="0"/>
      <w:marRight w:val="0"/>
      <w:marTop w:val="0"/>
      <w:marBottom w:val="0"/>
      <w:divBdr>
        <w:top w:val="none" w:sz="0" w:space="0" w:color="auto"/>
        <w:left w:val="none" w:sz="0" w:space="0" w:color="auto"/>
        <w:bottom w:val="none" w:sz="0" w:space="0" w:color="auto"/>
        <w:right w:val="none" w:sz="0" w:space="0" w:color="auto"/>
      </w:divBdr>
    </w:div>
    <w:div w:id="1979411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ncbi.nlm.nih.gov/pubmed/107896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2FBE9-F0F3-414C-916D-5955BDE0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5411</Words>
  <Characters>31942</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37279</CharactersWithSpaces>
  <SharedDoc>false</SharedDoc>
  <HLinks>
    <vt:vector size="6" baseType="variant">
      <vt:variant>
        <vt:i4>83</vt:i4>
      </vt:variant>
      <vt:variant>
        <vt:i4>0</vt:i4>
      </vt:variant>
      <vt:variant>
        <vt:i4>0</vt:i4>
      </vt:variant>
      <vt:variant>
        <vt:i4>5</vt:i4>
      </vt:variant>
      <vt:variant>
        <vt:lpwstr>https://www.ncbi.nlm.nih.gov/pubmed/10789670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msxaa35@exmail.nottingham.ac.uk</dc:creator>
  <cp:keywords/>
  <cp:lastModifiedBy>Fleming, Kate</cp:lastModifiedBy>
  <cp:revision>2</cp:revision>
  <cp:lastPrinted>2016-11-08T14:50:00Z</cp:lastPrinted>
  <dcterms:created xsi:type="dcterms:W3CDTF">2018-11-06T13:38:00Z</dcterms:created>
  <dcterms:modified xsi:type="dcterms:W3CDTF">2018-11-06T13:38:00Z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http://csl.mendeley.com/styles/605891/american-medical-association</vt:lpwstr>
  </property>
  <property fmtid="{D5CDD505-2E9C-101B-9397-08002B2CF9AE}" pid="5" name="Mendeley Recent Style Name 1_1">
    <vt:lpwstr>American Medical Association - Abdul-Kareem Abdul-Rahman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