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C64" w:rsidRDefault="000D57C3" w:rsidP="002F5D19">
      <w:bookmarkStart w:id="0" w:name="_GoBack"/>
      <w:bookmarkEnd w:id="0"/>
      <w:r>
        <w:rPr>
          <w:noProof/>
          <w:lang w:eastAsia="en-GB"/>
        </w:rPr>
        <w:drawing>
          <wp:inline distT="0" distB="0" distL="0" distR="0">
            <wp:extent cx="4838700" cy="561975"/>
            <wp:effectExtent l="0" t="0" r="0" b="9525"/>
            <wp:docPr id="13" name="Picture 13" descr="WIREs-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REs-header"/>
                    <pic:cNvPicPr>
                      <a:picLocks noChangeAspect="1" noChangeArrowheads="1"/>
                    </pic:cNvPicPr>
                  </pic:nvPicPr>
                  <pic:blipFill>
                    <a:blip r:embed="rId9">
                      <a:extLst>
                        <a:ext uri="{28A0092B-C50C-407E-A947-70E740481C1C}">
                          <a14:useLocalDpi xmlns:a14="http://schemas.microsoft.com/office/drawing/2010/main" val="0"/>
                        </a:ext>
                      </a:extLst>
                    </a:blip>
                    <a:srcRect t="21053" b="16843"/>
                    <a:stretch>
                      <a:fillRect/>
                    </a:stretch>
                  </pic:blipFill>
                  <pic:spPr bwMode="auto">
                    <a:xfrm>
                      <a:off x="0" y="0"/>
                      <a:ext cx="4838700" cy="561975"/>
                    </a:xfrm>
                    <a:prstGeom prst="rect">
                      <a:avLst/>
                    </a:prstGeom>
                    <a:noFill/>
                    <a:ln>
                      <a:noFill/>
                    </a:ln>
                  </pic:spPr>
                </pic:pic>
              </a:graphicData>
            </a:graphic>
          </wp:inline>
        </w:drawing>
      </w:r>
    </w:p>
    <w:p w:rsidR="00EE1464" w:rsidRDefault="00EE1464">
      <w:pPr>
        <w:rPr>
          <w:b/>
          <w:color w:val="7030A0"/>
        </w:rPr>
      </w:pPr>
    </w:p>
    <w:p w:rsidR="00D20C88" w:rsidRDefault="005F5E7D" w:rsidP="00D20C88">
      <w:pPr>
        <w:pStyle w:val="Title"/>
      </w:pPr>
      <w:r w:rsidRPr="005A77E5">
        <w:t xml:space="preserve">Article </w:t>
      </w:r>
      <w:r w:rsidR="00A87F46">
        <w:t>T</w:t>
      </w:r>
      <w:r w:rsidRPr="005A77E5">
        <w:t xml:space="preserve">itle:  </w:t>
      </w:r>
    </w:p>
    <w:p w:rsidR="002C765F" w:rsidRDefault="00702D09" w:rsidP="005F5E7D">
      <w:pPr>
        <w:spacing w:after="0"/>
        <w:rPr>
          <w:szCs w:val="28"/>
        </w:rPr>
      </w:pPr>
      <w:r>
        <w:rPr>
          <w:szCs w:val="28"/>
        </w:rPr>
        <w:t>An o</w:t>
      </w:r>
      <w:r w:rsidR="002C765F" w:rsidRPr="002C765F">
        <w:rPr>
          <w:szCs w:val="28"/>
        </w:rPr>
        <w:t xml:space="preserve">verview of the blood compatibility of nanomedicines: A trend analysis of </w:t>
      </w:r>
      <w:r w:rsidR="002C765F" w:rsidRPr="002C765F">
        <w:rPr>
          <w:i/>
          <w:szCs w:val="28"/>
        </w:rPr>
        <w:t>in vitro</w:t>
      </w:r>
      <w:r w:rsidR="002C765F" w:rsidRPr="002C765F">
        <w:rPr>
          <w:szCs w:val="28"/>
        </w:rPr>
        <w:t xml:space="preserve"> and </w:t>
      </w:r>
      <w:r w:rsidR="002C765F" w:rsidRPr="002C765F">
        <w:rPr>
          <w:i/>
          <w:szCs w:val="28"/>
        </w:rPr>
        <w:t>in vivo</w:t>
      </w:r>
      <w:r w:rsidR="002C765F" w:rsidRPr="002C765F">
        <w:rPr>
          <w:szCs w:val="28"/>
        </w:rPr>
        <w:t xml:space="preserve"> studies</w:t>
      </w:r>
    </w:p>
    <w:p w:rsidR="00D20C88" w:rsidRDefault="00D20C88" w:rsidP="005F5E7D">
      <w:pPr>
        <w:spacing w:after="0"/>
        <w:rPr>
          <w:b/>
          <w:color w:val="7030A0"/>
          <w:sz w:val="28"/>
          <w:szCs w:val="28"/>
        </w:rPr>
      </w:pPr>
    </w:p>
    <w:p w:rsidR="00FB6194" w:rsidRPr="005A77E5" w:rsidRDefault="008D28EC" w:rsidP="000D7B89">
      <w:pPr>
        <w:spacing w:after="0"/>
        <w:rPr>
          <w:b/>
          <w:color w:val="1F497D"/>
          <w:sz w:val="28"/>
          <w:szCs w:val="28"/>
        </w:rPr>
      </w:pPr>
      <w:r w:rsidRPr="005A77E5">
        <w:rPr>
          <w:b/>
          <w:color w:val="1F497D"/>
          <w:sz w:val="28"/>
          <w:szCs w:val="28"/>
        </w:rPr>
        <w:t xml:space="preserve">Article </w:t>
      </w:r>
      <w:r w:rsidR="00A87F46">
        <w:rPr>
          <w:b/>
          <w:color w:val="1F497D"/>
          <w:sz w:val="28"/>
          <w:szCs w:val="28"/>
        </w:rPr>
        <w:t>T</w:t>
      </w:r>
      <w:r w:rsidRPr="005A77E5">
        <w:rPr>
          <w:b/>
          <w:color w:val="1F497D"/>
          <w:sz w:val="28"/>
          <w:szCs w:val="28"/>
        </w:rPr>
        <w:t>ype</w:t>
      </w:r>
      <w:r w:rsidR="005F5E7D" w:rsidRPr="005A77E5">
        <w:rPr>
          <w:b/>
          <w:color w:val="1F497D"/>
          <w:sz w:val="28"/>
          <w:szCs w:val="28"/>
        </w:rPr>
        <w:t>:</w:t>
      </w:r>
    </w:p>
    <w:p w:rsidR="00B642A0" w:rsidRDefault="00B642A0" w:rsidP="000D7B89">
      <w:pPr>
        <w:spacing w:after="0"/>
        <w:rPr>
          <w:b/>
          <w:color w:val="7030A0"/>
          <w:sz w:val="28"/>
          <w:szCs w:val="28"/>
        </w:rPr>
        <w:sectPr w:rsidR="00B642A0" w:rsidSect="00FB0C64">
          <w:footerReference w:type="default" r:id="rId10"/>
          <w:pgSz w:w="11906" w:h="16838"/>
          <w:pgMar w:top="1440" w:right="1440" w:bottom="1440" w:left="1440" w:header="708" w:footer="708" w:gutter="0"/>
          <w:cols w:space="708"/>
          <w:docGrid w:linePitch="360"/>
        </w:sectPr>
      </w:pPr>
    </w:p>
    <w:p w:rsidR="00B642A0" w:rsidRDefault="004B752B" w:rsidP="000D7B89">
      <w:pPr>
        <w:spacing w:after="0"/>
        <w:rPr>
          <w:b/>
          <w:color w:val="7030A0"/>
          <w:sz w:val="28"/>
          <w:szCs w:val="28"/>
        </w:rPr>
      </w:pPr>
      <w:r>
        <w:rPr>
          <w:b/>
          <w:color w:val="7030A0"/>
          <w:sz w:val="28"/>
          <w:szCs w:val="28"/>
        </w:rPr>
        <w:lastRenderedPageBreak/>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3.6pt;height:21.5pt" o:ole="">
            <v:imagedata r:id="rId11" o:title=""/>
          </v:shape>
          <w:control r:id="rId12" w:name="OptionButton1" w:shapeid="_x0000_i1037"/>
        </w:object>
      </w:r>
    </w:p>
    <w:p w:rsidR="001A3DEC" w:rsidRDefault="001A3DEC" w:rsidP="001A3DEC">
      <w:pPr>
        <w:spacing w:after="0"/>
        <w:rPr>
          <w:b/>
          <w:color w:val="7030A0"/>
          <w:sz w:val="28"/>
          <w:szCs w:val="28"/>
        </w:rPr>
      </w:pPr>
      <w:r>
        <w:rPr>
          <w:b/>
          <w:color w:val="7030A0"/>
          <w:sz w:val="28"/>
          <w:szCs w:val="28"/>
        </w:rPr>
        <w:object w:dxaOrig="225" w:dyaOrig="225">
          <v:shape id="_x0000_i1039" type="#_x0000_t75" style="width:117.8pt;height:21.5pt" o:ole="">
            <v:imagedata r:id="rId13" o:title=""/>
          </v:shape>
          <w:control r:id="rId14" w:name="OptionButton4" w:shapeid="_x0000_i1039"/>
        </w:object>
      </w:r>
    </w:p>
    <w:p w:rsidR="004B752B" w:rsidRDefault="004B752B" w:rsidP="000D7B89">
      <w:pPr>
        <w:spacing w:after="0"/>
        <w:rPr>
          <w:b/>
          <w:color w:val="7030A0"/>
          <w:sz w:val="28"/>
          <w:szCs w:val="28"/>
        </w:rPr>
      </w:pPr>
      <w:r>
        <w:rPr>
          <w:b/>
          <w:color w:val="7030A0"/>
          <w:sz w:val="28"/>
          <w:szCs w:val="28"/>
        </w:rPr>
        <w:lastRenderedPageBreak/>
        <w:object w:dxaOrig="225" w:dyaOrig="225">
          <v:shape id="_x0000_i1041" type="#_x0000_t75" style="width:58.9pt;height:21.5pt" o:ole="">
            <v:imagedata r:id="rId15" o:title=""/>
          </v:shape>
          <w:control r:id="rId16" w:name="OptionButton2" w:shapeid="_x0000_i1041"/>
        </w:object>
      </w:r>
    </w:p>
    <w:p w:rsidR="001A3DEC" w:rsidRDefault="001A3DEC" w:rsidP="001A3DEC">
      <w:pPr>
        <w:spacing w:after="0"/>
        <w:rPr>
          <w:b/>
          <w:color w:val="7030A0"/>
          <w:sz w:val="28"/>
          <w:szCs w:val="28"/>
        </w:rPr>
      </w:pPr>
      <w:r>
        <w:rPr>
          <w:b/>
          <w:color w:val="7030A0"/>
          <w:sz w:val="28"/>
          <w:szCs w:val="28"/>
        </w:rPr>
        <w:object w:dxaOrig="225" w:dyaOrig="225">
          <v:shape id="_x0000_i1043" type="#_x0000_t75" style="width:96.3pt;height:21.5pt" o:ole="">
            <v:imagedata r:id="rId17" o:title=""/>
          </v:shape>
          <w:control r:id="rId18" w:name="OptionButton5" w:shapeid="_x0000_i1043"/>
        </w:object>
      </w:r>
    </w:p>
    <w:p w:rsidR="00B642A0" w:rsidRDefault="004B752B" w:rsidP="000D7B89">
      <w:pPr>
        <w:spacing w:after="0"/>
        <w:rPr>
          <w:b/>
          <w:color w:val="7030A0"/>
          <w:sz w:val="28"/>
          <w:szCs w:val="28"/>
        </w:rPr>
      </w:pPr>
      <w:r>
        <w:rPr>
          <w:b/>
          <w:color w:val="7030A0"/>
          <w:sz w:val="28"/>
          <w:szCs w:val="28"/>
        </w:rPr>
        <w:lastRenderedPageBreak/>
        <w:object w:dxaOrig="225" w:dyaOrig="225">
          <v:shape id="_x0000_i1045" type="#_x0000_t75" style="width:73.85pt;height:21.5pt" o:ole="">
            <v:imagedata r:id="rId19" o:title=""/>
          </v:shape>
          <w:control r:id="rId20" w:name="OptionButton3" w:shapeid="_x0000_i1045"/>
        </w:object>
      </w:r>
    </w:p>
    <w:p w:rsidR="004B752B" w:rsidRDefault="004B752B" w:rsidP="000D7B89">
      <w:pPr>
        <w:spacing w:after="0"/>
        <w:rPr>
          <w:b/>
          <w:color w:val="7030A0"/>
          <w:sz w:val="28"/>
          <w:szCs w:val="28"/>
        </w:rPr>
      </w:pPr>
      <w:r>
        <w:rPr>
          <w:b/>
          <w:color w:val="7030A0"/>
          <w:sz w:val="28"/>
          <w:szCs w:val="28"/>
        </w:rPr>
        <w:object w:dxaOrig="225" w:dyaOrig="225">
          <v:shape id="_x0000_i1047" type="#_x0000_t75" style="width:111.25pt;height:21.5pt" o:ole="">
            <v:imagedata r:id="rId21" o:title=""/>
          </v:shape>
          <w:control r:id="rId22" w:name="OptionButton6" w:shapeid="_x0000_i1047"/>
        </w:object>
      </w:r>
    </w:p>
    <w:p w:rsidR="00B642A0" w:rsidRDefault="00B642A0" w:rsidP="000D7B89">
      <w:pPr>
        <w:spacing w:after="0"/>
        <w:rPr>
          <w:b/>
          <w:color w:val="7030A0"/>
          <w:sz w:val="28"/>
          <w:szCs w:val="28"/>
        </w:rPr>
        <w:sectPr w:rsidR="00B642A0" w:rsidSect="001A3DEC">
          <w:type w:val="continuous"/>
          <w:pgSz w:w="11906" w:h="16838"/>
          <w:pgMar w:top="1440" w:right="1440" w:bottom="1440" w:left="1440" w:header="708" w:footer="708" w:gutter="0"/>
          <w:cols w:num="3" w:space="720"/>
          <w:docGrid w:linePitch="360"/>
        </w:sectPr>
      </w:pPr>
    </w:p>
    <w:p w:rsidR="004B752B" w:rsidRPr="00AE0D0E" w:rsidRDefault="004B752B" w:rsidP="000D7B89">
      <w:pPr>
        <w:spacing w:after="0"/>
        <w:rPr>
          <w:b/>
          <w:color w:val="7030A0"/>
          <w:sz w:val="28"/>
          <w:szCs w:val="28"/>
        </w:rPr>
      </w:pPr>
    </w:p>
    <w:p w:rsidR="000D7B89" w:rsidRPr="005A77E5" w:rsidRDefault="000D7B89" w:rsidP="000D7B89">
      <w:pPr>
        <w:spacing w:after="0"/>
        <w:rPr>
          <w:b/>
          <w:color w:val="1F497D"/>
          <w:sz w:val="28"/>
          <w:szCs w:val="28"/>
        </w:rPr>
      </w:pPr>
      <w:r w:rsidRPr="005A77E5">
        <w:rPr>
          <w:b/>
          <w:color w:val="1F497D"/>
          <w:sz w:val="28"/>
          <w:szCs w:val="28"/>
        </w:rPr>
        <w:t>Authors:</w:t>
      </w:r>
    </w:p>
    <w:p w:rsidR="00D5572F" w:rsidRPr="00EC2BF7" w:rsidRDefault="002F5D19" w:rsidP="00D5572F">
      <w:pPr>
        <w:rPr>
          <w:b/>
          <w:color w:val="7030A0"/>
        </w:rPr>
      </w:pPr>
      <w:r w:rsidRPr="002F5D19">
        <w:t>[</w:t>
      </w:r>
      <w:r>
        <w:rPr>
          <w:b/>
        </w:rPr>
        <w:t>List each person’s f</w:t>
      </w:r>
      <w:r w:rsidR="00D5572F">
        <w:rPr>
          <w:b/>
        </w:rPr>
        <w:t>ull name</w:t>
      </w:r>
      <w:r>
        <w:rPr>
          <w:b/>
        </w:rPr>
        <w:t xml:space="preserve">, </w:t>
      </w:r>
      <w:r w:rsidR="006E7660">
        <w:rPr>
          <w:b/>
        </w:rPr>
        <w:t>ORCID ID</w:t>
      </w:r>
      <w:r>
        <w:rPr>
          <w:b/>
        </w:rPr>
        <w:t xml:space="preserve">, </w:t>
      </w:r>
      <w:r w:rsidR="00D5572F" w:rsidRPr="001E4C5B">
        <w:rPr>
          <w:b/>
        </w:rPr>
        <w:t>affiliation</w:t>
      </w:r>
      <w:r>
        <w:rPr>
          <w:b/>
        </w:rPr>
        <w:t>,</w:t>
      </w:r>
      <w:r w:rsidR="00D5572F">
        <w:rPr>
          <w:b/>
        </w:rPr>
        <w:t xml:space="preserve"> email address</w:t>
      </w:r>
      <w:r>
        <w:rPr>
          <w:b/>
        </w:rPr>
        <w:t>, and a</w:t>
      </w:r>
      <w:r w:rsidR="00D5572F">
        <w:rPr>
          <w:b/>
        </w:rPr>
        <w:t>ny conflicts of interest</w:t>
      </w:r>
      <w:r>
        <w:rPr>
          <w:b/>
        </w:rPr>
        <w:t xml:space="preserve">. </w:t>
      </w:r>
      <w:r w:rsidRPr="001E4C5B">
        <w:t xml:space="preserve">Copy </w:t>
      </w:r>
      <w:r>
        <w:t>row</w:t>
      </w:r>
      <w:r w:rsidRPr="001E4C5B">
        <w:t xml:space="preserve">s as necessary for additional authors. </w:t>
      </w:r>
      <w:r>
        <w:t>Please use an asterisk (*) to indicate the corresponding author.]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8"/>
      </w:tblGrid>
      <w:tr w:rsidR="00D5572F" w:rsidRPr="00FD37BD" w:rsidTr="001A13C8">
        <w:trPr>
          <w:trHeight w:val="530"/>
        </w:trPr>
        <w:tc>
          <w:tcPr>
            <w:tcW w:w="8118" w:type="dxa"/>
          </w:tcPr>
          <w:p w:rsidR="00D5572F" w:rsidRDefault="006A2925" w:rsidP="001A13C8">
            <w:pPr>
              <w:spacing w:after="0" w:line="240" w:lineRule="auto"/>
              <w:rPr>
                <w:b/>
              </w:rPr>
            </w:pPr>
            <w:r>
              <w:rPr>
                <w:b/>
              </w:rPr>
              <w:t>Patricia Urbán</w:t>
            </w:r>
          </w:p>
          <w:p w:rsidR="00136687" w:rsidRPr="001E4C5B" w:rsidRDefault="00136687" w:rsidP="001A13C8">
            <w:pPr>
              <w:spacing w:after="0" w:line="240" w:lineRule="auto"/>
              <w:rPr>
                <w:b/>
              </w:rPr>
            </w:pPr>
            <w:r>
              <w:rPr>
                <w:b/>
              </w:rPr>
              <w:t xml:space="preserve">ORCID iD - </w:t>
            </w:r>
            <w:hyperlink r:id="rId23" w:tgtFrame="_blank" w:history="1">
              <w:r w:rsidRPr="00380559">
                <w:rPr>
                  <w:lang w:val="en-US"/>
                </w:rPr>
                <w:t>0000-0002-2865-778X</w:t>
              </w:r>
            </w:hyperlink>
          </w:p>
          <w:p w:rsidR="00D5572F" w:rsidRDefault="006A2925" w:rsidP="001A13C8">
            <w:pPr>
              <w:spacing w:after="0" w:line="240" w:lineRule="auto"/>
            </w:pPr>
            <w:r w:rsidRPr="006A2925">
              <w:t>Consumer Products Safety Unit, Directorate F - Health, Consumers and Reference Materials, European Commission Joint Research Centre (JRC), Ispra, (VA), Italy</w:t>
            </w:r>
          </w:p>
          <w:p w:rsidR="006A2925" w:rsidRPr="00FD37BD" w:rsidRDefault="006A2925" w:rsidP="001A13C8">
            <w:pPr>
              <w:spacing w:after="0" w:line="240" w:lineRule="auto"/>
            </w:pPr>
            <w:r w:rsidRPr="006A2925">
              <w:t>Patricia.URBAN-LOPEZ@ec.europa.eu</w:t>
            </w:r>
          </w:p>
        </w:tc>
      </w:tr>
      <w:tr w:rsidR="00D5572F" w:rsidRPr="00FD37BD" w:rsidTr="001A13C8">
        <w:trPr>
          <w:trHeight w:val="530"/>
        </w:trPr>
        <w:tc>
          <w:tcPr>
            <w:tcW w:w="8118" w:type="dxa"/>
          </w:tcPr>
          <w:p w:rsidR="006A2925" w:rsidRPr="005D7CA9" w:rsidRDefault="006A2925" w:rsidP="001A13C8">
            <w:pPr>
              <w:spacing w:after="0" w:line="240" w:lineRule="auto"/>
              <w:rPr>
                <w:b/>
                <w:lang w:val="sv-SE"/>
              </w:rPr>
            </w:pPr>
            <w:r w:rsidRPr="005D7CA9">
              <w:rPr>
                <w:b/>
                <w:lang w:val="sv-SE"/>
              </w:rPr>
              <w:t xml:space="preserve">Neill </w:t>
            </w:r>
            <w:r w:rsidR="00D20C88" w:rsidRPr="005D7CA9">
              <w:rPr>
                <w:b/>
                <w:lang w:val="sv-SE"/>
              </w:rPr>
              <w:t xml:space="preserve">J. </w:t>
            </w:r>
            <w:r w:rsidRPr="005D7CA9">
              <w:rPr>
                <w:b/>
                <w:lang w:val="sv-SE"/>
              </w:rPr>
              <w:t>Liptrott</w:t>
            </w:r>
          </w:p>
          <w:p w:rsidR="00136687" w:rsidRPr="005D7CA9" w:rsidRDefault="00136687" w:rsidP="00136687">
            <w:pPr>
              <w:spacing w:after="0" w:line="240" w:lineRule="auto"/>
              <w:rPr>
                <w:b/>
                <w:lang w:val="sv-SE"/>
              </w:rPr>
            </w:pPr>
            <w:r w:rsidRPr="005D7CA9">
              <w:rPr>
                <w:b/>
                <w:lang w:val="sv-SE"/>
              </w:rPr>
              <w:t xml:space="preserve">ORCID iD </w:t>
            </w:r>
            <w:r w:rsidRPr="005D7CA9">
              <w:rPr>
                <w:lang w:val="sv-SE"/>
              </w:rPr>
              <w:t>- 0000-0002-5980-8966</w:t>
            </w:r>
          </w:p>
          <w:p w:rsidR="00136687" w:rsidRDefault="00136687" w:rsidP="00136687">
            <w:pPr>
              <w:spacing w:after="0" w:line="240" w:lineRule="auto"/>
              <w:rPr>
                <w:lang w:val="en-US"/>
              </w:rPr>
            </w:pPr>
            <w:r>
              <w:rPr>
                <w:lang w:val="en-US"/>
              </w:rPr>
              <w:t>Department of Molecular and Clinical Pharmacology, Institute of Translational Medicine, University of Liverpool, Liverpool, United Kingdom</w:t>
            </w:r>
          </w:p>
          <w:p w:rsidR="00D5572F" w:rsidRPr="00FD37BD" w:rsidRDefault="006A2925" w:rsidP="001A13C8">
            <w:pPr>
              <w:spacing w:after="0" w:line="240" w:lineRule="auto"/>
            </w:pPr>
            <w:r w:rsidRPr="006A2925">
              <w:t>Neill.Liptrott@liverpool.ac.uk</w:t>
            </w:r>
          </w:p>
        </w:tc>
      </w:tr>
      <w:tr w:rsidR="006A2925" w:rsidRPr="00FD37BD" w:rsidTr="001A13C8">
        <w:trPr>
          <w:trHeight w:val="530"/>
        </w:trPr>
        <w:tc>
          <w:tcPr>
            <w:tcW w:w="8118" w:type="dxa"/>
          </w:tcPr>
          <w:p w:rsidR="006A2925" w:rsidRDefault="006A2925" w:rsidP="001A13C8">
            <w:pPr>
              <w:spacing w:after="0" w:line="240" w:lineRule="auto"/>
              <w:rPr>
                <w:b/>
              </w:rPr>
            </w:pPr>
            <w:r w:rsidRPr="006A2925">
              <w:rPr>
                <w:b/>
              </w:rPr>
              <w:t>Susanne Bremer</w:t>
            </w:r>
            <w:r w:rsidR="00D20C88">
              <w:rPr>
                <w:b/>
              </w:rPr>
              <w:t>*</w:t>
            </w:r>
          </w:p>
          <w:p w:rsidR="006A2925" w:rsidRDefault="006A2925" w:rsidP="006A2925">
            <w:pPr>
              <w:spacing w:after="0" w:line="240" w:lineRule="auto"/>
            </w:pPr>
            <w:r w:rsidRPr="006A2925">
              <w:t>Consumer Products Safety Unit, Directorate F - Health, Consumers and Reference Materials, European Commission Joint Research Centre (JRC), Ispra, (VA), Italy</w:t>
            </w:r>
          </w:p>
          <w:p w:rsidR="006A2925" w:rsidRPr="006A2925" w:rsidRDefault="006A2925" w:rsidP="001A13C8">
            <w:pPr>
              <w:spacing w:after="0" w:line="240" w:lineRule="auto"/>
            </w:pPr>
            <w:r w:rsidRPr="006A2925">
              <w:t>susanne.bremer-hoffmann@ec.europa.eu</w:t>
            </w:r>
          </w:p>
        </w:tc>
      </w:tr>
    </w:tbl>
    <w:p w:rsidR="00443C29" w:rsidRDefault="005F1BE2">
      <w:r>
        <w:t>All a</w:t>
      </w:r>
      <w:r w:rsidR="00D20C88">
        <w:t>uthors declare no conflict of interest</w:t>
      </w:r>
    </w:p>
    <w:p w:rsidR="0081542B" w:rsidRDefault="0081542B">
      <w:pPr>
        <w:rPr>
          <w:b/>
          <w:color w:val="1F497D"/>
        </w:rPr>
      </w:pPr>
    </w:p>
    <w:p w:rsidR="00443C29" w:rsidRPr="005A77E5" w:rsidRDefault="00CE0E24">
      <w:pPr>
        <w:rPr>
          <w:b/>
          <w:color w:val="1F497D"/>
        </w:rPr>
      </w:pPr>
      <w:r>
        <w:rPr>
          <w:b/>
          <w:color w:val="1F497D"/>
        </w:rPr>
        <w:br w:type="page"/>
      </w:r>
      <w:r w:rsidR="002D18FB" w:rsidRPr="005A77E5">
        <w:rPr>
          <w:b/>
          <w:color w:val="1F497D"/>
        </w:rPr>
        <w:lastRenderedPageBreak/>
        <w:t>Abstract</w:t>
      </w:r>
    </w:p>
    <w:p w:rsidR="007C7538" w:rsidRDefault="00375459" w:rsidP="006A2925">
      <w:pPr>
        <w:jc w:val="both"/>
      </w:pPr>
      <w:r>
        <w:t>Since n</w:t>
      </w:r>
      <w:r w:rsidR="006A2925" w:rsidRPr="006A2925">
        <w:t xml:space="preserve">anomedicines have the potential to address </w:t>
      </w:r>
      <w:r w:rsidR="004E6F36">
        <w:t xml:space="preserve">many </w:t>
      </w:r>
      <w:r w:rsidR="0005212D">
        <w:t xml:space="preserve">currently </w:t>
      </w:r>
      <w:r w:rsidR="006A2925" w:rsidRPr="006A2925">
        <w:t>unmet medical needs</w:t>
      </w:r>
      <w:r>
        <w:t>,</w:t>
      </w:r>
      <w:r w:rsidR="006A2925" w:rsidRPr="006A2925">
        <w:t xml:space="preserve"> </w:t>
      </w:r>
      <w:r w:rsidR="004E6F36">
        <w:t xml:space="preserve">the </w:t>
      </w:r>
      <w:r w:rsidR="00B83680">
        <w:t xml:space="preserve">early </w:t>
      </w:r>
      <w:r w:rsidR="004E6F36">
        <w:t xml:space="preserve">identification of regulatory </w:t>
      </w:r>
      <w:r w:rsidR="000864EE">
        <w:t xml:space="preserve">requirements </w:t>
      </w:r>
      <w:r w:rsidR="004E6F36">
        <w:t xml:space="preserve">that </w:t>
      </w:r>
      <w:r w:rsidR="00146788">
        <w:t xml:space="preserve">could </w:t>
      </w:r>
      <w:r w:rsidR="004E6F36">
        <w:t xml:space="preserve">hamper </w:t>
      </w:r>
      <w:r w:rsidR="000864EE">
        <w:t xml:space="preserve">a </w:t>
      </w:r>
      <w:r w:rsidR="006A2925" w:rsidRPr="006A2925">
        <w:t>smooth translation of nanomedicine</w:t>
      </w:r>
      <w:r>
        <w:t xml:space="preserve">s </w:t>
      </w:r>
      <w:r w:rsidR="004E6F36">
        <w:t xml:space="preserve">from the </w:t>
      </w:r>
      <w:r w:rsidR="000864EE">
        <w:t>laboratory</w:t>
      </w:r>
      <w:r w:rsidR="004E6F36">
        <w:t xml:space="preserve"> environment to </w:t>
      </w:r>
      <w:r>
        <w:t>clinical applications</w:t>
      </w:r>
      <w:r w:rsidR="004E6F36">
        <w:t xml:space="preserve"> is of utmost importance</w:t>
      </w:r>
      <w:r w:rsidR="00B25938">
        <w:t>.</w:t>
      </w:r>
      <w:r w:rsidR="00EA301D">
        <w:t xml:space="preserve"> </w:t>
      </w:r>
      <w:r w:rsidR="004E20B5">
        <w:t>T</w:t>
      </w:r>
      <w:r w:rsidR="000864EE">
        <w:t xml:space="preserve">he blood system </w:t>
      </w:r>
      <w:r w:rsidR="00C63F85">
        <w:t xml:space="preserve">is </w:t>
      </w:r>
      <w:r w:rsidR="004E20B5">
        <w:t xml:space="preserve">especially </w:t>
      </w:r>
      <w:r w:rsidR="00C63F85">
        <w:t xml:space="preserve">relevant </w:t>
      </w:r>
      <w:r w:rsidR="000864EE">
        <w:t xml:space="preserve">since </w:t>
      </w:r>
      <w:r w:rsidR="00D20C63">
        <w:t xml:space="preserve">many </w:t>
      </w:r>
      <w:r w:rsidR="00C63F85">
        <w:t xml:space="preserve">nanomedicinal </w:t>
      </w:r>
      <w:r w:rsidR="00D20C63">
        <w:t>products that are currently under development are</w:t>
      </w:r>
      <w:r w:rsidR="00D20C63" w:rsidRPr="006A2925">
        <w:t xml:space="preserve"> designed for intrav</w:t>
      </w:r>
      <w:r w:rsidR="000864EE">
        <w:t xml:space="preserve">enous administration and </w:t>
      </w:r>
      <w:r w:rsidR="00D20C63">
        <w:t xml:space="preserve">cells of the </w:t>
      </w:r>
      <w:r w:rsidR="00D20C63" w:rsidRPr="006A2925">
        <w:t xml:space="preserve">blood system will be among the first </w:t>
      </w:r>
      <w:r w:rsidR="00D20C63">
        <w:t xml:space="preserve">biological systems </w:t>
      </w:r>
      <w:r w:rsidR="0005212D">
        <w:t>exposed to</w:t>
      </w:r>
      <w:r w:rsidR="00D20C63" w:rsidRPr="006A2925">
        <w:t xml:space="preserve"> the injected nanomedicine.</w:t>
      </w:r>
      <w:r w:rsidR="00D20C63">
        <w:t xml:space="preserve"> </w:t>
      </w:r>
      <w:r w:rsidR="00EA301D">
        <w:t>T</w:t>
      </w:r>
      <w:r w:rsidR="004E6F36">
        <w:t xml:space="preserve">his review </w:t>
      </w:r>
      <w:r w:rsidR="00D20C63">
        <w:t>collect</w:t>
      </w:r>
      <w:r w:rsidR="00EA301D">
        <w:t>s</w:t>
      </w:r>
      <w:r w:rsidR="00D20C63">
        <w:t xml:space="preserve"> and </w:t>
      </w:r>
      <w:r w:rsidR="00EA301D">
        <w:t xml:space="preserve">summarizes </w:t>
      </w:r>
      <w:r w:rsidR="00D20C63">
        <w:t xml:space="preserve">the current knowledge related to </w:t>
      </w:r>
      <w:r w:rsidR="00146788">
        <w:t>the</w:t>
      </w:r>
      <w:r w:rsidR="004E6F36">
        <w:t xml:space="preserve"> b</w:t>
      </w:r>
      <w:r>
        <w:t>lood compatibility</w:t>
      </w:r>
      <w:r w:rsidR="00146788">
        <w:t xml:space="preserve"> of nanomedicines</w:t>
      </w:r>
      <w:r>
        <w:t xml:space="preserve"> </w:t>
      </w:r>
      <w:r w:rsidR="00D20C63">
        <w:t xml:space="preserve">and nanomaterials </w:t>
      </w:r>
      <w:r w:rsidR="006A2925" w:rsidRPr="006A2925">
        <w:t xml:space="preserve">with a potential use in biomedical applications. Different </w:t>
      </w:r>
      <w:r w:rsidR="0003005C">
        <w:t>types</w:t>
      </w:r>
      <w:r w:rsidR="0003005C" w:rsidRPr="006A2925">
        <w:t xml:space="preserve"> </w:t>
      </w:r>
      <w:r w:rsidR="006A2925" w:rsidRPr="006A2925">
        <w:t>of nanomedicines were analysed for their toxicit</w:t>
      </w:r>
      <w:r w:rsidR="000A7FE4">
        <w:t>y</w:t>
      </w:r>
      <w:r w:rsidR="006A2925" w:rsidRPr="006A2925">
        <w:t xml:space="preserve"> to the blood system</w:t>
      </w:r>
      <w:r w:rsidR="000A7FE4">
        <w:t>,</w:t>
      </w:r>
      <w:r w:rsidR="006A2925" w:rsidRPr="006A2925">
        <w:t xml:space="preserve"> and the role of their physico-chemical properties was further elucidated.</w:t>
      </w:r>
      <w:r w:rsidR="00772D52">
        <w:t xml:space="preserve"> </w:t>
      </w:r>
      <w:r w:rsidR="0005212D">
        <w:t>T</w:t>
      </w:r>
      <w:r w:rsidR="006A2925" w:rsidRPr="006A2925">
        <w:t>rends</w:t>
      </w:r>
      <w:r w:rsidR="0005212D">
        <w:t xml:space="preserve"> were identified</w:t>
      </w:r>
      <w:r w:rsidR="006A2925" w:rsidRPr="006A2925">
        <w:t xml:space="preserve"> related to</w:t>
      </w:r>
      <w:r w:rsidR="0005212D">
        <w:t>: i)</w:t>
      </w:r>
      <w:r w:rsidR="006A2925" w:rsidRPr="006A2925">
        <w:t xml:space="preserve"> the nature of </w:t>
      </w:r>
      <w:r w:rsidR="000A7FE4">
        <w:t xml:space="preserve">the </w:t>
      </w:r>
      <w:r w:rsidR="006A2925" w:rsidRPr="006A2925">
        <w:t>most</w:t>
      </w:r>
      <w:r w:rsidR="000A7FE4">
        <w:t xml:space="preserve"> frequently</w:t>
      </w:r>
      <w:r w:rsidR="006A2925" w:rsidRPr="006A2925">
        <w:t xml:space="preserve"> occurring blood incompatibilities such as thrombogenicity and complement activation,</w:t>
      </w:r>
      <w:r w:rsidR="0005212D">
        <w:t xml:space="preserve"> ii)</w:t>
      </w:r>
      <w:r w:rsidR="006A2925" w:rsidRPr="006A2925">
        <w:t xml:space="preserve"> the contribution of physico-chemical properties to </w:t>
      </w:r>
      <w:r w:rsidR="000A7FE4">
        <w:t xml:space="preserve">these </w:t>
      </w:r>
      <w:r w:rsidR="006A2925" w:rsidRPr="006A2925">
        <w:t xml:space="preserve">blood incompatibilities, </w:t>
      </w:r>
      <w:r w:rsidR="0005212D">
        <w:t>and iii)</w:t>
      </w:r>
      <w:r w:rsidR="006A2925" w:rsidRPr="006A2925">
        <w:t xml:space="preserve"> the </w:t>
      </w:r>
      <w:r w:rsidR="00CF1CF0">
        <w:t>similarities between</w:t>
      </w:r>
      <w:r w:rsidR="003311C2">
        <w:t xml:space="preserve"> data retrieved from</w:t>
      </w:r>
      <w:r w:rsidR="006A2925" w:rsidRPr="006A2925">
        <w:t xml:space="preserve"> </w:t>
      </w:r>
      <w:r w:rsidR="006A2925" w:rsidRPr="001E77AF">
        <w:rPr>
          <w:i/>
        </w:rPr>
        <w:t>in vivo</w:t>
      </w:r>
      <w:r w:rsidR="006A2925" w:rsidRPr="006A2925">
        <w:t xml:space="preserve"> and </w:t>
      </w:r>
      <w:r w:rsidR="006A2925" w:rsidRPr="008E298E">
        <w:rPr>
          <w:i/>
        </w:rPr>
        <w:t xml:space="preserve">in vitro </w:t>
      </w:r>
      <w:r w:rsidR="006A2925" w:rsidRPr="006A2925">
        <w:t>studies.</w:t>
      </w:r>
      <w:r w:rsidR="00437044">
        <w:t xml:space="preserve"> Finally, we provide an overview </w:t>
      </w:r>
      <w:r w:rsidR="0005212D">
        <w:t xml:space="preserve">of </w:t>
      </w:r>
      <w:r w:rsidR="00437044">
        <w:t xml:space="preserve">available standards that allow evaluating the compatibility of </w:t>
      </w:r>
      <w:r w:rsidR="0005212D">
        <w:t xml:space="preserve">a </w:t>
      </w:r>
      <w:r w:rsidR="00437044">
        <w:t>material with</w:t>
      </w:r>
      <w:r w:rsidR="00702D09">
        <w:t xml:space="preserve"> the</w:t>
      </w:r>
      <w:r w:rsidR="00437044">
        <w:t xml:space="preserve"> blood system.</w:t>
      </w:r>
    </w:p>
    <w:p w:rsidR="0081542B" w:rsidRDefault="0081542B" w:rsidP="006A2925">
      <w:pPr>
        <w:jc w:val="both"/>
      </w:pPr>
    </w:p>
    <w:p w:rsidR="00D24C2C" w:rsidRDefault="00D24C2C" w:rsidP="00D24C2C">
      <w:pPr>
        <w:rPr>
          <w:b/>
          <w:color w:val="1F497D"/>
        </w:rPr>
      </w:pPr>
      <w:r>
        <w:rPr>
          <w:b/>
          <w:color w:val="1F497D"/>
        </w:rPr>
        <w:t>Graphical</w:t>
      </w:r>
      <w:r w:rsidR="00965992">
        <w:rPr>
          <w:b/>
          <w:color w:val="1F497D"/>
        </w:rPr>
        <w:t>/Visual</w:t>
      </w:r>
      <w:r>
        <w:rPr>
          <w:b/>
          <w:color w:val="1F497D"/>
        </w:rPr>
        <w:t xml:space="preserve"> Abstract and</w:t>
      </w:r>
      <w:r w:rsidRPr="005A77E5">
        <w:rPr>
          <w:b/>
          <w:color w:val="1F497D"/>
        </w:rPr>
        <w:t xml:space="preserve"> </w:t>
      </w:r>
      <w:r>
        <w:rPr>
          <w:b/>
          <w:color w:val="1F497D"/>
        </w:rPr>
        <w:t>C</w:t>
      </w:r>
      <w:r w:rsidRPr="005A77E5">
        <w:rPr>
          <w:b/>
          <w:color w:val="1F497D"/>
        </w:rPr>
        <w:t>aption</w:t>
      </w:r>
    </w:p>
    <w:p w:rsidR="0081542B" w:rsidRPr="005A77E5" w:rsidRDefault="000D57C3" w:rsidP="00D24C2C">
      <w:pPr>
        <w:rPr>
          <w:b/>
          <w:color w:val="1F497D"/>
        </w:rPr>
      </w:pPr>
      <w:r>
        <w:rPr>
          <w:b/>
          <w:noProof/>
          <w:color w:val="7030A0"/>
          <w:lang w:eastAsia="en-GB"/>
        </w:rPr>
        <w:drawing>
          <wp:inline distT="0" distB="0" distL="0" distR="0">
            <wp:extent cx="5724525" cy="3086100"/>
            <wp:effectExtent l="0" t="0" r="9525" b="0"/>
            <wp:docPr id="14" name="Picture 14" descr="Graphical abstract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phical abstract_H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4525" cy="3086100"/>
                    </a:xfrm>
                    <a:prstGeom prst="rect">
                      <a:avLst/>
                    </a:prstGeom>
                    <a:noFill/>
                    <a:ln>
                      <a:noFill/>
                    </a:ln>
                  </pic:spPr>
                </pic:pic>
              </a:graphicData>
            </a:graphic>
          </wp:inline>
        </w:drawing>
      </w:r>
    </w:p>
    <w:p w:rsidR="00D24C2C" w:rsidRDefault="00D24C2C" w:rsidP="00D24C2C">
      <w:pPr>
        <w:rPr>
          <w:b/>
          <w:color w:val="7030A0"/>
        </w:rPr>
      </w:pPr>
    </w:p>
    <w:p w:rsidR="0081542B" w:rsidRDefault="0081542B" w:rsidP="00CA53DD">
      <w:pPr>
        <w:rPr>
          <w:b/>
          <w:color w:val="1F497D"/>
        </w:rPr>
      </w:pPr>
    </w:p>
    <w:p w:rsidR="008D4239" w:rsidRDefault="008D4239" w:rsidP="00CA53DD">
      <w:pPr>
        <w:rPr>
          <w:b/>
          <w:color w:val="1F497D"/>
        </w:rPr>
      </w:pPr>
    </w:p>
    <w:p w:rsidR="00E84A36" w:rsidRDefault="00E84A36" w:rsidP="00CA53DD">
      <w:pPr>
        <w:rPr>
          <w:b/>
          <w:color w:val="1F497D"/>
        </w:rPr>
      </w:pPr>
    </w:p>
    <w:p w:rsidR="0081542B" w:rsidRDefault="0081542B" w:rsidP="00CA53DD">
      <w:pPr>
        <w:rPr>
          <w:b/>
          <w:color w:val="1F497D"/>
        </w:rPr>
      </w:pPr>
    </w:p>
    <w:p w:rsidR="00CA53DD" w:rsidRPr="005A77E5" w:rsidRDefault="00CA53DD" w:rsidP="00CA53DD">
      <w:pPr>
        <w:rPr>
          <w:b/>
          <w:color w:val="1F497D"/>
        </w:rPr>
      </w:pPr>
      <w:r w:rsidRPr="005A77E5">
        <w:rPr>
          <w:b/>
          <w:color w:val="1F497D"/>
        </w:rPr>
        <w:lastRenderedPageBreak/>
        <w:t>Introduction</w:t>
      </w:r>
    </w:p>
    <w:p w:rsidR="00006EE3" w:rsidRDefault="003865B8" w:rsidP="003865B8">
      <w:pPr>
        <w:spacing w:after="0"/>
        <w:jc w:val="both"/>
      </w:pPr>
      <w:r w:rsidRPr="003865B8">
        <w:t xml:space="preserve">The advantages of applying nanotechnology in the medical field have been extensively reviewed </w:t>
      </w:r>
      <w:r w:rsidRPr="003865B8">
        <w:fldChar w:fldCharType="begin" w:fldLock="1"/>
      </w:r>
      <w:r w:rsidRPr="003865B8">
        <w:instrText>ADDIN CSL_CITATION { "citationItems" : [ { "id" : "ITEM-1", "itemData" : { "DOI" : "10.1016/j.jconrel.2014.06.005", "ISBN" : "0168-3659", "ISSN" : "18734995", "PMID" : "24933600", "abstract" : "The revolutionary and ubiquitous nature of nanotechnology has fetched it a considerable attention in the past few decades. Even though its enablement and application to various sectors including pharmaceutical drug development is increasing with the enormous government aided funding for nanotechnology-based products, however the parallel commercialization of these systems has not picked up a similar impetus. The technology however does address the unmet needs of pharmaceutical industry, including the reformulation of drugs to improve their solubility, bioavailability or toxicity profiles as observed from the wide array of high-quality research publications appearing in various scientific journals and magazines. Based on our decade-long experience in the field of nanotech-based drug delivery systems and extensive literature survey, we perceive that the major hiccups to the marketing of these nanotechnology products can be categorized as 1) inadequate regulatory framework; 2) lack of support and acceptance by the public, practicing physician, and industry; 3) developmental considerations like scalability, reproducibility, characterization, quality control, and suitable translation; 4) toxicological issues and safety profiles; 5) lack of available multidisciplinary platforms; and, 6) poor intellectual property protection. The present review dwells on these issues elaborating the trends followed by the industry, regulatory role of the USFDA and their implication, and the challenges set forth for a successful translation of these products from the lab and different clinical phases to the market.", "author" : [ { "dropping-particle" : "", "family" : "Kaur", "given" : "Indu Pal", "non-dropping-particle" : "", "parse-names" : false, "suffix" : "" }, { "dropping-particle" : "", "family" : "Kakkar", "given" : "Vandita", "non-dropping-particle" : "", "parse-names" : false, "suffix" : "" }, { "dropping-particle" : "", "family" : "Deol", "given" : "Parneet Kaur", "non-dropping-particle" : "", "parse-names" : false, "suffix" : "" }, { "dropping-particle" : "", "family" : "Yadav", "given" : "Monika", "non-dropping-particle" : "", "parse-names" : false, "suffix" : "" }, { "dropping-particle" : "", "family" : "Singh", "given" : "Mandeep", "non-dropping-particle" : "", "parse-names" : false, "suffix" : "" }, { "dropping-particle" : "", "family" : "Sharma", "given" : "Ikksheta", "non-dropping-particle" : "", "parse-names" : false, "suffix" : "" } ], "container-title" : "Journal of Controlled Release", "id" : "ITEM-1", "issue" : "2014", "issued" : { "date-parts" : [ [ "2014" ] ] }, "page" : "51-62", "publisher" : "Elsevier B.V.", "title" : "Issues and concerns in nanotech product development and its commercialization", "type" : "article-journal", "volume" : "193" }, "uris" : [ "http://www.mendeley.com/documents/?uuid=409aa98d-5b75-496a-81b8-ce797d97871b" ] } ], "mendeley" : { "formattedCitation" : "(Kaur et al., 2014)", "manualFormatting" : "(Kaur, 2014)", "plainTextFormattedCitation" : "(Kaur et al., 2014)", "previouslyFormattedCitation" : "(Kaur et al., 2014)" }, "properties" : { "noteIndex" : 0 }, "schema" : "https://github.com/citation-style-language/schema/raw/master/csl-citation.json" }</w:instrText>
      </w:r>
      <w:r w:rsidRPr="003865B8">
        <w:fldChar w:fldCharType="separate"/>
      </w:r>
      <w:r w:rsidRPr="003865B8">
        <w:rPr>
          <w:noProof/>
        </w:rPr>
        <w:t>(Kaur, 2014)</w:t>
      </w:r>
      <w:r w:rsidRPr="003865B8">
        <w:fldChar w:fldCharType="end"/>
      </w:r>
      <w:r w:rsidRPr="003865B8">
        <w:t xml:space="preserve"> and the potential of nanomedicines raises many hopes to address unmet medical needs, as defined by the WHO in its report on priority medicines for Europe </w:t>
      </w:r>
      <w:r w:rsidRPr="003865B8">
        <w:fldChar w:fldCharType="begin" w:fldLock="1"/>
      </w:r>
      <w:r w:rsidRPr="003865B8">
        <w:instrText>ADDIN CSL_CITATION { "citationItems" : [ { "id" : "ITEM-1", "itemData" : { "author" : [ { "dropping-particle" : "", "family" : "Kaplan", "given" : "W", "non-dropping-particle" : "", "parse-names" : false, "suffix" : "" }, { "dropping-particle" : "", "family" : "Wirtz", "given" : "VJ", "non-dropping-particle" : "", "parse-names" : false, "suffix" : "" }, { "dropping-particle" : "", "family" : "Mantel-Teeuwisse", "given" : "A", "non-dropping-particle" : "", "parse-names" : false, "suffix" : "" }, { "dropping-particle" : "", "family" : "Stolk", "given" : "P", "non-dropping-particle" : "", "parse-names" : false, "suffix" : "" }, { "dropping-particle" : "", "family" : "Duthey", "given" : "B", "non-dropping-particle" : "", "parse-names" : false, "suffix" : "" }, { "dropping-particle" : "", "family" : "Laining", "given" : "R", "non-dropping-particle" : "", "parse-names" : false, "suffix" : "" } ], "id" : "ITEM-1", "issued" : { "date-parts" : [ [ "2013" ] ] }, "title" : "Priority Medicines for Europe and the World. 2013 Update. World Health Organization in Collaboration with Utrecht University and Boston University", "type" : "article-journal" }, "uris" : [ "http://www.mendeley.com/documents/?uuid=6e172b14-0cfc-404e-bc67-1383fcb94c42" ] } ], "mendeley" : { "formattedCitation" : "(Kaplan et al., 2013)", "manualFormatting" : "(Kaplan, 2013)", "plainTextFormattedCitation" : "(Kaplan et al., 2013)", "previouslyFormattedCitation" : "(Kaplan et al., 2013)" }, "properties" : { "noteIndex" : 1 }, "schema" : "https://github.com/citation-style-language/schema/raw/master/csl-citation.json" }</w:instrText>
      </w:r>
      <w:r w:rsidRPr="003865B8">
        <w:fldChar w:fldCharType="separate"/>
      </w:r>
      <w:r w:rsidRPr="003865B8">
        <w:rPr>
          <w:noProof/>
        </w:rPr>
        <w:t>(Kaplan, 2013)</w:t>
      </w:r>
      <w:r w:rsidRPr="003865B8">
        <w:fldChar w:fldCharType="end"/>
      </w:r>
      <w:r w:rsidRPr="003865B8">
        <w:t xml:space="preserve">. The feasibility </w:t>
      </w:r>
      <w:r w:rsidR="00FD48AA">
        <w:t>of</w:t>
      </w:r>
      <w:r w:rsidR="00FD48AA" w:rsidRPr="003865B8">
        <w:t xml:space="preserve"> </w:t>
      </w:r>
      <w:r w:rsidRPr="003865B8">
        <w:t>translat</w:t>
      </w:r>
      <w:r w:rsidR="00FD48AA">
        <w:t>ing</w:t>
      </w:r>
      <w:r w:rsidRPr="003865B8">
        <w:t xml:space="preserve"> innovative therapeutic concepts into medicinal products has been recently shown </w:t>
      </w:r>
      <w:r w:rsidRPr="003865B8">
        <w:fldChar w:fldCharType="begin" w:fldLock="1"/>
      </w:r>
      <w:r w:rsidRPr="003865B8">
        <w:instrText>ADDIN CSL_CITATION { "citationItems" : [ { "id" : "ITEM-1", "itemData" : { "DOI" : "10.1038/nnano.2017.67", "ISBN" : "1748-3395 (Electronic)\r1748-3387 (Linking)", "ISSN" : "1748-3387", "PMID" : "28436961", "abstract" : "The Center for Drug Evaluation and Research (CDER) within the US Food and Drug Administration (FDA) is tracking the use of nanotechnology in drug products by building and interrogating a technical profile of products containing nanomaterials submitted to CDER. In this Analysis, data from more than 350 products show an increase in the submissions of drug products containing nanomaterials over the last two decades. Of these, 65% are investigational new drugs, 17% are new drug applications and 18% are abbreviated new drug applications, with the largest class of products being liposomal formulations intended for cancer treatments. Approximately 80% of products have average particle sizes of 300 nm or lower. This analysis identifies several trends in the development of drug products containing nanomaterials, including the relative rate of approvals of these products, and provides a comprehensive overview on the landscape of nanotechnology application in medicine.", "author" : [ { "dropping-particle" : "", "family" : "D'Mello", "given" : "Sheetal R.", "non-dropping-particle" : "", "parse-names" : false, "suffix" : "" }, { "dropping-particle" : "", "family" : "Cruz", "given" : "Celia N.", "non-dropping-particle" : "", "parse-names" : false, "suffix" : "" }, { "dropping-particle" : "", "family" : "Chen", "given" : "Mei-Ling", "non-dropping-particle" : "", "parse-names" : false, "suffix" : "" }, { "dropping-particle" : "", "family" : "Kapoor", "given" : "Mamta", "non-dropping-particle" : "", "parse-names" : false, "suffix" : "" }, { "dropping-particle" : "", "family" : "Lee", "given" : "Sau L.", "non-dropping-particle" : "", "parse-names" : false, "suffix" : "" }, { "dropping-particle" : "", "family" : "Tyner", "given" : "Katherine M.", "non-dropping-particle" : "", "parse-names" : false, "suffix" : "" } ], "container-title" : "Nature Nanotechnology", "id" : "ITEM-1", "issue" : "6", "issued" : { "date-parts" : [ [ "2017" ] ] }, "page" : "523-529", "publisher" : "Nature Publishing Group", "title" : "The evolving landscape of drug products containing nanomaterials in the United States", "type" : "article-journal", "volume" : "12" }, "uris" : [ "http://www.mendeley.com/documents/?uuid=1d826063-50c9-4a0e-823f-bc0d7aaff75d" ] } ], "mendeley" : { "formattedCitation" : "(D\u2019Mello et al., 2017)", "manualFormatting" : "(D\u2019Mello, 2017)", "plainTextFormattedCitation" : "(D\u2019Mello et al., 2017)", "previouslyFormattedCitation" : "(D\u2019Mello et al., 2017)" }, "properties" : { "noteIndex" : 1 }, "schema" : "https://github.com/citation-style-language/schema/raw/master/csl-citation.json" }</w:instrText>
      </w:r>
      <w:r w:rsidRPr="003865B8">
        <w:fldChar w:fldCharType="separate"/>
      </w:r>
      <w:r w:rsidRPr="003865B8">
        <w:rPr>
          <w:noProof/>
        </w:rPr>
        <w:t>(D’Mello, 2017)</w:t>
      </w:r>
      <w:r w:rsidRPr="003865B8">
        <w:fldChar w:fldCharType="end"/>
      </w:r>
      <w:r w:rsidR="008466F6">
        <w:t>. In the USA, there is a clear</w:t>
      </w:r>
      <w:r w:rsidR="00DB31F8">
        <w:t xml:space="preserve"> </w:t>
      </w:r>
      <w:r w:rsidRPr="003865B8">
        <w:t xml:space="preserve">increase </w:t>
      </w:r>
      <w:r w:rsidR="008466F6">
        <w:t>in the number of</w:t>
      </w:r>
      <w:r w:rsidR="008466F6" w:rsidRPr="003865B8">
        <w:t xml:space="preserve"> </w:t>
      </w:r>
      <w:r w:rsidRPr="003865B8">
        <w:t>applications</w:t>
      </w:r>
      <w:r w:rsidR="008466F6">
        <w:t xml:space="preserve"> for drug products</w:t>
      </w:r>
      <w:r w:rsidRPr="003865B8">
        <w:t xml:space="preserve"> seeking regulatory approval from </w:t>
      </w:r>
      <w:r w:rsidR="008466F6">
        <w:t xml:space="preserve">the </w:t>
      </w:r>
      <w:r w:rsidRPr="003865B8">
        <w:t xml:space="preserve">FDA's Centre for </w:t>
      </w:r>
      <w:r w:rsidR="00F544B1">
        <w:t>D</w:t>
      </w:r>
      <w:r w:rsidR="00F544B1" w:rsidRPr="003865B8">
        <w:t xml:space="preserve">rug </w:t>
      </w:r>
      <w:r w:rsidR="00F544B1">
        <w:t>E</w:t>
      </w:r>
      <w:r w:rsidR="00F544B1" w:rsidRPr="003865B8">
        <w:t xml:space="preserve">valuation </w:t>
      </w:r>
      <w:r w:rsidRPr="003865B8">
        <w:t xml:space="preserve">and </w:t>
      </w:r>
      <w:r w:rsidR="00F544B1">
        <w:t>R</w:t>
      </w:r>
      <w:r w:rsidR="00F544B1" w:rsidRPr="003865B8">
        <w:t xml:space="preserve">esearch </w:t>
      </w:r>
      <w:r w:rsidRPr="003865B8">
        <w:t>(CDER)</w:t>
      </w:r>
      <w:r w:rsidR="005337D0">
        <w:t>,</w:t>
      </w:r>
      <w:r w:rsidR="008466F6">
        <w:t xml:space="preserve"> with m</w:t>
      </w:r>
      <w:r w:rsidRPr="003865B8">
        <w:t xml:space="preserve">ore than 359 applications already submitted and each year more than 15 </w:t>
      </w:r>
      <w:r w:rsidR="00FD48AA">
        <w:t>new</w:t>
      </w:r>
      <w:r w:rsidRPr="003865B8">
        <w:t xml:space="preserve"> applications </w:t>
      </w:r>
      <w:r w:rsidR="008466F6">
        <w:t>being</w:t>
      </w:r>
      <w:r w:rsidR="008466F6" w:rsidRPr="003865B8">
        <w:t xml:space="preserve"> </w:t>
      </w:r>
      <w:r w:rsidRPr="003865B8">
        <w:t xml:space="preserve">registered. </w:t>
      </w:r>
      <w:r w:rsidR="008466F6">
        <w:t>Similarly,</w:t>
      </w:r>
      <w:r w:rsidRPr="003865B8">
        <w:t xml:space="preserve"> in Europe more than 250 clinical trials </w:t>
      </w:r>
      <w:r w:rsidR="008466F6">
        <w:t>have been registered, and approximately</w:t>
      </w:r>
      <w:r w:rsidRPr="003865B8">
        <w:t xml:space="preserve"> 30 different nanotechnology</w:t>
      </w:r>
      <w:r w:rsidR="00B41E88">
        <w:t>-</w:t>
      </w:r>
      <w:r w:rsidRPr="003865B8">
        <w:t xml:space="preserve">based products have been approved </w:t>
      </w:r>
      <w:r w:rsidRPr="003865B8">
        <w:fldChar w:fldCharType="begin" w:fldLock="1"/>
      </w:r>
      <w:r w:rsidR="00D33F29">
        <w:instrText>ADDIN CSL_CITATION { "citationItems" : [ { "id" : "ITEM-1", "itemData" : { "URL" : "https://eudract.ema.europa.eu/index.html", "id" : "ITEM-1", "issued" : { "date-parts" : [ [ "2017" ] ] }, "title" : "European Clinical Trials Database (EUdraCT)", "type" : "webpage" }, "uris" : [ "http://www.mendeley.com/documents/?uuid=50c7babc-c5a6-4bee-8dca-4cf4e82163d5" ] } ], "mendeley" : { "formattedCitation" : "(\u201cEuropean Clinical Trials Database (EUdraCT),\u201d 2017)", "manualFormatting" : "(European Clinical Trials Database, 2017)", "plainTextFormattedCitation" : "(\u201cEuropean Clinical Trials Database (EUdraCT),\u201d 2017)", "previouslyFormattedCitation" : "(\u201cEuropean Clinical Trials Database (EUdraCT),\u201d 2017)" }, "properties" : { "noteIndex" : 1 }, "schema" : "https://github.com/citation-style-language/schema/raw/master/csl-citation.json" }</w:instrText>
      </w:r>
      <w:r w:rsidRPr="003865B8">
        <w:fldChar w:fldCharType="separate"/>
      </w:r>
      <w:r w:rsidRPr="003865B8">
        <w:rPr>
          <w:noProof/>
        </w:rPr>
        <w:t>(European Clinical Trials Database, 2017)</w:t>
      </w:r>
      <w:r w:rsidRPr="003865B8">
        <w:fldChar w:fldCharType="end"/>
      </w:r>
      <w:r w:rsidRPr="003865B8">
        <w:t xml:space="preserve">. Such success stories </w:t>
      </w:r>
      <w:r w:rsidR="00DB31F8">
        <w:t>contribut</w:t>
      </w:r>
      <w:r w:rsidR="008466F6">
        <w:t>e</w:t>
      </w:r>
      <w:r w:rsidR="00DB31F8">
        <w:t xml:space="preserve"> to </w:t>
      </w:r>
      <w:r w:rsidR="008466F6">
        <w:t xml:space="preserve">the </w:t>
      </w:r>
      <w:r w:rsidR="00DB31F8">
        <w:t>positive market</w:t>
      </w:r>
      <w:r w:rsidRPr="003865B8">
        <w:t xml:space="preserve"> forecasts</w:t>
      </w:r>
      <w:r w:rsidR="00DB31F8">
        <w:t>,</w:t>
      </w:r>
      <w:r w:rsidRPr="003865B8">
        <w:t xml:space="preserve"> </w:t>
      </w:r>
      <w:r w:rsidR="008466F6">
        <w:t xml:space="preserve">which </w:t>
      </w:r>
      <w:r w:rsidR="00DB31F8">
        <w:t xml:space="preserve">predict </w:t>
      </w:r>
      <w:r w:rsidRPr="003865B8">
        <w:t xml:space="preserve">that the global </w:t>
      </w:r>
      <w:r w:rsidR="005A7E18">
        <w:t>n</w:t>
      </w:r>
      <w:r w:rsidRPr="003865B8">
        <w:t xml:space="preserve">anomedicine market size could reach ca. 350.8 billion USD by 2025 </w:t>
      </w:r>
      <w:r w:rsidRPr="003865B8">
        <w:fldChar w:fldCharType="begin" w:fldLock="1"/>
      </w:r>
      <w:r w:rsidRPr="003865B8">
        <w:instrText>ADDIN CSL_CITATION { "citationItems" : [ { "id" : "ITEM-1", "itemData" : { "DOI" : "978-1-68038-942-5", "author" : [ { "dropping-particle" : "", "family" : "Grand View Research", "given" : "", "non-dropping-particle" : "", "parse-names" : false, "suffix" : "" } ], "id" : "ITEM-1", "issued" : { "date-parts" : [ [ "2017" ] ] }, "title" : "Nanomedicine Market Analysis By Products, (Therapeutics, Regenerative Medicine, Diagnostics), By Application, (Clinical Oncology, Infectious diseases), By Nanomolecule (Gold, Silver, Iron Oxide, Alumina), &amp; Segment Forecasts, 2013 - 2025", "type" : "report" }, "uris" : [ "http://www.mendeley.com/documents/?uuid=7cc1a2dc-a007-4e43-b51e-0f2ece8f1f10" ] } ], "mendeley" : { "formattedCitation" : "(Grand View Research, 2017)", "plainTextFormattedCitation" : "(Grand View Research, 2017)", "previouslyFormattedCitation" : "(Grand View Research, 2017)" }, "properties" : { "noteIndex" : 2 }, "schema" : "https://github.com/citation-style-language/schema/raw/master/csl-citation.json" }</w:instrText>
      </w:r>
      <w:r w:rsidRPr="003865B8">
        <w:fldChar w:fldCharType="separate"/>
      </w:r>
      <w:r w:rsidRPr="003865B8">
        <w:rPr>
          <w:noProof/>
        </w:rPr>
        <w:t>(Grand View Research, 2017)</w:t>
      </w:r>
      <w:r w:rsidRPr="003865B8">
        <w:fldChar w:fldCharType="end"/>
      </w:r>
      <w:r w:rsidRPr="003865B8">
        <w:t xml:space="preserve">. </w:t>
      </w:r>
    </w:p>
    <w:p w:rsidR="003865B8" w:rsidRPr="003865B8" w:rsidRDefault="003865B8" w:rsidP="003865B8">
      <w:pPr>
        <w:spacing w:after="0"/>
        <w:jc w:val="both"/>
      </w:pPr>
      <w:r w:rsidRPr="003865B8">
        <w:t xml:space="preserve">However, the full exploitation of nanotechnology in medicinal products still requires efforts to anticipate </w:t>
      </w:r>
      <w:r w:rsidR="00F46D72">
        <w:t xml:space="preserve">the </w:t>
      </w:r>
      <w:r w:rsidRPr="003865B8">
        <w:t xml:space="preserve">upcoming challenges </w:t>
      </w:r>
      <w:r w:rsidR="00006EE3">
        <w:t xml:space="preserve">in </w:t>
      </w:r>
      <w:r w:rsidRPr="003865B8">
        <w:t>translatin</w:t>
      </w:r>
      <w:r w:rsidR="00006EE3">
        <w:t>g it</w:t>
      </w:r>
      <w:r w:rsidRPr="003865B8">
        <w:t xml:space="preserve"> from the laboratory environment to clinical applications. A systematic analysis o</w:t>
      </w:r>
      <w:r w:rsidR="00006EE3">
        <w:t>f</w:t>
      </w:r>
      <w:r w:rsidRPr="003865B8">
        <w:t xml:space="preserve"> the rate and reasons for failure of nanomedicines in </w:t>
      </w:r>
      <w:r w:rsidR="00CB256F">
        <w:t>preclinical</w:t>
      </w:r>
      <w:r w:rsidRPr="003865B8">
        <w:t xml:space="preserve"> and clinical development </w:t>
      </w:r>
      <w:r w:rsidR="00006EE3">
        <w:t xml:space="preserve">would be relevant, but </w:t>
      </w:r>
      <w:r w:rsidRPr="003865B8">
        <w:t xml:space="preserve">is not yet available. </w:t>
      </w:r>
      <w:r w:rsidR="00006EE3">
        <w:t>Nevertheless</w:t>
      </w:r>
      <w:r w:rsidR="00006EE3" w:rsidRPr="00537077">
        <w:t>, since toxicity accounts for 20% of all drug failures in clinical trials</w:t>
      </w:r>
      <w:r w:rsidR="00006EE3">
        <w:t>, t</w:t>
      </w:r>
      <w:r w:rsidRPr="003865B8">
        <w:t>oxic effects must be considered as potential contributors to the failure of nanomedicines</w:t>
      </w:r>
      <w:r w:rsidR="00F46D72">
        <w:t xml:space="preserve">, </w:t>
      </w:r>
      <w:r w:rsidRPr="003865B8">
        <w:fldChar w:fldCharType="begin" w:fldLock="1"/>
      </w:r>
      <w:r w:rsidRPr="003865B8">
        <w:instrText>ADDIN CSL_CITATION { "citationItems" : [ { "id" : "ITEM-1", "itemData" : { "DOI" : "10.1038/nrd1470", "author" : [ { "dropping-particle" : "", "family" : "Kola", "given" : "Ismail", "non-dropping-particle" : "", "parse-names" : false, "suffix" : "" }, { "dropping-particle" : "", "family" : "Landis", "given" : "John", "non-dropping-particle" : "", "parse-names" : false, "suffix" : "" } ], "container-title" : "Nature Reviews Drug Discovery", "id" : "ITEM-1", "issued" : { "date-parts" : [ [ "2004" ] ] }, "page" : "711\u2013716", "title" : "Can the pharmaceutical industry reduce attrition rates?", "type" : "article-journal", "volume" : "3" }, "uris" : [ "http://www.mendeley.com/documents/?uuid=0ca8868f-00e0-409d-b37d-43f6489fecd3" ] } ], "mendeley" : { "formattedCitation" : "(Kola &amp; Landis, 2004)", "manualFormatting" : "(Kola, 2004)", "plainTextFormattedCitation" : "(Kola &amp; Landis, 2004)", "previouslyFormattedCitation" : "(Kola &amp; Landis, 2004)" }, "properties" : { "noteIndex" : 1 }, "schema" : "https://github.com/citation-style-language/schema/raw/master/csl-citation.json" }</w:instrText>
      </w:r>
      <w:r w:rsidRPr="003865B8">
        <w:fldChar w:fldCharType="separate"/>
      </w:r>
      <w:r w:rsidRPr="003865B8">
        <w:rPr>
          <w:noProof/>
        </w:rPr>
        <w:t>(Kola, 2004)</w:t>
      </w:r>
      <w:r w:rsidRPr="003865B8">
        <w:fldChar w:fldCharType="end"/>
      </w:r>
      <w:r w:rsidRPr="003865B8">
        <w:t>. In particula</w:t>
      </w:r>
      <w:r w:rsidR="00BA3744">
        <w:t xml:space="preserve">r, effects on the blood system are responsible </w:t>
      </w:r>
      <w:r w:rsidRPr="003865B8">
        <w:t xml:space="preserve">for 11% of the total drug withdrawals reported by the FDA </w:t>
      </w:r>
      <w:r w:rsidRPr="003865B8">
        <w:fldChar w:fldCharType="begin" w:fldLock="1"/>
      </w:r>
      <w:r w:rsidRPr="003865B8">
        <w:instrText>ADDIN CSL_CITATION { "citationItems" : [ { "id" : "ITEM-1", "itemData" : { "DOI" : "10.1186/s12916-016-0553-2", "ISBN" : "1741-7015", "ISSN" : "1741-7015", "PMID" : "26843061", "abstract" : "BACKGROUND: There have been no studies of the patterns of post-marketing withdrawals of medicinal products to which adverse reactions have been attributed. We identified medicinal products that were withdrawn because of adverse drug reactions, examined the evidence to support such withdrawals, and explored the pattern of withdrawals across countries. METHODS: We searched PubMed, Google Scholar, the WHO's database of drugs, the websites of drug regulatory authorities, and textbooks. We included medicinal products withdrawn between 1950 and 2014 and assessed the levels of evidence used in making withdrawal decisions using the criteria of the Oxford Centre for Evidence Based Medicine. RESULTS: We identified 462 medicinal products that were withdrawn from the market between 1953 and 2013, the most common reason being hepatotoxicity. The supporting evidence in 72 % of cases consisted of anecdotal reports. Only 43 (9.34 %) drugs were withdrawn worldwide and 179 (39 %) were withdrawn in one country only. Withdrawal was significantly less likely in Africa than in other continents (Europe, the Americas, Asia, and Australasia and Oceania). The median interval between the first reported adverse reaction and the year of first withdrawal was 6 years (IQR, 1-15) and the interval did not consistently shorten over time. CONCLUSION: There are discrepancies in the patterns of withdrawal of medicinal products from the market when adverse reactions are suspected, and withdrawals are inconsistent across countries. Greater co-ordination among drug regulatory authorities and increased transparency in reporting suspected adverse drug reactions would help improve current decision-making processes.", "author" : [ { "dropping-particle" : "", "family" : "Onakpoya", "given" : "Igho J", "non-dropping-particle" : "", "parse-names" : false, "suffix" : "" }, { "dropping-particle" : "", "family" : "Heneghan", "given" : "Carl J", "non-dropping-particle" : "", "parse-names" : false, "suffix" : "" }, { "dropping-particle" : "", "family" : "Aronson", "given" : "Jeffrey K", "non-dropping-particle" : "", "parse-names" : false, "suffix" : "" } ], "container-title" : "BMC Medicine", "id" : "ITEM-1", "issue" : "1", "issued" : { "date-parts" : [ [ "2016" ] ] }, "page" : "10", "publisher" : "BMC Medicine", "title" : "Post-marketing withdrawal of 462 medicinal products because of adverse drug reactions: a systematic review of the world literature", "type" : "article-journal", "volume" : "14" }, "uris" : [ "http://www.mendeley.com/documents/?uuid=f91fc101-7d7a-432b-afb1-53bd2a76e036" ] } ], "mendeley" : { "formattedCitation" : "(Onakpoya, Heneghan, &amp; Aronson, 2016)", "plainTextFormattedCitation" : "(Onakpoya, Heneghan, &amp; Aronson, 2016)", "previouslyFormattedCitation" : "(Onakpoya, Heneghan, &amp; Aronson, 2016)" }, "properties" : { "noteIndex" : 0 }, "schema" : "https://github.com/citation-style-language/schema/raw/master/csl-citation.json" }</w:instrText>
      </w:r>
      <w:r w:rsidRPr="003865B8">
        <w:fldChar w:fldCharType="separate"/>
      </w:r>
      <w:r w:rsidRPr="003865B8">
        <w:rPr>
          <w:noProof/>
        </w:rPr>
        <w:t>(Onakpoya, Heneghan, &amp; Aronson, 2016)</w:t>
      </w:r>
      <w:r w:rsidRPr="003865B8">
        <w:fldChar w:fldCharType="end"/>
      </w:r>
      <w:r w:rsidR="00BA3744">
        <w:t xml:space="preserve">. </w:t>
      </w:r>
      <w:r w:rsidR="00F46D72">
        <w:t xml:space="preserve">With the </w:t>
      </w:r>
      <w:r w:rsidRPr="003865B8">
        <w:t xml:space="preserve">growing evidence </w:t>
      </w:r>
      <w:r w:rsidR="00F46D72" w:rsidRPr="003865B8">
        <w:t>o</w:t>
      </w:r>
      <w:r w:rsidR="00F46D72">
        <w:t>f</w:t>
      </w:r>
      <w:r w:rsidR="00F46D72" w:rsidRPr="003865B8">
        <w:t xml:space="preserve"> </w:t>
      </w:r>
      <w:r w:rsidRPr="003865B8">
        <w:t xml:space="preserve">blood incompatibilities of nanomedicines in the scientific literature, we </w:t>
      </w:r>
      <w:r w:rsidR="00F46D72">
        <w:t xml:space="preserve">decided to </w:t>
      </w:r>
      <w:r w:rsidRPr="003865B8">
        <w:t xml:space="preserve">perform a detailed analysis of </w:t>
      </w:r>
      <w:r w:rsidR="00F46D72">
        <w:t xml:space="preserve">those </w:t>
      </w:r>
      <w:r w:rsidRPr="003865B8">
        <w:t xml:space="preserve">publications reporting </w:t>
      </w:r>
      <w:r w:rsidR="001B0283">
        <w:t xml:space="preserve">blood </w:t>
      </w:r>
      <w:r w:rsidR="001B0283" w:rsidRPr="003865B8">
        <w:t>incompatibilities</w:t>
      </w:r>
      <w:r w:rsidRPr="003865B8">
        <w:t xml:space="preserve"> of nanomedicines and nanomaterials with a potential use in biomedical applications. Different </w:t>
      </w:r>
      <w:r w:rsidR="005B7178">
        <w:t>typ</w:t>
      </w:r>
      <w:r w:rsidR="005B7178" w:rsidRPr="003865B8">
        <w:t xml:space="preserve">es </w:t>
      </w:r>
      <w:r w:rsidRPr="003865B8">
        <w:t>of nanomedicines were analysed for their toxicities to the blood system and the role of physico-chemical properties was further elucidated.</w:t>
      </w:r>
      <w:r w:rsidR="00772D52">
        <w:t xml:space="preserve"> Especially the particularities of the involved nanomaterial need to be understood as they might trigger unexpected adverse events. </w:t>
      </w:r>
      <w:r w:rsidRPr="003865B8">
        <w:t xml:space="preserve"> Such knowledge will support the design of nanomedicines in the research and development phase and contribute to the reduction of failure rates in clinical studies </w:t>
      </w:r>
      <w:r w:rsidR="00F46D72">
        <w:t>thereafter</w:t>
      </w:r>
      <w:r w:rsidRPr="003865B8">
        <w:t>. A detailed understanding o</w:t>
      </w:r>
      <w:r w:rsidR="00544067">
        <w:t>f</w:t>
      </w:r>
      <w:r w:rsidRPr="003865B8">
        <w:t xml:space="preserve"> mechanisms leading to blood toxicity </w:t>
      </w:r>
      <w:r w:rsidR="00D45D2C">
        <w:t>could</w:t>
      </w:r>
      <w:r w:rsidR="00D45D2C" w:rsidRPr="003865B8">
        <w:t xml:space="preserve"> </w:t>
      </w:r>
      <w:r w:rsidRPr="003865B8">
        <w:t xml:space="preserve">allow </w:t>
      </w:r>
      <w:r w:rsidR="00D45D2C">
        <w:t>the</w:t>
      </w:r>
      <w:r w:rsidR="00D45D2C" w:rsidRPr="003865B8">
        <w:t xml:space="preserve"> </w:t>
      </w:r>
      <w:r w:rsidRPr="003865B8">
        <w:t xml:space="preserve">selection of the most </w:t>
      </w:r>
      <w:r w:rsidR="00D45D2C">
        <w:t>relev</w:t>
      </w:r>
      <w:r w:rsidR="00D45D2C" w:rsidRPr="003865B8">
        <w:t>ant</w:t>
      </w:r>
      <w:r w:rsidR="00544067">
        <w:t xml:space="preserve"> and suitable</w:t>
      </w:r>
      <w:r w:rsidR="00D45D2C" w:rsidRPr="003865B8">
        <w:t xml:space="preserve"> </w:t>
      </w:r>
      <w:r w:rsidR="00DB31F8">
        <w:t xml:space="preserve">test methods </w:t>
      </w:r>
      <w:r w:rsidR="00544067">
        <w:t xml:space="preserve">for </w:t>
      </w:r>
      <w:r w:rsidR="00DB31F8">
        <w:t>screen</w:t>
      </w:r>
      <w:r w:rsidR="00544067">
        <w:t>ing</w:t>
      </w:r>
      <w:r w:rsidRPr="003865B8">
        <w:t xml:space="preserve"> for blood compatibility early in product development. Although a number of standard test methods have been identified, their relevance and suitability for the evaluation of the most important toxicological mechanisms leading to </w:t>
      </w:r>
      <w:r w:rsidR="002A7525">
        <w:t xml:space="preserve">blood </w:t>
      </w:r>
      <w:r w:rsidR="002A7525" w:rsidRPr="003865B8">
        <w:t xml:space="preserve">incompatibilities </w:t>
      </w:r>
      <w:r w:rsidR="00F46D72">
        <w:t>needs to</w:t>
      </w:r>
      <w:r w:rsidR="00F46D72" w:rsidRPr="003865B8">
        <w:t xml:space="preserve"> </w:t>
      </w:r>
      <w:r w:rsidRPr="003865B8">
        <w:t xml:space="preserve">be demonstrated. </w:t>
      </w:r>
    </w:p>
    <w:p w:rsidR="00401676" w:rsidRDefault="00401676"/>
    <w:p w:rsidR="00B20677" w:rsidRPr="00B20677" w:rsidRDefault="00B20677" w:rsidP="00B20677">
      <w:pPr>
        <w:rPr>
          <w:b/>
          <w:sz w:val="24"/>
          <w:szCs w:val="24"/>
        </w:rPr>
      </w:pPr>
      <w:r w:rsidRPr="00B20677">
        <w:rPr>
          <w:b/>
          <w:sz w:val="24"/>
          <w:szCs w:val="24"/>
        </w:rPr>
        <w:t>SEARCH STRATEGY</w:t>
      </w:r>
    </w:p>
    <w:p w:rsidR="00B20677" w:rsidRPr="00B20677" w:rsidRDefault="00B20677" w:rsidP="00B20677">
      <w:pPr>
        <w:jc w:val="both"/>
        <w:rPr>
          <w:b/>
        </w:rPr>
      </w:pPr>
      <w:r w:rsidRPr="00B20677">
        <w:rPr>
          <w:b/>
        </w:rPr>
        <w:t xml:space="preserve">Blood adversities triggered by nanomedicines </w:t>
      </w:r>
    </w:p>
    <w:p w:rsidR="001875EE" w:rsidRDefault="00B20677" w:rsidP="00042817">
      <w:pPr>
        <w:jc w:val="both"/>
      </w:pPr>
      <w:r w:rsidRPr="00B20677">
        <w:t xml:space="preserve">An extensive literature review was carried out using Scopus, GoPubMed and Web of Science databases to identify and collect peer reviewed scientific articles reporting blood toxicological effects of various </w:t>
      </w:r>
      <w:r w:rsidR="005B7178">
        <w:t>type</w:t>
      </w:r>
      <w:r w:rsidR="005B7178" w:rsidRPr="00B20677">
        <w:t xml:space="preserve">s </w:t>
      </w:r>
      <w:r w:rsidRPr="00B20677">
        <w:t xml:space="preserve">of </w:t>
      </w:r>
      <w:r w:rsidR="00E8622D">
        <w:t>nanomaterials with potential use in the biomedical field</w:t>
      </w:r>
      <w:r w:rsidR="00E8622D" w:rsidRPr="00B20677">
        <w:t xml:space="preserve"> </w:t>
      </w:r>
      <w:r w:rsidR="00E8622D">
        <w:t>and</w:t>
      </w:r>
      <w:r w:rsidR="00E8622D" w:rsidRPr="00B20677">
        <w:t xml:space="preserve"> </w:t>
      </w:r>
      <w:r w:rsidRPr="00B20677">
        <w:t xml:space="preserve">nanomedicines. </w:t>
      </w:r>
      <w:r w:rsidR="00E8622D">
        <w:t>The</w:t>
      </w:r>
      <w:r w:rsidR="00B35B1F">
        <w:t xml:space="preserve"> </w:t>
      </w:r>
      <w:r w:rsidR="00E8622D">
        <w:t>working definition</w:t>
      </w:r>
      <w:r w:rsidR="00D45D2C">
        <w:t xml:space="preserve"> of nanomedicines</w:t>
      </w:r>
      <w:r w:rsidR="00E8622D">
        <w:t xml:space="preserve"> established by </w:t>
      </w:r>
      <w:r w:rsidR="004E0A55">
        <w:t>the European Medicines Agency (</w:t>
      </w:r>
      <w:r w:rsidR="00E8622D">
        <w:t>EMA</w:t>
      </w:r>
      <w:r w:rsidR="004E0A55">
        <w:t>)</w:t>
      </w:r>
      <w:r w:rsidR="00E8622D">
        <w:t xml:space="preserve"> was used</w:t>
      </w:r>
      <w:r w:rsidR="00FD748D">
        <w:t xml:space="preserve"> in this study</w:t>
      </w:r>
      <w:r w:rsidR="00E8622D">
        <w:t xml:space="preserve">, </w:t>
      </w:r>
      <w:r w:rsidR="00E8622D" w:rsidRPr="00E8622D">
        <w:t>de</w:t>
      </w:r>
      <w:r w:rsidR="00B41E88">
        <w:t>scribed</w:t>
      </w:r>
      <w:r w:rsidR="00E8622D" w:rsidRPr="00E8622D">
        <w:t xml:space="preserve"> as purposely designed systems for clinical </w:t>
      </w:r>
      <w:r w:rsidR="00E8622D" w:rsidRPr="00E8622D">
        <w:lastRenderedPageBreak/>
        <w:t xml:space="preserve">applications </w:t>
      </w:r>
      <w:r w:rsidR="00E8622D">
        <w:t xml:space="preserve">with </w:t>
      </w:r>
      <w:r w:rsidR="00E8622D" w:rsidRPr="00E8622D">
        <w:t xml:space="preserve">at least one component at nano-scale size </w:t>
      </w:r>
      <w:r w:rsidR="00E8622D">
        <w:t>and</w:t>
      </w:r>
      <w:r w:rsidR="00E8622D" w:rsidRPr="00E8622D">
        <w:t xml:space="preserve"> resulting in definable specific properties and characteristics</w:t>
      </w:r>
      <w:r w:rsidR="00C06F87">
        <w:t xml:space="preserve"> </w:t>
      </w:r>
      <w:r w:rsidR="00C06F87">
        <w:fldChar w:fldCharType="begin" w:fldLock="1"/>
      </w:r>
      <w:r w:rsidR="00C06F87">
        <w:instrText>ADDIN CSL_CITATION { "citationItems" : [ { "id" : "ITEM-1", "itemData" : { "author" : [ { "dropping-particle" : "", "family" : "Hern\u00e1n P\u00e9rez de la Ossa", "given" : "Dolores", "non-dropping-particle" : "", "parse-names" : false, "suffix" : "" } ], "container-title" : "SME workshop for micro, small and medium-sized enterprises: Focus on quality for medicines containing chemical entities", "id" : "ITEM-1", "issued" : { "date-parts" : [ [ "2014" ] ] }, "title" : "Presentation: Quality aspects of Nano-based medicines", "type" : "article-journal" }, "uris" : [ "http://www.mendeley.com/documents/?uuid=f8feea63-3d39-4479-87aa-5def890072aa" ] } ], "mendeley" : { "formattedCitation" : "(Hern\u00e1n P\u00e9rez de la Ossa, 2014)", "plainTextFormattedCitation" : "(Hern\u00e1n P\u00e9rez de la Ossa, 2014)", "previouslyFormattedCitation" : "(Hern\u00e1n P\u00e9rez de la Ossa, 2014)" }, "properties" : { "noteIndex" : 3 }, "schema" : "https://github.com/citation-style-language/schema/raw/master/csl-citation.json" }</w:instrText>
      </w:r>
      <w:r w:rsidR="00C06F87">
        <w:fldChar w:fldCharType="separate"/>
      </w:r>
      <w:r w:rsidR="00C06F87" w:rsidRPr="00C06F87">
        <w:rPr>
          <w:noProof/>
        </w:rPr>
        <w:t>(Hernán Pérez de la Ossa, 2014)</w:t>
      </w:r>
      <w:r w:rsidR="00C06F87">
        <w:fldChar w:fldCharType="end"/>
      </w:r>
      <w:r w:rsidR="00CC4575">
        <w:fldChar w:fldCharType="begin" w:fldLock="1"/>
      </w:r>
      <w:r w:rsidR="00CC4575">
        <w:instrText>ADDIN CSL_CITATION { "citationItems" : [ { "id" : "ITEM-1", "itemData" : { "DOI" : "10.2760/753829 (online)", "author" : [ { "dropping-particle" : "", "family" : "Quiros-Pesudo", "given" : "Laia", "non-dropping-particle" : "", "parse-names" : false, "suffix" : "" }, { "dropping-particle" : "", "family" : "Balahur-Dobrescu", "given" : "Alexandra", "non-dropping-particle" : "", "parse-names" : false, "suffix" : "" }, { "dropping-particle" : "", "family" : "Gottardo", "given" : "Stefania", "non-dropping-particle" : "", "parse-names" : false, "suffix" : "" }, { "dropping-particle" : "", "family" : "Rasmussen", "given" : "Kirsten", "non-dropping-particle" : "", "parse-names" : false, "suffix" : "" }, { "dropping-particle" : "", "family" : "Wagner", "given" : "Gerhard", "non-dropping-particle" : "", "parse-names" : false, "suffix" : "" }, { "dropping-particle" : "", "family" : "Joanny", "given" : "Geraldine", "non-dropping-particle" : "", "parse-names" : false, "suffix" : "" }, { "dropping-particle" : "", "family" : "Bremer", "given" : "Susanne", "non-dropping-particle" : "", "parse-names" : false, "suffix" : "" } ], "id" : "ITEM-1", "issued" : { "date-parts" : [ [ "2018" ] ] }, "title" : "Mapping Nanomedicine terminology in the regulatory landscape", "type" : "report" }, "uris" : [ "http://www.mendeley.com/documents/?uuid=3e71f772-ba1a-4aa0-ada6-f632ccb193d5" ] } ], "mendeley" : { "formattedCitation" : "(Quiros-Pesudo et al., 2018)", "plainTextFormattedCitation" : "(Quiros-Pesudo et al., 2018)", "previouslyFormattedCitation" : "(Quiros-Pesudo et al., 2018)" }, "properties" : { "noteIndex" : 3 }, "schema" : "https://github.com/citation-style-language/schema/raw/master/csl-citation.json" }</w:instrText>
      </w:r>
      <w:r w:rsidR="00CC4575">
        <w:fldChar w:fldCharType="separate"/>
      </w:r>
      <w:r w:rsidR="00CC4575" w:rsidRPr="00CC4575">
        <w:rPr>
          <w:noProof/>
        </w:rPr>
        <w:t>(Quiros-Pesudo, 2018)</w:t>
      </w:r>
      <w:r w:rsidR="00CC4575">
        <w:fldChar w:fldCharType="end"/>
      </w:r>
      <w:r w:rsidR="00E8622D" w:rsidRPr="00E8622D">
        <w:t>.</w:t>
      </w:r>
      <w:r w:rsidR="00BA3A0A">
        <w:t xml:space="preserve"> </w:t>
      </w:r>
      <w:r w:rsidRPr="00B20677">
        <w:t>The</w:t>
      </w:r>
      <w:r w:rsidR="0083511F">
        <w:t xml:space="preserve"> </w:t>
      </w:r>
      <w:r w:rsidR="00FD748D">
        <w:t xml:space="preserve">bibliographic </w:t>
      </w:r>
      <w:r w:rsidRPr="00B20677">
        <w:t xml:space="preserve">search covered publications until April 2017. Nanomedicines were classified </w:t>
      </w:r>
      <w:r w:rsidR="007A53AE">
        <w:t>in the following types</w:t>
      </w:r>
      <w:r w:rsidRPr="00B20677">
        <w:t xml:space="preserve">: lipid-based, polymer-based </w:t>
      </w:r>
      <w:r w:rsidR="004E0A55">
        <w:t>or</w:t>
      </w:r>
      <w:r w:rsidR="004E0A55" w:rsidRPr="00B20677">
        <w:t xml:space="preserve"> </w:t>
      </w:r>
      <w:r w:rsidRPr="00B20677">
        <w:t xml:space="preserve">inorganic nanoparticles (NPs) </w:t>
      </w:r>
      <w:r w:rsidR="007A53AE">
        <w:t>us</w:t>
      </w:r>
      <w:r w:rsidRPr="00B20677">
        <w:t>ing the</w:t>
      </w:r>
      <w:r w:rsidR="00CE0E24">
        <w:t xml:space="preserve"> classification scheme of Wicki et al </w:t>
      </w:r>
      <w:r w:rsidR="00CE0E24">
        <w:fldChar w:fldCharType="begin" w:fldLock="1"/>
      </w:r>
      <w:r w:rsidR="00CE0E24">
        <w:instrText>ADDIN CSL_CITATION { "citationItems" : [ { "id" : "ITEM-1", "itemData" : { "DOI" : "10.1016/j.jconrel.2014.12.030", "ISBN" : "1873-4995 (Electronic)\\r0168-3659 (Linking)", "ISSN" : "18734995", "PMID" : "25545217", "abstract" : "Cancer is a leading cause of death worldwide. Currently available therapies are inadequate and spur demand for improved technologies. Rapid growth in nanotechnology towards the development of nanomedicine products holds great promise to improve therapeutic strategies against cancer. Nanomedicine products represent an opportunity to achieve sophisticated targeting strategies and multi-functionality. They can improve the pharmacokinetic and pharmacodynamic profiles of conventional therapeutics and may thus optimize the efficacy of existing anti-cancer compounds. In this review, we discuss state-of-the-art nanoparticles and targeted systems that have been investigated in clinical studies. We emphasize the challenges faced in using nanomedicine products and translating them from a preclinical level to the clinical setting. Additionally, we cover aspects of nanocarrier engineering that may open up new opportunities for nanomedicine products in the clinic.", "author" : [ { "dropping-particle" : "", "family" : "Wicki", "given" : "Andreas", "non-dropping-particle" : "", "parse-names" : false, "suffix" : "" }, { "dropping-particle" : "", "family" : "Witzigmann", "given" : "Dominik", "non-dropping-particle" : "", "parse-names" : false, "suffix" : "" }, { "dropping-particle" : "", "family" : "Balasubramanian", "given" : "Vimalkumar", "non-dropping-particle" : "", "parse-names" : false, "suffix" : "" }, { "dropping-particle" : "", "family" : "Huwyler", "given" : "J\u00f6rg", "non-dropping-particle" : "", "parse-names" : false, "suffix" : "" } ], "container-title" : "Journal of Controlled Release", "id" : "ITEM-1", "issued" : { "date-parts" : [ [ "2015" ] ] }, "page" : "138-157", "publisher" : "Elsevier B.V.", "title" : "Nanomedicine in cancer therapy: Challenges, opportunities, and clinical applications", "type" : "article-journal", "volume" : "200" }, "uris" : [ "http://www.mendeley.com/documents/?uuid=e42edab2-e8c9-4bab-8c2a-b8de38822b78" ] } ], "mendeley" : { "formattedCitation" : "(Wicki, Witzigmann, Balasubramanian, &amp; Huwyler, 2015)", "manualFormatting" : "(Wicki, 2015)", "plainTextFormattedCitation" : "(Wicki, Witzigmann, Balasubramanian, &amp; Huwyler, 2015)", "previouslyFormattedCitation" : "(Wicki, Witzigmann, Balasubramanian, &amp; Huwyler, 2015)" }, "properties" : { "noteIndex" : 3 }, "schema" : "https://github.com/citation-style-language/schema/raw/master/csl-citation.json" }</w:instrText>
      </w:r>
      <w:r w:rsidR="00CE0E24">
        <w:fldChar w:fldCharType="separate"/>
      </w:r>
      <w:r w:rsidR="00CE0E24" w:rsidRPr="00CE0E24">
        <w:rPr>
          <w:noProof/>
        </w:rPr>
        <w:t>(Wicki, 2015)</w:t>
      </w:r>
      <w:r w:rsidR="00CE0E24">
        <w:fldChar w:fldCharType="end"/>
      </w:r>
      <w:r w:rsidRPr="00B20677">
        <w:t xml:space="preserve">. </w:t>
      </w:r>
    </w:p>
    <w:p w:rsidR="00B20677" w:rsidRPr="00B20677" w:rsidRDefault="00B20677" w:rsidP="00042817">
      <w:pPr>
        <w:jc w:val="both"/>
      </w:pPr>
      <w:r w:rsidRPr="00B20677">
        <w:t xml:space="preserve">Three blood incompatibilities were considered for </w:t>
      </w:r>
      <w:r w:rsidRPr="00B20677">
        <w:rPr>
          <w:i/>
        </w:rPr>
        <w:t>in vivo</w:t>
      </w:r>
      <w:r w:rsidRPr="00B20677">
        <w:t xml:space="preserve"> studies: haematology (including haemolysis and leukocyte count), thrombo</w:t>
      </w:r>
      <w:r w:rsidR="00FB12FB">
        <w:t>sis</w:t>
      </w:r>
      <w:r w:rsidRPr="00B20677">
        <w:t xml:space="preserve"> and complement activation, according to the </w:t>
      </w:r>
      <w:r w:rsidR="001875EE">
        <w:t xml:space="preserve">recommended </w:t>
      </w:r>
      <w:r w:rsidR="00A461E2">
        <w:t xml:space="preserve">categories and </w:t>
      </w:r>
      <w:r w:rsidR="001875EE">
        <w:t xml:space="preserve">assays proposed in </w:t>
      </w:r>
      <w:r w:rsidRPr="00B20677">
        <w:t>ISO 10993-4</w:t>
      </w:r>
      <w:r w:rsidR="00BB5C1D">
        <w:t xml:space="preserve"> </w:t>
      </w:r>
      <w:r w:rsidR="00BB5C1D">
        <w:fldChar w:fldCharType="begin" w:fldLock="1"/>
      </w:r>
      <w:r w:rsidR="00BB5C1D">
        <w:instrText>ADDIN CSL_CITATION { "citationItems" : [ { "id" : "ITEM-1", "itemData" : { "author" : [ { "dropping-particle" : "", "family" : "ISO", "given" : "", "non-dropping-particle" : "", "parse-names" : false, "suffix" : "" } ], "id" : "ITEM-1", "issued" : { "date-parts" : [ [ "2017" ] ] }, "title" : "ISO 10993-4 : Biological evaluation of medical devices. Part 4: Selection of tests for interaction with blood", "type" : "report" }, "uris" : [ "http://www.mendeley.com/documents/?uuid=7ccf6a2f-116e-4e55-b07a-66451f6590fc" ] } ], "mendeley" : { "formattedCitation" : "(ISO, 2017b)", "plainTextFormattedCitation" : "(ISO, 2017b)", "previouslyFormattedCitation" : "(ISO, 2017b)" }, "properties" : { "noteIndex" : 3 }, "schema" : "https://github.com/citation-style-language/schema/raw/master/csl-citation.json" }</w:instrText>
      </w:r>
      <w:r w:rsidR="00BB5C1D">
        <w:fldChar w:fldCharType="separate"/>
      </w:r>
      <w:r w:rsidR="00BB5C1D" w:rsidRPr="00BB5C1D">
        <w:rPr>
          <w:noProof/>
        </w:rPr>
        <w:t>(ISO, 2017b)</w:t>
      </w:r>
      <w:r w:rsidR="00BB5C1D">
        <w:fldChar w:fldCharType="end"/>
      </w:r>
      <w:r w:rsidRPr="00B20677">
        <w:t xml:space="preserve">. For </w:t>
      </w:r>
      <w:r w:rsidRPr="00B20677">
        <w:rPr>
          <w:i/>
        </w:rPr>
        <w:t>in vitro</w:t>
      </w:r>
      <w:r w:rsidRPr="00B20677">
        <w:t xml:space="preserve"> studies, the endpoints </w:t>
      </w:r>
      <w:r w:rsidR="007A53AE" w:rsidRPr="00B20677">
        <w:t xml:space="preserve">assessed </w:t>
      </w:r>
      <w:r w:rsidRPr="00B20677">
        <w:t xml:space="preserve">were: haematology, coagulation, platelets (aggregation and/or activation) and complement activation. </w:t>
      </w:r>
      <w:r w:rsidR="00DB31F8">
        <w:t xml:space="preserve">In addition, </w:t>
      </w:r>
      <w:r w:rsidR="007A53AE">
        <w:t xml:space="preserve">available </w:t>
      </w:r>
      <w:r w:rsidRPr="00B20677">
        <w:t xml:space="preserve">information regarding </w:t>
      </w:r>
      <w:r w:rsidR="00C87BCB">
        <w:t xml:space="preserve">the </w:t>
      </w:r>
      <w:r w:rsidRPr="00B20677">
        <w:t>different physico-chemical properties of nanomedicines</w:t>
      </w:r>
      <w:r w:rsidR="00C87BCB">
        <w:t>,</w:t>
      </w:r>
      <w:r w:rsidR="0010587D">
        <w:t xml:space="preserve"> which </w:t>
      </w:r>
      <w:r w:rsidRPr="00B20677">
        <w:t xml:space="preserve">the authors </w:t>
      </w:r>
      <w:r w:rsidR="007A53AE">
        <w:t xml:space="preserve">claimed </w:t>
      </w:r>
      <w:r w:rsidRPr="00B20677">
        <w:t>to have an effect on blood toxicity</w:t>
      </w:r>
      <w:r w:rsidR="00C87BCB">
        <w:t>,</w:t>
      </w:r>
      <w:r w:rsidR="0010587D">
        <w:t xml:space="preserve"> </w:t>
      </w:r>
      <w:r w:rsidR="00702D09">
        <w:t>was</w:t>
      </w:r>
      <w:r w:rsidR="00702D09" w:rsidRPr="00B20677">
        <w:t xml:space="preserve"> </w:t>
      </w:r>
      <w:r w:rsidRPr="00B20677">
        <w:t xml:space="preserve">extracted, when available, from the </w:t>
      </w:r>
      <w:r w:rsidR="007A53AE">
        <w:t>identified</w:t>
      </w:r>
      <w:r w:rsidR="007A53AE" w:rsidRPr="00B20677">
        <w:t xml:space="preserve"> </w:t>
      </w:r>
      <w:r w:rsidRPr="00B20677">
        <w:t>publications.</w:t>
      </w:r>
      <w:r w:rsidR="001875EE">
        <w:t xml:space="preserve"> </w:t>
      </w:r>
    </w:p>
    <w:p w:rsidR="00B20677" w:rsidRPr="00B20677" w:rsidRDefault="00B20677" w:rsidP="00B20677">
      <w:pPr>
        <w:jc w:val="both"/>
      </w:pPr>
      <w:r w:rsidRPr="00B20677">
        <w:t xml:space="preserve">For </w:t>
      </w:r>
      <w:r w:rsidRPr="00B20677">
        <w:rPr>
          <w:i/>
        </w:rPr>
        <w:t>in vivo</w:t>
      </w:r>
      <w:r w:rsidRPr="00B20677">
        <w:t xml:space="preserve"> studies, the </w:t>
      </w:r>
      <w:r w:rsidR="00DB31F8" w:rsidRPr="00B20677">
        <w:t xml:space="preserve">used </w:t>
      </w:r>
      <w:r w:rsidRPr="00B20677">
        <w:t>keywords were: (nano*) AND (biomedic* or nanomed*) AND hemolysis or haemolysis AND in vivo; (nano*) AND (biomedic* or nanomed*) AND thrombosis AND in vivo; and (nano*) AND (biomedic* or nanomed*) AND complement activation AND in vivo.</w:t>
      </w:r>
    </w:p>
    <w:p w:rsidR="00B20677" w:rsidRPr="00B20677" w:rsidRDefault="00B20677" w:rsidP="00B20677">
      <w:pPr>
        <w:jc w:val="both"/>
      </w:pPr>
      <w:r w:rsidRPr="00B20677">
        <w:t xml:space="preserve">For </w:t>
      </w:r>
      <w:r w:rsidRPr="00B20677">
        <w:rPr>
          <w:i/>
        </w:rPr>
        <w:t>in vitro</w:t>
      </w:r>
      <w:r w:rsidRPr="00B20677">
        <w:t xml:space="preserve"> studies, the keywords used were: (nano*) AND (biomedic* or nanomed*) AND hemolysis or haemolysis AND in vitro; (nano*) AND (biomedic* or nanomed*) AND coagulation AND in vitro; (nano*) AND (biomedic* or nanomed*) AND platelet AND in vitro; and (nano*) AND (biomedic* or nanomed*) AND complement activation AND in vitro.</w:t>
      </w:r>
    </w:p>
    <w:p w:rsidR="00B20677" w:rsidRDefault="003A2707" w:rsidP="00B20677">
      <w:pPr>
        <w:jc w:val="both"/>
      </w:pPr>
      <w:r>
        <w:t xml:space="preserve">The flow diagram of the search strategy used is shown in Figure 1. </w:t>
      </w:r>
      <w:r w:rsidR="00B20677" w:rsidRPr="00B20677">
        <w:t>The search resulted in 1</w:t>
      </w:r>
      <w:r w:rsidR="00C87BCB">
        <w:t>,</w:t>
      </w:r>
      <w:r w:rsidR="00B20677" w:rsidRPr="00B20677">
        <w:t>247 records</w:t>
      </w:r>
      <w:r w:rsidR="007A53AE">
        <w:t xml:space="preserve">, which were </w:t>
      </w:r>
      <w:r w:rsidR="00B20677" w:rsidRPr="00B20677">
        <w:t>collected</w:t>
      </w:r>
      <w:r w:rsidR="007A53AE">
        <w:t>,</w:t>
      </w:r>
      <w:r w:rsidR="00B20677" w:rsidRPr="00B20677">
        <w:t xml:space="preserve"> and </w:t>
      </w:r>
      <w:r w:rsidR="00C87BCB">
        <w:t xml:space="preserve">identified </w:t>
      </w:r>
      <w:r w:rsidR="00B20677" w:rsidRPr="00B20677">
        <w:t xml:space="preserve">duplicates were removed. Reviews, </w:t>
      </w:r>
      <w:r w:rsidR="007A53AE">
        <w:t xml:space="preserve">conference </w:t>
      </w:r>
      <w:r w:rsidR="00B20677" w:rsidRPr="00B20677">
        <w:t>proceeding</w:t>
      </w:r>
      <w:r w:rsidR="007A53AE">
        <w:t>s</w:t>
      </w:r>
      <w:r w:rsidR="00B20677" w:rsidRPr="00B20677">
        <w:t xml:space="preserve"> and book chapters were excluded from the </w:t>
      </w:r>
      <w:r w:rsidR="00C87BCB">
        <w:t>quantified</w:t>
      </w:r>
      <w:r w:rsidR="00C87BCB" w:rsidRPr="00B20677">
        <w:t xml:space="preserve"> </w:t>
      </w:r>
      <w:r w:rsidR="00B20677" w:rsidRPr="00B20677">
        <w:t xml:space="preserve">results, leading to 853 screened full-text articles. </w:t>
      </w:r>
      <w:r w:rsidR="00093F62">
        <w:t>Data on n</w:t>
      </w:r>
      <w:r w:rsidR="00B20677" w:rsidRPr="00B20677">
        <w:t xml:space="preserve">anoparticles targeting coagulation diseases or the immune system with desired therapeutic activities (for instance, pro- or anti-coagulant effects) were excluded from our data, giving a final dataset of 662 </w:t>
      </w:r>
      <w:r w:rsidR="00BC2241">
        <w:t>articles</w:t>
      </w:r>
      <w:r w:rsidR="00BC2241" w:rsidRPr="00B20677">
        <w:t xml:space="preserve"> </w:t>
      </w:r>
      <w:r w:rsidR="00C87BCB">
        <w:t xml:space="preserve">which were </w:t>
      </w:r>
      <w:r w:rsidR="00B20677" w:rsidRPr="00B20677">
        <w:t xml:space="preserve">considered relevant for our study (147 articles for </w:t>
      </w:r>
      <w:r w:rsidR="00B20677" w:rsidRPr="001E77AF">
        <w:rPr>
          <w:i/>
        </w:rPr>
        <w:t>in vivo</w:t>
      </w:r>
      <w:r w:rsidR="00B20677" w:rsidRPr="00B20677">
        <w:t xml:space="preserve"> and 515 for </w:t>
      </w:r>
      <w:r w:rsidR="00B20677" w:rsidRPr="005A7E18">
        <w:rPr>
          <w:i/>
        </w:rPr>
        <w:t>in vitro</w:t>
      </w:r>
      <w:r w:rsidR="00B20677" w:rsidRPr="00B20677">
        <w:t xml:space="preserve"> studies).</w:t>
      </w:r>
      <w:r w:rsidR="00886897">
        <w:t xml:space="preserve"> </w:t>
      </w:r>
      <w:r w:rsidR="00072FFD">
        <w:t xml:space="preserve">Information regarding the materials tested, the </w:t>
      </w:r>
      <w:r w:rsidR="00CE61EA">
        <w:t xml:space="preserve">type of </w:t>
      </w:r>
      <w:r w:rsidR="00CE61EA" w:rsidRPr="00537077">
        <w:t>blood incompatibilit</w:t>
      </w:r>
      <w:r w:rsidR="00CE61EA">
        <w:t>y</w:t>
      </w:r>
      <w:r w:rsidR="00CE61EA" w:rsidRPr="00537077">
        <w:t xml:space="preserve"> </w:t>
      </w:r>
      <w:r w:rsidR="00072FFD">
        <w:t xml:space="preserve">and the corresponding reference to the </w:t>
      </w:r>
      <w:r w:rsidR="00BC2241">
        <w:t xml:space="preserve">articles </w:t>
      </w:r>
      <w:r w:rsidR="003E2D9C">
        <w:t xml:space="preserve">used for </w:t>
      </w:r>
      <w:r w:rsidR="00C87BCB">
        <w:t xml:space="preserve">the </w:t>
      </w:r>
      <w:r w:rsidR="003E2D9C">
        <w:t>study</w:t>
      </w:r>
      <w:r w:rsidR="00072FFD">
        <w:t xml:space="preserve"> are listed in Supplementary</w:t>
      </w:r>
      <w:r w:rsidR="00CE61EA">
        <w:t xml:space="preserve"> Information</w:t>
      </w:r>
      <w:r w:rsidR="00072FFD">
        <w:t xml:space="preserve"> 1 and 2.</w:t>
      </w:r>
      <w:r>
        <w:t xml:space="preserve"> </w:t>
      </w:r>
      <w:r w:rsidRPr="003A2707">
        <w:t xml:space="preserve">Information about the blood incompatibilities reported (e.g. haematology), the effect observed (e.g. haemolysis), the type of nanoparticle causing it (e.g. inorganic nanoparticles) and </w:t>
      </w:r>
      <w:r w:rsidR="00C87BCB" w:rsidRPr="003A2707">
        <w:t>whe</w:t>
      </w:r>
      <w:r w:rsidR="00C87BCB">
        <w:t>re</w:t>
      </w:r>
      <w:r w:rsidR="00C87BCB" w:rsidRPr="003A2707">
        <w:t xml:space="preserve"> </w:t>
      </w:r>
      <w:r w:rsidRPr="003A2707">
        <w:t xml:space="preserve">possible, the nanoparticles physico-chemical properties was extracted from each article. </w:t>
      </w:r>
      <w:r w:rsidR="00246083">
        <w:t>In our analysis, a</w:t>
      </w:r>
      <w:r w:rsidR="00C87BCB">
        <w:t xml:space="preserve"> single</w:t>
      </w:r>
      <w:r w:rsidR="00C87BCB" w:rsidRPr="003A2707">
        <w:t xml:space="preserve"> </w:t>
      </w:r>
      <w:r w:rsidRPr="003A2707">
        <w:t xml:space="preserve">publication </w:t>
      </w:r>
      <w:r w:rsidR="00C87BCB">
        <w:t>with</w:t>
      </w:r>
      <w:r w:rsidRPr="003A2707">
        <w:t xml:space="preserve"> information on more than one </w:t>
      </w:r>
      <w:r w:rsidR="00CE61EA">
        <w:t>physico-chemical property</w:t>
      </w:r>
      <w:r w:rsidRPr="003A2707">
        <w:t xml:space="preserve"> would</w:t>
      </w:r>
      <w:r w:rsidR="00C87BCB">
        <w:t xml:space="preserve"> </w:t>
      </w:r>
      <w:r w:rsidRPr="003A2707">
        <w:t>be counted more than once.</w:t>
      </w:r>
      <w:r w:rsidR="00864ADE">
        <w:t xml:space="preserve"> The data generated in this review will accessible from the JRC data catalogue (</w:t>
      </w:r>
      <w:r w:rsidR="00864ADE" w:rsidRPr="00BD0DD9">
        <w:t>http://data.jrc.ec.europa.eu/</w:t>
      </w:r>
      <w:r w:rsidR="00864ADE">
        <w:t>).</w:t>
      </w:r>
    </w:p>
    <w:p w:rsidR="003A2707" w:rsidRDefault="000D57C3" w:rsidP="00EE19CA">
      <w:pPr>
        <w:jc w:val="center"/>
      </w:pPr>
      <w:r>
        <w:rPr>
          <w:noProof/>
          <w:lang w:eastAsia="en-GB"/>
        </w:rPr>
        <w:lastRenderedPageBreak/>
        <w:drawing>
          <wp:inline distT="0" distB="0" distL="0" distR="0">
            <wp:extent cx="3676650" cy="3133725"/>
            <wp:effectExtent l="0" t="0" r="0" b="9525"/>
            <wp:docPr id="15" name="Picture 15" descr="Figure 1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 new"/>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76650" cy="3133725"/>
                    </a:xfrm>
                    <a:prstGeom prst="rect">
                      <a:avLst/>
                    </a:prstGeom>
                    <a:noFill/>
                    <a:ln>
                      <a:noFill/>
                    </a:ln>
                  </pic:spPr>
                </pic:pic>
              </a:graphicData>
            </a:graphic>
          </wp:inline>
        </w:drawing>
      </w:r>
    </w:p>
    <w:p w:rsidR="003A2707" w:rsidRDefault="003A2707" w:rsidP="00AB42E5">
      <w:pPr>
        <w:jc w:val="both"/>
      </w:pPr>
      <w:r>
        <w:t xml:space="preserve">Figure 1. Flow diagram of the methodology used to select articles </w:t>
      </w:r>
      <w:r w:rsidR="00246083">
        <w:t xml:space="preserve">which were </w:t>
      </w:r>
      <w:r>
        <w:t>included in the study</w:t>
      </w:r>
      <w:r w:rsidR="00246083">
        <w:t>. It is</w:t>
      </w:r>
      <w:r w:rsidR="000874E4">
        <w:t xml:space="preserve"> b</w:t>
      </w:r>
      <w:r>
        <w:t>ased on the Preferred Reporting Items for Systematic Reviews and Meta-Analyses (PRISMA)</w:t>
      </w:r>
      <w:r w:rsidR="000874E4">
        <w:t>. The diagram</w:t>
      </w:r>
      <w:r>
        <w:t xml:space="preserve"> maps out the number of records </w:t>
      </w:r>
      <w:r w:rsidR="00EB264A">
        <w:t xml:space="preserve">(n) </w:t>
      </w:r>
      <w:r>
        <w:t>id</w:t>
      </w:r>
      <w:r w:rsidR="000874E4">
        <w:t>entified, included and excluded;</w:t>
      </w:r>
      <w:r>
        <w:t xml:space="preserve"> and the reasons for exclusion</w:t>
      </w:r>
      <w:r w:rsidR="000874E4">
        <w:t>.</w:t>
      </w:r>
    </w:p>
    <w:p w:rsidR="003A2707" w:rsidRPr="00B20677" w:rsidRDefault="003A2707" w:rsidP="00EE19CA">
      <w:pPr>
        <w:jc w:val="center"/>
      </w:pPr>
    </w:p>
    <w:p w:rsidR="00B20677" w:rsidRPr="00B20677" w:rsidRDefault="00756C69" w:rsidP="00B20677">
      <w:pPr>
        <w:jc w:val="both"/>
      </w:pPr>
      <w:r w:rsidRPr="00B20677">
        <w:t>N</w:t>
      </w:r>
      <w:r>
        <w:t>anoparticles</w:t>
      </w:r>
      <w:r w:rsidRPr="00B20677">
        <w:t xml:space="preserve"> were considered haemolytic when a percentage of </w:t>
      </w:r>
      <w:r w:rsidRPr="00B20677">
        <w:rPr>
          <w:i/>
        </w:rPr>
        <w:t>in vitro</w:t>
      </w:r>
      <w:r w:rsidRPr="00B20677">
        <w:t xml:space="preserve"> haemolysis above 5% was reported. </w:t>
      </w:r>
      <w:r w:rsidR="00DD71E3">
        <w:t>Currently</w:t>
      </w:r>
      <w:r w:rsidR="00B20677" w:rsidRPr="00B20677">
        <w:t xml:space="preserve"> there are no established pass/fail criteria for alterations in thrombosis or for a level of complement activation that is clinically relevant</w:t>
      </w:r>
      <w:r w:rsidR="00DD71E3">
        <w:t>. T</w:t>
      </w:r>
      <w:r w:rsidR="00B20677" w:rsidRPr="00B20677">
        <w:t xml:space="preserve">herefore for this review all the publications reporting an increase in the levels of complement activation or altered thrombogenicity (coagulation or platelets for </w:t>
      </w:r>
      <w:r w:rsidR="00B20677" w:rsidRPr="00B20677">
        <w:rPr>
          <w:i/>
        </w:rPr>
        <w:t>in vitro</w:t>
      </w:r>
      <w:r w:rsidR="00B20677" w:rsidRPr="00B20677">
        <w:t xml:space="preserve"> studies) have been considered as positive for these endpoints. </w:t>
      </w:r>
      <w:r>
        <w:t xml:space="preserve">However, it should be kept in mind that a </w:t>
      </w:r>
      <w:r w:rsidRPr="000044E8">
        <w:t xml:space="preserve">statistically significant change </w:t>
      </w:r>
      <w:r>
        <w:t>in</w:t>
      </w:r>
      <w:r w:rsidRPr="000044E8">
        <w:t xml:space="preserve"> clotting times does not necessarily</w:t>
      </w:r>
      <w:r>
        <w:t xml:space="preserve"> equate to a biological relevant response, since</w:t>
      </w:r>
      <w:r w:rsidRPr="000044E8">
        <w:t xml:space="preserve"> </w:t>
      </w:r>
      <w:r>
        <w:t>n</w:t>
      </w:r>
      <w:r w:rsidRPr="000044E8">
        <w:t>ormal haemostasis can occur even if the activity of a particular clotting factor is reduced dramatically</w:t>
      </w:r>
      <w:r>
        <w:t>.</w:t>
      </w:r>
      <w:r w:rsidR="00886897">
        <w:t xml:space="preserve"> The present study does not take into account published literature on white blood cells; </w:t>
      </w:r>
      <w:r w:rsidR="00DD71E3">
        <w:t>which is</w:t>
      </w:r>
      <w:r w:rsidR="00886897">
        <w:t xml:space="preserve"> subject of </w:t>
      </w:r>
      <w:r w:rsidR="007F2151">
        <w:t>a recently published</w:t>
      </w:r>
      <w:r w:rsidR="00886897">
        <w:t xml:space="preserve"> study </w:t>
      </w:r>
      <w:r w:rsidR="00C1642C">
        <w:t>by</w:t>
      </w:r>
      <w:r w:rsidR="00886897">
        <w:t xml:space="preserve"> the JRC</w:t>
      </w:r>
      <w:r w:rsidR="007F2151">
        <w:t xml:space="preserve"> </w:t>
      </w:r>
      <w:r w:rsidR="007F2151">
        <w:fldChar w:fldCharType="begin" w:fldLock="1"/>
      </w:r>
      <w:r w:rsidR="007F2151">
        <w:instrText>ADDIN CSL_CITATION { "citationItems" : [ { "id" : "ITEM-1", "itemData" : { "author" : [ { "dropping-particle" : "", "family" : "Halamoda-Kenzaoui, Blanka Bremer-Hoffmann", "given" : "Susanne", "non-dropping-particle" : "", "parse-names" : false, "suffix" : "" } ], "container-title" : "International Journal of Nanomedicine", "id" : "ITEM-1", "issued" : { "date-parts" : [ [ "2018" ] ] }, "page" : "5419-5431", "title" : "Main trends of immune effects triggered by nanomedicines in preclinical studies", "type" : "article-journal", "volume" : "13" }, "uris" : [ "http://www.mendeley.com/documents/?uuid=ad85f1bb-fdab-4569-806c-ada90df322fd" ] } ], "mendeley" : { "formattedCitation" : "(Halamoda-Kenzaoui, Blanka Bremer-Hoffmann, 2018)", "manualFormatting" : "(Halamoda-Kenzaoui, 2018)", "plainTextFormattedCitation" : "(Halamoda-Kenzaoui, Blanka Bremer-Hoffmann, 2018)", "previouslyFormattedCitation" : "(Halamoda-Kenzaoui, Blanka Bremer-Hoffmann, 2018)" }, "properties" : { "noteIndex" : 5 }, "schema" : "https://github.com/citation-style-language/schema/raw/master/csl-citation.json" }</w:instrText>
      </w:r>
      <w:r w:rsidR="007F2151">
        <w:fldChar w:fldCharType="separate"/>
      </w:r>
      <w:r w:rsidR="007F2151" w:rsidRPr="007F2151">
        <w:rPr>
          <w:noProof/>
        </w:rPr>
        <w:t>(Halamoda-Kenzaoui,</w:t>
      </w:r>
      <w:r w:rsidR="007F2151" w:rsidRPr="007F2151" w:rsidDel="007F2151">
        <w:rPr>
          <w:noProof/>
        </w:rPr>
        <w:t xml:space="preserve"> </w:t>
      </w:r>
      <w:r w:rsidR="007F2151" w:rsidRPr="007F2151">
        <w:rPr>
          <w:noProof/>
        </w:rPr>
        <w:t>2018)</w:t>
      </w:r>
      <w:r w:rsidR="007F2151">
        <w:fldChar w:fldCharType="end"/>
      </w:r>
      <w:r w:rsidR="00886897">
        <w:t>.</w:t>
      </w:r>
    </w:p>
    <w:p w:rsidR="00B20677" w:rsidRDefault="00B20677" w:rsidP="00B20677">
      <w:pPr>
        <w:jc w:val="both"/>
      </w:pPr>
      <w:r w:rsidRPr="00B20677">
        <w:t xml:space="preserve">From the 147 screened publications for </w:t>
      </w:r>
      <w:r w:rsidRPr="00B20677">
        <w:rPr>
          <w:i/>
        </w:rPr>
        <w:t>in vivo</w:t>
      </w:r>
      <w:r w:rsidRPr="00B20677">
        <w:t xml:space="preserve"> studies, 46 publications reported blood toxicities and contained information regarding the contribution of NPs physico-chemical properties on the reported </w:t>
      </w:r>
      <w:r w:rsidR="00B50719" w:rsidRPr="00B20677">
        <w:t xml:space="preserve">blood </w:t>
      </w:r>
      <w:r w:rsidR="00B50719">
        <w:t>incompatibiliti</w:t>
      </w:r>
      <w:r w:rsidR="00B50719" w:rsidRPr="00B20677">
        <w:t>e</w:t>
      </w:r>
      <w:r w:rsidR="00B50719">
        <w:t>s</w:t>
      </w:r>
      <w:r w:rsidRPr="00B20677">
        <w:t xml:space="preserve">. For </w:t>
      </w:r>
      <w:r w:rsidRPr="00B20677">
        <w:rPr>
          <w:i/>
        </w:rPr>
        <w:t>in vitro</w:t>
      </w:r>
      <w:r w:rsidRPr="00B20677">
        <w:t xml:space="preserve"> data, 153 publications reported blood toxicities and information regarding the contribution of each NP property on the reported </w:t>
      </w:r>
      <w:r w:rsidR="00B50719">
        <w:t>toxici</w:t>
      </w:r>
      <w:r w:rsidR="00B50719" w:rsidRPr="00B20677">
        <w:t>ties</w:t>
      </w:r>
      <w:r w:rsidRPr="00B20677">
        <w:t xml:space="preserve">. </w:t>
      </w:r>
      <w:r w:rsidR="0005488C">
        <w:t>C</w:t>
      </w:r>
      <w:r w:rsidRPr="00B20677">
        <w:t>ontribution</w:t>
      </w:r>
      <w:r w:rsidR="0005488C">
        <w:t>s</w:t>
      </w:r>
      <w:r w:rsidRPr="00B20677">
        <w:t xml:space="preserve"> of </w:t>
      </w:r>
      <w:r w:rsidR="0005488C">
        <w:t>different physico-chemical properties</w:t>
      </w:r>
      <w:r w:rsidRPr="00B20677">
        <w:t xml:space="preserve"> of nanomedicines </w:t>
      </w:r>
      <w:r w:rsidR="00C1642C">
        <w:t>to</w:t>
      </w:r>
      <w:r w:rsidR="00C1642C" w:rsidRPr="00B20677">
        <w:t xml:space="preserve"> </w:t>
      </w:r>
      <w:r w:rsidRPr="00B20677">
        <w:t xml:space="preserve">blood </w:t>
      </w:r>
      <w:r w:rsidR="00B50719">
        <w:t>incompatibiliti</w:t>
      </w:r>
      <w:r w:rsidR="00B50719" w:rsidRPr="00B20677">
        <w:t>e</w:t>
      </w:r>
      <w:r w:rsidR="00B50719">
        <w:t>s</w:t>
      </w:r>
      <w:r w:rsidR="00B50719" w:rsidRPr="00B20677">
        <w:t xml:space="preserve"> </w:t>
      </w:r>
      <w:r w:rsidRPr="00B20677">
        <w:t>were calculated</w:t>
      </w:r>
      <w:r w:rsidR="0005488C">
        <w:t>.</w:t>
      </w:r>
      <w:r w:rsidRPr="00B20677">
        <w:t xml:space="preserve"> </w:t>
      </w:r>
    </w:p>
    <w:p w:rsidR="00684F7A" w:rsidRPr="00DD5653" w:rsidRDefault="00684F7A" w:rsidP="00684F7A">
      <w:pPr>
        <w:jc w:val="both"/>
        <w:rPr>
          <w:lang w:val="en"/>
        </w:rPr>
      </w:pPr>
      <w:r>
        <w:rPr>
          <w:lang w:val="en"/>
        </w:rPr>
        <w:t xml:space="preserve">We would like to note that </w:t>
      </w:r>
      <w:r w:rsidR="007B252A" w:rsidRPr="00DD5653">
        <w:rPr>
          <w:lang w:val="en"/>
        </w:rPr>
        <w:t xml:space="preserve">leading to firm conclusions </w:t>
      </w:r>
      <w:r>
        <w:rPr>
          <w:lang w:val="en"/>
        </w:rPr>
        <w:t xml:space="preserve">was challenging </w:t>
      </w:r>
      <w:r w:rsidR="007B252A">
        <w:rPr>
          <w:lang w:val="en"/>
        </w:rPr>
        <w:t>in this extensive review</w:t>
      </w:r>
      <w:r w:rsidR="007B252A" w:rsidRPr="00DD5653">
        <w:rPr>
          <w:lang w:val="en"/>
        </w:rPr>
        <w:t xml:space="preserve"> </w:t>
      </w:r>
      <w:r>
        <w:rPr>
          <w:lang w:val="en"/>
        </w:rPr>
        <w:t xml:space="preserve">due to </w:t>
      </w:r>
      <w:r w:rsidRPr="00DD5653">
        <w:rPr>
          <w:lang w:val="en"/>
        </w:rPr>
        <w:t xml:space="preserve">the heterogeneity of publicly available data on </w:t>
      </w:r>
      <w:r>
        <w:rPr>
          <w:lang w:val="en"/>
        </w:rPr>
        <w:t>preclinical</w:t>
      </w:r>
      <w:r w:rsidRPr="00DD5653">
        <w:rPr>
          <w:lang w:val="en"/>
        </w:rPr>
        <w:t xml:space="preserve"> effects of nanomedicines. A lack of harmonization regarding the</w:t>
      </w:r>
      <w:r>
        <w:rPr>
          <w:lang w:val="en"/>
        </w:rPr>
        <w:t xml:space="preserve"> information available in the literature about</w:t>
      </w:r>
      <w:r w:rsidRPr="00DD5653">
        <w:rPr>
          <w:lang w:val="en"/>
        </w:rPr>
        <w:t xml:space="preserve"> dose-selection, dose-metrics, blood preparation, assay format</w:t>
      </w:r>
      <w:r>
        <w:rPr>
          <w:lang w:val="en"/>
        </w:rPr>
        <w:t>s</w:t>
      </w:r>
      <w:r w:rsidRPr="00DD5653">
        <w:rPr>
          <w:lang w:val="en"/>
        </w:rPr>
        <w:t xml:space="preserve"> or species to use did not allow </w:t>
      </w:r>
      <w:r>
        <w:rPr>
          <w:lang w:val="en"/>
        </w:rPr>
        <w:t>p</w:t>
      </w:r>
      <w:r w:rsidRPr="00DD5653">
        <w:rPr>
          <w:lang w:val="en"/>
        </w:rPr>
        <w:t>erform</w:t>
      </w:r>
      <w:r>
        <w:rPr>
          <w:lang w:val="en"/>
        </w:rPr>
        <w:t>ing</w:t>
      </w:r>
      <w:r w:rsidRPr="00DD5653">
        <w:rPr>
          <w:lang w:val="en"/>
        </w:rPr>
        <w:t xml:space="preserve"> a quantitative </w:t>
      </w:r>
      <w:r w:rsidRPr="00DD5653">
        <w:rPr>
          <w:lang w:val="en"/>
        </w:rPr>
        <w:lastRenderedPageBreak/>
        <w:t xml:space="preserve">analysis </w:t>
      </w:r>
      <w:r>
        <w:rPr>
          <w:lang w:val="en"/>
        </w:rPr>
        <w:t xml:space="preserve">for </w:t>
      </w:r>
      <w:r w:rsidRPr="00DD5653">
        <w:rPr>
          <w:lang w:val="en"/>
        </w:rPr>
        <w:t>the establishment of dose-effect relationships of physico-chemical properties and adverse effects</w:t>
      </w:r>
      <w:r>
        <w:rPr>
          <w:lang w:val="en"/>
        </w:rPr>
        <w:t xml:space="preserve"> </w:t>
      </w:r>
      <w:r w:rsidRPr="00DD5653">
        <w:rPr>
          <w:lang w:val="en"/>
        </w:rPr>
        <w:t xml:space="preserve">(Dobrovolskaia, 2016). Furthermore, the origin of data deriving from animal </w:t>
      </w:r>
      <w:r w:rsidRPr="001E77AF">
        <w:rPr>
          <w:i/>
          <w:lang w:val="en"/>
        </w:rPr>
        <w:t>in vivo</w:t>
      </w:r>
      <w:r w:rsidRPr="00DD5653">
        <w:rPr>
          <w:lang w:val="en"/>
        </w:rPr>
        <w:t xml:space="preserve"> studies, human </w:t>
      </w:r>
      <w:r w:rsidRPr="001E77AF">
        <w:rPr>
          <w:i/>
          <w:lang w:val="en"/>
        </w:rPr>
        <w:t>in vivo</w:t>
      </w:r>
      <w:r w:rsidRPr="00DD5653">
        <w:rPr>
          <w:lang w:val="en"/>
        </w:rPr>
        <w:t xml:space="preserve"> studies, and </w:t>
      </w:r>
      <w:r w:rsidRPr="002E71C1">
        <w:rPr>
          <w:i/>
          <w:lang w:val="en"/>
        </w:rPr>
        <w:t>in vitro</w:t>
      </w:r>
      <w:r w:rsidRPr="00DD5653">
        <w:rPr>
          <w:lang w:val="en"/>
        </w:rPr>
        <w:t xml:space="preserve"> studies using blood from multiple species complicate</w:t>
      </w:r>
      <w:r>
        <w:rPr>
          <w:lang w:val="en"/>
        </w:rPr>
        <w:t>s</w:t>
      </w:r>
      <w:r w:rsidRPr="00DD5653">
        <w:rPr>
          <w:lang w:val="en"/>
        </w:rPr>
        <w:t xml:space="preserve"> the comparison of results obtained by different laboratories. </w:t>
      </w:r>
    </w:p>
    <w:p w:rsidR="008D4239" w:rsidRPr="00B20677" w:rsidRDefault="008D4239" w:rsidP="00B20677">
      <w:pPr>
        <w:jc w:val="both"/>
      </w:pPr>
    </w:p>
    <w:p w:rsidR="00B20677" w:rsidRPr="00B20677" w:rsidRDefault="00B20677" w:rsidP="00B20677">
      <w:pPr>
        <w:jc w:val="both"/>
        <w:rPr>
          <w:b/>
        </w:rPr>
      </w:pPr>
      <w:r w:rsidRPr="00B20677">
        <w:rPr>
          <w:b/>
        </w:rPr>
        <w:t>Available guidelines for blood compatibility testing</w:t>
      </w:r>
    </w:p>
    <w:p w:rsidR="003865B8" w:rsidRPr="00B20677" w:rsidRDefault="005769C0" w:rsidP="00B20677">
      <w:pPr>
        <w:jc w:val="both"/>
      </w:pPr>
      <w:r>
        <w:t>A</w:t>
      </w:r>
      <w:r w:rsidR="00B20677" w:rsidRPr="00B20677">
        <w:t xml:space="preserve"> search of available standards and guidelines for </w:t>
      </w:r>
      <w:r w:rsidR="00B20677" w:rsidRPr="005A7E18">
        <w:rPr>
          <w:i/>
        </w:rPr>
        <w:t>in vitro</w:t>
      </w:r>
      <w:r w:rsidR="00B20677" w:rsidRPr="00B20677">
        <w:t xml:space="preserve"> </w:t>
      </w:r>
      <w:r w:rsidR="00CB256F">
        <w:t>preclinical</w:t>
      </w:r>
      <w:r w:rsidR="00B20677" w:rsidRPr="00B20677">
        <w:t xml:space="preserve"> characterisation of blood compatibility was performed</w:t>
      </w:r>
      <w:r w:rsidRPr="00B20677">
        <w:t xml:space="preserve"> to </w:t>
      </w:r>
      <w:r>
        <w:t>have</w:t>
      </w:r>
      <w:r w:rsidRPr="00B20677">
        <w:t xml:space="preserve"> an overview on available standards that can address the above identified endpoints</w:t>
      </w:r>
      <w:r w:rsidR="00B20677" w:rsidRPr="00B20677">
        <w:t xml:space="preserve">. Documentary Standards from the International Organization for Standardization (ISO), ASTM International, European Committee for Standardization (CEN), International Council for Standardization in Haematology (ICSH), Clinical &amp; Laboratory Standards Institute (CLSI) and Regulatory Agency Guidance Documents were screened. Relevant assays for regulatory purposes were identified and listed, including information regarding the type of document, the blood incompatibility addressed and </w:t>
      </w:r>
      <w:r w:rsidR="00FB12FB">
        <w:t xml:space="preserve">the </w:t>
      </w:r>
      <w:r w:rsidR="00B20677" w:rsidRPr="005A7E18">
        <w:rPr>
          <w:i/>
        </w:rPr>
        <w:t>in vitro</w:t>
      </w:r>
      <w:r w:rsidR="00B20677" w:rsidRPr="00B20677">
        <w:t xml:space="preserve"> or </w:t>
      </w:r>
      <w:r w:rsidR="00B20677" w:rsidRPr="001E77AF">
        <w:rPr>
          <w:i/>
        </w:rPr>
        <w:t>in vivo</w:t>
      </w:r>
      <w:r w:rsidR="00B20677" w:rsidRPr="008D1D14">
        <w:t xml:space="preserve"> </w:t>
      </w:r>
      <w:r w:rsidR="00B20677" w:rsidRPr="00B20677">
        <w:t>methods described.</w:t>
      </w:r>
    </w:p>
    <w:p w:rsidR="008D1D14" w:rsidRDefault="008D1D14" w:rsidP="008D1D14">
      <w:pPr>
        <w:jc w:val="both"/>
        <w:rPr>
          <w:b/>
          <w:sz w:val="24"/>
        </w:rPr>
      </w:pPr>
    </w:p>
    <w:p w:rsidR="008D1D14" w:rsidRDefault="008D1D14" w:rsidP="008D1D14">
      <w:pPr>
        <w:jc w:val="both"/>
        <w:rPr>
          <w:b/>
          <w:sz w:val="24"/>
        </w:rPr>
      </w:pPr>
      <w:r w:rsidRPr="008D1D14">
        <w:rPr>
          <w:b/>
          <w:sz w:val="24"/>
        </w:rPr>
        <w:t xml:space="preserve">BLOOD </w:t>
      </w:r>
      <w:r w:rsidR="00CA7912">
        <w:rPr>
          <w:b/>
          <w:sz w:val="24"/>
        </w:rPr>
        <w:t>TOXICITIES</w:t>
      </w:r>
      <w:r w:rsidR="00CA7912" w:rsidRPr="008D1D14">
        <w:rPr>
          <w:b/>
          <w:sz w:val="24"/>
        </w:rPr>
        <w:t xml:space="preserve"> </w:t>
      </w:r>
      <w:r w:rsidRPr="008D1D14">
        <w:rPr>
          <w:b/>
          <w:sz w:val="24"/>
        </w:rPr>
        <w:t xml:space="preserve">TRIGGERED BY NANOMEDICINES </w:t>
      </w:r>
    </w:p>
    <w:p w:rsidR="008D1D14" w:rsidRPr="008D1D14" w:rsidRDefault="008D1D14" w:rsidP="008D1D14">
      <w:pPr>
        <w:jc w:val="both"/>
        <w:rPr>
          <w:b/>
        </w:rPr>
      </w:pPr>
      <w:r w:rsidRPr="008D1D14">
        <w:rPr>
          <w:b/>
          <w:i/>
        </w:rPr>
        <w:t>In vivo</w:t>
      </w:r>
      <w:r w:rsidRPr="008D1D14">
        <w:rPr>
          <w:b/>
        </w:rPr>
        <w:t xml:space="preserve"> </w:t>
      </w:r>
      <w:r w:rsidR="00CA7912">
        <w:rPr>
          <w:b/>
        </w:rPr>
        <w:t>blood toxicities</w:t>
      </w:r>
      <w:r w:rsidR="00CA7912" w:rsidRPr="008D1D14">
        <w:rPr>
          <w:b/>
        </w:rPr>
        <w:t xml:space="preserve"> </w:t>
      </w:r>
      <w:r w:rsidRPr="008D1D14">
        <w:rPr>
          <w:b/>
        </w:rPr>
        <w:t>triggered by nanomedicines</w:t>
      </w:r>
    </w:p>
    <w:p w:rsidR="008D1D14" w:rsidRPr="008D1D14" w:rsidRDefault="0027741D" w:rsidP="008D1D14">
      <w:pPr>
        <w:jc w:val="both"/>
      </w:pPr>
      <w:r>
        <w:t>In a first step of our literature review</w:t>
      </w:r>
      <w:r w:rsidR="009E04C2">
        <w:t>,</w:t>
      </w:r>
      <w:r>
        <w:t xml:space="preserve"> we identified </w:t>
      </w:r>
      <w:r w:rsidR="008D1D14" w:rsidRPr="008D1D14">
        <w:t xml:space="preserve">147 articles </w:t>
      </w:r>
      <w:r>
        <w:t xml:space="preserve">reporting on </w:t>
      </w:r>
      <w:r w:rsidR="008D1D14" w:rsidRPr="001E77AF">
        <w:rPr>
          <w:i/>
        </w:rPr>
        <w:t>in vivo</w:t>
      </w:r>
      <w:r w:rsidR="008D1D14" w:rsidRPr="008D1D14">
        <w:t xml:space="preserve"> studies</w:t>
      </w:r>
      <w:r w:rsidR="009E04C2">
        <w:t xml:space="preserve"> that assessed adverse effects of three types of nanoparticles</w:t>
      </w:r>
      <w:r w:rsidR="009E04C2" w:rsidRPr="008D1D14">
        <w:t>: lipid-based, polymer-based and inorganic</w:t>
      </w:r>
      <w:r w:rsidR="009E04C2">
        <w:t xml:space="preserve"> nanoparticles.</w:t>
      </w:r>
      <w:r w:rsidR="009E04C2" w:rsidRPr="008D1D14">
        <w:t xml:space="preserve"> </w:t>
      </w:r>
      <w:r>
        <w:t>31% of these studies (46 out of 147 publications) described</w:t>
      </w:r>
      <w:r w:rsidR="001E77AF">
        <w:t xml:space="preserve"> </w:t>
      </w:r>
      <w:r w:rsidR="008D1D14" w:rsidRPr="008D1D14">
        <w:t>blood toxicities</w:t>
      </w:r>
      <w:r w:rsidR="00FB12FB">
        <w:t xml:space="preserve"> </w:t>
      </w:r>
      <w:r w:rsidR="00FB12FB" w:rsidRPr="008D1D14">
        <w:t>(</w:t>
      </w:r>
      <w:r>
        <w:t xml:space="preserve">Figure </w:t>
      </w:r>
      <w:r w:rsidR="000874E4">
        <w:t>2A</w:t>
      </w:r>
      <w:r>
        <w:t xml:space="preserve">) which </w:t>
      </w:r>
      <w:r w:rsidR="00C27998">
        <w:t xml:space="preserve">have been </w:t>
      </w:r>
      <w:r w:rsidR="008D1D14" w:rsidRPr="008D1D14">
        <w:t xml:space="preserve">grouped </w:t>
      </w:r>
      <w:r>
        <w:t xml:space="preserve">according to </w:t>
      </w:r>
      <w:r w:rsidR="009E04C2">
        <w:t xml:space="preserve">their </w:t>
      </w:r>
      <w:r w:rsidR="008D1D14" w:rsidRPr="008D1D14">
        <w:t xml:space="preserve">three </w:t>
      </w:r>
      <w:r>
        <w:t>main</w:t>
      </w:r>
      <w:r w:rsidR="009E04C2">
        <w:t xml:space="preserve"> biological effects</w:t>
      </w:r>
      <w:r w:rsidR="008D1D14" w:rsidRPr="008D1D14">
        <w:t xml:space="preserve"> </w:t>
      </w:r>
      <w:r w:rsidR="009E04C2">
        <w:t>on</w:t>
      </w:r>
      <w:r w:rsidR="002465DF">
        <w:t>:</w:t>
      </w:r>
      <w:r w:rsidR="009E04C2">
        <w:t xml:space="preserve"> </w:t>
      </w:r>
      <w:r w:rsidR="008D1D14" w:rsidRPr="008D1D14">
        <w:t xml:space="preserve">haematology, thrombosis and complement activation. </w:t>
      </w:r>
    </w:p>
    <w:p w:rsidR="008D1D14" w:rsidRPr="00C75910" w:rsidRDefault="000D57C3" w:rsidP="008D1D14">
      <w:pPr>
        <w:keepNext/>
        <w:spacing w:after="0"/>
        <w:jc w:val="both"/>
        <w:rPr>
          <w:rFonts w:cs="Arial"/>
        </w:rPr>
      </w:pPr>
      <w:r>
        <w:rPr>
          <w:rFonts w:cs="Arial"/>
          <w:noProof/>
          <w:lang w:eastAsia="en-GB"/>
        </w:rPr>
        <w:drawing>
          <wp:inline distT="0" distB="0" distL="0" distR="0">
            <wp:extent cx="4848225" cy="2200275"/>
            <wp:effectExtent l="0" t="0" r="9525"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48225" cy="2200275"/>
                    </a:xfrm>
                    <a:prstGeom prst="rect">
                      <a:avLst/>
                    </a:prstGeom>
                    <a:noFill/>
                    <a:ln>
                      <a:noFill/>
                    </a:ln>
                  </pic:spPr>
                </pic:pic>
              </a:graphicData>
            </a:graphic>
          </wp:inline>
        </w:drawing>
      </w:r>
    </w:p>
    <w:p w:rsidR="008D1D14" w:rsidRPr="00C75910" w:rsidRDefault="008D1D14" w:rsidP="008D1D14">
      <w:pPr>
        <w:pStyle w:val="Caption"/>
        <w:spacing w:before="0" w:after="0" w:line="276" w:lineRule="auto"/>
        <w:rPr>
          <w:rFonts w:cs="Arial"/>
          <w:b w:val="0"/>
          <w:color w:val="auto"/>
          <w:sz w:val="22"/>
          <w:szCs w:val="22"/>
        </w:rPr>
      </w:pPr>
      <w:bookmarkStart w:id="1" w:name="_Ref495938749"/>
      <w:r w:rsidRPr="00C75910">
        <w:rPr>
          <w:rFonts w:cs="Arial"/>
          <w:b w:val="0"/>
          <w:color w:val="auto"/>
          <w:sz w:val="22"/>
          <w:szCs w:val="22"/>
        </w:rPr>
        <w:t xml:space="preserve">Figure </w:t>
      </w:r>
      <w:bookmarkEnd w:id="1"/>
      <w:r w:rsidR="0099336B">
        <w:rPr>
          <w:rFonts w:cs="Arial"/>
          <w:b w:val="0"/>
          <w:color w:val="auto"/>
          <w:sz w:val="22"/>
          <w:szCs w:val="22"/>
        </w:rPr>
        <w:t>2</w:t>
      </w:r>
      <w:r w:rsidRPr="00C75910">
        <w:rPr>
          <w:rFonts w:cs="Arial"/>
          <w:b w:val="0"/>
          <w:color w:val="auto"/>
          <w:sz w:val="22"/>
          <w:szCs w:val="22"/>
        </w:rPr>
        <w:t xml:space="preserve">. </w:t>
      </w:r>
      <w:r w:rsidR="00EB7E92">
        <w:rPr>
          <w:rFonts w:cs="Arial"/>
          <w:b w:val="0"/>
          <w:color w:val="auto"/>
          <w:sz w:val="22"/>
          <w:szCs w:val="22"/>
        </w:rPr>
        <w:t>Number of p</w:t>
      </w:r>
      <w:r w:rsidRPr="00C75910">
        <w:rPr>
          <w:rFonts w:cs="Arial"/>
          <w:b w:val="0"/>
          <w:color w:val="auto"/>
          <w:sz w:val="22"/>
          <w:szCs w:val="22"/>
        </w:rPr>
        <w:t xml:space="preserve">ublications </w:t>
      </w:r>
      <w:r w:rsidR="00EB7E92">
        <w:rPr>
          <w:rFonts w:cs="Arial"/>
          <w:b w:val="0"/>
          <w:color w:val="auto"/>
          <w:sz w:val="22"/>
          <w:szCs w:val="22"/>
        </w:rPr>
        <w:t xml:space="preserve">(n) </w:t>
      </w:r>
      <w:r w:rsidRPr="00C75910">
        <w:rPr>
          <w:rFonts w:cs="Arial"/>
          <w:b w:val="0"/>
          <w:color w:val="auto"/>
          <w:sz w:val="22"/>
          <w:szCs w:val="22"/>
        </w:rPr>
        <w:t xml:space="preserve">reporting blood incompatibilities for nanomedicines, </w:t>
      </w:r>
      <w:r w:rsidRPr="00C75910">
        <w:rPr>
          <w:rFonts w:cs="Arial"/>
          <w:b w:val="0"/>
          <w:i/>
          <w:color w:val="auto"/>
          <w:sz w:val="22"/>
          <w:szCs w:val="22"/>
        </w:rPr>
        <w:t>in vivo</w:t>
      </w:r>
      <w:r w:rsidRPr="00C75910">
        <w:rPr>
          <w:rFonts w:cs="Arial"/>
          <w:b w:val="0"/>
          <w:color w:val="auto"/>
          <w:sz w:val="22"/>
          <w:szCs w:val="22"/>
        </w:rPr>
        <w:t xml:space="preserve"> (A) or </w:t>
      </w:r>
      <w:r w:rsidRPr="00C75910">
        <w:rPr>
          <w:rFonts w:cs="Arial"/>
          <w:b w:val="0"/>
          <w:i/>
          <w:color w:val="auto"/>
          <w:sz w:val="22"/>
          <w:szCs w:val="22"/>
        </w:rPr>
        <w:t>in vitro</w:t>
      </w:r>
      <w:r w:rsidRPr="00C75910">
        <w:rPr>
          <w:rFonts w:cs="Arial"/>
          <w:b w:val="0"/>
          <w:color w:val="auto"/>
          <w:sz w:val="22"/>
          <w:szCs w:val="22"/>
        </w:rPr>
        <w:t xml:space="preserve"> (B). The most frequently reported blood adversity </w:t>
      </w:r>
      <w:r w:rsidRPr="00C75910">
        <w:rPr>
          <w:rFonts w:cs="Arial"/>
          <w:b w:val="0"/>
          <w:i/>
          <w:color w:val="auto"/>
          <w:sz w:val="22"/>
          <w:szCs w:val="22"/>
        </w:rPr>
        <w:t>in vivo</w:t>
      </w:r>
      <w:r w:rsidRPr="00C75910">
        <w:rPr>
          <w:rFonts w:cs="Arial"/>
          <w:b w:val="0"/>
          <w:color w:val="auto"/>
          <w:sz w:val="22"/>
          <w:szCs w:val="22"/>
        </w:rPr>
        <w:t xml:space="preserve"> was thrombosis. Alterations on coagulation and platelets are </w:t>
      </w:r>
      <w:r w:rsidRPr="00C75910">
        <w:rPr>
          <w:rFonts w:cs="Arial"/>
          <w:b w:val="0"/>
          <w:i/>
          <w:color w:val="auto"/>
          <w:sz w:val="22"/>
          <w:szCs w:val="22"/>
        </w:rPr>
        <w:t>in vitro</w:t>
      </w:r>
      <w:r w:rsidRPr="00C75910">
        <w:rPr>
          <w:rFonts w:cs="Arial"/>
          <w:b w:val="0"/>
          <w:color w:val="auto"/>
          <w:sz w:val="22"/>
          <w:szCs w:val="22"/>
        </w:rPr>
        <w:t xml:space="preserve"> endpoints corresponding to thrombosis </w:t>
      </w:r>
      <w:r w:rsidRPr="00C75910">
        <w:rPr>
          <w:rFonts w:cs="Arial"/>
          <w:b w:val="0"/>
          <w:i/>
          <w:color w:val="auto"/>
          <w:sz w:val="22"/>
          <w:szCs w:val="22"/>
        </w:rPr>
        <w:t>in vivo</w:t>
      </w:r>
      <w:r w:rsidRPr="00C75910">
        <w:rPr>
          <w:rFonts w:cs="Arial"/>
          <w:b w:val="0"/>
          <w:color w:val="auto"/>
          <w:sz w:val="22"/>
          <w:szCs w:val="22"/>
        </w:rPr>
        <w:t xml:space="preserve">; counted together, they are also the main blood incompatibility </w:t>
      </w:r>
      <w:r w:rsidRPr="00C75910">
        <w:rPr>
          <w:rFonts w:cs="Arial"/>
          <w:b w:val="0"/>
          <w:i/>
          <w:color w:val="auto"/>
          <w:sz w:val="22"/>
          <w:szCs w:val="22"/>
        </w:rPr>
        <w:t>in vitro</w:t>
      </w:r>
      <w:r w:rsidRPr="00C75910">
        <w:rPr>
          <w:rFonts w:cs="Arial"/>
          <w:b w:val="0"/>
          <w:color w:val="auto"/>
          <w:sz w:val="22"/>
          <w:szCs w:val="22"/>
        </w:rPr>
        <w:t>.</w:t>
      </w:r>
    </w:p>
    <w:p w:rsidR="008D1D14" w:rsidRPr="00C75910" w:rsidRDefault="008D1D14" w:rsidP="008D1D14">
      <w:pPr>
        <w:spacing w:after="0"/>
        <w:jc w:val="both"/>
        <w:rPr>
          <w:rFonts w:cs="Arial"/>
        </w:rPr>
      </w:pPr>
    </w:p>
    <w:p w:rsidR="008D1D14" w:rsidRPr="00C75910" w:rsidRDefault="008D1D14" w:rsidP="008D1D14">
      <w:pPr>
        <w:spacing w:after="0"/>
        <w:jc w:val="both"/>
        <w:rPr>
          <w:rFonts w:cs="Arial"/>
        </w:rPr>
      </w:pPr>
    </w:p>
    <w:p w:rsidR="008D1D14" w:rsidRPr="008D1D14" w:rsidRDefault="00FB5E5F" w:rsidP="008D1D14">
      <w:pPr>
        <w:jc w:val="both"/>
      </w:pPr>
      <w:r>
        <w:t>T</w:t>
      </w:r>
      <w:r w:rsidR="008D1D14" w:rsidRPr="008D1D14">
        <w:t>hrombosis represents the most common</w:t>
      </w:r>
      <w:r w:rsidR="00E33714">
        <w:t>ly</w:t>
      </w:r>
      <w:r w:rsidR="008D1D14" w:rsidRPr="008D1D14">
        <w:t xml:space="preserve"> reported blood toxicity during </w:t>
      </w:r>
      <w:r w:rsidR="00CB256F">
        <w:t>preclinical</w:t>
      </w:r>
      <w:r w:rsidR="008D1D14" w:rsidRPr="008D1D14">
        <w:t xml:space="preserve"> characterisation of nanomedicines </w:t>
      </w:r>
      <w:r w:rsidR="008D1D14" w:rsidRPr="001E77AF">
        <w:rPr>
          <w:i/>
        </w:rPr>
        <w:t>in vivo</w:t>
      </w:r>
      <w:r w:rsidR="008D1D14" w:rsidRPr="008D1D14">
        <w:t xml:space="preserve">, with 61% of reported cases from the total blood toxicities (28 out of 46). The remaining </w:t>
      </w:r>
      <w:r w:rsidR="00E33714">
        <w:t>reports on</w:t>
      </w:r>
      <w:r w:rsidR="008D1D14" w:rsidRPr="008D1D14">
        <w:t xml:space="preserve"> </w:t>
      </w:r>
      <w:r w:rsidR="002A7525">
        <w:t xml:space="preserve">blood </w:t>
      </w:r>
      <w:r w:rsidR="002A7525" w:rsidRPr="008D1D14">
        <w:t xml:space="preserve">toxicities </w:t>
      </w:r>
      <w:r w:rsidR="008D1D14" w:rsidRPr="008D1D14">
        <w:t>were associated with undesired complement activation (28%, 13 out of 46) and alterations on haematology (11%, 5 out of 46).</w:t>
      </w:r>
    </w:p>
    <w:p w:rsidR="008D1D14" w:rsidRPr="008D1D14" w:rsidRDefault="008D1D14" w:rsidP="008D1D14">
      <w:pPr>
        <w:jc w:val="both"/>
      </w:pPr>
      <w:r w:rsidRPr="008D1D14">
        <w:t xml:space="preserve">Thrombogenicity is the propensity of a material to induce blood clotting and partial or complete occlusion of a blood vessel by a thrombus (a mixture of red blood cells, aggregated platelets, fibrin and other cellular elements). </w:t>
      </w:r>
      <w:r w:rsidR="00C1642C" w:rsidRPr="008D1D14">
        <w:t xml:space="preserve">Thrombosis comprises diverse effects such as platelet aggregation, plasma coagulation, disseminated intravascular coagulation and leukocyte procoagulant activity. </w:t>
      </w:r>
      <w:r w:rsidRPr="008D1D14">
        <w:t xml:space="preserve">Nanoparticles intended for drug delivery applications are intentionally engineered to reduce their clearance from the bloodstream and extend </w:t>
      </w:r>
      <w:r w:rsidR="00941D0A">
        <w:t xml:space="preserve">their </w:t>
      </w:r>
      <w:r w:rsidRPr="008D1D14">
        <w:t xml:space="preserve">systemic circulation times to increase drug delivery to a target site </w:t>
      </w:r>
      <w:r w:rsidRPr="008D1D14">
        <w:fldChar w:fldCharType="begin" w:fldLock="1"/>
      </w:r>
      <w:r w:rsidRPr="008D1D14">
        <w:instrText>ADDIN CSL_CITATION { "citationItems" : [ { "id" : "ITEM-1", "itemData" : { "DOI" : "10.1021/mp200463e.Nanoparticle", "ISBN" : "1543-8392 (Electronic)\\r1543-8384 (Linking)", "ISSN" : "15438384", "PMID" : "22026635", "abstract" : "Blood platelets are essential in maintaining hemostasis. Various materials can activate platelets and cause them to aggregate. Platelet aggregation in vitro is often used as a marker for materials\u2019 thrombogenic properties and studying nanomaterial interaction with platelets is an important step toward understanding their hematocompatibility. Here we report evaluation of 12 formulations of PAMAM dendrimers varying in size and surface charge. Using a cell counter based method, light transmission aggregometry and scanning electron microscopy, we show that only large cationic dendrimers, but not anionic, neutral or small cationic dendrimers, induce aggregation of human platelets in plasma to the number of surface amines. The observed aggregation was not associated with membrane in vitro . The aggregation caused by large cationic dendrimers was proportional microparticle release, and was insensitive to a variety of chemical and biological inhibitors known to interfere with various pathways of platelet activation. Taken in context with previously reported studies, our data suggest that large cationic PAMAM dendrimers induce platelet aggregation through disruption of membrane integrity. Keywords", "author" : [ { "dropping-particle" : "", "family" : "Dobrovolskaia", "given" : "Marina A", "non-dropping-particle" : "", "parse-names" : false, "suffix" : "" }, { "dropping-particle" : "", "family" : "Patri", "given" : "Anil K", "non-dropping-particle" : "", "parse-names" : false, "suffix" : "" }, { "dropping-particle" : "", "family" : "Simak", "given" : "Jan", "non-dropping-particle" : "", "parse-names" : false, "suffix" : "" }, { "dropping-particle" : "", "family" : "Hall", "given" : "Jennifer B", "non-dropping-particle" : "", "parse-names" : false, "suffix" : "" }, { "dropping-particle" : "", "family" : "Semberova", "given" : "Jana", "non-dropping-particle" : "", "parse-names" : false, "suffix" : "" }, { "dropping-particle" : "", "family" : "Lacerda", "given" : "Silvia H De Paoli", "non-dropping-particle" : "", "parse-names" : false, "suffix" : "" }, { "dropping-particle" : "", "family" : "Mcneil", "given" : "Scott E", "non-dropping-particle" : "", "parse-names" : false, "suffix" : "" } ], "container-title" : "Molecular Pharmacology", "id" : "ITEM-1", "issue" : "3", "issued" : { "date-parts" : [ [ "2013" ] ] }, "page" : "382-393", "title" : "Nanoparticle size and surface charge determine effects of PAMAM dendrimers on human platelets in vitro", "type" : "article-journal", "volume" : "9" }, "uris" : [ "http://www.mendeley.com/documents/?uuid=797be7c0-a070-437e-b053-0bd0e492a239" ] } ], "mendeley" : { "formattedCitation" : "(Marina A Dobrovolskaia et al., 2013)", "manualFormatting" : "(Dobrovolskaia, 2013)", "plainTextFormattedCitation" : "(Marina A Dobrovolskaia et al., 2013)", "previouslyFormattedCitation" : "(Marina A Dobrovolskaia et al., 2013)" }, "properties" : { "noteIndex" : 0 }, "schema" : "https://github.com/citation-style-language/schema/raw/master/csl-citation.json" }</w:instrText>
      </w:r>
      <w:r w:rsidRPr="008D1D14">
        <w:fldChar w:fldCharType="separate"/>
      </w:r>
      <w:r w:rsidRPr="008D1D14">
        <w:rPr>
          <w:noProof/>
        </w:rPr>
        <w:t>(Dobrovolskaia, 2013)</w:t>
      </w:r>
      <w:r w:rsidRPr="008D1D14">
        <w:fldChar w:fldCharType="end"/>
      </w:r>
      <w:r w:rsidRPr="008D1D14">
        <w:t xml:space="preserve">. This extended exposure </w:t>
      </w:r>
      <w:r w:rsidR="00941D0A">
        <w:t xml:space="preserve">of the nanoparticles </w:t>
      </w:r>
      <w:r w:rsidRPr="008D1D14">
        <w:t xml:space="preserve">to coagulation factors and platelets may amplify adverse effects such as disseminated intravascular coagulation, which is coagulation toxicity characterized by </w:t>
      </w:r>
      <w:r w:rsidR="00AE69C9" w:rsidRPr="008D1D14">
        <w:t>initial</w:t>
      </w:r>
      <w:r w:rsidR="00AE69C9">
        <w:t xml:space="preserve"> </w:t>
      </w:r>
      <w:r w:rsidRPr="008D1D14">
        <w:t>massive blood clotting</w:t>
      </w:r>
      <w:r w:rsidR="00AE69C9">
        <w:t>,</w:t>
      </w:r>
      <w:r w:rsidR="00235FDE">
        <w:t xml:space="preserve"> and</w:t>
      </w:r>
      <w:r w:rsidR="00AE69C9">
        <w:t xml:space="preserve"> it</w:t>
      </w:r>
      <w:r w:rsidR="00235FDE">
        <w:t xml:space="preserve"> is</w:t>
      </w:r>
      <w:r w:rsidRPr="008D1D14">
        <w:t xml:space="preserve"> increasingly being reported for cationic engineered nanomaterials </w:t>
      </w:r>
      <w:r w:rsidRPr="008D1D14">
        <w:fldChar w:fldCharType="begin" w:fldLock="1"/>
      </w:r>
      <w:r w:rsidRPr="008D1D14">
        <w:instrText>ADDIN CSL_CITATION { "citationItems" : [ { "id" : "ITEM-1", "itemData" : { "DOI" : "10.1517/17425247.2015.1042857", "ISSN" : "1744-7593", "PMID" : "25994601", "abstract" : "INTRODUCTION: Clinical translation of nucleic acid-based therapeutics (NATs) is hampered by assorted challenges in immunotoxicity, hematotoxicity, pharmacokinetics, toxicology and formulation. Nanotechnology-based platforms are being considered to help address some of these challenges due to the nanoparticles' ability to change drug biodistribution, stability, circulation half-life, route of administration and dosage. Addressing toxicology and pharmacology concerns by various means including NATs reformulation using nanotechnology-based carriers has been reviewed before. However, little attention was given to the immunological and hematological issues associated with nanotechnology reformulation.\\n\\nAREAS COVERED: This review focuses on application of nanotechnology carriers for delivery of various types of NATs, and how reformulation using nanoparticles affects immunological and hematological toxicities of this promising class of therapeutic agents.\\n\\nEXPERT OPINION: NATs share several immunological and hematological toxicities with common nanotechnology carriers. In order to avoid synergy or exaggeration of undesirable immunological and hematological effects of NATs by a nanocarrier, it is critical to consider the immunological compatibility of the nanotechnology platform and its components. Since receptors sensing nucleic acids are located essentially in all cellular compartments, a strategy for developing a nanoformulation with reduced immunotoxicity should first focus on precise delivery to the target site/cells and then on optimizing intracellular distribution.", "author" : [ { "dropping-particle" : "", "family" : "Dobrovolskaia", "given" : "Marina a", "non-dropping-particle" : "", "parse-names" : false, "suffix" : "" }, { "dropping-particle" : "", "family" : "McNeil", "given" : "Scott E", "non-dropping-particle" : "", "parse-names" : false, "suffix" : "" } ], "container-title" : "Expert Opinion on Drug Delivery", "id" : "ITEM-1", "issue" : "7", "issued" : { "date-parts" : [ [ "2015" ] ] }, "page" : "1163-75", "title" : "Strategy for selecting nanotechnology carriers to overcome immunological and hematological toxicities challenging clinical translation of nucleic acid-based therapeutics.", "type" : "article-journal", "volume" : "12" }, "uris" : [ "http://www.mendeley.com/documents/?uuid=61cc9da0-31a7-46e7-beb7-10c1c96b525b" ] } ], "mendeley" : { "formattedCitation" : "(M. a Dobrovolskaia &amp; McNeil, 2015)", "manualFormatting" : "(Dobrovolskaia, 2015)", "plainTextFormattedCitation" : "(M. a Dobrovolskaia &amp; McNeil, 2015)", "previouslyFormattedCitation" : "(M. a Dobrovolskaia &amp; McNeil, 2015)" }, "properties" : { "noteIndex" : 0 }, "schema" : "https://github.com/citation-style-language/schema/raw/master/csl-citation.json" }</w:instrText>
      </w:r>
      <w:r w:rsidRPr="008D1D14">
        <w:fldChar w:fldCharType="separate"/>
      </w:r>
      <w:r w:rsidRPr="008D1D14">
        <w:rPr>
          <w:noProof/>
        </w:rPr>
        <w:t>(Dobrovolskaia, 2015)</w:t>
      </w:r>
      <w:r w:rsidRPr="008D1D14">
        <w:fldChar w:fldCharType="end"/>
      </w:r>
      <w:r w:rsidR="00FB69D9">
        <w:t>. Safe nanoparticle</w:t>
      </w:r>
      <w:r w:rsidRPr="008D1D14">
        <w:t xml:space="preserve">s are expected to have no effect on </w:t>
      </w:r>
      <w:r w:rsidR="00FB69D9">
        <w:t xml:space="preserve">the </w:t>
      </w:r>
      <w:r w:rsidRPr="008D1D14">
        <w:t xml:space="preserve">coagulation time. </w:t>
      </w:r>
      <w:r w:rsidR="00235FDE" w:rsidRPr="008D1D14">
        <w:t>Shorte</w:t>
      </w:r>
      <w:r w:rsidR="00235FDE">
        <w:t>ning of</w:t>
      </w:r>
      <w:r w:rsidR="00235FDE" w:rsidRPr="008D1D14">
        <w:t xml:space="preserve"> </w:t>
      </w:r>
      <w:r w:rsidRPr="008D1D14">
        <w:t xml:space="preserve">coagulation times </w:t>
      </w:r>
      <w:r w:rsidR="00235FDE">
        <w:t>can</w:t>
      </w:r>
      <w:r w:rsidR="00235FDE" w:rsidRPr="008D1D14">
        <w:t xml:space="preserve"> </w:t>
      </w:r>
      <w:r w:rsidRPr="008D1D14">
        <w:t>induce toxicity by formation of a thrombus that could partially or completely occlude blood vessels; while an anticoagulant effect (longer coagulation times) could cause haemorrhag</w:t>
      </w:r>
      <w:r w:rsidR="00235FDE">
        <w:t>ing</w:t>
      </w:r>
      <w:r w:rsidRPr="008D1D14">
        <w:t xml:space="preserve"> </w:t>
      </w:r>
      <w:r w:rsidRPr="008D1D14">
        <w:fldChar w:fldCharType="begin" w:fldLock="1"/>
      </w:r>
      <w:r w:rsidRPr="008D1D14">
        <w:instrText>ADDIN CSL_CITATION { "citationItems" : [ { "id" : "ITEM-1", "itemData" : { "DOI" : "10.1021/mp800032f", "ISBN" : "1543-8384", "ISSN" : "15438384", "PMID" : "18510338", "abstract" : "Nanoparticles have unique physicochemical properties which make them promising platforms for drug delivery. However, immune cells in the bloodstream (such as monocytes, platelets, leukocytes, and dendritic cells) and in tissues (such as resident phagocytes) have a propensity to engulf and eliminate certain nanoparticles. A nanoparticle's interaction with plasma proteins (opsonins) and blood components (via hemolysis, thrombogenicity and complement activation) may influence uptake and clearance and hence potentially affect distribution and delivery to the intended target sites. Nanoparticle uptake by the immune cells is influenced by many factors. Different nanoparticles have been shown to act on different pathways, while various characteristics/properties also affect which pathway is employed for particle internalization. Nanoparticle protein binding occurs almost instantaneously once the particle enters biological medium, and the physical properties of such a particle-protein complex are often different than those of the formulated particle. These new properties can contribute to different biological responses and change nanoparticle biodistribution. Therefore, in the situation when specific delivery to immune cells is not desired, the ideal nanoparticle platform is the one whose integrity is not disturbed in the complex biological environment, which provides extended circulation in the blood to maximize delivery to the target site, is not toxic to blood cellular components, and is \"invisible\" to the immune cells which can remove it from circulation. This review discusses the most recent data on nanoparticle interactions with blood components and how particle size and surface charge define their hematocompatibility. This includes properties which determine particle interaction with plasma proteins and uptake by macrophages. We will also provide an overview of in vitro methods useful in identifying interactions with components of the immune system and the potential effects of such interaction on particle distribution to tissues.", "author" : [ { "dropping-particle" : "", "family" : "Dobrovolskaia", "given" : "Marina A.", "non-dropping-particle" : "", "parse-names" : false, "suffix" : "" }, { "dropping-particle" : "", "family" : "Aggarwal", "given" : "Parag", "non-dropping-particle" : "", "parse-names" : false, "suffix" : "" }, { "dropping-particle" : "", "family" : "Hall", "given" : "Jennifer B.", "non-dropping-particle" : "", "parse-names" : false, "suffix" : "" }, { "dropping-particle" : "", "family" : "McNeil", "given" : "Scott E.", "non-dropping-particle" : "", "parse-names" : false, "suffix" : "" } ], "container-title" : "Molecular Pharmaceutics", "id" : "ITEM-1", "issue" : "4", "issued" : { "date-parts" : [ [ "2008" ] ] }, "page" : "487-495", "title" : "Preclinical studies to understand nanoparticle interaction with the immune system and its potential effects on nanoparticle biodistribution", "type" : "article-journal", "volume" : "5" }, "uris" : [ "http://www.mendeley.com/documents/?uuid=f1ec8b7e-4ea1-4e49-a9c0-0364803a3f1b" ] } ], "mendeley" : { "formattedCitation" : "(Marina A. Dobrovolskaia, Aggarwal, Hall, &amp; McNeil, 2008)", "manualFormatting" : "(Dobrovolskaia, 2008)", "plainTextFormattedCitation" : "(Marina A. Dobrovolskaia, Aggarwal, Hall, &amp; McNeil, 2008)", "previouslyFormattedCitation" : "(Marina A. Dobrovolskaia, Aggarwal, Hall, &amp; McNeil, 2008)" }, "properties" : { "noteIndex" : 0 }, "schema" : "https://github.com/citation-style-language/schema/raw/master/csl-citation.json" }</w:instrText>
      </w:r>
      <w:r w:rsidRPr="008D1D14">
        <w:fldChar w:fldCharType="separate"/>
      </w:r>
      <w:r w:rsidRPr="008D1D14">
        <w:rPr>
          <w:noProof/>
        </w:rPr>
        <w:t>(Dobrovolskaia, 2008)</w:t>
      </w:r>
      <w:r w:rsidRPr="008D1D14">
        <w:fldChar w:fldCharType="end"/>
      </w:r>
      <w:r w:rsidRPr="008D1D14">
        <w:t xml:space="preserve">. Furthermore, nanoparticles may interact with and modulate the activity of various components of the coagulation system such as platelets, endothelial cells, leukocytes and plasma coagulation factors. </w:t>
      </w:r>
      <w:r w:rsidR="00AE69C9">
        <w:t xml:space="preserve">However, </w:t>
      </w:r>
      <w:r w:rsidR="00AE69C9" w:rsidRPr="008D1D14">
        <w:t xml:space="preserve">the detailed mechanisms of pro-coagulatory events upon blood contact with artificial surfaces are still not fully understood </w:t>
      </w:r>
      <w:r w:rsidR="00AE69C9" w:rsidRPr="008D1D14">
        <w:fldChar w:fldCharType="begin" w:fldLock="1"/>
      </w:r>
      <w:r w:rsidR="00AE69C9" w:rsidRPr="008D1D14">
        <w:instrText>ADDIN CSL_CITATION { "citationItems" : [ { "id" : "ITEM-1", "itemData" : { "DOI" : "10.1186/1559-4106-8-33", "ISSN" : "1559-4106", "PMID" : "24706143", "abstract" : "This perspective does not include an abstract.", "author" : [ { "dropping-particle" : "", "family" : "Braune", "given" : "Steffen", "non-dropping-particle" : "", "parse-names" : false, "suffix" : "" }, { "dropping-particle" : "", "family" : "Grunze", "given" : "Michael", "non-dropping-particle" : "", "parse-names" : false, "suffix" : "" }, { "dropping-particle" : "", "family" : "Straub", "given" : "Andreas", "non-dropping-particle" : "", "parse-names" : false, "suffix" : "" }, { "dropping-particle" : "", "family" : "Jung", "given" : "Friedrich", "non-dropping-particle" : "", "parse-names" : false, "suffix" : "" } ], "container-title" : "Biointerphases", "id" : "ITEM-1", "issued" : { "date-parts" : [ [ "2013" ] ] }, "page" : "30", "title" : "Are there sufficient standards for the in vitro hemocompatibility testing of biomaterials?", "type" : "article-journal", "volume" : "8" }, "uris" : [ "http://www.mendeley.com/documents/?uuid=54eb5c59-a64c-4cb8-8b63-9d6b1ca1c805" ] } ], "mendeley" : { "formattedCitation" : "(Braune, Grunze, Straub, &amp; Jung, 2013)", "manualFormatting" : "(Braune, 2013)", "plainTextFormattedCitation" : "(Braune, Grunze, Straub, &amp; Jung, 2013)", "previouslyFormattedCitation" : "(Braune, Grunze, Straub, &amp; Jung, 2013)" }, "properties" : { "noteIndex" : 0 }, "schema" : "https://github.com/citation-style-language/schema/raw/master/csl-citation.json" }</w:instrText>
      </w:r>
      <w:r w:rsidR="00AE69C9" w:rsidRPr="008D1D14">
        <w:fldChar w:fldCharType="separate"/>
      </w:r>
      <w:r w:rsidR="00AE69C9" w:rsidRPr="008D1D14">
        <w:rPr>
          <w:noProof/>
        </w:rPr>
        <w:t>(Braune, 2013)</w:t>
      </w:r>
      <w:r w:rsidR="00AE69C9" w:rsidRPr="008D1D14">
        <w:fldChar w:fldCharType="end"/>
      </w:r>
      <w:r w:rsidR="00AE69C9">
        <w:t>, d</w:t>
      </w:r>
      <w:r w:rsidRPr="008D1D14">
        <w:t xml:space="preserve">espite </w:t>
      </w:r>
      <w:r w:rsidR="00AE69C9" w:rsidRPr="00537077">
        <w:t>this being the most reported</w:t>
      </w:r>
      <w:r w:rsidR="00AE69C9">
        <w:t>, as well as intensely researched,</w:t>
      </w:r>
      <w:r w:rsidR="00AE69C9" w:rsidRPr="00537077">
        <w:t xml:space="preserve"> blood adversity</w:t>
      </w:r>
      <w:r w:rsidR="00AE69C9">
        <w:t xml:space="preserve"> of nanomedicines</w:t>
      </w:r>
      <w:r w:rsidR="00AE69C9" w:rsidRPr="00537077">
        <w:t xml:space="preserve"> </w:t>
      </w:r>
      <w:r w:rsidR="00AE69C9" w:rsidRPr="00537077">
        <w:rPr>
          <w:i/>
        </w:rPr>
        <w:t>in vivo</w:t>
      </w:r>
      <w:r w:rsidR="00AE69C9" w:rsidRPr="00537077">
        <w:t>.</w:t>
      </w:r>
    </w:p>
    <w:p w:rsidR="008D1D14" w:rsidRPr="008D1D14" w:rsidRDefault="009939FA" w:rsidP="008D1D14">
      <w:pPr>
        <w:jc w:val="both"/>
      </w:pPr>
      <w:r>
        <w:t>In addition to effects leading to thrombosis</w:t>
      </w:r>
      <w:r w:rsidR="00275FCC">
        <w:t>,</w:t>
      </w:r>
      <w:r>
        <w:t xml:space="preserve"> we could demonstrate that </w:t>
      </w:r>
      <w:r w:rsidR="008D1D14" w:rsidRPr="008D1D14">
        <w:t xml:space="preserve">undesired complement activation </w:t>
      </w:r>
      <w:r>
        <w:t xml:space="preserve">was </w:t>
      </w:r>
      <w:r w:rsidR="008D1D14" w:rsidRPr="008D1D14">
        <w:t xml:space="preserve">reported in 28% (13 out of 46) of the </w:t>
      </w:r>
      <w:r>
        <w:t xml:space="preserve">reviewed </w:t>
      </w:r>
      <w:r w:rsidR="008D1D14" w:rsidRPr="008D1D14">
        <w:t>articles describing blood toxicities (</w:t>
      </w:r>
      <w:r w:rsidR="002901B5">
        <w:t xml:space="preserve">Figure </w:t>
      </w:r>
      <w:r w:rsidR="000874E4">
        <w:t>2</w:t>
      </w:r>
      <w:r w:rsidR="008D1D14" w:rsidRPr="008D1D14">
        <w:t xml:space="preserve">A). The complement system is a group of proteins from the innate immune system that are linked to each other in a biochemical cascade which </w:t>
      </w:r>
      <w:r w:rsidR="00FB69D9">
        <w:t>contributes to the removal of</w:t>
      </w:r>
      <w:r w:rsidR="008D1D14" w:rsidRPr="008D1D14">
        <w:t xml:space="preserve"> pathogens from the body and supports cell-mediated immunity. The activation of the complement by a pathogen or a nanostructure can be triggered by different initiation pathways involving different proteins, </w:t>
      </w:r>
      <w:r w:rsidR="00FB69D9">
        <w:t xml:space="preserve">in which the protein </w:t>
      </w:r>
      <w:r w:rsidR="008D1D14" w:rsidRPr="008D1D14">
        <w:t xml:space="preserve">C3 </w:t>
      </w:r>
      <w:r w:rsidR="00FB69D9">
        <w:t xml:space="preserve">acts as </w:t>
      </w:r>
      <w:r w:rsidR="008D1D14" w:rsidRPr="008D1D14">
        <w:t xml:space="preserve">a key player in the activation cascade </w:t>
      </w:r>
      <w:r w:rsidR="008D1D14" w:rsidRPr="008D1D14">
        <w:fldChar w:fldCharType="begin" w:fldLock="1"/>
      </w:r>
      <w:r w:rsidR="008D1D14" w:rsidRPr="008D1D14">
        <w:instrText>ADDIN CSL_CITATION { "citationItems" : [ { "id" : "ITEM-1", "itemData" : { "DOI" : "10.1016/j.biomaterials.2010.10.026", "ISBN" : "0142-9612", "ISSN" : "01429612", "PMID" : "21093043", "abstract" : "Four types of nanoparticles with core-diffuse shell structures have been synthesized through self-assembly of PICBA-Dextran block copolymers. These nanoparticles are designed to carry pharmaceutically active molecules into the human body through injection into the blood stream. In this work, we have determined how the characteristics of the diffuse shell influence the adsorption of three types of proteins: Bovine Serum Albumin (BSA), fibrinogen, and a protein from the complement system that triggers recognition and elimination by macrophages. We have determined the structural characteristics of the diffuse shells using Nuclear Magnetic Resonance (NMR), Small Angle Neutron Scattering (SANS) and Quasi-Elastic Light Scattering (QELS). We have measured the adsorption of Bovine Serum Albumin (BSA) through Immunodiffusion methods, and found that it adsorbed in substantial amounts even when the distance between dextran chains at the core-diffuse shell interface is quite short. We have observed the aggregation of the nanoparticles induced by fibrinogen, and found that it was prevented when the density of dextran chains protruding from the core surface was sufficiently high. Finally we have measured the activation of the complement system by the nanoparticles, and found that it was also limited by the surface density of dextran chains that protrude from the core and by their mesh size within the diffuse shell. \u00a9 2010 Elsevier Ltd.", "author" : [ { "dropping-particle" : "", "family" : "Vauthier", "given" : "Christine", "non-dropping-particle" : "", "parse-names" : false, "suffix" : "" }, { "dropping-particle" : "", "family" : "Persson", "given" : "Bjorn", "non-dropping-particle" : "", "parse-names" : false, "suffix" : "" }, { "dropping-particle" : "", "family" : "Lindner", "given" : "Peter", "non-dropping-particle" : "", "parse-names" : false, "suffix" : "" }, { "dropping-particle" : "", "family" : "Cabane", "given" : "Bernard", "non-dropping-particle" : "", "parse-names" : false, "suffix" : "" } ], "container-title" : "Biomaterials", "id" : "ITEM-1", "issue" : "6", "issued" : { "date-parts" : [ [ "2011" ] ] }, "page" : "1646-1656", "publisher" : "Elsevier Ltd", "title" : "Protein adsorption and complement activation for di-block copolymer nanoparticles", "type" : "article-journal", "volume" : "32" }, "uris" : [ "http://www.mendeley.com/documents/?uuid=63c125d1-07e8-4bbf-b30b-a371a42d054e" ] } ], "mendeley" : { "formattedCitation" : "(Vauthier, Persson, Lindner, &amp; Cabane, 2011)", "manualFormatting" : "(Vauthier, 2011)", "plainTextFormattedCitation" : "(Vauthier, Persson, Lindner, &amp; Cabane, 2011)", "previouslyFormattedCitation" : "(Vauthier, Persson, Lindner, &amp; Cabane, 2011)" }, "properties" : { "noteIndex" : 0 }, "schema" : "https://github.com/citation-style-language/schema/raw/master/csl-citation.json" }</w:instrText>
      </w:r>
      <w:r w:rsidR="008D1D14" w:rsidRPr="008D1D14">
        <w:fldChar w:fldCharType="separate"/>
      </w:r>
      <w:r w:rsidR="008D1D14" w:rsidRPr="008D1D14">
        <w:rPr>
          <w:noProof/>
        </w:rPr>
        <w:t>(Vauthier, 2011)</w:t>
      </w:r>
      <w:r w:rsidR="008D1D14" w:rsidRPr="008D1D14">
        <w:fldChar w:fldCharType="end"/>
      </w:r>
      <w:r w:rsidR="008D1D14" w:rsidRPr="008D1D14">
        <w:t xml:space="preserve">. The complement may contribute significantly to thrombosis by directly enhancing blood clotting properties and stimulating the inflammatory response, which in turn potentiates coagulation </w:t>
      </w:r>
      <w:r w:rsidR="008D1D14" w:rsidRPr="008D1D14">
        <w:fldChar w:fldCharType="begin" w:fldLock="1"/>
      </w:r>
      <w:r w:rsidR="008D1D14" w:rsidRPr="008D1D14">
        <w:instrText>ADDIN CSL_CITATION { "citationItems" : [ { "id" : "ITEM-1", "itemData" : { "DOI" : "10.1016/j.it.2007.02.006", "ISBN" : "1471-4906 (Print)\\r1471-4906 (Linking)", "ISSN" : "14714906", "PMID" : "17336159", "abstract" : "The convergence between complement and the clotting system extends far beyond the chemical nature of the complement and coagulation components, both of which form proteolytic cascades. Complement effectors directly enhance coagulation. These effects are supplemented by the interactions of complement with other inflammatory mediators that can increase the thrombogenicity of blood. In addition, complement inhibits anticoagulant factors. The crosstalk between complement and coagulation is also well illustrated by the ability of certain coagulation enzymes to activate complement components. Understanding the interplay between complement and coagulation has fundamental clinical implications in the context of diseases with an inflammatory pathogenesis, in which complement-coagulation interactions contribute to the development of life-threatening complications. Here, we review the interactions of the complement system with hemostasis and their roles in various diseases. ?? 2007 Elsevier Ltd. All rights reserved.", "author" : [ { "dropping-particle" : "", "family" : "Markiewski", "given" : "Maciej M.", "non-dropping-particle" : "", "parse-names" : false, "suffix" : "" }, { "dropping-particle" : "", "family" : "Nilsson", "given" : "Bo", "non-dropping-particle" : "", "parse-names" : false, "suffix" : "" }, { "dropping-particle" : "", "family" : "Nilsson Ekdahl", "given" : "Kristina", "non-dropping-particle" : "", "parse-names" : false, "suffix" : "" }, { "dropping-particle" : "", "family" : "Mollnes", "given" : "Tom Eirik", "non-dropping-particle" : "", "parse-names" : false, "suffix" : "" }, { "dropping-particle" : "", "family" : "Lambris", "given" : "John D.", "non-dropping-particle" : "", "parse-names" : false, "suffix" : "" } ], "container-title" : "Trends in Immunology", "id" : "ITEM-1", "issue" : "4", "issued" : { "date-parts" : [ [ "2007" ] ] }, "page" : "184-192", "title" : "Complement and coagulation: strangers or partners in crime?", "type" : "article-journal", "volume" : "28" }, "uris" : [ "http://www.mendeley.com/documents/?uuid=8bf3ad4d-e89d-463a-a628-af281119c619" ] } ], "mendeley" : { "formattedCitation" : "(Markiewski, Nilsson, Nilsson Ekdahl, Mollnes, &amp; Lambris, 2007)", "manualFormatting" : "(Markiewski, 2007)", "plainTextFormattedCitation" : "(Markiewski, Nilsson, Nilsson Ekdahl, Mollnes, &amp; Lambris, 2007)", "previouslyFormattedCitation" : "(Markiewski, Nilsson, Nilsson Ekdahl, Mollnes, &amp; Lambris, 2007)" }, "properties" : { "noteIndex" : 6 }, "schema" : "https://github.com/citation-style-language/schema/raw/master/csl-citation.json" }</w:instrText>
      </w:r>
      <w:r w:rsidR="008D1D14" w:rsidRPr="008D1D14">
        <w:fldChar w:fldCharType="separate"/>
      </w:r>
      <w:r w:rsidR="008D1D14" w:rsidRPr="008D1D14">
        <w:rPr>
          <w:noProof/>
        </w:rPr>
        <w:t>(Markiewski, 2007)</w:t>
      </w:r>
      <w:r w:rsidR="008D1D14" w:rsidRPr="008D1D14">
        <w:fldChar w:fldCharType="end"/>
      </w:r>
      <w:r w:rsidR="008D1D14" w:rsidRPr="008D1D14">
        <w:t xml:space="preserve">. Uncontrolled complement activation has been reported </w:t>
      </w:r>
      <w:r w:rsidR="00FB69D9">
        <w:t xml:space="preserve">for several </w:t>
      </w:r>
      <w:r w:rsidR="008D1D14" w:rsidRPr="008D1D14">
        <w:t>nanomedicines, including the so</w:t>
      </w:r>
      <w:r w:rsidR="00FB69D9">
        <w:t>-</w:t>
      </w:r>
      <w:r w:rsidR="008D1D14" w:rsidRPr="008D1D14">
        <w:t xml:space="preserve">called stealth NPs such as liposomes </w:t>
      </w:r>
      <w:r w:rsidR="008D1D14" w:rsidRPr="008D1D14">
        <w:fldChar w:fldCharType="begin" w:fldLock="1"/>
      </w:r>
      <w:r w:rsidR="00C06F87">
        <w:instrText>ADDIN CSL_CITATION { "citationItems" : [ { "id" : "ITEM-1", "itemData" : { "DOI" : "10.1021/bk-2012-1113.ch014", "ISBN" : "9780841228283", "ISSN" : "19475918", "abstract" : "Nanoparticles are being increasingly implemented in drug delivery and diagnostic systems, as they show promising features in protected, targeted and sustained delivery of active pharmaceutical ingredients and contrast agents. Following intravenous injection, nanoparticles, depending on their physicochemical properties, may trigger the complement system, which is a major part of the innate immune system. Complement activation and fixation can prime the surface of nanoparticles for rapid recognition and clearance by complement receptor bearing cells such as blood monocytes and macrophages of the reticuloendothelial system. Uncontrolled complement activation can also induce adverse reactions, and these have been reported with regulatory approved nanomedicines, including stealth therapeutics. We discuss on the interaction between the complement system and synthetic surfaces, and comment on general physicochemical parameters that incite complement. State-of-the-art approaches for evaluation and determination of complement activation and sensing are also described.", "author" : [ { "dropping-particle" : "", "family" : "Wibroe", "given" : "Peter P.", "non-dropping-particle" : "", "parse-names" : false, "suffix" : "" }, { "dropping-particle" : "", "family" : "Moghimi", "given" : "S. Moein", "non-dropping-particle" : "", "parse-names" : false, "suffix" : "" } ], "container-title" : "Functional Nanoparticles for Bioanalysis, Nanomedicine, and Bioelectronic Devices", "id" : "ITEM-1", "issued" : { "date-parts" : [ [ "2012" ] ] }, "page" : "365-382", "title" : "Complement sensing of nanoparticles and nanomedicines", "type" : "chapter", "volume" : "2" }, "uris" : [ "http://www.mendeley.com/documents/?uuid=b5211046-139d-413b-b9b2-d1efe7484b03" ] } ], "mendeley" : { "formattedCitation" : "(Wibroe &amp; Moghimi, 2012)", "manualFormatting" : "(Wibroe, 2012)", "plainTextFormattedCitation" : "(Wibroe &amp; Moghimi, 2012)", "previouslyFormattedCitation" : "(Wibroe &amp; Moghimi, 2012)" }, "properties" : { "noteIndex" : 0 }, "schema" : "https://github.com/citation-style-language/schema/raw/master/csl-citation.json" }</w:instrText>
      </w:r>
      <w:r w:rsidR="008D1D14" w:rsidRPr="008D1D14">
        <w:fldChar w:fldCharType="separate"/>
      </w:r>
      <w:r w:rsidR="008D1D14" w:rsidRPr="008D1D14">
        <w:rPr>
          <w:noProof/>
        </w:rPr>
        <w:t>(Wibroe, 2012)</w:t>
      </w:r>
      <w:r w:rsidR="008D1D14" w:rsidRPr="008D1D14">
        <w:fldChar w:fldCharType="end"/>
      </w:r>
      <w:r w:rsidR="008D1D14" w:rsidRPr="008D1D14">
        <w:t xml:space="preserve">. Low activation of complement is desired </w:t>
      </w:r>
      <w:r w:rsidR="004F1FBF">
        <w:t xml:space="preserve">for </w:t>
      </w:r>
      <w:r w:rsidR="008D1D14" w:rsidRPr="008D1D14">
        <w:t>safety</w:t>
      </w:r>
      <w:r w:rsidR="004F1FBF">
        <w:t xml:space="preserve"> reasons</w:t>
      </w:r>
      <w:r w:rsidR="008D1D14" w:rsidRPr="008D1D14">
        <w:t xml:space="preserve">, since it has been proposed as </w:t>
      </w:r>
      <w:r w:rsidR="00235FDE">
        <w:t xml:space="preserve">being </w:t>
      </w:r>
      <w:r w:rsidR="008D1D14" w:rsidRPr="008D1D14">
        <w:t>responsible for hypersensitivity reactions and the complement activation-related pseudo</w:t>
      </w:r>
      <w:r w:rsidR="00235FDE">
        <w:t>-</w:t>
      </w:r>
      <w:r w:rsidR="008D1D14" w:rsidRPr="008D1D14">
        <w:t xml:space="preserve">allergy (CARPA) </w:t>
      </w:r>
      <w:r w:rsidR="008D1D14" w:rsidRPr="008D1D14">
        <w:fldChar w:fldCharType="begin" w:fldLock="1"/>
      </w:r>
      <w:r w:rsidR="008D1D14" w:rsidRPr="008D1D14">
        <w:instrText>ADDIN CSL_CITATION { "citationItems" : [ { "id" : "ITEM-1", "itemData" : { "DOI" : "10.1093/annonc/mdg374", "ISBN" : "0923-7534", "ISSN" : "0923-7534", "abstract" : "Background: Pegylated liposomal doxorubicin (Doxil\u00ae) has been reported to cause immediate hypersensitivity reactions (HSRs) that cannot be explained as IgE-mediated (type I) allergy. Previous in vitro and animal studies indicated that activation of the complement (C) system might play a causal role in the process, a proposal that has not been tested in humans to date. Patients and methods: Patients with solid tumors (n = 29) treated for the first time with Doxil were evaluated for HSRs and concurrent C activation. HSRs were classified from mild to severe, while C activation was estimated by serial measurement of plasma C terminal complex (SC5b-9) levels. Increases in SC5b-9 were compared in patients with or without reactions, and were correlated with Doxil dose rate. Results: Moderate to severe HSRs occurred in 45% of patients. Plasma SC5b-9 at 10 min after infusion was significantly elevated in 92% of reactor patients versus 56% in the non-reactor group, and the rise was greater in reactors than in non-reactors. We found significant association between C activation and HSRs, both showing direct correlation with the initial Doxil dose rate. Conclusions: C activation may play a key role in HSRs to Doxil. However, low-level C activation does not necessarily entail clinical symptoms, highlighting the probable involvement of further, as yet unidentified, amplification factors.", "author" : [ { "dropping-particle" : "", "family" : "Chanan-Khan", "given" : "A", "non-dropping-particle" : "", "parse-names" : false, "suffix" : "" }, { "dropping-particle" : "", "family" : "Szebeni", "given" : "J", "non-dropping-particle" : "", "parse-names" : false, "suffix" : "" }, { "dropping-particle" : "", "family" : "Savay", "given" : "S", "non-dropping-particle" : "", "parse-names" : false, "suffix" : "" }, { "dropping-particle" : "", "family" : "Liebes", "given" : "L", "non-dropping-particle" : "", "parse-names" : false, "suffix" : "" }, { "dropping-particle" : "", "family" : "Rafique", "given" : "N M", "non-dropping-particle" : "", "parse-names" : false, "suffix" : "" }, { "dropping-particle" : "", "family" : "Alving", "given" : "C R", "non-dropping-particle" : "", "parse-names" : false, "suffix" : "" }, { "dropping-particle" : "", "family" : "Muggia", "given" : "F M", "non-dropping-particle" : "", "parse-names" : false, "suffix" : "" } ], "container-title" : "Annals of Oncology", "id" : "ITEM-1", "issue" : "9", "issued" : { "date-parts" : [ [ "2003" ] ] }, "page" : "1430-1437", "title" : "Complement activation following first exposure to pegylated liposomal doxorubicin (Doxil\u00ae): possible role in hypersensitivity reactions", "type" : "article-journal", "volume" : "14" }, "uris" : [ "http://www.mendeley.com/documents/?uuid=3400af8a-27ca-4070-8a99-c9c62a556b53" ] } ], "mendeley" : { "formattedCitation" : "(Chanan-Khan et al., 2003)", "manualFormatting" : "(Chanan-Khan, 2003)", "plainTextFormattedCitation" : "(Chanan-Khan et al., 2003)", "previouslyFormattedCitation" : "(Chanan-Khan et al., 2003)" }, "properties" : { "noteIndex" : 0 }, "schema" : "https://github.com/citation-style-language/schema/raw/master/csl-citation.json" }</w:instrText>
      </w:r>
      <w:r w:rsidR="008D1D14" w:rsidRPr="008D1D14">
        <w:fldChar w:fldCharType="separate"/>
      </w:r>
      <w:r w:rsidR="008D1D14" w:rsidRPr="008D1D14">
        <w:rPr>
          <w:noProof/>
        </w:rPr>
        <w:t>(Chanan-Khan, 2003)</w:t>
      </w:r>
      <w:r w:rsidR="008D1D14" w:rsidRPr="008D1D14">
        <w:fldChar w:fldCharType="end"/>
      </w:r>
      <w:r w:rsidR="008D1D14" w:rsidRPr="008D1D14">
        <w:t xml:space="preserve">. CARPA is provoked by the recognition of nanomedicines by the immune system, leading to an activation of the complement cascade that could be life threatening. Activation of the complement is difficult to study </w:t>
      </w:r>
      <w:r w:rsidR="008D1D14" w:rsidRPr="001E77AF">
        <w:rPr>
          <w:i/>
        </w:rPr>
        <w:t>in vivo</w:t>
      </w:r>
      <w:r w:rsidR="008D1D14" w:rsidRPr="008D1D14">
        <w:t xml:space="preserve">; only </w:t>
      </w:r>
      <w:r w:rsidR="00235FDE">
        <w:t>an</w:t>
      </w:r>
      <w:r w:rsidR="00235FDE" w:rsidRPr="008D1D14">
        <w:t xml:space="preserve"> </w:t>
      </w:r>
      <w:r w:rsidR="008D1D14" w:rsidRPr="008D1D14">
        <w:t xml:space="preserve">animal model based on pigs </w:t>
      </w:r>
      <w:r w:rsidR="004F1FBF">
        <w:t>can identify</w:t>
      </w:r>
      <w:r w:rsidR="008D1D14" w:rsidRPr="008D1D14">
        <w:t xml:space="preserve"> immune reactive nanoparticles that may cause severe reactions in hypersensitive individuals, but its oversensitivity could </w:t>
      </w:r>
      <w:r w:rsidR="004F1FBF">
        <w:t>lead to</w:t>
      </w:r>
      <w:r w:rsidR="004F1FBF" w:rsidRPr="008D1D14">
        <w:t xml:space="preserve"> </w:t>
      </w:r>
      <w:r w:rsidR="008D1D14" w:rsidRPr="008D1D14">
        <w:t xml:space="preserve">false positives. Furthermore, not all patients with complement activation displayed hypersensitivity </w:t>
      </w:r>
      <w:r w:rsidR="008D1D14" w:rsidRPr="001E77AF">
        <w:rPr>
          <w:i/>
        </w:rPr>
        <w:t>in vivo</w:t>
      </w:r>
      <w:r w:rsidR="008D1D14" w:rsidRPr="008D1D14">
        <w:t xml:space="preserve">. Although CARPA </w:t>
      </w:r>
      <w:r w:rsidR="004F1FBF">
        <w:t>cease</w:t>
      </w:r>
      <w:r w:rsidR="004F1FBF" w:rsidRPr="008D1D14">
        <w:t xml:space="preserve">s </w:t>
      </w:r>
      <w:r w:rsidR="008D1D14" w:rsidRPr="008D1D14">
        <w:t xml:space="preserve">in most patients within minutes or hours after stopping the infusion, </w:t>
      </w:r>
      <w:r w:rsidR="008D1D14" w:rsidRPr="008D1D14">
        <w:lastRenderedPageBreak/>
        <w:t xml:space="preserve">this reaction may become life-threatening in a minority of patients, with substantial inter-individual variation in </w:t>
      </w:r>
      <w:r w:rsidR="004F1FBF">
        <w:t>complement</w:t>
      </w:r>
      <w:r w:rsidR="004F1FBF" w:rsidRPr="008D1D14">
        <w:t xml:space="preserve"> </w:t>
      </w:r>
      <w:r w:rsidR="008D1D14" w:rsidRPr="008D1D14">
        <w:t xml:space="preserve">response to the same activator </w:t>
      </w:r>
      <w:r w:rsidR="008D1D14" w:rsidRPr="008D1D14">
        <w:fldChar w:fldCharType="begin" w:fldLock="1"/>
      </w:r>
      <w:r w:rsidR="008D1D14" w:rsidRPr="008D1D14">
        <w:instrText>ADDIN CSL_CITATION { "citationItems" : [ { "id" : "ITEM-1", "itemData" : { "DOI" : "10.1016/j.bbrc.2015.06.177", "ISSN" : "10902104", "PMID" : "26182876", "abstract" : "Liposomes are known to activate the complement (C) system, which can lead in vivo to a hypersensitivity syndrome called C activation-related pseudoallergy (CARPA). CARPA has been getting increasing attention as a safety risk of i.v. therapy with liposomes, whose testing is now recommended in bioequivalence evaluations of generic liposomal drug candidates. This review highlights the adverse consequences of C activation, the unique symptoms of CARPA triggered by essentially all i.v. administered liposomal drugs, and the various features of vesicles influencing this adverse immune effect. For the case of Doxil, we also address the mechanism of C activation and the opsonization vs. long circulation (stealth) paradox. In reviewing the methods of assessing C activation and CARPA, we delineate the most sensitive porcine model and an algorithm for stepwise evaluation of the CARPA risk of i.v. liposomes, which are proposed for standardization for preclinical toxicology evaluation of liposomal and other nanoparticulate drug candidates.", "author" : [ { "dropping-particle" : "", "family" : "Szebeni", "given" : "J.", "non-dropping-particle" : "", "parse-names" : false, "suffix" : "" }, { "dropping-particle" : "", "family" : "Storm", "given" : "G.", "non-dropping-particle" : "", "parse-names" : false, "suffix" : "" } ], "container-title" : "Biochemical and Biophysical Research Communications", "id" : "ITEM-1", "issue" : "3", "issued" : { "date-parts" : [ [ "2015" ] ] }, "page" : "490-497", "publisher" : "Elsevier", "title" : "Complement activation as a bioequivalence issue relevant to the development of generic liposomes and other nanoparticulate drugs", "type" : "article-journal", "volume" : "468" }, "uris" : [ "http://www.mendeley.com/documents/?uuid=0f00cabf-f321-497b-813d-bf9159095e22" ] } ], "mendeley" : { "formattedCitation" : "(J. Szebeni &amp; Storm, 2015)", "manualFormatting" : "(Szebeni, 2015)", "plainTextFormattedCitation" : "(J. Szebeni &amp; Storm, 2015)", "previouslyFormattedCitation" : "(J. Szebeni &amp; Storm, 2015)" }, "properties" : { "noteIndex" : 17 }, "schema" : "https://github.com/citation-style-language/schema/raw/master/csl-citation.json" }</w:instrText>
      </w:r>
      <w:r w:rsidR="008D1D14" w:rsidRPr="008D1D14">
        <w:fldChar w:fldCharType="separate"/>
      </w:r>
      <w:r w:rsidR="008D1D14" w:rsidRPr="008D1D14">
        <w:rPr>
          <w:noProof/>
        </w:rPr>
        <w:t>(Szebeni, 2015)</w:t>
      </w:r>
      <w:r w:rsidR="008D1D14" w:rsidRPr="008D1D14">
        <w:fldChar w:fldCharType="end"/>
      </w:r>
      <w:r w:rsidR="008D1D14" w:rsidRPr="008D1D14">
        <w:t xml:space="preserve">. </w:t>
      </w:r>
    </w:p>
    <w:p w:rsidR="008D1D14" w:rsidRPr="00D33F29" w:rsidRDefault="008D1D14" w:rsidP="008D1D14">
      <w:pPr>
        <w:jc w:val="both"/>
        <w:rPr>
          <w:lang w:val="pl-PL"/>
        </w:rPr>
      </w:pPr>
      <w:r w:rsidRPr="008D1D14">
        <w:t xml:space="preserve">Only 11% (5 out of 46) of the reported </w:t>
      </w:r>
      <w:r w:rsidR="002A7525">
        <w:t xml:space="preserve">blood </w:t>
      </w:r>
      <w:r w:rsidR="002A7525" w:rsidRPr="008D1D14">
        <w:t xml:space="preserve">incompatibilities </w:t>
      </w:r>
      <w:r w:rsidRPr="001E77AF">
        <w:rPr>
          <w:i/>
        </w:rPr>
        <w:t>in vivo</w:t>
      </w:r>
      <w:r w:rsidRPr="008D1D14">
        <w:t xml:space="preserve"> were due to problems related to haematology (</w:t>
      </w:r>
      <w:r w:rsidR="002901B5">
        <w:t xml:space="preserve">Figure </w:t>
      </w:r>
      <w:r w:rsidR="000874E4">
        <w:t>2</w:t>
      </w:r>
      <w:r w:rsidRPr="008D1D14">
        <w:t xml:space="preserve">A). </w:t>
      </w:r>
      <w:r w:rsidR="00767346">
        <w:t>Observed e</w:t>
      </w:r>
      <w:r w:rsidRPr="008D1D14">
        <w:t>ffects include</w:t>
      </w:r>
      <w:r w:rsidR="00767346">
        <w:t>d</w:t>
      </w:r>
      <w:r w:rsidRPr="008D1D14">
        <w:t xml:space="preserve"> alterations o</w:t>
      </w:r>
      <w:r w:rsidR="00767346">
        <w:t>f</w:t>
      </w:r>
      <w:r w:rsidRPr="008D1D14">
        <w:t xml:space="preserve"> complete blood count, leukocyte activation and haemolysis </w:t>
      </w:r>
      <w:r w:rsidRPr="008D1D14">
        <w:fldChar w:fldCharType="begin" w:fldLock="1"/>
      </w:r>
      <w:r w:rsidR="009B278F">
        <w:instrText>ADDIN CSL_CITATION { "citationItems" : [ { "id" : "ITEM-1", "itemData" : { "author" : [ { "dropping-particle" : "", "family" : "ISO", "given" : "", "non-dropping-particle" : "", "parse-names" : false, "suffix" : "" } ], "id" : "ITEM-1", "issued" : { "date-parts" : [ [ "2017" ] ] }, "title" : "ISO 10993-4 : Biological evaluation of medical devices. Part 4: Selection of tests for interaction with blood", "type" : "report" }, "uris" : [ "http://www.mendeley.com/documents/?uuid=7ccf6a2f-116e-4e55-b07a-66451f6590fc" ] } ], "mendeley" : { "formattedCitation" : "(ISO, 2017b)", "plainTextFormattedCitation" : "(ISO, 2017b)", "previouslyFormattedCitation" : "(ISO, 2017b)" }, "properties" : { "noteIndex" : 6 }, "schema" : "https://github.com/citation-style-language/schema/raw/master/csl-citation.json" }</w:instrText>
      </w:r>
      <w:r w:rsidRPr="008D1D14">
        <w:fldChar w:fldCharType="separate"/>
      </w:r>
      <w:r w:rsidR="009B278F" w:rsidRPr="009B278F">
        <w:rPr>
          <w:noProof/>
        </w:rPr>
        <w:t>(ISO, 2017b)</w:t>
      </w:r>
      <w:r w:rsidRPr="008D1D14">
        <w:fldChar w:fldCharType="end"/>
      </w:r>
      <w:r w:rsidRPr="008D1D14">
        <w:t>. Haemolysis is used to describe damage in</w:t>
      </w:r>
      <w:r w:rsidR="00260106">
        <w:t xml:space="preserve"> the</w:t>
      </w:r>
      <w:r w:rsidRPr="008D1D14">
        <w:t xml:space="preserve"> red blood cell membrane, leading to leakage of the iron-containing protein haemoglobin into the blood stream. When a clinically significant drop in erythrocyte count occurs, an</w:t>
      </w:r>
      <w:r w:rsidR="002465DF">
        <w:t>a</w:t>
      </w:r>
      <w:r w:rsidRPr="008D1D14">
        <w:t xml:space="preserve">emia and compromised oxygen carrying capacity can affect the brain and other organs and be a life-threatening condition </w:t>
      </w:r>
      <w:r w:rsidRPr="008D1D14">
        <w:fldChar w:fldCharType="begin" w:fldLock="1"/>
      </w:r>
      <w:r w:rsidRPr="008D1D14">
        <w:instrText>ADDIN CSL_CITATION { "citationItems" : [ { "id" : "ITEM-1", "itemData" : { "DOI" : "10.1021/mp800032f", "ISBN" : "1543-8384", "ISSN" : "15438384", "PMID" : "18510338", "abstract" : "Nanoparticles have unique physicochemical properties which make them promising platforms for drug delivery. However, immune cells in the bloodstream (such as monocytes, platelets, leukocytes, and dendritic cells) and in tissues (such as resident phagocytes) have a propensity to engulf and eliminate certain nanoparticles. A nanoparticle's interaction with plasma proteins (opsonins) and blood components (via hemolysis, thrombogenicity and complement activation) may influence uptake and clearance and hence potentially affect distribution and delivery to the intended target sites. Nanoparticle uptake by the immune cells is influenced by many factors. Different nanoparticles have been shown to act on different pathways, while various characteristics/properties also affect which pathway is employed for particle internalization. Nanoparticle protein binding occurs almost instantaneously once the particle enters biological medium, and the physical properties of such a particle-protein complex are often different than those of the formulated particle. These new properties can contribute to different biological responses and change nanoparticle biodistribution. Therefore, in the situation when specific delivery to immune cells is not desired, the ideal nanoparticle platform is the one whose integrity is not disturbed in the complex biological environment, which provides extended circulation in the blood to maximize delivery to the target site, is not toxic to blood cellular components, and is \"invisible\" to the immune cells which can remove it from circulation. This review discusses the most recent data on nanoparticle interactions with blood components and how particle size and surface charge define their hematocompatibility. This includes properties which determine particle interaction with plasma proteins and uptake by macrophages. We will also provide an overview of in vitro methods useful in identifying interactions with components of the immune system and the potential effects of such interaction on particle distribution to tissues.", "author" : [ { "dropping-particle" : "", "family" : "Dobrovolskaia", "given" : "Marina A.", "non-dropping-particle" : "", "parse-names" : false, "suffix" : "" }, { "dropping-particle" : "", "family" : "Aggarwal", "given" : "Parag", "non-dropping-particle" : "", "parse-names" : false, "suffix" : "" }, { "dropping-particle" : "", "family" : "Hall", "given" : "Jennifer B.", "non-dropping-particle" : "", "parse-names" : false, "suffix" : "" }, { "dropping-particle" : "", "family" : "McNeil", "given" : "Scott E.", "non-dropping-particle" : "", "parse-names" : false, "suffix" : "" } ], "container-title" : "Molecular Pharmaceutics", "id" : "ITEM-1", "issue" : "4", "issued" : { "date-parts" : [ [ "2008" ] ] }, "page" : "487-495", "title" : "Preclinical studies to understand nanoparticle interaction with the immune system and its potential effects on nanoparticle biodistribution", "type" : "article-journal", "volume" : "5" }, "uris" : [ "http://www.mendeley.com/documents/?uuid=f1ec8b7e-4ea1-4e49-a9c0-0364803a3f1b" ] } ], "mendeley" : { "formattedCitation" : "(Marina A. Dobrovolskaia et al., 2008)", "manualFormatting" : "(Dobrovolskaia, 2008)", "plainTextFormattedCitation" : "(Marina A. Dobrovolskaia et al., 2008)", "previouslyFormattedCitation" : "(Marina A. Dobrovolskaia et al., 2008)" }, "properties" : { "noteIndex" : 0 }, "schema" : "https://github.com/citation-style-language/schema/raw/master/csl-citation.json" }</w:instrText>
      </w:r>
      <w:r w:rsidRPr="008D1D14">
        <w:fldChar w:fldCharType="separate"/>
      </w:r>
      <w:r w:rsidRPr="008D1D14">
        <w:rPr>
          <w:noProof/>
        </w:rPr>
        <w:t>(Dobrovolskaia, 2008)</w:t>
      </w:r>
      <w:r w:rsidRPr="008D1D14">
        <w:fldChar w:fldCharType="end"/>
      </w:r>
      <w:r w:rsidRPr="008D1D14">
        <w:t>. Intravascular h</w:t>
      </w:r>
      <w:r w:rsidR="002465DF">
        <w:t>a</w:t>
      </w:r>
      <w:r w:rsidRPr="008D1D14">
        <w:t xml:space="preserve">emolysis can also have effects on other blood cells compartments such as </w:t>
      </w:r>
      <w:r w:rsidR="00943360">
        <w:t>the coagulation</w:t>
      </w:r>
      <w:r w:rsidR="00260106">
        <w:t>,</w:t>
      </w:r>
      <w:r w:rsidR="00943360" w:rsidRPr="008D1D14" w:rsidDel="00041F52">
        <w:t xml:space="preserve"> </w:t>
      </w:r>
      <w:r w:rsidRPr="008D1D14">
        <w:t xml:space="preserve">or the immune system </w:t>
      </w:r>
      <w:r w:rsidRPr="008D1D14">
        <w:fldChar w:fldCharType="begin" w:fldLock="1"/>
      </w:r>
      <w:r w:rsidRPr="008D1D14">
        <w:instrText>ADDIN CSL_CITATION { "citationItems" : [ { "id" : "ITEM-1", "itemData" : { "DOI" : "10.1021/mp800032f", "ISBN" : "1543-8384", "ISSN" : "15438384", "PMID" : "18510338", "abstract" : "Nanoparticles have unique physicochemical properties which make them promising platforms for drug delivery. However, immune cells in the bloodstream (such as monocytes, platelets, leukocytes, and dendritic cells) and in tissues (such as resident phagocytes) have a propensity to engulf and eliminate certain nanoparticles. A nanoparticle's interaction with plasma proteins (opsonins) and blood components (via hemolysis, thrombogenicity and complement activation) may influence uptake and clearance and hence potentially affect distribution and delivery to the intended target sites. Nanoparticle uptake by the immune cells is influenced by many factors. Different nanoparticles have been shown to act on different pathways, while various characteristics/properties also affect which pathway is employed for particle internalization. Nanoparticle protein binding occurs almost instantaneously once the particle enters biological medium, and the physical properties of such a particle-protein complex are often different than those of the formulated particle. These new properties can contribute to different biological responses and change nanoparticle biodistribution. Therefore, in the situation when specific delivery to immune cells is not desired, the ideal nanoparticle platform is the one whose integrity is not disturbed in the complex biological environment, which provides extended circulation in the blood to maximize delivery to the target site, is not toxic to blood cellular components, and is \"invisible\" to the immune cells which can remove it from circulation. This review discusses the most recent data on nanoparticle interactions with blood components and how particle size and surface charge define their hematocompatibility. This includes properties which determine particle interaction with plasma proteins and uptake by macrophages. We will also provide an overview of in vitro methods useful in identifying interactions with components of the immune system and the potential</w:instrText>
      </w:r>
      <w:r w:rsidRPr="00D33F29">
        <w:rPr>
          <w:lang w:val="pl-PL"/>
        </w:rPr>
        <w:instrText xml:space="preserve"> effects of such interaction on particle distribution to tissues.", "author" : [ { "dropping-particle" : "", "family" : "Dobrovolskaia", "given" : "Marina A.", "non-dropping-particle" : "", "parse-names" : false, "suffix" : "" }, { "dropping-particle" : "", "family" : "Aggarwal", "given" : "Parag", "non-dropping-particle" : "", "parse-names" : false, "suffix" : "" }, { "dropping-particle" : "", "family" : "Hall", "given" : "Jennifer B.", "non-dropping-particle" : "", "parse-names" : false, "suffix" : "" }, { "dropping-particle" : "", "family" : "McNeil", "given" : "Scott E.", "non-dropping-particle" : "", "parse-names" : false, "suffix" : "" } ], "container-title" : "Molecular Pharmaceutics", "id" : "ITEM-1", "issue" : "4", "issued" : { "date-parts" : [ [ "2008" ] ] }, "page" : "487-495", "title" : "Preclinical studies to understand nanoparticle interaction with the immune system and its potential effects on nanoparticle biodistribution", "type" : "article-journal", "volume" : "5" }, "uris" : [ "http://www.mendeley.com/documents/?uuid=bec0d95f-0dcd-4e7f-84b2-0011e07aab07" ] } ], "mendeley" : { "formattedCitation" : "(Marina A. Dobrovolskaia et al., 2008)", "manualFormatting" : "(Dobrovolskaia, 2008)", "plainTextFormattedCitation" : "(Marina A. Dobrovolskaia et al., 2008)", "previouslyFormattedCitation" : "(Marina A. Dobrovolskaia et al., 2008)" }, "properties" : { "noteIndex" : 0 }, "schema" : "https://github.com/citation-style-language/schema/raw/master/csl-citation.json" }</w:instrText>
      </w:r>
      <w:r w:rsidRPr="008D1D14">
        <w:fldChar w:fldCharType="separate"/>
      </w:r>
      <w:r w:rsidRPr="00D33F29">
        <w:rPr>
          <w:noProof/>
          <w:lang w:val="pl-PL"/>
        </w:rPr>
        <w:t>(Dobrovolskaia, 2008)</w:t>
      </w:r>
      <w:r w:rsidRPr="008D1D14">
        <w:fldChar w:fldCharType="end"/>
      </w:r>
      <w:r w:rsidRPr="00D33F29">
        <w:rPr>
          <w:lang w:val="pl-PL"/>
        </w:rPr>
        <w:t>,</w:t>
      </w:r>
      <w:r w:rsidR="001E77AF" w:rsidRPr="00D33F29">
        <w:rPr>
          <w:lang w:val="pl-PL"/>
        </w:rPr>
        <w:t xml:space="preserve"> </w:t>
      </w:r>
      <w:r w:rsidRPr="008D1D14">
        <w:fldChar w:fldCharType="begin" w:fldLock="1"/>
      </w:r>
      <w:r w:rsidRPr="00D33F29">
        <w:rPr>
          <w:lang w:val="pl-PL"/>
        </w:rPr>
        <w:instrText>ADDIN CSL_CITATION { "citationItems" : [ { "id" : "ITEM-1", "itemData" : { "DOI" : "10.1208/s12248-012-9339-4", "ISBN" : "1550-7416", "ISSN" : "1550-7416", "PMID" : "22407288", "abstract" : "In recent years, nanotechnology has been increasingly applied to the area of drug development. Nanoparticle-based therapeutics can confer the ability to overcome biological barriers, effectively deliver hydrophobic drugs and biologics, and preferentially target sites of disease. However, despite these potential advantages, only a relatively small number of nanoparticle-based medicines have been approved for clinical use, with numerous challenges and hurdles at different stages of development. The complexity of nanoparticles as multi-component three dimensional constructs requires careful design and engineering, detailed orthogonal analysis methods, and reproducible scale-up and manufacturing process to achieve a consistent product with the intended physicochemical characteristics, biological behaviors, and pharmacological profiles. The safety and efficacy of nanomedicines can be influenced by minor variations in multiple parameters and need to be carefully examined in preclinical and clinical studies, particularly in context of the biodistribution, targeting to intended sites, and potential immune toxicities. Overall, nanomedicines may present additional development and regulatory considerations compared with conventional medicines, and while there is generally a lack of regulatory standards in the examination of nanoparticle-based medicines as a unique category of therapeutic agents, efforts are being made in this direction. This review summarizes challenges likely to be encountered during the development and approval of nanoparticle-based therapeutics, and discusses potential strategies for drug developers and regulatory agencies to accelerate the growth of this important field.", "author" : [ { "dropping-particle" : "", "family" : "Desai", "given" : "Neil", "non-dropping-particle" : "", "parse-names" : false, "suffix" : "" } ], "container-title" : "The AAPS journal", "id" : "ITEM-1", "issue" : "2", "issued" : { "date-parts" : [ [ "2012" ] ] }, "page" : "282-95", "title" : "Challenges in development of nanoparticle-based therapeutics.", "type" : "article-journal", "volume" : "14" }, "uris" : [ "http://www.mendeley.com/documents/?uuid=48d21d40-51a2-40b7-a946-1f1cb11e98ad" ] } ], "mendeley" : { "formattedCitation" : "(Desai, 2012)", "plainTextFormattedCitation" : "(Desai, 2012)", "previouslyFormattedCitation" : "(Desai, 2012)" }, "properties" : { "noteIndex" : 0 }, "schema" : "https://github.com/citation-style-language/schema/raw/master/csl-citation.json" }</w:instrText>
      </w:r>
      <w:r w:rsidRPr="008D1D14">
        <w:fldChar w:fldCharType="separate"/>
      </w:r>
      <w:r w:rsidRPr="00D33F29">
        <w:rPr>
          <w:noProof/>
          <w:lang w:val="pl-PL"/>
        </w:rPr>
        <w:t>(Desai, 2012)</w:t>
      </w:r>
      <w:r w:rsidRPr="008D1D14">
        <w:fldChar w:fldCharType="end"/>
      </w:r>
      <w:r w:rsidRPr="00D33F29">
        <w:rPr>
          <w:lang w:val="pl-PL"/>
        </w:rPr>
        <w:t xml:space="preserve">. </w:t>
      </w:r>
    </w:p>
    <w:p w:rsidR="008D1D14" w:rsidRPr="00D33F29" w:rsidRDefault="008D1D14" w:rsidP="008D1D14">
      <w:pPr>
        <w:jc w:val="both"/>
        <w:rPr>
          <w:lang w:val="pl-PL"/>
        </w:rPr>
      </w:pPr>
    </w:p>
    <w:p w:rsidR="008D1D14" w:rsidRPr="00EE19CA" w:rsidRDefault="008D1D14" w:rsidP="008D1D14">
      <w:pPr>
        <w:jc w:val="both"/>
        <w:rPr>
          <w:b/>
          <w:lang w:val="pl-PL"/>
        </w:rPr>
      </w:pPr>
      <w:r w:rsidRPr="00EE19CA">
        <w:rPr>
          <w:b/>
          <w:i/>
          <w:lang w:val="pl-PL"/>
        </w:rPr>
        <w:t>In vitro</w:t>
      </w:r>
      <w:r w:rsidRPr="00EE19CA">
        <w:rPr>
          <w:b/>
          <w:lang w:val="pl-PL"/>
        </w:rPr>
        <w:t xml:space="preserve"> </w:t>
      </w:r>
      <w:r w:rsidR="00CA7912" w:rsidRPr="00EE19CA">
        <w:rPr>
          <w:b/>
          <w:lang w:val="pl-PL"/>
        </w:rPr>
        <w:t xml:space="preserve">toxicities </w:t>
      </w:r>
      <w:r w:rsidRPr="00EE19CA">
        <w:rPr>
          <w:b/>
          <w:lang w:val="pl-PL"/>
        </w:rPr>
        <w:t>triggered by nanomedicines</w:t>
      </w:r>
    </w:p>
    <w:p w:rsidR="00283FDA" w:rsidRDefault="00C63F85" w:rsidP="008D1D14">
      <w:pPr>
        <w:jc w:val="both"/>
      </w:pPr>
      <w:r w:rsidRPr="00EE19CA">
        <w:rPr>
          <w:lang w:val="pl-PL"/>
        </w:rPr>
        <w:t>B</w:t>
      </w:r>
      <w:r w:rsidR="008D1D14" w:rsidRPr="00EE19CA">
        <w:rPr>
          <w:lang w:val="pl-PL"/>
        </w:rPr>
        <w:t>lood toxicities</w:t>
      </w:r>
      <w:r w:rsidRPr="00EE19CA">
        <w:rPr>
          <w:lang w:val="pl-PL"/>
        </w:rPr>
        <w:t xml:space="preserve"> evaluated by using </w:t>
      </w:r>
      <w:r w:rsidRPr="00EE19CA">
        <w:rPr>
          <w:i/>
          <w:lang w:val="pl-PL"/>
        </w:rPr>
        <w:t>in vitro</w:t>
      </w:r>
      <w:r w:rsidRPr="00EE19CA">
        <w:rPr>
          <w:lang w:val="pl-PL"/>
        </w:rPr>
        <w:t xml:space="preserve"> test methods</w:t>
      </w:r>
      <w:r w:rsidR="008D1D14" w:rsidRPr="00EE19CA">
        <w:rPr>
          <w:lang w:val="pl-PL"/>
        </w:rPr>
        <w:t xml:space="preserve"> were also </w:t>
      </w:r>
      <w:r w:rsidR="00283FDA" w:rsidRPr="00EE19CA">
        <w:rPr>
          <w:lang w:val="pl-PL"/>
        </w:rPr>
        <w:t xml:space="preserve">reviewed </w:t>
      </w:r>
      <w:r w:rsidRPr="00EE19CA">
        <w:rPr>
          <w:lang w:val="pl-PL"/>
        </w:rPr>
        <w:t xml:space="preserve">in order to correlate </w:t>
      </w:r>
      <w:r w:rsidR="008D1D14" w:rsidRPr="00EE19CA">
        <w:rPr>
          <w:lang w:val="pl-PL"/>
        </w:rPr>
        <w:t>observed adverse effects</w:t>
      </w:r>
      <w:r w:rsidRPr="00EE19CA">
        <w:rPr>
          <w:lang w:val="pl-PL"/>
        </w:rPr>
        <w:t xml:space="preserve"> described </w:t>
      </w:r>
      <w:r w:rsidRPr="00EE19CA">
        <w:rPr>
          <w:i/>
          <w:lang w:val="pl-PL"/>
        </w:rPr>
        <w:t>in vivo</w:t>
      </w:r>
      <w:r w:rsidR="008D1D14" w:rsidRPr="00EE19CA">
        <w:rPr>
          <w:lang w:val="pl-PL"/>
        </w:rPr>
        <w:t xml:space="preserve"> with available </w:t>
      </w:r>
      <w:r w:rsidR="008D1D14" w:rsidRPr="00EE19CA">
        <w:rPr>
          <w:i/>
          <w:lang w:val="pl-PL"/>
        </w:rPr>
        <w:t>in vitro</w:t>
      </w:r>
      <w:r w:rsidR="008D1D14" w:rsidRPr="00EE19CA">
        <w:rPr>
          <w:lang w:val="pl-PL"/>
        </w:rPr>
        <w:t xml:space="preserve"> test methods (</w:t>
      </w:r>
      <w:r w:rsidR="002901B5" w:rsidRPr="00EE19CA">
        <w:rPr>
          <w:lang w:val="pl-PL"/>
        </w:rPr>
        <w:t xml:space="preserve">Figure </w:t>
      </w:r>
      <w:r w:rsidR="000874E4" w:rsidRPr="00EE19CA">
        <w:rPr>
          <w:lang w:val="pl-PL"/>
        </w:rPr>
        <w:t>2</w:t>
      </w:r>
      <w:r w:rsidR="00FB12FB" w:rsidRPr="00EE19CA">
        <w:rPr>
          <w:lang w:val="pl-PL"/>
        </w:rPr>
        <w:t xml:space="preserve">B). </w:t>
      </w:r>
      <w:r w:rsidR="008D1D14" w:rsidRPr="008D1D14">
        <w:t xml:space="preserve">The total number of </w:t>
      </w:r>
      <w:r>
        <w:t xml:space="preserve">reviewed publications was 515 and </w:t>
      </w:r>
      <w:r w:rsidR="008D1D14" w:rsidRPr="008D1D14">
        <w:t xml:space="preserve">30% of </w:t>
      </w:r>
      <w:r w:rsidR="00284182">
        <w:t>them</w:t>
      </w:r>
      <w:r w:rsidR="008D1D14" w:rsidRPr="008D1D14">
        <w:t xml:space="preserve"> </w:t>
      </w:r>
      <w:r>
        <w:t xml:space="preserve">described </w:t>
      </w:r>
      <w:r w:rsidR="008D1D14" w:rsidRPr="005A7E18">
        <w:rPr>
          <w:i/>
        </w:rPr>
        <w:t>in vitro</w:t>
      </w:r>
      <w:r w:rsidR="008D1D14" w:rsidRPr="008D1D14">
        <w:t xml:space="preserve"> blood incompatib</w:t>
      </w:r>
      <w:r w:rsidR="00283FDA">
        <w:t>le-</w:t>
      </w:r>
      <w:r w:rsidR="00583A92">
        <w:t>nanoparticle</w:t>
      </w:r>
      <w:r w:rsidR="008D1D14" w:rsidRPr="008D1D14">
        <w:t>s (153 out of 515). Interestingly, the total percentage of reported incompatibilities was almost the same</w:t>
      </w:r>
      <w:r w:rsidR="00283FDA">
        <w:t>,</w:t>
      </w:r>
      <w:r w:rsidR="008D1D14" w:rsidRPr="008D1D14">
        <w:t xml:space="preserve"> </w:t>
      </w:r>
      <w:r w:rsidR="00283FDA">
        <w:t>around 30</w:t>
      </w:r>
      <w:r w:rsidR="00283FDA" w:rsidRPr="008D1D14">
        <w:t>%</w:t>
      </w:r>
      <w:r w:rsidR="00283FDA">
        <w:t xml:space="preserve">, </w:t>
      </w:r>
      <w:r w:rsidR="008D1D14" w:rsidRPr="008D1D14">
        <w:t xml:space="preserve">for </w:t>
      </w:r>
      <w:r w:rsidR="008D1D14" w:rsidRPr="001E77AF">
        <w:rPr>
          <w:i/>
        </w:rPr>
        <w:t>in vivo</w:t>
      </w:r>
      <w:r w:rsidR="008D1D14" w:rsidRPr="008D1D14">
        <w:t xml:space="preserve"> and </w:t>
      </w:r>
      <w:r w:rsidR="008D1D14" w:rsidRPr="005A7E18">
        <w:rPr>
          <w:i/>
        </w:rPr>
        <w:t>in vitro</w:t>
      </w:r>
      <w:r w:rsidR="008D1D14" w:rsidRPr="008D1D14">
        <w:t xml:space="preserve"> assays. Four endpoints were considered </w:t>
      </w:r>
      <w:r w:rsidR="00586FFB">
        <w:t xml:space="preserve">relevant when </w:t>
      </w:r>
      <w:r w:rsidR="00283FDA">
        <w:t xml:space="preserve">testing </w:t>
      </w:r>
      <w:r w:rsidR="002A7525">
        <w:t>blood toxicities</w:t>
      </w:r>
      <w:r w:rsidR="002A7525" w:rsidRPr="008D1D14">
        <w:t xml:space="preserve"> </w:t>
      </w:r>
      <w:r w:rsidR="008D1D14" w:rsidRPr="005A7E18">
        <w:rPr>
          <w:i/>
        </w:rPr>
        <w:t>in vitro</w:t>
      </w:r>
      <w:r w:rsidR="008D1D14" w:rsidRPr="008D1D14">
        <w:t xml:space="preserve">: haematology (including haemolysis and leukocyte count), coagulation, platelets (aggregation and/or activation) and complement activation. </w:t>
      </w:r>
    </w:p>
    <w:p w:rsidR="006631FF" w:rsidRDefault="006631FF" w:rsidP="008D1D14">
      <w:pPr>
        <w:jc w:val="both"/>
        <w:rPr>
          <w:lang w:val="sv-SE"/>
        </w:rPr>
      </w:pPr>
      <w:r w:rsidRPr="006631FF">
        <w:t>Complement activation was the most commonly found blood adversity</w:t>
      </w:r>
      <w:r>
        <w:t>,</w:t>
      </w:r>
      <w:r w:rsidRPr="006631FF">
        <w:t xml:space="preserve"> accounting for 35% (54 out of 153) of the reported incompatibilities</w:t>
      </w:r>
      <w:r>
        <w:t xml:space="preserve"> </w:t>
      </w:r>
      <w:r w:rsidRPr="008D1D14">
        <w:t>(</w:t>
      </w:r>
      <w:r>
        <w:t>Figure 2</w:t>
      </w:r>
      <w:r w:rsidRPr="008D1D14">
        <w:t>B). Several groups have reported a good correlation between</w:t>
      </w:r>
      <w:r>
        <w:t xml:space="preserve"> the observed</w:t>
      </w:r>
      <w:r w:rsidRPr="008D1D14">
        <w:t xml:space="preserve"> complement activation</w:t>
      </w:r>
      <w:r>
        <w:t xml:space="preserve"> both</w:t>
      </w:r>
      <w:r w:rsidRPr="008D1D14">
        <w:t xml:space="preserve"> </w:t>
      </w:r>
      <w:r w:rsidRPr="005A7E18">
        <w:rPr>
          <w:i/>
        </w:rPr>
        <w:t>in vitro</w:t>
      </w:r>
      <w:r w:rsidRPr="008D1D14">
        <w:t xml:space="preserve"> and </w:t>
      </w:r>
      <w:r w:rsidRPr="001E77AF">
        <w:rPr>
          <w:i/>
        </w:rPr>
        <w:t>in vivo</w:t>
      </w:r>
      <w:r w:rsidRPr="008D1D14">
        <w:t xml:space="preserve"> </w:t>
      </w:r>
      <w:r>
        <w:t xml:space="preserve">for </w:t>
      </w:r>
      <w:r w:rsidRPr="008D1D14">
        <w:t>various engineered</w:t>
      </w:r>
      <w:r>
        <w:t xml:space="preserve"> nanomaterials </w:t>
      </w:r>
      <w:r w:rsidR="00EE19CA">
        <w:fldChar w:fldCharType="begin" w:fldLock="1"/>
      </w:r>
      <w:r w:rsidR="00EE19CA">
        <w:instrText>ADDIN CSL_CITATION { "citationItems" : [ { "id" : "ITEM-1", "itemData" : { "DOI" : "10.1093/annonc/mdg374", "ISBN" : "0923-7534", "ISSN" : "0923-7534", "abstract" : "Background: Pegylated liposomal doxorubicin (Doxil\u00ae) has been reported to cause immediate hypersensitivity reactions (HSRs) that cannot be explained as IgE-mediated (type I) allergy. Previous in vitro and animal studies indicated that activation of the complement (C) system might play a causal role in the process, a proposal that has not been tested in humans to date. Patients and methods: Patients with solid tumors (n = 29) treated for the first time with Doxil were evaluated for HSRs and concurrent C activation. HSRs were classified from mild to severe, while C activation was estimated by serial measurement of plasma C terminal complex (SC5b-9) levels. Increases in SC5b-9 were compared in patients with or without reactions, and were correlated with Doxil dose rate. Results: Moderate to severe HSRs occurred in 45% of patients. Plasma SC5b-9 at 10 min after infusion was significantly elevated in 92% of reactor patients versus 56% in the non-reactor group, and the rise was greater in reactors than in non-reactors. We found significant association between C activation and HSRs, both showing direct correlation with the initial Doxil dose rate. Conclusions: C activation may play a key role in HSRs to Doxil. However, low-level C activation does not necessarily entail clinical symptoms, highlighting the probable involvement of further, as yet unidentified, amplification factors.", "author" : [ { "dropping-particle" : "", "family" : "Chanan-Khan", "given" : "A", "non-dropping-particle" : "", "parse-names" : false, "suffix" : "" }, { "dropping-particle" : "", "family" : "Szebeni", "given" : "J", "non-dropping-particle" : "", "parse-names" : false, "suffix" : "" }, { "dropping-particle" : "", "family" : "Savay", "given" : "S", "non-dropping-particle" : "", "parse-names" : false, "suffix" : "" }, { "dropping-particle" : "", "family" : "Liebes", "given" : "L", "non-dropping-particle" : "", "parse-names" : false, "suffix" : "" }, { "dropping-particle" : "", "family" : "Rafique", "given" : "N M", "non-dropping-particle" : "", "parse-names" : false, "suffix" : "" }, { "dropping-particle" : "", "family" : "Alving", "given" : "C R", "non-dropping-particle" : "", "parse-names" : false, "suffix" : "" }, { "dropping-particle" : "", "family" : "Muggia", "given" : "F M", "non-dropping-particle" : "", "parse-names" : false, "suffix" : "" } ], "container-title" : "Annals of Oncology", "id" : "ITEM-1", "issue" : "9", "issued" : { "date-parts" : [ [ "2003" ] ] }, "page" : "1430-1437", "title" : "Complement activation following first exposure to pegylated liposomal doxorubicin (Doxil\u00ae): possible role in hypersensitivity reactions", "type" : "article-journal", "volume" : "14" }, "uris" : [ "http://www.mendeley.com/documents/?uuid=3400af8a-27ca-4070-8a99-c9c62a556b53" ] } ], "mendeley" : { "formattedCitation" : "(Chanan-Khan et al., 2003)", "manualFormatting" : "(Chanan-Khan, 2003)", "plainTextFormattedCitation" : "(Chanan-Khan et al., 2003)", "previouslyFormattedCitation" : "(Chanan-Khan et al., 2003)" }, "properties" : { "noteIndex" : 8 }, "schema" : "https://github.com/citation-style-language/schema/raw/master/csl-citation.json" }</w:instrText>
      </w:r>
      <w:r w:rsidR="00EE19CA">
        <w:fldChar w:fldCharType="separate"/>
      </w:r>
      <w:r w:rsidR="00EE19CA" w:rsidRPr="00EE19CA">
        <w:rPr>
          <w:noProof/>
        </w:rPr>
        <w:t>(Chanan-Khan, 2003)</w:t>
      </w:r>
      <w:r w:rsidR="00EE19CA">
        <w:fldChar w:fldCharType="end"/>
      </w:r>
      <w:r w:rsidRPr="00D33F29">
        <w:rPr>
          <w:lang w:val="sv-SE"/>
        </w:rPr>
        <w:t>,</w:t>
      </w:r>
      <w:r>
        <w:rPr>
          <w:lang w:val="sv-SE"/>
        </w:rPr>
        <w:t xml:space="preserve"> </w:t>
      </w:r>
      <w:r w:rsidRPr="008D1D14">
        <w:fldChar w:fldCharType="begin" w:fldLock="1"/>
      </w:r>
      <w:r w:rsidRPr="00D33F29">
        <w:rPr>
          <w:lang w:val="sv-SE"/>
        </w:rPr>
        <w:instrText>ADDIN CSL_CITATION { "citationItems" : [ { "id" : "ITEM-1", "itemData" : { "DOI" : "10.1016/j.jconrel.2013.05.025", "ISBN" : "0168-3659", "ISSN" : "01683659", "PMID" : "23742883", "abstract" : "Preclinical characterization of novel nanotechnology-based formulations is often challenged by physicochemical characteristics, sterility/sterilization issues, safety and efficacy. Such challenges are not unique to nanomedicine, as they are common in the development of small and macromolecular drugs. However, due to the lack of a general consensus on critical characterization parameters, a shortage of harmonized protocols to support testing, and the vast variety of engineered nanomaterials, the translation of nanomedicines into clinic is particularly complex. Understanding the immune compatibility of nanoformulations has been identified as one of the important factors in (pre)clinical development and requires reliable in vitro and in vivo immunotoxicity tests. The generally low sensitivity of standard in vivo toxicity tests to immunotoxicities, inter-species variability in the structure and function of the immune system, high costs and relatively low throughput of in vivo tests, and ethical concerns about animal use underscore the need for trustworthy in vitro assays. Here, we consider the correlation (or lack thereof) between in vitro and in vivo immunotoxicity tests as a mean to identify useful in vitro assays. We review literature examples and case studies from the experience of the NCI Nanotechnology Characterization Lab, and highlight assays where predictability has been demonstrated for a variety of nanomaterials and assays with high potential for predictability in vivo. \u00a9 2013 Elsevier B.V.", "author" : [ { "dropping-particle" : "", "family" : "Dobrovolskaia", "given" : "M.A.", "non-dropping-particle" : "", "parse-names" : false, "suffix" : "" }, { "dropping-particle" : "", "family" : "McNeil", "given" : "S.E.", "non-dropping-particle" : "", "parse-names" : false, "suffix" : "" } ], "container-title" : "Journal of Controlled Release", "id" : "ITEM-1", "issue" : "2", "issued" : { "date-parts" : [ [ "2013" ] ] }, "page" : "456-466", "title" : "Understanding the correlation between in vitro and in vivo immunotoxicity tests for nanomedicines", "type" : "article-journal", "volume" : "172" }, "uris" : [ "http://www.mendeley.com/documents/?uuid=de7831c7-7ec4-42c2-99e2-3ef3549785b0" ] } ], "mendeley" : { "formattedCitation" : "(M.A. Dobrovolskaia &amp; McNeil, 2013)", "manualFormatting" : "(Dobrovolskaia, 2013)", "plainTextFormattedCitation" : "(M.A. Dobrovolskaia &amp; McNeil, 2013)", "previouslyFormattedCitation" : "(M.A. Dobrovolskaia &amp; McNeil, 2013)" }, "properties" : { "noteIndex" : 0 }, "schema" : "https://github.com/citation-style-language/schema/raw/master/csl-citation.json" }</w:instrText>
      </w:r>
      <w:r w:rsidRPr="008D1D14">
        <w:fldChar w:fldCharType="separate"/>
      </w:r>
      <w:r w:rsidRPr="00D33F29">
        <w:rPr>
          <w:noProof/>
          <w:lang w:val="sv-SE"/>
        </w:rPr>
        <w:t>(Dobrovolskaia, 2013)</w:t>
      </w:r>
      <w:r w:rsidRPr="008D1D14">
        <w:fldChar w:fldCharType="end"/>
      </w:r>
      <w:r w:rsidRPr="005D7CA9">
        <w:rPr>
          <w:lang w:val="sv-SE"/>
        </w:rPr>
        <w:t>.</w:t>
      </w:r>
    </w:p>
    <w:p w:rsidR="006631FF" w:rsidRPr="006631FF" w:rsidRDefault="006631FF" w:rsidP="008D1D14">
      <w:pPr>
        <w:jc w:val="both"/>
      </w:pPr>
      <w:r w:rsidRPr="00EE19CA">
        <w:rPr>
          <w:lang w:val="sv-SE"/>
        </w:rPr>
        <w:t xml:space="preserve">27 % of the reported incompatibilities corresponded to alterations in haematology (41 out of 153, Figure 2B). </w:t>
      </w:r>
      <w:r w:rsidRPr="008D1D14">
        <w:t xml:space="preserve">Results from the </w:t>
      </w:r>
      <w:r w:rsidRPr="005A7E18">
        <w:rPr>
          <w:i/>
        </w:rPr>
        <w:t>in vitro</w:t>
      </w:r>
      <w:r w:rsidRPr="008D1D14">
        <w:t xml:space="preserve"> haemolytic activity </w:t>
      </w:r>
      <w:r>
        <w:t xml:space="preserve">are likely </w:t>
      </w:r>
      <w:r w:rsidRPr="008D1D14">
        <w:t xml:space="preserve">an early indicator of the interaction </w:t>
      </w:r>
      <w:r>
        <w:t>between the nanoparticle and</w:t>
      </w:r>
      <w:r w:rsidRPr="008D1D14">
        <w:t xml:space="preserve"> the cell membrane and toxic behaviour towards cells. </w:t>
      </w:r>
      <w:r>
        <w:t xml:space="preserve">The </w:t>
      </w:r>
      <w:r w:rsidRPr="008D1D14">
        <w:t xml:space="preserve">haemolytic potential </w:t>
      </w:r>
      <w:r>
        <w:t xml:space="preserve">of nanoparticles </w:t>
      </w:r>
      <w:r w:rsidRPr="008D1D14">
        <w:t xml:space="preserve">is a crucial initial test for assessing biocompatibility </w:t>
      </w:r>
      <w:r w:rsidRPr="005A7E18">
        <w:rPr>
          <w:i/>
        </w:rPr>
        <w:t>in vitro</w:t>
      </w:r>
      <w:r w:rsidRPr="008D1D14">
        <w:t xml:space="preserve">, and haemolysis has been reported to have a good correlation </w:t>
      </w:r>
      <w:r w:rsidRPr="001E77AF">
        <w:rPr>
          <w:i/>
        </w:rPr>
        <w:t>in vitro</w:t>
      </w:r>
      <w:r w:rsidRPr="008D1D14">
        <w:t>-</w:t>
      </w:r>
      <w:r w:rsidRPr="001E77AF">
        <w:rPr>
          <w:i/>
        </w:rPr>
        <w:t>in vivo</w:t>
      </w:r>
      <w:r w:rsidRPr="008D1D14">
        <w:t xml:space="preserve"> </w:t>
      </w:r>
      <w:r w:rsidRPr="008D1D14">
        <w:fldChar w:fldCharType="begin" w:fldLock="1"/>
      </w:r>
      <w:r w:rsidRPr="008D1D14">
        <w:instrText>ADDIN CSL_CITATION { "citationItems" : [ { "id" : "ITEM-1", "itemData" : { "DOI" : "10.1016/j.jconrel.2013.05.025", "ISBN" : "0168-3659", "ISSN" : "01683659", "PMID" : "23742883", "abstract" : "Preclinical characterization of novel nanotechnology-based formulations is often challenged by physicochemical characteristics, sterility/sterilization issues, safety and efficacy. Such challenges are not unique to nanomedicine, as they are common in the development of small and macromolecular drugs. However, due to the lack of a general consensus on critical characterization parameters, a shortage of harmonized protocols to support testing, and the vast variety of engineered nanomaterials, the translation of nanomedicines into clinic is particularly complex. Understanding the immune compatibility of nanoformulations has been identified as one of the important factors in (pre)clinical development and requires reliable in vitro and in vivo immunotoxicity tests. The generally low sensitivity of standard in vivo toxicity tests to immunotoxicities, inter-species variability in the structure and function of the immune system, high costs and relatively low throughput of in vivo tests, and ethical concerns about animal use underscore the need for trustworthy in vitro assays. Here, we consider the correlation (or lack thereof) between in vitro and in vivo immunotoxicity tests as a mean to identify useful in vitro assays. We review literature examples and case studies from the experience of the NCI Nanotechnology Characterization Lab, and highlight assays where predictability has been demonstrated for a variety of nanomaterials and assays with high potential for predictability in vivo. \u00a9 2013 Elsevier B.V.", "author" : [ { "dropping-particle" : "", "family" : "Dobrovolskaia", "given" : "M.A.", "non-dropping-particle" : "", "parse-names" : false, "suffix" : "" }, { "dropping-particle" : "", "family" : "McNeil", "given" : "S.E.", "non-dropping-particle" : "", "parse-names" : false, "suffix" : "" } ], "container-title" : "Journal of Controlled Release", "id" : "ITEM-1", "issue" : "2", "issued" : { "date-parts" : [ [ "2013" ] ] }, "page" : "456-466", "title" : "Understanding the correlation between in vitro and in vivo immunotoxicity tests for nanomedicines", "type" : "article-journal", "volume" : "172" }, "uris" : [ "http://www.mendeley.com/documents/?uuid=de7831c7-7ec4-42c2-99e2-3ef3549785b0" ] } ], "mendeley" : { "formattedCitation" : "(M.A. Dobrovolskaia &amp; McNeil, 2013)", "manualFormatting" : "(Dobrovolskaia &amp; McNeil, 2013)", "plainTextFormattedCitation" : "(M.A. Dobrovolskaia &amp; McNeil, 2013)", "previouslyFormattedCitation" : "(M.A. Dobrovolskaia &amp; McNeil, 2013)" }, "properties" : { "noteIndex" : 0 }, "schema" : "https://github.com/citation-style-language/schema/raw/master/csl-citation.json" }</w:instrText>
      </w:r>
      <w:r w:rsidRPr="008D1D14">
        <w:fldChar w:fldCharType="separate"/>
      </w:r>
      <w:r w:rsidRPr="008D1D14">
        <w:rPr>
          <w:noProof/>
        </w:rPr>
        <w:t>(Dobrovolskaia &amp; McNeil, 2013)</w:t>
      </w:r>
      <w:r w:rsidRPr="008D1D14">
        <w:fldChar w:fldCharType="end"/>
      </w:r>
      <w:r w:rsidRPr="008D1D14">
        <w:t>.</w:t>
      </w:r>
    </w:p>
    <w:p w:rsidR="008D1D14" w:rsidRPr="008D1D14" w:rsidRDefault="005B1F51" w:rsidP="008D1D14">
      <w:pPr>
        <w:jc w:val="both"/>
      </w:pPr>
      <w:r w:rsidRPr="00537077">
        <w:t xml:space="preserve">23% </w:t>
      </w:r>
      <w:r w:rsidRPr="00B065BE">
        <w:t>of</w:t>
      </w:r>
      <w:r>
        <w:t xml:space="preserve"> the reported incompatibilities corresponded </w:t>
      </w:r>
      <w:r w:rsidRPr="00537077">
        <w:t>to haemostasis-related effects</w:t>
      </w:r>
      <w:r>
        <w:t>, i.e.</w:t>
      </w:r>
      <w:r w:rsidRPr="00537077">
        <w:t xml:space="preserve"> to changes in platelet function (35 out of 153) and 15% to an unbalanced coagulation process (23 out of 153)</w:t>
      </w:r>
      <w:r>
        <w:t xml:space="preserve"> (Figure 2</w:t>
      </w:r>
      <w:r w:rsidRPr="008D1D14">
        <w:t>B</w:t>
      </w:r>
      <w:r>
        <w:t xml:space="preserve">). </w:t>
      </w:r>
      <w:r w:rsidRPr="00537077">
        <w:t xml:space="preserve">Alterations in the platelets and coagulation cascade are the </w:t>
      </w:r>
      <w:r w:rsidRPr="00537077">
        <w:rPr>
          <w:i/>
        </w:rPr>
        <w:t>in vitro</w:t>
      </w:r>
      <w:r w:rsidRPr="00537077">
        <w:t xml:space="preserve"> endpoints corresponding to thrombosis </w:t>
      </w:r>
      <w:r w:rsidRPr="00537077">
        <w:rPr>
          <w:i/>
        </w:rPr>
        <w:t>in vivo</w:t>
      </w:r>
      <w:r w:rsidRPr="00537077">
        <w:t>.</w:t>
      </w:r>
      <w:r>
        <w:t xml:space="preserve"> </w:t>
      </w:r>
      <w:r w:rsidR="003D0254" w:rsidRPr="008D1D14">
        <w:t xml:space="preserve">Platelet aggregation </w:t>
      </w:r>
      <w:r w:rsidR="003D0254" w:rsidRPr="005A7E18">
        <w:rPr>
          <w:i/>
        </w:rPr>
        <w:t>in vitro</w:t>
      </w:r>
      <w:r w:rsidR="003D0254" w:rsidRPr="008D1D14">
        <w:t xml:space="preserve"> is often used as a marker of the thrombogenic properties of the test material. </w:t>
      </w:r>
      <w:r>
        <w:t>P</w:t>
      </w:r>
      <w:r w:rsidR="003D0254" w:rsidRPr="008D1D14">
        <w:t xml:space="preserve">latelet aggregation </w:t>
      </w:r>
      <w:r w:rsidRPr="008D1D14">
        <w:t xml:space="preserve">has been described </w:t>
      </w:r>
      <w:r>
        <w:t xml:space="preserve">as </w:t>
      </w:r>
      <w:r w:rsidRPr="008D1D14">
        <w:t>requir</w:t>
      </w:r>
      <w:r>
        <w:t>ing</w:t>
      </w:r>
      <w:r w:rsidRPr="008D1D14">
        <w:t xml:space="preserve"> </w:t>
      </w:r>
      <w:r w:rsidR="003D0254" w:rsidRPr="008D1D14">
        <w:t xml:space="preserve">the activation of glycoprotein integrin receptor GPIIb/IIIa, and different sizes of </w:t>
      </w:r>
      <w:r w:rsidR="003D0254">
        <w:t xml:space="preserve">nanoparticles </w:t>
      </w:r>
      <w:r>
        <w:t>might</w:t>
      </w:r>
      <w:r w:rsidRPr="008D1D14">
        <w:t xml:space="preserve"> </w:t>
      </w:r>
      <w:r w:rsidR="003D0254" w:rsidRPr="008D1D14">
        <w:t xml:space="preserve">activate this receptor through different pathways </w:t>
      </w:r>
      <w:r w:rsidR="003D0254" w:rsidRPr="008D1D14">
        <w:fldChar w:fldCharType="begin" w:fldLock="1"/>
      </w:r>
      <w:r w:rsidR="003D0254" w:rsidRPr="008D1D14">
        <w:instrText>ADDIN CSL_CITATION { "citationItems" : [ { "id" : "ITEM-1", "itemData" : { "DOI" : "10.1038/sj.bjp.0706386", "ISBN" : "0007-1188 (Print)\\r0007-1188 (Linking)", "ISSN" : "0007-1188", "PMID" : "16158070", "abstract" : "Ever increasing use of engineered carbon nanoparticles in nanopharmacology for selective imaging, sensor or drug delivery systems has increased the potential for blood platelet-nanoparticle interactions. We studied the effects of engineered and combustion-derived carbon nanoparticles on human platelet aggregation in vitro and rat vascular thrombosis in vivo. Multiplewall (MWNT), singlewall (SWNT) nanotubes, C60 fullerenes (C60CS) and mixed carbon nanoparticles (MCN) (0.2-300 microg ml(-1)) were investigated. Nanoparticles were compared with standard urban particulate matter (SRM1648, average size 1.4 microm). Platelet function was studied using lumi aggregometry, phase-contrast, immunofluorescence and transmission electron microscopy, flow cytometry, zymography and pharmacological inhibitors of platelet aggregation. Vascular thrombosis was induced by ferric chloride and the rate of thrombosis was measured, in the presence of carbon particles, with an ultrasonic flow probe. Carbon particles, except C60CS, stimulated platelet aggregation (MCN&gt;or=SWNT&gt;MWNT&gt;SRM1648) and accelerated the rate of vascular thrombosis in rat carotid arteries with a similar rank order of efficacy. All particles resulted in upregulation of GPIIb/IIIa in platelets. In contrast, particles differentially affected the release of platelet granules, as well as the activity of thromboxane-, ADP, matrix metalloproteinase- and protein kinase C-dependent pathways of aggregation. Furthermore, particle-induced aggregation was inhibited by prostacyclin and S-nitroso-glutathione, but not by aspirin. Thus, some carbon nanoparticles and microparticles have the ability to activate platelets and enhance vascular thrombosis. These observations are of importance for the pharmacological use of carbon nanoparticles and pathology of urban particulate matter.", "author" : [ { "dropping-particle" : "", "family" : "Radomski", "given" : "Anna", "non-dropping-particle" : "", "parse-names" : false, "suffix" : "" }, { "dropping-particle" : "", "family" : "Jurasz", "given" : "Paul", "non-dropping-particle" : "", "parse-names" : false, "suffix" : "" }, { "dropping-particle" : "", "family" : "Alonso-Escolano", "given" : "David", "non-dropping-particle" : "", "parse-names" : false, "suffix" : "" }, { "dropping-particle" : "", "family" : "Drews", "given" : "Magdalena", "non-dropping-particle" : "", "parse-names" : false, "suffix" : "" }, { "dropping-particle" : "", "family" : "Morandi", "given" : "Maria", "non-dropping-particle" : "", "parse-names" : false, "suffix" : "" }, { "dropping-particle" : "", "family" : "Malinski", "given" : "Tadeusz", "non-dropping-particle" : "", "parse-names" : false, "suffix" : "" }, { "dropping-particle" : "", "family" : "Radomski", "given" : "Marek W", "non-dropping-particle" : "", "parse-names" : false, "suffix" : "" } ], "container-title" : "British Journal of Pharmacology", "id" : "ITEM-1", "issue" : "6", "issued" : { "date-parts" : [ [ "2005" ] ] }, "page" : "882-893", "title" : "Nanoparticle-induced platelet aggregation and vascular thrombosis.", "type" : "article-journal", "volume" : "146" }, "uris" : [ "http://www.mendeley.com/documents/?uuid=1915ea15-8abf-4194-897f-c16c0ec6d9bd" ] } ], "mendeley" : { "formattedCitation" : "(Radomski et al., 2005)", "manualFormatting" : "(Radomski, 2005)", "plainTextFormattedCitation" : "(Radomski et al., 2005)", "previouslyFormattedCitation" : "(Radomski et al., 2005)" }, "properties" : { "noteIndex" : 0 }, "schema" : "https://github.com/citation-style-language/schema/raw/master/csl-citation.json" }</w:instrText>
      </w:r>
      <w:r w:rsidR="003D0254" w:rsidRPr="008D1D14">
        <w:fldChar w:fldCharType="separate"/>
      </w:r>
      <w:r w:rsidR="003D0254" w:rsidRPr="008D1D14">
        <w:rPr>
          <w:noProof/>
        </w:rPr>
        <w:t>(Radomski, 2005)</w:t>
      </w:r>
      <w:r w:rsidR="003D0254" w:rsidRPr="008D1D14">
        <w:fldChar w:fldCharType="end"/>
      </w:r>
      <w:r w:rsidR="003D0254" w:rsidRPr="008D1D14">
        <w:t xml:space="preserve">. </w:t>
      </w:r>
      <w:r w:rsidR="003D0254">
        <w:t xml:space="preserve">The </w:t>
      </w:r>
      <w:r w:rsidR="003D0254" w:rsidRPr="008D1D14">
        <w:t xml:space="preserve">imbalance in the coagulation process could be explained by the fact that proteins from the coagulation cascade are often found in the corona around </w:t>
      </w:r>
      <w:r w:rsidR="003D0254">
        <w:t xml:space="preserve">nanoparticles </w:t>
      </w:r>
      <w:r w:rsidR="003D0254" w:rsidRPr="008D1D14">
        <w:fldChar w:fldCharType="begin" w:fldLock="1"/>
      </w:r>
      <w:r w:rsidR="003D0254" w:rsidRPr="008D1D14">
        <w:instrText>ADDIN CSL_CITATION { "citationItems" : [ { "id" : "ITEM-1", "itemData" : { "DOI" : "10.1021/nl501863u", "ISBN" : "1530-6992 (Electronic)\\r1530-6984 (Linking)", "ISSN" : "15306992", "PMID" : "25025946", "abstract" : "Nanoparticles (NPs) are increasingly used in diagnostic and drug delivery. After entering the bloodstream, a protein corona will form around NPs. The size and curvature of NPs is one of the major characteristics affecting the composition of bound protein in the corona. Key initiators of the intrinsic pathway of blood coagulation, the contact activation complex, (Kallikrein, Factor XII, and high molecular weight Kininogen) have previously been identified on NPs surfaces. We show that the functional impact of carboxyl-modified polystyrene NPs on these initiators of the intrinsic pathway is size dependent. NPs with high curvature affect the enzymatic activity differently from NPs with low curvature. The size dependency is evident in full blood plasma as well as in solutions of single coagulation factors. NPs induce significant alteration of the enzymatic activity in a size-dependent manner, and enzyme kinetics studies show a critical role for NPs surface area and curvature.", "author" : [ { "dropping-particle" : "", "family" : "Sanfins", "given" : "Elodie", "non-dropping-particle" : "", "parse-names" : false, "suffix" : "" }, { "dropping-particle" : "", "family" : "Augustsson", "given" : "Cecilia", "non-dropping-particle" : "", "parse-names" : false, "suffix" : "" }, { "dropping-particle" : "", "family" : "Dahlb\u00e4ck", "given" : "Bj\u00f6rn", "non-dropping-particle" : "", "parse-names" : false, "suffix" : "" }, { "dropping-particle" : "", "family" : "Linse", "given" : "Sara", "non-dropping-particle" : "", "parse-names" : false, "suffix" : "" }, { "dropping-particle" : "", "family" : "Cedervall", "given" : "Tommy", "non-dropping-particle" : "", "parse-names" : false, "suffix" : "" } ], "container-title" : "Nano Letters", "id" : "ITEM-1", "issue" : "8", "issued" : { "date-parts" : [ [ "2014" ] ] }, "page" : "4736-4744", "title" : "Size-dependent effects of nanoparticles on enzymes in the blood coagulation cascade", "type" : "article-journal", "volume" : "14" }, "uris" : [ "http://www.mendeley.com/documents/?uuid=97b4b2a9-8917-471a-b4f9-33e39fc70a25" ] } ], "mendeley" : { "formattedCitation" : "(Sanfins, Augustsson, Dahlb\u00e4ck, Linse, &amp; Cedervall, 2014)", "manualFormatting" : "(Sanfins, 2014)", "plainTextFormattedCitation" : "(Sanfins, Augustsson, Dahlb\u00e4ck, Linse, &amp; Cedervall, 2014)", "previouslyFormattedCitation" : "(Sanfins, Augustsson, Dahlb\u00e4ck, Linse, &amp; Cedervall, 2014)" }, "properties" : { "noteIndex" : 9 }, "schema" : "https://github.com/citation-style-language/schema/raw/master/csl-citation.json" }</w:instrText>
      </w:r>
      <w:r w:rsidR="003D0254" w:rsidRPr="008D1D14">
        <w:fldChar w:fldCharType="separate"/>
      </w:r>
      <w:r w:rsidR="003D0254" w:rsidRPr="008D1D14">
        <w:rPr>
          <w:noProof/>
        </w:rPr>
        <w:t>(Sanfins, 2014)</w:t>
      </w:r>
      <w:r w:rsidR="003D0254" w:rsidRPr="008D1D14">
        <w:fldChar w:fldCharType="end"/>
      </w:r>
      <w:r w:rsidR="003D0254">
        <w:t>, and this nanoparticle</w:t>
      </w:r>
      <w:r w:rsidR="003D0254" w:rsidRPr="008D1D14">
        <w:t xml:space="preserve">-protein interaction can induce conformational and functional alterations in the proteins that could be </w:t>
      </w:r>
      <w:r w:rsidR="003D0254" w:rsidRPr="008D1D14">
        <w:lastRenderedPageBreak/>
        <w:t xml:space="preserve">responsible for the observed effects on the blood coagulation cascade. </w:t>
      </w:r>
      <w:r>
        <w:t>Currently</w:t>
      </w:r>
      <w:r w:rsidR="002A471A">
        <w:t>,</w:t>
      </w:r>
      <w:r w:rsidR="003D0254">
        <w:t xml:space="preserve"> only a combination of </w:t>
      </w:r>
      <w:r w:rsidR="008D1D14" w:rsidRPr="005A7E18">
        <w:rPr>
          <w:i/>
        </w:rPr>
        <w:t>in vitro</w:t>
      </w:r>
      <w:r w:rsidR="008D1D14" w:rsidRPr="008D1D14">
        <w:t xml:space="preserve"> assays targeting platelets and coagulation pathways </w:t>
      </w:r>
      <w:r>
        <w:t xml:space="preserve">seems </w:t>
      </w:r>
      <w:r w:rsidR="003D0254">
        <w:t xml:space="preserve">promising to predict the </w:t>
      </w:r>
      <w:r w:rsidR="003D0254" w:rsidRPr="008D1D14">
        <w:t>pro- and anti-coagulant properties</w:t>
      </w:r>
      <w:r w:rsidR="003D0254">
        <w:t xml:space="preserve"> of a </w:t>
      </w:r>
      <w:r w:rsidR="008D1D14" w:rsidRPr="008D1D14">
        <w:t xml:space="preserve">nanoparticle. </w:t>
      </w:r>
    </w:p>
    <w:p w:rsidR="000874E4" w:rsidRDefault="000874E4" w:rsidP="008D1D14">
      <w:pPr>
        <w:jc w:val="both"/>
        <w:rPr>
          <w:b/>
          <w:sz w:val="24"/>
          <w:szCs w:val="24"/>
        </w:rPr>
      </w:pPr>
    </w:p>
    <w:p w:rsidR="008D1D14" w:rsidRPr="008D1D14" w:rsidRDefault="008D1D14" w:rsidP="008D1D14">
      <w:pPr>
        <w:jc w:val="both"/>
        <w:rPr>
          <w:b/>
          <w:sz w:val="24"/>
          <w:szCs w:val="24"/>
        </w:rPr>
      </w:pPr>
      <w:r w:rsidRPr="008D1D14">
        <w:rPr>
          <w:b/>
          <w:sz w:val="24"/>
          <w:szCs w:val="24"/>
        </w:rPr>
        <w:t xml:space="preserve">GENERAL BLOOD </w:t>
      </w:r>
      <w:r w:rsidR="00CA7912">
        <w:rPr>
          <w:b/>
          <w:sz w:val="24"/>
          <w:szCs w:val="24"/>
        </w:rPr>
        <w:t xml:space="preserve">TOXICITIES </w:t>
      </w:r>
      <w:r w:rsidRPr="008D1D14">
        <w:rPr>
          <w:b/>
          <w:sz w:val="24"/>
          <w:szCs w:val="24"/>
        </w:rPr>
        <w:t>ASSOCIATED WITH EACH TYPE OF NANOPARTICLES</w:t>
      </w:r>
    </w:p>
    <w:p w:rsidR="008D1D14" w:rsidRPr="008D1D14" w:rsidRDefault="008D1D14" w:rsidP="008D1D14">
      <w:pPr>
        <w:jc w:val="both"/>
      </w:pPr>
      <w:r w:rsidRPr="008D1D14">
        <w:t xml:space="preserve">In order further understand the reported trends for blood toxicities related to nanomedicines, the </w:t>
      </w:r>
      <w:r w:rsidR="00032180" w:rsidRPr="008D1D14">
        <w:t xml:space="preserve">type of </w:t>
      </w:r>
      <w:r w:rsidR="00032180">
        <w:t xml:space="preserve">nanoparticle </w:t>
      </w:r>
      <w:r w:rsidR="00032180" w:rsidRPr="008D1D14">
        <w:t xml:space="preserve">causing </w:t>
      </w:r>
      <w:r w:rsidR="002A7525">
        <w:t xml:space="preserve">blood </w:t>
      </w:r>
      <w:r w:rsidR="002A7525" w:rsidRPr="008D1D14">
        <w:t xml:space="preserve">incompatibilities </w:t>
      </w:r>
      <w:r w:rsidR="00032180">
        <w:t>was identified in the reported cases</w:t>
      </w:r>
      <w:r w:rsidRPr="008D1D14">
        <w:t xml:space="preserve">. For </w:t>
      </w:r>
      <w:r w:rsidRPr="001E77AF">
        <w:rPr>
          <w:i/>
        </w:rPr>
        <w:t>in vivo</w:t>
      </w:r>
      <w:r w:rsidRPr="008D1D14">
        <w:t xml:space="preserve"> effects</w:t>
      </w:r>
      <w:r w:rsidR="002A471A">
        <w:t>,</w:t>
      </w:r>
      <w:r w:rsidRPr="008D1D14">
        <w:t xml:space="preserve"> the majority of blood toxici</w:t>
      </w:r>
      <w:r w:rsidR="009E1C5D">
        <w:t>ties were linked to inorganic nanoparticle</w:t>
      </w:r>
      <w:r w:rsidRPr="008D1D14">
        <w:t>s, with 70% (32 out of 46) of the reported adversities (</w:t>
      </w:r>
      <w:r w:rsidR="002901B5">
        <w:t xml:space="preserve">Figure </w:t>
      </w:r>
      <w:r w:rsidR="000874E4">
        <w:t>3</w:t>
      </w:r>
      <w:r w:rsidRPr="008D1D14">
        <w:t>A)</w:t>
      </w:r>
      <w:r w:rsidR="00032180">
        <w:t>. Lipid-based nanoparticle</w:t>
      </w:r>
      <w:r w:rsidR="00032180" w:rsidRPr="008D1D14">
        <w:t>s</w:t>
      </w:r>
      <w:r w:rsidR="00032180">
        <w:t xml:space="preserve"> triggered</w:t>
      </w:r>
      <w:r w:rsidR="002A471A">
        <w:t xml:space="preserve"> </w:t>
      </w:r>
      <w:r w:rsidRPr="008D1D14">
        <w:t xml:space="preserve">17% (8 out of 46) of </w:t>
      </w:r>
      <w:r w:rsidR="00032180">
        <w:t xml:space="preserve">the </w:t>
      </w:r>
      <w:r w:rsidRPr="008D1D14">
        <w:t>r</w:t>
      </w:r>
      <w:r w:rsidR="009E1C5D">
        <w:t xml:space="preserve">eported cases. The </w:t>
      </w:r>
      <w:r w:rsidR="00032180">
        <w:t xml:space="preserve">best </w:t>
      </w:r>
      <w:r w:rsidR="009E1C5D">
        <w:t xml:space="preserve">compatibility was </w:t>
      </w:r>
      <w:r w:rsidR="00032180">
        <w:t xml:space="preserve">achieved </w:t>
      </w:r>
      <w:r w:rsidR="009E1C5D">
        <w:t>by polymer-based nanoparticles with only</w:t>
      </w:r>
      <w:r w:rsidR="009E1C5D" w:rsidRPr="008D1D14">
        <w:t xml:space="preserve"> </w:t>
      </w:r>
      <w:r w:rsidRPr="008D1D14">
        <w:t xml:space="preserve">13% (6 out of 46) </w:t>
      </w:r>
      <w:r w:rsidR="009E1C5D">
        <w:t xml:space="preserve">of </w:t>
      </w:r>
      <w:r w:rsidR="00032180">
        <w:t xml:space="preserve">the </w:t>
      </w:r>
      <w:r w:rsidR="009E1C5D">
        <w:t xml:space="preserve">reported cases. </w:t>
      </w:r>
      <w:r w:rsidR="00151D17">
        <w:t>The different types of nanomedicines and nanomaterials with potential use in the biomedical field</w:t>
      </w:r>
      <w:r w:rsidR="002A471A">
        <w:t xml:space="preserve">, which </w:t>
      </w:r>
      <w:r w:rsidR="00151D17">
        <w:t xml:space="preserve">were included in each category of nanomedicines for </w:t>
      </w:r>
      <w:r w:rsidR="00151D17" w:rsidRPr="008509C9">
        <w:rPr>
          <w:i/>
        </w:rPr>
        <w:t>in vivo</w:t>
      </w:r>
      <w:r w:rsidR="00151D17">
        <w:t xml:space="preserve"> studies</w:t>
      </w:r>
      <w:r w:rsidR="002A471A">
        <w:t>,</w:t>
      </w:r>
      <w:r w:rsidR="00151D17">
        <w:t xml:space="preserve"> are described in </w:t>
      </w:r>
      <w:r w:rsidR="002901B5">
        <w:t>Figure 2</w:t>
      </w:r>
      <w:r w:rsidR="00151D17">
        <w:t>B.</w:t>
      </w:r>
      <w:r w:rsidR="006F1E45">
        <w:t xml:space="preserve"> </w:t>
      </w:r>
      <w:r w:rsidR="006F1E45" w:rsidRPr="006F1E45">
        <w:t xml:space="preserve">The number of </w:t>
      </w:r>
      <w:r w:rsidR="00032180">
        <w:t>articles</w:t>
      </w:r>
      <w:r w:rsidR="00032180" w:rsidRPr="006F1E45">
        <w:t xml:space="preserve"> </w:t>
      </w:r>
      <w:r w:rsidR="00032180">
        <w:t>per</w:t>
      </w:r>
      <w:r w:rsidR="006F1E45">
        <w:t xml:space="preserve"> nanomaterial is also presented in the graph</w:t>
      </w:r>
      <w:r w:rsidR="00D44D65">
        <w:t>.</w:t>
      </w:r>
      <w:r w:rsidR="006F1E45">
        <w:t xml:space="preserve"> </w:t>
      </w:r>
      <w:r w:rsidR="00956490">
        <w:t>The highe</w:t>
      </w:r>
      <w:r w:rsidR="002A471A">
        <w:t>st</w:t>
      </w:r>
      <w:r w:rsidR="00956490">
        <w:t xml:space="preserve"> number of </w:t>
      </w:r>
      <w:r w:rsidR="00032180">
        <w:t xml:space="preserve">articles </w:t>
      </w:r>
      <w:r w:rsidR="00956490">
        <w:t xml:space="preserve">was found for </w:t>
      </w:r>
      <w:r w:rsidR="000A0209">
        <w:t>polymeric NPs,</w:t>
      </w:r>
      <w:r w:rsidR="002A471A">
        <w:t xml:space="preserve"> followed by</w:t>
      </w:r>
      <w:r w:rsidR="000A0209">
        <w:t xml:space="preserve"> polymers with applications in the biomedical field, </w:t>
      </w:r>
      <w:r w:rsidR="00956490">
        <w:t xml:space="preserve">iron oxide NPs, </w:t>
      </w:r>
      <w:r w:rsidR="000A0209">
        <w:t xml:space="preserve">liposomes, dendrimers, </w:t>
      </w:r>
      <w:r w:rsidR="00956490">
        <w:t>gold NPs</w:t>
      </w:r>
      <w:r w:rsidR="000A0209">
        <w:t xml:space="preserve"> and</w:t>
      </w:r>
      <w:r w:rsidR="00956490">
        <w:t xml:space="preserve"> carbon nanotubes. </w:t>
      </w:r>
      <w:r w:rsidR="00D44D65">
        <w:t xml:space="preserve">The category </w:t>
      </w:r>
      <w:r w:rsidR="00F40152">
        <w:t>‘</w:t>
      </w:r>
      <w:r w:rsidR="00D44D65">
        <w:t>Other</w:t>
      </w:r>
      <w:r w:rsidR="00F91583">
        <w:t xml:space="preserve"> (inorganic)</w:t>
      </w:r>
      <w:r w:rsidR="00F40152">
        <w:t>’</w:t>
      </w:r>
      <w:r w:rsidR="00F91583">
        <w:t xml:space="preserve"> included inorganic nanoparticles </w:t>
      </w:r>
      <w:r w:rsidR="002A471A">
        <w:t>such as c</w:t>
      </w:r>
      <w:r w:rsidR="002A471A" w:rsidRPr="00F91583">
        <w:t>arbon nanocapsules, hydroxyapatite NPs, nanodiamonds, polystyrene NPs and quantum dots</w:t>
      </w:r>
      <w:r w:rsidR="002A471A">
        <w:t xml:space="preserve">, </w:t>
      </w:r>
      <w:r w:rsidR="00962FC3">
        <w:t>and</w:t>
      </w:r>
      <w:r w:rsidR="002A471A">
        <w:t xml:space="preserve"> was </w:t>
      </w:r>
      <w:r w:rsidR="00F91583">
        <w:t xml:space="preserve">represented </w:t>
      </w:r>
      <w:r w:rsidR="002A471A">
        <w:t xml:space="preserve">by </w:t>
      </w:r>
      <w:r w:rsidR="00F91583">
        <w:t>only one publication.</w:t>
      </w:r>
    </w:p>
    <w:p w:rsidR="005B2638" w:rsidRDefault="000D57C3" w:rsidP="005B2638">
      <w:pPr>
        <w:keepNext/>
        <w:spacing w:after="0"/>
        <w:jc w:val="both"/>
      </w:pPr>
      <w:r>
        <w:rPr>
          <w:noProof/>
          <w:lang w:eastAsia="en-GB"/>
        </w:rPr>
        <w:drawing>
          <wp:inline distT="0" distB="0" distL="0" distR="0">
            <wp:extent cx="5724525" cy="2400300"/>
            <wp:effectExtent l="0" t="0" r="9525" b="0"/>
            <wp:docPr id="17" name="Picture 17" descr="Figure 2_Arial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2_Arial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inline>
        </w:drawing>
      </w:r>
    </w:p>
    <w:p w:rsidR="008D1D14" w:rsidRPr="00275FCC" w:rsidRDefault="005B2638" w:rsidP="008509C9">
      <w:pPr>
        <w:pStyle w:val="Caption"/>
        <w:rPr>
          <w:rFonts w:cs="Arial"/>
          <w:b w:val="0"/>
          <w:color w:val="auto"/>
          <w:sz w:val="22"/>
          <w:szCs w:val="22"/>
        </w:rPr>
      </w:pPr>
      <w:bookmarkStart w:id="2" w:name="_Ref518658925"/>
      <w:r w:rsidRPr="00275FCC">
        <w:rPr>
          <w:b w:val="0"/>
          <w:color w:val="auto"/>
          <w:sz w:val="22"/>
          <w:szCs w:val="22"/>
        </w:rPr>
        <w:t xml:space="preserve">Figure </w:t>
      </w:r>
      <w:bookmarkEnd w:id="2"/>
      <w:r w:rsidR="000874E4">
        <w:rPr>
          <w:b w:val="0"/>
          <w:color w:val="auto"/>
          <w:sz w:val="22"/>
          <w:szCs w:val="22"/>
        </w:rPr>
        <w:t>3</w:t>
      </w:r>
      <w:r w:rsidRPr="00275FCC">
        <w:rPr>
          <w:b w:val="0"/>
          <w:color w:val="auto"/>
          <w:sz w:val="22"/>
          <w:szCs w:val="22"/>
        </w:rPr>
        <w:t xml:space="preserve">. </w:t>
      </w:r>
      <w:r w:rsidRPr="00275FCC">
        <w:rPr>
          <w:rFonts w:cs="Arial"/>
          <w:b w:val="0"/>
          <w:color w:val="auto"/>
          <w:sz w:val="22"/>
          <w:szCs w:val="22"/>
        </w:rPr>
        <w:t xml:space="preserve">General blood incompatibilities linked to the types of nanomedicines </w:t>
      </w:r>
      <w:r w:rsidRPr="00275FCC">
        <w:rPr>
          <w:rFonts w:cs="Arial"/>
          <w:b w:val="0"/>
          <w:i/>
          <w:color w:val="auto"/>
          <w:sz w:val="22"/>
          <w:szCs w:val="22"/>
        </w:rPr>
        <w:t>in vivo</w:t>
      </w:r>
      <w:r w:rsidRPr="00275FCC">
        <w:rPr>
          <w:rFonts w:cs="Arial"/>
          <w:b w:val="0"/>
          <w:color w:val="auto"/>
          <w:sz w:val="22"/>
          <w:szCs w:val="22"/>
        </w:rPr>
        <w:t>. 46 articles out of the 147 screened publications reported blood incompatibilities, and inorganic nanoparticles were mo</w:t>
      </w:r>
      <w:r w:rsidR="00962FC3">
        <w:rPr>
          <w:rFonts w:cs="Arial"/>
          <w:b w:val="0"/>
          <w:color w:val="auto"/>
          <w:sz w:val="22"/>
          <w:szCs w:val="22"/>
        </w:rPr>
        <w:t>st</w:t>
      </w:r>
      <w:r w:rsidRPr="00275FCC">
        <w:rPr>
          <w:rFonts w:cs="Arial"/>
          <w:b w:val="0"/>
          <w:color w:val="auto"/>
          <w:sz w:val="22"/>
          <w:szCs w:val="22"/>
        </w:rPr>
        <w:t xml:space="preserve"> frequently associated with blood toxicities (A). Types of nanomedicines and nanomaterials with potential use in biomedicine</w:t>
      </w:r>
      <w:r w:rsidR="00F40152">
        <w:rPr>
          <w:rFonts w:cs="Arial"/>
          <w:b w:val="0"/>
          <w:color w:val="auto"/>
          <w:sz w:val="22"/>
          <w:szCs w:val="22"/>
        </w:rPr>
        <w:t xml:space="preserve"> retrieved from</w:t>
      </w:r>
      <w:r w:rsidRPr="00275FCC">
        <w:rPr>
          <w:rFonts w:cs="Arial"/>
          <w:b w:val="0"/>
          <w:color w:val="auto"/>
          <w:sz w:val="22"/>
          <w:szCs w:val="22"/>
        </w:rPr>
        <w:t xml:space="preserve"> the screened publications and num</w:t>
      </w:r>
      <w:r w:rsidRPr="0056546C">
        <w:rPr>
          <w:rFonts w:cs="Arial"/>
          <w:b w:val="0"/>
          <w:color w:val="auto"/>
          <w:sz w:val="22"/>
          <w:szCs w:val="22"/>
        </w:rPr>
        <w:t>ber of publications found for each type of nanomaterial</w:t>
      </w:r>
      <w:r w:rsidRPr="007602E8">
        <w:rPr>
          <w:rFonts w:cs="Arial"/>
          <w:b w:val="0"/>
          <w:color w:val="auto"/>
          <w:sz w:val="22"/>
          <w:szCs w:val="22"/>
        </w:rPr>
        <w:t>. For inorganic NPs only one publication was found for some NP</w:t>
      </w:r>
      <w:r w:rsidR="00324EBB">
        <w:rPr>
          <w:rFonts w:cs="Arial"/>
          <w:b w:val="0"/>
          <w:color w:val="auto"/>
          <w:sz w:val="22"/>
          <w:szCs w:val="22"/>
        </w:rPr>
        <w:t>s</w:t>
      </w:r>
      <w:r w:rsidRPr="007602E8">
        <w:rPr>
          <w:rFonts w:cs="Arial"/>
          <w:b w:val="0"/>
          <w:color w:val="auto"/>
          <w:sz w:val="22"/>
          <w:szCs w:val="22"/>
        </w:rPr>
        <w:t xml:space="preserve">, which were grouped under the category </w:t>
      </w:r>
      <w:r w:rsidR="00F40152">
        <w:rPr>
          <w:rFonts w:cs="Arial"/>
          <w:b w:val="0"/>
          <w:color w:val="auto"/>
          <w:sz w:val="22"/>
          <w:szCs w:val="22"/>
        </w:rPr>
        <w:t>‘</w:t>
      </w:r>
      <w:r w:rsidRPr="007602E8">
        <w:rPr>
          <w:rFonts w:cs="Arial"/>
          <w:b w:val="0"/>
          <w:i/>
          <w:color w:val="auto"/>
          <w:sz w:val="22"/>
          <w:szCs w:val="22"/>
        </w:rPr>
        <w:t>Other (inorganic)</w:t>
      </w:r>
      <w:r w:rsidR="00F40152">
        <w:rPr>
          <w:rFonts w:cs="Arial"/>
          <w:b w:val="0"/>
          <w:i/>
          <w:color w:val="auto"/>
          <w:sz w:val="22"/>
          <w:szCs w:val="22"/>
        </w:rPr>
        <w:t>’</w:t>
      </w:r>
      <w:r w:rsidR="0056546C">
        <w:rPr>
          <w:rFonts w:cs="Arial"/>
          <w:b w:val="0"/>
          <w:i/>
          <w:color w:val="auto"/>
          <w:sz w:val="22"/>
          <w:szCs w:val="22"/>
        </w:rPr>
        <w:t xml:space="preserve"> </w:t>
      </w:r>
      <w:r w:rsidR="0056546C" w:rsidRPr="0056546C">
        <w:rPr>
          <w:rFonts w:cs="Arial"/>
          <w:b w:val="0"/>
          <w:color w:val="auto"/>
          <w:sz w:val="22"/>
          <w:szCs w:val="22"/>
        </w:rPr>
        <w:t>(B)</w:t>
      </w:r>
      <w:r w:rsidRPr="0056546C">
        <w:rPr>
          <w:rFonts w:cs="Arial"/>
          <w:b w:val="0"/>
          <w:color w:val="auto"/>
          <w:sz w:val="22"/>
          <w:szCs w:val="22"/>
        </w:rPr>
        <w:t>.</w:t>
      </w:r>
    </w:p>
    <w:p w:rsidR="00151D17" w:rsidRDefault="00151D17" w:rsidP="00956490">
      <w:pPr>
        <w:pStyle w:val="Caption"/>
        <w:spacing w:before="0" w:after="0" w:line="276" w:lineRule="auto"/>
      </w:pPr>
    </w:p>
    <w:p w:rsidR="00990EBB" w:rsidRPr="00990EBB" w:rsidRDefault="00151D17" w:rsidP="00990EBB">
      <w:pPr>
        <w:jc w:val="both"/>
        <w:rPr>
          <w:rFonts w:eastAsia="Times New Roman"/>
          <w:color w:val="000000"/>
          <w:lang w:eastAsia="en-GB"/>
        </w:rPr>
      </w:pPr>
      <w:r w:rsidRPr="008D1D14">
        <w:t xml:space="preserve">In agreement with the data extracted from </w:t>
      </w:r>
      <w:r w:rsidRPr="001E77AF">
        <w:rPr>
          <w:i/>
        </w:rPr>
        <w:t>in vivo</w:t>
      </w:r>
      <w:r w:rsidRPr="008D1D14">
        <w:t xml:space="preserve"> experiments, </w:t>
      </w:r>
      <w:r w:rsidR="009D3B5D" w:rsidRPr="00324EBB">
        <w:t xml:space="preserve">blood incompatibilities </w:t>
      </w:r>
      <w:r w:rsidR="009D3B5D">
        <w:t xml:space="preserve">were </w:t>
      </w:r>
      <w:r>
        <w:t>most</w:t>
      </w:r>
      <w:r w:rsidR="00FC54C6">
        <w:t xml:space="preserve"> frequently reported</w:t>
      </w:r>
      <w:r>
        <w:t xml:space="preserve"> for inorganic nanoparticles</w:t>
      </w:r>
      <w:r w:rsidR="009D3B5D">
        <w:t xml:space="preserve"> using</w:t>
      </w:r>
      <w:r w:rsidR="009D3B5D" w:rsidRPr="009D3B5D">
        <w:rPr>
          <w:i/>
        </w:rPr>
        <w:t xml:space="preserve"> </w:t>
      </w:r>
      <w:r w:rsidR="009D3B5D" w:rsidRPr="002465DF">
        <w:rPr>
          <w:i/>
        </w:rPr>
        <w:t>in vitro</w:t>
      </w:r>
      <w:r w:rsidR="009D3B5D">
        <w:t xml:space="preserve"> tests</w:t>
      </w:r>
      <w:r w:rsidRPr="008D1D14">
        <w:t>, representing 58% (89 o</w:t>
      </w:r>
      <w:r>
        <w:t>ut of 153) of blood toxicities</w:t>
      </w:r>
      <w:r w:rsidR="004E5985">
        <w:t xml:space="preserve"> found in the literature</w:t>
      </w:r>
      <w:r w:rsidR="00FC54C6">
        <w:t xml:space="preserve"> </w:t>
      </w:r>
      <w:r w:rsidRPr="008D1D14">
        <w:t>(</w:t>
      </w:r>
      <w:r w:rsidR="005C3F38">
        <w:t xml:space="preserve">Figure </w:t>
      </w:r>
      <w:r w:rsidR="000874E4">
        <w:t>4A</w:t>
      </w:r>
      <w:r w:rsidRPr="008D1D14">
        <w:t xml:space="preserve">). Polymer-based </w:t>
      </w:r>
      <w:r>
        <w:t xml:space="preserve">nanoparticles </w:t>
      </w:r>
      <w:r w:rsidRPr="008D1D14">
        <w:t xml:space="preserve">accounted for </w:t>
      </w:r>
      <w:r w:rsidRPr="008D1D14">
        <w:lastRenderedPageBreak/>
        <w:t>25% (39 out of 153) of the total blood toxicities and lipid-based NPs for 16% (25 out of 153).</w:t>
      </w:r>
      <w:r w:rsidR="00FC54C6">
        <w:t xml:space="preserve"> </w:t>
      </w:r>
      <w:r w:rsidR="001A2059" w:rsidRPr="006F1E45">
        <w:t>The number of publications found for each typ</w:t>
      </w:r>
      <w:r w:rsidR="001A2059">
        <w:t xml:space="preserve">e of nanomaterial included in the three categories is also </w:t>
      </w:r>
      <w:r w:rsidR="005C3F38">
        <w:t>p</w:t>
      </w:r>
      <w:r w:rsidR="001A2059">
        <w:t xml:space="preserve">resented </w:t>
      </w:r>
      <w:r w:rsidR="005C3F38">
        <w:t xml:space="preserve">(Figure </w:t>
      </w:r>
      <w:r w:rsidR="000874E4">
        <w:t>4B</w:t>
      </w:r>
      <w:r w:rsidR="005C3F38">
        <w:t>)</w:t>
      </w:r>
      <w:r w:rsidR="001A2059">
        <w:t>. The highe</w:t>
      </w:r>
      <w:r w:rsidR="00962FC3">
        <w:t>st</w:t>
      </w:r>
      <w:r w:rsidR="001A2059">
        <w:t xml:space="preserve"> number of publications was found for</w:t>
      </w:r>
      <w:r w:rsidR="005C3F38" w:rsidRPr="005C3F38">
        <w:t xml:space="preserve"> </w:t>
      </w:r>
      <w:r w:rsidR="005C3F38">
        <w:t>polymeric NPs</w:t>
      </w:r>
      <w:r w:rsidR="00962FC3">
        <w:t xml:space="preserve"> followed by </w:t>
      </w:r>
      <w:r w:rsidR="005C3F38">
        <w:t xml:space="preserve">silica NPs, polymers, </w:t>
      </w:r>
      <w:r w:rsidR="000A0209">
        <w:t xml:space="preserve">iron oxide NPs, </w:t>
      </w:r>
      <w:r w:rsidR="005C3F38">
        <w:t>carbon nanotubes, silver NPs, gold NPs, liposomes</w:t>
      </w:r>
      <w:r w:rsidR="000A0209">
        <w:t>, dendrimers and lipid NPs</w:t>
      </w:r>
      <w:r w:rsidR="005C3F38">
        <w:t xml:space="preserve">. </w:t>
      </w:r>
      <w:r w:rsidR="00C07520">
        <w:t xml:space="preserve">In order to simplify the </w:t>
      </w:r>
      <w:r w:rsidR="00990EBB">
        <w:t xml:space="preserve">data </w:t>
      </w:r>
      <w:r w:rsidR="00C07520">
        <w:t>visualisation, inorganic NPs</w:t>
      </w:r>
      <w:r w:rsidR="00962FC3">
        <w:t xml:space="preserve"> which corresponded to</w:t>
      </w:r>
      <w:r w:rsidR="00C07520">
        <w:t xml:space="preserve"> </w:t>
      </w:r>
      <w:r w:rsidR="00990EBB">
        <w:t>only one publication</w:t>
      </w:r>
      <w:r w:rsidR="00C07520">
        <w:t xml:space="preserve"> were grouped </w:t>
      </w:r>
      <w:r w:rsidR="00990EBB">
        <w:t>in</w:t>
      </w:r>
      <w:r w:rsidR="00C07520">
        <w:t xml:space="preserve"> the category </w:t>
      </w:r>
      <w:r w:rsidR="00F40152">
        <w:t>‘</w:t>
      </w:r>
      <w:r w:rsidR="00C07520">
        <w:t>O</w:t>
      </w:r>
      <w:r w:rsidR="00C07520" w:rsidRPr="008509C9">
        <w:rPr>
          <w:i/>
        </w:rPr>
        <w:t>ther</w:t>
      </w:r>
      <w:r w:rsidR="00990EBB">
        <w:rPr>
          <w:i/>
        </w:rPr>
        <w:t xml:space="preserve"> </w:t>
      </w:r>
      <w:r w:rsidR="00C07520" w:rsidRPr="008509C9">
        <w:rPr>
          <w:i/>
        </w:rPr>
        <w:t>(inorganic)</w:t>
      </w:r>
      <w:r w:rsidR="00F40152">
        <w:rPr>
          <w:i/>
        </w:rPr>
        <w:t>’</w:t>
      </w:r>
      <w:r w:rsidR="00C07520">
        <w:t xml:space="preserve">, </w:t>
      </w:r>
      <w:r w:rsidR="00962FC3">
        <w:t xml:space="preserve">and </w:t>
      </w:r>
      <w:r w:rsidR="00C07520">
        <w:t xml:space="preserve">included: </w:t>
      </w:r>
      <w:r w:rsidR="004258D2" w:rsidRPr="004258D2">
        <w:t>a</w:t>
      </w:r>
      <w:r w:rsidR="004258D2" w:rsidRPr="00990EBB">
        <w:t>luminium</w:t>
      </w:r>
      <w:r w:rsidR="00990EBB" w:rsidRPr="00990EBB">
        <w:t xml:space="preserve"> oxide NPs</w:t>
      </w:r>
      <w:r w:rsidR="00990EBB" w:rsidRPr="008509C9">
        <w:t>, a</w:t>
      </w:r>
      <w:r w:rsidR="00990EBB" w:rsidRPr="00990EBB">
        <w:t>patite NPs</w:t>
      </w:r>
      <w:r w:rsidR="00990EBB" w:rsidRPr="008509C9">
        <w:t>, c</w:t>
      </w:r>
      <w:r w:rsidR="00990EBB" w:rsidRPr="00990EBB">
        <w:t>arbon dots</w:t>
      </w:r>
      <w:r w:rsidR="00990EBB" w:rsidRPr="008509C9">
        <w:t xml:space="preserve">, </w:t>
      </w:r>
      <w:r w:rsidR="00990EBB">
        <w:rPr>
          <w:rFonts w:eastAsia="Times New Roman"/>
          <w:color w:val="000000"/>
          <w:lang w:eastAsia="en-GB"/>
        </w:rPr>
        <w:t>c</w:t>
      </w:r>
      <w:r w:rsidR="00990EBB" w:rsidRPr="00990EBB">
        <w:rPr>
          <w:rFonts w:eastAsia="Times New Roman"/>
          <w:color w:val="000000"/>
          <w:lang w:eastAsia="en-GB"/>
        </w:rPr>
        <w:t>obalt ferrite NPs</w:t>
      </w:r>
      <w:r w:rsidR="00990EBB">
        <w:rPr>
          <w:rFonts w:eastAsia="Times New Roman"/>
          <w:color w:val="000000"/>
          <w:lang w:eastAsia="en-GB"/>
        </w:rPr>
        <w:t>, g</w:t>
      </w:r>
      <w:r w:rsidR="00990EBB" w:rsidRPr="00990EBB">
        <w:rPr>
          <w:rFonts w:eastAsia="Times New Roman"/>
          <w:color w:val="000000"/>
          <w:lang w:eastAsia="en-GB"/>
        </w:rPr>
        <w:t>raphene oxide NPs</w:t>
      </w:r>
      <w:r w:rsidR="00990EBB">
        <w:rPr>
          <w:rFonts w:eastAsia="Times New Roman"/>
          <w:color w:val="000000"/>
          <w:lang w:eastAsia="en-GB"/>
        </w:rPr>
        <w:t>, h</w:t>
      </w:r>
      <w:r w:rsidR="00990EBB" w:rsidRPr="00990EBB">
        <w:rPr>
          <w:rFonts w:eastAsia="Times New Roman"/>
          <w:color w:val="000000"/>
          <w:lang w:eastAsia="en-GB"/>
        </w:rPr>
        <w:t>alloysite nanotubes</w:t>
      </w:r>
      <w:r w:rsidR="00990EBB">
        <w:rPr>
          <w:rFonts w:eastAsia="Times New Roman"/>
          <w:color w:val="000000"/>
          <w:lang w:eastAsia="en-GB"/>
        </w:rPr>
        <w:t>, h</w:t>
      </w:r>
      <w:r w:rsidR="00990EBB" w:rsidRPr="00990EBB">
        <w:rPr>
          <w:rFonts w:eastAsia="Times New Roman"/>
          <w:color w:val="000000"/>
          <w:lang w:eastAsia="en-GB"/>
        </w:rPr>
        <w:t>ydroxide NPs</w:t>
      </w:r>
      <w:r w:rsidR="00990EBB">
        <w:rPr>
          <w:rFonts w:eastAsia="Times New Roman"/>
          <w:color w:val="000000"/>
          <w:lang w:eastAsia="en-GB"/>
        </w:rPr>
        <w:t xml:space="preserve"> or s</w:t>
      </w:r>
      <w:r w:rsidR="00990EBB" w:rsidRPr="00990EBB">
        <w:rPr>
          <w:rFonts w:eastAsia="Times New Roman"/>
          <w:color w:val="000000"/>
          <w:lang w:eastAsia="en-GB"/>
        </w:rPr>
        <w:t>ilicon nanowires</w:t>
      </w:r>
      <w:r w:rsidR="00990EBB">
        <w:rPr>
          <w:rFonts w:eastAsia="Times New Roman"/>
          <w:color w:val="000000"/>
          <w:lang w:eastAsia="en-GB"/>
        </w:rPr>
        <w:t>.</w:t>
      </w:r>
    </w:p>
    <w:p w:rsidR="00990EBB" w:rsidRPr="00990EBB" w:rsidRDefault="00990EBB" w:rsidP="00990EBB">
      <w:pPr>
        <w:jc w:val="both"/>
      </w:pPr>
    </w:p>
    <w:p w:rsidR="001A2059" w:rsidRDefault="000D57C3" w:rsidP="001A2059">
      <w:pPr>
        <w:keepNext/>
      </w:pPr>
      <w:r>
        <w:rPr>
          <w:noProof/>
          <w:lang w:eastAsia="en-GB"/>
        </w:rPr>
        <w:drawing>
          <wp:inline distT="0" distB="0" distL="0" distR="0">
            <wp:extent cx="5724525" cy="2752725"/>
            <wp:effectExtent l="0" t="0" r="9525" b="9525"/>
            <wp:docPr id="18" name="Picture 18"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4525" cy="2752725"/>
                    </a:xfrm>
                    <a:prstGeom prst="rect">
                      <a:avLst/>
                    </a:prstGeom>
                    <a:noFill/>
                    <a:ln>
                      <a:noFill/>
                    </a:ln>
                  </pic:spPr>
                </pic:pic>
              </a:graphicData>
            </a:graphic>
          </wp:inline>
        </w:drawing>
      </w:r>
    </w:p>
    <w:p w:rsidR="001A2059" w:rsidRPr="00AE2731" w:rsidRDefault="001A2059" w:rsidP="001A2059">
      <w:pPr>
        <w:spacing w:after="0"/>
        <w:jc w:val="both"/>
      </w:pPr>
      <w:r>
        <w:t xml:space="preserve">Figure </w:t>
      </w:r>
      <w:r w:rsidR="000874E4">
        <w:t>4</w:t>
      </w:r>
      <w:r>
        <w:t xml:space="preserve">. </w:t>
      </w:r>
      <w:r w:rsidRPr="00FC54C6">
        <w:t>General blood incompatibilities linked to the</w:t>
      </w:r>
      <w:r>
        <w:t xml:space="preserve"> different</w:t>
      </w:r>
      <w:r w:rsidRPr="00FC54C6">
        <w:t xml:space="preserve"> types of nanomedicines </w:t>
      </w:r>
      <w:r w:rsidRPr="00AE2731">
        <w:rPr>
          <w:i/>
        </w:rPr>
        <w:t>in vitro</w:t>
      </w:r>
      <w:r>
        <w:t xml:space="preserve">. Inorganic NPs were the type of nanomedicines </w:t>
      </w:r>
      <w:r w:rsidR="00962FC3">
        <w:t xml:space="preserve">most </w:t>
      </w:r>
      <w:r>
        <w:t xml:space="preserve">frequently associated with blood incompatibilities (A). The different types of nanomaterials included in each </w:t>
      </w:r>
      <w:r w:rsidR="009D3B5D">
        <w:t>type (colour –coded)</w:t>
      </w:r>
      <w:r>
        <w:t xml:space="preserve">, and the </w:t>
      </w:r>
      <w:r w:rsidR="009D3B5D">
        <w:t xml:space="preserve">number </w:t>
      </w:r>
      <w:r>
        <w:t xml:space="preserve">of publications found for each nanomaterial </w:t>
      </w:r>
      <w:r w:rsidRPr="00AE2731">
        <w:rPr>
          <w:i/>
        </w:rPr>
        <w:t xml:space="preserve">in vitro </w:t>
      </w:r>
      <w:r w:rsidR="009D3B5D">
        <w:t xml:space="preserve">is </w:t>
      </w:r>
      <w:r>
        <w:t>shown</w:t>
      </w:r>
      <w:r w:rsidR="004258D2">
        <w:t>. The highest number of publications were found for polymeric NPs (n=123)</w:t>
      </w:r>
      <w:r>
        <w:t xml:space="preserve"> (B).</w:t>
      </w:r>
    </w:p>
    <w:p w:rsidR="00773359" w:rsidRDefault="00773359" w:rsidP="004258D2">
      <w:pPr>
        <w:pStyle w:val="Caption"/>
        <w:jc w:val="left"/>
      </w:pPr>
    </w:p>
    <w:p w:rsidR="008D1D14" w:rsidRPr="008D1D14" w:rsidRDefault="008D1D14" w:rsidP="008D1D14">
      <w:pPr>
        <w:jc w:val="both"/>
        <w:rPr>
          <w:b/>
        </w:rPr>
      </w:pPr>
      <w:r w:rsidRPr="008D1D14">
        <w:rPr>
          <w:b/>
          <w:sz w:val="24"/>
        </w:rPr>
        <w:t>ASSOCIATION BETWEEN SPECIFIC BLOOD TOXICITIES AND TYPE OF NPS</w:t>
      </w:r>
    </w:p>
    <w:p w:rsidR="008D1D14" w:rsidRPr="008D1D14" w:rsidRDefault="00980292" w:rsidP="008D1D14">
      <w:pPr>
        <w:jc w:val="both"/>
      </w:pPr>
      <w:r>
        <w:t xml:space="preserve">As a next step, </w:t>
      </w:r>
      <w:r w:rsidRPr="008D1D14">
        <w:t xml:space="preserve">the particular blood </w:t>
      </w:r>
      <w:r>
        <w:t>toxicit</w:t>
      </w:r>
      <w:r w:rsidRPr="008D1D14">
        <w:t>ies that were reported for each type of</w:t>
      </w:r>
      <w:r>
        <w:t xml:space="preserve"> nano</w:t>
      </w:r>
      <w:r w:rsidR="009D3B5D">
        <w:t>material</w:t>
      </w:r>
      <w:r>
        <w:t xml:space="preserve"> were analysed in more detail</w:t>
      </w:r>
      <w:r w:rsidR="008D1D14" w:rsidRPr="008D1D14">
        <w:t xml:space="preserve"> to see if </w:t>
      </w:r>
      <w:r>
        <w:t xml:space="preserve">specific </w:t>
      </w:r>
      <w:r w:rsidR="008D1D14" w:rsidRPr="008D1D14">
        <w:t>toxicities could be related to certain types of</w:t>
      </w:r>
      <w:r w:rsidR="00FD152F">
        <w:t xml:space="preserve"> nanoparticles</w:t>
      </w:r>
      <w:r w:rsidR="008D1D14" w:rsidRPr="008D1D14">
        <w:t xml:space="preserve">. </w:t>
      </w:r>
    </w:p>
    <w:p w:rsidR="008D1D14" w:rsidRDefault="008D1D14" w:rsidP="008D1D14">
      <w:pPr>
        <w:jc w:val="both"/>
        <w:rPr>
          <w:b/>
          <w:i/>
        </w:rPr>
      </w:pPr>
    </w:p>
    <w:p w:rsidR="008D1D14" w:rsidRPr="008D1D14" w:rsidRDefault="008D1D14" w:rsidP="008D1D14">
      <w:pPr>
        <w:jc w:val="both"/>
        <w:rPr>
          <w:b/>
        </w:rPr>
      </w:pPr>
      <w:r w:rsidRPr="008D1D14">
        <w:rPr>
          <w:b/>
          <w:i/>
        </w:rPr>
        <w:t>In vivo</w:t>
      </w:r>
      <w:r w:rsidRPr="008D1D14">
        <w:rPr>
          <w:b/>
        </w:rPr>
        <w:t xml:space="preserve"> toxicities</w:t>
      </w:r>
    </w:p>
    <w:p w:rsidR="008D1D14" w:rsidRPr="008D1D14" w:rsidRDefault="00456FEA" w:rsidP="008D1D14">
      <w:pPr>
        <w:jc w:val="both"/>
      </w:pPr>
      <w:r>
        <w:t>In</w:t>
      </w:r>
      <w:r w:rsidR="008D1D14" w:rsidRPr="008D1D14">
        <w:t xml:space="preserve"> 50% of the articles </w:t>
      </w:r>
      <w:r>
        <w:t xml:space="preserve">describing </w:t>
      </w:r>
      <w:r w:rsidRPr="008D1D14">
        <w:t>inorganic</w:t>
      </w:r>
      <w:r w:rsidRPr="00FD152F">
        <w:t xml:space="preserve"> </w:t>
      </w:r>
      <w:r>
        <w:t>NPs</w:t>
      </w:r>
      <w:r w:rsidRPr="008D1D14">
        <w:t xml:space="preserve"> </w:t>
      </w:r>
      <w:r w:rsidR="008D1D14" w:rsidRPr="008D1D14">
        <w:t>(32 out of 64)</w:t>
      </w:r>
      <w:r>
        <w:t>, the nanoparticles were</w:t>
      </w:r>
      <w:r w:rsidR="008D1D14" w:rsidRPr="008D1D14">
        <w:t xml:space="preserve"> claimed </w:t>
      </w:r>
      <w:r w:rsidR="00FD152F">
        <w:t xml:space="preserve">to be </w:t>
      </w:r>
      <w:r w:rsidR="008D1D14" w:rsidRPr="008D1D14">
        <w:t xml:space="preserve">blood-compatible </w:t>
      </w:r>
      <w:r w:rsidR="00FD152F">
        <w:t xml:space="preserve">in </w:t>
      </w:r>
      <w:r w:rsidR="008D1D14" w:rsidRPr="001E77AF">
        <w:rPr>
          <w:i/>
        </w:rPr>
        <w:t>in vivo</w:t>
      </w:r>
      <w:r w:rsidR="00FD152F">
        <w:rPr>
          <w:i/>
        </w:rPr>
        <w:t xml:space="preserve"> studies</w:t>
      </w:r>
      <w:r w:rsidR="008D1D14" w:rsidRPr="008D1D14">
        <w:t xml:space="preserve"> (</w:t>
      </w:r>
      <w:r w:rsidR="004258D2">
        <w:t xml:space="preserve">Figure </w:t>
      </w:r>
      <w:r w:rsidR="000874E4">
        <w:t>5</w:t>
      </w:r>
      <w:r w:rsidR="000874E4" w:rsidRPr="008D1D14">
        <w:t>A</w:t>
      </w:r>
      <w:r w:rsidR="008D1D14" w:rsidRPr="008D1D14">
        <w:t xml:space="preserve">). The main adversity associated with </w:t>
      </w:r>
      <w:r>
        <w:t>these</w:t>
      </w:r>
      <w:r w:rsidR="008D1D14" w:rsidRPr="008D1D14">
        <w:t xml:space="preserve"> </w:t>
      </w:r>
      <w:r w:rsidR="00FD152F">
        <w:t>nanoparticle</w:t>
      </w:r>
      <w:r>
        <w:t>s</w:t>
      </w:r>
      <w:r w:rsidR="00FD152F" w:rsidRPr="008D1D14">
        <w:t xml:space="preserve"> </w:t>
      </w:r>
      <w:r w:rsidR="008D1D14" w:rsidRPr="008D1D14">
        <w:t xml:space="preserve">is thrombosis, which has been reported in 42% of the </w:t>
      </w:r>
      <w:r>
        <w:t>articles</w:t>
      </w:r>
      <w:r w:rsidR="008D1D14" w:rsidRPr="008D1D14">
        <w:t xml:space="preserve"> (27 out of 64). </w:t>
      </w:r>
      <w:r w:rsidR="00FD152F">
        <w:t xml:space="preserve">Only a </w:t>
      </w:r>
      <w:r w:rsidR="00FD152F">
        <w:lastRenderedPageBreak/>
        <w:t>f</w:t>
      </w:r>
      <w:r w:rsidR="008D1D14" w:rsidRPr="008D1D14">
        <w:t>ew cases of haematology-related toxicity</w:t>
      </w:r>
      <w:r w:rsidR="008D1D14" w:rsidRPr="008D1D14" w:rsidDel="00AB4B99">
        <w:t xml:space="preserve"> </w:t>
      </w:r>
      <w:r w:rsidR="008D1D14" w:rsidRPr="008D1D14">
        <w:t xml:space="preserve">were associated with inorganic </w:t>
      </w:r>
      <w:r w:rsidR="00FD152F">
        <w:t>nanoparticles</w:t>
      </w:r>
      <w:r w:rsidR="00FD152F" w:rsidRPr="008D1D14">
        <w:t xml:space="preserve"> </w:t>
      </w:r>
      <w:r w:rsidR="008D1D14" w:rsidRPr="008D1D14">
        <w:t>(5%, 3 out of 64 publications), and complement activation (</w:t>
      </w:r>
      <w:r w:rsidR="009450BE">
        <w:t>5</w:t>
      </w:r>
      <w:r w:rsidR="008D1D14" w:rsidRPr="008D1D14">
        <w:t xml:space="preserve">%, </w:t>
      </w:r>
      <w:r w:rsidR="009450BE">
        <w:t>3</w:t>
      </w:r>
      <w:r w:rsidR="008D1D14" w:rsidRPr="008D1D14">
        <w:t xml:space="preserve"> out of 64).</w:t>
      </w:r>
    </w:p>
    <w:p w:rsidR="008D1D14" w:rsidRPr="008D1D14" w:rsidRDefault="008D1D14" w:rsidP="008D1D14">
      <w:pPr>
        <w:jc w:val="both"/>
      </w:pPr>
      <w:r w:rsidRPr="008D1D14">
        <w:t xml:space="preserve">The majority of the </w:t>
      </w:r>
      <w:r w:rsidR="00770E88">
        <w:t>article</w:t>
      </w:r>
      <w:r w:rsidR="00770E88" w:rsidRPr="008D1D14">
        <w:t xml:space="preserve">s </w:t>
      </w:r>
      <w:r w:rsidRPr="008D1D14">
        <w:t>report</w:t>
      </w:r>
      <w:r w:rsidR="00770E88">
        <w:t xml:space="preserve">ing on </w:t>
      </w:r>
      <w:r w:rsidR="00770E88" w:rsidRPr="008D1D14">
        <w:t xml:space="preserve">polymer-based </w:t>
      </w:r>
      <w:r w:rsidR="00770E88">
        <w:t>NPs showed</w:t>
      </w:r>
      <w:r w:rsidR="00770E88" w:rsidRPr="008D1D14">
        <w:t xml:space="preserve"> </w:t>
      </w:r>
      <w:r w:rsidRPr="008D1D14">
        <w:t xml:space="preserve">excellent blood compatibility (90%, 54 out of 60). </w:t>
      </w:r>
      <w:r w:rsidR="0092735A">
        <w:t>However, s</w:t>
      </w:r>
      <w:r w:rsidR="00FD152F">
        <w:t>ome</w:t>
      </w:r>
      <w:r w:rsidRPr="008D1D14">
        <w:t xml:space="preserve"> publications </w:t>
      </w:r>
      <w:r w:rsidR="00FD152F">
        <w:t>demonstrated toxic effects</w:t>
      </w:r>
      <w:r w:rsidR="0092735A">
        <w:t xml:space="preserve"> on the blood system</w:t>
      </w:r>
      <w:r w:rsidRPr="008D1D14">
        <w:t>: 3% for haematology (</w:t>
      </w:r>
      <w:r w:rsidR="009450BE">
        <w:t>2</w:t>
      </w:r>
      <w:r w:rsidRPr="008D1D14">
        <w:t xml:space="preserve"> out of 60), 2% for thrombosis (1 out of 60) and </w:t>
      </w:r>
      <w:r w:rsidR="009450BE">
        <w:t>5</w:t>
      </w:r>
      <w:r w:rsidRPr="008D1D14">
        <w:t>% for complement activation (</w:t>
      </w:r>
      <w:r w:rsidR="00641813">
        <w:t>3</w:t>
      </w:r>
      <w:r w:rsidRPr="008D1D14">
        <w:t xml:space="preserve"> out of 60) (</w:t>
      </w:r>
      <w:r w:rsidR="002901B5">
        <w:t xml:space="preserve">Figure </w:t>
      </w:r>
      <w:r w:rsidR="000874E4">
        <w:t>5</w:t>
      </w:r>
      <w:r w:rsidR="000874E4" w:rsidRPr="008D1D14">
        <w:t>B</w:t>
      </w:r>
      <w:r w:rsidRPr="008D1D14">
        <w:t xml:space="preserve">). </w:t>
      </w:r>
    </w:p>
    <w:p w:rsidR="008D1D14" w:rsidRPr="008D1D14" w:rsidRDefault="00723C5D" w:rsidP="008D1D14">
      <w:pPr>
        <w:jc w:val="both"/>
      </w:pPr>
      <w:r>
        <w:t xml:space="preserve">For </w:t>
      </w:r>
      <w:r w:rsidRPr="008D1D14">
        <w:t>lipid-based</w:t>
      </w:r>
      <w:r w:rsidRPr="00FD152F">
        <w:t xml:space="preserve"> </w:t>
      </w:r>
      <w:r>
        <w:t xml:space="preserve">nanomedicines, </w:t>
      </w:r>
      <w:r w:rsidR="008D1D14" w:rsidRPr="008D1D14">
        <w:t xml:space="preserve">67% of the publications (16 out of 24) reported </w:t>
      </w:r>
      <w:r>
        <w:t xml:space="preserve">that these NPs were </w:t>
      </w:r>
      <w:r w:rsidR="008D1D14" w:rsidRPr="008D1D14">
        <w:t>blood-compatible (</w:t>
      </w:r>
      <w:r w:rsidR="002901B5">
        <w:t xml:space="preserve">Figure </w:t>
      </w:r>
      <w:r w:rsidR="000874E4">
        <w:t>5</w:t>
      </w:r>
      <w:r w:rsidR="000874E4" w:rsidRPr="008D1D14">
        <w:t>C</w:t>
      </w:r>
      <w:r w:rsidR="008D1D14" w:rsidRPr="008D1D14">
        <w:t xml:space="preserve">). </w:t>
      </w:r>
      <w:r w:rsidR="00FD152F">
        <w:t xml:space="preserve">The dominant reported effect </w:t>
      </w:r>
      <w:r w:rsidR="00FD152F" w:rsidRPr="00A559AC">
        <w:rPr>
          <w:i/>
        </w:rPr>
        <w:t>in vivo</w:t>
      </w:r>
      <w:r w:rsidR="00FD152F">
        <w:t xml:space="preserve"> for t</w:t>
      </w:r>
      <w:r w:rsidR="008D1D14" w:rsidRPr="008D1D14">
        <w:t xml:space="preserve">his </w:t>
      </w:r>
      <w:r>
        <w:t>type</w:t>
      </w:r>
      <w:r w:rsidRPr="008D1D14">
        <w:t xml:space="preserve"> </w:t>
      </w:r>
      <w:r w:rsidR="008D1D14" w:rsidRPr="008D1D14">
        <w:t xml:space="preserve">of </w:t>
      </w:r>
      <w:r w:rsidR="00FD152F">
        <w:t>nanoparticles</w:t>
      </w:r>
      <w:r w:rsidR="00FD152F" w:rsidRPr="008D1D14">
        <w:t xml:space="preserve"> </w:t>
      </w:r>
      <w:r w:rsidR="001E77AF">
        <w:t>wa</w:t>
      </w:r>
      <w:r w:rsidR="008D1D14" w:rsidRPr="008D1D14">
        <w:t>s complement activation, with 33% report</w:t>
      </w:r>
      <w:r>
        <w:t>ing</w:t>
      </w:r>
      <w:r w:rsidR="008D1D14" w:rsidRPr="008D1D14">
        <w:t xml:space="preserve"> undesirable activation (8 out of 24).</w:t>
      </w:r>
      <w:r w:rsidR="00FD152F">
        <w:t xml:space="preserve"> Lipid</w:t>
      </w:r>
      <w:r w:rsidR="00A559AC">
        <w:t>-</w:t>
      </w:r>
      <w:r w:rsidR="00FD152F">
        <w:t>based nanoparticle</w:t>
      </w:r>
      <w:r w:rsidR="00A559AC">
        <w:t>s</w:t>
      </w:r>
      <w:r w:rsidR="00FD152F">
        <w:t xml:space="preserve"> resemble </w:t>
      </w:r>
      <w:r w:rsidR="00FD152F" w:rsidRPr="008D1D14">
        <w:t xml:space="preserve">pathogenic microbes and subcellular organelles </w:t>
      </w:r>
      <w:r w:rsidR="00FD152F">
        <w:t xml:space="preserve">in size and shape which might be it </w:t>
      </w:r>
      <w:r w:rsidR="008D1D14" w:rsidRPr="008D1D14">
        <w:t xml:space="preserve">has the biological rationale behind the complement activation </w:t>
      </w:r>
      <w:r w:rsidR="008D1D14" w:rsidRPr="008D1D14">
        <w:fldChar w:fldCharType="begin" w:fldLock="1"/>
      </w:r>
      <w:r w:rsidR="008D1D14" w:rsidRPr="008D1D14">
        <w:instrText>ADDIN CSL_CITATION { "citationItems" : [ { "id" : "ITEM-1", "itemData" : { "DOI" : "10.1016/j.addr.2011.06.017", "ISBN" : "1872-8294 (Electronic)\\r0169-409X (Linking)", "ISSN" : "0169409X", "PMID" : "21787819", "abstract" : "Some therapeutic liposomes and lipid excipient-based anticancer drugs are recognized by the immune system as foreign, leading to a variety of adverse immune phenomena. One of them is complement (C) activation, the cause, or major contributing factor to a hypersensitivity syndrome called C activation-related pseudoallergy (CARPA). CARPA represents a novel subcategory of acute (type I) hypersensitivity reactions (HSR), which is mostly mild, transient, and preventable by appropriate precautions. However, in an occasional patient, it can be severe or even lethal. Because a main manifestation of C activation is cardiopulmonary distress, CARPA may be a safety issue primarily in cardiac patients. Along with an overview of the various types of liposome-immune system interactions, this review updates the experimental and clinical information on CARPA to different therapeutic liposomes and lipid excipient-based (micellar) anticancer drugs, including PEGylated liposomal doxorubicin sulfate (PLD, Doxil ??) and paclitaxel (Taxol ??). The substantial individual variation of in vitro and in vivo findings reflects an extremely complex immune phenomenon involving multiple, redundant pathways of C activation, signal transduction in allergy-mediating cells and vasoactive mediator actions at the effector cell level. The latest advances in this field include the proposal of doxorubicin-induced shape changes and aggregation of liposomes in Doxil as possible contributing factors to CARPA caused by PLD, and the finding that Doxil-induced immune suppression prevents HSR to co-administered carboplatin, a significant benefit of Doxil in combination chemotherapy with carboplatin. The review evaluates the use of in vitro C assays and the porcine liposome-induced cardiopulmonary distress model for predicting CARPA. It is concluded that CARPA may become a frequent safety issue in the upcoming era of nanomedicines, necessitating its prevention at an early stage of nanomedicine R&amp;D. ?? 2011.", "author" : [ { "dropping-particle" : "", "family" : "Szebeni", "given" : "Janos", "non-dropping-particle" : "", "parse-names" : false, "suffix" : "" }, { "dropping-particle" : "", "family" : "Muggia", "given" : "Franco", "non-dropping-particle" : "", "parse-names" : false, "suffix" : "" }, { "dropping-particle" : "", "family" : "Gabizon", "given" : "Alberto", "non-dropping-particle" : "", "parse-names" : false, "suffix" : "" }, { "dropping-particle" : "", "family" : "Barenholz", "given" : "Yechezkel", "non-dropping-particle" : "", "parse-names" : false, "suffix" : "" } ], "container-title" : "Advanced Drug Delivery Reviews", "id" : "ITEM-1", "issue" : "12", "issued" : { "date-parts" : [ [ "2011" ] ] }, "page" : "1020-1030", "publisher" : "Elsevier B.V.", "title" : "Activation of complement by therapeutic liposomes and other lipid excipient-based therapeutic products: Prediction and prevention", "type" : "article-journal", "volume" : "63" }, "uris" : [ "http://www.mendeley.com/documents/?uuid=41dacddc-fc29-4cea-ad39-55965b651bc5" ] } ], "mendeley" : { "formattedCitation" : "(Janos Szebeni, Muggia, Gabizon, &amp; Barenholz, 2011)", "manualFormatting" : "(Szebeni, 2011)", "plainTextFormattedCitation" : "(Janos Szebeni, Muggia, Gabizon, &amp; Barenholz, 2011)", "previouslyFormattedCitation" : "(Janos Szebeni, Muggia, Gabizon, &amp; Barenholz, 2011)" }, "properties" : { "noteIndex" : 10 }, "schema" : "https://github.com/citation-style-language/schema/raw/master/csl-citation.json" }</w:instrText>
      </w:r>
      <w:r w:rsidR="008D1D14" w:rsidRPr="008D1D14">
        <w:fldChar w:fldCharType="separate"/>
      </w:r>
      <w:r w:rsidR="008D1D14" w:rsidRPr="008D1D14">
        <w:rPr>
          <w:noProof/>
        </w:rPr>
        <w:t>(Szebeni, 2011)</w:t>
      </w:r>
      <w:r w:rsidR="008D1D14" w:rsidRPr="008D1D14">
        <w:fldChar w:fldCharType="end"/>
      </w:r>
      <w:r w:rsidR="008D1D14" w:rsidRPr="008D1D14">
        <w:t xml:space="preserve">. No cases </w:t>
      </w:r>
      <w:r w:rsidR="00641813">
        <w:t xml:space="preserve">were found </w:t>
      </w:r>
      <w:r w:rsidR="00641813" w:rsidRPr="008D1D14">
        <w:t>reporting haematology-associated toxicity</w:t>
      </w:r>
      <w:r w:rsidR="00641813">
        <w:t xml:space="preserve"> or thrombosis for </w:t>
      </w:r>
      <w:r w:rsidR="008D1D14" w:rsidRPr="008D1D14">
        <w:t xml:space="preserve">lipid-based NPs. </w:t>
      </w:r>
    </w:p>
    <w:p w:rsidR="008D1D14" w:rsidRPr="008D1D14" w:rsidRDefault="000D57C3" w:rsidP="008D1D14">
      <w:pPr>
        <w:jc w:val="both"/>
      </w:pPr>
      <w:r>
        <w:rPr>
          <w:noProof/>
          <w:lang w:eastAsia="en-GB"/>
        </w:rPr>
        <w:drawing>
          <wp:inline distT="0" distB="0" distL="0" distR="0">
            <wp:extent cx="5724525" cy="1762125"/>
            <wp:effectExtent l="0" t="0" r="952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4525" cy="1762125"/>
                    </a:xfrm>
                    <a:prstGeom prst="rect">
                      <a:avLst/>
                    </a:prstGeom>
                    <a:noFill/>
                    <a:ln>
                      <a:noFill/>
                    </a:ln>
                  </pic:spPr>
                </pic:pic>
              </a:graphicData>
            </a:graphic>
          </wp:inline>
        </w:drawing>
      </w:r>
    </w:p>
    <w:p w:rsidR="008D1D14" w:rsidRPr="008D1D14" w:rsidRDefault="008D1D14" w:rsidP="008D1D14">
      <w:pPr>
        <w:jc w:val="both"/>
      </w:pPr>
      <w:bookmarkStart w:id="3" w:name="_Ref497408171"/>
      <w:r w:rsidRPr="008D1D14">
        <w:t xml:space="preserve">Figure </w:t>
      </w:r>
      <w:bookmarkEnd w:id="3"/>
      <w:r w:rsidR="000874E4">
        <w:t>5</w:t>
      </w:r>
      <w:r w:rsidRPr="008D1D14">
        <w:t>. Number of publications reporting</w:t>
      </w:r>
      <w:r w:rsidR="001369AD">
        <w:t xml:space="preserve"> blood</w:t>
      </w:r>
      <w:r w:rsidRPr="008D1D14">
        <w:t xml:space="preserve"> adverse effects </w:t>
      </w:r>
      <w:r w:rsidRPr="001E77AF">
        <w:rPr>
          <w:i/>
        </w:rPr>
        <w:t>in vivo</w:t>
      </w:r>
      <w:r w:rsidRPr="008D1D14">
        <w:t xml:space="preserve"> for inorganic (A), </w:t>
      </w:r>
      <w:r w:rsidR="00B572B6">
        <w:t>p</w:t>
      </w:r>
      <w:r w:rsidRPr="008D1D14">
        <w:t xml:space="preserve">olymer-based (B) and </w:t>
      </w:r>
      <w:r w:rsidR="00B572B6">
        <w:t>l</w:t>
      </w:r>
      <w:r w:rsidRPr="008D1D14">
        <w:t>ipid-based NPs</w:t>
      </w:r>
      <w:r w:rsidR="00723C5D">
        <w:t xml:space="preserve"> (C)</w:t>
      </w:r>
      <w:r w:rsidRPr="008D1D14">
        <w:t xml:space="preserve">. The main adversity associated with inorganic NPs </w:t>
      </w:r>
      <w:r w:rsidRPr="001E77AF">
        <w:rPr>
          <w:i/>
        </w:rPr>
        <w:t>in vivo</w:t>
      </w:r>
      <w:r w:rsidRPr="008D1D14">
        <w:t xml:space="preserve"> was thrombosis, polymers did not show relevant blood toxicities, and lipid-based NPs were linked with undesired complement activation.</w:t>
      </w:r>
    </w:p>
    <w:p w:rsidR="008D1D14" w:rsidRPr="008D1D14" w:rsidRDefault="008D1D14" w:rsidP="008D1D14">
      <w:pPr>
        <w:jc w:val="both"/>
        <w:rPr>
          <w:b/>
        </w:rPr>
      </w:pPr>
    </w:p>
    <w:p w:rsidR="008D1D14" w:rsidRPr="008D1D14" w:rsidRDefault="008D1D14" w:rsidP="008D1D14">
      <w:pPr>
        <w:jc w:val="both"/>
        <w:rPr>
          <w:b/>
        </w:rPr>
      </w:pPr>
      <w:r w:rsidRPr="008D1D14">
        <w:rPr>
          <w:b/>
          <w:i/>
        </w:rPr>
        <w:t>In vitro</w:t>
      </w:r>
      <w:r w:rsidRPr="008D1D14">
        <w:rPr>
          <w:b/>
        </w:rPr>
        <w:t xml:space="preserve"> toxicities</w:t>
      </w:r>
    </w:p>
    <w:p w:rsidR="008D1D14" w:rsidRPr="008D1D14" w:rsidRDefault="00FB1724" w:rsidP="008D1D14">
      <w:pPr>
        <w:jc w:val="both"/>
      </w:pPr>
      <w:r>
        <w:t xml:space="preserve">Of 259 articles found for </w:t>
      </w:r>
      <w:r w:rsidRPr="008D1D14">
        <w:t xml:space="preserve">inorganic </w:t>
      </w:r>
      <w:r>
        <w:t xml:space="preserve">NPs, 170 concluded that the assessed NPs were </w:t>
      </w:r>
      <w:r w:rsidRPr="008D1D14">
        <w:t>blood-compatible</w:t>
      </w:r>
      <w:r>
        <w:t xml:space="preserve"> </w:t>
      </w:r>
      <w:r w:rsidRPr="00F00C5E">
        <w:rPr>
          <w:i/>
        </w:rPr>
        <w:t>in vitro</w:t>
      </w:r>
      <w:r>
        <w:t xml:space="preserve"> (</w:t>
      </w:r>
      <w:r w:rsidR="008D1D14" w:rsidRPr="008D1D14">
        <w:t>64%</w:t>
      </w:r>
      <w:r>
        <w:t xml:space="preserve">) </w:t>
      </w:r>
      <w:r w:rsidR="008D1D14" w:rsidRPr="008D1D14">
        <w:t>(</w:t>
      </w:r>
      <w:r w:rsidR="004258D2">
        <w:t xml:space="preserve">Figure </w:t>
      </w:r>
      <w:r w:rsidR="000874E4">
        <w:t>6</w:t>
      </w:r>
      <w:r w:rsidR="000874E4" w:rsidRPr="008D1D14">
        <w:t>A</w:t>
      </w:r>
      <w:r w:rsidR="008D1D14" w:rsidRPr="008D1D14">
        <w:t xml:space="preserve">). Haemostasis-related alterations were the main </w:t>
      </w:r>
      <w:r w:rsidR="00AB3A95">
        <w:t xml:space="preserve">effect </w:t>
      </w:r>
      <w:r w:rsidR="008D1D14" w:rsidRPr="008D1D14">
        <w:t xml:space="preserve">observed </w:t>
      </w:r>
      <w:r w:rsidR="00311775" w:rsidRPr="008D1D14">
        <w:t xml:space="preserve">also </w:t>
      </w:r>
      <w:r w:rsidR="008D1D14" w:rsidRPr="008D1D14">
        <w:t xml:space="preserve">for inorganic </w:t>
      </w:r>
      <w:r w:rsidR="007602E8">
        <w:t>NPs</w:t>
      </w:r>
      <w:r w:rsidR="007602E8" w:rsidRPr="00B572B6">
        <w:rPr>
          <w:i/>
        </w:rPr>
        <w:t xml:space="preserve"> </w:t>
      </w:r>
      <w:r w:rsidR="008D1D14" w:rsidRPr="00B572B6">
        <w:rPr>
          <w:i/>
        </w:rPr>
        <w:t>in vitro</w:t>
      </w:r>
      <w:r w:rsidR="008D1D14" w:rsidRPr="008D1D14">
        <w:t>,</w:t>
      </w:r>
      <w:r w:rsidR="00AB3A95">
        <w:t xml:space="preserve"> which included </w:t>
      </w:r>
      <w:r w:rsidR="008D1D14" w:rsidRPr="008D1D14">
        <w:t>imbalance</w:t>
      </w:r>
      <w:r w:rsidR="00AB3A95">
        <w:t>s</w:t>
      </w:r>
      <w:r w:rsidR="008D1D14" w:rsidRPr="008D1D14">
        <w:t xml:space="preserve"> in the coagulation cascade</w:t>
      </w:r>
      <w:r w:rsidR="00AB3A95">
        <w:t xml:space="preserve"> </w:t>
      </w:r>
      <w:r w:rsidR="00AB3A95" w:rsidRPr="008D1D14">
        <w:t>(20 out of 259</w:t>
      </w:r>
      <w:r w:rsidR="00311775">
        <w:t>, 8%</w:t>
      </w:r>
      <w:r w:rsidR="00AB3A95" w:rsidRPr="008D1D14">
        <w:t xml:space="preserve">) </w:t>
      </w:r>
      <w:r w:rsidR="008D1D14" w:rsidRPr="008D1D14">
        <w:t xml:space="preserve">and modifications on </w:t>
      </w:r>
      <w:r w:rsidR="00AB3A95">
        <w:t xml:space="preserve">the </w:t>
      </w:r>
      <w:r w:rsidR="00AB3A95" w:rsidRPr="008D1D14">
        <w:t xml:space="preserve">functionality </w:t>
      </w:r>
      <w:r w:rsidR="00AB3A95">
        <w:t xml:space="preserve">of </w:t>
      </w:r>
      <w:r w:rsidR="008D1D14" w:rsidRPr="008D1D14">
        <w:t>platelets (platelets aggregation and/or activation</w:t>
      </w:r>
      <w:r w:rsidR="00AB3A95">
        <w:t xml:space="preserve"> in </w:t>
      </w:r>
      <w:r w:rsidR="00AB3A95" w:rsidRPr="008D1D14">
        <w:t>28 out of 259</w:t>
      </w:r>
      <w:r w:rsidR="00311775">
        <w:t>, 11%</w:t>
      </w:r>
      <w:r w:rsidR="00AB3A95">
        <w:t xml:space="preserve">). Both effects can be associated with thrombosis </w:t>
      </w:r>
      <w:r w:rsidR="008D1D14" w:rsidRPr="001E77AF">
        <w:rPr>
          <w:i/>
        </w:rPr>
        <w:t>in vivo</w:t>
      </w:r>
      <w:r w:rsidR="008D1D14" w:rsidRPr="008D1D14">
        <w:t>. Toxic effects on haematology and complement activation were also reported for inorganic</w:t>
      </w:r>
      <w:r w:rsidR="00AB3A95">
        <w:t xml:space="preserve"> nanoparticles</w:t>
      </w:r>
      <w:r w:rsidR="00C67271">
        <w:t>.</w:t>
      </w:r>
      <w:r w:rsidR="008D1D14" w:rsidRPr="008D1D14">
        <w:t xml:space="preserve"> 10 % of the publicat</w:t>
      </w:r>
      <w:r w:rsidR="00C67271">
        <w:t>ions (25 out of 259) identified</w:t>
      </w:r>
      <w:r w:rsidR="008D1D14" w:rsidRPr="008D1D14">
        <w:t xml:space="preserve"> effects on haemolysis and leukocyte count for this category of</w:t>
      </w:r>
      <w:r w:rsidR="00C67271">
        <w:t xml:space="preserve"> nanoparticles and 6% of the publications</w:t>
      </w:r>
      <w:r w:rsidR="008D1D14" w:rsidRPr="008D1D14">
        <w:t xml:space="preserve"> (16 out of 259) </w:t>
      </w:r>
      <w:r w:rsidR="00C67271">
        <w:t xml:space="preserve">described the activation of the </w:t>
      </w:r>
      <w:r w:rsidR="008D1D14" w:rsidRPr="008D1D14">
        <w:t>complement</w:t>
      </w:r>
      <w:r w:rsidR="00A559AC">
        <w:t xml:space="preserve"> </w:t>
      </w:r>
      <w:r w:rsidR="00C67271">
        <w:t>system</w:t>
      </w:r>
      <w:r w:rsidR="008D1D14" w:rsidRPr="008D1D14">
        <w:t xml:space="preserve">. </w:t>
      </w:r>
    </w:p>
    <w:p w:rsidR="000A2D08" w:rsidRDefault="00217E6C" w:rsidP="008D1D14">
      <w:pPr>
        <w:jc w:val="both"/>
      </w:pPr>
      <w:r>
        <w:t xml:space="preserve">The majority of </w:t>
      </w:r>
      <w:r w:rsidR="008D1D14" w:rsidRPr="008D1D14">
        <w:t>polymer-based</w:t>
      </w:r>
      <w:r w:rsidRPr="00217E6C">
        <w:t xml:space="preserve"> </w:t>
      </w:r>
      <w:r w:rsidR="007602E8">
        <w:t>NP</w:t>
      </w:r>
      <w:r w:rsidR="007602E8" w:rsidRPr="00217E6C">
        <w:t>s</w:t>
      </w:r>
      <w:r w:rsidR="007602E8">
        <w:t xml:space="preserve"> </w:t>
      </w:r>
      <w:r>
        <w:t xml:space="preserve">were </w:t>
      </w:r>
      <w:r w:rsidR="008D1D14" w:rsidRPr="008D1D14">
        <w:t xml:space="preserve">compatible </w:t>
      </w:r>
      <w:r>
        <w:t xml:space="preserve">with the blood system according to the performed </w:t>
      </w:r>
      <w:r w:rsidRPr="00217E6C">
        <w:rPr>
          <w:i/>
        </w:rPr>
        <w:t>in vitro</w:t>
      </w:r>
      <w:r>
        <w:t xml:space="preserve"> studies </w:t>
      </w:r>
      <w:r w:rsidR="008D1D14" w:rsidRPr="008D1D14">
        <w:t>(81%, 166 out of 205 publications)</w:t>
      </w:r>
      <w:r>
        <w:t xml:space="preserve">. </w:t>
      </w:r>
      <w:r w:rsidR="008D1D14" w:rsidRPr="008D1D14">
        <w:t xml:space="preserve"> The main </w:t>
      </w:r>
      <w:r w:rsidRPr="008D1D14">
        <w:t xml:space="preserve">observed </w:t>
      </w:r>
      <w:r w:rsidR="008D1D14" w:rsidRPr="008D1D14">
        <w:t>adversity was complement activation</w:t>
      </w:r>
      <w:r w:rsidR="00641813">
        <w:t xml:space="preserve"> </w:t>
      </w:r>
      <w:r w:rsidR="00641813" w:rsidRPr="008D1D14">
        <w:t>(</w:t>
      </w:r>
      <w:r w:rsidR="004258D2">
        <w:t xml:space="preserve">Figure </w:t>
      </w:r>
      <w:r w:rsidR="000874E4">
        <w:t>6B</w:t>
      </w:r>
      <w:r w:rsidR="00641813" w:rsidRPr="008D1D14">
        <w:t>)</w:t>
      </w:r>
      <w:r w:rsidR="008D1D14" w:rsidRPr="008D1D14">
        <w:t xml:space="preserve"> </w:t>
      </w:r>
      <w:r w:rsidR="00F00C5E">
        <w:t>described in</w:t>
      </w:r>
      <w:r w:rsidR="00F00C5E" w:rsidRPr="008D1D14">
        <w:t xml:space="preserve"> </w:t>
      </w:r>
      <w:r w:rsidR="008D1D14" w:rsidRPr="008D1D14">
        <w:t xml:space="preserve">9% of </w:t>
      </w:r>
      <w:r w:rsidR="00F00C5E">
        <w:t xml:space="preserve">the </w:t>
      </w:r>
      <w:r w:rsidR="008D1D14" w:rsidRPr="008D1D14">
        <w:t xml:space="preserve">reported </w:t>
      </w:r>
      <w:r w:rsidR="00F00C5E">
        <w:t>studies</w:t>
      </w:r>
      <w:r w:rsidR="00F00C5E" w:rsidRPr="008D1D14">
        <w:t xml:space="preserve"> </w:t>
      </w:r>
      <w:r w:rsidR="008D1D14" w:rsidRPr="008D1D14">
        <w:t>(18 out of 205)</w:t>
      </w:r>
      <w:r>
        <w:t>.</w:t>
      </w:r>
      <w:r w:rsidR="008D1D14" w:rsidRPr="008D1D14">
        <w:t xml:space="preserve"> Other blood toxicities </w:t>
      </w:r>
      <w:r w:rsidR="000A2D08">
        <w:t xml:space="preserve">associated to </w:t>
      </w:r>
      <w:r w:rsidR="008D1D14" w:rsidRPr="008D1D14">
        <w:t xml:space="preserve">polymer-based </w:t>
      </w:r>
      <w:r w:rsidR="007602E8">
        <w:t>NPs</w:t>
      </w:r>
      <w:r w:rsidR="007602E8" w:rsidRPr="008D1D14">
        <w:t xml:space="preserve"> </w:t>
      </w:r>
      <w:r w:rsidR="008D1D14" w:rsidRPr="008D1D14">
        <w:t xml:space="preserve">were </w:t>
      </w:r>
      <w:r w:rsidR="000A2D08">
        <w:t xml:space="preserve">effects on </w:t>
      </w:r>
      <w:r w:rsidR="008D1D14" w:rsidRPr="008D1D14">
        <w:t xml:space="preserve">haematology (15 out of 205 </w:t>
      </w:r>
      <w:r w:rsidR="008D1D14" w:rsidRPr="008D1D14">
        <w:lastRenderedPageBreak/>
        <w:t xml:space="preserve">publications, 7%) and alterations on platelets function (6 out of 205 publications, 3%). We did not find any publication reporting an effect of </w:t>
      </w:r>
      <w:r w:rsidR="007602E8">
        <w:t>these NPs</w:t>
      </w:r>
      <w:r w:rsidR="000A2D08" w:rsidRPr="008D1D14">
        <w:t xml:space="preserve"> </w:t>
      </w:r>
      <w:r w:rsidR="008D1D14" w:rsidRPr="008D1D14">
        <w:t xml:space="preserve">on the coagulation cascade. </w:t>
      </w:r>
    </w:p>
    <w:p w:rsidR="008D1D14" w:rsidRPr="008D1D14" w:rsidRDefault="008D1D14" w:rsidP="008D1D14">
      <w:pPr>
        <w:jc w:val="both"/>
      </w:pPr>
      <w:r w:rsidRPr="008D1D14">
        <w:t xml:space="preserve">51% of the </w:t>
      </w:r>
      <w:r w:rsidR="00F00C5E">
        <w:t>article</w:t>
      </w:r>
      <w:r w:rsidR="000A2D08">
        <w:t xml:space="preserve">s (26 out of 51) </w:t>
      </w:r>
      <w:r w:rsidR="00F00C5E">
        <w:t xml:space="preserve">reported that lipid-based NPs were </w:t>
      </w:r>
      <w:r w:rsidR="000A2D08">
        <w:t>blood-compatib</w:t>
      </w:r>
      <w:r w:rsidR="00F00C5E">
        <w:t xml:space="preserve">le </w:t>
      </w:r>
      <w:r w:rsidRPr="008D1D14">
        <w:t>(</w:t>
      </w:r>
      <w:r w:rsidR="004258D2">
        <w:t xml:space="preserve">Figure </w:t>
      </w:r>
      <w:r w:rsidR="000874E4">
        <w:t>6</w:t>
      </w:r>
      <w:r w:rsidR="000874E4" w:rsidRPr="008D1D14">
        <w:t>C</w:t>
      </w:r>
      <w:r w:rsidRPr="008D1D14">
        <w:t xml:space="preserve">). </w:t>
      </w:r>
      <w:r w:rsidR="000A2D08">
        <w:t>C</w:t>
      </w:r>
      <w:r w:rsidRPr="008D1D14">
        <w:t>omplement activation was the mai</w:t>
      </w:r>
      <w:r w:rsidR="000A2D08">
        <w:t>n adversity associated with the</w:t>
      </w:r>
      <w:r w:rsidRPr="008D1D14">
        <w:t xml:space="preserve"> </w:t>
      </w:r>
      <w:r w:rsidR="00F00C5E">
        <w:t>type</w:t>
      </w:r>
      <w:r w:rsidR="00F00C5E" w:rsidRPr="008D1D14">
        <w:t xml:space="preserve"> </w:t>
      </w:r>
      <w:r w:rsidRPr="008D1D14">
        <w:t>of</w:t>
      </w:r>
      <w:r w:rsidR="000A2D08" w:rsidRPr="000A2D08">
        <w:t xml:space="preserve"> </w:t>
      </w:r>
      <w:r w:rsidR="000A2D08">
        <w:t>nanoparticles</w:t>
      </w:r>
      <w:r w:rsidRPr="008D1D14">
        <w:t xml:space="preserve"> with 39% o</w:t>
      </w:r>
      <w:r w:rsidR="000A2D08">
        <w:t xml:space="preserve">f reported </w:t>
      </w:r>
      <w:r w:rsidR="00F00C5E">
        <w:t xml:space="preserve">studies </w:t>
      </w:r>
      <w:r w:rsidR="000A2D08">
        <w:t>(20 out of 51)</w:t>
      </w:r>
      <w:r w:rsidR="00F40152">
        <w:t>,</w:t>
      </w:r>
      <w:r w:rsidR="000A2D08">
        <w:t xml:space="preserve"> which </w:t>
      </w:r>
      <w:r w:rsidR="007602E8">
        <w:t>was in agreement with the data obtained from</w:t>
      </w:r>
      <w:r w:rsidR="000A2D08">
        <w:t xml:space="preserve"> the </w:t>
      </w:r>
      <w:r w:rsidR="000A2D08" w:rsidRPr="000A2D08">
        <w:rPr>
          <w:i/>
        </w:rPr>
        <w:t>in vivo</w:t>
      </w:r>
      <w:r w:rsidR="000A2D08">
        <w:t xml:space="preserve"> studies.</w:t>
      </w:r>
      <w:r w:rsidRPr="008D1D14">
        <w:t xml:space="preserve"> It has been increasingly recognised during the last decade that a major cause of acute infusion reactions to liposome-and micelle-based nanomedicines is their ability to activate the complement system. Alterations on the haemostasis were also reported for lipid-based </w:t>
      </w:r>
      <w:r w:rsidR="000A2D08">
        <w:t>nanoparticles</w:t>
      </w:r>
      <w:r w:rsidR="000A2D08" w:rsidRPr="00B572B6">
        <w:rPr>
          <w:i/>
        </w:rPr>
        <w:t xml:space="preserve"> </w:t>
      </w:r>
      <w:r w:rsidRPr="00B572B6">
        <w:rPr>
          <w:i/>
        </w:rPr>
        <w:t>in vitro</w:t>
      </w:r>
      <w:r w:rsidRPr="008D1D14">
        <w:t xml:space="preserve">, even if no effects in thrombosis </w:t>
      </w:r>
      <w:r w:rsidRPr="001E77AF">
        <w:rPr>
          <w:i/>
        </w:rPr>
        <w:t>in vivo</w:t>
      </w:r>
      <w:r w:rsidRPr="008D1D14">
        <w:t xml:space="preserve"> had been found (3 out of 51, 6% for coagulation and 1 out of 51, 2% for altered platelet function). Effects on haematology were only described in 1 publication out of 51 (2%).</w:t>
      </w:r>
    </w:p>
    <w:p w:rsidR="008D1D14" w:rsidRPr="008D1D14" w:rsidRDefault="000D57C3" w:rsidP="008D1D14">
      <w:pPr>
        <w:jc w:val="both"/>
      </w:pPr>
      <w:r>
        <w:rPr>
          <w:noProof/>
          <w:lang w:eastAsia="en-GB"/>
        </w:rPr>
        <w:drawing>
          <wp:inline distT="0" distB="0" distL="0" distR="0">
            <wp:extent cx="5724525" cy="1905000"/>
            <wp:effectExtent l="0" t="0" r="9525"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4525" cy="1905000"/>
                    </a:xfrm>
                    <a:prstGeom prst="rect">
                      <a:avLst/>
                    </a:prstGeom>
                    <a:noFill/>
                    <a:ln>
                      <a:noFill/>
                    </a:ln>
                  </pic:spPr>
                </pic:pic>
              </a:graphicData>
            </a:graphic>
          </wp:inline>
        </w:drawing>
      </w:r>
    </w:p>
    <w:p w:rsidR="008D1D14" w:rsidRPr="008D1D14" w:rsidRDefault="008D1D14" w:rsidP="008D1D14">
      <w:pPr>
        <w:jc w:val="both"/>
      </w:pPr>
      <w:bookmarkStart w:id="4" w:name="_Ref499197954"/>
      <w:bookmarkStart w:id="5" w:name="_Ref497408294"/>
      <w:r w:rsidRPr="008D1D14">
        <w:t xml:space="preserve">Figure </w:t>
      </w:r>
      <w:bookmarkEnd w:id="4"/>
      <w:bookmarkEnd w:id="5"/>
      <w:r w:rsidR="000874E4">
        <w:t>6</w:t>
      </w:r>
      <w:r w:rsidRPr="008D1D14">
        <w:t xml:space="preserve">. Number of publications reporting blood toxicities </w:t>
      </w:r>
      <w:r w:rsidRPr="001E77AF">
        <w:rPr>
          <w:i/>
        </w:rPr>
        <w:t>in vitro</w:t>
      </w:r>
      <w:r w:rsidRPr="008D1D14">
        <w:t xml:space="preserve"> for inorganic (A), polymer-based (B) and lipid-based NPs (C). Alterations on coagulation and platelets counted together were the main adversity for inorganic NPs </w:t>
      </w:r>
      <w:r w:rsidRPr="001E77AF">
        <w:rPr>
          <w:i/>
        </w:rPr>
        <w:t>in vitro</w:t>
      </w:r>
      <w:r w:rsidRPr="008D1D14">
        <w:t xml:space="preserve">. </w:t>
      </w:r>
      <w:r w:rsidR="00C077A7">
        <w:t xml:space="preserve">Polymer-based NPs were the most compatible NPs. </w:t>
      </w:r>
      <w:r w:rsidRPr="008D1D14">
        <w:t>Complement activation was the most frequently reported blood toxicity associated with lipid-based NPs.</w:t>
      </w:r>
    </w:p>
    <w:p w:rsidR="008D1D14" w:rsidRPr="008D1D14" w:rsidRDefault="008D1D14" w:rsidP="008D1D14">
      <w:pPr>
        <w:jc w:val="both"/>
      </w:pPr>
      <w:r w:rsidRPr="008D1D14">
        <w:tab/>
      </w:r>
    </w:p>
    <w:p w:rsidR="008D1D14" w:rsidRDefault="008D1D14" w:rsidP="008D1D14">
      <w:pPr>
        <w:jc w:val="both"/>
      </w:pPr>
      <w:r w:rsidRPr="008D1D14">
        <w:t xml:space="preserve">Our results indicate that </w:t>
      </w:r>
      <w:r w:rsidR="009F103C">
        <w:t xml:space="preserve">some </w:t>
      </w:r>
      <w:r w:rsidR="009F103C" w:rsidRPr="009F103C">
        <w:t xml:space="preserve">nanomaterials have </w:t>
      </w:r>
      <w:r w:rsidR="00C077A7" w:rsidRPr="009F103C">
        <w:t xml:space="preserve">more frequently </w:t>
      </w:r>
      <w:r w:rsidR="009F103C" w:rsidRPr="009F103C">
        <w:t xml:space="preserve">been linked with specific </w:t>
      </w:r>
      <w:r w:rsidR="007F6A7E">
        <w:t xml:space="preserve">blood incompatibilities </w:t>
      </w:r>
      <w:r w:rsidR="007602E8">
        <w:t>in the literature</w:t>
      </w:r>
      <w:r w:rsidR="009F103C">
        <w:t>:</w:t>
      </w:r>
      <w:r w:rsidR="009F103C" w:rsidRPr="009F103C">
        <w:t xml:space="preserve"> </w:t>
      </w:r>
      <w:r w:rsidRPr="008D1D14">
        <w:t xml:space="preserve">the main </w:t>
      </w:r>
      <w:r w:rsidR="007F6A7E">
        <w:t>toxici</w:t>
      </w:r>
      <w:r w:rsidR="007F6A7E" w:rsidRPr="008D1D14">
        <w:t xml:space="preserve">ty </w:t>
      </w:r>
      <w:r w:rsidRPr="008D1D14">
        <w:t xml:space="preserve">associated with inorganic </w:t>
      </w:r>
      <w:r w:rsidR="00584D10">
        <w:t>nanoparticles</w:t>
      </w:r>
      <w:r w:rsidR="00584D10" w:rsidRPr="008D1D14">
        <w:t xml:space="preserve"> </w:t>
      </w:r>
      <w:r w:rsidRPr="008D1D14">
        <w:t>is thrombosis, whereas complement activation was the most reported blood toxicity linked to lipid-based</w:t>
      </w:r>
      <w:r w:rsidR="00584D10">
        <w:t xml:space="preserve"> nanoparticles</w:t>
      </w:r>
      <w:r w:rsidRPr="008D1D14">
        <w:t xml:space="preserve">. </w:t>
      </w:r>
      <w:r w:rsidR="00584D10">
        <w:t>Only a f</w:t>
      </w:r>
      <w:r w:rsidRPr="008D1D14">
        <w:t>ew cases of blood toxicities were linked to polymer-based</w:t>
      </w:r>
      <w:r w:rsidR="00584D10">
        <w:t xml:space="preserve"> nanoparticles</w:t>
      </w:r>
      <w:r w:rsidRPr="008D1D14">
        <w:t>.</w:t>
      </w:r>
      <w:r w:rsidR="00882BB1">
        <w:t xml:space="preserve"> T</w:t>
      </w:r>
      <w:r w:rsidR="00882BB1" w:rsidRPr="00C60EA9">
        <w:t>his knowledge could</w:t>
      </w:r>
      <w:r w:rsidR="00882BB1">
        <w:t xml:space="preserve"> be used to</w:t>
      </w:r>
      <w:r w:rsidR="00882BB1" w:rsidRPr="00C60EA9">
        <w:t xml:space="preserve"> raise</w:t>
      </w:r>
      <w:r w:rsidR="00C077A7">
        <w:t xml:space="preserve"> the</w:t>
      </w:r>
      <w:r w:rsidR="00882BB1" w:rsidRPr="00C60EA9">
        <w:t xml:space="preserve"> regulatory awareness </w:t>
      </w:r>
      <w:r w:rsidR="00C077A7" w:rsidRPr="00C60EA9">
        <w:t>o</w:t>
      </w:r>
      <w:r w:rsidR="00C077A7">
        <w:t>f</w:t>
      </w:r>
      <w:r w:rsidR="00C077A7" w:rsidRPr="00C60EA9">
        <w:t xml:space="preserve"> </w:t>
      </w:r>
      <w:r w:rsidR="00882BB1" w:rsidRPr="00C60EA9">
        <w:t xml:space="preserve">specific adverse reactions that need to be addressed, since some categories of nanomedicines </w:t>
      </w:r>
      <w:r w:rsidR="00C077A7">
        <w:t>may be</w:t>
      </w:r>
      <w:r w:rsidR="00C077A7" w:rsidRPr="00C60EA9">
        <w:t xml:space="preserve"> </w:t>
      </w:r>
      <w:r w:rsidR="00882BB1" w:rsidRPr="00C60EA9">
        <w:t>more interact</w:t>
      </w:r>
      <w:r w:rsidR="00C077A7">
        <w:t>ive</w:t>
      </w:r>
      <w:r w:rsidR="00882BB1" w:rsidRPr="00C60EA9">
        <w:t xml:space="preserve"> with a particular biological system.</w:t>
      </w:r>
      <w:r w:rsidR="00882BB1">
        <w:t xml:space="preserve"> Furthermore, this information can also support nanomedicines developers in </w:t>
      </w:r>
      <w:r w:rsidR="00C077A7">
        <w:t>their</w:t>
      </w:r>
      <w:r w:rsidR="00882BB1">
        <w:t xml:space="preserve"> design </w:t>
      </w:r>
      <w:r w:rsidR="00C077A7">
        <w:t xml:space="preserve">of </w:t>
      </w:r>
      <w:r w:rsidR="00882BB1">
        <w:t xml:space="preserve">safe and efficacious </w:t>
      </w:r>
      <w:r w:rsidR="00882BB1" w:rsidRPr="008D1D14">
        <w:t>nanomedicinal</w:t>
      </w:r>
      <w:r w:rsidR="00882BB1">
        <w:t xml:space="preserve"> products</w:t>
      </w:r>
      <w:r w:rsidR="004A31A6">
        <w:t xml:space="preserve"> with improved blood compatibility</w:t>
      </w:r>
      <w:r w:rsidR="00882BB1">
        <w:t xml:space="preserve">. </w:t>
      </w:r>
    </w:p>
    <w:p w:rsidR="009F103C" w:rsidRDefault="009F103C" w:rsidP="008D1D14">
      <w:pPr>
        <w:jc w:val="both"/>
      </w:pPr>
    </w:p>
    <w:p w:rsidR="008D1D14" w:rsidRPr="001369AD" w:rsidRDefault="008D1D14" w:rsidP="008D1D14">
      <w:pPr>
        <w:jc w:val="both"/>
        <w:rPr>
          <w:b/>
          <w:sz w:val="24"/>
        </w:rPr>
      </w:pPr>
      <w:r w:rsidRPr="001369AD">
        <w:rPr>
          <w:b/>
          <w:sz w:val="24"/>
        </w:rPr>
        <w:t xml:space="preserve">ASSOCIATION BETWEEN PHYSICO-CHEMICAL PROPERTIES AND </w:t>
      </w:r>
      <w:r w:rsidR="00CA7912">
        <w:rPr>
          <w:b/>
          <w:sz w:val="24"/>
        </w:rPr>
        <w:t>TOXIC</w:t>
      </w:r>
      <w:r w:rsidR="00CA7912" w:rsidRPr="001369AD">
        <w:rPr>
          <w:b/>
          <w:sz w:val="24"/>
        </w:rPr>
        <w:t>ITIES</w:t>
      </w:r>
    </w:p>
    <w:p w:rsidR="004D7AAD" w:rsidRDefault="008D1D14" w:rsidP="008D1D14">
      <w:pPr>
        <w:jc w:val="both"/>
      </w:pPr>
      <w:r w:rsidRPr="008D1D14">
        <w:t xml:space="preserve">A link between </w:t>
      </w:r>
      <w:r w:rsidR="0065299B">
        <w:t xml:space="preserve">the </w:t>
      </w:r>
      <w:r w:rsidRPr="008D1D14">
        <w:t xml:space="preserve">physico-chemical properties </w:t>
      </w:r>
      <w:r w:rsidR="0065299B">
        <w:t xml:space="preserve">of the nanomaterial </w:t>
      </w:r>
      <w:r w:rsidRPr="008D1D14">
        <w:t xml:space="preserve">and </w:t>
      </w:r>
      <w:r w:rsidR="00A3501C">
        <w:t xml:space="preserve">the </w:t>
      </w:r>
      <w:r w:rsidRPr="008D1D14">
        <w:t xml:space="preserve">toxicological outcome at the cellular level has </w:t>
      </w:r>
      <w:r w:rsidR="0065299B">
        <w:t xml:space="preserve">already </w:t>
      </w:r>
      <w:r w:rsidRPr="008D1D14">
        <w:t xml:space="preserve">been proposed in the literature </w:t>
      </w:r>
      <w:r w:rsidRPr="008D1D14">
        <w:fldChar w:fldCharType="begin" w:fldLock="1"/>
      </w:r>
      <w:r w:rsidRPr="008D1D14">
        <w:instrText>ADDIN CSL_CITATION { "citationItems" : [ { "id" : "ITEM-1", "itemData" : { "DOI" : "10.1016/j.tox.2009.01.015", "ISBN" : "0300-483X (Print)\\r0300-483X (Linking)", "ISSN" : "0300483X", "PMID" : "19428933", "abstract" : "It is expected that nanoparticular matters will be increasingly used for industrial and medical applications. Since it is known that nanoparticles exhibit unique and potential hazardous properties due to their small size, toxicity studies, risk assessment and risk management are of great interest. We focussed on adverse effects on human blood. Processes which warrant special attention are clotting, reactions triggering inflammatory and immune responses and hemolysis. Starting with the determination of size and surface charge in different media we assessed the effect of size and surface charge on induction of coagulation, thrombocyte activation, complement activation, granulocyte activation and hemolysis. We used polystyrene particles as model because they are available in different sizes but constant surface charges. The presence of salts and of protein in the dispersion solution increased particle size and neutralized surface charge. Positively charged particles formed aggregates in buffered solution. Interference of the particles with assays based on fluorescence associated cell sorting was identified. Positive surface charge induced activation of complement. Small size caused thrombocyte and granulocyte activation, and hemolysis. A characterization of particle size and surface charge in the solutions used for the experiments appears important for interpretation of the results. The size dependency of adverse effects in human blood is not linear; negatively charged particles larger than 60 nm hydrodynamic diameter appear to be considerably less hematotoxic than smaller ones. \u00a9 2009 Elsevier Ireland Ltd. All rights reserved.", "author" : [ { "dropping-particle" : "", "family" :</w:instrText>
      </w:r>
      <w:r w:rsidRPr="00EE19CA">
        <w:rPr>
          <w:lang w:val="es-ES"/>
        </w:rPr>
        <w:instrText xml:space="preserve"> "Mayer", "given" : "Andrea", "non-dropping-particle" : "", "parse-names" : false, "suffix" : "" }, { "dropping-particle" : "", "family" : "Vadon", "given" : "Maria", "non-dropping-particle" : "", "parse-names" : false, "suffix" : "" }, { "dropping-particle" : "", "family" : "Rinner", "given" : "Beate", "non-dropping-particle" : "", "parse-names" : false, "suffix" : "" }, { "dropping-particle" : "", "family" : "Novak", "given" : "Alexandra", "non-dropping-particle" : "", "parse-names" : false, "suffix" : "" }, { "dropping-particle" : "", "family" : "Wintersteiger", "given" : "Reinhold", "non-dropping-particle" : "", "parse-names" : false, "suffix" : "" }, { "dropping-particle" : "", "family" : "Fr\u00f6hlich", "given" : "Eleonore", "non-dropping-particle" : "", "parse-names" : false, "suffix" : "" } ], "container-title" : "Toxicology", "id" : "ITEM-1", "issue" : "2-3", "issued" : { "date-part</w:instrText>
      </w:r>
      <w:r w:rsidRPr="00A3501C">
        <w:rPr>
          <w:lang w:val="es-ES"/>
        </w:rPr>
        <w:instrText>s</w:instrText>
      </w:r>
      <w:r w:rsidRPr="0065299B">
        <w:rPr>
          <w:lang w:val="es-ES"/>
        </w:rPr>
        <w:instrText xml:space="preserve">" : [ [ "2009" </w:instrText>
      </w:r>
      <w:r w:rsidRPr="001369AD">
        <w:rPr>
          <w:lang w:val="es-ES"/>
        </w:rPr>
        <w:instrText>] ] }, "page" : "139-147", "title" : "The role of nanoparticle size in hemocompatibility", "type" : "article-journal", "volume" : "258" }, "uris" : [ "http://www.mendeley.com/documents/?uuid=e0dd09e7-a02b-4330-9b98-1cead01fb68b" ] } ], "mendeley" : { "formattedCitation" : "(Mayer et al., 2009)", "manualFormatting" : "(Mayer, 2009)", "plainTextFormattedCitation" : "(Mayer et al., 2009)", "previouslyFormattedCitation" : "(Mayer et al., 2009)" }, "properties" : { "noteIndex" : 13 }, "schema" : "https://github.com/citation-style-language/schema/raw/master/csl-citation.json" }</w:instrText>
      </w:r>
      <w:r w:rsidRPr="008D1D14">
        <w:fldChar w:fldCharType="separate"/>
      </w:r>
      <w:r w:rsidRPr="001369AD">
        <w:rPr>
          <w:noProof/>
          <w:lang w:val="es-ES"/>
        </w:rPr>
        <w:t>(Mayer, 2009)</w:t>
      </w:r>
      <w:r w:rsidRPr="008D1D14">
        <w:fldChar w:fldCharType="end"/>
      </w:r>
      <w:r w:rsidRPr="001369AD">
        <w:rPr>
          <w:lang w:val="es-ES"/>
        </w:rPr>
        <w:t>,</w:t>
      </w:r>
      <w:r w:rsidR="001369AD" w:rsidRPr="001369AD">
        <w:rPr>
          <w:lang w:val="es-ES"/>
        </w:rPr>
        <w:t xml:space="preserve"> </w:t>
      </w:r>
      <w:r w:rsidRPr="008D1D14">
        <w:fldChar w:fldCharType="begin" w:fldLock="1"/>
      </w:r>
      <w:r w:rsidRPr="001369AD">
        <w:rPr>
          <w:lang w:val="es-ES"/>
        </w:rPr>
        <w:instrText>ADDIN CSL_CITATION { "citationItems" : [ { "id" : "ITEM-1", "itemData" : { "DOI" : "10.2217/17435889.2.6.789", "ISBN" : "1748-6963 (Electronic)", "ISSN" : "1743-5889", "PMID" : "18095846", "abstract" : "Nanotechnology offers many advantages to traditional drug design, delivery and medical diagnostics; however, nanomedicines present considerable challenges for preclinical development. Nanoparticle constructs intended for medical applications consist of a wide variety of materials, and their small size, unique physicochemical properties and biological activity often require modification of standard characterization techniques. A rational characterization strategy for nanomedicines includes physicochemical characterization, sterility and pyrogenicity assessment, biodistribution (absorption, distribution, metabolism and excretion [ADME]) and toxicity characterization, which includes both in vitro tests and in vivo animal studies. Here, we highlight progress for a few methods that are uniquely useful for nanoparticles or are indicative of their toxicity or efficacy.", "author" : [ { "dropping-particle" : "", "family" : "Hall", "given" : "Jennifer B", "non-dropping-particle" : "", "parse-names" : false, "suffix" : "" }, { "dropping-particle" : "", "family" : "Dobrovolskaia", "given" : "Marina A", "non-dropping-particle" : "", "parse-names" : false, "suffix" : "" }, { "dropping-particle" : "", "family" : "Patri", "given" : "Anil K", "non-dropping-particle" : "", "parse-names" : false, "suffix" : "" }, { "dropping-particle" : "", "family" : "McNeil", "given" : "Scott E", "non-dropping-particle" : "", "parse-names" : false, "suffix" : "" } ], "container-title" : "Nanomedicine", "id" : "ITEM-1", "issue" : "6", "issued" : { "date-parts" : [ [ "2007" ] ] }, "page" : "789-803", "title" : "Characterization of nanoparticles for therapeutics", "type" : "article-journal", "volume" : "2" }, "uris" : [ "http://www.mendeley.com/documents/?uuid=4438112d-5be7-4067-bfc5-2ebbff085e2f" ] } ], "mendeley" : { "formattedCitation" : "(Hall, Dobrovolskaia, Patri, &amp; McNeil, 2007)", "manualFormatting" : "(Hall, 2007)", "plainTextFormattedCitation" : "(Hall, Dobrovolskaia, Patri, &amp; McNeil, 2007)", "previouslyFormattedCitation" : "(Hall, Dobrovolskaia, Patri, &amp; McNeil, 2007)" }, "properties" : { "noteIndex" : 13 }, "schema" : "https://github.com/citation-style-language/schema/raw/master/csl-citation.json" }</w:instrText>
      </w:r>
      <w:r w:rsidRPr="008D1D14">
        <w:fldChar w:fldCharType="separate"/>
      </w:r>
      <w:r w:rsidRPr="001369AD">
        <w:rPr>
          <w:noProof/>
          <w:lang w:val="es-ES"/>
        </w:rPr>
        <w:t>(Hall, 2007)</w:t>
      </w:r>
      <w:r w:rsidRPr="008D1D14">
        <w:fldChar w:fldCharType="end"/>
      </w:r>
      <w:r w:rsidR="00AB42E5" w:rsidRPr="00EE19CA">
        <w:rPr>
          <w:lang w:val="es-ES"/>
        </w:rPr>
        <w:t>;</w:t>
      </w:r>
      <w:r w:rsidR="00AD6D27">
        <w:rPr>
          <w:lang w:val="es-ES"/>
        </w:rPr>
        <w:t xml:space="preserve"> </w:t>
      </w:r>
      <w:r w:rsidR="00906A12">
        <w:rPr>
          <w:lang w:val="es-ES"/>
        </w:rPr>
        <w:t xml:space="preserve">but </w:t>
      </w:r>
      <w:r w:rsidR="004D7AAD" w:rsidRPr="00C145E4">
        <w:rPr>
          <w:lang w:val="es-ES"/>
        </w:rPr>
        <w:t xml:space="preserve">only </w:t>
      </w:r>
      <w:r w:rsidR="004D7AAD" w:rsidRPr="00C145E4">
        <w:rPr>
          <w:lang w:val="es-ES"/>
        </w:rPr>
        <w:lastRenderedPageBreak/>
        <w:t xml:space="preserve">a limited amount of preclinical </w:t>
      </w:r>
      <w:r w:rsidR="004D7AAD" w:rsidRPr="00C145E4">
        <w:rPr>
          <w:i/>
          <w:lang w:val="es-ES"/>
        </w:rPr>
        <w:t>in vivo</w:t>
      </w:r>
      <w:r w:rsidR="004D7AAD" w:rsidRPr="00C145E4">
        <w:rPr>
          <w:lang w:val="es-ES"/>
        </w:rPr>
        <w:t xml:space="preserve"> data </w:t>
      </w:r>
      <w:r w:rsidR="00AD6D27">
        <w:rPr>
          <w:lang w:val="es-ES"/>
        </w:rPr>
        <w:t>with</w:t>
      </w:r>
      <w:r w:rsidR="004D7AAD" w:rsidRPr="00C145E4">
        <w:rPr>
          <w:lang w:val="es-ES"/>
        </w:rPr>
        <w:t xml:space="preserve"> effects on the blood system ha</w:t>
      </w:r>
      <w:r w:rsidR="00CE3BF9">
        <w:rPr>
          <w:lang w:val="es-ES"/>
        </w:rPr>
        <w:t>s</w:t>
      </w:r>
      <w:r w:rsidR="004D7AAD" w:rsidRPr="00C145E4">
        <w:rPr>
          <w:lang w:val="es-ES"/>
        </w:rPr>
        <w:t xml:space="preserve"> been published. </w:t>
      </w:r>
      <w:r w:rsidRPr="00A3501C">
        <w:t xml:space="preserve">Different characteristics such as size, particle structure, shape and surface chemistry have been suggested as drivers of the biological behaviour of nanoparticles </w:t>
      </w:r>
      <w:r w:rsidRPr="008D1D14">
        <w:fldChar w:fldCharType="begin" w:fldLock="1"/>
      </w:r>
      <w:r w:rsidRPr="00A3501C">
        <w:instrText>ADDIN CSL_CITATION { "citationItems" : [ { "id" : "ITEM-1", "itemData" : { "DOI" : "10.1111/joim.12109", "ISBN" : "1365-2796", "ISSN" : "09546820", "PMID" : "23879741", "abstract" : "Nanotechnology introduces a new field that requires novel approaches and methods for hazard and risk assessment. For an appropriate scientific platform for safety assessment, nanoscale properties and functions of engineered nanomaterials (ENMs), including how the physicochemical properties of the materials relate to mechanisms of injury at the nano-bio interface, must be considered. Moreover, this rapidly advancing new field requires novel test strategies that allow multiple toxicants to be screened in robust, mechanism-based assays in which the bulk of the investigation can be carried out at the cellular and biomolecular level whilst maintaining limited animal use and is based on the contribution of toxicological pathways to the pathophysiology of disease. First, a predictive toxicological approach for the safety assessment of ENMs will be discussed against the background of a '21st-century vision' for using alternative test strategies (ATSs) to perform toxicological assessment of large numbers of untested chemicals, thereby reducing a backlog that could otherwise become a problem for nanotechnology. An ATS is defined here as an alte</w:instrText>
      </w:r>
      <w:r w:rsidRPr="008D1D14">
        <w:instrText>rnative to animal experiments or refinement/reduction alternative to traditional animal testing. Secondly, the approach of selecting pathways of toxicity to screen for the pulmonary hazard potential of carbon nanotubes and metal oxides will be discussed, as well as how to use these pathways to perform high-content or high-throughput testing and how the data can be used for hazard ranking, risk assessment, regulatory decision-making and 'safer-by-design' strategies. Finally, the utility and disadvantages of this predictive toxicological approach to ENM safety assessment, and how it can assist the 21st-century vision, will be addressed.", "author" : [ { "dropping-particle" : "", "family" : "Nel", "given" : "A. E.", "non-dropping-particle" : "", "parse-names" : false, "suffix" : "" } ], "container-title" : "Journal of Internal Medicine", "id" : "ITEM-1", "issue" : "6", "issued" : { "date-parts" : [ [ "2013" ] ] }, "page" : "561-577", "title" : "Implementation of alternative test strategies for the safety assessment of engineered nanomaterials", "type" : "article-journal", "volume" : "274" }, "uris" : [ "http://www.mendeley.com/documents/?uuid=2d5a4219-668d-4a41-b75f-4559e4c1ff84" ] } ], "mendeley" : { "formattedCitation" : "(Nel, 2013)", "plainTextFormattedCitation" : "(Nel, 2013)", "previouslyFormattedCitation" : "(Nel, 2013)" }, "properties" : { "noteIndex" : 13 }, "schema" : "https://github.com/citation-style-language/schema/raw/master/csl-citation.json" }</w:instrText>
      </w:r>
      <w:r w:rsidRPr="008D1D14">
        <w:fldChar w:fldCharType="separate"/>
      </w:r>
      <w:r w:rsidRPr="008D1D14">
        <w:rPr>
          <w:noProof/>
        </w:rPr>
        <w:t>(Nel, 2013)</w:t>
      </w:r>
      <w:r w:rsidRPr="008D1D14">
        <w:fldChar w:fldCharType="end"/>
      </w:r>
      <w:r w:rsidRPr="008D1D14">
        <w:t>,</w:t>
      </w:r>
      <w:r w:rsidR="001369AD">
        <w:t xml:space="preserve"> </w:t>
      </w:r>
      <w:r w:rsidRPr="008D1D14">
        <w:fldChar w:fldCharType="begin" w:fldLock="1"/>
      </w:r>
      <w:r w:rsidRPr="008D1D14">
        <w:instrText>ADDIN CSL_CITATION { "citationItems" : [ { "id" : "ITEM-1", "itemData" : { "DOI" : "10.1111/joim.12137", "ISBN" : "1365-2796", "ISSN" : "09546820", "PMID" : "24102766", "author" : [ { "dropping-particle" : "", "family" : "Fadeel", "given" : "B.", "non-dropping-particle" : "", "parse-names" : false, "suffix" : "" } ], "container-title" : "Journal of Internal Medicine", "id" : "ITEM-1", "issue" : "6", "issued" : { "date-parts" : [ [ "2013" ] ] }, "page" : "578-580", "title" : "Nanosafety: Towards safer design of nanomedicines", "type" : "article-journal", "volume" : "274" }, "uris" : [ "http://www.mendeley.com/documents/?uuid=83055218-2797-460e-ae5b-8e33fd2f82f8" ] } ], "mendeley" : { "formattedCitation" : "(B. Fadeel, 2013)", "manualFormatting" : "(Fadeel, 2013)", "plainTextFormattedCitation" : "(B. Fadeel, 2013)", "previouslyFormattedCitation" : "(B. Fadeel, 2013)" }, "properties" : { "noteIndex" : 13 }, "schema" : "https://github.com/citation-style-language/schema/raw/master/csl-citation.json" }</w:instrText>
      </w:r>
      <w:r w:rsidRPr="008D1D14">
        <w:fldChar w:fldCharType="separate"/>
      </w:r>
      <w:r w:rsidRPr="008D1D14">
        <w:rPr>
          <w:noProof/>
        </w:rPr>
        <w:t>(Fadeel, 2013)</w:t>
      </w:r>
      <w:r w:rsidRPr="008D1D14">
        <w:fldChar w:fldCharType="end"/>
      </w:r>
      <w:r w:rsidRPr="008D1D14">
        <w:t>,</w:t>
      </w:r>
      <w:r w:rsidR="001369AD">
        <w:t xml:space="preserve"> </w:t>
      </w:r>
      <w:r w:rsidRPr="008D1D14">
        <w:fldChar w:fldCharType="begin" w:fldLock="1"/>
      </w:r>
      <w:r w:rsidRPr="008D1D14">
        <w:instrText>ADDIN CSL_CITATION { "citationItems" : [ { "id" : "ITEM-1", "itemData" : { "DOI" : "10.1016/j.addr.2009.11.008", "ISSN" : "1872-8294", "PMID" : "19900497", "abstract" : "The development of nanoparticles for biomedical applications including medical imaging and drug delivery is currently undergoing a dramatic expansion. However, as the range of nanoparticle types and applications increases, it is also clear that the potential toxicities of these novel materials and the properties driving such toxic responses must also be understood. Indeed, a detailed assessment of the factors that influence the biocompatibility and/or toxicity of nanoparticles is crucial for the safe and sustainable development of the emerging nanotechnologies. This review summarizes some of the recent developments in the field of nanomedicine with particular emphasis on inorganic nanoparticles for drug delivery. The synthesis routes, physico-chemical characteristics, and cytotoxic properties of inorganic nanoparticles are thus explored and lessons learned from the toxicological investigation of three common types of engineered nanomaterials of titania, gold, and mesoporous silica are discussed. Emphasis is placed on the recognition versus non-recognition of engineered nanomaterials by the immune system, the primary surveillance system against microorganisms and particles, which, in turn, is intimately linked to the issue of targeted drug delivery using such nanomaterials as carrier systems.", "author" : [ { "dropping-particle" : "", "family" : "Fadeel", "given" : "Bengt", "non-dropping-particle" : "", "parse-names" : false, "suffix" : "" }, { "dropping-particle" : "", "family" : "Garcia-Bennett", "given" : "Alfonso E", "non-dropping-particle" : "", "parse-names" : false, "suffix" : "" } ], "container-title" : "Advanced drug delivery reviews", "id" : "ITEM-1", "issue" : "3", "issued" : { "date-parts" : [ [ "2010", "3", "8" ] ] }, "page" : "362-74", "publisher" : "Elsevier B.V.", "title" : "Better safe than sorry: Understanding the toxicological properties of inorganic nanoparticles manufactured for biomedical applications.", "type" : "article-journal", "volume" : "62" }, "uris" : [ "http://www.mendeley.com/documents/?uuid=291e86f6-6128-4070-8459-cd381e2c2bb7" ] } ], "mendeley" : { "formattedCitation" : "(Bengt Fadeel &amp; Garcia-Bennett, 2010)", "manualFormatting" : "(Fadeel, 2010)", "plainTextFormattedCitation" : "(Bengt Fadeel &amp; Garcia-Bennett, 2010)", "previouslyFormattedCitation" : "(Bengt Fadeel &amp; Garcia-Bennett, 2010)" }, "properties" : { "noteIndex" : 13 }, "schema" : "https://github.com/citation-style-language/schema/raw/master/csl-citation.json" }</w:instrText>
      </w:r>
      <w:r w:rsidRPr="008D1D14">
        <w:fldChar w:fldCharType="separate"/>
      </w:r>
      <w:r w:rsidRPr="008D1D14">
        <w:rPr>
          <w:noProof/>
        </w:rPr>
        <w:t>(Fadeel, 2010)</w:t>
      </w:r>
      <w:r w:rsidRPr="008D1D14">
        <w:fldChar w:fldCharType="end"/>
      </w:r>
      <w:r w:rsidR="004D7AAD">
        <w:t>.</w:t>
      </w:r>
      <w:r w:rsidR="0065299B">
        <w:t xml:space="preserve"> </w:t>
      </w:r>
      <w:r w:rsidR="004D7AAD">
        <w:t xml:space="preserve">Additionally, the analysis </w:t>
      </w:r>
      <w:r w:rsidR="004D7AAD" w:rsidRPr="004D7AAD">
        <w:t xml:space="preserve">of the protein corona is </w:t>
      </w:r>
      <w:r w:rsidR="004D7AAD">
        <w:t xml:space="preserve">gaining importance </w:t>
      </w:r>
      <w:r w:rsidR="004D7AAD" w:rsidRPr="004D7AAD">
        <w:t>in order to generate a holistic view of the physico-chemical characteristics of nanoparticles that may influence their compatibility.</w:t>
      </w:r>
      <w:r w:rsidR="004D7AAD">
        <w:t xml:space="preserve"> </w:t>
      </w:r>
      <w:r w:rsidR="007A4828">
        <w:t xml:space="preserve">For instance, </w:t>
      </w:r>
      <w:r w:rsidR="00FF1BB3">
        <w:t>FDA</w:t>
      </w:r>
      <w:r w:rsidR="00AD6D27">
        <w:t>'s CDER</w:t>
      </w:r>
      <w:r w:rsidR="00FF1BB3">
        <w:t xml:space="preserve"> has recently published a draft guidance </w:t>
      </w:r>
      <w:r w:rsidR="007A4828">
        <w:t>on</w:t>
      </w:r>
      <w:r w:rsidR="00FF1BB3">
        <w:t xml:space="preserve"> </w:t>
      </w:r>
      <w:r w:rsidR="007A4828" w:rsidRPr="00EE662E">
        <w:t>d</w:t>
      </w:r>
      <w:r w:rsidR="00FF1BB3" w:rsidRPr="00EE662E">
        <w:t xml:space="preserve">rug </w:t>
      </w:r>
      <w:r w:rsidR="007A4828" w:rsidRPr="00EE662E">
        <w:t>p</w:t>
      </w:r>
      <w:r w:rsidR="00FF1BB3" w:rsidRPr="00EE662E">
        <w:t xml:space="preserve">roducts </w:t>
      </w:r>
      <w:r w:rsidR="007A4828" w:rsidRPr="00EE662E">
        <w:t>that contain n</w:t>
      </w:r>
      <w:r w:rsidR="00FF1BB3" w:rsidRPr="00EE662E">
        <w:t>anomaterials</w:t>
      </w:r>
      <w:r w:rsidR="00FF1BB3">
        <w:t xml:space="preserve"> </w:t>
      </w:r>
      <w:r w:rsidR="007A4828">
        <w:t xml:space="preserve">(as active ingredients, carriers or inactive ingredients) </w:t>
      </w:r>
      <w:r w:rsidR="00FF1BB3">
        <w:fldChar w:fldCharType="begin" w:fldLock="1"/>
      </w:r>
      <w:r w:rsidR="007A4828">
        <w:instrText>ADDIN CSL_CITATION { "citationItems" : [ { "id" : "ITEM-1", "itemData" : { "author" : [ { "dropping-particle" : "", "family" : "US FDA Center for Drug Evaluation and Research (CDER); Center for Biologics Evaluation and Research (CBER)", "given" : "", "non-dropping-particle" : "", "parse-names" : false, "suffix" : "" } ], "id" : "ITEM-1", "issue" : "December", "issued" : { "date-parts" : [ [ "2017" ] ] }, "title" : "Guidance on Drug Products, Including Biological Products, that Contain Nanomaterials - Guidance for Industry", "type" : "article-journal" }, "uris" : [ "http://www.mendeley.com/documents/?uuid=faf50ade-c022-482d-8459-90d20ab7f750" ] } ], "mendeley" : { "formattedCitation" : "(US FDA Center for Drug Evaluation and Research (CDER); Center for Biologics Evaluation and Research (CBER), 2017)", "manualFormatting" : "(US FDA Center for Drug Evaluation and Research, 2017)", "plainTextFormattedCitation" : "(US FDA Center for Drug Evaluation and Research (CDER); Center for Biologics Evaluation and Research (CBER), 2017)", "previouslyFormattedCitation" : "(US FDA Center for Drug Evaluation and Research (CDER); Center for Biologics Evaluation and Research (CBER), 2017)" }, "properties" : { "noteIndex" : 12 }, "schema" : "https://github.com/citation-style-language/schema/raw/master/csl-citation.json" }</w:instrText>
      </w:r>
      <w:r w:rsidR="00FF1BB3">
        <w:fldChar w:fldCharType="separate"/>
      </w:r>
      <w:r w:rsidR="00FF1BB3" w:rsidRPr="004D7AAD">
        <w:rPr>
          <w:noProof/>
        </w:rPr>
        <w:t>(US FDA Center for Drug Evaluation and Research</w:t>
      </w:r>
      <w:r w:rsidR="00FF1BB3">
        <w:rPr>
          <w:noProof/>
        </w:rPr>
        <w:t>, 2017)</w:t>
      </w:r>
      <w:r w:rsidR="00FF1BB3">
        <w:fldChar w:fldCharType="end"/>
      </w:r>
      <w:r w:rsidR="00FF1BB3">
        <w:t xml:space="preserve">. This guidance acknowledges the fact that </w:t>
      </w:r>
      <w:r w:rsidR="007A4828">
        <w:t>after entry into the systemic circulation, nanomaterials can affect the distribution, exposure-response profile and the residence time of an active ingredient. These changes may be partly due to the interaction of nanomaterials with plasma proteins</w:t>
      </w:r>
      <w:r w:rsidR="004A7701">
        <w:t xml:space="preserve"> (and </w:t>
      </w:r>
      <w:r w:rsidR="007A4828">
        <w:t>formation of a protein corona</w:t>
      </w:r>
      <w:r w:rsidR="004A7701">
        <w:t>)</w:t>
      </w:r>
      <w:r w:rsidR="007A4828">
        <w:t xml:space="preserve">, which </w:t>
      </w:r>
      <w:r w:rsidR="00FF1BB3">
        <w:t>may endow nanomaterials with new biological properties</w:t>
      </w:r>
      <w:r w:rsidR="007A4828">
        <w:t xml:space="preserve">. </w:t>
      </w:r>
      <w:r w:rsidR="00684F7A">
        <w:t xml:space="preserve">Therefore, the guidance </w:t>
      </w:r>
      <w:r w:rsidR="00684F7A" w:rsidRPr="004D7AAD">
        <w:t>for drug produc</w:t>
      </w:r>
      <w:r w:rsidR="00684F7A">
        <w:t>ts containing nanomaterials</w:t>
      </w:r>
      <w:r w:rsidR="00684F7A" w:rsidDel="00AD6D27">
        <w:t xml:space="preserve"> </w:t>
      </w:r>
      <w:r w:rsidR="00684F7A">
        <w:t>recommends testing of p</w:t>
      </w:r>
      <w:r w:rsidR="00684F7A" w:rsidRPr="007A4828">
        <w:t xml:space="preserve">lasma </w:t>
      </w:r>
      <w:r w:rsidR="00684F7A">
        <w:t>p</w:t>
      </w:r>
      <w:r w:rsidR="00684F7A" w:rsidRPr="007A4828">
        <w:t xml:space="preserve">rotein </w:t>
      </w:r>
      <w:r w:rsidR="00684F7A">
        <w:t>b</w:t>
      </w:r>
      <w:r w:rsidR="00684F7A" w:rsidRPr="007A4828">
        <w:t>inding</w:t>
      </w:r>
      <w:r w:rsidR="00684F7A">
        <w:t>.</w:t>
      </w:r>
    </w:p>
    <w:p w:rsidR="008D1D14" w:rsidRPr="008D1D14" w:rsidRDefault="004D7AAD" w:rsidP="008D1D14">
      <w:pPr>
        <w:jc w:val="both"/>
      </w:pPr>
      <w:r>
        <w:t xml:space="preserve">In order to gain further understanding </w:t>
      </w:r>
      <w:r w:rsidR="00C7342E">
        <w:t xml:space="preserve">of </w:t>
      </w:r>
      <w:r w:rsidR="00CA2FCA">
        <w:t xml:space="preserve">blood compatibility of nanomedicines, we tried to identify trends in the </w:t>
      </w:r>
      <w:r w:rsidR="00CA2FCA" w:rsidRPr="008D1D14">
        <w:t xml:space="preserve">physico-chemical properties </w:t>
      </w:r>
      <w:r w:rsidR="00CA2FCA">
        <w:t xml:space="preserve">that </w:t>
      </w:r>
      <w:r w:rsidR="00CA2FCA" w:rsidRPr="008D1D14">
        <w:t>ha</w:t>
      </w:r>
      <w:r w:rsidR="00CA2FCA">
        <w:t>ve an impact on blood toxicit</w:t>
      </w:r>
      <w:r w:rsidR="00C7342E">
        <w:t>y</w:t>
      </w:r>
      <w:r w:rsidR="00CA2FCA">
        <w:rPr>
          <w:i/>
        </w:rPr>
        <w:t>.</w:t>
      </w:r>
      <w:r w:rsidR="00CA2FCA" w:rsidRPr="008D1D14" w:rsidDel="004B3BF9">
        <w:t xml:space="preserve"> </w:t>
      </w:r>
      <w:r w:rsidR="00CA2FCA">
        <w:t>I</w:t>
      </w:r>
      <w:r w:rsidRPr="00B20677">
        <w:t>nformation regarding the contribution of</w:t>
      </w:r>
      <w:r w:rsidR="00C145E4">
        <w:t xml:space="preserve"> specific </w:t>
      </w:r>
      <w:r w:rsidRPr="00B20677">
        <w:t>physico-chemical properties</w:t>
      </w:r>
      <w:r>
        <w:t xml:space="preserve"> of NPs</w:t>
      </w:r>
      <w:r w:rsidRPr="00B20677">
        <w:t xml:space="preserve"> on the reported adversities</w:t>
      </w:r>
      <w:r>
        <w:t xml:space="preserve"> </w:t>
      </w:r>
      <w:r w:rsidR="00CA2FCA" w:rsidRPr="00CA2FCA">
        <w:rPr>
          <w:i/>
        </w:rPr>
        <w:t>in vitro</w:t>
      </w:r>
      <w:r w:rsidR="00CA2FCA">
        <w:t xml:space="preserve"> and </w:t>
      </w:r>
      <w:r w:rsidR="00CA2FCA" w:rsidRPr="00CA2FCA">
        <w:rPr>
          <w:i/>
        </w:rPr>
        <w:t>in vivo</w:t>
      </w:r>
      <w:r w:rsidR="00CA2FCA">
        <w:t xml:space="preserve"> </w:t>
      </w:r>
      <w:r>
        <w:t>was retrieved f</w:t>
      </w:r>
      <w:r w:rsidRPr="00B20677">
        <w:t xml:space="preserve">rom the </w:t>
      </w:r>
      <w:r>
        <w:t xml:space="preserve">screened publications. </w:t>
      </w:r>
      <w:r w:rsidR="00AD434A">
        <w:t>The m</w:t>
      </w:r>
      <w:r w:rsidR="00A3501C">
        <w:t>ost relevant p</w:t>
      </w:r>
      <w:r w:rsidR="00A3501C" w:rsidRPr="008D1D14">
        <w:t xml:space="preserve">hysico-chemical </w:t>
      </w:r>
      <w:r w:rsidR="008D1D14" w:rsidRPr="008D1D14">
        <w:t xml:space="preserve">properties described </w:t>
      </w:r>
      <w:r w:rsidR="00641813" w:rsidRPr="008D1D14">
        <w:t xml:space="preserve">in the </w:t>
      </w:r>
      <w:r w:rsidR="00A22BE7">
        <w:t xml:space="preserve">reviewed </w:t>
      </w:r>
      <w:r w:rsidR="00641813" w:rsidRPr="008D1D14">
        <w:t>articles</w:t>
      </w:r>
      <w:r w:rsidR="00641813">
        <w:t xml:space="preserve"> </w:t>
      </w:r>
      <w:r w:rsidR="00A3501C">
        <w:t xml:space="preserve">that </w:t>
      </w:r>
      <w:r w:rsidR="008D1D14" w:rsidRPr="008D1D14">
        <w:t>have an impact on</w:t>
      </w:r>
      <w:r w:rsidR="00233104">
        <w:t xml:space="preserve"> general</w:t>
      </w:r>
      <w:r w:rsidR="008D1D14" w:rsidRPr="008D1D14">
        <w:t xml:space="preserve"> blood adversities are shown in </w:t>
      </w:r>
      <w:r w:rsidR="008A3C9E">
        <w:t xml:space="preserve">Figure </w:t>
      </w:r>
      <w:r w:rsidR="000874E4">
        <w:t>7</w:t>
      </w:r>
      <w:r w:rsidR="008D1D14" w:rsidRPr="008D1D14">
        <w:t xml:space="preserve">. </w:t>
      </w:r>
      <w:r w:rsidR="00A3501C">
        <w:t xml:space="preserve"> </w:t>
      </w:r>
      <w:r w:rsidR="00A559AC">
        <w:t>S</w:t>
      </w:r>
      <w:r w:rsidR="008D1D14" w:rsidRPr="008D1D14">
        <w:t>urface-related properties (such as surface chemistry, surface coating and surface charge) are most commonly reported to have a key role on blood toxicities. These results indicate that these properties are important in the interaction of nanomedicines with blood cells and</w:t>
      </w:r>
      <w:r w:rsidR="00A3501C">
        <w:t xml:space="preserve"> can</w:t>
      </w:r>
      <w:r w:rsidR="008D1D14" w:rsidRPr="008D1D14">
        <w:t xml:space="preserve"> therefore</w:t>
      </w:r>
      <w:r w:rsidR="001B0555">
        <w:t xml:space="preserve"> be seen as initiator</w:t>
      </w:r>
      <w:r w:rsidR="00A559AC">
        <w:t>s</w:t>
      </w:r>
      <w:r w:rsidR="001B0555">
        <w:t xml:space="preserve"> of the </w:t>
      </w:r>
      <w:r w:rsidR="008D1D14" w:rsidRPr="008D1D14">
        <w:t xml:space="preserve">biological effect. Size and chemical entity have also been identified as important contributors for undesired effects on blood cells, and other properties such as shape, curvature or type of encapsulated drug can also </w:t>
      </w:r>
      <w:r w:rsidR="001B0555">
        <w:t xml:space="preserve">add </w:t>
      </w:r>
      <w:r w:rsidR="008D1D14" w:rsidRPr="008D1D14">
        <w:t xml:space="preserve">to the observed </w:t>
      </w:r>
      <w:r w:rsidR="002A7525">
        <w:t xml:space="preserve">blood </w:t>
      </w:r>
      <w:r w:rsidR="002A7525" w:rsidRPr="008D1D14">
        <w:t>toxicities</w:t>
      </w:r>
      <w:r w:rsidR="008D1D14" w:rsidRPr="008D1D14">
        <w:t>.</w:t>
      </w:r>
    </w:p>
    <w:p w:rsidR="008D1D14" w:rsidRPr="008D1D14" w:rsidRDefault="000D57C3" w:rsidP="008D1D14">
      <w:pPr>
        <w:jc w:val="both"/>
      </w:pPr>
      <w:r>
        <w:rPr>
          <w:noProof/>
          <w:lang w:eastAsia="en-GB"/>
        </w:rPr>
        <w:drawing>
          <wp:inline distT="0" distB="0" distL="0" distR="0">
            <wp:extent cx="5734050" cy="1857375"/>
            <wp:effectExtent l="0" t="0" r="0" b="9525"/>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1857375"/>
                    </a:xfrm>
                    <a:prstGeom prst="rect">
                      <a:avLst/>
                    </a:prstGeom>
                    <a:noFill/>
                    <a:ln>
                      <a:noFill/>
                    </a:ln>
                  </pic:spPr>
                </pic:pic>
              </a:graphicData>
            </a:graphic>
          </wp:inline>
        </w:drawing>
      </w:r>
    </w:p>
    <w:p w:rsidR="008D1D14" w:rsidRPr="008D1D14" w:rsidRDefault="008A3C9E" w:rsidP="008D1D14">
      <w:pPr>
        <w:jc w:val="both"/>
      </w:pPr>
      <w:r>
        <w:t xml:space="preserve">Figure </w:t>
      </w:r>
      <w:r w:rsidR="000874E4">
        <w:t>7</w:t>
      </w:r>
      <w:r w:rsidR="008D1D14" w:rsidRPr="008D1D14">
        <w:t xml:space="preserve">. Number of </w:t>
      </w:r>
      <w:r w:rsidR="001B0555" w:rsidRPr="008D1D14">
        <w:t xml:space="preserve">identified </w:t>
      </w:r>
      <w:r w:rsidR="008D1D14" w:rsidRPr="008D1D14">
        <w:t>publications associating key physico-chemical properties of nanomedicines with</w:t>
      </w:r>
      <w:r w:rsidR="0055775D">
        <w:t xml:space="preserve"> general</w:t>
      </w:r>
      <w:r w:rsidR="008D1D14" w:rsidRPr="008D1D14">
        <w:t xml:space="preserve"> blood toxicities </w:t>
      </w:r>
      <w:r w:rsidR="008D1D14" w:rsidRPr="001E77AF">
        <w:rPr>
          <w:i/>
        </w:rPr>
        <w:t>in vivo</w:t>
      </w:r>
      <w:r w:rsidR="008D1D14" w:rsidRPr="008D1D14">
        <w:t xml:space="preserve"> (left) and </w:t>
      </w:r>
      <w:r w:rsidR="008D1D14" w:rsidRPr="00B572B6">
        <w:rPr>
          <w:i/>
        </w:rPr>
        <w:t>in vitro</w:t>
      </w:r>
      <w:r w:rsidR="008D1D14" w:rsidRPr="008D1D14">
        <w:t xml:space="preserve"> (right). Surface-related properties were the most reported properties having an influence on blood adversities.</w:t>
      </w:r>
      <w:r w:rsidR="00641813">
        <w:t xml:space="preserve"> </w:t>
      </w:r>
      <w:r w:rsidR="00C7342E">
        <w:t xml:space="preserve">The category </w:t>
      </w:r>
      <w:r w:rsidR="00F02284">
        <w:t>‘</w:t>
      </w:r>
      <w:r w:rsidR="00641813">
        <w:t>Others</w:t>
      </w:r>
      <w:r w:rsidR="00F02284">
        <w:t>’</w:t>
      </w:r>
      <w:r w:rsidR="00641813">
        <w:t xml:space="preserve"> includes properties such as shape, type of drug encapsulated, porosity, roughness or elasticity.</w:t>
      </w:r>
    </w:p>
    <w:p w:rsidR="008D1D14" w:rsidRPr="008D1D14" w:rsidRDefault="008D1D14" w:rsidP="008D1D14">
      <w:pPr>
        <w:jc w:val="both"/>
      </w:pPr>
    </w:p>
    <w:p w:rsidR="008D1D14" w:rsidRDefault="008D1D14" w:rsidP="008D1D14">
      <w:pPr>
        <w:jc w:val="both"/>
      </w:pPr>
      <w:r w:rsidRPr="008D1D14">
        <w:lastRenderedPageBreak/>
        <w:t>Understanding the</w:t>
      </w:r>
      <w:r w:rsidR="00C7342E">
        <w:t xml:space="preserve"> influence </w:t>
      </w:r>
      <w:r w:rsidRPr="008D1D14">
        <w:t xml:space="preserve">of specific properties of nanomedicines on each compartment of the blood system is crucial </w:t>
      </w:r>
      <w:r w:rsidR="00F44E5B">
        <w:t xml:space="preserve">for developing nanomaterials used in biomedical applications. </w:t>
      </w:r>
      <w:r w:rsidRPr="008D1D14">
        <w:t xml:space="preserve">For this purpose, the contribution of the reported physico-chemical properties to each of the studied endpoints was </w:t>
      </w:r>
      <w:r w:rsidR="00024F8A">
        <w:t>assessed</w:t>
      </w:r>
      <w:r w:rsidR="00024F8A" w:rsidRPr="008D1D14">
        <w:t xml:space="preserve"> </w:t>
      </w:r>
      <w:r w:rsidRPr="008D1D14">
        <w:t xml:space="preserve">individually. </w:t>
      </w:r>
      <w:r w:rsidR="007A2874">
        <w:t xml:space="preserve">Results obtained for </w:t>
      </w:r>
      <w:r w:rsidR="007A2874" w:rsidRPr="00B90135">
        <w:rPr>
          <w:i/>
        </w:rPr>
        <w:t>in vivo</w:t>
      </w:r>
      <w:r w:rsidR="007A2874">
        <w:t xml:space="preserve"> data are shown in Figure </w:t>
      </w:r>
      <w:r w:rsidR="000874E4">
        <w:t>8</w:t>
      </w:r>
      <w:r w:rsidR="006D7A2F">
        <w:t>;</w:t>
      </w:r>
      <w:r w:rsidR="00175297">
        <w:t xml:space="preserve"> it has to be noted that there was a </w:t>
      </w:r>
      <w:r w:rsidR="007A2874">
        <w:t xml:space="preserve">limited </w:t>
      </w:r>
      <w:r w:rsidR="00175297">
        <w:t xml:space="preserve">number of </w:t>
      </w:r>
      <w:r w:rsidR="007A2874">
        <w:t xml:space="preserve">available publications related to </w:t>
      </w:r>
      <w:r w:rsidR="007A2874" w:rsidRPr="00207731">
        <w:rPr>
          <w:i/>
        </w:rPr>
        <w:t>in vivo</w:t>
      </w:r>
      <w:r w:rsidR="007A2874">
        <w:t xml:space="preserve"> blood compatibility of nanomedicines. </w:t>
      </w:r>
      <w:r w:rsidRPr="007A2874">
        <w:t xml:space="preserve">Size has been described as the main contributor </w:t>
      </w:r>
      <w:r w:rsidR="00C7342E">
        <w:t>to</w:t>
      </w:r>
      <w:r w:rsidR="00C7342E" w:rsidRPr="007A2874">
        <w:t xml:space="preserve"> </w:t>
      </w:r>
      <w:r w:rsidR="00C7342E">
        <w:t>adverse</w:t>
      </w:r>
      <w:r w:rsidR="00C7342E" w:rsidRPr="007A2874">
        <w:t xml:space="preserve"> </w:t>
      </w:r>
      <w:r w:rsidRPr="007A2874">
        <w:t xml:space="preserve">effects on haematology </w:t>
      </w:r>
      <w:r w:rsidRPr="007A2874">
        <w:rPr>
          <w:i/>
        </w:rPr>
        <w:t>in vivo</w:t>
      </w:r>
      <w:r w:rsidRPr="007A2874">
        <w:t xml:space="preserve">, </w:t>
      </w:r>
      <w:r w:rsidR="00207731">
        <w:t xml:space="preserve">interestingly; size was not </w:t>
      </w:r>
      <w:r w:rsidR="00207731" w:rsidRPr="00207731">
        <w:t xml:space="preserve">described in the literature as having a role for </w:t>
      </w:r>
      <w:r w:rsidR="006D7A2F">
        <w:t>toxicity</w:t>
      </w:r>
      <w:r w:rsidR="00207731" w:rsidRPr="00207731">
        <w:t xml:space="preserve"> on</w:t>
      </w:r>
      <w:r w:rsidR="00207731">
        <w:t xml:space="preserve"> the complement system. The type of c</w:t>
      </w:r>
      <w:r w:rsidRPr="007A2874">
        <w:t>hemical entity of the nanomedicine</w:t>
      </w:r>
      <w:r w:rsidR="00207731">
        <w:t xml:space="preserve"> and surface </w:t>
      </w:r>
      <w:r w:rsidR="00024F8A">
        <w:t>chemistry</w:t>
      </w:r>
      <w:r w:rsidR="00207731">
        <w:t xml:space="preserve"> were </w:t>
      </w:r>
      <w:r w:rsidRPr="007A2874">
        <w:t xml:space="preserve">shown to </w:t>
      </w:r>
      <w:r w:rsidR="00207731">
        <w:t xml:space="preserve">have </w:t>
      </w:r>
      <w:r w:rsidR="00C810E1">
        <w:t xml:space="preserve">the largest </w:t>
      </w:r>
      <w:r w:rsidRPr="007A2874">
        <w:t xml:space="preserve">influence </w:t>
      </w:r>
      <w:r w:rsidR="00C810E1">
        <w:t xml:space="preserve">on </w:t>
      </w:r>
      <w:r w:rsidRPr="007A2874">
        <w:t>thrombosis</w:t>
      </w:r>
      <w:r w:rsidR="00207731">
        <w:t xml:space="preserve">, followed by size and surface charge. </w:t>
      </w:r>
      <w:r w:rsidRPr="007A2874">
        <w:t xml:space="preserve"> </w:t>
      </w:r>
      <w:r w:rsidR="00207731">
        <w:t>Surface-related properties, s</w:t>
      </w:r>
      <w:r w:rsidR="00B90135">
        <w:t>u</w:t>
      </w:r>
      <w:r w:rsidR="00207731">
        <w:t xml:space="preserve">ch as surface chemistry, surface coating and surface charge were the most frequently reported properties to contribute to complement activation </w:t>
      </w:r>
      <w:r w:rsidR="00207731" w:rsidRPr="00207731">
        <w:rPr>
          <w:i/>
        </w:rPr>
        <w:t>in vivo</w:t>
      </w:r>
      <w:r w:rsidR="00207731">
        <w:t>.</w:t>
      </w:r>
    </w:p>
    <w:p w:rsidR="00207731" w:rsidRDefault="000D57C3" w:rsidP="00207731">
      <w:pPr>
        <w:keepNext/>
        <w:jc w:val="both"/>
      </w:pPr>
      <w:r>
        <w:rPr>
          <w:noProof/>
          <w:lang w:eastAsia="en-GB"/>
        </w:rPr>
        <w:drawing>
          <wp:inline distT="0" distB="0" distL="0" distR="0">
            <wp:extent cx="5724525" cy="1466850"/>
            <wp:effectExtent l="0" t="0" r="9525" b="0"/>
            <wp:docPr id="22" name="Picture 22"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g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24525" cy="1466850"/>
                    </a:xfrm>
                    <a:prstGeom prst="rect">
                      <a:avLst/>
                    </a:prstGeom>
                    <a:noFill/>
                    <a:ln>
                      <a:noFill/>
                    </a:ln>
                  </pic:spPr>
                </pic:pic>
              </a:graphicData>
            </a:graphic>
          </wp:inline>
        </w:drawing>
      </w:r>
    </w:p>
    <w:p w:rsidR="008D1D14" w:rsidRPr="00207731" w:rsidRDefault="00207731" w:rsidP="002F40B1">
      <w:pPr>
        <w:pStyle w:val="Caption"/>
        <w:rPr>
          <w:b w:val="0"/>
          <w:bCs w:val="0"/>
          <w:color w:val="auto"/>
          <w:sz w:val="22"/>
          <w:szCs w:val="22"/>
        </w:rPr>
      </w:pPr>
      <w:r w:rsidRPr="00207731">
        <w:rPr>
          <w:b w:val="0"/>
          <w:bCs w:val="0"/>
          <w:color w:val="auto"/>
          <w:sz w:val="22"/>
          <w:szCs w:val="22"/>
        </w:rPr>
        <w:t xml:space="preserve">Figure </w:t>
      </w:r>
      <w:r w:rsidR="000874E4">
        <w:rPr>
          <w:b w:val="0"/>
          <w:bCs w:val="0"/>
          <w:color w:val="auto"/>
          <w:sz w:val="22"/>
          <w:szCs w:val="22"/>
        </w:rPr>
        <w:t>8</w:t>
      </w:r>
      <w:r w:rsidRPr="00207731">
        <w:rPr>
          <w:b w:val="0"/>
          <w:bCs w:val="0"/>
          <w:color w:val="auto"/>
          <w:sz w:val="22"/>
          <w:szCs w:val="22"/>
        </w:rPr>
        <w:t xml:space="preserve">. </w:t>
      </w:r>
      <w:r w:rsidR="00A67612" w:rsidRPr="00C75910">
        <w:rPr>
          <w:rFonts w:cs="Arial"/>
          <w:b w:val="0"/>
          <w:color w:val="auto"/>
          <w:sz w:val="22"/>
          <w:szCs w:val="22"/>
        </w:rPr>
        <w:t xml:space="preserve">Number of publications associating specific physico-chemical properties of nanomedicines with each of the studied endpoints for blood toxicity </w:t>
      </w:r>
      <w:r w:rsidR="00A67612" w:rsidRPr="00C75910">
        <w:rPr>
          <w:rFonts w:cs="Arial"/>
          <w:b w:val="0"/>
          <w:i/>
          <w:color w:val="auto"/>
          <w:sz w:val="22"/>
          <w:szCs w:val="22"/>
        </w:rPr>
        <w:t xml:space="preserve">in </w:t>
      </w:r>
      <w:r w:rsidR="00A67612">
        <w:rPr>
          <w:rFonts w:cs="Arial"/>
          <w:b w:val="0"/>
          <w:i/>
          <w:color w:val="auto"/>
          <w:sz w:val="22"/>
          <w:szCs w:val="22"/>
        </w:rPr>
        <w:t>vivo</w:t>
      </w:r>
      <w:r w:rsidR="00A67612" w:rsidRPr="00C75910">
        <w:rPr>
          <w:rFonts w:cs="Arial"/>
          <w:b w:val="0"/>
          <w:color w:val="auto"/>
          <w:sz w:val="22"/>
          <w:szCs w:val="22"/>
        </w:rPr>
        <w:t xml:space="preserve">: haematology (A), </w:t>
      </w:r>
      <w:r w:rsidR="00A67612">
        <w:rPr>
          <w:rFonts w:cs="Arial"/>
          <w:b w:val="0"/>
          <w:color w:val="auto"/>
          <w:sz w:val="22"/>
          <w:szCs w:val="22"/>
        </w:rPr>
        <w:t>thrombosis</w:t>
      </w:r>
      <w:r w:rsidR="00A67612" w:rsidRPr="00C75910">
        <w:rPr>
          <w:rFonts w:cs="Arial"/>
          <w:b w:val="0"/>
          <w:color w:val="auto"/>
          <w:sz w:val="22"/>
          <w:szCs w:val="22"/>
        </w:rPr>
        <w:t xml:space="preserve"> (B), and complement activation (</w:t>
      </w:r>
      <w:r w:rsidR="00A67612">
        <w:rPr>
          <w:rFonts w:cs="Arial"/>
          <w:b w:val="0"/>
          <w:color w:val="auto"/>
          <w:sz w:val="22"/>
          <w:szCs w:val="22"/>
        </w:rPr>
        <w:t>C</w:t>
      </w:r>
      <w:r w:rsidR="00A67612" w:rsidRPr="00C75910">
        <w:rPr>
          <w:rFonts w:cs="Arial"/>
          <w:b w:val="0"/>
          <w:color w:val="auto"/>
          <w:sz w:val="22"/>
          <w:szCs w:val="22"/>
        </w:rPr>
        <w:t>).</w:t>
      </w:r>
      <w:r w:rsidR="00A67612">
        <w:rPr>
          <w:rFonts w:cs="Arial"/>
          <w:b w:val="0"/>
          <w:color w:val="auto"/>
          <w:sz w:val="22"/>
          <w:szCs w:val="22"/>
        </w:rPr>
        <w:t xml:space="preserve"> </w:t>
      </w:r>
    </w:p>
    <w:p w:rsidR="008D1D14" w:rsidRPr="008D1D14" w:rsidRDefault="008D1D14" w:rsidP="008D1D14">
      <w:pPr>
        <w:jc w:val="both"/>
      </w:pPr>
    </w:p>
    <w:p w:rsidR="008D1D14" w:rsidRPr="00C75910" w:rsidRDefault="00292E55" w:rsidP="008D1D14">
      <w:pPr>
        <w:jc w:val="both"/>
        <w:rPr>
          <w:rFonts w:cs="Arial"/>
        </w:rPr>
      </w:pPr>
      <w:bookmarkStart w:id="6" w:name="_Ref497727429"/>
      <w:r>
        <w:t>T</w:t>
      </w:r>
      <w:r w:rsidR="00B90135">
        <w:t xml:space="preserve">he </w:t>
      </w:r>
      <w:r w:rsidR="00B90135" w:rsidRPr="00B90135">
        <w:t xml:space="preserve">contribution of the reported physico-chemical properties to each of the </w:t>
      </w:r>
      <w:r w:rsidRPr="00292E55">
        <w:rPr>
          <w:i/>
        </w:rPr>
        <w:t>in vitro</w:t>
      </w:r>
      <w:r>
        <w:t xml:space="preserve"> </w:t>
      </w:r>
      <w:r w:rsidR="00B90135" w:rsidRPr="00B90135">
        <w:t>endpoints individually</w:t>
      </w:r>
      <w:r w:rsidR="00B90135">
        <w:t xml:space="preserve"> </w:t>
      </w:r>
      <w:r>
        <w:t xml:space="preserve">is </w:t>
      </w:r>
      <w:r w:rsidR="00B90135">
        <w:t xml:space="preserve">shown in Figure </w:t>
      </w:r>
      <w:r w:rsidR="000874E4">
        <w:t>9</w:t>
      </w:r>
      <w:r w:rsidR="00B90135">
        <w:t>.</w:t>
      </w:r>
      <w:r w:rsidR="00B90135" w:rsidRPr="00B90135" w:rsidDel="008A3C9E">
        <w:t xml:space="preserve"> </w:t>
      </w:r>
      <w:bookmarkEnd w:id="6"/>
      <w:r w:rsidR="008D1D14" w:rsidRPr="00C75910">
        <w:rPr>
          <w:rFonts w:cs="Arial"/>
        </w:rPr>
        <w:t xml:space="preserve">Surface characteristics such as surface chemistry and charge were identified as key properties </w:t>
      </w:r>
      <w:r w:rsidR="00151717">
        <w:rPr>
          <w:rFonts w:cs="Arial"/>
        </w:rPr>
        <w:t xml:space="preserve">causing </w:t>
      </w:r>
      <w:r w:rsidR="008D1D14" w:rsidRPr="00C75910">
        <w:rPr>
          <w:rFonts w:cs="Arial"/>
        </w:rPr>
        <w:t>altered effects on haematology (</w:t>
      </w:r>
      <w:r w:rsidR="00A67612">
        <w:rPr>
          <w:rFonts w:cs="Arial"/>
        </w:rPr>
        <w:t xml:space="preserve">Figure </w:t>
      </w:r>
      <w:r w:rsidR="000874E4">
        <w:rPr>
          <w:rFonts w:cs="Arial"/>
        </w:rPr>
        <w:t>9</w:t>
      </w:r>
      <w:r w:rsidR="000874E4" w:rsidRPr="00C75910">
        <w:rPr>
          <w:rFonts w:cs="Arial"/>
        </w:rPr>
        <w:t>A</w:t>
      </w:r>
      <w:r w:rsidR="008D1D14" w:rsidRPr="00C75910">
        <w:rPr>
          <w:rFonts w:cs="Arial"/>
        </w:rPr>
        <w:t xml:space="preserve">). Surface chemistry and therefore, surface reactivity determine the interaction of nanomedicines with red blood cells (RBCs). For instance, the interaction of dendrimers with the RBC membrane due to electrostatic attraction </w:t>
      </w:r>
      <w:r w:rsidR="00151717">
        <w:rPr>
          <w:rFonts w:cs="Arial"/>
        </w:rPr>
        <w:t xml:space="preserve">was shown to </w:t>
      </w:r>
      <w:r w:rsidR="008D1D14" w:rsidRPr="00C75910">
        <w:rPr>
          <w:rFonts w:cs="Arial"/>
        </w:rPr>
        <w:t>lead to different outcomes depending on surface chemistry of the</w:t>
      </w:r>
      <w:r w:rsidR="00CF6BB2">
        <w:rPr>
          <w:rFonts w:cs="Arial"/>
        </w:rPr>
        <w:t xml:space="preserve"> nanoparticles</w:t>
      </w:r>
      <w:r w:rsidR="008D1D14" w:rsidRPr="00C75910">
        <w:rPr>
          <w:rFonts w:cs="Arial"/>
        </w:rPr>
        <w:t xml:space="preserve">, with higher haemolysis reported for more positive dendrimers </w:t>
      </w:r>
      <w:r w:rsidR="008D1D14" w:rsidRPr="00C75910">
        <w:rPr>
          <w:rFonts w:cs="Arial"/>
        </w:rPr>
        <w:fldChar w:fldCharType="begin" w:fldLock="1"/>
      </w:r>
      <w:r w:rsidR="008D1D14" w:rsidRPr="00C75910">
        <w:rPr>
          <w:rFonts w:cs="Arial"/>
        </w:rPr>
        <w:instrText>ADDIN CSL_CITATION { "citationItems" : [ { "id" : "ITEM-1", "itemData" : { "DOI" : "10.1016/j.bioelechem.2003.09.023", "ISBN" : "1689-1392 (Electronic)\\n1425-8153 (Linking)", "ISSN" : "15675394", "PMID" : "15110271", "abstract" : "Polyamidoamine (PAMAM) dendrimers with different concentrations (1 nM-1 mM) (generations 2, 3, and 4) impact on human red blood cell morphology, and membrane integrity is studied. Erythrocyte shape changes from biconcave to echinocytic in dendrimers. Cell aggregation occurs. Polymers cause also concentration- and generation-dependent haemolysis. ?? 2004 Elsevier B.V. All rights reserved.", "author" : [ { "dropping-particle" : "", "family" : "Doma\u0144ski", "given" : "D. M.", "non-dropping-particle" : "", "parse-names" : false, "suffix" : "" }, { "dropping-particle" : "", "family" : "Klajnert", "given" : "B.", "non-dropping-particle" : "", "parse-names" : false, "suffix" : "" }, { "dropping-particle" : "", "family" : "Bryszewska", "given" : "M.", "non-dropping-particle" : "", "parse-names" : false, "suffix" : "" } ], "container-title" : "Bioelectrochemistry", "id" : "ITEM-1", "issue" : "1-2", "issued" : { "date-parts" : [ [ "2004" ] ] }, "page" : "189-191", "title" : "Influence of PAMAM dendrimers on human red blood cells", "type" : "article-journal", "volume" : "63" }, "uris" : [ "http://www.mendeley.com/documents/?uuid=c7ba5f19-c492-4f4e-90f0-1b174f034b17" ] } ], "mendeley" : { "formattedCitation" : "(Doma\u0144ski, Klajnert, &amp; Bryszewska, 2004)", "manualFormatting" : "(Doma\u0144ski, 2004)", "plainTextFormattedCitation" : "(Doma\u0144ski, Klajnert, &amp; Bryszewska, 2004)", "previouslyFormattedCitation" : "(Doma\u0144ski, Klajnert, &amp; Bryszewska, 2004)" }, "properties" : { "noteIndex" : 19 }, "schema" : "https://github.com/citation-style-language/schema/raw/master/csl-citation.json" }</w:instrText>
      </w:r>
      <w:r w:rsidR="008D1D14" w:rsidRPr="00C75910">
        <w:rPr>
          <w:rFonts w:cs="Arial"/>
        </w:rPr>
        <w:fldChar w:fldCharType="separate"/>
      </w:r>
      <w:r w:rsidR="008D1D14" w:rsidRPr="00C75910">
        <w:rPr>
          <w:rFonts w:cs="Arial"/>
          <w:noProof/>
        </w:rPr>
        <w:t>(Domański, 2004)</w:t>
      </w:r>
      <w:r w:rsidR="008D1D14" w:rsidRPr="00C75910">
        <w:rPr>
          <w:rFonts w:cs="Arial"/>
        </w:rPr>
        <w:fldChar w:fldCharType="end"/>
      </w:r>
      <w:r w:rsidR="008D1D14" w:rsidRPr="00C75910">
        <w:rPr>
          <w:rFonts w:cs="Arial"/>
        </w:rPr>
        <w:t>,</w:t>
      </w:r>
      <w:r w:rsidR="004F74B4" w:rsidRPr="00C75910">
        <w:rPr>
          <w:rFonts w:cs="Arial"/>
        </w:rPr>
        <w:t xml:space="preserve"> </w:t>
      </w:r>
      <w:r w:rsidR="008D1D14" w:rsidRPr="00C75910">
        <w:rPr>
          <w:rFonts w:cs="Arial"/>
          <w:vertAlign w:val="superscript"/>
        </w:rPr>
        <w:fldChar w:fldCharType="begin" w:fldLock="1"/>
      </w:r>
      <w:r w:rsidR="008D1D14" w:rsidRPr="00C75910">
        <w:rPr>
          <w:rFonts w:cs="Arial"/>
          <w:vertAlign w:val="superscript"/>
        </w:rPr>
        <w:instrText>ADDIN CSL_CITATION { "citationItems" : [ { "id" : "ITEM-1", "itemData" : { "DOI" : "10.1016/S0168-3659(99)00246-1", "ISBN" : "1441717535932", "ISSN" : "01683659", "PMID" : "10699277", "abstract" : "Dendrimers are highly branched macromolecules of low polydispersity that provide many exciting opportunities for design of novel drug-carriers, gene delivery systems and imaging agents. They hold promise in tissue targeting applications, controlled drug release and moreover, their interesting nanoscopic architecture might allow easier passage across biological barriers by transcytosis. However, from the vast array of structures currently emerging from synthetic chemistry it is essential to design molecules that have real potential for in vivo biological use. Here, polyamidoamine (PAMAM, Starburst(TM)), poly(propyleneimine) with either diaminobutane or diaminoethane as core, and poly(ethylene oxide) (PEO) grafted carbosilane (CSi-PEO) dendrimers were used to study systematically the effect of dendrimer generation and surface functionality on biological properties in vitro. Generally, dendrimers bearing -NH2 termini displayed concentration- and in the case of PAMAM dendrimers generation-dependent haemolysis, and changes in red cell morphology were observed after 1 h even at low concentrations (10 \u03bcg/ml). At concentrations below 1 mg/ml CSi-PEO dendrimers and those dendrimers with carboxylate (COONa) terminal groups were neither haemolytic nor cytotoxic towards a panel of cell lines in vitro. In general, cationic dendrimers were cytotoxic (72 h incubation), displaying IC50 values=50-300 \u03bcg/ml dependent on dendrimer-type, cell-type and generation. Preliminary studies with polyether dendrimers prepared by the convergent route showed that dendrimers with carboxylate and malonate surfaces were not haemolytic at 1 h, but after 24 h, unlike anionic PAMAM dendrimers they were lytic. Cationic 125I-labelled PAMAM dendrimers (gen 3 and 4) administered intravenously (i.v.) to Wistar rats (~10 \u03bcg/ml) were cleared rapidly from the circulation (&lt;2% recovered dose in blood at 1 h). Anionic PAMAM dendrimers (gen 2.5, 3.5 and 5.5) showed longer circulation times (~20-40% recovered dose in blood at 1 h) with generation-dependent clearance rates; lower generations circulated longer. For both anionic and cationic species blood levels at 1 h correlated with the extent of liver capture observed (30-90% recovered dose at 1 h). 125I-Labelled PAMAM dendrimers injected intraperitoneally were transferred to the bloodstream within an hour and their subsequent biodistribution mirrored that seen following i.v. injection. Inherent toxicity would suggest it unlikely that higher generatio\u2026", "author" : [ { "dropping-particle" : "", "family" : "Malik", "given" : "N.", "non-dropping-particle" : "", "parse-names" : false, "suffix" : "" }, { "dropping-particle" : "", "family" : "Wiwattanapatapee", "given" : "R.", "non-dropping-particle" : "", "parse-names" : false, "suffix" : "" }, { "dropping-particle" : "", "family" : "Klopsch", "given" : "R.", "non-dropping-particle" : "", "parse-names" : false, "suffix" : "" }, { "dropping-particle" : "", "family" : "Lorenz", "given" : "K.", "non-dropping-particle" : "", "parse-names" : false, "suffix" : "" }, { "dropping-particle" : "", "family" : "Frey", "given" : "H.", "non-dropping-particle" : "", "parse-names" : false, "suffix" : "" }, { "dropping-particle" : "", "family" : "Weener", "given" : "J. W.", "non-dropping-particle" : "", "parse-names" : false, "suffix" : "" }, { "dropping-particle" : "", "family" : "Meijer", "given" : "E. W.", "non-dropping-particle" : "", "parse-names" : false, "suffix" : "" }, { "dropping-particle" : "", "family" : "Paulus", "given" : "W.", "non-dropping-particle" : "", "parse-names" : false, "suffix" : "" }, { "dropping-particle" : "", "family" : "Duncan", "given" : "R.", "non-dropping-particle" : "", "parse-names" : false, "suffix" : "" } ], "container-title" : "Journal of Controlled Release", "id" : "ITEM-1", "issue" : "1-2", "issued" : { "date-parts" : [ [ "2000" ] ] }, "page" : "133-148", "title" : "Dendrimers: Relationship between structure and biocompatibility in vitro, and preliminary studies on the biodistribution of 125I-labelled polyamidoamine dendrimers in vivo", "type" : "article-journal", "volume" : "65" }, "uris" : [ "http://www.mendeley.com/documents/?uuid=5a7ffdc4-33ce-4db4-9f1e-6d3c2b463df9" ] } ], "mendeley" : { "formattedCitation" : "(Malik et al., 2000)", "manualFormatting" : "(Malik, 2000)", "plainTextFormattedCitation" : "(Malik et al., 2000)", "previouslyFormattedCitation" : "(Malik et al., 2000)" }, "properties" : { "noteIndex" : 19 }, "schema" : "https://github.com/citation-style-language/schema/raw/master/csl-citation.json" }</w:instrText>
      </w:r>
      <w:r w:rsidR="008D1D14" w:rsidRPr="00C75910">
        <w:rPr>
          <w:rFonts w:cs="Arial"/>
          <w:vertAlign w:val="superscript"/>
        </w:rPr>
        <w:fldChar w:fldCharType="separate"/>
      </w:r>
      <w:r w:rsidR="008D1D14" w:rsidRPr="00C75910">
        <w:rPr>
          <w:rFonts w:cs="Arial"/>
          <w:noProof/>
        </w:rPr>
        <w:t>(Malik, 2000)</w:t>
      </w:r>
      <w:r w:rsidR="008D1D14" w:rsidRPr="00C75910">
        <w:rPr>
          <w:rFonts w:cs="Arial"/>
          <w:vertAlign w:val="superscript"/>
        </w:rPr>
        <w:fldChar w:fldCharType="end"/>
      </w:r>
      <w:r w:rsidR="008D1D14" w:rsidRPr="00C75910">
        <w:rPr>
          <w:rFonts w:cs="Arial"/>
        </w:rPr>
        <w:t>. Other studies report</w:t>
      </w:r>
      <w:r w:rsidR="00151717">
        <w:rPr>
          <w:rFonts w:cs="Arial"/>
        </w:rPr>
        <w:t>ed</w:t>
      </w:r>
      <w:r w:rsidR="008D1D14" w:rsidRPr="00C75910">
        <w:rPr>
          <w:rFonts w:cs="Arial"/>
        </w:rPr>
        <w:t xml:space="preserve"> that blocking the surface reactive groups of the particles, reduces their interaction with the membranes of RBCs and therefore their potential haemolytic activity </w:t>
      </w:r>
      <w:r w:rsidR="008D1D14" w:rsidRPr="00C75910">
        <w:rPr>
          <w:rFonts w:cs="Arial"/>
        </w:rPr>
        <w:fldChar w:fldCharType="begin" w:fldLock="1"/>
      </w:r>
      <w:r w:rsidR="008D1D14" w:rsidRPr="00C75910">
        <w:rPr>
          <w:rFonts w:cs="Arial"/>
        </w:rPr>
        <w:instrText>ADDIN CSL_CITATION { "citationItems" : [ { "id" : "ITEM-1", "itemData" : { "DOI" : "10.1021/nn103077k", "ISSN" : "1936-086X", "PMID" : "21294526", "abstract" : "The interactions of mesoporous silica nanoparticles (MSNs) of different particle sizes and surface properties with human red blood cell (RBC) membranes were investigated by membrane filtration, flow cytometry, and various microscopic techniques. Small MCM-41-type MSNs (\u223c100 nm) were found to adsorb to the surface of RBCs without disturbing the membrane or morphology. In contrast, adsorption of large SBA-15-type MSNs (\u223c600 nm) to RBCs induced a strong local membrane deformation leading to spiculation of RBCs, internalization of the particles, and eventual hemolysis. In addition, the relationship between the degree of MSN surface functionalization and the degree of its interaction with RBC, as well as the effect of RBC-MSN interaction on cellular deformability, were investigated. The results presented here provide a better understanding of the mechanisms of RBC-MSN interaction and the hemolytic activity of MSNs and will assist in the rational design of hemocompatible MSNs for intravenous drug delivery and in vivo imaging.", "author" : [ { "dropping-particle" : "", "family" : "Zhao", "given" : "Yannan", "non-dropping-particle" : "", "parse-names" : false, "suffix" : "" }, { "dropping-particle" : "", "family" : "Sun", "given" : "Xiaoxing", "non-dropping-particle" : "", "parse-names" : false, "suffix" : "" }, { "dropping-particle" : "", "family" : "Zhang", "given" : "Guannan", "non-dropping-particle" : "", "parse-names" : false, "suffix" : "" }, { "dropping-particle" : "", "family" : "Trewyn", "given" : "Brian G", "non-dropping-particle" : "", "parse-names" : false, "suffix" : "" }, { "dropping-particle" : "", "family" : "Slowing", "given" : "Igor I", "non-dropping-particle" : "", "parse-names" : false, "suffix" : "" }, { "dropping-particle" : "", "family" : "Lin", "given" : "Victor S-Y", "non-dropping-particle" : "", "parse-names" : false, "suffix" : "" } ], "container-title" : "ACS Nano", "id" : "ITEM-1", "issue" : "2", "issued" : { "date-parts" : [ [ "2011" ] ] }, "page" : "1366-75", "title" : "Interaction of Mesoporous Silica Nanoparticles with Human Red Blood Cell Membranes : Size and Surface E ff ects", "type" : "article-journal", "volume" : "5" }, "uris" : [ "http://www.mendeley.com/documents/?uuid=3b187aa1-523e-4c5c-a78e-7a1de7438099" ] } ], "mendeley" : { "formattedCitation" : "(Zhao et al., 2011)", "manualFormatting" : "(Zhao, 2011)", "plainTextFormattedCitation" : "(Zhao et al., 2011)", "previouslyFormattedCitation" : "(Zhao et al., 2011)" }, "properties" : { "noteIndex" : 15 }, "schema" : "https://github.com/citation-style-language/schema/raw/master/csl-citation.json" }</w:instrText>
      </w:r>
      <w:r w:rsidR="008D1D14" w:rsidRPr="00C75910">
        <w:rPr>
          <w:rFonts w:cs="Arial"/>
        </w:rPr>
        <w:fldChar w:fldCharType="separate"/>
      </w:r>
      <w:r w:rsidR="008D1D14" w:rsidRPr="00C75910">
        <w:rPr>
          <w:rFonts w:cs="Arial"/>
          <w:noProof/>
        </w:rPr>
        <w:t>(Zhao, 2011)</w:t>
      </w:r>
      <w:r w:rsidR="008D1D14" w:rsidRPr="00C75910">
        <w:rPr>
          <w:rFonts w:cs="Arial"/>
        </w:rPr>
        <w:fldChar w:fldCharType="end"/>
      </w:r>
      <w:r w:rsidR="008D1D14" w:rsidRPr="00C75910">
        <w:rPr>
          <w:rFonts w:cs="Arial"/>
        </w:rPr>
        <w:t xml:space="preserve">. Size, particle stability and oxidative state were also identified as relevant contributors to blood toxicity. Size was the main contributor to haematology toxicities </w:t>
      </w:r>
      <w:r w:rsidR="008D1D14" w:rsidRPr="00C75910">
        <w:rPr>
          <w:rFonts w:cs="Arial"/>
          <w:i/>
        </w:rPr>
        <w:t>in vivo</w:t>
      </w:r>
      <w:r w:rsidR="008D1D14" w:rsidRPr="00C75910">
        <w:rPr>
          <w:rFonts w:cs="Arial"/>
        </w:rPr>
        <w:t xml:space="preserve">, however, the exact mechanism for erythrocyte membrane damage is not clear and some publications describe contradictory results. Some of the claimed modes of action are: the formation of pores in the RBC membrane by nanoparticles leading to osmotic lysis, strong local deformation </w:t>
      </w:r>
      <w:r w:rsidR="00DA4A81">
        <w:rPr>
          <w:rFonts w:cs="Arial"/>
        </w:rPr>
        <w:t>causing the destruction of RBCs or</w:t>
      </w:r>
      <w:r w:rsidR="008D1D14" w:rsidRPr="00C75910">
        <w:rPr>
          <w:rFonts w:cs="Arial"/>
        </w:rPr>
        <w:t xml:space="preserve"> </w:t>
      </w:r>
      <w:r w:rsidR="00DA4A81">
        <w:rPr>
          <w:rFonts w:cs="Arial"/>
        </w:rPr>
        <w:t xml:space="preserve">the </w:t>
      </w:r>
      <w:r w:rsidR="008D1D14" w:rsidRPr="00C75910">
        <w:rPr>
          <w:rFonts w:cs="Arial"/>
        </w:rPr>
        <w:t xml:space="preserve">oxidative deterioration of membranes by reactive oxygen species or lipid peroxidation </w:t>
      </w:r>
      <w:r w:rsidR="008D1D14" w:rsidRPr="00C75910">
        <w:rPr>
          <w:rFonts w:cs="Arial"/>
        </w:rPr>
        <w:fldChar w:fldCharType="begin" w:fldLock="1"/>
      </w:r>
      <w:r w:rsidR="008D1D14" w:rsidRPr="00C75910">
        <w:rPr>
          <w:rFonts w:cs="Arial"/>
        </w:rPr>
        <w:instrText>ADDIN CSL_CITATION { "citationItems" : [ { "id" : "ITEM-1", "itemData" : { "DOI" : "10.1038/srep25518", "ISSN" : "2045-2322", "PMID" : "27145858", "abstract" : "Silver nanoparticles (AgNPs) have tremendous potentials in medical devices due to their excellent antimicrobial properties. Blood compatibility should be investigated for AgNPs due to the potential blood contact. However, so far, most studies are not systematic and have not provided insights into the mechanisms for blood compatibility of AgNPs. In this study, we have investigated the blood biological effects, including hemolysis, lymphocyte proliferation, platelet aggregation, coagulation and complement activation, of 20 nm AgNPs with two different surface coatings (polyvinyl pyrrolidone and citrate). Our results have revealed AgNPs could elicit hemolysis and severely impact the proliferation and viability of lymphocytes at all investigated concentrations (10, 20, 40 mug/mL). Nevertheless, AgNPs didn't show any effect on platelet aggregation, coagulation process, or complement activation at up to ~40 mug/mL. Proteomic analysis on AgNPs plasma proteins corona has revealed that acidic and small molecular weight blood plasma proteins were preferentially adsorbed onto AgNPs, and these include some important proteins relevant to hemostasis, coagulation, platelet, complement activation and immune responses. The predicted biological effects of AgNPs by proteomic analysis are mostly consistent with our experimental data since there were few C3 components on AgNPs and more negative than positive factors involving platelet aggregation and thrombosis.", "author" : [ { "dropping-particle" : "", "family" : "Huang", "given" : "He", "non-dropping-particle" : "", "parse-names" : false, "suffix" : "" }, { "dropping-particle" : "", "family" : "Lai", "given" : "Wenjia", "non-dropping-particle" : "", "parse-names" : false, "suffix" : "" }, { "dropping-particle" : "", "family" : "Cui", "given" : "Menghua", "non-dropping-particle" : "", "parse-names" : false, "suffix" : "" }, { "dropping-particle" : "", "family" : "Liang", "given" : "Ling", "non-dropping-particle" : "", "parse-names" : false, "suffix" : "" }, { "dropping-particle" : "", "family" : "Lin", "given" : "Yuchen", "non-dropping-particle" : "", "parse-names" : false, "suffix" : "" }, { "dropping-particle" : "", "family" : "Fang", "given" : "Qiaojun", "non-dropping-particle" : "", "parse-names" : false, "suffix" : "" }, { "dropping-particle" : "", "family" : "Liu", "given" : "Ying", "non-dropping-particle" : "", "parse-names" : false, "suffix" : "" }, { "dropping-particle" : "", "family" : "Xie", "given" : "Liming", "non-dropping-particle" : "", "parse-names" : false, "suffix" : "" } ], "container-title" : "Scientific Reports", "id" : "ITEM-1", "issue" : "April", "issued" : { "date-parts" : [ [ "2016" ] ] }, "page" : "25518", "publisher" : "Nature Publishing Group", "title" : "An Evaluation of Blood Compatibility of Silver Nanoparticles", "type" : "article-journal", "volume" : "6" }, "uris" : [ "http://www.mendeley.com/documents/?uuid=d5d960ba-b8bf-499d-99a3-d59e4166ac44" ] } ], "mendeley" : { "formattedCitation" : "(Huang et al., 2016)", "manualFormatting" : "(Huang, 2016)", "plainTextFormattedCitation" : "(Huang et al., 2016)", "previouslyFormattedCitation" : "(Huang et al., 2016)" }, "properties" : { "noteIndex" : 15 }, "schema" : "https://github.com/citation-style-language/schema/raw/master/csl-citation.json" }</w:instrText>
      </w:r>
      <w:r w:rsidR="008D1D14" w:rsidRPr="00C75910">
        <w:rPr>
          <w:rFonts w:cs="Arial"/>
        </w:rPr>
        <w:fldChar w:fldCharType="separate"/>
      </w:r>
      <w:r w:rsidR="008D1D14" w:rsidRPr="00C75910">
        <w:rPr>
          <w:rFonts w:cs="Arial"/>
          <w:noProof/>
        </w:rPr>
        <w:t>(Huang, 2016)</w:t>
      </w:r>
      <w:r w:rsidR="008D1D14" w:rsidRPr="00C75910">
        <w:rPr>
          <w:rFonts w:cs="Arial"/>
        </w:rPr>
        <w:fldChar w:fldCharType="end"/>
      </w:r>
      <w:r w:rsidR="008D1D14" w:rsidRPr="00C75910">
        <w:rPr>
          <w:rFonts w:cs="Arial"/>
        </w:rPr>
        <w:t xml:space="preserve">. Other properties, more specifically, the shape of the nanomedicine have also been suggested as contributors to this toxicity </w:t>
      </w:r>
      <w:r w:rsidR="008D1D14" w:rsidRPr="00C75910">
        <w:rPr>
          <w:rFonts w:cs="Arial"/>
        </w:rPr>
        <w:fldChar w:fldCharType="begin" w:fldLock="1"/>
      </w:r>
      <w:r w:rsidR="008D1D14" w:rsidRPr="00C75910">
        <w:rPr>
          <w:rFonts w:cs="Arial"/>
        </w:rPr>
        <w:instrText>ADDIN CSL_CITATION { "citationItems" : [ { "id" : "ITEM-1", "itemData" : { "DOI" : "10.1016/j.fct.2008.09.012", "ISBN" : "0278-6915", "ISSN" : "02786915", "PMID" : "18840495", "abstract" : "Titanium dioxide (TiO2) has been considered as non-toxic mineral particles widely used in the fields like cosmetics, food and drug. When the scale come to nanometer, TiO2 nanoparticles (nano-TiO2) exhibits multiple specific characteristics coupled with unknown risks on health. The purpose of this study was to systematically research the influence of nano-TiO2 on erythrocyte. The results indicated that the erythrocytes treated with nano-TiO2 underwent abnormal sedimentation, hemagglutination and dose dependent hemolysis, totally differing from those treated with micro-TiO2. The ghost cells were firstly investigated by using ultra-thin cell section in the case under nano-TiO2. The mechanism of such adverse effects is (1) the attachment around erythrocyte change the surface native properties and ultimately lead to hemoagglutination; (2) the content leak to the outside of erythrocyte through the breakage induced by both the nano-TiO2 trans-membrane and the oxidative stress under nano-TiO2. Our findings imply that nano-TiO2 may have potential toxicity to human being health. ?? 2008 Elsevier Ltd. All rights reserved.", "author" : [ { "dropping-particle" : "", "family" : "Li", "given" : "Shi Qiang", "non-dropping-particle" : "", "parse-names" : false, "suffix" : "" }, { "dropping-particle" : "", "family" : "Zhu", "given" : "Rong Rong", "non-dropping-particle" : "", "parse-names" : false, "suffix" : "" }, { "dropping-particle" : "", "family" : "Zhu", "given" : "Hong", "non-dropping-particle" : "", "parse-names" : false, "suffix" : "" }, { "dropping-particle" : "", "family" : "Xue", "given" : "Meng", "non-dropping-particle" : "", "parse-names" : false, "suffix" : "" }, { "dropping-particle" : "", "family" : "Sun", "given" : "Xiao Yu", "non-dropping-particle" : "", "parse-names" : false, "suffix" : "" }, { "dropping-particle" : "De", "family" : "Yao", "given" : "Si", "non-dropping-particle" : "", "parse-names" : false, "suffix" : "" }, { "dropping-particle" : "", "family" : "Wang", "given" : "Shi Long", "non-dropping-particle" : "", "parse-names" : false, "suffix" : "" } ], "container-title" : "Food and Chemical Toxicology", "id" : "ITEM-1", "issue" : "12", "issued" : { "date-parts" : [ [ "2008" ] ] }, "page" : "3626-3631", "title" : "Nanotoxicity of TiO2 nanoparticles to erythrocyte in vitro", "type" : "article-journal", "volume" : "46" }, "uris" : [ "http://www.mendeley.com/documents/?uuid=e1aa7481-99f3-4603-b9cb-17a6a585059f" ] } ], "mendeley" : { "formattedCitation" : "(Li et al., 2008)", "manualFormatting" : "(Li, 2008)", "plainTextFormattedCitation" : "(Li et al., 2008)", "previouslyFormattedCitation" : "(Li et al., 2008)" }, "properties" : { "noteIndex" : 15 }, "schema" : "https://github.com/citation-style-language/schema/raw/master/csl-citation.json" }</w:instrText>
      </w:r>
      <w:r w:rsidR="008D1D14" w:rsidRPr="00C75910">
        <w:rPr>
          <w:rFonts w:cs="Arial"/>
        </w:rPr>
        <w:fldChar w:fldCharType="separate"/>
      </w:r>
      <w:r w:rsidR="008D1D14" w:rsidRPr="00C75910">
        <w:rPr>
          <w:rFonts w:cs="Arial"/>
          <w:noProof/>
        </w:rPr>
        <w:t>(Li, 2008)</w:t>
      </w:r>
      <w:r w:rsidR="008D1D14" w:rsidRPr="00C75910">
        <w:rPr>
          <w:rFonts w:cs="Arial"/>
        </w:rPr>
        <w:fldChar w:fldCharType="end"/>
      </w:r>
      <w:r w:rsidR="008D1D14" w:rsidRPr="00C75910">
        <w:rPr>
          <w:rFonts w:cs="Arial"/>
        </w:rPr>
        <w:t>.</w:t>
      </w:r>
      <w:r w:rsidR="008D1D14" w:rsidRPr="00C75910">
        <w:t xml:space="preserve"> </w:t>
      </w:r>
    </w:p>
    <w:p w:rsidR="008D1D14" w:rsidRPr="00C75910" w:rsidRDefault="000D57C3" w:rsidP="008D1D14">
      <w:pPr>
        <w:keepNext/>
        <w:spacing w:after="0"/>
        <w:jc w:val="both"/>
      </w:pPr>
      <w:r>
        <w:rPr>
          <w:rFonts w:cs="Arial"/>
          <w:noProof/>
          <w:color w:val="FF0000"/>
          <w:lang w:eastAsia="en-GB"/>
        </w:rPr>
        <w:lastRenderedPageBreak/>
        <w:drawing>
          <wp:inline distT="0" distB="0" distL="0" distR="0">
            <wp:extent cx="5734050" cy="3971925"/>
            <wp:effectExtent l="0" t="0" r="0" b="9525"/>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3971925"/>
                    </a:xfrm>
                    <a:prstGeom prst="rect">
                      <a:avLst/>
                    </a:prstGeom>
                    <a:noFill/>
                    <a:ln>
                      <a:noFill/>
                    </a:ln>
                  </pic:spPr>
                </pic:pic>
              </a:graphicData>
            </a:graphic>
          </wp:inline>
        </w:drawing>
      </w:r>
    </w:p>
    <w:p w:rsidR="008D1D14" w:rsidRPr="00C75910" w:rsidRDefault="008D1D14" w:rsidP="008D1D14">
      <w:pPr>
        <w:pStyle w:val="Caption"/>
        <w:spacing w:line="276" w:lineRule="auto"/>
        <w:rPr>
          <w:color w:val="auto"/>
          <w:sz w:val="22"/>
          <w:szCs w:val="22"/>
        </w:rPr>
      </w:pPr>
      <w:bookmarkStart w:id="7" w:name="_Ref499288362"/>
      <w:r w:rsidRPr="00C75910">
        <w:rPr>
          <w:rFonts w:cs="Arial"/>
          <w:b w:val="0"/>
          <w:color w:val="auto"/>
          <w:sz w:val="22"/>
          <w:szCs w:val="22"/>
        </w:rPr>
        <w:t>Figure</w:t>
      </w:r>
      <w:bookmarkEnd w:id="7"/>
      <w:r w:rsidR="000874E4">
        <w:rPr>
          <w:rFonts w:cs="Arial"/>
          <w:b w:val="0"/>
          <w:color w:val="auto"/>
          <w:sz w:val="22"/>
          <w:szCs w:val="22"/>
        </w:rPr>
        <w:t xml:space="preserve"> 9</w:t>
      </w:r>
      <w:r w:rsidRPr="00C75910">
        <w:rPr>
          <w:rFonts w:cs="Arial"/>
          <w:b w:val="0"/>
          <w:color w:val="auto"/>
          <w:sz w:val="22"/>
          <w:szCs w:val="22"/>
        </w:rPr>
        <w:t>.</w:t>
      </w:r>
      <w:r w:rsidRPr="00C75910">
        <w:rPr>
          <w:rFonts w:cs="Arial"/>
          <w:color w:val="auto"/>
          <w:sz w:val="22"/>
          <w:szCs w:val="22"/>
        </w:rPr>
        <w:t xml:space="preserve"> </w:t>
      </w:r>
      <w:r w:rsidRPr="00C75910">
        <w:rPr>
          <w:rFonts w:cs="Arial"/>
          <w:b w:val="0"/>
          <w:color w:val="auto"/>
          <w:sz w:val="22"/>
          <w:szCs w:val="22"/>
        </w:rPr>
        <w:t xml:space="preserve">Number of publications associating specific physico-chemical properties of nanomedicines with each of the studied endpoints </w:t>
      </w:r>
      <w:r w:rsidR="00FC2867" w:rsidRPr="00C75910">
        <w:rPr>
          <w:rFonts w:cs="Arial"/>
          <w:b w:val="0"/>
          <w:color w:val="auto"/>
          <w:sz w:val="22"/>
          <w:szCs w:val="22"/>
        </w:rPr>
        <w:t xml:space="preserve">for blood toxicity </w:t>
      </w:r>
      <w:r w:rsidRPr="00C75910">
        <w:rPr>
          <w:rFonts w:cs="Arial"/>
          <w:b w:val="0"/>
          <w:i/>
          <w:color w:val="auto"/>
          <w:sz w:val="22"/>
          <w:szCs w:val="22"/>
        </w:rPr>
        <w:t>in vitro</w:t>
      </w:r>
      <w:r w:rsidRPr="00C75910">
        <w:rPr>
          <w:rFonts w:cs="Arial"/>
          <w:b w:val="0"/>
          <w:color w:val="auto"/>
          <w:sz w:val="22"/>
          <w:szCs w:val="22"/>
        </w:rPr>
        <w:t xml:space="preserve">: </w:t>
      </w:r>
      <w:r w:rsidR="00FC2867" w:rsidRPr="00C75910">
        <w:rPr>
          <w:rFonts w:cs="Arial"/>
          <w:b w:val="0"/>
          <w:color w:val="auto"/>
          <w:sz w:val="22"/>
          <w:szCs w:val="22"/>
        </w:rPr>
        <w:t>h</w:t>
      </w:r>
      <w:r w:rsidRPr="00C75910">
        <w:rPr>
          <w:rFonts w:cs="Arial"/>
          <w:b w:val="0"/>
          <w:color w:val="auto"/>
          <w:sz w:val="22"/>
          <w:szCs w:val="22"/>
        </w:rPr>
        <w:t xml:space="preserve">aematology (A), </w:t>
      </w:r>
      <w:r w:rsidR="00FC2867" w:rsidRPr="00C75910">
        <w:rPr>
          <w:rFonts w:cs="Arial"/>
          <w:b w:val="0"/>
          <w:color w:val="auto"/>
          <w:sz w:val="22"/>
          <w:szCs w:val="22"/>
        </w:rPr>
        <w:t>c</w:t>
      </w:r>
      <w:r w:rsidRPr="00C75910">
        <w:rPr>
          <w:rFonts w:cs="Arial"/>
          <w:b w:val="0"/>
          <w:color w:val="auto"/>
          <w:sz w:val="22"/>
          <w:szCs w:val="22"/>
        </w:rPr>
        <w:t xml:space="preserve">oagulation (B), </w:t>
      </w:r>
      <w:r w:rsidR="00FC2867" w:rsidRPr="00C75910">
        <w:rPr>
          <w:rFonts w:cs="Arial"/>
          <w:b w:val="0"/>
          <w:color w:val="auto"/>
          <w:sz w:val="22"/>
          <w:szCs w:val="22"/>
        </w:rPr>
        <w:t>p</w:t>
      </w:r>
      <w:r w:rsidRPr="00C75910">
        <w:rPr>
          <w:rFonts w:cs="Arial"/>
          <w:b w:val="0"/>
          <w:color w:val="auto"/>
          <w:sz w:val="22"/>
          <w:szCs w:val="22"/>
        </w:rPr>
        <w:t xml:space="preserve">latelets (C), </w:t>
      </w:r>
      <w:r w:rsidR="00FC2867" w:rsidRPr="00C75910">
        <w:rPr>
          <w:rFonts w:cs="Arial"/>
          <w:b w:val="0"/>
          <w:color w:val="auto"/>
          <w:sz w:val="22"/>
          <w:szCs w:val="22"/>
        </w:rPr>
        <w:t>and c</w:t>
      </w:r>
      <w:r w:rsidRPr="00C75910">
        <w:rPr>
          <w:rFonts w:cs="Arial"/>
          <w:b w:val="0"/>
          <w:color w:val="auto"/>
          <w:sz w:val="22"/>
          <w:szCs w:val="22"/>
        </w:rPr>
        <w:t>omplement activation (D).</w:t>
      </w:r>
    </w:p>
    <w:p w:rsidR="001D0677" w:rsidRDefault="001D0677" w:rsidP="008D1D14">
      <w:pPr>
        <w:jc w:val="both"/>
        <w:rPr>
          <w:rFonts w:cs="Arial"/>
        </w:rPr>
      </w:pPr>
    </w:p>
    <w:p w:rsidR="009E29BA" w:rsidRPr="00373CFE" w:rsidRDefault="008D1D14" w:rsidP="009E29BA">
      <w:pPr>
        <w:jc w:val="both"/>
        <w:rPr>
          <w:rFonts w:cs="Arial"/>
        </w:rPr>
      </w:pPr>
      <w:r w:rsidRPr="00C75910">
        <w:rPr>
          <w:rFonts w:cs="Arial"/>
        </w:rPr>
        <w:t>Interactions of nanomedicines with coagulation factors, platelets and endothelial cells may all contribute to undesirable coagulation-mediated toxicities. Protein adsorption onto the nanoparticle surface is one of the first events</w:t>
      </w:r>
      <w:r w:rsidR="00692A8B">
        <w:rPr>
          <w:rFonts w:cs="Arial"/>
        </w:rPr>
        <w:t xml:space="preserve"> occurring when</w:t>
      </w:r>
      <w:r w:rsidRPr="00C75910">
        <w:rPr>
          <w:rFonts w:cs="Arial"/>
        </w:rPr>
        <w:t xml:space="preserve"> </w:t>
      </w:r>
      <w:r w:rsidR="00C547D7">
        <w:rPr>
          <w:rFonts w:cs="Arial"/>
        </w:rPr>
        <w:t xml:space="preserve">nanoparticles </w:t>
      </w:r>
      <w:r w:rsidR="00692A8B">
        <w:rPr>
          <w:rFonts w:cs="Arial"/>
        </w:rPr>
        <w:t>reach</w:t>
      </w:r>
      <w:r w:rsidRPr="00C75910">
        <w:rPr>
          <w:rFonts w:cs="Arial"/>
        </w:rPr>
        <w:t xml:space="preserve"> the blood </w:t>
      </w:r>
      <w:r w:rsidR="00692A8B">
        <w:rPr>
          <w:rFonts w:cs="Arial"/>
        </w:rPr>
        <w:t>stream</w:t>
      </w:r>
      <w:r w:rsidRPr="00C75910">
        <w:rPr>
          <w:rFonts w:cs="Arial"/>
        </w:rPr>
        <w:t xml:space="preserve">. </w:t>
      </w:r>
      <w:r w:rsidR="00745634" w:rsidRPr="00252140">
        <w:rPr>
          <w:rFonts w:cs="Arial"/>
        </w:rPr>
        <w:t>It has been found that plasma proteins such as albumin, apolipoprotein, complement or fibrinogen can adsorb on the surface of nanoparticles and exhibit structural changes (Lee, 2014), (Deng, 2013). The adsorbed proteins depend on nanoparticle physico-chemical properties such as size, shape, curvature, hydrophobicity and surface charge, (Lundqvist, 2008) and on the composition of the biological media. The overall protein corona composition fluctuates with time due to proteins having different affinities to nanoparticles (Setyawati, 2015).</w:t>
      </w:r>
      <w:r w:rsidR="00745634">
        <w:rPr>
          <w:rFonts w:cs="Arial"/>
        </w:rPr>
        <w:t xml:space="preserve"> </w:t>
      </w:r>
      <w:r w:rsidR="009E29BA">
        <w:rPr>
          <w:rFonts w:cs="Arial"/>
        </w:rPr>
        <w:t>T</w:t>
      </w:r>
      <w:r w:rsidR="00745634" w:rsidRPr="00252140">
        <w:rPr>
          <w:rFonts w:cs="Arial"/>
        </w:rPr>
        <w:t>he type and amount of proteins adsorbed on the nanoparticles</w:t>
      </w:r>
      <w:r w:rsidR="009E29BA">
        <w:rPr>
          <w:rFonts w:cs="Arial"/>
        </w:rPr>
        <w:t xml:space="preserve"> </w:t>
      </w:r>
      <w:r w:rsidR="00745634" w:rsidRPr="00252140">
        <w:rPr>
          <w:rFonts w:cs="Arial"/>
        </w:rPr>
        <w:t xml:space="preserve">influence the </w:t>
      </w:r>
      <w:r w:rsidR="0080291B">
        <w:t xml:space="preserve">interactions of </w:t>
      </w:r>
      <w:r w:rsidR="0080291B">
        <w:rPr>
          <w:rStyle w:val="highlight"/>
        </w:rPr>
        <w:t>engineered</w:t>
      </w:r>
      <w:r w:rsidR="0080291B">
        <w:t xml:space="preserve"> </w:t>
      </w:r>
      <w:r w:rsidR="0080291B">
        <w:rPr>
          <w:rStyle w:val="highlight"/>
        </w:rPr>
        <w:t>nanomaterials</w:t>
      </w:r>
      <w:r w:rsidR="0080291B">
        <w:t xml:space="preserve"> with cells and their subsequent outcomes</w:t>
      </w:r>
      <w:r w:rsidR="009E29BA">
        <w:t>, playing an important role on nanoparticle biocompatibility</w:t>
      </w:r>
      <w:r w:rsidR="0080291B" w:rsidRPr="00252140">
        <w:rPr>
          <w:rFonts w:cs="Arial"/>
        </w:rPr>
        <w:t xml:space="preserve"> </w:t>
      </w:r>
      <w:r w:rsidR="0080291B">
        <w:rPr>
          <w:rFonts w:cs="Arial"/>
        </w:rPr>
        <w:t>(Aggarwal, 2009)</w:t>
      </w:r>
      <w:r w:rsidR="009E29BA">
        <w:rPr>
          <w:rFonts w:cs="Arial"/>
        </w:rPr>
        <w:t xml:space="preserve"> </w:t>
      </w:r>
      <w:r w:rsidR="0080291B">
        <w:rPr>
          <w:rFonts w:cs="Arial"/>
        </w:rPr>
        <w:fldChar w:fldCharType="begin" w:fldLock="1"/>
      </w:r>
      <w:r w:rsidR="009E29BA">
        <w:rPr>
          <w:rFonts w:cs="Arial"/>
        </w:rPr>
        <w:instrText>ADDIN CSL_CITATION { "citationItems" : [ { "id" : "ITEM-1", "itemData" : { "DOI" : "10.1002/wnan.1206", "ISSN" : "1939-5116", "abstract" : "Abstract Engineered nanomaterials offer exciting opportunities for ?smart? drug delivery and in vivo imaging of disease processes, as well as in regenerative medicine. The ability to manipulate matter at the nanoscale enables many new properties that are both desirable and exploitable, but the same properties could also give rise to unexpected toxicities that may adversely affect human health. Understanding the physicochemical properties that drive toxicological outcomes is a formidable challenge as it is not trivial to separate and, hence, to pinpoint individual material characteristics of nanomaterials. In addition, nanomaterials that interact with biological systems are likely to acquire a surface corona of biomolecules that may dictate their biological behavior. Indeed, we propose that it is the combination of material-intrinsic properties (the ?synthetic identity?) and context-dependent properties determined, in part, by the bio-corona of a given biological compartment (the ?biological identity?) that will determine the interactions of engineered nanomaterials with cells and tissues and subsequent outcomes. The delineation of these entwined ?identities? of engineered nanomaterials constitutes the bridge between nanotoxicological research and nanomedicine. WIREs Nanomed Nanobiotechnol 2013, 5:111?129. doi: 10.1002/wnan.1206 This article is categorized under: Toxicology and Regulatory Issues in Nanomedicine &gt; Toxicology of Nanomaterials", "author" : [ { "dropping-particle" : "", "family" : "Fadeel", "given" : "B", "non-dropping-particle" : "", "parse-names" : false, "suffix" : "" }, { "dropping-particle" : "", "family" : "N", "given" : "Feliu", "non-dropping-particle" : "", "parse-names" : false, "suffix" : "" }, { "dropping-particle" : "", "family" : "Vogt", "given" : "C", "non-dropping-particle" : "", "parse-names" : false, "suffix" : "" }, { "dropping-particle" : "", "family" : "AM", "given" : "Abdelmonem", "non-dropping-particle" : "", "parse-names" : false, "suffix" : "" }, { "dropping-particle" : "", "family" : "WJ", "given" : "Parak", "non-dropping-particle" : "", "parse-names" : false, "suffix" : "" } ], "container-title" : "Wiley Interdisciplinary Reviews: Nanomedicine and Nanobiotechnology", "id" : "ITEM-1", "issue" : "2", "issued" : { "date-parts" : [ [ "2013", "1", "17" ] ] }, "note" : "doi: 10.1002/wnan.1206", "page" : "111-129", "publisher" : "Wiley-Blackwell", "title" : "Bridge over troubled waters: understanding the synthetic and biological identities of engineered nanomaterials", "type" : "article-journal", "volume" : "5" }, "uris" : [ "http://www.mendeley.com/documents/?uuid=2ff6d0f1-4efb-4a37-b9aa-ff4c931c697f" ] } ], "mendeley" : { "formattedCitation" : "(B Fadeel, N, Vogt, AM, &amp; WJ, 2013)", "manualFormatting" : "(Fadeel, 2013)", "plainTextFormattedCitation" : "(B Fadeel, N, Vogt, AM, &amp; WJ, 2013)", "previouslyFormattedCitation" : "(B Fadeel, N, Vogt, AM, &amp; WJ, 2013)" }, "properties" : { "noteIndex" : 15 }, "schema" : "https://github.com/citation-style-language/schema/raw/master/csl-citation.json" }</w:instrText>
      </w:r>
      <w:r w:rsidR="0080291B">
        <w:rPr>
          <w:rFonts w:cs="Arial"/>
        </w:rPr>
        <w:fldChar w:fldCharType="separate"/>
      </w:r>
      <w:r w:rsidR="009E29BA" w:rsidRPr="009E29BA">
        <w:rPr>
          <w:rFonts w:cs="Arial"/>
          <w:noProof/>
        </w:rPr>
        <w:t>(Fadeel, 2013)</w:t>
      </w:r>
      <w:r w:rsidR="0080291B">
        <w:rPr>
          <w:rFonts w:cs="Arial"/>
        </w:rPr>
        <w:fldChar w:fldCharType="end"/>
      </w:r>
      <w:r w:rsidR="009E29BA">
        <w:rPr>
          <w:rFonts w:cs="Arial"/>
        </w:rPr>
        <w:t xml:space="preserve">. </w:t>
      </w:r>
      <w:r w:rsidR="00745634" w:rsidRPr="00252140">
        <w:rPr>
          <w:rFonts w:cs="Arial"/>
        </w:rPr>
        <w:t xml:space="preserve">The adsorption of certain plasma proteins may induce adverse effects on the blood system such as imbalance of the coagulation cascade or complement activation (Dobrovolskaia, 2009). </w:t>
      </w:r>
      <w:r w:rsidR="009E29BA">
        <w:rPr>
          <w:rFonts w:cs="Arial"/>
        </w:rPr>
        <w:t>However, t</w:t>
      </w:r>
      <w:r w:rsidR="009E29BA" w:rsidRPr="00252140">
        <w:rPr>
          <w:rFonts w:cs="Arial"/>
        </w:rPr>
        <w:t>he mere presence of a specific protein on the particle surface does not imply that the biological function of that protein will be activated or changed (Dobrovolskaia, 2014)</w:t>
      </w:r>
      <w:r w:rsidR="00A37634" w:rsidRPr="00A37634">
        <w:t xml:space="preserve"> </w:t>
      </w:r>
      <w:r w:rsidR="00A37634">
        <w:fldChar w:fldCharType="begin" w:fldLock="1"/>
      </w:r>
      <w:r w:rsidR="00A3564A">
        <w:instrText>ADDIN CSL_CITATION { "citationItems" : [ { "id" : "ITEM-1", "itemData" : { "DOI" : "10.1371/journal.pone.0175871", "ISBN" : "1111111111", "ISSN" : "19326203", "PMID" : "28414772", "abstract" : "The protein corona formed around nanoparticles in protein-rich fluids plays an important role for nanoparticle biocompatibility, as found in several studies during the last decade. Biological fluids have complex compositions and the molecular components interact and function together in intricate networks. Therefore, the process to isolate blood or the preparation of blood derivatives may lead to differences in the composition of the identified protein corona around nanoparticles. Here, we show distinct differences in the protein corona formed in whole blood, whole blood with EDTA, plasma, or serum. Furthermore, the ratio between particle surface area to protein concentration influences the detected corona. We also show that the nanoparticle size per se influences the formed protein corona due to curvature effects. These results emphasize the need of investigating the formation and biological importance of the protein corona in the same environment as the nanoparticles are intended for or released into.", "author" : [ { "dropping-particle" : "", "family" : "Lundqvist", "given" : "Martin", "non-dropping-particle" : "", "parse-names" : false, "suffix" : "" }, { "dropping-particle" : "", "family" : "Augustsson", "given" : "Cecilia", "non-dropping-particle" : "", "parse-names" : false, "suffix" : "" }, { "dropping-particle" : "", "family" : "Lilja", "given" : "Malin", "non-dropping-particle" : "", "parse-names" : false, "suffix" : "" }, { "dropping-particle" : "", "family" : "Lundkvist", "given" : "Kristoffer", "non-dropping-particle" : "", "parse-names" : false, "suffix" : "" }, { "dropping-particle" : "", "family" : "Dahlb\u00e4ck", "given" : "Bj\u00f6rn", "non-dropping-particle" : "", "parse-names" : false, "suffix" : "" }, { "dropping-particle" : "", "family" : "Linse", "given" : "Sara", "non-dropping-particle" : "", "parse-names" : false, "suffix" : "" }, { "dropping-particle" : "", "family" : "Cedervall", "given" : "Tommy", "non-dropping-particle" : "", "parse-names" : false, "suffix" : "" } ], "container-title" : "PLoS ONE", "id" : "ITEM-1", "issue" : "4", "issued" : { "date-parts" : [ [ "2017" ] ] }, "page" : "1-15", "title" : "The nanoparticle protein corona formed in human blood or human blood fractions", "type" : "article-journal", "volume" : "12" }, "uris" : [ "http://www.mendeley.com/documents/?uuid=07626b6b-73af-47fe-b8ba-20346f38e059" ] } ], "mendeley" : { "formattedCitation" : "(Lundqvist et al., 2017)", "manualFormatting" : "(Lundqvist, 2017)", "plainTextFormattedCitation" : "(Lundqvist et al., 2017)", "previouslyFormattedCitation" : "(Lundqvist et al., 2017)" }, "properties" : { "noteIndex" : 15 }, "schema" : "https://github.com/citation-style-language/schema/raw/master/csl-citation.json" }</w:instrText>
      </w:r>
      <w:r w:rsidR="00A37634">
        <w:fldChar w:fldCharType="separate"/>
      </w:r>
      <w:r w:rsidR="007553E5">
        <w:rPr>
          <w:noProof/>
        </w:rPr>
        <w:t>(Lundqvist</w:t>
      </w:r>
      <w:r w:rsidR="00A37634" w:rsidRPr="00745634">
        <w:rPr>
          <w:noProof/>
        </w:rPr>
        <w:t>, 2017)</w:t>
      </w:r>
      <w:r w:rsidR="00A37634">
        <w:fldChar w:fldCharType="end"/>
      </w:r>
      <w:r w:rsidR="00A37634">
        <w:rPr>
          <w:rFonts w:cs="Arial"/>
        </w:rPr>
        <w:t xml:space="preserve">. For instance, </w:t>
      </w:r>
      <w:r w:rsidR="00A37634" w:rsidRPr="00252140">
        <w:rPr>
          <w:rFonts w:cs="Arial"/>
        </w:rPr>
        <w:t>complement and fibrinogen adsorption on nanoparticles does not lead to a level of depletion of these proteins, since they are highly abundant in plasma</w:t>
      </w:r>
      <w:r w:rsidR="00A37634">
        <w:rPr>
          <w:rFonts w:cs="Arial"/>
        </w:rPr>
        <w:t xml:space="preserve"> </w:t>
      </w:r>
      <w:r w:rsidR="00A37634" w:rsidRPr="00C75910">
        <w:rPr>
          <w:rFonts w:cs="Arial"/>
        </w:rPr>
        <w:fldChar w:fldCharType="begin" w:fldLock="1"/>
      </w:r>
      <w:r w:rsidR="00A37634" w:rsidRPr="00125DFD">
        <w:rPr>
          <w:rFonts w:cs="Arial"/>
        </w:rPr>
        <w:instrText>ADDIN CSL_CITATION { "citationItems" : [ { "id" : "ITEM-1", "itemData" : { "DOI" : "10.3109/17435390.2012.655342", "ISBN" : "1743-5390", "I</w:instrText>
      </w:r>
      <w:r w:rsidR="00A37634" w:rsidRPr="003729F3">
        <w:rPr>
          <w:rFonts w:cs="Arial"/>
        </w:rPr>
        <w:instrText>SSN" : "1743-5404", "PMID" : "22394123", "abstract" : "The binding of proteins to nanoparticles is an important event that can determine the biological effect of nanoparticles in the body. We examined plasma protein binding to gold nanoparticles (5-20 nm) with different surface charge. Positively and negatively charged nanoparticles bound a range of proteins whereas neutral nanoparticle bound very little. As little as 25% neutral polymer on the surface of the charged nanoparticles inhibited protein binding, with only slight change in surface charge. Fibrinogen bound with high affinity to both of the charged nanoparticles. However, binding kinetics and protease digestion suggested that the binding orientation for each nanoparticle was different. Only the negatively charged nanoparticles induced cytokine release from THP-1 cells. While common proteins can bind to different nanoparticles, the biological outcome may not be the same. Consequently, knowledge about the composition of the protein corona is not sufficient to predict biological effects of nanoparticles.", "author" : [ { "dropping-particle" : "", "family" : "Den</w:instrText>
      </w:r>
      <w:r w:rsidR="00A37634" w:rsidRPr="00373CFE">
        <w:rPr>
          <w:rFonts w:cs="Arial"/>
        </w:rPr>
        <w:instrText>g", "given" : "Zhou J", "non-dropping-particle" : "", "pars</w:instrText>
      </w:r>
      <w:r w:rsidR="00A37634" w:rsidRPr="009D6FC5">
        <w:rPr>
          <w:rFonts w:cs="Arial"/>
          <w:lang w:val="da-DK"/>
        </w:rPr>
        <w:instrText>e-names" : false, "suffix" : "" }, { "dropping-particle" : "", "family" : "Liang", "given" : "Mingtao", "non-dropping-particle" : "", "parse-names" : false, "suffix" : "" }, { "dropping-particle" : "", "family" : "Toth", "given" : "Istvan", "non-dropping-particle" : "", "parse-names" : false, "suffix" : "" }, { "dropping-particle" : "", "family" : "Monteiro", "given" : "Michael", "non-dropping-particle" : "", "parse-names" : false, "suffix" : "" }, { "dropping-particle" : "", "family" : "Minchin", "given" : "Rodney F", "non-dropping-particle" : "", "parse-names" : false, "suffix" : "" } ], "container-title" : "Nanotoxicology", "id" : "ITEM-1", "issue" : "3", "issued" : { "date-parts" : [ [ "2013" ] ] }, "page" : "314-22", "title" : "Plasma protein binding of positively and negatively charged polymer-coated gold nanoparticles elicits different biological responses.", "type" : "article-journal", "volume" : "7" }, "uris" : [ "http://www.mendeley.com/documents/?uuid=6a2403c6-56c7-4031-80f3-d4f248dbf9e4" ] } ], "mendeley" : { "formattedCitation" : "(Deng, Liang, Toth, Monteiro, &amp; Minchin, 2013)", "manualFormatting" : "(Deng, 2013)", "plainTextFormattedCitation" : "(Deng, Liang, Toth, Monteiro, &amp; Minchin, 2013)", "previouslyFormattedCitation" : "(Deng, Liang, Toth, Monteiro, &amp; Minchin, 2013)" }, "properties" : { "noteIndex" : 0 }, "schema" : "https://github.com/citation-style-language/schema/raw/master/csl-citation.json" }</w:instrText>
      </w:r>
      <w:r w:rsidR="00A37634" w:rsidRPr="00C75910">
        <w:rPr>
          <w:rFonts w:cs="Arial"/>
        </w:rPr>
        <w:fldChar w:fldCharType="separate"/>
      </w:r>
      <w:r w:rsidR="00A37634" w:rsidRPr="009D6FC5">
        <w:rPr>
          <w:rFonts w:cs="Arial"/>
          <w:noProof/>
          <w:lang w:val="da-DK"/>
        </w:rPr>
        <w:t>(Deng, 2013)</w:t>
      </w:r>
      <w:r w:rsidR="00A37634" w:rsidRPr="00C75910">
        <w:rPr>
          <w:rFonts w:cs="Arial"/>
        </w:rPr>
        <w:fldChar w:fldCharType="end"/>
      </w:r>
      <w:r w:rsidR="00A37634" w:rsidRPr="009D6FC5">
        <w:rPr>
          <w:rFonts w:cs="Arial"/>
          <w:lang w:val="da-DK"/>
        </w:rPr>
        <w:t xml:space="preserve">, </w:t>
      </w:r>
      <w:r w:rsidR="00A37634" w:rsidRPr="00C75910">
        <w:rPr>
          <w:rFonts w:cs="Arial"/>
        </w:rPr>
        <w:fldChar w:fldCharType="begin" w:fldLock="1"/>
      </w:r>
      <w:r w:rsidR="00A37634" w:rsidRPr="009D6FC5">
        <w:rPr>
          <w:rFonts w:cs="Arial"/>
          <w:lang w:val="da-DK"/>
        </w:rPr>
        <w:instrText>ADDIN CSL_CITATION { "citationItems" : [ { "id" : "ITEM-1", "itemData" : { "DOI" : "10.1038/nnano.2010.250", "ISBN" : "1748-3387", "ISSN" : "1748-3387", "PMID" : "21170037", "abstract" : "The chemical composition, size, shape and surface characteristics of nanoparticles affect the way proteins bind to these particles, and this in turn influences the way in which nanoparticles interact with cells and tissues. Nanomaterials bound with proteins can result in physiological and pathological changes, including macrophage uptake, blood coagulation, protein aggregation and complement activation, but the mechanisms that lead to these changes remain poorly understood. Here, we show that negatively charged poly(acrylic acid)-conjugated gold nanoparticles bind to and induce unfolding of fibrinogen, which promotes interaction with the integrin receptor, Mac-1. Activation of this receptor increases the NF-\u03baB signalling pathway, resulting in the release of inflammatory cytokines. However, not all nanoparticles that bind to fibrinogen demonstrated this effect. Our results show that the binding of certain nanoparticles to fibrinogen in plasma offers an alternative mechanism to the more commonly described role of oxidative stress in the inflammatory response to nanomaterials.", "author" : [ { "dropping-particle" : "", "family" : "Deng", "given" : "Zhou J", "non-dropping-particle" : "", "parse-names" : false, "suffix" : "" }, { "dropping-particle" : "", "family" : "Liang", "given" : "Mingtao", "non-dropping-particle" : "", "parse-names" : false, "suffix" : "" }, { "dropping-particle" : "", "family" : "Monteiro", "given" : "Michael", "non-dropping-particle" : "", "parse-names" : false, "suffix" : "" }, { "dropping-particle" : "", "family" : "Toth", "given" : "Istvan", "non-dropping-particle" : "", "parse-names" : false, "suffix" : "" }, { "dropping-particle" : "", "family" : "Minchin", "given" : "Rodney F", "non-dropping-particle" : "", "parse-names" : false, "suffix" : "" } ], "container-title" : "Nature Nanotechnology", "id" : "ITEM-1", "issue" : "1", "issued" : { "date-parts" : [ [ "2011" ] ] }, "page" : "39-44", "publisher" : "Nature Publishing Group", "title" : "Nanoparticle-induced unfolding of fibrinogen promotes Mac-1 receptor activation and inflammation.", "type" : "article-journal", "volume" : "6" }, "uris" : [ "http://www.mendeley.com/documents/?uuid=3e31ed98-6862-488c-9a8d-4a4511efc682" ] } ], "mendeley" : { "formattedCitation" : "(Deng, Liang, Monteiro, Toth, &amp; Minchin, 2011)", "manualFormatting" : "(Deng, 2011)", "plainTextFormattedCitation" : "(Deng, Liang, Monteiro, Toth, &amp; Minchin, 2011)", "previouslyFormattedCitation" : "(Deng, Liang, Monteiro, Toth, &amp; Minchin, 2011)" }, "properties" : { "noteIndex" : 0 }, "schema" : "https://github.com/citation-style-language/schema/raw/master/csl-citation.json" }</w:instrText>
      </w:r>
      <w:r w:rsidR="00A37634" w:rsidRPr="00C75910">
        <w:rPr>
          <w:rFonts w:cs="Arial"/>
        </w:rPr>
        <w:fldChar w:fldCharType="separate"/>
      </w:r>
      <w:r w:rsidR="00A37634" w:rsidRPr="009D6FC5">
        <w:rPr>
          <w:rFonts w:cs="Arial"/>
          <w:noProof/>
          <w:lang w:val="da-DK"/>
        </w:rPr>
        <w:t>(Deng, 2011)</w:t>
      </w:r>
      <w:r w:rsidR="00A37634" w:rsidRPr="00C75910">
        <w:rPr>
          <w:rFonts w:cs="Arial"/>
        </w:rPr>
        <w:fldChar w:fldCharType="end"/>
      </w:r>
      <w:r w:rsidR="00A37634" w:rsidRPr="00373CFE">
        <w:rPr>
          <w:rFonts w:cs="Arial"/>
        </w:rPr>
        <w:t>.</w:t>
      </w:r>
    </w:p>
    <w:p w:rsidR="008D1D14" w:rsidRPr="00C75910" w:rsidRDefault="008D1D14" w:rsidP="008D1D14">
      <w:pPr>
        <w:jc w:val="both"/>
        <w:rPr>
          <w:rFonts w:cs="Arial"/>
        </w:rPr>
      </w:pPr>
      <w:r w:rsidRPr="00373CFE">
        <w:rPr>
          <w:rFonts w:cs="Arial"/>
        </w:rPr>
        <w:lastRenderedPageBreak/>
        <w:t xml:space="preserve">Our </w:t>
      </w:r>
      <w:r w:rsidR="0056630F" w:rsidRPr="00373CFE">
        <w:rPr>
          <w:rFonts w:cs="Arial"/>
        </w:rPr>
        <w:t xml:space="preserve">review confirmed previous </w:t>
      </w:r>
      <w:r w:rsidR="00E134D1">
        <w:rPr>
          <w:rFonts w:cs="Arial"/>
        </w:rPr>
        <w:t>findings</w:t>
      </w:r>
      <w:r w:rsidR="00C7342E" w:rsidRPr="00EE19CA">
        <w:rPr>
          <w:rFonts w:cs="Arial"/>
        </w:rPr>
        <w:t xml:space="preserve"> </w:t>
      </w:r>
      <w:r w:rsidR="0056630F" w:rsidRPr="00EE19CA">
        <w:rPr>
          <w:rFonts w:cs="Arial"/>
        </w:rPr>
        <w:t>that</w:t>
      </w:r>
      <w:r w:rsidR="00E134D1">
        <w:rPr>
          <w:rFonts w:cs="Arial"/>
        </w:rPr>
        <w:t xml:space="preserve"> had</w:t>
      </w:r>
      <w:r w:rsidR="0056630F" w:rsidRPr="00EE19CA">
        <w:rPr>
          <w:rFonts w:cs="Arial"/>
        </w:rPr>
        <w:t xml:space="preserve"> identified </w:t>
      </w:r>
      <w:r w:rsidRPr="00EE19CA">
        <w:rPr>
          <w:rFonts w:cs="Arial"/>
        </w:rPr>
        <w:t>physico</w:t>
      </w:r>
      <w:r w:rsidR="00B41E88" w:rsidRPr="00EE19CA">
        <w:rPr>
          <w:rFonts w:cs="Arial"/>
        </w:rPr>
        <w:t>-</w:t>
      </w:r>
      <w:r w:rsidRPr="00EE19CA">
        <w:rPr>
          <w:rFonts w:cs="Arial"/>
        </w:rPr>
        <w:t>chemical properties such as size, surface charge and surface as relevant for the observed alterations on the coagulation cascade</w:t>
      </w:r>
      <w:r w:rsidR="00C7342E">
        <w:rPr>
          <w:rFonts w:cs="Arial"/>
        </w:rPr>
        <w:t xml:space="preserve"> </w:t>
      </w:r>
      <w:r w:rsidR="00C7342E" w:rsidRPr="00C75910">
        <w:rPr>
          <w:rFonts w:cs="Arial"/>
        </w:rPr>
        <w:fldChar w:fldCharType="begin" w:fldLock="1"/>
      </w:r>
      <w:r w:rsidR="00C7342E" w:rsidRPr="00E80AD9">
        <w:rPr>
          <w:rFonts w:cs="Arial"/>
        </w:rPr>
        <w:instrText>ADDIN CSL_CITATION { "citationItems" : [ { "id" : "ITEM-1", "itemData" : { "DOI" : "10.2217/nnm.13.48", "ISBN" : "10.2217/nnm.13.48", "ISSN" : "1748-6963", "PMID" : "23656264", "abstract" : "Nanotechnology is proven to provide certain benefits in drug delivery by improving solubility, increasing uptake to target sites and changing pharmacokinetics profiles of traditional drugs. Since properties of many materials change tremendously at the nanoscale levels, nanotechnology is also being explored in various industrial applications. As such, nanoparticles are rapidly entering various areas of industry, biology and medicine. The benefits of using nanotechnology for industrial and biomedical applications are often tempered by concerns about the safety of these new materials. One such area of concern includes their effect on the immune system. While nanoparticle interactions with various constituents of the immune system have been reviewed before, little attention was given to nanoparticle effects on the blood coagulation system. Nanoparticle interface with the blood coagulation system may lead to either benefits to the host or adverse reactions. This article reviews recent advances in our understanding of nanoparticle interactions with plasma coagulation factors, platelets, endothelial cells and leukocytes. Part I is focused on desirable interactions between nanoparticles and the coagulation system, and discusses benefits of using nanotechnology to intervene in coagulation disorders. Undesirable interactions posing safety concerns are covered in part II, which will be published in the June issue of Nanomedicine.", "author" : [ { "dropping-particle" : "", "family" : "Ilinskaya", "given" : "Anna N", "non-dropping-particle" : "", "parse-names" : false, "suffix" : "" }, { "dropping-particle" : "", "family" : "Dobrovolskaia", "given" : "Marina a", "non-dropping-particle" : "", "parse-names" : false, "suffix" : "" } ], "container-title" : "Nanomedicine", "id" : "ITEM-1", "issue" : "5", "issued" : { "date-parts" : [ [ "2013" ] ] }, "page" : "773-784", "title" : "Nanoparticles and the blood coagulation system. Part II: Safety concerns.", "type" : "article-journal", "volume" : "8" }, "uris" : [ "http://www.mendeley.com/documents/?uuid=6071c5ed-9bd1-4fd4-a9bb-a448ae8a319a" ] } ], "mendeley" : { "formattedCitation" : "(Ilinskaya &amp; Dobrovolskaia, 2013)", "manualFormatting" : "(Ilinskaya, 2013)", "plainTextFormattedCitation" : "(Ilinskaya &amp; Dobrovolskaia, 2013)", "previouslyFormattedCitation" : "(Ilinskaya &amp; Dobrovolskaia, 2013)" }, "properties" : { "noteIndex" : 15 }, "schema" : "https://github.com/citation-style-language/schema/raw/master/csl-citation.json" }</w:instrText>
      </w:r>
      <w:r w:rsidR="00C7342E" w:rsidRPr="00C75910">
        <w:rPr>
          <w:rFonts w:cs="Arial"/>
        </w:rPr>
        <w:fldChar w:fldCharType="separate"/>
      </w:r>
      <w:r w:rsidR="00C7342E" w:rsidRPr="00E80AD9">
        <w:rPr>
          <w:rFonts w:cs="Arial"/>
          <w:noProof/>
        </w:rPr>
        <w:t>(Ilinskaya, 2013)</w:t>
      </w:r>
      <w:r w:rsidR="00C7342E" w:rsidRPr="00C75910">
        <w:rPr>
          <w:rFonts w:cs="Arial"/>
        </w:rPr>
        <w:fldChar w:fldCharType="end"/>
      </w:r>
      <w:r w:rsidRPr="00EE19CA">
        <w:rPr>
          <w:rFonts w:cs="Arial"/>
        </w:rPr>
        <w:t xml:space="preserve"> (</w:t>
      </w:r>
      <w:r w:rsidR="008A42C1">
        <w:rPr>
          <w:rFonts w:cs="Arial"/>
        </w:rPr>
        <w:t>Figure 9</w:t>
      </w:r>
      <w:r w:rsidRPr="00EE19CA">
        <w:rPr>
          <w:rFonts w:cs="Arial"/>
        </w:rPr>
        <w:t xml:space="preserve">B). </w:t>
      </w:r>
      <w:r w:rsidR="0056630F">
        <w:rPr>
          <w:rFonts w:cs="Arial"/>
        </w:rPr>
        <w:t>Surface chemistry includes</w:t>
      </w:r>
      <w:r w:rsidRPr="00C75910">
        <w:rPr>
          <w:rFonts w:cs="Arial"/>
        </w:rPr>
        <w:t xml:space="preserve"> </w:t>
      </w:r>
      <w:r w:rsidR="001555DC">
        <w:rPr>
          <w:rFonts w:cs="Arial"/>
        </w:rPr>
        <w:t>aspect</w:t>
      </w:r>
      <w:r w:rsidR="001555DC" w:rsidRPr="00C75910">
        <w:rPr>
          <w:rFonts w:cs="Arial"/>
        </w:rPr>
        <w:t xml:space="preserve">s </w:t>
      </w:r>
      <w:r w:rsidRPr="00C75910">
        <w:rPr>
          <w:rFonts w:cs="Arial"/>
        </w:rPr>
        <w:t xml:space="preserve">such as the density of surface groups or presence of targeting moieties </w:t>
      </w:r>
      <w:r w:rsidRPr="00C75910">
        <w:rPr>
          <w:rFonts w:cs="Arial"/>
        </w:rPr>
        <w:fldChar w:fldCharType="begin" w:fldLock="1"/>
      </w:r>
      <w:r w:rsidRPr="00C75910">
        <w:rPr>
          <w:rFonts w:cs="Arial"/>
        </w:rPr>
        <w:instrText>ADDIN CSL_CITATION { "citationItems" : [ { "id" : "ITEM-1", "itemData" : { "DOI" : "10.2217/nnm.13.48", "ISBN" : "10.2217/nnm.13.48", "ISSN" : "1748-6963", "PMID" : "23656264", "abstract" : "Nanotechnology is proven to provide certain benefits in drug delivery by improving solubility, increasing uptake to target sites and changing pharmacokinetics profiles of traditional drugs. Since properties of many materials change tremendously at the nanoscale levels, nanotechnology is also being explored in various industrial applications. As such, nanoparticles are rapidly entering various areas of industry, biology and medicine. The benefits of using nanotechnology for industrial and biomedical applications are often tempered by concerns about the safety of these new materials. One such area of concern includes their effect on the immune system. While nanoparticle interactions with various constituents of the immune system have been reviewed before, little attention was given to nanoparticle effects on the blood coagulation system. Nanoparticle interface with the blood coagulation system may lead to either benefits to the host or adverse reactions. This article reviews recent advances in our understanding of nanoparticle interactions with plasma coagulation factors, platelets, endothelial cells and leukocytes. Part I is focused on desirable interactions between nanoparticles and the coagulation system, and discusses benefits of using nanotechnology to intervene in coagulation disorders. Undesirable interactions posing safety concerns are covered in part II, which will be published in the June issue of Nanomedicine.", "author" : [ { "dropping-particle" : "", "family" : "Ilinskaya", "given" : "Anna N", "non-dropping-particle" : "", "parse-names" : false, "suffix" : "" }, { "dropping-particle" : "", "family" : "Dobrovolskaia", "given" : "Marina a", "non-dropping-particle" : "", "parse-names" : false, "suffix" : "" } ], "container-title" : "Nanomedicine", "id" : "ITEM-1", "issue" : "5", "issued" : { "date-parts" : [ [ "2013" ] ] }, "page" : "773-784", "title" : "Nanoparticles and the blood coagulation system. Part II: Safety concerns.", "type" : "article-journal", "volume" : "8" }, "uris" : [ "http://www.mendeley.com/documents/?uuid=6071c5ed-9bd1-4fd4-a9bb-a448ae8a319a" ] } ], "mendeley" : { "formattedCitation" : "(Ilinskaya &amp; Dobrovolskaia, 2013)", "manualFormatting" : "(Ilinskaya, 2013)", "plainTextFormattedCitation" : "(Ilinskaya &amp; Dobrovolskaia, 2013)", "previouslyFormattedCitation" : "(Ilinskaya &amp; Dobrovolskaia, 2013)" }, "properties" : { "noteIndex" : 0 }, "schema" : "https://github.com/citation-style-language/schema/raw/master/csl-citation.json" }</w:instrText>
      </w:r>
      <w:r w:rsidRPr="00C75910">
        <w:rPr>
          <w:rFonts w:cs="Arial"/>
        </w:rPr>
        <w:fldChar w:fldCharType="separate"/>
      </w:r>
      <w:r w:rsidRPr="00C75910">
        <w:rPr>
          <w:rFonts w:cs="Arial"/>
          <w:noProof/>
        </w:rPr>
        <w:t>(Ilinskaya, 2013)</w:t>
      </w:r>
      <w:r w:rsidRPr="00C75910">
        <w:rPr>
          <w:rFonts w:cs="Arial"/>
        </w:rPr>
        <w:fldChar w:fldCharType="end"/>
      </w:r>
      <w:r w:rsidRPr="00C75910">
        <w:rPr>
          <w:rFonts w:cs="Arial"/>
        </w:rPr>
        <w:t xml:space="preserve"> </w:t>
      </w:r>
      <w:r w:rsidR="0056630F">
        <w:rPr>
          <w:rFonts w:cs="Arial"/>
        </w:rPr>
        <w:t xml:space="preserve">which might also play a </w:t>
      </w:r>
      <w:r w:rsidR="00172E37">
        <w:rPr>
          <w:rFonts w:cs="Arial"/>
        </w:rPr>
        <w:t>role i</w:t>
      </w:r>
      <w:r w:rsidR="00172E37" w:rsidRPr="00C75910">
        <w:rPr>
          <w:rFonts w:cs="Arial"/>
        </w:rPr>
        <w:t xml:space="preserve">n </w:t>
      </w:r>
      <w:r w:rsidRPr="00C75910">
        <w:rPr>
          <w:rFonts w:cs="Arial"/>
        </w:rPr>
        <w:t xml:space="preserve">coagulation-mediated blood toxicity </w:t>
      </w:r>
      <w:r w:rsidRPr="00C75910">
        <w:rPr>
          <w:rFonts w:cs="Arial"/>
        </w:rPr>
        <w:fldChar w:fldCharType="begin" w:fldLock="1"/>
      </w:r>
      <w:r w:rsidRPr="00C75910">
        <w:rPr>
          <w:rFonts w:cs="Arial"/>
        </w:rPr>
        <w:instrText>ADDIN CSL_CITATION { "citationItems" : [ { "id" : "ITEM-1", "itemData" : { "DOI" : "10.1098/rsif.2009.0021", "ISBN" : "1742-5662 1742-5662", "ISSN" : "1742-5662", "PMID" : "19324665", "abstract" : "Nanoparticulate materials are produced by industrial processing or engineered for specific biomedical applications. In both cases, their contact with the human body may lead to adverse reactions. Most of the published papers so far have focused on the cytotoxic effects of nanoparticles (NPs). Instead, the present in vitro study investigates the effect of different types of NP on key components of the host response such as clot formation and the inflammatory cells. The different NPs were pre-conditioned with platelet-rich human plasma for 30 min and then incubated with the blood mononuclear cells for 20 hours. The potential of the different NPs to induce clot formation, platelet activation and monocyte/macrophage differentiation was assessed by morphological analysis, immunocytochemistry and biochemical assays. The data showed that nanoparticulate materials based on antimony, silver and nickel were capable of promoting the polymerization of fibrin and the aggregation and fragmentation of platelets, leading to a moderately activated monocyte phenotype. This process was more pronounced in the case of antimony- and silver-based NPs that share a similar size and round-shaped morphology. Conversely, NPs of cobalt, titanium and iron appeared to stimulate cells to acquire a macrophage phenotype able to secrete higher levels of tumour necrosis factor alpha, a pro-inflammatory cytokine. Therefore, the present study provides clear indications about the subtle and adverse effects that the invasion of these materials may produce in the cardiovascular system and in vital organs.", "author" : [ { "dropping-particle" : "", "family" : "Guildford", "given" : "A L", "non-dropping-particle" : "", "parse-names" : false, "suffix" : "" }, { "dropping-particle" : "", "family" : "Poletti", "given" : "T", "non-dropping-particle" : "", "parse-names" : false, "suffix" : "" }, { "dropping-particle" : "", "family" : "Osbourne", "given" : "L H", "non-dropping-particle" : "", "parse-names" : false, "suffix" : "" }, { "dropping-particle" : "", "family" : "Cerbo", "given" : "A", "non-dropping-particle" : "Di", "parse-names" : false, "suffix" : "" }, { "dropping-particle" : "", "family" : "Gatti", "given" : "A M", "non-dropping-particle" : "", "parse-names" : false, "suffix" : "" }, { "dropping-particle" : "", "family" : "Santin", "given" : "M", "non-dropping-particle" : "", "parse-names" : false, "suffix" : "" } ], "container-title" : "Journal of the Royal Society Interface", "id" : "ITEM-1", "issue" : "41", "issued" : { "date-parts" : [ [ "2009" ] ] }, "page" : "1213-21", "title" : "Nanoparticles of a different source induce different patterns of activation in key biochemical and cellular components of the host response.", "type" : "article-journal", "volume" : "6" }, "uris" : [ "http://www.mendeley.com/documents/?uuid=30bd8208-384e-4d97-bd78-2eadc72d1697" ] } ], "mendeley" : { "formattedCitation" : "(Guildford et al., 2009)", "manualFormatting" : "(Guildford, 2009)", "plainTextFormattedCitation" : "(Guildford et al., 2009)", "previouslyFormattedCitation" : "(Guildford et al., 2009)" }, "properties" : { "noteIndex" : 20 }, "schema" : "https://github.com/citation-style-language/schema/raw/master/csl-citation.json" }</w:instrText>
      </w:r>
      <w:r w:rsidRPr="00C75910">
        <w:rPr>
          <w:rFonts w:cs="Arial"/>
        </w:rPr>
        <w:fldChar w:fldCharType="separate"/>
      </w:r>
      <w:r w:rsidRPr="00C75910">
        <w:rPr>
          <w:rFonts w:cs="Arial"/>
          <w:noProof/>
        </w:rPr>
        <w:t>(Guildford, 2009)</w:t>
      </w:r>
      <w:r w:rsidRPr="00C75910">
        <w:rPr>
          <w:rFonts w:cs="Arial"/>
        </w:rPr>
        <w:fldChar w:fldCharType="end"/>
      </w:r>
      <w:r w:rsidRPr="00C75910">
        <w:rPr>
          <w:rFonts w:cs="Arial"/>
        </w:rPr>
        <w:t>. Interestingly, the type of chemical entity was the most reported property for coagulation. This result is explained in the literature based on the uniqueness of each nanoparticle, since the interaction with various components of the coagulation system may even differ for nanomaterials of the same category</w:t>
      </w:r>
      <w:r w:rsidR="001555DC">
        <w:rPr>
          <w:rFonts w:cs="Arial"/>
        </w:rPr>
        <w:t>, but e.g. of different size</w:t>
      </w:r>
      <w:r w:rsidRPr="00C75910">
        <w:rPr>
          <w:rFonts w:cs="Arial"/>
        </w:rPr>
        <w:t xml:space="preserve">. In general, charged and hydrophobic materials are expected to be more reactive, and often the activation of coagulation occurs though non canonical pathways when these properties are involved. </w:t>
      </w:r>
      <w:r w:rsidR="001555DC">
        <w:rPr>
          <w:rFonts w:cs="Arial"/>
        </w:rPr>
        <w:t xml:space="preserve">The </w:t>
      </w:r>
      <w:r w:rsidRPr="00C75910">
        <w:rPr>
          <w:rFonts w:cs="Arial"/>
        </w:rPr>
        <w:t xml:space="preserve">literature </w:t>
      </w:r>
      <w:r w:rsidR="001555DC">
        <w:rPr>
          <w:rFonts w:cs="Arial"/>
        </w:rPr>
        <w:t>reviewed here</w:t>
      </w:r>
      <w:r w:rsidR="001555DC" w:rsidRPr="00C75910">
        <w:rPr>
          <w:rFonts w:cs="Arial"/>
        </w:rPr>
        <w:t xml:space="preserve"> </w:t>
      </w:r>
      <w:r w:rsidRPr="00C75910">
        <w:rPr>
          <w:rFonts w:cs="Arial"/>
        </w:rPr>
        <w:t xml:space="preserve">indicated that pro-coagulant processes can also be induced by other intrinsic physico-chemical properties of the materials such as porosity, roughness, charge density, elasticity, or surface energy </w:t>
      </w:r>
      <w:r w:rsidRPr="00C75910">
        <w:rPr>
          <w:rFonts w:cs="Arial"/>
        </w:rPr>
        <w:fldChar w:fldCharType="begin" w:fldLock="1"/>
      </w:r>
      <w:r w:rsidRPr="00C75910">
        <w:rPr>
          <w:rFonts w:cs="Arial"/>
        </w:rPr>
        <w:instrText>ADDIN CSL_CITATION { "citationItems" : [ { "id" : "ITEM-1", "itemData" : { "author" : [ { "dropping-particle" : "", "family" : "Thevenot", "given" : "Paul", "non-dropping-particle" : "", "parse-names" : false, "suffix" : "" }, { "dropping-particle" : "", "family" : "Hu", "given" : "Wenjing", "non-dropping-particle" : "", "parse-names" : false, "suffix" : "" }, { "dropping-particle" : "", "family" : "Tang", "given" : "Liping", "non-dropping-particle" : "", "parse-names" : false, "suffix" : "" } ], "container-title" : "Curr Top Med Chem.", "id" : "ITEM-1", "issue" : "4", "issued" : { "date-parts" : [ [ "2008" ] ] }, "page" : "270-280", "title" : "Surface chemistry influence implant biocompatibility", "type" : "article-journal", "volume" : "8" }, "uris" : [ "http://www.mendeley.com/documents/?uuid=0497928e-f1b4-47ab-aaeb-3550c025b8ce" ] } ], "mendeley" : { "formattedCitation" : "(Thevenot, Hu, &amp; Tang, 2008)", "manualFormatting" : "(Thevenot, 2008)", "plainTextFormattedCitation" : "(Thevenot, Hu, &amp; Tang, 2008)", "previouslyFormattedCitation" : "(Thevenot, Hu, &amp; Tang, 2008)" }, "properties" : { "noteIndex" : 13 }, "schema" : "https://github.com/citation-style-language/schema/raw/master/csl-citation.json" }</w:instrText>
      </w:r>
      <w:r w:rsidRPr="00C75910">
        <w:rPr>
          <w:rFonts w:cs="Arial"/>
        </w:rPr>
        <w:fldChar w:fldCharType="separate"/>
      </w:r>
      <w:r w:rsidRPr="00C75910">
        <w:rPr>
          <w:rFonts w:cs="Arial"/>
          <w:noProof/>
        </w:rPr>
        <w:t>(Thevenot, 2008)</w:t>
      </w:r>
      <w:r w:rsidRPr="00C75910">
        <w:rPr>
          <w:rFonts w:cs="Arial"/>
        </w:rPr>
        <w:fldChar w:fldCharType="end"/>
      </w:r>
      <w:r w:rsidRPr="00C75910">
        <w:rPr>
          <w:rFonts w:cs="Arial"/>
        </w:rPr>
        <w:t xml:space="preserve">. </w:t>
      </w:r>
    </w:p>
    <w:p w:rsidR="008D1D14" w:rsidRPr="00C75910" w:rsidRDefault="008D1D14" w:rsidP="008D1D14">
      <w:pPr>
        <w:jc w:val="both"/>
        <w:rPr>
          <w:rFonts w:cs="Arial"/>
        </w:rPr>
      </w:pPr>
      <w:r w:rsidRPr="00C75910">
        <w:rPr>
          <w:rFonts w:cs="Arial"/>
        </w:rPr>
        <w:t xml:space="preserve">Platelets are very sensitive to changes in the blood microenvironment, and different alterations on the platelets function have been reported </w:t>
      </w:r>
      <w:r w:rsidR="00F038A2">
        <w:rPr>
          <w:rFonts w:cs="Arial"/>
        </w:rPr>
        <w:t>such as</w:t>
      </w:r>
      <w:r w:rsidRPr="00C75910">
        <w:rPr>
          <w:rFonts w:cs="Arial"/>
        </w:rPr>
        <w:t xml:space="preserve"> aggregation</w:t>
      </w:r>
      <w:r w:rsidRPr="00C75910">
        <w:rPr>
          <w:rFonts w:cs="Arial"/>
          <w:i/>
        </w:rPr>
        <w:t xml:space="preserve">, </w:t>
      </w:r>
      <w:r w:rsidR="00F038A2">
        <w:rPr>
          <w:rFonts w:cs="Arial"/>
        </w:rPr>
        <w:t>degranulation, changes in shape as well as the</w:t>
      </w:r>
      <w:r w:rsidRPr="00C75910">
        <w:rPr>
          <w:rFonts w:cs="Arial"/>
        </w:rPr>
        <w:t xml:space="preserve"> e</w:t>
      </w:r>
      <w:r w:rsidR="00F038A2">
        <w:rPr>
          <w:rFonts w:cs="Arial"/>
        </w:rPr>
        <w:t>xpression of activation markers</w:t>
      </w:r>
      <w:r w:rsidRPr="00C75910">
        <w:rPr>
          <w:rFonts w:cs="Arial"/>
        </w:rPr>
        <w:t xml:space="preserve"> </w:t>
      </w:r>
      <w:r w:rsidRPr="00C75910">
        <w:rPr>
          <w:rFonts w:cs="Arial"/>
        </w:rPr>
        <w:fldChar w:fldCharType="begin" w:fldLock="1"/>
      </w:r>
      <w:r w:rsidRPr="00C75910">
        <w:rPr>
          <w:rFonts w:cs="Arial"/>
        </w:rPr>
        <w:instrText>ADDIN CSL_CITATION { "citationItems" : [ { "id" : "ITEM-1", "itemData" : { "DOI" : "10.1038/sj.bjp.0706386", "ISBN" : "0007-1188 (Print)\\r0007-1188 (Linking)", "ISSN" : "0007-1188", "PMID" : "16158070", "abstract" : "Ever increasing use of engineered carbon nanoparticles in nanopharmacology for selective imaging, sensor or drug delivery systems has increased the potential for blood platelet-nanoparticle interactions. We studied the effects of engineered and combustion-derived carbon nanoparticles on human platelet aggregation in vitro and rat vascular thrombosis in vivo. Multiplewall (MWNT), singlewall (SWNT) nanotubes, C60 fullerenes (C60CS) and mixed carbon nanoparticles (MCN) (0.2-300 microg ml(-1)) were investigated. Nanoparticles were compared with standard urban particulate matter (SRM1648, average size 1.4 microm). Platelet function was studied using lumi aggregometry, phase-contrast, immunofluorescence and transmission electron microscopy, flow cytometry, zymography and pharmacological inhibitors of platelet aggregation. Vascular thrombosis was induced by ferric chloride and the rate of thrombosis was measured, in the presence of carbon particles, with an ultrasonic flow probe. Carbon particles, except C60CS, stimulated platelet aggregation (MCN&gt;or=SWNT&gt;MWNT&gt;SRM1648) and accelerated the rate of vascular thrombosis in rat carotid arteries with a similar rank order of efficacy. All particles resulted in upregulation of GPIIb/IIIa in platelets. In contrast, particles differentially affected the release of platelet granules, as well as the activity of thromboxane-, ADP, matrix metalloproteinase- and protein kinase C-dependent pathways of aggregation. Furthermore, particle-induced aggregation was inhibited by prostacyclin and S-nitroso-glutathione, but not by aspirin. Thus, some carbon nanoparticles and microparticles have the ability to activate platelets and enhance vascular thrombosis. These observations are of importance for the pharmacological use of carbon nanoparticles and pathology of urban particulate matter.", "author" : [ { "dropping-particle" : "", "family" : "Radomski", "given" : "Anna", "non-dropping-particle" : "", "parse-names" : false, "suffix" : "" }, { "dropping-particle" : "", "family" : "Jurasz", "given" : "Paul", "non-dropping-particle" : "", "parse-names" : false, "suffix" : "" }, { "dropping-particle" : "", "family" : "Alonso-Escolano", "given" : "David", "non-dropping-particle" : "", "parse-names" : false, "suffix" : "" }, { "dropping-particle" : "", "family" : "Drews", "given" : "Magdalena", "non-dropping-particle" : "", "parse-names" : false, "suffix" : "" }, { "dropping-particle" : "", "family" : "Morandi", "given" : "Maria", "non-dropping-particle" : "", "parse-names" : false, "suffix" : "" }, { "dropping-particle" : "", "family" : "Malinski", "given" : "Tadeusz", "non-dropping-particle" : "", "parse-names" : false, "suffix" : "" }, { "dropping-particle" : "", "family" : "Radomski", "given" : "Marek W", "non-dropping-particle" : "", "parse-names" : false, "suffix" : "" } ], "container-title" : "British Journal of Pharmacology", "id" : "ITEM-1", "issue" : "6", "issued" : { "date-parts" : [ [ "2005" ] ] }, "page" : "882-893", "title" : "Nanoparticle-induced platelet aggregation and vascular thrombosis.", "type" : "article-journal", "volume" : "146" }, "uris" : [ "http://www.mendeley.com/documents/?uuid=1915ea15-8abf-4194-897f-c16c0ec6d9bd" ] } ], "mendeley" : { "formattedCitation" : "(Radomski et al., 2005)", "manualFormatting" : "(Radomski, 2005)", "plainTextFormattedCitation" : "(Radomski et al., 2005)", "previouslyFormattedCitation" : "(Radomski et al., 2005)" }, "properties" : { "noteIndex" : 0 }, "schema" : "https://github.com/citation-style-language/schema/raw/master/csl-citation.json" }</w:instrText>
      </w:r>
      <w:r w:rsidRPr="00C75910">
        <w:rPr>
          <w:rFonts w:cs="Arial"/>
        </w:rPr>
        <w:fldChar w:fldCharType="separate"/>
      </w:r>
      <w:r w:rsidRPr="00C75910">
        <w:rPr>
          <w:rFonts w:cs="Arial"/>
          <w:noProof/>
        </w:rPr>
        <w:t>(Radomski, 2005)</w:t>
      </w:r>
      <w:r w:rsidRPr="00C75910">
        <w:rPr>
          <w:rFonts w:cs="Arial"/>
        </w:rPr>
        <w:fldChar w:fldCharType="end"/>
      </w:r>
      <w:r w:rsidRPr="00C75910">
        <w:rPr>
          <w:rFonts w:cs="Arial"/>
        </w:rPr>
        <w:t>,</w:t>
      </w:r>
      <w:r w:rsidR="001E77AF" w:rsidRPr="00C75910">
        <w:rPr>
          <w:rFonts w:cs="Arial"/>
        </w:rPr>
        <w:t xml:space="preserve"> </w:t>
      </w:r>
      <w:r w:rsidRPr="00C75910">
        <w:rPr>
          <w:rFonts w:cs="Arial"/>
          <w:vertAlign w:val="superscript"/>
        </w:rPr>
        <w:fldChar w:fldCharType="begin" w:fldLock="1"/>
      </w:r>
      <w:r w:rsidR="001E77AF" w:rsidRPr="00C75910">
        <w:rPr>
          <w:rFonts w:cs="Arial"/>
          <w:vertAlign w:val="superscript"/>
        </w:rPr>
        <w:instrText>ADDIN CSL_CITATION { "citationItems" : [ { "id" : "ITEM-1", "itemData" : { "DOI" : "10.1021/mp200463e.Nanoparticle", "ISBN" : "1543-8392 (Electronic)\\r1543-8384 (Linking)", "ISSN" : "15438384", "PMID" : "22026635", "abstract" : "Blood platelets are essential in maintaining hemostasis. Various materials can activate platelets and cause them to aggregate. Platelet aggregation in vitro is often used as a marker for materials\u2019 thrombogenic properties and studying nanomaterial interaction with platelets is an important step toward understanding their hematocompatibility. Here we report evaluation of 12 formulations of PAMAM dendrimers varying in size and surface charge. Using a cell counter based method, light transmission aggregometry and scanning electron microscopy, we show that only large cationic dendrimers, but not anionic, neutral or small cationic dendrimers, induce aggregation of human platelets in plasma to the number of surface amines. The observed aggregation was not associated with membrane in vitro . The aggregation caused by large cationic dendrimers was proportional microparticle release, and was insensitive to a variety of chemical and biological inhibitors known to interfere with various pathways of platelet activation. Taken in context with previously reported studies, our data suggest that large cationic PAMAM dendrimers induce platelet aggregation through disruption of membrane integrity. Keywords", "author" : [ { "dropping-particle" : "", "family" : "Dobrovolskaia", "given" : "Marina A", "non-dropping-particle" : "", "parse-names" : false, "suffix" : "" }, { "dropping-particle" : "", "family" : "Patri", "given" : "Anil K", "non-dropping-particle" : "", "parse-names" : false, "suffix" : "" }, { "dropping-particle" : "", "family" : "Simak", "given" : "Jan", "non-dropping-particle" : "", "parse-names" : false, "suffix" : "" }, { "dropping-particle" : "", "family" : "Hall", "given" : "Jennifer B", "non-dropping-particle" : "", "parse-names" : false, "suffix" : "" }, { "dropping-particle" : "", "family" : "Semberova", "given" : "Jana", "non-dropping-particle" : "", "parse-names" : false, "suffix" : "" }, { "dropping-particle" : "", "family" : "Lacerda", "given" : "Silvia H De Paoli", "non-dropping-particle" : "", "parse-names" : false, "suffix" : "" }, { "dropping-particle" : "", "family" : "Mcneil", "given" : "Scott E", "non-dropping-particle" : "", "parse-names" : false, "suffix" : "" } ], "container-title" : "Molecular Pharmacology", "id" : "ITEM-1", "issue" : "3", "issued" : { "date-parts" : [ [ "2013" ] ] }, "page" : "382-393", "title" : "Nanoparticle size and surface charge determine effects of PAMAM dendrimers on human platelets in vitro", "type" : "article-journal", "volume" : "9" }, "uris" : [ "http://www.mendeley.com/documents/?uuid=797be7c0-a070-437e-b053-0bd0e492a239" ] } ], "mendeley" : { "formattedCitation" : "(Marina A Dobrovolskaia et al., 2013)", "manualFormatting" : "(Dobrovolskaia, 2013)", "plainTextFormattedCitation" : "(Marina A Dobrovolskaia et al., 2013)", "previouslyFormattedCitation" : "(Marina A Dobrovolskaia et al., 2013)" }, "properties" : { "noteIndex" : 16 }, "schema" : "https://github.com/citation-style-language/schema/raw/master/csl-citation.json" }</w:instrText>
      </w:r>
      <w:r w:rsidRPr="00C75910">
        <w:rPr>
          <w:rFonts w:cs="Arial"/>
          <w:vertAlign w:val="superscript"/>
        </w:rPr>
        <w:fldChar w:fldCharType="separate"/>
      </w:r>
      <w:r w:rsidRPr="00C75910">
        <w:rPr>
          <w:rFonts w:cs="Arial"/>
          <w:noProof/>
        </w:rPr>
        <w:t>(Dobrovolskaia, 2013)</w:t>
      </w:r>
      <w:r w:rsidRPr="00C75910">
        <w:rPr>
          <w:rFonts w:cs="Arial"/>
          <w:vertAlign w:val="superscript"/>
        </w:rPr>
        <w:fldChar w:fldCharType="end"/>
      </w:r>
      <w:r w:rsidRPr="00C75910">
        <w:rPr>
          <w:rFonts w:cs="Arial"/>
        </w:rPr>
        <w:t xml:space="preserve">. </w:t>
      </w:r>
      <w:r w:rsidR="00F038A2">
        <w:rPr>
          <w:rFonts w:cs="Arial"/>
        </w:rPr>
        <w:t xml:space="preserve">As already seen in </w:t>
      </w:r>
      <w:r w:rsidR="00F038A2" w:rsidRPr="00F038A2">
        <w:rPr>
          <w:rFonts w:cs="Arial"/>
          <w:i/>
        </w:rPr>
        <w:t>in vivo</w:t>
      </w:r>
      <w:r w:rsidR="00F038A2">
        <w:rPr>
          <w:rFonts w:cs="Arial"/>
        </w:rPr>
        <w:t xml:space="preserve"> studies</w:t>
      </w:r>
      <w:r w:rsidR="00B53658">
        <w:rPr>
          <w:rFonts w:cs="Arial"/>
        </w:rPr>
        <w:t>,</w:t>
      </w:r>
      <w:r w:rsidR="00F038A2">
        <w:rPr>
          <w:rFonts w:cs="Arial"/>
        </w:rPr>
        <w:t xml:space="preserve"> also </w:t>
      </w:r>
      <w:r w:rsidR="00F038A2" w:rsidRPr="00F038A2">
        <w:rPr>
          <w:rFonts w:cs="Arial"/>
          <w:i/>
        </w:rPr>
        <w:t>in vitro</w:t>
      </w:r>
      <w:r w:rsidR="00F038A2">
        <w:rPr>
          <w:rFonts w:cs="Arial"/>
        </w:rPr>
        <w:t xml:space="preserve"> studies </w:t>
      </w:r>
      <w:r w:rsidR="00A559AC">
        <w:rPr>
          <w:rFonts w:cs="Arial"/>
        </w:rPr>
        <w:t xml:space="preserve">indicated </w:t>
      </w:r>
      <w:r w:rsidRPr="00C75910">
        <w:rPr>
          <w:rFonts w:cs="Arial"/>
        </w:rPr>
        <w:t xml:space="preserve">that surface-related properties are </w:t>
      </w:r>
      <w:r w:rsidR="00A559AC">
        <w:rPr>
          <w:rFonts w:cs="Arial"/>
        </w:rPr>
        <w:t xml:space="preserve">the main contributor </w:t>
      </w:r>
      <w:r w:rsidR="001555DC">
        <w:rPr>
          <w:rFonts w:cs="Arial"/>
        </w:rPr>
        <w:t>to</w:t>
      </w:r>
      <w:r w:rsidR="001555DC" w:rsidRPr="00C75910">
        <w:rPr>
          <w:rFonts w:cs="Arial"/>
        </w:rPr>
        <w:t xml:space="preserve"> </w:t>
      </w:r>
      <w:r w:rsidRPr="00C75910">
        <w:rPr>
          <w:rFonts w:cs="Arial"/>
        </w:rPr>
        <w:t>platelets alteration</w:t>
      </w:r>
      <w:r w:rsidR="00A559AC">
        <w:rPr>
          <w:rFonts w:cs="Arial"/>
        </w:rPr>
        <w:t>s</w:t>
      </w:r>
      <w:r w:rsidRPr="00C75910">
        <w:rPr>
          <w:rFonts w:cs="Arial"/>
        </w:rPr>
        <w:t xml:space="preserve"> (</w:t>
      </w:r>
      <w:r w:rsidR="008A42C1">
        <w:rPr>
          <w:rFonts w:cs="Arial"/>
        </w:rPr>
        <w:t>Figure 9</w:t>
      </w:r>
      <w:r w:rsidR="00F038A2">
        <w:rPr>
          <w:rFonts w:cs="Arial"/>
        </w:rPr>
        <w:t>C)</w:t>
      </w:r>
      <w:r w:rsidR="00A559AC">
        <w:rPr>
          <w:rFonts w:cs="Arial"/>
        </w:rPr>
        <w:t xml:space="preserve">. In addition, </w:t>
      </w:r>
      <w:r w:rsidRPr="00C75910">
        <w:rPr>
          <w:rFonts w:cs="Arial"/>
        </w:rPr>
        <w:t xml:space="preserve">chemical entity and the size of the </w:t>
      </w:r>
      <w:r w:rsidR="002D4D2A">
        <w:rPr>
          <w:rFonts w:cs="Arial"/>
        </w:rPr>
        <w:t>nanoparticles</w:t>
      </w:r>
      <w:r w:rsidRPr="00C75910">
        <w:rPr>
          <w:rFonts w:cs="Arial"/>
        </w:rPr>
        <w:t xml:space="preserve"> have been de</w:t>
      </w:r>
      <w:r w:rsidR="00623CB6">
        <w:rPr>
          <w:rFonts w:cs="Arial"/>
        </w:rPr>
        <w:t>scribed as important parameters</w:t>
      </w:r>
      <w:r w:rsidR="00D87CA6">
        <w:rPr>
          <w:rFonts w:cs="Arial"/>
        </w:rPr>
        <w:t xml:space="preserve"> </w:t>
      </w:r>
      <w:r w:rsidRPr="00C75910">
        <w:rPr>
          <w:rFonts w:cs="Arial"/>
        </w:rPr>
        <w:fldChar w:fldCharType="begin" w:fldLock="1"/>
      </w:r>
      <w:r w:rsidRPr="00C75910">
        <w:rPr>
          <w:rFonts w:cs="Arial"/>
        </w:rPr>
        <w:instrText>ADDIN CSL_CITATION { "citationItems" : [ { "id" : "ITEM-1", "itemData" : { "DOI" : "10.1016/j.nano.2012.04.001", "ISSN" : "15499634", "PMID" : "22542822", "abstract" : "Nanomaterials are attracting growing interest for their potential use in several applications as nanomedicine; therefore, the analysis of their potential toxic effects on various cellular models, including circulating blood cells, is mandatory. This study aimed to investigate the effect of three unrelated nanomaterials, namely nanoscale silica, multiwalled carbon nanotubes, and carbon black, on platelet activation and aggregation. We found that these nanomaterials stimulate some of the typical biochemical pathways involved in canonical platelet activation, such as the stimulation of phospholipase C and Rap1b, resulting in the integrin \u03b1IIb\u03b23-mediated platelet aggregation, through a mechanism largely dependent on the release of the extracellular second messengers ADP and thromboxane A2. Importantly, we found that doses of nanoparticles unable to trigger appreciable responses can synergize with subthreshold amounts of physiological agonists to mediate platelet aggregation, indicating that even small amounts of nanomaterials in the bloodstream might contribute to the development of thrombosis. From the Clinical Editor: In this study, nanosized particles of three virtually unrelated materials (silica, multi-walled carbon nanotubes and carbon black) were investigated regarding their effects on platelet activation and aggregation. All were found to stimulate some of the typical biochemical pathways involved in canonical platelet activation, and were found to have synergistic effects with physiologic platelet activator agonists. \u00a9 2012 Elsevier Inc.", "author" : [ { "dropping-particle" : "", "family" : "Guidetti", "given" : "Gianni F.", "non-dropping-particle" : "", "parse-names" : false, "suffix" : "" }, { "dropping-particle" : "", "family" : "Consonni", "given" : "Alessandra", "non-dropping-particle" : "", "parse-names" : false, "suffix" : "" }, { "dropping-particle" : "", "family" : "Cipolla", "given" : "Lina", "non-dropping-particle" : "", "parse-names" : false, "suffix" : "" }, { "dropping-particle" : "", "family" : "Mustarelli", "given" : "Piercarlo", "non-dropping-particle" : "", "parse-names" : false, "suffix" : "" }, { "dropping-particle" : "", "family" : "Balduini", "given" : "Cesare", "non-dropping-particle" : "", "parse-names" : false, "suffix" : "" }, { "dropping-particle" : "", "family" : "Torti", "given" : "Mauro", "non-dropping-particle" : "", "parse-names" : false, "suffix" : "" } ], "container-title" : "Nanomedicine", "id" : "ITEM-1", "issued" : { "date-parts" : [ [ "2012" ] ] }, "page" : "1329-1336", "publisher" : "Elsevier Inc.", "title" : "Nanoparticles induce platelet activation in vitro through stimulation of canonical signalling pathways", "type" : "article-journal", "volume" : "8" }, "uris" : [ "http://www.mendeley.com/documents/?uuid=6a682a89-6810-4e29-890d-cd867b79197a" ] } ], "mendeley" : { "formattedCitation" : "(Guidetti et al., 2012)", "manualFormatting" : "(Guidetti, 2012)", "plainTextFormattedCitation" : "(Guidetti et al., 2012)", "previouslyFormattedCitation" : "(Guidetti et al., 2012)" }, "properties" : { "noteIndex" : 21 }, "schema" : "https://github.com/citation-style-language/schema/raw/master/csl-citation.json" }</w:instrText>
      </w:r>
      <w:r w:rsidRPr="00C75910">
        <w:rPr>
          <w:rFonts w:cs="Arial"/>
        </w:rPr>
        <w:fldChar w:fldCharType="separate"/>
      </w:r>
      <w:r w:rsidRPr="00C75910">
        <w:rPr>
          <w:rFonts w:cs="Arial"/>
          <w:noProof/>
        </w:rPr>
        <w:t>(Guidetti, 2012)</w:t>
      </w:r>
      <w:r w:rsidRPr="00C75910">
        <w:rPr>
          <w:rFonts w:cs="Arial"/>
        </w:rPr>
        <w:fldChar w:fldCharType="end"/>
      </w:r>
      <w:r w:rsidRPr="00C75910">
        <w:rPr>
          <w:rFonts w:cs="Arial"/>
        </w:rPr>
        <w:t>,</w:t>
      </w:r>
      <w:r w:rsidR="001E77AF" w:rsidRPr="00C75910">
        <w:rPr>
          <w:rFonts w:cs="Arial"/>
        </w:rPr>
        <w:t xml:space="preserve"> </w:t>
      </w:r>
      <w:r w:rsidRPr="00C75910">
        <w:rPr>
          <w:rFonts w:cs="Arial"/>
          <w:vertAlign w:val="superscript"/>
        </w:rPr>
        <w:fldChar w:fldCharType="begin" w:fldLock="1"/>
      </w:r>
      <w:r w:rsidRPr="00C75910">
        <w:rPr>
          <w:rFonts w:cs="Arial"/>
          <w:vertAlign w:val="superscript"/>
        </w:rPr>
        <w:instrText>ADDIN CSL_CITATION { "citationItems" : [ { "id" : "ITEM-1", "itemData" : { "DOI" : "10.5772/59346", "ISSN" : "1849-5435", "abstract" : "Silver nanoparticles (Ag NPs) are increasingly used in biomedical applications because of their large antimicrobial spectrum. Data in the literature on the ability of Ag NPs to perform their desired function without eliciting undesirable effects on blood elements are very limited and contradictory. We studied the impact of Ag NPs on erythrocyte integrity, platelet function and blood coagulation. Erythrocyte integrity was assessed by spectrophotometric measurement of haemoglobin release. Platelet adhesion and aggregation was determined by light transmission aggregometry and scanning electron microscopy. The calibrated thrombin generation test was used to study the impact on coagulation cascade. We demonstrated that Ag NPs induced haemolysis. They also increase platelet adhesion without having any impact on platelet aggregation. Finally, they also had procoagulant potential. Bringing all data from these tests together, the no observed effect concentration is 5 \u00b5g/mL.", "author" : [ { "dropping-particle" : "", "family" : "Laloy", "given" : "Julie", "non-dropping-particle" : "", "parse-names" : false, "suffix" : "" }, { "dropping-particle" : "", "family" : "Minet", "given" : "Valentine", "non-dropping-particle" : "", "parse-names" : false, "suffix" : "" }, { "dropping-particle" : "", "family" : "Alpan", "given" : "Lutfiye", "non-dropping-particle" : "", "parse-names" : false, "suffix" : "" }, { "dropping-particle" : "", "family" : "Mullier", "given" : "Fran\u00e7ois", "non-dropping-particle" : "", "parse-names" : false, "suffix" : "" }, { "dropping-particle" : "", "family" : "Beken", "given" : "Sonja", "non-dropping-particle" : "", "parse-names" : false, "suffix" : "" }, { "dropping-particle" : "", "family" : "Toussaint", "given" : "Olivier", "non-dropping-particle" : "", "parse-names" : false, "suffix" : "" }, { "dropping-particle" : "", "family" : "Lucas", "given" : "St\u00e9phane", "non-dropping-particle" : "", "parse-names" : false, "suffix" : "" }, { "dropping-particle" : "", "family" : "Dogn\u00e9", "given" : "Jean-Michel", "non-dropping-particle" : "", "parse-names" : false, "suffix" : "" } ], "container-title" : "Nanobiomedicine", "id" : "ITEM-1", "issued" : { "date-parts" : [ [ "2014" ] ] }, "page" : "1-9", "title" : "Impact of Silver Nanoparticles on Haemolysis, Platelet Function and Coagulation", "type" : "article-journal", "volume" : "1" }, "uris" : [ "http://www.mendeley.com/documents/?uuid=9acf6baa-1c9f-4b80-a46c-4729d75de01f" ] } ], "mendeley" : { "formattedCitation" : "(Laloy et al., 2014)", "manualFormatting" : "(Laloy, 2014)", "plainTextFormattedCitation" : "(Laloy et al., 2014)", "previouslyFormattedCitation" : "(Laloy et al., 2014)" }, "properties" : { "noteIndex" : 21 }, "schema" : "https://github.com/citation-style-language/schema/raw/master/csl-citation.json" }</w:instrText>
      </w:r>
      <w:r w:rsidRPr="00C75910">
        <w:rPr>
          <w:rFonts w:cs="Arial"/>
          <w:vertAlign w:val="superscript"/>
        </w:rPr>
        <w:fldChar w:fldCharType="separate"/>
      </w:r>
      <w:r w:rsidRPr="00C75910">
        <w:rPr>
          <w:rFonts w:cs="Arial"/>
          <w:noProof/>
        </w:rPr>
        <w:t>(Laloy, 2014)</w:t>
      </w:r>
      <w:r w:rsidRPr="00C75910">
        <w:rPr>
          <w:rFonts w:cs="Arial"/>
          <w:vertAlign w:val="superscript"/>
        </w:rPr>
        <w:fldChar w:fldCharType="end"/>
      </w:r>
      <w:r w:rsidRPr="00C75910">
        <w:rPr>
          <w:rFonts w:cs="Arial"/>
        </w:rPr>
        <w:t>,</w:t>
      </w:r>
      <w:r w:rsidR="00B53658">
        <w:rPr>
          <w:rFonts w:cs="Arial"/>
        </w:rPr>
        <w:t xml:space="preserve"> </w:t>
      </w:r>
      <w:r w:rsidRPr="00C75910">
        <w:rPr>
          <w:rFonts w:cs="Arial"/>
          <w:vertAlign w:val="superscript"/>
        </w:rPr>
        <w:fldChar w:fldCharType="begin" w:fldLock="1"/>
      </w:r>
      <w:r w:rsidRPr="00C75910">
        <w:rPr>
          <w:rFonts w:cs="Arial"/>
          <w:vertAlign w:val="superscript"/>
        </w:rPr>
        <w:instrText>ADDIN CSL_CITATION { "citationItems" : [ { "id" : "ITEM-1", "itemData" : { "DOI" : "10.1098/rsif.2009.0021", "ISBN" : "1742-5662 1742-5662", "ISSN" : "1742-5662", "PMID" : "19324665", "abstract" : "Nanoparticulate materials are produced by industrial processing or engineered for specific biomedical applications. In both cases, their contact with the human body may lead to adverse reactions. Most of the published papers so far have focused on the cytotoxic effects of nanoparticles (NPs). Instead, the present in vitro study investigates the effect of different types of NP on key components of the host response such as clot formation and the inflammatory cells. The different NPs were pre-conditioned with platelet-rich human plasma for 30 min and then incubated with the blood mononuclear cells for 20 hours. The potential of the different NPs to induce clot formation, platelet activation and monocyte/macrophage differentiation was assessed by morphological analysis, immunocytochemistry and biochemical assays. The data showed that nanoparticulate materials based on antimony, silver and nickel were capable of promoting the polymerization of fibrin and the aggregation and fragmentation of platelets, leading to a moderately activated monocyte phenotype. This process was more pronounced in the case of antimony- and silver-based NPs that share a similar size and round-shaped morphology. Conversely, NPs of cobalt, titanium and iron appeared to stimulate cells to acquire a macrophage phenotype able to secrete higher levels of tumour necrosis factor alpha, a pro-inflammatory cytokine. Therefore, the present study provides clear indications about the subtle and adverse effects that the invasion of these materials may produce in the cardiovascular system and in vital organs.", "author" : [ { "dropping-particle" : "", "family" : "Guildford", "given" : "A L", "non-dropping-particle" : "", "parse-names" : false, "suffix" : "" }, { "dropping-particle" : "", "family" : "Poletti", "given" : "T", "non-dropping-particle" : "", "parse-names" : false, "suffix" : "" }, { "dropping-particle" : "", "family" : "Osbourne", "given" : "L H", "non-dropping-particle" : "", "parse-names" : false, "suffix" : "" }, { "dropping-particle" : "", "family" : "Cerbo", "given" : "A", "non-dropping-particle" : "Di", "parse-names" : false, "suffix" : "" }, { "dropping-particle" : "", "family" : "Gatti", "given" : "A M", "non-dropping-particle" : "", "parse-names" : false, "suffix" : "" }, { "dropping-particle" : "", "family" : "Santin", "given" : "M", "non-dropping-particle" : "", "parse-names" : false, "suffix" : "" } ], "container-title" : "Journal of the Royal Society Interface", "id" : "ITEM-1", "issue" : "41", "issued" : { "date-parts" : [ [ "2009" ] ] }, "page" : "1213-21", "title" : "Nanoparticles of a different source induce different patterns of activation in key biochemical and cellular components of the host response.", "type" : "article-journal", "volume" : "6" }, "uris" : [ "http://www.mendeley.com/documents/?uuid=30bd8208-384e-4d97-bd78-2eadc72d1697" ] } ], "mendeley" : { "formattedCitation" : "(Guildford et al., 2009)", "manualFormatting" : "(Guildford, 2009)", "plainTextFormattedCitation" : "(Guildford et al., 2009)", "previouslyFormattedCitation" : "(Guildford et al., 2009)" }, "properties" : { "noteIndex" : 21 }, "schema" : "https://github.com/citation-style-language/schema/raw/master/csl-citation.json" }</w:instrText>
      </w:r>
      <w:r w:rsidRPr="00C75910">
        <w:rPr>
          <w:rFonts w:cs="Arial"/>
          <w:vertAlign w:val="superscript"/>
        </w:rPr>
        <w:fldChar w:fldCharType="separate"/>
      </w:r>
      <w:r w:rsidRPr="00C75910">
        <w:rPr>
          <w:rFonts w:cs="Arial"/>
          <w:noProof/>
        </w:rPr>
        <w:t>(Guildford, 2009)</w:t>
      </w:r>
      <w:r w:rsidRPr="00C75910">
        <w:rPr>
          <w:rFonts w:cs="Arial"/>
          <w:vertAlign w:val="superscript"/>
        </w:rPr>
        <w:fldChar w:fldCharType="end"/>
      </w:r>
      <w:r w:rsidRPr="00C75910">
        <w:rPr>
          <w:rFonts w:cs="Arial"/>
        </w:rPr>
        <w:t xml:space="preserve">, </w:t>
      </w:r>
      <w:r w:rsidRPr="00C75910">
        <w:rPr>
          <w:rFonts w:cs="Arial"/>
        </w:rPr>
        <w:fldChar w:fldCharType="begin" w:fldLock="1"/>
      </w:r>
      <w:r w:rsidRPr="00C75910">
        <w:rPr>
          <w:rFonts w:cs="Arial"/>
        </w:rPr>
        <w:instrText>ADDIN CSL_CITATION { "citationItems" : [ { "id" : "ITEM-1", "itemData" : { "DOI" : "10.1021/nn900277t", "ISBN" : "1936-0851", "ISSN" : "19360851", "PMID" : "19545167", "abstract" : "Thrombotic disorders have emerged as serious threat to society. As anticoagulant and thrombolytic therapies are usually associated with serious bleeding complications, the focus has now shifted to regulating and maintaining platelets in an inactive state. In the present study we show that nanosilver has an innate antiplatelet property and effectively prevents integrin-mediated platelet responses, both in vivo and in vitro, in a concentration-dependent manner. Ultrastructural studies show that nanosilver accumulates within platelet granules and reduces interplatelet proximity. Our findings further suggest that these nanoparticles do not confer any lytic effect on platelets and thus hold potential to be promoted as antiplatelet/antithrombotic agents after careful evaluation of toxic effects.", "author" : [ { "dropping-particle" : "", "family" : "Shrivastava", "given" : "Siddhartha", "non-dropping-particle" : "", "parse-names" : false, "suffix" : "" }, { "dropping-particle" : "", "family" : "Bera", "given" : "Tanmay", "non-dropping-particle" : "", "parse-names" : false, "suffix" : "" }, { "dropping-particle" : "", "family" : "Singh", "given" : "Sunil K.", "non-dropping-particle" : "", "parse-names" : false, "suffix" : "" }, { "dropping-particle" : "", "family" : "Singh", "given" : "Gajendra", "non-dropping-particle" : "", "parse-names" : false, "suffix" : "" }, { "dropping-particle" : "", "family" : "Ramachandrarao", "given" : "P.", "non-dropping-particle" : "", "parse-names" : false, "suffix" : "" }, { "dropping-particle" : "", "family" : "Dash", "given" : "Debabrata", "non-dropping-particle" : "", "parse-names" : false, "suffix" : "" } ], "container-title" : "ACS Nano", "id" : "ITEM-1", "issue" : "6", "issued" : { "date-parts" : [ [ "2009" ] ] }, "page" : "1357-1364", "title" : "Characterization of antiplatelet properties of silver nanoparticles", "type" : "article-journal", "volume" : "3" }, "uris" : [ "http://www.mendeley.com/documents/?uuid=cac26f50-cc0e-4acb-ad79-a9aa92b9c526" ] } ], "mendeley" : { "formattedCitation" : "(Shrivastava et al., 2009)", "manualFormatting" : "(Shrivastava, 2009)", "plainTextFormattedCitation" : "(Shrivastava et al., 2009)", "previouslyFormattedCitation" : "(Shrivastava et al., 2009)" }, "properties" : { "noteIndex" : 21 }, "schema" : "https://github.com/citation-style-language/schema/raw/master/csl-citation.json" }</w:instrText>
      </w:r>
      <w:r w:rsidRPr="00C75910">
        <w:rPr>
          <w:rFonts w:cs="Arial"/>
        </w:rPr>
        <w:fldChar w:fldCharType="separate"/>
      </w:r>
      <w:r w:rsidRPr="00C75910">
        <w:rPr>
          <w:rFonts w:cs="Arial"/>
          <w:noProof/>
        </w:rPr>
        <w:t>(Shrivastava, 2009)</w:t>
      </w:r>
      <w:r w:rsidRPr="00C75910">
        <w:rPr>
          <w:rFonts w:cs="Arial"/>
        </w:rPr>
        <w:fldChar w:fldCharType="end"/>
      </w:r>
      <w:r w:rsidRPr="00C75910">
        <w:rPr>
          <w:rFonts w:cs="Arial"/>
        </w:rPr>
        <w:t xml:space="preserve">. Other properties such as surface roughness and the conformation of the polymer on the surface of the </w:t>
      </w:r>
      <w:r w:rsidR="002D4D2A">
        <w:rPr>
          <w:rFonts w:cs="Arial"/>
        </w:rPr>
        <w:t xml:space="preserve">nanoparticle </w:t>
      </w:r>
      <w:r w:rsidR="00F038A2">
        <w:rPr>
          <w:rFonts w:cs="Arial"/>
        </w:rPr>
        <w:t xml:space="preserve">might </w:t>
      </w:r>
      <w:r w:rsidRPr="00C75910">
        <w:rPr>
          <w:rFonts w:cs="Arial"/>
        </w:rPr>
        <w:t xml:space="preserve">play a role on the </w:t>
      </w:r>
      <w:r w:rsidR="00F038A2">
        <w:rPr>
          <w:rFonts w:cs="Arial"/>
        </w:rPr>
        <w:t xml:space="preserve">development of the </w:t>
      </w:r>
      <w:r w:rsidRPr="00C75910">
        <w:rPr>
          <w:rFonts w:cs="Arial"/>
        </w:rPr>
        <w:t xml:space="preserve">reported toxicities. </w:t>
      </w:r>
    </w:p>
    <w:p w:rsidR="00DF7EAE" w:rsidRDefault="006B42AE" w:rsidP="00DF7EAE">
      <w:pPr>
        <w:jc w:val="both"/>
        <w:rPr>
          <w:rFonts w:cs="Arial"/>
        </w:rPr>
      </w:pPr>
      <w:r>
        <w:rPr>
          <w:rFonts w:cs="Arial"/>
        </w:rPr>
        <w:t>In addition, surface</w:t>
      </w:r>
      <w:r w:rsidR="001555DC">
        <w:rPr>
          <w:rFonts w:cs="Arial"/>
        </w:rPr>
        <w:t>-</w:t>
      </w:r>
      <w:r>
        <w:rPr>
          <w:rFonts w:cs="Arial"/>
        </w:rPr>
        <w:t>related properties can also trigger an u</w:t>
      </w:r>
      <w:r w:rsidR="00FF6CC2" w:rsidRPr="00C75910">
        <w:rPr>
          <w:rFonts w:cs="Arial"/>
        </w:rPr>
        <w:t xml:space="preserve">ndesired activation </w:t>
      </w:r>
      <w:r w:rsidR="00FF6CC2">
        <w:rPr>
          <w:rFonts w:cs="Arial"/>
        </w:rPr>
        <w:t>of the complement system</w:t>
      </w:r>
      <w:r>
        <w:rPr>
          <w:rFonts w:cs="Arial"/>
        </w:rPr>
        <w:t>.</w:t>
      </w:r>
      <w:r w:rsidR="00FF6CC2">
        <w:rPr>
          <w:rFonts w:cs="Arial"/>
        </w:rPr>
        <w:t xml:space="preserve"> </w:t>
      </w:r>
      <w:r>
        <w:rPr>
          <w:rFonts w:cs="Arial"/>
        </w:rPr>
        <w:t>Parameter</w:t>
      </w:r>
      <w:r w:rsidR="00B53658">
        <w:rPr>
          <w:rFonts w:cs="Arial"/>
        </w:rPr>
        <w:t>s</w:t>
      </w:r>
      <w:r>
        <w:rPr>
          <w:rFonts w:cs="Arial"/>
        </w:rPr>
        <w:t xml:space="preserve"> such as </w:t>
      </w:r>
      <w:r w:rsidR="001555DC">
        <w:rPr>
          <w:rFonts w:cs="Arial"/>
        </w:rPr>
        <w:t xml:space="preserve">surface </w:t>
      </w:r>
      <w:r w:rsidR="008D1D14" w:rsidRPr="00C75910">
        <w:rPr>
          <w:rFonts w:cs="Arial"/>
        </w:rPr>
        <w:t>charge, chemistry and</w:t>
      </w:r>
      <w:r>
        <w:rPr>
          <w:rFonts w:cs="Arial"/>
        </w:rPr>
        <w:t xml:space="preserve">/or </w:t>
      </w:r>
      <w:r w:rsidR="008D1D14" w:rsidRPr="00C75910">
        <w:rPr>
          <w:rFonts w:cs="Arial"/>
        </w:rPr>
        <w:t>coating</w:t>
      </w:r>
      <w:r w:rsidR="003B305E">
        <w:rPr>
          <w:rFonts w:cs="Arial"/>
        </w:rPr>
        <w:t xml:space="preserve"> play also</w:t>
      </w:r>
      <w:r w:rsidR="008D1D14" w:rsidRPr="00C75910">
        <w:rPr>
          <w:rFonts w:cs="Arial"/>
        </w:rPr>
        <w:t xml:space="preserve"> a </w:t>
      </w:r>
      <w:r>
        <w:rPr>
          <w:rFonts w:cs="Arial"/>
        </w:rPr>
        <w:t xml:space="preserve">role in complement activation </w:t>
      </w:r>
      <w:r w:rsidR="008D1D14" w:rsidRPr="00C75910">
        <w:rPr>
          <w:rFonts w:cs="Arial"/>
        </w:rPr>
        <w:t>(</w:t>
      </w:r>
      <w:r w:rsidR="008A42C1">
        <w:rPr>
          <w:rFonts w:cs="Arial"/>
        </w:rPr>
        <w:t>Figure 9</w:t>
      </w:r>
      <w:r>
        <w:rPr>
          <w:rFonts w:cs="Arial"/>
        </w:rPr>
        <w:t>D)</w:t>
      </w:r>
      <w:r w:rsidR="008D1D14" w:rsidRPr="00C75910">
        <w:rPr>
          <w:rFonts w:cs="Arial"/>
        </w:rPr>
        <w:t xml:space="preserve"> </w:t>
      </w:r>
      <w:r w:rsidR="008D1D14" w:rsidRPr="00C75910">
        <w:rPr>
          <w:rFonts w:cs="Arial"/>
        </w:rPr>
        <w:fldChar w:fldCharType="begin" w:fldLock="1"/>
      </w:r>
      <w:r w:rsidR="0056360A" w:rsidRPr="00C75910">
        <w:rPr>
          <w:rFonts w:cs="Arial"/>
        </w:rPr>
        <w:instrText>ADDIN CSL_CITATION { "citationItems" : [ { "id" : "ITEM-1", "itemData" : { "DOI" : "10.1021/mp800032f", "ISBN" : "1543-8384", "ISSN" : "15438384", "PMID" : "18510338", "abstract" : "Nanoparticles have unique physicochemical properties which make them promising platforms for drug delivery. However, immune cells in the bloodstream (such as monocytes, platelets, leukocytes, and dendritic cells) and in tissues (such as resident phagocytes) have a propensity to engulf and eliminate certain nanoparticles. A nanoparticle's interaction with plasma proteins (opsonins) and blood components (via hemolysis, thrombogenicity and complement activation) may influence uptake and clearance and hence potentially affect distribution and delivery to the intended target sites. Nanoparticle uptake by the immune cells is influenced by many factors. Different nanoparticles have been shown to act on different pathways, while various characteristics/properties also affect which pathway is employed for particle internalization. Nanoparticle protein binding occurs almost instantaneously once the particle enters biological medium, and the physical properties of such a particle-protein complex are often different than those of the formulated particle. These new properties can contribute to different biological responses and change nanoparticle biodistribution. Therefore, in the situation when specific delivery to immune cells is not desired, the ideal nanoparticle platform is the one whose integrity is not disturbed in the complex biological environment, which provides extended circulation in the blood to maximize delivery to the target site, is not toxic to blood cellular components, and is \"invisible\" to the immune cells which can remove it from circulation. This review discusses the most recent data on nanoparticle interactions with blood components and how particle size and surface charge define their hematocompatibility. This includes properties which determine particle interaction with plasma proteins and uptake by macrophages. We will also provide an overview of in vitro methods useful in identifying interactions with components of the immune system and the potential</w:instrText>
      </w:r>
      <w:r w:rsidR="0056360A" w:rsidRPr="00EE19CA">
        <w:rPr>
          <w:rFonts w:cs="Arial"/>
          <w:lang w:val="pl-PL"/>
        </w:rPr>
        <w:instrText xml:space="preserve"> effects of such interaction on particle distribution to tissues.", "author" : [ { "dropping-particle" : "", "family" : "Dobrovolskaia", "given" : "Marina A.", "non-dropping-particle" : "", "parse-names" : false, "suffix" : "" }, { "dropping-particle" : "", "family" : "Aggarwal", "given" : "Parag", "non-dropping-particle" : "", "parse-names" : false, "suffix" : "" }, { "dropping-particle" : "", "family" : "Hall", "given" : "Jennifer B.", "non-dropping-particle" : "", "parse-names" : false, "suffix" : "" }, { "dropping-particle" : "", "family" : "McNeil", "given" : "Scott E.", "non-droppin</w:instrText>
      </w:r>
      <w:r w:rsidR="0056360A" w:rsidRPr="00C75910">
        <w:rPr>
          <w:rFonts w:cs="Arial"/>
          <w:lang w:val="pl-PL"/>
        </w:rPr>
        <w:instrText>g-particle" : "", "parse-names" : false, "suffix" : "" } ], "container-title" : "Molecular Pharmaceutics", "id" : "ITEM-1", "issue" : "4", "issued" : { "date-parts" : [ [ "2008" ] ] }, "page" : "487-495", "title" : "Preclinical studies to understand nanoparticle interaction with the immune system and its potential effects on nanoparticle biodistribution", "type" : "article-journal", "volume" : "5" }, "uris" : [ "http://www.mendeley.com/documents/?uuid=f1ec8b7e-4ea1-4e49-a9c0-0364803a3f1b" ] } ], "mendeley" : { "formattedCitation" : "(Marina A. Dobrovolskaia et al., 2008)", "manualFormatting" : "(Dobrovolskaia, 2008)", "plainTextFormattedCitation" : "(Marina A. Dobrovolskaia et al., 2008)", "previouslyFormattedCitation" : "(Marina A. Dobrovolskaia et al., 2008)" }, "properties" : { "noteIndex" : 0 }, "schema" : "https://github.com/citation-style-language/schema/raw/master/csl-citation.json" }</w:instrText>
      </w:r>
      <w:r w:rsidR="008D1D14" w:rsidRPr="00C75910">
        <w:rPr>
          <w:rFonts w:cs="Arial"/>
        </w:rPr>
        <w:fldChar w:fldCharType="separate"/>
      </w:r>
      <w:r w:rsidR="008D1D14" w:rsidRPr="00C75910">
        <w:rPr>
          <w:rFonts w:cs="Arial"/>
          <w:noProof/>
          <w:lang w:val="pl-PL"/>
        </w:rPr>
        <w:t>(Dobrovolskaia, 2008)</w:t>
      </w:r>
      <w:r w:rsidR="008D1D14" w:rsidRPr="00C75910">
        <w:rPr>
          <w:rFonts w:cs="Arial"/>
        </w:rPr>
        <w:fldChar w:fldCharType="end"/>
      </w:r>
      <w:r w:rsidR="008D1D14" w:rsidRPr="00C75910">
        <w:rPr>
          <w:rFonts w:cs="Arial"/>
          <w:lang w:val="pl-PL"/>
        </w:rPr>
        <w:t>,</w:t>
      </w:r>
      <w:r w:rsidR="0056360A" w:rsidRPr="00C75910">
        <w:rPr>
          <w:rFonts w:cs="Arial"/>
          <w:lang w:val="pl-PL"/>
        </w:rPr>
        <w:t xml:space="preserve"> </w:t>
      </w:r>
      <w:r w:rsidR="008D1D14" w:rsidRPr="00C75910">
        <w:rPr>
          <w:rFonts w:cs="Arial"/>
          <w:vertAlign w:val="superscript"/>
        </w:rPr>
        <w:fldChar w:fldCharType="begin" w:fldLock="1"/>
      </w:r>
      <w:r w:rsidR="008D1D14" w:rsidRPr="00C75910">
        <w:rPr>
          <w:rFonts w:cs="Arial"/>
          <w:vertAlign w:val="superscript"/>
          <w:lang w:val="pl-PL"/>
        </w:rPr>
        <w:instrText>ADDIN CSL_CITATION { "citationItems" : [ { "id" : "ITEM-1", "itemData" : { "DOI" : "10.1038/nbt1332", "ISBN" : "1087-0156 (Print)\\n1087-0156 (Linking)", "ISSN" : "14732262", "PMID" : "17873867", "abstract" : "Antigen targeting and adjuvancy schemes that respectively facilitate delivery of antigen to dendritic cells and elicit their activation have been explored in vaccine development. Here we investigate whether nanoparticles can be used as a vaccine platform by targeting lymph node-residing dendritic cells via interstitial flow and activating these cells by in situ complement activation. After intradermal injection, interstitial flow transported ultra-small nanoparticles (25 nm) highly efficiently into lymphatic capillaries and their draining lymph nodes, targeting half of the lymph node-residing dendritic cells, whereas 100-nm nanoparticles were only 10% as efficient. The surface chemistry of these nanoparticles activated the complement cascade, generating a danger signal in situ and potently activating dendritic cells. Using nanoparticles conjugated to the model antigen ovalbumin, we demonstrate generation of humoral and cellular immunity in mice in a size- and complement-dependent manner.", "author" : [ { "dropping-particle" : "", "family" : "Reddy", "given" : "Sai T.", "non-dropping-particle" : "", "parse-names" : false, "suffix" : "" }, { "dropping-particle" : "", "family" : "Vlies", "given" : "Andr?? J.", "non-dropping-particle" : "van der", "parse-names" : false, "suffix" : "" }, { "dropping-particle" : "", "family" : "Simeoni", "given" : "Eleonora", "non-dropping-particle" : "", "parse-names" : false, "suffix" : "" }, { "dropping-particle" : "", "family" : "O'Neil", "given" : "Conlin P.", "non-dropping-particle" : "", "parse-names" : false, "suffix" : "" }, { "dropping-particle" : "", "family" : "Swartz", "given" : "Melody A.", "non-dropping-particle" : "", "parse-names" : false, "suffix" : "" }, { "dropping-particle" : "", "family" : "Hubbell", "given" : "Jeffrey A.", "non-dropping-particle" : "", "parse-names" : false, "suffix" : "" } ], "container-title" : "Nature Biotechnology", "id" : "ITEM-1", "issue" : "10", "issued" : { "date-parts" : [ [ "2007" ] ] }, "page" : "1159", "title" : "Exploiting lymphatic transport and complement activation in nanoparticle vaccines", "type" : "article-journal", "volume" : "25" }, "uris" : [ "http://www.mendeley.com/documents/?uuid=e086b0e8-cec7-430f-ba21-36704c788373" ] } ], "mendeley" : { "formattedCitation" : "(Reddy et al., 2007)", "manualFormatting" : "(Reddy, 2007)", "plainTextFormattedCitation" : "(Reddy et al., 2007)", "previouslyFormattedCitation" : "(Reddy et al., 2007)" }, "properties" : { "noteIndex" : 0 }, "schema" : "https://github.com/citation-style-language/schema/raw/master/csl-citation.json" }</w:instrText>
      </w:r>
      <w:r w:rsidR="008D1D14" w:rsidRPr="00C75910">
        <w:rPr>
          <w:rFonts w:cs="Arial"/>
          <w:vertAlign w:val="superscript"/>
        </w:rPr>
        <w:fldChar w:fldCharType="separate"/>
      </w:r>
      <w:r w:rsidR="008D1D14" w:rsidRPr="00C75910">
        <w:rPr>
          <w:rFonts w:cs="Arial"/>
          <w:noProof/>
          <w:lang w:val="pl-PL"/>
        </w:rPr>
        <w:t>(Reddy, 2007)</w:t>
      </w:r>
      <w:r w:rsidR="008D1D14" w:rsidRPr="00C75910">
        <w:rPr>
          <w:rFonts w:cs="Arial"/>
        </w:rPr>
        <w:fldChar w:fldCharType="end"/>
      </w:r>
      <w:r w:rsidR="00113AB4" w:rsidRPr="00113AB4">
        <w:rPr>
          <w:rFonts w:cs="Arial"/>
          <w:lang w:val="pl-PL"/>
        </w:rPr>
        <w:t>,</w:t>
      </w:r>
      <w:r w:rsidR="008D1D14" w:rsidRPr="00C75910">
        <w:rPr>
          <w:rFonts w:cs="Arial"/>
          <w:lang w:val="pl-PL"/>
        </w:rPr>
        <w:t xml:space="preserve"> </w:t>
      </w:r>
      <w:r w:rsidR="008D1D14" w:rsidRPr="00C75910">
        <w:rPr>
          <w:rFonts w:cs="Arial"/>
          <w:vertAlign w:val="superscript"/>
        </w:rPr>
        <w:fldChar w:fldCharType="begin" w:fldLock="1"/>
      </w:r>
      <w:r w:rsidR="008D1D14" w:rsidRPr="00C75910">
        <w:rPr>
          <w:rFonts w:cs="Arial"/>
          <w:vertAlign w:val="superscript"/>
          <w:lang w:val="pl-PL"/>
        </w:rPr>
        <w:instrText>ADDIN CSL_CITATION { "citationItems" : [ { "id" : "ITEM-1", "itemData" : { "DOI" : "10.1002/jbm.a", "ISBN" : "1301435635", "ISSN" : "1593098X", "PMID" : "17226806", "abstract" : "Current immunosuppressive therapy\\r\\nacts systemically, causing collateral damage and does not necessarily cope with the cause of rheumatoid arthritis.Tissue specific immune modulation may restore tolerance in patients with autoimmune diseases such as RA, but\\r\\ndesires knowledge on relevant target autoantigens. We present the case of type 1 diabetes as prototype autoimmune disease with established autoantigens to set the stage for tissue-specific immune modulation using tolerogenic\\r\\ndendritic cells pulsed with autoantigen in RA. This approach induces autoantigen-specific\\r\\nregulatory T cells that exert\\r\\ntheir tissue-specific action through a combination of linked suppression and infectious tolerance, introducing a legacy of targeted, localised immune\\r\\nregulation in the proximity of the lesion. Several trials are in progress in RA employing various types of tolerogenic DCs. With knowledge on mode of action and confounding effects of concomitant immunosuppressive therapy,this strategy may provide novel\\r\\nimmune intervention that may also prevent RA in high-risk subjects", "author" : [ { "dropping-particle" : "", "family" : "Vonarbourg", "given" : "A", "non-dropping-particle" : "", "p</w:instrText>
      </w:r>
      <w:r w:rsidR="008D1D14" w:rsidRPr="00113AB4">
        <w:rPr>
          <w:rFonts w:cs="Arial"/>
          <w:vertAlign w:val="superscript"/>
          <w:lang w:val="pl-PL"/>
        </w:rPr>
        <w:instrText>arse-names" : false, "suffix" : "" }, { "dropping-particle" : "", "family" : "Passirani", "given" : "C", "non-dropping-particle" : "", "parse-names" : false, "suffix" : "" }, { "dropping-particle" : "", "family" : "Saulnier", "given" : "P", "non-dropping-particle" : "", "parse-names" : false, "suffix" : "" }, { "dropping-particle" : "", "family" : "J.C", "given" : "Simard", "non-dropping-particle" : "", "parse-names" : false, "suffix" : "" }, { "dropping-particle" : "", "family" : "Leroux", "given" : "P", "non-dropping-particle" : "", "parse-names" : false, "suffix" : "" }, { "dropping-particle" : "", "family" : "J.P", "given" : "Benoit", "non-dropping-particle" : "", "parse-names" : false, "suffix" : "" } ], "container-title" : "Clinical and Experimental Rheumatology", "id" : "ITEM-1", "issue" : "3", "issued" : { "date-parts" : [ [ "2006" ] ] }, "page" : "620-628", "title" : "Evaluation of pegylated lipid nanocapsules versus complement system activation and macrophage uptake", "type" : "article-journal", "volume" : "78A" }, "uris" : [ "http://www.mendeley.com/documents/?uuid=2071ee95-3556-4d41-8b00-f31d16ebf7ea" ] } ], "mendeley" : { "formattedCitation" : "(Vonarbourg et al., 2006)", "manualFormatting" : "(Vonarbourg, 2006)", "plainTextFormattedCitation" : "(Vonarbourg et al., 2006)", "previouslyFormattedCitation" : "(Vonarbourg et al., 2006)" }, "properties" : { "noteIndex" : 0 }, "schema" : "https://github.com/citation-style-language/schema/raw/master/csl-citation.json" }</w:instrText>
      </w:r>
      <w:r w:rsidR="008D1D14" w:rsidRPr="00C75910">
        <w:rPr>
          <w:rFonts w:cs="Arial"/>
          <w:vertAlign w:val="superscript"/>
        </w:rPr>
        <w:fldChar w:fldCharType="separate"/>
      </w:r>
      <w:r w:rsidR="008D1D14" w:rsidRPr="00113AB4">
        <w:rPr>
          <w:rFonts w:cs="Arial"/>
          <w:noProof/>
          <w:lang w:val="pl-PL"/>
        </w:rPr>
        <w:t>(Vonarbourg, 2006)</w:t>
      </w:r>
      <w:r w:rsidR="008D1D14" w:rsidRPr="00C75910">
        <w:rPr>
          <w:rFonts w:cs="Arial"/>
        </w:rPr>
        <w:fldChar w:fldCharType="end"/>
      </w:r>
      <w:r w:rsidR="008D1D14" w:rsidRPr="00113AB4">
        <w:rPr>
          <w:rFonts w:cs="Arial"/>
          <w:lang w:val="pl-PL"/>
        </w:rPr>
        <w:t xml:space="preserve">. </w:t>
      </w:r>
      <w:r w:rsidR="008D1D14" w:rsidRPr="00EE19CA">
        <w:rPr>
          <w:rFonts w:cs="Arial"/>
          <w:lang w:val="pl-PL"/>
        </w:rPr>
        <w:t xml:space="preserve">Surface camouflaging elements such as </w:t>
      </w:r>
      <w:r w:rsidR="001555DC" w:rsidRPr="00EE19CA">
        <w:rPr>
          <w:rFonts w:cs="Arial"/>
          <w:lang w:val="pl-PL"/>
        </w:rPr>
        <w:t>polyethylene glycol</w:t>
      </w:r>
      <w:r w:rsidR="008D1D14" w:rsidRPr="00EE19CA">
        <w:rPr>
          <w:rFonts w:cs="Arial"/>
          <w:lang w:val="pl-PL"/>
        </w:rPr>
        <w:t>, poloxamer and poloxamine coating</w:t>
      </w:r>
      <w:r w:rsidRPr="00EE19CA">
        <w:rPr>
          <w:rFonts w:cs="Arial"/>
          <w:lang w:val="pl-PL"/>
        </w:rPr>
        <w:t>s</w:t>
      </w:r>
      <w:r w:rsidR="008D1D14" w:rsidRPr="00EE19CA">
        <w:rPr>
          <w:rFonts w:cs="Arial"/>
          <w:lang w:val="pl-PL"/>
        </w:rPr>
        <w:t xml:space="preserve"> may avoid recognition of </w:t>
      </w:r>
      <w:r w:rsidR="002D4D2A" w:rsidRPr="00EE19CA">
        <w:rPr>
          <w:rFonts w:cs="Arial"/>
          <w:lang w:val="pl-PL"/>
        </w:rPr>
        <w:t>nanoparticle</w:t>
      </w:r>
      <w:r w:rsidR="008D1D14" w:rsidRPr="00EE19CA">
        <w:rPr>
          <w:rFonts w:cs="Arial"/>
          <w:lang w:val="pl-PL"/>
        </w:rPr>
        <w:t xml:space="preserve">s by the immune cells </w:t>
      </w:r>
      <w:r w:rsidR="008D1D14" w:rsidRPr="00C75910">
        <w:rPr>
          <w:rFonts w:cs="Arial"/>
        </w:rPr>
        <w:fldChar w:fldCharType="begin" w:fldLock="1"/>
      </w:r>
      <w:r w:rsidR="008D1D14" w:rsidRPr="00EE19CA">
        <w:rPr>
          <w:rFonts w:cs="Arial"/>
          <w:lang w:val="pl-PL"/>
        </w:rPr>
        <w:instrText>ADDIN CSL_CITATION { "citationItems" : [ { "id" : "ITEM-1", "itemData" : { "DOI" : "10.1016/j.jconrel.2006.03.017", "ISBN" : "0168-3659 (Print)\\n0168-3659 (Linking)", "ISSN" : "01683659", "PMID" : "16759732", "abstract" : "We have recently reported the formation of a new type of nanoparticles consisting of blends of poly (lactic-co-glycolic acid) (PLGA) and polyethylene oxide (PEO) derivatives, which exhibit the capacity to associate and release plasmid DNA in a controlled manner. In the present work our goal was to investigate the ability of these nanoparticles to overcome cellular and mucosal barriers (i.e. nasal mucosa) and thus, to work as gene delivery carriers. First, we studied the in vitro cellular uptake (HEK 293 cell line) of FITC-labelled plasmid DNA nanoencapsulated in PLGA: Pluronic F68\u00ae and PLGA: Tetronic T904\u00ae particles by confocal microscopy. Second, we investigated the uptake of rhodamine-labelled nanoparticles by the nasal mucosa following intranasal administration to mice. Third, we monitored the immune response generated by the nanoparticles containing a beta-galactosidase encoding gene, following nasal administration to mice, using the ELISA technique. The results of the in vitro cell culture studies showed the ability of these new nanoparticles to enter the cells and transport the associated D</w:instrText>
      </w:r>
      <w:r w:rsidR="008D1D14" w:rsidRPr="006B42AE">
        <w:rPr>
          <w:rFonts w:cs="Arial"/>
        </w:rPr>
        <w:instrText>NA molecule acro</w:instrText>
      </w:r>
      <w:r w:rsidR="008D1D14" w:rsidRPr="00113AB4">
        <w:rPr>
          <w:rFonts w:cs="Arial"/>
        </w:rPr>
        <w:instrText>s</w:instrText>
      </w:r>
      <w:r w:rsidR="008D1D14" w:rsidRPr="00C75910">
        <w:rPr>
          <w:rFonts w:cs="Arial"/>
        </w:rPr>
        <w:instrText>s the cell membrane. Moreover, the results obtained following in vivo administration of the fluorescent nanoparticles evidenced their capability to overcome the nasal mucosal barrier. Finally, the results of the immunisation studies showed that DNA-loaded nanoparticles elicit a fast and strong response, significantly more pronounced than that corresponding to the naked plasmid DNA for up to 6\u00a0weeks. Overall, these results suggest that these new nanoparticles have a potential as carriers for the delivery of DNA across the nasal mucosa. \u00a9 2006 Elsevier B.V. All rights reserved.", "author" : [ { "dropping-particle" : "", "family" : "Csaba", "given" : "N.", "non-dropping-particle" : "", "parse-names" : false, "suffix" : "" }, { "dropping-particle" : "", "family" : "S\u00e1nchez", "given" : "A.", "non-dropping-particle" : "", "parse-names" : false, "suffix" : "" }, { "dropping-particle" : "", "family" : "Alonso", "given" : "M. J.", "non-dropping-particle" : "", "parse-names" : false, "suffix" : "" } ], "container-title" : "Journal of Controlled Release", "id" : "ITEM-1", "issue" : "2", "issued" : { "date-parts" : [ [ "2006" ] ] }, "page" : "164-172", "title" : "PLGA: Poloxamer and PLGA: Poloxamine blend nanostructures as carriers for nasal gene delivery", "type" : "article-journal", "volume" : "113" }, "uris" : [ "http://www.mendeley.com/documents/?uuid=3de38086-720d-4bd4-9aa1-33b4a9a246ba" ] } ], "mendeley" : { "formattedCitation" : "(Csaba, S\u00e1nchez, &amp; Alonso, 2006)", "manualFormatting" : "(Csaba, 2006)", "plainTextFormattedCitation" : "(Csaba, S\u00e1nchez, &amp; Alonso, 2006)", "previouslyFormattedCitation" : "(Csaba, S\u00e1nchez, &amp; Alonso, 2006)" }, "properties" : { "noteIndex" : 0 }, "schema" : "https://github.com/citation-style-language/schema/raw/master/csl-citation.json" }</w:instrText>
      </w:r>
      <w:r w:rsidR="008D1D14" w:rsidRPr="00C75910">
        <w:rPr>
          <w:rFonts w:cs="Arial"/>
        </w:rPr>
        <w:fldChar w:fldCharType="separate"/>
      </w:r>
      <w:r w:rsidR="008D1D14" w:rsidRPr="00C75910">
        <w:rPr>
          <w:rFonts w:cs="Arial"/>
          <w:noProof/>
        </w:rPr>
        <w:t>(Csaba, 2006)</w:t>
      </w:r>
      <w:r w:rsidR="008D1D14" w:rsidRPr="00C75910">
        <w:rPr>
          <w:rFonts w:cs="Arial"/>
        </w:rPr>
        <w:fldChar w:fldCharType="end"/>
      </w:r>
      <w:r w:rsidR="001555DC">
        <w:rPr>
          <w:rFonts w:cs="Arial"/>
        </w:rPr>
        <w:t>. B</w:t>
      </w:r>
      <w:r>
        <w:rPr>
          <w:rFonts w:cs="Arial"/>
        </w:rPr>
        <w:t xml:space="preserve">ut coating </w:t>
      </w:r>
      <w:r w:rsidR="008D1D14" w:rsidRPr="00C75910">
        <w:rPr>
          <w:rFonts w:cs="Arial"/>
        </w:rPr>
        <w:t>do</w:t>
      </w:r>
      <w:r w:rsidR="00172E37">
        <w:rPr>
          <w:rFonts w:cs="Arial"/>
        </w:rPr>
        <w:t>es</w:t>
      </w:r>
      <w:r w:rsidR="008D1D14" w:rsidRPr="00C75910">
        <w:rPr>
          <w:rFonts w:cs="Arial"/>
        </w:rPr>
        <w:t xml:space="preserve"> not completely </w:t>
      </w:r>
      <w:r>
        <w:rPr>
          <w:rFonts w:cs="Arial"/>
        </w:rPr>
        <w:t xml:space="preserve">prevent </w:t>
      </w:r>
      <w:r w:rsidR="008D1D14" w:rsidRPr="00C75910">
        <w:rPr>
          <w:rFonts w:cs="Arial"/>
        </w:rPr>
        <w:t>complement activation</w:t>
      </w:r>
      <w:r w:rsidR="001555DC">
        <w:rPr>
          <w:rFonts w:cs="Arial"/>
        </w:rPr>
        <w:t>. F</w:t>
      </w:r>
      <w:r w:rsidR="00F10F63">
        <w:rPr>
          <w:rFonts w:cs="Arial"/>
        </w:rPr>
        <w:t xml:space="preserve">or example it </w:t>
      </w:r>
      <w:r w:rsidR="008D1D14" w:rsidRPr="00C75910">
        <w:rPr>
          <w:rFonts w:cs="Arial"/>
        </w:rPr>
        <w:t xml:space="preserve">has been reported that human complement activation is independent of dextran coating modifications for inorganic </w:t>
      </w:r>
      <w:r w:rsidR="002D4D2A">
        <w:rPr>
          <w:rFonts w:cs="Arial"/>
        </w:rPr>
        <w:t>nanoparticle</w:t>
      </w:r>
      <w:r w:rsidR="008D1D14" w:rsidRPr="00C75910">
        <w:rPr>
          <w:rFonts w:cs="Arial"/>
        </w:rPr>
        <w:t xml:space="preserve">s </w:t>
      </w:r>
      <w:r w:rsidR="008D1D14" w:rsidRPr="00C75910">
        <w:rPr>
          <w:rFonts w:cs="Arial"/>
        </w:rPr>
        <w:fldChar w:fldCharType="begin" w:fldLock="1"/>
      </w:r>
      <w:r w:rsidR="008D1D14" w:rsidRPr="00C75910">
        <w:rPr>
          <w:rFonts w:cs="Arial"/>
        </w:rPr>
        <w:instrText>ADDIN CSL_CITATION { "citationItems" : [ { "id" : "ITEM-1", "itemData" : { "DOI" : "10.3389/fimmu.2016.00418", "ISSN" : "16643224", "PMID" : "27777575", "abstract" : "While having tremendous potential as therapeutic and imaging tools, the clinical use of engineered nanoparticles has been associated with serious safety concerns. Activation of the complement cascade and the release of proinflammatory factors C3a and C5a may contribute to infusion-related reactions, whereas opsonization with C3 fragments promotes rapid recognition and clearance of nanomaterials by mononuclear phagocytes. We used dextran-coated superparamagnetic iron oxide nanoparticles (SPIO), which are potent activators of the complement system, to study the role of nanoparticle surface chemistry in inciting complement in human serum. Using complement inhibitors and measuring levels of fluid phase markers (sC5b-9, C5a, and Bb), we found that the majority of human complement activation by SPIO is through the alternative pathways (AP). SPIO prepared with high dextran/iron ratio showed some complement activation via calcium-sensitive pathways, but the AP was responsible for the bulk of complement activation and amplification. Activation via the AP required properdin, the positive regulator of the alternative C3bBb convertase. Modification of sugar alcohols of dextran with alkylating, acylating, or crosslinking agents did not overcome complement activation and C3 opsonization. These data demonstrate that human complement activation is independent of dextran modification of SPIO and suggest a crucial role of the AP in immune recognition of nano-assemblies in human serum.", "author" : [ { "dropping-particle" : "", "family" : "Wang", "given" : "Guankui", "non-dropping-particle" : "", "parse-names" : false, "suffix" : "" }, { "dropping-particle" : "", "family" : "Chen", "given" : "Fangfang", "non-dropping-particle" : "", "parse-names" : false, "suffix" : "" }, { "dropping-particle" : "", "family" : "Banda", "given" : "Nirmal K.", "non-dropping-particle" : "", "parse-names" : false, "suffix" : "" }, { "dropping-particle" : "", "family" : "Holers", "given" : "V. Michael", "non-dropping-particle" : "", "parse-names" : false, "suffix" : "" }, { "dropping-particle" : "", "family" : "Wu", "given" : "Lin Ping", "non-dropping-particle" : "", "parse-names" : false, "suffix" : "" }, { "dropping-particle" : "", "family" : "Moghimi", "given" : "S. Moein", "non-dropping-particle" : "", "parse-names" : false, "suffix" : "" }, { "dropping-particle" : "", "family" : "Simberg", "given" : "Dmitri", "non-dropping-particle" : "", "parse-names" : false, "suffix" : "" } ], "container-title" : "Frontiers in Immunology", "id" : "ITEM-1", "issue" : "OCT", "issued" : { "date-parts" : [ [ "2016" ] ] }, "page" : "1-8", "title" : "Activation of human complement system by dextran-coated iron oxide nanoparticles is not affected by dextran/Fe ratio, hydroxyl modifications, and crosslinking", "type" : "article-journal", "volume" : "7" }, "uris" : [ "http://www.mendeley.com/documents/?uuid=2a936206-df85-410c-a2b4-073414409a56" ] } ], "mendeley" : { "formattedCitation" : "(Wang et al., 2016)", "manualFormatting" : "(Wang, 2016)", "plainTextFormattedCitation" : "(Wang et al., 2016)", "previouslyFormattedCitation" : "(Wang et al., 2016)" }, "properties" : { "noteIndex" : 0 }, "schema" : "https://github.com/citation-style-language/schema/raw/master/csl-citation.json" }</w:instrText>
      </w:r>
      <w:r w:rsidR="008D1D14" w:rsidRPr="00C75910">
        <w:rPr>
          <w:rFonts w:cs="Arial"/>
        </w:rPr>
        <w:fldChar w:fldCharType="separate"/>
      </w:r>
      <w:r w:rsidR="008D1D14" w:rsidRPr="00C75910">
        <w:rPr>
          <w:rFonts w:cs="Arial"/>
          <w:noProof/>
        </w:rPr>
        <w:t>(Wang, 2016)</w:t>
      </w:r>
      <w:r w:rsidR="008D1D14" w:rsidRPr="00C75910">
        <w:rPr>
          <w:rFonts w:cs="Arial"/>
        </w:rPr>
        <w:fldChar w:fldCharType="end"/>
      </w:r>
      <w:r w:rsidR="008D1D14" w:rsidRPr="00C75910">
        <w:rPr>
          <w:rFonts w:cs="Arial"/>
        </w:rPr>
        <w:t xml:space="preserve">. Our </w:t>
      </w:r>
      <w:r w:rsidR="00F10F63">
        <w:rPr>
          <w:rFonts w:cs="Arial"/>
        </w:rPr>
        <w:t xml:space="preserve">literature review </w:t>
      </w:r>
      <w:r w:rsidR="008D1D14" w:rsidRPr="00C75910">
        <w:rPr>
          <w:rFonts w:cs="Arial"/>
        </w:rPr>
        <w:t>indicate</w:t>
      </w:r>
      <w:r w:rsidR="00F10F63">
        <w:rPr>
          <w:rFonts w:cs="Arial"/>
        </w:rPr>
        <w:t>s</w:t>
      </w:r>
      <w:r w:rsidR="008D1D14" w:rsidRPr="00C75910">
        <w:rPr>
          <w:rFonts w:cs="Arial"/>
        </w:rPr>
        <w:t xml:space="preserve"> that size and type of chemical entity </w:t>
      </w:r>
      <w:r w:rsidR="00F10F63">
        <w:rPr>
          <w:rFonts w:cs="Arial"/>
        </w:rPr>
        <w:t xml:space="preserve">must also be considered </w:t>
      </w:r>
      <w:r w:rsidR="008D1D14" w:rsidRPr="00C75910">
        <w:rPr>
          <w:rFonts w:cs="Arial"/>
        </w:rPr>
        <w:t xml:space="preserve">as key contributors to complement activation. Liposomes and certain carbon nanotubes are, due to their size, within the spotlight of immune surveillance, while other types of nanoparticles fall </w:t>
      </w:r>
      <w:r w:rsidR="001555DC">
        <w:rPr>
          <w:rFonts w:cs="Arial"/>
        </w:rPr>
        <w:t>outside</w:t>
      </w:r>
      <w:r w:rsidR="001555DC" w:rsidRPr="00C75910">
        <w:rPr>
          <w:rFonts w:cs="Arial"/>
        </w:rPr>
        <w:t xml:space="preserve"> </w:t>
      </w:r>
      <w:r w:rsidR="008D1D14" w:rsidRPr="00C75910">
        <w:rPr>
          <w:rFonts w:cs="Arial"/>
        </w:rPr>
        <w:t xml:space="preserve">immune recognition </w:t>
      </w:r>
      <w:r w:rsidR="008D1D14" w:rsidRPr="00C75910">
        <w:rPr>
          <w:rFonts w:cs="Arial"/>
        </w:rPr>
        <w:fldChar w:fldCharType="begin" w:fldLock="1"/>
      </w:r>
      <w:r w:rsidR="008D1D14" w:rsidRPr="00C75910">
        <w:rPr>
          <w:rFonts w:cs="Arial"/>
        </w:rPr>
        <w:instrText>ADDIN CSL_CITATION { "citationItems" : [ { "id" : "ITEM-1", "itemData" : { "DOI" : "10.1515/ejnm-2012-0002", "ISBN" : "1662-596X", "ISSN" : "16625986", "abstract" : "Infusion, or hypersensitivity reactions (HSRs) are frequent side effects of i.v. administered nanomedicines and biologi-cals. These, mostly mild and well tolerated, but occasionally severe or fatal allergic reactions represent a hemo-incompat-ibility due to activation of the complement (C) system. This review details the HSRs caused by marketed nanomedicines (liposomal drugs, micellar systems, polymer-conjugates of proteins, imaging agents, drug carrier nanosystems) and antibody therapeutics (mAbs), pointing out the remarkable similarity of clinical symptoms and difference from true (IgE-mediated) allergy. Beside the essentials, such as termi-nology, prevalence, risk factors and molecular and cellular mechanism of C activation-related pseudoallergy (CARPA) caused by the above agents, the paper highlights the bio-logical rationale of these reactions, i.e., misinterpretation of nanoparticulate drugs by the immune system as patho-genic viruses, and C activation being an inherent function of mAbs. The public, as well as regulatory agencies are increasingly aware of the safety risks of possibly severe adverse immune reaction of drugs in the above categories, expressing need for new and appropriate immune toxicity tests in the preclinical stage. Here we outline and comment on the available methods for C activation and CARPA testing in vitro and in vivo, namely, the ELISA of C cleavage prod-ucts (C3a, C5a, C4d, Bb, SC5b-9), the hemolytic (CH50) C assay, FACS measurement of basophil leukocyte activa-tion, a \u2013 potentially \u2013 multiplex bead assay for C activation byproducts, the porcine assay of nanoparticle-induced car-diopulmonary distress and other CARPA tests in animals. The proven parallelisms between C activation and HSRs in vivo provide rationale for using these tests as predictors of infusion hypersensitivity, and the review suggests a decision tree for their use.", "author" : [ { "dropping-particle" : "", "family" : "Szebeni", "given" : "J\u00e1nos", "non-dropping-particle" : "", "parse-names" : false, "suffix" : "" } ], "container-title" : "European Journal of Nanomedicine", "id" : "ITEM-1", "issue" : "1", "issued" : { "date-parts" : [ [ "2012" ] ] }, "page" : "33-53", "title" : "Hemocompatibility testing for nanomedicines and biologicals: Predictive assays for complement mediated infusion reactions", "type" : "article-journal", "volume" : "4" }, "uris" : [ "http://www.mendeley.com/documents/?uuid=5fb292f6-e33d-4040-8b0e-2214a064d37a" ] } ], "mendeley" : { "formattedCitation" : "(J\u00e1nos Szebeni, 2012)", "manualFormatting" : "(Szebeni, 2012)", "plainTextFormattedCitation" : "(J\u00e1nos Szebeni, 2012)", "previouslyFormattedCitation" : "(J\u00e1nos Szebeni, 2012)" }, "properties" : { "noteIndex" : 0 }, "schema" : "https://github.com/citation-style-language/schema/raw/master/csl-citation.json" }</w:instrText>
      </w:r>
      <w:r w:rsidR="008D1D14" w:rsidRPr="00C75910">
        <w:rPr>
          <w:rFonts w:cs="Arial"/>
        </w:rPr>
        <w:fldChar w:fldCharType="separate"/>
      </w:r>
      <w:r w:rsidR="008D1D14" w:rsidRPr="00C75910">
        <w:rPr>
          <w:rFonts w:cs="Arial"/>
          <w:noProof/>
        </w:rPr>
        <w:t>(Szebeni, 2012)</w:t>
      </w:r>
      <w:r w:rsidR="008D1D14" w:rsidRPr="00C75910">
        <w:rPr>
          <w:rFonts w:cs="Arial"/>
        </w:rPr>
        <w:fldChar w:fldCharType="end"/>
      </w:r>
      <w:r w:rsidR="008D1D14" w:rsidRPr="00C75910">
        <w:rPr>
          <w:rFonts w:cs="Arial"/>
        </w:rPr>
        <w:t xml:space="preserve">. </w:t>
      </w:r>
      <w:r w:rsidR="00F10F63">
        <w:rPr>
          <w:rFonts w:cs="Arial"/>
        </w:rPr>
        <w:t>O</w:t>
      </w:r>
      <w:r w:rsidR="00F10F63" w:rsidRPr="00C75910">
        <w:rPr>
          <w:rFonts w:cs="Arial"/>
        </w:rPr>
        <w:t xml:space="preserve">ther properties </w:t>
      </w:r>
      <w:r w:rsidR="00F10F63">
        <w:rPr>
          <w:rFonts w:cs="Arial"/>
        </w:rPr>
        <w:t xml:space="preserve">of liposomes </w:t>
      </w:r>
      <w:r w:rsidR="00F10F63" w:rsidRPr="00C75910">
        <w:rPr>
          <w:rFonts w:cs="Arial"/>
        </w:rPr>
        <w:t xml:space="preserve">such as vesicular lipid composition, bilayer packaging, surface characteristics and morphology </w:t>
      </w:r>
      <w:r w:rsidR="00F10F63">
        <w:rPr>
          <w:rFonts w:cs="Arial"/>
        </w:rPr>
        <w:t xml:space="preserve">can contribute to complement activation </w:t>
      </w:r>
      <w:r w:rsidR="008D1D14" w:rsidRPr="00C75910">
        <w:rPr>
          <w:rFonts w:cs="Arial"/>
        </w:rPr>
        <w:fldChar w:fldCharType="begin" w:fldLock="1"/>
      </w:r>
      <w:r w:rsidR="008D1D14" w:rsidRPr="00C75910">
        <w:rPr>
          <w:rFonts w:cs="Arial"/>
        </w:rPr>
        <w:instrText>ADDIN CSL_CITATION { "citationItems" : [ { "id" : "ITEM-1", "itemData" : { "DOI" : "10.1007/978-4-431-99365-0", "ISBN" : "978-4-431-99364-3", "abstract" : "Administration of clinically approved nanomedicines often induces non-IgE-mediated hypersdensitivity reactions in some patients. Current research strongly suggests that complement activation may be a contributing, but not a rate limiting factor in eliciting hypersensitivity reactions to nanomedicines in sensitive individuals. The molecular basis of complement activation by nanomedicines is complex and depends on nanomedicine structure and dose. These issues are discussed in relation to liposomal, micellar and polymeric nanomedicines as well as current structural design strategies to circumvent nanomedicine- mediated complement activation.", "author" : [ { "dropping-particle" : "", "family" : "Moghimi", "given" : "Seyed Moein", "non-dropping-particle" : "", "parse-names" : false, "suffix" : "" }, { "dropping-particle" : "", "family" : "Hamad", "given" : "Islam", "non-dropping-particle" : "", "parse-names" : false, "suffix" : "" } ], "container-title" : "Allergy Frontiers: Future Perspectives", "id" : "ITEM-1", "issue" : "November 2009", "issued" : { "date-parts" : [ [ "2010" ] ] }, "page" : "225-237", "title" : "Hypersensitivity Reactions to Nanomedicines: Causative Factors and Optimization of Design Parameters", "type" : "chapter" }, "uris" : [ "http://www.mendeley.com/documents/?uuid=bd94f8e3-b454-4f1b-bd34-409cf2a56fac" ] } ], "mendeley" : { "formattedCitation" : "(Moghimi &amp; Hamad, 2010)", "manualFormatting" : "(Moghimi, 2010)", "plainTextFormattedCitation" : "(Moghimi &amp; Hamad, 2010)", "previouslyFormattedCitation" : "(Moghimi &amp; Hamad, 2010)" }, "properties" : { "noteIndex" : 0 }, "schema" : "https://github.com/citation-style-language/schema/raw/master/csl-citation.json" }</w:instrText>
      </w:r>
      <w:r w:rsidR="008D1D14" w:rsidRPr="00C75910">
        <w:rPr>
          <w:rFonts w:cs="Arial"/>
        </w:rPr>
        <w:fldChar w:fldCharType="separate"/>
      </w:r>
      <w:r w:rsidR="008D1D14" w:rsidRPr="00C75910">
        <w:rPr>
          <w:rFonts w:cs="Arial"/>
          <w:noProof/>
        </w:rPr>
        <w:t>(Moghimi, 2010)</w:t>
      </w:r>
      <w:r w:rsidR="008D1D14" w:rsidRPr="00C75910">
        <w:rPr>
          <w:rFonts w:cs="Arial"/>
        </w:rPr>
        <w:fldChar w:fldCharType="end"/>
      </w:r>
      <w:r w:rsidR="008D1D14" w:rsidRPr="00C75910">
        <w:rPr>
          <w:rFonts w:cs="Arial"/>
        </w:rPr>
        <w:t xml:space="preserve">. Activation of the complement can be </w:t>
      </w:r>
      <w:r w:rsidR="0090409F" w:rsidRPr="00C75910">
        <w:rPr>
          <w:rFonts w:cs="Arial"/>
        </w:rPr>
        <w:t>desirable</w:t>
      </w:r>
      <w:r w:rsidR="008D1D14" w:rsidRPr="00C75910">
        <w:rPr>
          <w:rFonts w:cs="Arial"/>
        </w:rPr>
        <w:t xml:space="preserve"> in the case of nanoparticle-carried vaccines, where it has been shown that the generation of the antigen-specific immune response can be dependent on complement activation by nanoparticle </w:t>
      </w:r>
      <w:r w:rsidR="008D1D14" w:rsidRPr="00C75910">
        <w:rPr>
          <w:rFonts w:cs="Arial"/>
        </w:rPr>
        <w:fldChar w:fldCharType="begin" w:fldLock="1"/>
      </w:r>
      <w:r w:rsidR="008D1D14" w:rsidRPr="00C75910">
        <w:rPr>
          <w:rFonts w:cs="Arial"/>
        </w:rPr>
        <w:instrText>ADDIN CSL_CITATION { "citationItems" : [ { "id" : "ITEM-1", "itemData" : { "DOI" : "10.1038/nbt1332", "ISBN" : "1087-0156 (Print)\\n1087-0156 (Linking)", "ISSN" : "14732262", "PMID" : "17873867", "abstract" : "Antigen targeting and adjuvancy schemes that respectively facilitate delivery of antigen to dendritic cells and elicit their activation have been explored in vaccine development. Here we investigate whether nanoparticles can be used as a vaccine platform by targeting lymph node-residing dendritic cells via interstitial flow and activating these cells by in situ complement activation. After intradermal injection, interstitial flow transported ultra-small nanoparticles (25 nm) highly efficiently into lymphatic capillaries and their draining lymph nodes, targeting half of the lymph node-residing dendritic cells, whereas 100-nm nanoparticles were only 10% as efficient. The surface chemistry of these nanoparticles activated the complement cascade, generating a danger signal in situ and potently activating dendritic cells. Using nanoparticles conjugated to the model antigen ovalbumin, we demonstrate generation of humoral and cellular immunity in mice in a size- and complement-dependent manner.", "author" : [ { "dropping-particle" : "", "family" : "Reddy", "given" : "Sai T.", "non-dropping-particle" : "", "parse-names" : false, "suffix" : "" }, { "dropping-particle" : "", "family" : "Vlies", "given" : "Andr?? J.", "non-dropping-particle" : "van der", "parse-names" : false, "suffix" : "" }, { "dropping-particle" : "", "family" : "Simeoni", "given" : "Eleonora", "non-dropping-particle" : "", "parse-names" : false, "suffix" : "" }, { "dropping-particle" : "", "family" : "O'Neil", "given" : "Conlin P.", "non-dropping-particle" : "", "parse-names" : false, "suffix" : "" }, { "dropping-particle" : "", "family" : "Swartz", "given" : "Melody A.", "non-dropping-particle" : "", "parse-names" : false, "suffix" : "" }, { "dropping-particle" : "", "family" : "Hubbell", "given" : "Jeffrey A.", "non-dropping-particle" : "", "parse-names" : false, "suffix" : "" } ], "container-title" : "Nature Biotechnology", "id" : "ITEM-1", "issue" : "10", "issued" : { "date-parts" : [ [ "2007" ] ] }, "page" : "1159", "title" : "Exploiting lymphatic transport and complement activation in nanoparticle vaccines", "type" : "article-journal", "volume" : "25" }, "uris" : [ "http://www.mendeley.com/documents/?uuid=e086b0e8-cec7-430f-ba21-36704c788373" ] } ], "mendeley" : { "formattedCitation" : "(Reddy et al., 2007)", "manualFormatting" : "(Reddy, 2007)", "plainTextFormattedCitation" : "(Reddy et al., 2007)", "previouslyFormattedCitation" : "(Reddy et al., 2007)" }, "properties" : { "noteIndex" : 23 }, "schema" : "https://github.com/citation-style-language/schema/raw/master/csl-citation.json" }</w:instrText>
      </w:r>
      <w:r w:rsidR="008D1D14" w:rsidRPr="00C75910">
        <w:rPr>
          <w:rFonts w:cs="Arial"/>
        </w:rPr>
        <w:fldChar w:fldCharType="separate"/>
      </w:r>
      <w:r w:rsidR="008D1D14" w:rsidRPr="00C75910">
        <w:rPr>
          <w:rFonts w:cs="Arial"/>
          <w:noProof/>
        </w:rPr>
        <w:t>(Reddy, 2007)</w:t>
      </w:r>
      <w:r w:rsidR="008D1D14" w:rsidRPr="00C75910">
        <w:rPr>
          <w:rFonts w:cs="Arial"/>
        </w:rPr>
        <w:fldChar w:fldCharType="end"/>
      </w:r>
      <w:r w:rsidR="008D1D14" w:rsidRPr="00C75910">
        <w:rPr>
          <w:rFonts w:cs="Arial"/>
        </w:rPr>
        <w:t>. Therefore, the tendency of a nanoparticle to activate</w:t>
      </w:r>
      <w:r w:rsidR="001555DC">
        <w:rPr>
          <w:rFonts w:cs="Arial"/>
        </w:rPr>
        <w:t xml:space="preserve"> the</w:t>
      </w:r>
      <w:r w:rsidR="008D1D14" w:rsidRPr="00C75910">
        <w:rPr>
          <w:rFonts w:cs="Arial"/>
        </w:rPr>
        <w:t xml:space="preserve"> complement</w:t>
      </w:r>
      <w:r w:rsidR="001555DC">
        <w:rPr>
          <w:rFonts w:cs="Arial"/>
        </w:rPr>
        <w:t xml:space="preserve"> system</w:t>
      </w:r>
      <w:r w:rsidR="008D1D14" w:rsidRPr="00C75910">
        <w:rPr>
          <w:rFonts w:cs="Arial"/>
        </w:rPr>
        <w:t xml:space="preserve"> may be beneficial or adverse depending on the intended application of the nanomedicine. </w:t>
      </w:r>
      <w:r w:rsidR="001555DC" w:rsidRPr="00537077">
        <w:rPr>
          <w:rFonts w:cs="Arial"/>
        </w:rPr>
        <w:t>Since currently multiple physico-chemical parameters are discussed as initiating events for complement activation, future s</w:t>
      </w:r>
      <w:r w:rsidR="00F10F63">
        <w:rPr>
          <w:rFonts w:cs="Arial"/>
        </w:rPr>
        <w:t xml:space="preserve">tandardised </w:t>
      </w:r>
      <w:r w:rsidR="00F10F63" w:rsidRPr="00DA26F5">
        <w:rPr>
          <w:rFonts w:cs="Arial"/>
          <w:i/>
        </w:rPr>
        <w:t>in vitro</w:t>
      </w:r>
      <w:r w:rsidR="00F10F63">
        <w:rPr>
          <w:rFonts w:cs="Arial"/>
        </w:rPr>
        <w:t xml:space="preserve"> tests assessing the complement activation can </w:t>
      </w:r>
      <w:r w:rsidR="00DA26F5">
        <w:rPr>
          <w:rFonts w:cs="Arial"/>
        </w:rPr>
        <w:t xml:space="preserve">assist </w:t>
      </w:r>
      <w:r w:rsidR="00F10F63">
        <w:rPr>
          <w:rFonts w:cs="Arial"/>
        </w:rPr>
        <w:t>product development</w:t>
      </w:r>
      <w:r w:rsidR="00DA26F5">
        <w:rPr>
          <w:rFonts w:cs="Arial"/>
        </w:rPr>
        <w:t xml:space="preserve">. </w:t>
      </w:r>
    </w:p>
    <w:p w:rsidR="00390989" w:rsidRDefault="00B90135" w:rsidP="00236E27">
      <w:pPr>
        <w:shd w:val="clear" w:color="auto" w:fill="FFFFFF"/>
        <w:jc w:val="both"/>
        <w:rPr>
          <w:rFonts w:cs="Arial"/>
        </w:rPr>
      </w:pPr>
      <w:r w:rsidRPr="009D6FC5">
        <w:lastRenderedPageBreak/>
        <w:t>T</w:t>
      </w:r>
      <w:r w:rsidRPr="009D6FC5">
        <w:rPr>
          <w:rFonts w:cs="Arial"/>
        </w:rPr>
        <w:t>he observed trends for the role of different physico</w:t>
      </w:r>
      <w:r w:rsidRPr="009D6FC5">
        <w:t xml:space="preserve">-chemical properties </w:t>
      </w:r>
      <w:r w:rsidRPr="009D6FC5">
        <w:rPr>
          <w:rFonts w:cs="Arial"/>
        </w:rPr>
        <w:t xml:space="preserve">in </w:t>
      </w:r>
      <w:r w:rsidRPr="009D6FC5">
        <w:rPr>
          <w:rFonts w:cs="Arial"/>
          <w:i/>
        </w:rPr>
        <w:t>in vivo</w:t>
      </w:r>
      <w:r w:rsidRPr="009D6FC5">
        <w:rPr>
          <w:rFonts w:cs="Arial"/>
        </w:rPr>
        <w:t xml:space="preserve"> and </w:t>
      </w:r>
      <w:r w:rsidRPr="009D6FC5">
        <w:rPr>
          <w:i/>
        </w:rPr>
        <w:t>in vitro</w:t>
      </w:r>
      <w:r w:rsidRPr="009D6FC5">
        <w:rPr>
          <w:rFonts w:cs="Arial"/>
        </w:rPr>
        <w:t xml:space="preserve"> toxicit</w:t>
      </w:r>
      <w:r w:rsidR="001555DC">
        <w:rPr>
          <w:rFonts w:cs="Arial"/>
        </w:rPr>
        <w:t>y</w:t>
      </w:r>
      <w:r w:rsidRPr="009D6FC5">
        <w:rPr>
          <w:rFonts w:cs="Arial"/>
        </w:rPr>
        <w:t xml:space="preserve"> </w:t>
      </w:r>
      <w:r w:rsidR="00B47258">
        <w:rPr>
          <w:rFonts w:cs="Arial"/>
        </w:rPr>
        <w:t>showed similarities</w:t>
      </w:r>
      <w:r w:rsidR="009D6FC5">
        <w:rPr>
          <w:rFonts w:cs="Arial"/>
        </w:rPr>
        <w:t xml:space="preserve"> for some</w:t>
      </w:r>
      <w:r w:rsidR="00B47258">
        <w:rPr>
          <w:rFonts w:cs="Arial"/>
        </w:rPr>
        <w:t xml:space="preserve"> of the studied</w:t>
      </w:r>
      <w:r w:rsidR="009D6FC5">
        <w:rPr>
          <w:rFonts w:cs="Arial"/>
        </w:rPr>
        <w:t xml:space="preserve"> endpoints</w:t>
      </w:r>
      <w:r w:rsidRPr="009D6FC5">
        <w:rPr>
          <w:rFonts w:cs="Arial"/>
        </w:rPr>
        <w:t>.</w:t>
      </w:r>
      <w:r w:rsidR="009D6FC5">
        <w:rPr>
          <w:rFonts w:cs="Arial"/>
        </w:rPr>
        <w:t xml:space="preserve"> For instance, thrombosis </w:t>
      </w:r>
      <w:r w:rsidR="00B47258" w:rsidRPr="00A3564A">
        <w:rPr>
          <w:rFonts w:cs="Arial"/>
          <w:i/>
        </w:rPr>
        <w:t>in vivo</w:t>
      </w:r>
      <w:r w:rsidR="00B47258">
        <w:rPr>
          <w:rFonts w:cs="Arial"/>
        </w:rPr>
        <w:t xml:space="preserve"> has been associated with NPs properties such as surface</w:t>
      </w:r>
      <w:r w:rsidR="002F40B1">
        <w:rPr>
          <w:rFonts w:cs="Arial"/>
        </w:rPr>
        <w:t xml:space="preserve"> </w:t>
      </w:r>
      <w:r w:rsidR="00B47258">
        <w:rPr>
          <w:rFonts w:cs="Arial"/>
        </w:rPr>
        <w:t>chemistry, size, surface charge and chemical entity. These properties were also identified as key physico</w:t>
      </w:r>
      <w:r w:rsidR="00B41E88">
        <w:rPr>
          <w:rFonts w:cs="Arial"/>
        </w:rPr>
        <w:t>-</w:t>
      </w:r>
      <w:r w:rsidR="00B47258">
        <w:rPr>
          <w:rFonts w:cs="Arial"/>
        </w:rPr>
        <w:t xml:space="preserve">chemical parameters from </w:t>
      </w:r>
      <w:r w:rsidR="00B47258" w:rsidRPr="00B47258">
        <w:rPr>
          <w:rFonts w:cs="Arial"/>
          <w:i/>
        </w:rPr>
        <w:t>in vitro</w:t>
      </w:r>
      <w:r w:rsidR="00B47258">
        <w:rPr>
          <w:rFonts w:cs="Arial"/>
        </w:rPr>
        <w:t xml:space="preserve"> data related to alterations in the coagulation and platelets. Regarding complement activation, surface-related properties have been identified as critical, in </w:t>
      </w:r>
      <w:r w:rsidR="001555DC">
        <w:rPr>
          <w:rFonts w:cs="Arial"/>
        </w:rPr>
        <w:t xml:space="preserve">both </w:t>
      </w:r>
      <w:r w:rsidR="001555DC" w:rsidRPr="00B47258">
        <w:rPr>
          <w:rFonts w:cs="Arial"/>
          <w:i/>
        </w:rPr>
        <w:t>in vitro</w:t>
      </w:r>
      <w:r w:rsidR="001555DC">
        <w:rPr>
          <w:rFonts w:cs="Arial"/>
        </w:rPr>
        <w:t xml:space="preserve"> and</w:t>
      </w:r>
      <w:r w:rsidR="00B47258">
        <w:rPr>
          <w:rFonts w:cs="Arial"/>
        </w:rPr>
        <w:t xml:space="preserve"> </w:t>
      </w:r>
      <w:r w:rsidR="00B47258" w:rsidRPr="00B47258">
        <w:rPr>
          <w:rFonts w:cs="Arial"/>
          <w:i/>
        </w:rPr>
        <w:t>in vivo</w:t>
      </w:r>
      <w:r w:rsidR="00B47258">
        <w:rPr>
          <w:rFonts w:cs="Arial"/>
        </w:rPr>
        <w:t xml:space="preserve"> studies. </w:t>
      </w:r>
      <w:r w:rsidR="00E134D1">
        <w:rPr>
          <w:rFonts w:cs="Arial"/>
        </w:rPr>
        <w:t>But</w:t>
      </w:r>
      <w:r w:rsidR="00B47258">
        <w:rPr>
          <w:rFonts w:cs="Arial"/>
        </w:rPr>
        <w:t xml:space="preserve"> there are divergences in the information retrieved from </w:t>
      </w:r>
      <w:r w:rsidR="00B47258" w:rsidRPr="00B47258">
        <w:rPr>
          <w:rFonts w:cs="Arial"/>
          <w:i/>
        </w:rPr>
        <w:t>in vivo</w:t>
      </w:r>
      <w:r w:rsidR="00B47258">
        <w:rPr>
          <w:rFonts w:cs="Arial"/>
        </w:rPr>
        <w:t xml:space="preserve"> and </w:t>
      </w:r>
      <w:r w:rsidR="00B47258" w:rsidRPr="00B47258">
        <w:rPr>
          <w:rFonts w:cs="Arial"/>
          <w:i/>
        </w:rPr>
        <w:t>in vitro</w:t>
      </w:r>
      <w:r w:rsidR="00B47258">
        <w:rPr>
          <w:rFonts w:cs="Arial"/>
        </w:rPr>
        <w:t xml:space="preserve"> studies</w:t>
      </w:r>
      <w:r w:rsidR="00E134D1" w:rsidRPr="00E134D1">
        <w:rPr>
          <w:rFonts w:cs="Arial"/>
        </w:rPr>
        <w:t xml:space="preserve"> </w:t>
      </w:r>
      <w:r w:rsidR="00E134D1">
        <w:rPr>
          <w:rFonts w:cs="Arial"/>
        </w:rPr>
        <w:t>for the haematology endpoint</w:t>
      </w:r>
      <w:r w:rsidR="00B47258">
        <w:rPr>
          <w:rFonts w:cs="Arial"/>
        </w:rPr>
        <w:t xml:space="preserve">. </w:t>
      </w:r>
      <w:r w:rsidR="002F40B1" w:rsidRPr="00ED150C">
        <w:rPr>
          <w:rFonts w:cs="Arial"/>
          <w:i/>
        </w:rPr>
        <w:t>In vitro</w:t>
      </w:r>
      <w:r w:rsidR="002F40B1">
        <w:rPr>
          <w:rFonts w:cs="Arial"/>
        </w:rPr>
        <w:t xml:space="preserve"> data identifies surface chemistry</w:t>
      </w:r>
      <w:r w:rsidR="00ED150C">
        <w:rPr>
          <w:rFonts w:cs="Arial"/>
        </w:rPr>
        <w:t xml:space="preserve"> as the main contributor to alterations in haematology, </w:t>
      </w:r>
      <w:r w:rsidR="001555DC">
        <w:rPr>
          <w:rFonts w:cs="Arial"/>
        </w:rPr>
        <w:t>whereas</w:t>
      </w:r>
      <w:r w:rsidR="00ED150C">
        <w:rPr>
          <w:rFonts w:cs="Arial"/>
        </w:rPr>
        <w:t xml:space="preserve">, </w:t>
      </w:r>
      <w:r w:rsidR="00ED150C" w:rsidRPr="00ED150C">
        <w:rPr>
          <w:rFonts w:cs="Arial"/>
          <w:i/>
        </w:rPr>
        <w:t>in vivo</w:t>
      </w:r>
      <w:r w:rsidR="00ED150C">
        <w:rPr>
          <w:rFonts w:cs="Arial"/>
        </w:rPr>
        <w:t xml:space="preserve"> data points </w:t>
      </w:r>
      <w:r w:rsidR="001555DC">
        <w:rPr>
          <w:rFonts w:cs="Arial"/>
        </w:rPr>
        <w:t xml:space="preserve">to </w:t>
      </w:r>
      <w:r w:rsidR="00ED150C">
        <w:rPr>
          <w:rFonts w:cs="Arial"/>
        </w:rPr>
        <w:t>size as</w:t>
      </w:r>
      <w:r w:rsidR="00A3564A">
        <w:rPr>
          <w:rFonts w:cs="Arial"/>
        </w:rPr>
        <w:t xml:space="preserve"> a</w:t>
      </w:r>
      <w:r w:rsidR="00ED150C">
        <w:rPr>
          <w:rFonts w:cs="Arial"/>
        </w:rPr>
        <w:t xml:space="preserve"> critical parameter. </w:t>
      </w:r>
      <w:r w:rsidR="001555DC" w:rsidRPr="00537077">
        <w:rPr>
          <w:rFonts w:cs="Arial"/>
        </w:rPr>
        <w:t xml:space="preserve">However, the low number of publications available for </w:t>
      </w:r>
      <w:r w:rsidR="001555DC" w:rsidRPr="00537077">
        <w:rPr>
          <w:rFonts w:cs="Arial"/>
          <w:i/>
        </w:rPr>
        <w:t>in vivo</w:t>
      </w:r>
      <w:r w:rsidR="001555DC" w:rsidRPr="00537077">
        <w:rPr>
          <w:rFonts w:cs="Arial"/>
        </w:rPr>
        <w:t xml:space="preserve"> studies, especially for studies </w:t>
      </w:r>
      <w:r w:rsidR="001555DC">
        <w:rPr>
          <w:rFonts w:cs="Arial"/>
        </w:rPr>
        <w:t>of</w:t>
      </w:r>
      <w:r w:rsidR="001555DC" w:rsidRPr="00537077">
        <w:rPr>
          <w:rFonts w:cs="Arial"/>
        </w:rPr>
        <w:t xml:space="preserve"> the haematology endpoints, means that additional studies would be relevant to confirm this conclusion for </w:t>
      </w:r>
      <w:r w:rsidR="001555DC" w:rsidRPr="00537077">
        <w:rPr>
          <w:rFonts w:cs="Arial"/>
          <w:i/>
        </w:rPr>
        <w:t>in vivo</w:t>
      </w:r>
      <w:r w:rsidR="001555DC" w:rsidRPr="00537077">
        <w:rPr>
          <w:rFonts w:cs="Arial"/>
        </w:rPr>
        <w:t>.</w:t>
      </w:r>
    </w:p>
    <w:p w:rsidR="00B90135" w:rsidRDefault="008509C9" w:rsidP="00236E27">
      <w:pPr>
        <w:shd w:val="clear" w:color="auto" w:fill="FFFFFF"/>
        <w:jc w:val="both"/>
        <w:rPr>
          <w:rFonts w:cs="Arial"/>
        </w:rPr>
      </w:pPr>
      <w:r>
        <w:rPr>
          <w:rFonts w:cs="Arial"/>
        </w:rPr>
        <w:t xml:space="preserve">As already described in the literature, </w:t>
      </w:r>
      <w:r w:rsidR="00B90135" w:rsidRPr="009D6FC5">
        <w:rPr>
          <w:rFonts w:cs="Arial"/>
        </w:rPr>
        <w:t>preclinical testing has to identify potential safety concerns</w:t>
      </w:r>
      <w:r>
        <w:rPr>
          <w:rFonts w:cs="Arial"/>
        </w:rPr>
        <w:t xml:space="preserve"> but</w:t>
      </w:r>
      <w:r w:rsidR="00B90135" w:rsidRPr="009D6FC5">
        <w:rPr>
          <w:rFonts w:cs="Arial"/>
        </w:rPr>
        <w:t xml:space="preserve"> the extrapolation of findings from </w:t>
      </w:r>
      <w:r w:rsidR="00B90135" w:rsidRPr="009D6FC5">
        <w:rPr>
          <w:rFonts w:cs="Arial"/>
          <w:i/>
        </w:rPr>
        <w:t>in vivo</w:t>
      </w:r>
      <w:r w:rsidR="00B90135" w:rsidRPr="009D6FC5">
        <w:rPr>
          <w:rFonts w:cs="Arial"/>
        </w:rPr>
        <w:t xml:space="preserve"> toxicity assays to humans is often challenging </w:t>
      </w:r>
      <w:r w:rsidR="00B90135" w:rsidRPr="009D6FC5">
        <w:rPr>
          <w:rFonts w:cs="Arial"/>
        </w:rPr>
        <w:fldChar w:fldCharType="begin" w:fldLock="1"/>
      </w:r>
      <w:r w:rsidR="00B90135" w:rsidRPr="009D6FC5">
        <w:rPr>
          <w:rFonts w:cs="Arial"/>
        </w:rPr>
        <w:instrText>ADDIN CSL_CITATION { "citationItems" : [ { "id" : "ITEM-1", "itemData" : { "DOI" : "10.1016/j.jconrel.2013.05.025", "ISBN" : "0168-3659", "ISSN" : "01683659", "PMID" : "23742883", "abstract" : "Preclinical characterization of novel nanotechnology-based formulations is often challenged by physicochemical characteristics, sterility/sterilization issues, safety and efficacy. Such challenges are not unique to nanomedicine, as they are common in the development of small and macromolecular drugs. However, due to the lack of a general consensus on critical characterization parameters, a shortage of harmonized protocols to support testing, and the vast variety of engineered nanomaterials, the translation of nanomedicines into clinic is particularly complex. Understanding the immune compatibility of nanoformulations has been identified as one of the important factors in (pre)clinical development and requires reliable in vitro and in vivo immunotoxicity tests. The generally low sensitivity of standard in vivo toxicity tests to immunotoxicities, inter-species variability in the structure and function of the immune system, high costs and relatively low throughput of in vivo tests, and ethical concerns about animal use underscore the need for trustworthy in vitro assays. Here, we consider the correlation (or lack thereof) between in vitro and in vivo immunotoxicity tests as a mean to identify useful in vitro assays. We review literature examples and case studies from the experience of the NCI Nanotechnology Characterization Lab, and highlight assays where predictability has been demonstrated for a variety of nanomaterials and assays with high potential for predictability in vivo. \u00a9 2013 Elsevier B.V.", "author" : [ { "dropping-particle" : "", "family" : "Dobrovolskaia", "given" : "M.A.", "non-dropping-particle" : "", "parse-names" : false, "suffix" : "" }, { "dropping-particle" : "", "family" : "McNeil", "given" : "S.E.", "non-dropping-particle" : "", "parse-names" : false, "suffix" : "" } ], "container-title" : "Journal of Controlled Release", "id" : "ITEM-1", "issue" : "2", "issued" : { "date-parts" : [ [ "2013" ] ] }, "page" : "456-466", "title" : "Understanding the correlation between in vitro and in vivo immunotoxicity tests for nanomedicines", "type" : "article-journal", "volume" : "172" }, "uris" : [ "http://www.mendeley.com/documents/?uuid=de7831c7-7ec4-42c2-99e2-3ef3549785b0" ] } ], "mendeley" : { "formattedCitation" : "(M.A. Dobrovolskaia &amp; McNeil, 2013)", "manualFormatting" : "(Dobrovolskaia &amp; McNeil, 2013)", "plainTextFormattedCitation" : "(M.A. Dobrovolskaia &amp; McNeil, 2013)", "previouslyFormattedCitation" : "(M.A. Dobrovolskaia &amp; McNeil, 2013)" }, "properties" : { "noteIndex" : 18 }, "schema" : "https://github.com/citation-style-language/schema/raw/master/csl-citation.json" }</w:instrText>
      </w:r>
      <w:r w:rsidR="00B90135" w:rsidRPr="009D6FC5">
        <w:rPr>
          <w:rFonts w:cs="Arial"/>
        </w:rPr>
        <w:fldChar w:fldCharType="separate"/>
      </w:r>
      <w:r w:rsidR="00B90135" w:rsidRPr="009D6FC5">
        <w:rPr>
          <w:rFonts w:cs="Arial"/>
          <w:noProof/>
        </w:rPr>
        <w:t>(Dobrovolskaia &amp; McNeil, 2013)</w:t>
      </w:r>
      <w:r w:rsidR="00B90135" w:rsidRPr="009D6FC5">
        <w:rPr>
          <w:rFonts w:cs="Arial"/>
        </w:rPr>
        <w:fldChar w:fldCharType="end"/>
      </w:r>
      <w:r>
        <w:rPr>
          <w:rFonts w:cs="Arial"/>
        </w:rPr>
        <w:t>. H</w:t>
      </w:r>
      <w:r w:rsidR="00B90135" w:rsidRPr="009D6FC5">
        <w:rPr>
          <w:rFonts w:cs="Arial"/>
        </w:rPr>
        <w:t xml:space="preserve">umanised </w:t>
      </w:r>
      <w:r w:rsidR="00B90135" w:rsidRPr="00390989">
        <w:rPr>
          <w:rFonts w:cs="Arial"/>
          <w:i/>
        </w:rPr>
        <w:t>in vitro</w:t>
      </w:r>
      <w:r w:rsidR="00B90135" w:rsidRPr="009D6FC5">
        <w:rPr>
          <w:rFonts w:cs="Arial"/>
        </w:rPr>
        <w:t xml:space="preserve"> test</w:t>
      </w:r>
      <w:r>
        <w:rPr>
          <w:rFonts w:cs="Arial"/>
        </w:rPr>
        <w:t xml:space="preserve"> methods</w:t>
      </w:r>
      <w:r w:rsidR="00B90135" w:rsidRPr="009D6FC5">
        <w:rPr>
          <w:rFonts w:cs="Arial"/>
        </w:rPr>
        <w:t xml:space="preserve"> assessing e.g. blood compatibility could be valuable tools to identify potential hazards early during product development. The </w:t>
      </w:r>
      <w:r w:rsidR="001555DC">
        <w:rPr>
          <w:rFonts w:cs="Arial"/>
        </w:rPr>
        <w:t>number</w:t>
      </w:r>
      <w:r w:rsidR="001555DC" w:rsidRPr="009D6FC5">
        <w:rPr>
          <w:rFonts w:cs="Arial"/>
        </w:rPr>
        <w:t xml:space="preserve"> </w:t>
      </w:r>
      <w:r w:rsidR="00B90135" w:rsidRPr="009D6FC5">
        <w:rPr>
          <w:rFonts w:cs="Arial"/>
        </w:rPr>
        <w:t xml:space="preserve">of publications reporting on </w:t>
      </w:r>
      <w:r w:rsidR="00B90135" w:rsidRPr="009D6FC5">
        <w:rPr>
          <w:rFonts w:cs="Arial"/>
          <w:i/>
        </w:rPr>
        <w:t>in vitro</w:t>
      </w:r>
      <w:r w:rsidR="00B90135" w:rsidRPr="009D6FC5">
        <w:rPr>
          <w:rFonts w:cs="Arial"/>
        </w:rPr>
        <w:t xml:space="preserve"> data as well as their </w:t>
      </w:r>
      <w:r>
        <w:rPr>
          <w:rFonts w:cs="Arial"/>
        </w:rPr>
        <w:t>similarities</w:t>
      </w:r>
      <w:r w:rsidR="00B90135" w:rsidRPr="009D6FC5">
        <w:rPr>
          <w:rFonts w:cs="Arial"/>
        </w:rPr>
        <w:t xml:space="preserve"> with </w:t>
      </w:r>
      <w:r w:rsidR="00B90135" w:rsidRPr="009D6FC5">
        <w:rPr>
          <w:rFonts w:cs="Arial"/>
          <w:i/>
        </w:rPr>
        <w:t>in vivo</w:t>
      </w:r>
      <w:r w:rsidR="00B90135" w:rsidRPr="009D6FC5">
        <w:rPr>
          <w:rFonts w:cs="Arial"/>
        </w:rPr>
        <w:t xml:space="preserve"> data indicates the usefulness of </w:t>
      </w:r>
      <w:r w:rsidR="00B90135" w:rsidRPr="009D6FC5">
        <w:rPr>
          <w:rFonts w:cs="Arial"/>
          <w:i/>
        </w:rPr>
        <w:t>in vitro</w:t>
      </w:r>
      <w:r w:rsidR="00B90135" w:rsidRPr="009D6FC5">
        <w:rPr>
          <w:rFonts w:cs="Arial"/>
        </w:rPr>
        <w:t xml:space="preserve"> testing in biomedical research (Figure </w:t>
      </w:r>
      <w:r w:rsidR="001555DC">
        <w:rPr>
          <w:rFonts w:cs="Arial"/>
        </w:rPr>
        <w:t>7</w:t>
      </w:r>
      <w:r w:rsidR="00B90135" w:rsidRPr="009D6FC5">
        <w:rPr>
          <w:rFonts w:cs="Arial"/>
        </w:rPr>
        <w:t xml:space="preserve">). However, the relevance and reliability of such </w:t>
      </w:r>
      <w:r w:rsidR="00B90135" w:rsidRPr="009D6FC5">
        <w:rPr>
          <w:rFonts w:cs="Arial"/>
          <w:i/>
        </w:rPr>
        <w:t>in vitro</w:t>
      </w:r>
      <w:r w:rsidR="00B90135" w:rsidRPr="009D6FC5">
        <w:rPr>
          <w:rFonts w:cs="Arial"/>
        </w:rPr>
        <w:t xml:space="preserve"> testing methods for regulatory decision making has to be demonstrated.</w:t>
      </w:r>
    </w:p>
    <w:p w:rsidR="00DA26F5" w:rsidRPr="00C75910" w:rsidRDefault="00DA26F5" w:rsidP="00DF7EAE">
      <w:pPr>
        <w:jc w:val="both"/>
        <w:rPr>
          <w:rFonts w:cs="Arial"/>
        </w:rPr>
      </w:pPr>
    </w:p>
    <w:p w:rsidR="00DF7EAE" w:rsidRPr="00C75910" w:rsidRDefault="00DF7EAE" w:rsidP="00DF7EAE">
      <w:pPr>
        <w:jc w:val="both"/>
        <w:rPr>
          <w:rFonts w:cs="Arial"/>
          <w:b/>
          <w:sz w:val="24"/>
        </w:rPr>
      </w:pPr>
      <w:r w:rsidRPr="00C75910">
        <w:rPr>
          <w:rFonts w:cs="Arial"/>
          <w:b/>
          <w:sz w:val="24"/>
        </w:rPr>
        <w:t>AVAILABLE GUIDELINES FOR BLOOD COMPATIBILITY TESTING</w:t>
      </w:r>
    </w:p>
    <w:p w:rsidR="00FD1061" w:rsidRDefault="00052D7D" w:rsidP="00FD1061">
      <w:pPr>
        <w:jc w:val="both"/>
        <w:rPr>
          <w:rFonts w:cs="Arial"/>
        </w:rPr>
      </w:pPr>
      <w:r>
        <w:rPr>
          <w:rFonts w:cs="Arial"/>
        </w:rPr>
        <w:t xml:space="preserve">Evaluation of the quality, safety and efficacy of nanomedicines is based on the existing regulatory framework for medicinal products. </w:t>
      </w:r>
      <w:r w:rsidR="00F15061">
        <w:rPr>
          <w:rFonts w:cs="Arial"/>
        </w:rPr>
        <w:t>But s</w:t>
      </w:r>
      <w:r w:rsidR="00154149">
        <w:rPr>
          <w:rFonts w:cs="Arial"/>
        </w:rPr>
        <w:t xml:space="preserve">ince available guidelines were </w:t>
      </w:r>
      <w:r w:rsidR="005F3A01">
        <w:rPr>
          <w:rFonts w:cs="Arial"/>
        </w:rPr>
        <w:t xml:space="preserve">mainly </w:t>
      </w:r>
      <w:r w:rsidR="00154149">
        <w:rPr>
          <w:rFonts w:cs="Arial"/>
        </w:rPr>
        <w:t xml:space="preserve">developed for </w:t>
      </w:r>
      <w:r w:rsidR="005F3A01">
        <w:rPr>
          <w:rFonts w:cs="Arial"/>
        </w:rPr>
        <w:t>small molecules</w:t>
      </w:r>
      <w:r w:rsidR="00F15061">
        <w:rPr>
          <w:rFonts w:cs="Arial"/>
        </w:rPr>
        <w:t>,</w:t>
      </w:r>
      <w:r w:rsidR="005F3A01">
        <w:rPr>
          <w:rFonts w:cs="Arial"/>
        </w:rPr>
        <w:t xml:space="preserve"> </w:t>
      </w:r>
      <w:r w:rsidR="001555DC">
        <w:rPr>
          <w:rFonts w:cs="Arial"/>
        </w:rPr>
        <w:t xml:space="preserve">their applicability to </w:t>
      </w:r>
      <w:r w:rsidR="00154149">
        <w:rPr>
          <w:rFonts w:cs="Arial"/>
        </w:rPr>
        <w:t>nanomaterials</w:t>
      </w:r>
      <w:r w:rsidR="00B3562C">
        <w:rPr>
          <w:rFonts w:cs="Arial"/>
        </w:rPr>
        <w:t xml:space="preserve"> </w:t>
      </w:r>
      <w:r w:rsidR="001555DC">
        <w:rPr>
          <w:rFonts w:cs="Arial"/>
        </w:rPr>
        <w:t xml:space="preserve">needs to be evaluated </w:t>
      </w:r>
      <w:r w:rsidR="00B3562C">
        <w:rPr>
          <w:rFonts w:cs="Arial"/>
        </w:rPr>
        <w:fldChar w:fldCharType="begin" w:fldLock="1"/>
      </w:r>
      <w:r w:rsidR="00B3562C">
        <w:rPr>
          <w:rFonts w:cs="Arial"/>
        </w:rPr>
        <w:instrText>ADDIN CSL_CITATION { "citationItems" : [ { "id" : "ITEM-1", "itemData" : { "DOI" : "10.1002/wnan.1531", "author" : [ { "dropping-particle" : "", "family" : "Halamoda\u2010Kenzaoui", "given" : "Blanka", "non-dropping-particle" : "", "parse-names" : false, "suffix" : "" }, { "dropping-particle" : "", "family" : "Holzwarth", "given" : "Uwe", "non-dropping-particle" : "", "parse-names" : false, "suffix" : "" }, { "dropping-particle" : "", "family" : "Roebben", "given" : "Gert", "non-dropping-particle" : "", "parse-names" : false, "suffix" : "" }, { "dropping-particle" : "", "family" : "Bogni", "given" : "Alessia", "non-dropping-particle" : "", "parse-names" : false, "suffix" : "" }, { "dropping-particle" : "", "family" : "Bremer\u2010Hoffmann", "given" : "Susanne", "non-dropping-particle" : "", "parse-names" : false, "suffix" : "" } ], "container-title" : "WIREs Nanomedine and Nanobiotechnology", "id" : "ITEM-1", "issued" : { "date-parts" : [ [ "2018" ] ] }, "title" : "Mapping of the available standards against the regulatory needs for nanomedicines.", "type" : "article-journal" }, "uris" : [ "http://www.mendeley.com/documents/?uuid=06ca25f0-ae34-4876-b85d-84fcc04c4160" ] } ], "mendeley" : { "formattedCitation" : "(Halamoda\u2010Kenzaoui, Holzwarth, Roebben, Bogni, &amp; Bremer\u2010Hoffmann, 2018)", "manualFormatting" : "(Halamoda\u2010Kenzaoui, 2018)", "plainTextFormattedCitation" : "(Halamoda\u2010Kenzaoui, Holzwarth, Roebben, Bogni, &amp; Bremer\u2010Hoffmann, 2018)", "previouslyFormattedCitation" : "(Halamoda\u2010Kenzaoui, Holzwarth, Roebben, Bogni, &amp; Bremer\u2010Hoffmann, 2018)" }, "properties" : { "noteIndex" : 17 }, "schema" : "https://github.com/citation-style-language/schema/raw/master/csl-citation.json" }</w:instrText>
      </w:r>
      <w:r w:rsidR="00B3562C">
        <w:rPr>
          <w:rFonts w:cs="Arial"/>
        </w:rPr>
        <w:fldChar w:fldCharType="separate"/>
      </w:r>
      <w:r w:rsidR="00B3562C" w:rsidRPr="00B3562C">
        <w:rPr>
          <w:rFonts w:cs="Arial"/>
          <w:noProof/>
        </w:rPr>
        <w:t>(Halamoda‐Kenzaoui, 2018)</w:t>
      </w:r>
      <w:r w:rsidR="00B3562C">
        <w:rPr>
          <w:rFonts w:cs="Arial"/>
        </w:rPr>
        <w:fldChar w:fldCharType="end"/>
      </w:r>
      <w:r w:rsidR="00154149">
        <w:rPr>
          <w:rFonts w:cs="Arial"/>
        </w:rPr>
        <w:t xml:space="preserve">. </w:t>
      </w:r>
      <w:r w:rsidR="00FD1061">
        <w:rPr>
          <w:rFonts w:cs="Arial"/>
        </w:rPr>
        <w:t xml:space="preserve">The </w:t>
      </w:r>
      <w:r w:rsidR="00FD1061" w:rsidRPr="006315DB">
        <w:rPr>
          <w:rFonts w:cs="Arial"/>
        </w:rPr>
        <w:t xml:space="preserve">Committee for Medicinal Products for Human Use </w:t>
      </w:r>
      <w:r w:rsidR="00FD1061">
        <w:rPr>
          <w:rFonts w:cs="Arial"/>
        </w:rPr>
        <w:t xml:space="preserve">of the European Medicines Agency </w:t>
      </w:r>
      <w:r w:rsidR="00FD1061" w:rsidRPr="0086572E">
        <w:rPr>
          <w:rFonts w:cs="Arial"/>
        </w:rPr>
        <w:t xml:space="preserve">has </w:t>
      </w:r>
      <w:r w:rsidR="00FD1061">
        <w:rPr>
          <w:rFonts w:cs="Arial"/>
        </w:rPr>
        <w:t xml:space="preserve">released some reflection papers </w:t>
      </w:r>
      <w:r w:rsidR="00FD1061" w:rsidRPr="0086572E">
        <w:rPr>
          <w:rFonts w:cs="Arial"/>
        </w:rPr>
        <w:t xml:space="preserve">to </w:t>
      </w:r>
      <w:r w:rsidR="00FD1061">
        <w:rPr>
          <w:rFonts w:cs="Arial"/>
        </w:rPr>
        <w:t>summarize the current status of regulatory considerations when assessing a product that is nano-enable</w:t>
      </w:r>
      <w:r w:rsidR="00941801">
        <w:rPr>
          <w:rFonts w:cs="Arial"/>
        </w:rPr>
        <w:t>d</w:t>
      </w:r>
      <w:r w:rsidR="00FD1061" w:rsidRPr="00337B4A">
        <w:rPr>
          <w:rFonts w:cs="Arial"/>
        </w:rPr>
        <w:t xml:space="preserve"> </w:t>
      </w:r>
      <w:r w:rsidR="001555DC">
        <w:rPr>
          <w:rFonts w:cs="Arial"/>
        </w:rPr>
        <w:fldChar w:fldCharType="begin" w:fldLock="1"/>
      </w:r>
      <w:r w:rsidR="00CC4575">
        <w:rPr>
          <w:rFonts w:cs="Arial"/>
        </w:rPr>
        <w:instrText>ADDIN CSL_CITATION { "citationItems" : [ { "id" : "ITEM-1", "itemData" : { "author" : [ { "dropping-particle" : "", "family" : "Committee for Medicinal Products for Human Use", "given" : "", "non-dropping-particle" : "", "parse-names" : false, "suffix" : "" } ], "id" : "ITEM-1", "issue" : "December 2013", "issued" : { "date-parts" : [ [ "2013" ] ] }, "page" : "1-15", "title" : "Joint MHLW / EMA reflection paper on the development of block copolymer micelle medicinal products. European Medicines Agency, Committee for Medicinal Products for Human Use", "type" : "article-journal" }, "uris" : [ "http://www.mendeley.com/documents/?uuid=72ca1b88-b26f-4e8c-9349-a78fcff1df70" ] } ], "mendeley" : { "formattedCitation" : "(Committee for Medicinal Products for Human Use, 2013a)", "plainTextFormattedCitation" : "(Committee for Medicinal Products for Human Use, 2013a)", "previouslyFormattedCitation" : "(Committee for Medicinal Products for Human Use, 2013a)" }, "properties" : { "noteIndex" : 15 }, "schema" : "https://github.com/citation-style-language/schema/raw/master/csl-citation.json" }</w:instrText>
      </w:r>
      <w:r w:rsidR="001555DC">
        <w:rPr>
          <w:rFonts w:cs="Arial"/>
        </w:rPr>
        <w:fldChar w:fldCharType="separate"/>
      </w:r>
      <w:r w:rsidR="00CC4575" w:rsidRPr="00CC4575">
        <w:rPr>
          <w:rFonts w:cs="Arial"/>
          <w:noProof/>
        </w:rPr>
        <w:t>(Committee for Medicinal Products for Human Use, 2013a)</w:t>
      </w:r>
      <w:r w:rsidR="001555DC">
        <w:rPr>
          <w:rFonts w:cs="Arial"/>
        </w:rPr>
        <w:fldChar w:fldCharType="end"/>
      </w:r>
      <w:r w:rsidR="001555DC">
        <w:rPr>
          <w:rFonts w:cs="Arial"/>
        </w:rPr>
        <w:t xml:space="preserve">, </w:t>
      </w:r>
      <w:r w:rsidR="00FD1061">
        <w:rPr>
          <w:rFonts w:cs="Arial"/>
        </w:rPr>
        <w:fldChar w:fldCharType="begin" w:fldLock="1"/>
      </w:r>
      <w:r w:rsidR="00CC4575">
        <w:rPr>
          <w:rFonts w:cs="Arial"/>
        </w:rPr>
        <w:instrText>ADDIN CSL_CITATION { "citationItems" : [ { "id" : "ITEM-1", "itemData" : { "author" : [ { "dropping-particle" : "", "family" : "Committee for Medicinal Products for Human Use", "given" : "", "non-dropping-particle" : "", "parse-names" : false, "suffix" : "" } ], "id" : "ITEM-1", "issue" : "May", "issued" : { "date-parts" : [ [ "2013" ] ] }, "page" : "EMA/325027/2013", "title" : "Reflection paper on surface coatings: general issues for consideration regarding parenteral administration of coated nanomedicine products. European Medicines Agency, Committee for Medicinal Products for Human Use", "type" : "article-journal" }, "uris" : [ "http://www.mendeley.com/documents/?uuid=612ecf9b-091e-4299-a886-46b8c78b75f1" ] } ], "mendeley" : { "formattedCitation" : "(Committee for Medicinal Products for Human Use, 2013b)", "plainTextFormattedCitation" : "(Committee for Medicinal Products for Human Use, 2013b)", "previouslyFormattedCitation" : "(Committee for Medicinal Products for Human Use, 2013b)" }, "properties" : { "noteIndex" : 15 }, "schema" : "https://github.com/citation-style-language/schema/raw/master/csl-citation.json" }</w:instrText>
      </w:r>
      <w:r w:rsidR="00FD1061">
        <w:rPr>
          <w:rFonts w:cs="Arial"/>
        </w:rPr>
        <w:fldChar w:fldCharType="separate"/>
      </w:r>
      <w:r w:rsidR="00CC4575" w:rsidRPr="00CC4575">
        <w:rPr>
          <w:rFonts w:cs="Arial"/>
          <w:noProof/>
        </w:rPr>
        <w:t>(Committee for Medicinal Products for Human Use, 2013b)</w:t>
      </w:r>
      <w:r w:rsidR="00FD1061">
        <w:rPr>
          <w:rFonts w:cs="Arial"/>
        </w:rPr>
        <w:fldChar w:fldCharType="end"/>
      </w:r>
      <w:r w:rsidR="00FD1061">
        <w:rPr>
          <w:rFonts w:cs="Arial"/>
        </w:rPr>
        <w:t xml:space="preserve">, </w:t>
      </w:r>
      <w:r w:rsidR="00FD1061">
        <w:rPr>
          <w:rFonts w:cs="Arial"/>
        </w:rPr>
        <w:fldChar w:fldCharType="begin" w:fldLock="1"/>
      </w:r>
      <w:r w:rsidR="00CC4575">
        <w:rPr>
          <w:rFonts w:cs="Arial"/>
        </w:rPr>
        <w:instrText>ADDIN CSL_CITATION { "citationItems" : [ { "id" : "ITEM-1", "itemData" : { "abstract" : "This reflection paper discusses the data requirements for nano-sized colloidal intravenous iron-based preparations developed as a treatment for iron deficiency with reference to a nano-sized colloidal innovator products. For the comparison of iron-based nano-sized colloidal products developed with reference to an innovator medicinal product, current scientific knowledge and regulatory experience for characterisation of nano-sized colloidal preparations indicate that quality characterisation on its own would not provide sufficient assurance of the similarity between the two products, even if the quality tests performed show similarity. In the context of such iron-based preparations, a 'weight-of-evidence approach' including data from quality, non-clinical and human pharmacokinetic studies is required.", "author" : [ { "dropping-particle" : "", "family" : "European Medicines Agency", "given" : "", "non-dropping-particle" : "", "parse-names" : false, "suffix" : "" }, { "dropping-particle" : "", "family" : "Products", "given" : "Committee For Human Medical", "non-dropping-particle" : "", "parse-names" : false, "suffix" : "" } ], "id" : "ITEM-1", "issue" : "February", "issued" : { "date-parts" : [ [ "2013" ] ] }, "page" : "1-13", "title" : "Reflection paper on the data requirements for intravenous liposomal products developed with reference to an innovator liposomal product. European Medicine Agency Commitee For Human Medical Products", "type" : "article-journal" }, "uris" : [ "http://www.mendeley.com/documents/?uuid=39eccf92-c694-408a-bf16-a8cdf83baff7" ] } ], "mendeley" : { "formattedCitation" : "(European Medicines Agency &amp; Products, 2013)", "plainTextFormattedCitation" : "(European Medicines Agency &amp; Products, 2013)", "previouslyFormattedCitation" : "(European Medicines Agency &amp; Products, 2013)" }, "properties" : { "noteIndex" : 15 }, "schema" : "https://github.com/citation-style-language/schema/raw/master/csl-citation.json" }</w:instrText>
      </w:r>
      <w:r w:rsidR="00FD1061">
        <w:rPr>
          <w:rFonts w:cs="Arial"/>
        </w:rPr>
        <w:fldChar w:fldCharType="separate"/>
      </w:r>
      <w:r w:rsidR="00CC4575" w:rsidRPr="00CC4575">
        <w:rPr>
          <w:rFonts w:cs="Arial"/>
          <w:noProof/>
        </w:rPr>
        <w:t>(European Medicines Agency &amp; Products, 2013)</w:t>
      </w:r>
      <w:r w:rsidR="00FD1061">
        <w:rPr>
          <w:rFonts w:cs="Arial"/>
        </w:rPr>
        <w:fldChar w:fldCharType="end"/>
      </w:r>
      <w:r w:rsidR="00FD1061">
        <w:rPr>
          <w:rFonts w:cs="Arial"/>
        </w:rPr>
        <w:t>.</w:t>
      </w:r>
    </w:p>
    <w:p w:rsidR="00F920BC" w:rsidRDefault="00A3564A" w:rsidP="00F2709E">
      <w:pPr>
        <w:jc w:val="both"/>
        <w:rPr>
          <w:rFonts w:cs="Arial"/>
          <w:noProof/>
        </w:rPr>
      </w:pPr>
      <w:r>
        <w:rPr>
          <w:rFonts w:cs="Arial"/>
        </w:rPr>
        <w:t xml:space="preserve">A list </w:t>
      </w:r>
      <w:r>
        <w:rPr>
          <w:rFonts w:cs="Arial"/>
          <w:noProof/>
        </w:rPr>
        <w:t xml:space="preserve">of available guidelines and standards containing relevant information to evaluate blood compatibility of pharmaceuticals and medical devices during the pre-clinical phase is shown in Table 1. </w:t>
      </w:r>
      <w:r w:rsidR="00006178" w:rsidRPr="00D33F29">
        <w:rPr>
          <w:rFonts w:cs="Arial"/>
        </w:rPr>
        <w:t>Initial information on</w:t>
      </w:r>
      <w:r w:rsidR="00006178">
        <w:rPr>
          <w:rFonts w:cs="Arial"/>
        </w:rPr>
        <w:t xml:space="preserve"> </w:t>
      </w:r>
      <w:r w:rsidR="00006178" w:rsidRPr="00D33F29">
        <w:rPr>
          <w:rFonts w:cs="Arial"/>
        </w:rPr>
        <w:t>side effects of nanomedicines on the haematological system can be retrieved</w:t>
      </w:r>
      <w:r w:rsidR="00006178">
        <w:rPr>
          <w:rFonts w:cs="Arial"/>
        </w:rPr>
        <w:t xml:space="preserve"> during</w:t>
      </w:r>
      <w:r w:rsidR="00B83854">
        <w:rPr>
          <w:rFonts w:cs="Arial"/>
        </w:rPr>
        <w:t xml:space="preserve"> </w:t>
      </w:r>
      <w:r w:rsidR="00B83854" w:rsidRPr="00386C8C">
        <w:rPr>
          <w:rFonts w:cs="Arial"/>
          <w:i/>
        </w:rPr>
        <w:t>in vivo</w:t>
      </w:r>
      <w:r w:rsidR="00B83854">
        <w:rPr>
          <w:rFonts w:cs="Arial"/>
        </w:rPr>
        <w:t xml:space="preserve"> standard toxicity studies </w:t>
      </w:r>
      <w:r w:rsidR="00B83854">
        <w:rPr>
          <w:rFonts w:cs="Arial"/>
        </w:rPr>
        <w:fldChar w:fldCharType="begin" w:fldLock="1"/>
      </w:r>
      <w:r w:rsidR="00B83854">
        <w:rPr>
          <w:rFonts w:cs="Arial"/>
        </w:rPr>
        <w:instrText>ADDIN CSL_CITATION { "citationItems" : [ { "id" : "ITEM-1", "itemData" : { "author" : [ { "dropping-particle" : "", "family" : "Committee for Medicinal Products for Human Use", "given" : "", "non-dropping-particle" : "", "parse-names" : false, "suffix" : "" } ], "id" : "ITEM-1", "issue" : "March", "issued" : { "date-parts" : [ [ "2010" ] ] }, "page" : "1-9", "title" : "CPMP/SWP/1042/99 (R1)- Guideline on Repeated Dose Toxicity", "type" : "article-journal", "volume" : "99" }, "uris" : [ "http://www.mendeley.com/documents/?uuid=d2860973-c396-4c06-803e-af0ce9f9c059" ] } ], "mendeley" : { "formattedCitation" : "(Committee for Medicinal Products for Human Use, 2010)", "plainTextFormattedCitation" : "(Committee for Medicinal Products for Human Use, 2010)", "previouslyFormattedCitation" : "(Committee for Medicinal Products for Human Use, 2010)" }, "properties" : { "noteIndex" : 15 }, "schema" : "https://github.com/citation-style-language/schema/raw/master/csl-citation.json" }</w:instrText>
      </w:r>
      <w:r w:rsidR="00B83854">
        <w:rPr>
          <w:rFonts w:cs="Arial"/>
        </w:rPr>
        <w:fldChar w:fldCharType="separate"/>
      </w:r>
      <w:r w:rsidR="00B83854" w:rsidRPr="00B83854">
        <w:rPr>
          <w:rFonts w:cs="Arial"/>
          <w:noProof/>
        </w:rPr>
        <w:t>(Committee for Medicinal Products for Human Use, 2010)</w:t>
      </w:r>
      <w:r w:rsidR="00B83854">
        <w:rPr>
          <w:rFonts w:cs="Arial"/>
        </w:rPr>
        <w:fldChar w:fldCharType="end"/>
      </w:r>
      <w:r w:rsidR="00B83854">
        <w:rPr>
          <w:rFonts w:cs="Arial"/>
        </w:rPr>
        <w:fldChar w:fldCharType="begin" w:fldLock="1"/>
      </w:r>
      <w:r w:rsidR="00B83854">
        <w:rPr>
          <w:rFonts w:cs="Arial"/>
        </w:rPr>
        <w:instrText>ADDIN CSL_CITATION { "citationItems" : [ { "id" : "ITEM-1", "itemData" : { "DOI" : "EMA/CPMP/ICH/286/1995", "abstract" : "ICH Guidance M3(R2) non-clinical safety studies for the conduct of human trials and marketing authorization for pharmaceuticals", "author" : [ { "dropping-particle" : "", "family" : "ICH", "given" : "", "non-dropping-particle" : "", "parse-names" : false, "suffix" : "" } ], "container-title" : "International Conference of Harmonisation of Technical Requirements for Registration of Pharmaceuticals for Human Use", "id" : "ITEM-1", "issue" : "June", "issued" : { "date-parts" : [ [ "2009" ] ] }, "title" : "ICH guideline M3(R2) on non-clinical safety studies for the conduct of human clinical trials and marketing authorisation for pharmaceuticals", "type" : "article-journal", "volume" : "3" }, "uris" : [ "http://www.mendeley.com/documents/?uuid=64369bd1-049a-40a7-9b6d-0eb941d11a71" ] } ], "mendeley" : { "formattedCitation" : "(ICH, 2009)", "plainTextFormattedCitation" : "(ICH, 2009)", "previouslyFormattedCitation" : "(ICH, 2009)" }, "properties" : { "noteIndex" : 15 }, "schema" : "https://github.com/citation-style-language/schema/raw/master/csl-citation.json" }</w:instrText>
      </w:r>
      <w:r w:rsidR="00B83854">
        <w:rPr>
          <w:rFonts w:cs="Arial"/>
        </w:rPr>
        <w:fldChar w:fldCharType="separate"/>
      </w:r>
      <w:r w:rsidR="00B83854" w:rsidRPr="00B83854">
        <w:rPr>
          <w:rFonts w:cs="Arial"/>
          <w:noProof/>
        </w:rPr>
        <w:t>(ICH, 2009)</w:t>
      </w:r>
      <w:r w:rsidR="00B83854">
        <w:rPr>
          <w:rFonts w:cs="Arial"/>
        </w:rPr>
        <w:fldChar w:fldCharType="end"/>
      </w:r>
      <w:r w:rsidR="000C1748">
        <w:rPr>
          <w:rFonts w:cs="Arial"/>
        </w:rPr>
        <w:t xml:space="preserve">. </w:t>
      </w:r>
      <w:r w:rsidR="002A7EC4">
        <w:rPr>
          <w:rFonts w:cs="Arial"/>
        </w:rPr>
        <w:t>Methods proposed in these guidelines include: complete cell count, the evaluation of erythrocytes morphology, determination of haematocrit and haemoglobin concentration</w:t>
      </w:r>
      <w:r w:rsidR="00F920BC">
        <w:rPr>
          <w:rFonts w:cs="Arial"/>
        </w:rPr>
        <w:t xml:space="preserve"> and gross examination. </w:t>
      </w:r>
      <w:r w:rsidR="00F72E37" w:rsidRPr="00F72E37">
        <w:rPr>
          <w:rFonts w:cs="Arial"/>
        </w:rPr>
        <w:t xml:space="preserve">When additional testing is required with respect to clinical pathology, </w:t>
      </w:r>
      <w:r w:rsidR="00F72E37">
        <w:rPr>
          <w:rFonts w:cs="Arial"/>
        </w:rPr>
        <w:t>the CPMP/SWP/1042/99 Rev 1 Corr</w:t>
      </w:r>
      <w:r w:rsidR="00F72E37" w:rsidRPr="00F72E37">
        <w:rPr>
          <w:rFonts w:cs="Arial"/>
        </w:rPr>
        <w:t xml:space="preserve"> guideline</w:t>
      </w:r>
      <w:r w:rsidR="009F529E">
        <w:rPr>
          <w:rFonts w:cs="Arial"/>
        </w:rPr>
        <w:t xml:space="preserve">  </w:t>
      </w:r>
      <w:r w:rsidR="009F529E">
        <w:rPr>
          <w:rFonts w:cs="Arial"/>
        </w:rPr>
        <w:fldChar w:fldCharType="begin" w:fldLock="1"/>
      </w:r>
      <w:r w:rsidR="009F529E">
        <w:rPr>
          <w:rFonts w:cs="Arial"/>
        </w:rPr>
        <w:instrText>ADDIN CSL_CITATION { "citationItems" : [ { "id" : "ITEM-1", "itemData" : { "author" : [ { "dropping-particle" : "", "family" : "Committee for Medicinal Products for Human Use", "given" : "", "non-dropping-particle" : "", "parse-names" : false, "suffix" : "" } ], "id" : "ITEM-1", "issue" : "March", "issued" : { "date-parts" : [ [ "2010" ] ] }, "page" : "1-9", "title" : "CPMP/SWP/1042/99 (R1)- Guideline on Repeated Dose Toxicity", "type" : "article-journal", "volume" : "99" }, "uris" : [ "http://www.mendeley.com/documents/?uuid=d2860973-c396-4c06-803e-af0ce9f9c059" ] } ], "mendeley" : { "formattedCitation" : "(Committee for Medicinal Products for Human Use, 2010)", "plainTextFormattedCitation" : "(Committee for Medicinal Products for Human Use, 2010)", "previouslyFormattedCitation" : "(Committee for Medicinal Products for Human Use, 2010)" }, "properties" : { "noteIndex" : 17 }, "schema" : "https://github.com/citation-style-language/schema/raw/master/csl-citation.json" }</w:instrText>
      </w:r>
      <w:r w:rsidR="009F529E">
        <w:rPr>
          <w:rFonts w:cs="Arial"/>
        </w:rPr>
        <w:fldChar w:fldCharType="separate"/>
      </w:r>
      <w:r w:rsidR="009F529E" w:rsidRPr="009F529E">
        <w:rPr>
          <w:rFonts w:cs="Arial"/>
          <w:noProof/>
        </w:rPr>
        <w:t>(Committee for Medicinal Products for Human Use, 2010)</w:t>
      </w:r>
      <w:r w:rsidR="009F529E">
        <w:rPr>
          <w:rFonts w:cs="Arial"/>
        </w:rPr>
        <w:fldChar w:fldCharType="end"/>
      </w:r>
      <w:r w:rsidR="009F529E">
        <w:rPr>
          <w:rFonts w:cs="Arial"/>
        </w:rPr>
        <w:t xml:space="preserve"> </w:t>
      </w:r>
      <w:r w:rsidR="00F72E37" w:rsidRPr="00F72E37">
        <w:rPr>
          <w:rFonts w:cs="Arial"/>
        </w:rPr>
        <w:t>state</w:t>
      </w:r>
      <w:r w:rsidR="00BC2271">
        <w:rPr>
          <w:rFonts w:cs="Arial"/>
        </w:rPr>
        <w:t>s</w:t>
      </w:r>
      <w:r w:rsidR="00F72E37" w:rsidRPr="00F72E37">
        <w:rPr>
          <w:rFonts w:cs="Arial"/>
        </w:rPr>
        <w:t xml:space="preserve"> that the clinical pathology and the parameters measured will be specific to the species used</w:t>
      </w:r>
      <w:r w:rsidR="00BC2271">
        <w:rPr>
          <w:rFonts w:cs="Arial"/>
        </w:rPr>
        <w:t xml:space="preserve">, referring also </w:t>
      </w:r>
      <w:r w:rsidR="00F72E37" w:rsidRPr="00F72E37">
        <w:rPr>
          <w:rFonts w:cs="Arial"/>
        </w:rPr>
        <w:t>to the literature for recommendations regarding core tests and standard sampling intervals (Weingand, 1996).</w:t>
      </w:r>
      <w:r w:rsidR="00B254AC">
        <w:rPr>
          <w:rFonts w:cs="Arial"/>
        </w:rPr>
        <w:t xml:space="preserve"> </w:t>
      </w:r>
    </w:p>
    <w:p w:rsidR="00E07676" w:rsidRDefault="004A549A" w:rsidP="00F2709E">
      <w:pPr>
        <w:jc w:val="both"/>
        <w:rPr>
          <w:rFonts w:cs="Arial"/>
        </w:rPr>
      </w:pPr>
      <w:r>
        <w:rPr>
          <w:rFonts w:cs="Arial"/>
          <w:noProof/>
        </w:rPr>
        <w:lastRenderedPageBreak/>
        <w:t>The International</w:t>
      </w:r>
      <w:r>
        <w:rPr>
          <w:rFonts w:cs="Arial"/>
        </w:rPr>
        <w:t xml:space="preserve"> Council for Harmonisation of Technical Requirements for Pharmaceuticals for Human Use (ICH) </w:t>
      </w:r>
      <w:r w:rsidR="00E55B6A">
        <w:rPr>
          <w:rFonts w:cs="Arial"/>
        </w:rPr>
        <w:t xml:space="preserve">has </w:t>
      </w:r>
      <w:r>
        <w:rPr>
          <w:rFonts w:cs="Arial"/>
        </w:rPr>
        <w:t>released the ICH S8 guideline</w:t>
      </w:r>
      <w:r w:rsidR="00E55B6A">
        <w:rPr>
          <w:rFonts w:cs="Arial"/>
        </w:rPr>
        <w:t>,</w:t>
      </w:r>
      <w:r>
        <w:rPr>
          <w:rFonts w:cs="Arial"/>
        </w:rPr>
        <w:t xml:space="preserve"> </w:t>
      </w:r>
      <w:r w:rsidR="00E55B6A">
        <w:rPr>
          <w:rFonts w:cs="Arial"/>
        </w:rPr>
        <w:t>which contains</w:t>
      </w:r>
      <w:r>
        <w:rPr>
          <w:rFonts w:cs="Arial"/>
        </w:rPr>
        <w:t xml:space="preserve"> recommendations</w:t>
      </w:r>
      <w:r w:rsidRPr="004A549A">
        <w:t xml:space="preserve"> </w:t>
      </w:r>
      <w:r w:rsidR="00E07676">
        <w:t>for</w:t>
      </w:r>
      <w:r>
        <w:t xml:space="preserve"> </w:t>
      </w:r>
      <w:r>
        <w:rPr>
          <w:rFonts w:cs="Arial"/>
        </w:rPr>
        <w:t xml:space="preserve">the evaluation of </w:t>
      </w:r>
      <w:r w:rsidR="00177773">
        <w:rPr>
          <w:rFonts w:cs="Arial"/>
        </w:rPr>
        <w:t xml:space="preserve">the </w:t>
      </w:r>
      <w:r>
        <w:rPr>
          <w:rFonts w:cs="Arial"/>
        </w:rPr>
        <w:t>potential immunotoxicity</w:t>
      </w:r>
      <w:r w:rsidR="00E07676">
        <w:rPr>
          <w:rFonts w:cs="Arial"/>
        </w:rPr>
        <w:t xml:space="preserve"> of human pharmaceuticals </w:t>
      </w:r>
      <w:r w:rsidR="00E07676">
        <w:rPr>
          <w:rFonts w:cs="Arial"/>
        </w:rPr>
        <w:fldChar w:fldCharType="begin" w:fldLock="1"/>
      </w:r>
      <w:r w:rsidR="00E07676">
        <w:rPr>
          <w:rFonts w:cs="Arial"/>
        </w:rPr>
        <w:instrText>ADDIN CSL_CITATION { "citationItems" : [ { "id" : "ITEM-1", "itemData" : { "author" : [ { "dropping-particle" : "", "family" : "ICH", "given" : "", "non-dropping-particle" : "", "parse-names" : false, "suffix" : "" } ], "id" : "ITEM-1", "issue" : "September", "issued" : { "date-parts" : [ [ "2005" ] ] }, "title" : "ICH S8 - Immunotoxicity Studies For Human Pharmaceuticals", "type" : "article-journal" }, "uris" : [ "http://www.mendeley.com/documents/?uuid=490cce44-187d-4d1f-9368-a276df5a731d" ] } ], "mendeley" : { "formattedCitation" : "(ICH, 2005)", "plainTextFormattedCitation" : "(ICH, 2005)", "previouslyFormattedCitation" : "(ICH, 2005)" }, "properties" : { "noteIndex" : 15 }, "schema" : "https://github.com/citation-style-language/schema/raw/master/csl-citation.json" }</w:instrText>
      </w:r>
      <w:r w:rsidR="00E07676">
        <w:rPr>
          <w:rFonts w:cs="Arial"/>
        </w:rPr>
        <w:fldChar w:fldCharType="separate"/>
      </w:r>
      <w:r w:rsidR="00E07676" w:rsidRPr="00184FDE">
        <w:rPr>
          <w:rFonts w:cs="Arial"/>
          <w:noProof/>
        </w:rPr>
        <w:t>(ICH, 2005)</w:t>
      </w:r>
      <w:r w:rsidR="00E07676">
        <w:rPr>
          <w:rFonts w:cs="Arial"/>
        </w:rPr>
        <w:fldChar w:fldCharType="end"/>
      </w:r>
      <w:r w:rsidR="00E07676">
        <w:rPr>
          <w:rFonts w:cs="Arial"/>
        </w:rPr>
        <w:t>. These recommendations for</w:t>
      </w:r>
      <w:r w:rsidR="00E07676">
        <w:t xml:space="preserve"> non-clinical testing apply to</w:t>
      </w:r>
      <w:r w:rsidR="00E07676" w:rsidRPr="00E07676">
        <w:t xml:space="preserve"> </w:t>
      </w:r>
      <w:r w:rsidR="00E07676">
        <w:t>new pharmaceuticals intended for use in humans, and therefore, to new nanomedicines. T</w:t>
      </w:r>
      <w:r w:rsidR="00E07676">
        <w:rPr>
          <w:rFonts w:cs="Arial"/>
        </w:rPr>
        <w:t xml:space="preserve">he </w:t>
      </w:r>
      <w:r w:rsidR="00D33F29" w:rsidRPr="00D33F29">
        <w:rPr>
          <w:rFonts w:cs="Arial"/>
        </w:rPr>
        <w:t>investigation of haematological changes (for instance, leukocytopenia or granulocytopenia) and gross examination to indicate the presence of thrombus</w:t>
      </w:r>
      <w:r w:rsidR="00432FC0">
        <w:rPr>
          <w:rFonts w:cs="Arial"/>
        </w:rPr>
        <w:t xml:space="preserve"> </w:t>
      </w:r>
      <w:r w:rsidR="00432FC0" w:rsidRPr="00D33F29">
        <w:rPr>
          <w:rFonts w:cs="Arial"/>
        </w:rPr>
        <w:fldChar w:fldCharType="begin" w:fldLock="1"/>
      </w:r>
      <w:r w:rsidR="00432FC0">
        <w:rPr>
          <w:rFonts w:cs="Arial"/>
        </w:rPr>
        <w:instrText>ADDIN CSL_CITATION { "citationItems" : [ { "id" : "ITEM-1", "itemData" : { "author" : [ { "dropping-particle" : "", "family" : "ICH", "given" : "", "non-dropping-particle" : "", "parse-names" : false, "suffix" : "" } ], "id" : "ITEM-1", "issue" : "September", "issued" : { "date-parts" : [ [ "2005" ] ] }, "title" : "ICH S8 - Immunotoxicity Studies For Human Pharmaceuticals", "type" : "article-journal" }, "uris" : [ "http://www.mendeley.com/documents/?uuid=490cce44-187d-4d1f-9368-a276df5a731d" ] } ], "mendeley" : { "formattedCitation" : "(ICH, 2005)", "plainTextFormattedCitation" : "(ICH, 2005)", "previouslyFormattedCitation" : "(ICH, 2005)" }, "properties" : { "noteIndex" : 2 }, "schema" : "https://github.com/citation-style-language/schema/raw/master/csl-citation.json" }</w:instrText>
      </w:r>
      <w:r w:rsidR="00432FC0" w:rsidRPr="00D33F29">
        <w:rPr>
          <w:rFonts w:cs="Arial"/>
        </w:rPr>
        <w:fldChar w:fldCharType="separate"/>
      </w:r>
      <w:r w:rsidR="00432FC0" w:rsidRPr="0086572E">
        <w:rPr>
          <w:rFonts w:cs="Arial"/>
          <w:noProof/>
        </w:rPr>
        <w:t>(ICH, 2005)</w:t>
      </w:r>
      <w:r w:rsidR="00432FC0" w:rsidRPr="00D33F29">
        <w:rPr>
          <w:rFonts w:cs="Arial"/>
        </w:rPr>
        <w:fldChar w:fldCharType="end"/>
      </w:r>
      <w:r w:rsidR="00CE5CDC">
        <w:rPr>
          <w:rFonts w:cs="Arial"/>
        </w:rPr>
        <w:t xml:space="preserve"> is recommended in the ICH S8 guideline</w:t>
      </w:r>
      <w:r w:rsidR="00D33F29" w:rsidRPr="00D33F29">
        <w:rPr>
          <w:rFonts w:cs="Arial"/>
        </w:rPr>
        <w:t xml:space="preserve">. </w:t>
      </w:r>
      <w:r w:rsidR="00F2709E">
        <w:rPr>
          <w:rFonts w:cs="Arial"/>
        </w:rPr>
        <w:t>C</w:t>
      </w:r>
      <w:r w:rsidR="00D33F29" w:rsidRPr="00D33F29">
        <w:rPr>
          <w:rFonts w:cs="Arial"/>
        </w:rPr>
        <w:t>omplement assays</w:t>
      </w:r>
      <w:r w:rsidR="00F2709E">
        <w:rPr>
          <w:rFonts w:cs="Arial"/>
        </w:rPr>
        <w:t>, which are</w:t>
      </w:r>
      <w:r w:rsidR="00D33F29" w:rsidRPr="00D33F29">
        <w:rPr>
          <w:rFonts w:cs="Arial"/>
        </w:rPr>
        <w:t xml:space="preserve"> relevant for the detection of hypersensitivity or infusion reactions are not yet </w:t>
      </w:r>
      <w:r w:rsidR="00432FC0">
        <w:rPr>
          <w:rFonts w:cs="Arial"/>
        </w:rPr>
        <w:t>included</w:t>
      </w:r>
      <w:r w:rsidR="00F2709E">
        <w:rPr>
          <w:rFonts w:cs="Arial"/>
        </w:rPr>
        <w:t>,</w:t>
      </w:r>
      <w:r w:rsidR="00432FC0">
        <w:rPr>
          <w:rFonts w:cs="Arial"/>
        </w:rPr>
        <w:t xml:space="preserve"> </w:t>
      </w:r>
      <w:r w:rsidR="00D33F29" w:rsidRPr="00D33F29">
        <w:rPr>
          <w:rFonts w:cs="Arial"/>
        </w:rPr>
        <w:t>although such adversities have already been linked with nanomedicines</w:t>
      </w:r>
      <w:r w:rsidR="00D33F29">
        <w:rPr>
          <w:rFonts w:cs="Arial"/>
        </w:rPr>
        <w:t xml:space="preserve"> </w:t>
      </w:r>
      <w:r w:rsidR="00D33F29" w:rsidRPr="00D33F29">
        <w:rPr>
          <w:rFonts w:cs="Arial"/>
        </w:rPr>
        <w:fldChar w:fldCharType="begin" w:fldLock="1"/>
      </w:r>
      <w:r w:rsidR="00EE19CA">
        <w:rPr>
          <w:rFonts w:cs="Arial"/>
        </w:rPr>
        <w:instrText>ADDIN CSL_CITATION { "citationItems" : [ { "id" : "ITEM-1", "itemData" : { "DOI" : "10.1016/j.addr.2011.06.017", "ISBN" : "1872-8294 (Electronic)\\r0169-409X (Linking)", "ISSN" : "0169409X", "PMID" : "21787819", "abstract" : "Some therapeutic liposomes and lipid excipient-based anticancer drugs are recognized by the immune system as foreign, leading to a variety of adverse immune phenomena. One of them is complement (C) activation, the cause, or major contributing factor to a hypersensitivity syndrome called C activation-related pseudoallergy (CARPA). CARPA represents a novel subcategory of acute (type I) hypersensitivity reactions (HSR), which is mostly mild, transient, and preventable by appropriate precautions. However, in an occasional patient, it can be severe or even lethal. Because a main manifestation of C activation is cardiopulmonary distress, CARPA may be a safety issue primarily in cardiac patients. Along with an overview of the various types of liposome-immune system interactions, this review updates the experimental and clinical information on CARPA to different therapeutic liposomes and lipid excipient-based (micellar) anticancer drugs, including PEGylated liposomal doxorubicin sulfate (PLD, Doxil ??) and paclitaxel (Taxol ??). The substantial individual variation of in vitro and in vivo findings reflects an extremely complex immune phenomenon involving multiple, redundant pathways of C activation, signal transduction in allergy-mediating cells and vasoactive mediator actions at the effector cell level. The latest advances in this field include the proposal of doxorubicin-induced shape changes and aggregation of liposomes in Doxil as possible contributing factors to CARPA caused by PLD, and the finding that Doxil-induced immune suppression prevents HSR to co-administered carboplatin, a significant benefit of Doxil in combination chemotherapy with carboplatin. The review evaluates the use of in vitro C assays and the porcine liposome-induced cardiopulmonary distress model for predicting CARPA. It is concluded that CARPA may become a frequent safety issue in the upcoming era of nanomedicines, necessitating its prevention at an early stage of nanomedicine R&amp;D. ?? 2011.", "author" : [ { "dropping-particle" : "", "family" : "Szebeni", "given" : "Janos", "non-dropping-particle" : "", "parse-names" : false, "suffix" : "" }, { "dropping-particle" : "", "family" : "Muggia", "given" : "Franco", "non-dropping-particle" : "", "parse-names" : false, "suffix" : "" }, { "dropping-particle" : "", "family" : "Gabizon", "given" : "Alberto", "non-dropping-particle" : "", "parse-names" : false, "suffix" : "" }, { "dropping-particle" : "", "family" : "Barenholz", "given" : "Yechezkel", "non-dropping-particle" : "", "parse-names" : false, "suffix" : "" } ], "container-title" : "Advanced Drug Delivery Reviews", "id" : "ITEM-1", "issue" : "12", "issued" : { "date-parts" : [ [ "2011" ] ] }, "page" : "1020-1030", "publisher" : "Elsevier B.V.", "title" : "Activation of complement by therapeutic liposomes and other lipid excipient-based therapeutic products: Prediction and prevention", "type" : "article-journal", "volume" : "63" }, "uris" : [ "http://www.mendeley.com/documents/?uuid=41dacddc-fc29-4cea-ad39-55965b651bc5" ] } ], "mendeley" : { "formattedCitation" : "(Janos Szebeni et al., 2011)", "manualFormatting" : "(Szebeni, 2011)", "plainTextFormattedCitation" : "(Janos Szebeni et al., 2011)", "previouslyFormattedCitation" : "(Janos Szebeni et al., 2011)" }, "properties" : { "noteIndex" : 7 }, "schema" : "https://github.com/citation-style-language/schema/raw/master/csl-citation.json" }</w:instrText>
      </w:r>
      <w:r w:rsidR="00D33F29" w:rsidRPr="00D33F29">
        <w:rPr>
          <w:rFonts w:cs="Arial"/>
        </w:rPr>
        <w:fldChar w:fldCharType="separate"/>
      </w:r>
      <w:r w:rsidR="00D33F29" w:rsidRPr="00D33F29">
        <w:rPr>
          <w:rFonts w:cs="Arial"/>
          <w:noProof/>
        </w:rPr>
        <w:t>(Szebeni, 2011)</w:t>
      </w:r>
      <w:r w:rsidR="00D33F29" w:rsidRPr="00D33F29">
        <w:rPr>
          <w:rFonts w:cs="Arial"/>
        </w:rPr>
        <w:fldChar w:fldCharType="end"/>
      </w:r>
      <w:r w:rsidR="00D33F29" w:rsidRPr="00D33F29">
        <w:rPr>
          <w:rFonts w:cs="Arial"/>
        </w:rPr>
        <w:t>,</w:t>
      </w:r>
      <w:r w:rsidR="0079271B">
        <w:rPr>
          <w:rFonts w:cs="Arial"/>
        </w:rPr>
        <w:t xml:space="preserve"> </w:t>
      </w:r>
      <w:r w:rsidR="00D33F29" w:rsidRPr="00D33F29">
        <w:rPr>
          <w:rFonts w:cs="Arial"/>
        </w:rPr>
        <w:fldChar w:fldCharType="begin" w:fldLock="1"/>
      </w:r>
      <w:r w:rsidR="0079271B">
        <w:rPr>
          <w:rFonts w:cs="Arial"/>
        </w:rPr>
        <w:instrText>ADDIN CSL_CITATION { "citationItems" : [ { "id" : "ITEM-1", "itemData" : { "DOI" : "10.1093/annonc/mdg374", "ISBN" : "0923-7534", "ISSN" : "0923-7534", "abstract" : "Background: Pegylated liposomal doxorubicin (Doxil\u00ae) has been reported to cause immediate hypersensitivity reactions (HSRs) that cannot be explained as IgE-mediated (type I) allergy. Previous in vitro and animal studies indicated that activation of the complement (C) system might play a causal role in the process, a proposal that has not been tested in humans to date. Patients and methods: Patients with solid tumors (n = 29) treated for the first time with Doxil were evaluated for HSRs and concurrent C activation. HSRs were classified from mild to severe, while C activation was estimated by serial measurement of plasma C terminal complex (SC5b-9) levels. Increases in SC5b-9 were compared in patients with or without reactions, and were correlated with Doxil dose rate. Results: Moderate to severe HSRs occurred in 45% of patients. Plasma SC5b-9 at 10 min after infusion was significantly elevated in 92% of reactor patients versus 56% in the non-reactor group, and the rise was greater in reactors than in non-reactors. We found significant association between C activation and HSRs, both showing direct correlation with the initial Doxil dose rate. Conclusions: C activation may play a key role in HSRs to Doxil. However, low-level C activation does not necessarily entail clinical symptoms, highlighting the probable involvement of further, as yet unidentified, amplification factors.", "author" : [ { "dropping-particle" : "", "family" : "Chanan-Khan", "given" : "A", "non-dropping-particle" : "", "parse-names" : false, "suffix" : "" }, { "dropping-particle" : "", "family" : "Szebeni", "given" : "J", "non-dropping-particle" : "", "parse-names" : false, "suffix" : "" }, { "dropping-particle" : "", "family" : "Savay", "given" : "S", "non-dropping-particle" : "", "parse-names" : false, "suffix" : "" }, { "dropping-particle" : "", "family" : "Liebes", "given" : "L", "non-dropping-particle" : "", "parse-names" : false, "suffix" : "" }, { "dropping-particle" : "", "family" : "Rafique", "given" : "N M", "non-dropping-particle" : "", "parse-names" : false, "suffix" : "" }, { "dropping-particle" : "", "family" : "Alving", "given" : "C R", "non-dropping-particle" : "", "parse-names" : false, "suffix" : "" }, { "dropping-particle" : "", "family" : "Muggia", "given" : "F M", "non-dropping-particle" : "", "parse-names" : false, "suffix" : "" } ], "container-title" : "Annals of Oncology", "id" : "ITEM-1", "issue" : "9", "issued" : { "date-parts" : [ [ "2003" ] ] }, "page" : "1430-1437", "title" : "Complement activation following first exposure to pegylated liposomal doxorubicin (Doxil\u00ae): possible role in hypersensitivity reactions", "type" : "article-journal", "volume" : "14" }, "uris" : [ "http://www.mendeley.com/documents/?uuid=3400af8a-27ca-4070-8a99-c9c62a556b53" ] } ], "mendeley" : { "formattedCitation" : "(Chanan-Khan et al., 2003)", "manualFormatting" : "(Chanan-Khan, 2003)", "plainTextFormattedCitation" : "(Chanan-Khan et al., 2003)", "previouslyFormattedCitation" : "(Chanan-Khan et al., 2003)" }, "properties" : { "noteIndex" : 7 }, "schema" : "https://github.com/citation-style-language/schema/raw/master/csl-citation.json" }</w:instrText>
      </w:r>
      <w:r w:rsidR="00D33F29" w:rsidRPr="00D33F29">
        <w:rPr>
          <w:rFonts w:cs="Arial"/>
        </w:rPr>
        <w:fldChar w:fldCharType="separate"/>
      </w:r>
      <w:r w:rsidR="00D33F29" w:rsidRPr="00D33F29">
        <w:rPr>
          <w:rFonts w:cs="Arial"/>
          <w:noProof/>
        </w:rPr>
        <w:t>(Chanan-Khan, 2003)</w:t>
      </w:r>
      <w:r w:rsidR="00D33F29" w:rsidRPr="00D33F29">
        <w:rPr>
          <w:rFonts w:cs="Arial"/>
        </w:rPr>
        <w:fldChar w:fldCharType="end"/>
      </w:r>
      <w:r w:rsidR="00D33F29" w:rsidRPr="00D33F29">
        <w:rPr>
          <w:rFonts w:cs="Arial"/>
        </w:rPr>
        <w:t>,</w:t>
      </w:r>
      <w:r w:rsidR="0079271B">
        <w:rPr>
          <w:rFonts w:cs="Arial"/>
        </w:rPr>
        <w:t xml:space="preserve"> </w:t>
      </w:r>
      <w:r w:rsidR="00D33F29" w:rsidRPr="00D33F29">
        <w:rPr>
          <w:rFonts w:cs="Arial"/>
        </w:rPr>
        <w:fldChar w:fldCharType="begin" w:fldLock="1"/>
      </w:r>
      <w:r w:rsidR="0079271B">
        <w:rPr>
          <w:rFonts w:cs="Arial"/>
        </w:rPr>
        <w:instrText>ADDIN CSL_CITATION { "citationItems" : [ { "id" : "ITEM-1", "itemData" : { "DOI" : "10.2147/IJN.S102385", "ISSN" : "11782013", "abstract" : "Nanomaterials (NMs) are attractive for biomedical and pharmaceutical applications because of their unique physicochemical and biological properties. A major application area of NMs is drug delivery. Many nanomedicinal products (NMPs) currently on the market or in clinical trials are most often based on liposomal products or polymer conjugates. NMPs can be designed to target specific tissues, eg, tumors. In virtually all cases, NMPs will eventually reach the immune system. It has been shown that most NMs end up in organs of the mononuclear phagocytic system, notably liver and spleen. Adverse immune effects, including allergy, hypersensitivity, and immunosuppression, have been reported after NMP administration. Interactions of NMPs with the immune system may therefore constitute important side effects. Currently, no regulatory documents are specifically dedicated to evaluate the immunotoxicity of NMs or NMPs. Their immunotoxicity assessment is performed based on existing guidelines for conventional substances or medicinal products. Due to the unique properties of NMPs when compared with conventional medicinal products, it is uncertain whether the currently prescribed set of tests provides sufficient information for an adequate evaluation of potential immunotoxicity of NMPs. The aim of this study was therefore, to compare the current regulatory immunotoxicity testing requirements with the accumulating knowledge on immunotoxic effects of NMPs in order to identify potential gaps in the safety assessment. This comparison showed that immunotoxic effects, such as complement activation-related pseudoallergy, myelosuppression, inflammasome activation, and hypersensitivity, are not readily detected by using current testing guidelines. Immunotoxicity of NMPs would be more accurately evaluated by an expanded testing strategy that is equipped to stratify applicable testing for the various types of NMPs.", "author" : [ { "dropping-particle" : "", "family" : "Giannakou", "given" : "Christina", "non-dropping-particle" : "", "parse-names" : false, "suffix" : "" }, { "dropping-particle" : "", "family" : "Park", "given" : "Margriet V D Z", "non-dropping-particle" : "", "parse-names" : false, "suffix" : "" }, { "dropping-particle" : "", "family" : "Jong", "given" : "Wim H.", "non-dropping-particle" : "De", "parse-names" : false, "suffix" : "" }, { "dropping-particle" : "", "family" : "Loveren", "given" : "Henk", "non-dropping-particle" : "Van", "parse-names" : false, "suffix" : "" }, { "dropping-particle" : "", "family" : "Vandebriel", "given" : "Rob J.", "non-dropping-particle" : "", "parse-names" : false, "suffix" : "" }, { "dropping-particle" : "", "family" : "Geertsma", "given" : "Robert E.", "non-dropping-particle" : "", "parse-names" : false, "suffix" : "" } ], "container-title" : "International Journal of Nanomedicine", "id" : "ITEM-1", "issued" : { "date-parts" : [ [ "2016" ] ] }, "page" : "2935-2952", "title" : "A comparison of immunotoxic effects of nanomedicinal products with regulatory immunotoxicity testing requirements", "type" : "article-journal", "volume" : "11" }, "uris" : [ "http://www.mendeley.com/documents/?uuid=9181eb0a-ca4d-49ff-84ba-b6a754cdf452" ] } ], "mendeley" : { "formattedCitation" : "(Giannakou et al., 2016)", "manualFormatting" : "(Giannakou, 2016)", "plainTextFormattedCitation" : "(Giannakou et al., 2016)", "previouslyFormattedCitation" : "(Giannakou et al., 2016)" }, "properties" : { "noteIndex" : 2 }, "schema" : "https://github.com/citation-style-language/schema/raw/master/csl-citation.json" }</w:instrText>
      </w:r>
      <w:r w:rsidR="00D33F29" w:rsidRPr="00D33F29">
        <w:rPr>
          <w:rFonts w:cs="Arial"/>
        </w:rPr>
        <w:fldChar w:fldCharType="separate"/>
      </w:r>
      <w:r w:rsidR="00D33F29" w:rsidRPr="00D33F29">
        <w:rPr>
          <w:rFonts w:cs="Arial"/>
          <w:noProof/>
        </w:rPr>
        <w:t>(Giannakou, 2016)</w:t>
      </w:r>
      <w:r w:rsidR="00D33F29" w:rsidRPr="00D33F29">
        <w:rPr>
          <w:rFonts w:cs="Arial"/>
        </w:rPr>
        <w:fldChar w:fldCharType="end"/>
      </w:r>
      <w:r w:rsidR="00D33F29" w:rsidRPr="00D33F29">
        <w:rPr>
          <w:rFonts w:cs="Arial"/>
        </w:rPr>
        <w:t>,</w:t>
      </w:r>
      <w:r w:rsidR="009B278F">
        <w:rPr>
          <w:rFonts w:cs="Arial"/>
        </w:rPr>
        <w:t xml:space="preserve"> </w:t>
      </w:r>
      <w:r w:rsidR="00D33F29" w:rsidRPr="00D33F29">
        <w:rPr>
          <w:rFonts w:cs="Arial"/>
        </w:rPr>
        <w:fldChar w:fldCharType="begin" w:fldLock="1"/>
      </w:r>
      <w:r w:rsidR="0079271B">
        <w:rPr>
          <w:rFonts w:cs="Arial"/>
        </w:rPr>
        <w:instrText>ADDIN CSL_CITATION { "citationItems" : [ { "id" : "ITEM-1", "itemData" : { "DOI" : "10.1515/ejnm-2012-0002", "ISBN" : "1662-596X", "ISSN" : "16625986", "abstract" : "Infusion, or hypersensitivity reactions (HSRs) are frequent side effects of i.v. administered nanomedicines and biologi-cals. These, mostly mild and well tolerated, but occasionally severe or fatal allergic reactions represent a hemo-incompat-ibility due to activation of the complement (C) system. This review details the HSRs caused by marketed nanomedicines (liposomal drugs, micellar systems, polymer-conjugates of proteins, imaging agents, drug carrier nanosystems) and antibody therapeutics (mAbs), pointing out the remarkable similarity of clinical symptoms and difference from true (IgE-mediated) allergy. Beside the essentials, such as termi-nology, prevalence, risk factors and molecular and cellular mechanism of C activation-related pseudoallergy (CARPA) caused by the above agents, the paper highlights the bio-logical rationale of these reactions, i.e., misinterpretation of nanoparticulate drugs by the immune system as patho-genic viruses, and C activation being an inherent function of mAbs. The public, as well as regulatory agencies are increasingly aware of the safety risks of possibly severe adverse immune reaction of drugs in the above categories, expressing need for new and appropriate immune toxicity tests in the preclinical stage. Here we outline and comment on the available methods for C activation and CARPA testing in vitro and in vivo, namely, the ELISA of C cleavage prod-ucts (C3a, C5a, C4d, Bb, SC5b-9), the hemolytic (CH50) C assay, FACS measurement of basophil leukocyte activa-tion, a \u2013 potentially \u2013 multiplex bead assay for C activation byproducts, the porcine assay of nanoparticle-induced car-diopulmonary distress and other CARPA tests in animals. The proven parallelisms between C activation and HSRs in vivo provide rationale for using these tests as predictors of infusion hypersensitivity, and the review suggests a decision tree for their use.", "author" : [ { "dropping-particle" : "", "family" : "Szebeni", "given" : "J\u00e1nos", "non-dropping-particle" : "", "parse-names" : false, "suffix" : "" } ], "container-title" : "European Journal of Nanomedicine", "id" : "ITEM-1", "issue" : "1", "issued" : { "date-parts" : [ [ "2012" ] ] }, "page" : "33-53", "title" : "Hemocompatibility testing for nanomedicines and biologicals: Predictive assays for complement mediated infusion reactions", "type" : "article-journal", "volume" : "4" }, "uris" : [ "http://www.mendeley.com/documents/?uuid=5fb292f6-e33d-4040-8b0e-2214a064d37a" ] } ], "mendeley" : { "formattedCitation" : "(J\u00e1nos Szebeni, 2012)", "manualFormatting" : "(Szebeni, 2012)", "plainTextFormattedCitation" : "(J\u00e1nos Szebeni, 2012)", "previouslyFormattedCitation" : "(J\u00e1nos Szebeni, 2012)" }, "properties" : { "noteIndex" : 0 }, "schema" : "https://github.com/citation-style-language/schema/raw/master/csl-citation.json" }</w:instrText>
      </w:r>
      <w:r w:rsidR="00D33F29" w:rsidRPr="00D33F29">
        <w:rPr>
          <w:rFonts w:cs="Arial"/>
        </w:rPr>
        <w:fldChar w:fldCharType="separate"/>
      </w:r>
      <w:r w:rsidR="00D33F29" w:rsidRPr="00D33F29">
        <w:rPr>
          <w:rFonts w:cs="Arial"/>
          <w:noProof/>
        </w:rPr>
        <w:t>(Szebeni, 2012)</w:t>
      </w:r>
      <w:r w:rsidR="00D33F29" w:rsidRPr="00D33F29">
        <w:rPr>
          <w:rFonts w:cs="Arial"/>
        </w:rPr>
        <w:fldChar w:fldCharType="end"/>
      </w:r>
      <w:r w:rsidR="00D33F29" w:rsidRPr="00D33F29">
        <w:rPr>
          <w:rFonts w:cs="Arial"/>
        </w:rPr>
        <w:t xml:space="preserve">. </w:t>
      </w:r>
    </w:p>
    <w:p w:rsidR="00D33F29" w:rsidRPr="00D33F29" w:rsidRDefault="006E194A" w:rsidP="00D33F29">
      <w:pPr>
        <w:jc w:val="both"/>
        <w:rPr>
          <w:rFonts w:cs="Arial"/>
        </w:rPr>
      </w:pPr>
      <w:r>
        <w:rPr>
          <w:rFonts w:cs="Arial"/>
        </w:rPr>
        <w:t>T</w:t>
      </w:r>
      <w:r w:rsidR="00D33F29" w:rsidRPr="00D33F29">
        <w:rPr>
          <w:rFonts w:cs="Arial"/>
        </w:rPr>
        <w:t xml:space="preserve">he </w:t>
      </w:r>
      <w:r w:rsidR="002A7525">
        <w:rPr>
          <w:rFonts w:cs="Arial"/>
        </w:rPr>
        <w:t xml:space="preserve">blood </w:t>
      </w:r>
      <w:r w:rsidR="002A7525" w:rsidRPr="00D33F29">
        <w:rPr>
          <w:rFonts w:cs="Arial"/>
        </w:rPr>
        <w:t xml:space="preserve">compatibility </w:t>
      </w:r>
      <w:r w:rsidR="00D33F29" w:rsidRPr="00D33F29">
        <w:rPr>
          <w:rFonts w:cs="Arial"/>
        </w:rPr>
        <w:t xml:space="preserve">of biomaterials </w:t>
      </w:r>
      <w:r w:rsidR="00E40EEE">
        <w:rPr>
          <w:rFonts w:cs="Arial"/>
        </w:rPr>
        <w:t xml:space="preserve">contained in medical devices </w:t>
      </w:r>
      <w:r w:rsidR="00D33F29" w:rsidRPr="00D33F29">
        <w:rPr>
          <w:rFonts w:cs="Arial"/>
        </w:rPr>
        <w:t>is evaluated in conformity with the ISO 10993–4</w:t>
      </w:r>
      <w:r w:rsidR="009F529E">
        <w:rPr>
          <w:rFonts w:cs="Arial"/>
        </w:rPr>
        <w:t xml:space="preserve"> "Selection of tests for interaction with blood"</w:t>
      </w:r>
      <w:r w:rsidR="00D33F29" w:rsidRPr="00D33F29">
        <w:rPr>
          <w:rFonts w:cs="Arial"/>
        </w:rPr>
        <w:t xml:space="preserve"> </w:t>
      </w:r>
      <w:r w:rsidR="00D33F29" w:rsidRPr="00D33F29">
        <w:rPr>
          <w:rFonts w:cs="Arial"/>
        </w:rPr>
        <w:fldChar w:fldCharType="begin" w:fldLock="1"/>
      </w:r>
      <w:r w:rsidR="009B278F">
        <w:rPr>
          <w:rFonts w:cs="Arial"/>
        </w:rPr>
        <w:instrText>ADDIN CSL_CITATION { "citationItems" : [ { "id" : "ITEM-1", "itemData" : { "author" : [ { "dropping-particle" : "", "family" : "ISO", "given" : "", "non-dropping-particle" : "", "parse-names" : false, "suffix" : "" } ], "id" : "ITEM-1", "issued" : { "date-parts" : [ [ "2017" ] ] }, "title" : "ISO 10993-4 : Biological evaluation of medical devices. Part 4: Selection of tests for interaction with blood", "type" : "report" }, "uris" : [ "http://www.mendeley.com/documents/?uuid=7ccf6a2f-116e-4e55-b07a-66451f6590fc" ] } ], "mendeley" : { "formattedCitation" : "(ISO, 2017b)", "plainTextFormattedCitation" : "(ISO, 2017b)", "previouslyFormattedCitation" : "(ISO, 2017b)" }, "properties" : { "noteIndex" : 0 }, "schema" : "https://github.com/citation-style-language/schema/raw/master/csl-citation.json" }</w:instrText>
      </w:r>
      <w:r w:rsidR="00D33F29" w:rsidRPr="00D33F29">
        <w:rPr>
          <w:rFonts w:cs="Arial"/>
        </w:rPr>
        <w:fldChar w:fldCharType="separate"/>
      </w:r>
      <w:r w:rsidR="009B278F" w:rsidRPr="009B278F">
        <w:rPr>
          <w:rFonts w:cs="Arial"/>
          <w:noProof/>
        </w:rPr>
        <w:t>(ISO, 2017b)</w:t>
      </w:r>
      <w:r w:rsidR="00D33F29" w:rsidRPr="00D33F29">
        <w:rPr>
          <w:rFonts w:cs="Arial"/>
        </w:rPr>
        <w:fldChar w:fldCharType="end"/>
      </w:r>
      <w:r w:rsidR="00D33F29" w:rsidRPr="00D33F29">
        <w:rPr>
          <w:rFonts w:cs="Arial"/>
        </w:rPr>
        <w:t xml:space="preserve">, which was </w:t>
      </w:r>
      <w:r w:rsidR="009F529E">
        <w:rPr>
          <w:rFonts w:cs="Arial"/>
        </w:rPr>
        <w:t>publishe</w:t>
      </w:r>
      <w:r w:rsidR="009F529E" w:rsidRPr="00D33F29">
        <w:rPr>
          <w:rFonts w:cs="Arial"/>
        </w:rPr>
        <w:t xml:space="preserve">d </w:t>
      </w:r>
      <w:r w:rsidR="00D33F29" w:rsidRPr="00D33F29">
        <w:rPr>
          <w:rFonts w:cs="Arial"/>
        </w:rPr>
        <w:t xml:space="preserve">in 2002 and </w:t>
      </w:r>
      <w:r w:rsidR="009F529E">
        <w:rPr>
          <w:rFonts w:cs="Arial"/>
        </w:rPr>
        <w:t xml:space="preserve">the most recent </w:t>
      </w:r>
      <w:r w:rsidR="00D33F29" w:rsidRPr="00D33F29">
        <w:rPr>
          <w:rFonts w:cs="Arial"/>
        </w:rPr>
        <w:t xml:space="preserve">updated </w:t>
      </w:r>
      <w:r w:rsidR="009F529E">
        <w:rPr>
          <w:rFonts w:cs="Arial"/>
        </w:rPr>
        <w:t>is from</w:t>
      </w:r>
      <w:r w:rsidR="009F529E" w:rsidRPr="00D33F29">
        <w:rPr>
          <w:rFonts w:cs="Arial"/>
        </w:rPr>
        <w:t xml:space="preserve"> </w:t>
      </w:r>
      <w:r w:rsidR="00D33F29" w:rsidRPr="00D33F29">
        <w:rPr>
          <w:rFonts w:cs="Arial"/>
        </w:rPr>
        <w:t xml:space="preserve">2017. </w:t>
      </w:r>
      <w:r w:rsidR="0000779C">
        <w:rPr>
          <w:rFonts w:cs="Arial"/>
        </w:rPr>
        <w:t>This standard</w:t>
      </w:r>
      <w:r w:rsidR="0000779C" w:rsidRPr="00D33F29">
        <w:rPr>
          <w:rFonts w:cs="Arial"/>
        </w:rPr>
        <w:t xml:space="preserve"> </w:t>
      </w:r>
      <w:r w:rsidR="009F529E">
        <w:rPr>
          <w:rFonts w:cs="Arial"/>
        </w:rPr>
        <w:t xml:space="preserve">is </w:t>
      </w:r>
      <w:r w:rsidR="00D33F29" w:rsidRPr="00D33F29">
        <w:rPr>
          <w:rFonts w:cs="Arial"/>
        </w:rPr>
        <w:t xml:space="preserve">the </w:t>
      </w:r>
      <w:r w:rsidR="009F529E" w:rsidRPr="00D33F29">
        <w:rPr>
          <w:rFonts w:cs="Arial"/>
        </w:rPr>
        <w:t>mo</w:t>
      </w:r>
      <w:r w:rsidR="009F529E">
        <w:rPr>
          <w:rFonts w:cs="Arial"/>
        </w:rPr>
        <w:t>st</w:t>
      </w:r>
      <w:r w:rsidR="009F529E" w:rsidRPr="00D33F29">
        <w:rPr>
          <w:rFonts w:cs="Arial"/>
        </w:rPr>
        <w:t xml:space="preserve"> </w:t>
      </w:r>
      <w:r w:rsidR="00D33F29" w:rsidRPr="00D33F29">
        <w:rPr>
          <w:rFonts w:cs="Arial"/>
        </w:rPr>
        <w:t xml:space="preserve">complete available source of information for evaluating the interactions of a material with blood, and contains a list of suggested tests. These test methods are divided in: effect of materials on blood cells (Haematology), platelets and coagulation factors (thrombosis) and complement system </w:t>
      </w:r>
      <w:r w:rsidR="00D33F29" w:rsidRPr="00D33F29">
        <w:rPr>
          <w:rFonts w:cs="Arial"/>
        </w:rPr>
        <w:fldChar w:fldCharType="begin" w:fldLock="1"/>
      </w:r>
      <w:r w:rsidR="009B278F">
        <w:rPr>
          <w:rFonts w:cs="Arial"/>
        </w:rPr>
        <w:instrText>ADDIN CSL_CITATION { "citationItems" : [ { "id" : "ITEM-1", "itemData" : { "DOI" : "10.1016/j.nantod.2013.06.001", "ISBN" : "1748-0132 (Print)\\n1748-0132", "ISSN" : "17480132", "PMID" : "25419228", "abstract" : "Recent advances in molecular imaging and nanotechnology are providing new opportunities for biomedical imaging with great promise for the development of novel imaging agents. The unique optical, magnetic, and chemical properties of materials at the scale of nanometers allow the creation of imaging probes with better contrast enhancement, increased sensitivity, controlled biodistribution, better spatial and temporal information, multi-functionality and multi-modal imaging across MRI, PET, SPECT, and ultrasound. These features could ultimately translate to clinical advantages such as earlier detection, real time assessment of disease progression and personalized medicine. However, several years of investigation into the application of these materials to cancer research has revealed challenges that have delayed the successful application of these agents to the field of biomedical imaging. Understanding these challenges is critical to take full advantage of the benefits offered by nano-sized imaging agents. Therefore, this article presents the lessons learned and challenges encountered by a group of leading researchers in this field, and suggests ways forward to develop nanoparticle probes for cancer imaging. ?? 2013 Elsevier Ltd. All rights reserved.", "author" : [ { "dropping-particle" : "", "family" : "Chapman", "given" : "Sandra", "non-dropping-particle" : "", "parse-names" : false, "suffix" : "" }, { "dropping-particle" : "", "family" : "Dobrovolskaia", "given" : "Marina", "non-dropping-particle" : "", "parse-names" : false, "suffix" : "" }, { "dropping-particle" : "", "family" : "Farahani", "given" : "Keyvan", "non-dropping-particle" : "", "parse-names" : false, "suffix" : "" }, { "dropping-particle" : "", "family" : "Goodwin", "given" : "Andrew", "non-dropping-particle" : "", "parse-names" : false, "suffix" : "" }, { "dropping-particle" : "", "family" : "Joshi", "given" : "Amit", "non-dropping-particle" : "", "parse-names" : false, "suffix" : "" }, { "dropping-particle" : "", "family" : "Lee", "given" : "Hakho", "non-dropping-particle" : "", "parse-names" : false, "suffix" : "" }, { "dropping-particle" : "", "family" : "Meade", "given" : "Thomas", "non-dropping-particle" : "", "parse-names" : false, "suffix" : "" }, { "dropping-particle" : "", "family" : "Pomper", "given" : "Martin", "non-dropping-particle" : "", "parse-names" : false, "suffix" : "" }, { "dropping-particle" : "", "family" : "Ptak", "given" : "Krzysztof", "non-dropping-particle" : "", "parse-names" : false, "suffix" : "" }, { "dropping-particle" : "", "family" : "Rao", "given" : "Jianghong", "non-dropping-particle" : "", "parse-names" : false, "suffix" : "" }, { "dropping-particle" : "", "family" : "Singh", "given" : "Ravi", "non-dropping-particle" : "", "parse-names" : false, "suffix" : "" }, { "dropping-particle" : "", "family" : "Sridhar", "given" : "Srinivas", "non-dropping-particle" : "", "parse-names" : false, "suffix" : "" }, { "dropping-particle" : "", "family" : "Stern", "given" : "Stephan", "non-dropping-particle" : "", "parse-names" : false, "suffix" : "" }, { "dropping-particle" : "", "family" : "Wang", "given" : "Andrew", "non-dropping-particle" : "", "parse-names" : false, "suffix" : "" }, { "dropping-particle" : "", "family" : "Weaver", "given" : "John B.", "non-dropping-particle" : "", "parse-names" : false, "suffix" : "" }, { "dropping-particle" : "", "family" : "Woloschak", "given" : "Gayle", "non-dropping-particle" : "", "parse-names" : false, "suffix" : "" }, { "dropping-particle" : "", "family" : "Yang", "given" : "Lily", "non-dropping-particle" : "", "parse-names" : false, "suffix" : "" } ], "container-title" : "Nano Today", "id" : "ITEM-1", "issue" : "5", "issued" : { "date-parts" : [ [ "2013" ] ] }, "page" : "454-460", "title" : "Nanoparticles for cancer imaging: The good, the bad, and the promise", "type" : "article-journal", "volume" : "8" }, "uris" : [ "http://www.mendeley.com/documents/?uuid=d69fa41c-5e92-4c8e-854f-6ecb9db2b2b2" ] } ], "mendeley" : { "formattedCitation" : "(Chapman et al., 2013)", "manualFormatting" : "(Chapman, 2013)", "plainTextFormattedCitation" : "(Chapman et al., 2013)", "previouslyFormattedCitation" : "(Chapman et al., 2013)" }, "properties" : { "noteIndex" : 0 }, "schema" : "https://github.com/citation-style-language/schema/raw/master/csl-citation.json" }</w:instrText>
      </w:r>
      <w:r w:rsidR="00D33F29" w:rsidRPr="00D33F29">
        <w:rPr>
          <w:rFonts w:cs="Arial"/>
        </w:rPr>
        <w:fldChar w:fldCharType="separate"/>
      </w:r>
      <w:r w:rsidR="00D33F29" w:rsidRPr="00D33F29">
        <w:rPr>
          <w:rFonts w:cs="Arial"/>
          <w:noProof/>
        </w:rPr>
        <w:t>(Chapman, 2013)</w:t>
      </w:r>
      <w:r w:rsidR="00D33F29" w:rsidRPr="00D33F29">
        <w:rPr>
          <w:rFonts w:cs="Arial"/>
        </w:rPr>
        <w:fldChar w:fldCharType="end"/>
      </w:r>
      <w:r w:rsidR="00D33F29" w:rsidRPr="00D33F29">
        <w:rPr>
          <w:rFonts w:cs="Arial"/>
        </w:rPr>
        <w:t xml:space="preserve">. </w:t>
      </w:r>
      <w:r w:rsidR="00BD2A89" w:rsidRPr="00BD2A89">
        <w:rPr>
          <w:rFonts w:cs="Arial"/>
        </w:rPr>
        <w:t xml:space="preserve">There are numerous methodologies for the testing of the impact of nanoparticles on blood coagulation cascades. The use of </w:t>
      </w:r>
      <w:r w:rsidR="007C16E6">
        <w:rPr>
          <w:rFonts w:cs="Arial"/>
        </w:rPr>
        <w:t xml:space="preserve">some </w:t>
      </w:r>
      <w:r w:rsidR="00BD2A89" w:rsidRPr="00BD2A89">
        <w:rPr>
          <w:rFonts w:cs="Arial"/>
        </w:rPr>
        <w:t>assays</w:t>
      </w:r>
      <w:r w:rsidR="007C16E6">
        <w:rPr>
          <w:rFonts w:cs="Arial"/>
        </w:rPr>
        <w:t xml:space="preserve"> commonly used in the literature</w:t>
      </w:r>
      <w:r w:rsidR="009F529E">
        <w:rPr>
          <w:rFonts w:cs="Arial"/>
        </w:rPr>
        <w:t>,</w:t>
      </w:r>
      <w:r w:rsidR="00C8402F">
        <w:rPr>
          <w:rFonts w:cs="Arial"/>
        </w:rPr>
        <w:t xml:space="preserve"> such as </w:t>
      </w:r>
      <w:r w:rsidR="00BD2A89" w:rsidRPr="00BD2A89">
        <w:rPr>
          <w:rFonts w:cs="Arial"/>
        </w:rPr>
        <w:t xml:space="preserve">measuring </w:t>
      </w:r>
      <w:r w:rsidR="00BD2A89">
        <w:rPr>
          <w:rFonts w:cs="Arial"/>
        </w:rPr>
        <w:t>activated partial thromboplastin time</w:t>
      </w:r>
      <w:r w:rsidR="00C8402F">
        <w:rPr>
          <w:rFonts w:cs="Arial"/>
        </w:rPr>
        <w:t xml:space="preserve"> (aPTT)</w:t>
      </w:r>
      <w:r w:rsidR="00BD2A89">
        <w:rPr>
          <w:rFonts w:cs="Arial"/>
        </w:rPr>
        <w:t>, prothrombin time and thrombin time</w:t>
      </w:r>
      <w:r w:rsidR="007C16E6">
        <w:rPr>
          <w:rFonts w:cs="Arial"/>
        </w:rPr>
        <w:t xml:space="preserve"> are not recommended by </w:t>
      </w:r>
      <w:r w:rsidR="007C16E6" w:rsidRPr="00D33F29">
        <w:rPr>
          <w:rFonts w:cs="Arial"/>
        </w:rPr>
        <w:t>ISO 10993–4</w:t>
      </w:r>
      <w:r w:rsidR="00C8402F">
        <w:rPr>
          <w:rFonts w:cs="Arial"/>
        </w:rPr>
        <w:t>;</w:t>
      </w:r>
      <w:r w:rsidR="007C16E6">
        <w:rPr>
          <w:rFonts w:cs="Arial"/>
        </w:rPr>
        <w:t xml:space="preserve"> </w:t>
      </w:r>
      <w:r w:rsidR="00C8402F">
        <w:rPr>
          <w:rFonts w:cs="Arial"/>
        </w:rPr>
        <w:t>since</w:t>
      </w:r>
      <w:r w:rsidR="00C8402F" w:rsidRPr="00C8402F">
        <w:rPr>
          <w:rFonts w:cs="Arial"/>
        </w:rPr>
        <w:t xml:space="preserve"> </w:t>
      </w:r>
      <w:r w:rsidR="00C8402F" w:rsidRPr="00BD2A89">
        <w:rPr>
          <w:rFonts w:cs="Arial"/>
        </w:rPr>
        <w:t xml:space="preserve">they do have some limitations </w:t>
      </w:r>
      <w:r w:rsidR="009F529E">
        <w:rPr>
          <w:rFonts w:cs="Arial"/>
        </w:rPr>
        <w:t>e.g.</w:t>
      </w:r>
      <w:r w:rsidR="00C8402F" w:rsidRPr="00BD2A89">
        <w:rPr>
          <w:rFonts w:cs="Arial"/>
        </w:rPr>
        <w:t xml:space="preserve"> they assess coagulation in isolation</w:t>
      </w:r>
      <w:r w:rsidR="00C8402F">
        <w:rPr>
          <w:rFonts w:cs="Arial"/>
        </w:rPr>
        <w:t>,</w:t>
      </w:r>
      <w:r w:rsidR="00C8402F" w:rsidRPr="00BD2A89">
        <w:rPr>
          <w:rFonts w:cs="Arial"/>
        </w:rPr>
        <w:t xml:space="preserve"> whereas</w:t>
      </w:r>
      <w:r w:rsidR="009F529E">
        <w:rPr>
          <w:rFonts w:cs="Arial"/>
        </w:rPr>
        <w:t xml:space="preserve"> </w:t>
      </w:r>
      <w:r w:rsidR="00C8402F" w:rsidRPr="00E52B9A">
        <w:rPr>
          <w:rFonts w:cs="Arial"/>
          <w:i/>
        </w:rPr>
        <w:t>in vivo</w:t>
      </w:r>
      <w:r w:rsidR="00C8402F" w:rsidRPr="00BD2A89">
        <w:rPr>
          <w:rFonts w:cs="Arial"/>
        </w:rPr>
        <w:t xml:space="preserve"> these pathways are closely interlinked</w:t>
      </w:r>
      <w:r w:rsidR="00C8402F">
        <w:rPr>
          <w:rFonts w:cs="Arial"/>
        </w:rPr>
        <w:t xml:space="preserve"> </w:t>
      </w:r>
      <w:r w:rsidR="00EE19CA">
        <w:rPr>
          <w:rFonts w:cs="Arial"/>
        </w:rPr>
        <w:fldChar w:fldCharType="begin" w:fldLock="1"/>
      </w:r>
      <w:r w:rsidR="00EE19CA">
        <w:rPr>
          <w:rFonts w:cs="Arial"/>
        </w:rPr>
        <w:instrText>ADDIN CSL_CITATION { "citationItems" : [ { "id" : "ITEM-1", "itemData" : { "DOI" : "10.1093/bjaceaccp/mkm002", "author" : [ { "dropping-particle" : "", "family" : "Curry", "given" : "Andy NG", "non-dropping-particle" : "", "parse-names" : false, "suffix" : "" }, { "dropping-particle" : "", "family" : "Pierce", "given" : "Tom", "non-dropping-particle" : "", "parse-names" : false, "suffix" : "" } ], "container-title" : "Continuing Education in Anaesthesia Critical Care &amp; Pain", "id" : "ITEM-1", "issue" : "2", "issued" : { "date-parts" : [ [ "2007" ] ] }, "page" : "45-50", "title" : "Conventional and near-patient tests of coagulation", "type" : "article-journal", "volume" : "7" }, "uris" : [ "http://www.mendeley.com/documents/?uuid=7d6d20f3-3739-43f8-8821-c44de0c33279" ] } ], "mendeley" : { "formattedCitation" : "(Curry &amp; Pierce, 2007)", "plainTextFormattedCitation" : "(Curry &amp; Pierce, 2007)", "previouslyFormattedCitation" : "(Curry &amp; Pierce, 2007)" }, "properties" : { "noteIndex" : 18 }, "schema" : "https://github.com/citation-style-language/schema/raw/master/csl-citation.json" }</w:instrText>
      </w:r>
      <w:r w:rsidR="00EE19CA">
        <w:rPr>
          <w:rFonts w:cs="Arial"/>
        </w:rPr>
        <w:fldChar w:fldCharType="separate"/>
      </w:r>
      <w:r w:rsidR="00EE19CA" w:rsidRPr="00EE19CA">
        <w:rPr>
          <w:rFonts w:cs="Arial"/>
          <w:noProof/>
        </w:rPr>
        <w:t>(Curry &amp; Pierce, 2007)</w:t>
      </w:r>
      <w:r w:rsidR="00EE19CA">
        <w:rPr>
          <w:rFonts w:cs="Arial"/>
        </w:rPr>
        <w:fldChar w:fldCharType="end"/>
      </w:r>
      <w:r w:rsidR="00EE19CA">
        <w:rPr>
          <w:rFonts w:cs="Arial"/>
        </w:rPr>
        <w:t xml:space="preserve">. </w:t>
      </w:r>
      <w:r w:rsidR="00BD2A89" w:rsidRPr="00BD2A89">
        <w:rPr>
          <w:rFonts w:cs="Arial"/>
        </w:rPr>
        <w:t>Additionally</w:t>
      </w:r>
      <w:r w:rsidR="00C8402F">
        <w:rPr>
          <w:rFonts w:cs="Arial"/>
        </w:rPr>
        <w:t>,</w:t>
      </w:r>
      <w:r w:rsidR="00BD2A89" w:rsidRPr="00BD2A89">
        <w:rPr>
          <w:rFonts w:cs="Arial"/>
        </w:rPr>
        <w:t xml:space="preserve"> these assays include an activator </w:t>
      </w:r>
      <w:r w:rsidR="00C8402F">
        <w:rPr>
          <w:rFonts w:cs="Arial"/>
        </w:rPr>
        <w:t>(</w:t>
      </w:r>
      <w:r w:rsidR="00BD2A89" w:rsidRPr="00BD2A89">
        <w:rPr>
          <w:rFonts w:cs="Arial"/>
        </w:rPr>
        <w:t>e.g. aPTT assay</w:t>
      </w:r>
      <w:r w:rsidR="00C8402F">
        <w:rPr>
          <w:rFonts w:cs="Arial"/>
        </w:rPr>
        <w:t>),</w:t>
      </w:r>
      <w:r w:rsidR="00BD2A89" w:rsidRPr="00BD2A89">
        <w:rPr>
          <w:rFonts w:cs="Arial"/>
        </w:rPr>
        <w:t xml:space="preserve"> which </w:t>
      </w:r>
      <w:r w:rsidR="00C8402F">
        <w:rPr>
          <w:rFonts w:cs="Arial"/>
        </w:rPr>
        <w:t>could</w:t>
      </w:r>
      <w:r w:rsidR="00BD2A89" w:rsidRPr="00BD2A89">
        <w:rPr>
          <w:rFonts w:cs="Arial"/>
        </w:rPr>
        <w:t xml:space="preserve"> </w:t>
      </w:r>
      <w:r w:rsidR="00C8402F">
        <w:rPr>
          <w:rFonts w:cs="Arial"/>
        </w:rPr>
        <w:t xml:space="preserve">mask the potential activation caused by </w:t>
      </w:r>
      <w:r w:rsidR="00BD2A89" w:rsidRPr="00BD2A89">
        <w:rPr>
          <w:rFonts w:cs="Arial"/>
        </w:rPr>
        <w:t>the nanoparticles themselves. Comparative assays such as the PTT assay, which does not include a</w:t>
      </w:r>
      <w:r w:rsidR="004A7701">
        <w:rPr>
          <w:rFonts w:cs="Arial"/>
        </w:rPr>
        <w:t>n</w:t>
      </w:r>
      <w:r w:rsidR="00BD2A89" w:rsidRPr="00BD2A89">
        <w:rPr>
          <w:rFonts w:cs="Arial"/>
        </w:rPr>
        <w:t xml:space="preserve"> activator, are </w:t>
      </w:r>
      <w:r w:rsidR="00C8402F">
        <w:rPr>
          <w:rFonts w:cs="Arial"/>
        </w:rPr>
        <w:t xml:space="preserve">recommended </w:t>
      </w:r>
      <w:r w:rsidR="00BD2A89" w:rsidRPr="00BD2A89">
        <w:rPr>
          <w:rFonts w:cs="Arial"/>
        </w:rPr>
        <w:t>in the ISO 10993-4:201</w:t>
      </w:r>
      <w:r w:rsidR="00177773">
        <w:rPr>
          <w:rFonts w:cs="Arial"/>
        </w:rPr>
        <w:t>7</w:t>
      </w:r>
      <w:r w:rsidR="00BD2A89" w:rsidRPr="00BD2A89">
        <w:rPr>
          <w:rFonts w:cs="Arial"/>
        </w:rPr>
        <w:t xml:space="preserve"> guidelines.</w:t>
      </w:r>
      <w:r w:rsidR="00C8402F">
        <w:rPr>
          <w:rFonts w:cs="Arial"/>
        </w:rPr>
        <w:t xml:space="preserve"> </w:t>
      </w:r>
      <w:r w:rsidR="00EF61FF">
        <w:rPr>
          <w:rFonts w:cs="Arial"/>
        </w:rPr>
        <w:t xml:space="preserve">However, additional supplementary tests might be necessary to further minimise the hazard of </w:t>
      </w:r>
      <w:r w:rsidR="002A7525">
        <w:rPr>
          <w:rFonts w:cs="Arial"/>
        </w:rPr>
        <w:t xml:space="preserve">blood </w:t>
      </w:r>
      <w:r w:rsidR="00973611">
        <w:rPr>
          <w:rFonts w:cs="Arial"/>
        </w:rPr>
        <w:t>toxicities</w:t>
      </w:r>
      <w:r w:rsidR="002A7525">
        <w:rPr>
          <w:rFonts w:cs="Arial"/>
        </w:rPr>
        <w:t xml:space="preserve"> </w:t>
      </w:r>
      <w:r w:rsidR="00D33F29" w:rsidRPr="00D33F29">
        <w:rPr>
          <w:rFonts w:cs="Arial"/>
        </w:rPr>
        <w:fldChar w:fldCharType="begin" w:fldLock="1"/>
      </w:r>
      <w:r w:rsidR="00C06F87" w:rsidRPr="009F41B5">
        <w:rPr>
          <w:rFonts w:cs="Arial"/>
        </w:rPr>
        <w:instrText>ADDIN CSL_CITATION { "citationItems" : [ { "id" : "ITEM-1", "itemData" : { "DOI" : "10.1155/2013/392584", "ISBN" : "2090-908X (Print)\\r2090-908X (Linking)", "ISSN" : "2090-908X", "PMID" : "24278774", "abstract" : "ISO 10993-4 is an international standard describing the methods of testing of medical devices for interactions with blood for regulatory purpose. The complexity of blood responses to biomaterial surfaces and the variability of blood functions in different individuals and species pose difficulties in standardisation. Moreover, in vivo or in vitro testing, as well as the clinical relevance of certain findings, is still matter of debate. This review deals with the major remaining problems, including a brief explanation of surface</w:instrText>
      </w:r>
      <w:r w:rsidR="00C06F87" w:rsidRPr="00EE19CA">
        <w:rPr>
          <w:rFonts w:cs="Arial"/>
          <w:lang w:val="nl-NL"/>
        </w:rPr>
        <w:instrText xml:space="preserve"> interactions with blood, the current ISO 10993 requirements for testing, and the role of in vitro test models. The literature is reviewed on anticoagulation, shear rate, blood-air interfaces, incubation time, and the importance of evaluation of the surface area after blood contact. Two test categories deserve further attention: complement and platelet function, including the effects on platelets from adhesion proteins, venipuncture, and animal derived- blood. The material properties, hydrophilicity, and roughness, as well as reference materials, are discussed. Finally this review calls for completing the acceptance criteria in the ISO standard based on a panel of test results.", "author" : [ { "dropping-particle" : "", "family" : "Oeveren", "given" : "W", "non-dropping-particle" : "Van", "parse-names" : false, "suffix" : "" } ], "container-title" : "Scientifica", "id" : "ITEM-1", "issued" : { "date-parts" : [ [ "2013" ] ] }, "page" : "1-14", "title" : "Obstacles in Haemocompatibility Testing", "type" : "article-journal", "volume" : "2013" }, "uris" : [ "http://www.mendeley.com/documents/?uuid=bb4f71bf-c420-4677-b80b-3d0739ee7196" ] } ], "mendeley" : { "formattedCitation" : "(Van Oeveren, 2013)", "manualFormatting" : "(Van Oeveren, 2013", "plainTextFormattedCitation" : "(Van Oeveren, 2013)", "previouslyFormattedCitation" : "(Van Oeveren, 2013)" }, "properties" : { "noteIndex" : 0 }, "schema" : "https://github.com/citation-style-language/schema/raw/master/csl-citation.json" }</w:instrText>
      </w:r>
      <w:r w:rsidR="00D33F29" w:rsidRPr="00D33F29">
        <w:rPr>
          <w:rFonts w:cs="Arial"/>
        </w:rPr>
        <w:fldChar w:fldCharType="separate"/>
      </w:r>
      <w:r w:rsidR="00D33F29" w:rsidRPr="00EE19CA">
        <w:rPr>
          <w:rFonts w:cs="Arial"/>
          <w:noProof/>
          <w:lang w:val="nl-NL"/>
        </w:rPr>
        <w:t>(Van Oeveren, 2013</w:t>
      </w:r>
      <w:r w:rsidR="00D33F29" w:rsidRPr="00D33F29">
        <w:rPr>
          <w:rFonts w:cs="Arial"/>
        </w:rPr>
        <w:fldChar w:fldCharType="end"/>
      </w:r>
      <w:r w:rsidR="0064397D" w:rsidRPr="00EE19CA">
        <w:rPr>
          <w:rFonts w:cs="Arial"/>
          <w:lang w:val="nl-NL"/>
        </w:rPr>
        <w:t>)</w:t>
      </w:r>
      <w:r w:rsidR="00EF61FF" w:rsidRPr="00EE19CA">
        <w:rPr>
          <w:rFonts w:cs="Arial"/>
          <w:lang w:val="nl-NL"/>
        </w:rPr>
        <w:t>,</w:t>
      </w:r>
      <w:r w:rsidR="0064397D" w:rsidRPr="00EE19CA">
        <w:rPr>
          <w:rFonts w:cs="Arial"/>
          <w:lang w:val="nl-NL"/>
        </w:rPr>
        <w:t>(</w:t>
      </w:r>
      <w:r w:rsidR="00D33F29" w:rsidRPr="00D33F29">
        <w:rPr>
          <w:rFonts w:cs="Arial"/>
        </w:rPr>
        <w:fldChar w:fldCharType="begin" w:fldLock="1"/>
      </w:r>
      <w:r w:rsidR="00EE19CA" w:rsidRPr="00EE19CA">
        <w:rPr>
          <w:rFonts w:cs="Arial"/>
          <w:lang w:val="nl-NL"/>
        </w:rPr>
        <w:instrText>ADDIN CSL_CITATION { "citationItems" : [ { "id" : "ITEM-1", "itemData" : { "DOI" : "10.1186/1559-4106-8-33", "ISSN" : "1559-4106", "PMID" : "24706143", "abstract" : "This perspective does not include an abstract.", "author" : [ { "dropping-particle" : "", "family" : "Braune", "given" : "Steffen", "non-dropping-parti</w:instrText>
      </w:r>
      <w:r w:rsidR="00EE19CA">
        <w:rPr>
          <w:rFonts w:cs="Arial"/>
          <w:lang w:val="nl-NL"/>
        </w:rPr>
        <w:instrText>cle" : "", "parse-names" : false, "suffix" : "" }, { "dropping-particle" : "", "family" : "Grunze", "given" : "Michael", "non-dropping-particle" : "", "parse-names" : false, "suffix" : "" }, { "dropping-particle" : "", "family" : "Straub", "given" : "Andreas", "non-dropping-particle" : "", "parse-names" : false, "suffix" : "" }, { "dropping-particle" : "", "family" : "Jung", "given" : "Friedrich", "non-dropping-particle" : "", "parse-names" : false, "suffix" : "" } ], "container-title" : "Biointerphases", "id" : "ITEM-1", "issued" : { "date-parts" : [ [ "2013" ] ] }, "page" : "30", "title" : "Are there sufficient standards for the in vitro hemocompatibility testing of biomaterials?", "type" : "article-journal", "volume" : "8" }, "uris" : [ "http://www.mendeley.com/documents/?uuid=54eb5c59-a64c-4cb8-8b63-9d6b1ca1c805" ] } ], "mendeley" : { "formattedCitation" : "(Braune et al., 2013)", "manualFormatting" : "Braune, 2013)", "plainTextFormattedCitation" : "(Braune et al., 2013)", "previouslyFormattedCitation" : "(Braune et al., 2013)" }, "properties" : { "noteIndex" : 8 }, "schema" : "https://github.com/citation-style-language/schema/raw/master/csl-citation.json" }</w:instrText>
      </w:r>
      <w:r w:rsidR="00D33F29" w:rsidRPr="00D33F29">
        <w:rPr>
          <w:rFonts w:cs="Arial"/>
        </w:rPr>
        <w:fldChar w:fldCharType="separate"/>
      </w:r>
      <w:r w:rsidR="00D33F29" w:rsidRPr="005D7CA9">
        <w:rPr>
          <w:rFonts w:cs="Arial"/>
          <w:noProof/>
          <w:lang w:val="nl-NL"/>
        </w:rPr>
        <w:t>Braune, 2013)</w:t>
      </w:r>
      <w:r w:rsidR="00D33F29" w:rsidRPr="00D33F29">
        <w:rPr>
          <w:rFonts w:cs="Arial"/>
        </w:rPr>
        <w:fldChar w:fldCharType="end"/>
      </w:r>
      <w:r w:rsidR="00D33F29" w:rsidRPr="005D7CA9">
        <w:rPr>
          <w:rFonts w:cs="Arial"/>
          <w:lang w:val="nl-NL"/>
        </w:rPr>
        <w:t xml:space="preserve">. </w:t>
      </w:r>
      <w:r w:rsidR="00D33F29" w:rsidRPr="00EE19CA">
        <w:rPr>
          <w:rFonts w:cs="Arial"/>
          <w:lang w:val="nl-NL"/>
        </w:rPr>
        <w:t>A limitation of the ISO 10993-4 is its lack of acceptance criteria and a classification to relate obtain</w:t>
      </w:r>
      <w:r w:rsidR="00073995" w:rsidRPr="00EE19CA">
        <w:rPr>
          <w:rFonts w:cs="Arial"/>
          <w:lang w:val="nl-NL"/>
        </w:rPr>
        <w:t>ed</w:t>
      </w:r>
      <w:r w:rsidR="00D33F29" w:rsidRPr="00EE19CA">
        <w:rPr>
          <w:rFonts w:cs="Arial"/>
          <w:lang w:val="nl-NL"/>
        </w:rPr>
        <w:t xml:space="preserve"> blood </w:t>
      </w:r>
      <w:r w:rsidR="00073995" w:rsidRPr="00EE19CA">
        <w:rPr>
          <w:rFonts w:cs="Arial"/>
          <w:lang w:val="nl-NL"/>
        </w:rPr>
        <w:t xml:space="preserve">toxicity </w:t>
      </w:r>
      <w:r w:rsidR="00D33F29" w:rsidRPr="00EE19CA">
        <w:rPr>
          <w:rFonts w:cs="Arial"/>
          <w:lang w:val="nl-NL"/>
        </w:rPr>
        <w:t xml:space="preserve">results to clinical disorders. </w:t>
      </w:r>
      <w:r w:rsidR="009F529E">
        <w:rPr>
          <w:rFonts w:cs="Arial"/>
        </w:rPr>
        <w:t>Currently</w:t>
      </w:r>
      <w:r w:rsidR="00D33F29" w:rsidRPr="00D33F29">
        <w:rPr>
          <w:rFonts w:cs="Arial"/>
        </w:rPr>
        <w:t xml:space="preserve">, the only criteria available is the percentage haemolysis to classify a biomaterial in non-haemolytic (0-2%), slightly haemolytic (2-5%) or haemolytic (&gt;5%). </w:t>
      </w:r>
    </w:p>
    <w:p w:rsidR="00C8402F" w:rsidRDefault="00D33F29" w:rsidP="00C8402F">
      <w:pPr>
        <w:jc w:val="both"/>
        <w:rPr>
          <w:rFonts w:cs="Arial"/>
        </w:rPr>
      </w:pPr>
      <w:r w:rsidRPr="00D33F29">
        <w:rPr>
          <w:rFonts w:cs="Arial"/>
        </w:rPr>
        <w:t xml:space="preserve">The </w:t>
      </w:r>
      <w:r w:rsidR="00904240">
        <w:rPr>
          <w:rFonts w:cs="Arial"/>
        </w:rPr>
        <w:t xml:space="preserve">recently published </w:t>
      </w:r>
      <w:r w:rsidRPr="00D33F29">
        <w:rPr>
          <w:rFonts w:cs="Arial"/>
        </w:rPr>
        <w:t xml:space="preserve">ISO 10993-22: Guidance On Nanomaterials </w:t>
      </w:r>
      <w:r w:rsidRPr="00D33F29">
        <w:rPr>
          <w:rFonts w:cs="Arial"/>
        </w:rPr>
        <w:fldChar w:fldCharType="begin" w:fldLock="1"/>
      </w:r>
      <w:r w:rsidR="009B278F">
        <w:rPr>
          <w:rFonts w:cs="Arial"/>
        </w:rPr>
        <w:instrText>ADDIN CSL_CITATION { "citationItems" : [ { "id" : "ITEM-1", "itemData" : { "author" : [ { "dropping-particle" : "", "family" : "ISO", "given" : "", "non-dropping-particle" : "", "parse-names" : false, "suffix" : "" } ], "id" : "ITEM-1", "issued" : { "date-parts" : [ [ "2017" ] ] }, "title" : "ISO /TR 10993-22. Biological evaluation of medical devices- Part 22: Guidance on nanomaterials", "type" : "article-journal" }, "uris" : [ "http://www.mendeley.com/documents/?uuid=def68f16-9ffc-42ff-90c6-dbf1f265de51" ] } ], "mendeley" : { "formattedCitation" : "(ISO, 2017a)", "plainTextFormattedCitation" : "(ISO, 2017a)", "previouslyFormattedCitation" : "(ISO, 2017a)" }, "properties" : { "noteIndex" : 0 }, "schema" : "https://github.com/citation-style-language/schema/raw/master/csl-citation.json" }</w:instrText>
      </w:r>
      <w:r w:rsidRPr="00D33F29">
        <w:rPr>
          <w:rFonts w:cs="Arial"/>
        </w:rPr>
        <w:fldChar w:fldCharType="separate"/>
      </w:r>
      <w:r w:rsidR="009B278F" w:rsidRPr="009B278F">
        <w:rPr>
          <w:rFonts w:cs="Arial"/>
          <w:noProof/>
        </w:rPr>
        <w:t>(ISO, 2017a)</w:t>
      </w:r>
      <w:r w:rsidRPr="00D33F29">
        <w:rPr>
          <w:rFonts w:cs="Arial"/>
        </w:rPr>
        <w:fldChar w:fldCharType="end"/>
      </w:r>
      <w:r w:rsidRPr="00D33F29">
        <w:rPr>
          <w:rFonts w:cs="Arial"/>
        </w:rPr>
        <w:t xml:space="preserve"> describes general considerations for the biological evaluation of medical devices that are composed</w:t>
      </w:r>
      <w:r w:rsidR="009F529E">
        <w:rPr>
          <w:rFonts w:cs="Arial"/>
        </w:rPr>
        <w:t xml:space="preserve"> of</w:t>
      </w:r>
      <w:r w:rsidRPr="00D33F29">
        <w:rPr>
          <w:rFonts w:cs="Arial"/>
        </w:rPr>
        <w:t xml:space="preserve">, contain or generate nanomaterials. </w:t>
      </w:r>
      <w:r w:rsidR="00904240" w:rsidRPr="00D33F29">
        <w:rPr>
          <w:rFonts w:cs="Arial"/>
        </w:rPr>
        <w:t>This standard details several pitfalls identified when testing nanomaterials and highlights the importance of proper physico</w:t>
      </w:r>
      <w:r w:rsidR="00B41E88">
        <w:rPr>
          <w:rFonts w:cs="Arial"/>
        </w:rPr>
        <w:t>-</w:t>
      </w:r>
      <w:r w:rsidR="00904240" w:rsidRPr="00D33F29">
        <w:rPr>
          <w:rFonts w:cs="Arial"/>
        </w:rPr>
        <w:t xml:space="preserve">chemical characterisation to understand their behaviour in biological systems. Some of the key properties proposed are: chemical </w:t>
      </w:r>
      <w:r w:rsidR="009F529E">
        <w:rPr>
          <w:rFonts w:cs="Arial"/>
        </w:rPr>
        <w:t>entity</w:t>
      </w:r>
      <w:r w:rsidR="00904240" w:rsidRPr="00D33F29">
        <w:rPr>
          <w:rFonts w:cs="Arial"/>
        </w:rPr>
        <w:t>, purity, objects size and size distribution, aggregation and agglomeration state, shape, surface area, surface chemistry or surface charge. Some examples of measurement methods for the proposed key physico</w:t>
      </w:r>
      <w:r w:rsidR="00B41E88">
        <w:rPr>
          <w:rFonts w:cs="Arial"/>
        </w:rPr>
        <w:t>-</w:t>
      </w:r>
      <w:r w:rsidR="00904240" w:rsidRPr="00D33F29">
        <w:rPr>
          <w:rFonts w:cs="Arial"/>
        </w:rPr>
        <w:t>chem</w:t>
      </w:r>
      <w:r w:rsidR="008A6793">
        <w:rPr>
          <w:rFonts w:cs="Arial"/>
        </w:rPr>
        <w:t>ical characteristics are listed. H</w:t>
      </w:r>
      <w:r w:rsidR="00904240" w:rsidRPr="00D33F29">
        <w:rPr>
          <w:rFonts w:cs="Arial"/>
        </w:rPr>
        <w:t>owever, the standard acknowledges that appropriate tools and methods for the evaluation of nanomateri</w:t>
      </w:r>
      <w:r w:rsidR="00904240">
        <w:rPr>
          <w:rFonts w:cs="Arial"/>
        </w:rPr>
        <w:t xml:space="preserve">als are still under development and does not </w:t>
      </w:r>
      <w:r w:rsidRPr="00D33F29">
        <w:rPr>
          <w:rFonts w:cs="Arial"/>
        </w:rPr>
        <w:t>include specific methods for blood compatibility assessment</w:t>
      </w:r>
      <w:r w:rsidR="00154149">
        <w:rPr>
          <w:rFonts w:cs="Arial"/>
        </w:rPr>
        <w:t xml:space="preserve"> of nano-enabled products</w:t>
      </w:r>
      <w:r w:rsidR="008A6793">
        <w:rPr>
          <w:rFonts w:cs="Arial"/>
        </w:rPr>
        <w:t xml:space="preserve">. </w:t>
      </w:r>
      <w:r w:rsidR="00C8402F" w:rsidRPr="00E52B9A">
        <w:rPr>
          <w:rFonts w:cs="Arial"/>
        </w:rPr>
        <w:t xml:space="preserve">It is still under debate which supplementary assays need to be performed to enhance our understanding of </w:t>
      </w:r>
      <w:r w:rsidR="002A7525">
        <w:rPr>
          <w:rFonts w:cs="Arial"/>
        </w:rPr>
        <w:t xml:space="preserve">blood </w:t>
      </w:r>
      <w:r w:rsidR="00C8402F" w:rsidRPr="00E52B9A">
        <w:rPr>
          <w:rFonts w:cs="Arial"/>
        </w:rPr>
        <w:t xml:space="preserve">compatibility of new materials for blood-contacting applications </w:t>
      </w:r>
      <w:r w:rsidR="00C8402F" w:rsidRPr="00E52B9A">
        <w:rPr>
          <w:rFonts w:cs="Arial"/>
        </w:rPr>
        <w:fldChar w:fldCharType="begin" w:fldLock="1"/>
      </w:r>
      <w:r w:rsidR="00745634">
        <w:rPr>
          <w:rFonts w:cs="Arial"/>
        </w:rPr>
        <w:instrText>ADDIN CSL_CITATION { "citationItems" : [ { "id" : "ITEM-1", "itemData" : { "DOI" : "10.1186/1559-4106-8-33", "ISSN" : "1559-4106", "PMID" : "24706143", "abstract" : "This perspective does not include an abstract.", "author" : [ { "dropping-particle" : "", "family" : "Braune", "given" : "Steffen", "non-dropping-particle" : "", "parse-names" : false, "suffix" : "" }, { "dropping-particle" : "", "family" : "Grunze", "given" : "Michael", "non-dropping-particle" : "", "parse-names" : false, "suffix" : "" }, { "dropping-particle" : "", "family" : "Straub", "given" : "Andreas", "non-dropping-particle" : "", "parse-names" : false, "suffix" : "" }, { "dropping-particle" : "", "family" : "Jung", "given" : "Friedrich", "non-dropping-particle" : "", "parse-names" : false, "suffix" : "" } ], "container-title" : "Biointerphases", "id" : "ITEM-1", "issued" : { "date-parts" : [ [ "2013" ] ] }, "page" : "30", "title" : "Are there sufficient standards for the in vitro hemocompatibility testing of biomaterials?", "type" : "article-journal", "volume" : "8" }, "uris" : [ "http://www.mendeley.com/documents/?uuid=54eb5c59-a64c-4cb8-8b63-9d6b1ca1c805" ] } ], "mendeley" : { "formattedCitation" : "(Braune et al., 2013)", "manualFormatting" : "(Braune, 2013)", "plainTextFormattedCitation" : "(Braune et al., 2013)", "previouslyFormattedCitation" : "(Braune et al., 2013)" }, "properties" : { "noteIndex" : 8 }, "schema" : "https://github.com/citation-style-language/schema/raw/master/csl-citation.json" }</w:instrText>
      </w:r>
      <w:r w:rsidR="00C8402F" w:rsidRPr="00E52B9A">
        <w:rPr>
          <w:rFonts w:cs="Arial"/>
        </w:rPr>
        <w:fldChar w:fldCharType="separate"/>
      </w:r>
      <w:r w:rsidR="00C8402F" w:rsidRPr="00E52B9A">
        <w:rPr>
          <w:rFonts w:cs="Arial"/>
          <w:noProof/>
        </w:rPr>
        <w:t>(Braune, 2013)</w:t>
      </w:r>
      <w:r w:rsidR="00C8402F" w:rsidRPr="00E52B9A">
        <w:rPr>
          <w:rFonts w:cs="Arial"/>
        </w:rPr>
        <w:fldChar w:fldCharType="end"/>
      </w:r>
      <w:r w:rsidR="00C8402F" w:rsidRPr="00E52B9A">
        <w:rPr>
          <w:rFonts w:cs="Arial"/>
        </w:rPr>
        <w:t>.</w:t>
      </w:r>
    </w:p>
    <w:p w:rsidR="00BE7B14" w:rsidRDefault="00774E6A" w:rsidP="009B278F">
      <w:pPr>
        <w:tabs>
          <w:tab w:val="left" w:pos="5460"/>
        </w:tabs>
        <w:jc w:val="both"/>
        <w:rPr>
          <w:rFonts w:cs="Arial"/>
        </w:rPr>
      </w:pPr>
      <w:r>
        <w:rPr>
          <w:rFonts w:cs="Arial"/>
        </w:rPr>
        <w:lastRenderedPageBreak/>
        <w:t xml:space="preserve">As shown in </w:t>
      </w:r>
      <w:r w:rsidR="00E52B9A">
        <w:rPr>
          <w:rFonts w:cs="Arial"/>
        </w:rPr>
        <w:t>Table 1,</w:t>
      </w:r>
      <w:r>
        <w:rPr>
          <w:rFonts w:cs="Arial"/>
        </w:rPr>
        <w:t xml:space="preserve"> o</w:t>
      </w:r>
      <w:r w:rsidR="00D33F29" w:rsidRPr="00D33F29">
        <w:rPr>
          <w:rFonts w:cs="Arial"/>
        </w:rPr>
        <w:t xml:space="preserve">ther standards that </w:t>
      </w:r>
      <w:r w:rsidR="004A7701">
        <w:rPr>
          <w:rFonts w:cs="Arial"/>
        </w:rPr>
        <w:t>should</w:t>
      </w:r>
      <w:r w:rsidR="00D33F29" w:rsidRPr="00D33F29">
        <w:rPr>
          <w:rFonts w:cs="Arial"/>
        </w:rPr>
        <w:t xml:space="preserve"> be considered</w:t>
      </w:r>
      <w:r w:rsidR="00C8402F">
        <w:rPr>
          <w:rFonts w:cs="Arial"/>
        </w:rPr>
        <w:t xml:space="preserve"> for blood compatibility </w:t>
      </w:r>
      <w:r w:rsidR="00D33F29" w:rsidRPr="00D33F29">
        <w:rPr>
          <w:rFonts w:cs="Arial"/>
        </w:rPr>
        <w:t>are ASTM standards assessing the h</w:t>
      </w:r>
      <w:r w:rsidR="008A6793">
        <w:rPr>
          <w:rFonts w:cs="Arial"/>
        </w:rPr>
        <w:t>a</w:t>
      </w:r>
      <w:r w:rsidR="00D33F29" w:rsidRPr="00D33F29">
        <w:rPr>
          <w:rFonts w:cs="Arial"/>
        </w:rPr>
        <w:t>emolysis, leukocyte count, coagulation and complement activation</w:t>
      </w:r>
      <w:r w:rsidR="00E15E9A">
        <w:rPr>
          <w:rFonts w:cs="Arial"/>
        </w:rPr>
        <w:t xml:space="preserve"> </w:t>
      </w:r>
      <w:r w:rsidR="00E15E9A">
        <w:rPr>
          <w:rFonts w:cs="Arial"/>
        </w:rPr>
        <w:fldChar w:fldCharType="begin" w:fldLock="1"/>
      </w:r>
      <w:r w:rsidR="002866D7">
        <w:rPr>
          <w:rFonts w:cs="Arial"/>
        </w:rPr>
        <w:instrText>ADDIN CSL_CITATION { "citationItems" : [ { "id" : "ITEM-1", "itemData" : { "id" : "ITEM-1", "issued" : { "date-parts" : [ [ "2013" ] ] }, "title" : "ASTM E2524-08, Standard Test Method for Analysis of Hemolytic Properties of Nanoparticles", "type" : "article-journal" }, "uris" : [ "http://www.mendeley.com/documents/?uuid=222a7132-4d31-49af-8352-62ca5ae192ac" ] } ], "mendeley" : { "formattedCitation" : "(\u201cASTM E2524-08, Standard Test Method for Analysis of Hemolytic Properties of Nanoparticles,\u201d 2013)", "manualFormatting" : "(ASTM E2524, 2013)", "plainTextFormattedCitation" : "(\u201cASTM E2524-08, Standard Test Method for Analysis of Hemolytic Properties of Nanoparticles,\u201d 2013)", "previouslyFormattedCitation" : "(\u201cASTM E2524-08, Standard Test Method for Analysis of Hemolytic Properties of Nanoparticles,\u201d 2013)" }, "properties" : { "noteIndex" : 19 }, "schema" : "https://github.com/citation-style-language/schema/raw/master/csl-citation.json" }</w:instrText>
      </w:r>
      <w:r w:rsidR="00E15E9A">
        <w:rPr>
          <w:rFonts w:cs="Arial"/>
        </w:rPr>
        <w:fldChar w:fldCharType="separate"/>
      </w:r>
      <w:r w:rsidR="00E15E9A" w:rsidRPr="00E15E9A">
        <w:rPr>
          <w:rFonts w:cs="Arial"/>
          <w:noProof/>
        </w:rPr>
        <w:t>(ASTM</w:t>
      </w:r>
      <w:r w:rsidR="002866D7">
        <w:rPr>
          <w:rFonts w:cs="Arial"/>
          <w:noProof/>
        </w:rPr>
        <w:t xml:space="preserve"> E2524</w:t>
      </w:r>
      <w:r w:rsidR="00E15E9A" w:rsidRPr="00E15E9A">
        <w:rPr>
          <w:rFonts w:cs="Arial"/>
          <w:noProof/>
        </w:rPr>
        <w:t>, 2013)</w:t>
      </w:r>
      <w:r w:rsidR="00E15E9A">
        <w:rPr>
          <w:rFonts w:cs="Arial"/>
        </w:rPr>
        <w:fldChar w:fldCharType="end"/>
      </w:r>
      <w:r w:rsidR="002866D7">
        <w:rPr>
          <w:rFonts w:cs="Arial"/>
        </w:rPr>
        <w:t xml:space="preserve"> </w:t>
      </w:r>
      <w:r w:rsidR="002866D7">
        <w:rPr>
          <w:rFonts w:cs="Arial"/>
        </w:rPr>
        <w:fldChar w:fldCharType="begin" w:fldLock="1"/>
      </w:r>
      <w:r w:rsidR="00EE19CA">
        <w:rPr>
          <w:rFonts w:cs="Arial"/>
        </w:rPr>
        <w:instrText>ADDIN CSL_CITATION { "citationItems" : [ { "id" : "ITEM-1", "itemData" : { "id" : "ITEM-1", "issued" : { "date-parts" : [ [ "2013" ] ] }, "title" : "ASTM F2888-13, Standard Test Method for Platelet Leukocyte Count - An In Vitro Measure for Hemocompatibility Assessment of Cardiovascular Materials", "type" : "article-journal" }, "uris" : [ "http://www.mendeley.com/documents/?uuid=ef9ebdaa-2e1c-45cf-89ad-b95529f30ea2" ] } ], "mendeley" : { "formattedCitation" : "(\u201cASTM F2888-13, Standard Test Method for Platelet Leukocyte Count - An In Vitro Measure for Hemocompatibility Assessment of Cardiovascular Materials,\u201d 2013)", "manualFormatting" : "(ASTM F2888, 2013)", "plainTextFormattedCitation" : "(\u201cASTM F2888-13, Standard Test Method for Platelet Leukocyte Count - An In Vitro Measure for Hemocompatibility Assessment of Cardiovascular Materials,\u201d 2013)", "previouslyFormattedCitation" : "(\u201cASTM F2888-13, Standard Test Method for Platelet Leukocyte Count - An In Vitro Measure for Hemocompatibility Assessment of Cardiovascular Materials,\u201d 2013)" }, "properties" : { "noteIndex" : 19 }, "schema" : "https://github.com/citation-style-language/schema/raw/master/csl-citation.json" }</w:instrText>
      </w:r>
      <w:r w:rsidR="002866D7">
        <w:rPr>
          <w:rFonts w:cs="Arial"/>
        </w:rPr>
        <w:fldChar w:fldCharType="separate"/>
      </w:r>
      <w:r w:rsidR="002866D7" w:rsidRPr="002866D7">
        <w:rPr>
          <w:rFonts w:cs="Arial"/>
          <w:noProof/>
        </w:rPr>
        <w:t>(ASTM F2888</w:t>
      </w:r>
      <w:r w:rsidR="002866D7">
        <w:rPr>
          <w:rFonts w:cs="Arial"/>
          <w:noProof/>
        </w:rPr>
        <w:t>, 2013</w:t>
      </w:r>
      <w:r w:rsidR="002866D7" w:rsidRPr="002866D7">
        <w:rPr>
          <w:rFonts w:cs="Arial"/>
          <w:noProof/>
        </w:rPr>
        <w:t>)</w:t>
      </w:r>
      <w:r w:rsidR="002866D7">
        <w:rPr>
          <w:rFonts w:cs="Arial"/>
        </w:rPr>
        <w:fldChar w:fldCharType="end"/>
      </w:r>
      <w:r w:rsidR="002866D7">
        <w:rPr>
          <w:rFonts w:cs="Arial"/>
        </w:rPr>
        <w:t xml:space="preserve"> </w:t>
      </w:r>
      <w:r w:rsidR="002866D7">
        <w:rPr>
          <w:rFonts w:cs="Arial"/>
        </w:rPr>
        <w:fldChar w:fldCharType="begin" w:fldLock="1"/>
      </w:r>
      <w:r w:rsidR="002866D7">
        <w:rPr>
          <w:rFonts w:cs="Arial"/>
        </w:rPr>
        <w:instrText>ADDIN CSL_CITATION { "citationItems" : [ { "id" : "ITEM-1", "itemData" : { "DOI" : "10.1520/F2382-04R10", "id" : "ITEM-1", "issued" : { "date-parts" : [ [ "2004" ] ] }, "title" : "ASTM F 2382-04, Standard Test Method for Assessment of Intravascular Medical Device Materials on Partial Thromboplastin Time ( PTT )", "type" : "article-journal" }, "uris" : [ "http://www.mendeley.com/documents/?uuid=dfad6f2e-e712-4435-9e9a-79f40f77b6ef" ] } ], "mendeley" : { "formattedCitation" : "(\u201cASTM F 2382-04, Standard Test Method for Assessment of Intravascular Medical Device Materials on Partial Thromboplastin Time ( PTT ),\u201d 2004)", "manualFormatting" : "(ASTM F2382, 2004)", "plainTextFormattedCitation" : "(\u201cASTM F 2382-04, Standard Test Method for Assessment of Intravascular Medical Device Materials on Partial Thromboplastin Time ( PTT ),\u201d 2004)", "previouslyFormattedCitation" : "(\u201cASTM F 2382-04, Standard Test Method for Assessment of Intravascular Medical Device Materials on Partial Thromboplastin Time ( PTT ),\u201d 2004)" }, "properties" : { "noteIndex" : 19 }, "schema" : "https://github.com/citation-style-language/schema/raw/master/csl-citation.json" }</w:instrText>
      </w:r>
      <w:r w:rsidR="002866D7">
        <w:rPr>
          <w:rFonts w:cs="Arial"/>
        </w:rPr>
        <w:fldChar w:fldCharType="separate"/>
      </w:r>
      <w:r w:rsidR="002866D7" w:rsidRPr="002866D7">
        <w:rPr>
          <w:rFonts w:cs="Arial"/>
          <w:noProof/>
        </w:rPr>
        <w:t>(ASTM F2382</w:t>
      </w:r>
      <w:r w:rsidR="002866D7">
        <w:rPr>
          <w:rFonts w:cs="Arial"/>
          <w:noProof/>
        </w:rPr>
        <w:t>,</w:t>
      </w:r>
      <w:r w:rsidR="002866D7" w:rsidRPr="002866D7">
        <w:rPr>
          <w:rFonts w:cs="Arial"/>
          <w:noProof/>
        </w:rPr>
        <w:t xml:space="preserve"> 2004)</w:t>
      </w:r>
      <w:r w:rsidR="002866D7">
        <w:rPr>
          <w:rFonts w:cs="Arial"/>
        </w:rPr>
        <w:fldChar w:fldCharType="end"/>
      </w:r>
      <w:r w:rsidR="00364C7A">
        <w:rPr>
          <w:rFonts w:cs="Arial"/>
        </w:rPr>
        <w:t xml:space="preserve"> </w:t>
      </w:r>
      <w:r w:rsidR="00364C7A">
        <w:rPr>
          <w:rFonts w:cs="Arial"/>
        </w:rPr>
        <w:fldChar w:fldCharType="begin" w:fldLock="1"/>
      </w:r>
      <w:r w:rsidR="00620497">
        <w:rPr>
          <w:rFonts w:cs="Arial"/>
        </w:rPr>
        <w:instrText>ADDIN CSL_CITATION { "citationItems" : [ { "id" : "ITEM-1", "itemData" : { "DOI" : "10.1520/F1984-99R13", "abstract" : "This standard is issued under the fixed designation F1984; the number immediately following the designation indicates the year of original adoption or, in the case of revision, the year of last revision. A number in parentheses indicates the year of last reapproval. A superscript epsilon) indicates an editorial change since the last revision or reapproval.", "id" : "ITEM-1", "issued" : { "date-parts" : [ [ "2013" ] ] }, "title" : "ASTM F1984-99 - Standard Practice for Testing for Whole Complement Activation in Serum by Solid Materials", "type" : "article-journal" }, "uris" : [ "http://www.mendeley.com/documents/?uuid=af7ed087-1f8a-4d5b-aeed-efa2e5cd93c2" ] } ], "mendeley" : { "formattedCitation" : "(\u201cASTM F1984-99 - Standard Practice for Testing for Whole Complement Activation in Serum by Solid Materials,\u201d 2013)", "manualFormatting" : "(ASTM F1984, 2013)", "plainTextFormattedCitation" : "(\u201cASTM F1984-99 - Standard Practice for Testing for Whole Complement Activation in Serum by Solid Materials,\u201d 2013)", "previouslyFormattedCitation" : "(\u201cASTM F1984-99 - Standard Practice for Testing for Whole Complement Activation in Serum by Solid Materials,\u201d 2013)" }, "properties" : { "noteIndex" : 19 }, "schema" : "https://github.com/citation-style-language/schema/raw/master/csl-citation.json" }</w:instrText>
      </w:r>
      <w:r w:rsidR="00364C7A">
        <w:rPr>
          <w:rFonts w:cs="Arial"/>
        </w:rPr>
        <w:fldChar w:fldCharType="separate"/>
      </w:r>
      <w:r w:rsidR="00364C7A" w:rsidRPr="00364C7A">
        <w:rPr>
          <w:rFonts w:cs="Arial"/>
          <w:noProof/>
        </w:rPr>
        <w:t>(ASTM F1984</w:t>
      </w:r>
      <w:r w:rsidR="00364C7A">
        <w:rPr>
          <w:rFonts w:cs="Arial"/>
          <w:noProof/>
        </w:rPr>
        <w:t>, 2013</w:t>
      </w:r>
      <w:r w:rsidR="00364C7A" w:rsidRPr="00364C7A">
        <w:rPr>
          <w:rFonts w:cs="Arial"/>
          <w:noProof/>
        </w:rPr>
        <w:t>)</w:t>
      </w:r>
      <w:r w:rsidR="00364C7A">
        <w:rPr>
          <w:rFonts w:cs="Arial"/>
        </w:rPr>
        <w:fldChar w:fldCharType="end"/>
      </w:r>
      <w:r w:rsidR="00D33F29" w:rsidRPr="00D33F29">
        <w:rPr>
          <w:rFonts w:cs="Arial"/>
        </w:rPr>
        <w:t xml:space="preserve">. ASTM E2524-08 </w:t>
      </w:r>
      <w:r w:rsidR="009F529E">
        <w:rPr>
          <w:rFonts w:cs="Arial"/>
        </w:rPr>
        <w:fldChar w:fldCharType="begin" w:fldLock="1"/>
      </w:r>
      <w:r w:rsidR="002866D7">
        <w:rPr>
          <w:rFonts w:cs="Arial"/>
        </w:rPr>
        <w:instrText>ADDIN CSL_CITATION { "citationItems" : [ { "id" : "ITEM-1", "itemData" : { "id" : "ITEM-1", "issued" : { "date-parts" : [ [ "2013" ] ] }, "title" : "ASTM E2524-08, Standard Test Method for Analysis of Hemolytic Properties of Nanoparticles", "type" : "article-journal" }, "uris" : [ "http://www.mendeley.com/documents/?uuid=222a7132-4d31-49af-8352-62ca5ae192ac" ] } ], "mendeley" : { "formattedCitation" : "(\u201cASTM E2524-08, Standard Test Method for Analysis of Hemolytic Properties of Nanoparticles,\u201d 2013)", "manualFormatting" : "(ASTM E2524, 2013)", "plainTextFormattedCitation" : "(\u201cASTM E2524-08, Standard Test Method for Analysis of Hemolytic Properties of Nanoparticles,\u201d 2013)", "previouslyFormattedCitation" : "(\u201cASTM E2524-08, Standard Test Method for Analysis of Hemolytic Properties of Nanoparticles,\u201d 2013)" }, "properties" : { "noteIndex" : 19 }, "schema" : "https://github.com/citation-style-language/schema/raw/master/csl-citation.json" }</w:instrText>
      </w:r>
      <w:r w:rsidR="009F529E">
        <w:rPr>
          <w:rFonts w:cs="Arial"/>
        </w:rPr>
        <w:fldChar w:fldCharType="separate"/>
      </w:r>
      <w:r w:rsidR="009F529E" w:rsidRPr="009F529E">
        <w:rPr>
          <w:rFonts w:cs="Arial"/>
          <w:noProof/>
        </w:rPr>
        <w:t>(ASTM</w:t>
      </w:r>
      <w:r w:rsidR="002866D7">
        <w:rPr>
          <w:rFonts w:cs="Arial"/>
          <w:noProof/>
        </w:rPr>
        <w:t xml:space="preserve"> E2524</w:t>
      </w:r>
      <w:r w:rsidR="009F529E">
        <w:rPr>
          <w:rFonts w:cs="Arial"/>
          <w:noProof/>
        </w:rPr>
        <w:t>,</w:t>
      </w:r>
      <w:r w:rsidR="009F529E" w:rsidRPr="009F529E">
        <w:rPr>
          <w:rFonts w:cs="Arial"/>
          <w:noProof/>
        </w:rPr>
        <w:t xml:space="preserve"> 2013)</w:t>
      </w:r>
      <w:r w:rsidR="009F529E">
        <w:rPr>
          <w:rFonts w:cs="Arial"/>
        </w:rPr>
        <w:fldChar w:fldCharType="end"/>
      </w:r>
      <w:r w:rsidR="009F529E">
        <w:rPr>
          <w:rFonts w:cs="Arial"/>
        </w:rPr>
        <w:t xml:space="preserve"> </w:t>
      </w:r>
      <w:r w:rsidR="00D33F29" w:rsidRPr="00D33F29">
        <w:rPr>
          <w:rFonts w:cs="Arial"/>
        </w:rPr>
        <w:t xml:space="preserve">is </w:t>
      </w:r>
      <w:r w:rsidR="009F529E">
        <w:rPr>
          <w:rFonts w:cs="Arial"/>
        </w:rPr>
        <w:t xml:space="preserve">the only standardised test method with has been </w:t>
      </w:r>
      <w:r w:rsidR="00D33F29" w:rsidRPr="00D33F29">
        <w:rPr>
          <w:rFonts w:cs="Arial"/>
        </w:rPr>
        <w:t xml:space="preserve">adapted to nanomaterials and </w:t>
      </w:r>
      <w:r w:rsidR="009F529E">
        <w:rPr>
          <w:rFonts w:cs="Arial"/>
        </w:rPr>
        <w:t xml:space="preserve">it </w:t>
      </w:r>
      <w:r w:rsidR="00D33F29" w:rsidRPr="00D33F29">
        <w:rPr>
          <w:rFonts w:cs="Arial"/>
        </w:rPr>
        <w:t>focusse</w:t>
      </w:r>
      <w:r w:rsidR="009F529E">
        <w:rPr>
          <w:rFonts w:cs="Arial"/>
        </w:rPr>
        <w:t>s</w:t>
      </w:r>
      <w:r w:rsidR="00D33F29" w:rsidRPr="00D33F29">
        <w:rPr>
          <w:rFonts w:cs="Arial"/>
        </w:rPr>
        <w:t xml:space="preserve"> on the assessment of the </w:t>
      </w:r>
      <w:r w:rsidR="008A6793" w:rsidRPr="00D33F29">
        <w:rPr>
          <w:rFonts w:cs="Arial"/>
        </w:rPr>
        <w:t>haemolytic</w:t>
      </w:r>
      <w:r w:rsidR="00D33F29" w:rsidRPr="00D33F29">
        <w:rPr>
          <w:rFonts w:cs="Arial"/>
        </w:rPr>
        <w:t xml:space="preserve"> properties of nanomaterials.</w:t>
      </w:r>
      <w:r w:rsidR="00BE7B14">
        <w:rPr>
          <w:rFonts w:cs="Arial"/>
        </w:rPr>
        <w:t xml:space="preserve"> </w:t>
      </w:r>
      <w:r w:rsidR="00D33F29" w:rsidRPr="00D33F29">
        <w:rPr>
          <w:rFonts w:cs="Arial"/>
        </w:rPr>
        <w:t xml:space="preserve">The International Council for Standardization in Haematology (ICSH), has published several guidelines and recommendations for haematology </w:t>
      </w:r>
      <w:r w:rsidR="00D33F29" w:rsidRPr="00D33F29">
        <w:rPr>
          <w:rFonts w:cs="Arial"/>
        </w:rPr>
        <w:fldChar w:fldCharType="begin" w:fldLock="1"/>
      </w:r>
      <w:r w:rsidR="009B278F">
        <w:rPr>
          <w:rFonts w:cs="Arial"/>
        </w:rPr>
        <w:instrText>ADDIN CSL_CITATION { "citationItems" : [ { "id" : "ITEM-1", "itemData" : { "DOI" : "10.1111/ijlh.12201", "ISBN" : "2034479882", "ISSN" : "1751553X", "PMID" : "24666725", "abstract" : "This revision is intended to update the 1994 ICSH guidelines. It is based on those guidelines but is updated to include new methods, such as digital image analysis for blood cells, a flow cytometric method intended to replace the reference manual 400 cell differential, and numerous new cell indices not identified morphologically are introduced. Haematology analysers are becoming increasingly complex and with technological advancements in instrumentation with more and more quantitative parameters are being reported in the complete blood count. It is imperative therefore that before an instrument is used for testing patient samples, it must undergo an evaluation by an organization or laboratory independent of the manufacturer. The evaluation should demonstrate the performance, advantages and limitations of instruments and methods. These evaluations may be performed by an accredited haematology laboratory where the results are published in a peer-reviewed journal and compared with the validations performed by the manufacturer. A less extensive validation/transference of the equipment or method should be performed by the local laboratory on instruments prior to reporting of results.", "author" : [ { "dropping-particle" : "", "family" : "Briggs", "given" : "C.", "non-dropping-particle" : "", "parse-names" : false, "suffix" : "" }, { "dropping-particle" : "", "family" : "Culp", "given" : "N.", "non-dropping-particle" : "", "parse-names" : false, "suffix" : "" }, { "dropping-particle" : "", "family" : "Davis", "given" : "B.", "non-dropping-particle" : "", "parse-names" : false, "suffix" : "" }, { "dropping-particle" : "", "family" : "d'Onofrio", "given" : "G.", "non-dropping-particle" : "", "parse-names" : false, "suffix" : "" }, { "dropping-particle" : "", "family" : "Zini", "given" : "G.", "non-dropping-particle" : "", "parse-names" : false, "suffix" : "" }, { "dropping-particle" : "", "family" : "Machin", "given" : "S. J.", "non-dropping-particle" : "", "parse-names" : false, "suffix" : "" } ], "container-title" : "International Journal of Laboratory Hematology", "id" : "ITEM-1", "issue" : "6", "issued" : { "date-parts" : [ [ "2014" ] ] }, "page" : "613-627", "title" : "ICSH guidelines for the evaluation of blood cell analysers including those used for differential leucocyte and reticulocyte counting", "type" : "article-journal", "volume" : "36" }, "uris" : [ "http://www.mendeley.com/documents/?uuid=6f372ae4-c1b2-4682-98a0-adb03f967e0e" ] } ], "mendeley" : { "formattedCitation" : "(Briggs et al., 2014)", "manualFormatting" : "(Briggs, 2014)", "plainTextFormattedCitation" : "(Briggs et al., 2014)", "previouslyFormattedCitation" : "(Briggs et al., 2014)" }, "properties" : { "noteIndex" : 10 }, "schema" : "https://github.com/citation-style-language/schema/raw/master/csl-citation.json" }</w:instrText>
      </w:r>
      <w:r w:rsidR="00D33F29" w:rsidRPr="00D33F29">
        <w:rPr>
          <w:rFonts w:cs="Arial"/>
        </w:rPr>
        <w:fldChar w:fldCharType="separate"/>
      </w:r>
      <w:r w:rsidR="00D33F29" w:rsidRPr="00D33F29">
        <w:rPr>
          <w:rFonts w:cs="Arial"/>
          <w:noProof/>
          <w:lang w:val="da-DK"/>
        </w:rPr>
        <w:t>(Briggs, 2014)</w:t>
      </w:r>
      <w:r w:rsidR="00D33F29" w:rsidRPr="00D33F29">
        <w:rPr>
          <w:rFonts w:cs="Arial"/>
        </w:rPr>
        <w:fldChar w:fldCharType="end"/>
      </w:r>
      <w:r w:rsidR="00D33F29" w:rsidRPr="00D33F29">
        <w:rPr>
          <w:rFonts w:cs="Arial"/>
          <w:lang w:val="da-DK"/>
        </w:rPr>
        <w:t>,</w:t>
      </w:r>
      <w:r w:rsidR="009B278F">
        <w:rPr>
          <w:rFonts w:cs="Arial"/>
          <w:lang w:val="da-DK"/>
        </w:rPr>
        <w:t xml:space="preserve"> </w:t>
      </w:r>
      <w:r w:rsidR="00D33F29" w:rsidRPr="00D33F29">
        <w:rPr>
          <w:rFonts w:cs="Arial"/>
        </w:rPr>
        <w:fldChar w:fldCharType="begin" w:fldLock="1"/>
      </w:r>
      <w:r w:rsidR="009B278F">
        <w:rPr>
          <w:rFonts w:cs="Arial"/>
          <w:lang w:val="da-DK"/>
        </w:rPr>
        <w:instrText>ADDIN CSL_CITATION { "citationItems" : [ { "id" : "ITEM-1", "itemData" : { "DOI" : "10.1002/cyto.a.22092", "ISBN" : "1552-4922", "ISSN" : "15524922", "PMID" : "22736499", "abstract" : "A Complete Blood Count performed by an automated hematology analyzer frequently requires a microscopic slide review. Recently, we and others have proposed combinations of monoclonal antibodies for an extended leukocyte differential by flow cytometry. The aim of this study was to compare the performance of these proposals. Ninety-two samples were analyzed at 2 sites to compare the accuracy of three published methods. Reference methods used were i) cell counter for leukocyte count and ii) microscopic review as defined by CSLI H20-A2 for cell subsets. Comparison of flow cytometers from 2 manufacturers (FC500 and CANTO/LSRII) was performed. Published protocols were adapted to three different models of flow cytometer and each provided similar results in leukocyte subset enumeration, although some discrepancies were noted for each protocol in comparison with the reference method. The conclusion is that each protocol carries advantages and disadvantages and there is no clear \u201cwinner\u201d. This study supports the fact that flow cytometry is a candidate to become a reference method for the leukocyte differential. None of the tested protocols clearly demonstrated superiority and each had demonstrable deficiencies. Additional work to develop a consensual 8 to 10 color panel is concluded to be necessary for a satisfactory reference method. \u00a9 2012 International Society for Advancement of Cytometry", "author" : [ { "dropping-particle" : "", "family" : "Roussel", "given" : "Mikael", "non-dropping-particle" : "", "parse-names" : false, "suffix" : "" }, { "dropping-particle" : "", "family" : "Davis", "given" : "Bruce H.", "non-dropping-particle" : "", "parse-names" : false, "suffix" : "" }, { "dropping-particle" : "", "family" : "Fest", "given" : "Thierry", "non-dropping-particle" : "", "parse-names" : false, "suffix" : "" }, { "dropping-particle" : "", "family" : "Wood", "given" : "Brent L.", "non-dropping-particle" : "", "parse-names" : false, "suffix" : "" } ], "container-title" : "Cytometry Part A", "id" : "ITEM-1", "issue" : "11", "issued" : { "date-parts" : [ [ "2012" ] ] }, "page" : "973-982", "title" : "Toward a reference method for leukocyte differential counts in blood: Comparison of three flow cytometric candidate methods", "type" : "article-journal", "volume" : "81 A" }, "uris" : [ "http://www.mendeley.com/documents/?uuid=5820ff2e-8a9e-4cb0-a9eb-b1c842c78704" ] } ], "mendeley" : { "formattedCitation" : "(Roussel, Davis, Fest, &amp; Wood, 2012)", "manualFormatting" : "(Roussel, 2012)", "plainTextFormattedCitation" : "(Roussel, Davis, Fest, &amp; Wood, 2012)", "previouslyFormattedCitation" : "(Roussel, Davis, Fest, &amp; Wood, 2012)" }, "properties" : { "noteIndex" : 11 }, "schema" : "https://github.com/citation-style-language/schema/raw/master/csl-citation.json" }</w:instrText>
      </w:r>
      <w:r w:rsidR="00D33F29" w:rsidRPr="00D33F29">
        <w:rPr>
          <w:rFonts w:cs="Arial"/>
        </w:rPr>
        <w:fldChar w:fldCharType="separate"/>
      </w:r>
      <w:r w:rsidR="00D33F29" w:rsidRPr="00D33F29">
        <w:rPr>
          <w:rFonts w:cs="Arial"/>
          <w:noProof/>
          <w:lang w:val="da-DK"/>
        </w:rPr>
        <w:t>(Roussel, 2012)</w:t>
      </w:r>
      <w:r w:rsidR="00D33F29" w:rsidRPr="00D33F29">
        <w:rPr>
          <w:rFonts w:cs="Arial"/>
        </w:rPr>
        <w:fldChar w:fldCharType="end"/>
      </w:r>
      <w:r w:rsidR="00D33F29" w:rsidRPr="00D33F29">
        <w:rPr>
          <w:rFonts w:cs="Arial"/>
          <w:lang w:val="da-DK"/>
        </w:rPr>
        <w:t>,</w:t>
      </w:r>
      <w:r w:rsidR="009B278F">
        <w:rPr>
          <w:rFonts w:cs="Arial"/>
          <w:lang w:val="da-DK"/>
        </w:rPr>
        <w:t xml:space="preserve"> </w:t>
      </w:r>
      <w:r w:rsidR="00D33F29" w:rsidRPr="00D33F29">
        <w:rPr>
          <w:rFonts w:cs="Arial"/>
        </w:rPr>
        <w:fldChar w:fldCharType="begin" w:fldLock="1"/>
      </w:r>
      <w:r w:rsidR="009B278F">
        <w:rPr>
          <w:rFonts w:cs="Arial"/>
          <w:lang w:val="da-DK"/>
        </w:rPr>
        <w:instrText>ADDIN CSL_CITATION { "citationItems" : [ { "id" : "ITEM-1", "itemData" : { "DOI" : "10.1111/ijlh.12693", "ISSN" : "17515521", "author" : [ { "dropping-particle" : "", "family" : "Kratz", "given" : "A.", "non-dropping-particle" : "", "parse-names" : false, "suffix" : "" }, { "dropping-particle" : "", "family" : "Plebani", "given" : "M.", "non-dropping-particle" : "", "parse-names" : false, "suffix" : "" }, { "dropping-particle" : "", "family" : "Peng", "given" : "M.", "non-dropping-particle" : "", "parse-names" : false, "suffix" : "" }, { "dropping-particle" : "", "family" : "Lee", "given" : "Y.K.", "non-dropping-particle" : "", "parse-names" : false, "suffix" : "" }, { "dropping-particle" : "", "family" : "McCafferty", "given" : "R.", "non-dropping-particle" : "", "parse-names" : false, "suffix" : "" }, { "dropping-particle" : "", "family" : "Machin", "given" : "S.J.", "non-dropping-particle" : "", "parse-names" : false, "suffix" : "" } ], "container-title" : "International Journal of Laboratory Hematology", "id" : "ITEM-1", "issue" : "November 2016", "issued" : { "date-parts" : [ [ "2017" ] ] }, "page" : "1-10", "title" : "ICSH recommendations for modified and alternate methods measuring the erythrocyte sedimentation rate", "type" : "article-journal" }, "uris" : [ "http://www.mendeley.com/documents/?uuid=09402963-2cfa-4077-80ad-9aff75f03ef8" ] } ], "mendeley" : { "formattedCitation" : "(Kratz et al., 2017)", "manualFormatting" : "(Kratz, 2017)", "plainTextFormattedCitation" : "(Kratz et al., 2017)", "previouslyFormattedCitation" : "(Kratz et al., 2017)" }, "properties" : { "noteIndex" : 10 }, "schema" : "https://github.com/citation-style-language/schema/raw/master/csl-citation.json" }</w:instrText>
      </w:r>
      <w:r w:rsidR="00D33F29" w:rsidRPr="00D33F29">
        <w:rPr>
          <w:rFonts w:cs="Arial"/>
        </w:rPr>
        <w:fldChar w:fldCharType="separate"/>
      </w:r>
      <w:r w:rsidR="00D33F29" w:rsidRPr="00D33F29">
        <w:rPr>
          <w:rFonts w:cs="Arial"/>
          <w:noProof/>
          <w:lang w:val="da-DK"/>
        </w:rPr>
        <w:t>(Kratz, 2017)</w:t>
      </w:r>
      <w:r w:rsidR="00D33F29" w:rsidRPr="00D33F29">
        <w:rPr>
          <w:rFonts w:cs="Arial"/>
        </w:rPr>
        <w:fldChar w:fldCharType="end"/>
      </w:r>
      <w:r w:rsidR="00D33F29" w:rsidRPr="00D33F29">
        <w:rPr>
          <w:rFonts w:cs="Arial"/>
          <w:lang w:val="da-DK"/>
        </w:rPr>
        <w:t xml:space="preserve"> and platelet counting </w:t>
      </w:r>
      <w:r w:rsidR="00D33F29" w:rsidRPr="00D33F29">
        <w:rPr>
          <w:rFonts w:cs="Arial"/>
        </w:rPr>
        <w:fldChar w:fldCharType="begin" w:fldLock="1"/>
      </w:r>
      <w:r w:rsidR="009B278F">
        <w:rPr>
          <w:rFonts w:cs="Arial"/>
          <w:lang w:val="da-DK"/>
        </w:rPr>
        <w:instrText>ADDIN CSL_CITATION { "citationItems" : [ { "id" : "ITEM-1", "itemData" : { "DOI" : "10.1309/W612-MYEP-FA7U-8UYA", "ISBN" : "0002-9173", "ISSN" : "00029173", "PMID" : "11246942", "abstract" : "The International Council for Standardization in Haematology (ICSH) and the International Society of Laboratory Hematology (ISLH) recommend the counting of specifically labeled platelets relative to the RBCs with a fluorescence flow cytometer, together with an accurate RBC count determined with a semiautomated, single-channel aperture-impedance counter as a reference method for the enumeration of platelets. Fresh EDTA-anticoagulated venous blood specimens are measured within 4 hours of the draw. The specimen is prediluted (1:20) and the platelets labeled with two monoclonal antibodies specific to a cluster of differentiation common to all platelets. A final 1:1,000 dilution is made and at least 50,000 events with a minimum of 1,000 platelet events are counted with a flow cytometer to determine the RBC/platelet ratio. The platelet count is then calculated from this ratio and the RBC concentration of the original blood specimen.", "author" : [ { "dropping-particle" : "", "family" : "Klee", "given" : "George", "non-dropping-particle" : "", "parse-names" : false, "suffix" : "" }, { "dropping-particle" : "", "family" : "D'Onofrio", "given" : "Guiseppe", "non-dropping-particle" : "", "parse-names" : false, "suffix" : "" }, { "dropping-particle" : "", "family" : "Assendelft", "given" : "Onno W.", "non-dropping-particle" : "Van", "parse-names" : false, "suffix" : "" }, { "dropping-particle" : "", "family" : "Bull", "given" : "Brian", "non-dropping-particle" : "", "parse-names" : false, "suffix" : "" }, { "dropping-particle" : "", "family" : "Bunyaratvej", "given" : "Ahnond", "non-dropping-particle" : "", "parse-names" : false, "suffix" : "" }, { "dropping-particle" : "", "family" : "Buttarello", "given" : "M.", "non-dropping-particle" : "", "parse-names" : false, "suffix" : "" }, { "dropping-particle" : "", "family" : "Colella", "given" : "George", "non-dropping-particle" : "", "parse-names" : false, "suffix" : "" }, { "dropping-particle" : "", "family" : "Davis", "given" : "Bruce", "non-dropping-particle" : "", "parse-names" : false, "suffix" : "" }, { "dropping-particle" : "", "family" : "Fujimoto", "given" : "Keiji", "non-dropping-particle" : "", "parse-names" : false, "suffix" : "" }, { "dropping-particle" : "", "family" : "Groner", "given" : "Warren", "non-dropping-particle" : "", "parse-names" : false, "suffix" : "" }, { "dropping-particle" : "", "family" : "Houwen", "given" : "Berend", "non-dropping-particle" : "", "parse-names" : false, "suffix" : "" }, { "dropping-particle" : "", "family" : "Hove", "given" : "Luc", "non-dropping-particle" : "Van", "parse-names" : false, "suffix" : "" }, { "dropping-particle" : "", "family" : "Koepke", "given" : "John A.", "non-dropping-particle" : "", "parse-names" : false, "suffix" : "" }, { "dropping-particle" : "", "family" : "Lewis", "given" : "Mitchell", "non-dropping-particle" : "", "parse-names" : false, "suffix" : "" }, { "dropping-particle" : "", "family" : "Machin", "given" : "Sam", "non-dropping-particle" : "", "parse-names" : false, "suffix" : "" }, { "dropping-particle" : "", "family" : "Raynor", "given" : "Robert", "non-dropping-particle" : "", "parse-names" : false, "suffix" : "" }, { "dropping-particle" : "", "family" : "Rowan", "given" : "Martin", "non-dropping-particle" : "", "parse-names" : false, "suffix" : "" }, { "dropping-particle" : "", "family" : "Tatsumi", "given" : "Noriyuki", "no</w:instrText>
      </w:r>
      <w:r w:rsidR="009B278F" w:rsidRPr="005D7CA9">
        <w:rPr>
          <w:rFonts w:cs="Arial"/>
        </w:rPr>
        <w:instrText>n-dropping-particle" : "", "parse-names" : false, "suffix" : "" }, { "dropping-particle" : "", "family" : "Ault", "given" : "Kenneth A.", "non-dropping-particle" : "", "parse-names" : false, "suffix" : "" }, { "dropping-particle" : "", "family" : "Harrison", "given" : "Paul", "non-dropping-particle" : "", "parse-names" : false, "suffix" : "" }, { "dropping-particle" : "", "family" : "Kunicka", "given" : "Jolanta", "non-dropping-particle" : "", "parse-names" : false, "suffix" : "" }, { "dropping-particle" : "", "family" : "Lacombe", "given" : "Francis", "non-dropping-particle" : "", "parse-names" : false, "suffix" : "" }, { "dropping-particle" : "", "family" : "Lakomsky", "given" : "Didier", "non-dropping-particle" : "", "parse-names" : false, "suffix" : "" } ], "container-title" : "American Journal of Clinical Pathology", "id" : "ITEM-1", "issue" : "3", "issued" : { "date-parts" : [ [ "2001" ] ] }, "page" : "460-464", "title" : "Platelet Counting by the RBC/Platelet Ratio Method: A Reference Method", "type" : "article-journal", "volume" : "115" }, "uris" : [ "http://www.mendeley.com/documents/?uuid=825b69a1-2c2f-4c65-be4d-d309c133efda" ] } ], "mendeley" : { "formattedCitation" : "(Klee et al., 2001)", "manualFormatting" : "(Klee, 2001)", "plainTextFormattedCitation" : "(Klee et al., 2001)", "previouslyFormattedCitation" : "(Klee et al., 2001)" }, "properties" : { "noteIndex" : 10 }, "schema" : "https://github.com/citation-style-language/schema/raw/master/csl-citation.json" }</w:instrText>
      </w:r>
      <w:r w:rsidR="00D33F29" w:rsidRPr="00D33F29">
        <w:rPr>
          <w:rFonts w:cs="Arial"/>
        </w:rPr>
        <w:fldChar w:fldCharType="separate"/>
      </w:r>
      <w:r w:rsidR="00D33F29" w:rsidRPr="00D33F29">
        <w:rPr>
          <w:rFonts w:cs="Arial"/>
          <w:noProof/>
        </w:rPr>
        <w:t>(Klee, 2001)</w:t>
      </w:r>
      <w:r w:rsidR="00D33F29" w:rsidRPr="00D33F29">
        <w:rPr>
          <w:rFonts w:cs="Arial"/>
        </w:rPr>
        <w:fldChar w:fldCharType="end"/>
      </w:r>
      <w:r w:rsidR="00D33F29" w:rsidRPr="00D33F29">
        <w:rPr>
          <w:rFonts w:cs="Arial"/>
        </w:rPr>
        <w:t xml:space="preserve">. The Clinical and Laboratory Standards Institute (CLSI) has also made an effort to implement clinical laboratory testing standards in the area of blood compatibility. CLSI standards are mainly focused in the assessment of alterations in the coagulation cascade </w:t>
      </w:r>
      <w:r w:rsidR="00D33F29" w:rsidRPr="00D33F29">
        <w:rPr>
          <w:rFonts w:cs="Arial"/>
        </w:rPr>
        <w:fldChar w:fldCharType="begin" w:fldLock="1"/>
      </w:r>
      <w:r w:rsidR="009B278F">
        <w:rPr>
          <w:rFonts w:cs="Arial"/>
        </w:rPr>
        <w:instrText>ADDIN CSL_CITATION { "citationItems" : [ { "id" : "ITEM-1", "itemData" : { "author" : [ { "dropping-particle" : "", "family" : "CLSI", "given" : "", "non-dropping-particle" : "", "parse-names" : false, "suffix" : "" } ], "id" : "ITEM-1", "issued" : { "date-parts" : [ [ "2001" ] ] }, "title" : "CLSI H30-A2:Procedure for the determination of fibrinogen in plasma. Approved guideline-second edition", "type" : "article-journal" }, "uris" : [ "http://www.mendeley.com/documents/?uuid=f9dabb3a-5d03-4823-bf47-1ed9257508d6" ] } ], "mendeley" : { "formattedCitation" : "(CLSI, 2001)", "plainTextFormattedCitation" : "(CLSI, 2001)", "previouslyFormattedCitation" : "(CLSI, 2001)" }, "properties" : { "noteIndex" : 10 }, "schema" : "https://github.com/citation-style-language/schema/raw/master/csl-citation.json" }</w:instrText>
      </w:r>
      <w:r w:rsidR="00D33F29" w:rsidRPr="00D33F29">
        <w:rPr>
          <w:rFonts w:cs="Arial"/>
        </w:rPr>
        <w:fldChar w:fldCharType="separate"/>
      </w:r>
      <w:r w:rsidR="009B278F" w:rsidRPr="009B278F">
        <w:rPr>
          <w:rFonts w:cs="Arial"/>
          <w:noProof/>
        </w:rPr>
        <w:t>(CLSI, 2001)</w:t>
      </w:r>
      <w:r w:rsidR="00D33F29" w:rsidRPr="00D33F29">
        <w:rPr>
          <w:rFonts w:cs="Arial"/>
        </w:rPr>
        <w:fldChar w:fldCharType="end"/>
      </w:r>
      <w:r w:rsidR="00D33F29" w:rsidRPr="00D33F29">
        <w:rPr>
          <w:rFonts w:cs="Arial"/>
        </w:rPr>
        <w:t>,</w:t>
      </w:r>
      <w:r w:rsidR="009B278F">
        <w:rPr>
          <w:rFonts w:cs="Arial"/>
        </w:rPr>
        <w:t xml:space="preserve"> </w:t>
      </w:r>
      <w:r w:rsidR="00D33F29" w:rsidRPr="00D33F29">
        <w:rPr>
          <w:rFonts w:cs="Arial"/>
        </w:rPr>
        <w:fldChar w:fldCharType="begin" w:fldLock="1"/>
      </w:r>
      <w:r w:rsidR="009B278F">
        <w:rPr>
          <w:rFonts w:cs="Arial"/>
        </w:rPr>
        <w:instrText>ADDIN CSL_CITATION { "citationItems" : [ { "id" : "ITEM-1", "itemData" : { "author" : [ { "dropping-particle" : "", "family" : "CLSI", "given" : "", "non-dropping-particle" : "", "parse-names" : false, "suffix" : "" } ], "id" : "ITEM-1", "issued" : { "date-parts" : [ [ "2008" ] ] }, "title" : "CLSI H47-A2: One-stage prothrombin time (PT) test and activated partial thromboplastin time (APTT) test. Approved Guideline", "type" : "article-journal" }, "uris" : [ "http://www.mendeley.com/documents/?uuid=9e6f746e-54c6-42e4-87b4-5a44a85648ce" ] } ], "mendeley" : { "formattedCitation" : "(CLSI, 2008a)", "plainTextFormattedCitation" : "(CLSI, 2008a)", "previouslyFormattedCitation" : "(CLSI, 2008a)" }, "properties" : { "noteIndex" : 10 }, "schema" : "https://github.com/citation-style-language/schema/raw/master/csl-citation.json" }</w:instrText>
      </w:r>
      <w:r w:rsidR="00D33F29" w:rsidRPr="00D33F29">
        <w:rPr>
          <w:rFonts w:cs="Arial"/>
        </w:rPr>
        <w:fldChar w:fldCharType="separate"/>
      </w:r>
      <w:r w:rsidR="009B278F" w:rsidRPr="009B278F">
        <w:rPr>
          <w:rFonts w:cs="Arial"/>
          <w:noProof/>
        </w:rPr>
        <w:t>(CLSI, 2008a)</w:t>
      </w:r>
      <w:r w:rsidR="00D33F29" w:rsidRPr="00D33F29">
        <w:rPr>
          <w:rFonts w:cs="Arial"/>
        </w:rPr>
        <w:fldChar w:fldCharType="end"/>
      </w:r>
      <w:r w:rsidR="00D33F29" w:rsidRPr="00D33F29">
        <w:rPr>
          <w:rFonts w:cs="Arial"/>
        </w:rPr>
        <w:t>,</w:t>
      </w:r>
      <w:r w:rsidR="00D33F29" w:rsidRPr="00D33F29">
        <w:rPr>
          <w:rFonts w:cs="Arial"/>
        </w:rPr>
        <w:fldChar w:fldCharType="begin" w:fldLock="1"/>
      </w:r>
      <w:r w:rsidR="009B278F">
        <w:rPr>
          <w:rFonts w:cs="Arial"/>
        </w:rPr>
        <w:instrText>ADDIN CSL_CITATION { "citationItems" : [ { "id" : "ITEM-1", "itemData" : { "author" : [ { "dropping-particle" : "", "family" : "CLSI", "given" : "", "non-dropping-particle" : "", "parse-names" : false, "suffix" : "" } ], "id" : "ITEM-1", "issued" : { "date-parts" : [ [ "1997" ] ] }, "title" : "CLSI H48-A:Determination of factor coagulant activities", "type" : "article-journal" }, "uris" : [ "http://www.mendeley.com/documents/?uuid=0985db8f-c2b8-4812-8f00-2058506d0b02" ] } ], "mendeley" : { "formattedCitation" : "(CLSI, 1997)", "manualFormatting" : " (CLSI, 1997)", "plainTextFormattedCitation" : "(CLSI, 1997)", "previouslyFormattedCitation" : "(CLSI, 1997)" }, "properties" : { "noteIndex" : 10 }, "schema" : "https://github.com/citation-style-language/schema/raw/master/csl-citation.json" }</w:instrText>
      </w:r>
      <w:r w:rsidR="00D33F29" w:rsidRPr="00D33F29">
        <w:rPr>
          <w:rFonts w:cs="Arial"/>
        </w:rPr>
        <w:fldChar w:fldCharType="separate"/>
      </w:r>
      <w:r w:rsidR="009B278F">
        <w:rPr>
          <w:rFonts w:cs="Arial"/>
          <w:noProof/>
        </w:rPr>
        <w:t xml:space="preserve"> </w:t>
      </w:r>
      <w:r w:rsidR="009B278F" w:rsidRPr="009B278F">
        <w:rPr>
          <w:rFonts w:cs="Arial"/>
          <w:noProof/>
        </w:rPr>
        <w:t>(CLSI, 1997)</w:t>
      </w:r>
      <w:r w:rsidR="00D33F29" w:rsidRPr="00D33F29">
        <w:rPr>
          <w:rFonts w:cs="Arial"/>
        </w:rPr>
        <w:fldChar w:fldCharType="end"/>
      </w:r>
      <w:r w:rsidR="00D33F29" w:rsidRPr="00D33F29">
        <w:rPr>
          <w:rFonts w:cs="Arial"/>
        </w:rPr>
        <w:t xml:space="preserve"> and platelet function </w:t>
      </w:r>
      <w:r w:rsidR="00D33F29" w:rsidRPr="00D33F29">
        <w:rPr>
          <w:rFonts w:cs="Arial"/>
        </w:rPr>
        <w:fldChar w:fldCharType="begin" w:fldLock="1"/>
      </w:r>
      <w:r w:rsidR="009B278F">
        <w:rPr>
          <w:rFonts w:cs="Arial"/>
        </w:rPr>
        <w:instrText>ADDIN CSL_CITATION { "citationItems" : [ { "id" : "ITEM-1", "itemData" : { "author" : [ { "dropping-particle" : "", "family" : "CLSI", "given" : "", "non-dropping-particle" : "", "parse-names" : false, "suffix" : "" } ], "id" : "ITEM-1", "issued" : { "date-parts" : [ [ "2008" ] ] }, "title" : "CLSI H58-A:Platelet function testing by aggregometry", "type" : "article-journal" }, "uris" : [ "http://www.mendeley.com/documents/?uuid=cb6ac288-1208-4c93-981e-0cbc3f30fd9f" ] } ], "mendeley" : { "formattedCitation" : "(CLSI, 2008b)", "plainTextFormattedCitation" : "(CLSI, 2008b)", "previouslyFormattedCitation" : "(CLSI, 2008b)" }, "properties" : { "noteIndex" : 10 }, "schema" : "https://github.com/citation-style-language/schema/raw/master/csl-citation.json" }</w:instrText>
      </w:r>
      <w:r w:rsidR="00D33F29" w:rsidRPr="00D33F29">
        <w:rPr>
          <w:rFonts w:cs="Arial"/>
        </w:rPr>
        <w:fldChar w:fldCharType="separate"/>
      </w:r>
      <w:r w:rsidR="009B278F" w:rsidRPr="009B278F">
        <w:rPr>
          <w:rFonts w:cs="Arial"/>
          <w:noProof/>
        </w:rPr>
        <w:t>(CLSI, 2008b)</w:t>
      </w:r>
      <w:r w:rsidR="00D33F29" w:rsidRPr="00D33F29">
        <w:rPr>
          <w:rFonts w:cs="Arial"/>
        </w:rPr>
        <w:fldChar w:fldCharType="end"/>
      </w:r>
      <w:r w:rsidR="00D33F29" w:rsidRPr="00D33F29">
        <w:rPr>
          <w:rFonts w:cs="Arial"/>
        </w:rPr>
        <w:t xml:space="preserve">. However, most of the currently available </w:t>
      </w:r>
      <w:r w:rsidR="00D33F29" w:rsidRPr="00AD2A7D">
        <w:rPr>
          <w:rFonts w:cs="Arial"/>
          <w:i/>
        </w:rPr>
        <w:t>in vitro</w:t>
      </w:r>
      <w:r w:rsidR="00D33F29" w:rsidRPr="00D33F29">
        <w:rPr>
          <w:rFonts w:cs="Arial"/>
        </w:rPr>
        <w:t xml:space="preserve"> tests have been developed or validated for small molecules. </w:t>
      </w:r>
    </w:p>
    <w:p w:rsidR="00D33F29" w:rsidRPr="00D33F29" w:rsidRDefault="00D33F29" w:rsidP="009B278F">
      <w:pPr>
        <w:tabs>
          <w:tab w:val="left" w:pos="5460"/>
        </w:tabs>
        <w:jc w:val="both"/>
        <w:rPr>
          <w:rFonts w:cs="Arial"/>
        </w:rPr>
      </w:pPr>
      <w:r w:rsidRPr="00D33F29">
        <w:rPr>
          <w:rFonts w:cs="Arial"/>
        </w:rPr>
        <w:t xml:space="preserve">Most of these assays have not been challenged for their use with nanomaterials, and their suitability for nanoparticles has still to be proven. </w:t>
      </w:r>
      <w:r w:rsidR="00E71B10">
        <w:rPr>
          <w:rFonts w:cs="Arial"/>
        </w:rPr>
        <w:t>The evaluation of current standards for their suitability to assess also nanomaterial</w:t>
      </w:r>
      <w:r w:rsidR="00177773">
        <w:rPr>
          <w:rFonts w:cs="Arial"/>
        </w:rPr>
        <w:t>s</w:t>
      </w:r>
      <w:r w:rsidR="00E71B10">
        <w:rPr>
          <w:rFonts w:cs="Arial"/>
        </w:rPr>
        <w:t xml:space="preserve"> is highly relevant since potential interference of nanoparticles with test reagents have to be considered</w:t>
      </w:r>
      <w:r w:rsidR="000623F4">
        <w:rPr>
          <w:rFonts w:cs="Arial"/>
        </w:rPr>
        <w:t>. For instance</w:t>
      </w:r>
      <w:r w:rsidR="00E71B10">
        <w:rPr>
          <w:rFonts w:cs="Arial"/>
        </w:rPr>
        <w:t xml:space="preserve"> </w:t>
      </w:r>
      <w:r w:rsidRPr="00D33F29">
        <w:rPr>
          <w:rFonts w:cs="Arial"/>
        </w:rPr>
        <w:t xml:space="preserve">some inorganic nanoparticles have high absorbance at different visible wavelengths, interfering with the readout (and result) of the performed assays </w:t>
      </w:r>
      <w:r w:rsidRPr="00D33F29">
        <w:rPr>
          <w:rFonts w:cs="Arial"/>
        </w:rPr>
        <w:fldChar w:fldCharType="begin" w:fldLock="1"/>
      </w:r>
      <w:r w:rsidR="009B278F">
        <w:rPr>
          <w:rFonts w:cs="Arial"/>
        </w:rPr>
        <w:instrText>ADDIN CSL_CITATION { "citationItems" : [ { "id" : "ITEM-1", "itemData" : { "DOI" : "10.3109/17435390.2011.569096", "ISBN" : "1743-5404 (Electronic)\\r1743-5390 (Linking)", "ISSN" : "1743-5404", "PMID" : "21486188", "abstract" : "We validated a preclinical toxicological screening assay and provided guidelines to evaluate the potential impact of nanoparticles (NPs) on blood coagulation. Five NPs with various physicochemical properties were studied using several existing methods of clotting times and thrombin generation assays in human normal pool plasma. In both recalcification clotting time (RCT) and calibrated thrombin generation test (cTGT), the NPs exhibited procoagulant activity (SiO\u2082 \u2265 SiC \u2265 TiC &gt; CuO &gt; CB) but cTGT was more sensitive and relevant than RCT. Thus, the cTGT appears as a reference assay to investigate the nanoparticle (NP) procoagulant activity in human plasma. It should be used as the reference toxicity test for evaluating the effects of nanomaterials on coagulation cascade. In addition, we also showed that the use of the Pluronic F-108 dispersant and/or the sonication for the NP suspension preparation may mask their procoagulant activity and thus should be avoided.", "author" : [ { "dropping-particle" : "", "family" : "Laloy", "given" : "Julie", "non-dropping-particle" : "", "parse-names" : false, "suffix" : "" }, { "dropping-particle" : "", "family" : "Robert", "given" : "S\u00e9verine", "non-dropping-particle" : "", "parse-names" : false, "suffix" : "" }, { "dropping-particle" : "", "family" : "Marbehant", "given" : "Catherine", "non-dropping-particle" : "", "parse-names" : false, "suffix" : "" }, { "dropping-particle" : "", "family" : "Mullier", "given" : "Fran\u00e7ois", "non-dropping-particle" : "", "parse-names" : false, "suffix" : "" }, { "dropping-particle" : "", "family" : "Mejia", "given" : "Jorge", "non-dropping-particle" : "", "parse-names" : false, "suffix" : "" }, { "dropping-particle" : "", "family" : "Piret", "given" : "Jean-Pascal", "non-dropping-particle" : "", "parse-names" : false, "suffix" : "" }, { "dropping-particle" : "", "family" : "Lucas", "given" : "St\u00e9phane", "non-dropping-particle" : "", "parse-names" : false, "suffix" : "" }, { "dropping-particle" : "", "family" : "Chatelain", "given" : "Bernard", "non-dropping-particle" : "", "parse-names" : false, "suffix" : "" }, { "dropping-particle" : "", "family" : "Dogn\u00e9", "given" : "Jean-Michel", "non-dropping-particle" : "", "parse-names" : false, "suffix" : "" }, { "dropping-particle" : "", "family" : "Toussaint", "given" : "Olivier", "non-dropping-particle" : "", "parse-names" : false, "suffix" : "" }, { "dropping-particle" : "", "family" : "Masereel", "given" : "Bernard", "non-dropping-particle" : "", "parse-names" : false, "suffix" : "" }, { "dropping-particle" : "", "family" : "Rolin", "given" : "St\u00e9phanie", "non-dropping-particle" : "", "parse-names" : false, "suffix" : "" } ], "container-title" : "Nanotoxicology", "id" : "ITEM-1", "issue" : "2", "issued" : { "date-parts" : [ [ "2012" ] ] }, "page" : "213-32", "title" : "Validation of the calibrated thrombin generation test (cTGT) as the reference assay to evaluate the procoagulant activity of nanomaterials.", "type" : "article-journal", "volume" : "6" }, "uris" : [ "http://www.mendeley.com/documents/?uuid=838e123e-dea6-4bb4-8ad8-8c4b308eed51" ] } ], "mendeley" : { "formattedCitation" : "(Laloy et al., 2012)", "manualFormatting" : "(Laloy, 2012)", "plainTextFormattedCitation" : "(Laloy et al., 2012)", "previouslyFormattedCitation" : "(Laloy et al., 2012)" }, "properties" : { "noteIndex" : 0 }, "schema" : "https://github.com/citation-style-language/schema/raw/master/csl-citation.json" }</w:instrText>
      </w:r>
      <w:r w:rsidRPr="00D33F29">
        <w:rPr>
          <w:rFonts w:cs="Arial"/>
        </w:rPr>
        <w:fldChar w:fldCharType="separate"/>
      </w:r>
      <w:r w:rsidRPr="00D33F29">
        <w:rPr>
          <w:rFonts w:cs="Arial"/>
          <w:noProof/>
        </w:rPr>
        <w:t>(Laloy, 2012)</w:t>
      </w:r>
      <w:r w:rsidRPr="00D33F29">
        <w:rPr>
          <w:rFonts w:cs="Arial"/>
        </w:rPr>
        <w:fldChar w:fldCharType="end"/>
      </w:r>
      <w:r w:rsidRPr="00D33F29">
        <w:rPr>
          <w:rFonts w:cs="Arial"/>
        </w:rPr>
        <w:t xml:space="preserve">. It has already been reported that </w:t>
      </w:r>
      <w:r w:rsidR="00E71B10">
        <w:rPr>
          <w:rFonts w:cs="Arial"/>
        </w:rPr>
        <w:t xml:space="preserve">nanoparticle </w:t>
      </w:r>
      <w:r w:rsidRPr="00D33F29">
        <w:rPr>
          <w:rFonts w:cs="Arial"/>
        </w:rPr>
        <w:t xml:space="preserve">may interference with the </w:t>
      </w:r>
      <w:r w:rsidR="000623F4" w:rsidRPr="00D33F29">
        <w:rPr>
          <w:rFonts w:cs="Arial"/>
        </w:rPr>
        <w:t>haemolysis</w:t>
      </w:r>
      <w:r w:rsidRPr="00D33F29">
        <w:rPr>
          <w:rFonts w:cs="Arial"/>
        </w:rPr>
        <w:t xml:space="preserve"> assay proposed in ASTM E2524-08 standard through several mechanisms </w:t>
      </w:r>
      <w:r w:rsidRPr="00D33F29">
        <w:rPr>
          <w:rFonts w:cs="Arial"/>
        </w:rPr>
        <w:fldChar w:fldCharType="begin" w:fldLock="1"/>
      </w:r>
      <w:r w:rsidR="009B278F">
        <w:rPr>
          <w:rFonts w:cs="Arial"/>
        </w:rPr>
        <w:instrText>ADDIN CSL_CITATION { "citationItems" : [ { "id" : "ITEM-1", "itemData" : { "DOI" : "10.1093/toxsci/kfr149", "ISBN" : "1096-0929 (Electronic)\\r1096-0929 (Linking)", "ISSN" : "10966080", "PMID" : "21652737", "abstract" : "Silver nanomaterials are increasingly being used as antimicrobial agents in medical devices. This study assessed the in vitro hemolytic potential of unbound silver particles in human blood to determine which physical and chemical particle properties contribute to mechanisms of red blood cell (RBC) damage. Four silver particle powders (two nano-sized and two micron-sized) were dispersed in water and characterized using transmission electron microscopy, dynamic light scattering, surface-enhanced Raman spectroscopy, and zeta potential measurement. Particle size and agglomeration were dependent on the suspension media. Under similar conditions to the hemolysis assay, with the particles added to phosphate buffered saline (PBS) and plasma, the size of the nanoparticles increased compared with particles suspended in water alone due to interaction with chloride ions and plasma proteins. To determine hemolysis response, aqueous particle suspensions were mixed with heparinized human blood diluted in PBS for 3.5 h at 37\u00b0C. Both nanoparticle preparations were significantly more hemolytic than micron-sized particles at equivalent mass concentrations &gt; 220 \u03bcg/ml and at estimated surface area concentrations &gt; 10 cm(2)/ml. The presence or absence of surface citrate on nanoparticles showed no significant difference in hemolysis. However, the aqueous nanoparticle preparations released significantly more silver ions than micron-sized particles, which correlated with increased hemolysis. Although significant size changes occurred to the silver particles due to interaction with media components, the higher level of in vitro hemolysis observed with nanoparticles compared with micron-sized particles may be related to their greater surface area, increased silver ion release, and direct interaction with RBCs.", "author" : [ { "dropping-particle" : "", "family" : "Choi", "given" : "Jonghoon", "non-dropping-particle" : "", "parse-names" : false, "suffix" : "" }, { "dropping-particle" : "", "family" : "Reipa", "given" : "Vytas", "non-dropping-particle" : "", "parse-names" : false, "suffix" : "" }, { "dropping-particle" : "", "family" : "Hitchins", "given" : "Victoria M.", "non-dropping-particle" : "", "parse-names" : false, "suffix" : "" }, { "dropping-particle" : "", "family" : "Goering", "given" : "Peter L.", "non-dropping-particle" : "", "parse-names" : false, "suffix" : "" }, { "dropping-particle" : "", "family" : "Malinauskas", "given" : "Richard A.", "non-dropping-particle" : "", "parse-names" : false, "suffix" : "" } ], "container-title" : "Toxicological Sciences", "id" : "ITEM-1", "issue" : "1", "issued" : { "date-parts" : [ [ "2011" ] ] }, "page" : "133-143", "title" : "Physicochemical Characterization and in vitro hemolysis evaluation of silver nanoparticles", "type" : "article-journal", "volume" : "123" }, "uris" : [ "http://www.mendeley.com/documents/?uuid=696f0a9a-bbff-4f91-83d9-5d791e48db2b" ] } ], "mendeley" : { "formattedCitation" : "(Choi, Reipa, Hitchins, Goering, &amp; Malinauskas, 2011)", "manualFormatting" : "(Choi, 2011)", "plainTextFormattedCitation" : "(Choi, Reipa, Hitchins, Goering, &amp; Malinauskas, 2011)", "previouslyFormattedCitation" : "(Choi, Reipa, Hitchins, Goering, &amp; Malinauskas, 2011)" }, "properties" : { "noteIndex" : 0 }, "schema" : "https://github.com/citation-style-language/schema/raw/master/csl-citation.json" }</w:instrText>
      </w:r>
      <w:r w:rsidRPr="00D33F29">
        <w:rPr>
          <w:rFonts w:cs="Arial"/>
        </w:rPr>
        <w:fldChar w:fldCharType="separate"/>
      </w:r>
      <w:r w:rsidRPr="00D33F29">
        <w:rPr>
          <w:rFonts w:cs="Arial"/>
          <w:noProof/>
        </w:rPr>
        <w:t>(Choi, 2011)</w:t>
      </w:r>
      <w:r w:rsidRPr="00D33F29">
        <w:rPr>
          <w:rFonts w:cs="Arial"/>
        </w:rPr>
        <w:fldChar w:fldCharType="end"/>
      </w:r>
      <w:r w:rsidRPr="00D33F29">
        <w:rPr>
          <w:rFonts w:cs="Arial"/>
        </w:rPr>
        <w:t xml:space="preserve">, </w:t>
      </w:r>
      <w:r w:rsidRPr="00D33F29">
        <w:rPr>
          <w:rFonts w:cs="Arial"/>
        </w:rPr>
        <w:fldChar w:fldCharType="begin" w:fldLock="1"/>
      </w:r>
      <w:r w:rsidR="009B278F">
        <w:rPr>
          <w:rFonts w:cs="Arial"/>
        </w:rPr>
        <w:instrText>ADDIN CSL_CITATION { "citationItems" : [ { "id" : "ITEM-1", "itemData" : { "DOI" : "10.1021/nl0805615.Method", "author" : [ { "dropping-particle" : "", "family" : "Dobrovolskaia et al.", "given" : "", "non-dropping-particle" : "", "parse-names" : false, "suffix" : "" } ], "container-title" : "Nano Letters", "id" : "ITEM-1", "issue" : "8", "issued" : { "date-parts" : [ [ "2008" ] ] }, "page" : "2180-2187", "title" : "Method for Analysis of Nanoparticle Hemolytic Properties In Vitro", "type" : "article-journal", "volume" : "8" }, "uris" : [ "http://www.mendeley.com/documents/?uuid=968bd095-a20a-4735-ad06-1b9ba02cef0b" ] } ], "mendeley" : { "formattedCitation" : "(Dobrovolskaia et al., 2008)", "manualFormatting" : "(Dobrovolskaia, 2008)", "plainTextFormattedCitation" : "(Dobrovolskaia et al., 2008)", "previouslyFormattedCitation" : "(Dobrovolskaia et al., 2008)" }, "properties" : { "noteIndex" : 0 }, "schema" : "https://github.com/citation-style-language/schema/raw/master/csl-citation.json" }</w:instrText>
      </w:r>
      <w:r w:rsidRPr="00D33F29">
        <w:rPr>
          <w:rFonts w:cs="Arial"/>
        </w:rPr>
        <w:fldChar w:fldCharType="separate"/>
      </w:r>
      <w:r w:rsidRPr="00D33F29">
        <w:rPr>
          <w:rFonts w:cs="Arial"/>
          <w:noProof/>
        </w:rPr>
        <w:t>(Dobrovolskaia, 2008)</w:t>
      </w:r>
      <w:r w:rsidRPr="00D33F29">
        <w:rPr>
          <w:rFonts w:cs="Arial"/>
        </w:rPr>
        <w:fldChar w:fldCharType="end"/>
      </w:r>
      <w:r w:rsidRPr="00D33F29">
        <w:rPr>
          <w:rFonts w:cs="Arial"/>
        </w:rPr>
        <w:t xml:space="preserve">. ISO 10993-22 recommends specific attention to the reproducibility, reliability and sensitivity of the methods before arriving at any conclusions regarding the </w:t>
      </w:r>
      <w:r w:rsidR="002A7525">
        <w:rPr>
          <w:rFonts w:cs="Arial"/>
        </w:rPr>
        <w:t xml:space="preserve">blood </w:t>
      </w:r>
      <w:r w:rsidR="002A7525" w:rsidRPr="00D33F29">
        <w:rPr>
          <w:rFonts w:cs="Arial"/>
        </w:rPr>
        <w:t xml:space="preserve">compatibility </w:t>
      </w:r>
      <w:r w:rsidRPr="00D33F29">
        <w:rPr>
          <w:rFonts w:cs="Arial"/>
        </w:rPr>
        <w:t xml:space="preserve">of nano-objects, due to the potential </w:t>
      </w:r>
      <w:r w:rsidRPr="00AD2A7D">
        <w:rPr>
          <w:rFonts w:cs="Arial"/>
          <w:i/>
        </w:rPr>
        <w:t>in vitro</w:t>
      </w:r>
      <w:r w:rsidRPr="00D33F29">
        <w:rPr>
          <w:rFonts w:cs="Arial"/>
        </w:rPr>
        <w:t xml:space="preserve"> tests interferences. </w:t>
      </w:r>
    </w:p>
    <w:p w:rsidR="00F70B52" w:rsidRDefault="00131FB7" w:rsidP="00F70B52">
      <w:pPr>
        <w:jc w:val="both"/>
        <w:rPr>
          <w:lang w:val="en"/>
        </w:rPr>
      </w:pPr>
      <w:r w:rsidRPr="00D33F29">
        <w:rPr>
          <w:rFonts w:cs="Arial"/>
        </w:rPr>
        <w:t>A key for a smooth translation of nanomedicine</w:t>
      </w:r>
      <w:r>
        <w:rPr>
          <w:rFonts w:cs="Arial"/>
        </w:rPr>
        <w:t xml:space="preserve">s into the clinical applications </w:t>
      </w:r>
      <w:r w:rsidR="009F529E">
        <w:rPr>
          <w:rFonts w:cs="Arial"/>
        </w:rPr>
        <w:t xml:space="preserve">is </w:t>
      </w:r>
      <w:r>
        <w:rPr>
          <w:rFonts w:cs="Arial"/>
        </w:rPr>
        <w:t xml:space="preserve">a good understanding of information requirements related to the impact of the nano-specific properties on the quality and safety of the product. </w:t>
      </w:r>
      <w:r w:rsidR="00D33F29" w:rsidRPr="00D33F29">
        <w:rPr>
          <w:rFonts w:cs="Arial"/>
        </w:rPr>
        <w:t>A</w:t>
      </w:r>
      <w:r>
        <w:rPr>
          <w:rFonts w:cs="Arial"/>
        </w:rPr>
        <w:t xml:space="preserve"> robust,</w:t>
      </w:r>
      <w:r w:rsidR="00D33F29" w:rsidRPr="00D33F29">
        <w:rPr>
          <w:rFonts w:cs="Arial"/>
        </w:rPr>
        <w:t xml:space="preserve"> standardized </w:t>
      </w:r>
      <w:r w:rsidR="00D33F29" w:rsidRPr="009B278F">
        <w:rPr>
          <w:rFonts w:cs="Arial"/>
          <w:i/>
        </w:rPr>
        <w:t>in vitro</w:t>
      </w:r>
      <w:r w:rsidR="00D33F29" w:rsidRPr="00D33F29">
        <w:rPr>
          <w:rFonts w:cs="Arial"/>
        </w:rPr>
        <w:t xml:space="preserve"> </w:t>
      </w:r>
      <w:r w:rsidR="002A7525">
        <w:rPr>
          <w:rFonts w:cs="Arial"/>
        </w:rPr>
        <w:t xml:space="preserve">blood </w:t>
      </w:r>
      <w:r w:rsidR="002A7525" w:rsidRPr="00D33F29">
        <w:rPr>
          <w:rFonts w:cs="Arial"/>
        </w:rPr>
        <w:t xml:space="preserve">compatibility </w:t>
      </w:r>
      <w:r w:rsidR="00D33F29" w:rsidRPr="00D33F29">
        <w:rPr>
          <w:rFonts w:cs="Arial"/>
        </w:rPr>
        <w:t>test</w:t>
      </w:r>
      <w:r w:rsidR="00DC3078">
        <w:rPr>
          <w:rFonts w:cs="Arial"/>
        </w:rPr>
        <w:t xml:space="preserve">ing battery can </w:t>
      </w:r>
      <w:r w:rsidR="00D33F29" w:rsidRPr="00D33F29">
        <w:rPr>
          <w:rFonts w:cs="Arial"/>
        </w:rPr>
        <w:t>enable the detection</w:t>
      </w:r>
      <w:r w:rsidR="009F529E">
        <w:rPr>
          <w:rFonts w:cs="Arial"/>
        </w:rPr>
        <w:t>,</w:t>
      </w:r>
      <w:r w:rsidR="00D33F29" w:rsidRPr="00D33F29">
        <w:rPr>
          <w:rFonts w:cs="Arial"/>
        </w:rPr>
        <w:t xml:space="preserve"> and</w:t>
      </w:r>
      <w:r w:rsidR="009F529E">
        <w:rPr>
          <w:rFonts w:cs="Arial"/>
        </w:rPr>
        <w:t xml:space="preserve"> subsequent</w:t>
      </w:r>
      <w:r w:rsidR="00D33F29" w:rsidRPr="00D33F29">
        <w:rPr>
          <w:rFonts w:cs="Arial"/>
        </w:rPr>
        <w:t xml:space="preserve"> elimination of undesired and excessive material-induced blood adverse events at an early stage of nanomedicines development. Special emphasis should be given to the identification of </w:t>
      </w:r>
      <w:r w:rsidR="00D33F29" w:rsidRPr="00D33F29">
        <w:rPr>
          <w:rFonts w:cs="Arial"/>
          <w:i/>
        </w:rPr>
        <w:t>in vitro</w:t>
      </w:r>
      <w:r w:rsidR="00D33F29" w:rsidRPr="00D33F29">
        <w:rPr>
          <w:rFonts w:cs="Arial"/>
        </w:rPr>
        <w:t xml:space="preserve"> tests that have the potential to identify toxic effects triggered by the nano-specific properties of the formulation. </w:t>
      </w:r>
      <w:r w:rsidRPr="00890A53">
        <w:rPr>
          <w:rFonts w:cs="Arial"/>
        </w:rPr>
        <w:t xml:space="preserve">Whilst these assays may not </w:t>
      </w:r>
      <w:r w:rsidR="001A5C8B">
        <w:rPr>
          <w:rFonts w:cs="Arial"/>
        </w:rPr>
        <w:t xml:space="preserve">have </w:t>
      </w:r>
      <w:r w:rsidRPr="00890A53">
        <w:rPr>
          <w:rFonts w:cs="Arial"/>
        </w:rPr>
        <w:t>be</w:t>
      </w:r>
      <w:r w:rsidR="001A5C8B">
        <w:rPr>
          <w:rFonts w:cs="Arial"/>
        </w:rPr>
        <w:t>en</w:t>
      </w:r>
      <w:r w:rsidRPr="00890A53">
        <w:rPr>
          <w:rFonts w:cs="Arial"/>
        </w:rPr>
        <w:t xml:space="preserve"> </w:t>
      </w:r>
      <w:r w:rsidR="001A5C8B">
        <w:rPr>
          <w:rFonts w:cs="Arial"/>
        </w:rPr>
        <w:t>established</w:t>
      </w:r>
      <w:r w:rsidRPr="00890A53">
        <w:rPr>
          <w:rFonts w:cs="Arial"/>
        </w:rPr>
        <w:t xml:space="preserve"> only for nanomedicines, it is important for developers to have a resource of assays that have been demonstrated to work for nanomaterials. The strength of the nanomedicine field is the heterogeneity of the materials that are being produced</w:t>
      </w:r>
      <w:r w:rsidR="009669CA">
        <w:rPr>
          <w:rFonts w:cs="Arial"/>
        </w:rPr>
        <w:t xml:space="preserve"> for this purpose; </w:t>
      </w:r>
      <w:r w:rsidRPr="00890A53">
        <w:rPr>
          <w:rFonts w:cs="Arial"/>
        </w:rPr>
        <w:t xml:space="preserve">however, this makes </w:t>
      </w:r>
      <w:r w:rsidR="001A5C8B">
        <w:rPr>
          <w:rFonts w:cs="Arial"/>
        </w:rPr>
        <w:t xml:space="preserve">their </w:t>
      </w:r>
      <w:r w:rsidRPr="00890A53">
        <w:rPr>
          <w:rFonts w:cs="Arial"/>
        </w:rPr>
        <w:t xml:space="preserve">assessment </w:t>
      </w:r>
      <w:r w:rsidR="001A5C8B">
        <w:rPr>
          <w:rFonts w:cs="Arial"/>
        </w:rPr>
        <w:t xml:space="preserve">particularly </w:t>
      </w:r>
      <w:r w:rsidRPr="00890A53">
        <w:rPr>
          <w:rFonts w:cs="Arial"/>
        </w:rPr>
        <w:t>challenging.</w:t>
      </w:r>
      <w:r w:rsidR="001A5C8B" w:rsidRPr="001A5C8B">
        <w:rPr>
          <w:rFonts w:cs="Arial"/>
        </w:rPr>
        <w:t xml:space="preserve"> </w:t>
      </w:r>
      <w:r w:rsidR="001A5C8B" w:rsidRPr="00890A53">
        <w:rPr>
          <w:rFonts w:cs="Arial"/>
        </w:rPr>
        <w:t xml:space="preserve">A </w:t>
      </w:r>
      <w:r w:rsidR="009F529E">
        <w:rPr>
          <w:rFonts w:cs="Arial"/>
        </w:rPr>
        <w:t>panel</w:t>
      </w:r>
      <w:r w:rsidR="009F529E" w:rsidRPr="00890A53">
        <w:rPr>
          <w:rFonts w:cs="Arial"/>
        </w:rPr>
        <w:t xml:space="preserve"> </w:t>
      </w:r>
      <w:r w:rsidR="001A5C8B" w:rsidRPr="00890A53">
        <w:rPr>
          <w:rFonts w:cs="Arial"/>
        </w:rPr>
        <w:t>of standardised assays will support developers in assess</w:t>
      </w:r>
      <w:r w:rsidR="009F529E">
        <w:rPr>
          <w:rFonts w:cs="Arial"/>
        </w:rPr>
        <w:t>ing</w:t>
      </w:r>
      <w:r w:rsidR="001A5C8B" w:rsidRPr="00890A53">
        <w:rPr>
          <w:rFonts w:cs="Arial"/>
        </w:rPr>
        <w:t xml:space="preserve"> their materials and allow them to determine the </w:t>
      </w:r>
      <w:r w:rsidR="009F529E">
        <w:rPr>
          <w:rFonts w:cs="Arial"/>
        </w:rPr>
        <w:t xml:space="preserve">most </w:t>
      </w:r>
      <w:r w:rsidR="009F529E" w:rsidRPr="00890A53">
        <w:rPr>
          <w:rFonts w:cs="Arial"/>
        </w:rPr>
        <w:t>suitab</w:t>
      </w:r>
      <w:r w:rsidR="009F529E">
        <w:rPr>
          <w:rFonts w:cs="Arial"/>
        </w:rPr>
        <w:t>le</w:t>
      </w:r>
      <w:r w:rsidR="009F529E" w:rsidRPr="00890A53">
        <w:rPr>
          <w:rFonts w:cs="Arial"/>
        </w:rPr>
        <w:t xml:space="preserve"> </w:t>
      </w:r>
      <w:r w:rsidR="001A5C8B" w:rsidRPr="00890A53">
        <w:rPr>
          <w:rFonts w:cs="Arial"/>
        </w:rPr>
        <w:t xml:space="preserve">testing </w:t>
      </w:r>
      <w:r w:rsidR="009F529E">
        <w:rPr>
          <w:rFonts w:cs="Arial"/>
        </w:rPr>
        <w:t>of</w:t>
      </w:r>
      <w:r w:rsidR="001A5C8B" w:rsidRPr="00890A53">
        <w:rPr>
          <w:rFonts w:cs="Arial"/>
        </w:rPr>
        <w:t xml:space="preserve"> their</w:t>
      </w:r>
      <w:r w:rsidR="001A5C8B">
        <w:rPr>
          <w:rFonts w:cs="Arial"/>
        </w:rPr>
        <w:t xml:space="preserve"> </w:t>
      </w:r>
      <w:r w:rsidR="001A5C8B" w:rsidRPr="00890A53">
        <w:rPr>
          <w:rFonts w:cs="Arial"/>
        </w:rPr>
        <w:t>materials</w:t>
      </w:r>
      <w:r w:rsidR="001A5C8B">
        <w:rPr>
          <w:rFonts w:cs="Arial"/>
        </w:rPr>
        <w:t>.</w:t>
      </w:r>
      <w:r w:rsidR="00D94D4B">
        <w:rPr>
          <w:rFonts w:cs="Arial"/>
        </w:rPr>
        <w:t xml:space="preserve"> Furthermore, p</w:t>
      </w:r>
      <w:r w:rsidR="00D33F29" w:rsidRPr="00D33F29">
        <w:rPr>
          <w:rFonts w:cs="Arial"/>
        </w:rPr>
        <w:t xml:space="preserve">redictive </w:t>
      </w:r>
      <w:r w:rsidR="00D33F29" w:rsidRPr="009B278F">
        <w:rPr>
          <w:rFonts w:cs="Arial"/>
          <w:i/>
        </w:rPr>
        <w:t>in vitro</w:t>
      </w:r>
      <w:r w:rsidR="00D33F29" w:rsidRPr="00D33F29">
        <w:rPr>
          <w:rFonts w:cs="Arial"/>
        </w:rPr>
        <w:t xml:space="preserve"> methods can optimize the development of the candidate drugs by reducing the experimental time and costs in </w:t>
      </w:r>
      <w:r w:rsidR="00CB256F">
        <w:rPr>
          <w:rFonts w:cs="Arial"/>
        </w:rPr>
        <w:t>preclinical</w:t>
      </w:r>
      <w:r w:rsidR="00D33F29" w:rsidRPr="00D33F29">
        <w:rPr>
          <w:rFonts w:cs="Arial"/>
        </w:rPr>
        <w:t xml:space="preserve"> development.</w:t>
      </w:r>
      <w:r w:rsidR="00D94D4B">
        <w:rPr>
          <w:rFonts w:cs="Arial"/>
        </w:rPr>
        <w:t xml:space="preserve"> </w:t>
      </w:r>
      <w:r w:rsidR="00F70B52">
        <w:rPr>
          <w:lang w:val="en"/>
        </w:rPr>
        <w:t>T</w:t>
      </w:r>
      <w:r w:rsidR="00F70B52" w:rsidRPr="00DD5653">
        <w:rPr>
          <w:lang w:val="en"/>
        </w:rPr>
        <w:t xml:space="preserve">he preconditions for </w:t>
      </w:r>
      <w:r w:rsidR="00EE7519">
        <w:rPr>
          <w:lang w:val="en"/>
        </w:rPr>
        <w:t>the</w:t>
      </w:r>
      <w:r w:rsidR="00F70B52" w:rsidRPr="00DD5653">
        <w:rPr>
          <w:lang w:val="en"/>
        </w:rPr>
        <w:t xml:space="preserve"> translation of nanomedicines into clinical applications are promising</w:t>
      </w:r>
      <w:r w:rsidR="009F529E">
        <w:rPr>
          <w:lang w:val="en"/>
        </w:rPr>
        <w:t>, as</w:t>
      </w:r>
      <w:r w:rsidR="004A7701">
        <w:rPr>
          <w:lang w:val="en"/>
        </w:rPr>
        <w:t xml:space="preserve"> t</w:t>
      </w:r>
      <w:r w:rsidR="00F70B52" w:rsidRPr="00DD5653">
        <w:rPr>
          <w:lang w:val="en"/>
        </w:rPr>
        <w:t xml:space="preserve">he regulatory community is well aware </w:t>
      </w:r>
      <w:r w:rsidR="009F529E" w:rsidRPr="00DD5653">
        <w:rPr>
          <w:lang w:val="en"/>
        </w:rPr>
        <w:t>o</w:t>
      </w:r>
      <w:r w:rsidR="009F529E">
        <w:rPr>
          <w:lang w:val="en"/>
        </w:rPr>
        <w:t>f</w:t>
      </w:r>
      <w:r w:rsidR="009F529E" w:rsidRPr="00DD5653">
        <w:rPr>
          <w:lang w:val="en"/>
        </w:rPr>
        <w:t xml:space="preserve"> </w:t>
      </w:r>
      <w:r w:rsidR="00F70B52" w:rsidRPr="00DD5653">
        <w:rPr>
          <w:lang w:val="en"/>
        </w:rPr>
        <w:t>upcoming chal</w:t>
      </w:r>
      <w:r w:rsidR="00F70B52">
        <w:rPr>
          <w:lang w:val="en"/>
        </w:rPr>
        <w:t xml:space="preserve">lenges and </w:t>
      </w:r>
      <w:r w:rsidR="004A7701">
        <w:rPr>
          <w:lang w:val="en"/>
        </w:rPr>
        <w:t>several</w:t>
      </w:r>
      <w:r w:rsidR="00F70B52">
        <w:rPr>
          <w:lang w:val="en"/>
        </w:rPr>
        <w:t xml:space="preserve"> </w:t>
      </w:r>
      <w:r w:rsidR="0017471E">
        <w:rPr>
          <w:lang w:val="en"/>
        </w:rPr>
        <w:t xml:space="preserve">international </w:t>
      </w:r>
      <w:r w:rsidR="00F70B52" w:rsidRPr="00DD5653">
        <w:rPr>
          <w:lang w:val="en"/>
        </w:rPr>
        <w:t xml:space="preserve">projects such as the </w:t>
      </w:r>
      <w:r w:rsidR="00F70B52" w:rsidRPr="00EE19CA">
        <w:rPr>
          <w:lang w:val="en"/>
        </w:rPr>
        <w:t>European Nanomedicine Characterisation Laboratory</w:t>
      </w:r>
      <w:r w:rsidR="00F70B52" w:rsidRPr="00DD5653">
        <w:rPr>
          <w:lang w:val="en"/>
        </w:rPr>
        <w:t xml:space="preserve"> </w:t>
      </w:r>
      <w:r w:rsidR="00F70B52">
        <w:rPr>
          <w:lang w:val="en"/>
        </w:rPr>
        <w:t>(</w:t>
      </w:r>
      <w:r w:rsidR="00177773" w:rsidRPr="00AB3FC1">
        <w:rPr>
          <w:lang w:val="en"/>
        </w:rPr>
        <w:t>http://www.euncl.eu/</w:t>
      </w:r>
      <w:r w:rsidR="00F70B52" w:rsidRPr="00DD5653">
        <w:rPr>
          <w:lang w:val="en"/>
        </w:rPr>
        <w:t>)</w:t>
      </w:r>
      <w:r w:rsidR="00177773">
        <w:rPr>
          <w:lang w:val="en"/>
        </w:rPr>
        <w:t>, US Nanomedicine Characterization Laboratory (</w:t>
      </w:r>
      <w:r w:rsidR="00177773" w:rsidRPr="00177773">
        <w:rPr>
          <w:lang w:val="en"/>
        </w:rPr>
        <w:t>https://ncl.cancer.gov/</w:t>
      </w:r>
      <w:r w:rsidR="00177773">
        <w:rPr>
          <w:lang w:val="en"/>
        </w:rPr>
        <w:t>),</w:t>
      </w:r>
      <w:r w:rsidR="00177773" w:rsidRPr="00DD5653">
        <w:rPr>
          <w:lang w:val="en"/>
        </w:rPr>
        <w:t xml:space="preserve"> </w:t>
      </w:r>
      <w:r w:rsidR="00F70B52" w:rsidRPr="00337B4A">
        <w:rPr>
          <w:i/>
          <w:lang w:val="en"/>
        </w:rPr>
        <w:t>REFINE</w:t>
      </w:r>
      <w:r w:rsidR="00F70B52">
        <w:rPr>
          <w:lang w:val="en"/>
        </w:rPr>
        <w:t xml:space="preserve"> </w:t>
      </w:r>
      <w:r w:rsidR="00F70B52" w:rsidRPr="009F41B5">
        <w:rPr>
          <w:lang w:val="en"/>
        </w:rPr>
        <w:t>(</w:t>
      </w:r>
      <w:r w:rsidR="0048624D" w:rsidRPr="00AB3FC1">
        <w:rPr>
          <w:lang w:val="en"/>
        </w:rPr>
        <w:t>http://refine-nanomed.com/</w:t>
      </w:r>
      <w:r w:rsidR="00F70B52" w:rsidRPr="009F41B5">
        <w:rPr>
          <w:lang w:val="en"/>
        </w:rPr>
        <w:t>)</w:t>
      </w:r>
      <w:r w:rsidR="0048624D">
        <w:rPr>
          <w:lang w:val="en"/>
        </w:rPr>
        <w:t>, PATROLS (</w:t>
      </w:r>
      <w:r w:rsidR="0048624D" w:rsidRPr="0048624D">
        <w:rPr>
          <w:lang w:val="en"/>
        </w:rPr>
        <w:t>https://www.patrols-h2020.eu/</w:t>
      </w:r>
      <w:r w:rsidR="0048624D">
        <w:rPr>
          <w:lang w:val="en"/>
        </w:rPr>
        <w:t>)</w:t>
      </w:r>
      <w:r w:rsidR="00F70B52">
        <w:rPr>
          <w:lang w:val="en"/>
        </w:rPr>
        <w:t xml:space="preserve"> and BIORIMA (</w:t>
      </w:r>
      <w:r w:rsidR="00F70B52" w:rsidRPr="00F70B52">
        <w:rPr>
          <w:lang w:val="en"/>
        </w:rPr>
        <w:t>https://www.biorima.eu/</w:t>
      </w:r>
      <w:r w:rsidR="00F70B52">
        <w:rPr>
          <w:lang w:val="en"/>
        </w:rPr>
        <w:t>)</w:t>
      </w:r>
      <w:r w:rsidR="00F70B52" w:rsidRPr="00DD5653">
        <w:rPr>
          <w:lang w:val="en"/>
        </w:rPr>
        <w:t xml:space="preserve"> are currently addressing the need to </w:t>
      </w:r>
      <w:r w:rsidR="00895013">
        <w:rPr>
          <w:lang w:val="en"/>
        </w:rPr>
        <w:t>develop</w:t>
      </w:r>
      <w:r w:rsidR="00895013" w:rsidRPr="00DD5653">
        <w:rPr>
          <w:lang w:val="en"/>
        </w:rPr>
        <w:t xml:space="preserve"> </w:t>
      </w:r>
      <w:r w:rsidR="009669CA" w:rsidRPr="00DD5653">
        <w:rPr>
          <w:lang w:val="en"/>
        </w:rPr>
        <w:t>standardi</w:t>
      </w:r>
      <w:r w:rsidR="009669CA">
        <w:rPr>
          <w:lang w:val="en"/>
        </w:rPr>
        <w:t>s</w:t>
      </w:r>
      <w:r w:rsidR="009669CA" w:rsidRPr="00DD5653">
        <w:rPr>
          <w:lang w:val="en"/>
        </w:rPr>
        <w:t xml:space="preserve">ed </w:t>
      </w:r>
      <w:r w:rsidR="00F70B52" w:rsidRPr="00DD5653">
        <w:rPr>
          <w:lang w:val="en"/>
        </w:rPr>
        <w:t>test methods for the most relevant information requirements available</w:t>
      </w:r>
      <w:r w:rsidR="008A55E4">
        <w:rPr>
          <w:lang w:val="en"/>
        </w:rPr>
        <w:t xml:space="preserve"> </w:t>
      </w:r>
      <w:r w:rsidR="008A55E4">
        <w:t>for nanomaterials safety assessment</w:t>
      </w:r>
      <w:r w:rsidR="00F70B52" w:rsidRPr="00DD5653">
        <w:rPr>
          <w:lang w:val="en"/>
        </w:rPr>
        <w:t>.</w:t>
      </w:r>
    </w:p>
    <w:p w:rsidR="00F70B52" w:rsidRPr="004722B2" w:rsidRDefault="00F70B52" w:rsidP="009B278F">
      <w:pPr>
        <w:jc w:val="both"/>
        <w:rPr>
          <w:rFonts w:cs="Arial"/>
          <w:lang w:val="en"/>
        </w:rPr>
      </w:pPr>
    </w:p>
    <w:p w:rsidR="00D33F29" w:rsidRPr="00D33F29" w:rsidRDefault="00D33F29" w:rsidP="00D33F29">
      <w:pPr>
        <w:spacing w:after="0"/>
        <w:jc w:val="both"/>
        <w:rPr>
          <w:rFonts w:cs="Arial"/>
        </w:rPr>
      </w:pPr>
    </w:p>
    <w:tbl>
      <w:tblPr>
        <w:tblW w:w="10433" w:type="dxa"/>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1417"/>
        <w:gridCol w:w="3686"/>
        <w:gridCol w:w="3118"/>
        <w:gridCol w:w="993"/>
      </w:tblGrid>
      <w:tr w:rsidR="00DF7EAE" w:rsidRPr="00C75910" w:rsidTr="006631B1">
        <w:trPr>
          <w:trHeight w:val="621"/>
        </w:trPr>
        <w:tc>
          <w:tcPr>
            <w:tcW w:w="1219" w:type="dxa"/>
            <w:tcBorders>
              <w:top w:val="single" w:sz="4" w:space="0" w:color="auto"/>
              <w:left w:val="single" w:sz="4" w:space="0" w:color="auto"/>
              <w:bottom w:val="single" w:sz="4" w:space="0" w:color="auto"/>
            </w:tcBorders>
            <w:shd w:val="clear" w:color="auto" w:fill="808080"/>
            <w:vAlign w:val="center"/>
          </w:tcPr>
          <w:p w:rsidR="00DF7EAE" w:rsidRPr="00C75910" w:rsidRDefault="00945BE1" w:rsidP="006631B1">
            <w:pPr>
              <w:spacing w:after="0" w:line="240" w:lineRule="auto"/>
              <w:ind w:left="-108" w:firstLine="108"/>
              <w:jc w:val="center"/>
              <w:rPr>
                <w:rFonts w:cs="Arial"/>
                <w:b/>
                <w:bCs/>
                <w:color w:val="FFFFFF"/>
                <w:szCs w:val="20"/>
                <w:lang w:val="en-US"/>
              </w:rPr>
            </w:pPr>
            <w:r w:rsidRPr="00C75910">
              <w:rPr>
                <w:rFonts w:cs="Arial"/>
              </w:rPr>
              <w:br w:type="page"/>
            </w:r>
            <w:r w:rsidRPr="00C75910">
              <w:rPr>
                <w:rFonts w:cs="Arial"/>
                <w:szCs w:val="20"/>
              </w:rPr>
              <w:br w:type="page"/>
            </w:r>
            <w:r w:rsidR="00DF7EAE" w:rsidRPr="00C75910">
              <w:rPr>
                <w:rFonts w:cs="Arial"/>
                <w:szCs w:val="20"/>
              </w:rPr>
              <w:br w:type="page"/>
            </w:r>
            <w:r w:rsidR="00DF7EAE" w:rsidRPr="00C75910">
              <w:rPr>
                <w:rFonts w:cs="Arial"/>
                <w:b/>
                <w:bCs/>
                <w:color w:val="FFFFFF"/>
                <w:szCs w:val="20"/>
                <w:lang w:val="en-US"/>
              </w:rPr>
              <w:t>Endpoint</w:t>
            </w:r>
          </w:p>
        </w:tc>
        <w:tc>
          <w:tcPr>
            <w:tcW w:w="1417" w:type="dxa"/>
            <w:tcBorders>
              <w:top w:val="single" w:sz="4" w:space="0" w:color="auto"/>
              <w:bottom w:val="single" w:sz="4" w:space="0" w:color="auto"/>
            </w:tcBorders>
            <w:shd w:val="clear" w:color="auto" w:fill="808080"/>
            <w:vAlign w:val="center"/>
            <w:hideMark/>
          </w:tcPr>
          <w:p w:rsidR="00DF7EAE" w:rsidRPr="00C75910" w:rsidRDefault="00DF7EAE" w:rsidP="006631B1">
            <w:pPr>
              <w:spacing w:after="0" w:line="240" w:lineRule="auto"/>
              <w:ind w:left="-108" w:firstLine="108"/>
              <w:jc w:val="center"/>
              <w:rPr>
                <w:rFonts w:cs="Arial"/>
                <w:b/>
                <w:bCs/>
                <w:color w:val="FFFFFF"/>
                <w:szCs w:val="20"/>
                <w:lang w:val="en-US"/>
              </w:rPr>
            </w:pPr>
            <w:r w:rsidRPr="00C75910">
              <w:rPr>
                <w:rFonts w:cs="Arial"/>
                <w:b/>
                <w:bCs/>
                <w:color w:val="FFFFFF"/>
                <w:szCs w:val="20"/>
                <w:lang w:val="en-US"/>
              </w:rPr>
              <w:t>Document code</w:t>
            </w:r>
          </w:p>
        </w:tc>
        <w:tc>
          <w:tcPr>
            <w:tcW w:w="3686" w:type="dxa"/>
            <w:tcBorders>
              <w:top w:val="single" w:sz="4" w:space="0" w:color="auto"/>
              <w:bottom w:val="single" w:sz="4" w:space="0" w:color="auto"/>
            </w:tcBorders>
            <w:shd w:val="clear" w:color="auto" w:fill="808080"/>
            <w:vAlign w:val="center"/>
            <w:hideMark/>
          </w:tcPr>
          <w:p w:rsidR="00DF7EAE" w:rsidRPr="00C75910" w:rsidRDefault="00DF7EAE" w:rsidP="006631B1">
            <w:pPr>
              <w:spacing w:after="0" w:line="240" w:lineRule="auto"/>
              <w:jc w:val="center"/>
              <w:rPr>
                <w:rFonts w:cs="Arial"/>
                <w:b/>
                <w:bCs/>
                <w:color w:val="FFFFFF"/>
                <w:szCs w:val="20"/>
                <w:lang w:val="en-US"/>
              </w:rPr>
            </w:pPr>
            <w:r w:rsidRPr="00C75910">
              <w:rPr>
                <w:rFonts w:cs="Arial"/>
                <w:b/>
                <w:bCs/>
                <w:color w:val="FFFFFF"/>
                <w:szCs w:val="20"/>
                <w:lang w:val="en-US"/>
              </w:rPr>
              <w:t>Title of the document</w:t>
            </w:r>
          </w:p>
        </w:tc>
        <w:tc>
          <w:tcPr>
            <w:tcW w:w="3118" w:type="dxa"/>
            <w:tcBorders>
              <w:top w:val="single" w:sz="4" w:space="0" w:color="auto"/>
              <w:bottom w:val="single" w:sz="4" w:space="0" w:color="auto"/>
            </w:tcBorders>
            <w:shd w:val="clear" w:color="auto" w:fill="808080"/>
            <w:vAlign w:val="center"/>
          </w:tcPr>
          <w:p w:rsidR="00DF7EAE" w:rsidRPr="00C75910" w:rsidRDefault="00DF7EAE" w:rsidP="006631B1">
            <w:pPr>
              <w:spacing w:after="0" w:line="240" w:lineRule="auto"/>
              <w:jc w:val="center"/>
              <w:rPr>
                <w:rFonts w:cs="Arial"/>
                <w:b/>
                <w:bCs/>
                <w:color w:val="FFFFFF"/>
                <w:szCs w:val="20"/>
                <w:lang w:val="en-US"/>
              </w:rPr>
            </w:pPr>
            <w:r w:rsidRPr="00C75910">
              <w:rPr>
                <w:rFonts w:cs="Arial"/>
                <w:b/>
                <w:bCs/>
                <w:color w:val="FFFFFF"/>
                <w:szCs w:val="20"/>
                <w:lang w:val="en-US"/>
              </w:rPr>
              <w:t>Method</w:t>
            </w:r>
          </w:p>
        </w:tc>
        <w:tc>
          <w:tcPr>
            <w:tcW w:w="993" w:type="dxa"/>
            <w:tcBorders>
              <w:top w:val="single" w:sz="4" w:space="0" w:color="auto"/>
              <w:bottom w:val="single" w:sz="4" w:space="0" w:color="auto"/>
              <w:right w:val="single" w:sz="4" w:space="0" w:color="auto"/>
            </w:tcBorders>
            <w:shd w:val="clear" w:color="auto" w:fill="808080"/>
            <w:vAlign w:val="center"/>
            <w:hideMark/>
          </w:tcPr>
          <w:p w:rsidR="00DF7EAE" w:rsidRPr="00C75910" w:rsidRDefault="00DF7EAE" w:rsidP="006631B1">
            <w:pPr>
              <w:spacing w:after="0" w:line="240" w:lineRule="auto"/>
              <w:jc w:val="center"/>
              <w:rPr>
                <w:rFonts w:cs="Arial"/>
                <w:b/>
                <w:bCs/>
                <w:i/>
                <w:color w:val="FFFFFF"/>
                <w:szCs w:val="20"/>
                <w:lang w:val="en-US"/>
              </w:rPr>
            </w:pPr>
            <w:r w:rsidRPr="00C75910">
              <w:rPr>
                <w:rFonts w:cs="Arial"/>
                <w:b/>
                <w:bCs/>
                <w:i/>
                <w:color w:val="FFFFFF"/>
                <w:szCs w:val="20"/>
                <w:lang w:val="en-US"/>
              </w:rPr>
              <w:t>In vivo / in vitro</w:t>
            </w:r>
          </w:p>
        </w:tc>
      </w:tr>
      <w:tr w:rsidR="00DF7EAE" w:rsidRPr="00C75910" w:rsidTr="000623F4">
        <w:trPr>
          <w:trHeight w:val="838"/>
        </w:trPr>
        <w:tc>
          <w:tcPr>
            <w:tcW w:w="1219" w:type="dxa"/>
            <w:vMerge w:val="restart"/>
            <w:tcBorders>
              <w:top w:val="single" w:sz="4" w:space="0" w:color="auto"/>
              <w:left w:val="single" w:sz="4" w:space="0" w:color="auto"/>
            </w:tcBorders>
            <w:shd w:val="clear" w:color="auto" w:fill="F5903D"/>
            <w:textDirection w:val="btLr"/>
            <w:vAlign w:val="center"/>
          </w:tcPr>
          <w:p w:rsidR="00DF7EAE" w:rsidRPr="00C75910" w:rsidRDefault="00DF7EAE" w:rsidP="00C9690A">
            <w:pPr>
              <w:spacing w:after="0" w:line="240" w:lineRule="auto"/>
              <w:ind w:left="113" w:right="113"/>
              <w:jc w:val="center"/>
              <w:rPr>
                <w:rFonts w:cs="Arial"/>
                <w:b/>
                <w:bCs/>
                <w:szCs w:val="20"/>
              </w:rPr>
            </w:pPr>
            <w:r w:rsidRPr="00C75910">
              <w:rPr>
                <w:rFonts w:cs="Arial"/>
                <w:b/>
                <w:bCs/>
                <w:szCs w:val="20"/>
              </w:rPr>
              <w:t>Haematology</w:t>
            </w:r>
          </w:p>
        </w:tc>
        <w:tc>
          <w:tcPr>
            <w:tcW w:w="1417" w:type="dxa"/>
            <w:tcBorders>
              <w:top w:val="single" w:sz="4" w:space="0" w:color="auto"/>
            </w:tcBorders>
            <w:shd w:val="clear" w:color="auto" w:fill="auto"/>
            <w:vAlign w:val="center"/>
          </w:tcPr>
          <w:p w:rsidR="00DF7EAE" w:rsidRPr="00C75910" w:rsidRDefault="000623F4" w:rsidP="000623F4">
            <w:pPr>
              <w:spacing w:after="0" w:line="240" w:lineRule="auto"/>
              <w:jc w:val="center"/>
              <w:rPr>
                <w:rFonts w:cs="Arial"/>
                <w:bCs/>
                <w:sz w:val="20"/>
                <w:szCs w:val="20"/>
              </w:rPr>
            </w:pPr>
            <w:r w:rsidRPr="000623F4">
              <w:rPr>
                <w:rFonts w:cs="Arial"/>
                <w:b/>
                <w:bCs/>
                <w:sz w:val="20"/>
                <w:szCs w:val="20"/>
              </w:rPr>
              <w:t>CPMP/SWP/1042/99 Rev 1 Corr</w:t>
            </w:r>
          </w:p>
        </w:tc>
        <w:tc>
          <w:tcPr>
            <w:tcW w:w="3686" w:type="dxa"/>
            <w:tcBorders>
              <w:top w:val="single" w:sz="4" w:space="0" w:color="auto"/>
            </w:tcBorders>
            <w:shd w:val="clear" w:color="auto" w:fill="auto"/>
            <w:vAlign w:val="center"/>
          </w:tcPr>
          <w:p w:rsidR="00DF7EAE" w:rsidRPr="00C75910" w:rsidRDefault="000623F4" w:rsidP="006631B1">
            <w:pPr>
              <w:autoSpaceDE w:val="0"/>
              <w:autoSpaceDN w:val="0"/>
              <w:adjustRightInd w:val="0"/>
              <w:spacing w:after="0" w:line="240" w:lineRule="auto"/>
              <w:rPr>
                <w:rFonts w:cs="Arial"/>
                <w:bCs/>
                <w:color w:val="008000"/>
                <w:sz w:val="20"/>
                <w:szCs w:val="20"/>
              </w:rPr>
            </w:pPr>
            <w:r>
              <w:rPr>
                <w:rFonts w:cs="Arial"/>
                <w:bCs/>
                <w:sz w:val="20"/>
                <w:szCs w:val="20"/>
              </w:rPr>
              <w:t>G</w:t>
            </w:r>
            <w:r w:rsidR="00DF7EAE" w:rsidRPr="00C75910">
              <w:rPr>
                <w:rFonts w:cs="Arial"/>
                <w:bCs/>
                <w:sz w:val="20"/>
                <w:szCs w:val="20"/>
              </w:rPr>
              <w:t>uideline on repeated dose toxicity</w:t>
            </w:r>
          </w:p>
        </w:tc>
        <w:tc>
          <w:tcPr>
            <w:tcW w:w="3118" w:type="dxa"/>
            <w:tcBorders>
              <w:top w:val="single" w:sz="4" w:space="0" w:color="auto"/>
            </w:tcBorders>
            <w:shd w:val="clear" w:color="auto" w:fill="auto"/>
            <w:vAlign w:val="center"/>
          </w:tcPr>
          <w:p w:rsidR="00DF7EAE" w:rsidRPr="00C75910" w:rsidRDefault="00DF7EAE" w:rsidP="00546880">
            <w:pPr>
              <w:numPr>
                <w:ilvl w:val="0"/>
                <w:numId w:val="1"/>
              </w:numPr>
              <w:spacing w:after="0" w:line="240" w:lineRule="auto"/>
              <w:ind w:left="176" w:hanging="176"/>
              <w:contextualSpacing/>
              <w:rPr>
                <w:rFonts w:cs="Arial"/>
                <w:bCs/>
                <w:sz w:val="20"/>
                <w:szCs w:val="20"/>
              </w:rPr>
            </w:pPr>
            <w:r w:rsidRPr="00C75910">
              <w:rPr>
                <w:rFonts w:cs="Arial"/>
                <w:bCs/>
                <w:sz w:val="20"/>
                <w:szCs w:val="20"/>
              </w:rPr>
              <w:t>Complete blood count</w:t>
            </w:r>
          </w:p>
          <w:p w:rsidR="00DF7EAE" w:rsidRPr="00C75910" w:rsidRDefault="00DF7EAE" w:rsidP="00546880">
            <w:pPr>
              <w:numPr>
                <w:ilvl w:val="0"/>
                <w:numId w:val="1"/>
              </w:numPr>
              <w:spacing w:after="0" w:line="240" w:lineRule="auto"/>
              <w:ind w:left="176" w:hanging="176"/>
              <w:contextualSpacing/>
              <w:rPr>
                <w:rFonts w:cs="Arial"/>
                <w:bCs/>
                <w:sz w:val="20"/>
                <w:szCs w:val="20"/>
              </w:rPr>
            </w:pPr>
            <w:r w:rsidRPr="00C75910">
              <w:rPr>
                <w:rFonts w:cs="Arial"/>
                <w:bCs/>
                <w:sz w:val="20"/>
                <w:szCs w:val="20"/>
              </w:rPr>
              <w:t>Evaluation of RBC morphology</w:t>
            </w:r>
          </w:p>
          <w:p w:rsidR="00DF7EAE" w:rsidRPr="00C75910" w:rsidRDefault="00DF7EAE" w:rsidP="00546880">
            <w:pPr>
              <w:numPr>
                <w:ilvl w:val="0"/>
                <w:numId w:val="1"/>
              </w:numPr>
              <w:spacing w:after="0" w:line="240" w:lineRule="auto"/>
              <w:ind w:left="176" w:hanging="176"/>
              <w:contextualSpacing/>
              <w:rPr>
                <w:rFonts w:cs="Arial"/>
                <w:bCs/>
                <w:sz w:val="20"/>
                <w:szCs w:val="20"/>
              </w:rPr>
            </w:pPr>
            <w:r w:rsidRPr="00C75910">
              <w:rPr>
                <w:rFonts w:cs="Arial"/>
                <w:bCs/>
                <w:sz w:val="20"/>
                <w:szCs w:val="20"/>
              </w:rPr>
              <w:t>Haemoglobin concentration</w:t>
            </w:r>
          </w:p>
          <w:p w:rsidR="00DF7EAE" w:rsidRPr="00C75910" w:rsidRDefault="00DF7EAE" w:rsidP="00546880">
            <w:pPr>
              <w:numPr>
                <w:ilvl w:val="0"/>
                <w:numId w:val="1"/>
              </w:numPr>
              <w:spacing w:after="0" w:line="240" w:lineRule="auto"/>
              <w:ind w:left="176" w:hanging="176"/>
              <w:contextualSpacing/>
              <w:rPr>
                <w:rFonts w:cs="Arial"/>
                <w:bCs/>
                <w:sz w:val="20"/>
                <w:szCs w:val="20"/>
              </w:rPr>
            </w:pPr>
            <w:r w:rsidRPr="00C75910">
              <w:rPr>
                <w:rFonts w:cs="Arial"/>
                <w:bCs/>
                <w:sz w:val="20"/>
                <w:szCs w:val="20"/>
              </w:rPr>
              <w:t>Haematocrit</w:t>
            </w:r>
          </w:p>
        </w:tc>
        <w:tc>
          <w:tcPr>
            <w:tcW w:w="993" w:type="dxa"/>
            <w:tcBorders>
              <w:top w:val="single" w:sz="4" w:space="0" w:color="auto"/>
              <w:right w:val="single" w:sz="4" w:space="0" w:color="auto"/>
            </w:tcBorders>
            <w:shd w:val="clear" w:color="auto" w:fill="auto"/>
            <w:vAlign w:val="center"/>
          </w:tcPr>
          <w:p w:rsidR="00DF7EAE" w:rsidRPr="00C75910" w:rsidRDefault="00DF7EAE" w:rsidP="006631B1">
            <w:pPr>
              <w:spacing w:after="0" w:line="240" w:lineRule="auto"/>
              <w:rPr>
                <w:rFonts w:cs="Arial"/>
                <w:bCs/>
                <w:i/>
                <w:sz w:val="20"/>
                <w:szCs w:val="20"/>
              </w:rPr>
            </w:pPr>
            <w:r w:rsidRPr="00C75910">
              <w:rPr>
                <w:rFonts w:cs="Arial"/>
                <w:bCs/>
                <w:i/>
                <w:sz w:val="20"/>
                <w:szCs w:val="20"/>
              </w:rPr>
              <w:t>In vivo</w:t>
            </w:r>
          </w:p>
        </w:tc>
      </w:tr>
      <w:tr w:rsidR="00DF7EAE" w:rsidRPr="00C75910" w:rsidTr="00DF7EAE">
        <w:trPr>
          <w:trHeight w:val="724"/>
        </w:trPr>
        <w:tc>
          <w:tcPr>
            <w:tcW w:w="1219" w:type="dxa"/>
            <w:vMerge/>
            <w:tcBorders>
              <w:left w:val="single" w:sz="4" w:space="0" w:color="auto"/>
            </w:tcBorders>
            <w:shd w:val="clear" w:color="auto" w:fill="F5903D"/>
          </w:tcPr>
          <w:p w:rsidR="00DF7EAE" w:rsidRPr="00C75910" w:rsidRDefault="00DF7EAE" w:rsidP="006631B1">
            <w:pPr>
              <w:spacing w:after="0" w:line="240" w:lineRule="auto"/>
              <w:jc w:val="both"/>
              <w:rPr>
                <w:rFonts w:cs="Arial"/>
                <w:b/>
                <w:bCs/>
                <w:szCs w:val="20"/>
              </w:rPr>
            </w:pPr>
          </w:p>
        </w:tc>
        <w:tc>
          <w:tcPr>
            <w:tcW w:w="1417" w:type="dxa"/>
            <w:shd w:val="clear" w:color="auto" w:fill="auto"/>
            <w:vAlign w:val="center"/>
          </w:tcPr>
          <w:p w:rsidR="00DF7EAE" w:rsidRPr="00C75910" w:rsidRDefault="00DF7EAE" w:rsidP="006631B1">
            <w:pPr>
              <w:spacing w:after="0" w:line="240" w:lineRule="auto"/>
              <w:jc w:val="center"/>
              <w:rPr>
                <w:rFonts w:cs="Arial"/>
                <w:b/>
                <w:bCs/>
                <w:sz w:val="20"/>
                <w:szCs w:val="20"/>
              </w:rPr>
            </w:pPr>
            <w:r w:rsidRPr="00C75910">
              <w:rPr>
                <w:rFonts w:cs="Arial"/>
                <w:b/>
                <w:bCs/>
                <w:sz w:val="20"/>
                <w:szCs w:val="20"/>
              </w:rPr>
              <w:t>ICH M3(R2)</w:t>
            </w:r>
          </w:p>
        </w:tc>
        <w:tc>
          <w:tcPr>
            <w:tcW w:w="3686" w:type="dxa"/>
            <w:shd w:val="clear" w:color="auto" w:fill="auto"/>
            <w:vAlign w:val="center"/>
          </w:tcPr>
          <w:p w:rsidR="00DF7EAE" w:rsidRPr="00C75910" w:rsidRDefault="00DF7EAE" w:rsidP="006631B1">
            <w:pPr>
              <w:autoSpaceDE w:val="0"/>
              <w:autoSpaceDN w:val="0"/>
              <w:adjustRightInd w:val="0"/>
              <w:spacing w:after="0" w:line="240" w:lineRule="auto"/>
              <w:rPr>
                <w:rFonts w:cs="Arial"/>
                <w:bCs/>
                <w:sz w:val="20"/>
                <w:szCs w:val="20"/>
              </w:rPr>
            </w:pPr>
            <w:r w:rsidRPr="00C75910">
              <w:rPr>
                <w:rFonts w:cs="Arial"/>
                <w:bCs/>
                <w:sz w:val="20"/>
                <w:szCs w:val="20"/>
              </w:rPr>
              <w:t>Guidance on nonclinical safety studies for the conduct of human clinical trials and marketing authorization for pharmaceuticals</w:t>
            </w:r>
          </w:p>
        </w:tc>
        <w:tc>
          <w:tcPr>
            <w:tcW w:w="3118" w:type="dxa"/>
            <w:shd w:val="clear" w:color="auto" w:fill="auto"/>
            <w:vAlign w:val="center"/>
          </w:tcPr>
          <w:p w:rsidR="00DF7EAE" w:rsidRPr="00C75910" w:rsidRDefault="00DF7EAE" w:rsidP="00546880">
            <w:pPr>
              <w:numPr>
                <w:ilvl w:val="0"/>
                <w:numId w:val="1"/>
              </w:numPr>
              <w:spacing w:after="0" w:line="240" w:lineRule="auto"/>
              <w:ind w:left="176" w:hanging="176"/>
              <w:contextualSpacing/>
              <w:rPr>
                <w:rFonts w:cs="Arial"/>
                <w:bCs/>
                <w:sz w:val="20"/>
                <w:szCs w:val="20"/>
              </w:rPr>
            </w:pPr>
            <w:r w:rsidRPr="00C75910">
              <w:rPr>
                <w:rFonts w:cs="Arial"/>
                <w:bCs/>
                <w:sz w:val="20"/>
                <w:szCs w:val="20"/>
              </w:rPr>
              <w:t>Complete blood count</w:t>
            </w:r>
          </w:p>
          <w:p w:rsidR="00DF7EAE" w:rsidRPr="00C75910" w:rsidRDefault="00DF7EAE" w:rsidP="006631B1">
            <w:pPr>
              <w:spacing w:after="0" w:line="240" w:lineRule="auto"/>
              <w:contextualSpacing/>
              <w:rPr>
                <w:rFonts w:cs="Arial"/>
                <w:bCs/>
                <w:sz w:val="20"/>
                <w:szCs w:val="20"/>
              </w:rPr>
            </w:pPr>
          </w:p>
        </w:tc>
        <w:tc>
          <w:tcPr>
            <w:tcW w:w="993" w:type="dxa"/>
            <w:tcBorders>
              <w:right w:val="single" w:sz="4" w:space="0" w:color="auto"/>
            </w:tcBorders>
            <w:shd w:val="clear" w:color="auto" w:fill="auto"/>
            <w:vAlign w:val="center"/>
          </w:tcPr>
          <w:p w:rsidR="00DF7EAE" w:rsidRPr="00C75910" w:rsidRDefault="00DF7EAE" w:rsidP="006631B1">
            <w:pPr>
              <w:spacing w:after="0" w:line="240" w:lineRule="auto"/>
              <w:rPr>
                <w:rFonts w:cs="Arial"/>
                <w:bCs/>
                <w:i/>
                <w:sz w:val="20"/>
                <w:szCs w:val="20"/>
              </w:rPr>
            </w:pPr>
            <w:r w:rsidRPr="00C75910">
              <w:rPr>
                <w:rFonts w:cs="Arial"/>
                <w:bCs/>
                <w:i/>
                <w:sz w:val="20"/>
                <w:szCs w:val="20"/>
              </w:rPr>
              <w:t>In vivo</w:t>
            </w:r>
          </w:p>
        </w:tc>
      </w:tr>
      <w:tr w:rsidR="00DF7EAE" w:rsidRPr="00C75910" w:rsidTr="00DF7EAE">
        <w:trPr>
          <w:trHeight w:val="441"/>
        </w:trPr>
        <w:tc>
          <w:tcPr>
            <w:tcW w:w="1219" w:type="dxa"/>
            <w:vMerge/>
            <w:tcBorders>
              <w:left w:val="single" w:sz="4" w:space="0" w:color="auto"/>
            </w:tcBorders>
            <w:shd w:val="clear" w:color="auto" w:fill="F5903D"/>
          </w:tcPr>
          <w:p w:rsidR="00DF7EAE" w:rsidRPr="00C75910" w:rsidRDefault="00DF7EAE" w:rsidP="006631B1">
            <w:pPr>
              <w:spacing w:after="0" w:line="240" w:lineRule="auto"/>
              <w:jc w:val="both"/>
              <w:rPr>
                <w:rFonts w:cs="Arial"/>
                <w:b/>
                <w:bCs/>
                <w:szCs w:val="20"/>
              </w:rPr>
            </w:pPr>
          </w:p>
        </w:tc>
        <w:tc>
          <w:tcPr>
            <w:tcW w:w="1417" w:type="dxa"/>
            <w:shd w:val="clear" w:color="auto" w:fill="auto"/>
            <w:vAlign w:val="center"/>
          </w:tcPr>
          <w:p w:rsidR="00DF7EAE" w:rsidRPr="00C75910" w:rsidRDefault="00DF7EAE" w:rsidP="006631B1">
            <w:pPr>
              <w:spacing w:after="0" w:line="240" w:lineRule="auto"/>
              <w:jc w:val="center"/>
              <w:rPr>
                <w:rFonts w:cs="Arial"/>
                <w:b/>
                <w:bCs/>
                <w:sz w:val="20"/>
                <w:szCs w:val="20"/>
              </w:rPr>
            </w:pPr>
            <w:r w:rsidRPr="00C75910">
              <w:rPr>
                <w:rFonts w:cs="Arial"/>
                <w:b/>
                <w:bCs/>
                <w:sz w:val="20"/>
                <w:szCs w:val="20"/>
              </w:rPr>
              <w:t>ICH-S8</w:t>
            </w:r>
          </w:p>
        </w:tc>
        <w:tc>
          <w:tcPr>
            <w:tcW w:w="3686" w:type="dxa"/>
            <w:shd w:val="clear" w:color="auto" w:fill="auto"/>
            <w:vAlign w:val="center"/>
          </w:tcPr>
          <w:p w:rsidR="00DF7EAE" w:rsidRPr="00C75910" w:rsidRDefault="00DF7EAE" w:rsidP="006631B1">
            <w:pPr>
              <w:autoSpaceDE w:val="0"/>
              <w:autoSpaceDN w:val="0"/>
              <w:adjustRightInd w:val="0"/>
              <w:spacing w:after="0" w:line="240" w:lineRule="auto"/>
              <w:rPr>
                <w:rFonts w:cs="Arial"/>
                <w:bCs/>
                <w:sz w:val="20"/>
                <w:szCs w:val="20"/>
              </w:rPr>
            </w:pPr>
            <w:r w:rsidRPr="00C75910">
              <w:rPr>
                <w:rFonts w:cs="Arial"/>
                <w:bCs/>
                <w:sz w:val="20"/>
                <w:szCs w:val="20"/>
              </w:rPr>
              <w:t>Immunotoxicity studies for human pharmaceuticals S8</w:t>
            </w:r>
          </w:p>
        </w:tc>
        <w:tc>
          <w:tcPr>
            <w:tcW w:w="3118" w:type="dxa"/>
            <w:shd w:val="clear" w:color="auto" w:fill="auto"/>
            <w:vAlign w:val="center"/>
          </w:tcPr>
          <w:p w:rsidR="00DF7EAE" w:rsidRPr="00C75910" w:rsidRDefault="00DF7EAE" w:rsidP="00546880">
            <w:pPr>
              <w:numPr>
                <w:ilvl w:val="0"/>
                <w:numId w:val="1"/>
              </w:numPr>
              <w:spacing w:after="0" w:line="240" w:lineRule="auto"/>
              <w:ind w:left="176" w:hanging="176"/>
              <w:contextualSpacing/>
              <w:rPr>
                <w:rFonts w:cs="Arial"/>
                <w:bCs/>
                <w:sz w:val="20"/>
                <w:szCs w:val="20"/>
              </w:rPr>
            </w:pPr>
            <w:r w:rsidRPr="00C75910">
              <w:rPr>
                <w:rFonts w:cs="Arial"/>
                <w:bCs/>
                <w:sz w:val="20"/>
                <w:szCs w:val="20"/>
              </w:rPr>
              <w:t>Haematological changes (total and absolute differential leukocytes counts)</w:t>
            </w:r>
          </w:p>
        </w:tc>
        <w:tc>
          <w:tcPr>
            <w:tcW w:w="993" w:type="dxa"/>
            <w:tcBorders>
              <w:right w:val="single" w:sz="4" w:space="0" w:color="auto"/>
            </w:tcBorders>
            <w:shd w:val="clear" w:color="auto" w:fill="auto"/>
            <w:vAlign w:val="center"/>
          </w:tcPr>
          <w:p w:rsidR="00DF7EAE" w:rsidRPr="00C75910" w:rsidRDefault="00DF7EAE" w:rsidP="006631B1">
            <w:pPr>
              <w:spacing w:after="0" w:line="240" w:lineRule="auto"/>
              <w:rPr>
                <w:rFonts w:cs="Arial"/>
                <w:bCs/>
                <w:i/>
                <w:sz w:val="20"/>
                <w:szCs w:val="20"/>
              </w:rPr>
            </w:pPr>
            <w:r w:rsidRPr="00C75910">
              <w:rPr>
                <w:rFonts w:cs="Arial"/>
                <w:bCs/>
                <w:i/>
                <w:sz w:val="20"/>
                <w:szCs w:val="20"/>
              </w:rPr>
              <w:t>In vivo</w:t>
            </w:r>
          </w:p>
        </w:tc>
      </w:tr>
      <w:tr w:rsidR="00DF7EAE" w:rsidRPr="00C75910" w:rsidTr="00DF7EAE">
        <w:trPr>
          <w:trHeight w:val="307"/>
        </w:trPr>
        <w:tc>
          <w:tcPr>
            <w:tcW w:w="1219" w:type="dxa"/>
            <w:vMerge/>
            <w:tcBorders>
              <w:left w:val="single" w:sz="4" w:space="0" w:color="auto"/>
            </w:tcBorders>
            <w:shd w:val="clear" w:color="auto" w:fill="F5903D"/>
          </w:tcPr>
          <w:p w:rsidR="00DF7EAE" w:rsidRPr="00C75910" w:rsidRDefault="00DF7EAE" w:rsidP="006631B1">
            <w:pPr>
              <w:spacing w:after="0" w:line="240" w:lineRule="auto"/>
              <w:jc w:val="both"/>
              <w:rPr>
                <w:rFonts w:cs="Arial"/>
                <w:b/>
                <w:bCs/>
                <w:szCs w:val="20"/>
              </w:rPr>
            </w:pPr>
          </w:p>
        </w:tc>
        <w:tc>
          <w:tcPr>
            <w:tcW w:w="1417" w:type="dxa"/>
            <w:vMerge w:val="restart"/>
            <w:shd w:val="clear" w:color="auto" w:fill="FFFFFF"/>
            <w:vAlign w:val="center"/>
          </w:tcPr>
          <w:p w:rsidR="00DF7EAE" w:rsidRPr="00C75910" w:rsidRDefault="00DF7EAE" w:rsidP="006631B1">
            <w:pPr>
              <w:spacing w:after="0" w:line="240" w:lineRule="auto"/>
              <w:jc w:val="center"/>
              <w:rPr>
                <w:rFonts w:cs="Arial"/>
                <w:b/>
                <w:bCs/>
                <w:sz w:val="20"/>
                <w:szCs w:val="20"/>
              </w:rPr>
            </w:pPr>
            <w:r w:rsidRPr="00C75910">
              <w:rPr>
                <w:rFonts w:cs="Arial"/>
                <w:b/>
                <w:bCs/>
                <w:sz w:val="20"/>
                <w:szCs w:val="20"/>
              </w:rPr>
              <w:t>ISO 10993-4</w:t>
            </w:r>
          </w:p>
        </w:tc>
        <w:tc>
          <w:tcPr>
            <w:tcW w:w="3686" w:type="dxa"/>
            <w:vMerge w:val="restart"/>
            <w:shd w:val="clear" w:color="auto" w:fill="FFFFFF"/>
            <w:vAlign w:val="center"/>
          </w:tcPr>
          <w:p w:rsidR="00DF7EAE" w:rsidRPr="00C75910" w:rsidRDefault="00DF7EAE" w:rsidP="006631B1">
            <w:pPr>
              <w:autoSpaceDE w:val="0"/>
              <w:autoSpaceDN w:val="0"/>
              <w:adjustRightInd w:val="0"/>
              <w:spacing w:after="0" w:line="240" w:lineRule="auto"/>
              <w:rPr>
                <w:rFonts w:cs="Arial"/>
                <w:bCs/>
                <w:sz w:val="20"/>
                <w:szCs w:val="20"/>
              </w:rPr>
            </w:pPr>
            <w:r w:rsidRPr="00C75910">
              <w:rPr>
                <w:rFonts w:cs="Arial"/>
                <w:bCs/>
                <w:sz w:val="20"/>
                <w:szCs w:val="20"/>
              </w:rPr>
              <w:t xml:space="preserve">Biological evaluation of medical devices – </w:t>
            </w:r>
            <w:r w:rsidRPr="00C75910">
              <w:rPr>
                <w:rFonts w:cs="Arial"/>
                <w:sz w:val="20"/>
                <w:szCs w:val="20"/>
              </w:rPr>
              <w:t xml:space="preserve">Part 4: </w:t>
            </w:r>
            <w:r w:rsidRPr="00C75910">
              <w:rPr>
                <w:rFonts w:cs="Arial"/>
                <w:bCs/>
                <w:sz w:val="20"/>
                <w:szCs w:val="20"/>
              </w:rPr>
              <w:t>Selection of tests for interaction with blood</w:t>
            </w:r>
          </w:p>
        </w:tc>
        <w:tc>
          <w:tcPr>
            <w:tcW w:w="3118" w:type="dxa"/>
            <w:tcBorders>
              <w:bottom w:val="single" w:sz="4" w:space="0" w:color="auto"/>
            </w:tcBorders>
            <w:shd w:val="clear" w:color="auto" w:fill="FFFFFF"/>
            <w:vAlign w:val="center"/>
          </w:tcPr>
          <w:p w:rsidR="00DF7EAE" w:rsidRPr="00C75910" w:rsidRDefault="00DF7EAE" w:rsidP="00546880">
            <w:pPr>
              <w:numPr>
                <w:ilvl w:val="0"/>
                <w:numId w:val="1"/>
              </w:numPr>
              <w:spacing w:after="0" w:line="240" w:lineRule="auto"/>
              <w:ind w:left="176" w:hanging="176"/>
              <w:contextualSpacing/>
              <w:rPr>
                <w:rFonts w:cs="Arial"/>
                <w:bCs/>
                <w:sz w:val="20"/>
                <w:szCs w:val="20"/>
              </w:rPr>
            </w:pPr>
            <w:r w:rsidRPr="00C75910">
              <w:rPr>
                <w:rFonts w:cs="Arial"/>
                <w:bCs/>
                <w:sz w:val="20"/>
                <w:szCs w:val="20"/>
              </w:rPr>
              <w:t>Complete blood co</w:t>
            </w:r>
            <w:r w:rsidRPr="00C75910">
              <w:rPr>
                <w:rFonts w:cs="Arial"/>
                <w:bCs/>
                <w:color w:val="000000"/>
                <w:sz w:val="20"/>
                <w:szCs w:val="20"/>
              </w:rPr>
              <w:t>unt</w:t>
            </w:r>
          </w:p>
        </w:tc>
        <w:tc>
          <w:tcPr>
            <w:tcW w:w="993" w:type="dxa"/>
            <w:tcBorders>
              <w:bottom w:val="single" w:sz="4" w:space="0" w:color="auto"/>
              <w:right w:val="single" w:sz="4" w:space="0" w:color="auto"/>
            </w:tcBorders>
            <w:shd w:val="clear" w:color="auto" w:fill="FFFFFF"/>
            <w:vAlign w:val="center"/>
          </w:tcPr>
          <w:p w:rsidR="00DF7EAE" w:rsidRPr="00C75910" w:rsidRDefault="00DF7EAE" w:rsidP="006631B1">
            <w:pPr>
              <w:spacing w:after="0" w:line="240" w:lineRule="auto"/>
              <w:rPr>
                <w:rFonts w:cs="Arial"/>
                <w:bCs/>
                <w:i/>
                <w:sz w:val="20"/>
                <w:szCs w:val="20"/>
              </w:rPr>
            </w:pPr>
            <w:r w:rsidRPr="00C75910">
              <w:rPr>
                <w:rFonts w:cs="Arial"/>
                <w:bCs/>
                <w:i/>
                <w:sz w:val="20"/>
                <w:szCs w:val="20"/>
              </w:rPr>
              <w:t>In vivo</w:t>
            </w:r>
          </w:p>
        </w:tc>
      </w:tr>
      <w:tr w:rsidR="00DF7EAE" w:rsidRPr="00C75910" w:rsidTr="00DF7EAE">
        <w:trPr>
          <w:trHeight w:val="410"/>
        </w:trPr>
        <w:tc>
          <w:tcPr>
            <w:tcW w:w="1219" w:type="dxa"/>
            <w:vMerge/>
            <w:tcBorders>
              <w:left w:val="single" w:sz="4" w:space="0" w:color="auto"/>
            </w:tcBorders>
            <w:shd w:val="clear" w:color="auto" w:fill="F5903D"/>
          </w:tcPr>
          <w:p w:rsidR="00DF7EAE" w:rsidRPr="00C75910" w:rsidRDefault="00DF7EAE" w:rsidP="006631B1">
            <w:pPr>
              <w:spacing w:after="0" w:line="240" w:lineRule="auto"/>
              <w:jc w:val="both"/>
              <w:rPr>
                <w:rFonts w:cs="Arial"/>
                <w:b/>
                <w:bCs/>
                <w:szCs w:val="20"/>
              </w:rPr>
            </w:pPr>
          </w:p>
        </w:tc>
        <w:tc>
          <w:tcPr>
            <w:tcW w:w="1417" w:type="dxa"/>
            <w:vMerge/>
            <w:tcBorders>
              <w:bottom w:val="single" w:sz="4" w:space="0" w:color="auto"/>
            </w:tcBorders>
            <w:shd w:val="clear" w:color="auto" w:fill="FFFFFF"/>
            <w:vAlign w:val="center"/>
          </w:tcPr>
          <w:p w:rsidR="00DF7EAE" w:rsidRPr="00C75910" w:rsidRDefault="00DF7EAE" w:rsidP="006631B1">
            <w:pPr>
              <w:spacing w:after="0" w:line="240" w:lineRule="auto"/>
              <w:jc w:val="center"/>
              <w:rPr>
                <w:rFonts w:cs="Arial"/>
                <w:b/>
                <w:bCs/>
                <w:sz w:val="20"/>
                <w:szCs w:val="20"/>
              </w:rPr>
            </w:pPr>
          </w:p>
        </w:tc>
        <w:tc>
          <w:tcPr>
            <w:tcW w:w="3686" w:type="dxa"/>
            <w:vMerge/>
            <w:tcBorders>
              <w:bottom w:val="single" w:sz="4" w:space="0" w:color="auto"/>
            </w:tcBorders>
            <w:shd w:val="clear" w:color="auto" w:fill="FFFFFF"/>
            <w:vAlign w:val="center"/>
          </w:tcPr>
          <w:p w:rsidR="00DF7EAE" w:rsidRPr="00C75910" w:rsidRDefault="00DF7EAE" w:rsidP="006631B1">
            <w:pPr>
              <w:autoSpaceDE w:val="0"/>
              <w:autoSpaceDN w:val="0"/>
              <w:adjustRightInd w:val="0"/>
              <w:spacing w:after="0" w:line="240" w:lineRule="auto"/>
              <w:rPr>
                <w:rFonts w:cs="Arial"/>
                <w:bCs/>
                <w:sz w:val="20"/>
                <w:szCs w:val="20"/>
              </w:rPr>
            </w:pPr>
          </w:p>
        </w:tc>
        <w:tc>
          <w:tcPr>
            <w:tcW w:w="3118" w:type="dxa"/>
            <w:tcBorders>
              <w:bottom w:val="single" w:sz="4" w:space="0" w:color="auto"/>
            </w:tcBorders>
            <w:shd w:val="clear" w:color="auto" w:fill="FFFFFF"/>
            <w:vAlign w:val="center"/>
          </w:tcPr>
          <w:p w:rsidR="00DF7EAE" w:rsidRPr="00C75910" w:rsidRDefault="00DF7EAE" w:rsidP="00546880">
            <w:pPr>
              <w:numPr>
                <w:ilvl w:val="0"/>
                <w:numId w:val="1"/>
              </w:numPr>
              <w:spacing w:after="0" w:line="240" w:lineRule="auto"/>
              <w:ind w:left="176" w:hanging="176"/>
              <w:contextualSpacing/>
              <w:rPr>
                <w:rFonts w:cs="Arial"/>
                <w:bCs/>
                <w:color w:val="000000"/>
                <w:sz w:val="20"/>
                <w:szCs w:val="20"/>
              </w:rPr>
            </w:pPr>
            <w:r w:rsidRPr="00C75910">
              <w:rPr>
                <w:rFonts w:cs="Arial"/>
                <w:bCs/>
                <w:color w:val="000000"/>
                <w:sz w:val="20"/>
                <w:szCs w:val="20"/>
              </w:rPr>
              <w:t xml:space="preserve">Haemolysis </w:t>
            </w:r>
          </w:p>
          <w:p w:rsidR="00DF7EAE" w:rsidRPr="00C75910" w:rsidRDefault="00DF7EAE" w:rsidP="00546880">
            <w:pPr>
              <w:numPr>
                <w:ilvl w:val="0"/>
                <w:numId w:val="1"/>
              </w:numPr>
              <w:spacing w:after="0" w:line="240" w:lineRule="auto"/>
              <w:ind w:left="176" w:hanging="176"/>
              <w:contextualSpacing/>
              <w:rPr>
                <w:rFonts w:cs="Arial"/>
                <w:bCs/>
                <w:color w:val="000000"/>
                <w:sz w:val="20"/>
                <w:szCs w:val="20"/>
              </w:rPr>
            </w:pPr>
            <w:r w:rsidRPr="00C75910">
              <w:rPr>
                <w:rFonts w:cs="Arial"/>
                <w:bCs/>
                <w:color w:val="000000"/>
                <w:sz w:val="20"/>
                <w:szCs w:val="20"/>
              </w:rPr>
              <w:t>Leukocyte activation (ELISA)</w:t>
            </w:r>
          </w:p>
        </w:tc>
        <w:tc>
          <w:tcPr>
            <w:tcW w:w="993" w:type="dxa"/>
            <w:tcBorders>
              <w:bottom w:val="single" w:sz="4" w:space="0" w:color="auto"/>
              <w:right w:val="single" w:sz="4" w:space="0" w:color="auto"/>
            </w:tcBorders>
            <w:shd w:val="clear" w:color="auto" w:fill="FFFFFF"/>
            <w:vAlign w:val="center"/>
          </w:tcPr>
          <w:p w:rsidR="00DF7EAE" w:rsidRPr="00C75910" w:rsidRDefault="00DF7EAE" w:rsidP="006631B1">
            <w:pPr>
              <w:spacing w:after="0" w:line="240" w:lineRule="auto"/>
              <w:rPr>
                <w:rFonts w:cs="Arial"/>
                <w:bCs/>
                <w:i/>
                <w:color w:val="000000"/>
                <w:sz w:val="20"/>
                <w:szCs w:val="20"/>
              </w:rPr>
            </w:pPr>
            <w:r w:rsidRPr="00C75910">
              <w:rPr>
                <w:rFonts w:cs="Arial"/>
                <w:bCs/>
                <w:i/>
                <w:color w:val="000000"/>
                <w:sz w:val="20"/>
                <w:szCs w:val="20"/>
              </w:rPr>
              <w:t>In vitro</w:t>
            </w:r>
          </w:p>
        </w:tc>
      </w:tr>
      <w:tr w:rsidR="00DF7EAE" w:rsidRPr="00C75910" w:rsidTr="00DF7EAE">
        <w:trPr>
          <w:trHeight w:val="488"/>
        </w:trPr>
        <w:tc>
          <w:tcPr>
            <w:tcW w:w="1219" w:type="dxa"/>
            <w:vMerge/>
            <w:tcBorders>
              <w:left w:val="single" w:sz="4" w:space="0" w:color="auto"/>
            </w:tcBorders>
            <w:shd w:val="clear" w:color="auto" w:fill="F5903D"/>
          </w:tcPr>
          <w:p w:rsidR="00DF7EAE" w:rsidRPr="00C75910" w:rsidRDefault="00DF7EAE" w:rsidP="006631B1">
            <w:pPr>
              <w:spacing w:after="0" w:line="240" w:lineRule="auto"/>
              <w:jc w:val="both"/>
              <w:rPr>
                <w:rFonts w:cs="Arial"/>
                <w:b/>
                <w:bCs/>
                <w:szCs w:val="20"/>
              </w:rPr>
            </w:pPr>
          </w:p>
        </w:tc>
        <w:tc>
          <w:tcPr>
            <w:tcW w:w="1417" w:type="dxa"/>
            <w:tcBorders>
              <w:bottom w:val="single" w:sz="4" w:space="0" w:color="auto"/>
            </w:tcBorders>
            <w:shd w:val="clear" w:color="auto" w:fill="FFFFFF"/>
            <w:vAlign w:val="center"/>
          </w:tcPr>
          <w:p w:rsidR="00DF7EAE" w:rsidRPr="00C75910" w:rsidRDefault="00DF7EAE" w:rsidP="006631B1">
            <w:pPr>
              <w:spacing w:after="0" w:line="240" w:lineRule="auto"/>
              <w:jc w:val="center"/>
              <w:rPr>
                <w:rFonts w:cs="Arial"/>
                <w:b/>
                <w:bCs/>
                <w:sz w:val="20"/>
                <w:szCs w:val="20"/>
              </w:rPr>
            </w:pPr>
            <w:r w:rsidRPr="00C75910">
              <w:rPr>
                <w:rFonts w:cs="Arial"/>
                <w:b/>
                <w:bCs/>
                <w:sz w:val="20"/>
                <w:szCs w:val="20"/>
              </w:rPr>
              <w:t>ASTM E2524-08</w:t>
            </w:r>
          </w:p>
        </w:tc>
        <w:tc>
          <w:tcPr>
            <w:tcW w:w="3686" w:type="dxa"/>
            <w:tcBorders>
              <w:bottom w:val="single" w:sz="4" w:space="0" w:color="auto"/>
            </w:tcBorders>
            <w:shd w:val="clear" w:color="auto" w:fill="FFFFFF"/>
            <w:vAlign w:val="center"/>
          </w:tcPr>
          <w:p w:rsidR="00DF7EAE" w:rsidRPr="00C75910" w:rsidRDefault="00DF7EAE" w:rsidP="006631B1">
            <w:pPr>
              <w:autoSpaceDE w:val="0"/>
              <w:autoSpaceDN w:val="0"/>
              <w:adjustRightInd w:val="0"/>
              <w:spacing w:after="0" w:line="240" w:lineRule="auto"/>
              <w:rPr>
                <w:rFonts w:cs="Arial"/>
                <w:bCs/>
                <w:sz w:val="20"/>
                <w:szCs w:val="20"/>
              </w:rPr>
            </w:pPr>
            <w:r w:rsidRPr="00C75910">
              <w:rPr>
                <w:rFonts w:cs="Arial"/>
                <w:bCs/>
                <w:sz w:val="20"/>
                <w:szCs w:val="20"/>
              </w:rPr>
              <w:t>Standard test method for analysis of hemolytic properties of nanoparticles</w:t>
            </w:r>
          </w:p>
        </w:tc>
        <w:tc>
          <w:tcPr>
            <w:tcW w:w="3118" w:type="dxa"/>
            <w:tcBorders>
              <w:bottom w:val="single" w:sz="4" w:space="0" w:color="auto"/>
            </w:tcBorders>
            <w:shd w:val="clear" w:color="auto" w:fill="FFFFFF"/>
            <w:vAlign w:val="center"/>
          </w:tcPr>
          <w:p w:rsidR="00DF7EAE" w:rsidRPr="00C75910" w:rsidRDefault="00DF7EAE" w:rsidP="00546880">
            <w:pPr>
              <w:numPr>
                <w:ilvl w:val="0"/>
                <w:numId w:val="1"/>
              </w:numPr>
              <w:spacing w:after="0" w:line="240" w:lineRule="auto"/>
              <w:ind w:left="176" w:hanging="176"/>
              <w:contextualSpacing/>
              <w:rPr>
                <w:rFonts w:cs="Arial"/>
                <w:bCs/>
                <w:color w:val="000000"/>
                <w:sz w:val="20"/>
                <w:szCs w:val="20"/>
              </w:rPr>
            </w:pPr>
            <w:r w:rsidRPr="00C75910">
              <w:rPr>
                <w:rFonts w:cs="Arial"/>
                <w:bCs/>
                <w:color w:val="000000"/>
                <w:sz w:val="20"/>
                <w:szCs w:val="20"/>
              </w:rPr>
              <w:t xml:space="preserve">Haemolysis </w:t>
            </w:r>
          </w:p>
        </w:tc>
        <w:tc>
          <w:tcPr>
            <w:tcW w:w="993" w:type="dxa"/>
            <w:tcBorders>
              <w:bottom w:val="single" w:sz="4" w:space="0" w:color="auto"/>
              <w:right w:val="single" w:sz="4" w:space="0" w:color="auto"/>
            </w:tcBorders>
            <w:shd w:val="clear" w:color="auto" w:fill="FFFFFF"/>
            <w:vAlign w:val="center"/>
          </w:tcPr>
          <w:p w:rsidR="00DF7EAE" w:rsidRPr="00C75910" w:rsidRDefault="00DF7EAE" w:rsidP="006631B1">
            <w:pPr>
              <w:spacing w:after="0" w:line="240" w:lineRule="auto"/>
              <w:rPr>
                <w:rFonts w:cs="Arial"/>
                <w:bCs/>
                <w:color w:val="000000"/>
                <w:sz w:val="20"/>
                <w:szCs w:val="20"/>
              </w:rPr>
            </w:pPr>
            <w:r w:rsidRPr="00C75910">
              <w:rPr>
                <w:rFonts w:cs="Arial"/>
                <w:bCs/>
                <w:i/>
                <w:color w:val="000000"/>
                <w:sz w:val="20"/>
                <w:szCs w:val="20"/>
              </w:rPr>
              <w:t>In vitro</w:t>
            </w:r>
          </w:p>
        </w:tc>
      </w:tr>
      <w:tr w:rsidR="00DF7EAE" w:rsidRPr="00C75910" w:rsidTr="00DF7EAE">
        <w:trPr>
          <w:trHeight w:val="424"/>
        </w:trPr>
        <w:tc>
          <w:tcPr>
            <w:tcW w:w="1219" w:type="dxa"/>
            <w:vMerge/>
            <w:tcBorders>
              <w:left w:val="single" w:sz="4" w:space="0" w:color="auto"/>
              <w:bottom w:val="single" w:sz="4" w:space="0" w:color="auto"/>
            </w:tcBorders>
            <w:shd w:val="clear" w:color="auto" w:fill="F5903D"/>
          </w:tcPr>
          <w:p w:rsidR="00DF7EAE" w:rsidRPr="00C75910" w:rsidRDefault="00DF7EAE" w:rsidP="006631B1">
            <w:pPr>
              <w:spacing w:after="0" w:line="240" w:lineRule="auto"/>
              <w:jc w:val="both"/>
              <w:rPr>
                <w:rFonts w:cs="Arial"/>
                <w:b/>
                <w:bCs/>
                <w:szCs w:val="20"/>
              </w:rPr>
            </w:pPr>
          </w:p>
        </w:tc>
        <w:tc>
          <w:tcPr>
            <w:tcW w:w="1417" w:type="dxa"/>
            <w:tcBorders>
              <w:bottom w:val="single" w:sz="4" w:space="0" w:color="auto"/>
            </w:tcBorders>
            <w:shd w:val="clear" w:color="auto" w:fill="FFFFFF"/>
            <w:vAlign w:val="center"/>
          </w:tcPr>
          <w:p w:rsidR="00DF7EAE" w:rsidRPr="00C75910" w:rsidRDefault="00DF7EAE" w:rsidP="006631B1">
            <w:pPr>
              <w:spacing w:after="0" w:line="240" w:lineRule="auto"/>
              <w:jc w:val="center"/>
              <w:rPr>
                <w:rFonts w:cs="Arial"/>
                <w:b/>
                <w:bCs/>
                <w:sz w:val="20"/>
                <w:szCs w:val="20"/>
              </w:rPr>
            </w:pPr>
            <w:r w:rsidRPr="00C75910">
              <w:rPr>
                <w:rFonts w:cs="Arial"/>
                <w:b/>
                <w:bCs/>
                <w:sz w:val="20"/>
                <w:szCs w:val="20"/>
              </w:rPr>
              <w:t>ASTM F2888-13</w:t>
            </w:r>
          </w:p>
        </w:tc>
        <w:tc>
          <w:tcPr>
            <w:tcW w:w="3686" w:type="dxa"/>
            <w:tcBorders>
              <w:bottom w:val="single" w:sz="4" w:space="0" w:color="auto"/>
            </w:tcBorders>
            <w:shd w:val="clear" w:color="auto" w:fill="FFFFFF"/>
            <w:vAlign w:val="center"/>
          </w:tcPr>
          <w:p w:rsidR="00DF7EAE" w:rsidRPr="00C75910" w:rsidRDefault="00DF7EAE" w:rsidP="006631B1">
            <w:pPr>
              <w:autoSpaceDE w:val="0"/>
              <w:autoSpaceDN w:val="0"/>
              <w:adjustRightInd w:val="0"/>
              <w:spacing w:after="0" w:line="240" w:lineRule="auto"/>
              <w:rPr>
                <w:rFonts w:cs="Arial"/>
                <w:bCs/>
                <w:sz w:val="20"/>
                <w:szCs w:val="20"/>
              </w:rPr>
            </w:pPr>
            <w:r w:rsidRPr="00C75910">
              <w:rPr>
                <w:rFonts w:cs="Arial"/>
                <w:bCs/>
                <w:sz w:val="20"/>
                <w:szCs w:val="20"/>
              </w:rPr>
              <w:t xml:space="preserve">Standard test method for platelet leukocyte count </w:t>
            </w:r>
          </w:p>
        </w:tc>
        <w:tc>
          <w:tcPr>
            <w:tcW w:w="3118" w:type="dxa"/>
            <w:tcBorders>
              <w:bottom w:val="single" w:sz="4" w:space="0" w:color="auto"/>
            </w:tcBorders>
            <w:shd w:val="clear" w:color="auto" w:fill="FFFFFF"/>
            <w:vAlign w:val="center"/>
          </w:tcPr>
          <w:p w:rsidR="00DF7EAE" w:rsidRPr="00C75910" w:rsidRDefault="00DF7EAE" w:rsidP="00546880">
            <w:pPr>
              <w:numPr>
                <w:ilvl w:val="0"/>
                <w:numId w:val="1"/>
              </w:numPr>
              <w:spacing w:after="0" w:line="240" w:lineRule="auto"/>
              <w:ind w:left="176" w:hanging="176"/>
              <w:contextualSpacing/>
              <w:rPr>
                <w:rFonts w:cs="Arial"/>
                <w:bCs/>
                <w:color w:val="000000"/>
                <w:sz w:val="20"/>
                <w:szCs w:val="20"/>
              </w:rPr>
            </w:pPr>
            <w:r w:rsidRPr="00C75910">
              <w:rPr>
                <w:rFonts w:cs="Arial"/>
                <w:bCs/>
                <w:color w:val="000000"/>
                <w:sz w:val="20"/>
                <w:szCs w:val="20"/>
              </w:rPr>
              <w:t>Leukocyte count</w:t>
            </w:r>
          </w:p>
        </w:tc>
        <w:tc>
          <w:tcPr>
            <w:tcW w:w="993" w:type="dxa"/>
            <w:tcBorders>
              <w:bottom w:val="single" w:sz="4" w:space="0" w:color="auto"/>
              <w:right w:val="single" w:sz="4" w:space="0" w:color="auto"/>
            </w:tcBorders>
            <w:shd w:val="clear" w:color="auto" w:fill="FFFFFF"/>
            <w:vAlign w:val="center"/>
          </w:tcPr>
          <w:p w:rsidR="00DF7EAE" w:rsidRPr="00C75910" w:rsidRDefault="00DF7EAE" w:rsidP="006631B1">
            <w:pPr>
              <w:spacing w:after="0" w:line="240" w:lineRule="auto"/>
              <w:rPr>
                <w:rFonts w:cs="Arial"/>
                <w:bCs/>
                <w:i/>
                <w:color w:val="000000"/>
                <w:sz w:val="20"/>
                <w:szCs w:val="20"/>
              </w:rPr>
            </w:pPr>
            <w:r w:rsidRPr="00C75910">
              <w:rPr>
                <w:rFonts w:cs="Arial"/>
                <w:bCs/>
                <w:i/>
                <w:color w:val="000000"/>
                <w:sz w:val="20"/>
                <w:szCs w:val="20"/>
              </w:rPr>
              <w:t>In vitro</w:t>
            </w:r>
          </w:p>
        </w:tc>
      </w:tr>
      <w:tr w:rsidR="00DF7EAE" w:rsidRPr="00C75910" w:rsidTr="00DF7EAE">
        <w:trPr>
          <w:cantSplit/>
          <w:trHeight w:val="622"/>
        </w:trPr>
        <w:tc>
          <w:tcPr>
            <w:tcW w:w="1219" w:type="dxa"/>
            <w:vMerge w:val="restart"/>
            <w:tcBorders>
              <w:top w:val="single" w:sz="4" w:space="0" w:color="auto"/>
              <w:left w:val="single" w:sz="4" w:space="0" w:color="auto"/>
            </w:tcBorders>
            <w:shd w:val="clear" w:color="auto" w:fill="B8CCE4"/>
            <w:textDirection w:val="btLr"/>
            <w:vAlign w:val="center"/>
          </w:tcPr>
          <w:p w:rsidR="00DF7EAE" w:rsidRPr="00C75910" w:rsidRDefault="00DF7EAE" w:rsidP="00C9690A">
            <w:pPr>
              <w:autoSpaceDE w:val="0"/>
              <w:autoSpaceDN w:val="0"/>
              <w:adjustRightInd w:val="0"/>
              <w:spacing w:after="0" w:line="240" w:lineRule="auto"/>
              <w:ind w:left="113" w:right="113"/>
              <w:jc w:val="center"/>
              <w:rPr>
                <w:rFonts w:cs="Arial"/>
                <w:b/>
                <w:bCs/>
                <w:szCs w:val="20"/>
              </w:rPr>
            </w:pPr>
            <w:r w:rsidRPr="00C75910">
              <w:rPr>
                <w:rFonts w:cs="Arial"/>
                <w:b/>
                <w:bCs/>
                <w:szCs w:val="20"/>
              </w:rPr>
              <w:t>Thrombosis</w:t>
            </w:r>
          </w:p>
        </w:tc>
        <w:tc>
          <w:tcPr>
            <w:tcW w:w="1417" w:type="dxa"/>
            <w:tcBorders>
              <w:top w:val="single" w:sz="4" w:space="0" w:color="auto"/>
            </w:tcBorders>
            <w:shd w:val="clear" w:color="auto" w:fill="FFFFFF"/>
            <w:vAlign w:val="center"/>
          </w:tcPr>
          <w:p w:rsidR="00DF7EAE" w:rsidRPr="00C75910" w:rsidRDefault="00362105" w:rsidP="006631B1">
            <w:pPr>
              <w:spacing w:after="0" w:line="240" w:lineRule="auto"/>
              <w:jc w:val="center"/>
              <w:rPr>
                <w:rFonts w:cs="Arial"/>
                <w:b/>
                <w:bCs/>
                <w:sz w:val="20"/>
                <w:szCs w:val="20"/>
              </w:rPr>
            </w:pPr>
            <w:r w:rsidRPr="000623F4">
              <w:rPr>
                <w:rFonts w:cs="Arial"/>
                <w:b/>
                <w:bCs/>
                <w:sz w:val="20"/>
                <w:szCs w:val="20"/>
              </w:rPr>
              <w:t>CPMP/SWP/1042/99 Rev 1 Corr</w:t>
            </w:r>
            <w:r>
              <w:rPr>
                <w:rFonts w:cs="Arial"/>
                <w:b/>
                <w:bCs/>
                <w:sz w:val="20"/>
                <w:szCs w:val="20"/>
              </w:rPr>
              <w:t>*</w:t>
            </w:r>
          </w:p>
        </w:tc>
        <w:tc>
          <w:tcPr>
            <w:tcW w:w="3686" w:type="dxa"/>
            <w:tcBorders>
              <w:top w:val="single" w:sz="4" w:space="0" w:color="auto"/>
            </w:tcBorders>
            <w:shd w:val="clear" w:color="auto" w:fill="FFFFFF"/>
            <w:vAlign w:val="center"/>
          </w:tcPr>
          <w:p w:rsidR="00DF7EAE" w:rsidRPr="00C75910" w:rsidRDefault="00362105" w:rsidP="006631B1">
            <w:pPr>
              <w:autoSpaceDE w:val="0"/>
              <w:autoSpaceDN w:val="0"/>
              <w:adjustRightInd w:val="0"/>
              <w:spacing w:after="0" w:line="240" w:lineRule="auto"/>
              <w:rPr>
                <w:rFonts w:cs="Arial"/>
                <w:bCs/>
                <w:sz w:val="20"/>
                <w:szCs w:val="20"/>
              </w:rPr>
            </w:pPr>
            <w:r>
              <w:rPr>
                <w:rFonts w:cs="Arial"/>
                <w:bCs/>
                <w:sz w:val="20"/>
                <w:szCs w:val="20"/>
              </w:rPr>
              <w:t>G</w:t>
            </w:r>
            <w:r w:rsidR="00DF7EAE" w:rsidRPr="00C75910">
              <w:rPr>
                <w:rFonts w:cs="Arial"/>
                <w:bCs/>
                <w:sz w:val="20"/>
                <w:szCs w:val="20"/>
              </w:rPr>
              <w:t>uideline on repeated dose toxicity</w:t>
            </w:r>
          </w:p>
        </w:tc>
        <w:tc>
          <w:tcPr>
            <w:tcW w:w="3118" w:type="dxa"/>
            <w:tcBorders>
              <w:top w:val="single" w:sz="4" w:space="0" w:color="auto"/>
            </w:tcBorders>
            <w:shd w:val="clear" w:color="auto" w:fill="FFFFFF"/>
            <w:vAlign w:val="center"/>
          </w:tcPr>
          <w:p w:rsidR="00DF7EAE" w:rsidRPr="00C75910" w:rsidRDefault="00DF7EAE" w:rsidP="00546880">
            <w:pPr>
              <w:numPr>
                <w:ilvl w:val="0"/>
                <w:numId w:val="1"/>
              </w:numPr>
              <w:spacing w:after="0" w:line="240" w:lineRule="auto"/>
              <w:ind w:left="176" w:hanging="176"/>
              <w:contextualSpacing/>
              <w:rPr>
                <w:rFonts w:cs="Arial"/>
                <w:bCs/>
                <w:sz w:val="20"/>
                <w:szCs w:val="20"/>
              </w:rPr>
            </w:pPr>
            <w:r w:rsidRPr="003A12E9">
              <w:rPr>
                <w:rFonts w:cs="Arial"/>
                <w:bCs/>
                <w:sz w:val="20"/>
                <w:szCs w:val="20"/>
              </w:rPr>
              <w:t>Gross examination</w:t>
            </w:r>
          </w:p>
        </w:tc>
        <w:tc>
          <w:tcPr>
            <w:tcW w:w="993" w:type="dxa"/>
            <w:tcBorders>
              <w:top w:val="single" w:sz="4" w:space="0" w:color="auto"/>
              <w:right w:val="single" w:sz="4" w:space="0" w:color="auto"/>
            </w:tcBorders>
            <w:shd w:val="clear" w:color="auto" w:fill="FFFFFF"/>
            <w:vAlign w:val="center"/>
          </w:tcPr>
          <w:p w:rsidR="00DF7EAE" w:rsidRPr="00C75910" w:rsidRDefault="00DF7EAE" w:rsidP="006631B1">
            <w:pPr>
              <w:spacing w:after="0" w:line="240" w:lineRule="auto"/>
              <w:rPr>
                <w:rFonts w:cs="Arial"/>
                <w:bCs/>
                <w:i/>
                <w:sz w:val="20"/>
                <w:szCs w:val="20"/>
              </w:rPr>
            </w:pPr>
            <w:r w:rsidRPr="00C75910">
              <w:rPr>
                <w:rFonts w:cs="Arial"/>
                <w:bCs/>
                <w:i/>
                <w:sz w:val="20"/>
                <w:szCs w:val="20"/>
              </w:rPr>
              <w:t>In vivo</w:t>
            </w:r>
          </w:p>
        </w:tc>
      </w:tr>
      <w:tr w:rsidR="00DF7EAE" w:rsidRPr="00C75910" w:rsidTr="00DF7EAE">
        <w:trPr>
          <w:cantSplit/>
          <w:trHeight w:val="894"/>
        </w:trPr>
        <w:tc>
          <w:tcPr>
            <w:tcW w:w="1219" w:type="dxa"/>
            <w:vMerge/>
            <w:tcBorders>
              <w:left w:val="single" w:sz="4" w:space="0" w:color="auto"/>
            </w:tcBorders>
            <w:shd w:val="clear" w:color="auto" w:fill="B8CCE4"/>
            <w:textDirection w:val="btLr"/>
            <w:vAlign w:val="center"/>
          </w:tcPr>
          <w:p w:rsidR="00DF7EAE" w:rsidRPr="00C75910" w:rsidRDefault="00DF7EAE" w:rsidP="006631B1">
            <w:pPr>
              <w:autoSpaceDE w:val="0"/>
              <w:autoSpaceDN w:val="0"/>
              <w:adjustRightInd w:val="0"/>
              <w:spacing w:after="0" w:line="240" w:lineRule="auto"/>
              <w:ind w:left="113" w:right="113"/>
              <w:jc w:val="both"/>
              <w:rPr>
                <w:rFonts w:cs="Arial"/>
                <w:b/>
                <w:bCs/>
                <w:szCs w:val="20"/>
              </w:rPr>
            </w:pPr>
          </w:p>
        </w:tc>
        <w:tc>
          <w:tcPr>
            <w:tcW w:w="1417" w:type="dxa"/>
            <w:shd w:val="clear" w:color="auto" w:fill="FFFFFF"/>
            <w:vAlign w:val="center"/>
          </w:tcPr>
          <w:p w:rsidR="00DF7EAE" w:rsidRPr="00C75910" w:rsidRDefault="00DF7EAE" w:rsidP="006631B1">
            <w:pPr>
              <w:spacing w:after="0" w:line="240" w:lineRule="auto"/>
              <w:jc w:val="center"/>
              <w:rPr>
                <w:rFonts w:cs="Arial"/>
                <w:b/>
                <w:bCs/>
                <w:sz w:val="20"/>
                <w:szCs w:val="20"/>
              </w:rPr>
            </w:pPr>
            <w:r w:rsidRPr="00C75910">
              <w:rPr>
                <w:rFonts w:cs="Arial"/>
                <w:b/>
                <w:bCs/>
                <w:sz w:val="20"/>
                <w:szCs w:val="20"/>
              </w:rPr>
              <w:t>ICH M3(R2)</w:t>
            </w:r>
          </w:p>
        </w:tc>
        <w:tc>
          <w:tcPr>
            <w:tcW w:w="3686" w:type="dxa"/>
            <w:shd w:val="clear" w:color="auto" w:fill="FFFFFF"/>
            <w:vAlign w:val="center"/>
          </w:tcPr>
          <w:p w:rsidR="00DF7EAE" w:rsidRPr="00C75910" w:rsidRDefault="00DF7EAE" w:rsidP="006631B1">
            <w:pPr>
              <w:autoSpaceDE w:val="0"/>
              <w:autoSpaceDN w:val="0"/>
              <w:adjustRightInd w:val="0"/>
              <w:spacing w:after="0" w:line="240" w:lineRule="auto"/>
              <w:rPr>
                <w:rFonts w:cs="Arial"/>
                <w:bCs/>
                <w:sz w:val="20"/>
                <w:szCs w:val="20"/>
              </w:rPr>
            </w:pPr>
            <w:r w:rsidRPr="00C75910">
              <w:rPr>
                <w:rFonts w:cs="Arial"/>
                <w:bCs/>
                <w:sz w:val="20"/>
                <w:szCs w:val="20"/>
              </w:rPr>
              <w:t>Guidance on nonclinical safety studies for the conduct of human clinical trials and marketing authorization for pharmaceuticals</w:t>
            </w:r>
          </w:p>
        </w:tc>
        <w:tc>
          <w:tcPr>
            <w:tcW w:w="3118" w:type="dxa"/>
            <w:shd w:val="clear" w:color="auto" w:fill="FFFFFF"/>
            <w:vAlign w:val="center"/>
          </w:tcPr>
          <w:p w:rsidR="00DF7EAE" w:rsidRPr="00C75910" w:rsidRDefault="00DF7EAE" w:rsidP="00546880">
            <w:pPr>
              <w:numPr>
                <w:ilvl w:val="0"/>
                <w:numId w:val="1"/>
              </w:numPr>
              <w:spacing w:after="0" w:line="240" w:lineRule="auto"/>
              <w:ind w:left="176" w:hanging="176"/>
              <w:contextualSpacing/>
              <w:rPr>
                <w:rFonts w:cs="Arial"/>
                <w:bCs/>
                <w:sz w:val="20"/>
                <w:szCs w:val="20"/>
              </w:rPr>
            </w:pPr>
            <w:r w:rsidRPr="00C75910">
              <w:rPr>
                <w:rFonts w:cs="Arial"/>
                <w:bCs/>
                <w:sz w:val="20"/>
                <w:szCs w:val="20"/>
              </w:rPr>
              <w:t>Gross examination</w:t>
            </w:r>
          </w:p>
        </w:tc>
        <w:tc>
          <w:tcPr>
            <w:tcW w:w="993" w:type="dxa"/>
            <w:tcBorders>
              <w:right w:val="single" w:sz="4" w:space="0" w:color="auto"/>
            </w:tcBorders>
            <w:shd w:val="clear" w:color="auto" w:fill="FFFFFF"/>
            <w:vAlign w:val="center"/>
          </w:tcPr>
          <w:p w:rsidR="00DF7EAE" w:rsidRPr="00C75910" w:rsidRDefault="00DF7EAE" w:rsidP="006631B1">
            <w:pPr>
              <w:spacing w:after="0" w:line="240" w:lineRule="auto"/>
              <w:rPr>
                <w:rFonts w:cs="Arial"/>
                <w:bCs/>
                <w:i/>
                <w:sz w:val="20"/>
                <w:szCs w:val="20"/>
              </w:rPr>
            </w:pPr>
            <w:r w:rsidRPr="00C75910">
              <w:rPr>
                <w:rFonts w:cs="Arial"/>
                <w:bCs/>
                <w:i/>
                <w:sz w:val="20"/>
                <w:szCs w:val="20"/>
              </w:rPr>
              <w:t>In vivo</w:t>
            </w:r>
          </w:p>
        </w:tc>
      </w:tr>
      <w:tr w:rsidR="00DF7EAE" w:rsidRPr="00C75910" w:rsidTr="00DF7EAE">
        <w:trPr>
          <w:cantSplit/>
          <w:trHeight w:val="475"/>
        </w:trPr>
        <w:tc>
          <w:tcPr>
            <w:tcW w:w="1219" w:type="dxa"/>
            <w:vMerge/>
            <w:tcBorders>
              <w:left w:val="single" w:sz="4" w:space="0" w:color="auto"/>
            </w:tcBorders>
            <w:shd w:val="clear" w:color="auto" w:fill="B8CCE4"/>
            <w:textDirection w:val="btLr"/>
            <w:vAlign w:val="center"/>
          </w:tcPr>
          <w:p w:rsidR="00DF7EAE" w:rsidRPr="00C75910" w:rsidRDefault="00DF7EAE" w:rsidP="006631B1">
            <w:pPr>
              <w:autoSpaceDE w:val="0"/>
              <w:autoSpaceDN w:val="0"/>
              <w:adjustRightInd w:val="0"/>
              <w:spacing w:after="0" w:line="240" w:lineRule="auto"/>
              <w:ind w:left="113" w:right="113"/>
              <w:jc w:val="both"/>
              <w:rPr>
                <w:rFonts w:cs="Arial"/>
                <w:b/>
                <w:bCs/>
                <w:szCs w:val="20"/>
              </w:rPr>
            </w:pPr>
          </w:p>
        </w:tc>
        <w:tc>
          <w:tcPr>
            <w:tcW w:w="1417" w:type="dxa"/>
            <w:shd w:val="clear" w:color="auto" w:fill="FFFFFF"/>
            <w:vAlign w:val="center"/>
          </w:tcPr>
          <w:p w:rsidR="00DF7EAE" w:rsidRPr="00C75910" w:rsidRDefault="00DF7EAE" w:rsidP="006631B1">
            <w:pPr>
              <w:spacing w:after="0" w:line="240" w:lineRule="auto"/>
              <w:jc w:val="center"/>
              <w:rPr>
                <w:rFonts w:cs="Arial"/>
                <w:b/>
                <w:bCs/>
                <w:sz w:val="20"/>
                <w:szCs w:val="20"/>
              </w:rPr>
            </w:pPr>
            <w:r w:rsidRPr="00C75910">
              <w:rPr>
                <w:rFonts w:cs="Arial"/>
                <w:b/>
                <w:bCs/>
                <w:sz w:val="20"/>
                <w:szCs w:val="20"/>
              </w:rPr>
              <w:t>ICH-S8</w:t>
            </w:r>
          </w:p>
        </w:tc>
        <w:tc>
          <w:tcPr>
            <w:tcW w:w="3686" w:type="dxa"/>
            <w:shd w:val="clear" w:color="auto" w:fill="FFFFFF"/>
            <w:vAlign w:val="center"/>
          </w:tcPr>
          <w:p w:rsidR="00DF7EAE" w:rsidRPr="00C75910" w:rsidRDefault="00DF7EAE" w:rsidP="006631B1">
            <w:pPr>
              <w:autoSpaceDE w:val="0"/>
              <w:autoSpaceDN w:val="0"/>
              <w:adjustRightInd w:val="0"/>
              <w:spacing w:after="0" w:line="240" w:lineRule="auto"/>
              <w:rPr>
                <w:rFonts w:cs="Arial"/>
                <w:bCs/>
                <w:sz w:val="20"/>
                <w:szCs w:val="20"/>
              </w:rPr>
            </w:pPr>
            <w:r w:rsidRPr="00C75910">
              <w:rPr>
                <w:rFonts w:cs="Arial"/>
                <w:bCs/>
                <w:sz w:val="20"/>
                <w:szCs w:val="20"/>
              </w:rPr>
              <w:t>Immunotoxicity studies for human pharmaceuticals S8</w:t>
            </w:r>
          </w:p>
        </w:tc>
        <w:tc>
          <w:tcPr>
            <w:tcW w:w="3118" w:type="dxa"/>
            <w:shd w:val="clear" w:color="auto" w:fill="FFFFFF"/>
            <w:vAlign w:val="center"/>
          </w:tcPr>
          <w:p w:rsidR="00DF7EAE" w:rsidRPr="00C75910" w:rsidRDefault="00DF7EAE" w:rsidP="00546880">
            <w:pPr>
              <w:numPr>
                <w:ilvl w:val="0"/>
                <w:numId w:val="1"/>
              </w:numPr>
              <w:spacing w:after="0" w:line="240" w:lineRule="auto"/>
              <w:ind w:left="176" w:hanging="176"/>
              <w:contextualSpacing/>
              <w:rPr>
                <w:rFonts w:cs="Arial"/>
                <w:bCs/>
                <w:sz w:val="20"/>
                <w:szCs w:val="20"/>
              </w:rPr>
            </w:pPr>
            <w:r w:rsidRPr="00C75910">
              <w:rPr>
                <w:rFonts w:cs="Arial"/>
                <w:bCs/>
                <w:sz w:val="20"/>
                <w:szCs w:val="20"/>
              </w:rPr>
              <w:t>Gross examination</w:t>
            </w:r>
          </w:p>
        </w:tc>
        <w:tc>
          <w:tcPr>
            <w:tcW w:w="993" w:type="dxa"/>
            <w:tcBorders>
              <w:right w:val="single" w:sz="4" w:space="0" w:color="auto"/>
            </w:tcBorders>
            <w:shd w:val="clear" w:color="auto" w:fill="FFFFFF"/>
            <w:vAlign w:val="center"/>
          </w:tcPr>
          <w:p w:rsidR="00DF7EAE" w:rsidRPr="00C75910" w:rsidRDefault="00DF7EAE" w:rsidP="006631B1">
            <w:pPr>
              <w:spacing w:after="0" w:line="240" w:lineRule="auto"/>
              <w:rPr>
                <w:rFonts w:cs="Arial"/>
                <w:bCs/>
                <w:i/>
                <w:sz w:val="20"/>
                <w:szCs w:val="20"/>
              </w:rPr>
            </w:pPr>
            <w:r w:rsidRPr="00C75910">
              <w:rPr>
                <w:rFonts w:cs="Arial"/>
                <w:bCs/>
                <w:i/>
                <w:sz w:val="20"/>
                <w:szCs w:val="20"/>
              </w:rPr>
              <w:t>In vivo</w:t>
            </w:r>
          </w:p>
        </w:tc>
      </w:tr>
      <w:tr w:rsidR="00DF7EAE" w:rsidRPr="00C75910" w:rsidTr="00DF7EAE">
        <w:trPr>
          <w:cantSplit/>
          <w:trHeight w:val="662"/>
        </w:trPr>
        <w:tc>
          <w:tcPr>
            <w:tcW w:w="1219" w:type="dxa"/>
            <w:vMerge/>
            <w:tcBorders>
              <w:left w:val="single" w:sz="4" w:space="0" w:color="auto"/>
            </w:tcBorders>
            <w:shd w:val="clear" w:color="auto" w:fill="B8CCE4"/>
            <w:textDirection w:val="btLr"/>
            <w:vAlign w:val="center"/>
          </w:tcPr>
          <w:p w:rsidR="00DF7EAE" w:rsidRPr="00C75910" w:rsidRDefault="00DF7EAE" w:rsidP="006631B1">
            <w:pPr>
              <w:autoSpaceDE w:val="0"/>
              <w:autoSpaceDN w:val="0"/>
              <w:adjustRightInd w:val="0"/>
              <w:spacing w:after="0" w:line="240" w:lineRule="auto"/>
              <w:ind w:left="113" w:right="113"/>
              <w:jc w:val="both"/>
              <w:rPr>
                <w:rFonts w:cs="Arial"/>
                <w:b/>
                <w:bCs/>
                <w:szCs w:val="20"/>
              </w:rPr>
            </w:pPr>
          </w:p>
        </w:tc>
        <w:tc>
          <w:tcPr>
            <w:tcW w:w="1417" w:type="dxa"/>
            <w:vMerge w:val="restart"/>
            <w:shd w:val="clear" w:color="auto" w:fill="FFFFFF"/>
            <w:vAlign w:val="center"/>
          </w:tcPr>
          <w:p w:rsidR="00DF7EAE" w:rsidRPr="00C75910" w:rsidRDefault="00DF7EAE" w:rsidP="006631B1">
            <w:pPr>
              <w:spacing w:after="0" w:line="240" w:lineRule="auto"/>
              <w:jc w:val="center"/>
              <w:rPr>
                <w:rFonts w:cs="Arial"/>
                <w:b/>
                <w:bCs/>
                <w:sz w:val="20"/>
                <w:szCs w:val="20"/>
              </w:rPr>
            </w:pPr>
            <w:r w:rsidRPr="00C75910">
              <w:rPr>
                <w:rFonts w:cs="Arial"/>
                <w:b/>
                <w:bCs/>
                <w:sz w:val="20"/>
                <w:szCs w:val="20"/>
              </w:rPr>
              <w:t>ISO 10993-4</w:t>
            </w:r>
          </w:p>
        </w:tc>
        <w:tc>
          <w:tcPr>
            <w:tcW w:w="3686" w:type="dxa"/>
            <w:vMerge w:val="restart"/>
            <w:shd w:val="clear" w:color="auto" w:fill="FFFFFF"/>
            <w:vAlign w:val="center"/>
          </w:tcPr>
          <w:p w:rsidR="00DF7EAE" w:rsidRPr="00C75910" w:rsidRDefault="00DF7EAE" w:rsidP="006631B1">
            <w:pPr>
              <w:autoSpaceDE w:val="0"/>
              <w:autoSpaceDN w:val="0"/>
              <w:adjustRightInd w:val="0"/>
              <w:spacing w:after="0" w:line="240" w:lineRule="auto"/>
              <w:rPr>
                <w:rFonts w:cs="Arial"/>
                <w:bCs/>
                <w:sz w:val="20"/>
                <w:szCs w:val="20"/>
              </w:rPr>
            </w:pPr>
            <w:r w:rsidRPr="00C75910">
              <w:rPr>
                <w:rFonts w:cs="Arial"/>
                <w:bCs/>
                <w:sz w:val="20"/>
                <w:szCs w:val="20"/>
              </w:rPr>
              <w:t xml:space="preserve">Biological evaluation of medical devices – </w:t>
            </w:r>
            <w:r w:rsidRPr="00C75910">
              <w:rPr>
                <w:rFonts w:cs="Arial"/>
                <w:sz w:val="20"/>
                <w:szCs w:val="20"/>
              </w:rPr>
              <w:t xml:space="preserve">Part 4: </w:t>
            </w:r>
            <w:r w:rsidRPr="00C75910">
              <w:rPr>
                <w:rFonts w:cs="Arial"/>
                <w:bCs/>
                <w:sz w:val="20"/>
                <w:szCs w:val="20"/>
              </w:rPr>
              <w:t>Selection of tests for interaction with blood</w:t>
            </w:r>
          </w:p>
        </w:tc>
        <w:tc>
          <w:tcPr>
            <w:tcW w:w="3118" w:type="dxa"/>
            <w:tcBorders>
              <w:bottom w:val="single" w:sz="4" w:space="0" w:color="auto"/>
            </w:tcBorders>
            <w:shd w:val="clear" w:color="auto" w:fill="FFFFFF"/>
            <w:vAlign w:val="center"/>
          </w:tcPr>
          <w:p w:rsidR="00DF7EAE" w:rsidRPr="00C75910" w:rsidRDefault="00DF7EAE" w:rsidP="00546880">
            <w:pPr>
              <w:numPr>
                <w:ilvl w:val="0"/>
                <w:numId w:val="1"/>
              </w:numPr>
              <w:spacing w:after="0" w:line="240" w:lineRule="auto"/>
              <w:ind w:left="176" w:hanging="176"/>
              <w:contextualSpacing/>
              <w:rPr>
                <w:rFonts w:cs="Arial"/>
                <w:bCs/>
                <w:sz w:val="20"/>
                <w:szCs w:val="20"/>
              </w:rPr>
            </w:pPr>
            <w:r w:rsidRPr="00C75910">
              <w:rPr>
                <w:rFonts w:cs="Arial"/>
                <w:bCs/>
                <w:sz w:val="20"/>
                <w:szCs w:val="20"/>
              </w:rPr>
              <w:t xml:space="preserve">Gross examination (lung, kidney) </w:t>
            </w:r>
          </w:p>
          <w:p w:rsidR="00DF7EAE" w:rsidRPr="00C75910" w:rsidRDefault="00DF7EAE" w:rsidP="00546880">
            <w:pPr>
              <w:numPr>
                <w:ilvl w:val="0"/>
                <w:numId w:val="1"/>
              </w:numPr>
              <w:spacing w:after="0" w:line="240" w:lineRule="auto"/>
              <w:ind w:left="176" w:hanging="176"/>
              <w:contextualSpacing/>
              <w:rPr>
                <w:rFonts w:cs="Arial"/>
                <w:bCs/>
                <w:sz w:val="20"/>
                <w:szCs w:val="20"/>
              </w:rPr>
            </w:pPr>
            <w:r w:rsidRPr="00C75910">
              <w:rPr>
                <w:rFonts w:cs="Arial"/>
                <w:bCs/>
                <w:sz w:val="20"/>
                <w:szCs w:val="20"/>
              </w:rPr>
              <w:t>Flow reduction</w:t>
            </w:r>
          </w:p>
          <w:p w:rsidR="00DF7EAE" w:rsidRPr="00C75910" w:rsidRDefault="00DF7EAE" w:rsidP="00546880">
            <w:pPr>
              <w:numPr>
                <w:ilvl w:val="0"/>
                <w:numId w:val="1"/>
              </w:numPr>
              <w:spacing w:after="0" w:line="240" w:lineRule="auto"/>
              <w:ind w:left="176" w:hanging="176"/>
              <w:contextualSpacing/>
              <w:rPr>
                <w:rFonts w:cs="Arial"/>
                <w:bCs/>
                <w:sz w:val="20"/>
                <w:szCs w:val="20"/>
              </w:rPr>
            </w:pPr>
            <w:r w:rsidRPr="00C75910">
              <w:rPr>
                <w:rFonts w:cs="Arial"/>
                <w:bCs/>
                <w:sz w:val="20"/>
                <w:szCs w:val="20"/>
              </w:rPr>
              <w:t xml:space="preserve">Light microscopy/SEM </w:t>
            </w:r>
          </w:p>
        </w:tc>
        <w:tc>
          <w:tcPr>
            <w:tcW w:w="993" w:type="dxa"/>
            <w:tcBorders>
              <w:bottom w:val="single" w:sz="4" w:space="0" w:color="auto"/>
              <w:right w:val="single" w:sz="4" w:space="0" w:color="auto"/>
            </w:tcBorders>
            <w:shd w:val="clear" w:color="auto" w:fill="FFFFFF"/>
            <w:vAlign w:val="center"/>
          </w:tcPr>
          <w:p w:rsidR="00DF7EAE" w:rsidRPr="00C75910" w:rsidRDefault="00DF7EAE" w:rsidP="006631B1">
            <w:pPr>
              <w:spacing w:after="0" w:line="240" w:lineRule="auto"/>
              <w:rPr>
                <w:rFonts w:cs="Arial"/>
                <w:bCs/>
                <w:i/>
                <w:sz w:val="20"/>
                <w:szCs w:val="20"/>
              </w:rPr>
            </w:pPr>
            <w:r w:rsidRPr="00C75910">
              <w:rPr>
                <w:rFonts w:cs="Arial"/>
                <w:bCs/>
                <w:i/>
                <w:sz w:val="20"/>
                <w:szCs w:val="20"/>
              </w:rPr>
              <w:t>In vivo</w:t>
            </w:r>
          </w:p>
          <w:p w:rsidR="00DF7EAE" w:rsidRPr="00C75910" w:rsidRDefault="00DF7EAE" w:rsidP="006631B1">
            <w:pPr>
              <w:spacing w:after="0" w:line="240" w:lineRule="auto"/>
              <w:rPr>
                <w:rFonts w:cs="Arial"/>
                <w:bCs/>
                <w:sz w:val="20"/>
                <w:szCs w:val="20"/>
              </w:rPr>
            </w:pPr>
          </w:p>
        </w:tc>
      </w:tr>
      <w:tr w:rsidR="00DF7EAE" w:rsidRPr="00C75910" w:rsidTr="00DF7EAE">
        <w:trPr>
          <w:cantSplit/>
          <w:trHeight w:val="1344"/>
        </w:trPr>
        <w:tc>
          <w:tcPr>
            <w:tcW w:w="1219" w:type="dxa"/>
            <w:vMerge/>
            <w:tcBorders>
              <w:left w:val="single" w:sz="4" w:space="0" w:color="auto"/>
            </w:tcBorders>
            <w:shd w:val="clear" w:color="auto" w:fill="B8CCE4"/>
            <w:textDirection w:val="btLr"/>
            <w:vAlign w:val="center"/>
          </w:tcPr>
          <w:p w:rsidR="00DF7EAE" w:rsidRPr="00C75910" w:rsidRDefault="00DF7EAE" w:rsidP="006631B1">
            <w:pPr>
              <w:autoSpaceDE w:val="0"/>
              <w:autoSpaceDN w:val="0"/>
              <w:adjustRightInd w:val="0"/>
              <w:spacing w:after="0" w:line="240" w:lineRule="auto"/>
              <w:ind w:left="113" w:right="113"/>
              <w:jc w:val="both"/>
              <w:rPr>
                <w:rFonts w:cs="Arial"/>
                <w:b/>
                <w:bCs/>
                <w:szCs w:val="20"/>
              </w:rPr>
            </w:pPr>
          </w:p>
        </w:tc>
        <w:tc>
          <w:tcPr>
            <w:tcW w:w="1417" w:type="dxa"/>
            <w:vMerge/>
            <w:tcBorders>
              <w:bottom w:val="single" w:sz="4" w:space="0" w:color="auto"/>
            </w:tcBorders>
            <w:shd w:val="clear" w:color="auto" w:fill="FFFFFF"/>
            <w:vAlign w:val="center"/>
          </w:tcPr>
          <w:p w:rsidR="00DF7EAE" w:rsidRPr="00C75910" w:rsidRDefault="00DF7EAE" w:rsidP="006631B1">
            <w:pPr>
              <w:spacing w:after="0" w:line="240" w:lineRule="auto"/>
              <w:jc w:val="center"/>
              <w:rPr>
                <w:rFonts w:cs="Arial"/>
                <w:b/>
                <w:bCs/>
                <w:sz w:val="20"/>
                <w:szCs w:val="20"/>
              </w:rPr>
            </w:pPr>
          </w:p>
        </w:tc>
        <w:tc>
          <w:tcPr>
            <w:tcW w:w="3686" w:type="dxa"/>
            <w:vMerge/>
            <w:tcBorders>
              <w:bottom w:val="single" w:sz="4" w:space="0" w:color="auto"/>
            </w:tcBorders>
            <w:shd w:val="clear" w:color="auto" w:fill="FFFFFF"/>
            <w:vAlign w:val="center"/>
          </w:tcPr>
          <w:p w:rsidR="00DF7EAE" w:rsidRPr="00C75910" w:rsidRDefault="00DF7EAE" w:rsidP="006631B1">
            <w:pPr>
              <w:autoSpaceDE w:val="0"/>
              <w:autoSpaceDN w:val="0"/>
              <w:adjustRightInd w:val="0"/>
              <w:spacing w:after="0" w:line="240" w:lineRule="auto"/>
              <w:rPr>
                <w:rFonts w:cs="Arial"/>
                <w:bCs/>
                <w:sz w:val="20"/>
                <w:szCs w:val="20"/>
              </w:rPr>
            </w:pPr>
          </w:p>
        </w:tc>
        <w:tc>
          <w:tcPr>
            <w:tcW w:w="3118" w:type="dxa"/>
            <w:tcBorders>
              <w:bottom w:val="single" w:sz="4" w:space="0" w:color="auto"/>
            </w:tcBorders>
            <w:shd w:val="clear" w:color="auto" w:fill="FFFFFF"/>
            <w:vAlign w:val="center"/>
          </w:tcPr>
          <w:p w:rsidR="00DF7EAE" w:rsidRPr="00C75910" w:rsidRDefault="00DF7EAE" w:rsidP="00546880">
            <w:pPr>
              <w:numPr>
                <w:ilvl w:val="0"/>
                <w:numId w:val="1"/>
              </w:numPr>
              <w:spacing w:after="0" w:line="240" w:lineRule="auto"/>
              <w:ind w:left="176" w:hanging="176"/>
              <w:contextualSpacing/>
              <w:rPr>
                <w:rFonts w:cs="Arial"/>
                <w:bCs/>
                <w:color w:val="000000"/>
                <w:sz w:val="20"/>
                <w:szCs w:val="20"/>
              </w:rPr>
            </w:pPr>
            <w:r w:rsidRPr="00C75910">
              <w:rPr>
                <w:rFonts w:cs="Arial"/>
                <w:bCs/>
                <w:color w:val="000000"/>
                <w:sz w:val="20"/>
                <w:szCs w:val="20"/>
              </w:rPr>
              <w:t xml:space="preserve">Measure of blood plasma levels of coagulation indicators by ELISA </w:t>
            </w:r>
          </w:p>
          <w:p w:rsidR="00DF7EAE" w:rsidRPr="00C75910" w:rsidRDefault="00DF7EAE" w:rsidP="00546880">
            <w:pPr>
              <w:numPr>
                <w:ilvl w:val="0"/>
                <w:numId w:val="1"/>
              </w:numPr>
              <w:spacing w:after="0" w:line="240" w:lineRule="auto"/>
              <w:ind w:left="176" w:hanging="176"/>
              <w:contextualSpacing/>
              <w:rPr>
                <w:rFonts w:cs="Arial"/>
                <w:bCs/>
                <w:color w:val="000000"/>
                <w:sz w:val="20"/>
                <w:szCs w:val="20"/>
              </w:rPr>
            </w:pPr>
            <w:r w:rsidRPr="00C75910">
              <w:rPr>
                <w:rFonts w:cs="Arial"/>
                <w:bCs/>
                <w:color w:val="000000"/>
                <w:sz w:val="20"/>
                <w:szCs w:val="20"/>
              </w:rPr>
              <w:t>Partial thromboplastin time</w:t>
            </w:r>
          </w:p>
          <w:p w:rsidR="00DF7EAE" w:rsidRPr="00C75910" w:rsidRDefault="00DF7EAE" w:rsidP="00546880">
            <w:pPr>
              <w:numPr>
                <w:ilvl w:val="0"/>
                <w:numId w:val="1"/>
              </w:numPr>
              <w:spacing w:after="0" w:line="240" w:lineRule="auto"/>
              <w:ind w:left="176" w:hanging="176"/>
              <w:contextualSpacing/>
              <w:rPr>
                <w:rFonts w:cs="Arial"/>
                <w:bCs/>
                <w:color w:val="000000"/>
                <w:sz w:val="20"/>
                <w:szCs w:val="20"/>
              </w:rPr>
            </w:pPr>
            <w:r w:rsidRPr="00C75910">
              <w:rPr>
                <w:rFonts w:cs="Arial"/>
                <w:bCs/>
                <w:color w:val="000000"/>
                <w:sz w:val="20"/>
                <w:szCs w:val="20"/>
              </w:rPr>
              <w:t>Platelet counting</w:t>
            </w:r>
          </w:p>
          <w:p w:rsidR="00DF7EAE" w:rsidRPr="00C75910" w:rsidRDefault="00DF7EAE" w:rsidP="00546880">
            <w:pPr>
              <w:numPr>
                <w:ilvl w:val="0"/>
                <w:numId w:val="1"/>
              </w:numPr>
              <w:spacing w:after="0" w:line="240" w:lineRule="auto"/>
              <w:ind w:left="176" w:hanging="176"/>
              <w:contextualSpacing/>
              <w:rPr>
                <w:rFonts w:cs="Arial"/>
                <w:bCs/>
                <w:color w:val="000000"/>
                <w:sz w:val="20"/>
                <w:szCs w:val="20"/>
              </w:rPr>
            </w:pPr>
            <w:r w:rsidRPr="00C75910">
              <w:rPr>
                <w:rFonts w:cs="Arial"/>
                <w:bCs/>
                <w:color w:val="000000"/>
                <w:sz w:val="20"/>
                <w:szCs w:val="20"/>
              </w:rPr>
              <w:t>Platelet activation markers measurement</w:t>
            </w:r>
          </w:p>
        </w:tc>
        <w:tc>
          <w:tcPr>
            <w:tcW w:w="993" w:type="dxa"/>
            <w:tcBorders>
              <w:bottom w:val="single" w:sz="4" w:space="0" w:color="auto"/>
              <w:right w:val="single" w:sz="4" w:space="0" w:color="auto"/>
            </w:tcBorders>
            <w:shd w:val="clear" w:color="auto" w:fill="FFFFFF"/>
            <w:vAlign w:val="center"/>
          </w:tcPr>
          <w:p w:rsidR="00DF7EAE" w:rsidRPr="00C75910" w:rsidRDefault="00DF7EAE" w:rsidP="006631B1">
            <w:pPr>
              <w:spacing w:after="0" w:line="240" w:lineRule="auto"/>
              <w:rPr>
                <w:rFonts w:cs="Arial"/>
                <w:bCs/>
                <w:i/>
                <w:color w:val="000000"/>
                <w:sz w:val="20"/>
                <w:szCs w:val="20"/>
              </w:rPr>
            </w:pPr>
            <w:r w:rsidRPr="00C75910">
              <w:rPr>
                <w:rFonts w:cs="Arial"/>
                <w:bCs/>
                <w:i/>
                <w:color w:val="000000"/>
                <w:sz w:val="20"/>
                <w:szCs w:val="20"/>
              </w:rPr>
              <w:t>In vitro</w:t>
            </w:r>
          </w:p>
          <w:p w:rsidR="00DF7EAE" w:rsidRPr="00C75910" w:rsidRDefault="00DF7EAE" w:rsidP="006631B1">
            <w:pPr>
              <w:spacing w:after="0" w:line="240" w:lineRule="auto"/>
              <w:rPr>
                <w:rFonts w:cs="Arial"/>
                <w:bCs/>
                <w:i/>
                <w:color w:val="000000"/>
                <w:sz w:val="20"/>
                <w:szCs w:val="20"/>
              </w:rPr>
            </w:pPr>
          </w:p>
        </w:tc>
      </w:tr>
      <w:tr w:rsidR="00DF7EAE" w:rsidRPr="00C75910" w:rsidTr="00DF7EAE">
        <w:trPr>
          <w:cantSplit/>
          <w:trHeight w:val="776"/>
        </w:trPr>
        <w:tc>
          <w:tcPr>
            <w:tcW w:w="1219" w:type="dxa"/>
            <w:vMerge/>
            <w:tcBorders>
              <w:left w:val="single" w:sz="4" w:space="0" w:color="auto"/>
            </w:tcBorders>
            <w:shd w:val="clear" w:color="auto" w:fill="B8CCE4"/>
            <w:textDirection w:val="btLr"/>
            <w:vAlign w:val="center"/>
          </w:tcPr>
          <w:p w:rsidR="00DF7EAE" w:rsidRPr="00C75910" w:rsidRDefault="00DF7EAE" w:rsidP="006631B1">
            <w:pPr>
              <w:autoSpaceDE w:val="0"/>
              <w:autoSpaceDN w:val="0"/>
              <w:adjustRightInd w:val="0"/>
              <w:spacing w:after="0" w:line="240" w:lineRule="auto"/>
              <w:ind w:left="113" w:right="113"/>
              <w:jc w:val="both"/>
              <w:rPr>
                <w:rFonts w:cs="Arial"/>
                <w:b/>
                <w:bCs/>
                <w:szCs w:val="20"/>
              </w:rPr>
            </w:pPr>
          </w:p>
        </w:tc>
        <w:tc>
          <w:tcPr>
            <w:tcW w:w="1417" w:type="dxa"/>
            <w:tcBorders>
              <w:bottom w:val="single" w:sz="4" w:space="0" w:color="auto"/>
            </w:tcBorders>
            <w:shd w:val="clear" w:color="auto" w:fill="FFFFFF"/>
            <w:vAlign w:val="center"/>
          </w:tcPr>
          <w:p w:rsidR="00DF7EAE" w:rsidRPr="00C75910" w:rsidRDefault="00E417C1" w:rsidP="006631B1">
            <w:pPr>
              <w:spacing w:after="0" w:line="240" w:lineRule="auto"/>
              <w:jc w:val="center"/>
              <w:rPr>
                <w:rFonts w:cs="Arial"/>
                <w:b/>
                <w:bCs/>
                <w:sz w:val="20"/>
                <w:szCs w:val="20"/>
              </w:rPr>
            </w:pPr>
            <w:r w:rsidRPr="00E417C1">
              <w:rPr>
                <w:rFonts w:cs="Arial"/>
                <w:b/>
                <w:bCs/>
                <w:sz w:val="20"/>
                <w:szCs w:val="20"/>
              </w:rPr>
              <w:t>ASTM F2382 - 17e1</w:t>
            </w:r>
          </w:p>
        </w:tc>
        <w:tc>
          <w:tcPr>
            <w:tcW w:w="3686" w:type="dxa"/>
            <w:tcBorders>
              <w:bottom w:val="single" w:sz="4" w:space="0" w:color="auto"/>
            </w:tcBorders>
            <w:shd w:val="clear" w:color="auto" w:fill="FFFFFF"/>
            <w:vAlign w:val="center"/>
          </w:tcPr>
          <w:p w:rsidR="00DF7EAE" w:rsidRPr="00C75910" w:rsidRDefault="00DF7EAE" w:rsidP="006631B1">
            <w:pPr>
              <w:autoSpaceDE w:val="0"/>
              <w:autoSpaceDN w:val="0"/>
              <w:adjustRightInd w:val="0"/>
              <w:spacing w:after="0" w:line="240" w:lineRule="auto"/>
              <w:rPr>
                <w:rFonts w:cs="Arial"/>
                <w:bCs/>
                <w:sz w:val="20"/>
                <w:szCs w:val="20"/>
              </w:rPr>
            </w:pPr>
            <w:r w:rsidRPr="00C75910">
              <w:rPr>
                <w:rFonts w:cs="Arial"/>
                <w:bCs/>
                <w:sz w:val="20"/>
                <w:szCs w:val="20"/>
              </w:rPr>
              <w:t>Standard method for assessment of intravascular medical device materials on partial thromboplastin time (PTT)</w:t>
            </w:r>
          </w:p>
        </w:tc>
        <w:tc>
          <w:tcPr>
            <w:tcW w:w="3118" w:type="dxa"/>
            <w:tcBorders>
              <w:bottom w:val="single" w:sz="4" w:space="0" w:color="auto"/>
            </w:tcBorders>
            <w:shd w:val="clear" w:color="auto" w:fill="FFFFFF"/>
            <w:vAlign w:val="center"/>
          </w:tcPr>
          <w:p w:rsidR="00DF7EAE" w:rsidRPr="00C75910" w:rsidRDefault="00DF7EAE" w:rsidP="00546880">
            <w:pPr>
              <w:numPr>
                <w:ilvl w:val="0"/>
                <w:numId w:val="1"/>
              </w:numPr>
              <w:spacing w:after="0" w:line="240" w:lineRule="auto"/>
              <w:ind w:left="176" w:hanging="176"/>
              <w:contextualSpacing/>
              <w:rPr>
                <w:rFonts w:cs="Arial"/>
                <w:bCs/>
                <w:color w:val="000000"/>
                <w:sz w:val="20"/>
                <w:szCs w:val="20"/>
              </w:rPr>
            </w:pPr>
            <w:r w:rsidRPr="00C75910">
              <w:rPr>
                <w:rFonts w:cs="Arial"/>
                <w:bCs/>
                <w:color w:val="000000"/>
                <w:sz w:val="20"/>
                <w:szCs w:val="20"/>
              </w:rPr>
              <w:t>Partial thromboplastin time</w:t>
            </w:r>
          </w:p>
        </w:tc>
        <w:tc>
          <w:tcPr>
            <w:tcW w:w="993" w:type="dxa"/>
            <w:tcBorders>
              <w:bottom w:val="single" w:sz="4" w:space="0" w:color="auto"/>
              <w:right w:val="single" w:sz="4" w:space="0" w:color="auto"/>
            </w:tcBorders>
            <w:shd w:val="clear" w:color="auto" w:fill="FFFFFF"/>
            <w:vAlign w:val="center"/>
          </w:tcPr>
          <w:p w:rsidR="00DF7EAE" w:rsidRPr="00C75910" w:rsidRDefault="00DF7EAE" w:rsidP="006631B1">
            <w:pPr>
              <w:spacing w:after="0" w:line="240" w:lineRule="auto"/>
              <w:rPr>
                <w:rFonts w:cs="Arial"/>
                <w:bCs/>
                <w:i/>
                <w:color w:val="000000"/>
                <w:sz w:val="20"/>
                <w:szCs w:val="20"/>
              </w:rPr>
            </w:pPr>
            <w:r w:rsidRPr="00C75910">
              <w:rPr>
                <w:rFonts w:cs="Arial"/>
                <w:bCs/>
                <w:i/>
                <w:color w:val="000000"/>
                <w:sz w:val="20"/>
                <w:szCs w:val="20"/>
              </w:rPr>
              <w:t>In vitro</w:t>
            </w:r>
          </w:p>
        </w:tc>
      </w:tr>
      <w:tr w:rsidR="00DF7EAE" w:rsidRPr="00C75910" w:rsidTr="00DF7EAE">
        <w:trPr>
          <w:cantSplit/>
          <w:trHeight w:val="416"/>
        </w:trPr>
        <w:tc>
          <w:tcPr>
            <w:tcW w:w="1219" w:type="dxa"/>
            <w:vMerge/>
            <w:tcBorders>
              <w:left w:val="single" w:sz="4" w:space="0" w:color="auto"/>
              <w:bottom w:val="single" w:sz="4" w:space="0" w:color="auto"/>
            </w:tcBorders>
            <w:shd w:val="clear" w:color="auto" w:fill="B8CCE4"/>
            <w:textDirection w:val="btLr"/>
            <w:vAlign w:val="center"/>
          </w:tcPr>
          <w:p w:rsidR="00DF7EAE" w:rsidRPr="00C75910" w:rsidRDefault="00DF7EAE" w:rsidP="006631B1">
            <w:pPr>
              <w:autoSpaceDE w:val="0"/>
              <w:autoSpaceDN w:val="0"/>
              <w:adjustRightInd w:val="0"/>
              <w:spacing w:after="0" w:line="240" w:lineRule="auto"/>
              <w:ind w:left="113" w:right="113"/>
              <w:jc w:val="both"/>
              <w:rPr>
                <w:rFonts w:cs="Arial"/>
                <w:b/>
                <w:bCs/>
                <w:szCs w:val="20"/>
              </w:rPr>
            </w:pPr>
          </w:p>
        </w:tc>
        <w:tc>
          <w:tcPr>
            <w:tcW w:w="1417" w:type="dxa"/>
            <w:tcBorders>
              <w:bottom w:val="single" w:sz="4" w:space="0" w:color="auto"/>
            </w:tcBorders>
            <w:shd w:val="clear" w:color="auto" w:fill="FFFFFF"/>
            <w:vAlign w:val="center"/>
          </w:tcPr>
          <w:p w:rsidR="00DF7EAE" w:rsidRPr="00C75910" w:rsidRDefault="00DF7EAE" w:rsidP="006631B1">
            <w:pPr>
              <w:spacing w:after="0" w:line="240" w:lineRule="auto"/>
              <w:jc w:val="center"/>
              <w:rPr>
                <w:rFonts w:cs="Arial"/>
                <w:b/>
                <w:bCs/>
                <w:sz w:val="20"/>
                <w:szCs w:val="20"/>
              </w:rPr>
            </w:pPr>
            <w:r w:rsidRPr="00C75910">
              <w:rPr>
                <w:rFonts w:cs="Arial"/>
                <w:b/>
                <w:bCs/>
                <w:sz w:val="20"/>
                <w:szCs w:val="20"/>
              </w:rPr>
              <w:t>ASTM F2888-13</w:t>
            </w:r>
          </w:p>
        </w:tc>
        <w:tc>
          <w:tcPr>
            <w:tcW w:w="3686" w:type="dxa"/>
            <w:tcBorders>
              <w:bottom w:val="single" w:sz="4" w:space="0" w:color="auto"/>
            </w:tcBorders>
            <w:shd w:val="clear" w:color="auto" w:fill="FFFFFF"/>
            <w:vAlign w:val="center"/>
          </w:tcPr>
          <w:p w:rsidR="00DF7EAE" w:rsidRPr="00C75910" w:rsidRDefault="00DF7EAE" w:rsidP="006631B1">
            <w:pPr>
              <w:autoSpaceDE w:val="0"/>
              <w:autoSpaceDN w:val="0"/>
              <w:adjustRightInd w:val="0"/>
              <w:spacing w:after="0" w:line="240" w:lineRule="auto"/>
              <w:rPr>
                <w:rFonts w:cs="Arial"/>
                <w:bCs/>
                <w:sz w:val="20"/>
                <w:szCs w:val="20"/>
              </w:rPr>
            </w:pPr>
            <w:r w:rsidRPr="00C75910">
              <w:rPr>
                <w:rFonts w:cs="Arial"/>
                <w:bCs/>
                <w:sz w:val="20"/>
                <w:szCs w:val="20"/>
              </w:rPr>
              <w:t xml:space="preserve">Standard test method for platelet leukocyte count </w:t>
            </w:r>
          </w:p>
        </w:tc>
        <w:tc>
          <w:tcPr>
            <w:tcW w:w="3118" w:type="dxa"/>
            <w:tcBorders>
              <w:bottom w:val="single" w:sz="4" w:space="0" w:color="auto"/>
            </w:tcBorders>
            <w:shd w:val="clear" w:color="auto" w:fill="FFFFFF"/>
            <w:vAlign w:val="center"/>
          </w:tcPr>
          <w:p w:rsidR="00DF7EAE" w:rsidRPr="00C75910" w:rsidRDefault="00DF7EAE" w:rsidP="00546880">
            <w:pPr>
              <w:numPr>
                <w:ilvl w:val="0"/>
                <w:numId w:val="1"/>
              </w:numPr>
              <w:spacing w:after="0" w:line="240" w:lineRule="auto"/>
              <w:ind w:left="176" w:hanging="176"/>
              <w:contextualSpacing/>
              <w:rPr>
                <w:rFonts w:cs="Arial"/>
                <w:bCs/>
                <w:color w:val="000000"/>
                <w:sz w:val="20"/>
                <w:szCs w:val="20"/>
              </w:rPr>
            </w:pPr>
            <w:r w:rsidRPr="00C75910">
              <w:rPr>
                <w:rFonts w:cs="Arial"/>
                <w:bCs/>
                <w:color w:val="000000"/>
                <w:sz w:val="20"/>
                <w:szCs w:val="20"/>
              </w:rPr>
              <w:t>Platelets count</w:t>
            </w:r>
          </w:p>
        </w:tc>
        <w:tc>
          <w:tcPr>
            <w:tcW w:w="993" w:type="dxa"/>
            <w:tcBorders>
              <w:bottom w:val="single" w:sz="4" w:space="0" w:color="auto"/>
              <w:right w:val="single" w:sz="4" w:space="0" w:color="auto"/>
            </w:tcBorders>
            <w:shd w:val="clear" w:color="auto" w:fill="FFFFFF"/>
            <w:vAlign w:val="center"/>
          </w:tcPr>
          <w:p w:rsidR="00DF7EAE" w:rsidRPr="00C75910" w:rsidRDefault="00DF7EAE" w:rsidP="006631B1">
            <w:pPr>
              <w:spacing w:after="0" w:line="240" w:lineRule="auto"/>
              <w:rPr>
                <w:rFonts w:cs="Arial"/>
                <w:bCs/>
                <w:i/>
                <w:color w:val="000000"/>
                <w:sz w:val="20"/>
                <w:szCs w:val="20"/>
              </w:rPr>
            </w:pPr>
            <w:r w:rsidRPr="00C75910">
              <w:rPr>
                <w:rFonts w:cs="Arial"/>
                <w:bCs/>
                <w:i/>
                <w:color w:val="000000"/>
                <w:sz w:val="20"/>
                <w:szCs w:val="20"/>
              </w:rPr>
              <w:t>In vitro</w:t>
            </w:r>
          </w:p>
        </w:tc>
      </w:tr>
      <w:tr w:rsidR="00DF7EAE" w:rsidRPr="00C75910" w:rsidTr="00DF7EAE">
        <w:trPr>
          <w:cantSplit/>
          <w:trHeight w:val="666"/>
        </w:trPr>
        <w:tc>
          <w:tcPr>
            <w:tcW w:w="1219" w:type="dxa"/>
            <w:vMerge w:val="restart"/>
            <w:tcBorders>
              <w:top w:val="single" w:sz="4" w:space="0" w:color="auto"/>
              <w:left w:val="single" w:sz="4" w:space="0" w:color="auto"/>
            </w:tcBorders>
            <w:shd w:val="clear" w:color="auto" w:fill="FFDA3B"/>
            <w:textDirection w:val="btLr"/>
            <w:vAlign w:val="center"/>
          </w:tcPr>
          <w:p w:rsidR="00DF7EAE" w:rsidRPr="00C75910" w:rsidRDefault="00DF7EAE" w:rsidP="00C9690A">
            <w:pPr>
              <w:spacing w:after="0" w:line="240" w:lineRule="auto"/>
              <w:ind w:left="113" w:right="113"/>
              <w:jc w:val="center"/>
              <w:rPr>
                <w:rFonts w:cs="Arial"/>
                <w:b/>
                <w:bCs/>
                <w:szCs w:val="20"/>
              </w:rPr>
            </w:pPr>
            <w:r w:rsidRPr="00C75910">
              <w:rPr>
                <w:rFonts w:cs="Arial"/>
                <w:b/>
                <w:bCs/>
                <w:szCs w:val="20"/>
              </w:rPr>
              <w:t>Complement activation</w:t>
            </w:r>
          </w:p>
        </w:tc>
        <w:tc>
          <w:tcPr>
            <w:tcW w:w="1417" w:type="dxa"/>
            <w:tcBorders>
              <w:top w:val="single" w:sz="4" w:space="0" w:color="auto"/>
              <w:bottom w:val="single" w:sz="4" w:space="0" w:color="auto"/>
            </w:tcBorders>
            <w:shd w:val="clear" w:color="auto" w:fill="FFFFFF"/>
            <w:vAlign w:val="center"/>
          </w:tcPr>
          <w:p w:rsidR="00DF7EAE" w:rsidRPr="00C75910" w:rsidRDefault="00DF7EAE" w:rsidP="006631B1">
            <w:pPr>
              <w:spacing w:after="0" w:line="240" w:lineRule="auto"/>
              <w:jc w:val="center"/>
              <w:rPr>
                <w:rFonts w:cs="Arial"/>
                <w:b/>
                <w:bCs/>
                <w:sz w:val="20"/>
                <w:szCs w:val="20"/>
              </w:rPr>
            </w:pPr>
            <w:r w:rsidRPr="00C75910">
              <w:rPr>
                <w:rFonts w:cs="Arial"/>
                <w:b/>
                <w:bCs/>
                <w:sz w:val="20"/>
                <w:szCs w:val="20"/>
              </w:rPr>
              <w:t>ISO 10993-4</w:t>
            </w:r>
          </w:p>
        </w:tc>
        <w:tc>
          <w:tcPr>
            <w:tcW w:w="3686" w:type="dxa"/>
            <w:tcBorders>
              <w:top w:val="single" w:sz="4" w:space="0" w:color="auto"/>
              <w:bottom w:val="single" w:sz="4" w:space="0" w:color="auto"/>
            </w:tcBorders>
            <w:shd w:val="clear" w:color="auto" w:fill="FFFFFF"/>
            <w:vAlign w:val="center"/>
          </w:tcPr>
          <w:p w:rsidR="00DF7EAE" w:rsidRPr="00C75910" w:rsidRDefault="00DF7EAE" w:rsidP="006631B1">
            <w:pPr>
              <w:autoSpaceDE w:val="0"/>
              <w:autoSpaceDN w:val="0"/>
              <w:adjustRightInd w:val="0"/>
              <w:spacing w:after="0" w:line="240" w:lineRule="auto"/>
              <w:rPr>
                <w:rFonts w:cs="Arial"/>
                <w:bCs/>
                <w:sz w:val="20"/>
                <w:szCs w:val="20"/>
              </w:rPr>
            </w:pPr>
            <w:r w:rsidRPr="00C75910">
              <w:rPr>
                <w:rFonts w:cs="Arial"/>
                <w:bCs/>
                <w:sz w:val="20"/>
                <w:szCs w:val="20"/>
              </w:rPr>
              <w:t xml:space="preserve">Biological evaluation of medical devices – </w:t>
            </w:r>
            <w:r w:rsidRPr="00C75910">
              <w:rPr>
                <w:rFonts w:cs="Arial"/>
                <w:sz w:val="20"/>
                <w:szCs w:val="20"/>
              </w:rPr>
              <w:t xml:space="preserve">Part 4: </w:t>
            </w:r>
            <w:r w:rsidRPr="00C75910">
              <w:rPr>
                <w:rFonts w:cs="Arial"/>
                <w:bCs/>
                <w:sz w:val="20"/>
                <w:szCs w:val="20"/>
              </w:rPr>
              <w:t>Selection of tests for interaction with blood</w:t>
            </w:r>
          </w:p>
        </w:tc>
        <w:tc>
          <w:tcPr>
            <w:tcW w:w="3118" w:type="dxa"/>
            <w:tcBorders>
              <w:top w:val="single" w:sz="4" w:space="0" w:color="auto"/>
              <w:bottom w:val="single" w:sz="4" w:space="0" w:color="auto"/>
            </w:tcBorders>
            <w:shd w:val="clear" w:color="auto" w:fill="FFFFFF"/>
            <w:vAlign w:val="center"/>
          </w:tcPr>
          <w:p w:rsidR="00DF7EAE" w:rsidRPr="00C75910" w:rsidRDefault="00DF7EAE" w:rsidP="00546880">
            <w:pPr>
              <w:numPr>
                <w:ilvl w:val="0"/>
                <w:numId w:val="1"/>
              </w:numPr>
              <w:spacing w:after="0" w:line="240" w:lineRule="auto"/>
              <w:ind w:left="176" w:hanging="176"/>
              <w:contextualSpacing/>
              <w:rPr>
                <w:rFonts w:cs="Arial"/>
                <w:bCs/>
                <w:color w:val="000000"/>
                <w:sz w:val="20"/>
                <w:szCs w:val="20"/>
              </w:rPr>
            </w:pPr>
            <w:r w:rsidRPr="00C75910">
              <w:rPr>
                <w:rFonts w:cs="Arial"/>
                <w:bCs/>
                <w:color w:val="000000"/>
                <w:sz w:val="20"/>
                <w:szCs w:val="20"/>
              </w:rPr>
              <w:t>Assessment of complement factors plasma levels (C3a, SC5b-9) by ELISA</w:t>
            </w:r>
          </w:p>
        </w:tc>
        <w:tc>
          <w:tcPr>
            <w:tcW w:w="993" w:type="dxa"/>
            <w:tcBorders>
              <w:top w:val="single" w:sz="4" w:space="0" w:color="auto"/>
              <w:bottom w:val="single" w:sz="4" w:space="0" w:color="auto"/>
              <w:right w:val="single" w:sz="4" w:space="0" w:color="auto"/>
            </w:tcBorders>
            <w:shd w:val="clear" w:color="auto" w:fill="FFFFFF"/>
            <w:vAlign w:val="center"/>
          </w:tcPr>
          <w:p w:rsidR="00DF7EAE" w:rsidRPr="00C75910" w:rsidRDefault="00DF7EAE" w:rsidP="006631B1">
            <w:pPr>
              <w:spacing w:after="0" w:line="240" w:lineRule="auto"/>
              <w:rPr>
                <w:rFonts w:cs="Arial"/>
                <w:bCs/>
                <w:color w:val="000000"/>
                <w:sz w:val="20"/>
                <w:szCs w:val="20"/>
              </w:rPr>
            </w:pPr>
            <w:r w:rsidRPr="00C75910">
              <w:rPr>
                <w:rFonts w:cs="Arial"/>
                <w:bCs/>
                <w:i/>
                <w:color w:val="000000"/>
                <w:sz w:val="20"/>
                <w:szCs w:val="20"/>
              </w:rPr>
              <w:t>In vitro</w:t>
            </w:r>
          </w:p>
        </w:tc>
      </w:tr>
      <w:tr w:rsidR="00DF7EAE" w:rsidRPr="00C75910" w:rsidTr="00DF7EAE">
        <w:trPr>
          <w:cantSplit/>
          <w:trHeight w:val="666"/>
        </w:trPr>
        <w:tc>
          <w:tcPr>
            <w:tcW w:w="1219" w:type="dxa"/>
            <w:vMerge/>
            <w:tcBorders>
              <w:left w:val="single" w:sz="4" w:space="0" w:color="auto"/>
              <w:bottom w:val="single" w:sz="4" w:space="0" w:color="auto"/>
            </w:tcBorders>
            <w:shd w:val="clear" w:color="auto" w:fill="FFDA3B"/>
            <w:vAlign w:val="center"/>
          </w:tcPr>
          <w:p w:rsidR="00DF7EAE" w:rsidRPr="00C75910" w:rsidRDefault="00DF7EAE" w:rsidP="006631B1">
            <w:pPr>
              <w:spacing w:after="0" w:line="240" w:lineRule="auto"/>
              <w:jc w:val="both"/>
              <w:rPr>
                <w:rFonts w:cs="Arial"/>
                <w:b/>
                <w:bCs/>
                <w:sz w:val="20"/>
                <w:szCs w:val="20"/>
              </w:rPr>
            </w:pPr>
          </w:p>
        </w:tc>
        <w:tc>
          <w:tcPr>
            <w:tcW w:w="1417" w:type="dxa"/>
            <w:tcBorders>
              <w:top w:val="single" w:sz="4" w:space="0" w:color="auto"/>
              <w:bottom w:val="single" w:sz="4" w:space="0" w:color="auto"/>
            </w:tcBorders>
            <w:shd w:val="clear" w:color="auto" w:fill="FFFFFF"/>
            <w:vAlign w:val="center"/>
          </w:tcPr>
          <w:p w:rsidR="00DF7EAE" w:rsidRPr="00C75910" w:rsidRDefault="00DF7EAE" w:rsidP="006631B1">
            <w:pPr>
              <w:spacing w:after="0" w:line="240" w:lineRule="auto"/>
              <w:jc w:val="center"/>
              <w:rPr>
                <w:rFonts w:cs="Arial"/>
                <w:b/>
                <w:bCs/>
                <w:sz w:val="20"/>
                <w:szCs w:val="20"/>
              </w:rPr>
            </w:pPr>
            <w:r w:rsidRPr="00C75910">
              <w:rPr>
                <w:rFonts w:cs="Arial"/>
                <w:b/>
                <w:bCs/>
                <w:sz w:val="20"/>
                <w:szCs w:val="20"/>
              </w:rPr>
              <w:t>ASTM F 1984 – 99</w:t>
            </w:r>
          </w:p>
        </w:tc>
        <w:tc>
          <w:tcPr>
            <w:tcW w:w="3686" w:type="dxa"/>
            <w:tcBorders>
              <w:top w:val="single" w:sz="4" w:space="0" w:color="auto"/>
              <w:bottom w:val="single" w:sz="4" w:space="0" w:color="auto"/>
            </w:tcBorders>
            <w:shd w:val="clear" w:color="auto" w:fill="FFFFFF"/>
            <w:vAlign w:val="center"/>
          </w:tcPr>
          <w:p w:rsidR="00DF7EAE" w:rsidRPr="00C75910" w:rsidRDefault="00DF7EAE" w:rsidP="006631B1">
            <w:pPr>
              <w:autoSpaceDE w:val="0"/>
              <w:autoSpaceDN w:val="0"/>
              <w:adjustRightInd w:val="0"/>
              <w:spacing w:after="0" w:line="240" w:lineRule="auto"/>
              <w:rPr>
                <w:rFonts w:cs="Arial"/>
                <w:bCs/>
                <w:sz w:val="20"/>
                <w:szCs w:val="20"/>
              </w:rPr>
            </w:pPr>
            <w:r w:rsidRPr="00C75910">
              <w:rPr>
                <w:rFonts w:cs="Arial"/>
                <w:bCs/>
                <w:sz w:val="20"/>
                <w:szCs w:val="20"/>
              </w:rPr>
              <w:t>Standard practice for testing for whole complement activation in serum by solid materials</w:t>
            </w:r>
          </w:p>
        </w:tc>
        <w:tc>
          <w:tcPr>
            <w:tcW w:w="3118" w:type="dxa"/>
            <w:tcBorders>
              <w:top w:val="single" w:sz="4" w:space="0" w:color="auto"/>
              <w:bottom w:val="single" w:sz="4" w:space="0" w:color="auto"/>
            </w:tcBorders>
            <w:shd w:val="clear" w:color="auto" w:fill="FFFFFF"/>
            <w:vAlign w:val="center"/>
          </w:tcPr>
          <w:p w:rsidR="00DF7EAE" w:rsidRPr="00C75910" w:rsidRDefault="00DF7EAE" w:rsidP="00546880">
            <w:pPr>
              <w:numPr>
                <w:ilvl w:val="0"/>
                <w:numId w:val="1"/>
              </w:numPr>
              <w:spacing w:after="0" w:line="240" w:lineRule="auto"/>
              <w:ind w:left="176" w:hanging="176"/>
              <w:contextualSpacing/>
              <w:rPr>
                <w:rFonts w:cs="Arial"/>
                <w:bCs/>
                <w:color w:val="000000"/>
                <w:sz w:val="20"/>
                <w:szCs w:val="20"/>
              </w:rPr>
            </w:pPr>
            <w:r w:rsidRPr="00C75910">
              <w:rPr>
                <w:rFonts w:cs="Arial"/>
                <w:bCs/>
                <w:color w:val="000000"/>
                <w:sz w:val="20"/>
                <w:szCs w:val="20"/>
              </w:rPr>
              <w:t>Total haemolytic activity of the classical pathway (CH 50)</w:t>
            </w:r>
          </w:p>
        </w:tc>
        <w:tc>
          <w:tcPr>
            <w:tcW w:w="993" w:type="dxa"/>
            <w:tcBorders>
              <w:top w:val="single" w:sz="4" w:space="0" w:color="auto"/>
              <w:bottom w:val="single" w:sz="4" w:space="0" w:color="auto"/>
              <w:right w:val="single" w:sz="4" w:space="0" w:color="auto"/>
            </w:tcBorders>
            <w:shd w:val="clear" w:color="auto" w:fill="FFFFFF"/>
            <w:vAlign w:val="center"/>
          </w:tcPr>
          <w:p w:rsidR="00DF7EAE" w:rsidRPr="00C75910" w:rsidRDefault="00DF7EAE" w:rsidP="006631B1">
            <w:pPr>
              <w:keepNext/>
              <w:spacing w:after="0" w:line="240" w:lineRule="auto"/>
              <w:rPr>
                <w:rFonts w:cs="Arial"/>
                <w:bCs/>
                <w:i/>
                <w:color w:val="000000"/>
                <w:sz w:val="20"/>
                <w:szCs w:val="20"/>
              </w:rPr>
            </w:pPr>
            <w:r w:rsidRPr="00C75910">
              <w:rPr>
                <w:rFonts w:cs="Arial"/>
                <w:bCs/>
                <w:i/>
                <w:color w:val="000000"/>
                <w:sz w:val="20"/>
                <w:szCs w:val="20"/>
              </w:rPr>
              <w:t>In vitro</w:t>
            </w:r>
          </w:p>
        </w:tc>
      </w:tr>
    </w:tbl>
    <w:p w:rsidR="00F72E37" w:rsidRDefault="00DF7EAE" w:rsidP="00DF7EAE">
      <w:pPr>
        <w:pStyle w:val="Caption"/>
        <w:spacing w:line="276" w:lineRule="auto"/>
        <w:rPr>
          <w:rFonts w:cs="Arial"/>
          <w:b w:val="0"/>
          <w:color w:val="auto"/>
          <w:sz w:val="22"/>
          <w:szCs w:val="22"/>
        </w:rPr>
      </w:pPr>
      <w:r w:rsidRPr="00C75910">
        <w:rPr>
          <w:rFonts w:cs="Arial"/>
          <w:b w:val="0"/>
          <w:color w:val="auto"/>
          <w:sz w:val="22"/>
          <w:szCs w:val="22"/>
        </w:rPr>
        <w:lastRenderedPageBreak/>
        <w:t xml:space="preserve">Table </w:t>
      </w:r>
      <w:r w:rsidRPr="00C75910">
        <w:rPr>
          <w:rFonts w:cs="Arial"/>
          <w:b w:val="0"/>
          <w:color w:val="auto"/>
          <w:sz w:val="22"/>
          <w:szCs w:val="22"/>
        </w:rPr>
        <w:fldChar w:fldCharType="begin"/>
      </w:r>
      <w:r w:rsidRPr="00C75910">
        <w:rPr>
          <w:rFonts w:cs="Arial"/>
          <w:b w:val="0"/>
          <w:color w:val="auto"/>
          <w:sz w:val="22"/>
          <w:szCs w:val="22"/>
        </w:rPr>
        <w:instrText xml:space="preserve"> SEQ Table \* ARABIC </w:instrText>
      </w:r>
      <w:r w:rsidRPr="00C75910">
        <w:rPr>
          <w:rFonts w:cs="Arial"/>
          <w:b w:val="0"/>
          <w:color w:val="auto"/>
          <w:sz w:val="22"/>
          <w:szCs w:val="22"/>
        </w:rPr>
        <w:fldChar w:fldCharType="separate"/>
      </w:r>
      <w:r w:rsidR="009F37F4">
        <w:rPr>
          <w:rFonts w:cs="Arial"/>
          <w:b w:val="0"/>
          <w:noProof/>
          <w:color w:val="auto"/>
          <w:sz w:val="22"/>
          <w:szCs w:val="22"/>
        </w:rPr>
        <w:t>1</w:t>
      </w:r>
      <w:r w:rsidRPr="00C75910">
        <w:rPr>
          <w:rFonts w:cs="Arial"/>
          <w:b w:val="0"/>
          <w:color w:val="auto"/>
          <w:sz w:val="22"/>
          <w:szCs w:val="22"/>
        </w:rPr>
        <w:fldChar w:fldCharType="end"/>
      </w:r>
      <w:r w:rsidRPr="00C75910">
        <w:rPr>
          <w:rFonts w:cs="Arial"/>
          <w:b w:val="0"/>
          <w:color w:val="auto"/>
          <w:sz w:val="22"/>
          <w:szCs w:val="22"/>
        </w:rPr>
        <w:t>. Available standards and guidelines for the assessment of blood compatibility. Information about the endpoint covered by each document and the methods included is shown.</w:t>
      </w:r>
    </w:p>
    <w:p w:rsidR="00DF7EAE" w:rsidRPr="00C75910" w:rsidRDefault="00DF7EAE" w:rsidP="00DF7EAE">
      <w:pPr>
        <w:tabs>
          <w:tab w:val="center" w:pos="4513"/>
        </w:tabs>
        <w:jc w:val="both"/>
        <w:rPr>
          <w:rFonts w:cs="Arial"/>
        </w:rPr>
      </w:pPr>
    </w:p>
    <w:p w:rsidR="00C31FF0" w:rsidRPr="005A77E5" w:rsidRDefault="00C31FF0" w:rsidP="00C31FF0">
      <w:pPr>
        <w:rPr>
          <w:b/>
          <w:color w:val="1F497D"/>
        </w:rPr>
      </w:pPr>
      <w:r w:rsidRPr="005A77E5">
        <w:rPr>
          <w:b/>
          <w:color w:val="1F497D"/>
        </w:rPr>
        <w:t>Figure</w:t>
      </w:r>
      <w:r w:rsidR="00F731CA">
        <w:rPr>
          <w:b/>
          <w:color w:val="1F497D"/>
        </w:rPr>
        <w:t>s and Table</w:t>
      </w:r>
      <w:r w:rsidRPr="005A77E5">
        <w:rPr>
          <w:b/>
          <w:color w:val="1F497D"/>
        </w:rPr>
        <w:t>s</w:t>
      </w:r>
    </w:p>
    <w:p w:rsidR="00AB42E5" w:rsidRDefault="00AB42E5" w:rsidP="00AB42E5">
      <w:pPr>
        <w:jc w:val="both"/>
      </w:pPr>
      <w:r>
        <w:t xml:space="preserve">Figure 1. Flow diagram of the methodology used to select articles which were included in the study. It is based on the Preferred Reporting Items for Systematic Reviews and Meta-Analyses (PRISMA). The diagram maps out the number of records </w:t>
      </w:r>
      <w:r w:rsidR="00EB264A">
        <w:t xml:space="preserve">(n) </w:t>
      </w:r>
      <w:r>
        <w:t>identified, included and excluded; and the reasons for exclusion.</w:t>
      </w:r>
    </w:p>
    <w:p w:rsidR="004E71DC" w:rsidRDefault="000874E4" w:rsidP="00AD167F">
      <w:pPr>
        <w:spacing w:before="240"/>
        <w:rPr>
          <w:rFonts w:cs="Arial"/>
          <w:b/>
        </w:rPr>
      </w:pPr>
      <w:r>
        <w:rPr>
          <w:rFonts w:cs="Arial"/>
        </w:rPr>
        <w:t xml:space="preserve">Figure 2. </w:t>
      </w:r>
      <w:r w:rsidR="00EB7E92" w:rsidRPr="00EB7E92">
        <w:rPr>
          <w:rFonts w:cs="Arial"/>
        </w:rPr>
        <w:t xml:space="preserve">Number of publications (n) </w:t>
      </w:r>
      <w:r w:rsidR="004E71DC" w:rsidRPr="004E71DC">
        <w:rPr>
          <w:rFonts w:cs="Arial"/>
        </w:rPr>
        <w:t xml:space="preserve"> reporting blood incompatibilities for nanomedicines, </w:t>
      </w:r>
      <w:r w:rsidR="004E71DC" w:rsidRPr="004E71DC">
        <w:rPr>
          <w:rFonts w:cs="Arial"/>
          <w:i/>
        </w:rPr>
        <w:t>in vivo</w:t>
      </w:r>
      <w:r w:rsidR="004E71DC" w:rsidRPr="004E71DC">
        <w:rPr>
          <w:rFonts w:cs="Arial"/>
        </w:rPr>
        <w:t xml:space="preserve"> (A) or </w:t>
      </w:r>
      <w:r w:rsidR="004E71DC" w:rsidRPr="004E71DC">
        <w:rPr>
          <w:rFonts w:cs="Arial"/>
          <w:i/>
        </w:rPr>
        <w:t>in vitro</w:t>
      </w:r>
      <w:r w:rsidR="004E71DC" w:rsidRPr="004E71DC">
        <w:rPr>
          <w:rFonts w:cs="Arial"/>
        </w:rPr>
        <w:t xml:space="preserve"> (B). The most frequently reported blood </w:t>
      </w:r>
      <w:r w:rsidR="0067597C">
        <w:rPr>
          <w:rFonts w:cs="Arial"/>
        </w:rPr>
        <w:t>incompatibility</w:t>
      </w:r>
      <w:r w:rsidR="0067597C" w:rsidRPr="004E71DC">
        <w:rPr>
          <w:rFonts w:cs="Arial"/>
        </w:rPr>
        <w:t xml:space="preserve"> </w:t>
      </w:r>
      <w:r w:rsidR="004E71DC" w:rsidRPr="00EE19CA">
        <w:rPr>
          <w:rFonts w:cs="Arial"/>
          <w:i/>
        </w:rPr>
        <w:t>in vivo</w:t>
      </w:r>
      <w:r w:rsidR="004E71DC" w:rsidRPr="004E71DC">
        <w:rPr>
          <w:rFonts w:cs="Arial"/>
        </w:rPr>
        <w:t xml:space="preserve"> was thrombosis. Alterations on coagulation and platelets are </w:t>
      </w:r>
      <w:r w:rsidR="004E71DC" w:rsidRPr="00EE19CA">
        <w:rPr>
          <w:rFonts w:cs="Arial"/>
          <w:i/>
        </w:rPr>
        <w:t>in vitro</w:t>
      </w:r>
      <w:r w:rsidR="004E71DC" w:rsidRPr="004E71DC">
        <w:rPr>
          <w:rFonts w:cs="Arial"/>
        </w:rPr>
        <w:t xml:space="preserve"> endpoints corresponding to thrombosis </w:t>
      </w:r>
      <w:r w:rsidR="004E71DC" w:rsidRPr="004E71DC">
        <w:rPr>
          <w:rFonts w:cs="Arial"/>
          <w:i/>
        </w:rPr>
        <w:t>in vivo</w:t>
      </w:r>
      <w:r w:rsidR="004E71DC" w:rsidRPr="004E71DC">
        <w:rPr>
          <w:rFonts w:cs="Arial"/>
        </w:rPr>
        <w:t xml:space="preserve">; counted together, they are also the main blood incompatibility </w:t>
      </w:r>
      <w:r w:rsidR="004E71DC" w:rsidRPr="004E71DC">
        <w:rPr>
          <w:rFonts w:cs="Arial"/>
          <w:i/>
        </w:rPr>
        <w:t>in vitro</w:t>
      </w:r>
      <w:r w:rsidR="004E71DC" w:rsidRPr="004E71DC">
        <w:rPr>
          <w:rFonts w:cs="Arial"/>
        </w:rPr>
        <w:t>.</w:t>
      </w:r>
    </w:p>
    <w:p w:rsidR="004E71DC" w:rsidRPr="005B2638" w:rsidRDefault="004E71DC" w:rsidP="00F42000">
      <w:pPr>
        <w:pStyle w:val="Caption"/>
        <w:spacing w:line="276" w:lineRule="auto"/>
        <w:rPr>
          <w:rFonts w:cs="Arial"/>
          <w:b w:val="0"/>
          <w:sz w:val="22"/>
          <w:szCs w:val="22"/>
        </w:rPr>
      </w:pPr>
      <w:r w:rsidRPr="009723E4">
        <w:rPr>
          <w:b w:val="0"/>
          <w:color w:val="auto"/>
          <w:sz w:val="22"/>
          <w:szCs w:val="22"/>
        </w:rPr>
        <w:t xml:space="preserve">Figure </w:t>
      </w:r>
      <w:r w:rsidR="000874E4">
        <w:rPr>
          <w:b w:val="0"/>
          <w:color w:val="auto"/>
          <w:sz w:val="22"/>
          <w:szCs w:val="22"/>
        </w:rPr>
        <w:t>3</w:t>
      </w:r>
      <w:r w:rsidRPr="009723E4">
        <w:rPr>
          <w:b w:val="0"/>
          <w:color w:val="auto"/>
          <w:sz w:val="22"/>
          <w:szCs w:val="22"/>
        </w:rPr>
        <w:t>.</w:t>
      </w:r>
      <w:r w:rsidRPr="008509C9">
        <w:rPr>
          <w:b w:val="0"/>
          <w:sz w:val="22"/>
          <w:szCs w:val="22"/>
        </w:rPr>
        <w:t xml:space="preserve"> </w:t>
      </w:r>
      <w:r w:rsidR="00AB42E5" w:rsidRPr="00275FCC">
        <w:rPr>
          <w:rFonts w:cs="Arial"/>
          <w:b w:val="0"/>
          <w:color w:val="auto"/>
          <w:sz w:val="22"/>
          <w:szCs w:val="22"/>
        </w:rPr>
        <w:t xml:space="preserve">General blood incompatibilities linked to the types of nanomedicines </w:t>
      </w:r>
      <w:r w:rsidR="00AB42E5" w:rsidRPr="00275FCC">
        <w:rPr>
          <w:rFonts w:cs="Arial"/>
          <w:b w:val="0"/>
          <w:i/>
          <w:color w:val="auto"/>
          <w:sz w:val="22"/>
          <w:szCs w:val="22"/>
        </w:rPr>
        <w:t>in vivo</w:t>
      </w:r>
      <w:r w:rsidR="00AB42E5" w:rsidRPr="00275FCC">
        <w:rPr>
          <w:rFonts w:cs="Arial"/>
          <w:b w:val="0"/>
          <w:color w:val="auto"/>
          <w:sz w:val="22"/>
          <w:szCs w:val="22"/>
        </w:rPr>
        <w:t>. 46 articles out of the 147 screened publications reported blood incompatibilities, and inorganic nanoparticles were mo</w:t>
      </w:r>
      <w:r w:rsidR="00AB42E5">
        <w:rPr>
          <w:rFonts w:cs="Arial"/>
          <w:b w:val="0"/>
          <w:color w:val="auto"/>
          <w:sz w:val="22"/>
          <w:szCs w:val="22"/>
        </w:rPr>
        <w:t>st</w:t>
      </w:r>
      <w:r w:rsidR="00AB42E5" w:rsidRPr="00275FCC">
        <w:rPr>
          <w:rFonts w:cs="Arial"/>
          <w:b w:val="0"/>
          <w:color w:val="auto"/>
          <w:sz w:val="22"/>
          <w:szCs w:val="22"/>
        </w:rPr>
        <w:t xml:space="preserve"> frequently associated with blood toxicities (A). Types of nanomedicines and nanomaterials with potential use in biomedicine </w:t>
      </w:r>
      <w:r w:rsidR="00F40152">
        <w:rPr>
          <w:rFonts w:cs="Arial"/>
          <w:b w:val="0"/>
          <w:color w:val="auto"/>
          <w:sz w:val="22"/>
          <w:szCs w:val="22"/>
        </w:rPr>
        <w:t>retrieved from</w:t>
      </w:r>
      <w:r w:rsidR="00F40152" w:rsidRPr="00275FCC">
        <w:rPr>
          <w:rFonts w:cs="Arial"/>
          <w:b w:val="0"/>
          <w:color w:val="auto"/>
          <w:sz w:val="22"/>
          <w:szCs w:val="22"/>
        </w:rPr>
        <w:t xml:space="preserve"> </w:t>
      </w:r>
      <w:r w:rsidR="00AB42E5" w:rsidRPr="00275FCC">
        <w:rPr>
          <w:rFonts w:cs="Arial"/>
          <w:b w:val="0"/>
          <w:color w:val="auto"/>
          <w:sz w:val="22"/>
          <w:szCs w:val="22"/>
        </w:rPr>
        <w:t>the screened publications and num</w:t>
      </w:r>
      <w:r w:rsidR="00AB42E5" w:rsidRPr="0056546C">
        <w:rPr>
          <w:rFonts w:cs="Arial"/>
          <w:b w:val="0"/>
          <w:color w:val="auto"/>
          <w:sz w:val="22"/>
          <w:szCs w:val="22"/>
        </w:rPr>
        <w:t xml:space="preserve">ber of publications </w:t>
      </w:r>
      <w:r w:rsidR="00F40152">
        <w:rPr>
          <w:rFonts w:cs="Arial"/>
          <w:b w:val="0"/>
          <w:color w:val="auto"/>
          <w:sz w:val="22"/>
          <w:szCs w:val="22"/>
        </w:rPr>
        <w:t xml:space="preserve"> </w:t>
      </w:r>
      <w:r w:rsidR="00AB42E5" w:rsidRPr="0056546C">
        <w:rPr>
          <w:rFonts w:cs="Arial"/>
          <w:b w:val="0"/>
          <w:color w:val="auto"/>
          <w:sz w:val="22"/>
          <w:szCs w:val="22"/>
        </w:rPr>
        <w:t>found for each type of nanomaterial</w:t>
      </w:r>
      <w:r w:rsidR="00AB42E5" w:rsidRPr="007602E8">
        <w:rPr>
          <w:rFonts w:cs="Arial"/>
          <w:b w:val="0"/>
          <w:color w:val="auto"/>
          <w:sz w:val="22"/>
          <w:szCs w:val="22"/>
        </w:rPr>
        <w:t xml:space="preserve">. For inorganic NPs only one publication was found for some NPS, which were grouped under the category </w:t>
      </w:r>
      <w:r w:rsidR="00AB42E5" w:rsidRPr="007602E8">
        <w:rPr>
          <w:rFonts w:cs="Arial"/>
          <w:b w:val="0"/>
          <w:i/>
          <w:color w:val="auto"/>
          <w:sz w:val="22"/>
          <w:szCs w:val="22"/>
        </w:rPr>
        <w:t>Other (inorganic)</w:t>
      </w:r>
      <w:r w:rsidR="00AB42E5">
        <w:rPr>
          <w:rFonts w:cs="Arial"/>
          <w:b w:val="0"/>
          <w:i/>
          <w:color w:val="auto"/>
          <w:sz w:val="22"/>
          <w:szCs w:val="22"/>
        </w:rPr>
        <w:t xml:space="preserve"> </w:t>
      </w:r>
      <w:r w:rsidR="00AB42E5" w:rsidRPr="0056546C">
        <w:rPr>
          <w:rFonts w:cs="Arial"/>
          <w:b w:val="0"/>
          <w:color w:val="auto"/>
          <w:sz w:val="22"/>
          <w:szCs w:val="22"/>
        </w:rPr>
        <w:t>(B).</w:t>
      </w:r>
    </w:p>
    <w:p w:rsidR="004E71DC" w:rsidRDefault="004E71DC" w:rsidP="00AD167F">
      <w:pPr>
        <w:spacing w:before="240" w:after="0"/>
        <w:jc w:val="both"/>
      </w:pPr>
      <w:r>
        <w:t xml:space="preserve">Figure </w:t>
      </w:r>
      <w:r w:rsidR="00AB42E5">
        <w:t>4</w:t>
      </w:r>
      <w:r>
        <w:t xml:space="preserve">. </w:t>
      </w:r>
      <w:r w:rsidR="009D3B5D" w:rsidRPr="009D3B5D">
        <w:t>General blood incompatibilities linked to the different types of nanomedicines in vitro. Inorganic NPs were the type of nanomedicines most frequently associated with blood incompatibilities (A). The different types of nanomaterials included in each type (colour –coded), and the number of publications found for each nanomaterial in vitro is shown. The highest number of publications were found for polymeric NPs (n=123) (B).</w:t>
      </w:r>
    </w:p>
    <w:p w:rsidR="00DD519F" w:rsidRDefault="00DD519F" w:rsidP="00723C5D">
      <w:pPr>
        <w:jc w:val="both"/>
      </w:pPr>
    </w:p>
    <w:p w:rsidR="00723C5D" w:rsidRPr="008D1D14" w:rsidRDefault="004E71DC" w:rsidP="00723C5D">
      <w:pPr>
        <w:jc w:val="both"/>
      </w:pPr>
      <w:r w:rsidRPr="008D1D14">
        <w:t xml:space="preserve">Figure </w:t>
      </w:r>
      <w:r w:rsidR="00AB42E5">
        <w:t>5</w:t>
      </w:r>
      <w:r w:rsidRPr="008D1D14">
        <w:t xml:space="preserve">. </w:t>
      </w:r>
      <w:r w:rsidR="00AB42E5" w:rsidRPr="00AB42E5">
        <w:t xml:space="preserve"> </w:t>
      </w:r>
      <w:r w:rsidR="00723C5D" w:rsidRPr="008D1D14">
        <w:t>Number of publications reporting</w:t>
      </w:r>
      <w:r w:rsidR="00723C5D">
        <w:t xml:space="preserve"> blood</w:t>
      </w:r>
      <w:r w:rsidR="00723C5D" w:rsidRPr="008D1D14">
        <w:t xml:space="preserve"> adverse effects </w:t>
      </w:r>
      <w:r w:rsidR="00723C5D" w:rsidRPr="001E77AF">
        <w:rPr>
          <w:i/>
        </w:rPr>
        <w:t>in vivo</w:t>
      </w:r>
      <w:r w:rsidR="00723C5D" w:rsidRPr="008D1D14">
        <w:t xml:space="preserve"> for inorganic (A), </w:t>
      </w:r>
      <w:r w:rsidR="00723C5D">
        <w:t>p</w:t>
      </w:r>
      <w:r w:rsidR="00723C5D" w:rsidRPr="008D1D14">
        <w:t xml:space="preserve">olymer-based (B) and </w:t>
      </w:r>
      <w:r w:rsidR="00723C5D">
        <w:t>l</w:t>
      </w:r>
      <w:r w:rsidR="00723C5D" w:rsidRPr="008D1D14">
        <w:t>ipid-based NPs</w:t>
      </w:r>
      <w:r w:rsidR="00723C5D">
        <w:t xml:space="preserve"> (C)</w:t>
      </w:r>
      <w:r w:rsidR="00723C5D" w:rsidRPr="008D1D14">
        <w:t xml:space="preserve">. The main adversity associated with inorganic NPs </w:t>
      </w:r>
      <w:r w:rsidR="00723C5D" w:rsidRPr="001E77AF">
        <w:rPr>
          <w:i/>
        </w:rPr>
        <w:t>in vivo</w:t>
      </w:r>
      <w:r w:rsidR="00723C5D" w:rsidRPr="008D1D14">
        <w:t xml:space="preserve"> was thrombosis, polymers did not show relevant blood toxicities, and lipid-based NPs were linked with undesired complement activation.</w:t>
      </w:r>
    </w:p>
    <w:p w:rsidR="009723E4" w:rsidRPr="008D1D14" w:rsidRDefault="009723E4" w:rsidP="00AD167F">
      <w:pPr>
        <w:jc w:val="both"/>
      </w:pPr>
      <w:r w:rsidRPr="008D1D14">
        <w:t xml:space="preserve">Figure </w:t>
      </w:r>
      <w:r w:rsidR="00AB42E5">
        <w:t>6</w:t>
      </w:r>
      <w:r w:rsidRPr="008D1D14">
        <w:t xml:space="preserve">. Number of publications reporting blood toxicities </w:t>
      </w:r>
      <w:r w:rsidRPr="001E77AF">
        <w:rPr>
          <w:i/>
        </w:rPr>
        <w:t>in vitro</w:t>
      </w:r>
      <w:r w:rsidRPr="008D1D14">
        <w:t xml:space="preserve"> for inorganic (A), polymer-based (B) and lipid-based NPs (C). Alterations on coagulation and platelets counted together were the main adversity for inorganic NPs </w:t>
      </w:r>
      <w:r w:rsidRPr="001E77AF">
        <w:rPr>
          <w:i/>
        </w:rPr>
        <w:t>in vitro</w:t>
      </w:r>
      <w:r w:rsidRPr="008D1D14">
        <w:t xml:space="preserve">. </w:t>
      </w:r>
      <w:r w:rsidR="00C077A7">
        <w:t>Polymer-based NPs were the most compatible NPs.</w:t>
      </w:r>
      <w:r w:rsidR="00C077A7" w:rsidRPr="008D1D14">
        <w:t xml:space="preserve"> </w:t>
      </w:r>
      <w:r w:rsidRPr="008D1D14">
        <w:t>Complement activation was the most frequently reported blood toxicity associated with lipid-based NPs.</w:t>
      </w:r>
    </w:p>
    <w:p w:rsidR="009723E4" w:rsidRPr="008D1D14" w:rsidRDefault="009723E4" w:rsidP="00AD167F">
      <w:pPr>
        <w:jc w:val="both"/>
      </w:pPr>
      <w:r>
        <w:t xml:space="preserve">Figure </w:t>
      </w:r>
      <w:r w:rsidR="00AB42E5">
        <w:t>7</w:t>
      </w:r>
      <w:r w:rsidRPr="008D1D14">
        <w:t>. Number of identified publications associating key physico-chemical properties of nanomedicines with</w:t>
      </w:r>
      <w:r>
        <w:t xml:space="preserve"> general</w:t>
      </w:r>
      <w:r w:rsidRPr="008D1D14">
        <w:t xml:space="preserve"> blood toxicities </w:t>
      </w:r>
      <w:r w:rsidRPr="001E77AF">
        <w:rPr>
          <w:i/>
        </w:rPr>
        <w:t>in vivo</w:t>
      </w:r>
      <w:r w:rsidRPr="008D1D14">
        <w:t xml:space="preserve"> (left) and </w:t>
      </w:r>
      <w:r w:rsidRPr="00B572B6">
        <w:rPr>
          <w:i/>
        </w:rPr>
        <w:t>in vitro</w:t>
      </w:r>
      <w:r w:rsidRPr="008D1D14">
        <w:t xml:space="preserve"> (right). Surface-related properties were the most reported properties having an influence on blood adversities.</w:t>
      </w:r>
      <w:r>
        <w:t xml:space="preserve"> Others category includes properties such as shape, type of drug encapsulated, porosity, roughness or elasticity.</w:t>
      </w:r>
    </w:p>
    <w:p w:rsidR="009723E4" w:rsidRDefault="009723E4" w:rsidP="00F42000">
      <w:pPr>
        <w:pStyle w:val="Caption"/>
        <w:spacing w:line="276" w:lineRule="auto"/>
        <w:rPr>
          <w:rFonts w:cs="Arial"/>
          <w:b w:val="0"/>
          <w:color w:val="auto"/>
          <w:sz w:val="22"/>
          <w:szCs w:val="22"/>
        </w:rPr>
      </w:pPr>
      <w:r w:rsidRPr="00207731">
        <w:rPr>
          <w:b w:val="0"/>
          <w:bCs w:val="0"/>
          <w:color w:val="auto"/>
          <w:sz w:val="22"/>
          <w:szCs w:val="22"/>
        </w:rPr>
        <w:lastRenderedPageBreak/>
        <w:t xml:space="preserve">Figure </w:t>
      </w:r>
      <w:r w:rsidR="00AB42E5">
        <w:rPr>
          <w:b w:val="0"/>
          <w:bCs w:val="0"/>
          <w:color w:val="auto"/>
          <w:sz w:val="22"/>
          <w:szCs w:val="22"/>
        </w:rPr>
        <w:t>8</w:t>
      </w:r>
      <w:r w:rsidRPr="00207731">
        <w:rPr>
          <w:b w:val="0"/>
          <w:bCs w:val="0"/>
          <w:color w:val="auto"/>
          <w:sz w:val="22"/>
          <w:szCs w:val="22"/>
        </w:rPr>
        <w:t xml:space="preserve">. </w:t>
      </w:r>
      <w:r w:rsidRPr="00C75910">
        <w:rPr>
          <w:rFonts w:cs="Arial"/>
          <w:b w:val="0"/>
          <w:color w:val="auto"/>
          <w:sz w:val="22"/>
          <w:szCs w:val="22"/>
        </w:rPr>
        <w:t xml:space="preserve">Number of publications associating specific physico-chemical properties of nanomedicines with each of the studied endpoints for blood toxicity </w:t>
      </w:r>
      <w:r w:rsidRPr="00C75910">
        <w:rPr>
          <w:rFonts w:cs="Arial"/>
          <w:b w:val="0"/>
          <w:i/>
          <w:color w:val="auto"/>
          <w:sz w:val="22"/>
          <w:szCs w:val="22"/>
        </w:rPr>
        <w:t xml:space="preserve">in </w:t>
      </w:r>
      <w:r>
        <w:rPr>
          <w:rFonts w:cs="Arial"/>
          <w:b w:val="0"/>
          <w:i/>
          <w:color w:val="auto"/>
          <w:sz w:val="22"/>
          <w:szCs w:val="22"/>
        </w:rPr>
        <w:t>vivo</w:t>
      </w:r>
      <w:r w:rsidRPr="00C75910">
        <w:rPr>
          <w:rFonts w:cs="Arial"/>
          <w:b w:val="0"/>
          <w:color w:val="auto"/>
          <w:sz w:val="22"/>
          <w:szCs w:val="22"/>
        </w:rPr>
        <w:t xml:space="preserve">: haematology (A), </w:t>
      </w:r>
      <w:r>
        <w:rPr>
          <w:rFonts w:cs="Arial"/>
          <w:b w:val="0"/>
          <w:color w:val="auto"/>
          <w:sz w:val="22"/>
          <w:szCs w:val="22"/>
        </w:rPr>
        <w:t>thrombosis</w:t>
      </w:r>
      <w:r w:rsidRPr="00C75910">
        <w:rPr>
          <w:rFonts w:cs="Arial"/>
          <w:b w:val="0"/>
          <w:color w:val="auto"/>
          <w:sz w:val="22"/>
          <w:szCs w:val="22"/>
        </w:rPr>
        <w:t xml:space="preserve"> (B), and complement activation (</w:t>
      </w:r>
      <w:r>
        <w:rPr>
          <w:rFonts w:cs="Arial"/>
          <w:b w:val="0"/>
          <w:color w:val="auto"/>
          <w:sz w:val="22"/>
          <w:szCs w:val="22"/>
        </w:rPr>
        <w:t>C</w:t>
      </w:r>
      <w:r w:rsidRPr="00C75910">
        <w:rPr>
          <w:rFonts w:cs="Arial"/>
          <w:b w:val="0"/>
          <w:color w:val="auto"/>
          <w:sz w:val="22"/>
          <w:szCs w:val="22"/>
        </w:rPr>
        <w:t>).</w:t>
      </w:r>
      <w:r>
        <w:rPr>
          <w:rFonts w:cs="Arial"/>
          <w:b w:val="0"/>
          <w:color w:val="auto"/>
          <w:sz w:val="22"/>
          <w:szCs w:val="22"/>
        </w:rPr>
        <w:t xml:space="preserve"> </w:t>
      </w:r>
    </w:p>
    <w:p w:rsidR="009723E4" w:rsidRPr="00C75910" w:rsidRDefault="009723E4" w:rsidP="00AD167F">
      <w:pPr>
        <w:pStyle w:val="Caption"/>
        <w:spacing w:line="276" w:lineRule="auto"/>
        <w:rPr>
          <w:color w:val="auto"/>
          <w:sz w:val="22"/>
          <w:szCs w:val="22"/>
        </w:rPr>
      </w:pPr>
      <w:r w:rsidRPr="00C75910">
        <w:rPr>
          <w:rFonts w:cs="Arial"/>
          <w:b w:val="0"/>
          <w:color w:val="auto"/>
          <w:sz w:val="22"/>
          <w:szCs w:val="22"/>
        </w:rPr>
        <w:t xml:space="preserve">Figure </w:t>
      </w:r>
      <w:r w:rsidR="00AB42E5">
        <w:rPr>
          <w:rFonts w:cs="Arial"/>
          <w:b w:val="0"/>
          <w:color w:val="auto"/>
          <w:sz w:val="22"/>
          <w:szCs w:val="22"/>
        </w:rPr>
        <w:t>9</w:t>
      </w:r>
      <w:r w:rsidRPr="00C75910">
        <w:rPr>
          <w:rFonts w:cs="Arial"/>
          <w:b w:val="0"/>
          <w:color w:val="auto"/>
          <w:sz w:val="22"/>
          <w:szCs w:val="22"/>
        </w:rPr>
        <w:t>.</w:t>
      </w:r>
      <w:r w:rsidRPr="00C75910">
        <w:rPr>
          <w:rFonts w:cs="Arial"/>
          <w:color w:val="auto"/>
          <w:sz w:val="22"/>
          <w:szCs w:val="22"/>
        </w:rPr>
        <w:t xml:space="preserve"> </w:t>
      </w:r>
      <w:r w:rsidRPr="00C75910">
        <w:rPr>
          <w:rFonts w:cs="Arial"/>
          <w:b w:val="0"/>
          <w:color w:val="auto"/>
          <w:sz w:val="22"/>
          <w:szCs w:val="22"/>
        </w:rPr>
        <w:t xml:space="preserve">Number of publications associating specific physico-chemical properties of nanomedicines with each of the studied endpoints for blood toxicity </w:t>
      </w:r>
      <w:r w:rsidRPr="00C75910">
        <w:rPr>
          <w:rFonts w:cs="Arial"/>
          <w:b w:val="0"/>
          <w:i/>
          <w:color w:val="auto"/>
          <w:sz w:val="22"/>
          <w:szCs w:val="22"/>
        </w:rPr>
        <w:t>in vitro</w:t>
      </w:r>
      <w:r w:rsidRPr="00C75910">
        <w:rPr>
          <w:rFonts w:cs="Arial"/>
          <w:b w:val="0"/>
          <w:color w:val="auto"/>
          <w:sz w:val="22"/>
          <w:szCs w:val="22"/>
        </w:rPr>
        <w:t>: haematology (A), coagulation (B), platelets (C), and complement activation (D).</w:t>
      </w:r>
    </w:p>
    <w:p w:rsidR="00AD167F" w:rsidRDefault="00AD167F" w:rsidP="00AD167F">
      <w:pPr>
        <w:pStyle w:val="Caption"/>
        <w:spacing w:line="276" w:lineRule="auto"/>
        <w:rPr>
          <w:rFonts w:cs="Arial"/>
          <w:b w:val="0"/>
          <w:color w:val="auto"/>
          <w:sz w:val="22"/>
          <w:szCs w:val="22"/>
        </w:rPr>
      </w:pPr>
      <w:r w:rsidRPr="00C75910">
        <w:rPr>
          <w:rFonts w:cs="Arial"/>
          <w:b w:val="0"/>
          <w:color w:val="auto"/>
          <w:sz w:val="22"/>
          <w:szCs w:val="22"/>
        </w:rPr>
        <w:t xml:space="preserve">Table </w:t>
      </w:r>
      <w:r w:rsidR="00F231CF">
        <w:rPr>
          <w:rFonts w:cs="Arial"/>
          <w:b w:val="0"/>
          <w:color w:val="auto"/>
          <w:sz w:val="22"/>
          <w:szCs w:val="22"/>
        </w:rPr>
        <w:t>1</w:t>
      </w:r>
      <w:r w:rsidRPr="00C75910">
        <w:rPr>
          <w:rFonts w:cs="Arial"/>
          <w:b w:val="0"/>
          <w:color w:val="auto"/>
          <w:sz w:val="22"/>
          <w:szCs w:val="22"/>
        </w:rPr>
        <w:t>. Available standards and guidelines for the assessment of blood compatibility. Information about the endpoint covered by each document and the methods included is shown.</w:t>
      </w:r>
    </w:p>
    <w:p w:rsidR="005F7BE4" w:rsidRDefault="005F7BE4" w:rsidP="005F7BE4">
      <w:pPr>
        <w:rPr>
          <w:b/>
          <w:color w:val="7030A0"/>
        </w:rPr>
      </w:pPr>
      <w:r w:rsidRPr="005F7BE4">
        <w:t>Supplementary Table 1. List of publications</w:t>
      </w:r>
      <w:r>
        <w:t xml:space="preserve"> used for </w:t>
      </w:r>
      <w:r>
        <w:rPr>
          <w:i/>
        </w:rPr>
        <w:t>in vivo</w:t>
      </w:r>
      <w:r>
        <w:t xml:space="preserve"> analysis.</w:t>
      </w:r>
      <w:r w:rsidRPr="005F7BE4">
        <w:t xml:space="preserve"> </w:t>
      </w:r>
      <w:r>
        <w:t>I</w:t>
      </w:r>
      <w:r w:rsidRPr="005F7BE4">
        <w:t>nformation</w:t>
      </w:r>
      <w:r>
        <w:t xml:space="preserve"> regarding the </w:t>
      </w:r>
      <w:r w:rsidR="007E551E">
        <w:t>t</w:t>
      </w:r>
      <w:r w:rsidR="007E551E" w:rsidRPr="007E551E">
        <w:t xml:space="preserve">est </w:t>
      </w:r>
      <w:r w:rsidR="007E551E">
        <w:t>c</w:t>
      </w:r>
      <w:r w:rsidR="007E551E" w:rsidRPr="007E551E">
        <w:t>ategory</w:t>
      </w:r>
      <w:r w:rsidR="007E551E">
        <w:t xml:space="preserve">, the category of material, the type of material and </w:t>
      </w:r>
      <w:r>
        <w:t>the reference</w:t>
      </w:r>
      <w:r w:rsidR="007E551E">
        <w:t xml:space="preserve"> to the article</w:t>
      </w:r>
      <w:r>
        <w:t xml:space="preserve"> is shown.</w:t>
      </w:r>
    </w:p>
    <w:p w:rsidR="005F7BE4" w:rsidRDefault="005F7BE4" w:rsidP="005F7BE4">
      <w:pPr>
        <w:rPr>
          <w:b/>
          <w:color w:val="7030A0"/>
        </w:rPr>
      </w:pPr>
      <w:r w:rsidRPr="005F7BE4">
        <w:t xml:space="preserve">Supplementary Table </w:t>
      </w:r>
      <w:r>
        <w:t>2</w:t>
      </w:r>
      <w:r w:rsidRPr="005F7BE4">
        <w:t>. List of publications</w:t>
      </w:r>
      <w:r>
        <w:t xml:space="preserve"> used for </w:t>
      </w:r>
      <w:r w:rsidRPr="005F7BE4">
        <w:rPr>
          <w:i/>
        </w:rPr>
        <w:t>in vitro</w:t>
      </w:r>
      <w:r>
        <w:t xml:space="preserve"> analysis.</w:t>
      </w:r>
      <w:r w:rsidRPr="005F7BE4">
        <w:t xml:space="preserve"> </w:t>
      </w:r>
      <w:r>
        <w:t>I</w:t>
      </w:r>
      <w:r w:rsidRPr="005F7BE4">
        <w:t>nformation</w:t>
      </w:r>
      <w:r>
        <w:t xml:space="preserve"> regarding </w:t>
      </w:r>
      <w:r w:rsidR="007E551E">
        <w:t>the t</w:t>
      </w:r>
      <w:r w:rsidR="007E551E" w:rsidRPr="007E551E">
        <w:t xml:space="preserve">est </w:t>
      </w:r>
      <w:r w:rsidR="007E551E">
        <w:t>c</w:t>
      </w:r>
      <w:r w:rsidR="007E551E" w:rsidRPr="007E551E">
        <w:t>ategory</w:t>
      </w:r>
      <w:r w:rsidR="007E551E">
        <w:t xml:space="preserve">, the category of material, the type of material and the reference to the article </w:t>
      </w:r>
      <w:r>
        <w:t>is shown.</w:t>
      </w:r>
    </w:p>
    <w:p w:rsidR="005F7BE4" w:rsidRDefault="005F7BE4" w:rsidP="00C31FF0">
      <w:pPr>
        <w:rPr>
          <w:b/>
          <w:color w:val="7030A0"/>
        </w:rPr>
      </w:pPr>
    </w:p>
    <w:p w:rsidR="00FD37BD" w:rsidRPr="005A77E5" w:rsidRDefault="00FD37BD">
      <w:pPr>
        <w:rPr>
          <w:b/>
          <w:color w:val="1F497D"/>
        </w:rPr>
      </w:pPr>
      <w:r w:rsidRPr="005A77E5">
        <w:rPr>
          <w:b/>
          <w:color w:val="1F497D"/>
        </w:rPr>
        <w:t>Conclusion</w:t>
      </w:r>
    </w:p>
    <w:p w:rsidR="00684F7A" w:rsidRDefault="00684F7A" w:rsidP="00684F7A">
      <w:pPr>
        <w:jc w:val="both"/>
      </w:pPr>
      <w:r>
        <w:t xml:space="preserve">This review presents the analysis of an extensive literature review which was carried out using Scopus, GoPubMed and Web of Science databases to identify peer reviewed scientific articles reporting blood toxicological effects of various groups of nanomaterials. </w:t>
      </w:r>
      <w:r>
        <w:rPr>
          <w:i/>
        </w:rPr>
        <w:t>I</w:t>
      </w:r>
      <w:r w:rsidRPr="00EB402C">
        <w:rPr>
          <w:i/>
        </w:rPr>
        <w:t>n vivo</w:t>
      </w:r>
      <w:r>
        <w:t xml:space="preserve"> </w:t>
      </w:r>
      <w:r w:rsidR="0028768C">
        <w:t>and</w:t>
      </w:r>
      <w:r>
        <w:t xml:space="preserve"> </w:t>
      </w:r>
      <w:r w:rsidRPr="00EB402C">
        <w:rPr>
          <w:i/>
        </w:rPr>
        <w:t>in vitro</w:t>
      </w:r>
      <w:r>
        <w:t xml:space="preserve"> studies were taken into account in our study. 146 papers of interest analysing haematology, thrombosis and complement activation </w:t>
      </w:r>
      <w:r w:rsidRPr="00EE19CA">
        <w:rPr>
          <w:i/>
        </w:rPr>
        <w:t>in vivo</w:t>
      </w:r>
      <w:r>
        <w:t xml:space="preserve"> were considered. In addition 515 publications evaluating haematology, coagulation, platelets and complement activation </w:t>
      </w:r>
      <w:r w:rsidRPr="00EE19CA">
        <w:rPr>
          <w:i/>
        </w:rPr>
        <w:t>in vitro</w:t>
      </w:r>
      <w:r>
        <w:t xml:space="preserve"> have been identified as relevant for our investigation. </w:t>
      </w:r>
    </w:p>
    <w:p w:rsidR="00684F7A" w:rsidRDefault="00684F7A" w:rsidP="00684F7A">
      <w:pPr>
        <w:jc w:val="both"/>
        <w:rPr>
          <w:lang w:val="en"/>
        </w:rPr>
      </w:pPr>
      <w:r>
        <w:rPr>
          <w:lang w:val="en"/>
        </w:rPr>
        <w:t>W</w:t>
      </w:r>
      <w:r w:rsidRPr="00DD5653">
        <w:rPr>
          <w:lang w:val="en"/>
        </w:rPr>
        <w:t xml:space="preserve">e were able to demonstrate trends related to the nature of </w:t>
      </w:r>
      <w:r>
        <w:rPr>
          <w:lang w:val="en"/>
        </w:rPr>
        <w:t xml:space="preserve">the </w:t>
      </w:r>
      <w:r w:rsidRPr="00DD5653">
        <w:rPr>
          <w:lang w:val="en"/>
        </w:rPr>
        <w:t>most</w:t>
      </w:r>
      <w:r>
        <w:rPr>
          <w:lang w:val="en"/>
        </w:rPr>
        <w:t xml:space="preserve"> frequent</w:t>
      </w:r>
      <w:r w:rsidRPr="00DD5653">
        <w:rPr>
          <w:lang w:val="en"/>
        </w:rPr>
        <w:t>ly occurring blood incompatibilities such as thrombogenicity</w:t>
      </w:r>
      <w:r>
        <w:rPr>
          <w:lang w:val="en"/>
        </w:rPr>
        <w:t xml:space="preserve"> and complement activation. Thrombogenicity was mainly associated with inorganic NPs (reported in 42% of the screened publications </w:t>
      </w:r>
      <w:r w:rsidRPr="00163402">
        <w:rPr>
          <w:i/>
          <w:lang w:val="en"/>
        </w:rPr>
        <w:t>in vivo</w:t>
      </w:r>
      <w:r>
        <w:rPr>
          <w:lang w:val="en"/>
        </w:rPr>
        <w:t>) and</w:t>
      </w:r>
      <w:r w:rsidRPr="00DD5653">
        <w:rPr>
          <w:lang w:val="en"/>
        </w:rPr>
        <w:t xml:space="preserve"> complement activation</w:t>
      </w:r>
      <w:r w:rsidR="00823F6F">
        <w:rPr>
          <w:lang w:val="en"/>
        </w:rPr>
        <w:t xml:space="preserve"> was associated</w:t>
      </w:r>
      <w:r>
        <w:rPr>
          <w:lang w:val="en"/>
        </w:rPr>
        <w:t xml:space="preserve"> with lipid-based NPs (in 33% of the publications for this type of NPs </w:t>
      </w:r>
      <w:r w:rsidRPr="003A2468">
        <w:rPr>
          <w:i/>
          <w:lang w:val="en"/>
        </w:rPr>
        <w:t>in vivo</w:t>
      </w:r>
      <w:r>
        <w:rPr>
          <w:lang w:val="en"/>
        </w:rPr>
        <w:t xml:space="preserve">). This trend was also confirmed for data obtained from </w:t>
      </w:r>
      <w:r w:rsidRPr="00DC485B">
        <w:rPr>
          <w:i/>
          <w:lang w:val="en"/>
        </w:rPr>
        <w:t>in vitro</w:t>
      </w:r>
      <w:r>
        <w:rPr>
          <w:lang w:val="en"/>
        </w:rPr>
        <w:t xml:space="preserve"> studies. </w:t>
      </w:r>
      <w:r>
        <w:t>Interestingly, o</w:t>
      </w:r>
      <w:r w:rsidRPr="00537077">
        <w:t xml:space="preserve">nly a few cases of blood toxicities were linked to polymer-based nanoparticles. </w:t>
      </w:r>
      <w:r>
        <w:rPr>
          <w:lang w:val="en"/>
        </w:rPr>
        <w:t xml:space="preserve">We also investigated </w:t>
      </w:r>
      <w:r w:rsidRPr="00DD5653">
        <w:rPr>
          <w:lang w:val="en"/>
        </w:rPr>
        <w:t>the contribution of physico-chemical properties to blood incompatibilities</w:t>
      </w:r>
      <w:r>
        <w:rPr>
          <w:lang w:val="en"/>
        </w:rPr>
        <w:t>. Surface-related properties (such as surface chemistry, surface coating and surface charge) were the most frequently reported to have a key role on general blood toxicities. Furthermore, we also identified the role of particular physico-chemical properties on each of the assessed endpoints</w:t>
      </w:r>
      <w:r w:rsidRPr="00A9202A">
        <w:t xml:space="preserve"> </w:t>
      </w:r>
      <w:r w:rsidRPr="00537077">
        <w:t xml:space="preserve">since some </w:t>
      </w:r>
      <w:r w:rsidR="00031092">
        <w:t>types</w:t>
      </w:r>
      <w:r w:rsidRPr="00537077">
        <w:t xml:space="preserve"> of nanomedicines </w:t>
      </w:r>
      <w:r>
        <w:t xml:space="preserve">may be more </w:t>
      </w:r>
      <w:r w:rsidRPr="00537077">
        <w:t>interact</w:t>
      </w:r>
      <w:r>
        <w:t>ive</w:t>
      </w:r>
      <w:r w:rsidRPr="00537077">
        <w:t xml:space="preserve"> with a particular biological system</w:t>
      </w:r>
      <w:r>
        <w:rPr>
          <w:lang w:val="en"/>
        </w:rPr>
        <w:t>.</w:t>
      </w:r>
    </w:p>
    <w:p w:rsidR="00684F7A" w:rsidRDefault="006315D4" w:rsidP="00684F7A">
      <w:pPr>
        <w:jc w:val="both"/>
        <w:rPr>
          <w:lang w:val="en"/>
        </w:rPr>
      </w:pPr>
      <w:r>
        <w:t>We believe that t</w:t>
      </w:r>
      <w:r w:rsidR="00684F7A">
        <w:t xml:space="preserve">his knowledge is important to raise regulatory awareness on potential blood incompatibilities that are relevant for the evaluation of the next generation </w:t>
      </w:r>
      <w:r>
        <w:t xml:space="preserve">of </w:t>
      </w:r>
      <w:r w:rsidR="00684F7A">
        <w:t xml:space="preserve">nanomedicines. The information gained from this study will help to prioritize methods for further standardisation. The association of </w:t>
      </w:r>
      <w:r w:rsidRPr="00DD5653">
        <w:rPr>
          <w:lang w:val="en"/>
        </w:rPr>
        <w:t>physico-chemical</w:t>
      </w:r>
      <w:r>
        <w:t xml:space="preserve"> </w:t>
      </w:r>
      <w:r w:rsidR="00684F7A">
        <w:t>properties with biological effects elucidated the need for standardised methods analysing specific nanomaterial-related properties. In particular, surface</w:t>
      </w:r>
      <w:r w:rsidR="00B32AE3">
        <w:t>-</w:t>
      </w:r>
      <w:r w:rsidR="00684F7A">
        <w:t xml:space="preserve"> related properties were related to various blood incompatibilities such as thrombosis or </w:t>
      </w:r>
      <w:r w:rsidR="00684F7A">
        <w:lastRenderedPageBreak/>
        <w:t>complement activation.</w:t>
      </w:r>
      <w:r w:rsidR="00684F7A" w:rsidRPr="00CF13FF">
        <w:t xml:space="preserve"> </w:t>
      </w:r>
      <w:r w:rsidR="00684F7A">
        <w:t xml:space="preserve">In order to further analyse which standards are needed, an overview of already existing </w:t>
      </w:r>
      <w:r w:rsidR="00684F7A" w:rsidRPr="00BF0BB9">
        <w:t xml:space="preserve">standards </w:t>
      </w:r>
      <w:r w:rsidR="00684F7A">
        <w:t xml:space="preserve">for the evaluation of blood compatibility has been included in this study. However, </w:t>
      </w:r>
      <w:r w:rsidR="00684F7A" w:rsidRPr="00DD5653">
        <w:rPr>
          <w:lang w:val="en"/>
        </w:rPr>
        <w:t>their ad</w:t>
      </w:r>
      <w:r w:rsidR="00684F7A">
        <w:rPr>
          <w:lang w:val="en"/>
        </w:rPr>
        <w:t xml:space="preserve">equacy to analyse nanomaterials has not been proved yet. </w:t>
      </w:r>
    </w:p>
    <w:p w:rsidR="00684F7A" w:rsidRDefault="00684F7A" w:rsidP="00684F7A">
      <w:pPr>
        <w:jc w:val="both"/>
        <w:rPr>
          <w:lang w:val="en"/>
        </w:rPr>
      </w:pPr>
      <w:r>
        <w:rPr>
          <w:lang w:val="en"/>
        </w:rPr>
        <w:t>Finally, the knowledge on particular blood incompatibilities depending on the type of nanomaterial as well as the availability of suitable methods will supp</w:t>
      </w:r>
      <w:r w:rsidR="00EC3F07">
        <w:rPr>
          <w:lang w:val="en"/>
        </w:rPr>
        <w:t>ort the establishment of tailor-</w:t>
      </w:r>
      <w:r>
        <w:rPr>
          <w:lang w:val="en"/>
        </w:rPr>
        <w:t xml:space="preserve">made test strategies for </w:t>
      </w:r>
      <w:r w:rsidRPr="00DD5653">
        <w:rPr>
          <w:lang w:val="en"/>
        </w:rPr>
        <w:t>design</w:t>
      </w:r>
      <w:r>
        <w:rPr>
          <w:lang w:val="en"/>
        </w:rPr>
        <w:t>ing</w:t>
      </w:r>
      <w:r w:rsidRPr="00DD5653">
        <w:rPr>
          <w:lang w:val="en"/>
        </w:rPr>
        <w:t xml:space="preserve"> </w:t>
      </w:r>
      <w:r>
        <w:rPr>
          <w:lang w:val="en"/>
        </w:rPr>
        <w:t xml:space="preserve">efficacious and safe </w:t>
      </w:r>
      <w:r w:rsidRPr="00DD5653">
        <w:rPr>
          <w:lang w:val="en"/>
        </w:rPr>
        <w:t>nanomedicines</w:t>
      </w:r>
      <w:r>
        <w:rPr>
          <w:lang w:val="en"/>
        </w:rPr>
        <w:t xml:space="preserve"> with improved blood compatibility</w:t>
      </w:r>
      <w:r w:rsidRPr="00DD5653">
        <w:rPr>
          <w:lang w:val="en"/>
        </w:rPr>
        <w:t>.</w:t>
      </w:r>
    </w:p>
    <w:p w:rsidR="004A7701" w:rsidRPr="00EE19CA" w:rsidRDefault="004A7701" w:rsidP="00E20B06">
      <w:pPr>
        <w:rPr>
          <w:b/>
          <w:color w:val="1F497D"/>
          <w:lang w:val="en"/>
        </w:rPr>
      </w:pPr>
    </w:p>
    <w:p w:rsidR="00E20B06" w:rsidRPr="005A77E5" w:rsidRDefault="00E20B06" w:rsidP="00E20B06">
      <w:pPr>
        <w:rPr>
          <w:b/>
          <w:color w:val="1F497D"/>
        </w:rPr>
      </w:pPr>
      <w:r>
        <w:rPr>
          <w:b/>
          <w:color w:val="1F497D"/>
        </w:rPr>
        <w:t>N</w:t>
      </w:r>
      <w:r w:rsidRPr="005A77E5">
        <w:rPr>
          <w:b/>
          <w:color w:val="1F497D"/>
        </w:rPr>
        <w:t>otes</w:t>
      </w:r>
    </w:p>
    <w:p w:rsidR="00E20B06" w:rsidRPr="00DD5653" w:rsidRDefault="00DD5653" w:rsidP="00DD5653">
      <w:r w:rsidRPr="00DD5653">
        <w:t>Disclaimer</w:t>
      </w:r>
      <w:r>
        <w:t xml:space="preserve">: </w:t>
      </w:r>
      <w:r w:rsidRPr="00DD5653">
        <w:t>Any opinions expressed in this publication are those of the authors only, and this paper does not represent an official position of the European Commission.</w:t>
      </w:r>
    </w:p>
    <w:p w:rsidR="00FD37BD" w:rsidRPr="005A77E5" w:rsidRDefault="00E20B06">
      <w:pPr>
        <w:rPr>
          <w:b/>
          <w:color w:val="1F497D"/>
        </w:rPr>
      </w:pPr>
      <w:r>
        <w:rPr>
          <w:b/>
          <w:color w:val="1F497D"/>
        </w:rPr>
        <w:t>Acknowledgment</w:t>
      </w:r>
      <w:r w:rsidR="00FD37BD" w:rsidRPr="005A77E5">
        <w:rPr>
          <w:b/>
          <w:color w:val="1F497D"/>
        </w:rPr>
        <w:t>s</w:t>
      </w:r>
    </w:p>
    <w:p w:rsidR="00FD37BD" w:rsidRPr="00DD5653" w:rsidRDefault="00DD5653" w:rsidP="00DD5653">
      <w:pPr>
        <w:jc w:val="both"/>
        <w:rPr>
          <w:lang w:val="en"/>
        </w:rPr>
      </w:pPr>
      <w:r w:rsidRPr="00DD5653">
        <w:rPr>
          <w:lang w:val="en"/>
        </w:rPr>
        <w:t>The authors would like to thank Laia Quirós Pesudo and Douglas Gilliland (JRC) for constructive discussions</w:t>
      </w:r>
      <w:r w:rsidR="006B6D8C">
        <w:rPr>
          <w:lang w:val="en"/>
        </w:rPr>
        <w:t xml:space="preserve">. We are grateful to </w:t>
      </w:r>
      <w:r w:rsidR="00692ED4" w:rsidRPr="00DD5653">
        <w:rPr>
          <w:lang w:val="en"/>
        </w:rPr>
        <w:t>Sabrina Gioria</w:t>
      </w:r>
      <w:r w:rsidR="00692ED4">
        <w:rPr>
          <w:lang w:val="en"/>
        </w:rPr>
        <w:t>,</w:t>
      </w:r>
      <w:r w:rsidR="00692ED4" w:rsidRPr="00DD5653">
        <w:rPr>
          <w:lang w:val="en"/>
        </w:rPr>
        <w:t xml:space="preserve"> </w:t>
      </w:r>
      <w:r w:rsidR="006B6D8C" w:rsidRPr="006B6D8C">
        <w:rPr>
          <w:lang w:val="en"/>
        </w:rPr>
        <w:t>Kirsten Rasmussen</w:t>
      </w:r>
      <w:r w:rsidR="006B6D8C">
        <w:rPr>
          <w:lang w:val="en"/>
        </w:rPr>
        <w:t xml:space="preserve"> and Tim </w:t>
      </w:r>
      <w:r w:rsidR="006B6D8C" w:rsidRPr="006B6D8C">
        <w:rPr>
          <w:lang w:val="en"/>
        </w:rPr>
        <w:t>R</w:t>
      </w:r>
      <w:r w:rsidR="006B6D8C">
        <w:rPr>
          <w:lang w:val="en"/>
        </w:rPr>
        <w:t xml:space="preserve">aemaekers for </w:t>
      </w:r>
      <w:r w:rsidRPr="00DD5653">
        <w:rPr>
          <w:lang w:val="en"/>
        </w:rPr>
        <w:t xml:space="preserve">their </w:t>
      </w:r>
      <w:r w:rsidR="00427E3A">
        <w:rPr>
          <w:lang w:val="en"/>
        </w:rPr>
        <w:t>comments</w:t>
      </w:r>
      <w:r w:rsidR="00427E3A" w:rsidRPr="00DD5653">
        <w:rPr>
          <w:lang w:val="en"/>
        </w:rPr>
        <w:t xml:space="preserve"> </w:t>
      </w:r>
      <w:r w:rsidRPr="00DD5653">
        <w:rPr>
          <w:lang w:val="en"/>
        </w:rPr>
        <w:t>to improve the clarity of the manuscript.</w:t>
      </w:r>
    </w:p>
    <w:p w:rsidR="00DD5653" w:rsidRDefault="00DD5653">
      <w:pPr>
        <w:rPr>
          <w:b/>
          <w:color w:val="1F497D"/>
        </w:rPr>
      </w:pPr>
    </w:p>
    <w:p w:rsidR="00FD37BD" w:rsidRPr="00EE19CA" w:rsidRDefault="00FD37BD">
      <w:pPr>
        <w:rPr>
          <w:b/>
          <w:color w:val="1F497D"/>
        </w:rPr>
      </w:pPr>
      <w:r w:rsidRPr="00EE19CA">
        <w:rPr>
          <w:b/>
          <w:color w:val="1F497D"/>
        </w:rPr>
        <w:t>References</w:t>
      </w:r>
    </w:p>
    <w:p w:rsidR="00EE19CA" w:rsidRPr="00EE19CA" w:rsidRDefault="00555DCA" w:rsidP="00EE19CA">
      <w:pPr>
        <w:widowControl w:val="0"/>
        <w:autoSpaceDE w:val="0"/>
        <w:autoSpaceDN w:val="0"/>
        <w:adjustRightInd w:val="0"/>
        <w:spacing w:before="240" w:after="0" w:line="240" w:lineRule="auto"/>
        <w:ind w:left="480" w:hanging="480"/>
        <w:rPr>
          <w:noProof/>
          <w:szCs w:val="24"/>
        </w:rPr>
      </w:pPr>
      <w:r w:rsidRPr="00C75910">
        <w:rPr>
          <w:rFonts w:cs="Arial"/>
          <w:lang w:val="en"/>
        </w:rPr>
        <w:fldChar w:fldCharType="begin" w:fldLock="1"/>
      </w:r>
      <w:r w:rsidRPr="00EE19CA">
        <w:rPr>
          <w:rFonts w:cs="Arial"/>
        </w:rPr>
        <w:instrText xml:space="preserve">ADDIN Mendeley Bibliography CSL_BIBLIOGRAPHY </w:instrText>
      </w:r>
      <w:r w:rsidRPr="00C75910">
        <w:rPr>
          <w:rFonts w:cs="Arial"/>
          <w:lang w:val="en"/>
        </w:rPr>
        <w:fldChar w:fldCharType="separate"/>
      </w:r>
      <w:r w:rsidR="00EE19CA" w:rsidRPr="00EE19CA">
        <w:rPr>
          <w:noProof/>
          <w:szCs w:val="24"/>
        </w:rPr>
        <w:t>ASTM E2524-08, Standard Test Method for Analysis of Hemolytic Properties of Nanoparticles. (2013).</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ASTM F1984-99 - Standard Practice for Testing for Whole Complement Activation in Serum by Solid Materials. (2013). https://doi.org/10.1520/F1984-99R13</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ASTM F2888-13, Standard Test Method for Platelet Leukocyte Count - An In Vitro Measure for Hemocompatibility Assessment of Cardiovascular Materials. (2013).</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ASTM F 2382-04, Standard Test Method for Assessment of Intravascular Medical Device Materials on Partial Thromboplastin Time ( PTT ). (2004). https://doi.org/10.1520/F2382-04R10</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Braune, S., Grunze, M., Straub, A., &amp; Jung, F. (2013). Are there sufficient standards for the in vitro hemocompatibility testing of biomaterials? </w:t>
      </w:r>
      <w:r w:rsidRPr="00EE19CA">
        <w:rPr>
          <w:i/>
          <w:iCs/>
          <w:noProof/>
          <w:szCs w:val="24"/>
        </w:rPr>
        <w:t>Biointerphases</w:t>
      </w:r>
      <w:r w:rsidRPr="00EE19CA">
        <w:rPr>
          <w:noProof/>
          <w:szCs w:val="24"/>
        </w:rPr>
        <w:t xml:space="preserve">, </w:t>
      </w:r>
      <w:r w:rsidRPr="00EE19CA">
        <w:rPr>
          <w:i/>
          <w:iCs/>
          <w:noProof/>
          <w:szCs w:val="24"/>
        </w:rPr>
        <w:t>8</w:t>
      </w:r>
      <w:r w:rsidRPr="00EE19CA">
        <w:rPr>
          <w:noProof/>
          <w:szCs w:val="24"/>
        </w:rPr>
        <w:t>, 30. https://doi.org/10.1186/1559-4106-8-33</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Briggs, C., Culp, N., Davis, B., d’Onofrio, G., Zini, G., &amp; Machin, S. J. (2014). ICSH guidelines for the evaluation of blood cell analysers including those used for differential leucocyte and reticulocyte counting. </w:t>
      </w:r>
      <w:r w:rsidRPr="00EE19CA">
        <w:rPr>
          <w:i/>
          <w:iCs/>
          <w:noProof/>
          <w:szCs w:val="24"/>
        </w:rPr>
        <w:t>International Journal of Laboratory Hematology</w:t>
      </w:r>
      <w:r w:rsidRPr="00EE19CA">
        <w:rPr>
          <w:noProof/>
          <w:szCs w:val="24"/>
        </w:rPr>
        <w:t xml:space="preserve">, </w:t>
      </w:r>
      <w:r w:rsidRPr="00EE19CA">
        <w:rPr>
          <w:i/>
          <w:iCs/>
          <w:noProof/>
          <w:szCs w:val="24"/>
        </w:rPr>
        <w:t>36</w:t>
      </w:r>
      <w:r w:rsidRPr="00EE19CA">
        <w:rPr>
          <w:noProof/>
          <w:szCs w:val="24"/>
        </w:rPr>
        <w:t>(6), 613–627. https://doi.org/10.1111/ijlh.12201</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Chanan-Khan, A., Szebeni, J., Savay, S., Liebes, L., Rafique, N. M., Alving, C. R., &amp; Muggia, F. M. (2003). Complement activation following first exposure to pegylated liposomal doxorubicin (Doxil®): possible role in hypersensitivity reactions. </w:t>
      </w:r>
      <w:r w:rsidRPr="00EE19CA">
        <w:rPr>
          <w:i/>
          <w:iCs/>
          <w:noProof/>
          <w:szCs w:val="24"/>
        </w:rPr>
        <w:t>Annals of Oncology</w:t>
      </w:r>
      <w:r w:rsidRPr="00EE19CA">
        <w:rPr>
          <w:noProof/>
          <w:szCs w:val="24"/>
        </w:rPr>
        <w:t xml:space="preserve">, </w:t>
      </w:r>
      <w:r w:rsidRPr="00EE19CA">
        <w:rPr>
          <w:i/>
          <w:iCs/>
          <w:noProof/>
          <w:szCs w:val="24"/>
        </w:rPr>
        <w:t>14</w:t>
      </w:r>
      <w:r w:rsidRPr="00EE19CA">
        <w:rPr>
          <w:noProof/>
          <w:szCs w:val="24"/>
        </w:rPr>
        <w:t>(9), 1430–1437. https://doi.org/10.1093/annonc/mdg374</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lastRenderedPageBreak/>
        <w:t xml:space="preserve">Chapman, S., Dobrovolskaia, M., Farahani, K., Goodwin, A., Joshi, A., Lee, H., … Yang, L. (2013). Nanoparticles for cancer imaging: The good, the bad, and the promise. </w:t>
      </w:r>
      <w:r w:rsidRPr="00EE19CA">
        <w:rPr>
          <w:i/>
          <w:iCs/>
          <w:noProof/>
          <w:szCs w:val="24"/>
        </w:rPr>
        <w:t>Nano Today</w:t>
      </w:r>
      <w:r w:rsidRPr="00EE19CA">
        <w:rPr>
          <w:noProof/>
          <w:szCs w:val="24"/>
        </w:rPr>
        <w:t xml:space="preserve">, </w:t>
      </w:r>
      <w:r w:rsidRPr="00EE19CA">
        <w:rPr>
          <w:i/>
          <w:iCs/>
          <w:noProof/>
          <w:szCs w:val="24"/>
        </w:rPr>
        <w:t>8</w:t>
      </w:r>
      <w:r w:rsidRPr="00EE19CA">
        <w:rPr>
          <w:noProof/>
          <w:szCs w:val="24"/>
        </w:rPr>
        <w:t>(5), 454–460. https://doi.org/10.1016/j.nantod.2013.06.001</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Choi, J., Reipa, V., Hitchins, V. M., Goering, P. L., &amp; Malinauskas, R. A. (2011). Physicochemical Characterization and in vitro hemolysis evaluation of silver nanoparticles. </w:t>
      </w:r>
      <w:r w:rsidRPr="00EE19CA">
        <w:rPr>
          <w:i/>
          <w:iCs/>
          <w:noProof/>
          <w:szCs w:val="24"/>
        </w:rPr>
        <w:t>Toxicological Sciences</w:t>
      </w:r>
      <w:r w:rsidRPr="00EE19CA">
        <w:rPr>
          <w:noProof/>
          <w:szCs w:val="24"/>
        </w:rPr>
        <w:t xml:space="preserve">, </w:t>
      </w:r>
      <w:r w:rsidRPr="00EE19CA">
        <w:rPr>
          <w:i/>
          <w:iCs/>
          <w:noProof/>
          <w:szCs w:val="24"/>
        </w:rPr>
        <w:t>123</w:t>
      </w:r>
      <w:r w:rsidRPr="00EE19CA">
        <w:rPr>
          <w:noProof/>
          <w:szCs w:val="24"/>
        </w:rPr>
        <w:t>(1), 133–143. https://doi.org/10.1093/toxsci/kfr149</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CLSI. (1997). CLSI H48-A:Determination of factor coagulant activities.</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CLSI. (2001). CLSI H30-A2:Procedure for the determination of fibrinogen in plasma. Approved guideline-second edition.</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CLSI. (2008a). CLSI H47-A2: One-stage prothrombin time (PT) test and activated partial thromboplastin time (APTT) test. Approved Guideline.</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CLSI. (2008b). CLSI H58-A:Platelet function testing by aggregometry.</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Committee for Medicinal Products for Human Use. (2010). CPMP/SWP/1042/99 (R1)- Guideline on Repeated Dose Toxicity, </w:t>
      </w:r>
      <w:r w:rsidRPr="00EE19CA">
        <w:rPr>
          <w:i/>
          <w:iCs/>
          <w:noProof/>
          <w:szCs w:val="24"/>
        </w:rPr>
        <w:t>99</w:t>
      </w:r>
      <w:r w:rsidRPr="00EE19CA">
        <w:rPr>
          <w:noProof/>
          <w:szCs w:val="24"/>
        </w:rPr>
        <w:t>(March), 1–9.</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Committee for Medicinal Products for Human Use. (2013a). Joint MHLW / EMA reflection paper on the development of block copolymer micelle medicinal products. European Medicines Agency, Committee for Medicinal Products for Human Use, (December 2013), 1–15.</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Committee for Medicinal Products for Human Use. (2013b). Reflection paper on surface coatings: general issues for consideration regarding parenteral administration of coated nanomedicine products. European Medicines Agency, Committee for Medicinal Products for Human Use, (May), EMA/325027/2013.</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Csaba, N., Sánchez, A., &amp; Alonso, M. J. (2006). PLGA: Poloxamer and PLGA: Poloxamine blend nanostructures as carriers for nasal gene delivery. </w:t>
      </w:r>
      <w:r w:rsidRPr="00EE19CA">
        <w:rPr>
          <w:i/>
          <w:iCs/>
          <w:noProof/>
          <w:szCs w:val="24"/>
        </w:rPr>
        <w:t>Journal of Controlled Release</w:t>
      </w:r>
      <w:r w:rsidRPr="00EE19CA">
        <w:rPr>
          <w:noProof/>
          <w:szCs w:val="24"/>
        </w:rPr>
        <w:t xml:space="preserve">, </w:t>
      </w:r>
      <w:r w:rsidRPr="00EE19CA">
        <w:rPr>
          <w:i/>
          <w:iCs/>
          <w:noProof/>
          <w:szCs w:val="24"/>
        </w:rPr>
        <w:t>113</w:t>
      </w:r>
      <w:r w:rsidRPr="00EE19CA">
        <w:rPr>
          <w:noProof/>
          <w:szCs w:val="24"/>
        </w:rPr>
        <w:t>(2), 164–172. https://doi.org/10.1016/j.jconrel.2006.03.017</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Curry, A. N., &amp; Pierce, T. (2007). Conventional and near-patient tests of coagulation. </w:t>
      </w:r>
      <w:r w:rsidRPr="00EE19CA">
        <w:rPr>
          <w:i/>
          <w:iCs/>
          <w:noProof/>
          <w:szCs w:val="24"/>
        </w:rPr>
        <w:t>Continuing Education in Anaesthesia Critical Care &amp; Pain</w:t>
      </w:r>
      <w:r w:rsidRPr="00EE19CA">
        <w:rPr>
          <w:noProof/>
          <w:szCs w:val="24"/>
        </w:rPr>
        <w:t xml:space="preserve">, </w:t>
      </w:r>
      <w:r w:rsidRPr="00EE19CA">
        <w:rPr>
          <w:i/>
          <w:iCs/>
          <w:noProof/>
          <w:szCs w:val="24"/>
        </w:rPr>
        <w:t>7</w:t>
      </w:r>
      <w:r w:rsidRPr="00EE19CA">
        <w:rPr>
          <w:noProof/>
          <w:szCs w:val="24"/>
        </w:rPr>
        <w:t>(2), 45–50. https://doi.org/10.1093/bjaceaccp/mkm002</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D’Mello, S. R., Cruz, C. N., Chen, M.-L., Kapoor, M., Lee, S. L., &amp; Tyner, K. M. (2017). The evolving landscape of drug products containing nanomaterials in the United States. </w:t>
      </w:r>
      <w:r w:rsidRPr="00EE19CA">
        <w:rPr>
          <w:i/>
          <w:iCs/>
          <w:noProof/>
          <w:szCs w:val="24"/>
        </w:rPr>
        <w:t>Nature Nanotechnology</w:t>
      </w:r>
      <w:r w:rsidRPr="00EE19CA">
        <w:rPr>
          <w:noProof/>
          <w:szCs w:val="24"/>
        </w:rPr>
        <w:t xml:space="preserve">, </w:t>
      </w:r>
      <w:r w:rsidRPr="00EE19CA">
        <w:rPr>
          <w:i/>
          <w:iCs/>
          <w:noProof/>
          <w:szCs w:val="24"/>
        </w:rPr>
        <w:t>12</w:t>
      </w:r>
      <w:r w:rsidRPr="00EE19CA">
        <w:rPr>
          <w:noProof/>
          <w:szCs w:val="24"/>
        </w:rPr>
        <w:t>(6), 523–529. https://doi.org/10.1038/nnano.2017.67</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Deng, Z. J., Liang, M., Monteiro, M., Toth, I., &amp; Minchin, R. F. (2011). Nanoparticle-induced unfolding of fibrinogen promotes Mac-1 receptor activation and inflammation. </w:t>
      </w:r>
      <w:r w:rsidRPr="00EE19CA">
        <w:rPr>
          <w:i/>
          <w:iCs/>
          <w:noProof/>
          <w:szCs w:val="24"/>
        </w:rPr>
        <w:t>Nature Nanotechnology</w:t>
      </w:r>
      <w:r w:rsidRPr="00EE19CA">
        <w:rPr>
          <w:noProof/>
          <w:szCs w:val="24"/>
        </w:rPr>
        <w:t xml:space="preserve">, </w:t>
      </w:r>
      <w:r w:rsidRPr="00EE19CA">
        <w:rPr>
          <w:i/>
          <w:iCs/>
          <w:noProof/>
          <w:szCs w:val="24"/>
        </w:rPr>
        <w:t>6</w:t>
      </w:r>
      <w:r w:rsidRPr="00EE19CA">
        <w:rPr>
          <w:noProof/>
          <w:szCs w:val="24"/>
        </w:rPr>
        <w:t>(1), 39–44. https://doi.org/10.1038/nnano.2010.250</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Deng, Z. J., Liang, M., Toth, I., Monteiro, M., &amp; Minchin, R. F. (2013). Plasma protein binding of positively and negatively charged polymer-coated gold nanoparticles elicits different biological responses. </w:t>
      </w:r>
      <w:r w:rsidRPr="00EE19CA">
        <w:rPr>
          <w:i/>
          <w:iCs/>
          <w:noProof/>
          <w:szCs w:val="24"/>
        </w:rPr>
        <w:t>Nanotoxicology</w:t>
      </w:r>
      <w:r w:rsidRPr="00EE19CA">
        <w:rPr>
          <w:noProof/>
          <w:szCs w:val="24"/>
        </w:rPr>
        <w:t xml:space="preserve">, </w:t>
      </w:r>
      <w:r w:rsidRPr="00EE19CA">
        <w:rPr>
          <w:i/>
          <w:iCs/>
          <w:noProof/>
          <w:szCs w:val="24"/>
        </w:rPr>
        <w:t>7</w:t>
      </w:r>
      <w:r w:rsidRPr="00EE19CA">
        <w:rPr>
          <w:noProof/>
          <w:szCs w:val="24"/>
        </w:rPr>
        <w:t>(3), 314–22. https://doi.org/10.3109/17435390.2012.655342</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Desai, N. (2012). Challenges in development of nanoparticle-based therapeutics. </w:t>
      </w:r>
      <w:r w:rsidRPr="00EE19CA">
        <w:rPr>
          <w:i/>
          <w:iCs/>
          <w:noProof/>
          <w:szCs w:val="24"/>
        </w:rPr>
        <w:t>The AAPS Journal</w:t>
      </w:r>
      <w:r w:rsidRPr="00EE19CA">
        <w:rPr>
          <w:noProof/>
          <w:szCs w:val="24"/>
        </w:rPr>
        <w:t xml:space="preserve">, </w:t>
      </w:r>
      <w:r w:rsidRPr="00EE19CA">
        <w:rPr>
          <w:i/>
          <w:iCs/>
          <w:noProof/>
          <w:szCs w:val="24"/>
        </w:rPr>
        <w:t>14</w:t>
      </w:r>
      <w:r w:rsidRPr="00EE19CA">
        <w:rPr>
          <w:noProof/>
          <w:szCs w:val="24"/>
        </w:rPr>
        <w:t>(2), 282–95. https://doi.org/10.1208/s12248-012-9339-4</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lastRenderedPageBreak/>
        <w:t xml:space="preserve">Dobrovolskaia, M. A., Aggarwal, P., Hall, J. B., &amp; McNeil, S. E. (2008). Preclinical studies to understand nanoparticle interaction with the immune system and its potential effects on nanoparticle biodistribution. </w:t>
      </w:r>
      <w:r w:rsidRPr="00EE19CA">
        <w:rPr>
          <w:i/>
          <w:iCs/>
          <w:noProof/>
          <w:szCs w:val="24"/>
        </w:rPr>
        <w:t>Molecular Pharmaceutics</w:t>
      </w:r>
      <w:r w:rsidRPr="00EE19CA">
        <w:rPr>
          <w:noProof/>
          <w:szCs w:val="24"/>
        </w:rPr>
        <w:t xml:space="preserve">, </w:t>
      </w:r>
      <w:r w:rsidRPr="00EE19CA">
        <w:rPr>
          <w:i/>
          <w:iCs/>
          <w:noProof/>
          <w:szCs w:val="24"/>
        </w:rPr>
        <w:t>5</w:t>
      </w:r>
      <w:r w:rsidRPr="00EE19CA">
        <w:rPr>
          <w:noProof/>
          <w:szCs w:val="24"/>
        </w:rPr>
        <w:t>(4), 487–495. https://doi.org/10.1021/mp800032f</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Dobrovolskaia, M. A., &amp; McNeil, S. E. (2013). Understanding the correlation between in vitro and in vivo immunotoxicity tests for nanomedicines. </w:t>
      </w:r>
      <w:r w:rsidRPr="00EE19CA">
        <w:rPr>
          <w:i/>
          <w:iCs/>
          <w:noProof/>
          <w:szCs w:val="24"/>
        </w:rPr>
        <w:t>Journal of Controlled Release</w:t>
      </w:r>
      <w:r w:rsidRPr="00EE19CA">
        <w:rPr>
          <w:noProof/>
          <w:szCs w:val="24"/>
        </w:rPr>
        <w:t xml:space="preserve">, </w:t>
      </w:r>
      <w:r w:rsidRPr="00EE19CA">
        <w:rPr>
          <w:i/>
          <w:iCs/>
          <w:noProof/>
          <w:szCs w:val="24"/>
        </w:rPr>
        <w:t>172</w:t>
      </w:r>
      <w:r w:rsidRPr="00EE19CA">
        <w:rPr>
          <w:noProof/>
          <w:szCs w:val="24"/>
        </w:rPr>
        <w:t>(2), 456–466. https://doi.org/10.1016/j.jconrel.2013.05.025</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Dobrovolskaia, M. A., Patri, A. K., Simak, J., Hall, J. B., Semberova, J., Lacerda, S. H. D. P., &amp; Mcneil, S. E. (2013). Nanoparticle size and surface charge determine effects of PAMAM dendrimers on human platelets in vitro. </w:t>
      </w:r>
      <w:r w:rsidRPr="00EE19CA">
        <w:rPr>
          <w:i/>
          <w:iCs/>
          <w:noProof/>
          <w:szCs w:val="24"/>
        </w:rPr>
        <w:t>Molecular Pharmacology</w:t>
      </w:r>
      <w:r w:rsidRPr="00EE19CA">
        <w:rPr>
          <w:noProof/>
          <w:szCs w:val="24"/>
        </w:rPr>
        <w:t xml:space="preserve">, </w:t>
      </w:r>
      <w:r w:rsidRPr="00EE19CA">
        <w:rPr>
          <w:i/>
          <w:iCs/>
          <w:noProof/>
          <w:szCs w:val="24"/>
        </w:rPr>
        <w:t>9</w:t>
      </w:r>
      <w:r w:rsidRPr="00EE19CA">
        <w:rPr>
          <w:noProof/>
          <w:szCs w:val="24"/>
        </w:rPr>
        <w:t>(3), 382–393. https://doi.org/10.1021/mp200463e.Nanoparticle</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Dobrovolskaia, M. a, &amp; McNeil, S. E. (2015). Strategy for selecting nanotechnology carriers to overcome immunological and hematological toxicities challenging clinical translation of nucleic acid-based therapeutics. </w:t>
      </w:r>
      <w:r w:rsidRPr="00EE19CA">
        <w:rPr>
          <w:i/>
          <w:iCs/>
          <w:noProof/>
          <w:szCs w:val="24"/>
        </w:rPr>
        <w:t>Expert Opinion on Drug Delivery</w:t>
      </w:r>
      <w:r w:rsidRPr="00EE19CA">
        <w:rPr>
          <w:noProof/>
          <w:szCs w:val="24"/>
        </w:rPr>
        <w:t xml:space="preserve">, </w:t>
      </w:r>
      <w:r w:rsidRPr="00EE19CA">
        <w:rPr>
          <w:i/>
          <w:iCs/>
          <w:noProof/>
          <w:szCs w:val="24"/>
        </w:rPr>
        <w:t>12</w:t>
      </w:r>
      <w:r w:rsidRPr="00EE19CA">
        <w:rPr>
          <w:noProof/>
          <w:szCs w:val="24"/>
        </w:rPr>
        <w:t>(7), 1163–75. https://doi.org/10.1517/17425247.2015.1042857</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Dobrovolskaia et al. (2008). Method for Analysis of Nanoparticle Hemolytic Properties In Vitro. </w:t>
      </w:r>
      <w:r w:rsidRPr="00EE19CA">
        <w:rPr>
          <w:i/>
          <w:iCs/>
          <w:noProof/>
          <w:szCs w:val="24"/>
        </w:rPr>
        <w:t>Nano Letters</w:t>
      </w:r>
      <w:r w:rsidRPr="00EE19CA">
        <w:rPr>
          <w:noProof/>
          <w:szCs w:val="24"/>
        </w:rPr>
        <w:t xml:space="preserve">, </w:t>
      </w:r>
      <w:r w:rsidRPr="00EE19CA">
        <w:rPr>
          <w:i/>
          <w:iCs/>
          <w:noProof/>
          <w:szCs w:val="24"/>
        </w:rPr>
        <w:t>8</w:t>
      </w:r>
      <w:r w:rsidRPr="00EE19CA">
        <w:rPr>
          <w:noProof/>
          <w:szCs w:val="24"/>
        </w:rPr>
        <w:t>(8), 2180–2187. https://doi.org/10.1021/nl0805615.Method</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Domański, D. M., Klajnert, B., &amp; Bryszewska, M. (2004). Influence of PAMAM dendrimers on human red blood cells. </w:t>
      </w:r>
      <w:r w:rsidRPr="00EE19CA">
        <w:rPr>
          <w:i/>
          <w:iCs/>
          <w:noProof/>
          <w:szCs w:val="24"/>
        </w:rPr>
        <w:t>Bioelectrochemistry</w:t>
      </w:r>
      <w:r w:rsidRPr="00EE19CA">
        <w:rPr>
          <w:noProof/>
          <w:szCs w:val="24"/>
        </w:rPr>
        <w:t xml:space="preserve">, </w:t>
      </w:r>
      <w:r w:rsidRPr="00EE19CA">
        <w:rPr>
          <w:i/>
          <w:iCs/>
          <w:noProof/>
          <w:szCs w:val="24"/>
        </w:rPr>
        <w:t>63</w:t>
      </w:r>
      <w:r w:rsidRPr="00EE19CA">
        <w:rPr>
          <w:noProof/>
          <w:szCs w:val="24"/>
        </w:rPr>
        <w:t>(1–2), 189–191. https://doi.org/10.1016/j.bioelechem.2003.09.023</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European Clinical Trials Database (EUdraCT). (2017). Retrieved from https://eudract.ema.europa.eu/index.html</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European Medicines Agency, &amp; Products, C. F. H. M. (2013). Reflection paper on the data requirements for intravenous liposomal products developed with reference to an innovator liposomal product. European Medicine Agency Commitee For Human Medical Products, (February), 1–13.</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Fadeel, B. (2013). Nanosafety: Towards safer design of nanomedicines. </w:t>
      </w:r>
      <w:r w:rsidRPr="00EE19CA">
        <w:rPr>
          <w:i/>
          <w:iCs/>
          <w:noProof/>
          <w:szCs w:val="24"/>
        </w:rPr>
        <w:t>Journal of Internal Medicine</w:t>
      </w:r>
      <w:r w:rsidRPr="00EE19CA">
        <w:rPr>
          <w:noProof/>
          <w:szCs w:val="24"/>
        </w:rPr>
        <w:t xml:space="preserve">, </w:t>
      </w:r>
      <w:r w:rsidRPr="00EE19CA">
        <w:rPr>
          <w:i/>
          <w:iCs/>
          <w:noProof/>
          <w:szCs w:val="24"/>
        </w:rPr>
        <w:t>274</w:t>
      </w:r>
      <w:r w:rsidRPr="00EE19CA">
        <w:rPr>
          <w:noProof/>
          <w:szCs w:val="24"/>
        </w:rPr>
        <w:t>(6), 578–580. https://doi.org/10.1111/joim.12137</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Fadeel, B., &amp; Garcia-Bennett, A. E. (2010). Better safe than sorry: Understanding the toxicological properties of inorganic nanoparticles manufactured for biomedical applications. </w:t>
      </w:r>
      <w:r w:rsidRPr="00EE19CA">
        <w:rPr>
          <w:i/>
          <w:iCs/>
          <w:noProof/>
          <w:szCs w:val="24"/>
        </w:rPr>
        <w:t>Advanced Drug Delivery Reviews</w:t>
      </w:r>
      <w:r w:rsidRPr="00EE19CA">
        <w:rPr>
          <w:noProof/>
          <w:szCs w:val="24"/>
        </w:rPr>
        <w:t xml:space="preserve">, </w:t>
      </w:r>
      <w:r w:rsidRPr="00EE19CA">
        <w:rPr>
          <w:i/>
          <w:iCs/>
          <w:noProof/>
          <w:szCs w:val="24"/>
        </w:rPr>
        <w:t>62</w:t>
      </w:r>
      <w:r w:rsidRPr="00EE19CA">
        <w:rPr>
          <w:noProof/>
          <w:szCs w:val="24"/>
        </w:rPr>
        <w:t>(3), 362–74. https://doi.org/10.1016/j.addr.2009.11.008</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Fadeel, B., N, F., Vogt, C., AM, A., &amp; WJ, P. (2013). Bridge over troubled waters: understanding the synthetic and biological identities of engineered nanomaterials. </w:t>
      </w:r>
      <w:r w:rsidRPr="00EE19CA">
        <w:rPr>
          <w:i/>
          <w:iCs/>
          <w:noProof/>
          <w:szCs w:val="24"/>
        </w:rPr>
        <w:t>Wiley Interdisciplinary Reviews: Nanomedicine and Nanobiotechnology</w:t>
      </w:r>
      <w:r w:rsidRPr="00EE19CA">
        <w:rPr>
          <w:noProof/>
          <w:szCs w:val="24"/>
        </w:rPr>
        <w:t xml:space="preserve">, </w:t>
      </w:r>
      <w:r w:rsidRPr="00EE19CA">
        <w:rPr>
          <w:i/>
          <w:iCs/>
          <w:noProof/>
          <w:szCs w:val="24"/>
        </w:rPr>
        <w:t>5</w:t>
      </w:r>
      <w:r w:rsidRPr="00EE19CA">
        <w:rPr>
          <w:noProof/>
          <w:szCs w:val="24"/>
        </w:rPr>
        <w:t>(2), 111–129. https://doi.org/10.1002/wnan.1206</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Giannakou, C., Park, M. V. D. Z., De Jong, W. H., Van Loveren, H., Vandebriel, R. J., &amp; Geertsma, R. E. (2016). A comparison of immunotoxic effects of nanomedicinal products with regulatory immunotoxicity testing requirements. </w:t>
      </w:r>
      <w:r w:rsidRPr="00EE19CA">
        <w:rPr>
          <w:i/>
          <w:iCs/>
          <w:noProof/>
          <w:szCs w:val="24"/>
        </w:rPr>
        <w:t>International Journal of Nanomedicine</w:t>
      </w:r>
      <w:r w:rsidRPr="00EE19CA">
        <w:rPr>
          <w:noProof/>
          <w:szCs w:val="24"/>
        </w:rPr>
        <w:t xml:space="preserve">, </w:t>
      </w:r>
      <w:r w:rsidRPr="00EE19CA">
        <w:rPr>
          <w:i/>
          <w:iCs/>
          <w:noProof/>
          <w:szCs w:val="24"/>
        </w:rPr>
        <w:t>11</w:t>
      </w:r>
      <w:r w:rsidRPr="00EE19CA">
        <w:rPr>
          <w:noProof/>
          <w:szCs w:val="24"/>
        </w:rPr>
        <w:t>, 2935–2952. https://doi.org/10.2147/IJN.S102385</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Grand View Research. (2017). </w:t>
      </w:r>
      <w:r w:rsidRPr="00EE19CA">
        <w:rPr>
          <w:i/>
          <w:iCs/>
          <w:noProof/>
          <w:szCs w:val="24"/>
        </w:rPr>
        <w:t>Nanomedicine Market Analysis By Products, (Therapeutics, Regenerative Medicine, Diagnostics), By Application, (Clinical Oncology, Infectious diseases), By Nanomolecule (Gold, Silver, Iron Oxide, Alumina), &amp; Segment Forecasts, 2013 - 2025</w:t>
      </w:r>
      <w:r w:rsidRPr="00EE19CA">
        <w:rPr>
          <w:noProof/>
          <w:szCs w:val="24"/>
        </w:rPr>
        <w:t xml:space="preserve">. </w:t>
      </w:r>
      <w:r w:rsidRPr="00EE19CA">
        <w:rPr>
          <w:noProof/>
          <w:szCs w:val="24"/>
        </w:rPr>
        <w:lastRenderedPageBreak/>
        <w:t>https://doi.org/978-1-68038-942-5</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Guidetti, G. F., Consonni, A., Cipolla, L., Mustarelli, P., Balduini, C., &amp; Torti, M. (2012). Nanoparticles induce platelet activation in vitro through stimulation of canonical signalling pathways. </w:t>
      </w:r>
      <w:r w:rsidRPr="00EE19CA">
        <w:rPr>
          <w:i/>
          <w:iCs/>
          <w:noProof/>
          <w:szCs w:val="24"/>
        </w:rPr>
        <w:t>Nanomedicine</w:t>
      </w:r>
      <w:r w:rsidRPr="00EE19CA">
        <w:rPr>
          <w:noProof/>
          <w:szCs w:val="24"/>
        </w:rPr>
        <w:t xml:space="preserve">, </w:t>
      </w:r>
      <w:r w:rsidRPr="00EE19CA">
        <w:rPr>
          <w:i/>
          <w:iCs/>
          <w:noProof/>
          <w:szCs w:val="24"/>
        </w:rPr>
        <w:t>8</w:t>
      </w:r>
      <w:r w:rsidRPr="00EE19CA">
        <w:rPr>
          <w:noProof/>
          <w:szCs w:val="24"/>
        </w:rPr>
        <w:t>, 1329–1336. https://doi.org/10.1016/j.nano.2012.04.001</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Guildford, A. L., Poletti, T., Osbourne, L. H., Di Cerbo, A., Gatti, A. M., &amp; Santin, M. (2009). Nanoparticles of a different source induce different patterns of activation in key biochemical and cellular components of the host response. </w:t>
      </w:r>
      <w:r w:rsidRPr="00EE19CA">
        <w:rPr>
          <w:i/>
          <w:iCs/>
          <w:noProof/>
          <w:szCs w:val="24"/>
        </w:rPr>
        <w:t>Journal of the Royal Society Interface</w:t>
      </w:r>
      <w:r w:rsidRPr="00EE19CA">
        <w:rPr>
          <w:noProof/>
          <w:szCs w:val="24"/>
        </w:rPr>
        <w:t xml:space="preserve">, </w:t>
      </w:r>
      <w:r w:rsidRPr="00EE19CA">
        <w:rPr>
          <w:i/>
          <w:iCs/>
          <w:noProof/>
          <w:szCs w:val="24"/>
        </w:rPr>
        <w:t>6</w:t>
      </w:r>
      <w:r w:rsidRPr="00EE19CA">
        <w:rPr>
          <w:noProof/>
          <w:szCs w:val="24"/>
        </w:rPr>
        <w:t>(41), 1213–21. https://doi.org/10.1098/rsif.2009.0021</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Halamoda-Kenzaoui, Blanka Bremer-Hoffmann, S. (2018). Main trends of immune effects triggered by nanomedicines in preclinical studies. </w:t>
      </w:r>
      <w:r w:rsidRPr="00EE19CA">
        <w:rPr>
          <w:i/>
          <w:iCs/>
          <w:noProof/>
          <w:szCs w:val="24"/>
        </w:rPr>
        <w:t>International Journal of Nanomedicine</w:t>
      </w:r>
      <w:r w:rsidRPr="00EE19CA">
        <w:rPr>
          <w:noProof/>
          <w:szCs w:val="24"/>
        </w:rPr>
        <w:t xml:space="preserve">, </w:t>
      </w:r>
      <w:r w:rsidRPr="00EE19CA">
        <w:rPr>
          <w:i/>
          <w:iCs/>
          <w:noProof/>
          <w:szCs w:val="24"/>
        </w:rPr>
        <w:t>13</w:t>
      </w:r>
      <w:r w:rsidRPr="00EE19CA">
        <w:rPr>
          <w:noProof/>
          <w:szCs w:val="24"/>
        </w:rPr>
        <w:t>, 5419–5431.</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Halamoda‐Kenzaoui, B., Holzwarth, U., Roebben, G., Bogni, A., &amp; Bremer‐Hoffmann, S. (2018). Mapping of the available standards against the regulatory needs for nanomedicines. </w:t>
      </w:r>
      <w:r w:rsidRPr="00EE19CA">
        <w:rPr>
          <w:i/>
          <w:iCs/>
          <w:noProof/>
          <w:szCs w:val="24"/>
        </w:rPr>
        <w:t>WIREs Nanomedine and Nanobiotechnology</w:t>
      </w:r>
      <w:r w:rsidRPr="00EE19CA">
        <w:rPr>
          <w:noProof/>
          <w:szCs w:val="24"/>
        </w:rPr>
        <w:t>. https://doi.org/10.1002/wnan.1531</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Hall, J. B., Dobrovolskaia, M. A., Patri, A. K., &amp; McNeil, S. E. (2007). Characterization of nanoparticles for therapeutics. </w:t>
      </w:r>
      <w:r w:rsidRPr="00EE19CA">
        <w:rPr>
          <w:i/>
          <w:iCs/>
          <w:noProof/>
          <w:szCs w:val="24"/>
        </w:rPr>
        <w:t>Nanomedicine</w:t>
      </w:r>
      <w:r w:rsidRPr="00EE19CA">
        <w:rPr>
          <w:noProof/>
          <w:szCs w:val="24"/>
        </w:rPr>
        <w:t xml:space="preserve">, </w:t>
      </w:r>
      <w:r w:rsidRPr="00EE19CA">
        <w:rPr>
          <w:i/>
          <w:iCs/>
          <w:noProof/>
          <w:szCs w:val="24"/>
        </w:rPr>
        <w:t>2</w:t>
      </w:r>
      <w:r w:rsidRPr="00EE19CA">
        <w:rPr>
          <w:noProof/>
          <w:szCs w:val="24"/>
        </w:rPr>
        <w:t>(6), 789–803. https://doi.org/10.2217/17435889.2.6.789</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Hernán Pérez de la Ossa, D. (2014). Presentation: Quality aspects of Nano-based medicines. </w:t>
      </w:r>
      <w:r w:rsidRPr="00EE19CA">
        <w:rPr>
          <w:i/>
          <w:iCs/>
          <w:noProof/>
          <w:szCs w:val="24"/>
        </w:rPr>
        <w:t>SME Workshop for Micro, Small and Medium-Sized Enterprises: Focus on Quality for Medicines Containing Chemical Entities</w:t>
      </w:r>
      <w:r w:rsidRPr="00EE19CA">
        <w:rPr>
          <w:noProof/>
          <w:szCs w:val="24"/>
        </w:rPr>
        <w:t>.</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Huang, H., Lai, W., Cui, M., Liang, L., Lin, Y., Fang, Q., … Xie, L. (2016). An Evaluation of Blood Compatibility of Silver Nanoparticles. </w:t>
      </w:r>
      <w:r w:rsidRPr="00EE19CA">
        <w:rPr>
          <w:i/>
          <w:iCs/>
          <w:noProof/>
          <w:szCs w:val="24"/>
        </w:rPr>
        <w:t>Scientific Reports</w:t>
      </w:r>
      <w:r w:rsidRPr="00EE19CA">
        <w:rPr>
          <w:noProof/>
          <w:szCs w:val="24"/>
        </w:rPr>
        <w:t xml:space="preserve">, </w:t>
      </w:r>
      <w:r w:rsidRPr="00EE19CA">
        <w:rPr>
          <w:i/>
          <w:iCs/>
          <w:noProof/>
          <w:szCs w:val="24"/>
        </w:rPr>
        <w:t>6</w:t>
      </w:r>
      <w:r w:rsidRPr="00EE19CA">
        <w:rPr>
          <w:noProof/>
          <w:szCs w:val="24"/>
        </w:rPr>
        <w:t>(April), 25518. https://doi.org/10.1038/srep25518</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ICH. (2005). ICH S8 - Immunotoxicity Studies For Human Pharmaceuticals, (September).</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ICH. (2009). ICH guideline M3(R2) on non-clinical safety studies for the conduct of human clinical trials and marketing authorisation for pharmaceuticals. </w:t>
      </w:r>
      <w:r w:rsidRPr="00EE19CA">
        <w:rPr>
          <w:i/>
          <w:iCs/>
          <w:noProof/>
          <w:szCs w:val="24"/>
        </w:rPr>
        <w:t>International Conference of Harmonisation of Technical Requirements for Registration of Pharmaceuticals for Human Use</w:t>
      </w:r>
      <w:r w:rsidRPr="00EE19CA">
        <w:rPr>
          <w:noProof/>
          <w:szCs w:val="24"/>
        </w:rPr>
        <w:t xml:space="preserve">, </w:t>
      </w:r>
      <w:r w:rsidRPr="00EE19CA">
        <w:rPr>
          <w:i/>
          <w:iCs/>
          <w:noProof/>
          <w:szCs w:val="24"/>
        </w:rPr>
        <w:t>3</w:t>
      </w:r>
      <w:r w:rsidRPr="00EE19CA">
        <w:rPr>
          <w:noProof/>
          <w:szCs w:val="24"/>
        </w:rPr>
        <w:t>(June). https://doi.org/EMA/CPMP/ICH/286/1995</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Ilinskaya, A. N., &amp; Dobrovolskaia, M. a. (2013). Nanoparticles and the blood coagulation system. Part II: Safety concerns. </w:t>
      </w:r>
      <w:r w:rsidRPr="00EE19CA">
        <w:rPr>
          <w:i/>
          <w:iCs/>
          <w:noProof/>
          <w:szCs w:val="24"/>
        </w:rPr>
        <w:t>Nanomedicine</w:t>
      </w:r>
      <w:r w:rsidRPr="00EE19CA">
        <w:rPr>
          <w:noProof/>
          <w:szCs w:val="24"/>
        </w:rPr>
        <w:t xml:space="preserve">, </w:t>
      </w:r>
      <w:r w:rsidRPr="00EE19CA">
        <w:rPr>
          <w:i/>
          <w:iCs/>
          <w:noProof/>
          <w:szCs w:val="24"/>
        </w:rPr>
        <w:t>8</w:t>
      </w:r>
      <w:r w:rsidRPr="00EE19CA">
        <w:rPr>
          <w:noProof/>
          <w:szCs w:val="24"/>
        </w:rPr>
        <w:t>(5), 773–784. https://doi.org/10.2217/nnm.13.48</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ISO. (2017a). ISO /TR 10993-22. Biological evaluation of medical devices- Part 22: Guidance on nanomaterials.</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ISO. (2017b). </w:t>
      </w:r>
      <w:r w:rsidRPr="00EE19CA">
        <w:rPr>
          <w:i/>
          <w:iCs/>
          <w:noProof/>
          <w:szCs w:val="24"/>
        </w:rPr>
        <w:t>ISO 10993-4 : Biological evaluation of medical devices. Part 4: Selection of tests for interaction with blood</w:t>
      </w:r>
      <w:r w:rsidRPr="00EE19CA">
        <w:rPr>
          <w:noProof/>
          <w:szCs w:val="24"/>
        </w:rPr>
        <w:t>.</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Kaplan, W., Wirtz, V., Mantel-Teeuwisse, A., Stolk, P., Duthey, B., &amp; Laining, R. (2013). Priority Medicines for Europe and the World. 2013 Update. World Health Organization in Collaboration with Utrecht University and Boston University.</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Kaur, I. P., Kakkar, V., Deol, P. K., Yadav, M., Singh, M., &amp; Sharma, I. (2014). Issues and concerns in nanotech product development and its commercialization. </w:t>
      </w:r>
      <w:r w:rsidRPr="00EE19CA">
        <w:rPr>
          <w:i/>
          <w:iCs/>
          <w:noProof/>
          <w:szCs w:val="24"/>
        </w:rPr>
        <w:t>Journal of Controlled Release</w:t>
      </w:r>
      <w:r w:rsidRPr="00EE19CA">
        <w:rPr>
          <w:noProof/>
          <w:szCs w:val="24"/>
        </w:rPr>
        <w:t xml:space="preserve">, </w:t>
      </w:r>
      <w:r w:rsidRPr="00EE19CA">
        <w:rPr>
          <w:i/>
          <w:iCs/>
          <w:noProof/>
          <w:szCs w:val="24"/>
        </w:rPr>
        <w:t>193</w:t>
      </w:r>
      <w:r w:rsidRPr="00EE19CA">
        <w:rPr>
          <w:noProof/>
          <w:szCs w:val="24"/>
        </w:rPr>
        <w:t>(2014), 51–62. https://doi.org/10.1016/j.jconrel.2014.06.005</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lastRenderedPageBreak/>
        <w:t xml:space="preserve">Klee, G., D’Onofrio, G., Van Assendelft, O. W., Bull, B., Bunyaratvej, A., Buttarello, M., … Lakomsky, D. (2001). Platelet Counting by the RBC/Platelet Ratio Method: A Reference Method. </w:t>
      </w:r>
      <w:r w:rsidRPr="00EE19CA">
        <w:rPr>
          <w:i/>
          <w:iCs/>
          <w:noProof/>
          <w:szCs w:val="24"/>
        </w:rPr>
        <w:t>American Journal of Clinical Pathology</w:t>
      </w:r>
      <w:r w:rsidRPr="00EE19CA">
        <w:rPr>
          <w:noProof/>
          <w:szCs w:val="24"/>
        </w:rPr>
        <w:t xml:space="preserve">, </w:t>
      </w:r>
      <w:r w:rsidRPr="00EE19CA">
        <w:rPr>
          <w:i/>
          <w:iCs/>
          <w:noProof/>
          <w:szCs w:val="24"/>
        </w:rPr>
        <w:t>115</w:t>
      </w:r>
      <w:r w:rsidRPr="00EE19CA">
        <w:rPr>
          <w:noProof/>
          <w:szCs w:val="24"/>
        </w:rPr>
        <w:t>(3), 460–464. https://doi.org/10.1309/W612-MYEP-FA7U-8UYA</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Kola, I., &amp; Landis, J. (2004). Can the pharmaceutical industry reduce attrition rates? </w:t>
      </w:r>
      <w:r w:rsidRPr="00EE19CA">
        <w:rPr>
          <w:i/>
          <w:iCs/>
          <w:noProof/>
          <w:szCs w:val="24"/>
        </w:rPr>
        <w:t>Nature Reviews Drug Discovery</w:t>
      </w:r>
      <w:r w:rsidRPr="00EE19CA">
        <w:rPr>
          <w:noProof/>
          <w:szCs w:val="24"/>
        </w:rPr>
        <w:t xml:space="preserve">, </w:t>
      </w:r>
      <w:r w:rsidRPr="00EE19CA">
        <w:rPr>
          <w:i/>
          <w:iCs/>
          <w:noProof/>
          <w:szCs w:val="24"/>
        </w:rPr>
        <w:t>3</w:t>
      </w:r>
      <w:r w:rsidRPr="00EE19CA">
        <w:rPr>
          <w:noProof/>
          <w:szCs w:val="24"/>
        </w:rPr>
        <w:t>, 711–716. https://doi.org/10.1038/nrd1470</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Kratz, A., Plebani, M., Peng, M., Lee, Y. K., McCafferty, R., &amp; Machin, S. J. (2017). ICSH recommendations for modified and alternate methods measuring the erythrocyte sedimentation rate. </w:t>
      </w:r>
      <w:r w:rsidRPr="00EE19CA">
        <w:rPr>
          <w:i/>
          <w:iCs/>
          <w:noProof/>
          <w:szCs w:val="24"/>
        </w:rPr>
        <w:t>International Journal of Laboratory Hematology</w:t>
      </w:r>
      <w:r w:rsidRPr="00EE19CA">
        <w:rPr>
          <w:noProof/>
          <w:szCs w:val="24"/>
        </w:rPr>
        <w:t>, (November 2016), 1–10. https://doi.org/10.1111/ijlh.12693</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Laloy, J., Minet, V., Alpan, L., Mullier, F., Beken, S., Toussaint, O., … Dogné, J.-M. (2014). Impact of Silver Nanoparticles on Haemolysis, Platelet Function and Coagulation. </w:t>
      </w:r>
      <w:r w:rsidRPr="00EE19CA">
        <w:rPr>
          <w:i/>
          <w:iCs/>
          <w:noProof/>
          <w:szCs w:val="24"/>
        </w:rPr>
        <w:t>Nanobiomedicine</w:t>
      </w:r>
      <w:r w:rsidRPr="00EE19CA">
        <w:rPr>
          <w:noProof/>
          <w:szCs w:val="24"/>
        </w:rPr>
        <w:t xml:space="preserve">, </w:t>
      </w:r>
      <w:r w:rsidRPr="00EE19CA">
        <w:rPr>
          <w:i/>
          <w:iCs/>
          <w:noProof/>
          <w:szCs w:val="24"/>
        </w:rPr>
        <w:t>1</w:t>
      </w:r>
      <w:r w:rsidRPr="00EE19CA">
        <w:rPr>
          <w:noProof/>
          <w:szCs w:val="24"/>
        </w:rPr>
        <w:t>, 1–9. https://doi.org/10.5772/59346</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Laloy, J., Robert, S., Marbehant, C., Mullier, F., Mejia, J., Piret, J.-P., … Rolin, S. (2012). Validation of the calibrated thrombin generation test (cTGT) as the reference assay to evaluate the procoagulant activity of nanomaterials. </w:t>
      </w:r>
      <w:r w:rsidRPr="00EE19CA">
        <w:rPr>
          <w:i/>
          <w:iCs/>
          <w:noProof/>
          <w:szCs w:val="24"/>
        </w:rPr>
        <w:t>Nanotoxicology</w:t>
      </w:r>
      <w:r w:rsidRPr="00EE19CA">
        <w:rPr>
          <w:noProof/>
          <w:szCs w:val="24"/>
        </w:rPr>
        <w:t xml:space="preserve">, </w:t>
      </w:r>
      <w:r w:rsidRPr="00EE19CA">
        <w:rPr>
          <w:i/>
          <w:iCs/>
          <w:noProof/>
          <w:szCs w:val="24"/>
        </w:rPr>
        <w:t>6</w:t>
      </w:r>
      <w:r w:rsidRPr="00EE19CA">
        <w:rPr>
          <w:noProof/>
          <w:szCs w:val="24"/>
        </w:rPr>
        <w:t>(2), 213–32. https://doi.org/10.3109/17435390.2011.569096</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Li, S. Q., Zhu, R. R., Zhu, H., Xue, M., Sun, X. Y., Yao, S. De, &amp; Wang, S. L. (2008). Nanotoxicity of TiO2 nanoparticles to erythrocyte in vitro. </w:t>
      </w:r>
      <w:r w:rsidRPr="00EE19CA">
        <w:rPr>
          <w:i/>
          <w:iCs/>
          <w:noProof/>
          <w:szCs w:val="24"/>
        </w:rPr>
        <w:t>Food and Chemical Toxicology</w:t>
      </w:r>
      <w:r w:rsidRPr="00EE19CA">
        <w:rPr>
          <w:noProof/>
          <w:szCs w:val="24"/>
        </w:rPr>
        <w:t xml:space="preserve">, </w:t>
      </w:r>
      <w:r w:rsidRPr="00EE19CA">
        <w:rPr>
          <w:i/>
          <w:iCs/>
          <w:noProof/>
          <w:szCs w:val="24"/>
        </w:rPr>
        <w:t>46</w:t>
      </w:r>
      <w:r w:rsidRPr="00EE19CA">
        <w:rPr>
          <w:noProof/>
          <w:szCs w:val="24"/>
        </w:rPr>
        <w:t>(12), 3626–3631. https://doi.org/10.1016/j.fct.2008.09.012</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Lundqvist, M., Augustsson, C., Lilja, M., Lundkvist, K., Dahlbäck, B., Linse, S., &amp; Cedervall, T. (2017). The nanoparticle protein corona formed in human blood or human blood fractions. </w:t>
      </w:r>
      <w:r w:rsidRPr="00EE19CA">
        <w:rPr>
          <w:i/>
          <w:iCs/>
          <w:noProof/>
          <w:szCs w:val="24"/>
        </w:rPr>
        <w:t>PLoS ONE</w:t>
      </w:r>
      <w:r w:rsidRPr="00EE19CA">
        <w:rPr>
          <w:noProof/>
          <w:szCs w:val="24"/>
        </w:rPr>
        <w:t xml:space="preserve">, </w:t>
      </w:r>
      <w:r w:rsidRPr="00EE19CA">
        <w:rPr>
          <w:i/>
          <w:iCs/>
          <w:noProof/>
          <w:szCs w:val="24"/>
        </w:rPr>
        <w:t>12</w:t>
      </w:r>
      <w:r w:rsidRPr="00EE19CA">
        <w:rPr>
          <w:noProof/>
          <w:szCs w:val="24"/>
        </w:rPr>
        <w:t>(4), 1–15. https://doi.org/10.1371/journal.pone.0175871</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Malik, N., Wiwattanapatapee, R., Klopsch, R., Lorenz, K., Frey, H., Weener, J. W., … Duncan, R. (2000). Dendrimers: Relationship between structure and biocompatibility in vitro, and preliminary studies on the biodistribution of 125I-labelled polyamidoamine dendrimers in vivo. </w:t>
      </w:r>
      <w:r w:rsidRPr="00EE19CA">
        <w:rPr>
          <w:i/>
          <w:iCs/>
          <w:noProof/>
          <w:szCs w:val="24"/>
        </w:rPr>
        <w:t>Journal of Controlled Release</w:t>
      </w:r>
      <w:r w:rsidRPr="00EE19CA">
        <w:rPr>
          <w:noProof/>
          <w:szCs w:val="24"/>
        </w:rPr>
        <w:t xml:space="preserve">, </w:t>
      </w:r>
      <w:r w:rsidRPr="00EE19CA">
        <w:rPr>
          <w:i/>
          <w:iCs/>
          <w:noProof/>
          <w:szCs w:val="24"/>
        </w:rPr>
        <w:t>65</w:t>
      </w:r>
      <w:r w:rsidRPr="00EE19CA">
        <w:rPr>
          <w:noProof/>
          <w:szCs w:val="24"/>
        </w:rPr>
        <w:t>(1–2), 133–148. https://doi.org/10.1016/S0168-3659(99)00246-1</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Markiewski, M. M., Nilsson, B., Nilsson Ekdahl, K., Mollnes, T. E., &amp; Lambris, J. D. (2007). Complement and coagulation: strangers or partners in crime? </w:t>
      </w:r>
      <w:r w:rsidRPr="00EE19CA">
        <w:rPr>
          <w:i/>
          <w:iCs/>
          <w:noProof/>
          <w:szCs w:val="24"/>
        </w:rPr>
        <w:t>Trends in Immunology</w:t>
      </w:r>
      <w:r w:rsidRPr="00EE19CA">
        <w:rPr>
          <w:noProof/>
          <w:szCs w:val="24"/>
        </w:rPr>
        <w:t xml:space="preserve">, </w:t>
      </w:r>
      <w:r w:rsidRPr="00EE19CA">
        <w:rPr>
          <w:i/>
          <w:iCs/>
          <w:noProof/>
          <w:szCs w:val="24"/>
        </w:rPr>
        <w:t>28</w:t>
      </w:r>
      <w:r w:rsidRPr="00EE19CA">
        <w:rPr>
          <w:noProof/>
          <w:szCs w:val="24"/>
        </w:rPr>
        <w:t>(4), 184–192. https://doi.org/10.1016/j.it.2007.02.006</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Mayer, A., Vadon, M., Rinner, B., Novak, A., Wintersteiger, R., &amp; Fröhlich, E. (2009). The role of nanoparticle size in hemocompatibility. </w:t>
      </w:r>
      <w:r w:rsidRPr="00EE19CA">
        <w:rPr>
          <w:i/>
          <w:iCs/>
          <w:noProof/>
          <w:szCs w:val="24"/>
        </w:rPr>
        <w:t>Toxicology</w:t>
      </w:r>
      <w:r w:rsidRPr="00EE19CA">
        <w:rPr>
          <w:noProof/>
          <w:szCs w:val="24"/>
        </w:rPr>
        <w:t xml:space="preserve">, </w:t>
      </w:r>
      <w:r w:rsidRPr="00EE19CA">
        <w:rPr>
          <w:i/>
          <w:iCs/>
          <w:noProof/>
          <w:szCs w:val="24"/>
        </w:rPr>
        <w:t>258</w:t>
      </w:r>
      <w:r w:rsidRPr="00EE19CA">
        <w:rPr>
          <w:noProof/>
          <w:szCs w:val="24"/>
        </w:rPr>
        <w:t>(2–3), 139–147. https://doi.org/10.1016/j.tox.2009.01.015</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Moghimi, S. M., &amp; Hamad, I. (2010). Hypersensitivity Reactions to Nanomedicines: Causative Factors and Optimization of Design Parameters. In </w:t>
      </w:r>
      <w:r w:rsidRPr="00EE19CA">
        <w:rPr>
          <w:i/>
          <w:iCs/>
          <w:noProof/>
          <w:szCs w:val="24"/>
        </w:rPr>
        <w:t>Allergy Frontiers: Future Perspectives</w:t>
      </w:r>
      <w:r w:rsidRPr="00EE19CA">
        <w:rPr>
          <w:noProof/>
          <w:szCs w:val="24"/>
        </w:rPr>
        <w:t xml:space="preserve"> (pp. 225–237). https://doi.org/10.1007/978-4-431-99365-0</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Nel, A. E. (2013). Implementation of alternative test strategies for the safety assessment of engineered nanomaterials. </w:t>
      </w:r>
      <w:r w:rsidRPr="00EE19CA">
        <w:rPr>
          <w:i/>
          <w:iCs/>
          <w:noProof/>
          <w:szCs w:val="24"/>
        </w:rPr>
        <w:t>Journal of Internal Medicine</w:t>
      </w:r>
      <w:r w:rsidRPr="00EE19CA">
        <w:rPr>
          <w:noProof/>
          <w:szCs w:val="24"/>
        </w:rPr>
        <w:t xml:space="preserve">, </w:t>
      </w:r>
      <w:r w:rsidRPr="00EE19CA">
        <w:rPr>
          <w:i/>
          <w:iCs/>
          <w:noProof/>
          <w:szCs w:val="24"/>
        </w:rPr>
        <w:t>274</w:t>
      </w:r>
      <w:r w:rsidRPr="00EE19CA">
        <w:rPr>
          <w:noProof/>
          <w:szCs w:val="24"/>
        </w:rPr>
        <w:t>(6), 561–577. https://doi.org/10.1111/joim.12109</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lastRenderedPageBreak/>
        <w:t xml:space="preserve">Onakpoya, I. J., Heneghan, C. J., &amp; Aronson, J. K. (2016). Post-marketing withdrawal of 462 medicinal products because of adverse drug reactions: a systematic review of the world literature. </w:t>
      </w:r>
      <w:r w:rsidRPr="00EE19CA">
        <w:rPr>
          <w:i/>
          <w:iCs/>
          <w:noProof/>
          <w:szCs w:val="24"/>
        </w:rPr>
        <w:t>BMC Medicine</w:t>
      </w:r>
      <w:r w:rsidRPr="00EE19CA">
        <w:rPr>
          <w:noProof/>
          <w:szCs w:val="24"/>
        </w:rPr>
        <w:t xml:space="preserve">, </w:t>
      </w:r>
      <w:r w:rsidRPr="00EE19CA">
        <w:rPr>
          <w:i/>
          <w:iCs/>
          <w:noProof/>
          <w:szCs w:val="24"/>
        </w:rPr>
        <w:t>14</w:t>
      </w:r>
      <w:r w:rsidRPr="00EE19CA">
        <w:rPr>
          <w:noProof/>
          <w:szCs w:val="24"/>
        </w:rPr>
        <w:t>(1), 10. https://doi.org/10.1186/s12916-016-0553-2</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Quiros-Pesudo, L., Balahur-Dobrescu, A., Gottardo, S., Rasmussen, K., Wagner, G., Joanny, G., &amp; Bremer, S. (2018). </w:t>
      </w:r>
      <w:r w:rsidRPr="00EE19CA">
        <w:rPr>
          <w:i/>
          <w:iCs/>
          <w:noProof/>
          <w:szCs w:val="24"/>
        </w:rPr>
        <w:t>Mapping Nanomedicine terminology in the regulatory landscape</w:t>
      </w:r>
      <w:r w:rsidRPr="00EE19CA">
        <w:rPr>
          <w:noProof/>
          <w:szCs w:val="24"/>
        </w:rPr>
        <w:t>. https://doi.org/10.2760/753829 (online)</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Radomski, A., Jurasz, P., Alonso-Escolano, D., Drews, M., Morandi, M., Malinski, T., &amp; Radomski, M. W. (2005). Nanoparticle-induced platelet aggregation and vascular thrombosis. </w:t>
      </w:r>
      <w:r w:rsidRPr="00EE19CA">
        <w:rPr>
          <w:i/>
          <w:iCs/>
          <w:noProof/>
          <w:szCs w:val="24"/>
        </w:rPr>
        <w:t>British Journal of Pharmacology</w:t>
      </w:r>
      <w:r w:rsidRPr="00EE19CA">
        <w:rPr>
          <w:noProof/>
          <w:szCs w:val="24"/>
        </w:rPr>
        <w:t xml:space="preserve">, </w:t>
      </w:r>
      <w:r w:rsidRPr="00EE19CA">
        <w:rPr>
          <w:i/>
          <w:iCs/>
          <w:noProof/>
          <w:szCs w:val="24"/>
        </w:rPr>
        <w:t>146</w:t>
      </w:r>
      <w:r w:rsidRPr="00EE19CA">
        <w:rPr>
          <w:noProof/>
          <w:szCs w:val="24"/>
        </w:rPr>
        <w:t>(6), 882–893. https://doi.org/10.1038/sj.bjp.0706386</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Reddy, S. T., van der Vlies, A. J., Simeoni, E., O’Neil, C. P., Swartz, M. A., &amp; Hubbell, J. A. (2007). Exploiting lymphatic transport and complement activation in nanoparticle vaccines. </w:t>
      </w:r>
      <w:r w:rsidRPr="00EE19CA">
        <w:rPr>
          <w:i/>
          <w:iCs/>
          <w:noProof/>
          <w:szCs w:val="24"/>
        </w:rPr>
        <w:t>Nature Biotechnology</w:t>
      </w:r>
      <w:r w:rsidRPr="00EE19CA">
        <w:rPr>
          <w:noProof/>
          <w:szCs w:val="24"/>
        </w:rPr>
        <w:t xml:space="preserve">, </w:t>
      </w:r>
      <w:r w:rsidRPr="00EE19CA">
        <w:rPr>
          <w:i/>
          <w:iCs/>
          <w:noProof/>
          <w:szCs w:val="24"/>
        </w:rPr>
        <w:t>25</w:t>
      </w:r>
      <w:r w:rsidRPr="00EE19CA">
        <w:rPr>
          <w:noProof/>
          <w:szCs w:val="24"/>
        </w:rPr>
        <w:t>(10), 1159. https://doi.org/10.1038/nbt1332</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Roussel, M., Davis, B. H., Fest, T., &amp; Wood, B. L. (2012). Toward a reference method for leukocyte differential counts in blood: Comparison of three flow cytometric candidate methods. </w:t>
      </w:r>
      <w:r w:rsidRPr="00EE19CA">
        <w:rPr>
          <w:i/>
          <w:iCs/>
          <w:noProof/>
          <w:szCs w:val="24"/>
        </w:rPr>
        <w:t>Cytometry Part A</w:t>
      </w:r>
      <w:r w:rsidRPr="00EE19CA">
        <w:rPr>
          <w:noProof/>
          <w:szCs w:val="24"/>
        </w:rPr>
        <w:t xml:space="preserve">, </w:t>
      </w:r>
      <w:r w:rsidRPr="00EE19CA">
        <w:rPr>
          <w:i/>
          <w:iCs/>
          <w:noProof/>
          <w:szCs w:val="24"/>
        </w:rPr>
        <w:t>81 A</w:t>
      </w:r>
      <w:r w:rsidRPr="00EE19CA">
        <w:rPr>
          <w:noProof/>
          <w:szCs w:val="24"/>
        </w:rPr>
        <w:t>(11), 973–982. https://doi.org/10.1002/cyto.a.22092</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Sanfins, E., Augustsson, C., Dahlbäck, B., Linse, S., &amp; Cedervall, T. (2014). Size-dependent effects of nanoparticles on enzymes in the blood coagulation cascade. </w:t>
      </w:r>
      <w:r w:rsidRPr="00EE19CA">
        <w:rPr>
          <w:i/>
          <w:iCs/>
          <w:noProof/>
          <w:szCs w:val="24"/>
        </w:rPr>
        <w:t>Nano Letters</w:t>
      </w:r>
      <w:r w:rsidRPr="00EE19CA">
        <w:rPr>
          <w:noProof/>
          <w:szCs w:val="24"/>
        </w:rPr>
        <w:t xml:space="preserve">, </w:t>
      </w:r>
      <w:r w:rsidRPr="00EE19CA">
        <w:rPr>
          <w:i/>
          <w:iCs/>
          <w:noProof/>
          <w:szCs w:val="24"/>
        </w:rPr>
        <w:t>14</w:t>
      </w:r>
      <w:r w:rsidRPr="00EE19CA">
        <w:rPr>
          <w:noProof/>
          <w:szCs w:val="24"/>
        </w:rPr>
        <w:t>(8), 4736–4744. https://doi.org/10.1021/nl501863u</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Shrivastava, S., Bera, T., Singh, S. K., Singh, G., Ramachandrarao, P., &amp; Dash, D. (2009). Characterization of antiplatelet properties of silver nanoparticles. </w:t>
      </w:r>
      <w:r w:rsidRPr="00EE19CA">
        <w:rPr>
          <w:i/>
          <w:iCs/>
          <w:noProof/>
          <w:szCs w:val="24"/>
        </w:rPr>
        <w:t>ACS Nano</w:t>
      </w:r>
      <w:r w:rsidRPr="00EE19CA">
        <w:rPr>
          <w:noProof/>
          <w:szCs w:val="24"/>
        </w:rPr>
        <w:t xml:space="preserve">, </w:t>
      </w:r>
      <w:r w:rsidRPr="00EE19CA">
        <w:rPr>
          <w:i/>
          <w:iCs/>
          <w:noProof/>
          <w:szCs w:val="24"/>
        </w:rPr>
        <w:t>3</w:t>
      </w:r>
      <w:r w:rsidRPr="00EE19CA">
        <w:rPr>
          <w:noProof/>
          <w:szCs w:val="24"/>
        </w:rPr>
        <w:t>(6), 1357–1364. https://doi.org/10.1021/nn900277t</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Szebeni, J. (2012). Hemocompatibility testing for nanomedicines and biologicals: Predictive assays for complement mediated infusion reactions. </w:t>
      </w:r>
      <w:r w:rsidRPr="00EE19CA">
        <w:rPr>
          <w:i/>
          <w:iCs/>
          <w:noProof/>
          <w:szCs w:val="24"/>
        </w:rPr>
        <w:t>European Journal of Nanomedicine</w:t>
      </w:r>
      <w:r w:rsidRPr="00EE19CA">
        <w:rPr>
          <w:noProof/>
          <w:szCs w:val="24"/>
        </w:rPr>
        <w:t xml:space="preserve">, </w:t>
      </w:r>
      <w:r w:rsidRPr="00EE19CA">
        <w:rPr>
          <w:i/>
          <w:iCs/>
          <w:noProof/>
          <w:szCs w:val="24"/>
        </w:rPr>
        <w:t>4</w:t>
      </w:r>
      <w:r w:rsidRPr="00EE19CA">
        <w:rPr>
          <w:noProof/>
          <w:szCs w:val="24"/>
        </w:rPr>
        <w:t>(1), 33–53. https://doi.org/10.1515/ejnm-2012-0002</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Szebeni, J., Muggia, F., Gabizon, A., &amp; Barenholz, Y. (2011). Activation of complement by therapeutic liposomes and other lipid excipient-based therapeutic products: Prediction and prevention. </w:t>
      </w:r>
      <w:r w:rsidRPr="00EE19CA">
        <w:rPr>
          <w:i/>
          <w:iCs/>
          <w:noProof/>
          <w:szCs w:val="24"/>
        </w:rPr>
        <w:t>Advanced Drug Delivery Reviews</w:t>
      </w:r>
      <w:r w:rsidRPr="00EE19CA">
        <w:rPr>
          <w:noProof/>
          <w:szCs w:val="24"/>
        </w:rPr>
        <w:t xml:space="preserve">, </w:t>
      </w:r>
      <w:r w:rsidRPr="00EE19CA">
        <w:rPr>
          <w:i/>
          <w:iCs/>
          <w:noProof/>
          <w:szCs w:val="24"/>
        </w:rPr>
        <w:t>63</w:t>
      </w:r>
      <w:r w:rsidRPr="00EE19CA">
        <w:rPr>
          <w:noProof/>
          <w:szCs w:val="24"/>
        </w:rPr>
        <w:t>(12), 1020–1030. https://doi.org/10.1016/j.addr.2011.06.017</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Szebeni, J., &amp; Storm, G. (2015). Complement activation as a bioequivalence issue relevant to the development of generic liposomes and other nanoparticulate drugs. </w:t>
      </w:r>
      <w:r w:rsidRPr="00EE19CA">
        <w:rPr>
          <w:i/>
          <w:iCs/>
          <w:noProof/>
          <w:szCs w:val="24"/>
        </w:rPr>
        <w:t>Biochemical and Biophysical Research Communications</w:t>
      </w:r>
      <w:r w:rsidRPr="00EE19CA">
        <w:rPr>
          <w:noProof/>
          <w:szCs w:val="24"/>
        </w:rPr>
        <w:t xml:space="preserve">, </w:t>
      </w:r>
      <w:r w:rsidRPr="00EE19CA">
        <w:rPr>
          <w:i/>
          <w:iCs/>
          <w:noProof/>
          <w:szCs w:val="24"/>
        </w:rPr>
        <w:t>468</w:t>
      </w:r>
      <w:r w:rsidRPr="00EE19CA">
        <w:rPr>
          <w:noProof/>
          <w:szCs w:val="24"/>
        </w:rPr>
        <w:t>(3), 490–497. https://doi.org/10.1016/j.bbrc.2015.06.177</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Thevenot, P., Hu, W., &amp; Tang, L. (2008). Surface chemistry influence implant biocompatibility. </w:t>
      </w:r>
      <w:r w:rsidRPr="00EE19CA">
        <w:rPr>
          <w:i/>
          <w:iCs/>
          <w:noProof/>
          <w:szCs w:val="24"/>
        </w:rPr>
        <w:t>Curr Top Med Chem.</w:t>
      </w:r>
      <w:r w:rsidRPr="00EE19CA">
        <w:rPr>
          <w:noProof/>
          <w:szCs w:val="24"/>
        </w:rPr>
        <w:t xml:space="preserve">, </w:t>
      </w:r>
      <w:r w:rsidRPr="00EE19CA">
        <w:rPr>
          <w:i/>
          <w:iCs/>
          <w:noProof/>
          <w:szCs w:val="24"/>
        </w:rPr>
        <w:t>8</w:t>
      </w:r>
      <w:r w:rsidRPr="00EE19CA">
        <w:rPr>
          <w:noProof/>
          <w:szCs w:val="24"/>
        </w:rPr>
        <w:t>(4), 270–280.</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US FDA Center for Drug Evaluation and Research (CDER); Center for Biologics Evaluation and Research (CBER). (2017). Guidance on Drug Products, Including Biological Products, that Contain Nanomaterials - Guidance for Industry, (December). Retrieved from https://www.fda.gov/Drugs/GuidanceComplianceRegulatoryInformation/Guidances/default.htm</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Van Oeveren, W. (2013). Obstacles in Haemocompatibility Testing. </w:t>
      </w:r>
      <w:r w:rsidRPr="00EE19CA">
        <w:rPr>
          <w:i/>
          <w:iCs/>
          <w:noProof/>
          <w:szCs w:val="24"/>
        </w:rPr>
        <w:t>Scientifica</w:t>
      </w:r>
      <w:r w:rsidRPr="00EE19CA">
        <w:rPr>
          <w:noProof/>
          <w:szCs w:val="24"/>
        </w:rPr>
        <w:t xml:space="preserve">, </w:t>
      </w:r>
      <w:r w:rsidRPr="00EE19CA">
        <w:rPr>
          <w:i/>
          <w:iCs/>
          <w:noProof/>
          <w:szCs w:val="24"/>
        </w:rPr>
        <w:t>2013</w:t>
      </w:r>
      <w:r w:rsidRPr="00EE19CA">
        <w:rPr>
          <w:noProof/>
          <w:szCs w:val="24"/>
        </w:rPr>
        <w:t xml:space="preserve">, 1–14. </w:t>
      </w:r>
      <w:r w:rsidRPr="00EE19CA">
        <w:rPr>
          <w:noProof/>
          <w:szCs w:val="24"/>
        </w:rPr>
        <w:lastRenderedPageBreak/>
        <w:t>https://doi.org/10.1155/2013/392584</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Vauthier, C., Persson, B., Lindner, P., &amp; Cabane, B. (2011). Protein adsorption and complement activation for di-block copolymer nanoparticles. </w:t>
      </w:r>
      <w:r w:rsidRPr="00EE19CA">
        <w:rPr>
          <w:i/>
          <w:iCs/>
          <w:noProof/>
          <w:szCs w:val="24"/>
        </w:rPr>
        <w:t>Biomaterials</w:t>
      </w:r>
      <w:r w:rsidRPr="00EE19CA">
        <w:rPr>
          <w:noProof/>
          <w:szCs w:val="24"/>
        </w:rPr>
        <w:t xml:space="preserve">, </w:t>
      </w:r>
      <w:r w:rsidRPr="00EE19CA">
        <w:rPr>
          <w:i/>
          <w:iCs/>
          <w:noProof/>
          <w:szCs w:val="24"/>
        </w:rPr>
        <w:t>32</w:t>
      </w:r>
      <w:r w:rsidRPr="00EE19CA">
        <w:rPr>
          <w:noProof/>
          <w:szCs w:val="24"/>
        </w:rPr>
        <w:t>(6), 1646–1656. https://doi.org/10.1016/j.biomaterials.2010.10.026</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Vonarbourg, A., Passirani, C., Saulnier, P., J.C, S., Leroux, P., &amp; J.P, B. (2006). Evaluation of pegylated lipid nanocapsules versus complement system activation and macrophage uptake. </w:t>
      </w:r>
      <w:r w:rsidRPr="00EE19CA">
        <w:rPr>
          <w:i/>
          <w:iCs/>
          <w:noProof/>
          <w:szCs w:val="24"/>
        </w:rPr>
        <w:t>Clinical and Experimental Rheumatology</w:t>
      </w:r>
      <w:r w:rsidRPr="00EE19CA">
        <w:rPr>
          <w:noProof/>
          <w:szCs w:val="24"/>
        </w:rPr>
        <w:t xml:space="preserve">, </w:t>
      </w:r>
      <w:r w:rsidRPr="00EE19CA">
        <w:rPr>
          <w:i/>
          <w:iCs/>
          <w:noProof/>
          <w:szCs w:val="24"/>
        </w:rPr>
        <w:t>78A</w:t>
      </w:r>
      <w:r w:rsidRPr="00EE19CA">
        <w:rPr>
          <w:noProof/>
          <w:szCs w:val="24"/>
        </w:rPr>
        <w:t>(3), 620–628. https://doi.org/10.1002/jbm.a</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Wang, G., Chen, F., Banda, N. K., Holers, V. M., Wu, L. P., Moghimi, S. M., &amp; Simberg, D. (2016). Activation of human complement system by dextran-coated iron oxide nanoparticles is not affected by dextran/Fe ratio, hydroxyl modifications, and crosslinking. </w:t>
      </w:r>
      <w:r w:rsidRPr="00EE19CA">
        <w:rPr>
          <w:i/>
          <w:iCs/>
          <w:noProof/>
          <w:szCs w:val="24"/>
        </w:rPr>
        <w:t>Frontiers in Immunology</w:t>
      </w:r>
      <w:r w:rsidRPr="00EE19CA">
        <w:rPr>
          <w:noProof/>
          <w:szCs w:val="24"/>
        </w:rPr>
        <w:t xml:space="preserve">, </w:t>
      </w:r>
      <w:r w:rsidRPr="00EE19CA">
        <w:rPr>
          <w:i/>
          <w:iCs/>
          <w:noProof/>
          <w:szCs w:val="24"/>
        </w:rPr>
        <w:t>7</w:t>
      </w:r>
      <w:r w:rsidRPr="00EE19CA">
        <w:rPr>
          <w:noProof/>
          <w:szCs w:val="24"/>
        </w:rPr>
        <w:t>(OCT), 1–8. https://doi.org/10.3389/fimmu.2016.00418</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Wibroe, P. P., &amp; Moghimi, S. M. (2012). Complement sensing of nanoparticles and nanomedicines. In </w:t>
      </w:r>
      <w:r w:rsidRPr="00EE19CA">
        <w:rPr>
          <w:i/>
          <w:iCs/>
          <w:noProof/>
          <w:szCs w:val="24"/>
        </w:rPr>
        <w:t>Functional Nanoparticles for Bioanalysis, Nanomedicine, and Bioelectronic Devices</w:t>
      </w:r>
      <w:r w:rsidRPr="00EE19CA">
        <w:rPr>
          <w:noProof/>
          <w:szCs w:val="24"/>
        </w:rPr>
        <w:t xml:space="preserve"> (Vol. 2, pp. 365–382). https://doi.org/10.1021/bk-2012-1113.ch014</w:t>
      </w:r>
    </w:p>
    <w:p w:rsidR="00EE19CA" w:rsidRPr="00EE19CA" w:rsidRDefault="00EE19CA" w:rsidP="00EE19CA">
      <w:pPr>
        <w:widowControl w:val="0"/>
        <w:autoSpaceDE w:val="0"/>
        <w:autoSpaceDN w:val="0"/>
        <w:adjustRightInd w:val="0"/>
        <w:spacing w:before="240" w:after="0" w:line="240" w:lineRule="auto"/>
        <w:ind w:left="480" w:hanging="480"/>
        <w:rPr>
          <w:noProof/>
          <w:szCs w:val="24"/>
        </w:rPr>
      </w:pPr>
      <w:r w:rsidRPr="00EE19CA">
        <w:rPr>
          <w:noProof/>
          <w:szCs w:val="24"/>
        </w:rPr>
        <w:t xml:space="preserve">Wicki, A., Witzigmann, D., Balasubramanian, V., &amp; Huwyler, J. (2015). Nanomedicine in cancer therapy: Challenges, opportunities, and clinical applications. </w:t>
      </w:r>
      <w:r w:rsidRPr="00EE19CA">
        <w:rPr>
          <w:i/>
          <w:iCs/>
          <w:noProof/>
          <w:szCs w:val="24"/>
        </w:rPr>
        <w:t>Journal of Controlled Release</w:t>
      </w:r>
      <w:r w:rsidRPr="00EE19CA">
        <w:rPr>
          <w:noProof/>
          <w:szCs w:val="24"/>
        </w:rPr>
        <w:t xml:space="preserve">, </w:t>
      </w:r>
      <w:r w:rsidRPr="00EE19CA">
        <w:rPr>
          <w:i/>
          <w:iCs/>
          <w:noProof/>
          <w:szCs w:val="24"/>
        </w:rPr>
        <w:t>200</w:t>
      </w:r>
      <w:r w:rsidRPr="00EE19CA">
        <w:rPr>
          <w:noProof/>
          <w:szCs w:val="24"/>
        </w:rPr>
        <w:t>, 138–157. https://doi.org/10.1016/j.jconrel.2014.12.030</w:t>
      </w:r>
    </w:p>
    <w:p w:rsidR="00EE19CA" w:rsidRPr="00EE19CA" w:rsidRDefault="00EE19CA" w:rsidP="00EE19CA">
      <w:pPr>
        <w:widowControl w:val="0"/>
        <w:autoSpaceDE w:val="0"/>
        <w:autoSpaceDN w:val="0"/>
        <w:adjustRightInd w:val="0"/>
        <w:spacing w:before="240" w:after="0" w:line="240" w:lineRule="auto"/>
        <w:ind w:left="480" w:hanging="480"/>
        <w:rPr>
          <w:noProof/>
        </w:rPr>
      </w:pPr>
      <w:r w:rsidRPr="00EE19CA">
        <w:rPr>
          <w:noProof/>
          <w:szCs w:val="24"/>
        </w:rPr>
        <w:t xml:space="preserve">Zhao, Y., Sun, X., Zhang, G., Trewyn, B. G., Slowing, I. I., &amp; Lin, V. S.-Y. (2011). Interaction of Mesoporous Silica Nanoparticles with Human Red Blood Cell Membranes : Size and Surface E ff ects. </w:t>
      </w:r>
      <w:r w:rsidRPr="00EE19CA">
        <w:rPr>
          <w:i/>
          <w:iCs/>
          <w:noProof/>
          <w:szCs w:val="24"/>
        </w:rPr>
        <w:t>ACS Nano</w:t>
      </w:r>
      <w:r w:rsidRPr="00EE19CA">
        <w:rPr>
          <w:noProof/>
          <w:szCs w:val="24"/>
        </w:rPr>
        <w:t xml:space="preserve">, </w:t>
      </w:r>
      <w:r w:rsidRPr="00EE19CA">
        <w:rPr>
          <w:i/>
          <w:iCs/>
          <w:noProof/>
          <w:szCs w:val="24"/>
        </w:rPr>
        <w:t>5</w:t>
      </w:r>
      <w:r w:rsidRPr="00EE19CA">
        <w:rPr>
          <w:noProof/>
          <w:szCs w:val="24"/>
        </w:rPr>
        <w:t>(2), 1366–75. https://doi.org/10.1021/nn103077k</w:t>
      </w:r>
    </w:p>
    <w:p w:rsidR="00555DCA" w:rsidRPr="00873F75" w:rsidRDefault="00555DCA" w:rsidP="00EE19CA">
      <w:pPr>
        <w:widowControl w:val="0"/>
        <w:autoSpaceDE w:val="0"/>
        <w:autoSpaceDN w:val="0"/>
        <w:adjustRightInd w:val="0"/>
        <w:spacing w:before="240" w:after="0" w:line="240" w:lineRule="auto"/>
        <w:ind w:left="480" w:hanging="480"/>
        <w:rPr>
          <w:rFonts w:ascii="Arial" w:hAnsi="Arial" w:cs="Arial"/>
          <w:sz w:val="24"/>
          <w:szCs w:val="24"/>
          <w:lang w:val="en"/>
        </w:rPr>
      </w:pPr>
      <w:r w:rsidRPr="00C75910">
        <w:rPr>
          <w:rFonts w:cs="Arial"/>
          <w:lang w:val="en"/>
        </w:rPr>
        <w:fldChar w:fldCharType="end"/>
      </w:r>
    </w:p>
    <w:p w:rsidR="00FD37BD" w:rsidRDefault="00FD37BD">
      <w:pPr>
        <w:rPr>
          <w:b/>
          <w:color w:val="7030A0"/>
        </w:rPr>
      </w:pPr>
    </w:p>
    <w:sectPr w:rsidR="00FD37BD" w:rsidSect="00373CFE">
      <w:type w:val="continuous"/>
      <w:pgSz w:w="11906" w:h="16838" w:code="9"/>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6C85" w:rsidRDefault="00936C85" w:rsidP="00AE24E8">
      <w:pPr>
        <w:spacing w:after="0" w:line="240" w:lineRule="auto"/>
      </w:pPr>
      <w:r>
        <w:separator/>
      </w:r>
    </w:p>
  </w:endnote>
  <w:endnote w:type="continuationSeparator" w:id="0">
    <w:p w:rsidR="00936C85" w:rsidRDefault="00936C85" w:rsidP="00AE2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29E" w:rsidRDefault="009F529E">
    <w:pPr>
      <w:pStyle w:val="Footer"/>
      <w:jc w:val="right"/>
    </w:pPr>
    <w:r>
      <w:fldChar w:fldCharType="begin"/>
    </w:r>
    <w:r>
      <w:instrText xml:space="preserve"> PAGE   \* MERGEFORMAT </w:instrText>
    </w:r>
    <w:r>
      <w:fldChar w:fldCharType="separate"/>
    </w:r>
    <w:r w:rsidR="007D59F7">
      <w:rPr>
        <w:noProof/>
      </w:rPr>
      <w:t>2</w:t>
    </w:r>
    <w:r>
      <w:rPr>
        <w:noProof/>
      </w:rPr>
      <w:fldChar w:fldCharType="end"/>
    </w:r>
  </w:p>
  <w:p w:rsidR="009F529E" w:rsidRDefault="009F52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6C85" w:rsidRDefault="00936C85" w:rsidP="00AE24E8">
      <w:pPr>
        <w:spacing w:after="0" w:line="240" w:lineRule="auto"/>
      </w:pPr>
      <w:r>
        <w:separator/>
      </w:r>
    </w:p>
  </w:footnote>
  <w:footnote w:type="continuationSeparator" w:id="0">
    <w:p w:rsidR="00936C85" w:rsidRDefault="00936C85" w:rsidP="00AE24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2">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3">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4">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5">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6">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1">
    <w:nsid w:val="5CDF29DD"/>
    <w:multiLevelType w:val="hybridMultilevel"/>
    <w:tmpl w:val="6B924026"/>
    <w:lvl w:ilvl="0" w:tplc="16F27F7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3">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14">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5">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11"/>
  </w:num>
  <w:num w:numId="2">
    <w:abstractNumId w:val="10"/>
  </w:num>
  <w:num w:numId="3">
    <w:abstractNumId w:val="5"/>
  </w:num>
  <w:num w:numId="4">
    <w:abstractNumId w:val="4"/>
  </w:num>
  <w:num w:numId="5">
    <w:abstractNumId w:val="2"/>
  </w:num>
  <w:num w:numId="6">
    <w:abstractNumId w:val="1"/>
  </w:num>
  <w:num w:numId="7">
    <w:abstractNumId w:val="12"/>
  </w:num>
  <w:num w:numId="8">
    <w:abstractNumId w:val="14"/>
  </w:num>
  <w:num w:numId="9">
    <w:abstractNumId w:val="13"/>
  </w:num>
  <w:num w:numId="10">
    <w:abstractNumId w:val="15"/>
  </w:num>
  <w:num w:numId="11">
    <w:abstractNumId w:val="3"/>
  </w:num>
  <w:num w:numId="12">
    <w:abstractNumId w:val="6"/>
  </w:num>
  <w:num w:numId="13">
    <w:abstractNumId w:val="8"/>
  </w:num>
  <w:num w:numId="14">
    <w:abstractNumId w:val="7"/>
  </w:num>
  <w:num w:numId="15">
    <w:abstractNumId w:val="0"/>
  </w:num>
  <w:num w:numId="16">
    <w:abstractNumId w:val="9"/>
  </w:num>
  <w:num w:numId="17">
    <w:abstractNumId w:val="10"/>
  </w:num>
  <w:num w:numId="18">
    <w:abstractNumId w:val="5"/>
  </w:num>
  <w:num w:numId="19">
    <w:abstractNumId w:val="4"/>
  </w:num>
  <w:num w:numId="20">
    <w:abstractNumId w:val="2"/>
  </w:num>
  <w:num w:numId="21">
    <w:abstractNumId w:val="1"/>
  </w:num>
  <w:num w:numId="22">
    <w:abstractNumId w:val="12"/>
  </w:num>
  <w:num w:numId="23">
    <w:abstractNumId w:val="14"/>
  </w:num>
  <w:num w:numId="24">
    <w:abstractNumId w:val="13"/>
  </w:num>
  <w:num w:numId="25">
    <w:abstractNumId w:val="15"/>
  </w:num>
  <w:num w:numId="26">
    <w:abstractNumId w:val="3"/>
  </w:num>
  <w:num w:numId="27">
    <w:abstractNumId w:val="6"/>
  </w:num>
  <w:num w:numId="28">
    <w:abstractNumId w:val="8"/>
  </w:num>
  <w:num w:numId="29">
    <w:abstractNumId w:val="7"/>
  </w:num>
  <w:num w:numId="30">
    <w:abstractNumId w:val="0"/>
  </w:num>
  <w:num w:numId="31">
    <w:abstractNumId w:val="9"/>
  </w:num>
  <w:num w:numId="32">
    <w:abstractNumId w:val="6"/>
  </w:num>
  <w:num w:numId="33">
    <w:abstractNumId w:val="8"/>
  </w:num>
  <w:num w:numId="34">
    <w:abstractNumId w:val="7"/>
  </w:num>
  <w:num w:numId="35">
    <w:abstractNumId w:val="0"/>
  </w:num>
  <w:num w:numId="36">
    <w:abstractNumId w:val="9"/>
  </w:num>
  <w:num w:numId="37">
    <w:abstractNumId w:val="6"/>
  </w:num>
  <w:num w:numId="38">
    <w:abstractNumId w:val="8"/>
  </w:num>
  <w:num w:numId="39">
    <w:abstractNumId w:val="7"/>
  </w:num>
  <w:num w:numId="40">
    <w:abstractNumId w:val="0"/>
  </w:num>
  <w:num w:numId="41">
    <w:abstractNumId w:val="9"/>
  </w:num>
  <w:num w:numId="42">
    <w:abstractNumId w:val="6"/>
  </w:num>
  <w:num w:numId="43">
    <w:abstractNumId w:val="8"/>
  </w:num>
  <w:num w:numId="44">
    <w:abstractNumId w:val="7"/>
  </w:num>
  <w:num w:numId="45">
    <w:abstractNumId w:val="0"/>
  </w:num>
  <w:num w:numId="4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ttachedTemplate r:id="rId1"/>
  <w:defaultTabStop w:val="720"/>
  <w:doNotShadeFormData/>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COGSCI-FLAT_AR"/>
  </w:docVars>
  <w:rsids>
    <w:rsidRoot w:val="000B78FB"/>
    <w:rsid w:val="0000075B"/>
    <w:rsid w:val="000044E8"/>
    <w:rsid w:val="00006178"/>
    <w:rsid w:val="00006EE3"/>
    <w:rsid w:val="0000779C"/>
    <w:rsid w:val="00013994"/>
    <w:rsid w:val="000169D5"/>
    <w:rsid w:val="000217F6"/>
    <w:rsid w:val="0002385F"/>
    <w:rsid w:val="00024F8A"/>
    <w:rsid w:val="0003005C"/>
    <w:rsid w:val="00031092"/>
    <w:rsid w:val="000317CA"/>
    <w:rsid w:val="00032180"/>
    <w:rsid w:val="00035A4C"/>
    <w:rsid w:val="00035F7E"/>
    <w:rsid w:val="00042817"/>
    <w:rsid w:val="000429D9"/>
    <w:rsid w:val="00045BA0"/>
    <w:rsid w:val="000466F4"/>
    <w:rsid w:val="00050C13"/>
    <w:rsid w:val="0005212D"/>
    <w:rsid w:val="00052D7D"/>
    <w:rsid w:val="0005488C"/>
    <w:rsid w:val="00055964"/>
    <w:rsid w:val="00056076"/>
    <w:rsid w:val="000623F4"/>
    <w:rsid w:val="00070C04"/>
    <w:rsid w:val="00072FFD"/>
    <w:rsid w:val="00073995"/>
    <w:rsid w:val="000864EE"/>
    <w:rsid w:val="000874E4"/>
    <w:rsid w:val="00093479"/>
    <w:rsid w:val="00093F62"/>
    <w:rsid w:val="000946EF"/>
    <w:rsid w:val="000957A2"/>
    <w:rsid w:val="000967BE"/>
    <w:rsid w:val="000A0209"/>
    <w:rsid w:val="000A2D08"/>
    <w:rsid w:val="000A2E03"/>
    <w:rsid w:val="000A7FE4"/>
    <w:rsid w:val="000B78FB"/>
    <w:rsid w:val="000C1748"/>
    <w:rsid w:val="000C256C"/>
    <w:rsid w:val="000C68FC"/>
    <w:rsid w:val="000D0542"/>
    <w:rsid w:val="000D1778"/>
    <w:rsid w:val="000D2075"/>
    <w:rsid w:val="000D57C3"/>
    <w:rsid w:val="000D5BE3"/>
    <w:rsid w:val="000D793E"/>
    <w:rsid w:val="000D7B89"/>
    <w:rsid w:val="000E5761"/>
    <w:rsid w:val="000E63C1"/>
    <w:rsid w:val="000E7C4B"/>
    <w:rsid w:val="000F0703"/>
    <w:rsid w:val="000F106A"/>
    <w:rsid w:val="000F2F5D"/>
    <w:rsid w:val="000F481E"/>
    <w:rsid w:val="000F6090"/>
    <w:rsid w:val="00100863"/>
    <w:rsid w:val="0010587D"/>
    <w:rsid w:val="00107395"/>
    <w:rsid w:val="00111CFD"/>
    <w:rsid w:val="00113AB4"/>
    <w:rsid w:val="00114E9D"/>
    <w:rsid w:val="00116573"/>
    <w:rsid w:val="001170BA"/>
    <w:rsid w:val="001252C8"/>
    <w:rsid w:val="00126360"/>
    <w:rsid w:val="00127BC1"/>
    <w:rsid w:val="00131FB7"/>
    <w:rsid w:val="00135F32"/>
    <w:rsid w:val="00136687"/>
    <w:rsid w:val="001369AD"/>
    <w:rsid w:val="00141698"/>
    <w:rsid w:val="00143F69"/>
    <w:rsid w:val="00146788"/>
    <w:rsid w:val="00151717"/>
    <w:rsid w:val="00151D17"/>
    <w:rsid w:val="00154149"/>
    <w:rsid w:val="001555DC"/>
    <w:rsid w:val="00163049"/>
    <w:rsid w:val="00163402"/>
    <w:rsid w:val="00172E37"/>
    <w:rsid w:val="0017471E"/>
    <w:rsid w:val="00175297"/>
    <w:rsid w:val="00175E2A"/>
    <w:rsid w:val="00177773"/>
    <w:rsid w:val="001825DC"/>
    <w:rsid w:val="00184FDE"/>
    <w:rsid w:val="001875EE"/>
    <w:rsid w:val="001917CE"/>
    <w:rsid w:val="001938C9"/>
    <w:rsid w:val="00195A23"/>
    <w:rsid w:val="00195C7D"/>
    <w:rsid w:val="001A13C8"/>
    <w:rsid w:val="001A2059"/>
    <w:rsid w:val="001A3DEC"/>
    <w:rsid w:val="001A5C8B"/>
    <w:rsid w:val="001B0283"/>
    <w:rsid w:val="001B0555"/>
    <w:rsid w:val="001B1C40"/>
    <w:rsid w:val="001B51A4"/>
    <w:rsid w:val="001B7973"/>
    <w:rsid w:val="001C52A5"/>
    <w:rsid w:val="001C6AAA"/>
    <w:rsid w:val="001D0677"/>
    <w:rsid w:val="001D477E"/>
    <w:rsid w:val="001D57F4"/>
    <w:rsid w:val="001E2257"/>
    <w:rsid w:val="001E4C5B"/>
    <w:rsid w:val="001E77AF"/>
    <w:rsid w:val="00201799"/>
    <w:rsid w:val="002025EB"/>
    <w:rsid w:val="00205E64"/>
    <w:rsid w:val="00207731"/>
    <w:rsid w:val="00216310"/>
    <w:rsid w:val="00217E6C"/>
    <w:rsid w:val="0022491D"/>
    <w:rsid w:val="0022552C"/>
    <w:rsid w:val="00233104"/>
    <w:rsid w:val="00235FDE"/>
    <w:rsid w:val="00236E27"/>
    <w:rsid w:val="00237E7E"/>
    <w:rsid w:val="0024052F"/>
    <w:rsid w:val="00245684"/>
    <w:rsid w:val="00246083"/>
    <w:rsid w:val="002465DF"/>
    <w:rsid w:val="002465FA"/>
    <w:rsid w:val="00252140"/>
    <w:rsid w:val="00254A08"/>
    <w:rsid w:val="0025567C"/>
    <w:rsid w:val="00257D6D"/>
    <w:rsid w:val="00260106"/>
    <w:rsid w:val="00265E5A"/>
    <w:rsid w:val="00266868"/>
    <w:rsid w:val="00272213"/>
    <w:rsid w:val="002737A6"/>
    <w:rsid w:val="00275FCC"/>
    <w:rsid w:val="002760B4"/>
    <w:rsid w:val="0027741D"/>
    <w:rsid w:val="00283FDA"/>
    <w:rsid w:val="00284182"/>
    <w:rsid w:val="002866D7"/>
    <w:rsid w:val="0028768C"/>
    <w:rsid w:val="002901B5"/>
    <w:rsid w:val="002912CD"/>
    <w:rsid w:val="00292E55"/>
    <w:rsid w:val="00293478"/>
    <w:rsid w:val="002963A0"/>
    <w:rsid w:val="00297601"/>
    <w:rsid w:val="00297B12"/>
    <w:rsid w:val="002A471A"/>
    <w:rsid w:val="002A7301"/>
    <w:rsid w:val="002A7525"/>
    <w:rsid w:val="002A7EC4"/>
    <w:rsid w:val="002B6452"/>
    <w:rsid w:val="002C3182"/>
    <w:rsid w:val="002C42B1"/>
    <w:rsid w:val="002C5D93"/>
    <w:rsid w:val="002C765F"/>
    <w:rsid w:val="002D18FB"/>
    <w:rsid w:val="002D2226"/>
    <w:rsid w:val="002D4D2A"/>
    <w:rsid w:val="002E66FF"/>
    <w:rsid w:val="002E71C1"/>
    <w:rsid w:val="002F0E72"/>
    <w:rsid w:val="002F40B1"/>
    <w:rsid w:val="002F5A06"/>
    <w:rsid w:val="002F5D19"/>
    <w:rsid w:val="00300A4C"/>
    <w:rsid w:val="00301893"/>
    <w:rsid w:val="00302770"/>
    <w:rsid w:val="00311775"/>
    <w:rsid w:val="00315EED"/>
    <w:rsid w:val="003174F6"/>
    <w:rsid w:val="00321337"/>
    <w:rsid w:val="00324EBB"/>
    <w:rsid w:val="003311C2"/>
    <w:rsid w:val="003316F0"/>
    <w:rsid w:val="00337B4A"/>
    <w:rsid w:val="0034036D"/>
    <w:rsid w:val="00341057"/>
    <w:rsid w:val="00353FE3"/>
    <w:rsid w:val="00362105"/>
    <w:rsid w:val="00364C7A"/>
    <w:rsid w:val="0036564E"/>
    <w:rsid w:val="003668A1"/>
    <w:rsid w:val="00370724"/>
    <w:rsid w:val="003708C0"/>
    <w:rsid w:val="00373CFE"/>
    <w:rsid w:val="00373E8D"/>
    <w:rsid w:val="00375459"/>
    <w:rsid w:val="00380712"/>
    <w:rsid w:val="003865B8"/>
    <w:rsid w:val="00386C8C"/>
    <w:rsid w:val="00390989"/>
    <w:rsid w:val="00392625"/>
    <w:rsid w:val="0039491A"/>
    <w:rsid w:val="003A12E9"/>
    <w:rsid w:val="003A26EA"/>
    <w:rsid w:val="003A2707"/>
    <w:rsid w:val="003A36CC"/>
    <w:rsid w:val="003A7F4F"/>
    <w:rsid w:val="003B305E"/>
    <w:rsid w:val="003C16C5"/>
    <w:rsid w:val="003C33EB"/>
    <w:rsid w:val="003C3964"/>
    <w:rsid w:val="003D0254"/>
    <w:rsid w:val="003D505E"/>
    <w:rsid w:val="003E2D9C"/>
    <w:rsid w:val="003F7F76"/>
    <w:rsid w:val="00401676"/>
    <w:rsid w:val="004054BA"/>
    <w:rsid w:val="00405515"/>
    <w:rsid w:val="00413E7A"/>
    <w:rsid w:val="00424F0D"/>
    <w:rsid w:val="004258D2"/>
    <w:rsid w:val="00427E3A"/>
    <w:rsid w:val="00430A7E"/>
    <w:rsid w:val="00432FC0"/>
    <w:rsid w:val="00437044"/>
    <w:rsid w:val="004436F6"/>
    <w:rsid w:val="00443C29"/>
    <w:rsid w:val="00443DF8"/>
    <w:rsid w:val="004457AA"/>
    <w:rsid w:val="00446DE2"/>
    <w:rsid w:val="00452F04"/>
    <w:rsid w:val="0045350A"/>
    <w:rsid w:val="00454AD3"/>
    <w:rsid w:val="00456FEA"/>
    <w:rsid w:val="004722B2"/>
    <w:rsid w:val="00475B29"/>
    <w:rsid w:val="00476DC0"/>
    <w:rsid w:val="0048624D"/>
    <w:rsid w:val="004A31A6"/>
    <w:rsid w:val="004A549A"/>
    <w:rsid w:val="004A6390"/>
    <w:rsid w:val="004A6755"/>
    <w:rsid w:val="004A7701"/>
    <w:rsid w:val="004B2B9E"/>
    <w:rsid w:val="004B752B"/>
    <w:rsid w:val="004D7AAD"/>
    <w:rsid w:val="004E0A55"/>
    <w:rsid w:val="004E20B5"/>
    <w:rsid w:val="004E5985"/>
    <w:rsid w:val="004E6D00"/>
    <w:rsid w:val="004E6F36"/>
    <w:rsid w:val="004E71DC"/>
    <w:rsid w:val="004F1FBF"/>
    <w:rsid w:val="004F3485"/>
    <w:rsid w:val="004F61C8"/>
    <w:rsid w:val="004F74B4"/>
    <w:rsid w:val="005155DB"/>
    <w:rsid w:val="005167D2"/>
    <w:rsid w:val="00523C26"/>
    <w:rsid w:val="005337D0"/>
    <w:rsid w:val="00533A4E"/>
    <w:rsid w:val="005379C4"/>
    <w:rsid w:val="00542BB7"/>
    <w:rsid w:val="00544067"/>
    <w:rsid w:val="005461D7"/>
    <w:rsid w:val="00546880"/>
    <w:rsid w:val="005527B8"/>
    <w:rsid w:val="00555DCA"/>
    <w:rsid w:val="0055775D"/>
    <w:rsid w:val="0056360A"/>
    <w:rsid w:val="0056444F"/>
    <w:rsid w:val="0056546C"/>
    <w:rsid w:val="0056630F"/>
    <w:rsid w:val="00573D2B"/>
    <w:rsid w:val="005769C0"/>
    <w:rsid w:val="005778CE"/>
    <w:rsid w:val="00580D34"/>
    <w:rsid w:val="00581F1A"/>
    <w:rsid w:val="00583A92"/>
    <w:rsid w:val="00584D10"/>
    <w:rsid w:val="00586FFB"/>
    <w:rsid w:val="005942CC"/>
    <w:rsid w:val="005A3493"/>
    <w:rsid w:val="005A46A0"/>
    <w:rsid w:val="005A5ACF"/>
    <w:rsid w:val="005A61F4"/>
    <w:rsid w:val="005A77E5"/>
    <w:rsid w:val="005A7E18"/>
    <w:rsid w:val="005B1F51"/>
    <w:rsid w:val="005B2638"/>
    <w:rsid w:val="005B7178"/>
    <w:rsid w:val="005C1F20"/>
    <w:rsid w:val="005C354E"/>
    <w:rsid w:val="005C3F38"/>
    <w:rsid w:val="005D7CA9"/>
    <w:rsid w:val="005E7DD5"/>
    <w:rsid w:val="005F1BE2"/>
    <w:rsid w:val="005F3A01"/>
    <w:rsid w:val="005F5E7D"/>
    <w:rsid w:val="005F7616"/>
    <w:rsid w:val="005F7BE4"/>
    <w:rsid w:val="00600185"/>
    <w:rsid w:val="0060089A"/>
    <w:rsid w:val="00601694"/>
    <w:rsid w:val="00607137"/>
    <w:rsid w:val="006114EB"/>
    <w:rsid w:val="00620497"/>
    <w:rsid w:val="0062168B"/>
    <w:rsid w:val="00622829"/>
    <w:rsid w:val="006233A7"/>
    <w:rsid w:val="00623CB6"/>
    <w:rsid w:val="00625E8E"/>
    <w:rsid w:val="006315D4"/>
    <w:rsid w:val="00632EE2"/>
    <w:rsid w:val="00633A28"/>
    <w:rsid w:val="00635DE2"/>
    <w:rsid w:val="006375F9"/>
    <w:rsid w:val="00641347"/>
    <w:rsid w:val="00641813"/>
    <w:rsid w:val="0064397D"/>
    <w:rsid w:val="00651FBD"/>
    <w:rsid w:val="0065299B"/>
    <w:rsid w:val="00656560"/>
    <w:rsid w:val="00657EE8"/>
    <w:rsid w:val="00661D95"/>
    <w:rsid w:val="00662E52"/>
    <w:rsid w:val="006631B1"/>
    <w:rsid w:val="006631FF"/>
    <w:rsid w:val="00666852"/>
    <w:rsid w:val="00667233"/>
    <w:rsid w:val="0067597C"/>
    <w:rsid w:val="00684F7A"/>
    <w:rsid w:val="006876C9"/>
    <w:rsid w:val="00692A8B"/>
    <w:rsid w:val="00692ED4"/>
    <w:rsid w:val="00693F6E"/>
    <w:rsid w:val="006A0397"/>
    <w:rsid w:val="006A2925"/>
    <w:rsid w:val="006A361A"/>
    <w:rsid w:val="006B25AC"/>
    <w:rsid w:val="006B42AE"/>
    <w:rsid w:val="006B6D8C"/>
    <w:rsid w:val="006C4F23"/>
    <w:rsid w:val="006D7A2F"/>
    <w:rsid w:val="006E194A"/>
    <w:rsid w:val="006E7660"/>
    <w:rsid w:val="006F1BD9"/>
    <w:rsid w:val="006F1E45"/>
    <w:rsid w:val="006F2389"/>
    <w:rsid w:val="00702D09"/>
    <w:rsid w:val="00707CC9"/>
    <w:rsid w:val="0072198E"/>
    <w:rsid w:val="007221FF"/>
    <w:rsid w:val="00723C5D"/>
    <w:rsid w:val="00723FFA"/>
    <w:rsid w:val="007241BD"/>
    <w:rsid w:val="00733E37"/>
    <w:rsid w:val="00745634"/>
    <w:rsid w:val="00746A6C"/>
    <w:rsid w:val="00751716"/>
    <w:rsid w:val="00753807"/>
    <w:rsid w:val="007553E5"/>
    <w:rsid w:val="00756C69"/>
    <w:rsid w:val="00757F6D"/>
    <w:rsid w:val="007602E8"/>
    <w:rsid w:val="00766741"/>
    <w:rsid w:val="00767346"/>
    <w:rsid w:val="00770C08"/>
    <w:rsid w:val="00770E88"/>
    <w:rsid w:val="00772D52"/>
    <w:rsid w:val="00773359"/>
    <w:rsid w:val="00774E6A"/>
    <w:rsid w:val="00780DA7"/>
    <w:rsid w:val="007812CD"/>
    <w:rsid w:val="00790A5F"/>
    <w:rsid w:val="0079271B"/>
    <w:rsid w:val="0079553F"/>
    <w:rsid w:val="007A2874"/>
    <w:rsid w:val="007A4828"/>
    <w:rsid w:val="007A53AE"/>
    <w:rsid w:val="007A7814"/>
    <w:rsid w:val="007B252A"/>
    <w:rsid w:val="007C0729"/>
    <w:rsid w:val="007C0AED"/>
    <w:rsid w:val="007C0D51"/>
    <w:rsid w:val="007C16E6"/>
    <w:rsid w:val="007C7538"/>
    <w:rsid w:val="007D22BB"/>
    <w:rsid w:val="007D287A"/>
    <w:rsid w:val="007D2BED"/>
    <w:rsid w:val="007D49AE"/>
    <w:rsid w:val="007D59F7"/>
    <w:rsid w:val="007E451E"/>
    <w:rsid w:val="007E551E"/>
    <w:rsid w:val="007E6803"/>
    <w:rsid w:val="007F2151"/>
    <w:rsid w:val="007F4D75"/>
    <w:rsid w:val="007F5E92"/>
    <w:rsid w:val="007F6A7E"/>
    <w:rsid w:val="0080291B"/>
    <w:rsid w:val="0081542B"/>
    <w:rsid w:val="00823F6F"/>
    <w:rsid w:val="0083511F"/>
    <w:rsid w:val="00836245"/>
    <w:rsid w:val="00843251"/>
    <w:rsid w:val="008441E3"/>
    <w:rsid w:val="008466F6"/>
    <w:rsid w:val="00846B4D"/>
    <w:rsid w:val="008509C9"/>
    <w:rsid w:val="008573BA"/>
    <w:rsid w:val="00864ADE"/>
    <w:rsid w:val="0086514C"/>
    <w:rsid w:val="0086572E"/>
    <w:rsid w:val="00866034"/>
    <w:rsid w:val="00870466"/>
    <w:rsid w:val="00870FFA"/>
    <w:rsid w:val="00882BB1"/>
    <w:rsid w:val="00886897"/>
    <w:rsid w:val="008875B1"/>
    <w:rsid w:val="00890A53"/>
    <w:rsid w:val="008946AA"/>
    <w:rsid w:val="00895013"/>
    <w:rsid w:val="008951BB"/>
    <w:rsid w:val="0089617C"/>
    <w:rsid w:val="008A0A96"/>
    <w:rsid w:val="008A3C9E"/>
    <w:rsid w:val="008A42C1"/>
    <w:rsid w:val="008A55E4"/>
    <w:rsid w:val="008A6793"/>
    <w:rsid w:val="008B14CD"/>
    <w:rsid w:val="008B2460"/>
    <w:rsid w:val="008B31B6"/>
    <w:rsid w:val="008B42E9"/>
    <w:rsid w:val="008B4BC1"/>
    <w:rsid w:val="008B6646"/>
    <w:rsid w:val="008C3826"/>
    <w:rsid w:val="008C3E5A"/>
    <w:rsid w:val="008C5FF7"/>
    <w:rsid w:val="008D1D14"/>
    <w:rsid w:val="008D28EC"/>
    <w:rsid w:val="008D4239"/>
    <w:rsid w:val="008E298E"/>
    <w:rsid w:val="008E309B"/>
    <w:rsid w:val="008E57ED"/>
    <w:rsid w:val="008F1A76"/>
    <w:rsid w:val="0090409F"/>
    <w:rsid w:val="00904240"/>
    <w:rsid w:val="00906A12"/>
    <w:rsid w:val="00906AB8"/>
    <w:rsid w:val="00907119"/>
    <w:rsid w:val="009136B0"/>
    <w:rsid w:val="0092066D"/>
    <w:rsid w:val="009230B9"/>
    <w:rsid w:val="0092432B"/>
    <w:rsid w:val="0092636C"/>
    <w:rsid w:val="00926680"/>
    <w:rsid w:val="0092735A"/>
    <w:rsid w:val="009273AA"/>
    <w:rsid w:val="00932FBA"/>
    <w:rsid w:val="00935704"/>
    <w:rsid w:val="00936C85"/>
    <w:rsid w:val="00941801"/>
    <w:rsid w:val="00941873"/>
    <w:rsid w:val="00941D0A"/>
    <w:rsid w:val="00943360"/>
    <w:rsid w:val="00944548"/>
    <w:rsid w:val="009450BE"/>
    <w:rsid w:val="00945959"/>
    <w:rsid w:val="00945BE1"/>
    <w:rsid w:val="0094690A"/>
    <w:rsid w:val="00950527"/>
    <w:rsid w:val="00952C5E"/>
    <w:rsid w:val="00953C3D"/>
    <w:rsid w:val="00956490"/>
    <w:rsid w:val="00960C9B"/>
    <w:rsid w:val="00962FC3"/>
    <w:rsid w:val="00965992"/>
    <w:rsid w:val="009669CA"/>
    <w:rsid w:val="00967903"/>
    <w:rsid w:val="0097076D"/>
    <w:rsid w:val="009723B7"/>
    <w:rsid w:val="009723E4"/>
    <w:rsid w:val="00973611"/>
    <w:rsid w:val="00975D9A"/>
    <w:rsid w:val="00980292"/>
    <w:rsid w:val="00981CFA"/>
    <w:rsid w:val="0098421B"/>
    <w:rsid w:val="00990EBB"/>
    <w:rsid w:val="0099336B"/>
    <w:rsid w:val="009939FA"/>
    <w:rsid w:val="009964E9"/>
    <w:rsid w:val="009B278F"/>
    <w:rsid w:val="009B3A9F"/>
    <w:rsid w:val="009B74C3"/>
    <w:rsid w:val="009C2695"/>
    <w:rsid w:val="009C2CC9"/>
    <w:rsid w:val="009D3B5D"/>
    <w:rsid w:val="009D6FC5"/>
    <w:rsid w:val="009D7754"/>
    <w:rsid w:val="009E04C2"/>
    <w:rsid w:val="009E08DD"/>
    <w:rsid w:val="009E1C5D"/>
    <w:rsid w:val="009E29BA"/>
    <w:rsid w:val="009E7107"/>
    <w:rsid w:val="009F103C"/>
    <w:rsid w:val="009F33DE"/>
    <w:rsid w:val="009F37F4"/>
    <w:rsid w:val="009F41B5"/>
    <w:rsid w:val="009F4E84"/>
    <w:rsid w:val="009F529E"/>
    <w:rsid w:val="00A110A1"/>
    <w:rsid w:val="00A141E9"/>
    <w:rsid w:val="00A15328"/>
    <w:rsid w:val="00A22BE7"/>
    <w:rsid w:val="00A3501C"/>
    <w:rsid w:val="00A3564A"/>
    <w:rsid w:val="00A35D77"/>
    <w:rsid w:val="00A37634"/>
    <w:rsid w:val="00A40F7D"/>
    <w:rsid w:val="00A461E2"/>
    <w:rsid w:val="00A559AC"/>
    <w:rsid w:val="00A6702E"/>
    <w:rsid w:val="00A67612"/>
    <w:rsid w:val="00A70560"/>
    <w:rsid w:val="00A7156C"/>
    <w:rsid w:val="00A7204D"/>
    <w:rsid w:val="00A7569E"/>
    <w:rsid w:val="00A7618E"/>
    <w:rsid w:val="00A82620"/>
    <w:rsid w:val="00A87F46"/>
    <w:rsid w:val="00A91653"/>
    <w:rsid w:val="00A92E96"/>
    <w:rsid w:val="00A96049"/>
    <w:rsid w:val="00AA645A"/>
    <w:rsid w:val="00AB33D4"/>
    <w:rsid w:val="00AB3A95"/>
    <w:rsid w:val="00AB3FC1"/>
    <w:rsid w:val="00AB42E5"/>
    <w:rsid w:val="00AC4003"/>
    <w:rsid w:val="00AD0AA0"/>
    <w:rsid w:val="00AD167F"/>
    <w:rsid w:val="00AD2A7D"/>
    <w:rsid w:val="00AD434A"/>
    <w:rsid w:val="00AD6D27"/>
    <w:rsid w:val="00AE0D0E"/>
    <w:rsid w:val="00AE24E8"/>
    <w:rsid w:val="00AE42D9"/>
    <w:rsid w:val="00AE69C9"/>
    <w:rsid w:val="00AF1F25"/>
    <w:rsid w:val="00AF27E9"/>
    <w:rsid w:val="00AF4083"/>
    <w:rsid w:val="00AF6683"/>
    <w:rsid w:val="00B20677"/>
    <w:rsid w:val="00B21B15"/>
    <w:rsid w:val="00B254AC"/>
    <w:rsid w:val="00B25938"/>
    <w:rsid w:val="00B26161"/>
    <w:rsid w:val="00B32AE3"/>
    <w:rsid w:val="00B3562C"/>
    <w:rsid w:val="00B35B1F"/>
    <w:rsid w:val="00B40970"/>
    <w:rsid w:val="00B41E88"/>
    <w:rsid w:val="00B43954"/>
    <w:rsid w:val="00B45178"/>
    <w:rsid w:val="00B47258"/>
    <w:rsid w:val="00B50719"/>
    <w:rsid w:val="00B53658"/>
    <w:rsid w:val="00B55FBD"/>
    <w:rsid w:val="00B572B6"/>
    <w:rsid w:val="00B642A0"/>
    <w:rsid w:val="00B70BAE"/>
    <w:rsid w:val="00B70DF4"/>
    <w:rsid w:val="00B71588"/>
    <w:rsid w:val="00B83680"/>
    <w:rsid w:val="00B83854"/>
    <w:rsid w:val="00B90135"/>
    <w:rsid w:val="00BA3744"/>
    <w:rsid w:val="00BA3A0A"/>
    <w:rsid w:val="00BA5AC5"/>
    <w:rsid w:val="00BB4386"/>
    <w:rsid w:val="00BB5C1D"/>
    <w:rsid w:val="00BB77F2"/>
    <w:rsid w:val="00BC2241"/>
    <w:rsid w:val="00BC2271"/>
    <w:rsid w:val="00BD0E64"/>
    <w:rsid w:val="00BD2A89"/>
    <w:rsid w:val="00BD54C5"/>
    <w:rsid w:val="00BD6822"/>
    <w:rsid w:val="00BE7B14"/>
    <w:rsid w:val="00C00AC2"/>
    <w:rsid w:val="00C06F87"/>
    <w:rsid w:val="00C07520"/>
    <w:rsid w:val="00C077A7"/>
    <w:rsid w:val="00C1031F"/>
    <w:rsid w:val="00C11854"/>
    <w:rsid w:val="00C145E4"/>
    <w:rsid w:val="00C1642C"/>
    <w:rsid w:val="00C26916"/>
    <w:rsid w:val="00C27998"/>
    <w:rsid w:val="00C30603"/>
    <w:rsid w:val="00C31FF0"/>
    <w:rsid w:val="00C325E7"/>
    <w:rsid w:val="00C35EA9"/>
    <w:rsid w:val="00C41D0F"/>
    <w:rsid w:val="00C4283A"/>
    <w:rsid w:val="00C42E21"/>
    <w:rsid w:val="00C436C0"/>
    <w:rsid w:val="00C43736"/>
    <w:rsid w:val="00C5118F"/>
    <w:rsid w:val="00C53B01"/>
    <w:rsid w:val="00C547D7"/>
    <w:rsid w:val="00C60EA9"/>
    <w:rsid w:val="00C63F85"/>
    <w:rsid w:val="00C6582C"/>
    <w:rsid w:val="00C67271"/>
    <w:rsid w:val="00C7342E"/>
    <w:rsid w:val="00C73793"/>
    <w:rsid w:val="00C75048"/>
    <w:rsid w:val="00C75910"/>
    <w:rsid w:val="00C76DBB"/>
    <w:rsid w:val="00C810E1"/>
    <w:rsid w:val="00C817DE"/>
    <w:rsid w:val="00C8402F"/>
    <w:rsid w:val="00C87BCB"/>
    <w:rsid w:val="00C905C6"/>
    <w:rsid w:val="00C93537"/>
    <w:rsid w:val="00C9690A"/>
    <w:rsid w:val="00C972C8"/>
    <w:rsid w:val="00CA2FCA"/>
    <w:rsid w:val="00CA53DD"/>
    <w:rsid w:val="00CA7912"/>
    <w:rsid w:val="00CB209B"/>
    <w:rsid w:val="00CB256F"/>
    <w:rsid w:val="00CB54C1"/>
    <w:rsid w:val="00CB6A28"/>
    <w:rsid w:val="00CC3A35"/>
    <w:rsid w:val="00CC4575"/>
    <w:rsid w:val="00CC58F5"/>
    <w:rsid w:val="00CC7DC1"/>
    <w:rsid w:val="00CE0E24"/>
    <w:rsid w:val="00CE3BF9"/>
    <w:rsid w:val="00CE5CDC"/>
    <w:rsid w:val="00CE61EA"/>
    <w:rsid w:val="00CF1CF0"/>
    <w:rsid w:val="00CF333B"/>
    <w:rsid w:val="00CF5DFE"/>
    <w:rsid w:val="00CF6BB2"/>
    <w:rsid w:val="00D0201D"/>
    <w:rsid w:val="00D058F7"/>
    <w:rsid w:val="00D0797E"/>
    <w:rsid w:val="00D122CF"/>
    <w:rsid w:val="00D17895"/>
    <w:rsid w:val="00D20C63"/>
    <w:rsid w:val="00D20C88"/>
    <w:rsid w:val="00D2146A"/>
    <w:rsid w:val="00D24BE3"/>
    <w:rsid w:val="00D24C2C"/>
    <w:rsid w:val="00D25347"/>
    <w:rsid w:val="00D33F29"/>
    <w:rsid w:val="00D35D8A"/>
    <w:rsid w:val="00D4205F"/>
    <w:rsid w:val="00D44D65"/>
    <w:rsid w:val="00D45D2C"/>
    <w:rsid w:val="00D522E5"/>
    <w:rsid w:val="00D534DA"/>
    <w:rsid w:val="00D54361"/>
    <w:rsid w:val="00D5572F"/>
    <w:rsid w:val="00D57FB9"/>
    <w:rsid w:val="00D620A3"/>
    <w:rsid w:val="00D724BC"/>
    <w:rsid w:val="00D72920"/>
    <w:rsid w:val="00D7712C"/>
    <w:rsid w:val="00D81128"/>
    <w:rsid w:val="00D81CC9"/>
    <w:rsid w:val="00D87CA6"/>
    <w:rsid w:val="00D94D4B"/>
    <w:rsid w:val="00DA0504"/>
    <w:rsid w:val="00DA1F61"/>
    <w:rsid w:val="00DA26F5"/>
    <w:rsid w:val="00DA4A81"/>
    <w:rsid w:val="00DB13D4"/>
    <w:rsid w:val="00DB31F8"/>
    <w:rsid w:val="00DB790F"/>
    <w:rsid w:val="00DC3078"/>
    <w:rsid w:val="00DC45DC"/>
    <w:rsid w:val="00DC485B"/>
    <w:rsid w:val="00DD519F"/>
    <w:rsid w:val="00DD5653"/>
    <w:rsid w:val="00DD71E3"/>
    <w:rsid w:val="00DF68EF"/>
    <w:rsid w:val="00DF7EAE"/>
    <w:rsid w:val="00E03E2C"/>
    <w:rsid w:val="00E07676"/>
    <w:rsid w:val="00E134D1"/>
    <w:rsid w:val="00E15E9A"/>
    <w:rsid w:val="00E20B06"/>
    <w:rsid w:val="00E21F9A"/>
    <w:rsid w:val="00E22D22"/>
    <w:rsid w:val="00E250BC"/>
    <w:rsid w:val="00E33714"/>
    <w:rsid w:val="00E37530"/>
    <w:rsid w:val="00E40EEE"/>
    <w:rsid w:val="00E417C1"/>
    <w:rsid w:val="00E51337"/>
    <w:rsid w:val="00E52B9A"/>
    <w:rsid w:val="00E55B6A"/>
    <w:rsid w:val="00E56C16"/>
    <w:rsid w:val="00E60741"/>
    <w:rsid w:val="00E6182C"/>
    <w:rsid w:val="00E71B10"/>
    <w:rsid w:val="00E741A2"/>
    <w:rsid w:val="00E80FE7"/>
    <w:rsid w:val="00E84A36"/>
    <w:rsid w:val="00E8622D"/>
    <w:rsid w:val="00E94620"/>
    <w:rsid w:val="00EA301D"/>
    <w:rsid w:val="00EA56BA"/>
    <w:rsid w:val="00EB0008"/>
    <w:rsid w:val="00EB0B61"/>
    <w:rsid w:val="00EB0CD2"/>
    <w:rsid w:val="00EB264A"/>
    <w:rsid w:val="00EB625D"/>
    <w:rsid w:val="00EB7E92"/>
    <w:rsid w:val="00EC0BAF"/>
    <w:rsid w:val="00EC3DC1"/>
    <w:rsid w:val="00EC3F07"/>
    <w:rsid w:val="00EC63CA"/>
    <w:rsid w:val="00EC7532"/>
    <w:rsid w:val="00ED150C"/>
    <w:rsid w:val="00ED1D2C"/>
    <w:rsid w:val="00ED3DD6"/>
    <w:rsid w:val="00ED5822"/>
    <w:rsid w:val="00ED5A83"/>
    <w:rsid w:val="00EE1464"/>
    <w:rsid w:val="00EE19CA"/>
    <w:rsid w:val="00EE3D8B"/>
    <w:rsid w:val="00EE662E"/>
    <w:rsid w:val="00EE7519"/>
    <w:rsid w:val="00EF443C"/>
    <w:rsid w:val="00EF61FF"/>
    <w:rsid w:val="00F00C5E"/>
    <w:rsid w:val="00F02284"/>
    <w:rsid w:val="00F038A2"/>
    <w:rsid w:val="00F0565A"/>
    <w:rsid w:val="00F10F63"/>
    <w:rsid w:val="00F15061"/>
    <w:rsid w:val="00F231CF"/>
    <w:rsid w:val="00F2709E"/>
    <w:rsid w:val="00F27E1B"/>
    <w:rsid w:val="00F40152"/>
    <w:rsid w:val="00F42000"/>
    <w:rsid w:val="00F44E5B"/>
    <w:rsid w:val="00F46D72"/>
    <w:rsid w:val="00F518B4"/>
    <w:rsid w:val="00F544B1"/>
    <w:rsid w:val="00F63D99"/>
    <w:rsid w:val="00F647AB"/>
    <w:rsid w:val="00F65C7D"/>
    <w:rsid w:val="00F70347"/>
    <w:rsid w:val="00F70B52"/>
    <w:rsid w:val="00F72E37"/>
    <w:rsid w:val="00F731CA"/>
    <w:rsid w:val="00F74B69"/>
    <w:rsid w:val="00F763BB"/>
    <w:rsid w:val="00F8421F"/>
    <w:rsid w:val="00F91114"/>
    <w:rsid w:val="00F91583"/>
    <w:rsid w:val="00F920BC"/>
    <w:rsid w:val="00F93049"/>
    <w:rsid w:val="00F93F0A"/>
    <w:rsid w:val="00FA0F79"/>
    <w:rsid w:val="00FB0C64"/>
    <w:rsid w:val="00FB12FB"/>
    <w:rsid w:val="00FB13DB"/>
    <w:rsid w:val="00FB1724"/>
    <w:rsid w:val="00FB49E1"/>
    <w:rsid w:val="00FB5E5F"/>
    <w:rsid w:val="00FB6194"/>
    <w:rsid w:val="00FB69D9"/>
    <w:rsid w:val="00FB7C5E"/>
    <w:rsid w:val="00FC2867"/>
    <w:rsid w:val="00FC2C3B"/>
    <w:rsid w:val="00FC4D7A"/>
    <w:rsid w:val="00FC54C6"/>
    <w:rsid w:val="00FC693F"/>
    <w:rsid w:val="00FD1061"/>
    <w:rsid w:val="00FD152F"/>
    <w:rsid w:val="00FD37BD"/>
    <w:rsid w:val="00FD48AA"/>
    <w:rsid w:val="00FD748D"/>
    <w:rsid w:val="00FE69B2"/>
    <w:rsid w:val="00FF1BB3"/>
    <w:rsid w:val="00FF3F78"/>
    <w:rsid w:val="00FF55A8"/>
    <w:rsid w:val="00FF6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723C5D"/>
    <w:pPr>
      <w:spacing w:after="200" w:line="276" w:lineRule="auto"/>
    </w:pPr>
    <w:rPr>
      <w:sz w:val="22"/>
      <w:szCs w:val="22"/>
      <w:lang w:eastAsia="en-US"/>
    </w:rPr>
  </w:style>
  <w:style w:type="paragraph" w:styleId="Heading1">
    <w:name w:val="heading 1"/>
    <w:basedOn w:val="Normal"/>
    <w:next w:val="Normal"/>
    <w:link w:val="Heading1Char"/>
    <w:uiPriority w:val="9"/>
    <w:qFormat/>
    <w:rsid w:val="007C0AED"/>
    <w:pPr>
      <w:outlineLvl w:val="0"/>
    </w:pPr>
    <w:rPr>
      <w:b/>
      <w:caps/>
      <w:sz w:val="24"/>
      <w:szCs w:val="24"/>
    </w:rPr>
  </w:style>
  <w:style w:type="paragraph" w:styleId="Heading2">
    <w:name w:val="heading 2"/>
    <w:basedOn w:val="Normal"/>
    <w:next w:val="Normal"/>
    <w:link w:val="Heading2Char"/>
    <w:uiPriority w:val="9"/>
    <w:unhideWhenUsed/>
    <w:qFormat/>
    <w:rsid w:val="007C0AED"/>
    <w:pPr>
      <w:outlineLvl w:val="1"/>
    </w:pPr>
    <w:rPr>
      <w:b/>
    </w:rPr>
  </w:style>
  <w:style w:type="paragraph" w:styleId="Heading3">
    <w:name w:val="heading 3"/>
    <w:basedOn w:val="Normal"/>
    <w:next w:val="Normal"/>
    <w:link w:val="Heading3Char"/>
    <w:uiPriority w:val="9"/>
    <w:unhideWhenUsed/>
    <w:qFormat/>
    <w:rsid w:val="007C0AED"/>
    <w:pPr>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3C2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3C29"/>
    <w:rPr>
      <w:rFonts w:ascii="Tahoma" w:hAnsi="Tahoma" w:cs="Tahoma"/>
      <w:sz w:val="16"/>
      <w:szCs w:val="16"/>
    </w:rPr>
  </w:style>
  <w:style w:type="table" w:styleId="TableGrid">
    <w:name w:val="Table Grid"/>
    <w:basedOn w:val="TableNormal"/>
    <w:uiPriority w:val="59"/>
    <w:rsid w:val="00443C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F91114"/>
    <w:rPr>
      <w:sz w:val="16"/>
      <w:szCs w:val="16"/>
    </w:rPr>
  </w:style>
  <w:style w:type="paragraph" w:styleId="CommentText">
    <w:name w:val="annotation text"/>
    <w:basedOn w:val="Normal"/>
    <w:link w:val="CommentTextChar"/>
    <w:uiPriority w:val="99"/>
    <w:unhideWhenUsed/>
    <w:rsid w:val="00F91114"/>
    <w:rPr>
      <w:sz w:val="20"/>
      <w:szCs w:val="20"/>
    </w:rPr>
  </w:style>
  <w:style w:type="character" w:customStyle="1" w:styleId="CommentTextChar">
    <w:name w:val="Comment Text Char"/>
    <w:link w:val="CommentText"/>
    <w:uiPriority w:val="99"/>
    <w:rsid w:val="00F91114"/>
    <w:rPr>
      <w:lang w:eastAsia="en-US"/>
    </w:rPr>
  </w:style>
  <w:style w:type="paragraph" w:styleId="CommentSubject">
    <w:name w:val="annotation subject"/>
    <w:basedOn w:val="CommentText"/>
    <w:next w:val="CommentText"/>
    <w:link w:val="CommentSubjectChar"/>
    <w:uiPriority w:val="99"/>
    <w:semiHidden/>
    <w:unhideWhenUsed/>
    <w:rsid w:val="00F91114"/>
    <w:rPr>
      <w:b/>
      <w:bCs/>
    </w:rPr>
  </w:style>
  <w:style w:type="character" w:customStyle="1" w:styleId="CommentSubjectChar">
    <w:name w:val="Comment Subject Char"/>
    <w:link w:val="CommentSubject"/>
    <w:uiPriority w:val="99"/>
    <w:semiHidden/>
    <w:rsid w:val="00F91114"/>
    <w:rPr>
      <w:b/>
      <w:bCs/>
      <w:lang w:eastAsia="en-US"/>
    </w:rPr>
  </w:style>
  <w:style w:type="character" w:customStyle="1" w:styleId="AuthoraffiliationWIREs">
    <w:name w:val="Author affiliation_WIREs"/>
    <w:rsid w:val="00F91114"/>
    <w:rPr>
      <w:rFonts w:ascii="Arial" w:hAnsi="Arial"/>
      <w:sz w:val="20"/>
    </w:rPr>
  </w:style>
  <w:style w:type="character" w:styleId="Hyperlink">
    <w:name w:val="Hyperlink"/>
    <w:uiPriority w:val="99"/>
    <w:unhideWhenUsed/>
    <w:rsid w:val="00F91114"/>
    <w:rPr>
      <w:color w:val="0000FF"/>
      <w:u w:val="single"/>
    </w:rPr>
  </w:style>
  <w:style w:type="paragraph" w:customStyle="1" w:styleId="BodyText1">
    <w:name w:val="Body Text1"/>
    <w:basedOn w:val="Normal"/>
    <w:rsid w:val="005A5ACF"/>
    <w:pPr>
      <w:spacing w:before="200"/>
      <w:ind w:firstLine="288"/>
      <w:jc w:val="both"/>
    </w:pPr>
    <w:rPr>
      <w:rFonts w:ascii="Arial" w:eastAsia="Times New Roman" w:hAnsi="Arial"/>
      <w:sz w:val="20"/>
      <w:szCs w:val="20"/>
      <w:lang w:val="en-US" w:bidi="en-US"/>
    </w:rPr>
  </w:style>
  <w:style w:type="paragraph" w:customStyle="1" w:styleId="BodytextWIREs">
    <w:name w:val="Body text_WIREs"/>
    <w:basedOn w:val="Normal"/>
    <w:rsid w:val="009B74C3"/>
    <w:pPr>
      <w:overflowPunct w:val="0"/>
      <w:autoSpaceDE w:val="0"/>
      <w:autoSpaceDN w:val="0"/>
      <w:adjustRightInd w:val="0"/>
      <w:spacing w:after="240" w:line="240" w:lineRule="auto"/>
      <w:textAlignment w:val="baseline"/>
    </w:pPr>
    <w:rPr>
      <w:rFonts w:ascii="Arial" w:eastAsia="Times New Roman" w:hAnsi="Arial"/>
      <w:sz w:val="20"/>
      <w:lang w:val="en-US"/>
    </w:rPr>
  </w:style>
  <w:style w:type="paragraph" w:customStyle="1" w:styleId="ReferencesheadWIREs">
    <w:name w:val="References head_WIREs"/>
    <w:basedOn w:val="Normal"/>
    <w:next w:val="BodytextWIREs"/>
    <w:rsid w:val="009B74C3"/>
    <w:pPr>
      <w:shd w:val="clear" w:color="auto" w:fill="E6E6E6"/>
      <w:overflowPunct w:val="0"/>
      <w:autoSpaceDE w:val="0"/>
      <w:autoSpaceDN w:val="0"/>
      <w:adjustRightInd w:val="0"/>
      <w:spacing w:before="240" w:after="120" w:line="240" w:lineRule="auto"/>
      <w:textAlignment w:val="baseline"/>
    </w:pPr>
    <w:rPr>
      <w:rFonts w:ascii="Arial" w:eastAsia="Times New Roman" w:hAnsi="Arial" w:cs="Arial"/>
      <w:b/>
      <w:sz w:val="24"/>
      <w:lang w:val="en-US"/>
    </w:rPr>
  </w:style>
  <w:style w:type="paragraph" w:customStyle="1" w:styleId="ReferencesWIREs">
    <w:name w:val="References_WIREs"/>
    <w:basedOn w:val="Normal"/>
    <w:rsid w:val="009B74C3"/>
    <w:pPr>
      <w:overflowPunct w:val="0"/>
      <w:autoSpaceDE w:val="0"/>
      <w:autoSpaceDN w:val="0"/>
      <w:adjustRightInd w:val="0"/>
      <w:spacing w:after="240" w:line="240" w:lineRule="auto"/>
      <w:textAlignment w:val="baseline"/>
    </w:pPr>
    <w:rPr>
      <w:rFonts w:ascii="Arial" w:eastAsia="Times New Roman" w:hAnsi="Arial"/>
      <w:sz w:val="20"/>
      <w:lang w:val="en-US"/>
    </w:rPr>
  </w:style>
  <w:style w:type="character" w:styleId="FollowedHyperlink">
    <w:name w:val="FollowedHyperlink"/>
    <w:uiPriority w:val="99"/>
    <w:semiHidden/>
    <w:unhideWhenUsed/>
    <w:rsid w:val="0097076D"/>
    <w:rPr>
      <w:color w:val="800080"/>
      <w:u w:val="single"/>
    </w:rPr>
  </w:style>
  <w:style w:type="paragraph" w:styleId="Header">
    <w:name w:val="header"/>
    <w:basedOn w:val="Normal"/>
    <w:link w:val="HeaderChar"/>
    <w:uiPriority w:val="99"/>
    <w:unhideWhenUsed/>
    <w:rsid w:val="00AE24E8"/>
    <w:pPr>
      <w:tabs>
        <w:tab w:val="center" w:pos="4680"/>
        <w:tab w:val="right" w:pos="9360"/>
      </w:tabs>
    </w:pPr>
  </w:style>
  <w:style w:type="character" w:customStyle="1" w:styleId="HeaderChar">
    <w:name w:val="Header Char"/>
    <w:link w:val="Header"/>
    <w:uiPriority w:val="99"/>
    <w:rsid w:val="00AE24E8"/>
    <w:rPr>
      <w:sz w:val="22"/>
      <w:szCs w:val="22"/>
      <w:lang w:val="en-GB" w:eastAsia="en-US" w:bidi="ar-SA"/>
    </w:rPr>
  </w:style>
  <w:style w:type="paragraph" w:styleId="Footer">
    <w:name w:val="footer"/>
    <w:basedOn w:val="Normal"/>
    <w:link w:val="FooterChar"/>
    <w:uiPriority w:val="99"/>
    <w:unhideWhenUsed/>
    <w:rsid w:val="00AE24E8"/>
    <w:pPr>
      <w:tabs>
        <w:tab w:val="center" w:pos="4680"/>
        <w:tab w:val="right" w:pos="9360"/>
      </w:tabs>
    </w:pPr>
  </w:style>
  <w:style w:type="character" w:customStyle="1" w:styleId="FooterChar">
    <w:name w:val="Footer Char"/>
    <w:link w:val="Footer"/>
    <w:uiPriority w:val="99"/>
    <w:rsid w:val="00AE24E8"/>
    <w:rPr>
      <w:sz w:val="22"/>
      <w:szCs w:val="22"/>
      <w:lang w:val="en-GB" w:eastAsia="en-US" w:bidi="ar-SA"/>
    </w:rPr>
  </w:style>
  <w:style w:type="paragraph" w:styleId="z-TopofForm">
    <w:name w:val="HTML Top of Form"/>
    <w:basedOn w:val="Normal"/>
    <w:next w:val="Normal"/>
    <w:link w:val="z-TopofFormChar"/>
    <w:hidden/>
    <w:uiPriority w:val="99"/>
    <w:semiHidden/>
    <w:unhideWhenUsed/>
    <w:rsid w:val="004B752B"/>
    <w:pPr>
      <w:pBdr>
        <w:bottom w:val="single" w:sz="6" w:space="1" w:color="auto"/>
      </w:pBdr>
      <w:spacing w:after="0"/>
      <w:jc w:val="center"/>
    </w:pPr>
    <w:rPr>
      <w:rFonts w:ascii="Arial" w:hAnsi="Arial" w:cs="Arial"/>
      <w:vanish/>
      <w:sz w:val="16"/>
      <w:szCs w:val="16"/>
    </w:rPr>
  </w:style>
  <w:style w:type="character" w:customStyle="1" w:styleId="z-TopofFormChar">
    <w:name w:val="z-Top of Form Char"/>
    <w:link w:val="z-TopofForm"/>
    <w:uiPriority w:val="99"/>
    <w:semiHidden/>
    <w:rsid w:val="004B752B"/>
    <w:rPr>
      <w:rFonts w:ascii="Arial" w:hAnsi="Arial" w:cs="Arial"/>
      <w:vanish/>
      <w:sz w:val="16"/>
      <w:szCs w:val="16"/>
      <w:lang w:val="en-GB"/>
    </w:rPr>
  </w:style>
  <w:style w:type="paragraph" w:styleId="z-BottomofForm">
    <w:name w:val="HTML Bottom of Form"/>
    <w:basedOn w:val="Normal"/>
    <w:next w:val="Normal"/>
    <w:link w:val="z-BottomofFormChar"/>
    <w:hidden/>
    <w:uiPriority w:val="99"/>
    <w:semiHidden/>
    <w:unhideWhenUsed/>
    <w:rsid w:val="004B752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link w:val="z-BottomofForm"/>
    <w:uiPriority w:val="99"/>
    <w:semiHidden/>
    <w:rsid w:val="004B752B"/>
    <w:rPr>
      <w:rFonts w:ascii="Arial" w:hAnsi="Arial" w:cs="Arial"/>
      <w:vanish/>
      <w:sz w:val="16"/>
      <w:szCs w:val="16"/>
      <w:lang w:val="en-GB"/>
    </w:rPr>
  </w:style>
  <w:style w:type="paragraph" w:styleId="Revision">
    <w:name w:val="Revision"/>
    <w:hidden/>
    <w:uiPriority w:val="99"/>
    <w:semiHidden/>
    <w:rsid w:val="00C42E21"/>
    <w:rPr>
      <w:sz w:val="22"/>
      <w:szCs w:val="22"/>
      <w:lang w:eastAsia="en-US"/>
    </w:rPr>
  </w:style>
  <w:style w:type="paragraph" w:styleId="Title">
    <w:name w:val="Title"/>
    <w:basedOn w:val="Normal"/>
    <w:next w:val="Normal"/>
    <w:link w:val="TitleChar"/>
    <w:uiPriority w:val="10"/>
    <w:qFormat/>
    <w:rsid w:val="007C0AED"/>
    <w:pPr>
      <w:spacing w:after="0"/>
    </w:pPr>
    <w:rPr>
      <w:b/>
      <w:color w:val="1F497D"/>
      <w:sz w:val="28"/>
      <w:szCs w:val="28"/>
    </w:rPr>
  </w:style>
  <w:style w:type="character" w:customStyle="1" w:styleId="TitleChar">
    <w:name w:val="Title Char"/>
    <w:link w:val="Title"/>
    <w:uiPriority w:val="10"/>
    <w:rsid w:val="007C0AED"/>
    <w:rPr>
      <w:b/>
      <w:color w:val="1F497D"/>
      <w:sz w:val="28"/>
      <w:szCs w:val="28"/>
      <w:lang w:val="en-GB"/>
    </w:rPr>
  </w:style>
  <w:style w:type="character" w:customStyle="1" w:styleId="Heading1Char">
    <w:name w:val="Heading 1 Char"/>
    <w:link w:val="Heading1"/>
    <w:uiPriority w:val="9"/>
    <w:rsid w:val="007C0AED"/>
    <w:rPr>
      <w:b/>
      <w:caps/>
      <w:sz w:val="24"/>
      <w:szCs w:val="24"/>
      <w:lang w:val="en-GB"/>
    </w:rPr>
  </w:style>
  <w:style w:type="character" w:customStyle="1" w:styleId="Heading2Char">
    <w:name w:val="Heading 2 Char"/>
    <w:link w:val="Heading2"/>
    <w:uiPriority w:val="9"/>
    <w:rsid w:val="007C0AED"/>
    <w:rPr>
      <w:b/>
      <w:sz w:val="22"/>
      <w:szCs w:val="22"/>
      <w:lang w:val="en-GB"/>
    </w:rPr>
  </w:style>
  <w:style w:type="character" w:customStyle="1" w:styleId="Heading3Char">
    <w:name w:val="Heading 3 Char"/>
    <w:link w:val="Heading3"/>
    <w:uiPriority w:val="9"/>
    <w:rsid w:val="007C0AED"/>
    <w:rPr>
      <w:i/>
      <w:sz w:val="22"/>
      <w:szCs w:val="22"/>
      <w:lang w:val="en-GB"/>
    </w:rPr>
  </w:style>
  <w:style w:type="paragraph" w:styleId="Caption">
    <w:name w:val="caption"/>
    <w:basedOn w:val="Normal"/>
    <w:next w:val="Normal"/>
    <w:uiPriority w:val="35"/>
    <w:unhideWhenUsed/>
    <w:qFormat/>
    <w:rsid w:val="008D1D14"/>
    <w:pPr>
      <w:spacing w:before="240" w:line="240" w:lineRule="auto"/>
      <w:jc w:val="both"/>
    </w:pPr>
    <w:rPr>
      <w:b/>
      <w:bCs/>
      <w:color w:val="4F81BD"/>
      <w:sz w:val="18"/>
      <w:szCs w:val="18"/>
    </w:rPr>
  </w:style>
  <w:style w:type="paragraph" w:customStyle="1" w:styleId="Contact">
    <w:name w:val="Contact"/>
    <w:basedOn w:val="Normal"/>
    <w:next w:val="Normal"/>
    <w:rsid w:val="006A361A"/>
    <w:pPr>
      <w:spacing w:before="480" w:after="0" w:line="240" w:lineRule="auto"/>
      <w:ind w:left="567" w:hanging="567"/>
    </w:pPr>
    <w:rPr>
      <w:rFonts w:ascii="Times New Roman" w:eastAsia="Times New Roman" w:hAnsi="Times New Roman"/>
      <w:sz w:val="24"/>
      <w:szCs w:val="20"/>
    </w:rPr>
  </w:style>
  <w:style w:type="paragraph" w:styleId="ListBullet">
    <w:name w:val="List Bullet"/>
    <w:basedOn w:val="Normal"/>
    <w:rsid w:val="006A361A"/>
    <w:pPr>
      <w:numPr>
        <w:numId w:val="17"/>
      </w:numPr>
      <w:spacing w:after="240" w:line="240" w:lineRule="auto"/>
      <w:jc w:val="both"/>
    </w:pPr>
    <w:rPr>
      <w:rFonts w:ascii="Times New Roman" w:eastAsia="Times New Roman" w:hAnsi="Times New Roman"/>
      <w:sz w:val="24"/>
      <w:szCs w:val="20"/>
    </w:rPr>
  </w:style>
  <w:style w:type="paragraph" w:customStyle="1" w:styleId="ListBullet1">
    <w:name w:val="List Bullet 1"/>
    <w:basedOn w:val="Normal"/>
    <w:rsid w:val="006A361A"/>
    <w:pPr>
      <w:numPr>
        <w:numId w:val="18"/>
      </w:numPr>
      <w:spacing w:after="240" w:line="240" w:lineRule="auto"/>
      <w:jc w:val="both"/>
    </w:pPr>
    <w:rPr>
      <w:rFonts w:ascii="Times New Roman" w:eastAsia="Times New Roman" w:hAnsi="Times New Roman"/>
      <w:sz w:val="24"/>
      <w:szCs w:val="20"/>
    </w:rPr>
  </w:style>
  <w:style w:type="paragraph" w:styleId="ListBullet2">
    <w:name w:val="List Bullet 2"/>
    <w:basedOn w:val="Normal"/>
    <w:rsid w:val="006A361A"/>
    <w:pPr>
      <w:numPr>
        <w:numId w:val="19"/>
      </w:numPr>
      <w:spacing w:after="240" w:line="240" w:lineRule="auto"/>
      <w:jc w:val="both"/>
    </w:pPr>
    <w:rPr>
      <w:rFonts w:ascii="Times New Roman" w:eastAsia="Times New Roman" w:hAnsi="Times New Roman"/>
      <w:sz w:val="24"/>
      <w:szCs w:val="20"/>
    </w:rPr>
  </w:style>
  <w:style w:type="paragraph" w:styleId="ListBullet3">
    <w:name w:val="List Bullet 3"/>
    <w:basedOn w:val="Normal"/>
    <w:rsid w:val="006A361A"/>
    <w:pPr>
      <w:numPr>
        <w:numId w:val="20"/>
      </w:numPr>
      <w:spacing w:after="240" w:line="240" w:lineRule="auto"/>
      <w:jc w:val="both"/>
    </w:pPr>
    <w:rPr>
      <w:rFonts w:ascii="Times New Roman" w:eastAsia="Times New Roman" w:hAnsi="Times New Roman"/>
      <w:sz w:val="24"/>
      <w:szCs w:val="20"/>
    </w:rPr>
  </w:style>
  <w:style w:type="paragraph" w:styleId="ListBullet4">
    <w:name w:val="List Bullet 4"/>
    <w:basedOn w:val="Normal"/>
    <w:rsid w:val="006A361A"/>
    <w:pPr>
      <w:numPr>
        <w:numId w:val="21"/>
      </w:numPr>
      <w:spacing w:after="240" w:line="240" w:lineRule="auto"/>
      <w:jc w:val="both"/>
    </w:pPr>
    <w:rPr>
      <w:rFonts w:ascii="Times New Roman" w:eastAsia="Times New Roman" w:hAnsi="Times New Roman"/>
      <w:sz w:val="24"/>
      <w:szCs w:val="20"/>
    </w:rPr>
  </w:style>
  <w:style w:type="paragraph" w:customStyle="1" w:styleId="ListDash">
    <w:name w:val="List Dash"/>
    <w:basedOn w:val="Normal"/>
    <w:rsid w:val="006A361A"/>
    <w:pPr>
      <w:numPr>
        <w:numId w:val="22"/>
      </w:numPr>
      <w:spacing w:after="240" w:line="240" w:lineRule="auto"/>
      <w:jc w:val="both"/>
    </w:pPr>
    <w:rPr>
      <w:rFonts w:ascii="Times New Roman" w:eastAsia="Times New Roman" w:hAnsi="Times New Roman"/>
      <w:sz w:val="24"/>
      <w:szCs w:val="20"/>
    </w:rPr>
  </w:style>
  <w:style w:type="paragraph" w:customStyle="1" w:styleId="ListDash1">
    <w:name w:val="List Dash 1"/>
    <w:basedOn w:val="Normal"/>
    <w:rsid w:val="006A361A"/>
    <w:pPr>
      <w:numPr>
        <w:numId w:val="23"/>
      </w:numPr>
      <w:spacing w:after="240" w:line="240" w:lineRule="auto"/>
      <w:jc w:val="both"/>
    </w:pPr>
    <w:rPr>
      <w:rFonts w:ascii="Times New Roman" w:eastAsia="Times New Roman" w:hAnsi="Times New Roman"/>
      <w:sz w:val="24"/>
      <w:szCs w:val="20"/>
    </w:rPr>
  </w:style>
  <w:style w:type="paragraph" w:customStyle="1" w:styleId="ListDash2">
    <w:name w:val="List Dash 2"/>
    <w:basedOn w:val="Normal"/>
    <w:rsid w:val="006A361A"/>
    <w:pPr>
      <w:numPr>
        <w:numId w:val="24"/>
      </w:numPr>
      <w:spacing w:after="240" w:line="240" w:lineRule="auto"/>
      <w:jc w:val="both"/>
    </w:pPr>
    <w:rPr>
      <w:rFonts w:ascii="Times New Roman" w:eastAsia="Times New Roman" w:hAnsi="Times New Roman"/>
      <w:sz w:val="24"/>
      <w:szCs w:val="20"/>
    </w:rPr>
  </w:style>
  <w:style w:type="paragraph" w:customStyle="1" w:styleId="ListDash3">
    <w:name w:val="List Dash 3"/>
    <w:basedOn w:val="Normal"/>
    <w:rsid w:val="006A361A"/>
    <w:pPr>
      <w:numPr>
        <w:numId w:val="25"/>
      </w:numPr>
      <w:spacing w:after="240" w:line="240" w:lineRule="auto"/>
      <w:jc w:val="both"/>
    </w:pPr>
    <w:rPr>
      <w:rFonts w:ascii="Times New Roman" w:eastAsia="Times New Roman" w:hAnsi="Times New Roman"/>
      <w:sz w:val="24"/>
      <w:szCs w:val="20"/>
    </w:rPr>
  </w:style>
  <w:style w:type="paragraph" w:customStyle="1" w:styleId="ListDash4">
    <w:name w:val="List Dash 4"/>
    <w:basedOn w:val="Normal"/>
    <w:rsid w:val="006A361A"/>
    <w:pPr>
      <w:numPr>
        <w:numId w:val="26"/>
      </w:numPr>
      <w:spacing w:after="240" w:line="240" w:lineRule="auto"/>
      <w:jc w:val="both"/>
    </w:pPr>
    <w:rPr>
      <w:rFonts w:ascii="Times New Roman" w:eastAsia="Times New Roman" w:hAnsi="Times New Roman"/>
      <w:sz w:val="24"/>
      <w:szCs w:val="20"/>
    </w:rPr>
  </w:style>
  <w:style w:type="paragraph" w:styleId="ListNumber">
    <w:name w:val="List Number"/>
    <w:basedOn w:val="Normal"/>
    <w:rsid w:val="006A361A"/>
    <w:pPr>
      <w:numPr>
        <w:numId w:val="42"/>
      </w:numPr>
      <w:spacing w:after="240" w:line="240" w:lineRule="auto"/>
      <w:jc w:val="both"/>
    </w:pPr>
    <w:rPr>
      <w:rFonts w:ascii="Times New Roman" w:eastAsia="Times New Roman" w:hAnsi="Times New Roman"/>
      <w:sz w:val="24"/>
      <w:szCs w:val="20"/>
    </w:rPr>
  </w:style>
  <w:style w:type="paragraph" w:customStyle="1" w:styleId="ListNumber1">
    <w:name w:val="List Number 1"/>
    <w:basedOn w:val="Normal"/>
    <w:rsid w:val="006A361A"/>
    <w:pPr>
      <w:numPr>
        <w:numId w:val="43"/>
      </w:numPr>
      <w:spacing w:after="240" w:line="240" w:lineRule="auto"/>
      <w:jc w:val="both"/>
    </w:pPr>
    <w:rPr>
      <w:rFonts w:ascii="Times New Roman" w:eastAsia="Times New Roman" w:hAnsi="Times New Roman"/>
      <w:sz w:val="24"/>
      <w:szCs w:val="20"/>
    </w:rPr>
  </w:style>
  <w:style w:type="paragraph" w:styleId="ListNumber2">
    <w:name w:val="List Number 2"/>
    <w:basedOn w:val="Normal"/>
    <w:rsid w:val="006A361A"/>
    <w:pPr>
      <w:numPr>
        <w:numId w:val="44"/>
      </w:numPr>
      <w:spacing w:after="240" w:line="240" w:lineRule="auto"/>
      <w:jc w:val="both"/>
    </w:pPr>
    <w:rPr>
      <w:rFonts w:ascii="Times New Roman" w:eastAsia="Times New Roman" w:hAnsi="Times New Roman"/>
      <w:sz w:val="24"/>
      <w:szCs w:val="20"/>
    </w:rPr>
  </w:style>
  <w:style w:type="paragraph" w:styleId="ListNumber3">
    <w:name w:val="List Number 3"/>
    <w:basedOn w:val="Normal"/>
    <w:rsid w:val="006A361A"/>
    <w:pPr>
      <w:numPr>
        <w:numId w:val="45"/>
      </w:numPr>
      <w:spacing w:after="240" w:line="240" w:lineRule="auto"/>
      <w:jc w:val="both"/>
    </w:pPr>
    <w:rPr>
      <w:rFonts w:ascii="Times New Roman" w:eastAsia="Times New Roman" w:hAnsi="Times New Roman"/>
      <w:sz w:val="24"/>
      <w:szCs w:val="20"/>
    </w:rPr>
  </w:style>
  <w:style w:type="paragraph" w:styleId="ListNumber4">
    <w:name w:val="List Number 4"/>
    <w:basedOn w:val="Normal"/>
    <w:rsid w:val="006A361A"/>
    <w:pPr>
      <w:numPr>
        <w:numId w:val="46"/>
      </w:numPr>
      <w:spacing w:after="240" w:line="240" w:lineRule="auto"/>
      <w:jc w:val="both"/>
    </w:pPr>
    <w:rPr>
      <w:rFonts w:ascii="Times New Roman" w:eastAsia="Times New Roman" w:hAnsi="Times New Roman"/>
      <w:sz w:val="24"/>
      <w:szCs w:val="20"/>
    </w:rPr>
  </w:style>
  <w:style w:type="paragraph" w:customStyle="1" w:styleId="ListNumberLevel2">
    <w:name w:val="List Number (Level 2)"/>
    <w:basedOn w:val="Normal"/>
    <w:rsid w:val="006A361A"/>
    <w:pPr>
      <w:numPr>
        <w:ilvl w:val="1"/>
        <w:numId w:val="42"/>
      </w:numPr>
      <w:spacing w:after="240" w:line="240" w:lineRule="auto"/>
      <w:jc w:val="both"/>
    </w:pPr>
    <w:rPr>
      <w:rFonts w:ascii="Times New Roman" w:eastAsia="Times New Roman" w:hAnsi="Times New Roman"/>
      <w:sz w:val="24"/>
      <w:szCs w:val="20"/>
    </w:rPr>
  </w:style>
  <w:style w:type="paragraph" w:customStyle="1" w:styleId="ListNumber1Level2">
    <w:name w:val="List Number 1 (Level 2)"/>
    <w:basedOn w:val="Normal"/>
    <w:rsid w:val="006A361A"/>
    <w:pPr>
      <w:numPr>
        <w:ilvl w:val="1"/>
        <w:numId w:val="43"/>
      </w:numPr>
      <w:spacing w:after="240" w:line="240" w:lineRule="auto"/>
      <w:jc w:val="both"/>
    </w:pPr>
    <w:rPr>
      <w:rFonts w:ascii="Times New Roman" w:eastAsia="Times New Roman" w:hAnsi="Times New Roman"/>
      <w:sz w:val="24"/>
      <w:szCs w:val="20"/>
    </w:rPr>
  </w:style>
  <w:style w:type="paragraph" w:customStyle="1" w:styleId="ListNumber2Level2">
    <w:name w:val="List Number 2 (Level 2)"/>
    <w:basedOn w:val="Normal"/>
    <w:rsid w:val="006A361A"/>
    <w:pPr>
      <w:numPr>
        <w:ilvl w:val="1"/>
        <w:numId w:val="44"/>
      </w:numPr>
      <w:spacing w:after="240" w:line="240" w:lineRule="auto"/>
      <w:jc w:val="both"/>
    </w:pPr>
    <w:rPr>
      <w:rFonts w:ascii="Times New Roman" w:eastAsia="Times New Roman" w:hAnsi="Times New Roman"/>
      <w:sz w:val="24"/>
      <w:szCs w:val="20"/>
    </w:rPr>
  </w:style>
  <w:style w:type="paragraph" w:customStyle="1" w:styleId="ListNumber3Level2">
    <w:name w:val="List Number 3 (Level 2)"/>
    <w:basedOn w:val="Normal"/>
    <w:rsid w:val="006A361A"/>
    <w:pPr>
      <w:numPr>
        <w:ilvl w:val="1"/>
        <w:numId w:val="45"/>
      </w:numPr>
      <w:spacing w:after="240" w:line="240" w:lineRule="auto"/>
      <w:jc w:val="both"/>
    </w:pPr>
    <w:rPr>
      <w:rFonts w:ascii="Times New Roman" w:eastAsia="Times New Roman" w:hAnsi="Times New Roman"/>
      <w:sz w:val="24"/>
      <w:szCs w:val="20"/>
    </w:rPr>
  </w:style>
  <w:style w:type="paragraph" w:customStyle="1" w:styleId="ListNumber4Level2">
    <w:name w:val="List Number 4 (Level 2)"/>
    <w:basedOn w:val="Normal"/>
    <w:rsid w:val="006A361A"/>
    <w:pPr>
      <w:numPr>
        <w:ilvl w:val="1"/>
        <w:numId w:val="46"/>
      </w:numPr>
      <w:spacing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rsid w:val="006A361A"/>
    <w:pPr>
      <w:numPr>
        <w:ilvl w:val="2"/>
        <w:numId w:val="42"/>
      </w:numPr>
      <w:spacing w:after="240" w:line="240" w:lineRule="auto"/>
      <w:jc w:val="both"/>
    </w:pPr>
    <w:rPr>
      <w:rFonts w:ascii="Times New Roman" w:eastAsia="Times New Roman" w:hAnsi="Times New Roman"/>
      <w:sz w:val="24"/>
      <w:szCs w:val="20"/>
    </w:rPr>
  </w:style>
  <w:style w:type="paragraph" w:customStyle="1" w:styleId="ListNumber1Level3">
    <w:name w:val="List Number 1 (Level 3)"/>
    <w:basedOn w:val="Normal"/>
    <w:rsid w:val="006A361A"/>
    <w:pPr>
      <w:numPr>
        <w:ilvl w:val="2"/>
        <w:numId w:val="43"/>
      </w:numPr>
      <w:spacing w:after="240" w:line="240" w:lineRule="auto"/>
      <w:jc w:val="both"/>
    </w:pPr>
    <w:rPr>
      <w:rFonts w:ascii="Times New Roman" w:eastAsia="Times New Roman" w:hAnsi="Times New Roman"/>
      <w:sz w:val="24"/>
      <w:szCs w:val="20"/>
    </w:rPr>
  </w:style>
  <w:style w:type="paragraph" w:customStyle="1" w:styleId="ListNumber2Level3">
    <w:name w:val="List Number 2 (Level 3)"/>
    <w:basedOn w:val="Normal"/>
    <w:rsid w:val="006A361A"/>
    <w:pPr>
      <w:numPr>
        <w:ilvl w:val="2"/>
        <w:numId w:val="44"/>
      </w:numPr>
      <w:spacing w:after="240" w:line="240" w:lineRule="auto"/>
      <w:jc w:val="both"/>
    </w:pPr>
    <w:rPr>
      <w:rFonts w:ascii="Times New Roman" w:eastAsia="Times New Roman" w:hAnsi="Times New Roman"/>
      <w:sz w:val="24"/>
      <w:szCs w:val="20"/>
    </w:rPr>
  </w:style>
  <w:style w:type="paragraph" w:customStyle="1" w:styleId="ListNumber3Level3">
    <w:name w:val="List Number 3 (Level 3)"/>
    <w:basedOn w:val="Normal"/>
    <w:rsid w:val="006A361A"/>
    <w:pPr>
      <w:numPr>
        <w:ilvl w:val="2"/>
        <w:numId w:val="45"/>
      </w:numPr>
      <w:spacing w:after="240" w:line="240" w:lineRule="auto"/>
      <w:jc w:val="both"/>
    </w:pPr>
    <w:rPr>
      <w:rFonts w:ascii="Times New Roman" w:eastAsia="Times New Roman" w:hAnsi="Times New Roman"/>
      <w:sz w:val="24"/>
      <w:szCs w:val="20"/>
    </w:rPr>
  </w:style>
  <w:style w:type="paragraph" w:customStyle="1" w:styleId="ListNumber4Level3">
    <w:name w:val="List Number 4 (Level 3)"/>
    <w:basedOn w:val="Normal"/>
    <w:rsid w:val="006A361A"/>
    <w:pPr>
      <w:numPr>
        <w:ilvl w:val="2"/>
        <w:numId w:val="46"/>
      </w:numPr>
      <w:spacing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rsid w:val="006A361A"/>
    <w:pPr>
      <w:numPr>
        <w:ilvl w:val="3"/>
        <w:numId w:val="42"/>
      </w:numPr>
      <w:spacing w:after="240" w:line="240" w:lineRule="auto"/>
      <w:jc w:val="both"/>
    </w:pPr>
    <w:rPr>
      <w:rFonts w:ascii="Times New Roman" w:eastAsia="Times New Roman" w:hAnsi="Times New Roman"/>
      <w:sz w:val="24"/>
      <w:szCs w:val="20"/>
    </w:rPr>
  </w:style>
  <w:style w:type="paragraph" w:customStyle="1" w:styleId="ListNumber1Level4">
    <w:name w:val="List Number 1 (Level 4)"/>
    <w:basedOn w:val="Normal"/>
    <w:rsid w:val="006A361A"/>
    <w:pPr>
      <w:numPr>
        <w:ilvl w:val="3"/>
        <w:numId w:val="43"/>
      </w:numPr>
      <w:spacing w:after="240" w:line="240" w:lineRule="auto"/>
      <w:jc w:val="both"/>
    </w:pPr>
    <w:rPr>
      <w:rFonts w:ascii="Times New Roman" w:eastAsia="Times New Roman" w:hAnsi="Times New Roman"/>
      <w:sz w:val="24"/>
      <w:szCs w:val="20"/>
    </w:rPr>
  </w:style>
  <w:style w:type="paragraph" w:customStyle="1" w:styleId="ListNumber2Level4">
    <w:name w:val="List Number 2 (Level 4)"/>
    <w:basedOn w:val="Normal"/>
    <w:rsid w:val="006A361A"/>
    <w:pPr>
      <w:numPr>
        <w:ilvl w:val="3"/>
        <w:numId w:val="44"/>
      </w:numPr>
      <w:spacing w:after="240" w:line="240" w:lineRule="auto"/>
      <w:jc w:val="both"/>
    </w:pPr>
    <w:rPr>
      <w:rFonts w:ascii="Times New Roman" w:eastAsia="Times New Roman" w:hAnsi="Times New Roman"/>
      <w:sz w:val="24"/>
      <w:szCs w:val="20"/>
    </w:rPr>
  </w:style>
  <w:style w:type="paragraph" w:customStyle="1" w:styleId="ListNumber3Level4">
    <w:name w:val="List Number 3 (Level 4)"/>
    <w:basedOn w:val="Normal"/>
    <w:rsid w:val="006A361A"/>
    <w:pPr>
      <w:numPr>
        <w:ilvl w:val="3"/>
        <w:numId w:val="45"/>
      </w:numPr>
      <w:spacing w:after="240" w:line="240" w:lineRule="auto"/>
      <w:jc w:val="both"/>
    </w:pPr>
    <w:rPr>
      <w:rFonts w:ascii="Times New Roman" w:eastAsia="Times New Roman" w:hAnsi="Times New Roman"/>
      <w:sz w:val="24"/>
      <w:szCs w:val="20"/>
    </w:rPr>
  </w:style>
  <w:style w:type="paragraph" w:customStyle="1" w:styleId="ListNumber4Level4">
    <w:name w:val="List Number 4 (Level 4)"/>
    <w:basedOn w:val="Normal"/>
    <w:rsid w:val="006A361A"/>
    <w:pPr>
      <w:numPr>
        <w:ilvl w:val="3"/>
        <w:numId w:val="46"/>
      </w:numPr>
      <w:spacing w:after="240" w:line="240" w:lineRule="auto"/>
      <w:jc w:val="both"/>
    </w:pPr>
    <w:rPr>
      <w:rFonts w:ascii="Times New Roman" w:eastAsia="Times New Roman" w:hAnsi="Times New Roman"/>
      <w:sz w:val="24"/>
      <w:szCs w:val="20"/>
    </w:rPr>
  </w:style>
  <w:style w:type="paragraph" w:styleId="TOC5">
    <w:name w:val="toc 5"/>
    <w:basedOn w:val="Normal"/>
    <w:next w:val="Normal"/>
    <w:semiHidden/>
    <w:rsid w:val="006A361A"/>
    <w:pPr>
      <w:tabs>
        <w:tab w:val="right" w:leader="dot" w:pos="8641"/>
      </w:tabs>
      <w:spacing w:before="240" w:after="120" w:line="240" w:lineRule="auto"/>
      <w:ind w:right="720"/>
      <w:jc w:val="both"/>
    </w:pPr>
    <w:rPr>
      <w:rFonts w:ascii="Times New Roman" w:eastAsia="Times New Roman" w:hAnsi="Times New Roman"/>
      <w:caps/>
      <w:sz w:val="24"/>
      <w:szCs w:val="20"/>
    </w:rPr>
  </w:style>
  <w:style w:type="paragraph" w:styleId="TOCHeading">
    <w:name w:val="TOC Heading"/>
    <w:basedOn w:val="Normal"/>
    <w:next w:val="Normal"/>
    <w:qFormat/>
    <w:rsid w:val="006A361A"/>
    <w:pPr>
      <w:keepNext/>
      <w:spacing w:before="240" w:after="240" w:line="240" w:lineRule="auto"/>
      <w:jc w:val="center"/>
    </w:pPr>
    <w:rPr>
      <w:rFonts w:ascii="Times New Roman" w:eastAsia="Times New Roman" w:hAnsi="Times New Roman"/>
      <w:b/>
      <w:sz w:val="24"/>
      <w:szCs w:val="20"/>
    </w:rPr>
  </w:style>
  <w:style w:type="character" w:styleId="LineNumber">
    <w:name w:val="line number"/>
    <w:uiPriority w:val="99"/>
    <w:semiHidden/>
    <w:unhideWhenUsed/>
    <w:rsid w:val="00D94D4B"/>
  </w:style>
  <w:style w:type="character" w:customStyle="1" w:styleId="highlight">
    <w:name w:val="highlight"/>
    <w:rsid w:val="00573D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723C5D"/>
    <w:pPr>
      <w:spacing w:after="200" w:line="276" w:lineRule="auto"/>
    </w:pPr>
    <w:rPr>
      <w:sz w:val="22"/>
      <w:szCs w:val="22"/>
      <w:lang w:eastAsia="en-US"/>
    </w:rPr>
  </w:style>
  <w:style w:type="paragraph" w:styleId="Heading1">
    <w:name w:val="heading 1"/>
    <w:basedOn w:val="Normal"/>
    <w:next w:val="Normal"/>
    <w:link w:val="Heading1Char"/>
    <w:uiPriority w:val="9"/>
    <w:qFormat/>
    <w:rsid w:val="007C0AED"/>
    <w:pPr>
      <w:outlineLvl w:val="0"/>
    </w:pPr>
    <w:rPr>
      <w:b/>
      <w:caps/>
      <w:sz w:val="24"/>
      <w:szCs w:val="24"/>
    </w:rPr>
  </w:style>
  <w:style w:type="paragraph" w:styleId="Heading2">
    <w:name w:val="heading 2"/>
    <w:basedOn w:val="Normal"/>
    <w:next w:val="Normal"/>
    <w:link w:val="Heading2Char"/>
    <w:uiPriority w:val="9"/>
    <w:unhideWhenUsed/>
    <w:qFormat/>
    <w:rsid w:val="007C0AED"/>
    <w:pPr>
      <w:outlineLvl w:val="1"/>
    </w:pPr>
    <w:rPr>
      <w:b/>
    </w:rPr>
  </w:style>
  <w:style w:type="paragraph" w:styleId="Heading3">
    <w:name w:val="heading 3"/>
    <w:basedOn w:val="Normal"/>
    <w:next w:val="Normal"/>
    <w:link w:val="Heading3Char"/>
    <w:uiPriority w:val="9"/>
    <w:unhideWhenUsed/>
    <w:qFormat/>
    <w:rsid w:val="007C0AED"/>
    <w:pPr>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3C2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3C29"/>
    <w:rPr>
      <w:rFonts w:ascii="Tahoma" w:hAnsi="Tahoma" w:cs="Tahoma"/>
      <w:sz w:val="16"/>
      <w:szCs w:val="16"/>
    </w:rPr>
  </w:style>
  <w:style w:type="table" w:styleId="TableGrid">
    <w:name w:val="Table Grid"/>
    <w:basedOn w:val="TableNormal"/>
    <w:uiPriority w:val="59"/>
    <w:rsid w:val="00443C2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F91114"/>
    <w:rPr>
      <w:sz w:val="16"/>
      <w:szCs w:val="16"/>
    </w:rPr>
  </w:style>
  <w:style w:type="paragraph" w:styleId="CommentText">
    <w:name w:val="annotation text"/>
    <w:basedOn w:val="Normal"/>
    <w:link w:val="CommentTextChar"/>
    <w:uiPriority w:val="99"/>
    <w:unhideWhenUsed/>
    <w:rsid w:val="00F91114"/>
    <w:rPr>
      <w:sz w:val="20"/>
      <w:szCs w:val="20"/>
    </w:rPr>
  </w:style>
  <w:style w:type="character" w:customStyle="1" w:styleId="CommentTextChar">
    <w:name w:val="Comment Text Char"/>
    <w:link w:val="CommentText"/>
    <w:uiPriority w:val="99"/>
    <w:rsid w:val="00F91114"/>
    <w:rPr>
      <w:lang w:eastAsia="en-US"/>
    </w:rPr>
  </w:style>
  <w:style w:type="paragraph" w:styleId="CommentSubject">
    <w:name w:val="annotation subject"/>
    <w:basedOn w:val="CommentText"/>
    <w:next w:val="CommentText"/>
    <w:link w:val="CommentSubjectChar"/>
    <w:uiPriority w:val="99"/>
    <w:semiHidden/>
    <w:unhideWhenUsed/>
    <w:rsid w:val="00F91114"/>
    <w:rPr>
      <w:b/>
      <w:bCs/>
    </w:rPr>
  </w:style>
  <w:style w:type="character" w:customStyle="1" w:styleId="CommentSubjectChar">
    <w:name w:val="Comment Subject Char"/>
    <w:link w:val="CommentSubject"/>
    <w:uiPriority w:val="99"/>
    <w:semiHidden/>
    <w:rsid w:val="00F91114"/>
    <w:rPr>
      <w:b/>
      <w:bCs/>
      <w:lang w:eastAsia="en-US"/>
    </w:rPr>
  </w:style>
  <w:style w:type="character" w:customStyle="1" w:styleId="AuthoraffiliationWIREs">
    <w:name w:val="Author affiliation_WIREs"/>
    <w:rsid w:val="00F91114"/>
    <w:rPr>
      <w:rFonts w:ascii="Arial" w:hAnsi="Arial"/>
      <w:sz w:val="20"/>
    </w:rPr>
  </w:style>
  <w:style w:type="character" w:styleId="Hyperlink">
    <w:name w:val="Hyperlink"/>
    <w:uiPriority w:val="99"/>
    <w:unhideWhenUsed/>
    <w:rsid w:val="00F91114"/>
    <w:rPr>
      <w:color w:val="0000FF"/>
      <w:u w:val="single"/>
    </w:rPr>
  </w:style>
  <w:style w:type="paragraph" w:customStyle="1" w:styleId="BodyText1">
    <w:name w:val="Body Text1"/>
    <w:basedOn w:val="Normal"/>
    <w:rsid w:val="005A5ACF"/>
    <w:pPr>
      <w:spacing w:before="200"/>
      <w:ind w:firstLine="288"/>
      <w:jc w:val="both"/>
    </w:pPr>
    <w:rPr>
      <w:rFonts w:ascii="Arial" w:eastAsia="Times New Roman" w:hAnsi="Arial"/>
      <w:sz w:val="20"/>
      <w:szCs w:val="20"/>
      <w:lang w:val="en-US" w:bidi="en-US"/>
    </w:rPr>
  </w:style>
  <w:style w:type="paragraph" w:customStyle="1" w:styleId="BodytextWIREs">
    <w:name w:val="Body text_WIREs"/>
    <w:basedOn w:val="Normal"/>
    <w:rsid w:val="009B74C3"/>
    <w:pPr>
      <w:overflowPunct w:val="0"/>
      <w:autoSpaceDE w:val="0"/>
      <w:autoSpaceDN w:val="0"/>
      <w:adjustRightInd w:val="0"/>
      <w:spacing w:after="240" w:line="240" w:lineRule="auto"/>
      <w:textAlignment w:val="baseline"/>
    </w:pPr>
    <w:rPr>
      <w:rFonts w:ascii="Arial" w:eastAsia="Times New Roman" w:hAnsi="Arial"/>
      <w:sz w:val="20"/>
      <w:lang w:val="en-US"/>
    </w:rPr>
  </w:style>
  <w:style w:type="paragraph" w:customStyle="1" w:styleId="ReferencesheadWIREs">
    <w:name w:val="References head_WIREs"/>
    <w:basedOn w:val="Normal"/>
    <w:next w:val="BodytextWIREs"/>
    <w:rsid w:val="009B74C3"/>
    <w:pPr>
      <w:shd w:val="clear" w:color="auto" w:fill="E6E6E6"/>
      <w:overflowPunct w:val="0"/>
      <w:autoSpaceDE w:val="0"/>
      <w:autoSpaceDN w:val="0"/>
      <w:adjustRightInd w:val="0"/>
      <w:spacing w:before="240" w:after="120" w:line="240" w:lineRule="auto"/>
      <w:textAlignment w:val="baseline"/>
    </w:pPr>
    <w:rPr>
      <w:rFonts w:ascii="Arial" w:eastAsia="Times New Roman" w:hAnsi="Arial" w:cs="Arial"/>
      <w:b/>
      <w:sz w:val="24"/>
      <w:lang w:val="en-US"/>
    </w:rPr>
  </w:style>
  <w:style w:type="paragraph" w:customStyle="1" w:styleId="ReferencesWIREs">
    <w:name w:val="References_WIREs"/>
    <w:basedOn w:val="Normal"/>
    <w:rsid w:val="009B74C3"/>
    <w:pPr>
      <w:overflowPunct w:val="0"/>
      <w:autoSpaceDE w:val="0"/>
      <w:autoSpaceDN w:val="0"/>
      <w:adjustRightInd w:val="0"/>
      <w:spacing w:after="240" w:line="240" w:lineRule="auto"/>
      <w:textAlignment w:val="baseline"/>
    </w:pPr>
    <w:rPr>
      <w:rFonts w:ascii="Arial" w:eastAsia="Times New Roman" w:hAnsi="Arial"/>
      <w:sz w:val="20"/>
      <w:lang w:val="en-US"/>
    </w:rPr>
  </w:style>
  <w:style w:type="character" w:styleId="FollowedHyperlink">
    <w:name w:val="FollowedHyperlink"/>
    <w:uiPriority w:val="99"/>
    <w:semiHidden/>
    <w:unhideWhenUsed/>
    <w:rsid w:val="0097076D"/>
    <w:rPr>
      <w:color w:val="800080"/>
      <w:u w:val="single"/>
    </w:rPr>
  </w:style>
  <w:style w:type="paragraph" w:styleId="Header">
    <w:name w:val="header"/>
    <w:basedOn w:val="Normal"/>
    <w:link w:val="HeaderChar"/>
    <w:uiPriority w:val="99"/>
    <w:unhideWhenUsed/>
    <w:rsid w:val="00AE24E8"/>
    <w:pPr>
      <w:tabs>
        <w:tab w:val="center" w:pos="4680"/>
        <w:tab w:val="right" w:pos="9360"/>
      </w:tabs>
    </w:pPr>
  </w:style>
  <w:style w:type="character" w:customStyle="1" w:styleId="HeaderChar">
    <w:name w:val="Header Char"/>
    <w:link w:val="Header"/>
    <w:uiPriority w:val="99"/>
    <w:rsid w:val="00AE24E8"/>
    <w:rPr>
      <w:sz w:val="22"/>
      <w:szCs w:val="22"/>
      <w:lang w:val="en-GB" w:eastAsia="en-US" w:bidi="ar-SA"/>
    </w:rPr>
  </w:style>
  <w:style w:type="paragraph" w:styleId="Footer">
    <w:name w:val="footer"/>
    <w:basedOn w:val="Normal"/>
    <w:link w:val="FooterChar"/>
    <w:uiPriority w:val="99"/>
    <w:unhideWhenUsed/>
    <w:rsid w:val="00AE24E8"/>
    <w:pPr>
      <w:tabs>
        <w:tab w:val="center" w:pos="4680"/>
        <w:tab w:val="right" w:pos="9360"/>
      </w:tabs>
    </w:pPr>
  </w:style>
  <w:style w:type="character" w:customStyle="1" w:styleId="FooterChar">
    <w:name w:val="Footer Char"/>
    <w:link w:val="Footer"/>
    <w:uiPriority w:val="99"/>
    <w:rsid w:val="00AE24E8"/>
    <w:rPr>
      <w:sz w:val="22"/>
      <w:szCs w:val="22"/>
      <w:lang w:val="en-GB" w:eastAsia="en-US" w:bidi="ar-SA"/>
    </w:rPr>
  </w:style>
  <w:style w:type="paragraph" w:styleId="z-TopofForm">
    <w:name w:val="HTML Top of Form"/>
    <w:basedOn w:val="Normal"/>
    <w:next w:val="Normal"/>
    <w:link w:val="z-TopofFormChar"/>
    <w:hidden/>
    <w:uiPriority w:val="99"/>
    <w:semiHidden/>
    <w:unhideWhenUsed/>
    <w:rsid w:val="004B752B"/>
    <w:pPr>
      <w:pBdr>
        <w:bottom w:val="single" w:sz="6" w:space="1" w:color="auto"/>
      </w:pBdr>
      <w:spacing w:after="0"/>
      <w:jc w:val="center"/>
    </w:pPr>
    <w:rPr>
      <w:rFonts w:ascii="Arial" w:hAnsi="Arial" w:cs="Arial"/>
      <w:vanish/>
      <w:sz w:val="16"/>
      <w:szCs w:val="16"/>
    </w:rPr>
  </w:style>
  <w:style w:type="character" w:customStyle="1" w:styleId="z-TopofFormChar">
    <w:name w:val="z-Top of Form Char"/>
    <w:link w:val="z-TopofForm"/>
    <w:uiPriority w:val="99"/>
    <w:semiHidden/>
    <w:rsid w:val="004B752B"/>
    <w:rPr>
      <w:rFonts w:ascii="Arial" w:hAnsi="Arial" w:cs="Arial"/>
      <w:vanish/>
      <w:sz w:val="16"/>
      <w:szCs w:val="16"/>
      <w:lang w:val="en-GB"/>
    </w:rPr>
  </w:style>
  <w:style w:type="paragraph" w:styleId="z-BottomofForm">
    <w:name w:val="HTML Bottom of Form"/>
    <w:basedOn w:val="Normal"/>
    <w:next w:val="Normal"/>
    <w:link w:val="z-BottomofFormChar"/>
    <w:hidden/>
    <w:uiPriority w:val="99"/>
    <w:semiHidden/>
    <w:unhideWhenUsed/>
    <w:rsid w:val="004B752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link w:val="z-BottomofForm"/>
    <w:uiPriority w:val="99"/>
    <w:semiHidden/>
    <w:rsid w:val="004B752B"/>
    <w:rPr>
      <w:rFonts w:ascii="Arial" w:hAnsi="Arial" w:cs="Arial"/>
      <w:vanish/>
      <w:sz w:val="16"/>
      <w:szCs w:val="16"/>
      <w:lang w:val="en-GB"/>
    </w:rPr>
  </w:style>
  <w:style w:type="paragraph" w:styleId="Revision">
    <w:name w:val="Revision"/>
    <w:hidden/>
    <w:uiPriority w:val="99"/>
    <w:semiHidden/>
    <w:rsid w:val="00C42E21"/>
    <w:rPr>
      <w:sz w:val="22"/>
      <w:szCs w:val="22"/>
      <w:lang w:eastAsia="en-US"/>
    </w:rPr>
  </w:style>
  <w:style w:type="paragraph" w:styleId="Title">
    <w:name w:val="Title"/>
    <w:basedOn w:val="Normal"/>
    <w:next w:val="Normal"/>
    <w:link w:val="TitleChar"/>
    <w:uiPriority w:val="10"/>
    <w:qFormat/>
    <w:rsid w:val="007C0AED"/>
    <w:pPr>
      <w:spacing w:after="0"/>
    </w:pPr>
    <w:rPr>
      <w:b/>
      <w:color w:val="1F497D"/>
      <w:sz w:val="28"/>
      <w:szCs w:val="28"/>
    </w:rPr>
  </w:style>
  <w:style w:type="character" w:customStyle="1" w:styleId="TitleChar">
    <w:name w:val="Title Char"/>
    <w:link w:val="Title"/>
    <w:uiPriority w:val="10"/>
    <w:rsid w:val="007C0AED"/>
    <w:rPr>
      <w:b/>
      <w:color w:val="1F497D"/>
      <w:sz w:val="28"/>
      <w:szCs w:val="28"/>
      <w:lang w:val="en-GB"/>
    </w:rPr>
  </w:style>
  <w:style w:type="character" w:customStyle="1" w:styleId="Heading1Char">
    <w:name w:val="Heading 1 Char"/>
    <w:link w:val="Heading1"/>
    <w:uiPriority w:val="9"/>
    <w:rsid w:val="007C0AED"/>
    <w:rPr>
      <w:b/>
      <w:caps/>
      <w:sz w:val="24"/>
      <w:szCs w:val="24"/>
      <w:lang w:val="en-GB"/>
    </w:rPr>
  </w:style>
  <w:style w:type="character" w:customStyle="1" w:styleId="Heading2Char">
    <w:name w:val="Heading 2 Char"/>
    <w:link w:val="Heading2"/>
    <w:uiPriority w:val="9"/>
    <w:rsid w:val="007C0AED"/>
    <w:rPr>
      <w:b/>
      <w:sz w:val="22"/>
      <w:szCs w:val="22"/>
      <w:lang w:val="en-GB"/>
    </w:rPr>
  </w:style>
  <w:style w:type="character" w:customStyle="1" w:styleId="Heading3Char">
    <w:name w:val="Heading 3 Char"/>
    <w:link w:val="Heading3"/>
    <w:uiPriority w:val="9"/>
    <w:rsid w:val="007C0AED"/>
    <w:rPr>
      <w:i/>
      <w:sz w:val="22"/>
      <w:szCs w:val="22"/>
      <w:lang w:val="en-GB"/>
    </w:rPr>
  </w:style>
  <w:style w:type="paragraph" w:styleId="Caption">
    <w:name w:val="caption"/>
    <w:basedOn w:val="Normal"/>
    <w:next w:val="Normal"/>
    <w:uiPriority w:val="35"/>
    <w:unhideWhenUsed/>
    <w:qFormat/>
    <w:rsid w:val="008D1D14"/>
    <w:pPr>
      <w:spacing w:before="240" w:line="240" w:lineRule="auto"/>
      <w:jc w:val="both"/>
    </w:pPr>
    <w:rPr>
      <w:b/>
      <w:bCs/>
      <w:color w:val="4F81BD"/>
      <w:sz w:val="18"/>
      <w:szCs w:val="18"/>
    </w:rPr>
  </w:style>
  <w:style w:type="paragraph" w:customStyle="1" w:styleId="Contact">
    <w:name w:val="Contact"/>
    <w:basedOn w:val="Normal"/>
    <w:next w:val="Normal"/>
    <w:rsid w:val="006A361A"/>
    <w:pPr>
      <w:spacing w:before="480" w:after="0" w:line="240" w:lineRule="auto"/>
      <w:ind w:left="567" w:hanging="567"/>
    </w:pPr>
    <w:rPr>
      <w:rFonts w:ascii="Times New Roman" w:eastAsia="Times New Roman" w:hAnsi="Times New Roman"/>
      <w:sz w:val="24"/>
      <w:szCs w:val="20"/>
    </w:rPr>
  </w:style>
  <w:style w:type="paragraph" w:styleId="ListBullet">
    <w:name w:val="List Bullet"/>
    <w:basedOn w:val="Normal"/>
    <w:rsid w:val="006A361A"/>
    <w:pPr>
      <w:numPr>
        <w:numId w:val="17"/>
      </w:numPr>
      <w:spacing w:after="240" w:line="240" w:lineRule="auto"/>
      <w:jc w:val="both"/>
    </w:pPr>
    <w:rPr>
      <w:rFonts w:ascii="Times New Roman" w:eastAsia="Times New Roman" w:hAnsi="Times New Roman"/>
      <w:sz w:val="24"/>
      <w:szCs w:val="20"/>
    </w:rPr>
  </w:style>
  <w:style w:type="paragraph" w:customStyle="1" w:styleId="ListBullet1">
    <w:name w:val="List Bullet 1"/>
    <w:basedOn w:val="Normal"/>
    <w:rsid w:val="006A361A"/>
    <w:pPr>
      <w:numPr>
        <w:numId w:val="18"/>
      </w:numPr>
      <w:spacing w:after="240" w:line="240" w:lineRule="auto"/>
      <w:jc w:val="both"/>
    </w:pPr>
    <w:rPr>
      <w:rFonts w:ascii="Times New Roman" w:eastAsia="Times New Roman" w:hAnsi="Times New Roman"/>
      <w:sz w:val="24"/>
      <w:szCs w:val="20"/>
    </w:rPr>
  </w:style>
  <w:style w:type="paragraph" w:styleId="ListBullet2">
    <w:name w:val="List Bullet 2"/>
    <w:basedOn w:val="Normal"/>
    <w:rsid w:val="006A361A"/>
    <w:pPr>
      <w:numPr>
        <w:numId w:val="19"/>
      </w:numPr>
      <w:spacing w:after="240" w:line="240" w:lineRule="auto"/>
      <w:jc w:val="both"/>
    </w:pPr>
    <w:rPr>
      <w:rFonts w:ascii="Times New Roman" w:eastAsia="Times New Roman" w:hAnsi="Times New Roman"/>
      <w:sz w:val="24"/>
      <w:szCs w:val="20"/>
    </w:rPr>
  </w:style>
  <w:style w:type="paragraph" w:styleId="ListBullet3">
    <w:name w:val="List Bullet 3"/>
    <w:basedOn w:val="Normal"/>
    <w:rsid w:val="006A361A"/>
    <w:pPr>
      <w:numPr>
        <w:numId w:val="20"/>
      </w:numPr>
      <w:spacing w:after="240" w:line="240" w:lineRule="auto"/>
      <w:jc w:val="both"/>
    </w:pPr>
    <w:rPr>
      <w:rFonts w:ascii="Times New Roman" w:eastAsia="Times New Roman" w:hAnsi="Times New Roman"/>
      <w:sz w:val="24"/>
      <w:szCs w:val="20"/>
    </w:rPr>
  </w:style>
  <w:style w:type="paragraph" w:styleId="ListBullet4">
    <w:name w:val="List Bullet 4"/>
    <w:basedOn w:val="Normal"/>
    <w:rsid w:val="006A361A"/>
    <w:pPr>
      <w:numPr>
        <w:numId w:val="21"/>
      </w:numPr>
      <w:spacing w:after="240" w:line="240" w:lineRule="auto"/>
      <w:jc w:val="both"/>
    </w:pPr>
    <w:rPr>
      <w:rFonts w:ascii="Times New Roman" w:eastAsia="Times New Roman" w:hAnsi="Times New Roman"/>
      <w:sz w:val="24"/>
      <w:szCs w:val="20"/>
    </w:rPr>
  </w:style>
  <w:style w:type="paragraph" w:customStyle="1" w:styleId="ListDash">
    <w:name w:val="List Dash"/>
    <w:basedOn w:val="Normal"/>
    <w:rsid w:val="006A361A"/>
    <w:pPr>
      <w:numPr>
        <w:numId w:val="22"/>
      </w:numPr>
      <w:spacing w:after="240" w:line="240" w:lineRule="auto"/>
      <w:jc w:val="both"/>
    </w:pPr>
    <w:rPr>
      <w:rFonts w:ascii="Times New Roman" w:eastAsia="Times New Roman" w:hAnsi="Times New Roman"/>
      <w:sz w:val="24"/>
      <w:szCs w:val="20"/>
    </w:rPr>
  </w:style>
  <w:style w:type="paragraph" w:customStyle="1" w:styleId="ListDash1">
    <w:name w:val="List Dash 1"/>
    <w:basedOn w:val="Normal"/>
    <w:rsid w:val="006A361A"/>
    <w:pPr>
      <w:numPr>
        <w:numId w:val="23"/>
      </w:numPr>
      <w:spacing w:after="240" w:line="240" w:lineRule="auto"/>
      <w:jc w:val="both"/>
    </w:pPr>
    <w:rPr>
      <w:rFonts w:ascii="Times New Roman" w:eastAsia="Times New Roman" w:hAnsi="Times New Roman"/>
      <w:sz w:val="24"/>
      <w:szCs w:val="20"/>
    </w:rPr>
  </w:style>
  <w:style w:type="paragraph" w:customStyle="1" w:styleId="ListDash2">
    <w:name w:val="List Dash 2"/>
    <w:basedOn w:val="Normal"/>
    <w:rsid w:val="006A361A"/>
    <w:pPr>
      <w:numPr>
        <w:numId w:val="24"/>
      </w:numPr>
      <w:spacing w:after="240" w:line="240" w:lineRule="auto"/>
      <w:jc w:val="both"/>
    </w:pPr>
    <w:rPr>
      <w:rFonts w:ascii="Times New Roman" w:eastAsia="Times New Roman" w:hAnsi="Times New Roman"/>
      <w:sz w:val="24"/>
      <w:szCs w:val="20"/>
    </w:rPr>
  </w:style>
  <w:style w:type="paragraph" w:customStyle="1" w:styleId="ListDash3">
    <w:name w:val="List Dash 3"/>
    <w:basedOn w:val="Normal"/>
    <w:rsid w:val="006A361A"/>
    <w:pPr>
      <w:numPr>
        <w:numId w:val="25"/>
      </w:numPr>
      <w:spacing w:after="240" w:line="240" w:lineRule="auto"/>
      <w:jc w:val="both"/>
    </w:pPr>
    <w:rPr>
      <w:rFonts w:ascii="Times New Roman" w:eastAsia="Times New Roman" w:hAnsi="Times New Roman"/>
      <w:sz w:val="24"/>
      <w:szCs w:val="20"/>
    </w:rPr>
  </w:style>
  <w:style w:type="paragraph" w:customStyle="1" w:styleId="ListDash4">
    <w:name w:val="List Dash 4"/>
    <w:basedOn w:val="Normal"/>
    <w:rsid w:val="006A361A"/>
    <w:pPr>
      <w:numPr>
        <w:numId w:val="26"/>
      </w:numPr>
      <w:spacing w:after="240" w:line="240" w:lineRule="auto"/>
      <w:jc w:val="both"/>
    </w:pPr>
    <w:rPr>
      <w:rFonts w:ascii="Times New Roman" w:eastAsia="Times New Roman" w:hAnsi="Times New Roman"/>
      <w:sz w:val="24"/>
      <w:szCs w:val="20"/>
    </w:rPr>
  </w:style>
  <w:style w:type="paragraph" w:styleId="ListNumber">
    <w:name w:val="List Number"/>
    <w:basedOn w:val="Normal"/>
    <w:rsid w:val="006A361A"/>
    <w:pPr>
      <w:numPr>
        <w:numId w:val="42"/>
      </w:numPr>
      <w:spacing w:after="240" w:line="240" w:lineRule="auto"/>
      <w:jc w:val="both"/>
    </w:pPr>
    <w:rPr>
      <w:rFonts w:ascii="Times New Roman" w:eastAsia="Times New Roman" w:hAnsi="Times New Roman"/>
      <w:sz w:val="24"/>
      <w:szCs w:val="20"/>
    </w:rPr>
  </w:style>
  <w:style w:type="paragraph" w:customStyle="1" w:styleId="ListNumber1">
    <w:name w:val="List Number 1"/>
    <w:basedOn w:val="Normal"/>
    <w:rsid w:val="006A361A"/>
    <w:pPr>
      <w:numPr>
        <w:numId w:val="43"/>
      </w:numPr>
      <w:spacing w:after="240" w:line="240" w:lineRule="auto"/>
      <w:jc w:val="both"/>
    </w:pPr>
    <w:rPr>
      <w:rFonts w:ascii="Times New Roman" w:eastAsia="Times New Roman" w:hAnsi="Times New Roman"/>
      <w:sz w:val="24"/>
      <w:szCs w:val="20"/>
    </w:rPr>
  </w:style>
  <w:style w:type="paragraph" w:styleId="ListNumber2">
    <w:name w:val="List Number 2"/>
    <w:basedOn w:val="Normal"/>
    <w:rsid w:val="006A361A"/>
    <w:pPr>
      <w:numPr>
        <w:numId w:val="44"/>
      </w:numPr>
      <w:spacing w:after="240" w:line="240" w:lineRule="auto"/>
      <w:jc w:val="both"/>
    </w:pPr>
    <w:rPr>
      <w:rFonts w:ascii="Times New Roman" w:eastAsia="Times New Roman" w:hAnsi="Times New Roman"/>
      <w:sz w:val="24"/>
      <w:szCs w:val="20"/>
    </w:rPr>
  </w:style>
  <w:style w:type="paragraph" w:styleId="ListNumber3">
    <w:name w:val="List Number 3"/>
    <w:basedOn w:val="Normal"/>
    <w:rsid w:val="006A361A"/>
    <w:pPr>
      <w:numPr>
        <w:numId w:val="45"/>
      </w:numPr>
      <w:spacing w:after="240" w:line="240" w:lineRule="auto"/>
      <w:jc w:val="both"/>
    </w:pPr>
    <w:rPr>
      <w:rFonts w:ascii="Times New Roman" w:eastAsia="Times New Roman" w:hAnsi="Times New Roman"/>
      <w:sz w:val="24"/>
      <w:szCs w:val="20"/>
    </w:rPr>
  </w:style>
  <w:style w:type="paragraph" w:styleId="ListNumber4">
    <w:name w:val="List Number 4"/>
    <w:basedOn w:val="Normal"/>
    <w:rsid w:val="006A361A"/>
    <w:pPr>
      <w:numPr>
        <w:numId w:val="46"/>
      </w:numPr>
      <w:spacing w:after="240" w:line="240" w:lineRule="auto"/>
      <w:jc w:val="both"/>
    </w:pPr>
    <w:rPr>
      <w:rFonts w:ascii="Times New Roman" w:eastAsia="Times New Roman" w:hAnsi="Times New Roman"/>
      <w:sz w:val="24"/>
      <w:szCs w:val="20"/>
    </w:rPr>
  </w:style>
  <w:style w:type="paragraph" w:customStyle="1" w:styleId="ListNumberLevel2">
    <w:name w:val="List Number (Level 2)"/>
    <w:basedOn w:val="Normal"/>
    <w:rsid w:val="006A361A"/>
    <w:pPr>
      <w:numPr>
        <w:ilvl w:val="1"/>
        <w:numId w:val="42"/>
      </w:numPr>
      <w:spacing w:after="240" w:line="240" w:lineRule="auto"/>
      <w:jc w:val="both"/>
    </w:pPr>
    <w:rPr>
      <w:rFonts w:ascii="Times New Roman" w:eastAsia="Times New Roman" w:hAnsi="Times New Roman"/>
      <w:sz w:val="24"/>
      <w:szCs w:val="20"/>
    </w:rPr>
  </w:style>
  <w:style w:type="paragraph" w:customStyle="1" w:styleId="ListNumber1Level2">
    <w:name w:val="List Number 1 (Level 2)"/>
    <w:basedOn w:val="Normal"/>
    <w:rsid w:val="006A361A"/>
    <w:pPr>
      <w:numPr>
        <w:ilvl w:val="1"/>
        <w:numId w:val="43"/>
      </w:numPr>
      <w:spacing w:after="240" w:line="240" w:lineRule="auto"/>
      <w:jc w:val="both"/>
    </w:pPr>
    <w:rPr>
      <w:rFonts w:ascii="Times New Roman" w:eastAsia="Times New Roman" w:hAnsi="Times New Roman"/>
      <w:sz w:val="24"/>
      <w:szCs w:val="20"/>
    </w:rPr>
  </w:style>
  <w:style w:type="paragraph" w:customStyle="1" w:styleId="ListNumber2Level2">
    <w:name w:val="List Number 2 (Level 2)"/>
    <w:basedOn w:val="Normal"/>
    <w:rsid w:val="006A361A"/>
    <w:pPr>
      <w:numPr>
        <w:ilvl w:val="1"/>
        <w:numId w:val="44"/>
      </w:numPr>
      <w:spacing w:after="240" w:line="240" w:lineRule="auto"/>
      <w:jc w:val="both"/>
    </w:pPr>
    <w:rPr>
      <w:rFonts w:ascii="Times New Roman" w:eastAsia="Times New Roman" w:hAnsi="Times New Roman"/>
      <w:sz w:val="24"/>
      <w:szCs w:val="20"/>
    </w:rPr>
  </w:style>
  <w:style w:type="paragraph" w:customStyle="1" w:styleId="ListNumber3Level2">
    <w:name w:val="List Number 3 (Level 2)"/>
    <w:basedOn w:val="Normal"/>
    <w:rsid w:val="006A361A"/>
    <w:pPr>
      <w:numPr>
        <w:ilvl w:val="1"/>
        <w:numId w:val="45"/>
      </w:numPr>
      <w:spacing w:after="240" w:line="240" w:lineRule="auto"/>
      <w:jc w:val="both"/>
    </w:pPr>
    <w:rPr>
      <w:rFonts w:ascii="Times New Roman" w:eastAsia="Times New Roman" w:hAnsi="Times New Roman"/>
      <w:sz w:val="24"/>
      <w:szCs w:val="20"/>
    </w:rPr>
  </w:style>
  <w:style w:type="paragraph" w:customStyle="1" w:styleId="ListNumber4Level2">
    <w:name w:val="List Number 4 (Level 2)"/>
    <w:basedOn w:val="Normal"/>
    <w:rsid w:val="006A361A"/>
    <w:pPr>
      <w:numPr>
        <w:ilvl w:val="1"/>
        <w:numId w:val="46"/>
      </w:numPr>
      <w:spacing w:after="240" w:line="240" w:lineRule="auto"/>
      <w:jc w:val="both"/>
    </w:pPr>
    <w:rPr>
      <w:rFonts w:ascii="Times New Roman" w:eastAsia="Times New Roman" w:hAnsi="Times New Roman"/>
      <w:sz w:val="24"/>
      <w:szCs w:val="20"/>
    </w:rPr>
  </w:style>
  <w:style w:type="paragraph" w:customStyle="1" w:styleId="ListNumberLevel3">
    <w:name w:val="List Number (Level 3)"/>
    <w:basedOn w:val="Normal"/>
    <w:rsid w:val="006A361A"/>
    <w:pPr>
      <w:numPr>
        <w:ilvl w:val="2"/>
        <w:numId w:val="42"/>
      </w:numPr>
      <w:spacing w:after="240" w:line="240" w:lineRule="auto"/>
      <w:jc w:val="both"/>
    </w:pPr>
    <w:rPr>
      <w:rFonts w:ascii="Times New Roman" w:eastAsia="Times New Roman" w:hAnsi="Times New Roman"/>
      <w:sz w:val="24"/>
      <w:szCs w:val="20"/>
    </w:rPr>
  </w:style>
  <w:style w:type="paragraph" w:customStyle="1" w:styleId="ListNumber1Level3">
    <w:name w:val="List Number 1 (Level 3)"/>
    <w:basedOn w:val="Normal"/>
    <w:rsid w:val="006A361A"/>
    <w:pPr>
      <w:numPr>
        <w:ilvl w:val="2"/>
        <w:numId w:val="43"/>
      </w:numPr>
      <w:spacing w:after="240" w:line="240" w:lineRule="auto"/>
      <w:jc w:val="both"/>
    </w:pPr>
    <w:rPr>
      <w:rFonts w:ascii="Times New Roman" w:eastAsia="Times New Roman" w:hAnsi="Times New Roman"/>
      <w:sz w:val="24"/>
      <w:szCs w:val="20"/>
    </w:rPr>
  </w:style>
  <w:style w:type="paragraph" w:customStyle="1" w:styleId="ListNumber2Level3">
    <w:name w:val="List Number 2 (Level 3)"/>
    <w:basedOn w:val="Normal"/>
    <w:rsid w:val="006A361A"/>
    <w:pPr>
      <w:numPr>
        <w:ilvl w:val="2"/>
        <w:numId w:val="44"/>
      </w:numPr>
      <w:spacing w:after="240" w:line="240" w:lineRule="auto"/>
      <w:jc w:val="both"/>
    </w:pPr>
    <w:rPr>
      <w:rFonts w:ascii="Times New Roman" w:eastAsia="Times New Roman" w:hAnsi="Times New Roman"/>
      <w:sz w:val="24"/>
      <w:szCs w:val="20"/>
    </w:rPr>
  </w:style>
  <w:style w:type="paragraph" w:customStyle="1" w:styleId="ListNumber3Level3">
    <w:name w:val="List Number 3 (Level 3)"/>
    <w:basedOn w:val="Normal"/>
    <w:rsid w:val="006A361A"/>
    <w:pPr>
      <w:numPr>
        <w:ilvl w:val="2"/>
        <w:numId w:val="45"/>
      </w:numPr>
      <w:spacing w:after="240" w:line="240" w:lineRule="auto"/>
      <w:jc w:val="both"/>
    </w:pPr>
    <w:rPr>
      <w:rFonts w:ascii="Times New Roman" w:eastAsia="Times New Roman" w:hAnsi="Times New Roman"/>
      <w:sz w:val="24"/>
      <w:szCs w:val="20"/>
    </w:rPr>
  </w:style>
  <w:style w:type="paragraph" w:customStyle="1" w:styleId="ListNumber4Level3">
    <w:name w:val="List Number 4 (Level 3)"/>
    <w:basedOn w:val="Normal"/>
    <w:rsid w:val="006A361A"/>
    <w:pPr>
      <w:numPr>
        <w:ilvl w:val="2"/>
        <w:numId w:val="46"/>
      </w:numPr>
      <w:spacing w:after="240" w:line="240" w:lineRule="auto"/>
      <w:jc w:val="both"/>
    </w:pPr>
    <w:rPr>
      <w:rFonts w:ascii="Times New Roman" w:eastAsia="Times New Roman" w:hAnsi="Times New Roman"/>
      <w:sz w:val="24"/>
      <w:szCs w:val="20"/>
    </w:rPr>
  </w:style>
  <w:style w:type="paragraph" w:customStyle="1" w:styleId="ListNumberLevel4">
    <w:name w:val="List Number (Level 4)"/>
    <w:basedOn w:val="Normal"/>
    <w:rsid w:val="006A361A"/>
    <w:pPr>
      <w:numPr>
        <w:ilvl w:val="3"/>
        <w:numId w:val="42"/>
      </w:numPr>
      <w:spacing w:after="240" w:line="240" w:lineRule="auto"/>
      <w:jc w:val="both"/>
    </w:pPr>
    <w:rPr>
      <w:rFonts w:ascii="Times New Roman" w:eastAsia="Times New Roman" w:hAnsi="Times New Roman"/>
      <w:sz w:val="24"/>
      <w:szCs w:val="20"/>
    </w:rPr>
  </w:style>
  <w:style w:type="paragraph" w:customStyle="1" w:styleId="ListNumber1Level4">
    <w:name w:val="List Number 1 (Level 4)"/>
    <w:basedOn w:val="Normal"/>
    <w:rsid w:val="006A361A"/>
    <w:pPr>
      <w:numPr>
        <w:ilvl w:val="3"/>
        <w:numId w:val="43"/>
      </w:numPr>
      <w:spacing w:after="240" w:line="240" w:lineRule="auto"/>
      <w:jc w:val="both"/>
    </w:pPr>
    <w:rPr>
      <w:rFonts w:ascii="Times New Roman" w:eastAsia="Times New Roman" w:hAnsi="Times New Roman"/>
      <w:sz w:val="24"/>
      <w:szCs w:val="20"/>
    </w:rPr>
  </w:style>
  <w:style w:type="paragraph" w:customStyle="1" w:styleId="ListNumber2Level4">
    <w:name w:val="List Number 2 (Level 4)"/>
    <w:basedOn w:val="Normal"/>
    <w:rsid w:val="006A361A"/>
    <w:pPr>
      <w:numPr>
        <w:ilvl w:val="3"/>
        <w:numId w:val="44"/>
      </w:numPr>
      <w:spacing w:after="240" w:line="240" w:lineRule="auto"/>
      <w:jc w:val="both"/>
    </w:pPr>
    <w:rPr>
      <w:rFonts w:ascii="Times New Roman" w:eastAsia="Times New Roman" w:hAnsi="Times New Roman"/>
      <w:sz w:val="24"/>
      <w:szCs w:val="20"/>
    </w:rPr>
  </w:style>
  <w:style w:type="paragraph" w:customStyle="1" w:styleId="ListNumber3Level4">
    <w:name w:val="List Number 3 (Level 4)"/>
    <w:basedOn w:val="Normal"/>
    <w:rsid w:val="006A361A"/>
    <w:pPr>
      <w:numPr>
        <w:ilvl w:val="3"/>
        <w:numId w:val="45"/>
      </w:numPr>
      <w:spacing w:after="240" w:line="240" w:lineRule="auto"/>
      <w:jc w:val="both"/>
    </w:pPr>
    <w:rPr>
      <w:rFonts w:ascii="Times New Roman" w:eastAsia="Times New Roman" w:hAnsi="Times New Roman"/>
      <w:sz w:val="24"/>
      <w:szCs w:val="20"/>
    </w:rPr>
  </w:style>
  <w:style w:type="paragraph" w:customStyle="1" w:styleId="ListNumber4Level4">
    <w:name w:val="List Number 4 (Level 4)"/>
    <w:basedOn w:val="Normal"/>
    <w:rsid w:val="006A361A"/>
    <w:pPr>
      <w:numPr>
        <w:ilvl w:val="3"/>
        <w:numId w:val="46"/>
      </w:numPr>
      <w:spacing w:after="240" w:line="240" w:lineRule="auto"/>
      <w:jc w:val="both"/>
    </w:pPr>
    <w:rPr>
      <w:rFonts w:ascii="Times New Roman" w:eastAsia="Times New Roman" w:hAnsi="Times New Roman"/>
      <w:sz w:val="24"/>
      <w:szCs w:val="20"/>
    </w:rPr>
  </w:style>
  <w:style w:type="paragraph" w:styleId="TOC5">
    <w:name w:val="toc 5"/>
    <w:basedOn w:val="Normal"/>
    <w:next w:val="Normal"/>
    <w:semiHidden/>
    <w:rsid w:val="006A361A"/>
    <w:pPr>
      <w:tabs>
        <w:tab w:val="right" w:leader="dot" w:pos="8641"/>
      </w:tabs>
      <w:spacing w:before="240" w:after="120" w:line="240" w:lineRule="auto"/>
      <w:ind w:right="720"/>
      <w:jc w:val="both"/>
    </w:pPr>
    <w:rPr>
      <w:rFonts w:ascii="Times New Roman" w:eastAsia="Times New Roman" w:hAnsi="Times New Roman"/>
      <w:caps/>
      <w:sz w:val="24"/>
      <w:szCs w:val="20"/>
    </w:rPr>
  </w:style>
  <w:style w:type="paragraph" w:styleId="TOCHeading">
    <w:name w:val="TOC Heading"/>
    <w:basedOn w:val="Normal"/>
    <w:next w:val="Normal"/>
    <w:qFormat/>
    <w:rsid w:val="006A361A"/>
    <w:pPr>
      <w:keepNext/>
      <w:spacing w:before="240" w:after="240" w:line="240" w:lineRule="auto"/>
      <w:jc w:val="center"/>
    </w:pPr>
    <w:rPr>
      <w:rFonts w:ascii="Times New Roman" w:eastAsia="Times New Roman" w:hAnsi="Times New Roman"/>
      <w:b/>
      <w:sz w:val="24"/>
      <w:szCs w:val="20"/>
    </w:rPr>
  </w:style>
  <w:style w:type="character" w:styleId="LineNumber">
    <w:name w:val="line number"/>
    <w:uiPriority w:val="99"/>
    <w:semiHidden/>
    <w:unhideWhenUsed/>
    <w:rsid w:val="00D94D4B"/>
  </w:style>
  <w:style w:type="character" w:customStyle="1" w:styleId="highlight">
    <w:name w:val="highlight"/>
    <w:rsid w:val="00573D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18876">
      <w:bodyDiv w:val="1"/>
      <w:marLeft w:val="0"/>
      <w:marRight w:val="0"/>
      <w:marTop w:val="0"/>
      <w:marBottom w:val="0"/>
      <w:divBdr>
        <w:top w:val="none" w:sz="0" w:space="0" w:color="auto"/>
        <w:left w:val="none" w:sz="0" w:space="0" w:color="auto"/>
        <w:bottom w:val="none" w:sz="0" w:space="0" w:color="auto"/>
        <w:right w:val="none" w:sz="0" w:space="0" w:color="auto"/>
      </w:divBdr>
    </w:div>
    <w:div w:id="490800637">
      <w:bodyDiv w:val="1"/>
      <w:marLeft w:val="0"/>
      <w:marRight w:val="0"/>
      <w:marTop w:val="0"/>
      <w:marBottom w:val="0"/>
      <w:divBdr>
        <w:top w:val="none" w:sz="0" w:space="0" w:color="auto"/>
        <w:left w:val="none" w:sz="0" w:space="0" w:color="auto"/>
        <w:bottom w:val="none" w:sz="0" w:space="0" w:color="auto"/>
        <w:right w:val="none" w:sz="0" w:space="0" w:color="auto"/>
      </w:divBdr>
    </w:div>
    <w:div w:id="492451687">
      <w:bodyDiv w:val="1"/>
      <w:marLeft w:val="0"/>
      <w:marRight w:val="0"/>
      <w:marTop w:val="0"/>
      <w:marBottom w:val="0"/>
      <w:divBdr>
        <w:top w:val="none" w:sz="0" w:space="0" w:color="auto"/>
        <w:left w:val="none" w:sz="0" w:space="0" w:color="auto"/>
        <w:bottom w:val="none" w:sz="0" w:space="0" w:color="auto"/>
        <w:right w:val="none" w:sz="0" w:space="0" w:color="auto"/>
      </w:divBdr>
    </w:div>
    <w:div w:id="592785341">
      <w:bodyDiv w:val="1"/>
      <w:marLeft w:val="0"/>
      <w:marRight w:val="0"/>
      <w:marTop w:val="0"/>
      <w:marBottom w:val="0"/>
      <w:divBdr>
        <w:top w:val="none" w:sz="0" w:space="0" w:color="auto"/>
        <w:left w:val="none" w:sz="0" w:space="0" w:color="auto"/>
        <w:bottom w:val="none" w:sz="0" w:space="0" w:color="auto"/>
        <w:right w:val="none" w:sz="0" w:space="0" w:color="auto"/>
      </w:divBdr>
    </w:div>
    <w:div w:id="605698079">
      <w:bodyDiv w:val="1"/>
      <w:marLeft w:val="0"/>
      <w:marRight w:val="0"/>
      <w:marTop w:val="0"/>
      <w:marBottom w:val="0"/>
      <w:divBdr>
        <w:top w:val="none" w:sz="0" w:space="0" w:color="auto"/>
        <w:left w:val="none" w:sz="0" w:space="0" w:color="auto"/>
        <w:bottom w:val="none" w:sz="0" w:space="0" w:color="auto"/>
        <w:right w:val="none" w:sz="0" w:space="0" w:color="auto"/>
      </w:divBdr>
    </w:div>
    <w:div w:id="615405989">
      <w:bodyDiv w:val="1"/>
      <w:marLeft w:val="0"/>
      <w:marRight w:val="0"/>
      <w:marTop w:val="0"/>
      <w:marBottom w:val="0"/>
      <w:divBdr>
        <w:top w:val="none" w:sz="0" w:space="0" w:color="auto"/>
        <w:left w:val="none" w:sz="0" w:space="0" w:color="auto"/>
        <w:bottom w:val="none" w:sz="0" w:space="0" w:color="auto"/>
        <w:right w:val="none" w:sz="0" w:space="0" w:color="auto"/>
      </w:divBdr>
    </w:div>
    <w:div w:id="621109318">
      <w:bodyDiv w:val="1"/>
      <w:marLeft w:val="0"/>
      <w:marRight w:val="0"/>
      <w:marTop w:val="0"/>
      <w:marBottom w:val="0"/>
      <w:divBdr>
        <w:top w:val="none" w:sz="0" w:space="0" w:color="auto"/>
        <w:left w:val="none" w:sz="0" w:space="0" w:color="auto"/>
        <w:bottom w:val="none" w:sz="0" w:space="0" w:color="auto"/>
        <w:right w:val="none" w:sz="0" w:space="0" w:color="auto"/>
      </w:divBdr>
    </w:div>
    <w:div w:id="640765103">
      <w:bodyDiv w:val="1"/>
      <w:marLeft w:val="0"/>
      <w:marRight w:val="0"/>
      <w:marTop w:val="0"/>
      <w:marBottom w:val="0"/>
      <w:divBdr>
        <w:top w:val="none" w:sz="0" w:space="0" w:color="auto"/>
        <w:left w:val="none" w:sz="0" w:space="0" w:color="auto"/>
        <w:bottom w:val="none" w:sz="0" w:space="0" w:color="auto"/>
        <w:right w:val="none" w:sz="0" w:space="0" w:color="auto"/>
      </w:divBdr>
    </w:div>
    <w:div w:id="667709138">
      <w:bodyDiv w:val="1"/>
      <w:marLeft w:val="0"/>
      <w:marRight w:val="0"/>
      <w:marTop w:val="0"/>
      <w:marBottom w:val="0"/>
      <w:divBdr>
        <w:top w:val="none" w:sz="0" w:space="0" w:color="auto"/>
        <w:left w:val="none" w:sz="0" w:space="0" w:color="auto"/>
        <w:bottom w:val="none" w:sz="0" w:space="0" w:color="auto"/>
        <w:right w:val="none" w:sz="0" w:space="0" w:color="auto"/>
      </w:divBdr>
      <w:divsChild>
        <w:div w:id="368148345">
          <w:marLeft w:val="0"/>
          <w:marRight w:val="0"/>
          <w:marTop w:val="0"/>
          <w:marBottom w:val="0"/>
          <w:divBdr>
            <w:top w:val="none" w:sz="0" w:space="0" w:color="auto"/>
            <w:left w:val="none" w:sz="0" w:space="0" w:color="auto"/>
            <w:bottom w:val="none" w:sz="0" w:space="0" w:color="auto"/>
            <w:right w:val="none" w:sz="0" w:space="0" w:color="auto"/>
          </w:divBdr>
        </w:div>
        <w:div w:id="669599303">
          <w:marLeft w:val="0"/>
          <w:marRight w:val="0"/>
          <w:marTop w:val="0"/>
          <w:marBottom w:val="0"/>
          <w:divBdr>
            <w:top w:val="none" w:sz="0" w:space="0" w:color="auto"/>
            <w:left w:val="none" w:sz="0" w:space="0" w:color="auto"/>
            <w:bottom w:val="none" w:sz="0" w:space="0" w:color="auto"/>
            <w:right w:val="none" w:sz="0" w:space="0" w:color="auto"/>
          </w:divBdr>
        </w:div>
        <w:div w:id="2113477645">
          <w:marLeft w:val="0"/>
          <w:marRight w:val="0"/>
          <w:marTop w:val="0"/>
          <w:marBottom w:val="0"/>
          <w:divBdr>
            <w:top w:val="none" w:sz="0" w:space="0" w:color="auto"/>
            <w:left w:val="none" w:sz="0" w:space="0" w:color="auto"/>
            <w:bottom w:val="none" w:sz="0" w:space="0" w:color="auto"/>
            <w:right w:val="none" w:sz="0" w:space="0" w:color="auto"/>
          </w:divBdr>
        </w:div>
      </w:divsChild>
    </w:div>
    <w:div w:id="961300037">
      <w:bodyDiv w:val="1"/>
      <w:marLeft w:val="0"/>
      <w:marRight w:val="0"/>
      <w:marTop w:val="0"/>
      <w:marBottom w:val="0"/>
      <w:divBdr>
        <w:top w:val="none" w:sz="0" w:space="0" w:color="auto"/>
        <w:left w:val="none" w:sz="0" w:space="0" w:color="auto"/>
        <w:bottom w:val="none" w:sz="0" w:space="0" w:color="auto"/>
        <w:right w:val="none" w:sz="0" w:space="0" w:color="auto"/>
      </w:divBdr>
    </w:div>
    <w:div w:id="1181161198">
      <w:bodyDiv w:val="1"/>
      <w:marLeft w:val="0"/>
      <w:marRight w:val="0"/>
      <w:marTop w:val="0"/>
      <w:marBottom w:val="0"/>
      <w:divBdr>
        <w:top w:val="none" w:sz="0" w:space="0" w:color="auto"/>
        <w:left w:val="none" w:sz="0" w:space="0" w:color="auto"/>
        <w:bottom w:val="none" w:sz="0" w:space="0" w:color="auto"/>
        <w:right w:val="none" w:sz="0" w:space="0" w:color="auto"/>
      </w:divBdr>
    </w:div>
    <w:div w:id="1520588001">
      <w:bodyDiv w:val="1"/>
      <w:marLeft w:val="0"/>
      <w:marRight w:val="0"/>
      <w:marTop w:val="0"/>
      <w:marBottom w:val="0"/>
      <w:divBdr>
        <w:top w:val="none" w:sz="0" w:space="0" w:color="auto"/>
        <w:left w:val="none" w:sz="0" w:space="0" w:color="auto"/>
        <w:bottom w:val="none" w:sz="0" w:space="0" w:color="auto"/>
        <w:right w:val="none" w:sz="0" w:space="0" w:color="auto"/>
      </w:divBdr>
      <w:divsChild>
        <w:div w:id="242495345">
          <w:marLeft w:val="0"/>
          <w:marRight w:val="0"/>
          <w:marTop w:val="0"/>
          <w:marBottom w:val="0"/>
          <w:divBdr>
            <w:top w:val="none" w:sz="0" w:space="0" w:color="auto"/>
            <w:left w:val="none" w:sz="0" w:space="0" w:color="auto"/>
            <w:bottom w:val="none" w:sz="0" w:space="0" w:color="auto"/>
            <w:right w:val="none" w:sz="0" w:space="0" w:color="auto"/>
          </w:divBdr>
        </w:div>
        <w:div w:id="294407190">
          <w:marLeft w:val="0"/>
          <w:marRight w:val="0"/>
          <w:marTop w:val="0"/>
          <w:marBottom w:val="0"/>
          <w:divBdr>
            <w:top w:val="none" w:sz="0" w:space="0" w:color="auto"/>
            <w:left w:val="none" w:sz="0" w:space="0" w:color="auto"/>
            <w:bottom w:val="none" w:sz="0" w:space="0" w:color="auto"/>
            <w:right w:val="none" w:sz="0" w:space="0" w:color="auto"/>
          </w:divBdr>
        </w:div>
        <w:div w:id="703553468">
          <w:marLeft w:val="0"/>
          <w:marRight w:val="0"/>
          <w:marTop w:val="0"/>
          <w:marBottom w:val="0"/>
          <w:divBdr>
            <w:top w:val="none" w:sz="0" w:space="0" w:color="auto"/>
            <w:left w:val="none" w:sz="0" w:space="0" w:color="auto"/>
            <w:bottom w:val="none" w:sz="0" w:space="0" w:color="auto"/>
            <w:right w:val="none" w:sz="0" w:space="0" w:color="auto"/>
          </w:divBdr>
        </w:div>
        <w:div w:id="1119839251">
          <w:marLeft w:val="0"/>
          <w:marRight w:val="0"/>
          <w:marTop w:val="0"/>
          <w:marBottom w:val="0"/>
          <w:divBdr>
            <w:top w:val="none" w:sz="0" w:space="0" w:color="auto"/>
            <w:left w:val="none" w:sz="0" w:space="0" w:color="auto"/>
            <w:bottom w:val="none" w:sz="0" w:space="0" w:color="auto"/>
            <w:right w:val="none" w:sz="0" w:space="0" w:color="auto"/>
          </w:divBdr>
        </w:div>
        <w:div w:id="1241672061">
          <w:marLeft w:val="0"/>
          <w:marRight w:val="0"/>
          <w:marTop w:val="0"/>
          <w:marBottom w:val="0"/>
          <w:divBdr>
            <w:top w:val="none" w:sz="0" w:space="0" w:color="auto"/>
            <w:left w:val="none" w:sz="0" w:space="0" w:color="auto"/>
            <w:bottom w:val="none" w:sz="0" w:space="0" w:color="auto"/>
            <w:right w:val="none" w:sz="0" w:space="0" w:color="auto"/>
          </w:divBdr>
        </w:div>
        <w:div w:id="1436827384">
          <w:marLeft w:val="0"/>
          <w:marRight w:val="0"/>
          <w:marTop w:val="0"/>
          <w:marBottom w:val="0"/>
          <w:divBdr>
            <w:top w:val="none" w:sz="0" w:space="0" w:color="auto"/>
            <w:left w:val="none" w:sz="0" w:space="0" w:color="auto"/>
            <w:bottom w:val="none" w:sz="0" w:space="0" w:color="auto"/>
            <w:right w:val="none" w:sz="0" w:space="0" w:color="auto"/>
          </w:divBdr>
        </w:div>
      </w:divsChild>
    </w:div>
    <w:div w:id="1590116289">
      <w:bodyDiv w:val="1"/>
      <w:marLeft w:val="0"/>
      <w:marRight w:val="0"/>
      <w:marTop w:val="0"/>
      <w:marBottom w:val="0"/>
      <w:divBdr>
        <w:top w:val="none" w:sz="0" w:space="0" w:color="auto"/>
        <w:left w:val="none" w:sz="0" w:space="0" w:color="auto"/>
        <w:bottom w:val="none" w:sz="0" w:space="0" w:color="auto"/>
        <w:right w:val="none" w:sz="0" w:space="0" w:color="auto"/>
      </w:divBdr>
      <w:divsChild>
        <w:div w:id="35587988">
          <w:marLeft w:val="0"/>
          <w:marRight w:val="0"/>
          <w:marTop w:val="0"/>
          <w:marBottom w:val="0"/>
          <w:divBdr>
            <w:top w:val="none" w:sz="0" w:space="0" w:color="auto"/>
            <w:left w:val="none" w:sz="0" w:space="0" w:color="auto"/>
            <w:bottom w:val="none" w:sz="0" w:space="0" w:color="auto"/>
            <w:right w:val="none" w:sz="0" w:space="0" w:color="auto"/>
          </w:divBdr>
        </w:div>
        <w:div w:id="230505484">
          <w:marLeft w:val="0"/>
          <w:marRight w:val="0"/>
          <w:marTop w:val="0"/>
          <w:marBottom w:val="0"/>
          <w:divBdr>
            <w:top w:val="none" w:sz="0" w:space="0" w:color="auto"/>
            <w:left w:val="none" w:sz="0" w:space="0" w:color="auto"/>
            <w:bottom w:val="none" w:sz="0" w:space="0" w:color="auto"/>
            <w:right w:val="none" w:sz="0" w:space="0" w:color="auto"/>
          </w:divBdr>
        </w:div>
        <w:div w:id="236134565">
          <w:marLeft w:val="0"/>
          <w:marRight w:val="0"/>
          <w:marTop w:val="0"/>
          <w:marBottom w:val="0"/>
          <w:divBdr>
            <w:top w:val="none" w:sz="0" w:space="0" w:color="auto"/>
            <w:left w:val="none" w:sz="0" w:space="0" w:color="auto"/>
            <w:bottom w:val="none" w:sz="0" w:space="0" w:color="auto"/>
            <w:right w:val="none" w:sz="0" w:space="0" w:color="auto"/>
          </w:divBdr>
        </w:div>
        <w:div w:id="491331241">
          <w:marLeft w:val="0"/>
          <w:marRight w:val="0"/>
          <w:marTop w:val="0"/>
          <w:marBottom w:val="0"/>
          <w:divBdr>
            <w:top w:val="none" w:sz="0" w:space="0" w:color="auto"/>
            <w:left w:val="none" w:sz="0" w:space="0" w:color="auto"/>
            <w:bottom w:val="none" w:sz="0" w:space="0" w:color="auto"/>
            <w:right w:val="none" w:sz="0" w:space="0" w:color="auto"/>
          </w:divBdr>
        </w:div>
        <w:div w:id="614484833">
          <w:marLeft w:val="0"/>
          <w:marRight w:val="0"/>
          <w:marTop w:val="0"/>
          <w:marBottom w:val="0"/>
          <w:divBdr>
            <w:top w:val="none" w:sz="0" w:space="0" w:color="auto"/>
            <w:left w:val="none" w:sz="0" w:space="0" w:color="auto"/>
            <w:bottom w:val="none" w:sz="0" w:space="0" w:color="auto"/>
            <w:right w:val="none" w:sz="0" w:space="0" w:color="auto"/>
          </w:divBdr>
        </w:div>
        <w:div w:id="715087063">
          <w:marLeft w:val="0"/>
          <w:marRight w:val="0"/>
          <w:marTop w:val="0"/>
          <w:marBottom w:val="0"/>
          <w:divBdr>
            <w:top w:val="none" w:sz="0" w:space="0" w:color="auto"/>
            <w:left w:val="none" w:sz="0" w:space="0" w:color="auto"/>
            <w:bottom w:val="none" w:sz="0" w:space="0" w:color="auto"/>
            <w:right w:val="none" w:sz="0" w:space="0" w:color="auto"/>
          </w:divBdr>
        </w:div>
        <w:div w:id="841047885">
          <w:marLeft w:val="0"/>
          <w:marRight w:val="0"/>
          <w:marTop w:val="0"/>
          <w:marBottom w:val="0"/>
          <w:divBdr>
            <w:top w:val="none" w:sz="0" w:space="0" w:color="auto"/>
            <w:left w:val="none" w:sz="0" w:space="0" w:color="auto"/>
            <w:bottom w:val="none" w:sz="0" w:space="0" w:color="auto"/>
            <w:right w:val="none" w:sz="0" w:space="0" w:color="auto"/>
          </w:divBdr>
        </w:div>
        <w:div w:id="1139567993">
          <w:marLeft w:val="0"/>
          <w:marRight w:val="0"/>
          <w:marTop w:val="0"/>
          <w:marBottom w:val="0"/>
          <w:divBdr>
            <w:top w:val="none" w:sz="0" w:space="0" w:color="auto"/>
            <w:left w:val="none" w:sz="0" w:space="0" w:color="auto"/>
            <w:bottom w:val="none" w:sz="0" w:space="0" w:color="auto"/>
            <w:right w:val="none" w:sz="0" w:space="0" w:color="auto"/>
          </w:divBdr>
        </w:div>
        <w:div w:id="1304848076">
          <w:marLeft w:val="0"/>
          <w:marRight w:val="0"/>
          <w:marTop w:val="0"/>
          <w:marBottom w:val="0"/>
          <w:divBdr>
            <w:top w:val="none" w:sz="0" w:space="0" w:color="auto"/>
            <w:left w:val="none" w:sz="0" w:space="0" w:color="auto"/>
            <w:bottom w:val="none" w:sz="0" w:space="0" w:color="auto"/>
            <w:right w:val="none" w:sz="0" w:space="0" w:color="auto"/>
          </w:divBdr>
        </w:div>
        <w:div w:id="1322855011">
          <w:marLeft w:val="0"/>
          <w:marRight w:val="0"/>
          <w:marTop w:val="0"/>
          <w:marBottom w:val="0"/>
          <w:divBdr>
            <w:top w:val="none" w:sz="0" w:space="0" w:color="auto"/>
            <w:left w:val="none" w:sz="0" w:space="0" w:color="auto"/>
            <w:bottom w:val="none" w:sz="0" w:space="0" w:color="auto"/>
            <w:right w:val="none" w:sz="0" w:space="0" w:color="auto"/>
          </w:divBdr>
        </w:div>
        <w:div w:id="1357386390">
          <w:marLeft w:val="0"/>
          <w:marRight w:val="0"/>
          <w:marTop w:val="0"/>
          <w:marBottom w:val="0"/>
          <w:divBdr>
            <w:top w:val="none" w:sz="0" w:space="0" w:color="auto"/>
            <w:left w:val="none" w:sz="0" w:space="0" w:color="auto"/>
            <w:bottom w:val="none" w:sz="0" w:space="0" w:color="auto"/>
            <w:right w:val="none" w:sz="0" w:space="0" w:color="auto"/>
          </w:divBdr>
        </w:div>
        <w:div w:id="1391614646">
          <w:marLeft w:val="0"/>
          <w:marRight w:val="0"/>
          <w:marTop w:val="0"/>
          <w:marBottom w:val="0"/>
          <w:divBdr>
            <w:top w:val="none" w:sz="0" w:space="0" w:color="auto"/>
            <w:left w:val="none" w:sz="0" w:space="0" w:color="auto"/>
            <w:bottom w:val="none" w:sz="0" w:space="0" w:color="auto"/>
            <w:right w:val="none" w:sz="0" w:space="0" w:color="auto"/>
          </w:divBdr>
        </w:div>
        <w:div w:id="1402753740">
          <w:marLeft w:val="0"/>
          <w:marRight w:val="0"/>
          <w:marTop w:val="0"/>
          <w:marBottom w:val="0"/>
          <w:divBdr>
            <w:top w:val="none" w:sz="0" w:space="0" w:color="auto"/>
            <w:left w:val="none" w:sz="0" w:space="0" w:color="auto"/>
            <w:bottom w:val="none" w:sz="0" w:space="0" w:color="auto"/>
            <w:right w:val="none" w:sz="0" w:space="0" w:color="auto"/>
          </w:divBdr>
        </w:div>
        <w:div w:id="1406489479">
          <w:marLeft w:val="0"/>
          <w:marRight w:val="0"/>
          <w:marTop w:val="0"/>
          <w:marBottom w:val="0"/>
          <w:divBdr>
            <w:top w:val="none" w:sz="0" w:space="0" w:color="auto"/>
            <w:left w:val="none" w:sz="0" w:space="0" w:color="auto"/>
            <w:bottom w:val="none" w:sz="0" w:space="0" w:color="auto"/>
            <w:right w:val="none" w:sz="0" w:space="0" w:color="auto"/>
          </w:divBdr>
        </w:div>
        <w:div w:id="1443843847">
          <w:marLeft w:val="0"/>
          <w:marRight w:val="0"/>
          <w:marTop w:val="0"/>
          <w:marBottom w:val="0"/>
          <w:divBdr>
            <w:top w:val="none" w:sz="0" w:space="0" w:color="auto"/>
            <w:left w:val="none" w:sz="0" w:space="0" w:color="auto"/>
            <w:bottom w:val="none" w:sz="0" w:space="0" w:color="auto"/>
            <w:right w:val="none" w:sz="0" w:space="0" w:color="auto"/>
          </w:divBdr>
        </w:div>
        <w:div w:id="1485967840">
          <w:marLeft w:val="0"/>
          <w:marRight w:val="0"/>
          <w:marTop w:val="0"/>
          <w:marBottom w:val="0"/>
          <w:divBdr>
            <w:top w:val="none" w:sz="0" w:space="0" w:color="auto"/>
            <w:left w:val="none" w:sz="0" w:space="0" w:color="auto"/>
            <w:bottom w:val="none" w:sz="0" w:space="0" w:color="auto"/>
            <w:right w:val="none" w:sz="0" w:space="0" w:color="auto"/>
          </w:divBdr>
        </w:div>
        <w:div w:id="1496411986">
          <w:marLeft w:val="0"/>
          <w:marRight w:val="0"/>
          <w:marTop w:val="0"/>
          <w:marBottom w:val="0"/>
          <w:divBdr>
            <w:top w:val="none" w:sz="0" w:space="0" w:color="auto"/>
            <w:left w:val="none" w:sz="0" w:space="0" w:color="auto"/>
            <w:bottom w:val="none" w:sz="0" w:space="0" w:color="auto"/>
            <w:right w:val="none" w:sz="0" w:space="0" w:color="auto"/>
          </w:divBdr>
        </w:div>
        <w:div w:id="1503231911">
          <w:marLeft w:val="0"/>
          <w:marRight w:val="0"/>
          <w:marTop w:val="0"/>
          <w:marBottom w:val="0"/>
          <w:divBdr>
            <w:top w:val="none" w:sz="0" w:space="0" w:color="auto"/>
            <w:left w:val="none" w:sz="0" w:space="0" w:color="auto"/>
            <w:bottom w:val="none" w:sz="0" w:space="0" w:color="auto"/>
            <w:right w:val="none" w:sz="0" w:space="0" w:color="auto"/>
          </w:divBdr>
        </w:div>
        <w:div w:id="1790931423">
          <w:marLeft w:val="0"/>
          <w:marRight w:val="0"/>
          <w:marTop w:val="0"/>
          <w:marBottom w:val="0"/>
          <w:divBdr>
            <w:top w:val="none" w:sz="0" w:space="0" w:color="auto"/>
            <w:left w:val="none" w:sz="0" w:space="0" w:color="auto"/>
            <w:bottom w:val="none" w:sz="0" w:space="0" w:color="auto"/>
            <w:right w:val="none" w:sz="0" w:space="0" w:color="auto"/>
          </w:divBdr>
        </w:div>
        <w:div w:id="1853835729">
          <w:marLeft w:val="0"/>
          <w:marRight w:val="0"/>
          <w:marTop w:val="0"/>
          <w:marBottom w:val="0"/>
          <w:divBdr>
            <w:top w:val="none" w:sz="0" w:space="0" w:color="auto"/>
            <w:left w:val="none" w:sz="0" w:space="0" w:color="auto"/>
            <w:bottom w:val="none" w:sz="0" w:space="0" w:color="auto"/>
            <w:right w:val="none" w:sz="0" w:space="0" w:color="auto"/>
          </w:divBdr>
        </w:div>
        <w:div w:id="1912502090">
          <w:marLeft w:val="0"/>
          <w:marRight w:val="0"/>
          <w:marTop w:val="0"/>
          <w:marBottom w:val="0"/>
          <w:divBdr>
            <w:top w:val="none" w:sz="0" w:space="0" w:color="auto"/>
            <w:left w:val="none" w:sz="0" w:space="0" w:color="auto"/>
            <w:bottom w:val="none" w:sz="0" w:space="0" w:color="auto"/>
            <w:right w:val="none" w:sz="0" w:space="0" w:color="auto"/>
          </w:divBdr>
        </w:div>
        <w:div w:id="1979916172">
          <w:marLeft w:val="0"/>
          <w:marRight w:val="0"/>
          <w:marTop w:val="0"/>
          <w:marBottom w:val="0"/>
          <w:divBdr>
            <w:top w:val="none" w:sz="0" w:space="0" w:color="auto"/>
            <w:left w:val="none" w:sz="0" w:space="0" w:color="auto"/>
            <w:bottom w:val="none" w:sz="0" w:space="0" w:color="auto"/>
            <w:right w:val="none" w:sz="0" w:space="0" w:color="auto"/>
          </w:divBdr>
        </w:div>
        <w:div w:id="2085251131">
          <w:marLeft w:val="0"/>
          <w:marRight w:val="0"/>
          <w:marTop w:val="0"/>
          <w:marBottom w:val="0"/>
          <w:divBdr>
            <w:top w:val="none" w:sz="0" w:space="0" w:color="auto"/>
            <w:left w:val="none" w:sz="0" w:space="0" w:color="auto"/>
            <w:bottom w:val="none" w:sz="0" w:space="0" w:color="auto"/>
            <w:right w:val="none" w:sz="0" w:space="0" w:color="auto"/>
          </w:divBdr>
        </w:div>
      </w:divsChild>
    </w:div>
    <w:div w:id="1664577599">
      <w:bodyDiv w:val="1"/>
      <w:marLeft w:val="0"/>
      <w:marRight w:val="0"/>
      <w:marTop w:val="0"/>
      <w:marBottom w:val="0"/>
      <w:divBdr>
        <w:top w:val="none" w:sz="0" w:space="0" w:color="auto"/>
        <w:left w:val="none" w:sz="0" w:space="0" w:color="auto"/>
        <w:bottom w:val="none" w:sz="0" w:space="0" w:color="auto"/>
        <w:right w:val="none" w:sz="0" w:space="0" w:color="auto"/>
      </w:divBdr>
    </w:div>
    <w:div w:id="1692802921">
      <w:bodyDiv w:val="1"/>
      <w:marLeft w:val="0"/>
      <w:marRight w:val="0"/>
      <w:marTop w:val="0"/>
      <w:marBottom w:val="0"/>
      <w:divBdr>
        <w:top w:val="none" w:sz="0" w:space="0" w:color="auto"/>
        <w:left w:val="none" w:sz="0" w:space="0" w:color="auto"/>
        <w:bottom w:val="none" w:sz="0" w:space="0" w:color="auto"/>
        <w:right w:val="none" w:sz="0" w:space="0" w:color="auto"/>
      </w:divBdr>
    </w:div>
    <w:div w:id="213367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control" Target="activeX/activeX4.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ontrol" Target="activeX/activeX1.xml"/><Relationship Id="rId17" Type="http://schemas.openxmlformats.org/officeDocument/2006/relationships/image" Target="media/image5.wmf"/><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control" Target="activeX/activeX3.xml"/><Relationship Id="rId20" Type="http://schemas.openxmlformats.org/officeDocument/2006/relationships/control" Target="activeX/activeX5.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https://orcid.org/0000-0002-2865-778X" TargetMode="External"/><Relationship Id="rId28"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control" Target="activeX/activeX2.xml"/><Relationship Id="rId22" Type="http://schemas.openxmlformats.org/officeDocument/2006/relationships/control" Target="activeX/activeX6.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1F0D365-2AA8-4761-A7A3-6127D4267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NOT.DOTM</Template>
  <TotalTime>1</TotalTime>
  <Pages>29</Pages>
  <Words>48094</Words>
  <Characters>274141</Characters>
  <Application>Microsoft Office Word</Application>
  <DocSecurity>4</DocSecurity>
  <Lines>2284</Lines>
  <Paragraphs>643</Paragraphs>
  <ScaleCrop>false</ScaleCrop>
  <HeadingPairs>
    <vt:vector size="2" baseType="variant">
      <vt:variant>
        <vt:lpstr>Title</vt:lpstr>
      </vt:variant>
      <vt:variant>
        <vt:i4>1</vt:i4>
      </vt:variant>
    </vt:vector>
  </HeadingPairs>
  <TitlesOfParts>
    <vt:vector size="1" baseType="lpstr">
      <vt:lpstr/>
    </vt:vector>
  </TitlesOfParts>
  <Company>John Wiley &amp; Sons</Company>
  <LinksUpToDate>false</LinksUpToDate>
  <CharactersWithSpaces>321592</CharactersWithSpaces>
  <SharedDoc>false</SharedDoc>
  <HLinks>
    <vt:vector size="6" baseType="variant">
      <vt:variant>
        <vt:i4>5636113</vt:i4>
      </vt:variant>
      <vt:variant>
        <vt:i4>18</vt:i4>
      </vt:variant>
      <vt:variant>
        <vt:i4>0</vt:i4>
      </vt:variant>
      <vt:variant>
        <vt:i4>5</vt:i4>
      </vt:variant>
      <vt:variant>
        <vt:lpwstr>https://orcid.org/0000-0002-2865-778X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Meghana Hemphill, WIREs Program Manager</dc:creator>
  <cp:lastModifiedBy>Liptrott, Neill</cp:lastModifiedBy>
  <cp:revision>2</cp:revision>
  <cp:lastPrinted>2018-10-03T12:54:00Z</cp:lastPrinted>
  <dcterms:created xsi:type="dcterms:W3CDTF">2018-11-12T10:52:00Z</dcterms:created>
  <dcterms:modified xsi:type="dcterms:W3CDTF">2018-11-12T10:52:00Z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e99aa44c-5f95-3583-81b9-202bf5c58bf7</vt:lpwstr>
  </property>
  <property fmtid="{D5CDD505-2E9C-101B-9397-08002B2CF9AE}" pid="24" name="Mendeley Citation Style_1">
    <vt:lpwstr>http://www.zotero.org/styles/apa</vt:lpwstr>
  </property>
  <property fmtid="{D5CDD505-2E9C-101B-9397-08002B2CF9AE}" pid="25" name="ELDocType">
    <vt:lpwstr>NOT.DOT</vt:lpwstr>
  </property>
  <property fmtid="{D5CDD505-2E9C-101B-9397-08002B2CF9AE}" pid="26" name="Created using">
    <vt:lpwstr>3.0</vt:lpwstr>
  </property>
  <property fmtid="{D5CDD505-2E9C-101B-9397-08002B2CF9AE}" pid="27" name="Last edited using">
    <vt:lpwstr>EL 4.6 Build 40001</vt:lpwstr>
  </property>
</Properties>
</file>