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18C6A" w14:textId="77777777" w:rsidR="00220E60" w:rsidRPr="00C45849" w:rsidRDefault="00220E60" w:rsidP="00220E60">
      <w:pPr>
        <w:pStyle w:val="NoSpacing"/>
        <w:rPr>
          <w:rFonts w:ascii="Arial" w:hAnsi="Arial" w:cs="Arial"/>
          <w:b/>
          <w:sz w:val="20"/>
          <w:szCs w:val="20"/>
          <w:lang w:val="en-GB"/>
        </w:rPr>
      </w:pPr>
      <w:r w:rsidRPr="00C45849">
        <w:rPr>
          <w:rFonts w:ascii="Arial" w:hAnsi="Arial" w:cs="Arial"/>
          <w:b/>
          <w:sz w:val="20"/>
          <w:szCs w:val="20"/>
          <w:lang w:val="en-GB"/>
        </w:rPr>
        <w:t>Impact of EU risk assessment process and administrative regulations for manufacturers o</w:t>
      </w:r>
      <w:r>
        <w:rPr>
          <w:rFonts w:ascii="Arial" w:hAnsi="Arial" w:cs="Arial"/>
          <w:b/>
          <w:sz w:val="20"/>
          <w:szCs w:val="20"/>
          <w:lang w:val="en-GB"/>
        </w:rPr>
        <w:t>f</w:t>
      </w:r>
      <w:r w:rsidRPr="00C45849">
        <w:rPr>
          <w:rFonts w:ascii="Arial" w:hAnsi="Arial" w:cs="Arial"/>
          <w:b/>
          <w:sz w:val="20"/>
          <w:szCs w:val="20"/>
          <w:lang w:val="en-GB"/>
        </w:rPr>
        <w:t xml:space="preserve"> combined hormonal contraceptive prescribing. An analysis of </w:t>
      </w:r>
      <w:r>
        <w:rPr>
          <w:rFonts w:ascii="Arial" w:hAnsi="Arial" w:cs="Arial"/>
          <w:b/>
          <w:sz w:val="20"/>
          <w:szCs w:val="20"/>
          <w:lang w:val="en-GB"/>
        </w:rPr>
        <w:t>developments</w:t>
      </w:r>
      <w:r w:rsidRPr="00C45849">
        <w:rPr>
          <w:rFonts w:ascii="Arial" w:hAnsi="Arial" w:cs="Arial"/>
          <w:b/>
          <w:sz w:val="20"/>
          <w:szCs w:val="20"/>
          <w:lang w:val="en-GB"/>
        </w:rPr>
        <w:t xml:space="preserve"> </w:t>
      </w:r>
      <w:r>
        <w:rPr>
          <w:rFonts w:ascii="Arial" w:hAnsi="Arial" w:cs="Arial"/>
          <w:b/>
          <w:sz w:val="20"/>
          <w:szCs w:val="20"/>
          <w:lang w:val="en-GB"/>
        </w:rPr>
        <w:t xml:space="preserve">in Germany </w:t>
      </w:r>
      <w:r w:rsidRPr="00C45849">
        <w:rPr>
          <w:rFonts w:ascii="Arial" w:hAnsi="Arial" w:cs="Arial"/>
          <w:b/>
          <w:sz w:val="20"/>
          <w:szCs w:val="20"/>
          <w:lang w:val="en-GB"/>
        </w:rPr>
        <w:t xml:space="preserve">and </w:t>
      </w:r>
      <w:r>
        <w:rPr>
          <w:rFonts w:ascii="Arial" w:hAnsi="Arial" w:cs="Arial"/>
          <w:b/>
          <w:sz w:val="20"/>
          <w:szCs w:val="20"/>
          <w:lang w:val="en-GB"/>
        </w:rPr>
        <w:t>the</w:t>
      </w:r>
      <w:r w:rsidRPr="00C45849">
        <w:rPr>
          <w:rFonts w:ascii="Arial" w:hAnsi="Arial" w:cs="Arial"/>
          <w:b/>
          <w:sz w:val="20"/>
          <w:szCs w:val="20"/>
          <w:lang w:val="en-GB"/>
        </w:rPr>
        <w:t xml:space="preserve"> implications</w:t>
      </w:r>
    </w:p>
    <w:p w14:paraId="3CA497AC" w14:textId="77777777" w:rsidR="00220E60" w:rsidRPr="00C45849" w:rsidRDefault="00220E60" w:rsidP="00220E60">
      <w:pPr>
        <w:pStyle w:val="NoSpacing"/>
        <w:rPr>
          <w:rFonts w:ascii="Arial" w:hAnsi="Arial" w:cs="Arial"/>
          <w:sz w:val="20"/>
          <w:szCs w:val="20"/>
          <w:u w:val="single"/>
          <w:lang w:val="en-GB"/>
        </w:rPr>
      </w:pPr>
    </w:p>
    <w:p w14:paraId="3C15EB84" w14:textId="77777777" w:rsidR="00220E60" w:rsidRPr="00D74A4E" w:rsidRDefault="00220E60" w:rsidP="00220E60">
      <w:pPr>
        <w:pStyle w:val="NoSpacing"/>
        <w:rPr>
          <w:rFonts w:ascii="Arial" w:hAnsi="Arial" w:cs="Arial"/>
          <w:sz w:val="20"/>
          <w:szCs w:val="20"/>
        </w:rPr>
      </w:pPr>
      <w:r w:rsidRPr="00D74A4E">
        <w:rPr>
          <w:rFonts w:ascii="Arial" w:hAnsi="Arial" w:cs="Arial"/>
          <w:sz w:val="20"/>
          <w:szCs w:val="20"/>
        </w:rPr>
        <w:t>Iva Selke Krulichová</w:t>
      </w:r>
      <w:r w:rsidRPr="00D74A4E">
        <w:rPr>
          <w:rFonts w:ascii="Arial" w:hAnsi="Arial" w:cs="Arial"/>
          <w:sz w:val="20"/>
          <w:szCs w:val="20"/>
          <w:vertAlign w:val="superscript"/>
        </w:rPr>
        <w:t>1</w:t>
      </w:r>
      <w:r w:rsidRPr="00D74A4E">
        <w:rPr>
          <w:rFonts w:ascii="Arial" w:hAnsi="Arial" w:cs="Arial"/>
          <w:sz w:val="20"/>
          <w:szCs w:val="20"/>
        </w:rPr>
        <w:t>, Gisbert W. Selke</w:t>
      </w:r>
      <w:r w:rsidRPr="00D74A4E">
        <w:rPr>
          <w:rFonts w:ascii="Arial" w:hAnsi="Arial" w:cs="Arial"/>
          <w:sz w:val="20"/>
          <w:szCs w:val="20"/>
          <w:vertAlign w:val="superscript"/>
        </w:rPr>
        <w:t>2</w:t>
      </w:r>
      <w:r w:rsidRPr="00D74A4E">
        <w:rPr>
          <w:rFonts w:ascii="Arial" w:hAnsi="Arial" w:cs="Arial"/>
          <w:sz w:val="20"/>
          <w:szCs w:val="20"/>
        </w:rPr>
        <w:t>, Uwe Eichler</w:t>
      </w:r>
      <w:r w:rsidRPr="00D74A4E">
        <w:rPr>
          <w:rFonts w:ascii="Arial" w:hAnsi="Arial" w:cs="Arial"/>
          <w:sz w:val="20"/>
          <w:szCs w:val="20"/>
          <w:vertAlign w:val="superscript"/>
        </w:rPr>
        <w:t>2</w:t>
      </w:r>
      <w:r w:rsidRPr="00D74A4E">
        <w:rPr>
          <w:rFonts w:ascii="Arial" w:hAnsi="Arial" w:cs="Arial"/>
          <w:sz w:val="20"/>
          <w:szCs w:val="20"/>
        </w:rPr>
        <w:t>, Veronika Lappe</w:t>
      </w:r>
      <w:r w:rsidRPr="00D74A4E">
        <w:rPr>
          <w:rFonts w:ascii="Arial" w:hAnsi="Arial" w:cs="Arial"/>
          <w:sz w:val="20"/>
          <w:szCs w:val="20"/>
          <w:vertAlign w:val="superscript"/>
        </w:rPr>
        <w:t>3</w:t>
      </w:r>
      <w:r w:rsidRPr="00D74A4E">
        <w:rPr>
          <w:rFonts w:ascii="Arial" w:hAnsi="Arial" w:cs="Arial"/>
          <w:sz w:val="20"/>
          <w:szCs w:val="20"/>
        </w:rPr>
        <w:t>, Brian Godman</w:t>
      </w:r>
      <w:r w:rsidRPr="00D74A4E">
        <w:rPr>
          <w:rFonts w:ascii="Arial" w:hAnsi="Arial" w:cs="Arial"/>
          <w:sz w:val="20"/>
          <w:szCs w:val="20"/>
          <w:vertAlign w:val="superscript"/>
        </w:rPr>
        <w:t>4,5,6,7</w:t>
      </w:r>
      <w:r w:rsidRPr="00D74A4E">
        <w:rPr>
          <w:rFonts w:ascii="Arial" w:hAnsi="Arial" w:cs="Arial"/>
          <w:sz w:val="20"/>
          <w:szCs w:val="20"/>
        </w:rPr>
        <w:t>, Ingrid Schubert</w:t>
      </w:r>
      <w:r w:rsidRPr="00D74A4E">
        <w:rPr>
          <w:rFonts w:ascii="Arial" w:hAnsi="Arial" w:cs="Arial"/>
          <w:sz w:val="20"/>
          <w:szCs w:val="20"/>
          <w:vertAlign w:val="superscript"/>
        </w:rPr>
        <w:t>3</w:t>
      </w:r>
    </w:p>
    <w:p w14:paraId="2FF8EC1D" w14:textId="77777777" w:rsidR="00220E60" w:rsidRDefault="00220E60" w:rsidP="00220E60">
      <w:pPr>
        <w:pStyle w:val="NoSpacing"/>
        <w:rPr>
          <w:rFonts w:ascii="Arial" w:hAnsi="Arial" w:cs="Arial"/>
          <w:sz w:val="20"/>
          <w:szCs w:val="20"/>
          <w:vertAlign w:val="superscript"/>
          <w:lang w:val="en-GB"/>
        </w:rPr>
      </w:pPr>
    </w:p>
    <w:p w14:paraId="7B86E11C" w14:textId="77777777" w:rsidR="00220E60" w:rsidRPr="00220E60" w:rsidRDefault="00220E60" w:rsidP="00220E60">
      <w:pPr>
        <w:pStyle w:val="NoSpacing"/>
        <w:rPr>
          <w:rFonts w:ascii="Arial" w:hAnsi="Arial" w:cs="Arial"/>
          <w:sz w:val="20"/>
          <w:szCs w:val="20"/>
          <w:lang w:val="en-GB"/>
        </w:rPr>
      </w:pPr>
      <w:r w:rsidRPr="00220E60">
        <w:rPr>
          <w:rFonts w:ascii="Arial" w:hAnsi="Arial" w:cs="Arial"/>
          <w:sz w:val="20"/>
          <w:szCs w:val="20"/>
          <w:vertAlign w:val="superscript"/>
          <w:lang w:val="en-GB"/>
        </w:rPr>
        <w:t>1</w:t>
      </w:r>
      <w:r w:rsidRPr="00220E60">
        <w:rPr>
          <w:rFonts w:ascii="Arial" w:hAnsi="Arial" w:cs="Arial"/>
          <w:sz w:val="20"/>
          <w:szCs w:val="20"/>
          <w:lang w:val="en-GB"/>
        </w:rPr>
        <w:t xml:space="preserve">Institute for Medical Biophysics, Medical Faculty in Hradec </w:t>
      </w:r>
      <w:proofErr w:type="spellStart"/>
      <w:r w:rsidRPr="00220E60">
        <w:rPr>
          <w:rFonts w:ascii="Arial" w:hAnsi="Arial" w:cs="Arial"/>
          <w:sz w:val="20"/>
          <w:szCs w:val="20"/>
          <w:lang w:val="en-GB"/>
        </w:rPr>
        <w:t>Králové</w:t>
      </w:r>
      <w:proofErr w:type="spellEnd"/>
      <w:r w:rsidRPr="00220E60">
        <w:rPr>
          <w:rFonts w:ascii="Arial" w:hAnsi="Arial" w:cs="Arial"/>
          <w:sz w:val="20"/>
          <w:szCs w:val="20"/>
          <w:lang w:val="en-GB"/>
        </w:rPr>
        <w:t xml:space="preserve">, Charles-University, </w:t>
      </w:r>
    </w:p>
    <w:p w14:paraId="0076E171" w14:textId="77777777" w:rsidR="00220E60" w:rsidRPr="00220E60" w:rsidRDefault="00220E60" w:rsidP="00220E60">
      <w:pPr>
        <w:pStyle w:val="NoSpacing"/>
        <w:rPr>
          <w:rFonts w:ascii="Arial" w:hAnsi="Arial" w:cs="Arial"/>
          <w:sz w:val="20"/>
          <w:szCs w:val="20"/>
          <w:lang w:val="en-GB"/>
        </w:rPr>
      </w:pPr>
      <w:proofErr w:type="spellStart"/>
      <w:r w:rsidRPr="00220E60">
        <w:rPr>
          <w:rFonts w:ascii="Arial" w:hAnsi="Arial" w:cs="Arial"/>
          <w:sz w:val="20"/>
          <w:szCs w:val="20"/>
          <w:lang w:val="en-GB"/>
        </w:rPr>
        <w:t>Šimkova</w:t>
      </w:r>
      <w:proofErr w:type="spellEnd"/>
      <w:r w:rsidRPr="00220E60">
        <w:rPr>
          <w:rFonts w:ascii="Arial" w:hAnsi="Arial" w:cs="Arial"/>
          <w:sz w:val="20"/>
          <w:szCs w:val="20"/>
          <w:lang w:val="en-GB"/>
        </w:rPr>
        <w:t xml:space="preserve"> 870, 50038 Hradec </w:t>
      </w:r>
      <w:proofErr w:type="spellStart"/>
      <w:r w:rsidRPr="00220E60">
        <w:rPr>
          <w:rFonts w:ascii="Arial" w:hAnsi="Arial" w:cs="Arial"/>
          <w:sz w:val="20"/>
          <w:szCs w:val="20"/>
          <w:lang w:val="en-GB"/>
        </w:rPr>
        <w:t>Králové</w:t>
      </w:r>
      <w:proofErr w:type="spellEnd"/>
      <w:r w:rsidRPr="00220E60">
        <w:rPr>
          <w:rFonts w:ascii="Arial" w:hAnsi="Arial" w:cs="Arial"/>
          <w:sz w:val="20"/>
          <w:szCs w:val="20"/>
          <w:lang w:val="en-GB"/>
        </w:rPr>
        <w:t>, Czech Republic. Email: krulich@lfhk.cuni.cz</w:t>
      </w:r>
    </w:p>
    <w:p w14:paraId="6BB35FAD" w14:textId="77777777" w:rsidR="00220E60" w:rsidRPr="00220E60" w:rsidRDefault="00220E60" w:rsidP="00220E60">
      <w:pPr>
        <w:pStyle w:val="NoSpacing"/>
        <w:rPr>
          <w:rFonts w:ascii="Arial" w:hAnsi="Arial" w:cs="Arial"/>
          <w:sz w:val="20"/>
          <w:szCs w:val="20"/>
          <w:lang w:val="en-GB"/>
        </w:rPr>
      </w:pPr>
      <w:r w:rsidRPr="00220E60">
        <w:rPr>
          <w:rFonts w:ascii="Arial" w:hAnsi="Arial" w:cs="Arial"/>
          <w:sz w:val="20"/>
          <w:szCs w:val="20"/>
          <w:vertAlign w:val="superscript"/>
          <w:lang w:val="en-GB"/>
        </w:rPr>
        <w:t>2</w:t>
      </w:r>
      <w:r w:rsidRPr="00220E60">
        <w:rPr>
          <w:rFonts w:ascii="Arial" w:hAnsi="Arial" w:cs="Arial"/>
          <w:sz w:val="20"/>
          <w:szCs w:val="20"/>
          <w:lang w:val="en-GB"/>
        </w:rPr>
        <w:t>AOK Research Institute (</w:t>
      </w:r>
      <w:proofErr w:type="spellStart"/>
      <w:r w:rsidRPr="00220E60">
        <w:rPr>
          <w:rFonts w:ascii="Arial" w:hAnsi="Arial" w:cs="Arial"/>
          <w:sz w:val="20"/>
          <w:szCs w:val="20"/>
          <w:lang w:val="en-GB"/>
        </w:rPr>
        <w:t>WIdO</w:t>
      </w:r>
      <w:proofErr w:type="spellEnd"/>
      <w:r w:rsidRPr="00220E60">
        <w:rPr>
          <w:rFonts w:ascii="Arial" w:hAnsi="Arial" w:cs="Arial"/>
          <w:sz w:val="20"/>
          <w:szCs w:val="20"/>
          <w:lang w:val="en-GB"/>
        </w:rPr>
        <w:t xml:space="preserve">), </w:t>
      </w:r>
      <w:proofErr w:type="spellStart"/>
      <w:r w:rsidRPr="00220E60">
        <w:rPr>
          <w:rFonts w:ascii="Arial" w:hAnsi="Arial" w:cs="Arial"/>
          <w:sz w:val="20"/>
          <w:szCs w:val="20"/>
          <w:lang w:val="en-GB"/>
        </w:rPr>
        <w:t>Rosenthaler</w:t>
      </w:r>
      <w:proofErr w:type="spellEnd"/>
      <w:r w:rsidRPr="00220E60">
        <w:rPr>
          <w:rFonts w:ascii="Arial" w:hAnsi="Arial" w:cs="Arial"/>
          <w:sz w:val="20"/>
          <w:szCs w:val="20"/>
          <w:lang w:val="en-GB"/>
        </w:rPr>
        <w:t xml:space="preserve"> </w:t>
      </w:r>
      <w:proofErr w:type="spellStart"/>
      <w:r w:rsidRPr="00220E60">
        <w:rPr>
          <w:rFonts w:ascii="Arial" w:hAnsi="Arial" w:cs="Arial"/>
          <w:sz w:val="20"/>
          <w:szCs w:val="20"/>
          <w:lang w:val="en-GB"/>
        </w:rPr>
        <w:t>Straße</w:t>
      </w:r>
      <w:proofErr w:type="spellEnd"/>
      <w:r w:rsidRPr="00220E60">
        <w:rPr>
          <w:rFonts w:ascii="Arial" w:hAnsi="Arial" w:cs="Arial"/>
          <w:sz w:val="20"/>
          <w:szCs w:val="20"/>
          <w:lang w:val="en-GB"/>
        </w:rPr>
        <w:t xml:space="preserve"> 31, 10178 Berlin, Germany. Email: gisbert.selke@wido.bv.aok.de, uwe.eichler@wido.bv.aok.de</w:t>
      </w:r>
    </w:p>
    <w:p w14:paraId="5B6A4F75" w14:textId="77777777" w:rsidR="00220E60" w:rsidRPr="00220E60" w:rsidRDefault="00220E60" w:rsidP="00220E60">
      <w:pPr>
        <w:pStyle w:val="NoSpacing"/>
        <w:rPr>
          <w:rFonts w:ascii="Arial" w:hAnsi="Arial" w:cs="Arial"/>
          <w:sz w:val="20"/>
          <w:szCs w:val="20"/>
          <w:lang w:val="en-GB"/>
        </w:rPr>
      </w:pPr>
      <w:r w:rsidRPr="00220E60">
        <w:rPr>
          <w:rFonts w:ascii="Arial" w:hAnsi="Arial" w:cs="Arial"/>
          <w:sz w:val="20"/>
          <w:szCs w:val="20"/>
          <w:vertAlign w:val="superscript"/>
          <w:lang w:val="en-GB"/>
        </w:rPr>
        <w:t>3</w:t>
      </w:r>
      <w:r w:rsidRPr="00220E60">
        <w:rPr>
          <w:rFonts w:ascii="Arial" w:hAnsi="Arial" w:cs="Arial"/>
          <w:sz w:val="20"/>
          <w:szCs w:val="20"/>
          <w:lang w:val="en-GB"/>
        </w:rPr>
        <w:t>PMV research group, Clinic and Policlinic for Psychiatry, Psychosomatics and Psychotherapy of Children and Adolescents, Cologne University, Germany. Email: veronika.lappe@uk-koeln.de, ingrid.schubert@uk-koeln.de</w:t>
      </w:r>
    </w:p>
    <w:p w14:paraId="18771831" w14:textId="77777777" w:rsidR="00220E60" w:rsidRPr="00220E60" w:rsidRDefault="00220E60" w:rsidP="00220E60">
      <w:pPr>
        <w:pStyle w:val="NoSpacing"/>
        <w:rPr>
          <w:rFonts w:ascii="Arial" w:hAnsi="Arial" w:cs="Arial"/>
          <w:sz w:val="20"/>
          <w:szCs w:val="20"/>
          <w:lang w:val="en-US"/>
        </w:rPr>
      </w:pPr>
      <w:r w:rsidRPr="00220E60">
        <w:rPr>
          <w:rFonts w:ascii="Arial" w:hAnsi="Arial" w:cs="Arial"/>
          <w:sz w:val="20"/>
          <w:szCs w:val="20"/>
          <w:vertAlign w:val="superscript"/>
          <w:lang w:val="en-US"/>
        </w:rPr>
        <w:t>4</w:t>
      </w:r>
      <w:r w:rsidRPr="00220E60">
        <w:rPr>
          <w:rFonts w:ascii="Arial" w:hAnsi="Arial" w:cs="Arial"/>
          <w:sz w:val="20"/>
          <w:szCs w:val="20"/>
          <w:lang w:val="en-US"/>
        </w:rPr>
        <w:t xml:space="preserve">Strathclyde Institute of Pharmacy and Biomedical Sciences, Strathclyde University, Glasgow G4 ORE, UK. Email: </w:t>
      </w:r>
      <w:hyperlink r:id="rId7" w:history="1">
        <w:r w:rsidRPr="00220E60">
          <w:rPr>
            <w:rStyle w:val="Hyperlink"/>
            <w:rFonts w:ascii="Arial" w:hAnsi="Arial" w:cs="Arial"/>
            <w:color w:val="auto"/>
            <w:sz w:val="20"/>
            <w:szCs w:val="20"/>
            <w:u w:val="none"/>
            <w:lang w:val="en-US"/>
          </w:rPr>
          <w:t>brian.godman@strath.ac.uk</w:t>
        </w:r>
      </w:hyperlink>
    </w:p>
    <w:p w14:paraId="2BE7DDBA" w14:textId="77777777" w:rsidR="00220E60" w:rsidRPr="00220E60" w:rsidRDefault="00220E60" w:rsidP="00220E60">
      <w:pPr>
        <w:pStyle w:val="NoSpacing"/>
        <w:rPr>
          <w:rFonts w:ascii="Arial" w:hAnsi="Arial" w:cs="Arial"/>
          <w:sz w:val="20"/>
          <w:szCs w:val="20"/>
        </w:rPr>
      </w:pPr>
      <w:r w:rsidRPr="00220E60">
        <w:rPr>
          <w:rFonts w:ascii="Arial" w:hAnsi="Arial" w:cs="Arial"/>
          <w:sz w:val="20"/>
          <w:szCs w:val="20"/>
          <w:vertAlign w:val="superscript"/>
        </w:rPr>
        <w:t>5</w:t>
      </w:r>
      <w:r w:rsidRPr="00220E60">
        <w:rPr>
          <w:rStyle w:val="Hyperlink"/>
          <w:rFonts w:ascii="Arial" w:hAnsi="Arial" w:cs="Arial"/>
          <w:color w:val="auto"/>
          <w:sz w:val="20"/>
          <w:szCs w:val="20"/>
          <w:u w:val="none"/>
          <w:lang w:val="en-US"/>
        </w:rPr>
        <w:t>Health Economics Centre, Liverpool University Management School, Chatham Street, Liverpool, UK. Email: Brian.Godman@liverpool.ac.uk</w:t>
      </w:r>
    </w:p>
    <w:p w14:paraId="7931FECF" w14:textId="77777777" w:rsidR="00220E60" w:rsidRPr="00220E60" w:rsidRDefault="00220E60" w:rsidP="00220E60">
      <w:pPr>
        <w:pStyle w:val="NoSpacing"/>
        <w:rPr>
          <w:rFonts w:ascii="Arial" w:hAnsi="Arial" w:cs="Arial"/>
          <w:sz w:val="20"/>
          <w:szCs w:val="20"/>
        </w:rPr>
      </w:pPr>
      <w:r w:rsidRPr="00220E60">
        <w:rPr>
          <w:rFonts w:ascii="Arial" w:hAnsi="Arial" w:cs="Arial"/>
          <w:sz w:val="20"/>
          <w:szCs w:val="20"/>
          <w:vertAlign w:val="superscript"/>
          <w:lang w:val="en-US"/>
        </w:rPr>
        <w:t>6</w:t>
      </w:r>
      <w:r w:rsidRPr="00220E60">
        <w:rPr>
          <w:rFonts w:ascii="Arial" w:hAnsi="Arial" w:cs="Arial"/>
          <w:sz w:val="20"/>
          <w:szCs w:val="20"/>
          <w:lang w:val="en-US"/>
        </w:rPr>
        <w:t xml:space="preserve">Department of Laboratory Medicine, Division of Clinical Pharmacology, Karolinska Institute, Karolinska University Hospital Huddinge, SE-141 86, Stockholm, Sweden. Email: </w:t>
      </w:r>
      <w:hyperlink r:id="rId8" w:history="1">
        <w:r w:rsidRPr="00220E60">
          <w:rPr>
            <w:rStyle w:val="Hyperlink"/>
            <w:rFonts w:ascii="Arial" w:hAnsi="Arial" w:cs="Arial"/>
            <w:color w:val="auto"/>
            <w:sz w:val="20"/>
            <w:szCs w:val="20"/>
            <w:u w:val="none"/>
            <w:lang w:val="en-US"/>
          </w:rPr>
          <w:t>Brian.Godman@ki.se</w:t>
        </w:r>
      </w:hyperlink>
    </w:p>
    <w:p w14:paraId="0E094E07" w14:textId="77777777" w:rsidR="00220E60" w:rsidRPr="00220E60" w:rsidRDefault="00220E60" w:rsidP="00220E60">
      <w:pPr>
        <w:pStyle w:val="NoSpacing"/>
        <w:rPr>
          <w:rFonts w:ascii="Arial" w:hAnsi="Arial" w:cs="Arial"/>
          <w:sz w:val="20"/>
          <w:szCs w:val="20"/>
        </w:rPr>
      </w:pPr>
      <w:r w:rsidRPr="00220E60">
        <w:rPr>
          <w:rFonts w:ascii="Arial" w:hAnsi="Arial" w:cs="Arial"/>
          <w:sz w:val="20"/>
          <w:szCs w:val="20"/>
          <w:vertAlign w:val="superscript"/>
        </w:rPr>
        <w:t>7</w:t>
      </w:r>
      <w:r w:rsidRPr="00220E60">
        <w:rPr>
          <w:rFonts w:ascii="Arial" w:hAnsi="Arial" w:cs="Arial"/>
          <w:sz w:val="20"/>
          <w:szCs w:val="20"/>
        </w:rPr>
        <w:t>Department of Public Health Pharmacy and Management, School of Pharmacy, Sefako Makgatho Health Sciences University, Garankuwa, South Africa</w:t>
      </w:r>
    </w:p>
    <w:p w14:paraId="16031BB7" w14:textId="77777777" w:rsidR="00220E60" w:rsidRPr="00220E60" w:rsidRDefault="00220E60" w:rsidP="00220E60">
      <w:pPr>
        <w:pStyle w:val="NoSpacing"/>
        <w:rPr>
          <w:rFonts w:ascii="Arial" w:hAnsi="Arial" w:cs="Arial"/>
          <w:sz w:val="20"/>
          <w:szCs w:val="20"/>
          <w:lang w:val="en-GB"/>
        </w:rPr>
      </w:pPr>
    </w:p>
    <w:p w14:paraId="104B05AA" w14:textId="77777777" w:rsidR="00220E60" w:rsidRPr="00220E60" w:rsidRDefault="00220E60" w:rsidP="00220E60">
      <w:pPr>
        <w:pStyle w:val="NoSpacing"/>
        <w:rPr>
          <w:rFonts w:ascii="Arial" w:hAnsi="Arial" w:cs="Arial"/>
          <w:sz w:val="20"/>
          <w:szCs w:val="20"/>
        </w:rPr>
      </w:pPr>
      <w:r w:rsidRPr="00220E60">
        <w:rPr>
          <w:rFonts w:ascii="Arial" w:hAnsi="Arial" w:cs="Arial"/>
          <w:sz w:val="20"/>
          <w:szCs w:val="20"/>
        </w:rPr>
        <w:t xml:space="preserve">*Author for correspondence: Strathclyde Institute of Pharmacy and Biomedical Sciences, University of Strathclyde, Glasgow G4 0RE, United Kingdom. Email:  </w:t>
      </w:r>
      <w:r w:rsidRPr="00220E60">
        <w:rPr>
          <w:rStyle w:val="Hyperlink"/>
          <w:rFonts w:ascii="Arial" w:hAnsi="Arial" w:cs="Arial"/>
          <w:color w:val="auto"/>
          <w:sz w:val="20"/>
          <w:szCs w:val="20"/>
          <w:u w:val="none"/>
        </w:rPr>
        <w:fldChar w:fldCharType="begin"/>
      </w:r>
      <w:r w:rsidRPr="00220E60">
        <w:rPr>
          <w:rStyle w:val="Hyperlink"/>
          <w:rFonts w:ascii="Arial" w:hAnsi="Arial" w:cs="Arial"/>
          <w:color w:val="auto"/>
          <w:sz w:val="20"/>
          <w:szCs w:val="20"/>
          <w:u w:val="none"/>
        </w:rPr>
        <w:instrText xml:space="preserve"> HYPERLINK "mailto:Brian.godman@strath.ac.uk" </w:instrText>
      </w:r>
      <w:r w:rsidRPr="00220E60">
        <w:rPr>
          <w:rStyle w:val="Hyperlink"/>
          <w:rFonts w:ascii="Arial" w:hAnsi="Arial" w:cs="Arial"/>
          <w:color w:val="auto"/>
          <w:sz w:val="20"/>
          <w:szCs w:val="20"/>
          <w:u w:val="none"/>
        </w:rPr>
        <w:fldChar w:fldCharType="separate"/>
      </w:r>
      <w:r w:rsidRPr="00220E60">
        <w:rPr>
          <w:rStyle w:val="Hyperlink"/>
          <w:rFonts w:ascii="Arial" w:hAnsi="Arial" w:cs="Arial"/>
          <w:color w:val="auto"/>
          <w:sz w:val="20"/>
          <w:szCs w:val="20"/>
          <w:u w:val="none"/>
        </w:rPr>
        <w:t>Brian.godman@strath.ac.uk</w:t>
      </w:r>
      <w:r w:rsidRPr="00220E60">
        <w:rPr>
          <w:rStyle w:val="Hyperlink"/>
          <w:rFonts w:ascii="Arial" w:hAnsi="Arial" w:cs="Arial"/>
          <w:color w:val="auto"/>
          <w:sz w:val="20"/>
          <w:szCs w:val="20"/>
          <w:u w:val="none"/>
        </w:rPr>
        <w:fldChar w:fldCharType="end"/>
      </w:r>
      <w:r w:rsidRPr="00220E60">
        <w:rPr>
          <w:rFonts w:ascii="Arial" w:hAnsi="Arial" w:cs="Arial"/>
          <w:sz w:val="20"/>
          <w:szCs w:val="20"/>
        </w:rPr>
        <w:t>. Telephone: 0141 548 3825. Fax: 0141 552 2562 and Division of Clinical Pharmacology, Karolinska Institute, Karolinska University Hospital Huddinge, SE-141 86, Stockholm, Sweden. Email: Brian.Godman@ki.se. Telephone + 46 8 58581068. Fax + 46 8 59581070</w:t>
      </w:r>
    </w:p>
    <w:p w14:paraId="2924F77E" w14:textId="77777777" w:rsidR="00220E60" w:rsidRPr="00C45849" w:rsidRDefault="00220E60" w:rsidP="00220E60">
      <w:pPr>
        <w:pStyle w:val="NoSpacing"/>
        <w:rPr>
          <w:rFonts w:ascii="Arial" w:hAnsi="Arial" w:cs="Arial"/>
          <w:sz w:val="20"/>
          <w:szCs w:val="20"/>
          <w:lang w:val="en-GB"/>
        </w:rPr>
      </w:pPr>
    </w:p>
    <w:p w14:paraId="0A37611D" w14:textId="77777777" w:rsidR="00220E60" w:rsidRPr="00D74A4E" w:rsidRDefault="00220E60" w:rsidP="00220E60">
      <w:pPr>
        <w:pStyle w:val="NoSpacing"/>
        <w:rPr>
          <w:rFonts w:ascii="Arial" w:hAnsi="Arial" w:cs="Arial"/>
          <w:sz w:val="20"/>
          <w:szCs w:val="20"/>
          <w:lang w:val="en-GB"/>
        </w:rPr>
      </w:pPr>
      <w:r w:rsidRPr="00D74A4E">
        <w:rPr>
          <w:rFonts w:ascii="Arial" w:hAnsi="Arial" w:cs="Arial"/>
          <w:sz w:val="20"/>
          <w:szCs w:val="20"/>
          <w:lang w:val="en-GB"/>
        </w:rPr>
        <w:t xml:space="preserve">Key words: ARIMA; combined hormonal contraceptives, intervention analysis, pharmacoepidemiology, thromboembolism, </w:t>
      </w:r>
      <w:r>
        <w:rPr>
          <w:rFonts w:ascii="Arial" w:hAnsi="Arial" w:cs="Arial"/>
          <w:sz w:val="20"/>
          <w:szCs w:val="20"/>
          <w:lang w:val="en-GB"/>
        </w:rPr>
        <w:t xml:space="preserve">claims data, </w:t>
      </w:r>
      <w:r w:rsidRPr="00D74A4E">
        <w:rPr>
          <w:rFonts w:ascii="Arial" w:hAnsi="Arial" w:cs="Arial"/>
          <w:sz w:val="20"/>
          <w:szCs w:val="20"/>
          <w:lang w:val="en-GB"/>
        </w:rPr>
        <w:t>Germany</w:t>
      </w:r>
    </w:p>
    <w:p w14:paraId="7AEAC13F" w14:textId="7A0B3AF5" w:rsidR="00220E60" w:rsidRDefault="00220E60" w:rsidP="00D02693">
      <w:pPr>
        <w:pStyle w:val="NoSpacing"/>
        <w:rPr>
          <w:rFonts w:ascii="Arial" w:hAnsi="Arial" w:cs="Arial"/>
          <w:b/>
          <w:sz w:val="20"/>
          <w:szCs w:val="20"/>
          <w:lang w:val="en-GB"/>
        </w:rPr>
      </w:pPr>
    </w:p>
    <w:p w14:paraId="1BE1D499" w14:textId="48E1E618" w:rsidR="00220E60" w:rsidRDefault="00220E60" w:rsidP="00D02693">
      <w:pPr>
        <w:pStyle w:val="NoSpacing"/>
        <w:rPr>
          <w:rFonts w:ascii="Arial" w:hAnsi="Arial" w:cs="Arial"/>
          <w:sz w:val="20"/>
          <w:szCs w:val="20"/>
          <w:lang w:val="en-GB"/>
        </w:rPr>
      </w:pPr>
      <w:r w:rsidRPr="00220E60">
        <w:rPr>
          <w:rFonts w:ascii="Arial" w:hAnsi="Arial" w:cs="Arial"/>
          <w:sz w:val="20"/>
          <w:szCs w:val="20"/>
          <w:lang w:val="en-GB"/>
        </w:rPr>
        <w:t xml:space="preserve">(Accepted for </w:t>
      </w:r>
      <w:r>
        <w:rPr>
          <w:rFonts w:ascii="Arial" w:hAnsi="Arial" w:cs="Arial"/>
          <w:sz w:val="20"/>
          <w:szCs w:val="20"/>
          <w:lang w:val="en-GB"/>
        </w:rPr>
        <w:t>publication in Current Medical Research and Opinion – Please keep Confidential)</w:t>
      </w:r>
    </w:p>
    <w:p w14:paraId="1D44FD1D" w14:textId="77777777" w:rsidR="00220E60" w:rsidRPr="00220E60" w:rsidRDefault="00220E60" w:rsidP="00D02693">
      <w:pPr>
        <w:pStyle w:val="NoSpacing"/>
        <w:rPr>
          <w:rFonts w:ascii="Arial" w:hAnsi="Arial" w:cs="Arial"/>
          <w:sz w:val="20"/>
          <w:szCs w:val="20"/>
          <w:lang w:val="en-GB"/>
        </w:rPr>
      </w:pPr>
    </w:p>
    <w:p w14:paraId="060FBDA0" w14:textId="5EE10E34" w:rsidR="00D02693" w:rsidRPr="00D02693" w:rsidRDefault="00D02693" w:rsidP="00D02693">
      <w:pPr>
        <w:pStyle w:val="NoSpacing"/>
        <w:rPr>
          <w:rFonts w:ascii="Arial" w:hAnsi="Arial" w:cs="Arial"/>
          <w:b/>
          <w:sz w:val="20"/>
          <w:szCs w:val="20"/>
          <w:lang w:val="en-GB"/>
        </w:rPr>
      </w:pPr>
      <w:r w:rsidRPr="00D02693">
        <w:rPr>
          <w:rFonts w:ascii="Arial" w:hAnsi="Arial" w:cs="Arial"/>
          <w:b/>
          <w:sz w:val="20"/>
          <w:szCs w:val="20"/>
          <w:lang w:val="en-GB"/>
        </w:rPr>
        <w:t>Abstract</w:t>
      </w:r>
    </w:p>
    <w:p w14:paraId="025B136A" w14:textId="52BBB4B1" w:rsidR="00D02693" w:rsidRPr="00B54E43" w:rsidRDefault="00D02693" w:rsidP="00D02693">
      <w:pPr>
        <w:pStyle w:val="NoSpacing"/>
        <w:rPr>
          <w:rFonts w:ascii="Arial" w:hAnsi="Arial" w:cs="Arial"/>
          <w:sz w:val="20"/>
          <w:szCs w:val="20"/>
          <w:lang w:val="en-GB"/>
        </w:rPr>
      </w:pPr>
      <w:r>
        <w:rPr>
          <w:rFonts w:ascii="Arial" w:hAnsi="Arial" w:cs="Arial"/>
          <w:sz w:val="20"/>
          <w:szCs w:val="20"/>
          <w:lang w:val="en-GB"/>
        </w:rPr>
        <w:t>Objective</w:t>
      </w:r>
      <w:r w:rsidRPr="00B54E43">
        <w:rPr>
          <w:rFonts w:ascii="Arial" w:hAnsi="Arial" w:cs="Arial"/>
          <w:sz w:val="20"/>
          <w:szCs w:val="20"/>
          <w:lang w:val="en-GB"/>
        </w:rPr>
        <w:t>: Combined hormonal contraceptives (CHC) exhibit differing risks for cardiovascular and thrombotic events (VTE). A European referral process confirmed higher VTE risks for 3</w:t>
      </w:r>
      <w:r w:rsidRPr="00B54E43">
        <w:rPr>
          <w:rFonts w:ascii="Arial" w:hAnsi="Arial" w:cs="Arial"/>
          <w:sz w:val="20"/>
          <w:szCs w:val="20"/>
          <w:vertAlign w:val="superscript"/>
          <w:lang w:val="en-GB"/>
        </w:rPr>
        <w:t>rd</w:t>
      </w:r>
      <w:r w:rsidRPr="00B54E43">
        <w:rPr>
          <w:rFonts w:ascii="Arial" w:hAnsi="Arial" w:cs="Arial"/>
          <w:sz w:val="20"/>
          <w:szCs w:val="20"/>
          <w:lang w:val="en-GB"/>
        </w:rPr>
        <w:t xml:space="preserve"> generation </w:t>
      </w:r>
      <w:proofErr w:type="spellStart"/>
      <w:r w:rsidRPr="00B54E43">
        <w:rPr>
          <w:rFonts w:ascii="Arial" w:hAnsi="Arial" w:cs="Arial"/>
          <w:sz w:val="20"/>
          <w:szCs w:val="20"/>
          <w:lang w:val="en-GB"/>
        </w:rPr>
        <w:t>gestagens</w:t>
      </w:r>
      <w:proofErr w:type="spellEnd"/>
      <w:r w:rsidRPr="00B54E43">
        <w:rPr>
          <w:rFonts w:ascii="Arial" w:hAnsi="Arial" w:cs="Arial"/>
          <w:sz w:val="20"/>
          <w:szCs w:val="20"/>
          <w:lang w:val="en-GB"/>
        </w:rPr>
        <w:t xml:space="preserve"> and </w:t>
      </w:r>
      <w:proofErr w:type="spellStart"/>
      <w:r w:rsidRPr="00B54E43">
        <w:rPr>
          <w:rFonts w:ascii="Arial" w:hAnsi="Arial" w:cs="Arial"/>
          <w:sz w:val="20"/>
          <w:szCs w:val="20"/>
          <w:lang w:val="en-GB"/>
        </w:rPr>
        <w:t>drospirenone</w:t>
      </w:r>
      <w:proofErr w:type="spellEnd"/>
      <w:r w:rsidRPr="00B54E43">
        <w:rPr>
          <w:rFonts w:ascii="Arial" w:hAnsi="Arial" w:cs="Arial"/>
          <w:sz w:val="20"/>
          <w:szCs w:val="20"/>
          <w:lang w:val="en-GB"/>
        </w:rPr>
        <w:t>. CHC are now grouped in risk classes (RC) I, II and III</w:t>
      </w:r>
      <w:r>
        <w:rPr>
          <w:rFonts w:ascii="Arial" w:hAnsi="Arial" w:cs="Arial"/>
          <w:sz w:val="20"/>
          <w:szCs w:val="20"/>
          <w:lang w:val="en-GB"/>
        </w:rPr>
        <w:t xml:space="preserve">, with </w:t>
      </w:r>
      <w:r w:rsidRPr="00B54E43">
        <w:rPr>
          <w:rFonts w:ascii="Arial" w:hAnsi="Arial" w:cs="Arial"/>
          <w:sz w:val="20"/>
          <w:szCs w:val="20"/>
          <w:lang w:val="en-GB"/>
        </w:rPr>
        <w:t>RC III ha</w:t>
      </w:r>
      <w:r>
        <w:rPr>
          <w:rFonts w:ascii="Arial" w:hAnsi="Arial" w:cs="Arial"/>
          <w:sz w:val="20"/>
          <w:szCs w:val="20"/>
          <w:lang w:val="en-GB"/>
        </w:rPr>
        <w:t>ving</w:t>
      </w:r>
      <w:r w:rsidRPr="00B54E43">
        <w:rPr>
          <w:rFonts w:ascii="Arial" w:hAnsi="Arial" w:cs="Arial"/>
          <w:sz w:val="20"/>
          <w:szCs w:val="20"/>
          <w:lang w:val="en-GB"/>
        </w:rPr>
        <w:t xml:space="preserve"> </w:t>
      </w:r>
      <w:r>
        <w:rPr>
          <w:rFonts w:ascii="Arial" w:hAnsi="Arial" w:cs="Arial"/>
          <w:sz w:val="20"/>
          <w:szCs w:val="20"/>
          <w:lang w:val="en-GB"/>
        </w:rPr>
        <w:t xml:space="preserve">a </w:t>
      </w:r>
      <w:r w:rsidRPr="00B54E43">
        <w:rPr>
          <w:rFonts w:ascii="Arial" w:hAnsi="Arial" w:cs="Arial"/>
          <w:sz w:val="20"/>
          <w:szCs w:val="20"/>
          <w:lang w:val="en-GB"/>
        </w:rPr>
        <w:t xml:space="preserve">higher risk </w:t>
      </w:r>
      <w:r>
        <w:rPr>
          <w:rFonts w:ascii="Arial" w:hAnsi="Arial" w:cs="Arial"/>
          <w:sz w:val="20"/>
          <w:szCs w:val="20"/>
          <w:lang w:val="en-GB"/>
        </w:rPr>
        <w:t>than</w:t>
      </w:r>
      <w:r w:rsidRPr="00B54E43">
        <w:rPr>
          <w:rFonts w:ascii="Arial" w:hAnsi="Arial" w:cs="Arial"/>
          <w:sz w:val="20"/>
          <w:szCs w:val="20"/>
          <w:lang w:val="en-GB"/>
        </w:rPr>
        <w:t xml:space="preserve"> RC I</w:t>
      </w:r>
      <w:r>
        <w:rPr>
          <w:rFonts w:ascii="Arial" w:hAnsi="Arial" w:cs="Arial"/>
          <w:sz w:val="20"/>
          <w:szCs w:val="20"/>
          <w:lang w:val="en-GB"/>
        </w:rPr>
        <w:t xml:space="preserve"> </w:t>
      </w:r>
      <w:r w:rsidRPr="00B54E43">
        <w:rPr>
          <w:rFonts w:ascii="Arial" w:hAnsi="Arial" w:cs="Arial"/>
          <w:sz w:val="20"/>
          <w:szCs w:val="20"/>
          <w:lang w:val="en-GB"/>
        </w:rPr>
        <w:t>and X (risk not yet known). Marketing authorisation holders were obliged to implement pharmacovigilance measures and risk minimization measures including changes of prescribing information. The study a</w:t>
      </w:r>
      <w:r>
        <w:rPr>
          <w:rFonts w:ascii="Arial" w:hAnsi="Arial" w:cs="Arial"/>
          <w:sz w:val="20"/>
          <w:szCs w:val="20"/>
          <w:lang w:val="en-GB"/>
        </w:rPr>
        <w:t>ssessed</w:t>
      </w:r>
      <w:r w:rsidRPr="00B54E43">
        <w:rPr>
          <w:rFonts w:ascii="Arial" w:hAnsi="Arial" w:cs="Arial"/>
          <w:sz w:val="20"/>
          <w:szCs w:val="20"/>
          <w:lang w:val="en-GB"/>
        </w:rPr>
        <w:t xml:space="preserve"> whether these activities induced changes in prescription patterns.</w:t>
      </w:r>
      <w:r>
        <w:rPr>
          <w:rFonts w:ascii="Arial" w:hAnsi="Arial" w:cs="Arial"/>
          <w:sz w:val="20"/>
          <w:szCs w:val="20"/>
          <w:lang w:val="en-GB"/>
        </w:rPr>
        <w:t xml:space="preserve"> </w:t>
      </w:r>
      <w:r w:rsidRPr="00B54E43">
        <w:rPr>
          <w:rFonts w:ascii="Arial" w:hAnsi="Arial" w:cs="Arial"/>
          <w:sz w:val="20"/>
          <w:szCs w:val="20"/>
          <w:lang w:val="en-GB"/>
        </w:rPr>
        <w:t xml:space="preserve">Methods: German prescription data for 1.1 million women below 20 were used to analyse the effects of interventions and potential influence factors using logistic regression. Descriptive statistics were calculated for prescriptions </w:t>
      </w:r>
      <w:r>
        <w:rPr>
          <w:rFonts w:ascii="Arial" w:hAnsi="Arial" w:cs="Arial"/>
          <w:sz w:val="20"/>
          <w:szCs w:val="20"/>
          <w:lang w:val="en-GB"/>
        </w:rPr>
        <w:t xml:space="preserve">for </w:t>
      </w:r>
      <w:r w:rsidRPr="00B54E43">
        <w:rPr>
          <w:rFonts w:ascii="Arial" w:hAnsi="Arial" w:cs="Arial"/>
          <w:sz w:val="20"/>
          <w:szCs w:val="20"/>
          <w:lang w:val="en-GB"/>
        </w:rPr>
        <w:t>3.3 million women f</w:t>
      </w:r>
      <w:r>
        <w:rPr>
          <w:rFonts w:ascii="Arial" w:hAnsi="Arial" w:cs="Arial"/>
          <w:sz w:val="20"/>
          <w:szCs w:val="20"/>
          <w:lang w:val="en-GB"/>
        </w:rPr>
        <w:t xml:space="preserve">rom </w:t>
      </w:r>
      <w:r w:rsidRPr="00B54E43">
        <w:rPr>
          <w:rFonts w:ascii="Arial" w:hAnsi="Arial" w:cs="Arial"/>
          <w:sz w:val="20"/>
          <w:szCs w:val="20"/>
          <w:lang w:val="en-GB"/>
        </w:rPr>
        <w:t xml:space="preserve">January 2011 </w:t>
      </w:r>
      <w:r>
        <w:rPr>
          <w:rFonts w:ascii="Arial" w:hAnsi="Arial" w:cs="Arial"/>
          <w:sz w:val="20"/>
          <w:szCs w:val="20"/>
          <w:lang w:val="en-GB"/>
        </w:rPr>
        <w:t>to</w:t>
      </w:r>
      <w:r w:rsidRPr="00B54E43">
        <w:rPr>
          <w:rFonts w:ascii="Arial" w:hAnsi="Arial" w:cs="Arial"/>
          <w:sz w:val="20"/>
          <w:szCs w:val="20"/>
          <w:lang w:val="en-GB"/>
        </w:rPr>
        <w:t xml:space="preserve"> March 2016. </w:t>
      </w:r>
      <w:r>
        <w:rPr>
          <w:rFonts w:ascii="Arial" w:hAnsi="Arial" w:cs="Arial"/>
          <w:sz w:val="20"/>
          <w:szCs w:val="20"/>
          <w:lang w:val="en-GB"/>
        </w:rPr>
        <w:t xml:space="preserve"> </w:t>
      </w:r>
      <w:r w:rsidRPr="00B54E43">
        <w:rPr>
          <w:rFonts w:ascii="Arial" w:hAnsi="Arial" w:cs="Arial"/>
          <w:sz w:val="20"/>
          <w:szCs w:val="20"/>
          <w:lang w:val="en-GB"/>
        </w:rPr>
        <w:t xml:space="preserve">Results: Shares of RC I and RC X recipients rose substantially over the observation period, while RC III recipient share showed a steady decrease. The referral induced </w:t>
      </w:r>
      <w:r>
        <w:rPr>
          <w:rFonts w:ascii="Arial" w:hAnsi="Arial" w:cs="Arial"/>
          <w:sz w:val="20"/>
          <w:szCs w:val="20"/>
          <w:lang w:val="en-GB"/>
        </w:rPr>
        <w:t xml:space="preserve">a </w:t>
      </w:r>
      <w:r w:rsidRPr="00B54E43">
        <w:rPr>
          <w:rFonts w:ascii="Arial" w:hAnsi="Arial" w:cs="Arial"/>
          <w:sz w:val="20"/>
          <w:szCs w:val="20"/>
          <w:lang w:val="en-GB"/>
        </w:rPr>
        <w:t>slightly faster decrease in RC III and increase in RC X. The implementation of pharmacovigilance measures manifested no additional effect.</w:t>
      </w:r>
      <w:r>
        <w:rPr>
          <w:rFonts w:ascii="Arial" w:hAnsi="Arial" w:cs="Arial"/>
          <w:sz w:val="20"/>
          <w:szCs w:val="20"/>
          <w:lang w:val="en-GB"/>
        </w:rPr>
        <w:t xml:space="preserve"> </w:t>
      </w:r>
      <w:r w:rsidRPr="00B54E43">
        <w:rPr>
          <w:rFonts w:ascii="Arial" w:hAnsi="Arial" w:cs="Arial"/>
          <w:sz w:val="20"/>
          <w:szCs w:val="20"/>
          <w:lang w:val="en-GB"/>
        </w:rPr>
        <w:t>Conclusion: The decrease in RC III share already observed before the referral process can be explained with pre-existing discussion</w:t>
      </w:r>
      <w:r>
        <w:rPr>
          <w:rFonts w:ascii="Arial" w:hAnsi="Arial" w:cs="Arial"/>
          <w:sz w:val="20"/>
          <w:szCs w:val="20"/>
          <w:lang w:val="en-GB"/>
        </w:rPr>
        <w:t>s</w:t>
      </w:r>
      <w:r w:rsidRPr="00B54E43">
        <w:rPr>
          <w:rFonts w:ascii="Arial" w:hAnsi="Arial" w:cs="Arial"/>
          <w:sz w:val="20"/>
          <w:szCs w:val="20"/>
          <w:lang w:val="en-GB"/>
        </w:rPr>
        <w:t xml:space="preserve"> around CHC. The effect attributable to the referral was statistically significant, though very small. While evidence for a connection between interventions and prescription change is only indirect, the study shows that routine data are suitable for impact analyses, and monitoring prescribing patterns can be recommended as feedback after regulatory or political interventions.</w:t>
      </w:r>
      <w:r>
        <w:rPr>
          <w:rFonts w:ascii="Arial" w:hAnsi="Arial" w:cs="Arial"/>
          <w:sz w:val="20"/>
          <w:szCs w:val="20"/>
          <w:lang w:val="en-GB"/>
        </w:rPr>
        <w:t xml:space="preserve"> This is being followed up.</w:t>
      </w:r>
    </w:p>
    <w:p w14:paraId="75A907D0" w14:textId="77777777" w:rsidR="00D02693" w:rsidRDefault="00D02693" w:rsidP="00B54E43">
      <w:pPr>
        <w:pStyle w:val="NoSpacing"/>
        <w:rPr>
          <w:rFonts w:ascii="Arial" w:hAnsi="Arial" w:cs="Arial"/>
          <w:sz w:val="20"/>
          <w:szCs w:val="20"/>
          <w:lang w:val="en-GB"/>
        </w:rPr>
      </w:pPr>
    </w:p>
    <w:p w14:paraId="4956C0E2" w14:textId="4FB59609" w:rsidR="00D01830" w:rsidRPr="00D02693" w:rsidRDefault="00D01830" w:rsidP="008D33EE">
      <w:pPr>
        <w:pStyle w:val="NoSpacing"/>
        <w:numPr>
          <w:ilvl w:val="0"/>
          <w:numId w:val="13"/>
        </w:numPr>
        <w:rPr>
          <w:rFonts w:ascii="Arial" w:hAnsi="Arial" w:cs="Arial"/>
          <w:b/>
          <w:sz w:val="20"/>
          <w:szCs w:val="20"/>
          <w:lang w:val="en-GB"/>
        </w:rPr>
      </w:pPr>
      <w:r w:rsidRPr="00D02693">
        <w:rPr>
          <w:rFonts w:ascii="Arial" w:hAnsi="Arial" w:cs="Arial"/>
          <w:b/>
          <w:sz w:val="20"/>
          <w:szCs w:val="20"/>
          <w:lang w:val="en-GB"/>
        </w:rPr>
        <w:t>Introduction</w:t>
      </w:r>
    </w:p>
    <w:p w14:paraId="4CF224A7" w14:textId="77777777" w:rsidR="00D02693" w:rsidRDefault="00D02693" w:rsidP="00B54E43">
      <w:pPr>
        <w:pStyle w:val="NoSpacing"/>
        <w:rPr>
          <w:rFonts w:ascii="Arial" w:hAnsi="Arial" w:cs="Arial"/>
          <w:sz w:val="20"/>
          <w:szCs w:val="20"/>
          <w:lang w:val="en-GB"/>
        </w:rPr>
      </w:pPr>
    </w:p>
    <w:p w14:paraId="203285BB" w14:textId="702E5B09" w:rsidR="00D01830" w:rsidRPr="00B54E43" w:rsidRDefault="00D01830" w:rsidP="00B54E43">
      <w:pPr>
        <w:pStyle w:val="NoSpacing"/>
        <w:rPr>
          <w:rFonts w:ascii="Arial" w:hAnsi="Arial" w:cs="Arial"/>
          <w:sz w:val="20"/>
          <w:szCs w:val="20"/>
          <w:lang w:val="en-GB"/>
        </w:rPr>
      </w:pPr>
      <w:r w:rsidRPr="00B54E43">
        <w:rPr>
          <w:rFonts w:ascii="Arial" w:hAnsi="Arial" w:cs="Arial"/>
          <w:sz w:val="20"/>
          <w:szCs w:val="20"/>
          <w:lang w:val="en-GB"/>
        </w:rPr>
        <w:t xml:space="preserve">The risks of “the </w:t>
      </w:r>
      <w:proofErr w:type="gramStart"/>
      <w:r w:rsidRPr="00B54E43">
        <w:rPr>
          <w:rFonts w:ascii="Arial" w:hAnsi="Arial" w:cs="Arial"/>
          <w:sz w:val="20"/>
          <w:szCs w:val="20"/>
          <w:lang w:val="en-GB"/>
        </w:rPr>
        <w:t>pill“ for</w:t>
      </w:r>
      <w:proofErr w:type="gramEnd"/>
      <w:r w:rsidRPr="00B54E43">
        <w:rPr>
          <w:rFonts w:ascii="Arial" w:hAnsi="Arial" w:cs="Arial"/>
          <w:sz w:val="20"/>
          <w:szCs w:val="20"/>
          <w:lang w:val="en-GB"/>
        </w:rPr>
        <w:t xml:space="preserve"> contraception have frequently been reported internationally both in professional and in public media. An example of this was a brochure by a German health care fund</w:t>
      </w:r>
      <w:r w:rsidRPr="00B54E43">
        <w:rPr>
          <w:rFonts w:ascii="Arial" w:hAnsi="Arial" w:cs="Arial"/>
          <w:sz w:val="20"/>
          <w:szCs w:val="20"/>
          <w:vertAlign w:val="superscript"/>
          <w:lang w:val="en-GB"/>
        </w:rPr>
        <w:t>1</w:t>
      </w:r>
      <w:r w:rsidRPr="00B54E43">
        <w:rPr>
          <w:rFonts w:ascii="Arial" w:hAnsi="Arial" w:cs="Arial"/>
          <w:sz w:val="20"/>
          <w:szCs w:val="20"/>
          <w:lang w:val="en-GB"/>
        </w:rPr>
        <w:t xml:space="preserve"> in</w:t>
      </w:r>
      <w:r w:rsidR="00265320">
        <w:rPr>
          <w:rFonts w:ascii="Arial" w:hAnsi="Arial" w:cs="Arial"/>
          <w:sz w:val="20"/>
          <w:szCs w:val="20"/>
          <w:lang w:val="en-GB"/>
        </w:rPr>
        <w:t xml:space="preserve"> late </w:t>
      </w:r>
      <w:r w:rsidRPr="00B54E43">
        <w:rPr>
          <w:rFonts w:ascii="Arial" w:hAnsi="Arial" w:cs="Arial"/>
          <w:sz w:val="20"/>
          <w:szCs w:val="20"/>
          <w:lang w:val="en-GB"/>
        </w:rPr>
        <w:t xml:space="preserve">2015, which was widely </w:t>
      </w:r>
      <w:r w:rsidR="00265320">
        <w:rPr>
          <w:rFonts w:ascii="Arial" w:hAnsi="Arial" w:cs="Arial"/>
          <w:sz w:val="20"/>
          <w:szCs w:val="20"/>
          <w:lang w:val="en-GB"/>
        </w:rPr>
        <w:t>discussed</w:t>
      </w:r>
      <w:r w:rsidRPr="00B54E43">
        <w:rPr>
          <w:rFonts w:ascii="Arial" w:hAnsi="Arial" w:cs="Arial"/>
          <w:sz w:val="20"/>
          <w:szCs w:val="20"/>
          <w:lang w:val="en-GB"/>
        </w:rPr>
        <w:t xml:space="preserve"> in the media. The focus </w:t>
      </w:r>
      <w:r w:rsidR="00265320">
        <w:rPr>
          <w:rFonts w:ascii="Arial" w:hAnsi="Arial" w:cs="Arial"/>
          <w:sz w:val="20"/>
          <w:szCs w:val="20"/>
          <w:lang w:val="en-GB"/>
        </w:rPr>
        <w:t xml:space="preserve">on the brochure </w:t>
      </w:r>
      <w:r w:rsidRPr="00B54E43">
        <w:rPr>
          <w:rFonts w:ascii="Arial" w:hAnsi="Arial" w:cs="Arial"/>
          <w:sz w:val="20"/>
          <w:szCs w:val="20"/>
          <w:lang w:val="en-GB"/>
        </w:rPr>
        <w:t xml:space="preserve">was the choice of </w:t>
      </w:r>
      <w:r w:rsidR="00265320">
        <w:rPr>
          <w:rFonts w:ascii="Arial" w:hAnsi="Arial" w:cs="Arial"/>
          <w:sz w:val="20"/>
          <w:szCs w:val="20"/>
          <w:lang w:val="en-GB"/>
        </w:rPr>
        <w:t>contraception</w:t>
      </w:r>
      <w:r w:rsidRPr="00B54E43">
        <w:rPr>
          <w:rFonts w:ascii="Arial" w:hAnsi="Arial" w:cs="Arial"/>
          <w:sz w:val="20"/>
          <w:szCs w:val="20"/>
          <w:lang w:val="en-GB"/>
        </w:rPr>
        <w:t xml:space="preserve"> </w:t>
      </w:r>
      <w:proofErr w:type="gramStart"/>
      <w:r w:rsidRPr="00B54E43">
        <w:rPr>
          <w:rFonts w:ascii="Arial" w:hAnsi="Arial" w:cs="Arial"/>
          <w:sz w:val="20"/>
          <w:szCs w:val="20"/>
          <w:lang w:val="en-GB"/>
        </w:rPr>
        <w:t>taking into account</w:t>
      </w:r>
      <w:proofErr w:type="gramEnd"/>
      <w:r w:rsidRPr="00B54E43">
        <w:rPr>
          <w:rFonts w:ascii="Arial" w:hAnsi="Arial" w:cs="Arial"/>
          <w:sz w:val="20"/>
          <w:szCs w:val="20"/>
          <w:lang w:val="en-GB"/>
        </w:rPr>
        <w:t xml:space="preserve"> the spectrum of adverse effects, and in particular on </w:t>
      </w:r>
      <w:r w:rsidRPr="00B54E43">
        <w:rPr>
          <w:rFonts w:ascii="Arial" w:hAnsi="Arial" w:cs="Arial"/>
          <w:sz w:val="20"/>
          <w:szCs w:val="20"/>
          <w:lang w:val="en-GB"/>
        </w:rPr>
        <w:lastRenderedPageBreak/>
        <w:t>thromboembolism and myocardial infarction</w:t>
      </w:r>
      <w:r w:rsidR="00265320">
        <w:rPr>
          <w:rFonts w:ascii="Arial" w:hAnsi="Arial" w:cs="Arial"/>
          <w:sz w:val="20"/>
          <w:szCs w:val="20"/>
          <w:lang w:val="en-GB"/>
        </w:rPr>
        <w:t>s</w:t>
      </w:r>
      <w:r w:rsidRPr="00B54E43">
        <w:rPr>
          <w:rFonts w:ascii="Arial" w:hAnsi="Arial" w:cs="Arial"/>
          <w:sz w:val="20"/>
          <w:szCs w:val="20"/>
          <w:lang w:val="en-GB"/>
        </w:rPr>
        <w:t xml:space="preserve">. Already one year before, </w:t>
      </w:r>
      <w:r w:rsidR="00265320">
        <w:rPr>
          <w:rFonts w:ascii="Arial" w:hAnsi="Arial" w:cs="Arial"/>
          <w:sz w:val="20"/>
          <w:szCs w:val="20"/>
          <w:lang w:val="en-GB"/>
        </w:rPr>
        <w:t xml:space="preserve">the </w:t>
      </w:r>
      <w:r w:rsidRPr="00B54E43">
        <w:rPr>
          <w:rFonts w:ascii="Arial" w:hAnsi="Arial" w:cs="Arial"/>
          <w:sz w:val="20"/>
          <w:szCs w:val="20"/>
          <w:lang w:val="en-GB"/>
        </w:rPr>
        <w:t xml:space="preserve">manufacturers of combined hormonal contraceptives (CHC) had been obliged to include warnings </w:t>
      </w:r>
      <w:r w:rsidR="0087153E">
        <w:rPr>
          <w:rFonts w:ascii="Arial" w:hAnsi="Arial" w:cs="Arial"/>
          <w:sz w:val="20"/>
          <w:szCs w:val="20"/>
          <w:lang w:val="en-GB"/>
        </w:rPr>
        <w:t>regarding</w:t>
      </w:r>
      <w:r w:rsidRPr="00B54E43">
        <w:rPr>
          <w:rFonts w:ascii="Arial" w:hAnsi="Arial" w:cs="Arial"/>
          <w:sz w:val="20"/>
          <w:szCs w:val="20"/>
          <w:lang w:val="en-GB"/>
        </w:rPr>
        <w:t xml:space="preserve"> </w:t>
      </w:r>
      <w:r w:rsidR="00265320">
        <w:rPr>
          <w:rFonts w:ascii="Arial" w:hAnsi="Arial" w:cs="Arial"/>
          <w:sz w:val="20"/>
          <w:szCs w:val="20"/>
          <w:lang w:val="en-GB"/>
        </w:rPr>
        <w:t xml:space="preserve">the </w:t>
      </w:r>
      <w:r w:rsidRPr="00B54E43">
        <w:rPr>
          <w:rFonts w:ascii="Arial" w:hAnsi="Arial" w:cs="Arial"/>
          <w:sz w:val="20"/>
          <w:szCs w:val="20"/>
          <w:lang w:val="en-GB"/>
        </w:rPr>
        <w:t>increased risk of thromboembolism for what were, at that time, called 3</w:t>
      </w:r>
      <w:r w:rsidRPr="00B54E43">
        <w:rPr>
          <w:rFonts w:ascii="Arial" w:hAnsi="Arial" w:cs="Arial"/>
          <w:sz w:val="20"/>
          <w:szCs w:val="20"/>
          <w:vertAlign w:val="superscript"/>
          <w:lang w:val="en-GB"/>
        </w:rPr>
        <w:t>rd</w:t>
      </w:r>
      <w:r w:rsidRPr="00B54E43">
        <w:rPr>
          <w:rFonts w:ascii="Arial" w:hAnsi="Arial" w:cs="Arial"/>
          <w:sz w:val="20"/>
          <w:szCs w:val="20"/>
          <w:lang w:val="en-GB"/>
        </w:rPr>
        <w:t xml:space="preserve"> and 4</w:t>
      </w:r>
      <w:r w:rsidRPr="00B54E43">
        <w:rPr>
          <w:rFonts w:ascii="Arial" w:hAnsi="Arial" w:cs="Arial"/>
          <w:sz w:val="20"/>
          <w:szCs w:val="20"/>
          <w:vertAlign w:val="superscript"/>
          <w:lang w:val="en-GB"/>
        </w:rPr>
        <w:t>th</w:t>
      </w:r>
      <w:r w:rsidRPr="00B54E43">
        <w:rPr>
          <w:rFonts w:ascii="Arial" w:hAnsi="Arial" w:cs="Arial"/>
          <w:sz w:val="20"/>
          <w:szCs w:val="20"/>
          <w:lang w:val="en-GB"/>
        </w:rPr>
        <w:t xml:space="preserve"> generation </w:t>
      </w:r>
      <w:proofErr w:type="spellStart"/>
      <w:r w:rsidRPr="00B54E43">
        <w:rPr>
          <w:rFonts w:ascii="Arial" w:hAnsi="Arial" w:cs="Arial"/>
          <w:sz w:val="20"/>
          <w:szCs w:val="20"/>
          <w:lang w:val="en-GB"/>
        </w:rPr>
        <w:t>gestagens</w:t>
      </w:r>
      <w:proofErr w:type="spellEnd"/>
      <w:r w:rsidR="00265320">
        <w:rPr>
          <w:rFonts w:ascii="Arial" w:hAnsi="Arial" w:cs="Arial"/>
          <w:sz w:val="20"/>
          <w:szCs w:val="20"/>
          <w:lang w:val="en-GB"/>
        </w:rPr>
        <w:t xml:space="preserve">, </w:t>
      </w:r>
      <w:r w:rsidR="00265320" w:rsidRPr="00B54E43">
        <w:rPr>
          <w:rFonts w:ascii="Arial" w:hAnsi="Arial" w:cs="Arial"/>
          <w:sz w:val="20"/>
          <w:szCs w:val="20"/>
          <w:lang w:val="en-GB"/>
        </w:rPr>
        <w:t xml:space="preserve">into </w:t>
      </w:r>
      <w:r w:rsidR="00265320">
        <w:rPr>
          <w:rFonts w:ascii="Arial" w:hAnsi="Arial" w:cs="Arial"/>
          <w:sz w:val="20"/>
          <w:szCs w:val="20"/>
          <w:lang w:val="en-GB"/>
        </w:rPr>
        <w:t xml:space="preserve">their </w:t>
      </w:r>
      <w:r w:rsidR="00265320" w:rsidRPr="00B54E43">
        <w:rPr>
          <w:rFonts w:ascii="Arial" w:hAnsi="Arial" w:cs="Arial"/>
          <w:sz w:val="20"/>
          <w:szCs w:val="20"/>
          <w:lang w:val="en-GB"/>
        </w:rPr>
        <w:t>package inserts</w:t>
      </w:r>
      <w:r w:rsidRPr="00B54E43">
        <w:rPr>
          <w:rFonts w:ascii="Arial" w:hAnsi="Arial" w:cs="Arial"/>
          <w:sz w:val="20"/>
          <w:szCs w:val="20"/>
          <w:lang w:val="en-GB"/>
        </w:rPr>
        <w:t>. This was a consequence of a European risk evaluation process (so-called referral process), which the European Medicines Agency (EMA) had initiated at the request of the French marketing authority</w:t>
      </w:r>
      <w:r w:rsidRPr="00B54E43">
        <w:rPr>
          <w:rFonts w:ascii="Arial" w:hAnsi="Arial" w:cs="Arial"/>
          <w:sz w:val="20"/>
          <w:szCs w:val="20"/>
          <w:vertAlign w:val="superscript"/>
          <w:lang w:val="en-GB"/>
        </w:rPr>
        <w:t>2</w:t>
      </w:r>
      <w:r w:rsidRPr="00B54E43">
        <w:rPr>
          <w:rFonts w:ascii="Arial" w:hAnsi="Arial" w:cs="Arial"/>
          <w:sz w:val="20"/>
          <w:szCs w:val="20"/>
          <w:lang w:val="en-GB"/>
        </w:rPr>
        <w:t xml:space="preserve">. The review confirmed a higher risk for the </w:t>
      </w:r>
      <w:proofErr w:type="spellStart"/>
      <w:r w:rsidRPr="00B54E43">
        <w:rPr>
          <w:rFonts w:ascii="Arial" w:hAnsi="Arial" w:cs="Arial"/>
          <w:sz w:val="20"/>
          <w:szCs w:val="20"/>
          <w:lang w:val="en-GB"/>
        </w:rPr>
        <w:t>gestagens</w:t>
      </w:r>
      <w:proofErr w:type="spellEnd"/>
      <w:r w:rsidRPr="00B54E43">
        <w:rPr>
          <w:rFonts w:ascii="Arial" w:hAnsi="Arial" w:cs="Arial"/>
          <w:sz w:val="20"/>
          <w:szCs w:val="20"/>
          <w:lang w:val="en-GB"/>
        </w:rPr>
        <w:t xml:space="preserve"> </w:t>
      </w:r>
      <w:proofErr w:type="spellStart"/>
      <w:r w:rsidRPr="00B54E43">
        <w:rPr>
          <w:rFonts w:ascii="Arial" w:hAnsi="Arial" w:cs="Arial"/>
          <w:sz w:val="20"/>
          <w:szCs w:val="20"/>
          <w:lang w:val="en-GB"/>
        </w:rPr>
        <w:t>desogestrel</w:t>
      </w:r>
      <w:proofErr w:type="spellEnd"/>
      <w:r w:rsidRPr="00B54E43">
        <w:rPr>
          <w:rFonts w:ascii="Arial" w:hAnsi="Arial" w:cs="Arial"/>
          <w:sz w:val="20"/>
          <w:szCs w:val="20"/>
          <w:lang w:val="en-GB"/>
        </w:rPr>
        <w:t xml:space="preserve"> and </w:t>
      </w:r>
      <w:proofErr w:type="spellStart"/>
      <w:r w:rsidRPr="00B54E43">
        <w:rPr>
          <w:rFonts w:ascii="Arial" w:hAnsi="Arial" w:cs="Arial"/>
          <w:sz w:val="20"/>
          <w:szCs w:val="20"/>
          <w:lang w:val="en-GB"/>
        </w:rPr>
        <w:t>gestodene</w:t>
      </w:r>
      <w:proofErr w:type="spellEnd"/>
      <w:r w:rsidRPr="00B54E43">
        <w:rPr>
          <w:rFonts w:ascii="Arial" w:hAnsi="Arial" w:cs="Arial"/>
          <w:sz w:val="20"/>
          <w:szCs w:val="20"/>
          <w:lang w:val="en-GB"/>
        </w:rPr>
        <w:t xml:space="preserve"> and also for </w:t>
      </w:r>
      <w:proofErr w:type="spellStart"/>
      <w:r w:rsidRPr="00B54E43">
        <w:rPr>
          <w:rFonts w:ascii="Arial" w:hAnsi="Arial" w:cs="Arial"/>
          <w:sz w:val="20"/>
          <w:szCs w:val="20"/>
          <w:lang w:val="en-GB"/>
        </w:rPr>
        <w:t>drospirenone</w:t>
      </w:r>
      <w:proofErr w:type="spellEnd"/>
      <w:r w:rsidRPr="00B54E43">
        <w:rPr>
          <w:rFonts w:ascii="Arial" w:hAnsi="Arial" w:cs="Arial"/>
          <w:sz w:val="20"/>
          <w:szCs w:val="20"/>
          <w:lang w:val="en-GB"/>
        </w:rPr>
        <w:t xml:space="preserve">. For chlormadinone, </w:t>
      </w:r>
      <w:proofErr w:type="spellStart"/>
      <w:r w:rsidRPr="00B54E43">
        <w:rPr>
          <w:rFonts w:ascii="Arial" w:hAnsi="Arial" w:cs="Arial"/>
          <w:sz w:val="20"/>
          <w:szCs w:val="20"/>
          <w:lang w:val="en-GB"/>
        </w:rPr>
        <w:t>dienogest</w:t>
      </w:r>
      <w:proofErr w:type="spellEnd"/>
      <w:r w:rsidRPr="00B54E43">
        <w:rPr>
          <w:rFonts w:ascii="Arial" w:hAnsi="Arial" w:cs="Arial"/>
          <w:sz w:val="20"/>
          <w:szCs w:val="20"/>
          <w:lang w:val="en-GB"/>
        </w:rPr>
        <w:t xml:space="preserve"> and </w:t>
      </w:r>
      <w:proofErr w:type="spellStart"/>
      <w:r w:rsidRPr="00B54E43">
        <w:rPr>
          <w:rFonts w:ascii="Arial" w:hAnsi="Arial" w:cs="Arial"/>
          <w:sz w:val="20"/>
          <w:szCs w:val="20"/>
          <w:lang w:val="en-GB"/>
        </w:rPr>
        <w:t>nomegestrol</w:t>
      </w:r>
      <w:proofErr w:type="spellEnd"/>
      <w:r w:rsidR="00265320">
        <w:rPr>
          <w:rFonts w:ascii="Arial" w:hAnsi="Arial" w:cs="Arial"/>
          <w:sz w:val="20"/>
          <w:szCs w:val="20"/>
          <w:lang w:val="en-GB"/>
        </w:rPr>
        <w:t>,</w:t>
      </w:r>
      <w:r w:rsidRPr="00B54E43">
        <w:rPr>
          <w:rFonts w:ascii="Arial" w:hAnsi="Arial" w:cs="Arial"/>
          <w:sz w:val="20"/>
          <w:szCs w:val="20"/>
          <w:lang w:val="en-GB"/>
        </w:rPr>
        <w:t xml:space="preserve"> no verdict could be reached based on available evidence</w:t>
      </w:r>
      <w:r w:rsidRPr="00B54E43">
        <w:rPr>
          <w:rFonts w:ascii="Arial" w:hAnsi="Arial" w:cs="Arial"/>
          <w:sz w:val="20"/>
          <w:szCs w:val="20"/>
          <w:vertAlign w:val="superscript"/>
          <w:lang w:val="en-GB"/>
        </w:rPr>
        <w:t>3</w:t>
      </w:r>
      <w:r w:rsidR="0087153E">
        <w:rPr>
          <w:rFonts w:ascii="Arial" w:hAnsi="Arial" w:cs="Arial"/>
          <w:sz w:val="20"/>
          <w:szCs w:val="20"/>
          <w:vertAlign w:val="superscript"/>
          <w:lang w:val="en-GB"/>
        </w:rPr>
        <w:t>-</w:t>
      </w:r>
      <w:r w:rsidRPr="00B54E43">
        <w:rPr>
          <w:rFonts w:ascii="Arial" w:hAnsi="Arial" w:cs="Arial"/>
          <w:sz w:val="20"/>
          <w:szCs w:val="20"/>
          <w:vertAlign w:val="superscript"/>
          <w:lang w:val="en-GB"/>
        </w:rPr>
        <w:t>6</w:t>
      </w:r>
      <w:r w:rsidRPr="00B54E43">
        <w:rPr>
          <w:rFonts w:ascii="Arial" w:hAnsi="Arial" w:cs="Arial"/>
          <w:sz w:val="20"/>
          <w:szCs w:val="20"/>
          <w:lang w:val="en-GB"/>
        </w:rPr>
        <w:t>. It was anticipated that th</w:t>
      </w:r>
      <w:r w:rsidR="00265320">
        <w:rPr>
          <w:rFonts w:ascii="Arial" w:hAnsi="Arial" w:cs="Arial"/>
          <w:sz w:val="20"/>
          <w:szCs w:val="20"/>
          <w:lang w:val="en-GB"/>
        </w:rPr>
        <w:t>is</w:t>
      </w:r>
      <w:r w:rsidRPr="00B54E43">
        <w:rPr>
          <w:rFonts w:ascii="Arial" w:hAnsi="Arial" w:cs="Arial"/>
          <w:sz w:val="20"/>
          <w:szCs w:val="20"/>
          <w:lang w:val="en-GB"/>
        </w:rPr>
        <w:t xml:space="preserve"> process</w:t>
      </w:r>
      <w:r w:rsidR="00265320">
        <w:rPr>
          <w:rFonts w:ascii="Arial" w:hAnsi="Arial" w:cs="Arial"/>
          <w:sz w:val="20"/>
          <w:szCs w:val="20"/>
          <w:lang w:val="en-GB"/>
        </w:rPr>
        <w:t>,</w:t>
      </w:r>
      <w:r w:rsidRPr="00B54E43">
        <w:rPr>
          <w:rFonts w:ascii="Arial" w:hAnsi="Arial" w:cs="Arial"/>
          <w:sz w:val="20"/>
          <w:szCs w:val="20"/>
          <w:lang w:val="en-GB"/>
        </w:rPr>
        <w:t xml:space="preserve"> and the implementation in the form of warnings</w:t>
      </w:r>
      <w:r w:rsidR="00265320">
        <w:rPr>
          <w:rFonts w:ascii="Arial" w:hAnsi="Arial" w:cs="Arial"/>
          <w:sz w:val="20"/>
          <w:szCs w:val="20"/>
          <w:lang w:val="en-GB"/>
        </w:rPr>
        <w:t>,</w:t>
      </w:r>
      <w:r w:rsidRPr="00B54E43">
        <w:rPr>
          <w:rFonts w:ascii="Arial" w:hAnsi="Arial" w:cs="Arial"/>
          <w:sz w:val="20"/>
          <w:szCs w:val="20"/>
          <w:lang w:val="en-GB"/>
        </w:rPr>
        <w:t xml:space="preserve"> should lead to decreased prescribing of these </w:t>
      </w:r>
      <w:r w:rsidR="00265320">
        <w:rPr>
          <w:rFonts w:ascii="Arial" w:hAnsi="Arial" w:cs="Arial"/>
          <w:sz w:val="20"/>
          <w:szCs w:val="20"/>
          <w:lang w:val="en-GB"/>
        </w:rPr>
        <w:t>CHCs</w:t>
      </w:r>
      <w:r w:rsidRPr="00B54E43">
        <w:rPr>
          <w:rFonts w:ascii="Arial" w:hAnsi="Arial" w:cs="Arial"/>
          <w:sz w:val="20"/>
          <w:szCs w:val="20"/>
          <w:lang w:val="en-GB"/>
        </w:rPr>
        <w:t xml:space="preserve">. In the meantime, </w:t>
      </w:r>
      <w:proofErr w:type="spellStart"/>
      <w:r w:rsidRPr="00B54E43">
        <w:rPr>
          <w:rFonts w:ascii="Arial" w:hAnsi="Arial" w:cs="Arial"/>
          <w:sz w:val="20"/>
          <w:szCs w:val="20"/>
          <w:lang w:val="en-GB"/>
        </w:rPr>
        <w:t>gestagens</w:t>
      </w:r>
      <w:proofErr w:type="spellEnd"/>
      <w:r w:rsidRPr="00B54E43">
        <w:rPr>
          <w:rFonts w:ascii="Arial" w:hAnsi="Arial" w:cs="Arial"/>
          <w:sz w:val="20"/>
          <w:szCs w:val="20"/>
          <w:lang w:val="en-GB"/>
        </w:rPr>
        <w:t xml:space="preserve"> have been classified in risk classes instead of (historically motivated) generations. The CHC subject to the referral can be found in risk class (RC) I (</w:t>
      </w:r>
      <w:proofErr w:type="spellStart"/>
      <w:r w:rsidRPr="00B54E43">
        <w:rPr>
          <w:rFonts w:ascii="Arial" w:hAnsi="Arial" w:cs="Arial"/>
          <w:sz w:val="20"/>
          <w:szCs w:val="20"/>
          <w:lang w:val="en-GB"/>
        </w:rPr>
        <w:t>norgestimate</w:t>
      </w:r>
      <w:proofErr w:type="spellEnd"/>
      <w:r w:rsidRPr="00B54E43">
        <w:rPr>
          <w:rFonts w:ascii="Arial" w:hAnsi="Arial" w:cs="Arial"/>
          <w:sz w:val="20"/>
          <w:szCs w:val="20"/>
          <w:lang w:val="en-GB"/>
        </w:rPr>
        <w:t>), III (</w:t>
      </w:r>
      <w:proofErr w:type="spellStart"/>
      <w:r w:rsidRPr="00B54E43">
        <w:rPr>
          <w:rFonts w:ascii="Arial" w:hAnsi="Arial" w:cs="Arial"/>
          <w:sz w:val="20"/>
          <w:szCs w:val="20"/>
          <w:lang w:val="en-GB"/>
        </w:rPr>
        <w:t>desogestrel</w:t>
      </w:r>
      <w:proofErr w:type="spellEnd"/>
      <w:r w:rsidRPr="00B54E43">
        <w:rPr>
          <w:rFonts w:ascii="Arial" w:hAnsi="Arial" w:cs="Arial"/>
          <w:sz w:val="20"/>
          <w:szCs w:val="20"/>
          <w:lang w:val="en-GB"/>
        </w:rPr>
        <w:t xml:space="preserve">, </w:t>
      </w:r>
      <w:proofErr w:type="spellStart"/>
      <w:r w:rsidRPr="00B54E43">
        <w:rPr>
          <w:rFonts w:ascii="Arial" w:hAnsi="Arial" w:cs="Arial"/>
          <w:sz w:val="20"/>
          <w:szCs w:val="20"/>
          <w:lang w:val="en-GB"/>
        </w:rPr>
        <w:t>gestoden</w:t>
      </w:r>
      <w:proofErr w:type="spellEnd"/>
      <w:r w:rsidRPr="00B54E43">
        <w:rPr>
          <w:rFonts w:ascii="Arial" w:hAnsi="Arial" w:cs="Arial"/>
          <w:sz w:val="20"/>
          <w:szCs w:val="20"/>
          <w:lang w:val="en-GB"/>
        </w:rPr>
        <w:t xml:space="preserve">, </w:t>
      </w:r>
      <w:proofErr w:type="spellStart"/>
      <w:r w:rsidRPr="00B54E43">
        <w:rPr>
          <w:rFonts w:ascii="Arial" w:hAnsi="Arial" w:cs="Arial"/>
          <w:sz w:val="20"/>
          <w:szCs w:val="20"/>
          <w:lang w:val="en-GB"/>
        </w:rPr>
        <w:t>drospirenone</w:t>
      </w:r>
      <w:proofErr w:type="spellEnd"/>
      <w:r w:rsidRPr="00B54E43">
        <w:rPr>
          <w:rFonts w:ascii="Arial" w:hAnsi="Arial" w:cs="Arial"/>
          <w:sz w:val="20"/>
          <w:szCs w:val="20"/>
          <w:lang w:val="en-GB"/>
        </w:rPr>
        <w:t>), and X (</w:t>
      </w:r>
      <w:proofErr w:type="spellStart"/>
      <w:r w:rsidRPr="00B54E43">
        <w:rPr>
          <w:rFonts w:ascii="Arial" w:hAnsi="Arial" w:cs="Arial"/>
          <w:sz w:val="20"/>
          <w:szCs w:val="20"/>
          <w:lang w:val="en-GB"/>
        </w:rPr>
        <w:t>nomegestrol</w:t>
      </w:r>
      <w:proofErr w:type="spellEnd"/>
      <w:r w:rsidRPr="00B54E43">
        <w:rPr>
          <w:rFonts w:ascii="Arial" w:hAnsi="Arial" w:cs="Arial"/>
          <w:sz w:val="20"/>
          <w:szCs w:val="20"/>
          <w:lang w:val="en-GB"/>
        </w:rPr>
        <w:t xml:space="preserve">, chlormadinone, </w:t>
      </w:r>
      <w:proofErr w:type="spellStart"/>
      <w:r w:rsidRPr="00B54E43">
        <w:rPr>
          <w:rFonts w:ascii="Arial" w:hAnsi="Arial" w:cs="Arial"/>
          <w:sz w:val="20"/>
          <w:szCs w:val="20"/>
          <w:lang w:val="en-GB"/>
        </w:rPr>
        <w:t>dienogest</w:t>
      </w:r>
      <w:proofErr w:type="spellEnd"/>
      <w:r w:rsidRPr="00B54E43">
        <w:rPr>
          <w:rFonts w:ascii="Arial" w:hAnsi="Arial" w:cs="Arial"/>
          <w:sz w:val="20"/>
          <w:szCs w:val="20"/>
          <w:lang w:val="en-GB"/>
        </w:rPr>
        <w:t>). Risk class III shows a higher risk for venous thromboembolism (VTE) than class I</w:t>
      </w:r>
      <w:r w:rsidRPr="00B54E43">
        <w:rPr>
          <w:rFonts w:ascii="Arial" w:hAnsi="Arial" w:cs="Arial"/>
          <w:sz w:val="20"/>
          <w:szCs w:val="20"/>
          <w:vertAlign w:val="superscript"/>
          <w:lang w:val="en-GB"/>
        </w:rPr>
        <w:t>7,8</w:t>
      </w:r>
      <w:r w:rsidRPr="00B54E43">
        <w:rPr>
          <w:rFonts w:ascii="Arial" w:hAnsi="Arial" w:cs="Arial"/>
          <w:sz w:val="20"/>
          <w:szCs w:val="20"/>
          <w:lang w:val="en-GB"/>
        </w:rPr>
        <w:t>. For risk class X</w:t>
      </w:r>
      <w:r w:rsidR="00265320">
        <w:rPr>
          <w:rFonts w:ascii="Arial" w:hAnsi="Arial" w:cs="Arial"/>
          <w:sz w:val="20"/>
          <w:szCs w:val="20"/>
          <w:lang w:val="en-GB"/>
        </w:rPr>
        <w:t>,</w:t>
      </w:r>
      <w:r w:rsidRPr="00B54E43">
        <w:rPr>
          <w:rFonts w:ascii="Arial" w:hAnsi="Arial" w:cs="Arial"/>
          <w:sz w:val="20"/>
          <w:szCs w:val="20"/>
          <w:lang w:val="en-GB"/>
        </w:rPr>
        <w:t xml:space="preserve"> no final assessment of VTE risk has been made. Risk assessment must </w:t>
      </w:r>
      <w:proofErr w:type="gramStart"/>
      <w:r w:rsidRPr="00B54E43">
        <w:rPr>
          <w:rFonts w:ascii="Arial" w:hAnsi="Arial" w:cs="Arial"/>
          <w:sz w:val="20"/>
          <w:szCs w:val="20"/>
          <w:lang w:val="en-GB"/>
        </w:rPr>
        <w:t>take into account</w:t>
      </w:r>
      <w:proofErr w:type="gramEnd"/>
      <w:r w:rsidRPr="00B54E43">
        <w:rPr>
          <w:rFonts w:ascii="Arial" w:hAnsi="Arial" w:cs="Arial"/>
          <w:sz w:val="20"/>
          <w:szCs w:val="20"/>
          <w:lang w:val="en-GB"/>
        </w:rPr>
        <w:t xml:space="preserve"> that these </w:t>
      </w:r>
      <w:r w:rsidR="00265320">
        <w:rPr>
          <w:rFonts w:ascii="Arial" w:hAnsi="Arial" w:cs="Arial"/>
          <w:sz w:val="20"/>
          <w:szCs w:val="20"/>
          <w:lang w:val="en-GB"/>
        </w:rPr>
        <w:t>CHCs</w:t>
      </w:r>
      <w:r w:rsidRPr="00B54E43">
        <w:rPr>
          <w:rFonts w:ascii="Arial" w:hAnsi="Arial" w:cs="Arial"/>
          <w:sz w:val="20"/>
          <w:szCs w:val="20"/>
          <w:lang w:val="en-GB"/>
        </w:rPr>
        <w:t xml:space="preserve"> are typically taken for many years</w:t>
      </w:r>
      <w:r w:rsidR="00265320">
        <w:rPr>
          <w:rFonts w:ascii="Arial" w:hAnsi="Arial" w:cs="Arial"/>
          <w:sz w:val="20"/>
          <w:szCs w:val="20"/>
          <w:lang w:val="en-GB"/>
        </w:rPr>
        <w:t xml:space="preserve"> by women</w:t>
      </w:r>
      <w:r w:rsidRPr="00B54E43">
        <w:rPr>
          <w:rFonts w:ascii="Arial" w:hAnsi="Arial" w:cs="Arial"/>
          <w:sz w:val="20"/>
          <w:szCs w:val="20"/>
          <w:lang w:val="en-GB"/>
        </w:rPr>
        <w:t xml:space="preserve">. Various epidemiological studies have shown that 60% of young women use oral contraception already at the age of 17, and </w:t>
      </w:r>
      <w:r w:rsidR="00F34871">
        <w:rPr>
          <w:rFonts w:ascii="Arial" w:hAnsi="Arial" w:cs="Arial"/>
          <w:sz w:val="20"/>
          <w:szCs w:val="20"/>
          <w:lang w:val="en-GB"/>
        </w:rPr>
        <w:t xml:space="preserve">by </w:t>
      </w:r>
      <w:r w:rsidR="0087153E">
        <w:rPr>
          <w:rFonts w:ascii="Arial" w:hAnsi="Arial" w:cs="Arial"/>
          <w:sz w:val="20"/>
          <w:szCs w:val="20"/>
          <w:lang w:val="en-GB"/>
        </w:rPr>
        <w:t xml:space="preserve">aged </w:t>
      </w:r>
      <w:r w:rsidRPr="00B54E43">
        <w:rPr>
          <w:rFonts w:ascii="Arial" w:hAnsi="Arial" w:cs="Arial"/>
          <w:sz w:val="20"/>
          <w:szCs w:val="20"/>
          <w:lang w:val="en-GB"/>
        </w:rPr>
        <w:t>19 th</w:t>
      </w:r>
      <w:r w:rsidR="00F34871">
        <w:rPr>
          <w:rFonts w:ascii="Arial" w:hAnsi="Arial" w:cs="Arial"/>
          <w:sz w:val="20"/>
          <w:szCs w:val="20"/>
          <w:lang w:val="en-GB"/>
        </w:rPr>
        <w:t>is rises to</w:t>
      </w:r>
      <w:r w:rsidRPr="00B54E43">
        <w:rPr>
          <w:rFonts w:ascii="Arial" w:hAnsi="Arial" w:cs="Arial"/>
          <w:sz w:val="20"/>
          <w:szCs w:val="20"/>
          <w:lang w:val="en-GB"/>
        </w:rPr>
        <w:t xml:space="preserve"> 80%</w:t>
      </w:r>
      <w:r w:rsidRPr="00B54E43">
        <w:rPr>
          <w:rFonts w:ascii="Arial" w:hAnsi="Arial" w:cs="Arial"/>
          <w:sz w:val="20"/>
          <w:szCs w:val="20"/>
          <w:vertAlign w:val="superscript"/>
          <w:lang w:val="en-GB"/>
        </w:rPr>
        <w:t>1,9</w:t>
      </w:r>
      <w:r w:rsidRPr="00B54E43">
        <w:rPr>
          <w:rFonts w:ascii="Arial" w:hAnsi="Arial" w:cs="Arial"/>
          <w:sz w:val="20"/>
          <w:szCs w:val="20"/>
          <w:lang w:val="en-GB"/>
        </w:rPr>
        <w:t>.</w:t>
      </w:r>
    </w:p>
    <w:p w14:paraId="4D41126D" w14:textId="77777777" w:rsidR="00D01830" w:rsidRPr="00B54E43" w:rsidRDefault="00D01830" w:rsidP="00B54E43">
      <w:pPr>
        <w:pStyle w:val="NoSpacing"/>
        <w:rPr>
          <w:rFonts w:ascii="Arial" w:hAnsi="Arial" w:cs="Arial"/>
          <w:sz w:val="20"/>
          <w:szCs w:val="20"/>
          <w:lang w:val="en-GB"/>
        </w:rPr>
      </w:pPr>
    </w:p>
    <w:p w14:paraId="546CC1FA" w14:textId="254C6D2F" w:rsidR="00D01830" w:rsidRPr="00B54E43" w:rsidRDefault="00D01830" w:rsidP="00B54E43">
      <w:pPr>
        <w:pStyle w:val="NoSpacing"/>
        <w:rPr>
          <w:rFonts w:ascii="Arial" w:hAnsi="Arial" w:cs="Arial"/>
          <w:sz w:val="20"/>
          <w:szCs w:val="20"/>
          <w:lang w:val="en-GB"/>
        </w:rPr>
      </w:pPr>
      <w:r w:rsidRPr="00B54E43">
        <w:rPr>
          <w:rFonts w:ascii="Arial" w:hAnsi="Arial" w:cs="Arial"/>
          <w:sz w:val="20"/>
          <w:szCs w:val="20"/>
          <w:lang w:val="en-GB"/>
        </w:rPr>
        <w:t>CHC prescribing patterns have been the subject of various studies, both nationally and internationally</w:t>
      </w:r>
      <w:r w:rsidRPr="00B54E43">
        <w:rPr>
          <w:rFonts w:ascii="Arial" w:hAnsi="Arial" w:cs="Arial"/>
          <w:sz w:val="20"/>
          <w:szCs w:val="20"/>
          <w:vertAlign w:val="superscript"/>
          <w:lang w:val="en-GB"/>
        </w:rPr>
        <w:t>9</w:t>
      </w:r>
      <w:r w:rsidR="00D148CD">
        <w:rPr>
          <w:rFonts w:ascii="Arial" w:hAnsi="Arial" w:cs="Arial"/>
          <w:sz w:val="20"/>
          <w:szCs w:val="20"/>
          <w:vertAlign w:val="superscript"/>
          <w:lang w:val="en-GB"/>
        </w:rPr>
        <w:t>-</w:t>
      </w:r>
      <w:r w:rsidRPr="00B54E43">
        <w:rPr>
          <w:rFonts w:ascii="Arial" w:hAnsi="Arial" w:cs="Arial"/>
          <w:sz w:val="20"/>
          <w:szCs w:val="20"/>
          <w:vertAlign w:val="superscript"/>
          <w:lang w:val="en-GB"/>
        </w:rPr>
        <w:t>13</w:t>
      </w:r>
      <w:r w:rsidRPr="00B54E43">
        <w:rPr>
          <w:rFonts w:ascii="Arial" w:hAnsi="Arial" w:cs="Arial"/>
          <w:sz w:val="20"/>
          <w:szCs w:val="20"/>
          <w:lang w:val="en-GB"/>
        </w:rPr>
        <w:t xml:space="preserve">, including in the context of guidelines for the choice of </w:t>
      </w:r>
      <w:r w:rsidR="008D33EE">
        <w:rPr>
          <w:rFonts w:ascii="Arial" w:hAnsi="Arial" w:cs="Arial"/>
          <w:sz w:val="20"/>
          <w:szCs w:val="20"/>
          <w:lang w:val="en-GB"/>
        </w:rPr>
        <w:t>hormone</w:t>
      </w:r>
      <w:r w:rsidRPr="00B54E43">
        <w:rPr>
          <w:rFonts w:ascii="Arial" w:hAnsi="Arial" w:cs="Arial"/>
          <w:sz w:val="20"/>
          <w:szCs w:val="20"/>
          <w:vertAlign w:val="superscript"/>
          <w:lang w:val="en-GB"/>
        </w:rPr>
        <w:t>14,15</w:t>
      </w:r>
      <w:r w:rsidRPr="00B54E43">
        <w:rPr>
          <w:rFonts w:ascii="Arial" w:hAnsi="Arial" w:cs="Arial"/>
          <w:sz w:val="20"/>
          <w:szCs w:val="20"/>
          <w:lang w:val="en-GB"/>
        </w:rPr>
        <w:t xml:space="preserve">. Developments </w:t>
      </w:r>
      <w:r w:rsidR="008D33EE">
        <w:rPr>
          <w:rFonts w:ascii="Arial" w:hAnsi="Arial" w:cs="Arial"/>
          <w:sz w:val="20"/>
          <w:szCs w:val="20"/>
          <w:lang w:val="en-GB"/>
        </w:rPr>
        <w:t xml:space="preserve">though </w:t>
      </w:r>
      <w:r w:rsidRPr="00B54E43">
        <w:rPr>
          <w:rFonts w:ascii="Arial" w:hAnsi="Arial" w:cs="Arial"/>
          <w:sz w:val="20"/>
          <w:szCs w:val="20"/>
          <w:lang w:val="en-GB"/>
        </w:rPr>
        <w:t xml:space="preserve">differ between countries. To the best of our knowledge, </w:t>
      </w:r>
      <w:r w:rsidR="008D33EE">
        <w:rPr>
          <w:rFonts w:ascii="Arial" w:hAnsi="Arial" w:cs="Arial"/>
          <w:sz w:val="20"/>
          <w:szCs w:val="20"/>
          <w:lang w:val="en-GB"/>
        </w:rPr>
        <w:t xml:space="preserve">in </w:t>
      </w:r>
      <w:r w:rsidRPr="00B54E43">
        <w:rPr>
          <w:rFonts w:ascii="Arial" w:hAnsi="Arial" w:cs="Arial"/>
          <w:sz w:val="20"/>
          <w:szCs w:val="20"/>
          <w:lang w:val="en-GB"/>
        </w:rPr>
        <w:t>Germany the impact of the referral process has not yet been studied. This study aims therefore to analyse whether the referral process</w:t>
      </w:r>
      <w:r w:rsidR="008D33EE">
        <w:rPr>
          <w:rFonts w:ascii="Arial" w:hAnsi="Arial" w:cs="Arial"/>
          <w:sz w:val="20"/>
          <w:szCs w:val="20"/>
          <w:lang w:val="en-GB"/>
        </w:rPr>
        <w:t>,</w:t>
      </w:r>
      <w:r w:rsidRPr="00B54E43">
        <w:rPr>
          <w:rFonts w:ascii="Arial" w:hAnsi="Arial" w:cs="Arial"/>
          <w:sz w:val="20"/>
          <w:szCs w:val="20"/>
          <w:lang w:val="en-GB"/>
        </w:rPr>
        <w:t xml:space="preserve"> and the subsequent obligation for implementation of the pharmacovigilance measures</w:t>
      </w:r>
      <w:r w:rsidR="008D33EE">
        <w:rPr>
          <w:rFonts w:ascii="Arial" w:hAnsi="Arial" w:cs="Arial"/>
          <w:sz w:val="20"/>
          <w:szCs w:val="20"/>
          <w:lang w:val="en-GB"/>
        </w:rPr>
        <w:t>,</w:t>
      </w:r>
      <w:r w:rsidRPr="00B54E43">
        <w:rPr>
          <w:rFonts w:ascii="Arial" w:hAnsi="Arial" w:cs="Arial"/>
          <w:sz w:val="20"/>
          <w:szCs w:val="20"/>
          <w:lang w:val="en-GB"/>
        </w:rPr>
        <w:t xml:space="preserve"> led to a change in CHC prescribing patterns. T</w:t>
      </w:r>
      <w:r w:rsidR="008D33EE">
        <w:rPr>
          <w:rFonts w:ascii="Arial" w:hAnsi="Arial" w:cs="Arial"/>
          <w:sz w:val="20"/>
          <w:szCs w:val="20"/>
          <w:lang w:val="en-GB"/>
        </w:rPr>
        <w:t>his is important no</w:t>
      </w:r>
      <w:r w:rsidR="0087153E">
        <w:rPr>
          <w:rFonts w:ascii="Arial" w:hAnsi="Arial" w:cs="Arial"/>
          <w:sz w:val="20"/>
          <w:szCs w:val="20"/>
          <w:lang w:val="en-GB"/>
        </w:rPr>
        <w:t>t</w:t>
      </w:r>
      <w:r w:rsidR="008D33EE">
        <w:rPr>
          <w:rFonts w:ascii="Arial" w:hAnsi="Arial" w:cs="Arial"/>
          <w:sz w:val="20"/>
          <w:szCs w:val="20"/>
          <w:lang w:val="en-GB"/>
        </w:rPr>
        <w:t xml:space="preserve"> only </w:t>
      </w:r>
      <w:r w:rsidR="0087153E">
        <w:rPr>
          <w:rFonts w:ascii="Arial" w:hAnsi="Arial" w:cs="Arial"/>
          <w:sz w:val="20"/>
          <w:szCs w:val="20"/>
          <w:lang w:val="en-GB"/>
        </w:rPr>
        <w:t xml:space="preserve">to </w:t>
      </w:r>
      <w:r w:rsidR="008D33EE">
        <w:rPr>
          <w:rFonts w:ascii="Arial" w:hAnsi="Arial" w:cs="Arial"/>
          <w:sz w:val="20"/>
          <w:szCs w:val="20"/>
          <w:lang w:val="en-GB"/>
        </w:rPr>
        <w:t>update current prescribing practices for CHCs in the most populous European country, but also emphasise whether additional pertinent interventions are needed to improve the prescribing of CHCs in Germany and wider.</w:t>
      </w:r>
    </w:p>
    <w:p w14:paraId="6B5A809D" w14:textId="77777777" w:rsidR="00D01830" w:rsidRPr="00B54E43" w:rsidRDefault="00D01830" w:rsidP="00B54E43">
      <w:pPr>
        <w:pStyle w:val="NoSpacing"/>
        <w:rPr>
          <w:rFonts w:ascii="Arial" w:hAnsi="Arial" w:cs="Arial"/>
          <w:sz w:val="20"/>
          <w:szCs w:val="20"/>
          <w:lang w:val="en-GB"/>
        </w:rPr>
      </w:pPr>
    </w:p>
    <w:p w14:paraId="0A04FD5A" w14:textId="41BD8DAB" w:rsidR="00D01830" w:rsidRPr="008D33EE" w:rsidRDefault="00D01830" w:rsidP="008D33EE">
      <w:pPr>
        <w:pStyle w:val="NoSpacing"/>
        <w:numPr>
          <w:ilvl w:val="0"/>
          <w:numId w:val="13"/>
        </w:numPr>
        <w:rPr>
          <w:rFonts w:ascii="Arial" w:hAnsi="Arial" w:cs="Arial"/>
          <w:b/>
          <w:sz w:val="20"/>
          <w:szCs w:val="20"/>
          <w:lang w:val="en-GB"/>
        </w:rPr>
      </w:pPr>
      <w:r w:rsidRPr="008D33EE">
        <w:rPr>
          <w:rFonts w:ascii="Arial" w:hAnsi="Arial" w:cs="Arial"/>
          <w:b/>
          <w:sz w:val="20"/>
          <w:szCs w:val="20"/>
          <w:lang w:val="en-GB"/>
        </w:rPr>
        <w:t>Material and methods</w:t>
      </w:r>
    </w:p>
    <w:p w14:paraId="6FC67C45" w14:textId="77777777" w:rsidR="008D33EE" w:rsidRDefault="008D33EE" w:rsidP="00B54E43">
      <w:pPr>
        <w:pStyle w:val="NoSpacing"/>
        <w:rPr>
          <w:rFonts w:ascii="Arial" w:hAnsi="Arial" w:cs="Arial"/>
          <w:i/>
          <w:sz w:val="20"/>
          <w:szCs w:val="20"/>
          <w:lang w:val="en-GB"/>
        </w:rPr>
      </w:pPr>
    </w:p>
    <w:p w14:paraId="7C7811F9" w14:textId="39D5C216" w:rsidR="00D01830" w:rsidRPr="008D33EE" w:rsidRDefault="008D33EE" w:rsidP="00B54E43">
      <w:pPr>
        <w:pStyle w:val="NoSpacing"/>
        <w:rPr>
          <w:rFonts w:ascii="Arial" w:hAnsi="Arial" w:cs="Arial"/>
          <w:b/>
          <w:i/>
          <w:sz w:val="20"/>
          <w:szCs w:val="20"/>
          <w:lang w:val="en-GB"/>
        </w:rPr>
      </w:pPr>
      <w:r w:rsidRPr="008D33EE">
        <w:rPr>
          <w:rFonts w:ascii="Arial" w:hAnsi="Arial" w:cs="Arial"/>
          <w:b/>
          <w:i/>
          <w:sz w:val="20"/>
          <w:szCs w:val="20"/>
          <w:lang w:val="en-GB"/>
        </w:rPr>
        <w:t xml:space="preserve">2.1 </w:t>
      </w:r>
      <w:r w:rsidR="00D01830" w:rsidRPr="008D33EE">
        <w:rPr>
          <w:rFonts w:ascii="Arial" w:hAnsi="Arial" w:cs="Arial"/>
          <w:b/>
          <w:i/>
          <w:sz w:val="20"/>
          <w:szCs w:val="20"/>
          <w:lang w:val="en-GB"/>
        </w:rPr>
        <w:t>Data and study population:</w:t>
      </w:r>
    </w:p>
    <w:p w14:paraId="2ADBC5BD" w14:textId="6E5DA29F" w:rsidR="00D01830" w:rsidRPr="00B54E43" w:rsidRDefault="00D01830" w:rsidP="00B54E43">
      <w:pPr>
        <w:pStyle w:val="NoSpacing"/>
        <w:rPr>
          <w:rFonts w:ascii="Arial" w:hAnsi="Arial" w:cs="Arial"/>
          <w:sz w:val="20"/>
          <w:szCs w:val="20"/>
          <w:lang w:val="en-GB"/>
        </w:rPr>
      </w:pPr>
      <w:r w:rsidRPr="00B54E43">
        <w:rPr>
          <w:rFonts w:ascii="Arial" w:hAnsi="Arial" w:cs="Arial"/>
          <w:sz w:val="20"/>
          <w:szCs w:val="20"/>
          <w:lang w:val="en-GB"/>
        </w:rPr>
        <w:t>Two data sources were employed</w:t>
      </w:r>
      <w:r w:rsidR="008D33EE">
        <w:rPr>
          <w:rFonts w:ascii="Arial" w:hAnsi="Arial" w:cs="Arial"/>
          <w:sz w:val="20"/>
          <w:szCs w:val="20"/>
          <w:lang w:val="en-GB"/>
        </w:rPr>
        <w:t xml:space="preserve">. </w:t>
      </w:r>
      <w:r w:rsidRPr="00B54E43">
        <w:rPr>
          <w:rFonts w:ascii="Arial" w:hAnsi="Arial" w:cs="Arial"/>
          <w:sz w:val="20"/>
          <w:szCs w:val="20"/>
          <w:lang w:val="en-GB"/>
        </w:rPr>
        <w:t xml:space="preserve">In order to be able to make conclusions for all CHC recipients independent of the specific health care fund </w:t>
      </w:r>
      <w:r w:rsidR="008D33EE">
        <w:rPr>
          <w:rFonts w:ascii="Arial" w:hAnsi="Arial" w:cs="Arial"/>
          <w:sz w:val="20"/>
          <w:szCs w:val="20"/>
          <w:lang w:val="en-GB"/>
        </w:rPr>
        <w:t>women</w:t>
      </w:r>
      <w:r w:rsidRPr="00B54E43">
        <w:rPr>
          <w:rFonts w:ascii="Arial" w:hAnsi="Arial" w:cs="Arial"/>
          <w:sz w:val="20"/>
          <w:szCs w:val="20"/>
          <w:lang w:val="en-GB"/>
        </w:rPr>
        <w:t xml:space="preserve"> are covered by</w:t>
      </w:r>
      <w:r w:rsidRPr="00B54E43">
        <w:rPr>
          <w:rFonts w:ascii="Arial" w:hAnsi="Arial" w:cs="Arial"/>
          <w:sz w:val="20"/>
          <w:szCs w:val="20"/>
          <w:vertAlign w:val="superscript"/>
          <w:lang w:val="en-GB"/>
        </w:rPr>
        <w:t>16</w:t>
      </w:r>
      <w:r w:rsidRPr="00B54E43">
        <w:rPr>
          <w:rFonts w:ascii="Arial" w:hAnsi="Arial" w:cs="Arial"/>
          <w:sz w:val="20"/>
          <w:szCs w:val="20"/>
          <w:lang w:val="en-GB"/>
        </w:rPr>
        <w:t>, nation-wide prescription data of the German Statutory Health Insurance Rapid Drugs Information (</w:t>
      </w:r>
      <w:proofErr w:type="spellStart"/>
      <w:r w:rsidRPr="00B54E43">
        <w:rPr>
          <w:rFonts w:ascii="Arial" w:hAnsi="Arial" w:cs="Arial"/>
          <w:sz w:val="20"/>
          <w:szCs w:val="20"/>
          <w:lang w:val="en-GB"/>
        </w:rPr>
        <w:t>GAmSi</w:t>
      </w:r>
      <w:proofErr w:type="spellEnd"/>
      <w:r w:rsidRPr="00B54E43">
        <w:rPr>
          <w:rFonts w:ascii="Arial" w:hAnsi="Arial" w:cs="Arial"/>
          <w:sz w:val="20"/>
          <w:szCs w:val="20"/>
          <w:lang w:val="en-GB"/>
        </w:rPr>
        <w:t>) were analysed</w:t>
      </w:r>
      <w:r w:rsidR="008D33EE">
        <w:rPr>
          <w:rFonts w:ascii="Arial" w:hAnsi="Arial" w:cs="Arial"/>
          <w:sz w:val="20"/>
          <w:szCs w:val="20"/>
          <w:lang w:val="en-GB"/>
        </w:rPr>
        <w:t xml:space="preserve">. These </w:t>
      </w:r>
      <w:r w:rsidRPr="00B54E43">
        <w:rPr>
          <w:rFonts w:ascii="Arial" w:hAnsi="Arial" w:cs="Arial"/>
          <w:sz w:val="20"/>
          <w:szCs w:val="20"/>
          <w:lang w:val="en-GB"/>
        </w:rPr>
        <w:t>are routinely collected as stipulated by law (article 84 section 5 of Social Code Book vol. V). These data, which are gathered through the pharmacy computing centres, are completely anonymous, i</w:t>
      </w:r>
      <w:r w:rsidR="008D33EE">
        <w:rPr>
          <w:rFonts w:ascii="Arial" w:hAnsi="Arial" w:cs="Arial"/>
          <w:sz w:val="20"/>
          <w:szCs w:val="20"/>
          <w:lang w:val="en-GB"/>
        </w:rPr>
        <w:t>.</w:t>
      </w:r>
      <w:r w:rsidRPr="00B54E43">
        <w:rPr>
          <w:rFonts w:ascii="Arial" w:hAnsi="Arial" w:cs="Arial"/>
          <w:sz w:val="20"/>
          <w:szCs w:val="20"/>
          <w:lang w:val="en-GB"/>
        </w:rPr>
        <w:t xml:space="preserve">e. they contain no reference to individuals. For </w:t>
      </w:r>
      <w:r w:rsidR="008D33EE">
        <w:rPr>
          <w:rFonts w:ascii="Arial" w:hAnsi="Arial" w:cs="Arial"/>
          <w:sz w:val="20"/>
          <w:szCs w:val="20"/>
          <w:lang w:val="en-GB"/>
        </w:rPr>
        <w:t>approximately</w:t>
      </w:r>
      <w:r w:rsidRPr="00B54E43">
        <w:rPr>
          <w:rFonts w:ascii="Arial" w:hAnsi="Arial" w:cs="Arial"/>
          <w:sz w:val="20"/>
          <w:szCs w:val="20"/>
          <w:lang w:val="en-GB"/>
        </w:rPr>
        <w:t xml:space="preserve"> 3.3 million female </w:t>
      </w:r>
      <w:proofErr w:type="spellStart"/>
      <w:r w:rsidRPr="00B54E43">
        <w:rPr>
          <w:rFonts w:ascii="Arial" w:hAnsi="Arial" w:cs="Arial"/>
          <w:sz w:val="20"/>
          <w:szCs w:val="20"/>
          <w:lang w:val="en-GB"/>
        </w:rPr>
        <w:t>insurees</w:t>
      </w:r>
      <w:proofErr w:type="spellEnd"/>
      <w:r w:rsidRPr="00B54E43">
        <w:rPr>
          <w:rFonts w:ascii="Arial" w:hAnsi="Arial" w:cs="Arial"/>
          <w:sz w:val="20"/>
          <w:szCs w:val="20"/>
          <w:lang w:val="en-GB"/>
        </w:rPr>
        <w:t xml:space="preserve"> aged between 10 and under 20</w:t>
      </w:r>
      <w:r w:rsidR="008D33EE">
        <w:rPr>
          <w:rFonts w:ascii="Arial" w:hAnsi="Arial" w:cs="Arial"/>
          <w:sz w:val="20"/>
          <w:szCs w:val="20"/>
          <w:lang w:val="en-GB"/>
        </w:rPr>
        <w:t>,</w:t>
      </w:r>
      <w:r w:rsidRPr="00B54E43">
        <w:rPr>
          <w:rFonts w:ascii="Arial" w:hAnsi="Arial" w:cs="Arial"/>
          <w:sz w:val="20"/>
          <w:szCs w:val="20"/>
          <w:lang w:val="en-GB"/>
        </w:rPr>
        <w:t xml:space="preserve"> analyses can be broken down by substance, patients’ age, region (of doctors’ offices) and physician specialty. Results are presented per 1000 insured women in the age group. As an additional data set</w:t>
      </w:r>
      <w:r w:rsidR="008D33EE">
        <w:rPr>
          <w:rFonts w:ascii="Arial" w:hAnsi="Arial" w:cs="Arial"/>
          <w:sz w:val="20"/>
          <w:szCs w:val="20"/>
          <w:lang w:val="en-GB"/>
        </w:rPr>
        <w:t>,</w:t>
      </w:r>
      <w:r w:rsidRPr="00B54E43">
        <w:rPr>
          <w:rFonts w:ascii="Arial" w:hAnsi="Arial" w:cs="Arial"/>
          <w:sz w:val="20"/>
          <w:szCs w:val="20"/>
          <w:lang w:val="en-GB"/>
        </w:rPr>
        <w:t xml:space="preserve"> we used nation-wide data (so-called </w:t>
      </w:r>
      <w:proofErr w:type="spellStart"/>
      <w:r w:rsidRPr="00B54E43">
        <w:rPr>
          <w:rFonts w:ascii="Arial" w:hAnsi="Arial" w:cs="Arial"/>
          <w:sz w:val="20"/>
          <w:szCs w:val="20"/>
          <w:lang w:val="en-GB"/>
        </w:rPr>
        <w:t>Act</w:t>
      </w:r>
      <w:r w:rsidRPr="00B54E43">
        <w:rPr>
          <w:rFonts w:ascii="Arial" w:hAnsi="Arial" w:cs="Arial"/>
          <w:i/>
          <w:sz w:val="20"/>
          <w:szCs w:val="20"/>
          <w:lang w:val="en-GB"/>
        </w:rPr>
        <w:t>rapid</w:t>
      </w:r>
      <w:proofErr w:type="spellEnd"/>
      <w:r w:rsidRPr="00B54E43">
        <w:rPr>
          <w:rFonts w:ascii="Arial" w:hAnsi="Arial" w:cs="Arial"/>
          <w:sz w:val="20"/>
          <w:szCs w:val="20"/>
          <w:lang w:val="en-GB"/>
        </w:rPr>
        <w:t>! data) of the largest German health care fund group, AOK, which includes an anonymous person identifier. CHC prescription data for 1.1 million women (2</w:t>
      </w:r>
      <w:r w:rsidRPr="00B54E43">
        <w:rPr>
          <w:rFonts w:ascii="Arial" w:hAnsi="Arial" w:cs="Arial"/>
          <w:sz w:val="20"/>
          <w:szCs w:val="20"/>
          <w:vertAlign w:val="superscript"/>
          <w:lang w:val="en-GB"/>
        </w:rPr>
        <w:t>nd</w:t>
      </w:r>
      <w:r w:rsidRPr="00B54E43">
        <w:rPr>
          <w:rFonts w:ascii="Arial" w:hAnsi="Arial" w:cs="Arial"/>
          <w:sz w:val="20"/>
          <w:szCs w:val="20"/>
          <w:lang w:val="en-GB"/>
        </w:rPr>
        <w:t xml:space="preserve"> quarter 2015) insured by AOK and aged between 10 and under 20 were used in order to assess </w:t>
      </w:r>
      <w:r w:rsidR="008D33EE">
        <w:rPr>
          <w:rFonts w:ascii="Arial" w:hAnsi="Arial" w:cs="Arial"/>
          <w:sz w:val="20"/>
          <w:szCs w:val="20"/>
          <w:lang w:val="en-GB"/>
        </w:rPr>
        <w:t xml:space="preserve">the </w:t>
      </w:r>
      <w:r w:rsidRPr="00B54E43">
        <w:rPr>
          <w:rFonts w:ascii="Arial" w:hAnsi="Arial" w:cs="Arial"/>
          <w:sz w:val="20"/>
          <w:szCs w:val="20"/>
          <w:lang w:val="en-GB"/>
        </w:rPr>
        <w:t>prevalence and incidence of treatment. Data included IDs for prescribing physicians, from which information on, e.g., physician specialty and region can be derived.</w:t>
      </w:r>
      <w:r w:rsidR="008A2789">
        <w:rPr>
          <w:rFonts w:ascii="Arial" w:hAnsi="Arial" w:cs="Arial"/>
          <w:sz w:val="20"/>
          <w:szCs w:val="20"/>
          <w:lang w:val="en-GB"/>
        </w:rPr>
        <w:t xml:space="preserve"> Since both data sources consist of fully anonymised health claims data without any reference to individual</w:t>
      </w:r>
      <w:r w:rsidR="00E06329">
        <w:rPr>
          <w:rFonts w:ascii="Arial" w:hAnsi="Arial" w:cs="Arial"/>
          <w:sz w:val="20"/>
          <w:szCs w:val="20"/>
          <w:lang w:val="en-GB"/>
        </w:rPr>
        <w:t>s</w:t>
      </w:r>
      <w:r w:rsidR="008A2789">
        <w:rPr>
          <w:rFonts w:ascii="Arial" w:hAnsi="Arial" w:cs="Arial"/>
          <w:sz w:val="20"/>
          <w:szCs w:val="20"/>
          <w:lang w:val="en-GB"/>
        </w:rPr>
        <w:t>, no ethics approval was needed.</w:t>
      </w:r>
    </w:p>
    <w:p w14:paraId="4C3D9FFA" w14:textId="77777777" w:rsidR="00D01830" w:rsidRPr="00B54E43" w:rsidRDefault="00D01830" w:rsidP="00B54E43">
      <w:pPr>
        <w:pStyle w:val="NoSpacing"/>
        <w:rPr>
          <w:rFonts w:ascii="Arial" w:hAnsi="Arial" w:cs="Arial"/>
          <w:sz w:val="20"/>
          <w:szCs w:val="20"/>
          <w:lang w:val="en-GB"/>
        </w:rPr>
      </w:pPr>
    </w:p>
    <w:p w14:paraId="732F1C20" w14:textId="0C6734B4" w:rsidR="00D01830" w:rsidRPr="00B54E43" w:rsidRDefault="00D01830" w:rsidP="00B54E43">
      <w:pPr>
        <w:pStyle w:val="NoSpacing"/>
        <w:rPr>
          <w:rFonts w:ascii="Arial" w:hAnsi="Arial" w:cs="Arial"/>
          <w:sz w:val="20"/>
          <w:szCs w:val="20"/>
          <w:lang w:val="en-GB"/>
        </w:rPr>
      </w:pPr>
      <w:r w:rsidRPr="00B54E43">
        <w:rPr>
          <w:rFonts w:ascii="Arial" w:hAnsi="Arial" w:cs="Arial"/>
          <w:sz w:val="20"/>
          <w:szCs w:val="20"/>
          <w:lang w:val="en-GB"/>
        </w:rPr>
        <w:t xml:space="preserve">The age group “10 to under 20 </w:t>
      </w:r>
      <w:proofErr w:type="gramStart"/>
      <w:r w:rsidRPr="00B54E43">
        <w:rPr>
          <w:rFonts w:ascii="Arial" w:hAnsi="Arial" w:cs="Arial"/>
          <w:sz w:val="20"/>
          <w:szCs w:val="20"/>
          <w:lang w:val="en-GB"/>
        </w:rPr>
        <w:t>years“ was</w:t>
      </w:r>
      <w:proofErr w:type="gramEnd"/>
      <w:r w:rsidRPr="00B54E43">
        <w:rPr>
          <w:rFonts w:ascii="Arial" w:hAnsi="Arial" w:cs="Arial"/>
          <w:sz w:val="20"/>
          <w:szCs w:val="20"/>
          <w:lang w:val="en-GB"/>
        </w:rPr>
        <w:t xml:space="preserve"> chosen to match previous German publications and information. The specific reason for this is that within the German statutory health insurance system, oral contraceptives are only reimbursed, with few exceptions, up to the 20</w:t>
      </w:r>
      <w:r w:rsidRPr="00B54E43">
        <w:rPr>
          <w:rFonts w:ascii="Arial" w:hAnsi="Arial" w:cs="Arial"/>
          <w:sz w:val="20"/>
          <w:szCs w:val="20"/>
          <w:vertAlign w:val="superscript"/>
          <w:lang w:val="en-GB"/>
        </w:rPr>
        <w:t>th</w:t>
      </w:r>
      <w:r w:rsidRPr="00B54E43">
        <w:rPr>
          <w:rFonts w:ascii="Arial" w:hAnsi="Arial" w:cs="Arial"/>
          <w:sz w:val="20"/>
          <w:szCs w:val="20"/>
          <w:lang w:val="en-GB"/>
        </w:rPr>
        <w:t xml:space="preserve"> birthday. Due to this</w:t>
      </w:r>
      <w:r w:rsidR="008D33EE">
        <w:rPr>
          <w:rFonts w:ascii="Arial" w:hAnsi="Arial" w:cs="Arial"/>
          <w:sz w:val="20"/>
          <w:szCs w:val="20"/>
          <w:lang w:val="en-GB"/>
        </w:rPr>
        <w:t>,</w:t>
      </w:r>
      <w:r w:rsidRPr="00B54E43">
        <w:rPr>
          <w:rFonts w:ascii="Arial" w:hAnsi="Arial" w:cs="Arial"/>
          <w:sz w:val="20"/>
          <w:szCs w:val="20"/>
          <w:lang w:val="en-GB"/>
        </w:rPr>
        <w:t xml:space="preserve"> there are no reliable health insurance routine data for other age groups.</w:t>
      </w:r>
      <w:r w:rsidR="008D33EE">
        <w:rPr>
          <w:rFonts w:ascii="Arial" w:hAnsi="Arial" w:cs="Arial"/>
          <w:sz w:val="20"/>
          <w:szCs w:val="20"/>
          <w:lang w:val="en-GB"/>
        </w:rPr>
        <w:t xml:space="preserve"> We also know from previous research that by </w:t>
      </w:r>
      <w:r w:rsidR="008D33EE" w:rsidRPr="00B54E43">
        <w:rPr>
          <w:rFonts w:ascii="Arial" w:hAnsi="Arial" w:cs="Arial"/>
          <w:sz w:val="20"/>
          <w:szCs w:val="20"/>
          <w:lang w:val="en-GB"/>
        </w:rPr>
        <w:t>the age of 19</w:t>
      </w:r>
      <w:r w:rsidR="008D33EE">
        <w:rPr>
          <w:rFonts w:ascii="Arial" w:hAnsi="Arial" w:cs="Arial"/>
          <w:sz w:val="20"/>
          <w:szCs w:val="20"/>
          <w:lang w:val="en-GB"/>
        </w:rPr>
        <w:t>,</w:t>
      </w:r>
      <w:r w:rsidR="008D33EE" w:rsidRPr="00B54E43">
        <w:rPr>
          <w:rFonts w:ascii="Arial" w:hAnsi="Arial" w:cs="Arial"/>
          <w:sz w:val="20"/>
          <w:szCs w:val="20"/>
          <w:lang w:val="en-GB"/>
        </w:rPr>
        <w:t xml:space="preserve"> 80%</w:t>
      </w:r>
      <w:r w:rsidR="008D33EE" w:rsidRPr="00B54E43">
        <w:rPr>
          <w:rFonts w:ascii="Arial" w:hAnsi="Arial" w:cs="Arial"/>
          <w:sz w:val="20"/>
          <w:szCs w:val="20"/>
          <w:vertAlign w:val="superscript"/>
          <w:lang w:val="en-GB"/>
        </w:rPr>
        <w:t>1,9</w:t>
      </w:r>
      <w:r w:rsidR="00F34871">
        <w:rPr>
          <w:rFonts w:ascii="Arial" w:hAnsi="Arial" w:cs="Arial"/>
          <w:sz w:val="20"/>
          <w:szCs w:val="20"/>
          <w:lang w:val="en-GB"/>
        </w:rPr>
        <w:t xml:space="preserve"> of young women use oral contraceptives.</w:t>
      </w:r>
      <w:r w:rsidR="003E2913">
        <w:rPr>
          <w:rFonts w:ascii="Arial" w:hAnsi="Arial" w:cs="Arial"/>
          <w:sz w:val="20"/>
          <w:szCs w:val="20"/>
          <w:lang w:val="en-GB"/>
        </w:rPr>
        <w:t xml:space="preserve"> Since girls under the age of 15 contribute only very little to overall CHC use, </w:t>
      </w:r>
      <w:r w:rsidR="00AE3D1D">
        <w:rPr>
          <w:rFonts w:ascii="Arial" w:hAnsi="Arial" w:cs="Arial"/>
          <w:sz w:val="20"/>
          <w:szCs w:val="20"/>
          <w:lang w:val="en-GB"/>
        </w:rPr>
        <w:t xml:space="preserve">we also include a description concentrating on the more relevant subgroup, i.e. </w:t>
      </w:r>
      <w:r w:rsidR="003E2913">
        <w:rPr>
          <w:rFonts w:ascii="Arial" w:hAnsi="Arial" w:cs="Arial"/>
          <w:sz w:val="20"/>
          <w:szCs w:val="20"/>
          <w:lang w:val="en-GB"/>
        </w:rPr>
        <w:t xml:space="preserve">15 </w:t>
      </w:r>
      <w:r w:rsidR="00AB2CA2">
        <w:rPr>
          <w:rFonts w:ascii="Arial" w:hAnsi="Arial" w:cs="Arial"/>
          <w:sz w:val="20"/>
          <w:szCs w:val="20"/>
          <w:lang w:val="en-GB"/>
        </w:rPr>
        <w:t xml:space="preserve">years </w:t>
      </w:r>
      <w:r w:rsidR="003E2913">
        <w:rPr>
          <w:rFonts w:ascii="Arial" w:hAnsi="Arial" w:cs="Arial"/>
          <w:sz w:val="20"/>
          <w:szCs w:val="20"/>
          <w:lang w:val="en-GB"/>
        </w:rPr>
        <w:t>to under 20</w:t>
      </w:r>
      <w:r w:rsidR="00AB2CA2">
        <w:rPr>
          <w:rFonts w:ascii="Arial" w:hAnsi="Arial" w:cs="Arial"/>
          <w:sz w:val="20"/>
          <w:szCs w:val="20"/>
          <w:lang w:val="en-GB"/>
        </w:rPr>
        <w:t xml:space="preserve"> years</w:t>
      </w:r>
      <w:r w:rsidR="003E2913">
        <w:rPr>
          <w:rFonts w:ascii="Arial" w:hAnsi="Arial" w:cs="Arial"/>
          <w:sz w:val="20"/>
          <w:szCs w:val="20"/>
          <w:lang w:val="en-GB"/>
        </w:rPr>
        <w:t xml:space="preserve">. </w:t>
      </w:r>
    </w:p>
    <w:p w14:paraId="7156DD73" w14:textId="77777777" w:rsidR="00D01830" w:rsidRPr="00B54E43" w:rsidRDefault="00D01830" w:rsidP="00B54E43">
      <w:pPr>
        <w:pStyle w:val="NoSpacing"/>
        <w:rPr>
          <w:rFonts w:ascii="Arial" w:hAnsi="Arial" w:cs="Arial"/>
          <w:sz w:val="20"/>
          <w:szCs w:val="20"/>
          <w:lang w:val="en-GB"/>
        </w:rPr>
      </w:pPr>
    </w:p>
    <w:p w14:paraId="2C7A7F49" w14:textId="1E7FE153" w:rsidR="00D01830" w:rsidRPr="00F34871" w:rsidRDefault="00F34871" w:rsidP="00B54E43">
      <w:pPr>
        <w:pStyle w:val="NoSpacing"/>
        <w:rPr>
          <w:rFonts w:ascii="Arial" w:hAnsi="Arial" w:cs="Arial"/>
          <w:b/>
          <w:i/>
          <w:sz w:val="20"/>
          <w:szCs w:val="20"/>
          <w:lang w:val="en-GB"/>
        </w:rPr>
      </w:pPr>
      <w:r w:rsidRPr="00F34871">
        <w:rPr>
          <w:rFonts w:ascii="Arial" w:hAnsi="Arial" w:cs="Arial"/>
          <w:b/>
          <w:i/>
          <w:sz w:val="20"/>
          <w:szCs w:val="20"/>
          <w:lang w:val="en-GB"/>
        </w:rPr>
        <w:t xml:space="preserve">2.2 </w:t>
      </w:r>
      <w:r>
        <w:rPr>
          <w:rFonts w:ascii="Arial" w:hAnsi="Arial" w:cs="Arial"/>
          <w:b/>
          <w:i/>
          <w:sz w:val="20"/>
          <w:szCs w:val="20"/>
          <w:lang w:val="en-GB"/>
        </w:rPr>
        <w:t>Hormonal s</w:t>
      </w:r>
      <w:r w:rsidR="00D01830" w:rsidRPr="00F34871">
        <w:rPr>
          <w:rFonts w:ascii="Arial" w:hAnsi="Arial" w:cs="Arial"/>
          <w:b/>
          <w:i/>
          <w:sz w:val="20"/>
          <w:szCs w:val="20"/>
          <w:lang w:val="en-GB"/>
        </w:rPr>
        <w:t>ubstances in this study and their classification:</w:t>
      </w:r>
    </w:p>
    <w:p w14:paraId="7271ECC2" w14:textId="771B614E" w:rsidR="00D01830" w:rsidRPr="00B54E43" w:rsidRDefault="00D01830" w:rsidP="00B54E43">
      <w:pPr>
        <w:pStyle w:val="NoSpacing"/>
        <w:rPr>
          <w:rFonts w:ascii="Arial" w:hAnsi="Arial" w:cs="Arial"/>
          <w:sz w:val="20"/>
          <w:szCs w:val="20"/>
          <w:lang w:val="en-GB"/>
        </w:rPr>
      </w:pPr>
      <w:r w:rsidRPr="00B54E43">
        <w:rPr>
          <w:rFonts w:ascii="Arial" w:hAnsi="Arial" w:cs="Arial"/>
          <w:sz w:val="20"/>
          <w:szCs w:val="20"/>
          <w:lang w:val="en-GB"/>
        </w:rPr>
        <w:t xml:space="preserve">The CHC studied are listed in Table 1, </w:t>
      </w:r>
      <w:r w:rsidR="00F34871">
        <w:rPr>
          <w:rFonts w:ascii="Arial" w:hAnsi="Arial" w:cs="Arial"/>
          <w:sz w:val="20"/>
          <w:szCs w:val="20"/>
          <w:lang w:val="en-GB"/>
        </w:rPr>
        <w:t xml:space="preserve">which also </w:t>
      </w:r>
      <w:r w:rsidRPr="00B54E43">
        <w:rPr>
          <w:rFonts w:ascii="Arial" w:hAnsi="Arial" w:cs="Arial"/>
          <w:sz w:val="20"/>
          <w:szCs w:val="20"/>
          <w:lang w:val="en-GB"/>
        </w:rPr>
        <w:t>stat</w:t>
      </w:r>
      <w:r w:rsidR="00F34871">
        <w:rPr>
          <w:rFonts w:ascii="Arial" w:hAnsi="Arial" w:cs="Arial"/>
          <w:sz w:val="20"/>
          <w:szCs w:val="20"/>
          <w:lang w:val="en-GB"/>
        </w:rPr>
        <w:t>es</w:t>
      </w:r>
      <w:r w:rsidRPr="00B54E43">
        <w:rPr>
          <w:rFonts w:ascii="Arial" w:hAnsi="Arial" w:cs="Arial"/>
          <w:sz w:val="20"/>
          <w:szCs w:val="20"/>
          <w:lang w:val="en-GB"/>
        </w:rPr>
        <w:t xml:space="preserve"> their risk class and generation.</w:t>
      </w:r>
    </w:p>
    <w:p w14:paraId="69480ECC" w14:textId="77777777" w:rsidR="00F34871" w:rsidRDefault="00F34871" w:rsidP="00B54E43">
      <w:pPr>
        <w:pStyle w:val="NoSpacing"/>
        <w:rPr>
          <w:rFonts w:ascii="Arial" w:hAnsi="Arial" w:cs="Arial"/>
          <w:i/>
          <w:sz w:val="20"/>
          <w:szCs w:val="20"/>
          <w:lang w:val="en-GB"/>
        </w:rPr>
      </w:pPr>
    </w:p>
    <w:p w14:paraId="1794B522" w14:textId="2AF3E294" w:rsidR="00D01830" w:rsidRPr="00F34871" w:rsidRDefault="00D01830" w:rsidP="00B54E43">
      <w:pPr>
        <w:pStyle w:val="NoSpacing"/>
        <w:rPr>
          <w:rFonts w:ascii="Arial" w:hAnsi="Arial" w:cs="Arial"/>
          <w:sz w:val="20"/>
          <w:szCs w:val="20"/>
          <w:lang w:val="en-GB"/>
        </w:rPr>
      </w:pPr>
      <w:r w:rsidRPr="00F34871">
        <w:rPr>
          <w:rFonts w:ascii="Arial" w:hAnsi="Arial" w:cs="Arial"/>
          <w:sz w:val="20"/>
          <w:szCs w:val="20"/>
          <w:lang w:val="en-GB"/>
        </w:rPr>
        <w:t>Insert Table 1 here</w:t>
      </w:r>
    </w:p>
    <w:p w14:paraId="3AE18C04" w14:textId="77777777" w:rsidR="00F34871" w:rsidRDefault="00F34871" w:rsidP="00B54E43">
      <w:pPr>
        <w:pStyle w:val="NoSpacing"/>
        <w:rPr>
          <w:rFonts w:ascii="Arial" w:hAnsi="Arial" w:cs="Arial"/>
          <w:sz w:val="20"/>
          <w:szCs w:val="20"/>
          <w:lang w:val="en-GB"/>
        </w:rPr>
      </w:pPr>
    </w:p>
    <w:p w14:paraId="3EF58722" w14:textId="134E7746" w:rsidR="00D01830" w:rsidRPr="00B54E43" w:rsidRDefault="00D01830" w:rsidP="00B54E43">
      <w:pPr>
        <w:pStyle w:val="NoSpacing"/>
        <w:rPr>
          <w:rFonts w:ascii="Arial" w:hAnsi="Arial" w:cs="Arial"/>
          <w:sz w:val="20"/>
          <w:szCs w:val="20"/>
          <w:lang w:val="en-GB"/>
        </w:rPr>
      </w:pPr>
      <w:r w:rsidRPr="00B54E43">
        <w:rPr>
          <w:rFonts w:ascii="Arial" w:hAnsi="Arial" w:cs="Arial"/>
          <w:sz w:val="20"/>
          <w:szCs w:val="20"/>
          <w:lang w:val="en-GB"/>
        </w:rPr>
        <w:t xml:space="preserve">CHC treatment prevalence is calculated as the percentage of female </w:t>
      </w:r>
      <w:proofErr w:type="spellStart"/>
      <w:r w:rsidRPr="00B54E43">
        <w:rPr>
          <w:rFonts w:ascii="Arial" w:hAnsi="Arial" w:cs="Arial"/>
          <w:sz w:val="20"/>
          <w:szCs w:val="20"/>
          <w:lang w:val="en-GB"/>
        </w:rPr>
        <w:t>insurees</w:t>
      </w:r>
      <w:proofErr w:type="spellEnd"/>
      <w:r w:rsidRPr="00B54E43">
        <w:rPr>
          <w:rFonts w:ascii="Arial" w:hAnsi="Arial" w:cs="Arial"/>
          <w:sz w:val="20"/>
          <w:szCs w:val="20"/>
          <w:lang w:val="en-GB"/>
        </w:rPr>
        <w:t xml:space="preserve"> with at least one CHC prescription in the period at issue. A prescription is assumed to be incident if and only if there was no CHC prescription within the 365 days prior to the first prescription within the period at issue. Incidence </w:t>
      </w:r>
      <w:r w:rsidRPr="00B54E43">
        <w:rPr>
          <w:rFonts w:ascii="Arial" w:hAnsi="Arial" w:cs="Arial"/>
          <w:sz w:val="20"/>
          <w:szCs w:val="20"/>
          <w:lang w:val="en-GB"/>
        </w:rPr>
        <w:lastRenderedPageBreak/>
        <w:t xml:space="preserve">is calculated as the number of female </w:t>
      </w:r>
      <w:proofErr w:type="spellStart"/>
      <w:r w:rsidRPr="00B54E43">
        <w:rPr>
          <w:rFonts w:ascii="Arial" w:hAnsi="Arial" w:cs="Arial"/>
          <w:sz w:val="20"/>
          <w:szCs w:val="20"/>
          <w:lang w:val="en-GB"/>
        </w:rPr>
        <w:t>insurees</w:t>
      </w:r>
      <w:proofErr w:type="spellEnd"/>
      <w:r w:rsidRPr="00B54E43">
        <w:rPr>
          <w:rFonts w:ascii="Arial" w:hAnsi="Arial" w:cs="Arial"/>
          <w:sz w:val="20"/>
          <w:szCs w:val="20"/>
          <w:lang w:val="en-GB"/>
        </w:rPr>
        <w:t xml:space="preserve"> with a first prescription of a CHC, divided by </w:t>
      </w:r>
      <w:proofErr w:type="gramStart"/>
      <w:r w:rsidRPr="00B54E43">
        <w:rPr>
          <w:rFonts w:ascii="Arial" w:hAnsi="Arial" w:cs="Arial"/>
          <w:sz w:val="20"/>
          <w:szCs w:val="20"/>
          <w:lang w:val="en-GB"/>
        </w:rPr>
        <w:t>1000</w:t>
      </w:r>
      <w:r w:rsidR="0087153E">
        <w:rPr>
          <w:rFonts w:ascii="Arial" w:hAnsi="Arial" w:cs="Arial"/>
          <w:sz w:val="20"/>
          <w:szCs w:val="20"/>
          <w:lang w:val="en-GB"/>
        </w:rPr>
        <w:t xml:space="preserve"> </w:t>
      </w:r>
      <w:r w:rsidRPr="00B54E43">
        <w:rPr>
          <w:rFonts w:ascii="Arial" w:hAnsi="Arial" w:cs="Arial"/>
          <w:sz w:val="20"/>
          <w:szCs w:val="20"/>
          <w:lang w:val="en-GB"/>
        </w:rPr>
        <w:t>person</w:t>
      </w:r>
      <w:proofErr w:type="gramEnd"/>
      <w:r w:rsidRPr="00B54E43">
        <w:rPr>
          <w:rFonts w:ascii="Arial" w:hAnsi="Arial" w:cs="Arial"/>
          <w:sz w:val="20"/>
          <w:szCs w:val="20"/>
          <w:lang w:val="en-GB"/>
        </w:rPr>
        <w:t xml:space="preserve"> years of the (sub)group studied.</w:t>
      </w:r>
    </w:p>
    <w:p w14:paraId="6C4DFC84" w14:textId="77777777" w:rsidR="00D01830" w:rsidRPr="00B54E43" w:rsidRDefault="00D01830" w:rsidP="00B54E43">
      <w:pPr>
        <w:pStyle w:val="NoSpacing"/>
        <w:rPr>
          <w:rFonts w:ascii="Arial" w:hAnsi="Arial" w:cs="Arial"/>
          <w:i/>
          <w:sz w:val="20"/>
          <w:szCs w:val="20"/>
          <w:lang w:val="en-GB"/>
        </w:rPr>
      </w:pPr>
    </w:p>
    <w:p w14:paraId="06DD33A4" w14:textId="309166C4" w:rsidR="00D01830" w:rsidRPr="00DB4620" w:rsidRDefault="00DB4620" w:rsidP="00B54E43">
      <w:pPr>
        <w:pStyle w:val="NoSpacing"/>
        <w:rPr>
          <w:rFonts w:ascii="Arial" w:hAnsi="Arial" w:cs="Arial"/>
          <w:b/>
          <w:i/>
          <w:sz w:val="20"/>
          <w:szCs w:val="20"/>
          <w:lang w:val="en-GB"/>
        </w:rPr>
      </w:pPr>
      <w:r>
        <w:rPr>
          <w:rFonts w:ascii="Arial" w:hAnsi="Arial" w:cs="Arial"/>
          <w:b/>
          <w:i/>
          <w:sz w:val="20"/>
          <w:szCs w:val="20"/>
          <w:lang w:val="en-GB"/>
        </w:rPr>
        <w:t xml:space="preserve">2.3 </w:t>
      </w:r>
      <w:r w:rsidR="00D01830" w:rsidRPr="00DB4620">
        <w:rPr>
          <w:rFonts w:ascii="Arial" w:hAnsi="Arial" w:cs="Arial"/>
          <w:b/>
          <w:i/>
          <w:sz w:val="20"/>
          <w:szCs w:val="20"/>
          <w:lang w:val="en-GB"/>
        </w:rPr>
        <w:t>Design and reporting period</w:t>
      </w:r>
    </w:p>
    <w:p w14:paraId="6F12CC67" w14:textId="0F8C6846" w:rsidR="00D01830" w:rsidRPr="00B54E43" w:rsidRDefault="00D01830" w:rsidP="00B54E43">
      <w:pPr>
        <w:pStyle w:val="NoSpacing"/>
        <w:rPr>
          <w:rFonts w:ascii="Arial" w:hAnsi="Arial" w:cs="Arial"/>
          <w:sz w:val="20"/>
          <w:szCs w:val="20"/>
          <w:lang w:val="en-GB"/>
        </w:rPr>
      </w:pPr>
      <w:r w:rsidRPr="00B54E43">
        <w:rPr>
          <w:rFonts w:ascii="Arial" w:hAnsi="Arial" w:cs="Arial"/>
          <w:sz w:val="20"/>
          <w:szCs w:val="20"/>
          <w:lang w:val="en-GB"/>
        </w:rPr>
        <w:t>The issues are analysed both descriptively and using time series analysis for the following four phases:</w:t>
      </w:r>
    </w:p>
    <w:p w14:paraId="3F38839A" w14:textId="77777777" w:rsidR="00D01830" w:rsidRPr="00B54E43" w:rsidRDefault="00D01830" w:rsidP="002B78D4">
      <w:pPr>
        <w:pStyle w:val="NoSpacing"/>
        <w:numPr>
          <w:ilvl w:val="0"/>
          <w:numId w:val="14"/>
        </w:numPr>
        <w:rPr>
          <w:rFonts w:ascii="Arial" w:hAnsi="Arial" w:cs="Arial"/>
          <w:sz w:val="20"/>
          <w:szCs w:val="20"/>
          <w:lang w:val="en-GB"/>
        </w:rPr>
      </w:pPr>
      <w:r w:rsidRPr="00B54E43">
        <w:rPr>
          <w:rFonts w:ascii="Arial" w:hAnsi="Arial" w:cs="Arial"/>
          <w:sz w:val="20"/>
          <w:szCs w:val="20"/>
          <w:lang w:val="en-GB"/>
        </w:rPr>
        <w:t>1</w:t>
      </w:r>
      <w:r w:rsidRPr="00B54E43">
        <w:rPr>
          <w:rFonts w:ascii="Arial" w:hAnsi="Arial" w:cs="Arial"/>
          <w:sz w:val="20"/>
          <w:szCs w:val="20"/>
          <w:vertAlign w:val="superscript"/>
          <w:lang w:val="en-GB"/>
        </w:rPr>
        <w:t>st</w:t>
      </w:r>
      <w:r w:rsidRPr="00B54E43">
        <w:rPr>
          <w:rFonts w:ascii="Arial" w:hAnsi="Arial" w:cs="Arial"/>
          <w:sz w:val="20"/>
          <w:szCs w:val="20"/>
          <w:lang w:val="en-GB"/>
        </w:rPr>
        <w:t xml:space="preserve"> Jan 2011 to 31</w:t>
      </w:r>
      <w:r w:rsidRPr="00B54E43">
        <w:rPr>
          <w:rFonts w:ascii="Arial" w:hAnsi="Arial" w:cs="Arial"/>
          <w:sz w:val="20"/>
          <w:szCs w:val="20"/>
          <w:vertAlign w:val="superscript"/>
          <w:lang w:val="en-GB"/>
        </w:rPr>
        <w:t>st</w:t>
      </w:r>
      <w:r w:rsidRPr="00B54E43">
        <w:rPr>
          <w:rFonts w:ascii="Arial" w:hAnsi="Arial" w:cs="Arial"/>
          <w:sz w:val="20"/>
          <w:szCs w:val="20"/>
          <w:lang w:val="en-GB"/>
        </w:rPr>
        <w:t xml:space="preserve"> Dec 2012: pre-intervention phase</w:t>
      </w:r>
    </w:p>
    <w:p w14:paraId="761D9245" w14:textId="77777777" w:rsidR="00D01830" w:rsidRPr="00B54E43" w:rsidRDefault="00D01830" w:rsidP="002B78D4">
      <w:pPr>
        <w:pStyle w:val="NoSpacing"/>
        <w:numPr>
          <w:ilvl w:val="0"/>
          <w:numId w:val="14"/>
        </w:numPr>
        <w:rPr>
          <w:rFonts w:ascii="Arial" w:hAnsi="Arial" w:cs="Arial"/>
          <w:sz w:val="20"/>
          <w:szCs w:val="20"/>
          <w:lang w:val="en-GB"/>
        </w:rPr>
      </w:pPr>
      <w:r w:rsidRPr="00B54E43">
        <w:rPr>
          <w:rFonts w:ascii="Arial" w:hAnsi="Arial" w:cs="Arial"/>
          <w:sz w:val="20"/>
          <w:szCs w:val="20"/>
          <w:lang w:val="en-GB"/>
        </w:rPr>
        <w:t>1</w:t>
      </w:r>
      <w:r w:rsidRPr="00B54E43">
        <w:rPr>
          <w:rFonts w:ascii="Arial" w:hAnsi="Arial" w:cs="Arial"/>
          <w:sz w:val="20"/>
          <w:szCs w:val="20"/>
          <w:vertAlign w:val="superscript"/>
          <w:lang w:val="en-GB"/>
        </w:rPr>
        <w:t>st</w:t>
      </w:r>
      <w:r w:rsidRPr="00B54E43">
        <w:rPr>
          <w:rFonts w:ascii="Arial" w:hAnsi="Arial" w:cs="Arial"/>
          <w:sz w:val="20"/>
          <w:szCs w:val="20"/>
          <w:lang w:val="en-GB"/>
        </w:rPr>
        <w:t xml:space="preserve"> Jan 2013 to 31</w:t>
      </w:r>
      <w:r w:rsidRPr="00B54E43">
        <w:rPr>
          <w:rFonts w:ascii="Arial" w:hAnsi="Arial" w:cs="Arial"/>
          <w:sz w:val="20"/>
          <w:szCs w:val="20"/>
          <w:vertAlign w:val="superscript"/>
          <w:lang w:val="en-GB"/>
        </w:rPr>
        <w:t>st</w:t>
      </w:r>
      <w:r w:rsidRPr="00B54E43">
        <w:rPr>
          <w:rFonts w:ascii="Arial" w:hAnsi="Arial" w:cs="Arial"/>
          <w:sz w:val="20"/>
          <w:szCs w:val="20"/>
          <w:lang w:val="en-GB"/>
        </w:rPr>
        <w:t xml:space="preserve"> Jan 2014: referral phase</w:t>
      </w:r>
    </w:p>
    <w:p w14:paraId="67814D69" w14:textId="77777777" w:rsidR="00D01830" w:rsidRPr="00B54E43" w:rsidRDefault="00D01830" w:rsidP="002B78D4">
      <w:pPr>
        <w:pStyle w:val="NoSpacing"/>
        <w:numPr>
          <w:ilvl w:val="0"/>
          <w:numId w:val="14"/>
        </w:numPr>
        <w:rPr>
          <w:rFonts w:ascii="Arial" w:hAnsi="Arial" w:cs="Arial"/>
          <w:sz w:val="20"/>
          <w:szCs w:val="20"/>
          <w:lang w:val="en-GB"/>
        </w:rPr>
      </w:pPr>
      <w:r w:rsidRPr="00B54E43">
        <w:rPr>
          <w:rFonts w:ascii="Arial" w:hAnsi="Arial" w:cs="Arial"/>
          <w:sz w:val="20"/>
          <w:szCs w:val="20"/>
          <w:lang w:val="en-GB"/>
        </w:rPr>
        <w:t>1</w:t>
      </w:r>
      <w:r w:rsidRPr="00B54E43">
        <w:rPr>
          <w:rFonts w:ascii="Arial" w:hAnsi="Arial" w:cs="Arial"/>
          <w:sz w:val="20"/>
          <w:szCs w:val="20"/>
          <w:vertAlign w:val="superscript"/>
          <w:lang w:val="en-GB"/>
        </w:rPr>
        <w:t>st</w:t>
      </w:r>
      <w:r w:rsidRPr="00B54E43">
        <w:rPr>
          <w:rFonts w:ascii="Arial" w:hAnsi="Arial" w:cs="Arial"/>
          <w:sz w:val="20"/>
          <w:szCs w:val="20"/>
          <w:lang w:val="en-GB"/>
        </w:rPr>
        <w:t xml:space="preserve"> Feb .2014 to 31</w:t>
      </w:r>
      <w:r w:rsidRPr="00B54E43">
        <w:rPr>
          <w:rFonts w:ascii="Arial" w:hAnsi="Arial" w:cs="Arial"/>
          <w:sz w:val="20"/>
          <w:szCs w:val="20"/>
          <w:vertAlign w:val="superscript"/>
          <w:lang w:val="en-GB"/>
        </w:rPr>
        <w:t>st</w:t>
      </w:r>
      <w:r w:rsidRPr="00B54E43">
        <w:rPr>
          <w:rFonts w:ascii="Arial" w:hAnsi="Arial" w:cs="Arial"/>
          <w:sz w:val="20"/>
          <w:szCs w:val="20"/>
          <w:lang w:val="en-GB"/>
        </w:rPr>
        <w:t xml:space="preserve"> Dec 2014: implementation of EMA conditions</w:t>
      </w:r>
    </w:p>
    <w:p w14:paraId="6683A828" w14:textId="77777777" w:rsidR="00D01830" w:rsidRPr="00B54E43" w:rsidRDefault="00D01830" w:rsidP="002B78D4">
      <w:pPr>
        <w:pStyle w:val="NoSpacing"/>
        <w:numPr>
          <w:ilvl w:val="0"/>
          <w:numId w:val="14"/>
        </w:numPr>
        <w:rPr>
          <w:rFonts w:ascii="Arial" w:hAnsi="Arial" w:cs="Arial"/>
          <w:sz w:val="20"/>
          <w:szCs w:val="20"/>
          <w:lang w:val="en-GB"/>
        </w:rPr>
      </w:pPr>
      <w:r w:rsidRPr="00B54E43">
        <w:rPr>
          <w:rFonts w:ascii="Arial" w:hAnsi="Arial" w:cs="Arial"/>
          <w:sz w:val="20"/>
          <w:szCs w:val="20"/>
          <w:lang w:val="en-GB"/>
        </w:rPr>
        <w:t>1</w:t>
      </w:r>
      <w:r w:rsidRPr="00B54E43">
        <w:rPr>
          <w:rFonts w:ascii="Arial" w:hAnsi="Arial" w:cs="Arial"/>
          <w:sz w:val="20"/>
          <w:szCs w:val="20"/>
          <w:vertAlign w:val="superscript"/>
          <w:lang w:val="en-GB"/>
        </w:rPr>
        <w:t>st</w:t>
      </w:r>
      <w:r w:rsidRPr="00B54E43">
        <w:rPr>
          <w:rFonts w:ascii="Arial" w:hAnsi="Arial" w:cs="Arial"/>
          <w:sz w:val="20"/>
          <w:szCs w:val="20"/>
          <w:lang w:val="en-GB"/>
        </w:rPr>
        <w:t xml:space="preserve"> Jan 2015 to 31</w:t>
      </w:r>
      <w:r w:rsidRPr="00B54E43">
        <w:rPr>
          <w:rFonts w:ascii="Arial" w:hAnsi="Arial" w:cs="Arial"/>
          <w:sz w:val="20"/>
          <w:szCs w:val="20"/>
          <w:vertAlign w:val="superscript"/>
          <w:lang w:val="en-GB"/>
        </w:rPr>
        <w:t>st</w:t>
      </w:r>
      <w:r w:rsidRPr="00B54E43">
        <w:rPr>
          <w:rFonts w:ascii="Arial" w:hAnsi="Arial" w:cs="Arial"/>
          <w:sz w:val="20"/>
          <w:szCs w:val="20"/>
          <w:lang w:val="en-GB"/>
        </w:rPr>
        <w:t xml:space="preserve"> Mar 2016: post-intervention </w:t>
      </w:r>
      <w:proofErr w:type="spellStart"/>
      <w:r w:rsidRPr="00B54E43">
        <w:rPr>
          <w:rFonts w:ascii="Arial" w:hAnsi="Arial" w:cs="Arial"/>
          <w:sz w:val="20"/>
          <w:szCs w:val="20"/>
          <w:lang w:val="en-GB"/>
        </w:rPr>
        <w:t>phase</w:t>
      </w:r>
      <w:bookmarkStart w:id="0" w:name="verwendete-statistische-methoden"/>
      <w:bookmarkEnd w:id="0"/>
      <w:r w:rsidRPr="00B54E43">
        <w:rPr>
          <w:rFonts w:ascii="Arial" w:hAnsi="Arial" w:cs="Arial"/>
          <w:sz w:val="20"/>
          <w:szCs w:val="20"/>
          <w:vertAlign w:val="superscript"/>
          <w:lang w:val="en-GB"/>
        </w:rPr>
        <w:t>ϯ</w:t>
      </w:r>
      <w:proofErr w:type="spellEnd"/>
      <w:r w:rsidRPr="00B54E43">
        <w:rPr>
          <w:rStyle w:val="FootnoteReference"/>
          <w:rFonts w:ascii="Arial" w:hAnsi="Arial" w:cs="Arial"/>
          <w:sz w:val="20"/>
          <w:szCs w:val="20"/>
          <w:lang w:val="en-GB"/>
        </w:rPr>
        <w:footnoteReference w:id="1"/>
      </w:r>
    </w:p>
    <w:p w14:paraId="328005FE" w14:textId="77777777" w:rsidR="002B78D4" w:rsidRDefault="002B78D4" w:rsidP="00B54E43">
      <w:pPr>
        <w:pStyle w:val="NoSpacing"/>
        <w:rPr>
          <w:rFonts w:ascii="Arial" w:hAnsi="Arial" w:cs="Arial"/>
          <w:i/>
          <w:sz w:val="20"/>
          <w:szCs w:val="20"/>
          <w:lang w:val="en-GB"/>
        </w:rPr>
      </w:pPr>
    </w:p>
    <w:p w14:paraId="63D6FFC3" w14:textId="269A57F6" w:rsidR="00D01830" w:rsidRPr="002B78D4" w:rsidRDefault="002B78D4" w:rsidP="00B54E43">
      <w:pPr>
        <w:pStyle w:val="NoSpacing"/>
        <w:rPr>
          <w:rFonts w:ascii="Arial" w:hAnsi="Arial" w:cs="Arial"/>
          <w:b/>
          <w:i/>
          <w:sz w:val="20"/>
          <w:szCs w:val="20"/>
          <w:lang w:val="en-GB"/>
        </w:rPr>
      </w:pPr>
      <w:r w:rsidRPr="002B78D4">
        <w:rPr>
          <w:rFonts w:ascii="Arial" w:hAnsi="Arial" w:cs="Arial"/>
          <w:b/>
          <w:i/>
          <w:sz w:val="20"/>
          <w:szCs w:val="20"/>
          <w:lang w:val="en-GB"/>
        </w:rPr>
        <w:t xml:space="preserve">2.4 </w:t>
      </w:r>
      <w:r w:rsidR="00D01830" w:rsidRPr="002B78D4">
        <w:rPr>
          <w:rFonts w:ascii="Arial" w:hAnsi="Arial" w:cs="Arial"/>
          <w:b/>
          <w:i/>
          <w:sz w:val="20"/>
          <w:szCs w:val="20"/>
          <w:lang w:val="en-GB"/>
        </w:rPr>
        <w:t>Statistics</w:t>
      </w:r>
      <w:r w:rsidR="00D01830" w:rsidRPr="002B78D4">
        <w:rPr>
          <w:rFonts w:ascii="Arial" w:hAnsi="Arial" w:cs="Arial"/>
          <w:b/>
          <w:i/>
          <w:sz w:val="20"/>
          <w:szCs w:val="20"/>
          <w:lang w:val="en-GB"/>
        </w:rPr>
        <w:tab/>
      </w:r>
    </w:p>
    <w:p w14:paraId="13A834DE" w14:textId="2F2FA2FF" w:rsidR="00D01830" w:rsidRPr="00B54E43" w:rsidRDefault="00D01830" w:rsidP="00B54E43">
      <w:pPr>
        <w:pStyle w:val="NoSpacing"/>
        <w:rPr>
          <w:rFonts w:ascii="Arial" w:hAnsi="Arial" w:cs="Arial"/>
          <w:sz w:val="20"/>
          <w:szCs w:val="20"/>
          <w:lang w:val="en-GB"/>
        </w:rPr>
      </w:pPr>
      <w:r w:rsidRPr="00B54E43">
        <w:rPr>
          <w:rFonts w:ascii="Arial" w:hAnsi="Arial" w:cs="Arial"/>
          <w:sz w:val="20"/>
          <w:szCs w:val="20"/>
          <w:lang w:val="en-GB"/>
        </w:rPr>
        <w:t>Statistical analysis was performed using R 3.3.2.</w:t>
      </w:r>
      <w:r w:rsidR="002B78D4">
        <w:rPr>
          <w:rFonts w:ascii="Arial" w:hAnsi="Arial" w:cs="Arial"/>
          <w:sz w:val="20"/>
          <w:szCs w:val="20"/>
          <w:lang w:val="en-GB"/>
        </w:rPr>
        <w:t xml:space="preserve"> </w:t>
      </w:r>
      <w:r w:rsidRPr="00B54E43">
        <w:rPr>
          <w:rFonts w:ascii="Arial" w:hAnsi="Arial" w:cs="Arial"/>
          <w:sz w:val="20"/>
          <w:szCs w:val="20"/>
          <w:lang w:val="en-GB"/>
        </w:rPr>
        <w:t xml:space="preserve">Development of the consumption of substance groups is shown descriptively as their respective shares on all CHC prescriptions and also as treatment prevalence. </w:t>
      </w:r>
      <w:r w:rsidR="002B78D4">
        <w:rPr>
          <w:rFonts w:ascii="Arial" w:hAnsi="Arial" w:cs="Arial"/>
          <w:sz w:val="20"/>
          <w:szCs w:val="20"/>
          <w:lang w:val="en-GB"/>
        </w:rPr>
        <w:t>Regarding the t</w:t>
      </w:r>
      <w:r w:rsidRPr="00B54E43">
        <w:rPr>
          <w:rFonts w:ascii="Arial" w:hAnsi="Arial" w:cs="Arial"/>
          <w:sz w:val="20"/>
          <w:szCs w:val="20"/>
          <w:lang w:val="en-GB"/>
        </w:rPr>
        <w:t>ime series analysis</w:t>
      </w:r>
      <w:r w:rsidR="002B78D4">
        <w:rPr>
          <w:rFonts w:ascii="Arial" w:hAnsi="Arial" w:cs="Arial"/>
          <w:sz w:val="20"/>
          <w:szCs w:val="20"/>
          <w:lang w:val="en-GB"/>
        </w:rPr>
        <w:t>, f</w:t>
      </w:r>
      <w:r w:rsidRPr="00B54E43">
        <w:rPr>
          <w:rFonts w:ascii="Arial" w:hAnsi="Arial" w:cs="Arial"/>
          <w:sz w:val="20"/>
          <w:szCs w:val="20"/>
          <w:lang w:val="en-GB"/>
        </w:rPr>
        <w:t>or each risk class and each month in the study period</w:t>
      </w:r>
      <w:r w:rsidR="002B78D4">
        <w:rPr>
          <w:rFonts w:ascii="Arial" w:hAnsi="Arial" w:cs="Arial"/>
          <w:sz w:val="20"/>
          <w:szCs w:val="20"/>
          <w:lang w:val="en-GB"/>
        </w:rPr>
        <w:t>,</w:t>
      </w:r>
      <w:r w:rsidRPr="00B54E43">
        <w:rPr>
          <w:rFonts w:ascii="Arial" w:hAnsi="Arial" w:cs="Arial"/>
          <w:sz w:val="20"/>
          <w:szCs w:val="20"/>
          <w:lang w:val="en-GB"/>
        </w:rPr>
        <w:t xml:space="preserve"> we calculated the number of women in the base population who had received a drug from the risk class at issue within that month. This number was then divided by the total number of women within the base population who had received any CHC within that month. We chose to work with these shares instead of absolute values</w:t>
      </w:r>
      <w:r w:rsidR="002B78D4">
        <w:rPr>
          <w:rFonts w:ascii="Arial" w:hAnsi="Arial" w:cs="Arial"/>
          <w:sz w:val="20"/>
          <w:szCs w:val="20"/>
          <w:lang w:val="en-GB"/>
        </w:rPr>
        <w:t xml:space="preserve"> since </w:t>
      </w:r>
      <w:r w:rsidRPr="00B54E43">
        <w:rPr>
          <w:rFonts w:ascii="Arial" w:hAnsi="Arial" w:cs="Arial"/>
          <w:sz w:val="20"/>
          <w:szCs w:val="20"/>
          <w:lang w:val="en-GB"/>
        </w:rPr>
        <w:t xml:space="preserve">the absolute prescription volume varies substantially between months. This variation is partly due to the German system of defining cases of treatment on a quarterly base, which imposes a strong three-month rhythm on all ambulatory treatment volumes, and in particular on prescribing. In </w:t>
      </w:r>
      <w:proofErr w:type="gramStart"/>
      <w:r w:rsidRPr="00B54E43">
        <w:rPr>
          <w:rFonts w:ascii="Arial" w:hAnsi="Arial" w:cs="Arial"/>
          <w:sz w:val="20"/>
          <w:szCs w:val="20"/>
          <w:lang w:val="en-GB"/>
        </w:rPr>
        <w:t>addition</w:t>
      </w:r>
      <w:proofErr w:type="gramEnd"/>
      <w:r w:rsidRPr="00B54E43">
        <w:rPr>
          <w:rFonts w:ascii="Arial" w:hAnsi="Arial" w:cs="Arial"/>
          <w:sz w:val="20"/>
          <w:szCs w:val="20"/>
          <w:lang w:val="en-GB"/>
        </w:rPr>
        <w:t xml:space="preserve"> shifting public holidays</w:t>
      </w:r>
      <w:r w:rsidR="0087153E">
        <w:rPr>
          <w:rFonts w:ascii="Arial" w:hAnsi="Arial" w:cs="Arial"/>
          <w:sz w:val="20"/>
          <w:szCs w:val="20"/>
          <w:lang w:val="en-GB"/>
        </w:rPr>
        <w:t>,</w:t>
      </w:r>
      <w:r w:rsidRPr="00B54E43">
        <w:rPr>
          <w:rFonts w:ascii="Arial" w:hAnsi="Arial" w:cs="Arial"/>
          <w:sz w:val="20"/>
          <w:szCs w:val="20"/>
          <w:lang w:val="en-GB"/>
        </w:rPr>
        <w:t xml:space="preserve"> and especially school holidays</w:t>
      </w:r>
      <w:r w:rsidR="0087153E">
        <w:rPr>
          <w:rFonts w:ascii="Arial" w:hAnsi="Arial" w:cs="Arial"/>
          <w:sz w:val="20"/>
          <w:szCs w:val="20"/>
          <w:lang w:val="en-GB"/>
        </w:rPr>
        <w:t>,</w:t>
      </w:r>
      <w:r w:rsidRPr="00B54E43">
        <w:rPr>
          <w:rFonts w:ascii="Arial" w:hAnsi="Arial" w:cs="Arial"/>
          <w:sz w:val="20"/>
          <w:szCs w:val="20"/>
          <w:lang w:val="en-GB"/>
        </w:rPr>
        <w:t xml:space="preserve"> </w:t>
      </w:r>
      <w:r w:rsidR="002B78D4">
        <w:rPr>
          <w:rFonts w:ascii="Arial" w:hAnsi="Arial" w:cs="Arial"/>
          <w:sz w:val="20"/>
          <w:szCs w:val="20"/>
          <w:lang w:val="en-GB"/>
        </w:rPr>
        <w:t xml:space="preserve">can </w:t>
      </w:r>
      <w:r w:rsidRPr="00B54E43">
        <w:rPr>
          <w:rFonts w:ascii="Arial" w:hAnsi="Arial" w:cs="Arial"/>
          <w:sz w:val="20"/>
          <w:szCs w:val="20"/>
          <w:lang w:val="en-GB"/>
        </w:rPr>
        <w:t xml:space="preserve">lead to stockpiling </w:t>
      </w:r>
      <w:r w:rsidR="002B78D4">
        <w:rPr>
          <w:rFonts w:ascii="Arial" w:hAnsi="Arial" w:cs="Arial"/>
          <w:sz w:val="20"/>
          <w:szCs w:val="20"/>
          <w:lang w:val="en-GB"/>
        </w:rPr>
        <w:t xml:space="preserve">of </w:t>
      </w:r>
      <w:r w:rsidRPr="00B54E43">
        <w:rPr>
          <w:rFonts w:ascii="Arial" w:hAnsi="Arial" w:cs="Arial"/>
          <w:sz w:val="20"/>
          <w:szCs w:val="20"/>
          <w:lang w:val="en-GB"/>
        </w:rPr>
        <w:t xml:space="preserve">prescriptions. Both these factors are independent of prevalence and must therefore be eliminated from the analysis. </w:t>
      </w:r>
    </w:p>
    <w:p w14:paraId="43BF402D" w14:textId="77777777" w:rsidR="002B78D4" w:rsidRDefault="002B78D4" w:rsidP="00B54E43">
      <w:pPr>
        <w:pStyle w:val="NoSpacing"/>
        <w:rPr>
          <w:rFonts w:ascii="Arial" w:hAnsi="Arial" w:cs="Arial"/>
          <w:sz w:val="20"/>
          <w:szCs w:val="20"/>
          <w:lang w:val="en-GB"/>
        </w:rPr>
      </w:pPr>
    </w:p>
    <w:p w14:paraId="4BDC6150" w14:textId="77777777" w:rsidR="002B78D4" w:rsidRDefault="002B78D4" w:rsidP="00B54E43">
      <w:pPr>
        <w:pStyle w:val="NoSpacing"/>
        <w:rPr>
          <w:rFonts w:ascii="Arial" w:hAnsi="Arial" w:cs="Arial"/>
          <w:sz w:val="20"/>
          <w:szCs w:val="20"/>
          <w:lang w:val="en-GB"/>
        </w:rPr>
      </w:pPr>
      <w:r>
        <w:rPr>
          <w:rFonts w:ascii="Arial" w:hAnsi="Arial" w:cs="Arial"/>
          <w:sz w:val="20"/>
          <w:szCs w:val="20"/>
          <w:lang w:val="en-GB"/>
        </w:rPr>
        <w:t>The t</w:t>
      </w:r>
      <w:r w:rsidR="00D01830" w:rsidRPr="00B54E43">
        <w:rPr>
          <w:rFonts w:ascii="Arial" w:hAnsi="Arial" w:cs="Arial"/>
          <w:sz w:val="20"/>
          <w:szCs w:val="20"/>
          <w:lang w:val="en-GB"/>
        </w:rPr>
        <w:t>ime series were analysed using an extension of ARIMA (autoregressive integrated moving averages) models</w:t>
      </w:r>
      <w:r w:rsidR="00D01830" w:rsidRPr="00B54E43">
        <w:rPr>
          <w:rFonts w:ascii="Arial" w:hAnsi="Arial" w:cs="Arial"/>
          <w:sz w:val="20"/>
          <w:szCs w:val="20"/>
          <w:vertAlign w:val="superscript"/>
          <w:lang w:val="en-GB"/>
        </w:rPr>
        <w:t>17</w:t>
      </w:r>
      <w:r w:rsidR="00D01830" w:rsidRPr="00B54E43">
        <w:rPr>
          <w:rFonts w:ascii="Arial" w:hAnsi="Arial" w:cs="Arial"/>
          <w:sz w:val="20"/>
          <w:szCs w:val="20"/>
          <w:lang w:val="en-GB"/>
        </w:rPr>
        <w:t xml:space="preserve"> such that the effects of interventions at known points in time could be assessed. ARIMA is often used for time series analyses, when the observations for the various time points are not independent of each other (auto-correlation of measurements).  </w:t>
      </w:r>
    </w:p>
    <w:p w14:paraId="44E37EFF" w14:textId="77777777" w:rsidR="002B78D4" w:rsidRDefault="002B78D4" w:rsidP="00B54E43">
      <w:pPr>
        <w:pStyle w:val="NoSpacing"/>
        <w:rPr>
          <w:rFonts w:ascii="Arial" w:hAnsi="Arial" w:cs="Arial"/>
          <w:sz w:val="20"/>
          <w:szCs w:val="20"/>
          <w:lang w:val="en-GB"/>
        </w:rPr>
      </w:pPr>
    </w:p>
    <w:p w14:paraId="3700F2E7" w14:textId="07DDD04F" w:rsidR="00D01830" w:rsidRPr="00B54E43" w:rsidRDefault="00D01830" w:rsidP="00B54E43">
      <w:pPr>
        <w:pStyle w:val="NoSpacing"/>
        <w:rPr>
          <w:rFonts w:ascii="Arial" w:hAnsi="Arial" w:cs="Arial"/>
          <w:sz w:val="20"/>
          <w:szCs w:val="20"/>
          <w:lang w:val="en-GB"/>
        </w:rPr>
      </w:pPr>
      <w:r w:rsidRPr="00B54E43">
        <w:rPr>
          <w:rFonts w:ascii="Arial" w:hAnsi="Arial" w:cs="Arial"/>
          <w:sz w:val="20"/>
          <w:szCs w:val="20"/>
          <w:lang w:val="en-GB"/>
        </w:rPr>
        <w:t xml:space="preserve">As points of intervention we chose </w:t>
      </w:r>
      <w:r w:rsidR="002B78D4">
        <w:rPr>
          <w:rFonts w:ascii="Arial" w:hAnsi="Arial" w:cs="Arial"/>
          <w:sz w:val="20"/>
          <w:szCs w:val="20"/>
          <w:lang w:val="en-GB"/>
        </w:rPr>
        <w:t>(</w:t>
      </w:r>
      <w:r w:rsidRPr="00B54E43">
        <w:rPr>
          <w:rFonts w:ascii="Arial" w:hAnsi="Arial" w:cs="Arial"/>
          <w:sz w:val="20"/>
          <w:szCs w:val="20"/>
          <w:lang w:val="en-GB"/>
        </w:rPr>
        <w:t xml:space="preserve">a) the start of the referral process (January 2013) and </w:t>
      </w:r>
      <w:r w:rsidR="002B78D4">
        <w:rPr>
          <w:rFonts w:ascii="Arial" w:hAnsi="Arial" w:cs="Arial"/>
          <w:sz w:val="20"/>
          <w:szCs w:val="20"/>
          <w:lang w:val="en-GB"/>
        </w:rPr>
        <w:t>(</w:t>
      </w:r>
      <w:r w:rsidRPr="00B54E43">
        <w:rPr>
          <w:rFonts w:ascii="Arial" w:hAnsi="Arial" w:cs="Arial"/>
          <w:sz w:val="20"/>
          <w:szCs w:val="20"/>
          <w:lang w:val="en-GB"/>
        </w:rPr>
        <w:t>b) the start of the implementation of EMA conditions through prescribing information from the marketing authorisation holders and through Dear Doctor letters (start of February 2014). Fitting the models involved first a visual check of the residuals of the auto-correlation and the partial auto-correlation functions (ACF and PACF, respectively).  For checking that the residuals were free of auto-correlation</w:t>
      </w:r>
      <w:r w:rsidR="002B78D4">
        <w:rPr>
          <w:rFonts w:ascii="Arial" w:hAnsi="Arial" w:cs="Arial"/>
          <w:sz w:val="20"/>
          <w:szCs w:val="20"/>
          <w:lang w:val="en-GB"/>
        </w:rPr>
        <w:t>,</w:t>
      </w:r>
      <w:r w:rsidRPr="00B54E43">
        <w:rPr>
          <w:rFonts w:ascii="Arial" w:hAnsi="Arial" w:cs="Arial"/>
          <w:sz w:val="20"/>
          <w:szCs w:val="20"/>
          <w:lang w:val="en-GB"/>
        </w:rPr>
        <w:t xml:space="preserve"> the </w:t>
      </w:r>
      <w:proofErr w:type="spellStart"/>
      <w:r w:rsidRPr="00B54E43">
        <w:rPr>
          <w:rFonts w:ascii="Arial" w:hAnsi="Arial" w:cs="Arial"/>
          <w:sz w:val="20"/>
          <w:szCs w:val="20"/>
          <w:lang w:val="en-GB"/>
        </w:rPr>
        <w:t>Ljung</w:t>
      </w:r>
      <w:proofErr w:type="spellEnd"/>
      <w:r w:rsidRPr="00B54E43">
        <w:rPr>
          <w:rFonts w:ascii="Arial" w:hAnsi="Arial" w:cs="Arial"/>
          <w:sz w:val="20"/>
          <w:szCs w:val="20"/>
          <w:lang w:val="en-GB"/>
        </w:rPr>
        <w:t>-Box Q-test was used. Existence of a unit root was tested with the Augmented Dickey-Fuller test.</w:t>
      </w:r>
    </w:p>
    <w:p w14:paraId="349CDFC4" w14:textId="77777777" w:rsidR="002B78D4" w:rsidRDefault="002B78D4" w:rsidP="00B54E43">
      <w:pPr>
        <w:pStyle w:val="NoSpacing"/>
        <w:rPr>
          <w:rFonts w:ascii="Arial" w:hAnsi="Arial" w:cs="Arial"/>
          <w:sz w:val="20"/>
          <w:szCs w:val="20"/>
          <w:lang w:val="en-GB"/>
        </w:rPr>
      </w:pPr>
    </w:p>
    <w:p w14:paraId="0ACD1CF8" w14:textId="2CFDE046" w:rsidR="002B78D4" w:rsidRDefault="00D01830" w:rsidP="00B54E43">
      <w:pPr>
        <w:pStyle w:val="NoSpacing"/>
        <w:rPr>
          <w:rFonts w:ascii="Arial" w:hAnsi="Arial" w:cs="Arial"/>
          <w:sz w:val="20"/>
          <w:szCs w:val="20"/>
          <w:lang w:val="en-GB"/>
        </w:rPr>
      </w:pPr>
      <w:r w:rsidRPr="00B54E43">
        <w:rPr>
          <w:rFonts w:ascii="Arial" w:hAnsi="Arial" w:cs="Arial"/>
          <w:sz w:val="20"/>
          <w:szCs w:val="20"/>
          <w:lang w:val="en-GB"/>
        </w:rPr>
        <w:t>After a</w:t>
      </w:r>
      <w:r w:rsidR="0087153E">
        <w:rPr>
          <w:rFonts w:ascii="Arial" w:hAnsi="Arial" w:cs="Arial"/>
          <w:sz w:val="20"/>
          <w:szCs w:val="20"/>
          <w:lang w:val="en-GB"/>
        </w:rPr>
        <w:t>n appropriate</w:t>
      </w:r>
      <w:r w:rsidRPr="00B54E43">
        <w:rPr>
          <w:rFonts w:ascii="Arial" w:hAnsi="Arial" w:cs="Arial"/>
          <w:sz w:val="20"/>
          <w:szCs w:val="20"/>
          <w:lang w:val="en-GB"/>
        </w:rPr>
        <w:t xml:space="preserve"> model of the time series process had been developed, the influence of exogeneous interventions could be assessed. For each of the two interventions a binary dummy variable was introduced</w:t>
      </w:r>
      <w:r w:rsidR="0087153E">
        <w:rPr>
          <w:rFonts w:ascii="Arial" w:hAnsi="Arial" w:cs="Arial"/>
          <w:sz w:val="20"/>
          <w:szCs w:val="20"/>
          <w:lang w:val="en-GB"/>
        </w:rPr>
        <w:t>,</w:t>
      </w:r>
      <w:r w:rsidRPr="00B54E43">
        <w:rPr>
          <w:rFonts w:ascii="Arial" w:hAnsi="Arial" w:cs="Arial"/>
          <w:sz w:val="20"/>
          <w:szCs w:val="20"/>
          <w:lang w:val="en-GB"/>
        </w:rPr>
        <w:t xml:space="preserve"> which had the value 0 for the months before the respective intervention and 1 for every month starting with the month of intervention. </w:t>
      </w:r>
      <w:r w:rsidR="002B78D4">
        <w:rPr>
          <w:rFonts w:ascii="Arial" w:hAnsi="Arial" w:cs="Arial"/>
          <w:sz w:val="20"/>
          <w:szCs w:val="20"/>
          <w:lang w:val="en-GB"/>
        </w:rPr>
        <w:t>Subsequently,</w:t>
      </w:r>
      <w:r w:rsidRPr="00B54E43">
        <w:rPr>
          <w:rFonts w:ascii="Arial" w:hAnsi="Arial" w:cs="Arial"/>
          <w:sz w:val="20"/>
          <w:szCs w:val="20"/>
          <w:lang w:val="en-GB"/>
        </w:rPr>
        <w:t xml:space="preserve"> the model was augmented with two interventional components as functions of the dummy variables. If an interventional component increases the explanatory power of the model by a statistically significant amount, this justifies the conclusion that the respective intervention had a statistically significant influence on the time series</w:t>
      </w:r>
      <w:r w:rsidRPr="00B54E43">
        <w:rPr>
          <w:rFonts w:ascii="Arial" w:hAnsi="Arial" w:cs="Arial"/>
          <w:sz w:val="20"/>
          <w:szCs w:val="20"/>
          <w:vertAlign w:val="superscript"/>
          <w:lang w:val="en-GB"/>
        </w:rPr>
        <w:t>17</w:t>
      </w:r>
      <w:r w:rsidRPr="00B54E43">
        <w:rPr>
          <w:rFonts w:ascii="Arial" w:hAnsi="Arial" w:cs="Arial"/>
          <w:sz w:val="20"/>
          <w:szCs w:val="20"/>
          <w:lang w:val="en-GB"/>
        </w:rPr>
        <w:t xml:space="preserve">. </w:t>
      </w:r>
    </w:p>
    <w:p w14:paraId="311268B6" w14:textId="77777777" w:rsidR="002B78D4" w:rsidRDefault="002B78D4" w:rsidP="00B54E43">
      <w:pPr>
        <w:pStyle w:val="NoSpacing"/>
        <w:rPr>
          <w:rFonts w:ascii="Arial" w:hAnsi="Arial" w:cs="Arial"/>
          <w:sz w:val="20"/>
          <w:szCs w:val="20"/>
          <w:lang w:val="en-GB"/>
        </w:rPr>
      </w:pPr>
    </w:p>
    <w:p w14:paraId="3A7361FC" w14:textId="0EA189C7" w:rsidR="00D01830" w:rsidRPr="00B54E43" w:rsidRDefault="00D01830" w:rsidP="008D2154">
      <w:pPr>
        <w:pStyle w:val="NoSpacing"/>
        <w:rPr>
          <w:rFonts w:ascii="Arial" w:hAnsi="Arial" w:cs="Arial"/>
          <w:sz w:val="20"/>
          <w:szCs w:val="20"/>
          <w:lang w:val="en-GB"/>
        </w:rPr>
      </w:pPr>
      <w:r w:rsidRPr="00B54E43">
        <w:rPr>
          <w:rFonts w:ascii="Arial" w:hAnsi="Arial" w:cs="Arial"/>
          <w:sz w:val="20"/>
          <w:szCs w:val="20"/>
          <w:lang w:val="en-GB"/>
        </w:rPr>
        <w:t>Both interventions were modelled as gradual onset and permanent effect. The extended model therefore has one additional pair of parameters (ω and δ, cf. below) per intervention.</w:t>
      </w:r>
      <w:r w:rsidR="008D2154">
        <w:rPr>
          <w:rFonts w:ascii="Arial" w:hAnsi="Arial" w:cs="Arial"/>
          <w:sz w:val="20"/>
          <w:szCs w:val="20"/>
          <w:lang w:val="en-GB"/>
        </w:rPr>
        <w:t xml:space="preserve"> F</w:t>
      </w:r>
      <w:r w:rsidR="008D2154" w:rsidRPr="00B54E43">
        <w:rPr>
          <w:rFonts w:ascii="Arial" w:hAnsi="Arial" w:cs="Arial"/>
          <w:sz w:val="20"/>
          <w:szCs w:val="20"/>
          <w:lang w:val="en-GB"/>
        </w:rPr>
        <w:t>urther explanations can be found in Table 2.</w:t>
      </w:r>
    </w:p>
    <w:p w14:paraId="20E892B7" w14:textId="77777777" w:rsidR="002B78D4" w:rsidRDefault="002B78D4" w:rsidP="00B54E43">
      <w:pPr>
        <w:pStyle w:val="NoSpacing"/>
        <w:rPr>
          <w:rFonts w:ascii="Arial" w:hAnsi="Arial" w:cs="Arial"/>
          <w:i/>
          <w:sz w:val="20"/>
          <w:szCs w:val="20"/>
          <w:lang w:val="en-GB"/>
        </w:rPr>
      </w:pPr>
    </w:p>
    <w:p w14:paraId="7782C0C2" w14:textId="37CB51DD" w:rsidR="00D01830" w:rsidRPr="002B78D4" w:rsidRDefault="002B78D4" w:rsidP="00B54E43">
      <w:pPr>
        <w:pStyle w:val="NoSpacing"/>
        <w:rPr>
          <w:rFonts w:ascii="Arial" w:hAnsi="Arial" w:cs="Arial"/>
          <w:sz w:val="20"/>
          <w:szCs w:val="20"/>
          <w:lang w:val="en-GB"/>
        </w:rPr>
      </w:pPr>
      <w:r w:rsidRPr="002B78D4">
        <w:rPr>
          <w:rFonts w:ascii="Arial" w:hAnsi="Arial" w:cs="Arial"/>
          <w:sz w:val="20"/>
          <w:szCs w:val="20"/>
          <w:lang w:val="en-GB"/>
        </w:rPr>
        <w:t>I</w:t>
      </w:r>
      <w:r w:rsidR="00D01830" w:rsidRPr="002B78D4">
        <w:rPr>
          <w:rFonts w:ascii="Arial" w:hAnsi="Arial" w:cs="Arial"/>
          <w:sz w:val="20"/>
          <w:szCs w:val="20"/>
          <w:lang w:val="en-GB"/>
        </w:rPr>
        <w:t>nsert Table 2</w:t>
      </w:r>
    </w:p>
    <w:p w14:paraId="3F0F69C4" w14:textId="77777777" w:rsidR="002B78D4" w:rsidRDefault="002B78D4" w:rsidP="00B54E43">
      <w:pPr>
        <w:pStyle w:val="NoSpacing"/>
        <w:rPr>
          <w:rFonts w:ascii="Arial" w:eastAsiaTheme="minorHAnsi" w:hAnsi="Arial" w:cs="Arial"/>
          <w:sz w:val="20"/>
          <w:szCs w:val="20"/>
          <w:lang w:val="en-GB"/>
        </w:rPr>
      </w:pPr>
    </w:p>
    <w:p w14:paraId="431C3F80" w14:textId="77777777" w:rsidR="002B78D4" w:rsidRDefault="002B78D4" w:rsidP="00B54E43">
      <w:pPr>
        <w:pStyle w:val="NoSpacing"/>
        <w:rPr>
          <w:rFonts w:ascii="Arial" w:eastAsiaTheme="minorHAnsi" w:hAnsi="Arial" w:cs="Arial"/>
          <w:sz w:val="20"/>
          <w:szCs w:val="20"/>
          <w:lang w:val="en-GB"/>
        </w:rPr>
      </w:pPr>
      <w:r>
        <w:rPr>
          <w:rFonts w:ascii="Arial" w:eastAsiaTheme="minorHAnsi" w:hAnsi="Arial" w:cs="Arial"/>
          <w:sz w:val="20"/>
          <w:szCs w:val="20"/>
          <w:lang w:val="en-GB"/>
        </w:rPr>
        <w:t>Regarding the l</w:t>
      </w:r>
      <w:r w:rsidR="00D01830" w:rsidRPr="00B54E43">
        <w:rPr>
          <w:rFonts w:ascii="Arial" w:eastAsiaTheme="minorHAnsi" w:hAnsi="Arial" w:cs="Arial"/>
          <w:sz w:val="20"/>
          <w:szCs w:val="20"/>
          <w:lang w:val="en-GB"/>
        </w:rPr>
        <w:t>ogistic regression</w:t>
      </w:r>
      <w:r>
        <w:rPr>
          <w:rFonts w:ascii="Arial" w:eastAsiaTheme="minorHAnsi" w:hAnsi="Arial" w:cs="Arial"/>
          <w:sz w:val="20"/>
          <w:szCs w:val="20"/>
          <w:lang w:val="en-GB"/>
        </w:rPr>
        <w:t>, f</w:t>
      </w:r>
      <w:r w:rsidR="00D01830" w:rsidRPr="00B54E43">
        <w:rPr>
          <w:rFonts w:ascii="Arial" w:eastAsiaTheme="minorHAnsi" w:hAnsi="Arial" w:cs="Arial"/>
          <w:sz w:val="20"/>
          <w:szCs w:val="20"/>
          <w:lang w:val="en-GB"/>
        </w:rPr>
        <w:t xml:space="preserve">or assessing the factors influencing the first observed instance of a prescription of a certain CHC risk class only those </w:t>
      </w:r>
      <w:proofErr w:type="spellStart"/>
      <w:r w:rsidR="00D01830" w:rsidRPr="00B54E43">
        <w:rPr>
          <w:rFonts w:ascii="Arial" w:eastAsiaTheme="minorHAnsi" w:hAnsi="Arial" w:cs="Arial"/>
          <w:sz w:val="20"/>
          <w:szCs w:val="20"/>
          <w:lang w:val="en-GB"/>
        </w:rPr>
        <w:t>insurees</w:t>
      </w:r>
      <w:proofErr w:type="spellEnd"/>
      <w:r w:rsidR="00D01830" w:rsidRPr="00B54E43">
        <w:rPr>
          <w:rFonts w:ascii="Arial" w:eastAsiaTheme="minorHAnsi" w:hAnsi="Arial" w:cs="Arial"/>
          <w:sz w:val="20"/>
          <w:szCs w:val="20"/>
          <w:lang w:val="en-GB"/>
        </w:rPr>
        <w:t xml:space="preserve"> are included who received a CHC from risk classes I or III in the post-intervention phase (January 2015 until March 2016) and no drug of the respective risk class in the 365 days prior to that prescription. For </w:t>
      </w:r>
      <w:proofErr w:type="spellStart"/>
      <w:r w:rsidR="00D01830" w:rsidRPr="00B54E43">
        <w:rPr>
          <w:rFonts w:ascii="Arial" w:eastAsiaTheme="minorHAnsi" w:hAnsi="Arial" w:cs="Arial"/>
          <w:sz w:val="20"/>
          <w:szCs w:val="20"/>
          <w:lang w:val="en-GB"/>
        </w:rPr>
        <w:t>insurees</w:t>
      </w:r>
      <w:proofErr w:type="spellEnd"/>
      <w:r w:rsidR="00D01830" w:rsidRPr="00B54E43">
        <w:rPr>
          <w:rFonts w:ascii="Arial" w:eastAsiaTheme="minorHAnsi" w:hAnsi="Arial" w:cs="Arial"/>
          <w:sz w:val="20"/>
          <w:szCs w:val="20"/>
          <w:lang w:val="en-GB"/>
        </w:rPr>
        <w:t xml:space="preserve"> who received both a CHC </w:t>
      </w:r>
      <w:r w:rsidR="00D01830" w:rsidRPr="00B54E43">
        <w:rPr>
          <w:rFonts w:ascii="Arial" w:eastAsiaTheme="minorHAnsi" w:hAnsi="Arial" w:cs="Arial"/>
          <w:sz w:val="20"/>
          <w:szCs w:val="20"/>
          <w:lang w:val="en-GB"/>
        </w:rPr>
        <w:lastRenderedPageBreak/>
        <w:t>of risk class I and risk class III drug in the post-intervention phase, only the first such prescription in time is included.</w:t>
      </w:r>
      <w:r>
        <w:rPr>
          <w:rFonts w:ascii="Arial" w:eastAsiaTheme="minorHAnsi" w:hAnsi="Arial" w:cs="Arial"/>
          <w:sz w:val="20"/>
          <w:szCs w:val="20"/>
          <w:lang w:val="en-GB"/>
        </w:rPr>
        <w:t xml:space="preserve"> </w:t>
      </w:r>
    </w:p>
    <w:p w14:paraId="456645B7" w14:textId="77777777" w:rsidR="002B78D4" w:rsidRDefault="002B78D4" w:rsidP="00B54E43">
      <w:pPr>
        <w:pStyle w:val="NoSpacing"/>
        <w:rPr>
          <w:rFonts w:ascii="Arial" w:eastAsiaTheme="minorHAnsi" w:hAnsi="Arial" w:cs="Arial"/>
          <w:sz w:val="20"/>
          <w:szCs w:val="20"/>
          <w:lang w:val="en-GB"/>
        </w:rPr>
      </w:pPr>
    </w:p>
    <w:p w14:paraId="56863578" w14:textId="2ECC05CA" w:rsidR="002B78D4" w:rsidRDefault="00D01830" w:rsidP="00B54E43">
      <w:pPr>
        <w:pStyle w:val="NoSpacing"/>
        <w:rPr>
          <w:rFonts w:ascii="Arial" w:eastAsiaTheme="minorHAnsi" w:hAnsi="Arial" w:cs="Arial"/>
          <w:sz w:val="20"/>
          <w:szCs w:val="20"/>
          <w:lang w:val="en-GB"/>
        </w:rPr>
      </w:pPr>
      <w:r w:rsidRPr="00B54E43">
        <w:rPr>
          <w:rFonts w:ascii="Arial" w:eastAsiaTheme="minorHAnsi" w:hAnsi="Arial" w:cs="Arial"/>
          <w:sz w:val="20"/>
          <w:szCs w:val="20"/>
          <w:lang w:val="en-GB"/>
        </w:rPr>
        <w:t>Further f</w:t>
      </w:r>
      <w:r w:rsidRPr="00B54E43">
        <w:rPr>
          <w:rFonts w:ascii="Arial" w:hAnsi="Arial" w:cs="Arial"/>
          <w:sz w:val="20"/>
          <w:szCs w:val="20"/>
          <w:lang w:val="en-GB"/>
        </w:rPr>
        <w:t>actors included were patient age</w:t>
      </w:r>
      <w:r w:rsidR="00963F40">
        <w:rPr>
          <w:rFonts w:ascii="Arial" w:hAnsi="Arial" w:cs="Arial"/>
          <w:sz w:val="20"/>
          <w:szCs w:val="20"/>
          <w:lang w:val="en-GB"/>
        </w:rPr>
        <w:t>s</w:t>
      </w:r>
      <w:r w:rsidRPr="00B54E43">
        <w:rPr>
          <w:rFonts w:ascii="Arial" w:hAnsi="Arial" w:cs="Arial"/>
          <w:sz w:val="20"/>
          <w:szCs w:val="20"/>
          <w:lang w:val="en-GB"/>
        </w:rPr>
        <w:t xml:space="preserve">, previous CHC status (naïve vs. use of drugs from some other risk class) and physician-related factors age (of physician), gender, region (by Doctors’ Regional Association – </w:t>
      </w:r>
      <w:proofErr w:type="spellStart"/>
      <w:r w:rsidRPr="00B54E43">
        <w:rPr>
          <w:rFonts w:ascii="Arial" w:hAnsi="Arial" w:cs="Arial"/>
          <w:sz w:val="20"/>
          <w:szCs w:val="20"/>
          <w:lang w:val="en-GB"/>
        </w:rPr>
        <w:t>Kassenärztliche</w:t>
      </w:r>
      <w:proofErr w:type="spellEnd"/>
      <w:r w:rsidRPr="00B54E43">
        <w:rPr>
          <w:rFonts w:ascii="Arial" w:hAnsi="Arial" w:cs="Arial"/>
          <w:sz w:val="20"/>
          <w:szCs w:val="20"/>
          <w:lang w:val="en-GB"/>
        </w:rPr>
        <w:t xml:space="preserve"> </w:t>
      </w:r>
      <w:proofErr w:type="spellStart"/>
      <w:r w:rsidRPr="00B54E43">
        <w:rPr>
          <w:rFonts w:ascii="Arial" w:hAnsi="Arial" w:cs="Arial"/>
          <w:sz w:val="20"/>
          <w:szCs w:val="20"/>
          <w:lang w:val="en-GB"/>
        </w:rPr>
        <w:t>Vereinigung</w:t>
      </w:r>
      <w:proofErr w:type="spellEnd"/>
      <w:r w:rsidRPr="00B54E43">
        <w:rPr>
          <w:rFonts w:ascii="Arial" w:hAnsi="Arial" w:cs="Arial"/>
          <w:sz w:val="20"/>
          <w:szCs w:val="20"/>
          <w:lang w:val="en-GB"/>
        </w:rPr>
        <w:t>, KV) and specialty</w:t>
      </w:r>
      <w:r w:rsidRPr="00B54E43">
        <w:rPr>
          <w:rFonts w:ascii="Arial" w:eastAsiaTheme="minorHAnsi" w:hAnsi="Arial" w:cs="Arial"/>
          <w:sz w:val="20"/>
          <w:szCs w:val="20"/>
          <w:lang w:val="en-GB"/>
        </w:rPr>
        <w:t>. The significance of the contribution which the various factors added to the logistic regression model was tested using the Wald test. 95% confidence intervals (CI) were calculated according to the formula</w:t>
      </w:r>
      <w:r w:rsidR="002B78D4">
        <w:rPr>
          <w:rFonts w:ascii="Arial" w:eastAsiaTheme="minorHAnsi" w:hAnsi="Arial" w:cs="Arial"/>
          <w:sz w:val="20"/>
          <w:szCs w:val="20"/>
          <w:lang w:val="en-GB"/>
        </w:rPr>
        <w:t>:</w:t>
      </w:r>
    </w:p>
    <w:p w14:paraId="11DE7590" w14:textId="77777777" w:rsidR="002B78D4" w:rsidRDefault="002B78D4" w:rsidP="00B54E43">
      <w:pPr>
        <w:pStyle w:val="NoSpacing"/>
        <w:rPr>
          <w:rFonts w:ascii="Arial" w:eastAsiaTheme="minorHAnsi" w:hAnsi="Arial" w:cs="Arial"/>
          <w:sz w:val="20"/>
          <w:szCs w:val="20"/>
          <w:lang w:val="en-GB"/>
        </w:rPr>
      </w:pPr>
    </w:p>
    <w:p w14:paraId="5398A4FF" w14:textId="75BE269D" w:rsidR="00D01830" w:rsidRDefault="00D01830" w:rsidP="00B54E43">
      <w:pPr>
        <w:pStyle w:val="NoSpacing"/>
        <w:rPr>
          <w:rFonts w:ascii="Arial" w:eastAsiaTheme="minorHAnsi" w:hAnsi="Arial" w:cs="Arial"/>
          <w:sz w:val="20"/>
          <w:szCs w:val="20"/>
          <w:lang w:val="en-GB"/>
        </w:rPr>
      </w:pPr>
      <w:r w:rsidRPr="00B54E43">
        <w:rPr>
          <w:rFonts w:ascii="Arial" w:eastAsiaTheme="minorHAnsi" w:hAnsi="Arial" w:cs="Arial"/>
          <w:position w:val="-22"/>
          <w:sz w:val="20"/>
          <w:szCs w:val="20"/>
          <w:lang w:val="en-GB"/>
        </w:rPr>
        <w:object w:dxaOrig="3960" w:dyaOrig="560" w14:anchorId="7485A0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8.75pt;height:27.75pt" o:ole="">
            <v:imagedata r:id="rId9" o:title=""/>
          </v:shape>
          <o:OLEObject Type="Embed" ProgID="Equation.DSMT4" ShapeID="_x0000_i1025" DrawAspect="Content" ObjectID="_1601890300" r:id="rId10"/>
        </w:object>
      </w:r>
      <w:r w:rsidRPr="00B54E43">
        <w:rPr>
          <w:rFonts w:ascii="Arial" w:eastAsiaTheme="minorHAnsi" w:hAnsi="Arial" w:cs="Arial"/>
          <w:sz w:val="20"/>
          <w:szCs w:val="20"/>
          <w:lang w:val="en-GB"/>
        </w:rPr>
        <w:t xml:space="preserve">, where </w:t>
      </w:r>
      <w:r w:rsidRPr="00B54E43">
        <w:rPr>
          <w:rFonts w:ascii="Arial" w:eastAsiaTheme="minorHAnsi" w:hAnsi="Arial" w:cs="Arial"/>
          <w:position w:val="-14"/>
          <w:sz w:val="20"/>
          <w:szCs w:val="20"/>
          <w:lang w:val="en-GB"/>
        </w:rPr>
        <w:object w:dxaOrig="300" w:dyaOrig="420" w14:anchorId="456E33BE">
          <v:shape id="_x0000_i1026" type="#_x0000_t75" style="width:15pt;height:21pt" o:ole="">
            <v:imagedata r:id="rId11" o:title=""/>
          </v:shape>
          <o:OLEObject Type="Embed" ProgID="Equation.DSMT4" ShapeID="_x0000_i1026" DrawAspect="Content" ObjectID="_1601890301" r:id="rId12"/>
        </w:object>
      </w:r>
      <w:r w:rsidRPr="00B54E43">
        <w:rPr>
          <w:rFonts w:ascii="Arial" w:eastAsiaTheme="minorHAnsi" w:hAnsi="Arial" w:cs="Arial"/>
          <w:sz w:val="20"/>
          <w:szCs w:val="20"/>
          <w:lang w:val="en-GB"/>
        </w:rPr>
        <w:t xml:space="preserve"> is the estimated parameter, </w:t>
      </w:r>
      <w:r w:rsidRPr="00B54E43">
        <w:rPr>
          <w:rFonts w:ascii="Arial" w:eastAsiaTheme="minorHAnsi" w:hAnsi="Arial" w:cs="Arial"/>
          <w:position w:val="-14"/>
          <w:sz w:val="20"/>
          <w:szCs w:val="20"/>
          <w:lang w:val="en-GB"/>
        </w:rPr>
        <w:object w:dxaOrig="780" w:dyaOrig="420" w14:anchorId="2FC3E21B">
          <v:shape id="_x0000_i1027" type="#_x0000_t75" style="width:39pt;height:21pt" o:ole="">
            <v:imagedata r:id="rId13" o:title=""/>
          </v:shape>
          <o:OLEObject Type="Embed" ProgID="Equation.DSMT4" ShapeID="_x0000_i1027" DrawAspect="Content" ObjectID="_1601890302" r:id="rId14"/>
        </w:object>
      </w:r>
      <w:r w:rsidRPr="00B54E43">
        <w:rPr>
          <w:rFonts w:ascii="Arial" w:eastAsiaTheme="minorHAnsi" w:hAnsi="Arial" w:cs="Arial"/>
          <w:sz w:val="20"/>
          <w:szCs w:val="20"/>
          <w:lang w:val="en-GB"/>
        </w:rPr>
        <w:t xml:space="preserve"> is the standard error of the estimate and z</w:t>
      </w:r>
      <w:r w:rsidRPr="00B54E43">
        <w:rPr>
          <w:rFonts w:ascii="Arial" w:eastAsiaTheme="minorHAnsi" w:hAnsi="Arial" w:cs="Arial"/>
          <w:sz w:val="20"/>
          <w:szCs w:val="20"/>
          <w:vertAlign w:val="subscript"/>
          <w:lang w:val="en-GB"/>
        </w:rPr>
        <w:t>1-α/2</w:t>
      </w:r>
      <w:r w:rsidRPr="00B54E43">
        <w:rPr>
          <w:rFonts w:ascii="Arial" w:eastAsiaTheme="minorHAnsi" w:hAnsi="Arial" w:cs="Arial"/>
          <w:sz w:val="20"/>
          <w:szCs w:val="20"/>
          <w:lang w:val="en-GB"/>
        </w:rPr>
        <w:t xml:space="preserve"> is the quantile of normal distribution (in our case </w:t>
      </w:r>
      <w:r w:rsidRPr="00B54E43">
        <w:rPr>
          <w:rFonts w:ascii="Arial" w:eastAsiaTheme="minorHAnsi" w:hAnsi="Arial" w:cs="Arial"/>
          <w:i/>
          <w:sz w:val="20"/>
          <w:szCs w:val="20"/>
          <w:lang w:val="en-GB"/>
        </w:rPr>
        <w:t>α</w:t>
      </w:r>
      <w:r w:rsidRPr="00B54E43">
        <w:rPr>
          <w:rFonts w:ascii="Arial" w:eastAsiaTheme="minorHAnsi" w:hAnsi="Arial" w:cs="Arial"/>
          <w:sz w:val="20"/>
          <w:szCs w:val="20"/>
          <w:lang w:val="en-GB"/>
        </w:rPr>
        <w:t xml:space="preserve"> = 0.05).</w:t>
      </w:r>
    </w:p>
    <w:p w14:paraId="74B9E90F" w14:textId="1B2EE4F4" w:rsidR="00B54E43" w:rsidRDefault="00B54E43" w:rsidP="00B54E43">
      <w:pPr>
        <w:pStyle w:val="NoSpacing"/>
        <w:rPr>
          <w:rFonts w:ascii="Arial" w:eastAsiaTheme="minorHAnsi" w:hAnsi="Arial" w:cs="Arial"/>
          <w:sz w:val="20"/>
          <w:szCs w:val="20"/>
          <w:lang w:val="en-GB"/>
        </w:rPr>
      </w:pPr>
    </w:p>
    <w:p w14:paraId="654125BD" w14:textId="77777777" w:rsidR="002B78D4" w:rsidRDefault="002B78D4" w:rsidP="002B78D4">
      <w:pPr>
        <w:pStyle w:val="NoSpacing"/>
        <w:rPr>
          <w:rFonts w:ascii="Arial" w:hAnsi="Arial" w:cs="Arial"/>
          <w:sz w:val="20"/>
          <w:szCs w:val="20"/>
          <w:lang w:val="en-GB"/>
        </w:rPr>
      </w:pPr>
    </w:p>
    <w:p w14:paraId="45D6D5B7" w14:textId="2BD9B546" w:rsidR="00B54E43" w:rsidRPr="002B78D4" w:rsidRDefault="002B78D4" w:rsidP="002B78D4">
      <w:pPr>
        <w:pStyle w:val="NoSpacing"/>
        <w:rPr>
          <w:rFonts w:ascii="Arial" w:eastAsiaTheme="minorHAnsi" w:hAnsi="Arial" w:cs="Arial"/>
          <w:sz w:val="20"/>
          <w:szCs w:val="20"/>
          <w:lang w:val="en-GB"/>
        </w:rPr>
      </w:pPr>
      <w:r>
        <w:rPr>
          <w:rFonts w:ascii="Arial" w:hAnsi="Arial" w:cs="Arial"/>
          <w:sz w:val="20"/>
          <w:szCs w:val="20"/>
          <w:lang w:val="en-GB"/>
        </w:rPr>
        <w:t>Since t</w:t>
      </w:r>
      <w:r w:rsidR="00B54E43" w:rsidRPr="002B78D4">
        <w:rPr>
          <w:rFonts w:ascii="Arial" w:hAnsi="Arial" w:cs="Arial"/>
          <w:sz w:val="20"/>
          <w:szCs w:val="20"/>
          <w:lang w:val="en-GB"/>
        </w:rPr>
        <w:t>he study used only anonymised claims data of health insurance funds (secondary data use)</w:t>
      </w:r>
      <w:r>
        <w:rPr>
          <w:rFonts w:ascii="Arial" w:hAnsi="Arial" w:cs="Arial"/>
          <w:sz w:val="20"/>
          <w:szCs w:val="20"/>
          <w:lang w:val="en-GB"/>
        </w:rPr>
        <w:t xml:space="preserve">, </w:t>
      </w:r>
      <w:r w:rsidR="00B54E43" w:rsidRPr="002B78D4">
        <w:rPr>
          <w:rFonts w:ascii="Arial" w:hAnsi="Arial" w:cs="Arial"/>
          <w:sz w:val="20"/>
          <w:szCs w:val="20"/>
          <w:lang w:val="en-GB"/>
        </w:rPr>
        <w:t>no ethics committee approval was necessary</w:t>
      </w:r>
      <w:r w:rsidR="00963F40">
        <w:rPr>
          <w:rFonts w:ascii="Arial" w:hAnsi="Arial" w:cs="Arial"/>
          <w:sz w:val="20"/>
          <w:szCs w:val="20"/>
          <w:lang w:val="en-GB"/>
        </w:rPr>
        <w:t xml:space="preserve">. </w:t>
      </w:r>
      <w:r w:rsidR="005B250C">
        <w:rPr>
          <w:rFonts w:ascii="Arial" w:hAnsi="Arial" w:cs="Arial"/>
          <w:sz w:val="20"/>
          <w:szCs w:val="20"/>
          <w:lang w:val="en-GB"/>
        </w:rPr>
        <w:t>This is similar to other published studies</w:t>
      </w:r>
      <w:r w:rsidR="005B250C" w:rsidRPr="00B54E43">
        <w:rPr>
          <w:rFonts w:ascii="Arial" w:hAnsi="Arial" w:cs="Arial"/>
          <w:sz w:val="20"/>
          <w:szCs w:val="20"/>
          <w:vertAlign w:val="superscript"/>
          <w:lang w:val="en-GB"/>
        </w:rPr>
        <w:t>1</w:t>
      </w:r>
      <w:r w:rsidR="005B250C">
        <w:rPr>
          <w:rFonts w:ascii="Arial" w:hAnsi="Arial" w:cs="Arial"/>
          <w:sz w:val="20"/>
          <w:szCs w:val="20"/>
          <w:vertAlign w:val="superscript"/>
          <w:lang w:val="en-GB"/>
        </w:rPr>
        <w:t>9</w:t>
      </w:r>
      <w:r w:rsidR="005B250C">
        <w:rPr>
          <w:rFonts w:ascii="Arial" w:hAnsi="Arial" w:cs="Arial"/>
          <w:sz w:val="20"/>
          <w:szCs w:val="20"/>
          <w:lang w:val="en-GB"/>
        </w:rPr>
        <w:t>.</w:t>
      </w:r>
    </w:p>
    <w:p w14:paraId="21FEB244" w14:textId="77777777" w:rsidR="00D01830" w:rsidRPr="002B78D4" w:rsidRDefault="00D01830" w:rsidP="002B78D4">
      <w:pPr>
        <w:pStyle w:val="NoSpacing"/>
        <w:rPr>
          <w:rFonts w:ascii="Arial" w:hAnsi="Arial" w:cs="Arial"/>
          <w:sz w:val="20"/>
          <w:szCs w:val="20"/>
          <w:lang w:val="en-GB"/>
        </w:rPr>
      </w:pPr>
    </w:p>
    <w:p w14:paraId="43099632" w14:textId="37895816" w:rsidR="00D01830" w:rsidRPr="005B250C" w:rsidRDefault="00D01830" w:rsidP="005B250C">
      <w:pPr>
        <w:pStyle w:val="NoSpacing"/>
        <w:numPr>
          <w:ilvl w:val="0"/>
          <w:numId w:val="13"/>
        </w:numPr>
        <w:rPr>
          <w:rFonts w:ascii="Arial" w:hAnsi="Arial" w:cs="Arial"/>
          <w:b/>
          <w:sz w:val="20"/>
          <w:szCs w:val="20"/>
          <w:lang w:val="en-GB"/>
        </w:rPr>
      </w:pPr>
      <w:r w:rsidRPr="005B250C">
        <w:rPr>
          <w:rFonts w:ascii="Arial" w:hAnsi="Arial" w:cs="Arial"/>
          <w:b/>
          <w:sz w:val="20"/>
          <w:szCs w:val="20"/>
          <w:lang w:val="en-GB"/>
        </w:rPr>
        <w:t>Results</w:t>
      </w:r>
    </w:p>
    <w:p w14:paraId="7A48A033" w14:textId="77777777" w:rsidR="005B250C" w:rsidRDefault="005B250C" w:rsidP="00B54E43">
      <w:pPr>
        <w:pStyle w:val="NoSpacing"/>
        <w:rPr>
          <w:rFonts w:ascii="Arial" w:hAnsi="Arial" w:cs="Arial"/>
          <w:i/>
          <w:sz w:val="20"/>
          <w:szCs w:val="20"/>
          <w:lang w:val="en-GB"/>
        </w:rPr>
      </w:pPr>
    </w:p>
    <w:p w14:paraId="61D3DE8B" w14:textId="5AD8D0B3" w:rsidR="00D01830" w:rsidRPr="005B250C" w:rsidRDefault="005B250C" w:rsidP="00B54E43">
      <w:pPr>
        <w:pStyle w:val="NoSpacing"/>
        <w:rPr>
          <w:rFonts w:ascii="Arial" w:hAnsi="Arial" w:cs="Arial"/>
          <w:b/>
          <w:i/>
          <w:sz w:val="20"/>
          <w:szCs w:val="20"/>
          <w:lang w:val="en-GB"/>
        </w:rPr>
      </w:pPr>
      <w:r w:rsidRPr="005B250C">
        <w:rPr>
          <w:rFonts w:ascii="Arial" w:hAnsi="Arial" w:cs="Arial"/>
          <w:b/>
          <w:i/>
          <w:sz w:val="20"/>
          <w:szCs w:val="20"/>
          <w:lang w:val="en-GB"/>
        </w:rPr>
        <w:t>3.1</w:t>
      </w:r>
      <w:r w:rsidR="00220E60">
        <w:rPr>
          <w:rFonts w:ascii="Arial" w:hAnsi="Arial" w:cs="Arial"/>
          <w:b/>
          <w:i/>
          <w:sz w:val="20"/>
          <w:szCs w:val="20"/>
          <w:lang w:val="en-GB"/>
        </w:rPr>
        <w:t xml:space="preserve"> </w:t>
      </w:r>
      <w:r w:rsidR="00D01830" w:rsidRPr="005B250C">
        <w:rPr>
          <w:rFonts w:ascii="Arial" w:hAnsi="Arial" w:cs="Arial"/>
          <w:b/>
          <w:i/>
          <w:sz w:val="20"/>
          <w:szCs w:val="20"/>
          <w:lang w:val="en-GB"/>
        </w:rPr>
        <w:t>Development of CHC prescriptions</w:t>
      </w:r>
    </w:p>
    <w:p w14:paraId="180D674B" w14:textId="7F2A43BA" w:rsidR="00D01830" w:rsidRPr="00B54E43" w:rsidRDefault="00D01830" w:rsidP="00B54E43">
      <w:pPr>
        <w:pStyle w:val="NoSpacing"/>
        <w:rPr>
          <w:rFonts w:ascii="Arial" w:hAnsi="Arial" w:cs="Arial"/>
          <w:strike/>
          <w:sz w:val="20"/>
          <w:szCs w:val="20"/>
          <w:lang w:val="en-GB"/>
        </w:rPr>
      </w:pPr>
      <w:proofErr w:type="spellStart"/>
      <w:r w:rsidRPr="00B54E43">
        <w:rPr>
          <w:rFonts w:ascii="Arial" w:hAnsi="Arial" w:cs="Arial"/>
          <w:sz w:val="20"/>
          <w:szCs w:val="20"/>
          <w:lang w:val="en-GB"/>
        </w:rPr>
        <w:t>GAmSi</w:t>
      </w:r>
      <w:proofErr w:type="spellEnd"/>
      <w:r w:rsidRPr="00B54E43">
        <w:rPr>
          <w:rFonts w:ascii="Arial" w:hAnsi="Arial" w:cs="Arial"/>
          <w:sz w:val="20"/>
          <w:szCs w:val="20"/>
          <w:lang w:val="en-GB"/>
        </w:rPr>
        <w:t xml:space="preserve"> data (data source A) show a steady increase </w:t>
      </w:r>
      <w:r w:rsidR="005B250C">
        <w:rPr>
          <w:rFonts w:ascii="Arial" w:hAnsi="Arial" w:cs="Arial"/>
          <w:sz w:val="20"/>
          <w:szCs w:val="20"/>
          <w:lang w:val="en-GB"/>
        </w:rPr>
        <w:t>in</w:t>
      </w:r>
      <w:r w:rsidRPr="00B54E43">
        <w:rPr>
          <w:rFonts w:ascii="Arial" w:hAnsi="Arial" w:cs="Arial"/>
          <w:sz w:val="20"/>
          <w:szCs w:val="20"/>
          <w:lang w:val="en-GB"/>
        </w:rPr>
        <w:t xml:space="preserve"> defined daily doses (DDD)</w:t>
      </w:r>
      <w:r w:rsidRPr="00B54E43">
        <w:rPr>
          <w:rFonts w:ascii="Arial" w:hAnsi="Arial" w:cs="Arial"/>
          <w:sz w:val="20"/>
          <w:szCs w:val="20"/>
          <w:vertAlign w:val="superscript"/>
          <w:lang w:val="en-GB"/>
        </w:rPr>
        <w:t>18</w:t>
      </w:r>
      <w:r w:rsidRPr="00B54E43">
        <w:rPr>
          <w:rFonts w:ascii="Arial" w:hAnsi="Arial" w:cs="Arial"/>
          <w:sz w:val="20"/>
          <w:szCs w:val="20"/>
          <w:lang w:val="en-GB"/>
        </w:rPr>
        <w:t xml:space="preserve"> in all four phases for CHC in RC I and RC X (in total +12% and +37%, respectively) (Table 3). The DDD amount of RC II </w:t>
      </w:r>
      <w:r w:rsidR="005B250C">
        <w:rPr>
          <w:rFonts w:ascii="Arial" w:hAnsi="Arial" w:cs="Arial"/>
          <w:sz w:val="20"/>
          <w:szCs w:val="20"/>
          <w:lang w:val="en-GB"/>
        </w:rPr>
        <w:t>contraceptive medicines</w:t>
      </w:r>
      <w:r w:rsidRPr="00B54E43">
        <w:rPr>
          <w:rFonts w:ascii="Arial" w:hAnsi="Arial" w:cs="Arial"/>
          <w:sz w:val="20"/>
          <w:szCs w:val="20"/>
          <w:lang w:val="en-GB"/>
        </w:rPr>
        <w:t xml:space="preserve"> (vaginal preparations) is roughly constant on a low level. A substantial decrease (–</w:t>
      </w:r>
      <w:r w:rsidR="005B250C">
        <w:rPr>
          <w:rFonts w:ascii="Arial" w:hAnsi="Arial" w:cs="Arial"/>
          <w:sz w:val="20"/>
          <w:szCs w:val="20"/>
          <w:lang w:val="en-GB"/>
        </w:rPr>
        <w:t xml:space="preserve"> </w:t>
      </w:r>
      <w:r w:rsidRPr="00B54E43">
        <w:rPr>
          <w:rFonts w:ascii="Arial" w:hAnsi="Arial" w:cs="Arial"/>
          <w:sz w:val="20"/>
          <w:szCs w:val="20"/>
          <w:lang w:val="en-GB"/>
        </w:rPr>
        <w:t xml:space="preserve">53%) occurs for RC III. This reflects also in the decreasing share of these </w:t>
      </w:r>
      <w:r w:rsidR="005B250C">
        <w:rPr>
          <w:rFonts w:ascii="Arial" w:hAnsi="Arial" w:cs="Arial"/>
          <w:sz w:val="20"/>
          <w:szCs w:val="20"/>
          <w:lang w:val="en-GB"/>
        </w:rPr>
        <w:t>CHCs as part of</w:t>
      </w:r>
      <w:r w:rsidRPr="00B54E43">
        <w:rPr>
          <w:rFonts w:ascii="Arial" w:hAnsi="Arial" w:cs="Arial"/>
          <w:sz w:val="20"/>
          <w:szCs w:val="20"/>
          <w:lang w:val="en-GB"/>
        </w:rPr>
        <w:t xml:space="preserve"> total CHC consumption. CHC consumption was almost constant over time at +4%. </w:t>
      </w:r>
    </w:p>
    <w:p w14:paraId="55407832" w14:textId="77777777" w:rsidR="00D01830" w:rsidRPr="00B54E43" w:rsidRDefault="00D01830" w:rsidP="00B54E43">
      <w:pPr>
        <w:pStyle w:val="NoSpacing"/>
        <w:rPr>
          <w:rFonts w:ascii="Arial" w:hAnsi="Arial" w:cs="Arial"/>
          <w:sz w:val="20"/>
          <w:szCs w:val="20"/>
          <w:lang w:val="en-GB"/>
        </w:rPr>
      </w:pPr>
    </w:p>
    <w:p w14:paraId="254FE8BD" w14:textId="228A64C9" w:rsidR="00D01830" w:rsidRPr="005B250C" w:rsidRDefault="00D01830" w:rsidP="00B54E43">
      <w:pPr>
        <w:pStyle w:val="NoSpacing"/>
        <w:rPr>
          <w:rFonts w:ascii="Arial" w:hAnsi="Arial" w:cs="Arial"/>
          <w:sz w:val="20"/>
          <w:szCs w:val="20"/>
          <w:lang w:val="en-GB"/>
        </w:rPr>
      </w:pPr>
      <w:r w:rsidRPr="005B250C">
        <w:rPr>
          <w:rFonts w:ascii="Arial" w:hAnsi="Arial" w:cs="Arial"/>
          <w:sz w:val="20"/>
          <w:szCs w:val="20"/>
          <w:lang w:val="en-GB"/>
        </w:rPr>
        <w:t xml:space="preserve">Insert Table </w:t>
      </w:r>
      <w:r w:rsidR="005B250C" w:rsidRPr="005B250C">
        <w:rPr>
          <w:rFonts w:ascii="Arial" w:hAnsi="Arial" w:cs="Arial"/>
          <w:sz w:val="20"/>
          <w:szCs w:val="20"/>
          <w:lang w:val="en-GB"/>
        </w:rPr>
        <w:t>3</w:t>
      </w:r>
    </w:p>
    <w:p w14:paraId="05A05495" w14:textId="77777777" w:rsidR="00D01830" w:rsidRPr="00B54E43" w:rsidRDefault="00D01830" w:rsidP="00B54E43">
      <w:pPr>
        <w:pStyle w:val="NoSpacing"/>
        <w:rPr>
          <w:rFonts w:ascii="Arial" w:hAnsi="Arial" w:cs="Arial"/>
          <w:sz w:val="20"/>
          <w:szCs w:val="20"/>
          <w:lang w:val="en-GB"/>
        </w:rPr>
      </w:pPr>
    </w:p>
    <w:p w14:paraId="72D99B43" w14:textId="47BE1EE5" w:rsidR="00D01830" w:rsidRPr="00B54E43" w:rsidRDefault="00D01830" w:rsidP="00B54E43">
      <w:pPr>
        <w:pStyle w:val="NoSpacing"/>
        <w:rPr>
          <w:rFonts w:ascii="Arial" w:hAnsi="Arial" w:cs="Arial"/>
          <w:sz w:val="20"/>
          <w:szCs w:val="20"/>
          <w:lang w:val="en-GB"/>
        </w:rPr>
      </w:pPr>
      <w:r w:rsidRPr="00B54E43">
        <w:rPr>
          <w:rFonts w:ascii="Arial" w:hAnsi="Arial" w:cs="Arial"/>
          <w:sz w:val="20"/>
          <w:szCs w:val="20"/>
          <w:lang w:val="en-GB"/>
        </w:rPr>
        <w:t>The decrease of prescriptions of RC III drugs is comparable for both gyn</w:t>
      </w:r>
      <w:r w:rsidR="005B250C">
        <w:rPr>
          <w:rFonts w:ascii="Arial" w:hAnsi="Arial" w:cs="Arial"/>
          <w:sz w:val="20"/>
          <w:szCs w:val="20"/>
          <w:lang w:val="en-GB"/>
        </w:rPr>
        <w:t>a</w:t>
      </w:r>
      <w:r w:rsidRPr="00B54E43">
        <w:rPr>
          <w:rFonts w:ascii="Arial" w:hAnsi="Arial" w:cs="Arial"/>
          <w:sz w:val="20"/>
          <w:szCs w:val="20"/>
          <w:lang w:val="en-GB"/>
        </w:rPr>
        <w:t>ecologists and general practitioners (GPs). However, GPs exhibit a higher increase of RC X drugs compared to gyn</w:t>
      </w:r>
      <w:r w:rsidR="005B250C">
        <w:rPr>
          <w:rFonts w:ascii="Arial" w:hAnsi="Arial" w:cs="Arial"/>
          <w:sz w:val="20"/>
          <w:szCs w:val="20"/>
          <w:lang w:val="en-GB"/>
        </w:rPr>
        <w:t>a</w:t>
      </w:r>
      <w:r w:rsidRPr="00B54E43">
        <w:rPr>
          <w:rFonts w:ascii="Arial" w:hAnsi="Arial" w:cs="Arial"/>
          <w:sz w:val="20"/>
          <w:szCs w:val="20"/>
          <w:lang w:val="en-GB"/>
        </w:rPr>
        <w:t>ecologists (+38% vs. +30%, respectively). The importance of GPs as CHC prescribers decreased between 2010 (17.2% of total CHC DDDs) and 2015 (12.4%).</w:t>
      </w:r>
      <w:r w:rsidR="005B250C">
        <w:rPr>
          <w:rFonts w:ascii="Arial" w:hAnsi="Arial" w:cs="Arial"/>
          <w:sz w:val="20"/>
          <w:szCs w:val="20"/>
          <w:lang w:val="en-GB"/>
        </w:rPr>
        <w:t xml:space="preserve"> </w:t>
      </w:r>
      <w:r w:rsidRPr="00B54E43">
        <w:rPr>
          <w:rFonts w:ascii="Arial" w:hAnsi="Arial" w:cs="Arial"/>
          <w:sz w:val="20"/>
          <w:szCs w:val="20"/>
          <w:lang w:val="en-GB"/>
        </w:rPr>
        <w:t>The main prescribers, as expected</w:t>
      </w:r>
      <w:r w:rsidR="005B250C">
        <w:rPr>
          <w:rFonts w:ascii="Arial" w:hAnsi="Arial" w:cs="Arial"/>
          <w:sz w:val="20"/>
          <w:szCs w:val="20"/>
          <w:lang w:val="en-GB"/>
        </w:rPr>
        <w:t xml:space="preserve"> in Germany</w:t>
      </w:r>
      <w:r w:rsidRPr="00B54E43">
        <w:rPr>
          <w:rFonts w:ascii="Arial" w:hAnsi="Arial" w:cs="Arial"/>
          <w:sz w:val="20"/>
          <w:szCs w:val="20"/>
          <w:lang w:val="en-GB"/>
        </w:rPr>
        <w:t>, are gyn</w:t>
      </w:r>
      <w:r w:rsidR="005B250C">
        <w:rPr>
          <w:rFonts w:ascii="Arial" w:hAnsi="Arial" w:cs="Arial"/>
          <w:sz w:val="20"/>
          <w:szCs w:val="20"/>
          <w:lang w:val="en-GB"/>
        </w:rPr>
        <w:t>a</w:t>
      </w:r>
      <w:r w:rsidRPr="00B54E43">
        <w:rPr>
          <w:rFonts w:ascii="Arial" w:hAnsi="Arial" w:cs="Arial"/>
          <w:sz w:val="20"/>
          <w:szCs w:val="20"/>
          <w:lang w:val="en-GB"/>
        </w:rPr>
        <w:t>ecologists.</w:t>
      </w:r>
    </w:p>
    <w:p w14:paraId="21264FF4" w14:textId="77777777" w:rsidR="00D01830" w:rsidRPr="00B54E43" w:rsidRDefault="00D01830" w:rsidP="00B54E43">
      <w:pPr>
        <w:pStyle w:val="NoSpacing"/>
        <w:rPr>
          <w:rFonts w:ascii="Arial" w:hAnsi="Arial" w:cs="Arial"/>
          <w:sz w:val="20"/>
          <w:szCs w:val="20"/>
          <w:lang w:val="en-GB"/>
        </w:rPr>
      </w:pPr>
    </w:p>
    <w:p w14:paraId="55D60BCC" w14:textId="15A91D8A" w:rsidR="00D01830" w:rsidRPr="005B250C" w:rsidRDefault="005B250C" w:rsidP="00B54E43">
      <w:pPr>
        <w:pStyle w:val="NoSpacing"/>
        <w:rPr>
          <w:rFonts w:ascii="Arial" w:hAnsi="Arial" w:cs="Arial"/>
          <w:b/>
          <w:i/>
          <w:sz w:val="20"/>
          <w:szCs w:val="20"/>
          <w:lang w:val="en-GB"/>
        </w:rPr>
      </w:pPr>
      <w:r w:rsidRPr="005B250C">
        <w:rPr>
          <w:rFonts w:ascii="Arial" w:hAnsi="Arial" w:cs="Arial"/>
          <w:b/>
          <w:i/>
          <w:sz w:val="20"/>
          <w:szCs w:val="20"/>
          <w:lang w:val="en-GB"/>
        </w:rPr>
        <w:t xml:space="preserve">3.2 </w:t>
      </w:r>
      <w:r w:rsidR="00D01830" w:rsidRPr="005B250C">
        <w:rPr>
          <w:rFonts w:ascii="Arial" w:hAnsi="Arial" w:cs="Arial"/>
          <w:b/>
          <w:i/>
          <w:sz w:val="20"/>
          <w:szCs w:val="20"/>
          <w:lang w:val="en-GB"/>
        </w:rPr>
        <w:t xml:space="preserve">Development of prevalence and incidence among AOK </w:t>
      </w:r>
      <w:proofErr w:type="spellStart"/>
      <w:r w:rsidR="00D01830" w:rsidRPr="005B250C">
        <w:rPr>
          <w:rFonts w:ascii="Arial" w:hAnsi="Arial" w:cs="Arial"/>
          <w:b/>
          <w:i/>
          <w:sz w:val="20"/>
          <w:szCs w:val="20"/>
          <w:lang w:val="en-GB"/>
        </w:rPr>
        <w:t>insurees</w:t>
      </w:r>
      <w:proofErr w:type="spellEnd"/>
    </w:p>
    <w:p w14:paraId="0F8F67E1" w14:textId="4B7023F2" w:rsidR="00D01830" w:rsidRPr="00B54E43" w:rsidRDefault="00D01830" w:rsidP="00B54E43">
      <w:pPr>
        <w:pStyle w:val="NoSpacing"/>
        <w:rPr>
          <w:rFonts w:ascii="Arial" w:hAnsi="Arial" w:cs="Arial"/>
          <w:sz w:val="20"/>
          <w:szCs w:val="20"/>
          <w:lang w:val="en-GB"/>
        </w:rPr>
      </w:pPr>
      <w:r w:rsidRPr="00B54E43">
        <w:rPr>
          <w:rFonts w:ascii="Arial" w:hAnsi="Arial" w:cs="Arial"/>
          <w:sz w:val="20"/>
          <w:szCs w:val="20"/>
          <w:lang w:val="en-GB"/>
        </w:rPr>
        <w:t xml:space="preserve">Data source B shows a decrease </w:t>
      </w:r>
      <w:r w:rsidR="005B250C">
        <w:rPr>
          <w:rFonts w:ascii="Arial" w:hAnsi="Arial" w:cs="Arial"/>
          <w:sz w:val="20"/>
          <w:szCs w:val="20"/>
          <w:lang w:val="en-GB"/>
        </w:rPr>
        <w:t>in</w:t>
      </w:r>
      <w:r w:rsidRPr="00B54E43">
        <w:rPr>
          <w:rFonts w:ascii="Arial" w:hAnsi="Arial" w:cs="Arial"/>
          <w:sz w:val="20"/>
          <w:szCs w:val="20"/>
          <w:lang w:val="en-GB"/>
        </w:rPr>
        <w:t xml:space="preserve"> the number of young women with at least one CHC prescription between 2011 and 2015 (0.356 mill</w:t>
      </w:r>
      <w:r w:rsidR="005B250C">
        <w:rPr>
          <w:rFonts w:ascii="Arial" w:hAnsi="Arial" w:cs="Arial"/>
          <w:sz w:val="20"/>
          <w:szCs w:val="20"/>
          <w:lang w:val="en-GB"/>
        </w:rPr>
        <w:t>ion</w:t>
      </w:r>
      <w:r w:rsidRPr="00B54E43">
        <w:rPr>
          <w:rFonts w:ascii="Arial" w:hAnsi="Arial" w:cs="Arial"/>
          <w:sz w:val="20"/>
          <w:szCs w:val="20"/>
          <w:lang w:val="en-GB"/>
        </w:rPr>
        <w:t xml:space="preserve"> and 0.322 mill</w:t>
      </w:r>
      <w:r w:rsidR="005B250C">
        <w:rPr>
          <w:rFonts w:ascii="Arial" w:hAnsi="Arial" w:cs="Arial"/>
          <w:sz w:val="20"/>
          <w:szCs w:val="20"/>
          <w:lang w:val="en-GB"/>
        </w:rPr>
        <w:t>ion</w:t>
      </w:r>
      <w:r w:rsidRPr="00B54E43">
        <w:rPr>
          <w:rFonts w:ascii="Arial" w:hAnsi="Arial" w:cs="Arial"/>
          <w:sz w:val="20"/>
          <w:szCs w:val="20"/>
          <w:lang w:val="en-GB"/>
        </w:rPr>
        <w:t xml:space="preserve"> respectively</w:t>
      </w:r>
      <w:r w:rsidR="005B250C">
        <w:rPr>
          <w:rFonts w:ascii="Arial" w:hAnsi="Arial" w:cs="Arial"/>
          <w:sz w:val="20"/>
          <w:szCs w:val="20"/>
          <w:lang w:val="en-GB"/>
        </w:rPr>
        <w:t>)</w:t>
      </w:r>
      <w:r w:rsidRPr="00B54E43">
        <w:rPr>
          <w:rFonts w:ascii="Arial" w:hAnsi="Arial" w:cs="Arial"/>
          <w:sz w:val="20"/>
          <w:szCs w:val="20"/>
          <w:lang w:val="en-GB"/>
        </w:rPr>
        <w:t xml:space="preserve"> due to a decrease in the number of women in this age bracket</w:t>
      </w:r>
      <w:r w:rsidR="005B250C">
        <w:rPr>
          <w:rFonts w:ascii="Arial" w:hAnsi="Arial" w:cs="Arial"/>
          <w:sz w:val="20"/>
          <w:szCs w:val="20"/>
          <w:lang w:val="en-GB"/>
        </w:rPr>
        <w:t xml:space="preserve"> (</w:t>
      </w:r>
      <w:r w:rsidRPr="00B54E43">
        <w:rPr>
          <w:rFonts w:ascii="Arial" w:hAnsi="Arial" w:cs="Arial"/>
          <w:sz w:val="20"/>
          <w:szCs w:val="20"/>
          <w:lang w:val="en-GB"/>
        </w:rPr>
        <w:t>the share of CHC recipients stayed constant at 30%) (Table 4a). Treatment prevalence of RC I was also slightly decreasing in absolute figures, but the share of RC I recipients on all CHC recipients grew from 35% in 2011 to 38% in 2015. The highest increase is observed for RC X</w:t>
      </w:r>
      <w:r w:rsidR="005B250C">
        <w:rPr>
          <w:rFonts w:ascii="Arial" w:hAnsi="Arial" w:cs="Arial"/>
          <w:sz w:val="20"/>
          <w:szCs w:val="20"/>
          <w:lang w:val="en-GB"/>
        </w:rPr>
        <w:t>.</w:t>
      </w:r>
      <w:r w:rsidRPr="00B54E43">
        <w:rPr>
          <w:rFonts w:ascii="Arial" w:hAnsi="Arial" w:cs="Arial"/>
          <w:sz w:val="20"/>
          <w:szCs w:val="20"/>
          <w:lang w:val="en-GB"/>
        </w:rPr>
        <w:t xml:space="preserve"> RC III shows, by contrast, a steady decrease. RC X has the highest incidence (Table 4b) in the various phases, the highest increase </w:t>
      </w:r>
      <w:r w:rsidR="005B250C">
        <w:rPr>
          <w:rFonts w:ascii="Arial" w:hAnsi="Arial" w:cs="Arial"/>
          <w:sz w:val="20"/>
          <w:szCs w:val="20"/>
          <w:lang w:val="en-GB"/>
        </w:rPr>
        <w:t xml:space="preserve">though </w:t>
      </w:r>
      <w:r w:rsidRPr="00B54E43">
        <w:rPr>
          <w:rFonts w:ascii="Arial" w:hAnsi="Arial" w:cs="Arial"/>
          <w:sz w:val="20"/>
          <w:szCs w:val="20"/>
          <w:lang w:val="en-GB"/>
        </w:rPr>
        <w:t>happens for RC I. While RC I incidence share on all CHC was 38% before the referral, in the post-intervention phase it was nearly 44%. The number of new RC III recipients decreased by 21%</w:t>
      </w:r>
      <w:r w:rsidR="005B250C">
        <w:rPr>
          <w:rFonts w:ascii="Arial" w:hAnsi="Arial" w:cs="Arial"/>
          <w:sz w:val="20"/>
          <w:szCs w:val="20"/>
          <w:lang w:val="en-GB"/>
        </w:rPr>
        <w:t xml:space="preserve"> during this period</w:t>
      </w:r>
      <w:r w:rsidRPr="00B54E43">
        <w:rPr>
          <w:rFonts w:ascii="Arial" w:hAnsi="Arial" w:cs="Arial"/>
          <w:sz w:val="20"/>
          <w:szCs w:val="20"/>
          <w:lang w:val="en-GB"/>
        </w:rPr>
        <w:t>.</w:t>
      </w:r>
      <w:r w:rsidR="00FC0AF9">
        <w:rPr>
          <w:rFonts w:ascii="Arial" w:hAnsi="Arial" w:cs="Arial"/>
          <w:sz w:val="20"/>
          <w:szCs w:val="20"/>
          <w:lang w:val="en-GB"/>
        </w:rPr>
        <w:t xml:space="preserve"> Since CHC use below the age of 15 is very rare, the main group of users within the target population (i.e., starting at 15 and below 20) is documented separately in </w:t>
      </w:r>
      <w:r w:rsidR="00AB2CA2">
        <w:rPr>
          <w:rFonts w:ascii="Arial" w:hAnsi="Arial" w:cs="Arial"/>
          <w:sz w:val="20"/>
          <w:szCs w:val="20"/>
          <w:lang w:val="en-GB"/>
        </w:rPr>
        <w:t>T</w:t>
      </w:r>
      <w:r w:rsidR="00FC0AF9">
        <w:rPr>
          <w:rFonts w:ascii="Arial" w:hAnsi="Arial" w:cs="Arial"/>
          <w:sz w:val="20"/>
          <w:szCs w:val="20"/>
          <w:lang w:val="en-GB"/>
        </w:rPr>
        <w:t xml:space="preserve">able 4 b.  </w:t>
      </w:r>
    </w:p>
    <w:p w14:paraId="0B90E341" w14:textId="77777777" w:rsidR="00D01830" w:rsidRPr="00B54E43" w:rsidRDefault="00D01830" w:rsidP="00B54E43">
      <w:pPr>
        <w:pStyle w:val="NoSpacing"/>
        <w:rPr>
          <w:rFonts w:ascii="Arial" w:hAnsi="Arial" w:cs="Arial"/>
          <w:sz w:val="20"/>
          <w:szCs w:val="20"/>
          <w:lang w:val="en-GB"/>
        </w:rPr>
      </w:pPr>
    </w:p>
    <w:p w14:paraId="506AF726" w14:textId="17F4123D" w:rsidR="00D01830" w:rsidRPr="00E5763E" w:rsidRDefault="00D01830" w:rsidP="00B54E43">
      <w:pPr>
        <w:pStyle w:val="NoSpacing"/>
        <w:rPr>
          <w:rFonts w:ascii="Arial" w:hAnsi="Arial" w:cs="Arial"/>
          <w:sz w:val="20"/>
          <w:szCs w:val="20"/>
          <w:lang w:val="en-GB"/>
        </w:rPr>
      </w:pPr>
      <w:r w:rsidRPr="00E5763E">
        <w:rPr>
          <w:rFonts w:ascii="Arial" w:hAnsi="Arial" w:cs="Arial"/>
          <w:sz w:val="20"/>
          <w:szCs w:val="20"/>
          <w:lang w:val="en-GB"/>
        </w:rPr>
        <w:t>Insert Tables 4a and 4b</w:t>
      </w:r>
    </w:p>
    <w:p w14:paraId="32985209" w14:textId="77777777" w:rsidR="00D01830" w:rsidRPr="00B54E43" w:rsidRDefault="00D01830" w:rsidP="00B54E43">
      <w:pPr>
        <w:pStyle w:val="NoSpacing"/>
        <w:rPr>
          <w:rFonts w:ascii="Arial" w:hAnsi="Arial" w:cs="Arial"/>
          <w:sz w:val="20"/>
          <w:szCs w:val="20"/>
          <w:lang w:val="en-GB"/>
        </w:rPr>
      </w:pPr>
    </w:p>
    <w:p w14:paraId="188FE5F5" w14:textId="3111714C" w:rsidR="00D01830" w:rsidRPr="005B250C" w:rsidRDefault="005B250C" w:rsidP="00B54E43">
      <w:pPr>
        <w:pStyle w:val="NoSpacing"/>
        <w:rPr>
          <w:rFonts w:ascii="Arial" w:hAnsi="Arial" w:cs="Arial"/>
          <w:b/>
          <w:i/>
          <w:sz w:val="20"/>
          <w:szCs w:val="20"/>
          <w:lang w:val="en-GB"/>
        </w:rPr>
      </w:pPr>
      <w:r w:rsidRPr="005B250C">
        <w:rPr>
          <w:rFonts w:ascii="Arial" w:hAnsi="Arial" w:cs="Arial"/>
          <w:b/>
          <w:i/>
          <w:sz w:val="20"/>
          <w:szCs w:val="20"/>
          <w:lang w:val="en-GB"/>
        </w:rPr>
        <w:t xml:space="preserve">3.3 </w:t>
      </w:r>
      <w:r w:rsidR="00D01830" w:rsidRPr="005B250C">
        <w:rPr>
          <w:rFonts w:ascii="Arial" w:hAnsi="Arial" w:cs="Arial"/>
          <w:b/>
          <w:i/>
          <w:sz w:val="20"/>
          <w:szCs w:val="20"/>
          <w:lang w:val="en-GB"/>
        </w:rPr>
        <w:t>Development of the relative importance of the various risk classes</w:t>
      </w:r>
    </w:p>
    <w:p w14:paraId="6375B4CE" w14:textId="77777777" w:rsidR="00D01830" w:rsidRPr="00B54E43" w:rsidRDefault="00D01830" w:rsidP="00B54E43">
      <w:pPr>
        <w:pStyle w:val="NoSpacing"/>
        <w:rPr>
          <w:rFonts w:ascii="Arial" w:hAnsi="Arial" w:cs="Arial"/>
          <w:sz w:val="20"/>
          <w:szCs w:val="20"/>
          <w:lang w:val="en-GB"/>
        </w:rPr>
      </w:pPr>
      <w:r w:rsidRPr="00B54E43">
        <w:rPr>
          <w:rFonts w:ascii="Arial" w:hAnsi="Arial" w:cs="Arial"/>
          <w:sz w:val="20"/>
          <w:szCs w:val="20"/>
          <w:lang w:val="en-GB"/>
        </w:rPr>
        <w:t>The development over time of the share of recipients of the various risk classes is displayed in Figure 1. The vertical lines mark the points in time of the interventions (start of referral and of implementation, respectively) used in modelling.</w:t>
      </w:r>
    </w:p>
    <w:p w14:paraId="35A623A5" w14:textId="77777777" w:rsidR="00D01830" w:rsidRPr="00B54E43" w:rsidRDefault="00D01830" w:rsidP="00B54E43">
      <w:pPr>
        <w:pStyle w:val="NoSpacing"/>
        <w:rPr>
          <w:rFonts w:ascii="Arial" w:hAnsi="Arial" w:cs="Arial"/>
          <w:sz w:val="20"/>
          <w:szCs w:val="20"/>
          <w:lang w:val="en-GB"/>
        </w:rPr>
      </w:pPr>
    </w:p>
    <w:p w14:paraId="1769EE5C" w14:textId="77777777" w:rsidR="00220E60" w:rsidRDefault="00220E60">
      <w:pPr>
        <w:rPr>
          <w:rFonts w:ascii="Arial" w:hAnsi="Arial" w:cs="Arial"/>
          <w:lang w:val="en-GB"/>
        </w:rPr>
      </w:pPr>
      <w:r>
        <w:rPr>
          <w:rFonts w:ascii="Arial" w:hAnsi="Arial" w:cs="Arial"/>
          <w:lang w:val="en-GB"/>
        </w:rPr>
        <w:br w:type="page"/>
      </w:r>
    </w:p>
    <w:p w14:paraId="179C208A" w14:textId="39694ADE" w:rsidR="00220E60" w:rsidRDefault="00220E60" w:rsidP="00220E60">
      <w:pPr>
        <w:rPr>
          <w:rFonts w:ascii="Arial" w:hAnsi="Arial" w:cs="Arial"/>
          <w:lang w:val="en-GB"/>
        </w:rPr>
      </w:pPr>
      <w:r w:rsidRPr="00C907E1">
        <w:rPr>
          <w:rFonts w:ascii="Arial" w:hAnsi="Arial" w:cs="Arial"/>
          <w:lang w:val="en-GB"/>
        </w:rPr>
        <w:lastRenderedPageBreak/>
        <w:t>Figure 1: Recipients of CHC: Share of</w:t>
      </w:r>
      <w:r>
        <w:rPr>
          <w:rFonts w:ascii="Arial" w:hAnsi="Arial" w:cs="Arial"/>
          <w:lang w:val="en-GB"/>
        </w:rPr>
        <w:t xml:space="preserve"> </w:t>
      </w:r>
      <w:r w:rsidRPr="00C907E1">
        <w:rPr>
          <w:rFonts w:ascii="Arial" w:hAnsi="Arial" w:cs="Arial"/>
          <w:lang w:val="en-GB"/>
        </w:rPr>
        <w:t>all CHC recipients in the study po</w:t>
      </w:r>
      <w:r>
        <w:rPr>
          <w:rFonts w:ascii="Arial" w:hAnsi="Arial" w:cs="Arial"/>
          <w:lang w:val="en-GB"/>
        </w:rPr>
        <w:t>p</w:t>
      </w:r>
      <w:r w:rsidRPr="00C907E1">
        <w:rPr>
          <w:rFonts w:ascii="Arial" w:hAnsi="Arial" w:cs="Arial"/>
          <w:lang w:val="en-GB"/>
        </w:rPr>
        <w:t>ulation</w:t>
      </w:r>
    </w:p>
    <w:p w14:paraId="5150092F" w14:textId="67B200B0" w:rsidR="00220E60" w:rsidRPr="00C907E1" w:rsidRDefault="00220E60" w:rsidP="00220E60">
      <w:pPr>
        <w:rPr>
          <w:rFonts w:ascii="Arial" w:hAnsi="Arial" w:cs="Arial"/>
          <w:lang w:val="en-GB"/>
        </w:rPr>
      </w:pPr>
      <w:r w:rsidRPr="00220E60">
        <w:rPr>
          <w:rFonts w:ascii="Arial" w:hAnsi="Arial" w:cs="Arial"/>
          <w:noProof/>
          <w:lang w:val="en-GB"/>
        </w:rPr>
        <w:drawing>
          <wp:inline distT="0" distB="0" distL="0" distR="0" wp14:anchorId="3BAD22B1" wp14:editId="33680A8B">
            <wp:extent cx="5759450" cy="36772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59450" cy="3677285"/>
                    </a:xfrm>
                    <a:prstGeom prst="rect">
                      <a:avLst/>
                    </a:prstGeom>
                    <a:noFill/>
                    <a:ln>
                      <a:noFill/>
                    </a:ln>
                  </pic:spPr>
                </pic:pic>
              </a:graphicData>
            </a:graphic>
          </wp:inline>
        </w:drawing>
      </w:r>
    </w:p>
    <w:p w14:paraId="5B98FA30" w14:textId="3CC9C232" w:rsidR="00220E60" w:rsidRPr="00220E60" w:rsidRDefault="00220E60" w:rsidP="00220E60">
      <w:pPr>
        <w:pStyle w:val="NoSpacing"/>
        <w:rPr>
          <w:rFonts w:ascii="Arial" w:hAnsi="Arial" w:cs="Arial"/>
          <w:sz w:val="18"/>
          <w:szCs w:val="18"/>
          <w:lang w:val="en-GB"/>
        </w:rPr>
      </w:pPr>
      <w:r w:rsidRPr="00220E60">
        <w:rPr>
          <w:rFonts w:ascii="Arial" w:hAnsi="Arial" w:cs="Arial"/>
          <w:sz w:val="18"/>
          <w:szCs w:val="18"/>
          <w:lang w:val="en-GB"/>
        </w:rPr>
        <w:t>NB</w:t>
      </w:r>
      <w:r w:rsidRPr="00220E60">
        <w:rPr>
          <w:rFonts w:ascii="Arial" w:hAnsi="Arial" w:cs="Arial"/>
          <w:sz w:val="18"/>
          <w:szCs w:val="18"/>
          <w:lang w:val="en-GB"/>
        </w:rPr>
        <w:t xml:space="preserve">: The two vertical lines mark the start of the European risk assessment process (left line) and the point in time of the implementation (right line). Note that the </w:t>
      </w:r>
      <w:r w:rsidRPr="00220E60">
        <w:rPr>
          <w:rFonts w:ascii="Arial" w:hAnsi="Arial" w:cs="Arial"/>
          <w:i/>
          <w:sz w:val="18"/>
          <w:szCs w:val="18"/>
          <w:lang w:val="en-GB"/>
        </w:rPr>
        <w:t>y</w:t>
      </w:r>
      <w:r w:rsidRPr="00220E60">
        <w:rPr>
          <w:rFonts w:ascii="Arial" w:hAnsi="Arial" w:cs="Arial"/>
          <w:sz w:val="18"/>
          <w:szCs w:val="18"/>
          <w:lang w:val="en-GB"/>
        </w:rPr>
        <w:t xml:space="preserve"> axes are scaled differently in order to show the values more clearly even though levels are different.</w:t>
      </w:r>
    </w:p>
    <w:p w14:paraId="6E144189" w14:textId="77777777" w:rsidR="00D01830" w:rsidRPr="00B54E43" w:rsidRDefault="00D01830" w:rsidP="00B54E43">
      <w:pPr>
        <w:pStyle w:val="NoSpacing"/>
        <w:rPr>
          <w:rFonts w:ascii="Arial" w:hAnsi="Arial" w:cs="Arial"/>
          <w:sz w:val="20"/>
          <w:szCs w:val="20"/>
          <w:lang w:val="en-GB"/>
        </w:rPr>
      </w:pPr>
    </w:p>
    <w:p w14:paraId="1A2315D7" w14:textId="30ADB46B" w:rsidR="00D01830" w:rsidRPr="00B54E43" w:rsidRDefault="00D01830" w:rsidP="00B54E43">
      <w:pPr>
        <w:pStyle w:val="NoSpacing"/>
        <w:rPr>
          <w:rFonts w:ascii="Arial" w:hAnsi="Arial" w:cs="Arial"/>
          <w:strike/>
          <w:sz w:val="20"/>
          <w:szCs w:val="20"/>
          <w:lang w:val="en-GB"/>
        </w:rPr>
      </w:pPr>
      <w:r w:rsidRPr="00B54E43">
        <w:rPr>
          <w:rFonts w:ascii="Arial" w:hAnsi="Arial" w:cs="Arial"/>
          <w:sz w:val="20"/>
          <w:szCs w:val="20"/>
          <w:lang w:val="en-GB"/>
        </w:rPr>
        <w:t>The analysis of the temporal trend for RC III shows a statistically significant decrease for the first month of the referral phase (change in the share of prevalent cases by ω=-0.0035, i.e. a decrease by 0.35 percentage points,</w:t>
      </w:r>
      <w:r w:rsidRPr="00B54E43">
        <w:rPr>
          <w:rFonts w:ascii="Arial" w:hAnsi="Arial" w:cs="Arial"/>
          <w:i/>
          <w:sz w:val="20"/>
          <w:szCs w:val="20"/>
          <w:lang w:val="en-GB"/>
        </w:rPr>
        <w:t xml:space="preserve"> p</w:t>
      </w:r>
      <w:r w:rsidRPr="00B54E43">
        <w:rPr>
          <w:rFonts w:ascii="Arial" w:hAnsi="Arial" w:cs="Arial"/>
          <w:sz w:val="20"/>
          <w:szCs w:val="20"/>
          <w:lang w:val="en-GB"/>
        </w:rPr>
        <w:t>&lt;0.001). This indicates that the pre-existing decrease of R</w:t>
      </w:r>
      <w:r w:rsidR="005B250C">
        <w:rPr>
          <w:rFonts w:ascii="Arial" w:hAnsi="Arial" w:cs="Arial"/>
          <w:sz w:val="20"/>
          <w:szCs w:val="20"/>
          <w:lang w:val="en-GB"/>
        </w:rPr>
        <w:t>C</w:t>
      </w:r>
      <w:r w:rsidRPr="00B54E43">
        <w:rPr>
          <w:rFonts w:ascii="Arial" w:hAnsi="Arial" w:cs="Arial"/>
          <w:sz w:val="20"/>
          <w:szCs w:val="20"/>
          <w:lang w:val="en-GB"/>
        </w:rPr>
        <w:t xml:space="preserve"> III treatment prevalence was slightly enhanced by the referral process (interpreted here as a factor of influence). </w:t>
      </w:r>
      <w:r w:rsidR="00E5763E">
        <w:rPr>
          <w:rFonts w:ascii="Arial" w:hAnsi="Arial" w:cs="Arial"/>
          <w:sz w:val="20"/>
          <w:szCs w:val="20"/>
          <w:lang w:val="en-GB"/>
        </w:rPr>
        <w:t>However, t</w:t>
      </w:r>
      <w:r w:rsidRPr="00B54E43">
        <w:rPr>
          <w:rFonts w:ascii="Arial" w:hAnsi="Arial" w:cs="Arial"/>
          <w:sz w:val="20"/>
          <w:szCs w:val="20"/>
          <w:lang w:val="en-GB"/>
        </w:rPr>
        <w:t>he second intervention (implementation of EMA conditions) showed no statistically significant effect. In other words</w:t>
      </w:r>
      <w:r w:rsidR="00E5763E">
        <w:rPr>
          <w:rFonts w:ascii="Arial" w:hAnsi="Arial" w:cs="Arial"/>
          <w:sz w:val="20"/>
          <w:szCs w:val="20"/>
          <w:lang w:val="en-GB"/>
        </w:rPr>
        <w:t xml:space="preserve">, </w:t>
      </w:r>
      <w:r w:rsidRPr="00B54E43">
        <w:rPr>
          <w:rFonts w:ascii="Arial" w:hAnsi="Arial" w:cs="Arial"/>
          <w:sz w:val="20"/>
          <w:szCs w:val="20"/>
          <w:lang w:val="en-GB"/>
        </w:rPr>
        <w:t>the decrease observed during the referral phase was not enhanced any further. For RC X drugs there is also a statistically significant effect of the referral phase on the development of prescription</w:t>
      </w:r>
      <w:r w:rsidR="00E5763E">
        <w:rPr>
          <w:rFonts w:ascii="Arial" w:hAnsi="Arial" w:cs="Arial"/>
          <w:sz w:val="20"/>
          <w:szCs w:val="20"/>
          <w:lang w:val="en-GB"/>
        </w:rPr>
        <w:t xml:space="preserve">; </w:t>
      </w:r>
      <w:r w:rsidRPr="00B54E43">
        <w:rPr>
          <w:rFonts w:ascii="Arial" w:hAnsi="Arial" w:cs="Arial"/>
          <w:sz w:val="20"/>
          <w:szCs w:val="20"/>
          <w:lang w:val="en-GB"/>
        </w:rPr>
        <w:t xml:space="preserve">however, </w:t>
      </w:r>
      <w:r w:rsidR="00E5763E">
        <w:rPr>
          <w:rFonts w:ascii="Arial" w:hAnsi="Arial" w:cs="Arial"/>
          <w:sz w:val="20"/>
          <w:szCs w:val="20"/>
          <w:lang w:val="en-GB"/>
        </w:rPr>
        <w:t xml:space="preserve">this was </w:t>
      </w:r>
      <w:r w:rsidRPr="00B54E43">
        <w:rPr>
          <w:rFonts w:ascii="Arial" w:hAnsi="Arial" w:cs="Arial"/>
          <w:sz w:val="20"/>
          <w:szCs w:val="20"/>
          <w:lang w:val="en-GB"/>
        </w:rPr>
        <w:t>in the opposite direction</w:t>
      </w:r>
      <w:r w:rsidR="00E5763E">
        <w:rPr>
          <w:rFonts w:ascii="Arial" w:hAnsi="Arial" w:cs="Arial"/>
          <w:sz w:val="20"/>
          <w:szCs w:val="20"/>
          <w:lang w:val="en-GB"/>
        </w:rPr>
        <w:t>,</w:t>
      </w:r>
      <w:r w:rsidRPr="00B54E43">
        <w:rPr>
          <w:rFonts w:ascii="Arial" w:hAnsi="Arial" w:cs="Arial"/>
          <w:sz w:val="20"/>
          <w:szCs w:val="20"/>
          <w:lang w:val="en-GB"/>
        </w:rPr>
        <w:t xml:space="preserve"> i</w:t>
      </w:r>
      <w:r w:rsidR="00E5763E">
        <w:rPr>
          <w:rFonts w:ascii="Arial" w:hAnsi="Arial" w:cs="Arial"/>
          <w:sz w:val="20"/>
          <w:szCs w:val="20"/>
          <w:lang w:val="en-GB"/>
        </w:rPr>
        <w:t>.</w:t>
      </w:r>
      <w:r w:rsidRPr="00B54E43">
        <w:rPr>
          <w:rFonts w:ascii="Arial" w:hAnsi="Arial" w:cs="Arial"/>
          <w:sz w:val="20"/>
          <w:szCs w:val="20"/>
          <w:lang w:val="en-GB"/>
        </w:rPr>
        <w:t>e. after the start of the referral</w:t>
      </w:r>
      <w:r w:rsidR="00E5763E">
        <w:rPr>
          <w:rFonts w:ascii="Arial" w:hAnsi="Arial" w:cs="Arial"/>
          <w:sz w:val="20"/>
          <w:szCs w:val="20"/>
          <w:lang w:val="en-GB"/>
        </w:rPr>
        <w:t>,</w:t>
      </w:r>
      <w:r w:rsidRPr="00B54E43">
        <w:rPr>
          <w:rFonts w:ascii="Arial" w:hAnsi="Arial" w:cs="Arial"/>
          <w:sz w:val="20"/>
          <w:szCs w:val="20"/>
          <w:lang w:val="en-GB"/>
        </w:rPr>
        <w:t xml:space="preserve"> prescriptions increased </w:t>
      </w:r>
      <w:r w:rsidR="00E5763E">
        <w:rPr>
          <w:rFonts w:ascii="Arial" w:hAnsi="Arial" w:cs="Arial"/>
          <w:sz w:val="20"/>
          <w:szCs w:val="20"/>
          <w:lang w:val="en-GB"/>
        </w:rPr>
        <w:t xml:space="preserve">more </w:t>
      </w:r>
      <w:r w:rsidRPr="00B54E43">
        <w:rPr>
          <w:rFonts w:ascii="Arial" w:hAnsi="Arial" w:cs="Arial"/>
          <w:sz w:val="20"/>
          <w:szCs w:val="20"/>
          <w:lang w:val="en-GB"/>
        </w:rPr>
        <w:t>strong</w:t>
      </w:r>
      <w:r w:rsidR="00E5763E">
        <w:rPr>
          <w:rFonts w:ascii="Arial" w:hAnsi="Arial" w:cs="Arial"/>
          <w:sz w:val="20"/>
          <w:szCs w:val="20"/>
          <w:lang w:val="en-GB"/>
        </w:rPr>
        <w:t>ly</w:t>
      </w:r>
      <w:r w:rsidRPr="00B54E43">
        <w:rPr>
          <w:rFonts w:ascii="Arial" w:hAnsi="Arial" w:cs="Arial"/>
          <w:sz w:val="20"/>
          <w:szCs w:val="20"/>
          <w:lang w:val="en-GB"/>
        </w:rPr>
        <w:t xml:space="preserve"> than in the months before (+0.46 percentage points, </w:t>
      </w:r>
      <w:r w:rsidRPr="00B54E43">
        <w:rPr>
          <w:rFonts w:ascii="Arial" w:hAnsi="Arial" w:cs="Arial"/>
          <w:i/>
          <w:sz w:val="20"/>
          <w:szCs w:val="20"/>
          <w:lang w:val="en-GB"/>
        </w:rPr>
        <w:t>p</w:t>
      </w:r>
      <w:r w:rsidRPr="00B54E43">
        <w:rPr>
          <w:rFonts w:ascii="Arial" w:hAnsi="Arial" w:cs="Arial"/>
          <w:sz w:val="20"/>
          <w:szCs w:val="20"/>
          <w:lang w:val="en-GB"/>
        </w:rPr>
        <w:t>=0,009). The estimate for the asymptotic total effect of the start of the referral process is roughly 1 percentage point. Like RC III, RC X showed no additional effect of the start of implementation</w:t>
      </w:r>
      <w:r w:rsidR="00E5763E">
        <w:rPr>
          <w:rFonts w:ascii="Arial" w:hAnsi="Arial" w:cs="Arial"/>
          <w:sz w:val="20"/>
          <w:szCs w:val="20"/>
          <w:lang w:val="en-GB"/>
        </w:rPr>
        <w:t xml:space="preserve"> (Table 5)</w:t>
      </w:r>
      <w:r w:rsidRPr="00B54E43">
        <w:rPr>
          <w:rFonts w:ascii="Arial" w:hAnsi="Arial" w:cs="Arial"/>
          <w:sz w:val="20"/>
          <w:szCs w:val="20"/>
          <w:lang w:val="en-GB"/>
        </w:rPr>
        <w:t>.</w:t>
      </w:r>
    </w:p>
    <w:p w14:paraId="4F099054" w14:textId="77777777" w:rsidR="00D01830" w:rsidRPr="00B54E43" w:rsidRDefault="00D01830" w:rsidP="00B54E43">
      <w:pPr>
        <w:pStyle w:val="NoSpacing"/>
        <w:rPr>
          <w:rFonts w:ascii="Arial" w:hAnsi="Arial" w:cs="Arial"/>
          <w:i/>
          <w:sz w:val="20"/>
          <w:szCs w:val="20"/>
          <w:lang w:val="en-GB"/>
        </w:rPr>
      </w:pPr>
      <w:r w:rsidRPr="00B54E43">
        <w:rPr>
          <w:rFonts w:ascii="Arial" w:hAnsi="Arial" w:cs="Arial"/>
          <w:i/>
          <w:sz w:val="20"/>
          <w:szCs w:val="20"/>
          <w:lang w:val="en-GB"/>
        </w:rPr>
        <w:tab/>
      </w:r>
    </w:p>
    <w:p w14:paraId="3CF2BB56" w14:textId="1A33C5FA" w:rsidR="00D01830" w:rsidRPr="00E5763E" w:rsidRDefault="00D01830" w:rsidP="00B54E43">
      <w:pPr>
        <w:pStyle w:val="NoSpacing"/>
        <w:rPr>
          <w:rFonts w:ascii="Arial" w:hAnsi="Arial" w:cs="Arial"/>
          <w:sz w:val="20"/>
          <w:szCs w:val="20"/>
          <w:lang w:val="en-GB"/>
        </w:rPr>
      </w:pPr>
      <w:r w:rsidRPr="00E5763E">
        <w:rPr>
          <w:rFonts w:ascii="Arial" w:hAnsi="Arial" w:cs="Arial"/>
          <w:sz w:val="20"/>
          <w:szCs w:val="20"/>
          <w:lang w:val="en-GB"/>
        </w:rPr>
        <w:t xml:space="preserve">Insert Table 5 </w:t>
      </w:r>
    </w:p>
    <w:p w14:paraId="47099D65" w14:textId="77777777" w:rsidR="00D01830" w:rsidRPr="00B54E43" w:rsidRDefault="00D01830" w:rsidP="00B54E43">
      <w:pPr>
        <w:pStyle w:val="NoSpacing"/>
        <w:rPr>
          <w:rFonts w:ascii="Arial" w:hAnsi="Arial" w:cs="Arial"/>
          <w:sz w:val="20"/>
          <w:szCs w:val="20"/>
          <w:lang w:val="en-GB"/>
        </w:rPr>
      </w:pPr>
    </w:p>
    <w:p w14:paraId="56E80CA6" w14:textId="39FC9953" w:rsidR="00D01830" w:rsidRPr="00E5763E" w:rsidRDefault="00E5763E" w:rsidP="00B54E43">
      <w:pPr>
        <w:pStyle w:val="NoSpacing"/>
        <w:rPr>
          <w:rFonts w:ascii="Arial" w:hAnsi="Arial" w:cs="Arial"/>
          <w:b/>
          <w:i/>
          <w:sz w:val="20"/>
          <w:szCs w:val="20"/>
          <w:lang w:val="en-GB"/>
        </w:rPr>
      </w:pPr>
      <w:r w:rsidRPr="00E5763E">
        <w:rPr>
          <w:rFonts w:ascii="Arial" w:hAnsi="Arial" w:cs="Arial"/>
          <w:b/>
          <w:i/>
          <w:sz w:val="20"/>
          <w:szCs w:val="20"/>
          <w:lang w:val="en-GB"/>
        </w:rPr>
        <w:t xml:space="preserve">3.4 </w:t>
      </w:r>
      <w:r w:rsidR="00D01830" w:rsidRPr="00E5763E">
        <w:rPr>
          <w:rFonts w:ascii="Arial" w:hAnsi="Arial" w:cs="Arial"/>
          <w:b/>
          <w:i/>
          <w:sz w:val="20"/>
          <w:szCs w:val="20"/>
          <w:lang w:val="en-GB"/>
        </w:rPr>
        <w:t>Factors influencing incidence</w:t>
      </w:r>
    </w:p>
    <w:p w14:paraId="1F3A17CB" w14:textId="78851B9B" w:rsidR="00D01830" w:rsidRPr="00B54E43" w:rsidRDefault="00D01830" w:rsidP="00B54E43">
      <w:pPr>
        <w:pStyle w:val="NoSpacing"/>
        <w:rPr>
          <w:rFonts w:ascii="Arial" w:hAnsi="Arial" w:cs="Arial"/>
          <w:sz w:val="20"/>
          <w:szCs w:val="20"/>
          <w:lang w:val="en-GB"/>
        </w:rPr>
      </w:pPr>
      <w:r w:rsidRPr="00B54E43">
        <w:rPr>
          <w:rFonts w:ascii="Arial" w:hAnsi="Arial" w:cs="Arial"/>
          <w:sz w:val="20"/>
          <w:szCs w:val="20"/>
          <w:lang w:val="en-GB"/>
        </w:rPr>
        <w:t xml:space="preserve">For </w:t>
      </w:r>
      <w:proofErr w:type="spellStart"/>
      <w:r w:rsidRPr="00B54E43">
        <w:rPr>
          <w:rFonts w:ascii="Arial" w:hAnsi="Arial" w:cs="Arial"/>
          <w:sz w:val="20"/>
          <w:szCs w:val="20"/>
          <w:lang w:val="en-GB"/>
        </w:rPr>
        <w:t>insurees</w:t>
      </w:r>
      <w:proofErr w:type="spellEnd"/>
      <w:r w:rsidRPr="00B54E43">
        <w:rPr>
          <w:rFonts w:ascii="Arial" w:hAnsi="Arial" w:cs="Arial"/>
          <w:sz w:val="20"/>
          <w:szCs w:val="20"/>
          <w:lang w:val="en-GB"/>
        </w:rPr>
        <w:t xml:space="preserve"> who received a RC I or III CHC for the first time during the post-intervention phase, factors influencing the prescription were investigated (Table 6). The odds of receiving a RC III CHC rather than a RC I CHC is almost three times as high when the </w:t>
      </w:r>
      <w:proofErr w:type="spellStart"/>
      <w:r w:rsidRPr="00B54E43">
        <w:rPr>
          <w:rFonts w:ascii="Arial" w:hAnsi="Arial" w:cs="Arial"/>
          <w:sz w:val="20"/>
          <w:szCs w:val="20"/>
          <w:lang w:val="en-GB"/>
        </w:rPr>
        <w:t>insuree</w:t>
      </w:r>
      <w:proofErr w:type="spellEnd"/>
      <w:r w:rsidRPr="00B54E43">
        <w:rPr>
          <w:rFonts w:ascii="Arial" w:hAnsi="Arial" w:cs="Arial"/>
          <w:sz w:val="20"/>
          <w:szCs w:val="20"/>
          <w:lang w:val="en-GB"/>
        </w:rPr>
        <w:t xml:space="preserve"> had received a CHC of a different class before. It doubles whenever a GP rather than a gyn</w:t>
      </w:r>
      <w:r w:rsidR="00E5763E">
        <w:rPr>
          <w:rFonts w:ascii="Arial" w:hAnsi="Arial" w:cs="Arial"/>
          <w:sz w:val="20"/>
          <w:szCs w:val="20"/>
          <w:lang w:val="en-GB"/>
        </w:rPr>
        <w:t>a</w:t>
      </w:r>
      <w:r w:rsidRPr="00B54E43">
        <w:rPr>
          <w:rFonts w:ascii="Arial" w:hAnsi="Arial" w:cs="Arial"/>
          <w:sz w:val="20"/>
          <w:szCs w:val="20"/>
          <w:lang w:val="en-GB"/>
        </w:rPr>
        <w:t>ecologist is the prescriber. There are also marked regional differences</w:t>
      </w:r>
      <w:r w:rsidR="00E5763E">
        <w:rPr>
          <w:rFonts w:ascii="Arial" w:hAnsi="Arial" w:cs="Arial"/>
          <w:sz w:val="20"/>
          <w:szCs w:val="20"/>
          <w:lang w:val="en-GB"/>
        </w:rPr>
        <w:t xml:space="preserve">. </w:t>
      </w:r>
      <w:r w:rsidRPr="00B54E43">
        <w:rPr>
          <w:rFonts w:ascii="Arial" w:hAnsi="Arial" w:cs="Arial"/>
          <w:sz w:val="20"/>
          <w:szCs w:val="20"/>
          <w:lang w:val="en-GB"/>
        </w:rPr>
        <w:t>In the federal state of Saarland, the odds compared to Baden-Württemberg are 1.3, while for Bremen it is only 0.77 (Table 6). The odds for receiving a RC III drug is roughly 25% lower whenever the prescribing physician is female.</w:t>
      </w:r>
    </w:p>
    <w:p w14:paraId="12AF9845" w14:textId="77777777" w:rsidR="00D01830" w:rsidRPr="00B54E43" w:rsidRDefault="00D01830" w:rsidP="00B54E43">
      <w:pPr>
        <w:pStyle w:val="NoSpacing"/>
        <w:rPr>
          <w:rFonts w:ascii="Arial" w:hAnsi="Arial" w:cs="Arial"/>
          <w:i/>
          <w:sz w:val="20"/>
          <w:szCs w:val="20"/>
          <w:lang w:val="en-GB"/>
        </w:rPr>
      </w:pPr>
    </w:p>
    <w:p w14:paraId="75715A84" w14:textId="74BA4766" w:rsidR="00D01830" w:rsidRPr="00E5763E" w:rsidRDefault="00D01830" w:rsidP="00B54E43">
      <w:pPr>
        <w:pStyle w:val="NoSpacing"/>
        <w:rPr>
          <w:rFonts w:ascii="Arial" w:hAnsi="Arial" w:cs="Arial"/>
          <w:sz w:val="20"/>
          <w:szCs w:val="20"/>
          <w:lang w:val="en-GB"/>
        </w:rPr>
      </w:pPr>
      <w:r w:rsidRPr="00E5763E">
        <w:rPr>
          <w:rFonts w:ascii="Arial" w:hAnsi="Arial" w:cs="Arial"/>
          <w:sz w:val="20"/>
          <w:szCs w:val="20"/>
          <w:lang w:val="en-GB"/>
        </w:rPr>
        <w:t>Insert Table 6</w:t>
      </w:r>
    </w:p>
    <w:p w14:paraId="18AA76C9" w14:textId="77777777" w:rsidR="00D01830" w:rsidRPr="00B54E43" w:rsidRDefault="00D01830" w:rsidP="00B54E43">
      <w:pPr>
        <w:pStyle w:val="NoSpacing"/>
        <w:rPr>
          <w:rFonts w:ascii="Arial" w:hAnsi="Arial" w:cs="Arial"/>
          <w:sz w:val="20"/>
          <w:szCs w:val="20"/>
          <w:lang w:val="en-GB"/>
        </w:rPr>
      </w:pPr>
    </w:p>
    <w:p w14:paraId="6980DF80" w14:textId="77777777" w:rsidR="00220E60" w:rsidRDefault="00220E60">
      <w:pPr>
        <w:rPr>
          <w:rFonts w:ascii="Arial" w:hAnsi="Arial" w:cs="Arial"/>
          <w:b/>
          <w:sz w:val="20"/>
          <w:szCs w:val="20"/>
          <w:lang w:val="en-GB"/>
        </w:rPr>
      </w:pPr>
      <w:r>
        <w:rPr>
          <w:rFonts w:ascii="Arial" w:hAnsi="Arial" w:cs="Arial"/>
          <w:b/>
          <w:sz w:val="20"/>
          <w:szCs w:val="20"/>
          <w:lang w:val="en-GB"/>
        </w:rPr>
        <w:br w:type="page"/>
      </w:r>
    </w:p>
    <w:p w14:paraId="5E9BC82C" w14:textId="1E4C2053" w:rsidR="00D01830" w:rsidRPr="00E5763E" w:rsidRDefault="00D01830" w:rsidP="00E5763E">
      <w:pPr>
        <w:pStyle w:val="NoSpacing"/>
        <w:numPr>
          <w:ilvl w:val="0"/>
          <w:numId w:val="13"/>
        </w:numPr>
        <w:rPr>
          <w:rFonts w:ascii="Arial" w:hAnsi="Arial" w:cs="Arial"/>
          <w:b/>
          <w:sz w:val="20"/>
          <w:szCs w:val="20"/>
          <w:lang w:val="en-GB"/>
        </w:rPr>
      </w:pPr>
      <w:r w:rsidRPr="00E5763E">
        <w:rPr>
          <w:rFonts w:ascii="Arial" w:hAnsi="Arial" w:cs="Arial"/>
          <w:b/>
          <w:sz w:val="20"/>
          <w:szCs w:val="20"/>
          <w:lang w:val="en-GB"/>
        </w:rPr>
        <w:lastRenderedPageBreak/>
        <w:t xml:space="preserve">Discussion </w:t>
      </w:r>
    </w:p>
    <w:p w14:paraId="294C1DA9" w14:textId="77777777" w:rsidR="00E5763E" w:rsidRDefault="00E5763E" w:rsidP="00B54E43">
      <w:pPr>
        <w:pStyle w:val="NoSpacing"/>
        <w:rPr>
          <w:rFonts w:ascii="Arial" w:hAnsi="Arial" w:cs="Arial"/>
          <w:i/>
          <w:sz w:val="20"/>
          <w:szCs w:val="20"/>
          <w:lang w:val="en-GB"/>
        </w:rPr>
      </w:pPr>
    </w:p>
    <w:p w14:paraId="195B20F2" w14:textId="42918B29" w:rsidR="00D01830" w:rsidRPr="00E5763E" w:rsidRDefault="00E5763E" w:rsidP="00B54E43">
      <w:pPr>
        <w:pStyle w:val="NoSpacing"/>
        <w:rPr>
          <w:rFonts w:ascii="Arial" w:hAnsi="Arial" w:cs="Arial"/>
          <w:b/>
          <w:i/>
          <w:sz w:val="20"/>
          <w:szCs w:val="20"/>
          <w:lang w:val="en-GB"/>
        </w:rPr>
      </w:pPr>
      <w:r w:rsidRPr="00E5763E">
        <w:rPr>
          <w:rFonts w:ascii="Arial" w:hAnsi="Arial" w:cs="Arial"/>
          <w:b/>
          <w:i/>
          <w:sz w:val="20"/>
          <w:szCs w:val="20"/>
          <w:lang w:val="en-GB"/>
        </w:rPr>
        <w:t xml:space="preserve">4.1 </w:t>
      </w:r>
      <w:r w:rsidR="00D01830" w:rsidRPr="00E5763E">
        <w:rPr>
          <w:rFonts w:ascii="Arial" w:hAnsi="Arial" w:cs="Arial"/>
          <w:b/>
          <w:i/>
          <w:sz w:val="20"/>
          <w:szCs w:val="20"/>
          <w:lang w:val="en-GB"/>
        </w:rPr>
        <w:t xml:space="preserve">Comparison with other studies of CHC prescribing patterns </w:t>
      </w:r>
    </w:p>
    <w:p w14:paraId="580B9909" w14:textId="0855B0C7" w:rsidR="00D01830" w:rsidRDefault="00D01830" w:rsidP="00B54E43">
      <w:pPr>
        <w:pStyle w:val="NoSpacing"/>
        <w:rPr>
          <w:rFonts w:ascii="Arial" w:hAnsi="Arial" w:cs="Arial"/>
          <w:sz w:val="20"/>
          <w:szCs w:val="20"/>
          <w:lang w:val="en-GB"/>
        </w:rPr>
      </w:pPr>
      <w:r w:rsidRPr="00B54E43">
        <w:rPr>
          <w:rFonts w:ascii="Arial" w:hAnsi="Arial" w:cs="Arial"/>
          <w:sz w:val="20"/>
          <w:szCs w:val="20"/>
          <w:lang w:val="en-GB"/>
        </w:rPr>
        <w:t xml:space="preserve">For the pre-referral period, the results from the present analysis </w:t>
      </w:r>
      <w:r w:rsidR="00E5763E">
        <w:rPr>
          <w:rFonts w:ascii="Arial" w:hAnsi="Arial" w:cs="Arial"/>
          <w:sz w:val="20"/>
          <w:szCs w:val="20"/>
          <w:lang w:val="en-GB"/>
        </w:rPr>
        <w:t xml:space="preserve">are similar to the </w:t>
      </w:r>
      <w:r w:rsidRPr="00B54E43">
        <w:rPr>
          <w:rFonts w:ascii="Arial" w:hAnsi="Arial" w:cs="Arial"/>
          <w:sz w:val="20"/>
          <w:szCs w:val="20"/>
          <w:lang w:val="en-GB"/>
        </w:rPr>
        <w:t xml:space="preserve">study by </w:t>
      </w:r>
      <w:proofErr w:type="spellStart"/>
      <w:r w:rsidRPr="00B54E43">
        <w:rPr>
          <w:rFonts w:ascii="Arial" w:hAnsi="Arial" w:cs="Arial"/>
          <w:sz w:val="20"/>
          <w:szCs w:val="20"/>
          <w:lang w:val="en-GB"/>
        </w:rPr>
        <w:t>Ziller</w:t>
      </w:r>
      <w:proofErr w:type="spellEnd"/>
      <w:r w:rsidRPr="00B54E43">
        <w:rPr>
          <w:rFonts w:ascii="Arial" w:hAnsi="Arial" w:cs="Arial"/>
          <w:sz w:val="20"/>
          <w:szCs w:val="20"/>
          <w:lang w:val="en-GB"/>
        </w:rPr>
        <w:t xml:space="preserve"> et al.</w:t>
      </w:r>
      <w:r w:rsidR="00E5763E">
        <w:rPr>
          <w:rFonts w:ascii="Arial" w:hAnsi="Arial" w:cs="Arial"/>
          <w:sz w:val="20"/>
          <w:szCs w:val="20"/>
          <w:vertAlign w:val="superscript"/>
          <w:lang w:val="en-GB"/>
        </w:rPr>
        <w:t>20</w:t>
      </w:r>
      <w:r w:rsidRPr="00B54E43">
        <w:rPr>
          <w:rFonts w:ascii="Arial" w:hAnsi="Arial" w:cs="Arial"/>
          <w:sz w:val="20"/>
          <w:szCs w:val="20"/>
          <w:lang w:val="en-GB"/>
        </w:rPr>
        <w:t>, which analysed contraceptive prescriptions to women aged 12 to 18 for the years 2007 and 2011</w:t>
      </w:r>
      <w:r w:rsidR="00E5763E">
        <w:rPr>
          <w:rFonts w:ascii="Arial" w:hAnsi="Arial" w:cs="Arial"/>
          <w:sz w:val="20"/>
          <w:szCs w:val="20"/>
          <w:lang w:val="en-GB"/>
        </w:rPr>
        <w:t xml:space="preserve"> </w:t>
      </w:r>
      <w:r w:rsidRPr="00B54E43">
        <w:rPr>
          <w:rFonts w:ascii="Arial" w:hAnsi="Arial" w:cs="Arial"/>
          <w:sz w:val="20"/>
          <w:szCs w:val="20"/>
          <w:lang w:val="en-GB"/>
        </w:rPr>
        <w:t>based on prescription data from 167 gyn</w:t>
      </w:r>
      <w:r w:rsidR="00E5763E">
        <w:rPr>
          <w:rFonts w:ascii="Arial" w:hAnsi="Arial" w:cs="Arial"/>
          <w:sz w:val="20"/>
          <w:szCs w:val="20"/>
          <w:lang w:val="en-GB"/>
        </w:rPr>
        <w:t>a</w:t>
      </w:r>
      <w:r w:rsidRPr="00B54E43">
        <w:rPr>
          <w:rFonts w:ascii="Arial" w:hAnsi="Arial" w:cs="Arial"/>
          <w:sz w:val="20"/>
          <w:szCs w:val="20"/>
          <w:lang w:val="en-GB"/>
        </w:rPr>
        <w:t xml:space="preserve">ecological offices. The authors described an increase in treatment prevalence for levonorgestrel (RC I) and chlormadinone (RC X) as well as a decrease for </w:t>
      </w:r>
      <w:proofErr w:type="spellStart"/>
      <w:r w:rsidRPr="00B54E43">
        <w:rPr>
          <w:rFonts w:ascii="Arial" w:hAnsi="Arial" w:cs="Arial"/>
          <w:sz w:val="20"/>
          <w:szCs w:val="20"/>
          <w:lang w:val="en-GB"/>
        </w:rPr>
        <w:t>drospirenone</w:t>
      </w:r>
      <w:proofErr w:type="spellEnd"/>
      <w:r w:rsidRPr="00B54E43">
        <w:rPr>
          <w:rFonts w:ascii="Arial" w:hAnsi="Arial" w:cs="Arial"/>
          <w:sz w:val="20"/>
          <w:szCs w:val="20"/>
          <w:lang w:val="en-GB"/>
        </w:rPr>
        <w:t xml:space="preserve"> (RC III) and </w:t>
      </w:r>
      <w:proofErr w:type="spellStart"/>
      <w:r w:rsidRPr="00B54E43">
        <w:rPr>
          <w:rFonts w:ascii="Arial" w:hAnsi="Arial" w:cs="Arial"/>
          <w:sz w:val="20"/>
          <w:szCs w:val="20"/>
          <w:lang w:val="en-GB"/>
        </w:rPr>
        <w:t>desogestrel</w:t>
      </w:r>
      <w:proofErr w:type="spellEnd"/>
      <w:r w:rsidRPr="00B54E43">
        <w:rPr>
          <w:rFonts w:ascii="Arial" w:hAnsi="Arial" w:cs="Arial"/>
          <w:sz w:val="20"/>
          <w:szCs w:val="20"/>
          <w:lang w:val="en-GB"/>
        </w:rPr>
        <w:t xml:space="preserve"> (RC III). They stated that gyn</w:t>
      </w:r>
      <w:r w:rsidR="00E5763E">
        <w:rPr>
          <w:rFonts w:ascii="Arial" w:hAnsi="Arial" w:cs="Arial"/>
          <w:sz w:val="20"/>
          <w:szCs w:val="20"/>
          <w:lang w:val="en-GB"/>
        </w:rPr>
        <w:t>a</w:t>
      </w:r>
      <w:r w:rsidRPr="00B54E43">
        <w:rPr>
          <w:rFonts w:ascii="Arial" w:hAnsi="Arial" w:cs="Arial"/>
          <w:sz w:val="20"/>
          <w:szCs w:val="20"/>
          <w:lang w:val="en-GB"/>
        </w:rPr>
        <w:t>ecologists had changed their prescribing habits according to then available evidence of risk for VTE. At that time, however, 3</w:t>
      </w:r>
      <w:r w:rsidRPr="00B54E43">
        <w:rPr>
          <w:rFonts w:ascii="Arial" w:hAnsi="Arial" w:cs="Arial"/>
          <w:sz w:val="20"/>
          <w:szCs w:val="20"/>
          <w:vertAlign w:val="superscript"/>
          <w:lang w:val="en-GB"/>
        </w:rPr>
        <w:t>rd</w:t>
      </w:r>
      <w:r w:rsidRPr="00B54E43">
        <w:rPr>
          <w:rFonts w:ascii="Arial" w:hAnsi="Arial" w:cs="Arial"/>
          <w:sz w:val="20"/>
          <w:szCs w:val="20"/>
          <w:lang w:val="en-GB"/>
        </w:rPr>
        <w:t xml:space="preserve"> and 4</w:t>
      </w:r>
      <w:r w:rsidRPr="00B54E43">
        <w:rPr>
          <w:rFonts w:ascii="Arial" w:hAnsi="Arial" w:cs="Arial"/>
          <w:sz w:val="20"/>
          <w:szCs w:val="20"/>
          <w:vertAlign w:val="superscript"/>
          <w:lang w:val="en-GB"/>
        </w:rPr>
        <w:t>th</w:t>
      </w:r>
      <w:r w:rsidRPr="00B54E43">
        <w:rPr>
          <w:rFonts w:ascii="Arial" w:hAnsi="Arial" w:cs="Arial"/>
          <w:sz w:val="20"/>
          <w:szCs w:val="20"/>
          <w:lang w:val="en-GB"/>
        </w:rPr>
        <w:t xml:space="preserve"> generation CHC (as they were called at the time) had already been critically assessed with respect to their risk for thromboembolism, and further data on drug safety had been called for. An analysis of claims data by German health care fund </w:t>
      </w:r>
      <w:proofErr w:type="spellStart"/>
      <w:r w:rsidRPr="00B54E43">
        <w:rPr>
          <w:rFonts w:ascii="Arial" w:hAnsi="Arial" w:cs="Arial"/>
          <w:sz w:val="20"/>
          <w:szCs w:val="20"/>
          <w:lang w:val="en-GB"/>
        </w:rPr>
        <w:t>Techniker</w:t>
      </w:r>
      <w:proofErr w:type="spellEnd"/>
      <w:r w:rsidRPr="00B54E43">
        <w:rPr>
          <w:rFonts w:ascii="Arial" w:hAnsi="Arial" w:cs="Arial"/>
          <w:sz w:val="20"/>
          <w:szCs w:val="20"/>
          <w:lang w:val="en-GB"/>
        </w:rPr>
        <w:t xml:space="preserve"> Krankenkasse</w:t>
      </w:r>
      <w:r w:rsidRPr="00B54E43">
        <w:rPr>
          <w:rFonts w:ascii="Arial" w:hAnsi="Arial" w:cs="Arial"/>
          <w:sz w:val="20"/>
          <w:szCs w:val="20"/>
          <w:vertAlign w:val="superscript"/>
          <w:lang w:val="en-GB"/>
        </w:rPr>
        <w:t>1</w:t>
      </w:r>
      <w:r w:rsidRPr="00B54E43">
        <w:rPr>
          <w:rFonts w:ascii="Arial" w:hAnsi="Arial" w:cs="Arial"/>
          <w:sz w:val="20"/>
          <w:szCs w:val="20"/>
          <w:lang w:val="en-GB"/>
        </w:rPr>
        <w:t xml:space="preserve"> for the years 2011 to 2013 also supports our finding that many young women received contraceptives of high or unclear risk. Changes from rather low risk drugs to those of higher or unclear risk were described. A similar pattern is reported by </w:t>
      </w:r>
      <w:proofErr w:type="spellStart"/>
      <w:r w:rsidRPr="00B54E43">
        <w:rPr>
          <w:rFonts w:ascii="Arial" w:hAnsi="Arial" w:cs="Arial"/>
          <w:sz w:val="20"/>
          <w:szCs w:val="20"/>
          <w:lang w:val="en-GB"/>
        </w:rPr>
        <w:t>Bezemer</w:t>
      </w:r>
      <w:proofErr w:type="spellEnd"/>
      <w:r w:rsidRPr="00B54E43">
        <w:rPr>
          <w:rFonts w:ascii="Arial" w:hAnsi="Arial" w:cs="Arial"/>
          <w:sz w:val="20"/>
          <w:szCs w:val="20"/>
          <w:lang w:val="en-GB"/>
        </w:rPr>
        <w:t xml:space="preserve"> et al. for the Netherlands, the UK</w:t>
      </w:r>
      <w:r w:rsidR="00E5763E">
        <w:rPr>
          <w:rFonts w:ascii="Arial" w:hAnsi="Arial" w:cs="Arial"/>
          <w:sz w:val="20"/>
          <w:szCs w:val="20"/>
          <w:lang w:val="en-GB"/>
        </w:rPr>
        <w:t>,</w:t>
      </w:r>
      <w:r w:rsidRPr="00B54E43">
        <w:rPr>
          <w:rFonts w:ascii="Arial" w:hAnsi="Arial" w:cs="Arial"/>
          <w:sz w:val="20"/>
          <w:szCs w:val="20"/>
          <w:lang w:val="en-GB"/>
        </w:rPr>
        <w:t xml:space="preserve"> and Italy</w:t>
      </w:r>
      <w:r w:rsidR="00E5763E">
        <w:rPr>
          <w:rFonts w:ascii="Arial" w:hAnsi="Arial" w:cs="Arial"/>
          <w:sz w:val="20"/>
          <w:szCs w:val="20"/>
          <w:lang w:val="en-GB"/>
        </w:rPr>
        <w:t>,</w:t>
      </w:r>
      <w:r w:rsidRPr="00B54E43">
        <w:rPr>
          <w:rFonts w:ascii="Arial" w:hAnsi="Arial" w:cs="Arial"/>
          <w:sz w:val="20"/>
          <w:szCs w:val="20"/>
          <w:lang w:val="en-GB"/>
        </w:rPr>
        <w:t xml:space="preserve"> in the period from 2009 to 2010 looking at women aged 16 to 49 years</w:t>
      </w:r>
      <w:r w:rsidRPr="00B54E43">
        <w:rPr>
          <w:rFonts w:ascii="Arial" w:hAnsi="Arial" w:cs="Arial"/>
          <w:sz w:val="20"/>
          <w:szCs w:val="20"/>
          <w:vertAlign w:val="superscript"/>
          <w:lang w:val="en-GB"/>
        </w:rPr>
        <w:t>2</w:t>
      </w:r>
      <w:r w:rsidR="00E5763E">
        <w:rPr>
          <w:rFonts w:ascii="Arial" w:hAnsi="Arial" w:cs="Arial"/>
          <w:sz w:val="20"/>
          <w:szCs w:val="20"/>
          <w:vertAlign w:val="superscript"/>
          <w:lang w:val="en-GB"/>
        </w:rPr>
        <w:t>1</w:t>
      </w:r>
      <w:r w:rsidRPr="00B54E43">
        <w:rPr>
          <w:rFonts w:ascii="Arial" w:hAnsi="Arial" w:cs="Arial"/>
          <w:sz w:val="20"/>
          <w:szCs w:val="20"/>
          <w:lang w:val="en-GB"/>
        </w:rPr>
        <w:t>. However, the</w:t>
      </w:r>
      <w:r w:rsidR="00E5763E">
        <w:rPr>
          <w:rFonts w:ascii="Arial" w:hAnsi="Arial" w:cs="Arial"/>
          <w:sz w:val="20"/>
          <w:szCs w:val="20"/>
          <w:lang w:val="en-GB"/>
        </w:rPr>
        <w:t xml:space="preserve"> authors</w:t>
      </w:r>
      <w:r w:rsidRPr="00B54E43">
        <w:rPr>
          <w:rFonts w:ascii="Arial" w:hAnsi="Arial" w:cs="Arial"/>
          <w:sz w:val="20"/>
          <w:szCs w:val="20"/>
          <w:lang w:val="en-GB"/>
        </w:rPr>
        <w:t xml:space="preserve"> also point out country-specific differences in the choice of </w:t>
      </w:r>
      <w:r w:rsidR="00E5763E">
        <w:rPr>
          <w:rFonts w:ascii="Arial" w:hAnsi="Arial" w:cs="Arial"/>
          <w:sz w:val="20"/>
          <w:szCs w:val="20"/>
          <w:lang w:val="en-GB"/>
        </w:rPr>
        <w:t>CHC</w:t>
      </w:r>
      <w:r w:rsidRPr="00B54E43">
        <w:rPr>
          <w:rFonts w:ascii="Arial" w:hAnsi="Arial" w:cs="Arial"/>
          <w:sz w:val="20"/>
          <w:szCs w:val="20"/>
          <w:lang w:val="en-GB"/>
        </w:rPr>
        <w:t>. In the Netherlands, predominantly 2</w:t>
      </w:r>
      <w:r w:rsidRPr="00B54E43">
        <w:rPr>
          <w:rFonts w:ascii="Arial" w:hAnsi="Arial" w:cs="Arial"/>
          <w:sz w:val="20"/>
          <w:szCs w:val="20"/>
          <w:vertAlign w:val="superscript"/>
          <w:lang w:val="en-GB"/>
        </w:rPr>
        <w:t>nd</w:t>
      </w:r>
      <w:r w:rsidRPr="00B54E43">
        <w:rPr>
          <w:rFonts w:ascii="Arial" w:hAnsi="Arial" w:cs="Arial"/>
          <w:sz w:val="20"/>
          <w:szCs w:val="20"/>
          <w:lang w:val="en-GB"/>
        </w:rPr>
        <w:t xml:space="preserve"> generation CHC</w:t>
      </w:r>
      <w:r w:rsidR="00E5763E">
        <w:rPr>
          <w:rFonts w:ascii="Arial" w:hAnsi="Arial" w:cs="Arial"/>
          <w:sz w:val="20"/>
          <w:szCs w:val="20"/>
          <w:lang w:val="en-GB"/>
        </w:rPr>
        <w:t>s</w:t>
      </w:r>
      <w:r w:rsidRPr="00B54E43">
        <w:rPr>
          <w:rFonts w:ascii="Arial" w:hAnsi="Arial" w:cs="Arial"/>
          <w:sz w:val="20"/>
          <w:szCs w:val="20"/>
          <w:lang w:val="en-GB"/>
        </w:rPr>
        <w:t xml:space="preserve"> were used at the time (79%), whereas in the other two countries 3</w:t>
      </w:r>
      <w:r w:rsidRPr="00B54E43">
        <w:rPr>
          <w:rFonts w:ascii="Arial" w:hAnsi="Arial" w:cs="Arial"/>
          <w:sz w:val="20"/>
          <w:szCs w:val="20"/>
          <w:vertAlign w:val="superscript"/>
          <w:lang w:val="en-GB"/>
        </w:rPr>
        <w:t>rd</w:t>
      </w:r>
      <w:r w:rsidRPr="00B54E43">
        <w:rPr>
          <w:rFonts w:ascii="Arial" w:hAnsi="Arial" w:cs="Arial"/>
          <w:sz w:val="20"/>
          <w:szCs w:val="20"/>
          <w:lang w:val="en-GB"/>
        </w:rPr>
        <w:t xml:space="preserve"> generation CHC</w:t>
      </w:r>
      <w:r w:rsidR="00E5763E">
        <w:rPr>
          <w:rFonts w:ascii="Arial" w:hAnsi="Arial" w:cs="Arial"/>
          <w:sz w:val="20"/>
          <w:szCs w:val="20"/>
          <w:lang w:val="en-GB"/>
        </w:rPr>
        <w:t>s</w:t>
      </w:r>
      <w:r w:rsidRPr="00B54E43">
        <w:rPr>
          <w:rFonts w:ascii="Arial" w:hAnsi="Arial" w:cs="Arial"/>
          <w:sz w:val="20"/>
          <w:szCs w:val="20"/>
          <w:lang w:val="en-GB"/>
        </w:rPr>
        <w:t xml:space="preserve"> were more common (UK: 44%, Italy: 62%). Similarly, according to our data,</w:t>
      </w:r>
      <w:r w:rsidR="00E5763E">
        <w:rPr>
          <w:rFonts w:ascii="Arial" w:hAnsi="Arial" w:cs="Arial"/>
          <w:sz w:val="20"/>
          <w:szCs w:val="20"/>
          <w:lang w:val="en-GB"/>
        </w:rPr>
        <w:t xml:space="preserve"> </w:t>
      </w:r>
      <w:r w:rsidRPr="00B54E43">
        <w:rPr>
          <w:rFonts w:ascii="Arial" w:hAnsi="Arial" w:cs="Arial"/>
          <w:sz w:val="20"/>
          <w:szCs w:val="20"/>
          <w:lang w:val="en-GB"/>
        </w:rPr>
        <w:t>the share of 3</w:t>
      </w:r>
      <w:r w:rsidRPr="00B54E43">
        <w:rPr>
          <w:rFonts w:ascii="Arial" w:hAnsi="Arial" w:cs="Arial"/>
          <w:sz w:val="20"/>
          <w:szCs w:val="20"/>
          <w:vertAlign w:val="superscript"/>
          <w:lang w:val="en-GB"/>
        </w:rPr>
        <w:t>rd</w:t>
      </w:r>
      <w:r w:rsidRPr="00B54E43">
        <w:rPr>
          <w:rFonts w:ascii="Arial" w:hAnsi="Arial" w:cs="Arial"/>
          <w:sz w:val="20"/>
          <w:szCs w:val="20"/>
          <w:lang w:val="en-GB"/>
        </w:rPr>
        <w:t xml:space="preserve"> and 4</w:t>
      </w:r>
      <w:r w:rsidRPr="00B54E43">
        <w:rPr>
          <w:rFonts w:ascii="Arial" w:hAnsi="Arial" w:cs="Arial"/>
          <w:sz w:val="20"/>
          <w:szCs w:val="20"/>
          <w:vertAlign w:val="superscript"/>
          <w:lang w:val="en-GB"/>
        </w:rPr>
        <w:t>th</w:t>
      </w:r>
      <w:r w:rsidRPr="00B54E43">
        <w:rPr>
          <w:rFonts w:ascii="Arial" w:hAnsi="Arial" w:cs="Arial"/>
          <w:sz w:val="20"/>
          <w:szCs w:val="20"/>
          <w:lang w:val="en-GB"/>
        </w:rPr>
        <w:t xml:space="preserve"> generation on all CHC was around 67% during the period from 2011 to 2012. </w:t>
      </w:r>
    </w:p>
    <w:p w14:paraId="5D503BC5" w14:textId="77777777" w:rsidR="00BF1A2A" w:rsidRDefault="00BF1A2A" w:rsidP="009A5529">
      <w:pPr>
        <w:pStyle w:val="NoSpacing"/>
        <w:rPr>
          <w:rFonts w:ascii="Arial" w:hAnsi="Arial" w:cs="Arial"/>
          <w:sz w:val="20"/>
          <w:szCs w:val="20"/>
          <w:lang w:val="en-GB"/>
        </w:rPr>
      </w:pPr>
    </w:p>
    <w:p w14:paraId="5A5E3881" w14:textId="7941686E" w:rsidR="009A5529" w:rsidRPr="00B54E43" w:rsidRDefault="009A5529" w:rsidP="009A5529">
      <w:pPr>
        <w:pStyle w:val="NoSpacing"/>
        <w:rPr>
          <w:rFonts w:ascii="Arial" w:hAnsi="Arial" w:cs="Arial"/>
          <w:sz w:val="20"/>
          <w:szCs w:val="20"/>
          <w:lang w:val="en-GB"/>
        </w:rPr>
      </w:pPr>
      <w:r>
        <w:rPr>
          <w:rFonts w:ascii="Arial" w:hAnsi="Arial" w:cs="Arial"/>
          <w:sz w:val="20"/>
          <w:szCs w:val="20"/>
          <w:lang w:val="en-GB"/>
        </w:rPr>
        <w:t xml:space="preserve">We found regional differences in RC III use in line with regional data reported for CHC use in general by </w:t>
      </w:r>
      <w:proofErr w:type="spellStart"/>
      <w:r>
        <w:rPr>
          <w:rFonts w:ascii="Arial" w:hAnsi="Arial" w:cs="Arial"/>
          <w:sz w:val="20"/>
          <w:szCs w:val="20"/>
          <w:lang w:val="en-GB"/>
        </w:rPr>
        <w:t>Boeschen</w:t>
      </w:r>
      <w:proofErr w:type="spellEnd"/>
      <w:r>
        <w:rPr>
          <w:rFonts w:ascii="Arial" w:hAnsi="Arial" w:cs="Arial"/>
          <w:sz w:val="20"/>
          <w:szCs w:val="20"/>
          <w:lang w:val="en-GB"/>
        </w:rPr>
        <w:t xml:space="preserve"> et al.</w:t>
      </w:r>
      <w:r w:rsidRPr="004756B2">
        <w:rPr>
          <w:rFonts w:ascii="Arial" w:hAnsi="Arial" w:cs="Arial"/>
          <w:sz w:val="20"/>
          <w:szCs w:val="20"/>
          <w:vertAlign w:val="superscript"/>
          <w:lang w:val="en-GB"/>
        </w:rPr>
        <w:t>1</w:t>
      </w:r>
      <w:r>
        <w:rPr>
          <w:rFonts w:ascii="Arial" w:hAnsi="Arial" w:cs="Arial"/>
          <w:sz w:val="20"/>
          <w:szCs w:val="20"/>
          <w:lang w:val="en-GB"/>
        </w:rPr>
        <w:t xml:space="preserve"> Regional variation</w:t>
      </w:r>
      <w:r w:rsidR="006E0949">
        <w:rPr>
          <w:rFonts w:ascii="Arial" w:hAnsi="Arial" w:cs="Arial"/>
          <w:sz w:val="20"/>
          <w:szCs w:val="20"/>
          <w:lang w:val="en-GB"/>
        </w:rPr>
        <w:t>s</w:t>
      </w:r>
      <w:r>
        <w:rPr>
          <w:rFonts w:ascii="Arial" w:hAnsi="Arial" w:cs="Arial"/>
          <w:sz w:val="20"/>
          <w:szCs w:val="20"/>
          <w:lang w:val="en-GB"/>
        </w:rPr>
        <w:t xml:space="preserve"> in health care use and prescribing are often reported,</w:t>
      </w:r>
      <w:r w:rsidR="00766805" w:rsidRPr="00BF1A2A">
        <w:rPr>
          <w:rFonts w:ascii="Arial" w:hAnsi="Arial" w:cs="Arial"/>
          <w:sz w:val="20"/>
          <w:szCs w:val="20"/>
          <w:vertAlign w:val="superscript"/>
          <w:lang w:val="en-GB"/>
        </w:rPr>
        <w:t>22,23</w:t>
      </w:r>
      <w:r w:rsidR="00766805">
        <w:rPr>
          <w:rFonts w:ascii="Arial" w:hAnsi="Arial" w:cs="Arial"/>
          <w:sz w:val="20"/>
          <w:szCs w:val="20"/>
          <w:lang w:val="en-GB"/>
        </w:rPr>
        <w:t xml:space="preserve"> </w:t>
      </w:r>
      <w:r>
        <w:rPr>
          <w:rFonts w:ascii="Arial" w:hAnsi="Arial" w:cs="Arial"/>
          <w:sz w:val="20"/>
          <w:szCs w:val="20"/>
          <w:lang w:val="en-GB"/>
        </w:rPr>
        <w:t>but valid explanations are still an issue for research. As possible influencing factors we can therefore only assume, amongst others, differences in risk communication and policies.</w:t>
      </w:r>
    </w:p>
    <w:p w14:paraId="4FFAE627" w14:textId="77777777" w:rsidR="00D01830" w:rsidRPr="00B54E43" w:rsidRDefault="00D01830" w:rsidP="00B54E43">
      <w:pPr>
        <w:pStyle w:val="NoSpacing"/>
        <w:rPr>
          <w:rFonts w:ascii="Arial" w:hAnsi="Arial" w:cs="Arial"/>
          <w:i/>
          <w:sz w:val="20"/>
          <w:szCs w:val="20"/>
          <w:lang w:val="en-GB"/>
        </w:rPr>
      </w:pPr>
    </w:p>
    <w:p w14:paraId="675C57FB" w14:textId="374DDA1A" w:rsidR="00D01830" w:rsidRPr="00E5763E" w:rsidRDefault="00E5763E" w:rsidP="00B54E43">
      <w:pPr>
        <w:pStyle w:val="NoSpacing"/>
        <w:rPr>
          <w:rFonts w:ascii="Arial" w:hAnsi="Arial" w:cs="Arial"/>
          <w:b/>
          <w:i/>
          <w:sz w:val="20"/>
          <w:szCs w:val="20"/>
          <w:lang w:val="en-GB"/>
        </w:rPr>
      </w:pPr>
      <w:r w:rsidRPr="00E5763E">
        <w:rPr>
          <w:rFonts w:ascii="Arial" w:hAnsi="Arial" w:cs="Arial"/>
          <w:b/>
          <w:i/>
          <w:sz w:val="20"/>
          <w:szCs w:val="20"/>
          <w:lang w:val="en-GB"/>
        </w:rPr>
        <w:t xml:space="preserve">4.2 </w:t>
      </w:r>
      <w:r w:rsidR="00D01830" w:rsidRPr="00E5763E">
        <w:rPr>
          <w:rFonts w:ascii="Arial" w:hAnsi="Arial" w:cs="Arial"/>
          <w:b/>
          <w:i/>
          <w:sz w:val="20"/>
          <w:szCs w:val="20"/>
          <w:lang w:val="en-GB"/>
        </w:rPr>
        <w:t>Intervention analyses performed in other countries</w:t>
      </w:r>
    </w:p>
    <w:p w14:paraId="5CA83503" w14:textId="662F5F4C" w:rsidR="00D01830" w:rsidRPr="00B54E43" w:rsidRDefault="00D01830" w:rsidP="00B54E43">
      <w:pPr>
        <w:pStyle w:val="NoSpacing"/>
        <w:rPr>
          <w:rFonts w:ascii="Arial" w:hAnsi="Arial" w:cs="Arial"/>
          <w:strike/>
          <w:sz w:val="20"/>
          <w:szCs w:val="20"/>
          <w:lang w:val="en-GB"/>
        </w:rPr>
      </w:pPr>
      <w:r w:rsidRPr="00B54E43">
        <w:rPr>
          <w:rFonts w:ascii="Arial" w:hAnsi="Arial" w:cs="Arial"/>
          <w:sz w:val="20"/>
          <w:szCs w:val="20"/>
          <w:lang w:val="en-GB"/>
        </w:rPr>
        <w:t>An impact analysis of administrative measures was also performed by Briggs et al.</w:t>
      </w:r>
      <w:r w:rsidRPr="00B54E43">
        <w:rPr>
          <w:rFonts w:ascii="Arial" w:hAnsi="Arial" w:cs="Arial"/>
          <w:sz w:val="20"/>
          <w:szCs w:val="20"/>
          <w:vertAlign w:val="superscript"/>
          <w:lang w:val="en-GB"/>
        </w:rPr>
        <w:t>2</w:t>
      </w:r>
      <w:r w:rsidR="00766805">
        <w:rPr>
          <w:rFonts w:ascii="Arial" w:hAnsi="Arial" w:cs="Arial"/>
          <w:sz w:val="20"/>
          <w:szCs w:val="20"/>
          <w:vertAlign w:val="superscript"/>
          <w:lang w:val="en-GB"/>
        </w:rPr>
        <w:t>4</w:t>
      </w:r>
      <w:r w:rsidRPr="00B54E43">
        <w:rPr>
          <w:rFonts w:ascii="Arial" w:hAnsi="Arial" w:cs="Arial"/>
          <w:sz w:val="20"/>
          <w:szCs w:val="20"/>
          <w:lang w:val="en-GB"/>
        </w:rPr>
        <w:t>. The</w:t>
      </w:r>
      <w:r w:rsidR="00E5763E">
        <w:rPr>
          <w:rFonts w:ascii="Arial" w:hAnsi="Arial" w:cs="Arial"/>
          <w:sz w:val="20"/>
          <w:szCs w:val="20"/>
          <w:lang w:val="en-GB"/>
        </w:rPr>
        <w:t xml:space="preserve"> authors</w:t>
      </w:r>
      <w:r w:rsidRPr="00B54E43">
        <w:rPr>
          <w:rFonts w:ascii="Arial" w:hAnsi="Arial" w:cs="Arial"/>
          <w:sz w:val="20"/>
          <w:szCs w:val="20"/>
          <w:lang w:val="en-GB"/>
        </w:rPr>
        <w:t xml:space="preserve"> studied whether the guidelines from 2006 for prescribing CHC</w:t>
      </w:r>
      <w:r w:rsidR="00E5763E">
        <w:rPr>
          <w:rFonts w:ascii="Arial" w:hAnsi="Arial" w:cs="Arial"/>
          <w:sz w:val="20"/>
          <w:szCs w:val="20"/>
          <w:lang w:val="en-GB"/>
        </w:rPr>
        <w:t>s</w:t>
      </w:r>
      <w:r w:rsidRPr="00B54E43">
        <w:rPr>
          <w:rFonts w:ascii="Arial" w:hAnsi="Arial" w:cs="Arial"/>
          <w:sz w:val="20"/>
          <w:szCs w:val="20"/>
          <w:lang w:val="en-GB"/>
        </w:rPr>
        <w:t xml:space="preserve"> depend</w:t>
      </w:r>
      <w:r w:rsidR="00E5763E">
        <w:rPr>
          <w:rFonts w:ascii="Arial" w:hAnsi="Arial" w:cs="Arial"/>
          <w:sz w:val="20"/>
          <w:szCs w:val="20"/>
          <w:lang w:val="en-GB"/>
        </w:rPr>
        <w:t>ed</w:t>
      </w:r>
      <w:r w:rsidRPr="00B54E43">
        <w:rPr>
          <w:rFonts w:ascii="Arial" w:hAnsi="Arial" w:cs="Arial"/>
          <w:sz w:val="20"/>
          <w:szCs w:val="20"/>
          <w:lang w:val="en-GB"/>
        </w:rPr>
        <w:t xml:space="preserve"> on an individual risk assessment for each woman were actually employed. The share of women who were advised not to use a CHC due to their risk profile had decreased significantly since the publication of the guidelines, but the authors nevertheless describe it as too high given that better alternatives are available</w:t>
      </w:r>
      <w:r w:rsidR="00E5763E">
        <w:rPr>
          <w:rFonts w:ascii="Arial" w:hAnsi="Arial" w:cs="Arial"/>
          <w:sz w:val="20"/>
          <w:szCs w:val="20"/>
          <w:lang w:val="en-GB"/>
        </w:rPr>
        <w:t xml:space="preserve"> for prescribing</w:t>
      </w:r>
      <w:r w:rsidRPr="00B54E43">
        <w:rPr>
          <w:rFonts w:ascii="Arial" w:hAnsi="Arial" w:cs="Arial"/>
          <w:sz w:val="20"/>
          <w:szCs w:val="20"/>
          <w:lang w:val="en-GB"/>
        </w:rPr>
        <w:t>. Successful intervention of the Danish Institute of Rational Pharmacotherapy in favour of prescribing 2</w:t>
      </w:r>
      <w:r w:rsidRPr="00B54E43">
        <w:rPr>
          <w:rFonts w:ascii="Arial" w:hAnsi="Arial" w:cs="Arial"/>
          <w:sz w:val="20"/>
          <w:szCs w:val="20"/>
          <w:vertAlign w:val="superscript"/>
          <w:lang w:val="en-GB"/>
        </w:rPr>
        <w:t>nd</w:t>
      </w:r>
      <w:r w:rsidRPr="00B54E43">
        <w:rPr>
          <w:rFonts w:ascii="Arial" w:hAnsi="Arial" w:cs="Arial"/>
          <w:sz w:val="20"/>
          <w:szCs w:val="20"/>
          <w:lang w:val="en-GB"/>
        </w:rPr>
        <w:t xml:space="preserve"> generation CHC (levonorgestrel) is reported by </w:t>
      </w:r>
      <w:proofErr w:type="spellStart"/>
      <w:r w:rsidRPr="00B54E43">
        <w:rPr>
          <w:rFonts w:ascii="Arial" w:hAnsi="Arial" w:cs="Arial"/>
          <w:sz w:val="20"/>
          <w:szCs w:val="20"/>
          <w:lang w:val="en-GB"/>
        </w:rPr>
        <w:t>Løkkegard</w:t>
      </w:r>
      <w:proofErr w:type="spellEnd"/>
      <w:r w:rsidRPr="00B54E43">
        <w:rPr>
          <w:rFonts w:ascii="Arial" w:hAnsi="Arial" w:cs="Arial"/>
          <w:sz w:val="20"/>
          <w:szCs w:val="20"/>
          <w:lang w:val="en-GB"/>
        </w:rPr>
        <w:t xml:space="preserve"> and Nielsen</w:t>
      </w:r>
      <w:r w:rsidRPr="00B54E43">
        <w:rPr>
          <w:rFonts w:ascii="Arial" w:hAnsi="Arial" w:cs="Arial"/>
          <w:sz w:val="20"/>
          <w:szCs w:val="20"/>
          <w:vertAlign w:val="superscript"/>
          <w:lang w:val="en-GB"/>
        </w:rPr>
        <w:t>12</w:t>
      </w:r>
      <w:r w:rsidRPr="00B54E43">
        <w:rPr>
          <w:rFonts w:ascii="Arial" w:hAnsi="Arial" w:cs="Arial"/>
          <w:sz w:val="20"/>
          <w:szCs w:val="20"/>
          <w:lang w:val="en-GB"/>
        </w:rPr>
        <w:t>. Between 2010 and 2013</w:t>
      </w:r>
      <w:r w:rsidR="00E5763E">
        <w:rPr>
          <w:rFonts w:ascii="Arial" w:hAnsi="Arial" w:cs="Arial"/>
          <w:sz w:val="20"/>
          <w:szCs w:val="20"/>
          <w:lang w:val="en-GB"/>
        </w:rPr>
        <w:t>,</w:t>
      </w:r>
      <w:r w:rsidRPr="00B54E43">
        <w:rPr>
          <w:rFonts w:ascii="Arial" w:hAnsi="Arial" w:cs="Arial"/>
          <w:sz w:val="20"/>
          <w:szCs w:val="20"/>
          <w:lang w:val="en-GB"/>
        </w:rPr>
        <w:t xml:space="preserve"> the number of recipients of 3</w:t>
      </w:r>
      <w:r w:rsidRPr="00B54E43">
        <w:rPr>
          <w:rFonts w:ascii="Arial" w:hAnsi="Arial" w:cs="Arial"/>
          <w:sz w:val="20"/>
          <w:szCs w:val="20"/>
          <w:vertAlign w:val="superscript"/>
          <w:lang w:val="en-GB"/>
        </w:rPr>
        <w:t>rd</w:t>
      </w:r>
      <w:r w:rsidRPr="00B54E43">
        <w:rPr>
          <w:rFonts w:ascii="Arial" w:hAnsi="Arial" w:cs="Arial"/>
          <w:sz w:val="20"/>
          <w:szCs w:val="20"/>
          <w:lang w:val="en-GB"/>
        </w:rPr>
        <w:t xml:space="preserve"> and 4</w:t>
      </w:r>
      <w:r w:rsidRPr="00B54E43">
        <w:rPr>
          <w:rFonts w:ascii="Arial" w:hAnsi="Arial" w:cs="Arial"/>
          <w:sz w:val="20"/>
          <w:szCs w:val="20"/>
          <w:vertAlign w:val="superscript"/>
          <w:lang w:val="en-GB"/>
        </w:rPr>
        <w:t>th</w:t>
      </w:r>
      <w:r w:rsidRPr="00B54E43">
        <w:rPr>
          <w:rFonts w:ascii="Arial" w:hAnsi="Arial" w:cs="Arial"/>
          <w:sz w:val="20"/>
          <w:szCs w:val="20"/>
          <w:lang w:val="en-GB"/>
        </w:rPr>
        <w:t xml:space="preserve"> generation CHC substantially decreased (–65% and –77%, respectively for the age group 14 to 19 years). Lemaitre et al.</w:t>
      </w:r>
      <w:r w:rsidRPr="00B54E43">
        <w:rPr>
          <w:rFonts w:ascii="Arial" w:hAnsi="Arial" w:cs="Arial"/>
          <w:sz w:val="20"/>
          <w:szCs w:val="20"/>
          <w:vertAlign w:val="superscript"/>
          <w:lang w:val="en-GB"/>
        </w:rPr>
        <w:t>10</w:t>
      </w:r>
      <w:r w:rsidRPr="00B54E43">
        <w:rPr>
          <w:rFonts w:ascii="Arial" w:hAnsi="Arial" w:cs="Arial"/>
          <w:sz w:val="20"/>
          <w:szCs w:val="20"/>
          <w:lang w:val="en-GB"/>
        </w:rPr>
        <w:t xml:space="preserve"> report a similar development for France in 2012 und 2013, after a series of measures for influencing prescribing practice had been taken. </w:t>
      </w:r>
    </w:p>
    <w:p w14:paraId="3C06A575" w14:textId="77777777" w:rsidR="00D01830" w:rsidRPr="00B54E43" w:rsidRDefault="00D01830" w:rsidP="00B54E43">
      <w:pPr>
        <w:pStyle w:val="NoSpacing"/>
        <w:rPr>
          <w:rFonts w:ascii="Arial" w:hAnsi="Arial" w:cs="Arial"/>
          <w:sz w:val="20"/>
          <w:szCs w:val="20"/>
          <w:lang w:val="en-GB"/>
        </w:rPr>
      </w:pPr>
    </w:p>
    <w:p w14:paraId="66064C86" w14:textId="5A119434" w:rsidR="00D01830" w:rsidRPr="00E5763E" w:rsidRDefault="00E5763E" w:rsidP="00B54E43">
      <w:pPr>
        <w:pStyle w:val="NoSpacing"/>
        <w:rPr>
          <w:rFonts w:ascii="Arial" w:hAnsi="Arial" w:cs="Arial"/>
          <w:b/>
          <w:i/>
          <w:sz w:val="20"/>
          <w:szCs w:val="20"/>
          <w:lang w:val="en-GB"/>
        </w:rPr>
      </w:pPr>
      <w:r w:rsidRPr="00E5763E">
        <w:rPr>
          <w:rFonts w:ascii="Arial" w:hAnsi="Arial" w:cs="Arial"/>
          <w:b/>
          <w:i/>
          <w:sz w:val="20"/>
          <w:szCs w:val="20"/>
          <w:lang w:val="en-GB"/>
        </w:rPr>
        <w:t xml:space="preserve">4.3 </w:t>
      </w:r>
      <w:r w:rsidR="00D01830" w:rsidRPr="00E5763E">
        <w:rPr>
          <w:rFonts w:ascii="Arial" w:hAnsi="Arial" w:cs="Arial"/>
          <w:b/>
          <w:i/>
          <w:sz w:val="20"/>
          <w:szCs w:val="20"/>
          <w:lang w:val="en-GB"/>
        </w:rPr>
        <w:t>Limitations and strengths</w:t>
      </w:r>
    </w:p>
    <w:p w14:paraId="1AB29469" w14:textId="4267D5CE" w:rsidR="00D01830" w:rsidRPr="00B54E43" w:rsidRDefault="00D01830" w:rsidP="00B54E43">
      <w:pPr>
        <w:pStyle w:val="NoSpacing"/>
        <w:rPr>
          <w:rFonts w:ascii="Arial" w:hAnsi="Arial" w:cs="Arial"/>
          <w:sz w:val="20"/>
          <w:szCs w:val="20"/>
          <w:lang w:val="en-GB"/>
        </w:rPr>
      </w:pPr>
      <w:r w:rsidRPr="00B54E43">
        <w:rPr>
          <w:rFonts w:ascii="Arial" w:hAnsi="Arial" w:cs="Arial"/>
          <w:sz w:val="20"/>
          <w:szCs w:val="20"/>
          <w:lang w:val="en-GB"/>
        </w:rPr>
        <w:t xml:space="preserve">As with all studies based on claims data, only prescription and redemption in the pharmacy can be observed but not actually taking the </w:t>
      </w:r>
      <w:r w:rsidR="00E5763E">
        <w:rPr>
          <w:rFonts w:ascii="Arial" w:hAnsi="Arial" w:cs="Arial"/>
          <w:sz w:val="20"/>
          <w:szCs w:val="20"/>
          <w:lang w:val="en-GB"/>
        </w:rPr>
        <w:t>medicine</w:t>
      </w:r>
      <w:r w:rsidRPr="00B54E43">
        <w:rPr>
          <w:rFonts w:ascii="Arial" w:hAnsi="Arial" w:cs="Arial"/>
          <w:sz w:val="20"/>
          <w:szCs w:val="20"/>
          <w:lang w:val="en-GB"/>
        </w:rPr>
        <w:t>. While the data sources allow extended periods of time</w:t>
      </w:r>
      <w:r w:rsidR="00E5763E">
        <w:rPr>
          <w:rFonts w:ascii="Arial" w:hAnsi="Arial" w:cs="Arial"/>
          <w:sz w:val="20"/>
          <w:szCs w:val="20"/>
          <w:lang w:val="en-GB"/>
        </w:rPr>
        <w:t xml:space="preserve"> to be observed and analysed</w:t>
      </w:r>
      <w:r w:rsidRPr="00B54E43">
        <w:rPr>
          <w:rFonts w:ascii="Arial" w:hAnsi="Arial" w:cs="Arial"/>
          <w:sz w:val="20"/>
          <w:szCs w:val="20"/>
          <w:lang w:val="en-GB"/>
        </w:rPr>
        <w:t>, a limitation is that only indirect conclusions can be made since other possible factors of influence cannot be directly accounted for. The influence of any such factors is, however, minimised by the statistical design chosen, viz., comparison against secular trends, which is a standard method used for impact analysis</w:t>
      </w:r>
      <w:r w:rsidRPr="00B54E43">
        <w:rPr>
          <w:rFonts w:ascii="Arial" w:hAnsi="Arial" w:cs="Arial"/>
          <w:sz w:val="20"/>
          <w:szCs w:val="20"/>
          <w:vertAlign w:val="superscript"/>
          <w:lang w:val="en-GB"/>
        </w:rPr>
        <w:t>2</w:t>
      </w:r>
      <w:r w:rsidR="00766805">
        <w:rPr>
          <w:rFonts w:ascii="Arial" w:hAnsi="Arial" w:cs="Arial"/>
          <w:sz w:val="20"/>
          <w:szCs w:val="20"/>
          <w:vertAlign w:val="superscript"/>
          <w:lang w:val="en-GB"/>
        </w:rPr>
        <w:t>5</w:t>
      </w:r>
      <w:r w:rsidR="000B0D83">
        <w:rPr>
          <w:rFonts w:ascii="Arial" w:hAnsi="Arial" w:cs="Arial"/>
          <w:sz w:val="20"/>
          <w:szCs w:val="20"/>
          <w:lang w:val="en-GB"/>
        </w:rPr>
        <w:t>.</w:t>
      </w:r>
    </w:p>
    <w:p w14:paraId="25374450" w14:textId="77777777" w:rsidR="000B0D83" w:rsidRDefault="000B0D83" w:rsidP="00B54E43">
      <w:pPr>
        <w:pStyle w:val="NoSpacing"/>
        <w:rPr>
          <w:rFonts w:ascii="Arial" w:hAnsi="Arial" w:cs="Arial"/>
          <w:sz w:val="20"/>
          <w:szCs w:val="20"/>
          <w:lang w:val="en-GB"/>
        </w:rPr>
      </w:pPr>
    </w:p>
    <w:p w14:paraId="4FF450EB" w14:textId="7A963AAF" w:rsidR="00D01830" w:rsidRDefault="000B0D83" w:rsidP="00B54E43">
      <w:pPr>
        <w:pStyle w:val="NoSpacing"/>
        <w:rPr>
          <w:rFonts w:ascii="Arial" w:hAnsi="Arial" w:cs="Arial"/>
          <w:sz w:val="20"/>
          <w:szCs w:val="20"/>
          <w:lang w:val="en-GB"/>
        </w:rPr>
      </w:pPr>
      <w:r>
        <w:rPr>
          <w:rFonts w:ascii="Arial" w:hAnsi="Arial" w:cs="Arial"/>
          <w:sz w:val="20"/>
          <w:szCs w:val="20"/>
          <w:lang w:val="en-GB"/>
        </w:rPr>
        <w:t>We are also aware that t</w:t>
      </w:r>
      <w:r w:rsidR="00D01830" w:rsidRPr="00B54E43">
        <w:rPr>
          <w:rFonts w:ascii="Arial" w:hAnsi="Arial" w:cs="Arial"/>
          <w:sz w:val="20"/>
          <w:szCs w:val="20"/>
          <w:lang w:val="en-GB"/>
        </w:rPr>
        <w:t>he study only includes women up to their 20</w:t>
      </w:r>
      <w:r w:rsidR="00D01830" w:rsidRPr="00B54E43">
        <w:rPr>
          <w:rFonts w:ascii="Arial" w:hAnsi="Arial" w:cs="Arial"/>
          <w:sz w:val="20"/>
          <w:szCs w:val="20"/>
          <w:vertAlign w:val="superscript"/>
          <w:lang w:val="en-GB"/>
        </w:rPr>
        <w:t>th</w:t>
      </w:r>
      <w:r w:rsidR="00D01830" w:rsidRPr="00B54E43">
        <w:rPr>
          <w:rFonts w:ascii="Arial" w:hAnsi="Arial" w:cs="Arial"/>
          <w:sz w:val="20"/>
          <w:szCs w:val="20"/>
          <w:lang w:val="en-GB"/>
        </w:rPr>
        <w:t xml:space="preserve"> birthday because</w:t>
      </w:r>
      <w:r>
        <w:rPr>
          <w:rFonts w:ascii="Arial" w:hAnsi="Arial" w:cs="Arial"/>
          <w:sz w:val="20"/>
          <w:szCs w:val="20"/>
          <w:lang w:val="en-GB"/>
        </w:rPr>
        <w:t>, as mentioned,</w:t>
      </w:r>
      <w:r w:rsidR="00D01830" w:rsidRPr="00B54E43">
        <w:rPr>
          <w:rFonts w:ascii="Arial" w:hAnsi="Arial" w:cs="Arial"/>
          <w:sz w:val="20"/>
          <w:szCs w:val="20"/>
          <w:lang w:val="en-GB"/>
        </w:rPr>
        <w:t xml:space="preserve"> only for this group </w:t>
      </w:r>
      <w:r>
        <w:rPr>
          <w:rFonts w:ascii="Arial" w:hAnsi="Arial" w:cs="Arial"/>
          <w:sz w:val="20"/>
          <w:szCs w:val="20"/>
          <w:lang w:val="en-GB"/>
        </w:rPr>
        <w:t xml:space="preserve">can </w:t>
      </w:r>
      <w:r w:rsidR="00D01830" w:rsidRPr="00B54E43">
        <w:rPr>
          <w:rFonts w:ascii="Arial" w:hAnsi="Arial" w:cs="Arial"/>
          <w:sz w:val="20"/>
          <w:szCs w:val="20"/>
          <w:lang w:val="en-GB"/>
        </w:rPr>
        <w:t>complete prescription data from health care fund claims data</w:t>
      </w:r>
      <w:r>
        <w:rPr>
          <w:rFonts w:ascii="Arial" w:hAnsi="Arial" w:cs="Arial"/>
          <w:sz w:val="20"/>
          <w:szCs w:val="20"/>
          <w:lang w:val="en-GB"/>
        </w:rPr>
        <w:t xml:space="preserve"> can be accessed</w:t>
      </w:r>
      <w:r w:rsidR="00D01830" w:rsidRPr="00B54E43">
        <w:rPr>
          <w:rFonts w:ascii="Arial" w:hAnsi="Arial" w:cs="Arial"/>
          <w:sz w:val="20"/>
          <w:szCs w:val="20"/>
          <w:lang w:val="en-GB"/>
        </w:rPr>
        <w:t>. We cannot prove that the results are transferable to other age groups</w:t>
      </w:r>
      <w:r>
        <w:rPr>
          <w:rFonts w:ascii="Arial" w:hAnsi="Arial" w:cs="Arial"/>
          <w:sz w:val="20"/>
          <w:szCs w:val="20"/>
          <w:lang w:val="en-GB"/>
        </w:rPr>
        <w:t>;</w:t>
      </w:r>
      <w:r w:rsidR="00D01830" w:rsidRPr="00B54E43">
        <w:rPr>
          <w:rFonts w:ascii="Arial" w:hAnsi="Arial" w:cs="Arial"/>
          <w:sz w:val="20"/>
          <w:szCs w:val="20"/>
          <w:lang w:val="en-GB"/>
        </w:rPr>
        <w:t xml:space="preserve"> however, </w:t>
      </w:r>
      <w:r>
        <w:rPr>
          <w:rFonts w:ascii="Arial" w:hAnsi="Arial" w:cs="Arial"/>
          <w:sz w:val="20"/>
          <w:szCs w:val="20"/>
          <w:lang w:val="en-GB"/>
        </w:rPr>
        <w:t xml:space="preserve">we believe </w:t>
      </w:r>
      <w:r w:rsidR="00D01830" w:rsidRPr="00B54E43">
        <w:rPr>
          <w:rFonts w:ascii="Arial" w:hAnsi="Arial" w:cs="Arial"/>
          <w:sz w:val="20"/>
          <w:szCs w:val="20"/>
          <w:lang w:val="en-GB"/>
        </w:rPr>
        <w:t>there are strong hints to this effect. According to IMS data (2014)</w:t>
      </w:r>
      <w:r w:rsidR="00D01830" w:rsidRPr="00B54E43">
        <w:rPr>
          <w:rFonts w:ascii="Arial" w:hAnsi="Arial" w:cs="Arial"/>
          <w:sz w:val="20"/>
          <w:szCs w:val="20"/>
          <w:vertAlign w:val="superscript"/>
          <w:lang w:val="en-GB"/>
        </w:rPr>
        <w:t xml:space="preserve">1 </w:t>
      </w:r>
      <w:r w:rsidR="00D01830" w:rsidRPr="00B54E43">
        <w:rPr>
          <w:rFonts w:ascii="Arial" w:hAnsi="Arial" w:cs="Arial"/>
          <w:sz w:val="20"/>
          <w:szCs w:val="20"/>
          <w:lang w:val="en-GB"/>
        </w:rPr>
        <w:t xml:space="preserve">more than half of the most frequently used contraceptives belong to risk classes III or X. </w:t>
      </w:r>
    </w:p>
    <w:p w14:paraId="7056458E" w14:textId="77777777" w:rsidR="000B0D83" w:rsidRPr="00B54E43" w:rsidRDefault="000B0D83" w:rsidP="00B54E43">
      <w:pPr>
        <w:pStyle w:val="NoSpacing"/>
        <w:rPr>
          <w:rFonts w:ascii="Arial" w:hAnsi="Arial" w:cs="Arial"/>
          <w:sz w:val="20"/>
          <w:szCs w:val="20"/>
          <w:lang w:val="en-GB"/>
        </w:rPr>
      </w:pPr>
    </w:p>
    <w:p w14:paraId="6AD119DD" w14:textId="38B74DB3" w:rsidR="00D01830" w:rsidRPr="00B54E43" w:rsidRDefault="00D01830" w:rsidP="00B54E43">
      <w:pPr>
        <w:pStyle w:val="NoSpacing"/>
        <w:rPr>
          <w:rFonts w:ascii="Arial" w:hAnsi="Arial" w:cs="Arial"/>
          <w:strike/>
          <w:sz w:val="20"/>
          <w:szCs w:val="20"/>
          <w:lang w:val="en-GB"/>
        </w:rPr>
      </w:pPr>
      <w:r w:rsidRPr="00B54E43">
        <w:rPr>
          <w:rFonts w:ascii="Arial" w:hAnsi="Arial" w:cs="Arial"/>
          <w:sz w:val="20"/>
          <w:szCs w:val="20"/>
          <w:lang w:val="en-GB"/>
        </w:rPr>
        <w:t>For modelling the time series, we used the period from January 2011 to October 2015. The period of observation was cut short by several months compared to initial plans because there seemed to be a substantial change of trends starting from the end of 2015, which stands in no plausible connection to the interventions studied here. Including the period at the very end would have had repercussions on the whole model and might have hidden the effect of the interventions studied here. Any causes for further changes were outside the scope of this study.</w:t>
      </w:r>
    </w:p>
    <w:p w14:paraId="72DA32F6" w14:textId="77777777" w:rsidR="00D01830" w:rsidRPr="00B54E43" w:rsidRDefault="00D01830" w:rsidP="00B54E43">
      <w:pPr>
        <w:pStyle w:val="NoSpacing"/>
        <w:rPr>
          <w:rFonts w:ascii="Arial" w:hAnsi="Arial" w:cs="Arial"/>
          <w:sz w:val="20"/>
          <w:szCs w:val="20"/>
          <w:lang w:val="en-GB"/>
        </w:rPr>
      </w:pPr>
    </w:p>
    <w:p w14:paraId="37E1F4FD" w14:textId="77777777" w:rsidR="00D01830" w:rsidRPr="00B54E43" w:rsidRDefault="00D01830" w:rsidP="00B54E43">
      <w:pPr>
        <w:pStyle w:val="NoSpacing"/>
        <w:rPr>
          <w:rFonts w:ascii="Arial" w:hAnsi="Arial" w:cs="Arial"/>
          <w:sz w:val="20"/>
          <w:szCs w:val="20"/>
          <w:lang w:val="en-GB"/>
        </w:rPr>
      </w:pPr>
      <w:r w:rsidRPr="00B54E43">
        <w:rPr>
          <w:rFonts w:ascii="Arial" w:hAnsi="Arial" w:cs="Arial"/>
          <w:sz w:val="20"/>
          <w:szCs w:val="20"/>
          <w:lang w:val="en-GB"/>
        </w:rPr>
        <w:lastRenderedPageBreak/>
        <w:t>Among the strengths of the study are its use of two different data sources for controlling health care fund specific bias</w:t>
      </w:r>
      <w:r w:rsidRPr="00B54E43">
        <w:rPr>
          <w:rFonts w:ascii="Arial" w:hAnsi="Arial" w:cs="Arial"/>
          <w:sz w:val="20"/>
          <w:szCs w:val="20"/>
          <w:vertAlign w:val="superscript"/>
          <w:lang w:val="en-GB"/>
        </w:rPr>
        <w:t>16</w:t>
      </w:r>
      <w:r w:rsidRPr="00B54E43">
        <w:rPr>
          <w:rFonts w:ascii="Arial" w:hAnsi="Arial" w:cs="Arial"/>
          <w:sz w:val="20"/>
          <w:szCs w:val="20"/>
          <w:lang w:val="en-GB"/>
        </w:rPr>
        <w:t xml:space="preserve">, the size of the data, and the long period of observation. Of particular interest is the linkage of prescriptions to selected characteristics of both receivers and prescribers, which made it possible to study factors influencing the prescribing patterns. The study shows that routine data can be used to obtain evidence on the impact of regulatory measures. </w:t>
      </w:r>
    </w:p>
    <w:p w14:paraId="72805DDB" w14:textId="77777777" w:rsidR="00D01830" w:rsidRPr="00B54E43" w:rsidRDefault="00D01830" w:rsidP="00B54E43">
      <w:pPr>
        <w:pStyle w:val="NoSpacing"/>
        <w:rPr>
          <w:rFonts w:ascii="Arial" w:hAnsi="Arial" w:cs="Arial"/>
          <w:sz w:val="20"/>
          <w:szCs w:val="20"/>
          <w:lang w:val="en-GB"/>
        </w:rPr>
      </w:pPr>
      <w:r w:rsidRPr="00B54E43">
        <w:rPr>
          <w:rFonts w:ascii="Arial" w:hAnsi="Arial" w:cs="Arial"/>
          <w:sz w:val="20"/>
          <w:szCs w:val="20"/>
          <w:lang w:val="en-GB"/>
        </w:rPr>
        <w:tab/>
      </w:r>
    </w:p>
    <w:p w14:paraId="419D937E" w14:textId="2FA87D03" w:rsidR="00D01830" w:rsidRPr="000B0D83" w:rsidRDefault="00D01830" w:rsidP="000B0D83">
      <w:pPr>
        <w:pStyle w:val="NoSpacing"/>
        <w:numPr>
          <w:ilvl w:val="0"/>
          <w:numId w:val="13"/>
        </w:numPr>
        <w:rPr>
          <w:rFonts w:ascii="Arial" w:hAnsi="Arial" w:cs="Arial"/>
          <w:b/>
          <w:sz w:val="20"/>
          <w:szCs w:val="20"/>
          <w:lang w:val="en-GB"/>
        </w:rPr>
      </w:pPr>
      <w:r w:rsidRPr="000B0D83">
        <w:rPr>
          <w:rFonts w:ascii="Arial" w:hAnsi="Arial" w:cs="Arial"/>
          <w:b/>
          <w:sz w:val="20"/>
          <w:szCs w:val="20"/>
          <w:lang w:val="en-GB"/>
        </w:rPr>
        <w:t>Conclusion</w:t>
      </w:r>
    </w:p>
    <w:p w14:paraId="79BC2670" w14:textId="77777777" w:rsidR="000B0D83" w:rsidRDefault="000B0D83" w:rsidP="00B54E43">
      <w:pPr>
        <w:pStyle w:val="NoSpacing"/>
        <w:rPr>
          <w:rFonts w:ascii="Arial" w:hAnsi="Arial" w:cs="Arial"/>
          <w:sz w:val="20"/>
          <w:szCs w:val="20"/>
          <w:lang w:val="en-GB"/>
        </w:rPr>
      </w:pPr>
    </w:p>
    <w:p w14:paraId="55302935" w14:textId="494F13EC" w:rsidR="00D01830" w:rsidRPr="00B54E43" w:rsidRDefault="00D01830" w:rsidP="00B54E43">
      <w:pPr>
        <w:pStyle w:val="NoSpacing"/>
        <w:rPr>
          <w:rFonts w:ascii="Arial" w:hAnsi="Arial" w:cs="Arial"/>
          <w:i/>
          <w:sz w:val="20"/>
          <w:szCs w:val="20"/>
          <w:lang w:val="en-GB"/>
        </w:rPr>
      </w:pPr>
      <w:r w:rsidRPr="00B54E43">
        <w:rPr>
          <w:rFonts w:ascii="Arial" w:hAnsi="Arial" w:cs="Arial"/>
          <w:sz w:val="20"/>
          <w:szCs w:val="20"/>
          <w:lang w:val="en-GB"/>
        </w:rPr>
        <w:t xml:space="preserve">To the best of our knowledge, </w:t>
      </w:r>
      <w:r w:rsidR="000B0D83">
        <w:rPr>
          <w:rFonts w:ascii="Arial" w:hAnsi="Arial" w:cs="Arial"/>
          <w:sz w:val="20"/>
          <w:szCs w:val="20"/>
          <w:lang w:val="en-GB"/>
        </w:rPr>
        <w:t xml:space="preserve">we believe this is </w:t>
      </w:r>
      <w:r w:rsidRPr="00B54E43">
        <w:rPr>
          <w:rFonts w:ascii="Arial" w:hAnsi="Arial" w:cs="Arial"/>
          <w:sz w:val="20"/>
          <w:szCs w:val="20"/>
          <w:lang w:val="en-GB"/>
        </w:rPr>
        <w:t>the first study to investigate changes of prescribing patterns in connection with the referral process</w:t>
      </w:r>
      <w:r w:rsidR="000B0D83">
        <w:rPr>
          <w:rFonts w:ascii="Arial" w:hAnsi="Arial" w:cs="Arial"/>
          <w:sz w:val="20"/>
          <w:szCs w:val="20"/>
          <w:lang w:val="en-GB"/>
        </w:rPr>
        <w:t xml:space="preserve"> in Germany and wider</w:t>
      </w:r>
      <w:r w:rsidRPr="00B54E43">
        <w:rPr>
          <w:rFonts w:ascii="Arial" w:hAnsi="Arial" w:cs="Arial"/>
          <w:sz w:val="20"/>
          <w:szCs w:val="20"/>
          <w:lang w:val="en-GB"/>
        </w:rPr>
        <w:t>. It is evident that such changes have already taken place before the start of the referral</w:t>
      </w:r>
      <w:r w:rsidR="000B0D83">
        <w:rPr>
          <w:rFonts w:ascii="Arial" w:hAnsi="Arial" w:cs="Arial"/>
          <w:sz w:val="20"/>
          <w:szCs w:val="20"/>
          <w:lang w:val="en-GB"/>
        </w:rPr>
        <w:t xml:space="preserve">. This </w:t>
      </w:r>
      <w:r w:rsidRPr="00B54E43">
        <w:rPr>
          <w:rFonts w:ascii="Arial" w:hAnsi="Arial" w:cs="Arial"/>
          <w:sz w:val="20"/>
          <w:szCs w:val="20"/>
          <w:lang w:val="en-GB"/>
        </w:rPr>
        <w:t xml:space="preserve">comes as no surprise given that the safety of contraceptives had been widely discussed in professional circles. The risks of oral contraceptives have been assessed as early as 1996 and again in 2001. This sets the context for the development of prescriptions and the effects described here. Proving a separate effect of the implementation of the conditions imposed by EMA is complicated by the fact that the marketing authorisation holders changed the prescribing information only step by step; hence, any effect is more difficult to separate from simultaneously occurring secular changes in prescribing. </w:t>
      </w:r>
      <w:r w:rsidR="000B0D83">
        <w:rPr>
          <w:rFonts w:ascii="Arial" w:hAnsi="Arial" w:cs="Arial"/>
          <w:sz w:val="20"/>
          <w:szCs w:val="20"/>
          <w:lang w:val="en-GB"/>
        </w:rPr>
        <w:t>In addition</w:t>
      </w:r>
      <w:r w:rsidRPr="00B54E43">
        <w:rPr>
          <w:rFonts w:ascii="Arial" w:hAnsi="Arial" w:cs="Arial"/>
          <w:sz w:val="20"/>
          <w:szCs w:val="20"/>
          <w:lang w:val="en-GB"/>
        </w:rPr>
        <w:t xml:space="preserve">, the ongoing effect of the start of the referral process on the perception within professional circles may “mask” any effect the second, additive intervention may have had. </w:t>
      </w:r>
    </w:p>
    <w:p w14:paraId="33A9A754" w14:textId="77777777" w:rsidR="00D01830" w:rsidRPr="00B54E43" w:rsidRDefault="00D01830" w:rsidP="00B54E43">
      <w:pPr>
        <w:pStyle w:val="NoSpacing"/>
        <w:rPr>
          <w:rFonts w:ascii="Arial" w:hAnsi="Arial" w:cs="Arial"/>
          <w:sz w:val="20"/>
          <w:szCs w:val="20"/>
          <w:lang w:val="en-GB"/>
        </w:rPr>
      </w:pPr>
    </w:p>
    <w:p w14:paraId="0E850986" w14:textId="42BCA8E1" w:rsidR="00D01830" w:rsidRPr="00B54E43" w:rsidRDefault="00D01830" w:rsidP="00B54E43">
      <w:pPr>
        <w:pStyle w:val="NoSpacing"/>
        <w:rPr>
          <w:rFonts w:ascii="Arial" w:hAnsi="Arial" w:cs="Arial"/>
          <w:sz w:val="20"/>
          <w:szCs w:val="20"/>
          <w:lang w:val="en-GB"/>
        </w:rPr>
      </w:pPr>
      <w:r w:rsidRPr="00B54E43">
        <w:rPr>
          <w:rFonts w:ascii="Arial" w:hAnsi="Arial" w:cs="Arial"/>
          <w:sz w:val="20"/>
          <w:szCs w:val="20"/>
          <w:lang w:val="en-GB"/>
        </w:rPr>
        <w:t>It merits separate discussion whether the small, although statistically significant effects of the first intervention</w:t>
      </w:r>
      <w:r w:rsidR="000B0D83">
        <w:rPr>
          <w:rFonts w:ascii="Arial" w:hAnsi="Arial" w:cs="Arial"/>
          <w:sz w:val="20"/>
          <w:szCs w:val="20"/>
          <w:lang w:val="en-GB"/>
        </w:rPr>
        <w:t>,</w:t>
      </w:r>
      <w:r w:rsidRPr="00B54E43">
        <w:rPr>
          <w:rFonts w:ascii="Arial" w:hAnsi="Arial" w:cs="Arial"/>
          <w:sz w:val="20"/>
          <w:szCs w:val="20"/>
          <w:lang w:val="en-GB"/>
        </w:rPr>
        <w:t xml:space="preserve"> have practical significance. But similarly, to observe no separate statistically significant effect of the second intervention should not lead to the conclusion that the conditions imposed by the marketing authorisation bodies were superfluous. In particular, in our opinion</w:t>
      </w:r>
      <w:r w:rsidR="000B0D83">
        <w:rPr>
          <w:rFonts w:ascii="Arial" w:hAnsi="Arial" w:cs="Arial"/>
          <w:sz w:val="20"/>
          <w:szCs w:val="20"/>
          <w:lang w:val="en-GB"/>
        </w:rPr>
        <w:t>,</w:t>
      </w:r>
      <w:r w:rsidRPr="00B54E43">
        <w:rPr>
          <w:rFonts w:ascii="Arial" w:hAnsi="Arial" w:cs="Arial"/>
          <w:sz w:val="20"/>
          <w:szCs w:val="20"/>
          <w:lang w:val="en-GB"/>
        </w:rPr>
        <w:t xml:space="preserve"> they may have contributed to persisting the observed decreases. Not allowing to let the evidence slip from the mind of prescribers may prevent later increases. For reasons of principle, however, such effects are not amenable to proof by observing factual developments of prescription.</w:t>
      </w:r>
    </w:p>
    <w:p w14:paraId="20CB2283" w14:textId="77777777" w:rsidR="00D01830" w:rsidRPr="00B54E43" w:rsidRDefault="00D01830" w:rsidP="00B54E43">
      <w:pPr>
        <w:pStyle w:val="NoSpacing"/>
        <w:rPr>
          <w:rFonts w:ascii="Arial" w:hAnsi="Arial" w:cs="Arial"/>
          <w:sz w:val="20"/>
          <w:szCs w:val="20"/>
          <w:lang w:val="en-GB"/>
        </w:rPr>
      </w:pPr>
    </w:p>
    <w:p w14:paraId="2BF7C459" w14:textId="24820898" w:rsidR="00D01830" w:rsidRPr="00B54E43" w:rsidRDefault="00D01830" w:rsidP="00B54E43">
      <w:pPr>
        <w:pStyle w:val="NoSpacing"/>
        <w:rPr>
          <w:rFonts w:ascii="Arial" w:hAnsi="Arial" w:cs="Arial"/>
          <w:sz w:val="20"/>
          <w:szCs w:val="20"/>
          <w:lang w:val="en-GB"/>
        </w:rPr>
      </w:pPr>
      <w:r w:rsidRPr="00B54E43">
        <w:rPr>
          <w:rFonts w:ascii="Arial" w:hAnsi="Arial" w:cs="Arial"/>
          <w:sz w:val="20"/>
          <w:szCs w:val="20"/>
          <w:lang w:val="en-GB"/>
        </w:rPr>
        <w:t xml:space="preserve">There are only hypotheses on the causes for the developments observed. Amongst others, it is an open question whether the warnings provided in prescribing information documents and in package inserts were sufficient. E.g., </w:t>
      </w:r>
      <w:proofErr w:type="spellStart"/>
      <w:r w:rsidRPr="00B54E43">
        <w:rPr>
          <w:rFonts w:ascii="Arial" w:hAnsi="Arial" w:cs="Arial"/>
          <w:sz w:val="20"/>
          <w:szCs w:val="20"/>
          <w:lang w:val="en-GB"/>
        </w:rPr>
        <w:t>arznei-telegramm</w:t>
      </w:r>
      <w:proofErr w:type="spellEnd"/>
      <w:r w:rsidRPr="00B54E43">
        <w:rPr>
          <w:rFonts w:ascii="Arial" w:hAnsi="Arial" w:cs="Arial"/>
          <w:sz w:val="20"/>
          <w:szCs w:val="20"/>
          <w:lang w:val="en-GB"/>
        </w:rPr>
        <w:t>, an independent drug information journal, criticised in 2015 the phrasing used for prescribing information and suggested an unequivocal labelling of these CHC as “medicines of subordinate choice”</w:t>
      </w:r>
      <w:r w:rsidRPr="00B54E43">
        <w:rPr>
          <w:rFonts w:ascii="Arial" w:hAnsi="Arial" w:cs="Arial"/>
          <w:sz w:val="20"/>
          <w:szCs w:val="20"/>
          <w:vertAlign w:val="superscript"/>
          <w:lang w:val="en-GB"/>
        </w:rPr>
        <w:t>2</w:t>
      </w:r>
      <w:r w:rsidR="00766805">
        <w:rPr>
          <w:rFonts w:ascii="Arial" w:hAnsi="Arial" w:cs="Arial"/>
          <w:sz w:val="20"/>
          <w:szCs w:val="20"/>
          <w:vertAlign w:val="superscript"/>
          <w:lang w:val="en-GB"/>
        </w:rPr>
        <w:t>6</w:t>
      </w:r>
      <w:r w:rsidRPr="00B54E43">
        <w:rPr>
          <w:rFonts w:ascii="Arial" w:hAnsi="Arial" w:cs="Arial"/>
          <w:sz w:val="20"/>
          <w:szCs w:val="20"/>
          <w:lang w:val="en-GB"/>
        </w:rPr>
        <w:t xml:space="preserve">. Control of usage may also be achieved through rules for reimbursement and regulatory policies like in France. </w:t>
      </w:r>
    </w:p>
    <w:p w14:paraId="5B344C1E" w14:textId="77777777" w:rsidR="00D01830" w:rsidRPr="00B54E43" w:rsidRDefault="00D01830" w:rsidP="00B54E43">
      <w:pPr>
        <w:pStyle w:val="NoSpacing"/>
        <w:rPr>
          <w:rFonts w:ascii="Arial" w:hAnsi="Arial" w:cs="Arial"/>
          <w:sz w:val="20"/>
          <w:szCs w:val="20"/>
          <w:lang w:val="en-GB"/>
        </w:rPr>
      </w:pPr>
    </w:p>
    <w:p w14:paraId="0059072D" w14:textId="0DDE94C6" w:rsidR="00D01830" w:rsidRPr="00B54E43" w:rsidRDefault="00D01830" w:rsidP="00B54E43">
      <w:pPr>
        <w:pStyle w:val="NoSpacing"/>
        <w:rPr>
          <w:rFonts w:ascii="Arial" w:hAnsi="Arial" w:cs="Arial"/>
          <w:sz w:val="20"/>
          <w:szCs w:val="20"/>
          <w:lang w:val="en-GB"/>
        </w:rPr>
      </w:pPr>
      <w:r w:rsidRPr="00B54E43">
        <w:rPr>
          <w:rFonts w:ascii="Arial" w:hAnsi="Arial" w:cs="Arial"/>
          <w:sz w:val="20"/>
          <w:szCs w:val="20"/>
          <w:lang w:val="en-GB"/>
        </w:rPr>
        <w:t>Ongoing medical education in this area addresses mostly gyn</w:t>
      </w:r>
      <w:r w:rsidR="000B0D83">
        <w:rPr>
          <w:rFonts w:ascii="Arial" w:hAnsi="Arial" w:cs="Arial"/>
          <w:sz w:val="20"/>
          <w:szCs w:val="20"/>
          <w:lang w:val="en-GB"/>
        </w:rPr>
        <w:t>a</w:t>
      </w:r>
      <w:r w:rsidRPr="00B54E43">
        <w:rPr>
          <w:rFonts w:ascii="Arial" w:hAnsi="Arial" w:cs="Arial"/>
          <w:sz w:val="20"/>
          <w:szCs w:val="20"/>
          <w:lang w:val="en-GB"/>
        </w:rPr>
        <w:t>ecologists</w:t>
      </w:r>
      <w:r w:rsidR="000B0D83">
        <w:rPr>
          <w:rFonts w:ascii="Arial" w:hAnsi="Arial" w:cs="Arial"/>
          <w:sz w:val="20"/>
          <w:szCs w:val="20"/>
          <w:lang w:val="en-GB"/>
        </w:rPr>
        <w:t xml:space="preserve"> in Germany; however,</w:t>
      </w:r>
      <w:r w:rsidRPr="00B54E43">
        <w:rPr>
          <w:rFonts w:ascii="Arial" w:hAnsi="Arial" w:cs="Arial"/>
          <w:sz w:val="20"/>
          <w:szCs w:val="20"/>
          <w:lang w:val="en-GB"/>
        </w:rPr>
        <w:t xml:space="preserve"> GPs are also implicated in these prescriptions. They </w:t>
      </w:r>
      <w:proofErr w:type="gramStart"/>
      <w:r w:rsidRPr="00B54E43">
        <w:rPr>
          <w:rFonts w:ascii="Arial" w:hAnsi="Arial" w:cs="Arial"/>
          <w:sz w:val="20"/>
          <w:szCs w:val="20"/>
          <w:lang w:val="en-GB"/>
        </w:rPr>
        <w:t>are in need of</w:t>
      </w:r>
      <w:proofErr w:type="gramEnd"/>
      <w:r w:rsidRPr="00B54E43">
        <w:rPr>
          <w:rFonts w:ascii="Arial" w:hAnsi="Arial" w:cs="Arial"/>
          <w:sz w:val="20"/>
          <w:szCs w:val="20"/>
          <w:lang w:val="en-GB"/>
        </w:rPr>
        <w:t xml:space="preserve"> guidance for </w:t>
      </w:r>
      <w:r w:rsidR="000B0D83">
        <w:rPr>
          <w:rFonts w:ascii="Arial" w:hAnsi="Arial" w:cs="Arial"/>
          <w:sz w:val="20"/>
          <w:szCs w:val="20"/>
          <w:lang w:val="en-GB"/>
        </w:rPr>
        <w:t>these medicines</w:t>
      </w:r>
      <w:r w:rsidRPr="00B54E43">
        <w:rPr>
          <w:rFonts w:ascii="Arial" w:hAnsi="Arial" w:cs="Arial"/>
          <w:sz w:val="20"/>
          <w:szCs w:val="20"/>
          <w:lang w:val="en-GB"/>
        </w:rPr>
        <w:t xml:space="preserve"> and their associated risks. We have been able to show that the risk of receiving a CHC with unfavourable risk profile is substantially increased </w:t>
      </w:r>
      <w:r w:rsidR="000B0D83">
        <w:rPr>
          <w:rFonts w:ascii="Arial" w:hAnsi="Arial" w:cs="Arial"/>
          <w:sz w:val="20"/>
          <w:szCs w:val="20"/>
          <w:lang w:val="en-GB"/>
        </w:rPr>
        <w:t>among</w:t>
      </w:r>
      <w:r w:rsidRPr="00B54E43">
        <w:rPr>
          <w:rFonts w:ascii="Arial" w:hAnsi="Arial" w:cs="Arial"/>
          <w:sz w:val="20"/>
          <w:szCs w:val="20"/>
          <w:lang w:val="en-GB"/>
        </w:rPr>
        <w:t xml:space="preserve"> GPs compared to gyn</w:t>
      </w:r>
      <w:r w:rsidR="000B0D83">
        <w:rPr>
          <w:rFonts w:ascii="Arial" w:hAnsi="Arial" w:cs="Arial"/>
          <w:sz w:val="20"/>
          <w:szCs w:val="20"/>
          <w:lang w:val="en-GB"/>
        </w:rPr>
        <w:t>a</w:t>
      </w:r>
      <w:r w:rsidRPr="00B54E43">
        <w:rPr>
          <w:rFonts w:ascii="Arial" w:hAnsi="Arial" w:cs="Arial"/>
          <w:sz w:val="20"/>
          <w:szCs w:val="20"/>
          <w:lang w:val="en-GB"/>
        </w:rPr>
        <w:t xml:space="preserve">ecologists. This suggests that the communication of risks to GPs can still be improved upon and not be left to pharmaceutical companies. Substantial regional differences might also be explained by different information and risk communication policies in the various regions. </w:t>
      </w:r>
      <w:r w:rsidR="000B0D83">
        <w:rPr>
          <w:rFonts w:ascii="Arial" w:hAnsi="Arial" w:cs="Arial"/>
          <w:sz w:val="20"/>
          <w:szCs w:val="20"/>
          <w:lang w:val="en-GB"/>
        </w:rPr>
        <w:t xml:space="preserve">This also needs to be addressed to ensure appropriate contraception for young women in Germany and wider. These are projects for the future </w:t>
      </w:r>
    </w:p>
    <w:p w14:paraId="7274E884" w14:textId="3F8557A1" w:rsidR="00D01830" w:rsidRDefault="00D01830" w:rsidP="00B54E43">
      <w:pPr>
        <w:pStyle w:val="NoSpacing"/>
        <w:rPr>
          <w:rFonts w:ascii="Arial" w:hAnsi="Arial" w:cs="Arial"/>
          <w:sz w:val="20"/>
          <w:szCs w:val="20"/>
          <w:lang w:val="en-GB"/>
        </w:rPr>
      </w:pPr>
    </w:p>
    <w:p w14:paraId="2E03AF87" w14:textId="77777777" w:rsidR="00220E60" w:rsidRPr="00D74A4E" w:rsidRDefault="00220E60" w:rsidP="00220E60">
      <w:pPr>
        <w:pStyle w:val="NoSpacing"/>
        <w:rPr>
          <w:rFonts w:ascii="Arial" w:eastAsia="Arial" w:hAnsi="Arial" w:cs="Arial"/>
          <w:sz w:val="20"/>
          <w:szCs w:val="20"/>
          <w:lang w:val="en-GB"/>
        </w:rPr>
      </w:pPr>
      <w:r w:rsidRPr="00D74A4E">
        <w:rPr>
          <w:rFonts w:ascii="Arial" w:hAnsi="Arial" w:cs="Arial"/>
          <w:b/>
          <w:sz w:val="20"/>
          <w:szCs w:val="20"/>
          <w:lang w:val="en-GB"/>
        </w:rPr>
        <w:t>Acknowledgments</w:t>
      </w:r>
      <w:r w:rsidRPr="00D74A4E">
        <w:rPr>
          <w:rFonts w:ascii="Arial" w:hAnsi="Arial" w:cs="Arial"/>
          <w:sz w:val="20"/>
          <w:szCs w:val="20"/>
          <w:lang w:val="en-GB"/>
        </w:rPr>
        <w:t>: The authors wish to thank AOK Research Institute (</w:t>
      </w:r>
      <w:proofErr w:type="spellStart"/>
      <w:r w:rsidRPr="00D74A4E">
        <w:rPr>
          <w:rFonts w:ascii="Arial" w:hAnsi="Arial" w:cs="Arial"/>
          <w:sz w:val="20"/>
          <w:szCs w:val="20"/>
          <w:lang w:val="en-GB"/>
        </w:rPr>
        <w:t>WIdO</w:t>
      </w:r>
      <w:proofErr w:type="spellEnd"/>
      <w:r w:rsidRPr="00D74A4E">
        <w:rPr>
          <w:rFonts w:ascii="Arial" w:hAnsi="Arial" w:cs="Arial"/>
          <w:sz w:val="20"/>
          <w:szCs w:val="20"/>
          <w:lang w:val="en-GB"/>
        </w:rPr>
        <w:t xml:space="preserve">) for providing data for the analysis and </w:t>
      </w:r>
      <w:r w:rsidRPr="00D74A4E">
        <w:rPr>
          <w:rFonts w:ascii="Arial" w:eastAsia="Arial" w:hAnsi="Arial" w:cs="Arial"/>
          <w:spacing w:val="2"/>
          <w:sz w:val="20"/>
          <w:szCs w:val="20"/>
          <w:lang w:val="en-GB"/>
        </w:rPr>
        <w:t>Prof. Reinhard Schuster, University of Lübeck, for valuable hints concerning modelling</w:t>
      </w:r>
      <w:r w:rsidRPr="00D74A4E">
        <w:rPr>
          <w:rFonts w:ascii="Arial" w:eastAsia="Arial" w:hAnsi="Arial" w:cs="Arial"/>
          <w:sz w:val="20"/>
          <w:szCs w:val="20"/>
          <w:lang w:val="en-GB"/>
        </w:rPr>
        <w:t>.</w:t>
      </w:r>
    </w:p>
    <w:p w14:paraId="5E718B42" w14:textId="77777777" w:rsidR="00220E60" w:rsidRPr="00D74A4E" w:rsidRDefault="00220E60" w:rsidP="00220E60">
      <w:pPr>
        <w:pStyle w:val="NoSpacing"/>
        <w:rPr>
          <w:rFonts w:ascii="Arial" w:hAnsi="Arial" w:cs="Arial"/>
          <w:sz w:val="20"/>
          <w:szCs w:val="20"/>
          <w:lang w:val="en-GB"/>
        </w:rPr>
      </w:pPr>
    </w:p>
    <w:p w14:paraId="44F84C2D" w14:textId="77777777" w:rsidR="00220E60" w:rsidRPr="00D74A4E" w:rsidRDefault="00220E60" w:rsidP="00220E60">
      <w:pPr>
        <w:pStyle w:val="NoSpacing"/>
        <w:rPr>
          <w:rFonts w:ascii="Arial" w:hAnsi="Arial" w:cs="Arial"/>
          <w:sz w:val="20"/>
          <w:szCs w:val="20"/>
          <w:lang w:val="en-GB"/>
        </w:rPr>
      </w:pPr>
      <w:r w:rsidRPr="00D74A4E">
        <w:rPr>
          <w:rFonts w:ascii="Arial" w:hAnsi="Arial" w:cs="Arial"/>
          <w:b/>
          <w:sz w:val="20"/>
          <w:szCs w:val="20"/>
          <w:lang w:val="en-GB"/>
        </w:rPr>
        <w:t>Conflicts of interest</w:t>
      </w:r>
      <w:r w:rsidRPr="00D74A4E">
        <w:rPr>
          <w:rFonts w:ascii="Arial" w:hAnsi="Arial" w:cs="Arial"/>
          <w:sz w:val="20"/>
          <w:szCs w:val="20"/>
          <w:lang w:val="en-GB"/>
        </w:rPr>
        <w:t xml:space="preserve">: The study was supported by </w:t>
      </w:r>
      <w:proofErr w:type="spellStart"/>
      <w:r w:rsidRPr="00D74A4E">
        <w:rPr>
          <w:rFonts w:ascii="Arial" w:hAnsi="Arial" w:cs="Arial"/>
          <w:sz w:val="20"/>
          <w:szCs w:val="20"/>
          <w:lang w:val="en-GB"/>
        </w:rPr>
        <w:t>BfArM</w:t>
      </w:r>
      <w:proofErr w:type="spellEnd"/>
      <w:r w:rsidRPr="00D74A4E">
        <w:rPr>
          <w:rFonts w:ascii="Arial" w:hAnsi="Arial" w:cs="Arial"/>
          <w:sz w:val="20"/>
          <w:szCs w:val="20"/>
          <w:lang w:val="en-GB"/>
        </w:rPr>
        <w:t xml:space="preserve">. The authors declare </w:t>
      </w:r>
      <w:r>
        <w:rPr>
          <w:rFonts w:ascii="Arial" w:hAnsi="Arial" w:cs="Arial"/>
          <w:sz w:val="20"/>
          <w:szCs w:val="20"/>
          <w:lang w:val="en-GB"/>
        </w:rPr>
        <w:t xml:space="preserve">they have </w:t>
      </w:r>
      <w:r w:rsidRPr="00D74A4E">
        <w:rPr>
          <w:rFonts w:ascii="Arial" w:hAnsi="Arial" w:cs="Arial"/>
          <w:sz w:val="20"/>
          <w:szCs w:val="20"/>
          <w:lang w:val="en-GB"/>
        </w:rPr>
        <w:t xml:space="preserve">no </w:t>
      </w:r>
      <w:r>
        <w:rPr>
          <w:rFonts w:ascii="Arial" w:hAnsi="Arial" w:cs="Arial"/>
          <w:sz w:val="20"/>
          <w:szCs w:val="20"/>
          <w:lang w:val="en-GB"/>
        </w:rPr>
        <w:t xml:space="preserve">other relevant </w:t>
      </w:r>
      <w:r w:rsidRPr="00D74A4E">
        <w:rPr>
          <w:rFonts w:ascii="Arial" w:hAnsi="Arial" w:cs="Arial"/>
          <w:sz w:val="20"/>
          <w:szCs w:val="20"/>
          <w:lang w:val="en-GB"/>
        </w:rPr>
        <w:t>conflict of interests.</w:t>
      </w:r>
    </w:p>
    <w:p w14:paraId="797F91A7" w14:textId="77777777" w:rsidR="00220E60" w:rsidRPr="00B54E43" w:rsidRDefault="00220E60" w:rsidP="00B54E43">
      <w:pPr>
        <w:pStyle w:val="NoSpacing"/>
        <w:rPr>
          <w:rFonts w:ascii="Arial" w:hAnsi="Arial" w:cs="Arial"/>
          <w:sz w:val="20"/>
          <w:szCs w:val="20"/>
          <w:lang w:val="en-GB"/>
        </w:rPr>
      </w:pPr>
    </w:p>
    <w:p w14:paraId="2B8E6A80" w14:textId="77777777" w:rsidR="00D01830" w:rsidRPr="008401BC" w:rsidRDefault="00D01830" w:rsidP="00D01830">
      <w:pPr>
        <w:spacing w:after="0" w:line="360" w:lineRule="auto"/>
        <w:rPr>
          <w:rFonts w:ascii="Arial" w:hAnsi="Arial" w:cs="Arial"/>
          <w:b/>
          <w:lang w:val="en-GB"/>
        </w:rPr>
      </w:pPr>
      <w:r w:rsidRPr="008401BC">
        <w:rPr>
          <w:rFonts w:ascii="Arial" w:hAnsi="Arial" w:cs="Arial"/>
          <w:b/>
          <w:lang w:val="en-GB"/>
        </w:rPr>
        <w:t>References</w:t>
      </w:r>
    </w:p>
    <w:p w14:paraId="11987562" w14:textId="77777777" w:rsidR="00D01830" w:rsidRPr="00591B0A" w:rsidRDefault="00D01830" w:rsidP="00D01830">
      <w:pPr>
        <w:ind w:left="567" w:hanging="567"/>
        <w:rPr>
          <w:rFonts w:ascii="Arial" w:hAnsi="Arial" w:cs="Arial"/>
          <w:sz w:val="20"/>
          <w:szCs w:val="20"/>
        </w:rPr>
      </w:pPr>
      <w:r w:rsidRPr="008401BC">
        <w:rPr>
          <w:rFonts w:ascii="Arial" w:hAnsi="Arial" w:cs="Arial"/>
          <w:sz w:val="20"/>
          <w:szCs w:val="20"/>
          <w:lang w:val="en-GB"/>
        </w:rPr>
        <w:t>1</w:t>
      </w:r>
      <w:r w:rsidRPr="008401BC">
        <w:rPr>
          <w:rFonts w:ascii="Arial" w:hAnsi="Arial" w:cs="Arial"/>
          <w:sz w:val="20"/>
          <w:szCs w:val="20"/>
          <w:lang w:val="en-GB"/>
        </w:rPr>
        <w:tab/>
      </w:r>
      <w:proofErr w:type="spellStart"/>
      <w:r w:rsidRPr="008401BC">
        <w:rPr>
          <w:rFonts w:ascii="Arial" w:hAnsi="Arial" w:cs="Arial"/>
          <w:sz w:val="20"/>
          <w:szCs w:val="20"/>
          <w:lang w:val="en-GB"/>
        </w:rPr>
        <w:t>Boeschen</w:t>
      </w:r>
      <w:proofErr w:type="spellEnd"/>
      <w:r w:rsidRPr="008401BC">
        <w:rPr>
          <w:rFonts w:ascii="Arial" w:hAnsi="Arial" w:cs="Arial"/>
          <w:sz w:val="20"/>
          <w:szCs w:val="20"/>
          <w:lang w:val="en-GB"/>
        </w:rPr>
        <w:t xml:space="preserve"> D, Günther J, </w:t>
      </w:r>
      <w:proofErr w:type="spellStart"/>
      <w:r w:rsidRPr="008401BC">
        <w:rPr>
          <w:rFonts w:ascii="Arial" w:hAnsi="Arial" w:cs="Arial"/>
          <w:sz w:val="20"/>
          <w:szCs w:val="20"/>
          <w:lang w:val="en-GB"/>
        </w:rPr>
        <w:t>Chytrek</w:t>
      </w:r>
      <w:proofErr w:type="spellEnd"/>
      <w:r w:rsidRPr="008401BC">
        <w:rPr>
          <w:rFonts w:ascii="Arial" w:hAnsi="Arial" w:cs="Arial"/>
          <w:sz w:val="20"/>
          <w:szCs w:val="20"/>
          <w:lang w:val="en-GB"/>
        </w:rPr>
        <w:t xml:space="preserve"> D, Schoch GG, </w:t>
      </w:r>
      <w:proofErr w:type="spellStart"/>
      <w:r w:rsidRPr="008401BC">
        <w:rPr>
          <w:rFonts w:ascii="Arial" w:hAnsi="Arial" w:cs="Arial"/>
          <w:sz w:val="20"/>
          <w:szCs w:val="20"/>
          <w:lang w:val="en-GB"/>
        </w:rPr>
        <w:t>Glaeske</w:t>
      </w:r>
      <w:proofErr w:type="spellEnd"/>
      <w:r w:rsidRPr="008401BC">
        <w:rPr>
          <w:rFonts w:ascii="Arial" w:hAnsi="Arial" w:cs="Arial"/>
          <w:sz w:val="20"/>
          <w:szCs w:val="20"/>
          <w:lang w:val="en-GB"/>
        </w:rPr>
        <w:t xml:space="preserve"> G. </w:t>
      </w:r>
      <w:proofErr w:type="spellStart"/>
      <w:r w:rsidRPr="008401BC">
        <w:rPr>
          <w:rFonts w:ascii="Arial" w:hAnsi="Arial" w:cs="Arial"/>
          <w:sz w:val="20"/>
          <w:szCs w:val="20"/>
          <w:lang w:val="en-GB"/>
        </w:rPr>
        <w:t>Pillenreport</w:t>
      </w:r>
      <w:proofErr w:type="spellEnd"/>
      <w:r w:rsidRPr="008401BC">
        <w:rPr>
          <w:rFonts w:ascii="Arial" w:hAnsi="Arial" w:cs="Arial"/>
          <w:sz w:val="20"/>
          <w:szCs w:val="20"/>
          <w:lang w:val="en-GB"/>
        </w:rPr>
        <w:t xml:space="preserve"> 2015. </w:t>
      </w:r>
      <w:r w:rsidRPr="00591B0A">
        <w:rPr>
          <w:rFonts w:ascii="Arial" w:hAnsi="Arial" w:cs="Arial"/>
          <w:sz w:val="20"/>
          <w:szCs w:val="20"/>
        </w:rPr>
        <w:t>Ein Statusbericht zu oralen Kontrazeptiva. Universität Bremen; 2015. 63 p..</w:t>
      </w:r>
    </w:p>
    <w:p w14:paraId="20DBD971" w14:textId="77777777" w:rsidR="00D01830" w:rsidRPr="00591B0A" w:rsidRDefault="00D01830" w:rsidP="00D01830">
      <w:pPr>
        <w:ind w:left="567" w:hanging="567"/>
        <w:rPr>
          <w:rFonts w:ascii="Arial" w:hAnsi="Arial" w:cs="Arial"/>
          <w:sz w:val="20"/>
          <w:szCs w:val="20"/>
          <w:lang w:val="en-GB"/>
        </w:rPr>
      </w:pPr>
      <w:r w:rsidRPr="00591B0A">
        <w:rPr>
          <w:rFonts w:ascii="Arial" w:hAnsi="Arial" w:cs="Arial"/>
          <w:sz w:val="20"/>
          <w:szCs w:val="20"/>
        </w:rPr>
        <w:t>2</w:t>
      </w:r>
      <w:r w:rsidRPr="00591B0A">
        <w:rPr>
          <w:rFonts w:ascii="Arial" w:hAnsi="Arial" w:cs="Arial"/>
          <w:sz w:val="20"/>
          <w:szCs w:val="20"/>
        </w:rPr>
        <w:tab/>
        <w:t xml:space="preserve">European Medicines Agency. </w:t>
      </w:r>
      <w:r w:rsidRPr="00591B0A">
        <w:rPr>
          <w:rFonts w:ascii="Arial" w:hAnsi="Arial" w:cs="Arial"/>
          <w:sz w:val="20"/>
          <w:szCs w:val="20"/>
          <w:lang w:val="en-GB"/>
        </w:rPr>
        <w:t>Assessment report for combined hormonal contraceptives containing medicinal products. Procedure under Article 31 of Directive 2001/83/EC, EMA/739865/2013; 16 January 2014. 32 p</w:t>
      </w:r>
    </w:p>
    <w:p w14:paraId="2D31774E" w14:textId="77777777" w:rsidR="00D01830" w:rsidRPr="00591B0A" w:rsidRDefault="00D01830" w:rsidP="00D01830">
      <w:pPr>
        <w:ind w:left="567" w:hanging="567"/>
        <w:rPr>
          <w:rFonts w:ascii="Arial" w:hAnsi="Arial" w:cs="Arial"/>
          <w:sz w:val="20"/>
          <w:szCs w:val="20"/>
        </w:rPr>
      </w:pPr>
      <w:r w:rsidRPr="00591B0A">
        <w:rPr>
          <w:rFonts w:ascii="Arial" w:hAnsi="Arial" w:cs="Arial"/>
          <w:sz w:val="20"/>
          <w:szCs w:val="20"/>
          <w:lang w:val="en-GB"/>
        </w:rPr>
        <w:lastRenderedPageBreak/>
        <w:t>3</w:t>
      </w:r>
      <w:r w:rsidRPr="00591B0A">
        <w:rPr>
          <w:rFonts w:ascii="Arial" w:hAnsi="Arial" w:cs="Arial"/>
          <w:sz w:val="20"/>
          <w:szCs w:val="20"/>
          <w:lang w:val="en-GB"/>
        </w:rPr>
        <w:tab/>
        <w:t xml:space="preserve">European Medicines Agency. Benefits of combined hormonal contraceptives (CHC) continue to outweigh risks. Product information updated to help women make informed decisions about their choice of contraception. </w:t>
      </w:r>
      <w:r w:rsidRPr="00591B0A">
        <w:rPr>
          <w:rFonts w:ascii="Arial" w:hAnsi="Arial" w:cs="Arial"/>
          <w:sz w:val="20"/>
          <w:szCs w:val="20"/>
        </w:rPr>
        <w:t>16</w:t>
      </w:r>
      <w:r w:rsidRPr="00591B0A">
        <w:rPr>
          <w:rFonts w:ascii="Arial" w:hAnsi="Arial" w:cs="Arial"/>
          <w:sz w:val="20"/>
          <w:szCs w:val="20"/>
          <w:vertAlign w:val="superscript"/>
        </w:rPr>
        <w:t>th</w:t>
      </w:r>
      <w:r w:rsidRPr="00591B0A">
        <w:rPr>
          <w:rFonts w:ascii="Arial" w:hAnsi="Arial" w:cs="Arial"/>
          <w:sz w:val="20"/>
          <w:szCs w:val="20"/>
        </w:rPr>
        <w:t xml:space="preserve"> Jan 2014 EMA 35464/2014.</w:t>
      </w:r>
    </w:p>
    <w:p w14:paraId="5DBAA81A" w14:textId="77777777" w:rsidR="00D01830" w:rsidRPr="00591B0A" w:rsidRDefault="00D01830" w:rsidP="00D01830">
      <w:pPr>
        <w:ind w:left="567" w:hanging="567"/>
        <w:rPr>
          <w:rFonts w:ascii="Arial" w:hAnsi="Arial" w:cs="Arial"/>
          <w:sz w:val="20"/>
          <w:szCs w:val="20"/>
        </w:rPr>
      </w:pPr>
      <w:r w:rsidRPr="00591B0A">
        <w:rPr>
          <w:rFonts w:ascii="Arial" w:hAnsi="Arial" w:cs="Arial"/>
          <w:sz w:val="20"/>
          <w:szCs w:val="20"/>
        </w:rPr>
        <w:t>4</w:t>
      </w:r>
      <w:r w:rsidRPr="00591B0A">
        <w:rPr>
          <w:rFonts w:ascii="Arial" w:hAnsi="Arial" w:cs="Arial"/>
          <w:sz w:val="20"/>
          <w:szCs w:val="20"/>
        </w:rPr>
        <w:tab/>
        <w:t>Bundesinstitut für Arzneimittel und Medizinprodukte. Abwehr von Gefahren durch Arzneimittel. Hier: Umsetzung des Durchführungsbeschlusses der Kommission K (2014)307 betreffend die Zulassung der Humanarzneimittel „Kombinierte hormonale Kontrazeptiva“ gemäß Artikel 31 der Richtlinie 2001/83/EG (KHK-Bescheid an pharmazeutische Unternehmer) https://www.bfarm.de/SharedDocs/Downloads/DE/Arzneimittel/Pharmakovigilanz/Risikoinformationen/RisikoBewVerf/g-l/khk_bescheid.pdf?__blob=publicationFile&amp;v=2 (last accessed 5</w:t>
      </w:r>
      <w:r w:rsidRPr="00591B0A">
        <w:rPr>
          <w:rFonts w:ascii="Arial" w:hAnsi="Arial" w:cs="Arial"/>
          <w:sz w:val="20"/>
          <w:szCs w:val="20"/>
          <w:vertAlign w:val="superscript"/>
        </w:rPr>
        <w:t>th</w:t>
      </w:r>
      <w:r w:rsidRPr="00591B0A">
        <w:rPr>
          <w:rFonts w:ascii="Arial" w:hAnsi="Arial" w:cs="Arial"/>
          <w:sz w:val="20"/>
          <w:szCs w:val="20"/>
        </w:rPr>
        <w:t xml:space="preserve"> Nov 2017).</w:t>
      </w:r>
    </w:p>
    <w:p w14:paraId="5CCFD332" w14:textId="77777777" w:rsidR="00D01830" w:rsidRPr="00591B0A" w:rsidRDefault="00D01830" w:rsidP="00D01830">
      <w:pPr>
        <w:ind w:left="567" w:hanging="567"/>
        <w:rPr>
          <w:rFonts w:ascii="Arial" w:hAnsi="Arial" w:cs="Arial"/>
          <w:sz w:val="20"/>
          <w:szCs w:val="20"/>
          <w:lang w:val="en-GB"/>
        </w:rPr>
      </w:pPr>
      <w:r w:rsidRPr="00591B0A">
        <w:rPr>
          <w:rFonts w:ascii="Arial" w:hAnsi="Arial" w:cs="Arial"/>
          <w:sz w:val="20"/>
          <w:szCs w:val="20"/>
        </w:rPr>
        <w:t>5</w:t>
      </w:r>
      <w:r w:rsidRPr="00591B0A">
        <w:rPr>
          <w:rFonts w:ascii="Arial" w:hAnsi="Arial" w:cs="Arial"/>
          <w:sz w:val="20"/>
          <w:szCs w:val="20"/>
        </w:rPr>
        <w:tab/>
        <w:t xml:space="preserve">Bundesinstitut für Arzneimittel und Medizinprodukte. </w:t>
      </w:r>
      <w:proofErr w:type="spellStart"/>
      <w:r w:rsidRPr="00591B0A">
        <w:rPr>
          <w:rFonts w:ascii="Arial" w:hAnsi="Arial" w:cs="Arial"/>
          <w:sz w:val="20"/>
          <w:szCs w:val="20"/>
          <w:lang w:val="en-GB"/>
        </w:rPr>
        <w:t>Patienteninformation</w:t>
      </w:r>
      <w:proofErr w:type="spellEnd"/>
      <w:r w:rsidRPr="00591B0A">
        <w:rPr>
          <w:rFonts w:ascii="Arial" w:hAnsi="Arial" w:cs="Arial"/>
          <w:sz w:val="20"/>
          <w:szCs w:val="20"/>
          <w:lang w:val="en-GB"/>
        </w:rPr>
        <w:t xml:space="preserve"> https://www.bfarm.de/SharedDocs/Downloads/DE/Arzneimittel/Pharmakovigilanz/Risikoinformationen/RI_rhb/2014/rhb-khk-pi-card.pdf?__blob=publicationFile&amp;v=3</w:t>
      </w:r>
      <w:r w:rsidRPr="00591B0A">
        <w:rPr>
          <w:rStyle w:val="Hyperlink"/>
          <w:rFonts w:ascii="Arial" w:hAnsi="Arial" w:cs="Arial"/>
          <w:color w:val="auto"/>
          <w:sz w:val="20"/>
          <w:szCs w:val="20"/>
          <w:lang w:val="en-GB"/>
        </w:rPr>
        <w:t xml:space="preserve"> (</w:t>
      </w:r>
      <w:r w:rsidRPr="00591B0A">
        <w:rPr>
          <w:rStyle w:val="Hyperlink"/>
          <w:rFonts w:ascii="Arial" w:hAnsi="Arial" w:cs="Arial"/>
          <w:color w:val="auto"/>
          <w:sz w:val="20"/>
          <w:szCs w:val="20"/>
          <w:u w:val="none"/>
          <w:lang w:val="en-GB"/>
        </w:rPr>
        <w:t>last accessed 5</w:t>
      </w:r>
      <w:r w:rsidRPr="00591B0A">
        <w:rPr>
          <w:rStyle w:val="Hyperlink"/>
          <w:rFonts w:ascii="Arial" w:hAnsi="Arial" w:cs="Arial"/>
          <w:color w:val="auto"/>
          <w:sz w:val="20"/>
          <w:szCs w:val="20"/>
          <w:u w:val="none"/>
          <w:vertAlign w:val="superscript"/>
          <w:lang w:val="en-GB"/>
        </w:rPr>
        <w:t>th</w:t>
      </w:r>
      <w:r w:rsidRPr="00591B0A">
        <w:rPr>
          <w:rStyle w:val="Hyperlink"/>
          <w:rFonts w:ascii="Arial" w:hAnsi="Arial" w:cs="Arial"/>
          <w:color w:val="auto"/>
          <w:sz w:val="20"/>
          <w:szCs w:val="20"/>
          <w:u w:val="none"/>
          <w:lang w:val="en-GB"/>
        </w:rPr>
        <w:t xml:space="preserve"> Nov 2017)</w:t>
      </w:r>
    </w:p>
    <w:p w14:paraId="2BE618A1" w14:textId="77777777" w:rsidR="00D01830" w:rsidRPr="00591B0A" w:rsidRDefault="00D01830" w:rsidP="00D01830">
      <w:pPr>
        <w:ind w:left="567" w:hanging="567"/>
        <w:rPr>
          <w:rFonts w:ascii="Arial" w:hAnsi="Arial" w:cs="Arial"/>
          <w:sz w:val="20"/>
          <w:szCs w:val="20"/>
        </w:rPr>
      </w:pPr>
      <w:r w:rsidRPr="00591B0A">
        <w:rPr>
          <w:rFonts w:ascii="Arial" w:hAnsi="Arial" w:cs="Arial"/>
          <w:sz w:val="20"/>
          <w:szCs w:val="20"/>
          <w:lang w:val="en-GB"/>
        </w:rPr>
        <w:t>6</w:t>
      </w:r>
      <w:r w:rsidRPr="00591B0A">
        <w:rPr>
          <w:rFonts w:ascii="Arial" w:hAnsi="Arial" w:cs="Arial"/>
          <w:sz w:val="20"/>
          <w:szCs w:val="20"/>
          <w:lang w:val="en-GB"/>
        </w:rPr>
        <w:tab/>
        <w:t>Rote Hand Brief of 30</w:t>
      </w:r>
      <w:r w:rsidRPr="00591B0A">
        <w:rPr>
          <w:rFonts w:ascii="Arial" w:hAnsi="Arial" w:cs="Arial"/>
          <w:sz w:val="20"/>
          <w:szCs w:val="20"/>
          <w:vertAlign w:val="superscript"/>
          <w:lang w:val="en-GB"/>
        </w:rPr>
        <w:t>th</w:t>
      </w:r>
      <w:r w:rsidRPr="00591B0A">
        <w:rPr>
          <w:rFonts w:ascii="Arial" w:hAnsi="Arial" w:cs="Arial"/>
          <w:sz w:val="20"/>
          <w:szCs w:val="20"/>
          <w:lang w:val="en-GB"/>
        </w:rPr>
        <w:t xml:space="preserve"> Jan 2014. </w:t>
      </w:r>
      <w:r w:rsidRPr="00591B0A">
        <w:rPr>
          <w:rFonts w:ascii="Arial" w:hAnsi="Arial" w:cs="Arial"/>
          <w:sz w:val="20"/>
          <w:szCs w:val="20"/>
        </w:rPr>
        <w:t>Kombinierte hormonale Kontrazeptiva: Unterschiede hinsichtlich des Thromboembolierisikos verschiedener Präparate, Bedeutung von individuellen Risikofaktoren und Beachtung von Anzeichen und Symptomen. https://www.bfarm.de/SharedDocs/Risikoinformationen/Pharmakovigilanz/DE/RHB/2014/rhb-khk.pdf?__blob=publicationFile&amp;v=7 (last accessed 5</w:t>
      </w:r>
      <w:r w:rsidRPr="00591B0A">
        <w:rPr>
          <w:rFonts w:ascii="Arial" w:hAnsi="Arial" w:cs="Arial"/>
          <w:sz w:val="20"/>
          <w:szCs w:val="20"/>
          <w:vertAlign w:val="superscript"/>
        </w:rPr>
        <w:t>th</w:t>
      </w:r>
      <w:r w:rsidRPr="00591B0A">
        <w:rPr>
          <w:rFonts w:ascii="Arial" w:hAnsi="Arial" w:cs="Arial"/>
          <w:sz w:val="20"/>
          <w:szCs w:val="20"/>
        </w:rPr>
        <w:t xml:space="preserve"> Nov 2017).</w:t>
      </w:r>
    </w:p>
    <w:p w14:paraId="354BAECF" w14:textId="05C8B493" w:rsidR="00D01830" w:rsidRPr="00591B0A" w:rsidRDefault="00D01830" w:rsidP="00D01830">
      <w:pPr>
        <w:ind w:left="567" w:hanging="567"/>
        <w:rPr>
          <w:rFonts w:ascii="Arial" w:hAnsi="Arial" w:cs="Arial"/>
          <w:sz w:val="20"/>
          <w:szCs w:val="20"/>
          <w:lang w:val="en-GB"/>
        </w:rPr>
      </w:pPr>
      <w:r w:rsidRPr="00591B0A">
        <w:rPr>
          <w:rFonts w:ascii="Arial" w:hAnsi="Arial" w:cs="Arial"/>
          <w:sz w:val="20"/>
          <w:szCs w:val="20"/>
        </w:rPr>
        <w:t>7</w:t>
      </w:r>
      <w:r w:rsidRPr="00591B0A">
        <w:rPr>
          <w:rFonts w:ascii="Arial" w:hAnsi="Arial" w:cs="Arial"/>
          <w:sz w:val="20"/>
          <w:szCs w:val="20"/>
        </w:rPr>
        <w:tab/>
        <w:t xml:space="preserve">de Bastos M, Stegeman BH, Rosendaal FR, Van Hylckama Vlieg A, Helmerhorst FM, Stijnen T, Dekkers OM. </w:t>
      </w:r>
      <w:r w:rsidRPr="00591B0A">
        <w:rPr>
          <w:rFonts w:ascii="Arial" w:hAnsi="Arial" w:cs="Arial"/>
          <w:sz w:val="20"/>
          <w:szCs w:val="20"/>
          <w:lang w:val="en-GB"/>
        </w:rPr>
        <w:t>Combined oral contraceptives: venous thrombosis (Review). Cochrane Database of Systematic Reviews 2014, Issue 3. Art. No.: CD010813.</w:t>
      </w:r>
    </w:p>
    <w:p w14:paraId="337DF844" w14:textId="797A16D2" w:rsidR="00D01830" w:rsidRPr="008401BC" w:rsidRDefault="00D01830" w:rsidP="00D01830">
      <w:pPr>
        <w:ind w:left="567" w:hanging="567"/>
        <w:rPr>
          <w:rFonts w:ascii="Arial" w:hAnsi="Arial" w:cs="Arial"/>
          <w:sz w:val="20"/>
          <w:szCs w:val="20"/>
        </w:rPr>
      </w:pPr>
      <w:r w:rsidRPr="00591B0A">
        <w:rPr>
          <w:rFonts w:ascii="Arial" w:hAnsi="Arial" w:cs="Arial"/>
          <w:sz w:val="20"/>
          <w:szCs w:val="20"/>
          <w:lang w:val="en-GB"/>
        </w:rPr>
        <w:t xml:space="preserve">8 </w:t>
      </w:r>
      <w:r w:rsidRPr="00591B0A">
        <w:rPr>
          <w:rFonts w:ascii="Arial" w:hAnsi="Arial" w:cs="Arial"/>
          <w:sz w:val="20"/>
          <w:szCs w:val="20"/>
          <w:lang w:val="en-GB"/>
        </w:rPr>
        <w:tab/>
      </w:r>
      <w:proofErr w:type="spellStart"/>
      <w:r w:rsidRPr="00591B0A">
        <w:rPr>
          <w:rFonts w:ascii="Arial" w:hAnsi="Arial" w:cs="Arial"/>
          <w:sz w:val="20"/>
          <w:szCs w:val="20"/>
          <w:lang w:val="en-GB"/>
        </w:rPr>
        <w:t>Vinogradova</w:t>
      </w:r>
      <w:proofErr w:type="spellEnd"/>
      <w:r w:rsidRPr="00591B0A">
        <w:rPr>
          <w:rFonts w:ascii="Arial" w:hAnsi="Arial" w:cs="Arial"/>
          <w:sz w:val="20"/>
          <w:szCs w:val="20"/>
          <w:lang w:val="en-GB"/>
        </w:rPr>
        <w:t xml:space="preserve"> Y, Coupland C, </w:t>
      </w:r>
      <w:proofErr w:type="spellStart"/>
      <w:r w:rsidRPr="00591B0A">
        <w:rPr>
          <w:rFonts w:ascii="Arial" w:hAnsi="Arial" w:cs="Arial"/>
          <w:sz w:val="20"/>
          <w:szCs w:val="20"/>
          <w:lang w:val="en-GB"/>
        </w:rPr>
        <w:t>Hippisley</w:t>
      </w:r>
      <w:proofErr w:type="spellEnd"/>
      <w:r w:rsidRPr="00591B0A">
        <w:rPr>
          <w:rFonts w:ascii="Arial" w:hAnsi="Arial" w:cs="Arial"/>
          <w:sz w:val="20"/>
          <w:szCs w:val="20"/>
          <w:lang w:val="en-GB"/>
        </w:rPr>
        <w:t xml:space="preserve">-Cox J. Use of combined oral contraceptives and risk of venous thromboembolism. nested case-control studies using the </w:t>
      </w:r>
      <w:proofErr w:type="spellStart"/>
      <w:r w:rsidRPr="00591B0A">
        <w:rPr>
          <w:rFonts w:ascii="Arial" w:hAnsi="Arial" w:cs="Arial"/>
          <w:sz w:val="20"/>
          <w:szCs w:val="20"/>
          <w:lang w:val="en-GB"/>
        </w:rPr>
        <w:t>QResearch</w:t>
      </w:r>
      <w:proofErr w:type="spellEnd"/>
      <w:r w:rsidRPr="00591B0A">
        <w:rPr>
          <w:rFonts w:ascii="Arial" w:hAnsi="Arial" w:cs="Arial"/>
          <w:sz w:val="20"/>
          <w:szCs w:val="20"/>
          <w:lang w:val="en-GB"/>
        </w:rPr>
        <w:t xml:space="preserve"> and CPRD databases. </w:t>
      </w:r>
      <w:r w:rsidRPr="008401BC">
        <w:rPr>
          <w:rFonts w:ascii="Arial" w:hAnsi="Arial" w:cs="Arial"/>
          <w:sz w:val="20"/>
          <w:szCs w:val="20"/>
        </w:rPr>
        <w:t>BMJ 2015;350:h2135.</w:t>
      </w:r>
    </w:p>
    <w:p w14:paraId="02AA23F8" w14:textId="77777777" w:rsidR="00D01830" w:rsidRPr="008401BC" w:rsidRDefault="00D01830" w:rsidP="00D01830">
      <w:pPr>
        <w:ind w:left="567" w:hanging="567"/>
        <w:rPr>
          <w:rFonts w:ascii="Arial" w:hAnsi="Arial" w:cs="Arial"/>
          <w:sz w:val="20"/>
          <w:szCs w:val="20"/>
        </w:rPr>
      </w:pPr>
      <w:r w:rsidRPr="00591B0A">
        <w:rPr>
          <w:rFonts w:ascii="Arial" w:hAnsi="Arial" w:cs="Arial"/>
          <w:sz w:val="20"/>
          <w:szCs w:val="20"/>
        </w:rPr>
        <w:t>9</w:t>
      </w:r>
      <w:r w:rsidRPr="00591B0A">
        <w:rPr>
          <w:rFonts w:ascii="Arial" w:hAnsi="Arial" w:cs="Arial"/>
          <w:sz w:val="20"/>
          <w:szCs w:val="20"/>
        </w:rPr>
        <w:tab/>
        <w:t xml:space="preserve">Glaeske G, Schicktanz C. BARMER-GEK Arzneimittelreport 2011. Auswertungsergebnisse der BARMER GEK Arzneimitteldaten aus den Jahren 2009 bis 2010. </w:t>
      </w:r>
      <w:r w:rsidRPr="008401BC">
        <w:rPr>
          <w:rFonts w:ascii="Arial" w:hAnsi="Arial" w:cs="Arial"/>
          <w:sz w:val="20"/>
          <w:szCs w:val="20"/>
        </w:rPr>
        <w:t>Schriftenreihe zur Gesundheitsanalyse. Band 8. Asgard Verlag, St. Augustin, 2011. 187p</w:t>
      </w:r>
    </w:p>
    <w:p w14:paraId="54329DB6" w14:textId="77777777" w:rsidR="00D01830" w:rsidRPr="00591B0A" w:rsidRDefault="00D01830" w:rsidP="00D01830">
      <w:pPr>
        <w:ind w:left="567" w:hanging="567"/>
        <w:rPr>
          <w:rFonts w:ascii="Arial" w:hAnsi="Arial" w:cs="Arial"/>
          <w:sz w:val="20"/>
          <w:szCs w:val="20"/>
          <w:lang w:val="en-GB"/>
        </w:rPr>
      </w:pPr>
      <w:r w:rsidRPr="008401BC">
        <w:rPr>
          <w:rFonts w:ascii="Arial" w:hAnsi="Arial" w:cs="Arial"/>
          <w:sz w:val="20"/>
          <w:szCs w:val="20"/>
        </w:rPr>
        <w:t>10</w:t>
      </w:r>
      <w:r w:rsidRPr="008401BC">
        <w:rPr>
          <w:rFonts w:ascii="Arial" w:hAnsi="Arial" w:cs="Arial"/>
          <w:sz w:val="20"/>
          <w:szCs w:val="20"/>
        </w:rPr>
        <w:tab/>
        <w:t xml:space="preserve">Lemaitre M, Lastennet G, Syr D, Emmerich J, Zureik M. Impact of the 2013 French Pill Crisis on Women’s Behaviour Regarding Contraception. </w:t>
      </w:r>
      <w:r w:rsidRPr="00591B0A">
        <w:rPr>
          <w:rFonts w:ascii="Arial" w:hAnsi="Arial" w:cs="Arial"/>
          <w:sz w:val="20"/>
          <w:szCs w:val="20"/>
          <w:lang w:val="en-GB"/>
        </w:rPr>
        <w:t xml:space="preserve">Drugs – Real World Outcomes </w:t>
      </w:r>
      <w:proofErr w:type="gramStart"/>
      <w:r w:rsidRPr="00591B0A">
        <w:rPr>
          <w:rFonts w:ascii="Arial" w:hAnsi="Arial" w:cs="Arial"/>
          <w:sz w:val="20"/>
          <w:szCs w:val="20"/>
          <w:lang w:val="en-GB"/>
        </w:rPr>
        <w:t>2015;2:13</w:t>
      </w:r>
      <w:proofErr w:type="gramEnd"/>
      <w:r w:rsidRPr="00591B0A">
        <w:rPr>
          <w:rFonts w:ascii="Arial" w:hAnsi="Arial" w:cs="Arial"/>
          <w:sz w:val="20"/>
          <w:szCs w:val="20"/>
          <w:lang w:val="en-GB"/>
        </w:rPr>
        <w:t xml:space="preserve">–22. </w:t>
      </w:r>
    </w:p>
    <w:p w14:paraId="34D926F0" w14:textId="7FC40E9D" w:rsidR="00D01830" w:rsidRPr="00591B0A" w:rsidRDefault="00D01830" w:rsidP="00D01830">
      <w:pPr>
        <w:ind w:left="567" w:hanging="567"/>
        <w:rPr>
          <w:rFonts w:ascii="Arial" w:hAnsi="Arial" w:cs="Arial"/>
          <w:sz w:val="20"/>
          <w:szCs w:val="20"/>
          <w:lang w:val="en-GB"/>
        </w:rPr>
      </w:pPr>
      <w:r w:rsidRPr="00591B0A">
        <w:rPr>
          <w:rFonts w:ascii="Arial" w:hAnsi="Arial" w:cs="Arial"/>
          <w:sz w:val="20"/>
          <w:szCs w:val="20"/>
          <w:lang w:val="en-GB"/>
        </w:rPr>
        <w:t>11</w:t>
      </w:r>
      <w:r w:rsidRPr="00591B0A">
        <w:rPr>
          <w:rFonts w:ascii="Arial" w:hAnsi="Arial" w:cs="Arial"/>
          <w:sz w:val="20"/>
          <w:szCs w:val="20"/>
          <w:lang w:val="en-GB"/>
        </w:rPr>
        <w:tab/>
      </w:r>
      <w:proofErr w:type="spellStart"/>
      <w:r w:rsidRPr="00591B0A">
        <w:rPr>
          <w:rFonts w:ascii="Arial" w:hAnsi="Arial" w:cs="Arial"/>
          <w:sz w:val="20"/>
          <w:szCs w:val="20"/>
          <w:lang w:val="en-GB"/>
        </w:rPr>
        <w:t>Rashed</w:t>
      </w:r>
      <w:proofErr w:type="spellEnd"/>
      <w:r w:rsidRPr="00591B0A">
        <w:rPr>
          <w:rFonts w:ascii="Arial" w:hAnsi="Arial" w:cs="Arial"/>
          <w:sz w:val="20"/>
          <w:szCs w:val="20"/>
          <w:lang w:val="en-GB"/>
        </w:rPr>
        <w:t xml:space="preserve"> AN, Hsia Y, Wilton L, </w:t>
      </w:r>
      <w:proofErr w:type="spellStart"/>
      <w:r w:rsidRPr="00591B0A">
        <w:rPr>
          <w:rFonts w:ascii="Arial" w:hAnsi="Arial" w:cs="Arial"/>
          <w:sz w:val="20"/>
          <w:szCs w:val="20"/>
          <w:lang w:val="en-GB"/>
        </w:rPr>
        <w:t>Ziller</w:t>
      </w:r>
      <w:proofErr w:type="spellEnd"/>
      <w:r w:rsidRPr="00591B0A">
        <w:rPr>
          <w:rFonts w:ascii="Arial" w:hAnsi="Arial" w:cs="Arial"/>
          <w:sz w:val="20"/>
          <w:szCs w:val="20"/>
          <w:lang w:val="en-GB"/>
        </w:rPr>
        <w:t xml:space="preserve"> </w:t>
      </w:r>
      <w:proofErr w:type="gramStart"/>
      <w:r w:rsidRPr="00591B0A">
        <w:rPr>
          <w:rFonts w:ascii="Arial" w:hAnsi="Arial" w:cs="Arial"/>
          <w:sz w:val="20"/>
          <w:szCs w:val="20"/>
          <w:lang w:val="en-GB"/>
        </w:rPr>
        <w:t xml:space="preserve">M,  </w:t>
      </w:r>
      <w:proofErr w:type="spellStart"/>
      <w:r w:rsidRPr="00591B0A">
        <w:rPr>
          <w:rFonts w:ascii="Arial" w:hAnsi="Arial" w:cs="Arial"/>
          <w:sz w:val="20"/>
          <w:szCs w:val="20"/>
          <w:lang w:val="en-GB"/>
        </w:rPr>
        <w:t>Kostev</w:t>
      </w:r>
      <w:proofErr w:type="spellEnd"/>
      <w:proofErr w:type="gramEnd"/>
      <w:r w:rsidRPr="00591B0A">
        <w:rPr>
          <w:rFonts w:ascii="Arial" w:hAnsi="Arial" w:cs="Arial"/>
          <w:sz w:val="20"/>
          <w:szCs w:val="20"/>
          <w:lang w:val="en-GB"/>
        </w:rPr>
        <w:t xml:space="preserve"> K, Tomlin S. Trends and patterns of hormonal contraceptive prescribing for adolescents in primary care in the U.K. J Fam </w:t>
      </w:r>
      <w:proofErr w:type="spellStart"/>
      <w:r w:rsidRPr="00591B0A">
        <w:rPr>
          <w:rFonts w:ascii="Arial" w:hAnsi="Arial" w:cs="Arial"/>
          <w:sz w:val="20"/>
          <w:szCs w:val="20"/>
          <w:lang w:val="en-GB"/>
        </w:rPr>
        <w:t>Plann</w:t>
      </w:r>
      <w:proofErr w:type="spellEnd"/>
      <w:r w:rsidRPr="00591B0A">
        <w:rPr>
          <w:rFonts w:ascii="Arial" w:hAnsi="Arial" w:cs="Arial"/>
          <w:sz w:val="20"/>
          <w:szCs w:val="20"/>
          <w:lang w:val="en-GB"/>
        </w:rPr>
        <w:t xml:space="preserve"> </w:t>
      </w:r>
      <w:proofErr w:type="spellStart"/>
      <w:r w:rsidRPr="00591B0A">
        <w:rPr>
          <w:rFonts w:ascii="Arial" w:hAnsi="Arial" w:cs="Arial"/>
          <w:sz w:val="20"/>
          <w:szCs w:val="20"/>
          <w:lang w:val="en-GB"/>
        </w:rPr>
        <w:t>Reprod</w:t>
      </w:r>
      <w:proofErr w:type="spellEnd"/>
      <w:r w:rsidRPr="00591B0A">
        <w:rPr>
          <w:rFonts w:ascii="Arial" w:hAnsi="Arial" w:cs="Arial"/>
          <w:sz w:val="20"/>
          <w:szCs w:val="20"/>
          <w:lang w:val="en-GB"/>
        </w:rPr>
        <w:t xml:space="preserve"> Health Care 2015;41:216–222 </w:t>
      </w:r>
    </w:p>
    <w:p w14:paraId="09B78B2D" w14:textId="013BD89C" w:rsidR="00D01830" w:rsidRPr="00591B0A" w:rsidRDefault="00D01830" w:rsidP="00D01830">
      <w:pPr>
        <w:ind w:left="567" w:hanging="567"/>
        <w:rPr>
          <w:rFonts w:ascii="Arial" w:hAnsi="Arial" w:cs="Arial"/>
          <w:sz w:val="20"/>
          <w:szCs w:val="20"/>
          <w:lang w:val="en-GB"/>
        </w:rPr>
      </w:pPr>
      <w:r w:rsidRPr="00591B0A">
        <w:rPr>
          <w:rFonts w:ascii="Arial" w:hAnsi="Arial" w:cs="Arial"/>
          <w:sz w:val="20"/>
          <w:szCs w:val="20"/>
          <w:lang w:val="en-GB"/>
        </w:rPr>
        <w:t>12</w:t>
      </w:r>
      <w:r w:rsidRPr="00591B0A">
        <w:rPr>
          <w:rFonts w:ascii="Arial" w:hAnsi="Arial" w:cs="Arial"/>
          <w:sz w:val="20"/>
          <w:szCs w:val="20"/>
          <w:lang w:val="en-GB"/>
        </w:rPr>
        <w:tab/>
      </w:r>
      <w:proofErr w:type="spellStart"/>
      <w:r w:rsidRPr="00591B0A">
        <w:rPr>
          <w:rFonts w:ascii="Arial" w:hAnsi="Arial" w:cs="Arial"/>
          <w:sz w:val="20"/>
          <w:szCs w:val="20"/>
          <w:lang w:val="en-GB"/>
        </w:rPr>
        <w:t>Løkkegaard</w:t>
      </w:r>
      <w:proofErr w:type="spellEnd"/>
      <w:r w:rsidRPr="00591B0A">
        <w:rPr>
          <w:rFonts w:ascii="Arial" w:hAnsi="Arial" w:cs="Arial"/>
          <w:sz w:val="20"/>
          <w:szCs w:val="20"/>
          <w:lang w:val="en-GB"/>
        </w:rPr>
        <w:t xml:space="preserve"> E, Nielsen AK Adolescent girls in Denmark use oral contraceptives at an increasingly young age, and with more pauses and shifts. Dan Med J 2014; 61/10:</w:t>
      </w:r>
      <w:r w:rsidR="00591B0A" w:rsidRPr="00591B0A">
        <w:rPr>
          <w:rFonts w:ascii="Arial" w:hAnsi="Arial" w:cs="Arial"/>
          <w:sz w:val="20"/>
          <w:szCs w:val="20"/>
          <w:lang w:val="en-GB"/>
        </w:rPr>
        <w:t xml:space="preserve"> </w:t>
      </w:r>
      <w:r w:rsidRPr="00591B0A">
        <w:rPr>
          <w:rFonts w:ascii="Arial" w:hAnsi="Arial" w:cs="Arial"/>
          <w:sz w:val="20"/>
          <w:szCs w:val="20"/>
          <w:lang w:val="en-GB"/>
        </w:rPr>
        <w:t>A4936.</w:t>
      </w:r>
    </w:p>
    <w:p w14:paraId="6162E37C" w14:textId="77777777" w:rsidR="00D01830" w:rsidRPr="00591B0A" w:rsidRDefault="00D01830" w:rsidP="00D01830">
      <w:pPr>
        <w:ind w:left="567" w:hanging="567"/>
        <w:rPr>
          <w:rFonts w:ascii="Arial" w:hAnsi="Arial" w:cs="Arial"/>
          <w:sz w:val="20"/>
          <w:szCs w:val="20"/>
        </w:rPr>
      </w:pPr>
      <w:r w:rsidRPr="00591B0A">
        <w:rPr>
          <w:rFonts w:ascii="Arial" w:hAnsi="Arial" w:cs="Arial"/>
          <w:sz w:val="20"/>
          <w:szCs w:val="20"/>
          <w:lang w:val="en-GB"/>
        </w:rPr>
        <w:t>13</w:t>
      </w:r>
      <w:r w:rsidRPr="00591B0A">
        <w:rPr>
          <w:rFonts w:ascii="Arial" w:hAnsi="Arial" w:cs="Arial"/>
          <w:sz w:val="20"/>
          <w:szCs w:val="20"/>
          <w:lang w:val="en-GB"/>
        </w:rPr>
        <w:tab/>
      </w:r>
      <w:proofErr w:type="spellStart"/>
      <w:r w:rsidRPr="00591B0A">
        <w:rPr>
          <w:rFonts w:ascii="Arial" w:hAnsi="Arial" w:cs="Arial"/>
          <w:sz w:val="20"/>
          <w:szCs w:val="20"/>
          <w:lang w:val="en-GB"/>
        </w:rPr>
        <w:t>O’Mahony</w:t>
      </w:r>
      <w:proofErr w:type="spellEnd"/>
      <w:r w:rsidRPr="00591B0A">
        <w:rPr>
          <w:rFonts w:ascii="Arial" w:hAnsi="Arial" w:cs="Arial"/>
          <w:sz w:val="20"/>
          <w:szCs w:val="20"/>
          <w:lang w:val="en-GB"/>
        </w:rPr>
        <w:t xml:space="preserve"> L, Liddy AM, Barry M. Bennett K. Hormonal contraceptives use in Ireland: trends and co-prescribing practices. </w:t>
      </w:r>
      <w:r w:rsidRPr="00591B0A">
        <w:rPr>
          <w:rFonts w:ascii="Arial" w:hAnsi="Arial" w:cs="Arial"/>
          <w:sz w:val="20"/>
          <w:szCs w:val="20"/>
        </w:rPr>
        <w:t>Br J Clin Pharmacol, 2015:80(6):1315–23.</w:t>
      </w:r>
    </w:p>
    <w:p w14:paraId="29BDF759" w14:textId="77777777" w:rsidR="00D01830" w:rsidRPr="00591B0A" w:rsidRDefault="00D01830" w:rsidP="00D01830">
      <w:pPr>
        <w:ind w:left="567" w:hanging="567"/>
        <w:rPr>
          <w:rFonts w:ascii="Arial" w:hAnsi="Arial" w:cs="Arial"/>
          <w:sz w:val="20"/>
          <w:szCs w:val="20"/>
        </w:rPr>
      </w:pPr>
      <w:r w:rsidRPr="00591B0A">
        <w:rPr>
          <w:rFonts w:ascii="Arial" w:hAnsi="Arial" w:cs="Arial"/>
          <w:sz w:val="20"/>
          <w:szCs w:val="20"/>
        </w:rPr>
        <w:t>14</w:t>
      </w:r>
      <w:r w:rsidRPr="00591B0A">
        <w:rPr>
          <w:rFonts w:ascii="Arial" w:hAnsi="Arial" w:cs="Arial"/>
          <w:sz w:val="20"/>
          <w:szCs w:val="20"/>
        </w:rPr>
        <w:tab/>
        <w:t>Arzneimittelkommission der deutschen Ärzteschaft: UAW News International. Bei der Verschreibung von kombinierten hormonalen Kontrazeptiva sollte das Risiko für thromboembolische Ereignisse berücksichtigt werden. Dtsch Arztebl 2014; 111(37): A-1533.</w:t>
      </w:r>
    </w:p>
    <w:p w14:paraId="77C6C900" w14:textId="77777777" w:rsidR="00D01830" w:rsidRPr="00591B0A" w:rsidRDefault="00D01830" w:rsidP="00D01830">
      <w:pPr>
        <w:ind w:left="567" w:hanging="567"/>
        <w:rPr>
          <w:rFonts w:ascii="Arial" w:hAnsi="Arial" w:cs="Arial"/>
          <w:sz w:val="20"/>
          <w:szCs w:val="20"/>
        </w:rPr>
      </w:pPr>
      <w:r w:rsidRPr="00591B0A">
        <w:rPr>
          <w:rFonts w:ascii="Arial" w:hAnsi="Arial" w:cs="Arial"/>
          <w:sz w:val="20"/>
          <w:szCs w:val="20"/>
        </w:rPr>
        <w:t>15</w:t>
      </w:r>
      <w:r w:rsidRPr="00591B0A">
        <w:rPr>
          <w:rFonts w:ascii="Arial" w:hAnsi="Arial" w:cs="Arial"/>
          <w:sz w:val="20"/>
          <w:szCs w:val="20"/>
        </w:rPr>
        <w:tab/>
        <w:t>Bundesinstitut für Arzneimittel und Medizinprodukte. Checkliste für die Verschreibung kombinierter hormonaler Kontrazeptiva. https://www.bfarm.de/SharedDocs/Risikoinformationen/Pharmakovigilanz/DE/RHB/2014/rhb-khk.pdf. (last accessed 5</w:t>
      </w:r>
      <w:r w:rsidRPr="00591B0A">
        <w:rPr>
          <w:rFonts w:ascii="Arial" w:hAnsi="Arial" w:cs="Arial"/>
          <w:sz w:val="20"/>
          <w:szCs w:val="20"/>
          <w:vertAlign w:val="superscript"/>
        </w:rPr>
        <w:t>th</w:t>
      </w:r>
      <w:r w:rsidRPr="00591B0A">
        <w:rPr>
          <w:rFonts w:ascii="Arial" w:hAnsi="Arial" w:cs="Arial"/>
          <w:sz w:val="20"/>
          <w:szCs w:val="20"/>
        </w:rPr>
        <w:t xml:space="preserve"> Nov 2017).</w:t>
      </w:r>
    </w:p>
    <w:p w14:paraId="201A03A2" w14:textId="77777777" w:rsidR="00D01830" w:rsidRPr="00591B0A" w:rsidRDefault="00D01830" w:rsidP="00D01830">
      <w:pPr>
        <w:ind w:left="567" w:hanging="567"/>
        <w:rPr>
          <w:rFonts w:ascii="Arial" w:hAnsi="Arial" w:cs="Arial"/>
          <w:sz w:val="20"/>
          <w:szCs w:val="20"/>
        </w:rPr>
      </w:pPr>
      <w:r w:rsidRPr="00591B0A">
        <w:rPr>
          <w:rFonts w:ascii="Arial" w:hAnsi="Arial" w:cs="Arial"/>
          <w:sz w:val="20"/>
          <w:szCs w:val="20"/>
        </w:rPr>
        <w:t>16</w:t>
      </w:r>
      <w:r w:rsidRPr="00591B0A">
        <w:rPr>
          <w:rFonts w:ascii="Arial" w:hAnsi="Arial" w:cs="Arial"/>
          <w:sz w:val="20"/>
          <w:szCs w:val="20"/>
        </w:rPr>
        <w:tab/>
        <w:t>Hoffmann F, Icks A. Unterschiede in der Versichertenstruktur von Krankenkassen und deren Auswirkungen für die Versorgungsforschung: Ergebnisse des Bertelsmann-Gesundheitsmonitors. Das Gesundheitswesen 2012; 74(5):291–7.</w:t>
      </w:r>
    </w:p>
    <w:p w14:paraId="210A106E" w14:textId="77777777" w:rsidR="00D01830" w:rsidRPr="00591B0A" w:rsidRDefault="00D01830" w:rsidP="00D01830">
      <w:pPr>
        <w:ind w:left="567" w:hanging="567"/>
        <w:rPr>
          <w:rFonts w:ascii="Arial" w:hAnsi="Arial" w:cs="Arial"/>
          <w:sz w:val="20"/>
          <w:szCs w:val="20"/>
          <w:lang w:val="en-GB"/>
        </w:rPr>
      </w:pPr>
      <w:r w:rsidRPr="00591B0A">
        <w:rPr>
          <w:rFonts w:ascii="Arial" w:hAnsi="Arial" w:cs="Arial"/>
          <w:sz w:val="20"/>
          <w:szCs w:val="20"/>
        </w:rPr>
        <w:lastRenderedPageBreak/>
        <w:t>17</w:t>
      </w:r>
      <w:r w:rsidRPr="00591B0A">
        <w:rPr>
          <w:rFonts w:ascii="Arial" w:hAnsi="Arial" w:cs="Arial"/>
          <w:sz w:val="20"/>
          <w:szCs w:val="20"/>
        </w:rPr>
        <w:tab/>
        <w:t xml:space="preserve">McDowall D, McCleary R, Meidinger EE, Hay jr RA. </w:t>
      </w:r>
      <w:r w:rsidRPr="00591B0A">
        <w:rPr>
          <w:rFonts w:ascii="Arial" w:hAnsi="Arial" w:cs="Arial"/>
          <w:sz w:val="20"/>
          <w:szCs w:val="20"/>
          <w:lang w:val="en-GB"/>
        </w:rPr>
        <w:t>Interrupted Time Series Analysis. Newbury Park, London, New Delhi 1980. 97p</w:t>
      </w:r>
    </w:p>
    <w:p w14:paraId="0F8CEA5F" w14:textId="77777777" w:rsidR="005B250C" w:rsidRPr="00591B0A" w:rsidRDefault="00D01830" w:rsidP="005B250C">
      <w:pPr>
        <w:ind w:left="567" w:hanging="567"/>
        <w:rPr>
          <w:rFonts w:ascii="Arial" w:hAnsi="Arial" w:cs="Arial"/>
          <w:sz w:val="20"/>
          <w:szCs w:val="20"/>
          <w:lang w:val="en-GB"/>
        </w:rPr>
      </w:pPr>
      <w:r w:rsidRPr="00591B0A">
        <w:rPr>
          <w:rFonts w:ascii="Arial" w:hAnsi="Arial" w:cs="Arial"/>
          <w:sz w:val="20"/>
          <w:szCs w:val="20"/>
          <w:lang w:val="en-GB"/>
        </w:rPr>
        <w:t>18</w:t>
      </w:r>
      <w:r w:rsidRPr="00591B0A">
        <w:rPr>
          <w:rFonts w:ascii="Arial" w:hAnsi="Arial" w:cs="Arial"/>
          <w:sz w:val="20"/>
          <w:szCs w:val="20"/>
          <w:lang w:val="en-GB"/>
        </w:rPr>
        <w:tab/>
        <w:t>WHO Collaborating Centre for Drug Statistics Methodology 2017: ATC/DDD Index 2017. https://www.whocc.no/atc_ddd_index/ (last accessed: 5</w:t>
      </w:r>
      <w:r w:rsidRPr="00591B0A">
        <w:rPr>
          <w:rFonts w:ascii="Arial" w:hAnsi="Arial" w:cs="Arial"/>
          <w:sz w:val="20"/>
          <w:szCs w:val="20"/>
          <w:vertAlign w:val="superscript"/>
          <w:lang w:val="en-GB"/>
        </w:rPr>
        <w:t>th</w:t>
      </w:r>
      <w:r w:rsidRPr="00591B0A">
        <w:rPr>
          <w:rFonts w:ascii="Arial" w:hAnsi="Arial" w:cs="Arial"/>
          <w:sz w:val="20"/>
          <w:szCs w:val="20"/>
          <w:lang w:val="en-GB"/>
        </w:rPr>
        <w:t xml:space="preserve"> Nov 2017).</w:t>
      </w:r>
    </w:p>
    <w:p w14:paraId="0C6BFA0F" w14:textId="783FA9B0" w:rsidR="005B250C" w:rsidRPr="00591B0A" w:rsidRDefault="005B250C" w:rsidP="005B250C">
      <w:pPr>
        <w:ind w:left="567" w:hanging="567"/>
        <w:rPr>
          <w:rFonts w:ascii="Arial" w:hAnsi="Arial" w:cs="Arial"/>
          <w:sz w:val="20"/>
          <w:szCs w:val="20"/>
          <w:lang w:val="en-GB"/>
        </w:rPr>
      </w:pPr>
      <w:r w:rsidRPr="008401BC">
        <w:rPr>
          <w:rFonts w:ascii="Arial" w:hAnsi="Arial" w:cs="Arial"/>
          <w:noProof/>
          <w:sz w:val="20"/>
          <w:szCs w:val="20"/>
          <w:lang w:val="en-GB"/>
        </w:rPr>
        <w:t>19.</w:t>
      </w:r>
      <w:r w:rsidRPr="008401BC">
        <w:rPr>
          <w:rFonts w:ascii="Arial" w:hAnsi="Arial" w:cs="Arial"/>
          <w:noProof/>
          <w:sz w:val="20"/>
          <w:szCs w:val="20"/>
          <w:lang w:val="en-GB"/>
        </w:rPr>
        <w:tab/>
        <w:t>Chitnis A, Wang R, Sun SX, Dixit S, Tawah A, Boulanger L. Impact of initiation of asenapine on patterns of utilization and cost of healthcare resources associated with the treatment of bipolar I disorder. Journal of medical economics. 2015;18(11):863-70</w:t>
      </w:r>
      <w:r w:rsidRPr="008401BC">
        <w:rPr>
          <w:noProof/>
          <w:lang w:val="en-GB"/>
        </w:rPr>
        <w:t>.</w:t>
      </w:r>
    </w:p>
    <w:p w14:paraId="1BE63524" w14:textId="34D67C02" w:rsidR="00D01830" w:rsidRPr="00591B0A" w:rsidRDefault="00E5763E" w:rsidP="00D01830">
      <w:pPr>
        <w:ind w:left="567" w:hanging="567"/>
        <w:rPr>
          <w:rFonts w:ascii="Arial" w:hAnsi="Arial" w:cs="Arial"/>
          <w:sz w:val="20"/>
          <w:szCs w:val="20"/>
          <w:lang w:val="en-GB"/>
        </w:rPr>
      </w:pPr>
      <w:r w:rsidRPr="00591B0A">
        <w:rPr>
          <w:rFonts w:ascii="Arial" w:hAnsi="Arial" w:cs="Arial"/>
          <w:sz w:val="20"/>
          <w:szCs w:val="20"/>
          <w:lang w:val="en-GB"/>
        </w:rPr>
        <w:t>20</w:t>
      </w:r>
      <w:r w:rsidR="00D01830" w:rsidRPr="00591B0A">
        <w:rPr>
          <w:rFonts w:ascii="Arial" w:hAnsi="Arial" w:cs="Arial"/>
          <w:sz w:val="20"/>
          <w:szCs w:val="20"/>
          <w:lang w:val="en-GB"/>
        </w:rPr>
        <w:tab/>
      </w:r>
      <w:proofErr w:type="spellStart"/>
      <w:r w:rsidR="00D01830" w:rsidRPr="00591B0A">
        <w:rPr>
          <w:rFonts w:ascii="Arial" w:hAnsi="Arial" w:cs="Arial"/>
          <w:sz w:val="20"/>
          <w:szCs w:val="20"/>
          <w:lang w:val="en-GB"/>
        </w:rPr>
        <w:t>Ziller</w:t>
      </w:r>
      <w:proofErr w:type="spellEnd"/>
      <w:r w:rsidR="00D01830" w:rsidRPr="00591B0A">
        <w:rPr>
          <w:rFonts w:ascii="Arial" w:hAnsi="Arial" w:cs="Arial"/>
          <w:sz w:val="20"/>
          <w:szCs w:val="20"/>
          <w:lang w:val="en-GB"/>
        </w:rPr>
        <w:t xml:space="preserve"> M, </w:t>
      </w:r>
      <w:proofErr w:type="spellStart"/>
      <w:r w:rsidR="00D01830" w:rsidRPr="00591B0A">
        <w:rPr>
          <w:rFonts w:ascii="Arial" w:hAnsi="Arial" w:cs="Arial"/>
          <w:sz w:val="20"/>
          <w:szCs w:val="20"/>
          <w:lang w:val="en-GB"/>
        </w:rPr>
        <w:t>Rashed</w:t>
      </w:r>
      <w:proofErr w:type="spellEnd"/>
      <w:r w:rsidR="00D01830" w:rsidRPr="00591B0A">
        <w:rPr>
          <w:rFonts w:ascii="Arial" w:hAnsi="Arial" w:cs="Arial"/>
          <w:sz w:val="20"/>
          <w:szCs w:val="20"/>
          <w:lang w:val="en-GB"/>
        </w:rPr>
        <w:t xml:space="preserve"> AN, </w:t>
      </w:r>
      <w:proofErr w:type="spellStart"/>
      <w:r w:rsidR="00D01830" w:rsidRPr="00591B0A">
        <w:rPr>
          <w:rFonts w:ascii="Arial" w:hAnsi="Arial" w:cs="Arial"/>
          <w:sz w:val="20"/>
          <w:szCs w:val="20"/>
          <w:lang w:val="en-GB"/>
        </w:rPr>
        <w:t>Ziller</w:t>
      </w:r>
      <w:proofErr w:type="spellEnd"/>
      <w:r w:rsidR="00D01830" w:rsidRPr="00591B0A">
        <w:rPr>
          <w:rFonts w:ascii="Arial" w:hAnsi="Arial" w:cs="Arial"/>
          <w:sz w:val="20"/>
          <w:szCs w:val="20"/>
          <w:lang w:val="en-GB"/>
        </w:rPr>
        <w:t xml:space="preserve"> V, </w:t>
      </w:r>
      <w:proofErr w:type="spellStart"/>
      <w:r w:rsidR="00D01830" w:rsidRPr="00591B0A">
        <w:rPr>
          <w:rFonts w:ascii="Arial" w:hAnsi="Arial" w:cs="Arial"/>
          <w:sz w:val="20"/>
          <w:szCs w:val="20"/>
          <w:lang w:val="en-GB"/>
        </w:rPr>
        <w:t>Kostev</w:t>
      </w:r>
      <w:proofErr w:type="spellEnd"/>
      <w:r w:rsidR="00D01830" w:rsidRPr="00591B0A">
        <w:rPr>
          <w:rFonts w:ascii="Arial" w:hAnsi="Arial" w:cs="Arial"/>
          <w:sz w:val="20"/>
          <w:szCs w:val="20"/>
          <w:lang w:val="en-GB"/>
        </w:rPr>
        <w:t xml:space="preserve"> K. The Prescribing of Contraceptives for Adolescents in German </w:t>
      </w:r>
      <w:proofErr w:type="spellStart"/>
      <w:r w:rsidR="00D01830" w:rsidRPr="00591B0A">
        <w:rPr>
          <w:rFonts w:ascii="Arial" w:hAnsi="Arial" w:cs="Arial"/>
          <w:sz w:val="20"/>
          <w:szCs w:val="20"/>
          <w:lang w:val="en-GB"/>
        </w:rPr>
        <w:t>gynecologic</w:t>
      </w:r>
      <w:proofErr w:type="spellEnd"/>
      <w:r w:rsidR="00D01830" w:rsidRPr="00591B0A">
        <w:rPr>
          <w:rFonts w:ascii="Arial" w:hAnsi="Arial" w:cs="Arial"/>
          <w:sz w:val="20"/>
          <w:szCs w:val="20"/>
          <w:lang w:val="en-GB"/>
        </w:rPr>
        <w:t xml:space="preserve"> practices in 2007 and 2011: a retrospective database analysis. J </w:t>
      </w:r>
      <w:proofErr w:type="spellStart"/>
      <w:r w:rsidR="00D01830" w:rsidRPr="00591B0A">
        <w:rPr>
          <w:rFonts w:ascii="Arial" w:hAnsi="Arial" w:cs="Arial"/>
          <w:sz w:val="20"/>
          <w:szCs w:val="20"/>
          <w:lang w:val="en-GB"/>
        </w:rPr>
        <w:t>Pediatr</w:t>
      </w:r>
      <w:proofErr w:type="spellEnd"/>
      <w:r w:rsidR="00D01830" w:rsidRPr="00591B0A">
        <w:rPr>
          <w:rFonts w:ascii="Arial" w:hAnsi="Arial" w:cs="Arial"/>
          <w:sz w:val="20"/>
          <w:szCs w:val="20"/>
          <w:lang w:val="en-GB"/>
        </w:rPr>
        <w:t xml:space="preserve"> </w:t>
      </w:r>
      <w:proofErr w:type="spellStart"/>
      <w:r w:rsidR="00D01830" w:rsidRPr="00591B0A">
        <w:rPr>
          <w:rFonts w:ascii="Arial" w:hAnsi="Arial" w:cs="Arial"/>
          <w:sz w:val="20"/>
          <w:szCs w:val="20"/>
          <w:lang w:val="en-GB"/>
        </w:rPr>
        <w:t>Adolesc</w:t>
      </w:r>
      <w:proofErr w:type="spellEnd"/>
      <w:r w:rsidR="00D01830" w:rsidRPr="00591B0A">
        <w:rPr>
          <w:rFonts w:ascii="Arial" w:hAnsi="Arial" w:cs="Arial"/>
          <w:sz w:val="20"/>
          <w:szCs w:val="20"/>
          <w:lang w:val="en-GB"/>
        </w:rPr>
        <w:t xml:space="preserve"> </w:t>
      </w:r>
      <w:proofErr w:type="spellStart"/>
      <w:r w:rsidR="00D01830" w:rsidRPr="00591B0A">
        <w:rPr>
          <w:rFonts w:ascii="Arial" w:hAnsi="Arial" w:cs="Arial"/>
          <w:sz w:val="20"/>
          <w:szCs w:val="20"/>
          <w:lang w:val="en-GB"/>
        </w:rPr>
        <w:t>Gynecol</w:t>
      </w:r>
      <w:proofErr w:type="spellEnd"/>
      <w:r w:rsidR="00D01830" w:rsidRPr="00591B0A">
        <w:rPr>
          <w:rFonts w:ascii="Arial" w:hAnsi="Arial" w:cs="Arial"/>
          <w:sz w:val="20"/>
          <w:szCs w:val="20"/>
          <w:lang w:val="en-GB"/>
        </w:rPr>
        <w:t xml:space="preserve"> 2013, 26(5):261–3.</w:t>
      </w:r>
    </w:p>
    <w:p w14:paraId="69916FCE" w14:textId="0F9B740C" w:rsidR="00D01830" w:rsidRDefault="00D01830" w:rsidP="00D01830">
      <w:pPr>
        <w:ind w:left="567" w:hanging="567"/>
        <w:rPr>
          <w:rFonts w:ascii="Arial" w:hAnsi="Arial" w:cs="Arial"/>
          <w:sz w:val="20"/>
          <w:szCs w:val="20"/>
          <w:lang w:val="en-GB"/>
        </w:rPr>
      </w:pPr>
      <w:r w:rsidRPr="00552DA8">
        <w:rPr>
          <w:rFonts w:ascii="Arial" w:hAnsi="Arial" w:cs="Arial"/>
          <w:sz w:val="20"/>
          <w:szCs w:val="20"/>
          <w:lang w:val="en-GB"/>
        </w:rPr>
        <w:t>2</w:t>
      </w:r>
      <w:r w:rsidR="00E5763E" w:rsidRPr="00552DA8">
        <w:rPr>
          <w:rFonts w:ascii="Arial" w:hAnsi="Arial" w:cs="Arial"/>
          <w:sz w:val="20"/>
          <w:szCs w:val="20"/>
          <w:lang w:val="en-GB"/>
        </w:rPr>
        <w:t>1</w:t>
      </w:r>
      <w:r w:rsidRPr="00552DA8">
        <w:rPr>
          <w:rFonts w:ascii="Arial" w:hAnsi="Arial" w:cs="Arial"/>
          <w:sz w:val="20"/>
          <w:szCs w:val="20"/>
          <w:lang w:val="en-GB"/>
        </w:rPr>
        <w:t xml:space="preserve"> </w:t>
      </w:r>
      <w:r w:rsidRPr="00552DA8">
        <w:rPr>
          <w:rFonts w:ascii="Arial" w:hAnsi="Arial" w:cs="Arial"/>
          <w:sz w:val="20"/>
          <w:szCs w:val="20"/>
          <w:lang w:val="en-GB"/>
        </w:rPr>
        <w:tab/>
      </w:r>
      <w:proofErr w:type="spellStart"/>
      <w:r w:rsidRPr="00552DA8">
        <w:rPr>
          <w:rFonts w:ascii="Arial" w:hAnsi="Arial" w:cs="Arial"/>
          <w:sz w:val="20"/>
          <w:szCs w:val="20"/>
          <w:lang w:val="en-GB"/>
        </w:rPr>
        <w:t>Bezemer</w:t>
      </w:r>
      <w:proofErr w:type="spellEnd"/>
      <w:r w:rsidRPr="00552DA8">
        <w:rPr>
          <w:rFonts w:ascii="Arial" w:hAnsi="Arial" w:cs="Arial"/>
          <w:sz w:val="20"/>
          <w:szCs w:val="20"/>
          <w:lang w:val="en-GB"/>
        </w:rPr>
        <w:t xml:space="preserve"> ID, </w:t>
      </w:r>
      <w:proofErr w:type="spellStart"/>
      <w:r w:rsidRPr="00552DA8">
        <w:rPr>
          <w:rFonts w:ascii="Arial" w:hAnsi="Arial" w:cs="Arial"/>
          <w:sz w:val="20"/>
          <w:szCs w:val="20"/>
          <w:lang w:val="en-GB"/>
        </w:rPr>
        <w:t>Verhamme</w:t>
      </w:r>
      <w:proofErr w:type="spellEnd"/>
      <w:r w:rsidRPr="00552DA8">
        <w:rPr>
          <w:rFonts w:ascii="Arial" w:hAnsi="Arial" w:cs="Arial"/>
          <w:sz w:val="20"/>
          <w:szCs w:val="20"/>
          <w:lang w:val="en-GB"/>
        </w:rPr>
        <w:t xml:space="preserve"> KM, Gini R et al. </w:t>
      </w:r>
      <w:r w:rsidRPr="00591B0A">
        <w:rPr>
          <w:rFonts w:ascii="Arial" w:hAnsi="Arial" w:cs="Arial"/>
          <w:sz w:val="20"/>
          <w:szCs w:val="20"/>
          <w:lang w:val="en-GB"/>
        </w:rPr>
        <w:t xml:space="preserve">Use of oral contraceptives in three European countries: a population-based multi-database study. Eur J Contracept </w:t>
      </w:r>
      <w:proofErr w:type="spellStart"/>
      <w:r w:rsidRPr="00591B0A">
        <w:rPr>
          <w:rFonts w:ascii="Arial" w:hAnsi="Arial" w:cs="Arial"/>
          <w:sz w:val="20"/>
          <w:szCs w:val="20"/>
          <w:lang w:val="en-GB"/>
        </w:rPr>
        <w:t>Reprod</w:t>
      </w:r>
      <w:proofErr w:type="spellEnd"/>
      <w:r w:rsidRPr="00591B0A">
        <w:rPr>
          <w:rFonts w:ascii="Arial" w:hAnsi="Arial" w:cs="Arial"/>
          <w:sz w:val="20"/>
          <w:szCs w:val="20"/>
          <w:lang w:val="en-GB"/>
        </w:rPr>
        <w:t xml:space="preserve"> Health Care 2016;21(1):81–7.</w:t>
      </w:r>
    </w:p>
    <w:p w14:paraId="59BFBC30" w14:textId="60AEF369" w:rsidR="00766805" w:rsidRPr="00BF1A2A" w:rsidRDefault="00766805" w:rsidP="00D01830">
      <w:pPr>
        <w:ind w:left="567" w:hanging="567"/>
        <w:rPr>
          <w:rFonts w:cs="Calibri"/>
        </w:rPr>
      </w:pPr>
      <w:r w:rsidRPr="00BF1A2A">
        <w:rPr>
          <w:rFonts w:ascii="Arial" w:hAnsi="Arial" w:cs="Arial"/>
          <w:sz w:val="20"/>
          <w:szCs w:val="20"/>
          <w:lang w:val="en-GB"/>
        </w:rPr>
        <w:t>22</w:t>
      </w:r>
      <w:r w:rsidRPr="00BF1A2A">
        <w:rPr>
          <w:rFonts w:ascii="Arial" w:hAnsi="Arial" w:cs="Arial"/>
          <w:sz w:val="20"/>
          <w:szCs w:val="20"/>
          <w:lang w:val="en-GB"/>
        </w:rPr>
        <w:tab/>
      </w:r>
      <w:proofErr w:type="spellStart"/>
      <w:r w:rsidRPr="00BF1A2A">
        <w:rPr>
          <w:rFonts w:cs="Calibri"/>
          <w:lang w:val="en-US"/>
        </w:rPr>
        <w:t>Wennberg</w:t>
      </w:r>
      <w:proofErr w:type="spellEnd"/>
      <w:r w:rsidRPr="00BF1A2A">
        <w:rPr>
          <w:rFonts w:cs="Calibri"/>
          <w:lang w:val="en-US"/>
        </w:rPr>
        <w:t xml:space="preserve"> JE. Time to tackle unwarranted variations in practice. </w:t>
      </w:r>
      <w:r w:rsidRPr="00BF1A2A">
        <w:rPr>
          <w:rFonts w:cs="Calibri"/>
        </w:rPr>
        <w:t>BMJ 2011; 342: 687–90</w:t>
      </w:r>
    </w:p>
    <w:p w14:paraId="32BCEB12" w14:textId="61A6EB27" w:rsidR="000D2F2F" w:rsidRPr="00BF1A2A" w:rsidRDefault="000D2F2F" w:rsidP="00D01830">
      <w:pPr>
        <w:ind w:left="567" w:hanging="567"/>
        <w:rPr>
          <w:rFonts w:ascii="Arial" w:hAnsi="Arial" w:cs="Arial"/>
          <w:sz w:val="20"/>
          <w:szCs w:val="20"/>
          <w:lang w:val="en-GB"/>
        </w:rPr>
      </w:pPr>
      <w:r w:rsidRPr="00BF1A2A">
        <w:rPr>
          <w:rFonts w:ascii="Arial" w:hAnsi="Arial" w:cs="Arial"/>
          <w:sz w:val="20"/>
          <w:szCs w:val="20"/>
        </w:rPr>
        <w:t>23</w:t>
      </w:r>
      <w:r w:rsidRPr="00BF1A2A">
        <w:rPr>
          <w:rFonts w:ascii="Arial" w:hAnsi="Arial" w:cs="Arial"/>
          <w:sz w:val="20"/>
          <w:szCs w:val="20"/>
        </w:rPr>
        <w:tab/>
      </w:r>
      <w:r w:rsidRPr="00BF1A2A">
        <w:rPr>
          <w:rFonts w:cs="Calibri"/>
        </w:rPr>
        <w:t xml:space="preserve">Nolting HD, Zich K, Deckenbach B et al. Faktencheck Gesundheit. </w:t>
      </w:r>
      <w:proofErr w:type="spellStart"/>
      <w:r w:rsidRPr="00BF1A2A">
        <w:rPr>
          <w:rFonts w:cs="Calibri"/>
          <w:lang w:val="en-GB"/>
        </w:rPr>
        <w:t>Regionale</w:t>
      </w:r>
      <w:proofErr w:type="spellEnd"/>
      <w:r w:rsidRPr="00BF1A2A">
        <w:rPr>
          <w:rFonts w:cs="Calibri"/>
          <w:lang w:val="en-GB"/>
        </w:rPr>
        <w:t xml:space="preserve"> </w:t>
      </w:r>
      <w:proofErr w:type="spellStart"/>
      <w:r w:rsidRPr="00BF1A2A">
        <w:rPr>
          <w:rFonts w:cs="Calibri"/>
          <w:lang w:val="en-GB"/>
        </w:rPr>
        <w:t>Unterschiede</w:t>
      </w:r>
      <w:proofErr w:type="spellEnd"/>
      <w:r w:rsidRPr="00BF1A2A">
        <w:rPr>
          <w:rFonts w:cs="Calibri"/>
          <w:lang w:val="en-GB"/>
        </w:rPr>
        <w:t xml:space="preserve"> in der </w:t>
      </w:r>
      <w:proofErr w:type="spellStart"/>
      <w:r w:rsidRPr="00BF1A2A">
        <w:rPr>
          <w:rFonts w:cs="Calibri"/>
          <w:lang w:val="en-GB"/>
        </w:rPr>
        <w:t>Gesundheitsversorgung</w:t>
      </w:r>
      <w:proofErr w:type="spellEnd"/>
      <w:r w:rsidRPr="00BF1A2A">
        <w:rPr>
          <w:rFonts w:cs="Calibri"/>
          <w:lang w:val="en-GB"/>
        </w:rPr>
        <w:t>. Bertelsmann Stiftung 2015</w:t>
      </w:r>
    </w:p>
    <w:p w14:paraId="0B7B27DA" w14:textId="2B907102" w:rsidR="00D01830" w:rsidRPr="00591B0A" w:rsidRDefault="00D01830" w:rsidP="00D01830">
      <w:pPr>
        <w:ind w:left="567" w:hanging="567"/>
        <w:rPr>
          <w:rFonts w:ascii="Arial" w:hAnsi="Arial" w:cs="Arial"/>
          <w:sz w:val="20"/>
          <w:szCs w:val="20"/>
          <w:lang w:val="en-GB"/>
        </w:rPr>
      </w:pPr>
      <w:r w:rsidRPr="00591B0A">
        <w:rPr>
          <w:rFonts w:ascii="Arial" w:hAnsi="Arial" w:cs="Arial"/>
          <w:sz w:val="20"/>
          <w:szCs w:val="20"/>
          <w:lang w:val="en-GB"/>
        </w:rPr>
        <w:t>2</w:t>
      </w:r>
      <w:r w:rsidR="00766805">
        <w:rPr>
          <w:rFonts w:ascii="Arial" w:hAnsi="Arial" w:cs="Arial"/>
          <w:sz w:val="20"/>
          <w:szCs w:val="20"/>
          <w:lang w:val="en-GB"/>
        </w:rPr>
        <w:t>4</w:t>
      </w:r>
      <w:r w:rsidRPr="00591B0A">
        <w:rPr>
          <w:rFonts w:ascii="Arial" w:hAnsi="Arial" w:cs="Arial"/>
          <w:sz w:val="20"/>
          <w:szCs w:val="20"/>
          <w:lang w:val="en-GB"/>
        </w:rPr>
        <w:t xml:space="preserve"> </w:t>
      </w:r>
      <w:r w:rsidRPr="00591B0A">
        <w:rPr>
          <w:rFonts w:ascii="Arial" w:hAnsi="Arial" w:cs="Arial"/>
          <w:sz w:val="20"/>
          <w:szCs w:val="20"/>
          <w:lang w:val="en-GB"/>
        </w:rPr>
        <w:tab/>
        <w:t xml:space="preserve">Briggs PE, </w:t>
      </w:r>
      <w:proofErr w:type="spellStart"/>
      <w:r w:rsidRPr="00591B0A">
        <w:rPr>
          <w:rFonts w:ascii="Arial" w:hAnsi="Arial" w:cs="Arial"/>
          <w:sz w:val="20"/>
          <w:szCs w:val="20"/>
          <w:lang w:val="en-GB"/>
        </w:rPr>
        <w:t>Praet</w:t>
      </w:r>
      <w:proofErr w:type="spellEnd"/>
      <w:r w:rsidRPr="00591B0A">
        <w:rPr>
          <w:rFonts w:ascii="Arial" w:hAnsi="Arial" w:cs="Arial"/>
          <w:sz w:val="20"/>
          <w:szCs w:val="20"/>
          <w:lang w:val="en-GB"/>
        </w:rPr>
        <w:t xml:space="preserve"> CA, Humphreys SC, Zhao C. Impact of UK Medical Eligibility Criteria implementation on prescribing of combined hormonal contraceptives. J Fam </w:t>
      </w:r>
      <w:proofErr w:type="spellStart"/>
      <w:r w:rsidRPr="00591B0A">
        <w:rPr>
          <w:rFonts w:ascii="Arial" w:hAnsi="Arial" w:cs="Arial"/>
          <w:sz w:val="20"/>
          <w:szCs w:val="20"/>
          <w:lang w:val="en-GB"/>
        </w:rPr>
        <w:t>Plann</w:t>
      </w:r>
      <w:proofErr w:type="spellEnd"/>
      <w:r w:rsidRPr="00591B0A">
        <w:rPr>
          <w:rFonts w:ascii="Arial" w:hAnsi="Arial" w:cs="Arial"/>
          <w:sz w:val="20"/>
          <w:szCs w:val="20"/>
          <w:lang w:val="en-GB"/>
        </w:rPr>
        <w:t xml:space="preserve"> </w:t>
      </w:r>
      <w:proofErr w:type="spellStart"/>
      <w:r w:rsidRPr="00591B0A">
        <w:rPr>
          <w:rFonts w:ascii="Arial" w:hAnsi="Arial" w:cs="Arial"/>
          <w:sz w:val="20"/>
          <w:szCs w:val="20"/>
          <w:lang w:val="en-GB"/>
        </w:rPr>
        <w:t>Reprod</w:t>
      </w:r>
      <w:proofErr w:type="spellEnd"/>
      <w:r w:rsidRPr="00591B0A">
        <w:rPr>
          <w:rFonts w:ascii="Arial" w:hAnsi="Arial" w:cs="Arial"/>
          <w:sz w:val="20"/>
          <w:szCs w:val="20"/>
          <w:lang w:val="en-GB"/>
        </w:rPr>
        <w:t xml:space="preserve"> Health Care </w:t>
      </w:r>
      <w:proofErr w:type="gramStart"/>
      <w:r w:rsidRPr="00591B0A">
        <w:rPr>
          <w:rFonts w:ascii="Arial" w:hAnsi="Arial" w:cs="Arial"/>
          <w:sz w:val="20"/>
          <w:szCs w:val="20"/>
          <w:lang w:val="en-GB"/>
        </w:rPr>
        <w:t>2013;39:190</w:t>
      </w:r>
      <w:proofErr w:type="gramEnd"/>
      <w:r w:rsidRPr="00591B0A">
        <w:rPr>
          <w:rFonts w:ascii="Arial" w:hAnsi="Arial" w:cs="Arial"/>
          <w:sz w:val="20"/>
          <w:szCs w:val="20"/>
          <w:lang w:val="en-GB"/>
        </w:rPr>
        <w:t>–6.</w:t>
      </w:r>
      <w:r w:rsidR="00C02668">
        <w:rPr>
          <w:rFonts w:ascii="Arial" w:hAnsi="Arial" w:cs="Arial"/>
          <w:sz w:val="20"/>
          <w:szCs w:val="20"/>
          <w:lang w:val="en-GB"/>
        </w:rPr>
        <w:tab/>
      </w:r>
    </w:p>
    <w:p w14:paraId="0EB48CE5" w14:textId="5F4C1FA2" w:rsidR="00D01830" w:rsidRPr="00591B0A" w:rsidRDefault="00D01830" w:rsidP="00D01830">
      <w:pPr>
        <w:ind w:left="567" w:hanging="567"/>
        <w:rPr>
          <w:rFonts w:ascii="Arial" w:hAnsi="Arial" w:cs="Arial"/>
          <w:sz w:val="20"/>
          <w:szCs w:val="20"/>
        </w:rPr>
      </w:pPr>
      <w:r w:rsidRPr="00591B0A">
        <w:rPr>
          <w:rFonts w:ascii="Arial" w:hAnsi="Arial" w:cs="Arial"/>
          <w:sz w:val="20"/>
          <w:szCs w:val="20"/>
          <w:lang w:val="en-GB"/>
        </w:rPr>
        <w:t>2</w:t>
      </w:r>
      <w:r w:rsidR="00766805">
        <w:rPr>
          <w:rFonts w:ascii="Arial" w:hAnsi="Arial" w:cs="Arial"/>
          <w:sz w:val="20"/>
          <w:szCs w:val="20"/>
          <w:lang w:val="en-GB"/>
        </w:rPr>
        <w:t>5</w:t>
      </w:r>
      <w:r w:rsidRPr="00591B0A">
        <w:rPr>
          <w:rFonts w:ascii="Arial" w:hAnsi="Arial" w:cs="Arial"/>
          <w:sz w:val="20"/>
          <w:szCs w:val="20"/>
          <w:lang w:val="en-GB"/>
        </w:rPr>
        <w:tab/>
        <w:t xml:space="preserve">Horton DB, Gerhard T, </w:t>
      </w:r>
      <w:proofErr w:type="spellStart"/>
      <w:r w:rsidRPr="00591B0A">
        <w:rPr>
          <w:rFonts w:ascii="Arial" w:hAnsi="Arial" w:cs="Arial"/>
          <w:sz w:val="20"/>
          <w:szCs w:val="20"/>
          <w:lang w:val="en-GB"/>
        </w:rPr>
        <w:t>Davidow</w:t>
      </w:r>
      <w:proofErr w:type="spellEnd"/>
      <w:r w:rsidRPr="00591B0A">
        <w:rPr>
          <w:rFonts w:ascii="Arial" w:hAnsi="Arial" w:cs="Arial"/>
          <w:sz w:val="20"/>
          <w:szCs w:val="20"/>
          <w:lang w:val="en-GB"/>
        </w:rPr>
        <w:t xml:space="preserve"> A, Strom BL.</w:t>
      </w:r>
      <w:r w:rsidRPr="00591B0A">
        <w:rPr>
          <w:rFonts w:ascii="AdvTT6071803a.B" w:eastAsiaTheme="minorHAnsi" w:hAnsi="AdvTT6071803a.B" w:cs="AdvTT6071803a.B"/>
          <w:sz w:val="36"/>
          <w:szCs w:val="36"/>
          <w:lang w:val="en-US"/>
        </w:rPr>
        <w:t xml:space="preserve"> </w:t>
      </w:r>
      <w:r w:rsidRPr="00591B0A">
        <w:rPr>
          <w:rFonts w:ascii="Arial" w:hAnsi="Arial" w:cs="Arial"/>
          <w:sz w:val="20"/>
          <w:szCs w:val="20"/>
          <w:lang w:val="en-US"/>
        </w:rPr>
        <w:t>Impact of the black triangle label on prescribing of new drugs in the United Kingdom: lessons for the United States at a time of deregulation</w:t>
      </w:r>
      <w:r w:rsidRPr="00591B0A">
        <w:rPr>
          <w:rFonts w:ascii="Arial" w:hAnsi="Arial" w:cs="Arial"/>
          <w:sz w:val="20"/>
          <w:szCs w:val="20"/>
          <w:lang w:val="en-GB"/>
        </w:rPr>
        <w:t>.</w:t>
      </w:r>
      <w:r w:rsidRPr="00591B0A">
        <w:rPr>
          <w:rFonts w:ascii="AdvTTeb5f0e55.I" w:eastAsiaTheme="minorHAnsi" w:hAnsi="AdvTTeb5f0e55.I" w:cs="AdvTTeb5f0e55.I"/>
          <w:sz w:val="15"/>
          <w:szCs w:val="15"/>
          <w:lang w:val="en-US"/>
        </w:rPr>
        <w:t xml:space="preserve"> </w:t>
      </w:r>
      <w:r w:rsidRPr="00591B0A">
        <w:rPr>
          <w:rFonts w:ascii="Arial" w:hAnsi="Arial" w:cs="Arial"/>
          <w:sz w:val="20"/>
          <w:szCs w:val="20"/>
        </w:rPr>
        <w:t xml:space="preserve">Pharmacoepidemiol Drug Saf. 2017;26:1307–1313. </w:t>
      </w:r>
    </w:p>
    <w:p w14:paraId="3F8DF798" w14:textId="066675C1" w:rsidR="00D01830" w:rsidRPr="00591B0A" w:rsidRDefault="00D01830" w:rsidP="00D01830">
      <w:pPr>
        <w:ind w:left="567" w:hanging="567"/>
        <w:rPr>
          <w:rFonts w:ascii="Arial" w:hAnsi="Arial" w:cs="Arial"/>
          <w:sz w:val="20"/>
          <w:szCs w:val="20"/>
        </w:rPr>
      </w:pPr>
      <w:r w:rsidRPr="00591B0A">
        <w:rPr>
          <w:rFonts w:ascii="Arial" w:hAnsi="Arial" w:cs="Arial"/>
          <w:sz w:val="20"/>
          <w:szCs w:val="20"/>
        </w:rPr>
        <w:t>2</w:t>
      </w:r>
      <w:r w:rsidR="00A81BCD">
        <w:rPr>
          <w:rFonts w:ascii="Arial" w:hAnsi="Arial" w:cs="Arial"/>
          <w:sz w:val="20"/>
          <w:szCs w:val="20"/>
        </w:rPr>
        <w:t>6</w:t>
      </w:r>
      <w:r w:rsidRPr="00591B0A">
        <w:rPr>
          <w:rFonts w:ascii="Arial" w:hAnsi="Arial" w:cs="Arial"/>
          <w:sz w:val="20"/>
          <w:szCs w:val="20"/>
        </w:rPr>
        <w:tab/>
        <w:t xml:space="preserve">arznei-telegramm 2015:Im Blickpunkt Thromboembolie: Kontrazeptiva der 3. und 4. Generation seltener verordnet …in Frankreich, leider nicht in Deutschland. </w:t>
      </w:r>
      <w:r w:rsidRPr="00591B0A">
        <w:t>a</w:t>
      </w:r>
      <w:r w:rsidRPr="00591B0A">
        <w:rPr>
          <w:rFonts w:ascii="Arial" w:hAnsi="Arial" w:cs="Arial"/>
          <w:sz w:val="20"/>
          <w:szCs w:val="20"/>
        </w:rPr>
        <w:t>-t 2015; 46: 41–2. https://www.arznei-telegramm.de/html/sonder/1505041_02.html. (last accessed 5</w:t>
      </w:r>
      <w:r w:rsidRPr="00591B0A">
        <w:rPr>
          <w:rFonts w:ascii="Arial" w:hAnsi="Arial" w:cs="Arial"/>
          <w:sz w:val="20"/>
          <w:szCs w:val="20"/>
          <w:vertAlign w:val="superscript"/>
        </w:rPr>
        <w:t>th</w:t>
      </w:r>
      <w:r w:rsidRPr="00591B0A">
        <w:rPr>
          <w:rFonts w:ascii="Arial" w:hAnsi="Arial" w:cs="Arial"/>
          <w:sz w:val="20"/>
          <w:szCs w:val="20"/>
        </w:rPr>
        <w:t xml:space="preserve"> Nov 2017)</w:t>
      </w:r>
    </w:p>
    <w:p w14:paraId="44606A38" w14:textId="77777777" w:rsidR="00D01830" w:rsidRPr="007460A0" w:rsidRDefault="00D01830" w:rsidP="00D01830">
      <w:pPr>
        <w:ind w:left="567" w:hanging="567"/>
        <w:rPr>
          <w:rFonts w:ascii="Arial" w:hAnsi="Arial" w:cs="Arial"/>
          <w:sz w:val="20"/>
          <w:szCs w:val="20"/>
        </w:rPr>
      </w:pPr>
    </w:p>
    <w:p w14:paraId="41D7C4AE" w14:textId="77777777" w:rsidR="00D01830" w:rsidRPr="007460A0" w:rsidRDefault="00D01830" w:rsidP="00D01830">
      <w:r w:rsidRPr="007460A0">
        <w:br w:type="page"/>
      </w:r>
    </w:p>
    <w:p w14:paraId="0DA114FD" w14:textId="77777777" w:rsidR="00D01830" w:rsidRDefault="00D01830" w:rsidP="00D01830">
      <w:pPr>
        <w:ind w:left="708" w:hanging="708"/>
        <w:rPr>
          <w:rFonts w:ascii="Arial" w:hAnsi="Arial" w:cs="Arial"/>
          <w:b/>
          <w:sz w:val="24"/>
          <w:szCs w:val="24"/>
          <w:lang w:val="en-GB"/>
        </w:rPr>
      </w:pPr>
      <w:r w:rsidRPr="00C907E1">
        <w:rPr>
          <w:rFonts w:ascii="Arial" w:hAnsi="Arial" w:cs="Arial"/>
          <w:b/>
          <w:sz w:val="24"/>
          <w:szCs w:val="24"/>
          <w:lang w:val="en-GB"/>
        </w:rPr>
        <w:lastRenderedPageBreak/>
        <w:t>Tables</w:t>
      </w:r>
    </w:p>
    <w:p w14:paraId="77AEF636" w14:textId="77777777" w:rsidR="00D01830" w:rsidRPr="00C907E1" w:rsidRDefault="00D01830" w:rsidP="00D01830">
      <w:pPr>
        <w:spacing w:after="120" w:line="240" w:lineRule="auto"/>
        <w:rPr>
          <w:rFonts w:ascii="Arial" w:hAnsi="Arial" w:cs="Arial"/>
          <w:lang w:val="en-GB"/>
        </w:rPr>
      </w:pPr>
      <w:r w:rsidRPr="00C907E1">
        <w:rPr>
          <w:rFonts w:ascii="Arial" w:hAnsi="Arial" w:cs="Arial"/>
          <w:lang w:val="en-GB"/>
        </w:rPr>
        <w:t>Table 1 Combined hormonal contraceptives</w:t>
      </w:r>
    </w:p>
    <w:tbl>
      <w:tblPr>
        <w:tblStyle w:val="TableGrid"/>
        <w:tblW w:w="10343" w:type="dxa"/>
        <w:tblLayout w:type="fixed"/>
        <w:tblLook w:val="04A0" w:firstRow="1" w:lastRow="0" w:firstColumn="1" w:lastColumn="0" w:noHBand="0" w:noVBand="1"/>
      </w:tblPr>
      <w:tblGrid>
        <w:gridCol w:w="704"/>
        <w:gridCol w:w="851"/>
        <w:gridCol w:w="1134"/>
        <w:gridCol w:w="3543"/>
        <w:gridCol w:w="1531"/>
        <w:gridCol w:w="1304"/>
        <w:gridCol w:w="1276"/>
      </w:tblGrid>
      <w:tr w:rsidR="00CF05F5" w:rsidRPr="006E0949" w14:paraId="325C0027" w14:textId="77777777" w:rsidTr="00BF1A2A">
        <w:tc>
          <w:tcPr>
            <w:tcW w:w="704" w:type="dxa"/>
          </w:tcPr>
          <w:p w14:paraId="0E2880B0" w14:textId="77777777" w:rsidR="00CF05F5" w:rsidRPr="00C907E1" w:rsidRDefault="00CF05F5" w:rsidP="0075304E">
            <w:pPr>
              <w:pStyle w:val="BodyText"/>
              <w:jc w:val="center"/>
              <w:rPr>
                <w:rFonts w:ascii="Arial" w:hAnsi="Arial" w:cs="Arial"/>
                <w:sz w:val="20"/>
                <w:szCs w:val="20"/>
                <w:lang w:val="en-GB"/>
              </w:rPr>
            </w:pPr>
            <w:r w:rsidRPr="00C907E1">
              <w:rPr>
                <w:rFonts w:ascii="Arial" w:hAnsi="Arial" w:cs="Arial"/>
                <w:sz w:val="20"/>
                <w:szCs w:val="20"/>
                <w:lang w:val="en-GB"/>
              </w:rPr>
              <w:t>Risk class</w:t>
            </w:r>
          </w:p>
        </w:tc>
        <w:tc>
          <w:tcPr>
            <w:tcW w:w="851" w:type="dxa"/>
          </w:tcPr>
          <w:p w14:paraId="42DD9835" w14:textId="77777777" w:rsidR="00CF05F5" w:rsidRPr="00C907E1" w:rsidRDefault="00CF05F5" w:rsidP="0075304E">
            <w:pPr>
              <w:pStyle w:val="BodyText"/>
              <w:jc w:val="center"/>
              <w:rPr>
                <w:rFonts w:ascii="Arial" w:hAnsi="Arial" w:cs="Arial"/>
                <w:sz w:val="20"/>
                <w:szCs w:val="20"/>
                <w:lang w:val="en-GB"/>
              </w:rPr>
            </w:pPr>
            <w:r w:rsidRPr="00C907E1">
              <w:rPr>
                <w:rFonts w:ascii="Arial" w:hAnsi="Arial" w:cs="Arial"/>
                <w:sz w:val="20"/>
                <w:szCs w:val="20"/>
                <w:lang w:val="en-GB"/>
              </w:rPr>
              <w:t>Gene-ration</w:t>
            </w:r>
          </w:p>
        </w:tc>
        <w:tc>
          <w:tcPr>
            <w:tcW w:w="1134" w:type="dxa"/>
          </w:tcPr>
          <w:p w14:paraId="4A2512E7" w14:textId="77777777" w:rsidR="00CF05F5" w:rsidRPr="00C907E1" w:rsidRDefault="00CF05F5" w:rsidP="0075304E">
            <w:pPr>
              <w:pStyle w:val="BodyText"/>
              <w:rPr>
                <w:rFonts w:ascii="Arial" w:hAnsi="Arial" w:cs="Arial"/>
                <w:sz w:val="20"/>
                <w:szCs w:val="20"/>
                <w:lang w:val="en-GB"/>
              </w:rPr>
            </w:pPr>
            <w:r w:rsidRPr="00C907E1">
              <w:rPr>
                <w:rFonts w:ascii="Arial" w:hAnsi="Arial" w:cs="Arial"/>
                <w:sz w:val="20"/>
                <w:szCs w:val="20"/>
                <w:lang w:val="en-GB"/>
              </w:rPr>
              <w:t>ATC code</w:t>
            </w:r>
            <w:r w:rsidRPr="005A6DA8">
              <w:rPr>
                <w:rFonts w:ascii="Times New Roman" w:eastAsia="Times New Roman" w:hAnsi="Times New Roman"/>
                <w:sz w:val="29"/>
                <w:szCs w:val="29"/>
                <w:vertAlign w:val="superscript"/>
                <w:lang w:val="en" w:eastAsia="de-DE"/>
              </w:rPr>
              <w:t>†</w:t>
            </w:r>
            <w:r w:rsidRPr="00C907E1">
              <w:rPr>
                <w:rFonts w:ascii="Arial" w:hAnsi="Arial" w:cs="Arial"/>
                <w:sz w:val="20"/>
                <w:szCs w:val="20"/>
                <w:lang w:val="en-GB"/>
              </w:rPr>
              <w:t xml:space="preserve"> </w:t>
            </w:r>
          </w:p>
        </w:tc>
        <w:tc>
          <w:tcPr>
            <w:tcW w:w="3543" w:type="dxa"/>
          </w:tcPr>
          <w:p w14:paraId="0B53061B" w14:textId="77777777" w:rsidR="00CF05F5" w:rsidRPr="00C907E1" w:rsidRDefault="00CF05F5" w:rsidP="0075304E">
            <w:pPr>
              <w:pStyle w:val="BodyText"/>
              <w:rPr>
                <w:rFonts w:ascii="Arial" w:hAnsi="Arial" w:cs="Arial"/>
                <w:sz w:val="20"/>
                <w:szCs w:val="20"/>
                <w:lang w:val="en-GB"/>
              </w:rPr>
            </w:pPr>
            <w:r w:rsidRPr="00C907E1">
              <w:rPr>
                <w:rFonts w:ascii="Arial" w:hAnsi="Arial" w:cs="Arial"/>
                <w:sz w:val="20"/>
                <w:szCs w:val="20"/>
                <w:lang w:val="en-GB"/>
              </w:rPr>
              <w:t>Drug combination</w:t>
            </w:r>
          </w:p>
        </w:tc>
        <w:tc>
          <w:tcPr>
            <w:tcW w:w="1531" w:type="dxa"/>
          </w:tcPr>
          <w:p w14:paraId="20E4F5CC" w14:textId="43A75700" w:rsidR="00CF05F5" w:rsidRPr="00C907E1" w:rsidRDefault="00CF05F5">
            <w:pPr>
              <w:pStyle w:val="BodyText"/>
              <w:jc w:val="center"/>
              <w:rPr>
                <w:rFonts w:ascii="Arial" w:hAnsi="Arial" w:cs="Arial"/>
                <w:sz w:val="20"/>
                <w:szCs w:val="20"/>
                <w:lang w:val="en-GB"/>
              </w:rPr>
            </w:pPr>
            <w:r>
              <w:rPr>
                <w:rFonts w:ascii="Arial" w:hAnsi="Arial" w:cs="Arial"/>
                <w:sz w:val="20"/>
                <w:szCs w:val="20"/>
                <w:lang w:val="en-GB"/>
              </w:rPr>
              <w:t>Fixed combi</w:t>
            </w:r>
            <w:r w:rsidR="00FA7CEF">
              <w:rPr>
                <w:rFonts w:ascii="Arial" w:hAnsi="Arial" w:cs="Arial"/>
                <w:sz w:val="20"/>
                <w:szCs w:val="20"/>
                <w:lang w:val="en-GB"/>
              </w:rPr>
              <w:t>nation (F)/sequential preparati</w:t>
            </w:r>
            <w:r>
              <w:rPr>
                <w:rFonts w:ascii="Arial" w:hAnsi="Arial" w:cs="Arial"/>
                <w:sz w:val="20"/>
                <w:szCs w:val="20"/>
                <w:lang w:val="en-GB"/>
              </w:rPr>
              <w:t>on (S)</w:t>
            </w:r>
          </w:p>
        </w:tc>
        <w:tc>
          <w:tcPr>
            <w:tcW w:w="1304" w:type="dxa"/>
          </w:tcPr>
          <w:p w14:paraId="0B1DF9A7" w14:textId="18A8DAF7" w:rsidR="00CF05F5" w:rsidRPr="00C907E1" w:rsidRDefault="00CF05F5" w:rsidP="0075304E">
            <w:pPr>
              <w:pStyle w:val="BodyText"/>
              <w:jc w:val="center"/>
              <w:rPr>
                <w:rFonts w:ascii="Arial" w:hAnsi="Arial" w:cs="Arial"/>
                <w:sz w:val="20"/>
                <w:szCs w:val="20"/>
                <w:lang w:val="en-GB"/>
              </w:rPr>
            </w:pPr>
            <w:r w:rsidRPr="00C907E1">
              <w:rPr>
                <w:rFonts w:ascii="Arial" w:hAnsi="Arial" w:cs="Arial"/>
                <w:sz w:val="20"/>
                <w:szCs w:val="20"/>
                <w:lang w:val="en-GB"/>
              </w:rPr>
              <w:t xml:space="preserve">Relative risk compared to </w:t>
            </w:r>
            <w:proofErr w:type="spellStart"/>
            <w:r w:rsidRPr="00C907E1">
              <w:rPr>
                <w:rFonts w:ascii="Arial" w:hAnsi="Arial" w:cs="Arial"/>
                <w:sz w:val="20"/>
                <w:szCs w:val="20"/>
                <w:lang w:val="en-GB"/>
              </w:rPr>
              <w:t>levonor-gestrel</w:t>
            </w:r>
            <w:proofErr w:type="spellEnd"/>
          </w:p>
        </w:tc>
        <w:tc>
          <w:tcPr>
            <w:tcW w:w="1276" w:type="dxa"/>
          </w:tcPr>
          <w:p w14:paraId="17FF25DB" w14:textId="77777777" w:rsidR="00CF05F5" w:rsidRPr="00C907E1" w:rsidRDefault="00CF05F5" w:rsidP="0075304E">
            <w:pPr>
              <w:pStyle w:val="BodyText"/>
              <w:jc w:val="center"/>
              <w:rPr>
                <w:rFonts w:ascii="Arial" w:hAnsi="Arial" w:cs="Arial"/>
                <w:sz w:val="20"/>
                <w:szCs w:val="20"/>
                <w:lang w:val="en-GB"/>
              </w:rPr>
            </w:pPr>
            <w:r w:rsidRPr="00C907E1">
              <w:rPr>
                <w:rFonts w:ascii="Arial" w:hAnsi="Arial" w:cs="Arial"/>
                <w:sz w:val="20"/>
                <w:szCs w:val="20"/>
                <w:lang w:val="en-GB"/>
              </w:rPr>
              <w:t>Estimate of incidence (per 1000 women per year)</w:t>
            </w:r>
          </w:p>
        </w:tc>
      </w:tr>
      <w:tr w:rsidR="00CF05F5" w:rsidRPr="00C907E1" w14:paraId="672C53C3" w14:textId="77777777" w:rsidTr="00BF1A2A">
        <w:tc>
          <w:tcPr>
            <w:tcW w:w="704" w:type="dxa"/>
          </w:tcPr>
          <w:p w14:paraId="0E7E977C" w14:textId="77777777" w:rsidR="00CF05F5" w:rsidRPr="00C907E1" w:rsidRDefault="00CF05F5" w:rsidP="0075304E">
            <w:pPr>
              <w:pStyle w:val="BodyText"/>
              <w:jc w:val="center"/>
              <w:rPr>
                <w:rFonts w:ascii="Arial" w:hAnsi="Arial" w:cs="Arial"/>
                <w:sz w:val="20"/>
                <w:szCs w:val="20"/>
                <w:lang w:val="en-GB"/>
              </w:rPr>
            </w:pPr>
            <w:r w:rsidRPr="00C907E1">
              <w:rPr>
                <w:rFonts w:ascii="Arial" w:hAnsi="Arial" w:cs="Arial"/>
                <w:sz w:val="20"/>
                <w:szCs w:val="20"/>
                <w:lang w:val="en-GB"/>
              </w:rPr>
              <w:t>I</w:t>
            </w:r>
          </w:p>
        </w:tc>
        <w:tc>
          <w:tcPr>
            <w:tcW w:w="851" w:type="dxa"/>
          </w:tcPr>
          <w:p w14:paraId="2986362E" w14:textId="77777777" w:rsidR="00CF05F5" w:rsidRPr="00C907E1" w:rsidRDefault="00CF05F5" w:rsidP="0075304E">
            <w:pPr>
              <w:pStyle w:val="BodyText"/>
              <w:jc w:val="center"/>
              <w:rPr>
                <w:rFonts w:ascii="Arial" w:hAnsi="Arial" w:cs="Arial"/>
                <w:sz w:val="20"/>
                <w:szCs w:val="20"/>
                <w:lang w:val="en-GB"/>
              </w:rPr>
            </w:pPr>
            <w:r w:rsidRPr="00C907E1">
              <w:rPr>
                <w:rFonts w:ascii="Arial" w:hAnsi="Arial" w:cs="Arial"/>
                <w:sz w:val="20"/>
                <w:szCs w:val="20"/>
                <w:lang w:val="en-GB"/>
              </w:rPr>
              <w:t>1</w:t>
            </w:r>
          </w:p>
        </w:tc>
        <w:tc>
          <w:tcPr>
            <w:tcW w:w="1134" w:type="dxa"/>
          </w:tcPr>
          <w:p w14:paraId="1CD95D27" w14:textId="77777777" w:rsidR="00CF05F5" w:rsidRPr="00C907E1" w:rsidRDefault="00CF05F5" w:rsidP="0075304E">
            <w:pPr>
              <w:pStyle w:val="BodyText"/>
              <w:rPr>
                <w:rFonts w:ascii="Arial" w:hAnsi="Arial" w:cs="Arial"/>
                <w:sz w:val="20"/>
                <w:szCs w:val="20"/>
                <w:lang w:val="en-GB"/>
              </w:rPr>
            </w:pPr>
            <w:r w:rsidRPr="00C907E1">
              <w:rPr>
                <w:rFonts w:ascii="Arial" w:hAnsi="Arial" w:cs="Arial"/>
                <w:sz w:val="20"/>
                <w:szCs w:val="20"/>
                <w:lang w:val="en-GB"/>
              </w:rPr>
              <w:t xml:space="preserve">G03AA05 </w:t>
            </w:r>
          </w:p>
        </w:tc>
        <w:tc>
          <w:tcPr>
            <w:tcW w:w="3543" w:type="dxa"/>
          </w:tcPr>
          <w:p w14:paraId="59D75DDC" w14:textId="77777777" w:rsidR="00CF05F5" w:rsidRPr="00C907E1" w:rsidRDefault="00CF05F5" w:rsidP="0075304E">
            <w:pPr>
              <w:pStyle w:val="BodyText"/>
              <w:rPr>
                <w:rFonts w:ascii="Arial" w:hAnsi="Arial" w:cs="Arial"/>
                <w:sz w:val="20"/>
                <w:szCs w:val="20"/>
                <w:lang w:val="en-GB"/>
              </w:rPr>
            </w:pPr>
            <w:proofErr w:type="spellStart"/>
            <w:r w:rsidRPr="00C907E1">
              <w:rPr>
                <w:rFonts w:ascii="Arial" w:hAnsi="Arial" w:cs="Arial"/>
                <w:sz w:val="20"/>
                <w:szCs w:val="20"/>
                <w:lang w:val="en-GB"/>
              </w:rPr>
              <w:t>norethisteron</w:t>
            </w:r>
            <w:proofErr w:type="spellEnd"/>
            <w:r w:rsidRPr="00C907E1">
              <w:rPr>
                <w:rFonts w:ascii="Arial" w:hAnsi="Arial" w:cs="Arial"/>
                <w:sz w:val="20"/>
                <w:szCs w:val="20"/>
                <w:lang w:val="en-GB"/>
              </w:rPr>
              <w:t xml:space="preserve"> and </w:t>
            </w:r>
            <w:proofErr w:type="spellStart"/>
            <w:r w:rsidRPr="00C907E1">
              <w:rPr>
                <w:rFonts w:ascii="Arial" w:hAnsi="Arial" w:cs="Arial"/>
                <w:sz w:val="20"/>
                <w:szCs w:val="20"/>
                <w:lang w:val="en-GB"/>
              </w:rPr>
              <w:t>ethinylestradiol</w:t>
            </w:r>
            <w:proofErr w:type="spellEnd"/>
          </w:p>
        </w:tc>
        <w:tc>
          <w:tcPr>
            <w:tcW w:w="1531" w:type="dxa"/>
          </w:tcPr>
          <w:p w14:paraId="0F7C461F" w14:textId="75645A85" w:rsidR="00CF05F5" w:rsidRPr="00C907E1" w:rsidRDefault="00825A9A" w:rsidP="00BF1A2A">
            <w:pPr>
              <w:pStyle w:val="BodyText"/>
              <w:jc w:val="center"/>
              <w:rPr>
                <w:rFonts w:ascii="Arial" w:hAnsi="Arial" w:cs="Arial"/>
                <w:sz w:val="20"/>
                <w:szCs w:val="20"/>
                <w:lang w:val="en-GB"/>
              </w:rPr>
            </w:pPr>
            <w:r>
              <w:rPr>
                <w:rFonts w:ascii="Arial" w:hAnsi="Arial" w:cs="Arial"/>
                <w:sz w:val="20"/>
                <w:szCs w:val="20"/>
                <w:lang w:val="en-GB"/>
              </w:rPr>
              <w:t>F</w:t>
            </w:r>
          </w:p>
        </w:tc>
        <w:tc>
          <w:tcPr>
            <w:tcW w:w="1304" w:type="dxa"/>
          </w:tcPr>
          <w:p w14:paraId="36389FB5" w14:textId="0AB65234" w:rsidR="00CF05F5" w:rsidRPr="00C907E1" w:rsidRDefault="00CF05F5" w:rsidP="0075304E">
            <w:pPr>
              <w:pStyle w:val="BodyText"/>
              <w:rPr>
                <w:rFonts w:ascii="Arial" w:hAnsi="Arial" w:cs="Arial"/>
                <w:sz w:val="20"/>
                <w:szCs w:val="20"/>
                <w:lang w:val="en-GB"/>
              </w:rPr>
            </w:pPr>
          </w:p>
        </w:tc>
        <w:tc>
          <w:tcPr>
            <w:tcW w:w="1276" w:type="dxa"/>
          </w:tcPr>
          <w:p w14:paraId="3553B3FA" w14:textId="77777777" w:rsidR="00CF05F5" w:rsidRPr="00C907E1" w:rsidRDefault="00CF05F5" w:rsidP="0075304E">
            <w:pPr>
              <w:pStyle w:val="BodyText"/>
              <w:rPr>
                <w:rFonts w:ascii="Arial" w:hAnsi="Arial" w:cs="Arial"/>
                <w:sz w:val="20"/>
                <w:szCs w:val="20"/>
                <w:lang w:val="en-GB"/>
              </w:rPr>
            </w:pPr>
          </w:p>
        </w:tc>
      </w:tr>
      <w:tr w:rsidR="00CF05F5" w:rsidRPr="00C907E1" w14:paraId="143AAF08" w14:textId="77777777" w:rsidTr="00BF1A2A">
        <w:tc>
          <w:tcPr>
            <w:tcW w:w="704" w:type="dxa"/>
          </w:tcPr>
          <w:p w14:paraId="2A9646CB" w14:textId="77777777" w:rsidR="00CF05F5" w:rsidRPr="00C907E1" w:rsidRDefault="00CF05F5" w:rsidP="0075304E">
            <w:pPr>
              <w:pStyle w:val="BodyText"/>
              <w:jc w:val="center"/>
              <w:rPr>
                <w:rFonts w:ascii="Arial" w:hAnsi="Arial" w:cs="Arial"/>
                <w:sz w:val="20"/>
                <w:szCs w:val="20"/>
                <w:lang w:val="en-GB"/>
              </w:rPr>
            </w:pPr>
            <w:r w:rsidRPr="00C907E1">
              <w:rPr>
                <w:rFonts w:ascii="Arial" w:hAnsi="Arial" w:cs="Arial"/>
                <w:sz w:val="20"/>
                <w:szCs w:val="20"/>
                <w:lang w:val="en-GB"/>
              </w:rPr>
              <w:t>I</w:t>
            </w:r>
          </w:p>
        </w:tc>
        <w:tc>
          <w:tcPr>
            <w:tcW w:w="851" w:type="dxa"/>
          </w:tcPr>
          <w:p w14:paraId="6226A340" w14:textId="77777777" w:rsidR="00CF05F5" w:rsidRPr="00C907E1" w:rsidRDefault="00CF05F5" w:rsidP="0075304E">
            <w:pPr>
              <w:pStyle w:val="BodyText"/>
              <w:jc w:val="center"/>
              <w:rPr>
                <w:rFonts w:ascii="Arial" w:hAnsi="Arial" w:cs="Arial"/>
                <w:sz w:val="20"/>
                <w:szCs w:val="20"/>
                <w:lang w:val="en-GB"/>
              </w:rPr>
            </w:pPr>
            <w:r w:rsidRPr="00C907E1">
              <w:rPr>
                <w:rFonts w:ascii="Arial" w:hAnsi="Arial" w:cs="Arial"/>
                <w:sz w:val="20"/>
                <w:szCs w:val="20"/>
                <w:lang w:val="en-GB"/>
              </w:rPr>
              <w:t>1</w:t>
            </w:r>
          </w:p>
        </w:tc>
        <w:tc>
          <w:tcPr>
            <w:tcW w:w="1134" w:type="dxa"/>
          </w:tcPr>
          <w:p w14:paraId="7F51AF5B" w14:textId="77777777" w:rsidR="00CF05F5" w:rsidRPr="00C907E1" w:rsidRDefault="00CF05F5" w:rsidP="0075304E">
            <w:pPr>
              <w:pStyle w:val="BodyText"/>
              <w:rPr>
                <w:rFonts w:ascii="Arial" w:hAnsi="Arial" w:cs="Arial"/>
                <w:sz w:val="20"/>
                <w:szCs w:val="20"/>
                <w:lang w:val="en-GB"/>
              </w:rPr>
            </w:pPr>
            <w:r w:rsidRPr="00C907E1">
              <w:rPr>
                <w:rFonts w:ascii="Arial" w:hAnsi="Arial" w:cs="Arial"/>
                <w:sz w:val="20"/>
                <w:szCs w:val="20"/>
                <w:lang w:val="en-GB"/>
              </w:rPr>
              <w:t xml:space="preserve">G03AB04 </w:t>
            </w:r>
          </w:p>
        </w:tc>
        <w:tc>
          <w:tcPr>
            <w:tcW w:w="3543" w:type="dxa"/>
          </w:tcPr>
          <w:p w14:paraId="7BC11F7B" w14:textId="77777777" w:rsidR="00CF05F5" w:rsidRPr="00C907E1" w:rsidRDefault="00CF05F5" w:rsidP="0075304E">
            <w:pPr>
              <w:pStyle w:val="BodyText"/>
              <w:rPr>
                <w:rFonts w:ascii="Arial" w:hAnsi="Arial" w:cs="Arial"/>
                <w:sz w:val="20"/>
                <w:szCs w:val="20"/>
                <w:lang w:val="en-GB"/>
              </w:rPr>
            </w:pPr>
            <w:proofErr w:type="spellStart"/>
            <w:r w:rsidRPr="00C907E1">
              <w:rPr>
                <w:rFonts w:ascii="Arial" w:hAnsi="Arial" w:cs="Arial"/>
                <w:sz w:val="20"/>
                <w:szCs w:val="20"/>
                <w:lang w:val="en-GB"/>
              </w:rPr>
              <w:t>norethisteron</w:t>
            </w:r>
            <w:proofErr w:type="spellEnd"/>
            <w:r w:rsidRPr="00C907E1">
              <w:rPr>
                <w:rFonts w:ascii="Arial" w:hAnsi="Arial" w:cs="Arial"/>
                <w:sz w:val="20"/>
                <w:szCs w:val="20"/>
                <w:lang w:val="en-GB"/>
              </w:rPr>
              <w:t xml:space="preserve"> and </w:t>
            </w:r>
            <w:proofErr w:type="spellStart"/>
            <w:r w:rsidRPr="00C907E1">
              <w:rPr>
                <w:rFonts w:ascii="Arial" w:hAnsi="Arial" w:cs="Arial"/>
                <w:sz w:val="20"/>
                <w:szCs w:val="20"/>
                <w:lang w:val="en-GB"/>
              </w:rPr>
              <w:t>ethinylestradiol</w:t>
            </w:r>
            <w:proofErr w:type="spellEnd"/>
          </w:p>
        </w:tc>
        <w:tc>
          <w:tcPr>
            <w:tcW w:w="1531" w:type="dxa"/>
          </w:tcPr>
          <w:p w14:paraId="27B85BF6" w14:textId="67176177" w:rsidR="00CF05F5" w:rsidRPr="00C907E1" w:rsidRDefault="00825A9A" w:rsidP="00BF1A2A">
            <w:pPr>
              <w:pStyle w:val="BodyText"/>
              <w:jc w:val="center"/>
              <w:rPr>
                <w:rFonts w:ascii="Arial" w:hAnsi="Arial" w:cs="Arial"/>
                <w:sz w:val="20"/>
                <w:szCs w:val="20"/>
                <w:lang w:val="en-GB"/>
              </w:rPr>
            </w:pPr>
            <w:r>
              <w:rPr>
                <w:rFonts w:ascii="Arial" w:hAnsi="Arial" w:cs="Arial"/>
                <w:sz w:val="20"/>
                <w:szCs w:val="20"/>
                <w:lang w:val="en-GB"/>
              </w:rPr>
              <w:t>S</w:t>
            </w:r>
          </w:p>
        </w:tc>
        <w:tc>
          <w:tcPr>
            <w:tcW w:w="1304" w:type="dxa"/>
          </w:tcPr>
          <w:p w14:paraId="3AE1A167" w14:textId="2D9AD3B4" w:rsidR="00CF05F5" w:rsidRPr="00C907E1" w:rsidRDefault="00CF05F5" w:rsidP="0075304E">
            <w:pPr>
              <w:pStyle w:val="BodyText"/>
              <w:rPr>
                <w:rFonts w:ascii="Arial" w:hAnsi="Arial" w:cs="Arial"/>
                <w:sz w:val="20"/>
                <w:szCs w:val="20"/>
                <w:lang w:val="en-GB"/>
              </w:rPr>
            </w:pPr>
          </w:p>
        </w:tc>
        <w:tc>
          <w:tcPr>
            <w:tcW w:w="1276" w:type="dxa"/>
          </w:tcPr>
          <w:p w14:paraId="7CF9BFA9" w14:textId="77777777" w:rsidR="00CF05F5" w:rsidRPr="00C907E1" w:rsidRDefault="00CF05F5" w:rsidP="0075304E">
            <w:pPr>
              <w:pStyle w:val="BodyText"/>
              <w:rPr>
                <w:rFonts w:ascii="Arial" w:hAnsi="Arial" w:cs="Arial"/>
                <w:sz w:val="20"/>
                <w:szCs w:val="20"/>
                <w:lang w:val="en-GB"/>
              </w:rPr>
            </w:pPr>
          </w:p>
        </w:tc>
      </w:tr>
      <w:tr w:rsidR="00CF05F5" w:rsidRPr="00C907E1" w14:paraId="4794A608" w14:textId="77777777" w:rsidTr="00BF1A2A">
        <w:tc>
          <w:tcPr>
            <w:tcW w:w="704" w:type="dxa"/>
          </w:tcPr>
          <w:p w14:paraId="2A598A78" w14:textId="77777777" w:rsidR="00CF05F5" w:rsidRPr="00C907E1" w:rsidRDefault="00CF05F5" w:rsidP="0075304E">
            <w:pPr>
              <w:pStyle w:val="BodyText"/>
              <w:jc w:val="center"/>
              <w:rPr>
                <w:rFonts w:ascii="Arial" w:hAnsi="Arial" w:cs="Arial"/>
                <w:sz w:val="20"/>
                <w:szCs w:val="20"/>
                <w:lang w:val="en-GB"/>
              </w:rPr>
            </w:pPr>
            <w:r w:rsidRPr="00C907E1">
              <w:rPr>
                <w:rFonts w:ascii="Arial" w:hAnsi="Arial" w:cs="Arial"/>
                <w:sz w:val="20"/>
                <w:szCs w:val="20"/>
                <w:lang w:val="en-GB"/>
              </w:rPr>
              <w:t>I</w:t>
            </w:r>
          </w:p>
        </w:tc>
        <w:tc>
          <w:tcPr>
            <w:tcW w:w="851" w:type="dxa"/>
          </w:tcPr>
          <w:p w14:paraId="4821D8C9" w14:textId="77777777" w:rsidR="00CF05F5" w:rsidRPr="00C907E1" w:rsidRDefault="00CF05F5" w:rsidP="0075304E">
            <w:pPr>
              <w:pStyle w:val="BodyText"/>
              <w:jc w:val="center"/>
              <w:rPr>
                <w:rFonts w:ascii="Arial" w:hAnsi="Arial" w:cs="Arial"/>
                <w:sz w:val="20"/>
                <w:szCs w:val="20"/>
                <w:lang w:val="en-GB"/>
              </w:rPr>
            </w:pPr>
            <w:r w:rsidRPr="00C907E1">
              <w:rPr>
                <w:rFonts w:ascii="Arial" w:hAnsi="Arial" w:cs="Arial"/>
                <w:sz w:val="20"/>
                <w:szCs w:val="20"/>
                <w:lang w:val="en-GB"/>
              </w:rPr>
              <w:t>2</w:t>
            </w:r>
          </w:p>
        </w:tc>
        <w:tc>
          <w:tcPr>
            <w:tcW w:w="1134" w:type="dxa"/>
          </w:tcPr>
          <w:p w14:paraId="558683E4" w14:textId="77777777" w:rsidR="00CF05F5" w:rsidRPr="00C907E1" w:rsidRDefault="00CF05F5" w:rsidP="0075304E">
            <w:pPr>
              <w:pStyle w:val="BodyText"/>
              <w:rPr>
                <w:rFonts w:ascii="Arial" w:hAnsi="Arial" w:cs="Arial"/>
                <w:sz w:val="20"/>
                <w:szCs w:val="20"/>
                <w:lang w:val="en-GB"/>
              </w:rPr>
            </w:pPr>
            <w:r w:rsidRPr="00C907E1">
              <w:rPr>
                <w:rFonts w:ascii="Arial" w:hAnsi="Arial" w:cs="Arial"/>
                <w:sz w:val="20"/>
                <w:szCs w:val="20"/>
                <w:lang w:val="en-GB"/>
              </w:rPr>
              <w:t xml:space="preserve">G03AA07 </w:t>
            </w:r>
          </w:p>
        </w:tc>
        <w:tc>
          <w:tcPr>
            <w:tcW w:w="3543" w:type="dxa"/>
          </w:tcPr>
          <w:p w14:paraId="247E98BF" w14:textId="77777777" w:rsidR="00CF05F5" w:rsidRPr="00C907E1" w:rsidRDefault="00CF05F5" w:rsidP="0075304E">
            <w:pPr>
              <w:pStyle w:val="BodyText"/>
              <w:rPr>
                <w:rFonts w:ascii="Arial" w:hAnsi="Arial" w:cs="Arial"/>
                <w:sz w:val="20"/>
                <w:szCs w:val="20"/>
                <w:lang w:val="en-GB"/>
              </w:rPr>
            </w:pPr>
            <w:r w:rsidRPr="00C907E1">
              <w:rPr>
                <w:rFonts w:ascii="Arial" w:hAnsi="Arial" w:cs="Arial"/>
                <w:sz w:val="20"/>
                <w:szCs w:val="20"/>
                <w:lang w:val="en-GB"/>
              </w:rPr>
              <w:t xml:space="preserve">levonorgestrel and </w:t>
            </w:r>
            <w:proofErr w:type="spellStart"/>
            <w:r w:rsidRPr="00C907E1">
              <w:rPr>
                <w:rFonts w:ascii="Arial" w:hAnsi="Arial" w:cs="Arial"/>
                <w:sz w:val="20"/>
                <w:szCs w:val="20"/>
                <w:lang w:val="en-GB"/>
              </w:rPr>
              <w:t>ethinylestradiol</w:t>
            </w:r>
            <w:proofErr w:type="spellEnd"/>
          </w:p>
        </w:tc>
        <w:tc>
          <w:tcPr>
            <w:tcW w:w="1531" w:type="dxa"/>
          </w:tcPr>
          <w:p w14:paraId="09CFF860" w14:textId="06CD7714" w:rsidR="00CF05F5" w:rsidRPr="00C907E1" w:rsidRDefault="00825A9A">
            <w:pPr>
              <w:pStyle w:val="BodyText"/>
              <w:jc w:val="center"/>
              <w:rPr>
                <w:rFonts w:ascii="Arial" w:hAnsi="Arial" w:cs="Arial"/>
                <w:sz w:val="20"/>
                <w:szCs w:val="20"/>
                <w:lang w:val="en-GB"/>
              </w:rPr>
            </w:pPr>
            <w:r>
              <w:rPr>
                <w:rFonts w:ascii="Arial" w:hAnsi="Arial" w:cs="Arial"/>
                <w:sz w:val="20"/>
                <w:szCs w:val="20"/>
                <w:lang w:val="en-GB"/>
              </w:rPr>
              <w:t>F</w:t>
            </w:r>
          </w:p>
        </w:tc>
        <w:tc>
          <w:tcPr>
            <w:tcW w:w="1304" w:type="dxa"/>
          </w:tcPr>
          <w:p w14:paraId="27B6A5D7" w14:textId="66ACAF5A" w:rsidR="00CF05F5" w:rsidRPr="00C907E1" w:rsidRDefault="00CF05F5" w:rsidP="0075304E">
            <w:pPr>
              <w:pStyle w:val="BodyText"/>
              <w:jc w:val="center"/>
              <w:rPr>
                <w:rFonts w:ascii="Arial" w:hAnsi="Arial" w:cs="Arial"/>
                <w:sz w:val="20"/>
                <w:szCs w:val="20"/>
                <w:lang w:val="en-GB"/>
              </w:rPr>
            </w:pPr>
            <w:r w:rsidRPr="00C907E1">
              <w:rPr>
                <w:rFonts w:ascii="Arial" w:hAnsi="Arial" w:cs="Arial"/>
                <w:sz w:val="20"/>
                <w:szCs w:val="20"/>
                <w:lang w:val="en-GB"/>
              </w:rPr>
              <w:t>(reference)</w:t>
            </w:r>
          </w:p>
        </w:tc>
        <w:tc>
          <w:tcPr>
            <w:tcW w:w="1276" w:type="dxa"/>
          </w:tcPr>
          <w:p w14:paraId="2504E367" w14:textId="77777777" w:rsidR="00CF05F5" w:rsidRPr="00C907E1" w:rsidRDefault="00CF05F5" w:rsidP="0075304E">
            <w:pPr>
              <w:pStyle w:val="BodyText"/>
              <w:jc w:val="center"/>
              <w:rPr>
                <w:rFonts w:ascii="Arial" w:hAnsi="Arial" w:cs="Arial"/>
                <w:sz w:val="20"/>
                <w:szCs w:val="20"/>
                <w:lang w:val="en-GB"/>
              </w:rPr>
            </w:pPr>
            <w:r w:rsidRPr="00C907E1">
              <w:rPr>
                <w:rFonts w:ascii="Arial" w:hAnsi="Arial" w:cs="Arial"/>
                <w:sz w:val="20"/>
                <w:szCs w:val="20"/>
                <w:lang w:val="en-GB"/>
              </w:rPr>
              <w:t>5–7</w:t>
            </w:r>
          </w:p>
        </w:tc>
      </w:tr>
      <w:tr w:rsidR="00CF05F5" w:rsidRPr="00C907E1" w14:paraId="22504FA0" w14:textId="77777777" w:rsidTr="00BF1A2A">
        <w:tc>
          <w:tcPr>
            <w:tcW w:w="704" w:type="dxa"/>
          </w:tcPr>
          <w:p w14:paraId="2CB262EA" w14:textId="77777777" w:rsidR="00CF05F5" w:rsidRPr="00C907E1" w:rsidRDefault="00CF05F5" w:rsidP="0075304E">
            <w:pPr>
              <w:pStyle w:val="BodyText"/>
              <w:jc w:val="center"/>
              <w:rPr>
                <w:rFonts w:ascii="Arial" w:hAnsi="Arial" w:cs="Arial"/>
                <w:sz w:val="20"/>
                <w:szCs w:val="20"/>
                <w:lang w:val="en-GB"/>
              </w:rPr>
            </w:pPr>
            <w:r w:rsidRPr="00C907E1">
              <w:rPr>
                <w:rFonts w:ascii="Arial" w:hAnsi="Arial" w:cs="Arial"/>
                <w:sz w:val="20"/>
                <w:szCs w:val="20"/>
                <w:lang w:val="en-GB"/>
              </w:rPr>
              <w:t>I</w:t>
            </w:r>
          </w:p>
        </w:tc>
        <w:tc>
          <w:tcPr>
            <w:tcW w:w="851" w:type="dxa"/>
          </w:tcPr>
          <w:p w14:paraId="528974F6" w14:textId="77777777" w:rsidR="00CF05F5" w:rsidRPr="00C907E1" w:rsidRDefault="00CF05F5" w:rsidP="0075304E">
            <w:pPr>
              <w:pStyle w:val="BodyText"/>
              <w:jc w:val="center"/>
              <w:rPr>
                <w:rFonts w:ascii="Arial" w:hAnsi="Arial" w:cs="Arial"/>
                <w:sz w:val="20"/>
                <w:szCs w:val="20"/>
                <w:lang w:val="en-GB"/>
              </w:rPr>
            </w:pPr>
            <w:r w:rsidRPr="00C907E1">
              <w:rPr>
                <w:rFonts w:ascii="Arial" w:hAnsi="Arial" w:cs="Arial"/>
                <w:sz w:val="20"/>
                <w:szCs w:val="20"/>
                <w:lang w:val="en-GB"/>
              </w:rPr>
              <w:t>2</w:t>
            </w:r>
          </w:p>
        </w:tc>
        <w:tc>
          <w:tcPr>
            <w:tcW w:w="1134" w:type="dxa"/>
          </w:tcPr>
          <w:p w14:paraId="7E58E5EB" w14:textId="77777777" w:rsidR="00CF05F5" w:rsidRPr="00C907E1" w:rsidRDefault="00CF05F5" w:rsidP="0075304E">
            <w:pPr>
              <w:pStyle w:val="BodyText"/>
              <w:rPr>
                <w:rFonts w:ascii="Arial" w:hAnsi="Arial" w:cs="Arial"/>
                <w:sz w:val="20"/>
                <w:szCs w:val="20"/>
                <w:lang w:val="en-GB"/>
              </w:rPr>
            </w:pPr>
            <w:r w:rsidRPr="00C907E1">
              <w:rPr>
                <w:rFonts w:ascii="Arial" w:hAnsi="Arial" w:cs="Arial"/>
                <w:sz w:val="20"/>
                <w:szCs w:val="20"/>
                <w:lang w:val="en-GB"/>
              </w:rPr>
              <w:t xml:space="preserve">G03AB03 </w:t>
            </w:r>
          </w:p>
        </w:tc>
        <w:tc>
          <w:tcPr>
            <w:tcW w:w="3543" w:type="dxa"/>
          </w:tcPr>
          <w:p w14:paraId="33795F6F" w14:textId="05C9F6EE" w:rsidR="00CF05F5" w:rsidRPr="00C907E1" w:rsidRDefault="00CF05F5" w:rsidP="0075304E">
            <w:pPr>
              <w:pStyle w:val="BodyText"/>
              <w:rPr>
                <w:rFonts w:ascii="Arial" w:hAnsi="Arial" w:cs="Arial"/>
                <w:sz w:val="20"/>
                <w:szCs w:val="20"/>
                <w:lang w:val="en-GB"/>
              </w:rPr>
            </w:pPr>
            <w:r>
              <w:rPr>
                <w:rFonts w:ascii="Arial" w:hAnsi="Arial" w:cs="Arial"/>
                <w:sz w:val="20"/>
                <w:szCs w:val="20"/>
                <w:lang w:val="en-GB"/>
              </w:rPr>
              <w:t>l</w:t>
            </w:r>
            <w:r w:rsidRPr="00C907E1">
              <w:rPr>
                <w:rFonts w:ascii="Arial" w:hAnsi="Arial" w:cs="Arial"/>
                <w:sz w:val="20"/>
                <w:szCs w:val="20"/>
                <w:lang w:val="en-GB"/>
              </w:rPr>
              <w:t xml:space="preserve">evonorgestrel and </w:t>
            </w:r>
            <w:proofErr w:type="spellStart"/>
            <w:r w:rsidRPr="00C907E1">
              <w:rPr>
                <w:rFonts w:ascii="Arial" w:hAnsi="Arial" w:cs="Arial"/>
                <w:sz w:val="20"/>
                <w:szCs w:val="20"/>
                <w:lang w:val="en-GB"/>
              </w:rPr>
              <w:t>ethinylestradiol</w:t>
            </w:r>
            <w:proofErr w:type="spellEnd"/>
          </w:p>
        </w:tc>
        <w:tc>
          <w:tcPr>
            <w:tcW w:w="1531" w:type="dxa"/>
          </w:tcPr>
          <w:p w14:paraId="3E29F4CB" w14:textId="41D49DED" w:rsidR="00CF05F5" w:rsidRPr="00C907E1" w:rsidRDefault="00825A9A">
            <w:pPr>
              <w:pStyle w:val="BodyText"/>
              <w:jc w:val="center"/>
              <w:rPr>
                <w:rFonts w:ascii="Arial" w:hAnsi="Arial" w:cs="Arial"/>
                <w:sz w:val="20"/>
                <w:szCs w:val="20"/>
                <w:lang w:val="en-GB"/>
              </w:rPr>
            </w:pPr>
            <w:r>
              <w:rPr>
                <w:rFonts w:ascii="Arial" w:hAnsi="Arial" w:cs="Arial"/>
                <w:sz w:val="20"/>
                <w:szCs w:val="20"/>
                <w:lang w:val="en-GB"/>
              </w:rPr>
              <w:t>S</w:t>
            </w:r>
          </w:p>
        </w:tc>
        <w:tc>
          <w:tcPr>
            <w:tcW w:w="1304" w:type="dxa"/>
          </w:tcPr>
          <w:p w14:paraId="524EF0ED" w14:textId="0A7824D7" w:rsidR="00CF05F5" w:rsidRPr="00C907E1" w:rsidRDefault="00CF05F5" w:rsidP="0075304E">
            <w:pPr>
              <w:pStyle w:val="BodyText"/>
              <w:jc w:val="center"/>
              <w:rPr>
                <w:rFonts w:ascii="Arial" w:hAnsi="Arial" w:cs="Arial"/>
                <w:sz w:val="20"/>
                <w:szCs w:val="20"/>
                <w:lang w:val="en-GB"/>
              </w:rPr>
            </w:pPr>
            <w:r w:rsidRPr="00C907E1">
              <w:rPr>
                <w:rFonts w:ascii="Arial" w:hAnsi="Arial" w:cs="Arial"/>
                <w:sz w:val="20"/>
                <w:szCs w:val="20"/>
                <w:lang w:val="en-GB"/>
              </w:rPr>
              <w:t>(reference)</w:t>
            </w:r>
          </w:p>
        </w:tc>
        <w:tc>
          <w:tcPr>
            <w:tcW w:w="1276" w:type="dxa"/>
          </w:tcPr>
          <w:p w14:paraId="397D9881" w14:textId="77777777" w:rsidR="00CF05F5" w:rsidRPr="00C907E1" w:rsidRDefault="00CF05F5" w:rsidP="0075304E">
            <w:pPr>
              <w:pStyle w:val="BodyText"/>
              <w:jc w:val="center"/>
              <w:rPr>
                <w:rFonts w:ascii="Arial" w:hAnsi="Arial" w:cs="Arial"/>
                <w:sz w:val="20"/>
                <w:szCs w:val="20"/>
                <w:lang w:val="en-GB"/>
              </w:rPr>
            </w:pPr>
            <w:r w:rsidRPr="00C907E1">
              <w:rPr>
                <w:rFonts w:ascii="Arial" w:hAnsi="Arial" w:cs="Arial"/>
                <w:sz w:val="20"/>
                <w:szCs w:val="20"/>
                <w:lang w:val="en-GB"/>
              </w:rPr>
              <w:t>5–7</w:t>
            </w:r>
          </w:p>
        </w:tc>
      </w:tr>
      <w:tr w:rsidR="00CF05F5" w:rsidRPr="00C907E1" w14:paraId="5FFEF13A" w14:textId="77777777" w:rsidTr="00BF1A2A">
        <w:tc>
          <w:tcPr>
            <w:tcW w:w="704" w:type="dxa"/>
          </w:tcPr>
          <w:p w14:paraId="7E0B80E4" w14:textId="77777777" w:rsidR="00CF05F5" w:rsidRPr="00C907E1" w:rsidRDefault="00CF05F5" w:rsidP="0075304E">
            <w:pPr>
              <w:pStyle w:val="BodyText"/>
              <w:jc w:val="center"/>
              <w:rPr>
                <w:rFonts w:ascii="Arial" w:hAnsi="Arial" w:cs="Arial"/>
                <w:sz w:val="20"/>
                <w:szCs w:val="20"/>
                <w:lang w:val="en-GB"/>
              </w:rPr>
            </w:pPr>
            <w:r w:rsidRPr="00C907E1">
              <w:rPr>
                <w:rFonts w:ascii="Arial" w:hAnsi="Arial" w:cs="Arial"/>
                <w:sz w:val="20"/>
                <w:szCs w:val="20"/>
                <w:lang w:val="en-GB"/>
              </w:rPr>
              <w:t>I</w:t>
            </w:r>
          </w:p>
        </w:tc>
        <w:tc>
          <w:tcPr>
            <w:tcW w:w="851" w:type="dxa"/>
          </w:tcPr>
          <w:p w14:paraId="1A5CADE1" w14:textId="77777777" w:rsidR="00CF05F5" w:rsidRPr="00C907E1" w:rsidRDefault="00CF05F5" w:rsidP="0075304E">
            <w:pPr>
              <w:pStyle w:val="BodyText"/>
              <w:jc w:val="center"/>
              <w:rPr>
                <w:rFonts w:ascii="Arial" w:hAnsi="Arial" w:cs="Arial"/>
                <w:sz w:val="20"/>
                <w:szCs w:val="20"/>
                <w:lang w:val="en-GB"/>
              </w:rPr>
            </w:pPr>
            <w:r w:rsidRPr="00C907E1">
              <w:rPr>
                <w:rFonts w:ascii="Arial" w:hAnsi="Arial" w:cs="Arial"/>
                <w:sz w:val="20"/>
                <w:szCs w:val="20"/>
                <w:lang w:val="en-GB"/>
              </w:rPr>
              <w:t>3</w:t>
            </w:r>
          </w:p>
        </w:tc>
        <w:tc>
          <w:tcPr>
            <w:tcW w:w="1134" w:type="dxa"/>
          </w:tcPr>
          <w:p w14:paraId="70875EBC" w14:textId="77777777" w:rsidR="00CF05F5" w:rsidRPr="00C907E1" w:rsidRDefault="00CF05F5" w:rsidP="0075304E">
            <w:pPr>
              <w:pStyle w:val="BodyText"/>
              <w:ind w:left="-533" w:firstLine="533"/>
              <w:rPr>
                <w:rFonts w:ascii="Arial" w:hAnsi="Arial" w:cs="Arial"/>
                <w:sz w:val="20"/>
                <w:szCs w:val="20"/>
                <w:lang w:val="en-GB"/>
              </w:rPr>
            </w:pPr>
            <w:r w:rsidRPr="00C907E1">
              <w:rPr>
                <w:rFonts w:ascii="Arial" w:hAnsi="Arial" w:cs="Arial"/>
                <w:sz w:val="20"/>
                <w:szCs w:val="20"/>
                <w:lang w:val="en-GB"/>
              </w:rPr>
              <w:t xml:space="preserve">G03AA11 </w:t>
            </w:r>
          </w:p>
        </w:tc>
        <w:tc>
          <w:tcPr>
            <w:tcW w:w="3543" w:type="dxa"/>
          </w:tcPr>
          <w:p w14:paraId="144A55E0" w14:textId="77777777" w:rsidR="00CF05F5" w:rsidRPr="00C907E1" w:rsidRDefault="00CF05F5" w:rsidP="0075304E">
            <w:pPr>
              <w:pStyle w:val="BodyText"/>
              <w:rPr>
                <w:rFonts w:ascii="Arial" w:hAnsi="Arial" w:cs="Arial"/>
                <w:sz w:val="20"/>
                <w:szCs w:val="20"/>
                <w:lang w:val="en-GB"/>
              </w:rPr>
            </w:pPr>
            <w:proofErr w:type="spellStart"/>
            <w:r w:rsidRPr="00C907E1">
              <w:rPr>
                <w:rFonts w:ascii="Arial" w:hAnsi="Arial" w:cs="Arial"/>
                <w:sz w:val="20"/>
                <w:szCs w:val="20"/>
                <w:lang w:val="en-GB"/>
              </w:rPr>
              <w:t>norgestimat</w:t>
            </w:r>
            <w:proofErr w:type="spellEnd"/>
            <w:r w:rsidRPr="00C907E1">
              <w:rPr>
                <w:rFonts w:ascii="Arial" w:hAnsi="Arial" w:cs="Arial"/>
                <w:sz w:val="20"/>
                <w:szCs w:val="20"/>
                <w:lang w:val="en-GB"/>
              </w:rPr>
              <w:t xml:space="preserve"> and </w:t>
            </w:r>
            <w:proofErr w:type="spellStart"/>
            <w:r w:rsidRPr="00C907E1">
              <w:rPr>
                <w:rFonts w:ascii="Arial" w:hAnsi="Arial" w:cs="Arial"/>
                <w:sz w:val="20"/>
                <w:szCs w:val="20"/>
                <w:lang w:val="en-GB"/>
              </w:rPr>
              <w:t>ethinylestradiol</w:t>
            </w:r>
            <w:proofErr w:type="spellEnd"/>
          </w:p>
        </w:tc>
        <w:tc>
          <w:tcPr>
            <w:tcW w:w="1531" w:type="dxa"/>
          </w:tcPr>
          <w:p w14:paraId="380EA99C" w14:textId="4B56EC27" w:rsidR="00CF05F5" w:rsidRPr="00C907E1" w:rsidRDefault="00825A9A">
            <w:pPr>
              <w:pStyle w:val="BodyText"/>
              <w:jc w:val="center"/>
              <w:rPr>
                <w:rFonts w:ascii="Arial" w:hAnsi="Arial" w:cs="Arial"/>
                <w:sz w:val="20"/>
                <w:szCs w:val="20"/>
                <w:lang w:val="en-GB"/>
              </w:rPr>
            </w:pPr>
            <w:r>
              <w:rPr>
                <w:rFonts w:ascii="Arial" w:hAnsi="Arial" w:cs="Arial"/>
                <w:sz w:val="20"/>
                <w:szCs w:val="20"/>
                <w:lang w:val="en-GB"/>
              </w:rPr>
              <w:t>F</w:t>
            </w:r>
          </w:p>
        </w:tc>
        <w:tc>
          <w:tcPr>
            <w:tcW w:w="1304" w:type="dxa"/>
          </w:tcPr>
          <w:p w14:paraId="02CD245B" w14:textId="6AA0DB6C" w:rsidR="00CF05F5" w:rsidRPr="00C907E1" w:rsidRDefault="00CF05F5" w:rsidP="0075304E">
            <w:pPr>
              <w:pStyle w:val="BodyText"/>
              <w:jc w:val="center"/>
              <w:rPr>
                <w:rFonts w:ascii="Arial" w:hAnsi="Arial" w:cs="Arial"/>
                <w:sz w:val="20"/>
                <w:szCs w:val="20"/>
                <w:lang w:val="en-GB"/>
              </w:rPr>
            </w:pPr>
            <w:r w:rsidRPr="00C907E1">
              <w:rPr>
                <w:rFonts w:ascii="Arial" w:hAnsi="Arial" w:cs="Arial"/>
                <w:sz w:val="20"/>
                <w:szCs w:val="20"/>
                <w:lang w:val="en-GB"/>
              </w:rPr>
              <w:t>1.0</w:t>
            </w:r>
          </w:p>
        </w:tc>
        <w:tc>
          <w:tcPr>
            <w:tcW w:w="1276" w:type="dxa"/>
          </w:tcPr>
          <w:p w14:paraId="12F87075" w14:textId="77777777" w:rsidR="00CF05F5" w:rsidRPr="00C907E1" w:rsidRDefault="00CF05F5" w:rsidP="0075304E">
            <w:pPr>
              <w:pStyle w:val="BodyText"/>
              <w:jc w:val="center"/>
              <w:rPr>
                <w:rFonts w:ascii="Arial" w:hAnsi="Arial" w:cs="Arial"/>
                <w:sz w:val="20"/>
                <w:szCs w:val="20"/>
                <w:lang w:val="en-GB"/>
              </w:rPr>
            </w:pPr>
            <w:r w:rsidRPr="00C907E1">
              <w:rPr>
                <w:rFonts w:ascii="Arial" w:hAnsi="Arial" w:cs="Arial"/>
                <w:sz w:val="20"/>
                <w:szCs w:val="20"/>
                <w:lang w:val="en-GB"/>
              </w:rPr>
              <w:t>5–7</w:t>
            </w:r>
          </w:p>
        </w:tc>
      </w:tr>
      <w:tr w:rsidR="00CF05F5" w:rsidRPr="00C907E1" w14:paraId="3557B608" w14:textId="77777777" w:rsidTr="00BF1A2A">
        <w:tc>
          <w:tcPr>
            <w:tcW w:w="704" w:type="dxa"/>
          </w:tcPr>
          <w:p w14:paraId="52791BCE" w14:textId="77777777" w:rsidR="00CF05F5" w:rsidRPr="00C907E1" w:rsidRDefault="00CF05F5" w:rsidP="0075304E">
            <w:pPr>
              <w:pStyle w:val="BodyText"/>
              <w:jc w:val="center"/>
              <w:rPr>
                <w:rFonts w:ascii="Arial" w:hAnsi="Arial" w:cs="Arial"/>
                <w:sz w:val="20"/>
                <w:szCs w:val="20"/>
                <w:lang w:val="en-GB"/>
              </w:rPr>
            </w:pPr>
            <w:r w:rsidRPr="00C907E1">
              <w:rPr>
                <w:rFonts w:ascii="Arial" w:hAnsi="Arial" w:cs="Arial"/>
                <w:sz w:val="20"/>
                <w:szCs w:val="20"/>
                <w:lang w:val="en-GB"/>
              </w:rPr>
              <w:t>I</w:t>
            </w:r>
          </w:p>
        </w:tc>
        <w:tc>
          <w:tcPr>
            <w:tcW w:w="851" w:type="dxa"/>
          </w:tcPr>
          <w:p w14:paraId="0B2C9098" w14:textId="77777777" w:rsidR="00CF05F5" w:rsidRPr="00C907E1" w:rsidRDefault="00CF05F5" w:rsidP="0075304E">
            <w:pPr>
              <w:pStyle w:val="BodyText"/>
              <w:jc w:val="center"/>
              <w:rPr>
                <w:rFonts w:ascii="Arial" w:hAnsi="Arial" w:cs="Arial"/>
                <w:sz w:val="20"/>
                <w:szCs w:val="20"/>
                <w:lang w:val="en-GB"/>
              </w:rPr>
            </w:pPr>
            <w:r w:rsidRPr="00C907E1">
              <w:rPr>
                <w:rFonts w:ascii="Arial" w:hAnsi="Arial" w:cs="Arial"/>
                <w:sz w:val="20"/>
                <w:szCs w:val="20"/>
                <w:lang w:val="en-GB"/>
              </w:rPr>
              <w:t>3</w:t>
            </w:r>
          </w:p>
        </w:tc>
        <w:tc>
          <w:tcPr>
            <w:tcW w:w="1134" w:type="dxa"/>
          </w:tcPr>
          <w:p w14:paraId="47B3DA21" w14:textId="77777777" w:rsidR="00CF05F5" w:rsidRPr="00C907E1" w:rsidRDefault="00CF05F5" w:rsidP="0075304E">
            <w:pPr>
              <w:pStyle w:val="BodyText"/>
              <w:rPr>
                <w:rFonts w:ascii="Arial" w:hAnsi="Arial" w:cs="Arial"/>
                <w:sz w:val="20"/>
                <w:szCs w:val="20"/>
                <w:lang w:val="en-GB"/>
              </w:rPr>
            </w:pPr>
            <w:r w:rsidRPr="00C907E1">
              <w:rPr>
                <w:rFonts w:ascii="Arial" w:hAnsi="Arial" w:cs="Arial"/>
                <w:sz w:val="20"/>
                <w:szCs w:val="20"/>
                <w:lang w:val="en-GB"/>
              </w:rPr>
              <w:t xml:space="preserve">G03AB09 </w:t>
            </w:r>
          </w:p>
        </w:tc>
        <w:tc>
          <w:tcPr>
            <w:tcW w:w="3543" w:type="dxa"/>
          </w:tcPr>
          <w:p w14:paraId="59C405B2" w14:textId="77777777" w:rsidR="00CF05F5" w:rsidRPr="00C907E1" w:rsidRDefault="00CF05F5" w:rsidP="0075304E">
            <w:pPr>
              <w:pStyle w:val="BodyText"/>
              <w:rPr>
                <w:rFonts w:ascii="Arial" w:hAnsi="Arial" w:cs="Arial"/>
                <w:sz w:val="20"/>
                <w:szCs w:val="20"/>
                <w:lang w:val="en-GB"/>
              </w:rPr>
            </w:pPr>
            <w:proofErr w:type="spellStart"/>
            <w:r w:rsidRPr="00C907E1">
              <w:rPr>
                <w:rFonts w:ascii="Arial" w:hAnsi="Arial" w:cs="Arial"/>
                <w:sz w:val="20"/>
                <w:szCs w:val="20"/>
                <w:lang w:val="en-GB"/>
              </w:rPr>
              <w:t>norgestimat</w:t>
            </w:r>
            <w:proofErr w:type="spellEnd"/>
            <w:r w:rsidRPr="00C907E1">
              <w:rPr>
                <w:rFonts w:ascii="Arial" w:hAnsi="Arial" w:cs="Arial"/>
                <w:sz w:val="20"/>
                <w:szCs w:val="20"/>
                <w:lang w:val="en-GB"/>
              </w:rPr>
              <w:t xml:space="preserve"> and </w:t>
            </w:r>
            <w:proofErr w:type="spellStart"/>
            <w:r w:rsidRPr="00C907E1">
              <w:rPr>
                <w:rFonts w:ascii="Arial" w:hAnsi="Arial" w:cs="Arial"/>
                <w:sz w:val="20"/>
                <w:szCs w:val="20"/>
                <w:lang w:val="en-GB"/>
              </w:rPr>
              <w:t>ethinylestradiol</w:t>
            </w:r>
            <w:proofErr w:type="spellEnd"/>
          </w:p>
        </w:tc>
        <w:tc>
          <w:tcPr>
            <w:tcW w:w="1531" w:type="dxa"/>
          </w:tcPr>
          <w:p w14:paraId="4119C535" w14:textId="6694CC9B" w:rsidR="00CF05F5" w:rsidRPr="00C907E1" w:rsidRDefault="00825A9A">
            <w:pPr>
              <w:pStyle w:val="BodyText"/>
              <w:jc w:val="center"/>
              <w:rPr>
                <w:rFonts w:ascii="Arial" w:hAnsi="Arial" w:cs="Arial"/>
                <w:sz w:val="20"/>
                <w:szCs w:val="20"/>
                <w:lang w:val="en-GB"/>
              </w:rPr>
            </w:pPr>
            <w:r>
              <w:rPr>
                <w:rFonts w:ascii="Arial" w:hAnsi="Arial" w:cs="Arial"/>
                <w:sz w:val="20"/>
                <w:szCs w:val="20"/>
                <w:lang w:val="en-GB"/>
              </w:rPr>
              <w:t>S</w:t>
            </w:r>
          </w:p>
        </w:tc>
        <w:tc>
          <w:tcPr>
            <w:tcW w:w="1304" w:type="dxa"/>
          </w:tcPr>
          <w:p w14:paraId="501B521C" w14:textId="258D8450" w:rsidR="00CF05F5" w:rsidRPr="00C907E1" w:rsidRDefault="00CF05F5" w:rsidP="0075304E">
            <w:pPr>
              <w:pStyle w:val="BodyText"/>
              <w:jc w:val="center"/>
              <w:rPr>
                <w:rFonts w:ascii="Arial" w:hAnsi="Arial" w:cs="Arial"/>
                <w:sz w:val="20"/>
                <w:szCs w:val="20"/>
                <w:lang w:val="en-GB"/>
              </w:rPr>
            </w:pPr>
            <w:r w:rsidRPr="00C907E1">
              <w:rPr>
                <w:rFonts w:ascii="Arial" w:hAnsi="Arial" w:cs="Arial"/>
                <w:sz w:val="20"/>
                <w:szCs w:val="20"/>
                <w:lang w:val="en-GB"/>
              </w:rPr>
              <w:t>1.0</w:t>
            </w:r>
          </w:p>
        </w:tc>
        <w:tc>
          <w:tcPr>
            <w:tcW w:w="1276" w:type="dxa"/>
          </w:tcPr>
          <w:p w14:paraId="4329CAD9" w14:textId="77777777" w:rsidR="00CF05F5" w:rsidRPr="00C907E1" w:rsidRDefault="00CF05F5" w:rsidP="0075304E">
            <w:pPr>
              <w:pStyle w:val="BodyText"/>
              <w:jc w:val="center"/>
              <w:rPr>
                <w:rFonts w:ascii="Arial" w:hAnsi="Arial" w:cs="Arial"/>
                <w:sz w:val="20"/>
                <w:szCs w:val="20"/>
                <w:lang w:val="en-GB"/>
              </w:rPr>
            </w:pPr>
            <w:r w:rsidRPr="00C907E1">
              <w:rPr>
                <w:rFonts w:ascii="Arial" w:hAnsi="Arial" w:cs="Arial"/>
                <w:sz w:val="20"/>
                <w:szCs w:val="20"/>
                <w:lang w:val="en-GB"/>
              </w:rPr>
              <w:t>5–7</w:t>
            </w:r>
          </w:p>
        </w:tc>
      </w:tr>
      <w:tr w:rsidR="00CF05F5" w:rsidRPr="008A66BD" w14:paraId="7814CD8C" w14:textId="77777777" w:rsidTr="00BF1A2A">
        <w:tc>
          <w:tcPr>
            <w:tcW w:w="704" w:type="dxa"/>
          </w:tcPr>
          <w:p w14:paraId="00EF2A86" w14:textId="77777777" w:rsidR="00CF05F5" w:rsidRPr="00C907E1" w:rsidRDefault="00CF05F5" w:rsidP="0075304E">
            <w:pPr>
              <w:pStyle w:val="BodyText"/>
              <w:jc w:val="center"/>
              <w:rPr>
                <w:rFonts w:ascii="Arial" w:hAnsi="Arial" w:cs="Arial"/>
                <w:sz w:val="20"/>
                <w:szCs w:val="20"/>
                <w:lang w:val="en-GB"/>
              </w:rPr>
            </w:pPr>
            <w:r w:rsidRPr="00C907E1">
              <w:rPr>
                <w:rFonts w:ascii="Arial" w:hAnsi="Arial" w:cs="Arial"/>
                <w:sz w:val="20"/>
                <w:szCs w:val="20"/>
                <w:lang w:val="en-GB"/>
              </w:rPr>
              <w:t>II</w:t>
            </w:r>
          </w:p>
        </w:tc>
        <w:tc>
          <w:tcPr>
            <w:tcW w:w="851" w:type="dxa"/>
          </w:tcPr>
          <w:p w14:paraId="723F1372" w14:textId="77777777" w:rsidR="00CF05F5" w:rsidRPr="00C907E1" w:rsidRDefault="00CF05F5" w:rsidP="0075304E">
            <w:pPr>
              <w:pStyle w:val="BodyText"/>
              <w:jc w:val="center"/>
              <w:rPr>
                <w:rFonts w:ascii="Arial" w:hAnsi="Arial" w:cs="Arial"/>
                <w:sz w:val="20"/>
                <w:szCs w:val="20"/>
                <w:lang w:val="en-GB"/>
              </w:rPr>
            </w:pPr>
            <w:r w:rsidRPr="00C907E1">
              <w:rPr>
                <w:rFonts w:ascii="Arial" w:hAnsi="Arial" w:cs="Arial"/>
                <w:sz w:val="20"/>
                <w:szCs w:val="20"/>
                <w:lang w:val="en-GB"/>
              </w:rPr>
              <w:t>(</w:t>
            </w:r>
            <w:proofErr w:type="spellStart"/>
            <w:r w:rsidRPr="00C907E1">
              <w:rPr>
                <w:rFonts w:ascii="Arial" w:hAnsi="Arial" w:cs="Arial"/>
                <w:sz w:val="20"/>
                <w:szCs w:val="20"/>
                <w:lang w:val="en-GB"/>
              </w:rPr>
              <w:t>vagi-nal</w:t>
            </w:r>
            <w:proofErr w:type="spellEnd"/>
            <w:r w:rsidRPr="00C907E1">
              <w:rPr>
                <w:rFonts w:ascii="Arial" w:hAnsi="Arial" w:cs="Arial"/>
                <w:sz w:val="20"/>
                <w:szCs w:val="20"/>
                <w:lang w:val="en-GB"/>
              </w:rPr>
              <w:t>)</w:t>
            </w:r>
          </w:p>
        </w:tc>
        <w:tc>
          <w:tcPr>
            <w:tcW w:w="1134" w:type="dxa"/>
          </w:tcPr>
          <w:p w14:paraId="78D9E22A" w14:textId="77777777" w:rsidR="00CF05F5" w:rsidRPr="00C907E1" w:rsidRDefault="00CF05F5" w:rsidP="0075304E">
            <w:pPr>
              <w:pStyle w:val="BodyText"/>
              <w:rPr>
                <w:rFonts w:ascii="Arial" w:hAnsi="Arial" w:cs="Arial"/>
                <w:sz w:val="20"/>
                <w:szCs w:val="20"/>
                <w:lang w:val="en-GB"/>
              </w:rPr>
            </w:pPr>
            <w:r w:rsidRPr="00C907E1">
              <w:rPr>
                <w:rFonts w:ascii="Arial" w:hAnsi="Arial" w:cs="Arial"/>
                <w:sz w:val="20"/>
                <w:szCs w:val="20"/>
                <w:lang w:val="en-GB"/>
              </w:rPr>
              <w:t xml:space="preserve">G02BB01 </w:t>
            </w:r>
          </w:p>
        </w:tc>
        <w:tc>
          <w:tcPr>
            <w:tcW w:w="3543" w:type="dxa"/>
          </w:tcPr>
          <w:p w14:paraId="59C66443" w14:textId="56EF3852" w:rsidR="00CF05F5" w:rsidRPr="00C907E1" w:rsidRDefault="00CF05F5" w:rsidP="0075304E">
            <w:pPr>
              <w:pStyle w:val="BodyText"/>
              <w:rPr>
                <w:rFonts w:ascii="Arial" w:hAnsi="Arial" w:cs="Arial"/>
                <w:sz w:val="20"/>
                <w:szCs w:val="20"/>
                <w:lang w:val="en-GB"/>
              </w:rPr>
            </w:pPr>
            <w:r w:rsidRPr="00C907E1">
              <w:rPr>
                <w:rFonts w:ascii="Arial" w:hAnsi="Arial" w:cs="Arial"/>
                <w:sz w:val="20"/>
                <w:szCs w:val="20"/>
                <w:lang w:val="en-GB"/>
              </w:rPr>
              <w:t xml:space="preserve">vaginal ring with </w:t>
            </w:r>
            <w:proofErr w:type="spellStart"/>
            <w:r w:rsidRPr="00C907E1">
              <w:rPr>
                <w:rFonts w:ascii="Arial" w:hAnsi="Arial" w:cs="Arial"/>
                <w:sz w:val="20"/>
                <w:szCs w:val="20"/>
                <w:lang w:val="en-GB"/>
              </w:rPr>
              <w:t>gestagen</w:t>
            </w:r>
            <w:r w:rsidR="006E0949">
              <w:rPr>
                <w:rFonts w:ascii="Arial" w:hAnsi="Arial" w:cs="Arial"/>
                <w:sz w:val="20"/>
                <w:szCs w:val="20"/>
                <w:lang w:val="en-GB"/>
              </w:rPr>
              <w:t>s</w:t>
            </w:r>
            <w:proofErr w:type="spellEnd"/>
            <w:r w:rsidRPr="00C907E1">
              <w:rPr>
                <w:rFonts w:ascii="Arial" w:hAnsi="Arial" w:cs="Arial"/>
                <w:sz w:val="20"/>
                <w:szCs w:val="20"/>
                <w:lang w:val="en-GB"/>
              </w:rPr>
              <w:t xml:space="preserve"> and </w:t>
            </w:r>
            <w:proofErr w:type="spellStart"/>
            <w:r w:rsidRPr="00C907E1">
              <w:rPr>
                <w:rFonts w:ascii="Arial" w:hAnsi="Arial" w:cs="Arial"/>
                <w:sz w:val="20"/>
                <w:szCs w:val="20"/>
                <w:lang w:val="en-GB"/>
              </w:rPr>
              <w:t>estrogen</w:t>
            </w:r>
            <w:r w:rsidR="006E0949">
              <w:rPr>
                <w:rFonts w:ascii="Arial" w:hAnsi="Arial" w:cs="Arial"/>
                <w:sz w:val="20"/>
                <w:szCs w:val="20"/>
                <w:lang w:val="en-GB"/>
              </w:rPr>
              <w:t>s</w:t>
            </w:r>
            <w:proofErr w:type="spellEnd"/>
          </w:p>
        </w:tc>
        <w:tc>
          <w:tcPr>
            <w:tcW w:w="1531" w:type="dxa"/>
          </w:tcPr>
          <w:p w14:paraId="2652F78E" w14:textId="49BE6C07" w:rsidR="00CF05F5" w:rsidRPr="00C907E1" w:rsidRDefault="00825A9A">
            <w:pPr>
              <w:pStyle w:val="BodyText"/>
              <w:jc w:val="center"/>
              <w:rPr>
                <w:rFonts w:ascii="Arial" w:hAnsi="Arial" w:cs="Arial"/>
                <w:sz w:val="20"/>
                <w:szCs w:val="20"/>
                <w:lang w:val="en-GB"/>
              </w:rPr>
            </w:pPr>
            <w:r>
              <w:rPr>
                <w:rFonts w:ascii="Arial" w:hAnsi="Arial" w:cs="Arial"/>
                <w:sz w:val="20"/>
                <w:szCs w:val="20"/>
                <w:lang w:val="en-GB"/>
              </w:rPr>
              <w:t>n/a</w:t>
            </w:r>
          </w:p>
        </w:tc>
        <w:tc>
          <w:tcPr>
            <w:tcW w:w="1304" w:type="dxa"/>
          </w:tcPr>
          <w:p w14:paraId="2B0133AF" w14:textId="14AF5B6C" w:rsidR="00CF05F5" w:rsidRPr="00C907E1" w:rsidRDefault="00CF05F5" w:rsidP="0075304E">
            <w:pPr>
              <w:pStyle w:val="BodyText"/>
              <w:jc w:val="center"/>
              <w:rPr>
                <w:rFonts w:ascii="Arial" w:hAnsi="Arial" w:cs="Arial"/>
                <w:sz w:val="20"/>
                <w:szCs w:val="20"/>
                <w:lang w:val="en-GB"/>
              </w:rPr>
            </w:pPr>
          </w:p>
        </w:tc>
        <w:tc>
          <w:tcPr>
            <w:tcW w:w="1276" w:type="dxa"/>
          </w:tcPr>
          <w:p w14:paraId="68289624" w14:textId="77777777" w:rsidR="00CF05F5" w:rsidRPr="00C907E1" w:rsidRDefault="00CF05F5" w:rsidP="0075304E">
            <w:pPr>
              <w:pStyle w:val="BodyText"/>
              <w:jc w:val="center"/>
              <w:rPr>
                <w:rFonts w:ascii="Arial" w:hAnsi="Arial" w:cs="Arial"/>
                <w:sz w:val="20"/>
                <w:szCs w:val="20"/>
                <w:lang w:val="en-GB"/>
              </w:rPr>
            </w:pPr>
          </w:p>
        </w:tc>
      </w:tr>
      <w:tr w:rsidR="00CF05F5" w:rsidRPr="00C907E1" w14:paraId="384E9081" w14:textId="77777777" w:rsidTr="00BF1A2A">
        <w:tc>
          <w:tcPr>
            <w:tcW w:w="704" w:type="dxa"/>
          </w:tcPr>
          <w:p w14:paraId="511E7855" w14:textId="77777777" w:rsidR="00CF05F5" w:rsidRPr="00C907E1" w:rsidRDefault="00CF05F5" w:rsidP="0075304E">
            <w:pPr>
              <w:pStyle w:val="BodyText"/>
              <w:jc w:val="center"/>
              <w:rPr>
                <w:rFonts w:ascii="Arial" w:hAnsi="Arial" w:cs="Arial"/>
                <w:sz w:val="20"/>
                <w:szCs w:val="20"/>
                <w:lang w:val="en-GB"/>
              </w:rPr>
            </w:pPr>
            <w:r w:rsidRPr="00C907E1">
              <w:rPr>
                <w:rFonts w:ascii="Arial" w:hAnsi="Arial" w:cs="Arial"/>
                <w:sz w:val="20"/>
                <w:szCs w:val="20"/>
                <w:lang w:val="en-GB"/>
              </w:rPr>
              <w:t>II</w:t>
            </w:r>
          </w:p>
        </w:tc>
        <w:tc>
          <w:tcPr>
            <w:tcW w:w="851" w:type="dxa"/>
          </w:tcPr>
          <w:p w14:paraId="18FB341E" w14:textId="77777777" w:rsidR="00CF05F5" w:rsidRPr="00C907E1" w:rsidRDefault="00CF05F5" w:rsidP="0075304E">
            <w:pPr>
              <w:pStyle w:val="BodyText"/>
              <w:jc w:val="center"/>
              <w:rPr>
                <w:rFonts w:ascii="Arial" w:hAnsi="Arial" w:cs="Arial"/>
                <w:sz w:val="20"/>
                <w:szCs w:val="20"/>
                <w:lang w:val="en-GB"/>
              </w:rPr>
            </w:pPr>
            <w:r w:rsidRPr="00C907E1">
              <w:rPr>
                <w:rFonts w:ascii="Arial" w:hAnsi="Arial" w:cs="Arial"/>
                <w:sz w:val="20"/>
                <w:szCs w:val="20"/>
                <w:lang w:val="en-GB"/>
              </w:rPr>
              <w:t>(</w:t>
            </w:r>
            <w:proofErr w:type="spellStart"/>
            <w:r w:rsidRPr="00C907E1">
              <w:rPr>
                <w:rFonts w:ascii="Arial" w:hAnsi="Arial" w:cs="Arial"/>
                <w:sz w:val="20"/>
                <w:szCs w:val="20"/>
                <w:lang w:val="en-GB"/>
              </w:rPr>
              <w:t>vagi-nal</w:t>
            </w:r>
            <w:proofErr w:type="spellEnd"/>
            <w:r w:rsidRPr="00C907E1">
              <w:rPr>
                <w:rFonts w:ascii="Arial" w:hAnsi="Arial" w:cs="Arial"/>
                <w:sz w:val="20"/>
                <w:szCs w:val="20"/>
                <w:lang w:val="en-GB"/>
              </w:rPr>
              <w:t>)</w:t>
            </w:r>
          </w:p>
        </w:tc>
        <w:tc>
          <w:tcPr>
            <w:tcW w:w="1134" w:type="dxa"/>
          </w:tcPr>
          <w:p w14:paraId="780B1133" w14:textId="77777777" w:rsidR="00CF05F5" w:rsidRPr="00C907E1" w:rsidRDefault="00CF05F5" w:rsidP="0075304E">
            <w:pPr>
              <w:pStyle w:val="BodyText"/>
              <w:rPr>
                <w:rFonts w:ascii="Arial" w:hAnsi="Arial" w:cs="Arial"/>
                <w:sz w:val="20"/>
                <w:szCs w:val="20"/>
                <w:lang w:val="en-GB"/>
              </w:rPr>
            </w:pPr>
            <w:r w:rsidRPr="00C907E1">
              <w:rPr>
                <w:rFonts w:ascii="Arial" w:hAnsi="Arial" w:cs="Arial"/>
                <w:sz w:val="20"/>
                <w:szCs w:val="20"/>
                <w:lang w:val="en-GB"/>
              </w:rPr>
              <w:t xml:space="preserve">G03AA13 </w:t>
            </w:r>
          </w:p>
        </w:tc>
        <w:tc>
          <w:tcPr>
            <w:tcW w:w="3543" w:type="dxa"/>
          </w:tcPr>
          <w:p w14:paraId="5B9FDB78" w14:textId="77777777" w:rsidR="00CF05F5" w:rsidRPr="00C907E1" w:rsidRDefault="00CF05F5" w:rsidP="0075304E">
            <w:pPr>
              <w:pStyle w:val="BodyText"/>
              <w:rPr>
                <w:rFonts w:ascii="Arial" w:hAnsi="Arial" w:cs="Arial"/>
                <w:sz w:val="20"/>
                <w:szCs w:val="20"/>
                <w:lang w:val="en-GB"/>
              </w:rPr>
            </w:pPr>
            <w:proofErr w:type="spellStart"/>
            <w:r w:rsidRPr="00C907E1">
              <w:rPr>
                <w:rFonts w:ascii="Arial" w:hAnsi="Arial" w:cs="Arial"/>
                <w:sz w:val="20"/>
                <w:szCs w:val="20"/>
                <w:lang w:val="en-GB"/>
              </w:rPr>
              <w:t>norelgestromin</w:t>
            </w:r>
            <w:proofErr w:type="spellEnd"/>
            <w:r w:rsidRPr="00C907E1">
              <w:rPr>
                <w:rFonts w:ascii="Arial" w:hAnsi="Arial" w:cs="Arial"/>
                <w:sz w:val="20"/>
                <w:szCs w:val="20"/>
                <w:lang w:val="en-GB"/>
              </w:rPr>
              <w:t xml:space="preserve"> and </w:t>
            </w:r>
            <w:proofErr w:type="spellStart"/>
            <w:r w:rsidRPr="00C907E1">
              <w:rPr>
                <w:rFonts w:ascii="Arial" w:hAnsi="Arial" w:cs="Arial"/>
                <w:sz w:val="20"/>
                <w:szCs w:val="20"/>
                <w:lang w:val="en-GB"/>
              </w:rPr>
              <w:t>ethinylestradiol</w:t>
            </w:r>
            <w:proofErr w:type="spellEnd"/>
          </w:p>
        </w:tc>
        <w:tc>
          <w:tcPr>
            <w:tcW w:w="1531" w:type="dxa"/>
          </w:tcPr>
          <w:p w14:paraId="27A5F63F" w14:textId="78AE1BD0" w:rsidR="00CF05F5" w:rsidRPr="00C907E1" w:rsidRDefault="00825A9A">
            <w:pPr>
              <w:pStyle w:val="BodyText"/>
              <w:jc w:val="center"/>
              <w:rPr>
                <w:rFonts w:ascii="Arial" w:hAnsi="Arial" w:cs="Arial"/>
                <w:sz w:val="20"/>
                <w:szCs w:val="20"/>
                <w:lang w:val="en-GB"/>
              </w:rPr>
            </w:pPr>
            <w:r>
              <w:rPr>
                <w:rFonts w:ascii="Arial" w:hAnsi="Arial" w:cs="Arial"/>
                <w:sz w:val="20"/>
                <w:szCs w:val="20"/>
                <w:lang w:val="en-GB"/>
              </w:rPr>
              <w:t>F</w:t>
            </w:r>
          </w:p>
        </w:tc>
        <w:tc>
          <w:tcPr>
            <w:tcW w:w="1304" w:type="dxa"/>
          </w:tcPr>
          <w:p w14:paraId="1EB373DF" w14:textId="57EFDAB3" w:rsidR="00CF05F5" w:rsidRPr="00C907E1" w:rsidRDefault="00CF05F5" w:rsidP="0075304E">
            <w:pPr>
              <w:pStyle w:val="BodyText"/>
              <w:jc w:val="center"/>
              <w:rPr>
                <w:rFonts w:ascii="Arial" w:hAnsi="Arial" w:cs="Arial"/>
                <w:sz w:val="20"/>
                <w:szCs w:val="20"/>
                <w:lang w:val="en-GB"/>
              </w:rPr>
            </w:pPr>
            <w:r w:rsidRPr="00C907E1">
              <w:rPr>
                <w:rFonts w:ascii="Arial" w:hAnsi="Arial" w:cs="Arial"/>
                <w:sz w:val="20"/>
                <w:szCs w:val="20"/>
                <w:lang w:val="en-GB"/>
              </w:rPr>
              <w:t>1.0–2.0</w:t>
            </w:r>
          </w:p>
        </w:tc>
        <w:tc>
          <w:tcPr>
            <w:tcW w:w="1276" w:type="dxa"/>
          </w:tcPr>
          <w:p w14:paraId="6570ED5A" w14:textId="77777777" w:rsidR="00CF05F5" w:rsidRPr="00C907E1" w:rsidRDefault="00CF05F5" w:rsidP="0075304E">
            <w:pPr>
              <w:pStyle w:val="BodyText"/>
              <w:jc w:val="center"/>
              <w:rPr>
                <w:rFonts w:ascii="Arial" w:hAnsi="Arial" w:cs="Arial"/>
                <w:sz w:val="20"/>
                <w:szCs w:val="20"/>
                <w:lang w:val="en-GB"/>
              </w:rPr>
            </w:pPr>
            <w:r w:rsidRPr="00C907E1">
              <w:rPr>
                <w:rFonts w:ascii="Arial" w:hAnsi="Arial" w:cs="Arial"/>
                <w:sz w:val="20"/>
                <w:szCs w:val="20"/>
                <w:lang w:val="en-GB"/>
              </w:rPr>
              <w:t>6–12</w:t>
            </w:r>
          </w:p>
        </w:tc>
      </w:tr>
      <w:tr w:rsidR="00CF05F5" w:rsidRPr="00C907E1" w14:paraId="653BD0CF" w14:textId="77777777" w:rsidTr="00BF1A2A">
        <w:tc>
          <w:tcPr>
            <w:tcW w:w="704" w:type="dxa"/>
          </w:tcPr>
          <w:p w14:paraId="390A738A" w14:textId="77777777" w:rsidR="00CF05F5" w:rsidRPr="00C907E1" w:rsidRDefault="00CF05F5" w:rsidP="0075304E">
            <w:pPr>
              <w:pStyle w:val="BodyText"/>
              <w:jc w:val="center"/>
              <w:rPr>
                <w:rFonts w:ascii="Arial" w:hAnsi="Arial" w:cs="Arial"/>
                <w:sz w:val="20"/>
                <w:szCs w:val="20"/>
                <w:lang w:val="en-GB"/>
              </w:rPr>
            </w:pPr>
            <w:r w:rsidRPr="00C907E1">
              <w:rPr>
                <w:rFonts w:ascii="Arial" w:hAnsi="Arial" w:cs="Arial"/>
                <w:sz w:val="20"/>
                <w:szCs w:val="20"/>
                <w:lang w:val="en-GB"/>
              </w:rPr>
              <w:t>III</w:t>
            </w:r>
          </w:p>
        </w:tc>
        <w:tc>
          <w:tcPr>
            <w:tcW w:w="851" w:type="dxa"/>
          </w:tcPr>
          <w:p w14:paraId="60FF4455" w14:textId="77777777" w:rsidR="00CF05F5" w:rsidRPr="00C907E1" w:rsidRDefault="00CF05F5" w:rsidP="0075304E">
            <w:pPr>
              <w:pStyle w:val="BodyText"/>
              <w:jc w:val="center"/>
              <w:rPr>
                <w:rFonts w:ascii="Arial" w:hAnsi="Arial" w:cs="Arial"/>
                <w:sz w:val="20"/>
                <w:szCs w:val="20"/>
                <w:lang w:val="en-GB"/>
              </w:rPr>
            </w:pPr>
            <w:r w:rsidRPr="00C907E1">
              <w:rPr>
                <w:rFonts w:ascii="Arial" w:hAnsi="Arial" w:cs="Arial"/>
                <w:sz w:val="20"/>
                <w:szCs w:val="20"/>
                <w:lang w:val="en-GB"/>
              </w:rPr>
              <w:t>3</w:t>
            </w:r>
          </w:p>
        </w:tc>
        <w:tc>
          <w:tcPr>
            <w:tcW w:w="1134" w:type="dxa"/>
          </w:tcPr>
          <w:p w14:paraId="3BED4A7E" w14:textId="77777777" w:rsidR="00CF05F5" w:rsidRPr="00C907E1" w:rsidRDefault="00CF05F5" w:rsidP="0075304E">
            <w:pPr>
              <w:pStyle w:val="BodyText"/>
              <w:rPr>
                <w:rFonts w:ascii="Arial" w:hAnsi="Arial" w:cs="Arial"/>
                <w:sz w:val="20"/>
                <w:szCs w:val="20"/>
                <w:lang w:val="en-GB"/>
              </w:rPr>
            </w:pPr>
            <w:r w:rsidRPr="00C907E1">
              <w:rPr>
                <w:rFonts w:ascii="Arial" w:hAnsi="Arial" w:cs="Arial"/>
                <w:sz w:val="20"/>
                <w:szCs w:val="20"/>
                <w:lang w:val="en-GB"/>
              </w:rPr>
              <w:t xml:space="preserve">G03AA09 </w:t>
            </w:r>
          </w:p>
        </w:tc>
        <w:tc>
          <w:tcPr>
            <w:tcW w:w="3543" w:type="dxa"/>
          </w:tcPr>
          <w:p w14:paraId="194FA6E8" w14:textId="77777777" w:rsidR="00CF05F5" w:rsidRPr="00C907E1" w:rsidRDefault="00CF05F5" w:rsidP="0075304E">
            <w:pPr>
              <w:pStyle w:val="BodyText"/>
              <w:rPr>
                <w:rFonts w:ascii="Arial" w:hAnsi="Arial" w:cs="Arial"/>
                <w:sz w:val="20"/>
                <w:szCs w:val="20"/>
                <w:lang w:val="en-GB"/>
              </w:rPr>
            </w:pPr>
            <w:proofErr w:type="spellStart"/>
            <w:r w:rsidRPr="00C907E1">
              <w:rPr>
                <w:rFonts w:ascii="Arial" w:hAnsi="Arial" w:cs="Arial"/>
                <w:sz w:val="20"/>
                <w:szCs w:val="20"/>
                <w:lang w:val="en-GB"/>
              </w:rPr>
              <w:t>desogestrel</w:t>
            </w:r>
            <w:proofErr w:type="spellEnd"/>
            <w:r w:rsidRPr="00C907E1">
              <w:rPr>
                <w:rFonts w:ascii="Arial" w:hAnsi="Arial" w:cs="Arial"/>
                <w:sz w:val="20"/>
                <w:szCs w:val="20"/>
                <w:lang w:val="en-GB"/>
              </w:rPr>
              <w:t xml:space="preserve"> and </w:t>
            </w:r>
            <w:proofErr w:type="spellStart"/>
            <w:r w:rsidRPr="00C907E1">
              <w:rPr>
                <w:rFonts w:ascii="Arial" w:hAnsi="Arial" w:cs="Arial"/>
                <w:sz w:val="20"/>
                <w:szCs w:val="20"/>
                <w:lang w:val="en-GB"/>
              </w:rPr>
              <w:t>ethinylestradiol</w:t>
            </w:r>
            <w:proofErr w:type="spellEnd"/>
          </w:p>
        </w:tc>
        <w:tc>
          <w:tcPr>
            <w:tcW w:w="1531" w:type="dxa"/>
          </w:tcPr>
          <w:p w14:paraId="700D7D10" w14:textId="1A9136F7" w:rsidR="00CF05F5" w:rsidRPr="00C907E1" w:rsidRDefault="00825A9A">
            <w:pPr>
              <w:pStyle w:val="BodyText"/>
              <w:jc w:val="center"/>
              <w:rPr>
                <w:rFonts w:ascii="Arial" w:hAnsi="Arial" w:cs="Arial"/>
                <w:sz w:val="20"/>
                <w:szCs w:val="20"/>
                <w:lang w:val="en-GB"/>
              </w:rPr>
            </w:pPr>
            <w:r>
              <w:rPr>
                <w:rFonts w:ascii="Arial" w:hAnsi="Arial" w:cs="Arial"/>
                <w:sz w:val="20"/>
                <w:szCs w:val="20"/>
                <w:lang w:val="en-GB"/>
              </w:rPr>
              <w:t>F</w:t>
            </w:r>
          </w:p>
        </w:tc>
        <w:tc>
          <w:tcPr>
            <w:tcW w:w="1304" w:type="dxa"/>
          </w:tcPr>
          <w:p w14:paraId="1FC2D1AC" w14:textId="24E493F9" w:rsidR="00CF05F5" w:rsidRPr="00C907E1" w:rsidRDefault="00CF05F5" w:rsidP="0075304E">
            <w:pPr>
              <w:pStyle w:val="BodyText"/>
              <w:jc w:val="center"/>
              <w:rPr>
                <w:rFonts w:ascii="Arial" w:hAnsi="Arial" w:cs="Arial"/>
                <w:sz w:val="20"/>
                <w:szCs w:val="20"/>
                <w:lang w:val="en-GB"/>
              </w:rPr>
            </w:pPr>
            <w:r w:rsidRPr="00C907E1">
              <w:rPr>
                <w:rFonts w:ascii="Arial" w:hAnsi="Arial" w:cs="Arial"/>
                <w:sz w:val="20"/>
                <w:szCs w:val="20"/>
                <w:lang w:val="en-GB"/>
              </w:rPr>
              <w:t>1.5–2.0</w:t>
            </w:r>
          </w:p>
        </w:tc>
        <w:tc>
          <w:tcPr>
            <w:tcW w:w="1276" w:type="dxa"/>
          </w:tcPr>
          <w:p w14:paraId="0FF28097" w14:textId="77777777" w:rsidR="00CF05F5" w:rsidRPr="00C907E1" w:rsidRDefault="00CF05F5" w:rsidP="0075304E">
            <w:pPr>
              <w:pStyle w:val="BodyText"/>
              <w:jc w:val="center"/>
              <w:rPr>
                <w:rFonts w:ascii="Arial" w:hAnsi="Arial" w:cs="Arial"/>
                <w:sz w:val="20"/>
                <w:szCs w:val="20"/>
                <w:lang w:val="en-GB"/>
              </w:rPr>
            </w:pPr>
            <w:r w:rsidRPr="00C907E1">
              <w:rPr>
                <w:rFonts w:ascii="Arial" w:hAnsi="Arial" w:cs="Arial"/>
                <w:sz w:val="20"/>
                <w:szCs w:val="20"/>
                <w:lang w:val="en-GB"/>
              </w:rPr>
              <w:t>9–12</w:t>
            </w:r>
          </w:p>
        </w:tc>
      </w:tr>
      <w:tr w:rsidR="00CF05F5" w:rsidRPr="00C907E1" w14:paraId="1DFE13FF" w14:textId="77777777" w:rsidTr="00BF1A2A">
        <w:tc>
          <w:tcPr>
            <w:tcW w:w="704" w:type="dxa"/>
          </w:tcPr>
          <w:p w14:paraId="42C678A1" w14:textId="77777777" w:rsidR="00CF05F5" w:rsidRPr="00C907E1" w:rsidRDefault="00CF05F5" w:rsidP="0075304E">
            <w:pPr>
              <w:pStyle w:val="BodyText"/>
              <w:jc w:val="center"/>
              <w:rPr>
                <w:rFonts w:ascii="Arial" w:hAnsi="Arial" w:cs="Arial"/>
                <w:sz w:val="20"/>
                <w:szCs w:val="20"/>
                <w:lang w:val="en-GB"/>
              </w:rPr>
            </w:pPr>
            <w:r w:rsidRPr="00C907E1">
              <w:rPr>
                <w:rFonts w:ascii="Arial" w:hAnsi="Arial" w:cs="Arial"/>
                <w:sz w:val="20"/>
                <w:szCs w:val="20"/>
                <w:lang w:val="en-GB"/>
              </w:rPr>
              <w:t>III</w:t>
            </w:r>
          </w:p>
        </w:tc>
        <w:tc>
          <w:tcPr>
            <w:tcW w:w="851" w:type="dxa"/>
          </w:tcPr>
          <w:p w14:paraId="530E93C0" w14:textId="77777777" w:rsidR="00CF05F5" w:rsidRPr="00C907E1" w:rsidRDefault="00CF05F5" w:rsidP="0075304E">
            <w:pPr>
              <w:pStyle w:val="BodyText"/>
              <w:jc w:val="center"/>
              <w:rPr>
                <w:rFonts w:ascii="Arial" w:hAnsi="Arial" w:cs="Arial"/>
                <w:sz w:val="20"/>
                <w:szCs w:val="20"/>
                <w:lang w:val="en-GB"/>
              </w:rPr>
            </w:pPr>
            <w:r w:rsidRPr="00C907E1">
              <w:rPr>
                <w:rFonts w:ascii="Arial" w:hAnsi="Arial" w:cs="Arial"/>
                <w:sz w:val="20"/>
                <w:szCs w:val="20"/>
                <w:lang w:val="en-GB"/>
              </w:rPr>
              <w:t>3</w:t>
            </w:r>
          </w:p>
        </w:tc>
        <w:tc>
          <w:tcPr>
            <w:tcW w:w="1134" w:type="dxa"/>
          </w:tcPr>
          <w:p w14:paraId="71470FBA" w14:textId="77777777" w:rsidR="00CF05F5" w:rsidRPr="00C907E1" w:rsidRDefault="00CF05F5" w:rsidP="0075304E">
            <w:pPr>
              <w:pStyle w:val="BodyText"/>
              <w:rPr>
                <w:rFonts w:ascii="Arial" w:hAnsi="Arial" w:cs="Arial"/>
                <w:sz w:val="20"/>
                <w:szCs w:val="20"/>
                <w:lang w:val="en-GB"/>
              </w:rPr>
            </w:pPr>
            <w:r w:rsidRPr="00C907E1">
              <w:rPr>
                <w:rFonts w:ascii="Arial" w:hAnsi="Arial" w:cs="Arial"/>
                <w:sz w:val="20"/>
                <w:szCs w:val="20"/>
                <w:lang w:val="en-GB"/>
              </w:rPr>
              <w:t xml:space="preserve">G03AA10 </w:t>
            </w:r>
          </w:p>
        </w:tc>
        <w:tc>
          <w:tcPr>
            <w:tcW w:w="3543" w:type="dxa"/>
          </w:tcPr>
          <w:p w14:paraId="4E3350C0" w14:textId="325079C2" w:rsidR="00CF05F5" w:rsidRPr="00C907E1" w:rsidRDefault="006E0949" w:rsidP="0075304E">
            <w:pPr>
              <w:pStyle w:val="BodyText"/>
              <w:rPr>
                <w:rFonts w:ascii="Arial" w:hAnsi="Arial" w:cs="Arial"/>
                <w:sz w:val="20"/>
                <w:szCs w:val="20"/>
                <w:lang w:val="en-GB"/>
              </w:rPr>
            </w:pPr>
            <w:proofErr w:type="spellStart"/>
            <w:r>
              <w:rPr>
                <w:rFonts w:ascii="Arial" w:hAnsi="Arial" w:cs="Arial"/>
                <w:sz w:val="20"/>
                <w:szCs w:val="20"/>
                <w:lang w:val="en-GB"/>
              </w:rPr>
              <w:t>g</w:t>
            </w:r>
            <w:r w:rsidR="00CF05F5" w:rsidRPr="00C907E1">
              <w:rPr>
                <w:rFonts w:ascii="Arial" w:hAnsi="Arial" w:cs="Arial"/>
                <w:sz w:val="20"/>
                <w:szCs w:val="20"/>
                <w:lang w:val="en-GB"/>
              </w:rPr>
              <w:t>estoden</w:t>
            </w:r>
            <w:proofErr w:type="spellEnd"/>
            <w:r w:rsidR="00CF05F5" w:rsidRPr="00C907E1">
              <w:rPr>
                <w:rFonts w:ascii="Arial" w:hAnsi="Arial" w:cs="Arial"/>
                <w:sz w:val="20"/>
                <w:szCs w:val="20"/>
                <w:lang w:val="en-GB"/>
              </w:rPr>
              <w:t xml:space="preserve"> and </w:t>
            </w:r>
            <w:proofErr w:type="spellStart"/>
            <w:r w:rsidR="00CF05F5" w:rsidRPr="00C907E1">
              <w:rPr>
                <w:rFonts w:ascii="Arial" w:hAnsi="Arial" w:cs="Arial"/>
                <w:sz w:val="20"/>
                <w:szCs w:val="20"/>
                <w:lang w:val="en-GB"/>
              </w:rPr>
              <w:t>ethinylestradiol</w:t>
            </w:r>
            <w:proofErr w:type="spellEnd"/>
          </w:p>
        </w:tc>
        <w:tc>
          <w:tcPr>
            <w:tcW w:w="1531" w:type="dxa"/>
          </w:tcPr>
          <w:p w14:paraId="6A310F10" w14:textId="5479DEE7" w:rsidR="00CF05F5" w:rsidRPr="00C907E1" w:rsidRDefault="00825A9A">
            <w:pPr>
              <w:pStyle w:val="BodyText"/>
              <w:jc w:val="center"/>
              <w:rPr>
                <w:rFonts w:ascii="Arial" w:hAnsi="Arial" w:cs="Arial"/>
                <w:sz w:val="20"/>
                <w:szCs w:val="20"/>
                <w:lang w:val="en-GB"/>
              </w:rPr>
            </w:pPr>
            <w:r>
              <w:rPr>
                <w:rFonts w:ascii="Arial" w:hAnsi="Arial" w:cs="Arial"/>
                <w:sz w:val="20"/>
                <w:szCs w:val="20"/>
                <w:lang w:val="en-GB"/>
              </w:rPr>
              <w:t>F</w:t>
            </w:r>
          </w:p>
        </w:tc>
        <w:tc>
          <w:tcPr>
            <w:tcW w:w="1304" w:type="dxa"/>
          </w:tcPr>
          <w:p w14:paraId="21ADAB18" w14:textId="5083C533" w:rsidR="00CF05F5" w:rsidRPr="00C907E1" w:rsidRDefault="00CF05F5" w:rsidP="0075304E">
            <w:pPr>
              <w:pStyle w:val="BodyText"/>
              <w:jc w:val="center"/>
              <w:rPr>
                <w:rFonts w:ascii="Arial" w:hAnsi="Arial" w:cs="Arial"/>
                <w:sz w:val="20"/>
                <w:szCs w:val="20"/>
                <w:lang w:val="en-GB"/>
              </w:rPr>
            </w:pPr>
            <w:r w:rsidRPr="00C907E1">
              <w:rPr>
                <w:rFonts w:ascii="Arial" w:hAnsi="Arial" w:cs="Arial"/>
                <w:sz w:val="20"/>
                <w:szCs w:val="20"/>
                <w:lang w:val="en-GB"/>
              </w:rPr>
              <w:t>1.5–2.0</w:t>
            </w:r>
          </w:p>
        </w:tc>
        <w:tc>
          <w:tcPr>
            <w:tcW w:w="1276" w:type="dxa"/>
          </w:tcPr>
          <w:p w14:paraId="1E898D4A" w14:textId="77777777" w:rsidR="00CF05F5" w:rsidRPr="00C907E1" w:rsidRDefault="00CF05F5" w:rsidP="0075304E">
            <w:pPr>
              <w:pStyle w:val="BodyText"/>
              <w:jc w:val="center"/>
              <w:rPr>
                <w:rFonts w:ascii="Arial" w:hAnsi="Arial" w:cs="Arial"/>
                <w:sz w:val="20"/>
                <w:szCs w:val="20"/>
                <w:lang w:val="en-GB"/>
              </w:rPr>
            </w:pPr>
            <w:r w:rsidRPr="00C907E1">
              <w:rPr>
                <w:rFonts w:ascii="Arial" w:hAnsi="Arial" w:cs="Arial"/>
                <w:sz w:val="20"/>
                <w:szCs w:val="20"/>
                <w:lang w:val="en-GB"/>
              </w:rPr>
              <w:t>9–12</w:t>
            </w:r>
          </w:p>
        </w:tc>
      </w:tr>
      <w:tr w:rsidR="00CF05F5" w:rsidRPr="00C907E1" w14:paraId="3467CCE2" w14:textId="77777777" w:rsidTr="00BF1A2A">
        <w:tc>
          <w:tcPr>
            <w:tcW w:w="704" w:type="dxa"/>
          </w:tcPr>
          <w:p w14:paraId="3751D562" w14:textId="77777777" w:rsidR="00CF05F5" w:rsidRPr="00C907E1" w:rsidRDefault="00CF05F5" w:rsidP="0075304E">
            <w:pPr>
              <w:pStyle w:val="BodyText"/>
              <w:jc w:val="center"/>
              <w:rPr>
                <w:rFonts w:ascii="Arial" w:hAnsi="Arial" w:cs="Arial"/>
                <w:sz w:val="20"/>
                <w:szCs w:val="20"/>
                <w:lang w:val="en-GB"/>
              </w:rPr>
            </w:pPr>
            <w:r w:rsidRPr="00C907E1">
              <w:rPr>
                <w:rFonts w:ascii="Arial" w:hAnsi="Arial" w:cs="Arial"/>
                <w:sz w:val="20"/>
                <w:szCs w:val="20"/>
                <w:lang w:val="en-GB"/>
              </w:rPr>
              <w:t>III</w:t>
            </w:r>
          </w:p>
        </w:tc>
        <w:tc>
          <w:tcPr>
            <w:tcW w:w="851" w:type="dxa"/>
          </w:tcPr>
          <w:p w14:paraId="5973EFD6" w14:textId="77777777" w:rsidR="00CF05F5" w:rsidRPr="00C907E1" w:rsidRDefault="00CF05F5" w:rsidP="0075304E">
            <w:pPr>
              <w:pStyle w:val="BodyText"/>
              <w:jc w:val="center"/>
              <w:rPr>
                <w:rFonts w:ascii="Arial" w:hAnsi="Arial" w:cs="Arial"/>
                <w:sz w:val="20"/>
                <w:szCs w:val="20"/>
                <w:lang w:val="en-GB"/>
              </w:rPr>
            </w:pPr>
            <w:r w:rsidRPr="00C907E1">
              <w:rPr>
                <w:rFonts w:ascii="Arial" w:hAnsi="Arial" w:cs="Arial"/>
                <w:sz w:val="20"/>
                <w:szCs w:val="20"/>
                <w:lang w:val="en-GB"/>
              </w:rPr>
              <w:t>3</w:t>
            </w:r>
          </w:p>
        </w:tc>
        <w:tc>
          <w:tcPr>
            <w:tcW w:w="1134" w:type="dxa"/>
          </w:tcPr>
          <w:p w14:paraId="4FC4B969" w14:textId="77777777" w:rsidR="00CF05F5" w:rsidRPr="00C907E1" w:rsidRDefault="00CF05F5" w:rsidP="0075304E">
            <w:pPr>
              <w:pStyle w:val="BodyText"/>
              <w:rPr>
                <w:rFonts w:ascii="Arial" w:hAnsi="Arial" w:cs="Arial"/>
                <w:sz w:val="20"/>
                <w:szCs w:val="20"/>
                <w:lang w:val="en-GB"/>
              </w:rPr>
            </w:pPr>
            <w:r w:rsidRPr="00C907E1">
              <w:rPr>
                <w:rFonts w:ascii="Arial" w:hAnsi="Arial" w:cs="Arial"/>
                <w:sz w:val="20"/>
                <w:szCs w:val="20"/>
                <w:lang w:val="en-GB"/>
              </w:rPr>
              <w:t xml:space="preserve">G03AB05 </w:t>
            </w:r>
          </w:p>
        </w:tc>
        <w:tc>
          <w:tcPr>
            <w:tcW w:w="3543" w:type="dxa"/>
          </w:tcPr>
          <w:p w14:paraId="4909D4B9" w14:textId="77777777" w:rsidR="00CF05F5" w:rsidRPr="00C907E1" w:rsidRDefault="00CF05F5" w:rsidP="0075304E">
            <w:pPr>
              <w:pStyle w:val="BodyText"/>
              <w:rPr>
                <w:rFonts w:ascii="Arial" w:hAnsi="Arial" w:cs="Arial"/>
                <w:sz w:val="20"/>
                <w:szCs w:val="20"/>
                <w:lang w:val="en-GB"/>
              </w:rPr>
            </w:pPr>
            <w:proofErr w:type="spellStart"/>
            <w:r w:rsidRPr="00C907E1">
              <w:rPr>
                <w:rFonts w:ascii="Arial" w:hAnsi="Arial" w:cs="Arial"/>
                <w:sz w:val="20"/>
                <w:szCs w:val="20"/>
                <w:lang w:val="en-GB"/>
              </w:rPr>
              <w:t>desogestrel</w:t>
            </w:r>
            <w:proofErr w:type="spellEnd"/>
            <w:r w:rsidRPr="00C907E1">
              <w:rPr>
                <w:rFonts w:ascii="Arial" w:hAnsi="Arial" w:cs="Arial"/>
                <w:sz w:val="20"/>
                <w:szCs w:val="20"/>
                <w:lang w:val="en-GB"/>
              </w:rPr>
              <w:t xml:space="preserve"> and </w:t>
            </w:r>
            <w:proofErr w:type="spellStart"/>
            <w:r w:rsidRPr="00C907E1">
              <w:rPr>
                <w:rFonts w:ascii="Arial" w:hAnsi="Arial" w:cs="Arial"/>
                <w:sz w:val="20"/>
                <w:szCs w:val="20"/>
                <w:lang w:val="en-GB"/>
              </w:rPr>
              <w:t>ethinylestradiol</w:t>
            </w:r>
            <w:proofErr w:type="spellEnd"/>
          </w:p>
        </w:tc>
        <w:tc>
          <w:tcPr>
            <w:tcW w:w="1531" w:type="dxa"/>
          </w:tcPr>
          <w:p w14:paraId="02BA5C1F" w14:textId="188A89A5" w:rsidR="00CF05F5" w:rsidRPr="00C907E1" w:rsidRDefault="00825A9A">
            <w:pPr>
              <w:pStyle w:val="BodyText"/>
              <w:jc w:val="center"/>
              <w:rPr>
                <w:rFonts w:ascii="Arial" w:hAnsi="Arial" w:cs="Arial"/>
                <w:sz w:val="20"/>
                <w:szCs w:val="20"/>
                <w:lang w:val="en-GB"/>
              </w:rPr>
            </w:pPr>
            <w:r>
              <w:rPr>
                <w:rFonts w:ascii="Arial" w:hAnsi="Arial" w:cs="Arial"/>
                <w:sz w:val="20"/>
                <w:szCs w:val="20"/>
                <w:lang w:val="en-GB"/>
              </w:rPr>
              <w:t>S</w:t>
            </w:r>
          </w:p>
        </w:tc>
        <w:tc>
          <w:tcPr>
            <w:tcW w:w="1304" w:type="dxa"/>
          </w:tcPr>
          <w:p w14:paraId="1932A669" w14:textId="771BDB56" w:rsidR="00CF05F5" w:rsidRPr="00C907E1" w:rsidRDefault="00CF05F5" w:rsidP="0075304E">
            <w:pPr>
              <w:pStyle w:val="BodyText"/>
              <w:jc w:val="center"/>
              <w:rPr>
                <w:rFonts w:ascii="Arial" w:hAnsi="Arial" w:cs="Arial"/>
                <w:sz w:val="20"/>
                <w:szCs w:val="20"/>
                <w:lang w:val="en-GB"/>
              </w:rPr>
            </w:pPr>
            <w:r w:rsidRPr="00C907E1">
              <w:rPr>
                <w:rFonts w:ascii="Arial" w:hAnsi="Arial" w:cs="Arial"/>
                <w:sz w:val="20"/>
                <w:szCs w:val="20"/>
                <w:lang w:val="en-GB"/>
              </w:rPr>
              <w:t>1.5–2.0</w:t>
            </w:r>
          </w:p>
        </w:tc>
        <w:tc>
          <w:tcPr>
            <w:tcW w:w="1276" w:type="dxa"/>
          </w:tcPr>
          <w:p w14:paraId="4726BE85" w14:textId="77777777" w:rsidR="00CF05F5" w:rsidRPr="00C907E1" w:rsidRDefault="00CF05F5" w:rsidP="0075304E">
            <w:pPr>
              <w:pStyle w:val="BodyText"/>
              <w:jc w:val="center"/>
              <w:rPr>
                <w:rFonts w:ascii="Arial" w:hAnsi="Arial" w:cs="Arial"/>
                <w:sz w:val="20"/>
                <w:szCs w:val="20"/>
                <w:lang w:val="en-GB"/>
              </w:rPr>
            </w:pPr>
            <w:r w:rsidRPr="00C907E1">
              <w:rPr>
                <w:rFonts w:ascii="Arial" w:hAnsi="Arial" w:cs="Arial"/>
                <w:sz w:val="20"/>
                <w:szCs w:val="20"/>
                <w:lang w:val="en-GB"/>
              </w:rPr>
              <w:t>9–12</w:t>
            </w:r>
          </w:p>
        </w:tc>
      </w:tr>
      <w:tr w:rsidR="00CF05F5" w:rsidRPr="00C907E1" w14:paraId="2F07F2FF" w14:textId="77777777" w:rsidTr="00BF1A2A">
        <w:tc>
          <w:tcPr>
            <w:tcW w:w="704" w:type="dxa"/>
          </w:tcPr>
          <w:p w14:paraId="0D2BC868" w14:textId="77777777" w:rsidR="00CF05F5" w:rsidRPr="00C907E1" w:rsidRDefault="00CF05F5" w:rsidP="0075304E">
            <w:pPr>
              <w:pStyle w:val="BodyText"/>
              <w:jc w:val="center"/>
              <w:rPr>
                <w:rFonts w:ascii="Arial" w:hAnsi="Arial" w:cs="Arial"/>
                <w:sz w:val="20"/>
                <w:szCs w:val="20"/>
                <w:lang w:val="en-GB"/>
              </w:rPr>
            </w:pPr>
            <w:r w:rsidRPr="00C907E1">
              <w:rPr>
                <w:rFonts w:ascii="Arial" w:hAnsi="Arial" w:cs="Arial"/>
                <w:sz w:val="20"/>
                <w:szCs w:val="20"/>
                <w:lang w:val="en-GB"/>
              </w:rPr>
              <w:t>III</w:t>
            </w:r>
          </w:p>
        </w:tc>
        <w:tc>
          <w:tcPr>
            <w:tcW w:w="851" w:type="dxa"/>
          </w:tcPr>
          <w:p w14:paraId="63B3EA23" w14:textId="77777777" w:rsidR="00CF05F5" w:rsidRPr="00C907E1" w:rsidRDefault="00CF05F5" w:rsidP="0075304E">
            <w:pPr>
              <w:pStyle w:val="BodyText"/>
              <w:jc w:val="center"/>
              <w:rPr>
                <w:rFonts w:ascii="Arial" w:hAnsi="Arial" w:cs="Arial"/>
                <w:sz w:val="20"/>
                <w:szCs w:val="20"/>
                <w:lang w:val="en-GB"/>
              </w:rPr>
            </w:pPr>
            <w:r w:rsidRPr="00C907E1">
              <w:rPr>
                <w:rFonts w:ascii="Arial" w:hAnsi="Arial" w:cs="Arial"/>
                <w:sz w:val="20"/>
                <w:szCs w:val="20"/>
                <w:lang w:val="en-GB"/>
              </w:rPr>
              <w:t>4</w:t>
            </w:r>
          </w:p>
        </w:tc>
        <w:tc>
          <w:tcPr>
            <w:tcW w:w="1134" w:type="dxa"/>
          </w:tcPr>
          <w:p w14:paraId="082A2EF0" w14:textId="77777777" w:rsidR="00CF05F5" w:rsidRPr="00C907E1" w:rsidRDefault="00CF05F5" w:rsidP="0075304E">
            <w:pPr>
              <w:pStyle w:val="BodyText"/>
              <w:rPr>
                <w:rFonts w:ascii="Arial" w:hAnsi="Arial" w:cs="Arial"/>
                <w:sz w:val="20"/>
                <w:szCs w:val="20"/>
                <w:lang w:val="en-GB"/>
              </w:rPr>
            </w:pPr>
            <w:r w:rsidRPr="00C907E1">
              <w:rPr>
                <w:rFonts w:ascii="Arial" w:hAnsi="Arial" w:cs="Arial"/>
                <w:sz w:val="20"/>
                <w:szCs w:val="20"/>
                <w:lang w:val="en-GB"/>
              </w:rPr>
              <w:t xml:space="preserve">G03AA12 </w:t>
            </w:r>
          </w:p>
        </w:tc>
        <w:tc>
          <w:tcPr>
            <w:tcW w:w="3543" w:type="dxa"/>
          </w:tcPr>
          <w:p w14:paraId="55576815" w14:textId="77777777" w:rsidR="00CF05F5" w:rsidRPr="00C907E1" w:rsidRDefault="00CF05F5" w:rsidP="0075304E">
            <w:pPr>
              <w:pStyle w:val="BodyText"/>
              <w:rPr>
                <w:rFonts w:ascii="Arial" w:hAnsi="Arial" w:cs="Arial"/>
                <w:sz w:val="20"/>
                <w:szCs w:val="20"/>
                <w:lang w:val="en-GB"/>
              </w:rPr>
            </w:pPr>
            <w:proofErr w:type="spellStart"/>
            <w:r w:rsidRPr="00C907E1">
              <w:rPr>
                <w:rFonts w:ascii="Arial" w:hAnsi="Arial" w:cs="Arial"/>
                <w:sz w:val="20"/>
                <w:szCs w:val="20"/>
                <w:lang w:val="en-GB"/>
              </w:rPr>
              <w:t>drospirenone</w:t>
            </w:r>
            <w:proofErr w:type="spellEnd"/>
            <w:r w:rsidRPr="00C907E1">
              <w:rPr>
                <w:rFonts w:ascii="Arial" w:hAnsi="Arial" w:cs="Arial"/>
                <w:sz w:val="20"/>
                <w:szCs w:val="20"/>
                <w:lang w:val="en-GB"/>
              </w:rPr>
              <w:t xml:space="preserve"> and </w:t>
            </w:r>
            <w:proofErr w:type="spellStart"/>
            <w:r w:rsidRPr="00C907E1">
              <w:rPr>
                <w:rFonts w:ascii="Arial" w:hAnsi="Arial" w:cs="Arial"/>
                <w:sz w:val="20"/>
                <w:szCs w:val="20"/>
                <w:lang w:val="en-GB"/>
              </w:rPr>
              <w:t>ethinylestradiol</w:t>
            </w:r>
            <w:proofErr w:type="spellEnd"/>
          </w:p>
        </w:tc>
        <w:tc>
          <w:tcPr>
            <w:tcW w:w="1531" w:type="dxa"/>
          </w:tcPr>
          <w:p w14:paraId="5FD02ED6" w14:textId="6B33C311" w:rsidR="00CF05F5" w:rsidRPr="00C907E1" w:rsidRDefault="00825A9A">
            <w:pPr>
              <w:pStyle w:val="BodyText"/>
              <w:jc w:val="center"/>
              <w:rPr>
                <w:rFonts w:ascii="Arial" w:hAnsi="Arial" w:cs="Arial"/>
                <w:sz w:val="20"/>
                <w:szCs w:val="20"/>
                <w:lang w:val="en-GB"/>
              </w:rPr>
            </w:pPr>
            <w:r>
              <w:rPr>
                <w:rFonts w:ascii="Arial" w:hAnsi="Arial" w:cs="Arial"/>
                <w:sz w:val="20"/>
                <w:szCs w:val="20"/>
                <w:lang w:val="en-GB"/>
              </w:rPr>
              <w:t>F</w:t>
            </w:r>
          </w:p>
        </w:tc>
        <w:tc>
          <w:tcPr>
            <w:tcW w:w="1304" w:type="dxa"/>
          </w:tcPr>
          <w:p w14:paraId="1540BEA1" w14:textId="426CB7B3" w:rsidR="00CF05F5" w:rsidRPr="00C907E1" w:rsidRDefault="00CF05F5" w:rsidP="0075304E">
            <w:pPr>
              <w:pStyle w:val="BodyText"/>
              <w:jc w:val="center"/>
              <w:rPr>
                <w:rFonts w:ascii="Arial" w:hAnsi="Arial" w:cs="Arial"/>
                <w:sz w:val="20"/>
                <w:szCs w:val="20"/>
                <w:lang w:val="en-GB"/>
              </w:rPr>
            </w:pPr>
            <w:r w:rsidRPr="00C907E1">
              <w:rPr>
                <w:rFonts w:ascii="Arial" w:hAnsi="Arial" w:cs="Arial"/>
                <w:sz w:val="20"/>
                <w:szCs w:val="20"/>
                <w:lang w:val="en-GB"/>
              </w:rPr>
              <w:t>1.5–2.0</w:t>
            </w:r>
          </w:p>
        </w:tc>
        <w:tc>
          <w:tcPr>
            <w:tcW w:w="1276" w:type="dxa"/>
          </w:tcPr>
          <w:p w14:paraId="6FDDE786" w14:textId="77777777" w:rsidR="00CF05F5" w:rsidRPr="00C907E1" w:rsidRDefault="00CF05F5" w:rsidP="0075304E">
            <w:pPr>
              <w:pStyle w:val="BodyText"/>
              <w:jc w:val="center"/>
              <w:rPr>
                <w:rFonts w:ascii="Arial" w:hAnsi="Arial" w:cs="Arial"/>
                <w:sz w:val="20"/>
                <w:szCs w:val="20"/>
                <w:lang w:val="en-GB"/>
              </w:rPr>
            </w:pPr>
            <w:r w:rsidRPr="00C907E1">
              <w:rPr>
                <w:rFonts w:ascii="Arial" w:hAnsi="Arial" w:cs="Arial"/>
                <w:sz w:val="20"/>
                <w:szCs w:val="20"/>
                <w:lang w:val="en-GB"/>
              </w:rPr>
              <w:t>9–12</w:t>
            </w:r>
          </w:p>
        </w:tc>
      </w:tr>
      <w:tr w:rsidR="00CF05F5" w:rsidRPr="00C907E1" w14:paraId="6261CDA7" w14:textId="77777777" w:rsidTr="00BF1A2A">
        <w:tc>
          <w:tcPr>
            <w:tcW w:w="704" w:type="dxa"/>
          </w:tcPr>
          <w:p w14:paraId="5F01E917" w14:textId="77777777" w:rsidR="00CF05F5" w:rsidRPr="00C907E1" w:rsidRDefault="00CF05F5" w:rsidP="0075304E">
            <w:pPr>
              <w:pStyle w:val="BodyText"/>
              <w:jc w:val="center"/>
              <w:rPr>
                <w:rFonts w:ascii="Arial" w:hAnsi="Arial" w:cs="Arial"/>
                <w:sz w:val="20"/>
                <w:szCs w:val="20"/>
                <w:lang w:val="en-GB"/>
              </w:rPr>
            </w:pPr>
            <w:r w:rsidRPr="00C907E1">
              <w:rPr>
                <w:rFonts w:ascii="Arial" w:hAnsi="Arial" w:cs="Arial"/>
                <w:sz w:val="20"/>
                <w:szCs w:val="20"/>
                <w:lang w:val="en-GB"/>
              </w:rPr>
              <w:t>X</w:t>
            </w:r>
          </w:p>
        </w:tc>
        <w:tc>
          <w:tcPr>
            <w:tcW w:w="851" w:type="dxa"/>
          </w:tcPr>
          <w:p w14:paraId="675809FE" w14:textId="77777777" w:rsidR="00CF05F5" w:rsidRPr="00C907E1" w:rsidRDefault="00CF05F5" w:rsidP="0075304E">
            <w:pPr>
              <w:pStyle w:val="BodyText"/>
              <w:jc w:val="center"/>
              <w:rPr>
                <w:rFonts w:ascii="Arial" w:hAnsi="Arial" w:cs="Arial"/>
                <w:sz w:val="20"/>
                <w:szCs w:val="20"/>
                <w:lang w:val="en-GB"/>
              </w:rPr>
            </w:pPr>
            <w:r w:rsidRPr="00C907E1">
              <w:rPr>
                <w:rFonts w:ascii="Arial" w:hAnsi="Arial" w:cs="Arial"/>
                <w:sz w:val="20"/>
                <w:szCs w:val="20"/>
                <w:lang w:val="en-GB"/>
              </w:rPr>
              <w:t>4</w:t>
            </w:r>
          </w:p>
        </w:tc>
        <w:tc>
          <w:tcPr>
            <w:tcW w:w="1134" w:type="dxa"/>
          </w:tcPr>
          <w:p w14:paraId="37845208" w14:textId="77777777" w:rsidR="00CF05F5" w:rsidRPr="00C907E1" w:rsidRDefault="00CF05F5" w:rsidP="0075304E">
            <w:pPr>
              <w:pStyle w:val="BodyText"/>
              <w:rPr>
                <w:rFonts w:ascii="Arial" w:hAnsi="Arial" w:cs="Arial"/>
                <w:sz w:val="20"/>
                <w:szCs w:val="20"/>
                <w:lang w:val="en-GB"/>
              </w:rPr>
            </w:pPr>
            <w:r w:rsidRPr="00C907E1">
              <w:rPr>
                <w:rFonts w:ascii="Arial" w:hAnsi="Arial" w:cs="Arial"/>
                <w:sz w:val="20"/>
                <w:szCs w:val="20"/>
                <w:lang w:val="en-GB"/>
              </w:rPr>
              <w:t xml:space="preserve">G03AA14 </w:t>
            </w:r>
          </w:p>
        </w:tc>
        <w:tc>
          <w:tcPr>
            <w:tcW w:w="3543" w:type="dxa"/>
          </w:tcPr>
          <w:p w14:paraId="6A4BC0F0" w14:textId="77777777" w:rsidR="00CF05F5" w:rsidRPr="00C907E1" w:rsidRDefault="00CF05F5" w:rsidP="0075304E">
            <w:pPr>
              <w:pStyle w:val="BodyText"/>
              <w:rPr>
                <w:rFonts w:ascii="Arial" w:hAnsi="Arial" w:cs="Arial"/>
                <w:sz w:val="20"/>
                <w:szCs w:val="20"/>
                <w:lang w:val="en-GB"/>
              </w:rPr>
            </w:pPr>
            <w:proofErr w:type="spellStart"/>
            <w:r w:rsidRPr="00C907E1">
              <w:rPr>
                <w:rFonts w:ascii="Arial" w:hAnsi="Arial" w:cs="Arial"/>
                <w:sz w:val="20"/>
                <w:szCs w:val="20"/>
                <w:lang w:val="en-GB"/>
              </w:rPr>
              <w:t>nomegestrol</w:t>
            </w:r>
            <w:proofErr w:type="spellEnd"/>
            <w:r w:rsidRPr="00C907E1">
              <w:rPr>
                <w:rFonts w:ascii="Arial" w:hAnsi="Arial" w:cs="Arial"/>
                <w:sz w:val="20"/>
                <w:szCs w:val="20"/>
                <w:lang w:val="en-GB"/>
              </w:rPr>
              <w:t xml:space="preserve"> and </w:t>
            </w:r>
            <w:proofErr w:type="spellStart"/>
            <w:r w:rsidRPr="00C907E1">
              <w:rPr>
                <w:rFonts w:ascii="Arial" w:hAnsi="Arial" w:cs="Arial"/>
                <w:sz w:val="20"/>
                <w:szCs w:val="20"/>
                <w:lang w:val="en-GB"/>
              </w:rPr>
              <w:t>estradiol</w:t>
            </w:r>
            <w:proofErr w:type="spellEnd"/>
          </w:p>
        </w:tc>
        <w:tc>
          <w:tcPr>
            <w:tcW w:w="1531" w:type="dxa"/>
          </w:tcPr>
          <w:p w14:paraId="655BB04E" w14:textId="54DE72E9" w:rsidR="00CF05F5" w:rsidRPr="00C907E1" w:rsidRDefault="00825A9A">
            <w:pPr>
              <w:pStyle w:val="BodyText"/>
              <w:jc w:val="center"/>
              <w:rPr>
                <w:rFonts w:ascii="Arial" w:hAnsi="Arial" w:cs="Arial"/>
                <w:sz w:val="20"/>
                <w:szCs w:val="20"/>
                <w:lang w:val="en-GB"/>
              </w:rPr>
            </w:pPr>
            <w:r>
              <w:rPr>
                <w:rFonts w:ascii="Arial" w:hAnsi="Arial" w:cs="Arial"/>
                <w:sz w:val="20"/>
                <w:szCs w:val="20"/>
                <w:lang w:val="en-GB"/>
              </w:rPr>
              <w:t>F</w:t>
            </w:r>
          </w:p>
        </w:tc>
        <w:tc>
          <w:tcPr>
            <w:tcW w:w="2580" w:type="dxa"/>
            <w:gridSpan w:val="2"/>
          </w:tcPr>
          <w:p w14:paraId="7735B4B0" w14:textId="50A1AC4C" w:rsidR="00CF05F5" w:rsidRPr="00C907E1" w:rsidRDefault="00CF05F5" w:rsidP="0075304E">
            <w:pPr>
              <w:pStyle w:val="BodyText"/>
              <w:jc w:val="center"/>
              <w:rPr>
                <w:rFonts w:ascii="Arial" w:hAnsi="Arial" w:cs="Arial"/>
                <w:sz w:val="20"/>
                <w:szCs w:val="20"/>
                <w:lang w:val="en-GB"/>
              </w:rPr>
            </w:pPr>
            <w:r w:rsidRPr="00C907E1">
              <w:rPr>
                <w:rFonts w:ascii="Arial" w:hAnsi="Arial" w:cs="Arial"/>
                <w:sz w:val="20"/>
                <w:szCs w:val="20"/>
                <w:lang w:val="en-GB"/>
              </w:rPr>
              <w:t>Unknown</w:t>
            </w:r>
          </w:p>
        </w:tc>
      </w:tr>
      <w:tr w:rsidR="00CF05F5" w:rsidRPr="00C907E1" w14:paraId="70FDA15B" w14:textId="77777777" w:rsidTr="00BF1A2A">
        <w:tc>
          <w:tcPr>
            <w:tcW w:w="704" w:type="dxa"/>
          </w:tcPr>
          <w:p w14:paraId="5D1B7A79" w14:textId="77777777" w:rsidR="00CF05F5" w:rsidRPr="00C907E1" w:rsidRDefault="00CF05F5" w:rsidP="0075304E">
            <w:pPr>
              <w:pStyle w:val="BodyText"/>
              <w:jc w:val="center"/>
              <w:rPr>
                <w:rFonts w:ascii="Arial" w:hAnsi="Arial" w:cs="Arial"/>
                <w:sz w:val="20"/>
                <w:szCs w:val="20"/>
                <w:lang w:val="en-GB"/>
              </w:rPr>
            </w:pPr>
            <w:r w:rsidRPr="00C907E1">
              <w:rPr>
                <w:rFonts w:ascii="Arial" w:hAnsi="Arial" w:cs="Arial"/>
                <w:sz w:val="20"/>
                <w:szCs w:val="20"/>
                <w:lang w:val="en-GB"/>
              </w:rPr>
              <w:t>X</w:t>
            </w:r>
          </w:p>
        </w:tc>
        <w:tc>
          <w:tcPr>
            <w:tcW w:w="851" w:type="dxa"/>
          </w:tcPr>
          <w:p w14:paraId="02366900" w14:textId="77777777" w:rsidR="00CF05F5" w:rsidRPr="00C907E1" w:rsidRDefault="00CF05F5" w:rsidP="0075304E">
            <w:pPr>
              <w:pStyle w:val="BodyText"/>
              <w:jc w:val="center"/>
              <w:rPr>
                <w:rFonts w:ascii="Arial" w:hAnsi="Arial" w:cs="Arial"/>
                <w:sz w:val="20"/>
                <w:szCs w:val="20"/>
                <w:lang w:val="en-GB"/>
              </w:rPr>
            </w:pPr>
            <w:r w:rsidRPr="00C907E1">
              <w:rPr>
                <w:rFonts w:ascii="Arial" w:hAnsi="Arial" w:cs="Arial"/>
                <w:sz w:val="20"/>
                <w:szCs w:val="20"/>
                <w:lang w:val="en-GB"/>
              </w:rPr>
              <w:t>4</w:t>
            </w:r>
          </w:p>
        </w:tc>
        <w:tc>
          <w:tcPr>
            <w:tcW w:w="1134" w:type="dxa"/>
          </w:tcPr>
          <w:p w14:paraId="7C66CDD5" w14:textId="77777777" w:rsidR="00CF05F5" w:rsidRPr="00C907E1" w:rsidRDefault="00CF05F5" w:rsidP="0075304E">
            <w:pPr>
              <w:pStyle w:val="BodyText"/>
              <w:rPr>
                <w:rFonts w:ascii="Arial" w:hAnsi="Arial" w:cs="Arial"/>
                <w:sz w:val="20"/>
                <w:szCs w:val="20"/>
                <w:lang w:val="en-GB"/>
              </w:rPr>
            </w:pPr>
            <w:r w:rsidRPr="00C907E1">
              <w:rPr>
                <w:rFonts w:ascii="Arial" w:hAnsi="Arial" w:cs="Arial"/>
                <w:sz w:val="20"/>
                <w:szCs w:val="20"/>
                <w:lang w:val="en-GB"/>
              </w:rPr>
              <w:t xml:space="preserve">G03AA15 </w:t>
            </w:r>
          </w:p>
        </w:tc>
        <w:tc>
          <w:tcPr>
            <w:tcW w:w="3543" w:type="dxa"/>
          </w:tcPr>
          <w:p w14:paraId="0EF3645D" w14:textId="77777777" w:rsidR="00CF05F5" w:rsidRPr="00C907E1" w:rsidRDefault="00CF05F5" w:rsidP="0075304E">
            <w:pPr>
              <w:pStyle w:val="BodyText"/>
              <w:rPr>
                <w:rFonts w:ascii="Arial" w:hAnsi="Arial" w:cs="Arial"/>
                <w:sz w:val="20"/>
                <w:szCs w:val="20"/>
                <w:lang w:val="en-GB"/>
              </w:rPr>
            </w:pPr>
            <w:r w:rsidRPr="00C907E1">
              <w:rPr>
                <w:rFonts w:ascii="Arial" w:hAnsi="Arial" w:cs="Arial"/>
                <w:sz w:val="20"/>
                <w:szCs w:val="20"/>
                <w:lang w:val="en-GB"/>
              </w:rPr>
              <w:t xml:space="preserve">chlormadinone and </w:t>
            </w:r>
            <w:proofErr w:type="spellStart"/>
            <w:r w:rsidRPr="00C907E1">
              <w:rPr>
                <w:rFonts w:ascii="Arial" w:hAnsi="Arial" w:cs="Arial"/>
                <w:sz w:val="20"/>
                <w:szCs w:val="20"/>
                <w:lang w:val="en-GB"/>
              </w:rPr>
              <w:t>ethinylestradiol</w:t>
            </w:r>
            <w:proofErr w:type="spellEnd"/>
          </w:p>
        </w:tc>
        <w:tc>
          <w:tcPr>
            <w:tcW w:w="1531" w:type="dxa"/>
          </w:tcPr>
          <w:p w14:paraId="31019882" w14:textId="716EAE88" w:rsidR="00CF05F5" w:rsidRPr="00C907E1" w:rsidRDefault="00825A9A">
            <w:pPr>
              <w:pStyle w:val="BodyText"/>
              <w:jc w:val="center"/>
              <w:rPr>
                <w:rFonts w:ascii="Arial" w:hAnsi="Arial" w:cs="Arial"/>
                <w:sz w:val="20"/>
                <w:szCs w:val="20"/>
                <w:lang w:val="en-GB"/>
              </w:rPr>
            </w:pPr>
            <w:r>
              <w:rPr>
                <w:rFonts w:ascii="Arial" w:hAnsi="Arial" w:cs="Arial"/>
                <w:sz w:val="20"/>
                <w:szCs w:val="20"/>
                <w:lang w:val="en-GB"/>
              </w:rPr>
              <w:t>F</w:t>
            </w:r>
          </w:p>
        </w:tc>
        <w:tc>
          <w:tcPr>
            <w:tcW w:w="2580" w:type="dxa"/>
            <w:gridSpan w:val="2"/>
          </w:tcPr>
          <w:p w14:paraId="2A5DF145" w14:textId="0987923B" w:rsidR="00CF05F5" w:rsidRPr="00C907E1" w:rsidRDefault="00CF05F5" w:rsidP="0075304E">
            <w:pPr>
              <w:pStyle w:val="BodyText"/>
              <w:jc w:val="center"/>
              <w:rPr>
                <w:rFonts w:ascii="Arial" w:hAnsi="Arial" w:cs="Arial"/>
                <w:sz w:val="20"/>
                <w:szCs w:val="20"/>
                <w:lang w:val="en-GB"/>
              </w:rPr>
            </w:pPr>
            <w:r w:rsidRPr="00C907E1">
              <w:rPr>
                <w:rFonts w:ascii="Arial" w:hAnsi="Arial" w:cs="Arial"/>
                <w:sz w:val="20"/>
                <w:szCs w:val="20"/>
                <w:lang w:val="en-GB"/>
              </w:rPr>
              <w:t>Unknown</w:t>
            </w:r>
          </w:p>
        </w:tc>
      </w:tr>
      <w:tr w:rsidR="00CF05F5" w:rsidRPr="00C907E1" w14:paraId="412DF093" w14:textId="77777777" w:rsidTr="00BF1A2A">
        <w:tc>
          <w:tcPr>
            <w:tcW w:w="704" w:type="dxa"/>
          </w:tcPr>
          <w:p w14:paraId="4D24103A" w14:textId="77777777" w:rsidR="00CF05F5" w:rsidRPr="00C907E1" w:rsidRDefault="00CF05F5" w:rsidP="0075304E">
            <w:pPr>
              <w:pStyle w:val="BodyText"/>
              <w:jc w:val="center"/>
              <w:rPr>
                <w:rFonts w:ascii="Arial" w:hAnsi="Arial" w:cs="Arial"/>
                <w:sz w:val="20"/>
                <w:szCs w:val="20"/>
                <w:lang w:val="en-GB"/>
              </w:rPr>
            </w:pPr>
            <w:r w:rsidRPr="00C907E1">
              <w:rPr>
                <w:rFonts w:ascii="Arial" w:hAnsi="Arial" w:cs="Arial"/>
                <w:sz w:val="20"/>
                <w:szCs w:val="20"/>
                <w:lang w:val="en-GB"/>
              </w:rPr>
              <w:t>X</w:t>
            </w:r>
          </w:p>
        </w:tc>
        <w:tc>
          <w:tcPr>
            <w:tcW w:w="851" w:type="dxa"/>
          </w:tcPr>
          <w:p w14:paraId="7B8F57C2" w14:textId="77777777" w:rsidR="00CF05F5" w:rsidRPr="00C907E1" w:rsidRDefault="00CF05F5" w:rsidP="0075304E">
            <w:pPr>
              <w:pStyle w:val="BodyText"/>
              <w:jc w:val="center"/>
              <w:rPr>
                <w:rFonts w:ascii="Arial" w:hAnsi="Arial" w:cs="Arial"/>
                <w:sz w:val="20"/>
                <w:szCs w:val="20"/>
                <w:lang w:val="en-GB"/>
              </w:rPr>
            </w:pPr>
            <w:r w:rsidRPr="00C907E1">
              <w:rPr>
                <w:rFonts w:ascii="Arial" w:hAnsi="Arial" w:cs="Arial"/>
                <w:sz w:val="20"/>
                <w:szCs w:val="20"/>
                <w:lang w:val="en-GB"/>
              </w:rPr>
              <w:t>4</w:t>
            </w:r>
          </w:p>
        </w:tc>
        <w:tc>
          <w:tcPr>
            <w:tcW w:w="1134" w:type="dxa"/>
          </w:tcPr>
          <w:p w14:paraId="4526B3C0" w14:textId="77777777" w:rsidR="00CF05F5" w:rsidRPr="00C907E1" w:rsidRDefault="00CF05F5" w:rsidP="0075304E">
            <w:pPr>
              <w:pStyle w:val="BodyText"/>
              <w:rPr>
                <w:rFonts w:ascii="Arial" w:hAnsi="Arial" w:cs="Arial"/>
                <w:sz w:val="20"/>
                <w:szCs w:val="20"/>
                <w:lang w:val="en-GB"/>
              </w:rPr>
            </w:pPr>
            <w:r w:rsidRPr="00C907E1">
              <w:rPr>
                <w:rFonts w:ascii="Arial" w:hAnsi="Arial" w:cs="Arial"/>
                <w:sz w:val="20"/>
                <w:szCs w:val="20"/>
                <w:lang w:val="en-GB"/>
              </w:rPr>
              <w:t xml:space="preserve">G03AA16 </w:t>
            </w:r>
          </w:p>
        </w:tc>
        <w:tc>
          <w:tcPr>
            <w:tcW w:w="3543" w:type="dxa"/>
          </w:tcPr>
          <w:p w14:paraId="78CA9367" w14:textId="77777777" w:rsidR="00CF05F5" w:rsidRPr="00C907E1" w:rsidRDefault="00CF05F5" w:rsidP="0075304E">
            <w:pPr>
              <w:pStyle w:val="BodyText"/>
              <w:rPr>
                <w:rFonts w:ascii="Arial" w:hAnsi="Arial" w:cs="Arial"/>
                <w:sz w:val="20"/>
                <w:szCs w:val="20"/>
                <w:lang w:val="en-GB"/>
              </w:rPr>
            </w:pPr>
            <w:proofErr w:type="spellStart"/>
            <w:r w:rsidRPr="00C907E1">
              <w:rPr>
                <w:rFonts w:ascii="Arial" w:hAnsi="Arial" w:cs="Arial"/>
                <w:sz w:val="20"/>
                <w:szCs w:val="20"/>
                <w:lang w:val="en-GB"/>
              </w:rPr>
              <w:t>dienogest</w:t>
            </w:r>
            <w:proofErr w:type="spellEnd"/>
            <w:r w:rsidRPr="00C907E1">
              <w:rPr>
                <w:rFonts w:ascii="Arial" w:hAnsi="Arial" w:cs="Arial"/>
                <w:sz w:val="20"/>
                <w:szCs w:val="20"/>
                <w:lang w:val="en-GB"/>
              </w:rPr>
              <w:t xml:space="preserve"> and </w:t>
            </w:r>
            <w:proofErr w:type="spellStart"/>
            <w:r w:rsidRPr="00C907E1">
              <w:rPr>
                <w:rFonts w:ascii="Arial" w:hAnsi="Arial" w:cs="Arial"/>
                <w:sz w:val="20"/>
                <w:szCs w:val="20"/>
                <w:lang w:val="en-GB"/>
              </w:rPr>
              <w:t>ethinylestradiol</w:t>
            </w:r>
            <w:proofErr w:type="spellEnd"/>
          </w:p>
        </w:tc>
        <w:tc>
          <w:tcPr>
            <w:tcW w:w="1531" w:type="dxa"/>
          </w:tcPr>
          <w:p w14:paraId="4F0D5791" w14:textId="0CAAA7A7" w:rsidR="00CF05F5" w:rsidRPr="00C907E1" w:rsidRDefault="00825A9A">
            <w:pPr>
              <w:pStyle w:val="BodyText"/>
              <w:jc w:val="center"/>
              <w:rPr>
                <w:rFonts w:ascii="Arial" w:hAnsi="Arial" w:cs="Arial"/>
                <w:sz w:val="20"/>
                <w:szCs w:val="20"/>
                <w:lang w:val="en-GB"/>
              </w:rPr>
            </w:pPr>
            <w:r>
              <w:rPr>
                <w:rFonts w:ascii="Arial" w:hAnsi="Arial" w:cs="Arial"/>
                <w:sz w:val="20"/>
                <w:szCs w:val="20"/>
                <w:lang w:val="en-GB"/>
              </w:rPr>
              <w:t>F</w:t>
            </w:r>
          </w:p>
        </w:tc>
        <w:tc>
          <w:tcPr>
            <w:tcW w:w="2580" w:type="dxa"/>
            <w:gridSpan w:val="2"/>
          </w:tcPr>
          <w:p w14:paraId="0E85E1A3" w14:textId="25447A1C" w:rsidR="00CF05F5" w:rsidRPr="00C907E1" w:rsidRDefault="00CF05F5" w:rsidP="0075304E">
            <w:pPr>
              <w:pStyle w:val="BodyText"/>
              <w:jc w:val="center"/>
              <w:rPr>
                <w:rFonts w:ascii="Arial" w:hAnsi="Arial" w:cs="Arial"/>
                <w:sz w:val="20"/>
                <w:szCs w:val="20"/>
                <w:lang w:val="en-GB"/>
              </w:rPr>
            </w:pPr>
            <w:r w:rsidRPr="00C907E1">
              <w:rPr>
                <w:rFonts w:ascii="Arial" w:hAnsi="Arial" w:cs="Arial"/>
                <w:sz w:val="20"/>
                <w:szCs w:val="20"/>
                <w:lang w:val="en-GB"/>
              </w:rPr>
              <w:t>Unknown</w:t>
            </w:r>
          </w:p>
        </w:tc>
      </w:tr>
      <w:tr w:rsidR="00CF05F5" w:rsidRPr="00C907E1" w14:paraId="2ECFA59B" w14:textId="77777777" w:rsidTr="00BF1A2A">
        <w:tc>
          <w:tcPr>
            <w:tcW w:w="704" w:type="dxa"/>
          </w:tcPr>
          <w:p w14:paraId="1A730063" w14:textId="77777777" w:rsidR="00CF05F5" w:rsidRPr="00C907E1" w:rsidRDefault="00CF05F5" w:rsidP="0075304E">
            <w:pPr>
              <w:pStyle w:val="BodyText"/>
              <w:jc w:val="center"/>
              <w:rPr>
                <w:rFonts w:ascii="Arial" w:hAnsi="Arial" w:cs="Arial"/>
                <w:sz w:val="20"/>
                <w:szCs w:val="20"/>
                <w:lang w:val="en-GB"/>
              </w:rPr>
            </w:pPr>
            <w:r w:rsidRPr="00C907E1">
              <w:rPr>
                <w:rFonts w:ascii="Arial" w:hAnsi="Arial" w:cs="Arial"/>
                <w:sz w:val="20"/>
                <w:szCs w:val="20"/>
                <w:lang w:val="en-GB"/>
              </w:rPr>
              <w:t>X</w:t>
            </w:r>
          </w:p>
        </w:tc>
        <w:tc>
          <w:tcPr>
            <w:tcW w:w="851" w:type="dxa"/>
          </w:tcPr>
          <w:p w14:paraId="48E2864B" w14:textId="77777777" w:rsidR="00CF05F5" w:rsidRPr="00C907E1" w:rsidRDefault="00CF05F5" w:rsidP="0075304E">
            <w:pPr>
              <w:pStyle w:val="BodyText"/>
              <w:jc w:val="center"/>
              <w:rPr>
                <w:rFonts w:ascii="Arial" w:hAnsi="Arial" w:cs="Arial"/>
                <w:sz w:val="20"/>
                <w:szCs w:val="20"/>
                <w:lang w:val="en-GB"/>
              </w:rPr>
            </w:pPr>
            <w:r w:rsidRPr="00C907E1">
              <w:rPr>
                <w:rFonts w:ascii="Arial" w:hAnsi="Arial" w:cs="Arial"/>
                <w:sz w:val="20"/>
                <w:szCs w:val="20"/>
                <w:lang w:val="en-GB"/>
              </w:rPr>
              <w:t>4</w:t>
            </w:r>
          </w:p>
        </w:tc>
        <w:tc>
          <w:tcPr>
            <w:tcW w:w="1134" w:type="dxa"/>
          </w:tcPr>
          <w:p w14:paraId="3546CB28" w14:textId="77777777" w:rsidR="00CF05F5" w:rsidRPr="00C907E1" w:rsidRDefault="00CF05F5" w:rsidP="0075304E">
            <w:pPr>
              <w:pStyle w:val="BodyText"/>
              <w:rPr>
                <w:rFonts w:ascii="Arial" w:hAnsi="Arial" w:cs="Arial"/>
                <w:sz w:val="20"/>
                <w:szCs w:val="20"/>
                <w:lang w:val="en-GB"/>
              </w:rPr>
            </w:pPr>
            <w:r w:rsidRPr="00C907E1">
              <w:rPr>
                <w:rFonts w:ascii="Arial" w:hAnsi="Arial" w:cs="Arial"/>
                <w:sz w:val="20"/>
                <w:szCs w:val="20"/>
                <w:lang w:val="en-GB"/>
              </w:rPr>
              <w:t xml:space="preserve">G03AB07 </w:t>
            </w:r>
          </w:p>
        </w:tc>
        <w:tc>
          <w:tcPr>
            <w:tcW w:w="3543" w:type="dxa"/>
          </w:tcPr>
          <w:p w14:paraId="77EC842F" w14:textId="77777777" w:rsidR="00CF05F5" w:rsidRPr="00C907E1" w:rsidRDefault="00CF05F5" w:rsidP="0075304E">
            <w:pPr>
              <w:pStyle w:val="BodyText"/>
              <w:rPr>
                <w:rFonts w:ascii="Arial" w:hAnsi="Arial" w:cs="Arial"/>
                <w:sz w:val="20"/>
                <w:szCs w:val="20"/>
                <w:lang w:val="en-GB"/>
              </w:rPr>
            </w:pPr>
            <w:r w:rsidRPr="00C907E1">
              <w:rPr>
                <w:rFonts w:ascii="Arial" w:hAnsi="Arial" w:cs="Arial"/>
                <w:sz w:val="20"/>
                <w:szCs w:val="20"/>
                <w:lang w:val="en-GB"/>
              </w:rPr>
              <w:t xml:space="preserve">chlormadinone and </w:t>
            </w:r>
            <w:proofErr w:type="spellStart"/>
            <w:r w:rsidRPr="00C907E1">
              <w:rPr>
                <w:rFonts w:ascii="Arial" w:hAnsi="Arial" w:cs="Arial"/>
                <w:sz w:val="20"/>
                <w:szCs w:val="20"/>
                <w:lang w:val="en-GB"/>
              </w:rPr>
              <w:t>ethinylestradiol</w:t>
            </w:r>
            <w:proofErr w:type="spellEnd"/>
          </w:p>
        </w:tc>
        <w:tc>
          <w:tcPr>
            <w:tcW w:w="1531" w:type="dxa"/>
          </w:tcPr>
          <w:p w14:paraId="6D5101A1" w14:textId="3ABA0069" w:rsidR="00CF05F5" w:rsidRPr="00C907E1" w:rsidRDefault="00825A9A">
            <w:pPr>
              <w:pStyle w:val="BodyText"/>
              <w:jc w:val="center"/>
              <w:rPr>
                <w:rFonts w:ascii="Arial" w:hAnsi="Arial" w:cs="Arial"/>
                <w:sz w:val="20"/>
                <w:szCs w:val="20"/>
                <w:lang w:val="en-GB"/>
              </w:rPr>
            </w:pPr>
            <w:r>
              <w:rPr>
                <w:rFonts w:ascii="Arial" w:hAnsi="Arial" w:cs="Arial"/>
                <w:sz w:val="20"/>
                <w:szCs w:val="20"/>
                <w:lang w:val="en-GB"/>
              </w:rPr>
              <w:t>S</w:t>
            </w:r>
          </w:p>
        </w:tc>
        <w:tc>
          <w:tcPr>
            <w:tcW w:w="2580" w:type="dxa"/>
            <w:gridSpan w:val="2"/>
          </w:tcPr>
          <w:p w14:paraId="47980A4A" w14:textId="4DE535E2" w:rsidR="00CF05F5" w:rsidRPr="00C907E1" w:rsidRDefault="00CF05F5" w:rsidP="0075304E">
            <w:pPr>
              <w:pStyle w:val="BodyText"/>
              <w:jc w:val="center"/>
              <w:rPr>
                <w:rFonts w:ascii="Arial" w:hAnsi="Arial" w:cs="Arial"/>
                <w:sz w:val="20"/>
                <w:szCs w:val="20"/>
                <w:lang w:val="en-GB"/>
              </w:rPr>
            </w:pPr>
            <w:r w:rsidRPr="00C907E1">
              <w:rPr>
                <w:rFonts w:ascii="Arial" w:hAnsi="Arial" w:cs="Arial"/>
                <w:sz w:val="20"/>
                <w:szCs w:val="20"/>
                <w:lang w:val="en-GB"/>
              </w:rPr>
              <w:t>Unknown</w:t>
            </w:r>
          </w:p>
        </w:tc>
      </w:tr>
      <w:tr w:rsidR="00CF05F5" w:rsidRPr="00C907E1" w14:paraId="256B8D55" w14:textId="77777777" w:rsidTr="00BF1A2A">
        <w:trPr>
          <w:trHeight w:val="392"/>
        </w:trPr>
        <w:tc>
          <w:tcPr>
            <w:tcW w:w="704" w:type="dxa"/>
          </w:tcPr>
          <w:p w14:paraId="6F10F449" w14:textId="77777777" w:rsidR="00CF05F5" w:rsidRPr="00C907E1" w:rsidRDefault="00CF05F5" w:rsidP="0075304E">
            <w:pPr>
              <w:pStyle w:val="BodyText"/>
              <w:jc w:val="center"/>
              <w:rPr>
                <w:rFonts w:ascii="Arial" w:eastAsiaTheme="minorHAnsi" w:hAnsi="Arial" w:cs="Arial"/>
                <w:sz w:val="20"/>
                <w:szCs w:val="20"/>
                <w:lang w:val="en-GB"/>
              </w:rPr>
            </w:pPr>
            <w:r w:rsidRPr="00C907E1">
              <w:rPr>
                <w:rFonts w:ascii="Arial" w:hAnsi="Arial" w:cs="Arial"/>
                <w:sz w:val="20"/>
                <w:szCs w:val="20"/>
                <w:lang w:val="en-GB"/>
              </w:rPr>
              <w:t>X</w:t>
            </w:r>
          </w:p>
        </w:tc>
        <w:tc>
          <w:tcPr>
            <w:tcW w:w="851" w:type="dxa"/>
          </w:tcPr>
          <w:p w14:paraId="78789192" w14:textId="77777777" w:rsidR="00CF05F5" w:rsidRPr="00C907E1" w:rsidRDefault="00CF05F5" w:rsidP="0075304E">
            <w:pPr>
              <w:pStyle w:val="BodyText"/>
              <w:jc w:val="center"/>
              <w:rPr>
                <w:rFonts w:ascii="Arial" w:eastAsiaTheme="minorHAnsi" w:hAnsi="Arial" w:cs="Arial"/>
                <w:sz w:val="20"/>
                <w:szCs w:val="20"/>
                <w:lang w:val="en-GB"/>
              </w:rPr>
            </w:pPr>
            <w:r w:rsidRPr="00C907E1">
              <w:rPr>
                <w:rFonts w:ascii="Arial" w:hAnsi="Arial" w:cs="Arial"/>
                <w:sz w:val="20"/>
                <w:szCs w:val="20"/>
                <w:lang w:val="en-GB"/>
              </w:rPr>
              <w:t>4</w:t>
            </w:r>
          </w:p>
        </w:tc>
        <w:tc>
          <w:tcPr>
            <w:tcW w:w="1134" w:type="dxa"/>
          </w:tcPr>
          <w:p w14:paraId="44759463" w14:textId="77777777" w:rsidR="00CF05F5" w:rsidRPr="00C907E1" w:rsidRDefault="00CF05F5" w:rsidP="0075304E">
            <w:pPr>
              <w:pStyle w:val="BodyText"/>
              <w:rPr>
                <w:rFonts w:ascii="Arial" w:eastAsiaTheme="minorHAnsi" w:hAnsi="Arial" w:cs="Arial"/>
                <w:sz w:val="20"/>
                <w:szCs w:val="20"/>
                <w:lang w:val="en-GB"/>
              </w:rPr>
            </w:pPr>
            <w:r w:rsidRPr="00C907E1">
              <w:rPr>
                <w:rFonts w:ascii="Arial" w:hAnsi="Arial" w:cs="Arial"/>
                <w:sz w:val="20"/>
                <w:szCs w:val="20"/>
                <w:lang w:val="en-GB"/>
              </w:rPr>
              <w:t>G03AB08</w:t>
            </w:r>
          </w:p>
        </w:tc>
        <w:tc>
          <w:tcPr>
            <w:tcW w:w="3543" w:type="dxa"/>
          </w:tcPr>
          <w:p w14:paraId="6DCA67AA" w14:textId="77777777" w:rsidR="00CF05F5" w:rsidRPr="00C907E1" w:rsidRDefault="00CF05F5" w:rsidP="0075304E">
            <w:pPr>
              <w:pStyle w:val="BodyText"/>
              <w:rPr>
                <w:rFonts w:ascii="Arial" w:eastAsiaTheme="minorHAnsi" w:hAnsi="Arial" w:cs="Arial"/>
                <w:sz w:val="20"/>
                <w:szCs w:val="20"/>
                <w:lang w:val="en-GB"/>
              </w:rPr>
            </w:pPr>
            <w:proofErr w:type="spellStart"/>
            <w:r w:rsidRPr="00C907E1">
              <w:rPr>
                <w:rFonts w:ascii="Arial" w:hAnsi="Arial" w:cs="Arial"/>
                <w:sz w:val="20"/>
                <w:szCs w:val="20"/>
                <w:lang w:val="en-GB"/>
              </w:rPr>
              <w:t>dienogest</w:t>
            </w:r>
            <w:proofErr w:type="spellEnd"/>
            <w:r w:rsidRPr="00C907E1">
              <w:rPr>
                <w:rFonts w:ascii="Arial" w:hAnsi="Arial" w:cs="Arial"/>
                <w:sz w:val="20"/>
                <w:szCs w:val="20"/>
                <w:lang w:val="en-GB"/>
              </w:rPr>
              <w:t xml:space="preserve"> and </w:t>
            </w:r>
            <w:proofErr w:type="spellStart"/>
            <w:r w:rsidRPr="00C907E1">
              <w:rPr>
                <w:rFonts w:ascii="Arial" w:hAnsi="Arial" w:cs="Arial"/>
                <w:sz w:val="20"/>
                <w:szCs w:val="20"/>
                <w:lang w:val="en-GB"/>
              </w:rPr>
              <w:t>estradiol</w:t>
            </w:r>
            <w:proofErr w:type="spellEnd"/>
          </w:p>
        </w:tc>
        <w:tc>
          <w:tcPr>
            <w:tcW w:w="1531" w:type="dxa"/>
          </w:tcPr>
          <w:p w14:paraId="5AE8EA90" w14:textId="7BDD372C" w:rsidR="00CF05F5" w:rsidRPr="00C907E1" w:rsidRDefault="00825A9A">
            <w:pPr>
              <w:pStyle w:val="BodyText"/>
              <w:jc w:val="center"/>
              <w:rPr>
                <w:rFonts w:ascii="Arial" w:hAnsi="Arial" w:cs="Arial"/>
                <w:sz w:val="20"/>
                <w:szCs w:val="20"/>
                <w:lang w:val="en-GB"/>
              </w:rPr>
            </w:pPr>
            <w:r>
              <w:rPr>
                <w:rFonts w:ascii="Arial" w:hAnsi="Arial" w:cs="Arial"/>
                <w:sz w:val="20"/>
                <w:szCs w:val="20"/>
                <w:lang w:val="en-GB"/>
              </w:rPr>
              <w:t>S</w:t>
            </w:r>
          </w:p>
        </w:tc>
        <w:tc>
          <w:tcPr>
            <w:tcW w:w="2580" w:type="dxa"/>
            <w:gridSpan w:val="2"/>
          </w:tcPr>
          <w:p w14:paraId="08F7CC76" w14:textId="57B87838" w:rsidR="00CF05F5" w:rsidRPr="00C907E1" w:rsidRDefault="00CF05F5" w:rsidP="0075304E">
            <w:pPr>
              <w:pStyle w:val="BodyText"/>
              <w:jc w:val="center"/>
              <w:rPr>
                <w:rFonts w:ascii="Arial" w:hAnsi="Arial" w:cs="Arial"/>
                <w:sz w:val="20"/>
                <w:szCs w:val="20"/>
                <w:lang w:val="en-GB"/>
              </w:rPr>
            </w:pPr>
            <w:r w:rsidRPr="00C907E1">
              <w:rPr>
                <w:rFonts w:ascii="Arial" w:hAnsi="Arial" w:cs="Arial"/>
                <w:sz w:val="20"/>
                <w:szCs w:val="20"/>
                <w:lang w:val="en-GB"/>
              </w:rPr>
              <w:t>Unknown</w:t>
            </w:r>
          </w:p>
        </w:tc>
      </w:tr>
    </w:tbl>
    <w:p w14:paraId="2A19ADC7" w14:textId="545BC464" w:rsidR="00D01830" w:rsidRPr="00C907E1" w:rsidRDefault="00D01830" w:rsidP="00D01830">
      <w:pPr>
        <w:pStyle w:val="BodyText"/>
        <w:rPr>
          <w:rFonts w:ascii="Arial" w:eastAsiaTheme="minorHAnsi" w:hAnsi="Arial" w:cs="Arial"/>
          <w:sz w:val="20"/>
          <w:szCs w:val="20"/>
          <w:lang w:val="en-GB"/>
        </w:rPr>
      </w:pPr>
      <w:r w:rsidRPr="001415E1">
        <w:rPr>
          <w:rFonts w:ascii="Times New Roman" w:eastAsia="Times New Roman" w:hAnsi="Times New Roman"/>
          <w:sz w:val="29"/>
          <w:szCs w:val="29"/>
          <w:lang w:val="en" w:eastAsia="de-DE"/>
        </w:rPr>
        <w:t>†</w:t>
      </w:r>
      <w:r>
        <w:rPr>
          <w:rFonts w:ascii="Times New Roman" w:eastAsia="Times New Roman" w:hAnsi="Times New Roman"/>
          <w:sz w:val="29"/>
          <w:szCs w:val="29"/>
          <w:lang w:val="en" w:eastAsia="de-DE"/>
        </w:rPr>
        <w:t xml:space="preserve"> </w:t>
      </w:r>
      <w:r w:rsidRPr="00C907E1">
        <w:rPr>
          <w:rFonts w:ascii="Arial" w:eastAsiaTheme="minorHAnsi" w:hAnsi="Arial" w:cs="Arial"/>
          <w:sz w:val="20"/>
          <w:szCs w:val="20"/>
          <w:lang w:val="en-GB"/>
        </w:rPr>
        <w:t>ATC: Anatomi</w:t>
      </w:r>
      <w:r>
        <w:rPr>
          <w:rFonts w:ascii="Arial" w:eastAsiaTheme="minorHAnsi" w:hAnsi="Arial" w:cs="Arial"/>
          <w:sz w:val="20"/>
          <w:szCs w:val="20"/>
          <w:lang w:val="en-GB"/>
        </w:rPr>
        <w:t xml:space="preserve">cal </w:t>
      </w:r>
      <w:r w:rsidRPr="00C907E1">
        <w:rPr>
          <w:rFonts w:ascii="Arial" w:eastAsiaTheme="minorHAnsi" w:hAnsi="Arial" w:cs="Arial"/>
          <w:sz w:val="20"/>
          <w:szCs w:val="20"/>
          <w:lang w:val="en-GB"/>
        </w:rPr>
        <w:t>therapeutic</w:t>
      </w:r>
      <w:r>
        <w:rPr>
          <w:rFonts w:ascii="Arial" w:eastAsiaTheme="minorHAnsi" w:hAnsi="Arial" w:cs="Arial"/>
          <w:sz w:val="20"/>
          <w:szCs w:val="20"/>
          <w:lang w:val="en-GB"/>
        </w:rPr>
        <w:t xml:space="preserve"> </w:t>
      </w:r>
      <w:r w:rsidRPr="00C907E1">
        <w:rPr>
          <w:rFonts w:ascii="Arial" w:eastAsiaTheme="minorHAnsi" w:hAnsi="Arial" w:cs="Arial"/>
          <w:sz w:val="20"/>
          <w:szCs w:val="20"/>
          <w:lang w:val="en-GB"/>
        </w:rPr>
        <w:t>chemic</w:t>
      </w:r>
      <w:r>
        <w:rPr>
          <w:rFonts w:ascii="Arial" w:eastAsiaTheme="minorHAnsi" w:hAnsi="Arial" w:cs="Arial"/>
          <w:sz w:val="20"/>
          <w:szCs w:val="20"/>
          <w:lang w:val="en-GB"/>
        </w:rPr>
        <w:t>al classification</w:t>
      </w:r>
      <w:r w:rsidR="00646F38">
        <w:rPr>
          <w:rFonts w:ascii="Arial" w:eastAsiaTheme="minorHAnsi" w:hAnsi="Arial" w:cs="Arial"/>
          <w:sz w:val="20"/>
          <w:szCs w:val="20"/>
          <w:vertAlign w:val="superscript"/>
          <w:lang w:val="en-GB"/>
        </w:rPr>
        <w:t>18</w:t>
      </w:r>
    </w:p>
    <w:p w14:paraId="362C721A" w14:textId="77777777" w:rsidR="00D01830" w:rsidRDefault="00D01830" w:rsidP="00D01830">
      <w:pPr>
        <w:rPr>
          <w:rFonts w:ascii="Arial" w:eastAsiaTheme="minorHAnsi" w:hAnsi="Arial" w:cs="Arial"/>
          <w:lang w:val="en-GB"/>
        </w:rPr>
      </w:pPr>
      <w:r>
        <w:rPr>
          <w:rFonts w:ascii="Arial" w:eastAsiaTheme="minorHAnsi" w:hAnsi="Arial" w:cs="Arial"/>
          <w:lang w:val="en-GB"/>
        </w:rPr>
        <w:br w:type="page"/>
      </w:r>
    </w:p>
    <w:p w14:paraId="62221BDF" w14:textId="77777777" w:rsidR="00D01830" w:rsidRPr="00984407" w:rsidRDefault="00D01830" w:rsidP="00D01830">
      <w:pPr>
        <w:spacing w:after="120" w:line="240" w:lineRule="auto"/>
        <w:rPr>
          <w:rFonts w:ascii="Arial" w:eastAsiaTheme="minorHAnsi" w:hAnsi="Arial" w:cs="Arial"/>
          <w:sz w:val="20"/>
          <w:szCs w:val="20"/>
          <w:lang w:val="en-GB"/>
        </w:rPr>
      </w:pPr>
      <w:r w:rsidRPr="00D57436">
        <w:rPr>
          <w:rFonts w:ascii="Arial" w:eastAsiaTheme="minorHAnsi" w:hAnsi="Arial" w:cs="Arial"/>
          <w:sz w:val="20"/>
          <w:szCs w:val="20"/>
          <w:lang w:val="en-GB"/>
        </w:rPr>
        <w:lastRenderedPageBreak/>
        <w:t>Table 2: Explanation of the parameters shown in Table 5</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9"/>
        <w:gridCol w:w="7441"/>
      </w:tblGrid>
      <w:tr w:rsidR="00D01830" w14:paraId="15E7FDBC" w14:textId="77777777" w:rsidTr="0075304E">
        <w:tc>
          <w:tcPr>
            <w:tcW w:w="0" w:type="auto"/>
            <w:tcBorders>
              <w:top w:val="single" w:sz="4" w:space="0" w:color="auto"/>
              <w:left w:val="nil"/>
              <w:bottom w:val="single" w:sz="4" w:space="0" w:color="auto"/>
              <w:right w:val="nil"/>
            </w:tcBorders>
            <w:hideMark/>
          </w:tcPr>
          <w:p w14:paraId="51941E57" w14:textId="77777777" w:rsidR="00D01830" w:rsidRDefault="00D01830" w:rsidP="0075304E">
            <w:pPr>
              <w:pStyle w:val="BodyText"/>
              <w:spacing w:before="40" w:after="40"/>
              <w:rPr>
                <w:rFonts w:ascii="Arial" w:hAnsi="Arial" w:cs="Arial"/>
                <w:lang w:val="en-GB"/>
              </w:rPr>
            </w:pPr>
            <w:r>
              <w:rPr>
                <w:rFonts w:ascii="Arial" w:hAnsi="Arial" w:cs="Arial"/>
                <w:lang w:val="en-GB"/>
              </w:rPr>
              <w:t xml:space="preserve">Parameter </w:t>
            </w:r>
          </w:p>
        </w:tc>
        <w:tc>
          <w:tcPr>
            <w:tcW w:w="0" w:type="auto"/>
            <w:tcBorders>
              <w:top w:val="single" w:sz="4" w:space="0" w:color="auto"/>
              <w:left w:val="nil"/>
              <w:bottom w:val="single" w:sz="4" w:space="0" w:color="auto"/>
              <w:right w:val="nil"/>
            </w:tcBorders>
            <w:hideMark/>
          </w:tcPr>
          <w:p w14:paraId="3A5CD1C3" w14:textId="77777777" w:rsidR="00D01830" w:rsidRDefault="00D01830" w:rsidP="0075304E">
            <w:pPr>
              <w:pStyle w:val="BodyText"/>
              <w:spacing w:before="40" w:after="40"/>
              <w:rPr>
                <w:rFonts w:ascii="Arial" w:hAnsi="Arial" w:cs="Arial"/>
                <w:lang w:val="en-GB"/>
              </w:rPr>
            </w:pPr>
            <w:r>
              <w:rPr>
                <w:rFonts w:ascii="Arial" w:hAnsi="Arial" w:cs="Arial"/>
                <w:lang w:val="en-GB"/>
              </w:rPr>
              <w:t>Explanation</w:t>
            </w:r>
          </w:p>
        </w:tc>
      </w:tr>
      <w:tr w:rsidR="00D01830" w:rsidRPr="006E0949" w14:paraId="121F04CE" w14:textId="77777777" w:rsidTr="0075304E">
        <w:tc>
          <w:tcPr>
            <w:tcW w:w="0" w:type="auto"/>
            <w:tcBorders>
              <w:top w:val="single" w:sz="4" w:space="0" w:color="auto"/>
              <w:left w:val="nil"/>
              <w:bottom w:val="nil"/>
              <w:right w:val="nil"/>
            </w:tcBorders>
            <w:hideMark/>
          </w:tcPr>
          <w:p w14:paraId="7FFDCB3E" w14:textId="77777777" w:rsidR="00D01830" w:rsidRDefault="00D01830" w:rsidP="0075304E">
            <w:pPr>
              <w:pStyle w:val="BodyText"/>
              <w:spacing w:before="40" w:after="40"/>
              <w:rPr>
                <w:rFonts w:ascii="Arial" w:hAnsi="Arial" w:cs="Arial"/>
                <w:lang w:val="en-GB"/>
              </w:rPr>
            </w:pPr>
            <w:r>
              <w:rPr>
                <w:rFonts w:ascii="Arial" w:hAnsi="Arial" w:cs="Arial"/>
                <w:lang w:val="en-GB"/>
              </w:rPr>
              <w:t xml:space="preserve">O(AR) </w:t>
            </w:r>
          </w:p>
        </w:tc>
        <w:tc>
          <w:tcPr>
            <w:tcW w:w="0" w:type="auto"/>
            <w:tcBorders>
              <w:top w:val="single" w:sz="4" w:space="0" w:color="auto"/>
              <w:left w:val="nil"/>
              <w:bottom w:val="nil"/>
              <w:right w:val="nil"/>
            </w:tcBorders>
            <w:hideMark/>
          </w:tcPr>
          <w:p w14:paraId="466B0155" w14:textId="77777777" w:rsidR="00D01830" w:rsidRDefault="00D01830" w:rsidP="0075304E">
            <w:pPr>
              <w:pStyle w:val="BodyText"/>
              <w:spacing w:before="40" w:after="40"/>
              <w:rPr>
                <w:rFonts w:ascii="Arial" w:hAnsi="Arial" w:cs="Arial"/>
                <w:lang w:val="en-GB"/>
              </w:rPr>
            </w:pPr>
            <w:r>
              <w:rPr>
                <w:rFonts w:ascii="Arial" w:hAnsi="Arial" w:cs="Arial"/>
                <w:lang w:val="en-GB"/>
              </w:rPr>
              <w:t>Order of auto-correlation in the ARIMA model</w:t>
            </w:r>
          </w:p>
        </w:tc>
      </w:tr>
      <w:tr w:rsidR="00D01830" w:rsidRPr="006E0949" w14:paraId="4FCF2C6D" w14:textId="77777777" w:rsidTr="0075304E">
        <w:tc>
          <w:tcPr>
            <w:tcW w:w="0" w:type="auto"/>
            <w:hideMark/>
          </w:tcPr>
          <w:p w14:paraId="4B080E07" w14:textId="77777777" w:rsidR="00D01830" w:rsidRDefault="00D01830" w:rsidP="0075304E">
            <w:pPr>
              <w:pStyle w:val="BodyText"/>
              <w:spacing w:before="40" w:after="40"/>
              <w:rPr>
                <w:rFonts w:ascii="Arial" w:hAnsi="Arial" w:cs="Arial"/>
                <w:lang w:val="en-GB"/>
              </w:rPr>
            </w:pPr>
            <w:r>
              <w:rPr>
                <w:rFonts w:ascii="Arial" w:hAnsi="Arial" w:cs="Arial"/>
                <w:lang w:val="en-GB"/>
              </w:rPr>
              <w:t xml:space="preserve">O(I) </w:t>
            </w:r>
          </w:p>
        </w:tc>
        <w:tc>
          <w:tcPr>
            <w:tcW w:w="0" w:type="auto"/>
            <w:hideMark/>
          </w:tcPr>
          <w:p w14:paraId="0F0F0F6B" w14:textId="77777777" w:rsidR="00D01830" w:rsidRDefault="00D01830" w:rsidP="0075304E">
            <w:pPr>
              <w:pStyle w:val="BodyText"/>
              <w:spacing w:before="40" w:after="40"/>
              <w:rPr>
                <w:rFonts w:ascii="Arial" w:hAnsi="Arial" w:cs="Arial"/>
                <w:lang w:val="en-GB"/>
              </w:rPr>
            </w:pPr>
            <w:r>
              <w:rPr>
                <w:rFonts w:ascii="Arial" w:hAnsi="Arial" w:cs="Arial"/>
                <w:lang w:val="en-GB"/>
              </w:rPr>
              <w:t>Order of differences in the ARIMA model</w:t>
            </w:r>
          </w:p>
        </w:tc>
      </w:tr>
      <w:tr w:rsidR="00D01830" w:rsidRPr="006E0949" w14:paraId="73F1786D" w14:textId="77777777" w:rsidTr="0075304E">
        <w:tc>
          <w:tcPr>
            <w:tcW w:w="0" w:type="auto"/>
            <w:hideMark/>
          </w:tcPr>
          <w:p w14:paraId="59E8200C" w14:textId="77777777" w:rsidR="00D01830" w:rsidRDefault="00D01830" w:rsidP="0075304E">
            <w:pPr>
              <w:pStyle w:val="BodyText"/>
              <w:spacing w:before="40" w:after="40"/>
              <w:rPr>
                <w:rFonts w:ascii="Arial" w:hAnsi="Arial" w:cs="Arial"/>
                <w:lang w:val="en-GB"/>
              </w:rPr>
            </w:pPr>
            <w:r>
              <w:rPr>
                <w:rFonts w:ascii="Arial" w:hAnsi="Arial" w:cs="Arial"/>
                <w:lang w:val="en-GB"/>
              </w:rPr>
              <w:t xml:space="preserve">O(MA) </w:t>
            </w:r>
          </w:p>
        </w:tc>
        <w:tc>
          <w:tcPr>
            <w:tcW w:w="0" w:type="auto"/>
            <w:hideMark/>
          </w:tcPr>
          <w:p w14:paraId="39224D05" w14:textId="77777777" w:rsidR="00D01830" w:rsidRDefault="00D01830" w:rsidP="0075304E">
            <w:pPr>
              <w:pStyle w:val="BodyText"/>
              <w:spacing w:before="40" w:after="40"/>
              <w:rPr>
                <w:rFonts w:ascii="Arial" w:hAnsi="Arial" w:cs="Arial"/>
                <w:lang w:val="en-GB"/>
              </w:rPr>
            </w:pPr>
            <w:r>
              <w:rPr>
                <w:rFonts w:ascii="Arial" w:hAnsi="Arial" w:cs="Arial"/>
                <w:lang w:val="en-GB"/>
              </w:rPr>
              <w:t>Order of the moving averages in the ARIMA model</w:t>
            </w:r>
          </w:p>
        </w:tc>
      </w:tr>
      <w:tr w:rsidR="00D01830" w:rsidRPr="006E0949" w14:paraId="129AB1EB" w14:textId="77777777" w:rsidTr="0075304E">
        <w:tc>
          <w:tcPr>
            <w:tcW w:w="0" w:type="auto"/>
            <w:hideMark/>
          </w:tcPr>
          <w:p w14:paraId="11A5F5F8" w14:textId="77777777" w:rsidR="00D01830" w:rsidRDefault="00D01830" w:rsidP="0075304E">
            <w:pPr>
              <w:pStyle w:val="BodyText"/>
              <w:spacing w:before="40" w:after="40"/>
              <w:rPr>
                <w:rFonts w:ascii="Arial" w:hAnsi="Arial" w:cs="Arial"/>
                <w:lang w:val="en-GB"/>
              </w:rPr>
            </w:pPr>
            <w:proofErr w:type="spellStart"/>
            <w:r>
              <w:rPr>
                <w:rFonts w:ascii="Arial" w:hAnsi="Arial" w:cs="Arial"/>
                <w:lang w:val="en-GB"/>
              </w:rPr>
              <w:t>AR</w:t>
            </w:r>
            <w:r>
              <w:rPr>
                <w:rFonts w:ascii="Arial" w:hAnsi="Arial" w:cs="Arial"/>
                <w:i/>
                <w:vertAlign w:val="subscript"/>
                <w:lang w:val="en-GB"/>
              </w:rPr>
              <w:t>n</w:t>
            </w:r>
            <w:proofErr w:type="spellEnd"/>
          </w:p>
        </w:tc>
        <w:tc>
          <w:tcPr>
            <w:tcW w:w="0" w:type="auto"/>
            <w:hideMark/>
          </w:tcPr>
          <w:p w14:paraId="26D9F50D" w14:textId="77777777" w:rsidR="00D01830" w:rsidRDefault="00D01830" w:rsidP="0075304E">
            <w:pPr>
              <w:pStyle w:val="BodyText"/>
              <w:spacing w:before="40" w:after="40"/>
              <w:rPr>
                <w:rFonts w:ascii="Arial" w:hAnsi="Arial" w:cs="Arial"/>
                <w:lang w:val="en-GB"/>
              </w:rPr>
            </w:pPr>
            <w:r>
              <w:rPr>
                <w:rFonts w:ascii="Arial" w:hAnsi="Arial" w:cs="Arial"/>
                <w:lang w:val="en-GB"/>
              </w:rPr>
              <w:t xml:space="preserve">Auto-correlation coefficient of order </w:t>
            </w:r>
            <w:r>
              <w:rPr>
                <w:rFonts w:ascii="Arial" w:hAnsi="Arial" w:cs="Arial"/>
                <w:i/>
                <w:lang w:val="en-GB"/>
              </w:rPr>
              <w:t>n</w:t>
            </w:r>
          </w:p>
        </w:tc>
      </w:tr>
      <w:tr w:rsidR="00D01830" w:rsidRPr="006E0949" w14:paraId="107C2498" w14:textId="77777777" w:rsidTr="0075304E">
        <w:tc>
          <w:tcPr>
            <w:tcW w:w="0" w:type="auto"/>
            <w:hideMark/>
          </w:tcPr>
          <w:p w14:paraId="53A82EB4" w14:textId="77777777" w:rsidR="00D01830" w:rsidRDefault="00D01830" w:rsidP="0075304E">
            <w:pPr>
              <w:pStyle w:val="BodyText"/>
              <w:spacing w:before="40" w:after="40"/>
              <w:rPr>
                <w:rFonts w:ascii="Arial" w:hAnsi="Arial" w:cs="Arial"/>
                <w:lang w:val="en-GB"/>
              </w:rPr>
            </w:pPr>
            <w:proofErr w:type="spellStart"/>
            <w:r>
              <w:rPr>
                <w:rFonts w:ascii="Arial" w:hAnsi="Arial" w:cs="Arial"/>
                <w:lang w:val="en-GB"/>
              </w:rPr>
              <w:t>MA</w:t>
            </w:r>
            <w:r>
              <w:rPr>
                <w:rFonts w:ascii="Arial" w:hAnsi="Arial" w:cs="Arial"/>
                <w:vertAlign w:val="subscript"/>
                <w:lang w:val="en-GB"/>
              </w:rPr>
              <w:t>n</w:t>
            </w:r>
            <w:proofErr w:type="spellEnd"/>
            <w:r>
              <w:rPr>
                <w:rFonts w:ascii="Arial" w:hAnsi="Arial" w:cs="Arial"/>
                <w:lang w:val="en-GB"/>
              </w:rPr>
              <w:t xml:space="preserve"> </w:t>
            </w:r>
          </w:p>
        </w:tc>
        <w:tc>
          <w:tcPr>
            <w:tcW w:w="0" w:type="auto"/>
            <w:hideMark/>
          </w:tcPr>
          <w:p w14:paraId="7614A147" w14:textId="77777777" w:rsidR="00D01830" w:rsidRDefault="00D01830" w:rsidP="0075304E">
            <w:pPr>
              <w:pStyle w:val="BodyText"/>
              <w:spacing w:before="40" w:after="40"/>
              <w:rPr>
                <w:rFonts w:ascii="Arial" w:hAnsi="Arial" w:cs="Arial"/>
                <w:lang w:val="en-GB"/>
              </w:rPr>
            </w:pPr>
            <w:r>
              <w:rPr>
                <w:rFonts w:ascii="Arial" w:hAnsi="Arial" w:cs="Arial"/>
                <w:lang w:val="en-GB"/>
              </w:rPr>
              <w:t xml:space="preserve">Moving averages coefficient of order </w:t>
            </w:r>
            <w:r>
              <w:rPr>
                <w:rFonts w:ascii="Arial" w:hAnsi="Arial" w:cs="Arial"/>
                <w:i/>
                <w:lang w:val="en-GB"/>
              </w:rPr>
              <w:t>n</w:t>
            </w:r>
          </w:p>
        </w:tc>
      </w:tr>
      <w:tr w:rsidR="00D01830" w:rsidRPr="006E0949" w14:paraId="55238C34" w14:textId="77777777" w:rsidTr="0075304E">
        <w:tc>
          <w:tcPr>
            <w:tcW w:w="0" w:type="auto"/>
            <w:hideMark/>
          </w:tcPr>
          <w:p w14:paraId="0594A22E" w14:textId="77777777" w:rsidR="00D01830" w:rsidRPr="007770B6" w:rsidRDefault="00D01830" w:rsidP="0075304E">
            <w:pPr>
              <w:pStyle w:val="BodyText"/>
              <w:spacing w:before="40" w:after="40"/>
              <w:rPr>
                <w:rFonts w:ascii="Arial" w:hAnsi="Arial" w:cs="Arial"/>
                <w:vertAlign w:val="superscript"/>
                <w:lang w:val="en-GB"/>
              </w:rPr>
            </w:pPr>
            <w:proofErr w:type="spellStart"/>
            <w:r>
              <w:rPr>
                <w:rFonts w:ascii="Arial" w:hAnsi="Arial" w:cs="Arial"/>
                <w:lang w:val="en-GB"/>
              </w:rPr>
              <w:t>ω</w:t>
            </w:r>
            <w:r>
              <w:rPr>
                <w:rFonts w:ascii="Arial" w:hAnsi="Arial" w:cs="Arial"/>
                <w:i/>
                <w:vertAlign w:val="subscript"/>
                <w:lang w:val="en-GB"/>
              </w:rPr>
              <w:t>n</w:t>
            </w:r>
            <w:proofErr w:type="spellEnd"/>
            <w:r w:rsidRPr="007770B6">
              <w:rPr>
                <w:rFonts w:ascii="Arial" w:eastAsia="Times New Roman" w:hAnsi="Arial" w:cs="Arial"/>
                <w:sz w:val="20"/>
                <w:szCs w:val="20"/>
                <w:vertAlign w:val="superscript"/>
                <w:lang w:val="en" w:eastAsia="de-DE"/>
              </w:rPr>
              <w:t>†</w:t>
            </w:r>
          </w:p>
        </w:tc>
        <w:tc>
          <w:tcPr>
            <w:tcW w:w="0" w:type="auto"/>
            <w:hideMark/>
          </w:tcPr>
          <w:p w14:paraId="321E72B6" w14:textId="77777777" w:rsidR="00D01830" w:rsidRDefault="00D01830" w:rsidP="0075304E">
            <w:pPr>
              <w:pStyle w:val="BodyText"/>
              <w:spacing w:before="40" w:after="40"/>
              <w:rPr>
                <w:rFonts w:ascii="Arial" w:hAnsi="Arial" w:cs="Arial"/>
                <w:lang w:val="en-GB"/>
              </w:rPr>
            </w:pPr>
            <w:r>
              <w:rPr>
                <w:rFonts w:ascii="Arial" w:hAnsi="Arial" w:cs="Arial"/>
                <w:lang w:val="en-GB"/>
              </w:rPr>
              <w:t xml:space="preserve">Effect on level of the </w:t>
            </w:r>
            <w:r>
              <w:rPr>
                <w:rFonts w:ascii="Arial" w:hAnsi="Arial" w:cs="Arial"/>
                <w:i/>
                <w:lang w:val="en-GB"/>
              </w:rPr>
              <w:t>n</w:t>
            </w:r>
            <w:r>
              <w:rPr>
                <w:rFonts w:ascii="Arial" w:hAnsi="Arial" w:cs="Arial"/>
                <w:vertAlign w:val="superscript"/>
                <w:lang w:val="en-GB"/>
              </w:rPr>
              <w:t>th</w:t>
            </w:r>
            <w:r>
              <w:rPr>
                <w:rFonts w:ascii="Arial" w:hAnsi="Arial" w:cs="Arial"/>
                <w:lang w:val="en-GB"/>
              </w:rPr>
              <w:t xml:space="preserve"> intervention</w:t>
            </w:r>
          </w:p>
        </w:tc>
      </w:tr>
      <w:tr w:rsidR="00D01830" w:rsidRPr="006E0949" w14:paraId="5786BB78" w14:textId="77777777" w:rsidTr="0075304E">
        <w:tc>
          <w:tcPr>
            <w:tcW w:w="0" w:type="auto"/>
            <w:hideMark/>
          </w:tcPr>
          <w:p w14:paraId="4FC689CC" w14:textId="77777777" w:rsidR="00D01830" w:rsidRPr="007770B6" w:rsidRDefault="00D01830" w:rsidP="0075304E">
            <w:pPr>
              <w:pStyle w:val="BodyText"/>
              <w:spacing w:before="40" w:after="40"/>
              <w:rPr>
                <w:rFonts w:ascii="Arial" w:hAnsi="Arial" w:cs="Arial"/>
                <w:vertAlign w:val="superscript"/>
                <w:lang w:val="en-GB"/>
              </w:rPr>
            </w:pPr>
            <w:proofErr w:type="spellStart"/>
            <w:r>
              <w:rPr>
                <w:rFonts w:ascii="Arial" w:hAnsi="Arial" w:cs="Arial"/>
                <w:lang w:val="en-GB"/>
              </w:rPr>
              <w:t>δ</w:t>
            </w:r>
            <w:r>
              <w:rPr>
                <w:rFonts w:ascii="Arial" w:hAnsi="Arial" w:cs="Arial"/>
                <w:i/>
                <w:vertAlign w:val="subscript"/>
                <w:lang w:val="en-GB"/>
              </w:rPr>
              <w:t>n</w:t>
            </w:r>
            <w:proofErr w:type="spellEnd"/>
            <w:r w:rsidRPr="007770B6">
              <w:rPr>
                <w:rFonts w:ascii="Arial" w:eastAsia="Times New Roman" w:hAnsi="Arial" w:cs="Arial"/>
                <w:sz w:val="20"/>
                <w:szCs w:val="20"/>
                <w:vertAlign w:val="superscript"/>
                <w:lang w:val="en" w:eastAsia="de-DE"/>
              </w:rPr>
              <w:t>‡</w:t>
            </w:r>
          </w:p>
        </w:tc>
        <w:tc>
          <w:tcPr>
            <w:tcW w:w="0" w:type="auto"/>
            <w:hideMark/>
          </w:tcPr>
          <w:p w14:paraId="0EA127F6" w14:textId="77777777" w:rsidR="00D01830" w:rsidRDefault="00D01830" w:rsidP="0075304E">
            <w:pPr>
              <w:pStyle w:val="BodyText"/>
              <w:spacing w:before="40" w:after="40"/>
              <w:rPr>
                <w:rFonts w:ascii="Arial" w:hAnsi="Arial" w:cs="Arial"/>
                <w:lang w:val="en-GB"/>
              </w:rPr>
            </w:pPr>
            <w:r>
              <w:rPr>
                <w:rFonts w:ascii="Arial" w:hAnsi="Arial" w:cs="Arial"/>
                <w:lang w:val="en-GB"/>
              </w:rPr>
              <w:t xml:space="preserve">Effect on slope of the </w:t>
            </w:r>
            <w:r>
              <w:rPr>
                <w:rFonts w:ascii="Arial" w:hAnsi="Arial" w:cs="Arial"/>
                <w:i/>
                <w:lang w:val="en-GB"/>
              </w:rPr>
              <w:t>n</w:t>
            </w:r>
            <w:r>
              <w:rPr>
                <w:rFonts w:ascii="Arial" w:hAnsi="Arial" w:cs="Arial"/>
                <w:vertAlign w:val="superscript"/>
                <w:lang w:val="en-GB"/>
              </w:rPr>
              <w:t>th</w:t>
            </w:r>
            <w:r>
              <w:rPr>
                <w:rFonts w:ascii="Arial" w:hAnsi="Arial" w:cs="Arial"/>
                <w:lang w:val="en-GB"/>
              </w:rPr>
              <w:t xml:space="preserve"> intervention</w:t>
            </w:r>
          </w:p>
        </w:tc>
      </w:tr>
      <w:tr w:rsidR="00D01830" w:rsidRPr="006E0949" w14:paraId="311A15CE" w14:textId="77777777" w:rsidTr="0075304E">
        <w:tc>
          <w:tcPr>
            <w:tcW w:w="0" w:type="auto"/>
            <w:hideMark/>
          </w:tcPr>
          <w:p w14:paraId="66D2BFC9" w14:textId="77777777" w:rsidR="00D01830" w:rsidRDefault="00D01830" w:rsidP="0075304E">
            <w:pPr>
              <w:pStyle w:val="BodyText"/>
              <w:spacing w:before="40" w:after="40"/>
              <w:rPr>
                <w:rFonts w:ascii="Arial" w:hAnsi="Arial" w:cs="Arial"/>
                <w:lang w:val="en-GB"/>
              </w:rPr>
            </w:pPr>
            <w:r>
              <w:rPr>
                <w:rFonts w:ascii="Arial" w:hAnsi="Arial" w:cs="Arial"/>
                <w:lang w:val="en-GB"/>
              </w:rPr>
              <w:t xml:space="preserve">AIC </w:t>
            </w:r>
          </w:p>
        </w:tc>
        <w:tc>
          <w:tcPr>
            <w:tcW w:w="0" w:type="auto"/>
            <w:hideMark/>
          </w:tcPr>
          <w:p w14:paraId="3E147004" w14:textId="77777777" w:rsidR="00D01830" w:rsidRDefault="00D01830" w:rsidP="0075304E">
            <w:pPr>
              <w:pStyle w:val="BodyText"/>
              <w:spacing w:before="40" w:after="40"/>
              <w:rPr>
                <w:rFonts w:ascii="Arial" w:hAnsi="Arial" w:cs="Arial"/>
                <w:lang w:val="en-GB"/>
              </w:rPr>
            </w:pPr>
            <w:r>
              <w:rPr>
                <w:rFonts w:ascii="Arial" w:hAnsi="Arial" w:cs="Arial"/>
                <w:lang w:val="en-GB"/>
              </w:rPr>
              <w:t>Akaike Information Criterion of the model (Measure of model quality: the lower the value, the more informative the model)</w:t>
            </w:r>
          </w:p>
        </w:tc>
      </w:tr>
      <w:tr w:rsidR="00D01830" w:rsidRPr="006E0949" w14:paraId="006B1F92" w14:textId="77777777" w:rsidTr="0075304E">
        <w:tc>
          <w:tcPr>
            <w:tcW w:w="0" w:type="auto"/>
            <w:hideMark/>
          </w:tcPr>
          <w:p w14:paraId="50C35D32" w14:textId="77777777" w:rsidR="00D01830" w:rsidRDefault="00D01830" w:rsidP="0075304E">
            <w:pPr>
              <w:pStyle w:val="BodyText"/>
              <w:spacing w:before="40" w:after="40"/>
              <w:rPr>
                <w:rFonts w:ascii="Arial" w:hAnsi="Arial" w:cs="Arial"/>
                <w:lang w:val="en-GB"/>
              </w:rPr>
            </w:pPr>
            <w:r>
              <w:rPr>
                <w:rFonts w:ascii="Arial" w:hAnsi="Arial" w:cs="Arial"/>
                <w:lang w:val="en-GB"/>
              </w:rPr>
              <w:t xml:space="preserve">LBT </w:t>
            </w:r>
          </w:p>
        </w:tc>
        <w:tc>
          <w:tcPr>
            <w:tcW w:w="0" w:type="auto"/>
            <w:hideMark/>
          </w:tcPr>
          <w:p w14:paraId="71DB2D70" w14:textId="77777777" w:rsidR="00D01830" w:rsidRDefault="00D01830" w:rsidP="0075304E">
            <w:pPr>
              <w:pStyle w:val="BodyText"/>
              <w:spacing w:before="40" w:after="40"/>
              <w:rPr>
                <w:rFonts w:ascii="Arial" w:hAnsi="Arial" w:cs="Arial"/>
                <w:lang w:val="en-GB"/>
              </w:rPr>
            </w:pPr>
            <w:r>
              <w:rPr>
                <w:rFonts w:ascii="Arial" w:hAnsi="Arial" w:cs="Arial"/>
                <w:lang w:val="en-GB"/>
              </w:rPr>
              <w:t>Test statistic (</w:t>
            </w:r>
            <w:r>
              <w:rPr>
                <w:rFonts w:ascii="Arial" w:hAnsi="Arial" w:cs="Arial"/>
                <w:lang w:val="en-GB"/>
              </w:rPr>
              <w:sym w:font="Symbol" w:char="F063"/>
            </w:r>
            <w:r>
              <w:rPr>
                <w:rFonts w:ascii="Arial" w:hAnsi="Arial" w:cs="Arial"/>
                <w:vertAlign w:val="superscript"/>
                <w:lang w:val="en-GB"/>
              </w:rPr>
              <w:t>2</w:t>
            </w:r>
            <w:r>
              <w:rPr>
                <w:rFonts w:ascii="Arial" w:hAnsi="Arial" w:cs="Arial"/>
                <w:lang w:val="en-GB"/>
              </w:rPr>
              <w:t xml:space="preserve">) and </w:t>
            </w:r>
            <m:oMath>
              <m:r>
                <w:rPr>
                  <w:rFonts w:ascii="Cambria Math" w:hAnsi="Cambria Math" w:cs="Arial"/>
                  <w:lang w:val="en-GB"/>
                </w:rPr>
                <m:t>p</m:t>
              </m:r>
            </m:oMath>
            <w:r>
              <w:rPr>
                <w:rFonts w:ascii="Arial" w:hAnsi="Arial" w:cs="Arial"/>
                <w:lang w:val="en-GB"/>
              </w:rPr>
              <w:t xml:space="preserve">-value of the Ljung-Box Q-test for the model (aim to have </w:t>
            </w:r>
            <w:r>
              <w:rPr>
                <w:rFonts w:ascii="Arial" w:hAnsi="Arial" w:cs="Arial"/>
                <w:i/>
                <w:lang w:val="en-GB"/>
              </w:rPr>
              <w:t>p</w:t>
            </w:r>
            <w:r>
              <w:rPr>
                <w:rFonts w:ascii="Arial" w:hAnsi="Arial" w:cs="Arial"/>
                <w:lang w:val="en-GB"/>
              </w:rPr>
              <w:t xml:space="preserve"> &gt; 0,05)</w:t>
            </w:r>
          </w:p>
        </w:tc>
      </w:tr>
      <w:tr w:rsidR="00D01830" w:rsidRPr="006E0949" w14:paraId="436D5A45" w14:textId="77777777" w:rsidTr="0075304E">
        <w:tc>
          <w:tcPr>
            <w:tcW w:w="0" w:type="auto"/>
            <w:tcBorders>
              <w:top w:val="nil"/>
              <w:left w:val="nil"/>
              <w:bottom w:val="nil"/>
              <w:right w:val="nil"/>
            </w:tcBorders>
            <w:hideMark/>
          </w:tcPr>
          <w:p w14:paraId="28A6DD83" w14:textId="77777777" w:rsidR="00D01830" w:rsidRDefault="00D01830" w:rsidP="0075304E">
            <w:pPr>
              <w:pStyle w:val="BodyText"/>
              <w:spacing w:before="40" w:after="40"/>
              <w:rPr>
                <w:rFonts w:ascii="Arial" w:hAnsi="Arial" w:cs="Arial"/>
                <w:lang w:val="en-GB"/>
              </w:rPr>
            </w:pPr>
            <w:r>
              <w:rPr>
                <w:rFonts w:ascii="Arial" w:hAnsi="Arial" w:cs="Arial"/>
                <w:lang w:val="en-GB"/>
              </w:rPr>
              <w:t xml:space="preserve">ADF </w:t>
            </w:r>
          </w:p>
        </w:tc>
        <w:tc>
          <w:tcPr>
            <w:tcW w:w="0" w:type="auto"/>
            <w:tcBorders>
              <w:top w:val="nil"/>
              <w:left w:val="nil"/>
              <w:bottom w:val="nil"/>
              <w:right w:val="nil"/>
            </w:tcBorders>
            <w:hideMark/>
          </w:tcPr>
          <w:p w14:paraId="248CAA48" w14:textId="77777777" w:rsidR="00D01830" w:rsidRDefault="00D01830" w:rsidP="0075304E">
            <w:pPr>
              <w:pStyle w:val="BodyText"/>
              <w:spacing w:before="40" w:after="40"/>
              <w:rPr>
                <w:rFonts w:ascii="Arial" w:hAnsi="Arial" w:cs="Arial"/>
                <w:lang w:val="en-GB"/>
              </w:rPr>
            </w:pPr>
            <w:r>
              <w:rPr>
                <w:rFonts w:ascii="Arial" w:hAnsi="Arial" w:cs="Arial"/>
                <w:lang w:val="en-GB"/>
              </w:rPr>
              <w:t xml:space="preserve">Test statistic and </w:t>
            </w:r>
            <m:oMath>
              <m:r>
                <w:rPr>
                  <w:rFonts w:ascii="Cambria Math" w:hAnsi="Cambria Math" w:cs="Arial"/>
                  <w:lang w:val="en-GB"/>
                </w:rPr>
                <m:t>p</m:t>
              </m:r>
            </m:oMath>
            <w:r>
              <w:rPr>
                <w:rFonts w:ascii="Arial" w:hAnsi="Arial" w:cs="Arial"/>
                <w:lang w:val="en-GB"/>
              </w:rPr>
              <w:t xml:space="preserve">-value of the Augmented Dickey-Fuller tests for the model (aim to have </w:t>
            </w:r>
            <w:r>
              <w:rPr>
                <w:rFonts w:ascii="Arial" w:hAnsi="Arial" w:cs="Arial"/>
                <w:i/>
                <w:lang w:val="en-GB"/>
              </w:rPr>
              <w:t>p</w:t>
            </w:r>
            <w:r>
              <w:rPr>
                <w:rFonts w:ascii="Arial" w:hAnsi="Arial" w:cs="Arial"/>
                <w:lang w:val="en-GB"/>
              </w:rPr>
              <w:t xml:space="preserve"> &lt; 0,05)</w:t>
            </w:r>
          </w:p>
        </w:tc>
      </w:tr>
      <w:tr w:rsidR="00D01830" w:rsidRPr="006E0949" w14:paraId="6003F9E9" w14:textId="77777777" w:rsidTr="0075304E">
        <w:tc>
          <w:tcPr>
            <w:tcW w:w="0" w:type="auto"/>
            <w:gridSpan w:val="2"/>
            <w:tcBorders>
              <w:top w:val="nil"/>
              <w:left w:val="nil"/>
              <w:bottom w:val="single" w:sz="4" w:space="0" w:color="auto"/>
              <w:right w:val="nil"/>
            </w:tcBorders>
          </w:tcPr>
          <w:p w14:paraId="552CDD8C" w14:textId="77777777" w:rsidR="00D01830" w:rsidRPr="00984407" w:rsidRDefault="00D01830" w:rsidP="0075304E">
            <w:pPr>
              <w:pStyle w:val="BodyText"/>
              <w:rPr>
                <w:sz w:val="18"/>
                <w:szCs w:val="18"/>
                <w:lang w:val="en-GB"/>
              </w:rPr>
            </w:pPr>
            <w:r w:rsidRPr="00984407">
              <w:rPr>
                <w:sz w:val="18"/>
                <w:szCs w:val="18"/>
                <w:lang w:val="en-GB"/>
              </w:rPr>
              <w:t xml:space="preserve">† </w:t>
            </w:r>
            <w:r w:rsidRPr="007770B6">
              <w:rPr>
                <w:sz w:val="18"/>
                <w:szCs w:val="18"/>
                <w:lang w:val="en-GB"/>
              </w:rPr>
              <w:t xml:space="preserve">Parameter </w:t>
            </w:r>
            <m:oMath>
              <m:r>
                <w:rPr>
                  <w:rFonts w:ascii="Cambria Math" w:hAnsi="Cambria Math"/>
                  <w:sz w:val="18"/>
                  <w:szCs w:val="18"/>
                  <w:lang w:val="en-GB"/>
                </w:rPr>
                <m:t>ω</m:t>
              </m:r>
            </m:oMath>
            <w:r w:rsidRPr="007770B6">
              <w:rPr>
                <w:sz w:val="18"/>
                <w:szCs w:val="18"/>
                <w:lang w:val="en-GB"/>
              </w:rPr>
              <w:t xml:space="preserve"> estimates the difference between the share of prevalent cases in the first month after the respective intervention as it was actually observed on the one hand, and as it would have then been expected to be without the intervention. </w:t>
            </w:r>
            <w:r w:rsidRPr="00984407">
              <w:rPr>
                <w:sz w:val="18"/>
                <w:szCs w:val="18"/>
                <w:lang w:val="en-GB"/>
              </w:rPr>
              <w:t>This is the effect in the first month only.</w:t>
            </w:r>
          </w:p>
          <w:p w14:paraId="353C292A" w14:textId="77777777" w:rsidR="00D01830" w:rsidRPr="00984407" w:rsidRDefault="00D01830" w:rsidP="0075304E">
            <w:pPr>
              <w:pStyle w:val="FootnoteText"/>
              <w:rPr>
                <w:rFonts w:ascii="Calibri" w:hAnsi="Calibri" w:cs="Times New Roman"/>
                <w:sz w:val="18"/>
                <w:szCs w:val="18"/>
                <w:lang w:val="en-GB"/>
              </w:rPr>
            </w:pPr>
            <w:r w:rsidRPr="00984407">
              <w:rPr>
                <w:rFonts w:ascii="Calibri" w:eastAsia="Calibri" w:hAnsi="Calibri" w:cs="Times New Roman"/>
                <w:sz w:val="18"/>
                <w:szCs w:val="18"/>
                <w:lang w:val="en-GB"/>
              </w:rPr>
              <w:t xml:space="preserve">‡ Parameter </w:t>
            </w:r>
            <m:oMath>
              <m:r>
                <w:rPr>
                  <w:rFonts w:ascii="Cambria Math" w:eastAsia="Calibri" w:hAnsi="Cambria Math" w:cs="Times New Roman"/>
                  <w:sz w:val="18"/>
                  <w:szCs w:val="18"/>
                  <w:lang w:val="en-GB"/>
                </w:rPr>
                <m:t>δ</m:t>
              </m:r>
            </m:oMath>
            <w:r w:rsidRPr="00984407">
              <w:rPr>
                <w:rFonts w:ascii="Calibri" w:eastAsia="Calibri" w:hAnsi="Calibri" w:cs="Times New Roman"/>
                <w:sz w:val="18"/>
                <w:szCs w:val="18"/>
                <w:lang w:val="en-GB"/>
              </w:rPr>
              <w:t xml:space="preserve"> describes how the monthly differences develop afterwards. For the second month after the intervention the effect of the first month is assumed to persist (“permanent effect”), but an additional effect is assumed (“gradual onset”). This additional effect is described by </w:t>
            </w:r>
            <m:oMath>
              <m:r>
                <w:rPr>
                  <w:rFonts w:ascii="Cambria Math" w:eastAsia="Calibri" w:hAnsi="Cambria Math" w:cs="Times New Roman"/>
                  <w:sz w:val="18"/>
                  <w:szCs w:val="18"/>
                  <w:lang w:val="en-GB"/>
                </w:rPr>
                <m:t>δ</m:t>
              </m:r>
              <m:r>
                <m:rPr>
                  <m:sty m:val="p"/>
                </m:rPr>
                <w:rPr>
                  <w:rFonts w:ascii="Cambria Math" w:eastAsia="Calibri" w:hAnsi="Cambria Math" w:cs="Times New Roman"/>
                  <w:sz w:val="18"/>
                  <w:szCs w:val="18"/>
                  <w:lang w:val="en-GB"/>
                </w:rPr>
                <m:t>⋅</m:t>
              </m:r>
              <m:r>
                <w:rPr>
                  <w:rFonts w:ascii="Cambria Math" w:eastAsia="Calibri" w:hAnsi="Cambria Math" w:cs="Times New Roman"/>
                  <w:sz w:val="18"/>
                  <w:szCs w:val="18"/>
                  <w:lang w:val="en-GB"/>
                </w:rPr>
                <m:t>ω</m:t>
              </m:r>
            </m:oMath>
            <w:r w:rsidRPr="00984407">
              <w:rPr>
                <w:rFonts w:ascii="Calibri" w:eastAsia="Calibri" w:hAnsi="Calibri" w:cs="Times New Roman"/>
                <w:sz w:val="18"/>
                <w:szCs w:val="18"/>
                <w:lang w:val="en-GB"/>
              </w:rPr>
              <w:t xml:space="preserve">. The total effect for the second month compared to the expected value without any intervention is therefore  </w:t>
            </w:r>
            <m:oMath>
              <m:r>
                <w:rPr>
                  <w:rFonts w:ascii="Cambria Math" w:eastAsia="Calibri" w:hAnsi="Cambria Math" w:cs="Times New Roman"/>
                  <w:sz w:val="18"/>
                  <w:szCs w:val="18"/>
                  <w:lang w:val="en-GB"/>
                </w:rPr>
                <m:t>ω</m:t>
              </m:r>
              <m:r>
                <m:rPr>
                  <m:sty m:val="p"/>
                </m:rPr>
                <w:rPr>
                  <w:rFonts w:ascii="Cambria Math" w:eastAsia="Calibri" w:hAnsi="Cambria Math" w:cs="Times New Roman"/>
                  <w:sz w:val="18"/>
                  <w:szCs w:val="18"/>
                  <w:lang w:val="en-GB"/>
                </w:rPr>
                <m:t>+</m:t>
              </m:r>
              <m:r>
                <w:rPr>
                  <w:rFonts w:ascii="Cambria Math" w:eastAsia="Calibri" w:hAnsi="Cambria Math" w:cs="Times New Roman"/>
                  <w:sz w:val="18"/>
                  <w:szCs w:val="18"/>
                  <w:lang w:val="en-GB"/>
                </w:rPr>
                <m:t>δ</m:t>
              </m:r>
              <m:r>
                <m:rPr>
                  <m:sty m:val="p"/>
                </m:rPr>
                <w:rPr>
                  <w:rFonts w:ascii="Cambria Math" w:eastAsia="Calibri" w:hAnsi="Cambria Math" w:cs="Times New Roman"/>
                  <w:sz w:val="18"/>
                  <w:szCs w:val="18"/>
                  <w:lang w:val="en-GB"/>
                </w:rPr>
                <m:t>⋅</m:t>
              </m:r>
              <m:r>
                <w:rPr>
                  <w:rFonts w:ascii="Cambria Math" w:eastAsia="Calibri" w:hAnsi="Cambria Math" w:cs="Times New Roman"/>
                  <w:sz w:val="18"/>
                  <w:szCs w:val="18"/>
                  <w:lang w:val="en-GB"/>
                </w:rPr>
                <m:t>ω</m:t>
              </m:r>
            </m:oMath>
            <w:r w:rsidRPr="00984407">
              <w:rPr>
                <w:rFonts w:ascii="Calibri" w:eastAsia="Calibri" w:hAnsi="Calibri" w:cs="Times New Roman"/>
                <w:sz w:val="18"/>
                <w:szCs w:val="18"/>
                <w:lang w:val="en-GB"/>
              </w:rPr>
              <w:t xml:space="preserve">. Analogously, the total effect in the third month will be </w:t>
            </w:r>
            <m:oMath>
              <m:r>
                <w:rPr>
                  <w:rFonts w:ascii="Cambria Math" w:eastAsia="Calibri" w:hAnsi="Cambria Math" w:cs="Times New Roman"/>
                  <w:sz w:val="18"/>
                  <w:szCs w:val="18"/>
                  <w:lang w:val="en-GB"/>
                </w:rPr>
                <m:t>ω</m:t>
              </m:r>
              <m:r>
                <m:rPr>
                  <m:sty m:val="p"/>
                </m:rPr>
                <w:rPr>
                  <w:rFonts w:ascii="Cambria Math" w:eastAsia="Calibri" w:hAnsi="Cambria Math" w:cs="Times New Roman"/>
                  <w:sz w:val="18"/>
                  <w:szCs w:val="18"/>
                  <w:lang w:val="en-GB"/>
                </w:rPr>
                <m:t>+</m:t>
              </m:r>
              <m:r>
                <w:rPr>
                  <w:rFonts w:ascii="Cambria Math" w:eastAsia="Calibri" w:hAnsi="Cambria Math" w:cs="Times New Roman"/>
                  <w:sz w:val="18"/>
                  <w:szCs w:val="18"/>
                  <w:lang w:val="en-GB"/>
                </w:rPr>
                <m:t>δ</m:t>
              </m:r>
              <m:r>
                <m:rPr>
                  <m:sty m:val="p"/>
                </m:rPr>
                <w:rPr>
                  <w:rFonts w:ascii="Cambria Math" w:eastAsia="Calibri" w:hAnsi="Cambria Math" w:cs="Times New Roman"/>
                  <w:sz w:val="18"/>
                  <w:szCs w:val="18"/>
                  <w:lang w:val="en-GB"/>
                </w:rPr>
                <m:t>⋅</m:t>
              </m:r>
              <m:r>
                <w:rPr>
                  <w:rFonts w:ascii="Cambria Math" w:eastAsia="Calibri" w:hAnsi="Cambria Math" w:cs="Times New Roman"/>
                  <w:sz w:val="18"/>
                  <w:szCs w:val="18"/>
                  <w:lang w:val="en-GB"/>
                </w:rPr>
                <m:t>ω</m:t>
              </m:r>
              <m:r>
                <m:rPr>
                  <m:sty m:val="p"/>
                </m:rPr>
                <w:rPr>
                  <w:rFonts w:ascii="Cambria Math" w:eastAsia="Calibri" w:hAnsi="Cambria Math" w:cs="Times New Roman"/>
                  <w:sz w:val="18"/>
                  <w:szCs w:val="18"/>
                  <w:lang w:val="en-GB"/>
                </w:rPr>
                <m:t>+</m:t>
              </m:r>
              <m:sSup>
                <m:sSupPr>
                  <m:ctrlPr>
                    <w:rPr>
                      <w:rFonts w:ascii="Cambria Math" w:eastAsia="Calibri" w:hAnsi="Cambria Math" w:cs="Times New Roman"/>
                      <w:sz w:val="18"/>
                      <w:szCs w:val="18"/>
                      <w:lang w:val="en-GB"/>
                    </w:rPr>
                  </m:ctrlPr>
                </m:sSupPr>
                <m:e>
                  <m:r>
                    <w:rPr>
                      <w:rFonts w:ascii="Cambria Math" w:eastAsia="Calibri" w:hAnsi="Cambria Math" w:cs="Times New Roman"/>
                      <w:sz w:val="18"/>
                      <w:szCs w:val="18"/>
                      <w:lang w:val="en-GB"/>
                    </w:rPr>
                    <m:t>δ</m:t>
                  </m:r>
                </m:e>
                <m:sup>
                  <m:r>
                    <m:rPr>
                      <m:sty m:val="p"/>
                    </m:rPr>
                    <w:rPr>
                      <w:rFonts w:ascii="Cambria Math" w:eastAsia="Calibri" w:hAnsi="Cambria Math" w:cs="Times New Roman"/>
                      <w:sz w:val="18"/>
                      <w:szCs w:val="18"/>
                      <w:lang w:val="en-GB"/>
                    </w:rPr>
                    <m:t>2</m:t>
                  </m:r>
                </m:sup>
              </m:sSup>
              <m:r>
                <m:rPr>
                  <m:sty m:val="p"/>
                </m:rPr>
                <w:rPr>
                  <w:rFonts w:ascii="Cambria Math" w:eastAsia="Calibri" w:hAnsi="Cambria Math" w:cs="Times New Roman"/>
                  <w:sz w:val="18"/>
                  <w:szCs w:val="18"/>
                  <w:lang w:val="en-GB"/>
                </w:rPr>
                <m:t>⋅</m:t>
              </m:r>
              <m:r>
                <w:rPr>
                  <w:rFonts w:ascii="Cambria Math" w:eastAsia="Calibri" w:hAnsi="Cambria Math" w:cs="Times New Roman"/>
                  <w:sz w:val="18"/>
                  <w:szCs w:val="18"/>
                  <w:lang w:val="en-GB"/>
                </w:rPr>
                <m:t>ω</m:t>
              </m:r>
            </m:oMath>
            <w:r w:rsidRPr="00984407">
              <w:rPr>
                <w:rFonts w:ascii="Calibri" w:eastAsia="Calibri" w:hAnsi="Calibri" w:cs="Times New Roman"/>
                <w:sz w:val="18"/>
                <w:szCs w:val="18"/>
                <w:lang w:val="en-GB"/>
              </w:rPr>
              <w:t xml:space="preserve"> etc. If </w:t>
            </w:r>
            <m:oMath>
              <m:r>
                <w:rPr>
                  <w:rFonts w:ascii="Cambria Math" w:eastAsia="Calibri" w:hAnsi="Cambria Math" w:cs="Times New Roman"/>
                  <w:sz w:val="18"/>
                  <w:szCs w:val="18"/>
                  <w:lang w:val="en-GB"/>
                </w:rPr>
                <m:t>δ</m:t>
              </m:r>
            </m:oMath>
            <w:r w:rsidRPr="00984407">
              <w:rPr>
                <w:rFonts w:ascii="Calibri" w:eastAsia="Calibri" w:hAnsi="Calibri" w:cs="Times New Roman"/>
                <w:sz w:val="18"/>
                <w:szCs w:val="18"/>
                <w:lang w:val="en-GB"/>
              </w:rPr>
              <w:t xml:space="preserve"> is non-negative and less than 1, the asymptotic total effect over time will be </w:t>
            </w:r>
            <m:oMath>
              <m:r>
                <w:rPr>
                  <w:rFonts w:ascii="Cambria Math" w:eastAsia="Calibri" w:hAnsi="Cambria Math" w:cs="Times New Roman"/>
                  <w:sz w:val="18"/>
                  <w:szCs w:val="18"/>
                  <w:lang w:val="en-GB"/>
                </w:rPr>
                <m:t>ω</m:t>
              </m:r>
              <m:r>
                <m:rPr>
                  <m:sty m:val="p"/>
                </m:rPr>
                <w:rPr>
                  <w:rFonts w:ascii="Cambria Math" w:eastAsia="Calibri" w:hAnsi="Cambria Math" w:cs="Times New Roman"/>
                  <w:sz w:val="18"/>
                  <w:szCs w:val="18"/>
                  <w:lang w:val="en-GB"/>
                </w:rPr>
                <m:t>/(1-</m:t>
              </m:r>
              <m:r>
                <w:rPr>
                  <w:rFonts w:ascii="Cambria Math" w:eastAsia="Calibri" w:hAnsi="Cambria Math" w:cs="Times New Roman"/>
                  <w:sz w:val="18"/>
                  <w:szCs w:val="18"/>
                  <w:lang w:val="en-GB"/>
                </w:rPr>
                <m:t>δ</m:t>
              </m:r>
              <m:r>
                <m:rPr>
                  <m:sty m:val="p"/>
                </m:rPr>
                <w:rPr>
                  <w:rFonts w:ascii="Cambria Math" w:eastAsia="Calibri" w:hAnsi="Cambria Math" w:cs="Times New Roman"/>
                  <w:sz w:val="18"/>
                  <w:szCs w:val="18"/>
                  <w:lang w:val="en-GB"/>
                </w:rPr>
                <m:t>)</m:t>
              </m:r>
            </m:oMath>
            <w:r w:rsidRPr="00984407">
              <w:rPr>
                <w:rFonts w:ascii="Calibri" w:eastAsia="Calibri" w:hAnsi="Calibri" w:cs="Times New Roman"/>
                <w:sz w:val="18"/>
                <w:szCs w:val="18"/>
                <w:lang w:val="en-GB"/>
              </w:rPr>
              <w:t xml:space="preserve">. This value can thus be interpreted as an estimate for the long-term effect of the intervention. The speed with which this long-term effect is approximated is described by parameter </w:t>
            </w:r>
            <m:oMath>
              <m:r>
                <w:rPr>
                  <w:rFonts w:ascii="Cambria Math" w:eastAsia="Calibri" w:hAnsi="Cambria Math" w:cs="Times New Roman"/>
                  <w:sz w:val="18"/>
                  <w:szCs w:val="18"/>
                  <w:lang w:val="en-GB"/>
                </w:rPr>
                <m:t>δ</m:t>
              </m:r>
            </m:oMath>
            <w:r w:rsidRPr="00984407">
              <w:rPr>
                <w:rFonts w:ascii="Calibri" w:eastAsia="Calibri" w:hAnsi="Calibri" w:cs="Times New Roman"/>
                <w:sz w:val="18"/>
                <w:szCs w:val="18"/>
                <w:lang w:val="en-GB"/>
              </w:rPr>
              <w:t xml:space="preserve">: The smaller the value of </w:t>
            </w:r>
            <m:oMath>
              <m:r>
                <w:rPr>
                  <w:rFonts w:ascii="Cambria Math" w:eastAsia="Calibri" w:hAnsi="Cambria Math" w:cs="Times New Roman"/>
                  <w:sz w:val="18"/>
                  <w:szCs w:val="18"/>
                  <w:lang w:val="en-GB"/>
                </w:rPr>
                <m:t>δ</m:t>
              </m:r>
            </m:oMath>
            <w:r w:rsidRPr="00984407">
              <w:rPr>
                <w:rFonts w:ascii="Calibri" w:eastAsia="Calibri" w:hAnsi="Calibri" w:cs="Times New Roman"/>
                <w:sz w:val="18"/>
                <w:szCs w:val="18"/>
                <w:lang w:val="en-GB"/>
              </w:rPr>
              <w:t xml:space="preserve">, the faster the monthly effect figures will approach the final value. (In the extreme case of </w:t>
            </w:r>
            <m:oMath>
              <m:r>
                <w:rPr>
                  <w:rFonts w:ascii="Cambria Math" w:eastAsia="Calibri" w:hAnsi="Cambria Math" w:cs="Times New Roman"/>
                  <w:sz w:val="18"/>
                  <w:szCs w:val="18"/>
                  <w:lang w:val="en-GB"/>
                </w:rPr>
                <m:t>δ</m:t>
              </m:r>
              <m:r>
                <m:rPr>
                  <m:sty m:val="p"/>
                </m:rPr>
                <w:rPr>
                  <w:rFonts w:ascii="Cambria Math" w:eastAsia="Calibri" w:hAnsi="Cambria Math" w:cs="Times New Roman"/>
                  <w:sz w:val="18"/>
                  <w:szCs w:val="18"/>
                  <w:lang w:val="en-GB"/>
                </w:rPr>
                <m:t>=0</m:t>
              </m:r>
            </m:oMath>
            <w:r w:rsidRPr="00984407">
              <w:rPr>
                <w:rFonts w:ascii="Calibri" w:eastAsia="Calibri" w:hAnsi="Calibri" w:cs="Times New Roman"/>
                <w:sz w:val="18"/>
                <w:szCs w:val="18"/>
                <w:lang w:val="en-GB"/>
              </w:rPr>
              <w:t xml:space="preserve"> the maximum effect would be reached immediately after the intervention, whose effect would then be shock-like.) It should be noted that these considerations are valid only if parameter </w:t>
            </w:r>
            <m:oMath>
              <m:r>
                <w:rPr>
                  <w:rFonts w:ascii="Cambria Math" w:eastAsia="Calibri" w:hAnsi="Cambria Math" w:cs="Times New Roman"/>
                  <w:sz w:val="18"/>
                  <w:szCs w:val="18"/>
                  <w:lang w:val="en-GB"/>
                </w:rPr>
                <m:t>ω</m:t>
              </m:r>
            </m:oMath>
            <w:r w:rsidRPr="00984407">
              <w:rPr>
                <w:rFonts w:ascii="Calibri" w:eastAsia="Calibri" w:hAnsi="Calibri" w:cs="Times New Roman"/>
                <w:sz w:val="18"/>
                <w:szCs w:val="18"/>
                <w:lang w:val="en-GB"/>
              </w:rPr>
              <w:t xml:space="preserve"> is significantly different from 0. Otherwise, one cannot assume to have shown an effect of the intervention. (The present study follows the widespread convention of a 5% level for significance.) The estimate for the asymptotic long-term effect is valid only if the value of </w:t>
            </w:r>
            <m:oMath>
              <m:r>
                <w:rPr>
                  <w:rFonts w:ascii="Cambria Math" w:eastAsia="Calibri" w:hAnsi="Cambria Math" w:cs="Times New Roman"/>
                  <w:sz w:val="18"/>
                  <w:szCs w:val="18"/>
                  <w:lang w:val="en-GB"/>
                </w:rPr>
                <m:t>δ</m:t>
              </m:r>
            </m:oMath>
            <w:r w:rsidRPr="00984407">
              <w:rPr>
                <w:rFonts w:ascii="Calibri" w:eastAsia="Calibri" w:hAnsi="Calibri" w:cs="Times New Roman"/>
                <w:sz w:val="18"/>
                <w:szCs w:val="18"/>
                <w:lang w:val="en-GB"/>
              </w:rPr>
              <w:t xml:space="preserve"> is also significantly different from 0. Otherwise, one could not exclude with sufficient certainty that </w:t>
            </w:r>
            <m:oMath>
              <m:r>
                <w:rPr>
                  <w:rFonts w:ascii="Cambria Math" w:eastAsia="Calibri" w:hAnsi="Cambria Math" w:cs="Times New Roman"/>
                  <w:sz w:val="18"/>
                  <w:szCs w:val="18"/>
                  <w:lang w:val="en-GB"/>
                </w:rPr>
                <m:t>δ</m:t>
              </m:r>
              <m:r>
                <m:rPr>
                  <m:sty m:val="p"/>
                </m:rPr>
                <w:rPr>
                  <w:rFonts w:ascii="Cambria Math" w:eastAsia="Calibri" w:hAnsi="Cambria Math" w:cs="Times New Roman"/>
                  <w:sz w:val="18"/>
                  <w:szCs w:val="18"/>
                  <w:lang w:val="en-GB"/>
                </w:rPr>
                <m:t>=0</m:t>
              </m:r>
            </m:oMath>
            <w:r w:rsidRPr="00984407">
              <w:rPr>
                <w:rFonts w:ascii="Calibri" w:eastAsia="Calibri" w:hAnsi="Calibri" w:cs="Times New Roman"/>
                <w:sz w:val="18"/>
                <w:szCs w:val="18"/>
                <w:lang w:val="en-GB"/>
              </w:rPr>
              <w:t>. In this case, as noted above, the effect in the first month would already be the final value.</w:t>
            </w:r>
          </w:p>
        </w:tc>
      </w:tr>
    </w:tbl>
    <w:p w14:paraId="13974EB1" w14:textId="77777777" w:rsidR="00D01830" w:rsidRPr="00984407" w:rsidRDefault="00D01830" w:rsidP="00D01830">
      <w:pPr>
        <w:ind w:left="708" w:hanging="708"/>
        <w:rPr>
          <w:rFonts w:ascii="Arial" w:hAnsi="Arial" w:cs="Arial"/>
          <w:lang w:val="en-GB"/>
        </w:rPr>
      </w:pPr>
    </w:p>
    <w:p w14:paraId="2EB2971F" w14:textId="77777777" w:rsidR="00D01830" w:rsidRPr="00984407" w:rsidRDefault="00D01830" w:rsidP="00D01830">
      <w:pPr>
        <w:rPr>
          <w:rFonts w:ascii="Arial" w:hAnsi="Arial" w:cs="Arial"/>
          <w:lang w:val="en-GB"/>
        </w:rPr>
      </w:pPr>
      <w:r>
        <w:rPr>
          <w:rFonts w:ascii="Arial" w:hAnsi="Arial" w:cs="Arial"/>
          <w:b/>
          <w:sz w:val="24"/>
          <w:szCs w:val="24"/>
          <w:lang w:val="en-GB"/>
        </w:rPr>
        <w:br w:type="page"/>
      </w:r>
    </w:p>
    <w:p w14:paraId="145C4A4B" w14:textId="62E36034" w:rsidR="00D01830" w:rsidRPr="00D57436" w:rsidRDefault="00D01830" w:rsidP="00D01830">
      <w:pPr>
        <w:spacing w:after="120" w:line="240" w:lineRule="auto"/>
        <w:rPr>
          <w:rFonts w:ascii="Arial" w:hAnsi="Arial" w:cs="Arial"/>
          <w:sz w:val="20"/>
          <w:szCs w:val="20"/>
          <w:lang w:val="en-GB"/>
        </w:rPr>
      </w:pPr>
      <w:r w:rsidRPr="00D57436">
        <w:rPr>
          <w:rFonts w:ascii="Arial" w:hAnsi="Arial" w:cs="Arial"/>
          <w:sz w:val="20"/>
          <w:szCs w:val="20"/>
          <w:lang w:val="en-GB"/>
        </w:rPr>
        <w:lastRenderedPageBreak/>
        <w:t>Table 3: Development of DDD</w:t>
      </w:r>
      <w:r w:rsidRPr="00D57436">
        <w:rPr>
          <w:rFonts w:ascii="Times New Roman" w:eastAsia="Times New Roman" w:hAnsi="Times New Roman"/>
          <w:sz w:val="29"/>
          <w:szCs w:val="29"/>
          <w:vertAlign w:val="superscript"/>
          <w:lang w:val="en" w:eastAsia="de-DE"/>
        </w:rPr>
        <w:t>†</w:t>
      </w:r>
      <w:r w:rsidRPr="00D57436">
        <w:rPr>
          <w:rFonts w:ascii="Arial" w:hAnsi="Arial" w:cs="Arial"/>
          <w:sz w:val="20"/>
          <w:szCs w:val="20"/>
          <w:lang w:val="en-GB"/>
        </w:rPr>
        <w:t xml:space="preserve"> per year per</w:t>
      </w:r>
      <w:r w:rsidR="008401BC">
        <w:rPr>
          <w:rFonts w:ascii="Arial" w:hAnsi="Arial" w:cs="Arial"/>
          <w:sz w:val="20"/>
          <w:szCs w:val="20"/>
          <w:lang w:val="en-GB"/>
        </w:rPr>
        <w:t xml:space="preserve"> </w:t>
      </w:r>
      <w:r w:rsidRPr="00D57436">
        <w:rPr>
          <w:rFonts w:ascii="Arial" w:hAnsi="Arial" w:cs="Arial"/>
          <w:sz w:val="20"/>
          <w:szCs w:val="20"/>
          <w:lang w:val="en-GB"/>
        </w:rPr>
        <w:t>1000 insured women in the age between 10 and under 20, broken down by CHC</w:t>
      </w:r>
      <w:r w:rsidRPr="00D57436">
        <w:rPr>
          <w:rFonts w:ascii="Times New Roman" w:eastAsia="Times New Roman" w:hAnsi="Times New Roman"/>
          <w:sz w:val="29"/>
          <w:szCs w:val="29"/>
          <w:vertAlign w:val="superscript"/>
          <w:lang w:val="en" w:eastAsia="de-DE"/>
        </w:rPr>
        <w:t>‡</w:t>
      </w:r>
      <w:r w:rsidRPr="00D57436">
        <w:rPr>
          <w:rFonts w:ascii="Arial" w:hAnsi="Arial" w:cs="Arial"/>
          <w:sz w:val="20"/>
          <w:szCs w:val="20"/>
          <w:lang w:val="en-GB"/>
        </w:rPr>
        <w:t xml:space="preserve"> risk classes </w:t>
      </w:r>
    </w:p>
    <w:tbl>
      <w:tblPr>
        <w:tblStyle w:val="TableGrid"/>
        <w:tblW w:w="8897" w:type="dxa"/>
        <w:tblLayout w:type="fixed"/>
        <w:tblLook w:val="04A0" w:firstRow="1" w:lastRow="0" w:firstColumn="1" w:lastColumn="0" w:noHBand="0" w:noVBand="1"/>
      </w:tblPr>
      <w:tblGrid>
        <w:gridCol w:w="1384"/>
        <w:gridCol w:w="1730"/>
        <w:gridCol w:w="1276"/>
        <w:gridCol w:w="1701"/>
        <w:gridCol w:w="1842"/>
        <w:gridCol w:w="964"/>
      </w:tblGrid>
      <w:tr w:rsidR="00D01830" w:rsidRPr="00D57436" w14:paraId="5E6610C3" w14:textId="77777777" w:rsidTr="0075304E">
        <w:tc>
          <w:tcPr>
            <w:tcW w:w="1384" w:type="dxa"/>
          </w:tcPr>
          <w:p w14:paraId="339AE468" w14:textId="77777777" w:rsidR="00D01830" w:rsidRPr="00D57436" w:rsidRDefault="00D01830" w:rsidP="0075304E">
            <w:pPr>
              <w:autoSpaceDE w:val="0"/>
              <w:autoSpaceDN w:val="0"/>
              <w:adjustRightInd w:val="0"/>
              <w:rPr>
                <w:rFonts w:ascii="Arial" w:eastAsiaTheme="minorHAnsi" w:hAnsi="Arial" w:cs="Arial"/>
                <w:sz w:val="20"/>
                <w:szCs w:val="20"/>
                <w:lang w:val="en-GB"/>
              </w:rPr>
            </w:pPr>
            <w:r w:rsidRPr="00D57436">
              <w:rPr>
                <w:rFonts w:ascii="Arial" w:eastAsiaTheme="minorHAnsi" w:hAnsi="Arial" w:cs="Arial"/>
                <w:sz w:val="20"/>
                <w:szCs w:val="20"/>
                <w:lang w:val="en-GB"/>
              </w:rPr>
              <w:t>Risk class</w:t>
            </w:r>
          </w:p>
        </w:tc>
        <w:tc>
          <w:tcPr>
            <w:tcW w:w="1730" w:type="dxa"/>
          </w:tcPr>
          <w:p w14:paraId="5839365B" w14:textId="77777777" w:rsidR="00D01830" w:rsidRPr="00D57436" w:rsidRDefault="00D01830" w:rsidP="0075304E">
            <w:pPr>
              <w:autoSpaceDE w:val="0"/>
              <w:autoSpaceDN w:val="0"/>
              <w:adjustRightInd w:val="0"/>
              <w:jc w:val="right"/>
              <w:rPr>
                <w:rFonts w:ascii="Arial" w:eastAsiaTheme="minorHAnsi" w:hAnsi="Arial" w:cs="Arial"/>
                <w:sz w:val="20"/>
                <w:szCs w:val="20"/>
                <w:lang w:val="en-GB"/>
              </w:rPr>
            </w:pPr>
            <w:r w:rsidRPr="00D57436">
              <w:rPr>
                <w:rFonts w:ascii="Arial" w:eastAsiaTheme="minorHAnsi" w:hAnsi="Arial" w:cs="Arial"/>
                <w:sz w:val="20"/>
                <w:szCs w:val="20"/>
                <w:lang w:val="en-GB"/>
              </w:rPr>
              <w:t>Pre-Intervention</w:t>
            </w:r>
          </w:p>
        </w:tc>
        <w:tc>
          <w:tcPr>
            <w:tcW w:w="1276" w:type="dxa"/>
          </w:tcPr>
          <w:p w14:paraId="25E73353" w14:textId="77777777" w:rsidR="00D01830" w:rsidRPr="00D57436" w:rsidRDefault="00D01830" w:rsidP="0075304E">
            <w:pPr>
              <w:autoSpaceDE w:val="0"/>
              <w:autoSpaceDN w:val="0"/>
              <w:adjustRightInd w:val="0"/>
              <w:jc w:val="right"/>
              <w:rPr>
                <w:rFonts w:ascii="Arial" w:eastAsiaTheme="minorHAnsi" w:hAnsi="Arial" w:cs="Arial"/>
                <w:sz w:val="20"/>
                <w:szCs w:val="20"/>
                <w:lang w:val="en-GB"/>
              </w:rPr>
            </w:pPr>
            <w:r w:rsidRPr="00D57436">
              <w:rPr>
                <w:rFonts w:ascii="Arial" w:eastAsiaTheme="minorHAnsi" w:hAnsi="Arial" w:cs="Arial"/>
                <w:sz w:val="20"/>
                <w:szCs w:val="20"/>
                <w:lang w:val="en-GB"/>
              </w:rPr>
              <w:t>Referral</w:t>
            </w:r>
          </w:p>
        </w:tc>
        <w:tc>
          <w:tcPr>
            <w:tcW w:w="1701" w:type="dxa"/>
          </w:tcPr>
          <w:p w14:paraId="31A8D111" w14:textId="77777777" w:rsidR="00D01830" w:rsidRPr="00D57436" w:rsidRDefault="00D01830" w:rsidP="0075304E">
            <w:pPr>
              <w:autoSpaceDE w:val="0"/>
              <w:autoSpaceDN w:val="0"/>
              <w:adjustRightInd w:val="0"/>
              <w:jc w:val="right"/>
              <w:rPr>
                <w:rFonts w:ascii="Arial" w:eastAsiaTheme="minorHAnsi" w:hAnsi="Arial" w:cs="Arial"/>
                <w:sz w:val="20"/>
                <w:szCs w:val="20"/>
                <w:lang w:val="en-GB"/>
              </w:rPr>
            </w:pPr>
            <w:r w:rsidRPr="00D57436">
              <w:rPr>
                <w:rFonts w:ascii="Arial" w:eastAsiaTheme="minorHAnsi" w:hAnsi="Arial" w:cs="Arial"/>
                <w:sz w:val="20"/>
                <w:szCs w:val="20"/>
                <w:lang w:val="en-GB"/>
              </w:rPr>
              <w:t>Implementation</w:t>
            </w:r>
          </w:p>
        </w:tc>
        <w:tc>
          <w:tcPr>
            <w:tcW w:w="1842" w:type="dxa"/>
          </w:tcPr>
          <w:p w14:paraId="346951D1" w14:textId="77777777" w:rsidR="00D01830" w:rsidRPr="00D57436" w:rsidRDefault="00D01830" w:rsidP="0075304E">
            <w:pPr>
              <w:autoSpaceDE w:val="0"/>
              <w:autoSpaceDN w:val="0"/>
              <w:adjustRightInd w:val="0"/>
              <w:jc w:val="right"/>
              <w:rPr>
                <w:rFonts w:ascii="Arial" w:eastAsiaTheme="minorHAnsi" w:hAnsi="Arial" w:cs="Arial"/>
                <w:sz w:val="20"/>
                <w:szCs w:val="20"/>
                <w:lang w:val="en-GB"/>
              </w:rPr>
            </w:pPr>
            <w:r w:rsidRPr="00D57436">
              <w:rPr>
                <w:rFonts w:ascii="Arial" w:eastAsiaTheme="minorHAnsi" w:hAnsi="Arial" w:cs="Arial"/>
                <w:sz w:val="20"/>
                <w:szCs w:val="20"/>
                <w:lang w:val="en-GB"/>
              </w:rPr>
              <w:t>Post-Intervention</w:t>
            </w:r>
          </w:p>
        </w:tc>
        <w:tc>
          <w:tcPr>
            <w:tcW w:w="964" w:type="dxa"/>
          </w:tcPr>
          <w:p w14:paraId="47749432" w14:textId="77777777" w:rsidR="00D01830" w:rsidRPr="00D57436" w:rsidRDefault="00D01830" w:rsidP="0075304E">
            <w:pPr>
              <w:autoSpaceDE w:val="0"/>
              <w:autoSpaceDN w:val="0"/>
              <w:adjustRightInd w:val="0"/>
              <w:jc w:val="right"/>
              <w:rPr>
                <w:rFonts w:ascii="Arial" w:eastAsiaTheme="minorHAnsi" w:hAnsi="Arial" w:cs="Arial"/>
                <w:sz w:val="20"/>
                <w:szCs w:val="20"/>
                <w:lang w:val="en-GB"/>
              </w:rPr>
            </w:pPr>
            <w:r w:rsidRPr="00D57436">
              <w:rPr>
                <w:rFonts w:ascii="Arial" w:eastAsiaTheme="minorHAnsi" w:hAnsi="Arial" w:cs="Arial"/>
                <w:sz w:val="20"/>
                <w:szCs w:val="20"/>
                <w:lang w:val="en-GB"/>
              </w:rPr>
              <w:t>Ratio</w:t>
            </w:r>
            <w:r w:rsidRPr="00D57436">
              <w:rPr>
                <w:rFonts w:ascii="Arial" w:eastAsiaTheme="minorHAnsi" w:hAnsi="Arial" w:cs="Arial"/>
                <w:sz w:val="20"/>
                <w:szCs w:val="20"/>
                <w:lang w:val="en-GB"/>
              </w:rPr>
              <w:br/>
            </w:r>
          </w:p>
        </w:tc>
      </w:tr>
      <w:tr w:rsidR="00D01830" w:rsidRPr="00D57436" w14:paraId="49457606" w14:textId="77777777" w:rsidTr="0075304E">
        <w:tc>
          <w:tcPr>
            <w:tcW w:w="1384" w:type="dxa"/>
          </w:tcPr>
          <w:p w14:paraId="0C9DF770" w14:textId="77777777" w:rsidR="00D01830" w:rsidRPr="00D57436" w:rsidRDefault="00D01830" w:rsidP="0075304E">
            <w:pPr>
              <w:autoSpaceDE w:val="0"/>
              <w:autoSpaceDN w:val="0"/>
              <w:adjustRightInd w:val="0"/>
              <w:rPr>
                <w:rFonts w:ascii="Arial" w:eastAsiaTheme="minorHAnsi" w:hAnsi="Arial" w:cs="Arial"/>
                <w:sz w:val="20"/>
                <w:szCs w:val="20"/>
                <w:lang w:val="en-GB"/>
              </w:rPr>
            </w:pPr>
          </w:p>
        </w:tc>
        <w:tc>
          <w:tcPr>
            <w:tcW w:w="1730" w:type="dxa"/>
          </w:tcPr>
          <w:p w14:paraId="232A3B10" w14:textId="77777777" w:rsidR="00D01830" w:rsidRPr="00D57436" w:rsidRDefault="00D01830" w:rsidP="0075304E">
            <w:pPr>
              <w:autoSpaceDE w:val="0"/>
              <w:autoSpaceDN w:val="0"/>
              <w:adjustRightInd w:val="0"/>
              <w:jc w:val="right"/>
              <w:rPr>
                <w:rFonts w:ascii="Arial" w:eastAsiaTheme="minorHAnsi" w:hAnsi="Arial" w:cs="Arial"/>
                <w:sz w:val="20"/>
                <w:szCs w:val="20"/>
                <w:lang w:val="en-GB"/>
              </w:rPr>
            </w:pPr>
            <w:r w:rsidRPr="00D57436">
              <w:rPr>
                <w:rFonts w:ascii="Arial" w:eastAsiaTheme="minorHAnsi" w:hAnsi="Arial" w:cs="Arial"/>
                <w:sz w:val="20"/>
                <w:szCs w:val="20"/>
                <w:lang w:val="en-GB"/>
              </w:rPr>
              <w:t>A</w:t>
            </w:r>
          </w:p>
        </w:tc>
        <w:tc>
          <w:tcPr>
            <w:tcW w:w="1276" w:type="dxa"/>
          </w:tcPr>
          <w:p w14:paraId="26289135" w14:textId="77777777" w:rsidR="00D01830" w:rsidRPr="00D57436" w:rsidRDefault="00D01830" w:rsidP="0075304E">
            <w:pPr>
              <w:autoSpaceDE w:val="0"/>
              <w:autoSpaceDN w:val="0"/>
              <w:adjustRightInd w:val="0"/>
              <w:jc w:val="right"/>
              <w:rPr>
                <w:rFonts w:ascii="Arial" w:eastAsiaTheme="minorHAnsi" w:hAnsi="Arial" w:cs="Arial"/>
                <w:sz w:val="20"/>
                <w:szCs w:val="20"/>
                <w:lang w:val="en-GB"/>
              </w:rPr>
            </w:pPr>
            <w:r w:rsidRPr="00D57436">
              <w:rPr>
                <w:rFonts w:ascii="Arial" w:eastAsiaTheme="minorHAnsi" w:hAnsi="Arial" w:cs="Arial"/>
                <w:sz w:val="20"/>
                <w:szCs w:val="20"/>
                <w:lang w:val="en-GB"/>
              </w:rPr>
              <w:t>B</w:t>
            </w:r>
          </w:p>
        </w:tc>
        <w:tc>
          <w:tcPr>
            <w:tcW w:w="1701" w:type="dxa"/>
          </w:tcPr>
          <w:p w14:paraId="7D576129" w14:textId="77777777" w:rsidR="00D01830" w:rsidRPr="00D57436" w:rsidRDefault="00D01830" w:rsidP="0075304E">
            <w:pPr>
              <w:autoSpaceDE w:val="0"/>
              <w:autoSpaceDN w:val="0"/>
              <w:adjustRightInd w:val="0"/>
              <w:jc w:val="right"/>
              <w:rPr>
                <w:rFonts w:ascii="Arial" w:eastAsiaTheme="minorHAnsi" w:hAnsi="Arial" w:cs="Arial"/>
                <w:sz w:val="20"/>
                <w:szCs w:val="20"/>
                <w:lang w:val="en-GB"/>
              </w:rPr>
            </w:pPr>
            <w:r w:rsidRPr="00D57436">
              <w:rPr>
                <w:rFonts w:ascii="Arial" w:eastAsiaTheme="minorHAnsi" w:hAnsi="Arial" w:cs="Arial"/>
                <w:sz w:val="20"/>
                <w:szCs w:val="20"/>
                <w:lang w:val="en-GB"/>
              </w:rPr>
              <w:t>C</w:t>
            </w:r>
          </w:p>
        </w:tc>
        <w:tc>
          <w:tcPr>
            <w:tcW w:w="1842" w:type="dxa"/>
          </w:tcPr>
          <w:p w14:paraId="1C3769F8" w14:textId="77777777" w:rsidR="00D01830" w:rsidRPr="00D57436" w:rsidDel="00577C54" w:rsidRDefault="00D01830" w:rsidP="0075304E">
            <w:pPr>
              <w:autoSpaceDE w:val="0"/>
              <w:autoSpaceDN w:val="0"/>
              <w:adjustRightInd w:val="0"/>
              <w:jc w:val="right"/>
              <w:rPr>
                <w:rFonts w:ascii="Arial" w:eastAsiaTheme="minorHAnsi" w:hAnsi="Arial" w:cs="Arial"/>
                <w:sz w:val="20"/>
                <w:szCs w:val="20"/>
                <w:lang w:val="en-GB"/>
              </w:rPr>
            </w:pPr>
            <w:r w:rsidRPr="00D57436">
              <w:rPr>
                <w:rFonts w:ascii="Arial" w:eastAsiaTheme="minorHAnsi" w:hAnsi="Arial" w:cs="Arial"/>
                <w:sz w:val="20"/>
                <w:szCs w:val="20"/>
                <w:lang w:val="en-GB"/>
              </w:rPr>
              <w:t>D</w:t>
            </w:r>
          </w:p>
        </w:tc>
        <w:tc>
          <w:tcPr>
            <w:tcW w:w="964" w:type="dxa"/>
          </w:tcPr>
          <w:p w14:paraId="14E8FD2D" w14:textId="77777777" w:rsidR="00D01830" w:rsidRPr="00D57436" w:rsidRDefault="00D01830" w:rsidP="0075304E">
            <w:pPr>
              <w:autoSpaceDE w:val="0"/>
              <w:autoSpaceDN w:val="0"/>
              <w:adjustRightInd w:val="0"/>
              <w:jc w:val="right"/>
              <w:rPr>
                <w:rFonts w:ascii="Arial" w:eastAsiaTheme="minorHAnsi" w:hAnsi="Arial" w:cs="Arial"/>
                <w:sz w:val="20"/>
                <w:szCs w:val="20"/>
                <w:lang w:val="en-GB"/>
              </w:rPr>
            </w:pPr>
            <w:r w:rsidRPr="00D57436">
              <w:rPr>
                <w:rFonts w:ascii="Arial" w:eastAsiaTheme="minorHAnsi" w:hAnsi="Arial" w:cs="Arial"/>
                <w:sz w:val="20"/>
                <w:szCs w:val="20"/>
                <w:lang w:val="en-GB"/>
              </w:rPr>
              <w:t>D/A</w:t>
            </w:r>
          </w:p>
        </w:tc>
      </w:tr>
      <w:tr w:rsidR="00D01830" w:rsidRPr="00D57436" w14:paraId="6761F0CD" w14:textId="77777777" w:rsidTr="0075304E">
        <w:tc>
          <w:tcPr>
            <w:tcW w:w="1384" w:type="dxa"/>
          </w:tcPr>
          <w:p w14:paraId="08CD9362" w14:textId="77777777" w:rsidR="00D01830" w:rsidRPr="00D57436" w:rsidRDefault="00D01830" w:rsidP="0075304E">
            <w:pPr>
              <w:autoSpaceDE w:val="0"/>
              <w:autoSpaceDN w:val="0"/>
              <w:adjustRightInd w:val="0"/>
              <w:rPr>
                <w:rFonts w:ascii="Arial" w:eastAsiaTheme="minorHAnsi" w:hAnsi="Arial" w:cs="Arial"/>
                <w:sz w:val="20"/>
                <w:szCs w:val="20"/>
                <w:lang w:val="en-GB"/>
              </w:rPr>
            </w:pPr>
            <w:r w:rsidRPr="00D57436">
              <w:rPr>
                <w:rFonts w:ascii="Arial" w:eastAsiaTheme="minorHAnsi" w:hAnsi="Arial" w:cs="Arial"/>
                <w:sz w:val="20"/>
                <w:szCs w:val="20"/>
                <w:lang w:val="en-GB"/>
              </w:rPr>
              <w:t>I</w:t>
            </w:r>
          </w:p>
        </w:tc>
        <w:tc>
          <w:tcPr>
            <w:tcW w:w="1730" w:type="dxa"/>
          </w:tcPr>
          <w:p w14:paraId="519BC9DA" w14:textId="77777777" w:rsidR="00D01830" w:rsidRPr="00D57436" w:rsidRDefault="00D01830" w:rsidP="0075304E">
            <w:pPr>
              <w:autoSpaceDE w:val="0"/>
              <w:autoSpaceDN w:val="0"/>
              <w:adjustRightInd w:val="0"/>
              <w:jc w:val="right"/>
              <w:rPr>
                <w:rFonts w:ascii="Arial" w:eastAsiaTheme="minorHAnsi" w:hAnsi="Arial" w:cs="Arial"/>
                <w:sz w:val="20"/>
                <w:szCs w:val="20"/>
                <w:lang w:val="en-GB"/>
              </w:rPr>
            </w:pPr>
            <w:r w:rsidRPr="00D57436">
              <w:rPr>
                <w:rFonts w:ascii="Arial" w:eastAsiaTheme="minorHAnsi" w:hAnsi="Arial" w:cs="Arial"/>
                <w:sz w:val="20"/>
                <w:szCs w:val="20"/>
                <w:lang w:val="en-GB"/>
              </w:rPr>
              <w:t>26,122.7</w:t>
            </w:r>
          </w:p>
        </w:tc>
        <w:tc>
          <w:tcPr>
            <w:tcW w:w="1276" w:type="dxa"/>
          </w:tcPr>
          <w:p w14:paraId="609B9353" w14:textId="77777777" w:rsidR="00D01830" w:rsidRPr="00D57436" w:rsidRDefault="00D01830" w:rsidP="0075304E">
            <w:pPr>
              <w:autoSpaceDE w:val="0"/>
              <w:autoSpaceDN w:val="0"/>
              <w:adjustRightInd w:val="0"/>
              <w:jc w:val="right"/>
              <w:rPr>
                <w:rFonts w:ascii="Arial" w:eastAsiaTheme="minorHAnsi" w:hAnsi="Arial" w:cs="Arial"/>
                <w:sz w:val="20"/>
                <w:szCs w:val="20"/>
                <w:lang w:val="en-GB"/>
              </w:rPr>
            </w:pPr>
            <w:r w:rsidRPr="00D57436">
              <w:rPr>
                <w:rFonts w:ascii="Arial" w:eastAsiaTheme="minorHAnsi" w:hAnsi="Arial" w:cs="Arial"/>
                <w:sz w:val="20"/>
                <w:szCs w:val="20"/>
                <w:lang w:val="en-GB"/>
              </w:rPr>
              <w:t>27,667.6</w:t>
            </w:r>
          </w:p>
        </w:tc>
        <w:tc>
          <w:tcPr>
            <w:tcW w:w="1701" w:type="dxa"/>
          </w:tcPr>
          <w:p w14:paraId="4B6FBCE8" w14:textId="77777777" w:rsidR="00D01830" w:rsidRPr="00D57436" w:rsidRDefault="00D01830" w:rsidP="0075304E">
            <w:pPr>
              <w:autoSpaceDE w:val="0"/>
              <w:autoSpaceDN w:val="0"/>
              <w:adjustRightInd w:val="0"/>
              <w:jc w:val="right"/>
              <w:rPr>
                <w:rFonts w:ascii="Arial" w:eastAsiaTheme="minorHAnsi" w:hAnsi="Arial" w:cs="Arial"/>
                <w:sz w:val="20"/>
                <w:szCs w:val="20"/>
                <w:lang w:val="en-GB"/>
              </w:rPr>
            </w:pPr>
            <w:r w:rsidRPr="00D57436">
              <w:rPr>
                <w:rFonts w:ascii="Arial" w:eastAsiaTheme="minorHAnsi" w:hAnsi="Arial" w:cs="Arial"/>
                <w:sz w:val="20"/>
                <w:szCs w:val="20"/>
                <w:lang w:val="en-GB"/>
              </w:rPr>
              <w:t>28,448.2</w:t>
            </w:r>
          </w:p>
        </w:tc>
        <w:tc>
          <w:tcPr>
            <w:tcW w:w="1842" w:type="dxa"/>
          </w:tcPr>
          <w:p w14:paraId="18AEDD63" w14:textId="77777777" w:rsidR="00D01830" w:rsidRPr="00D57436" w:rsidRDefault="00D01830" w:rsidP="0075304E">
            <w:pPr>
              <w:autoSpaceDE w:val="0"/>
              <w:autoSpaceDN w:val="0"/>
              <w:adjustRightInd w:val="0"/>
              <w:jc w:val="right"/>
              <w:rPr>
                <w:rFonts w:ascii="Arial" w:eastAsiaTheme="minorHAnsi" w:hAnsi="Arial" w:cs="Arial"/>
                <w:sz w:val="20"/>
                <w:szCs w:val="20"/>
                <w:lang w:val="en-GB"/>
              </w:rPr>
            </w:pPr>
            <w:r w:rsidRPr="00D57436">
              <w:rPr>
                <w:rFonts w:ascii="Arial" w:eastAsiaTheme="minorHAnsi" w:hAnsi="Arial" w:cs="Arial"/>
                <w:sz w:val="20"/>
                <w:szCs w:val="20"/>
                <w:lang w:val="en-GB"/>
              </w:rPr>
              <w:t>29,225.6</w:t>
            </w:r>
          </w:p>
        </w:tc>
        <w:tc>
          <w:tcPr>
            <w:tcW w:w="964" w:type="dxa"/>
          </w:tcPr>
          <w:p w14:paraId="076FCEEC" w14:textId="77777777" w:rsidR="00D01830" w:rsidRPr="00D57436" w:rsidRDefault="00D01830" w:rsidP="0075304E">
            <w:pPr>
              <w:autoSpaceDE w:val="0"/>
              <w:autoSpaceDN w:val="0"/>
              <w:adjustRightInd w:val="0"/>
              <w:jc w:val="right"/>
              <w:rPr>
                <w:rFonts w:ascii="Arial" w:eastAsiaTheme="minorHAnsi" w:hAnsi="Arial" w:cs="Arial"/>
                <w:sz w:val="20"/>
                <w:szCs w:val="20"/>
                <w:lang w:val="en-GB"/>
              </w:rPr>
            </w:pPr>
            <w:r w:rsidRPr="00D57436">
              <w:rPr>
                <w:rFonts w:ascii="Arial" w:eastAsiaTheme="minorHAnsi" w:hAnsi="Arial" w:cs="Arial"/>
                <w:sz w:val="20"/>
                <w:szCs w:val="20"/>
                <w:lang w:val="en-GB"/>
              </w:rPr>
              <w:t>1.12</w:t>
            </w:r>
          </w:p>
        </w:tc>
      </w:tr>
      <w:tr w:rsidR="00D01830" w:rsidRPr="00D57436" w14:paraId="542844FE" w14:textId="77777777" w:rsidTr="0075304E">
        <w:tc>
          <w:tcPr>
            <w:tcW w:w="1384" w:type="dxa"/>
          </w:tcPr>
          <w:p w14:paraId="335FC3BD" w14:textId="77777777" w:rsidR="00D01830" w:rsidRPr="00D57436" w:rsidRDefault="00D01830" w:rsidP="0075304E">
            <w:pPr>
              <w:autoSpaceDE w:val="0"/>
              <w:autoSpaceDN w:val="0"/>
              <w:adjustRightInd w:val="0"/>
              <w:rPr>
                <w:rFonts w:ascii="Arial" w:eastAsiaTheme="minorHAnsi" w:hAnsi="Arial" w:cs="Arial"/>
                <w:sz w:val="20"/>
                <w:szCs w:val="20"/>
                <w:lang w:val="en-GB"/>
              </w:rPr>
            </w:pPr>
            <w:r w:rsidRPr="00D57436">
              <w:rPr>
                <w:rFonts w:ascii="Arial" w:eastAsiaTheme="minorHAnsi" w:hAnsi="Arial" w:cs="Arial"/>
                <w:sz w:val="20"/>
                <w:szCs w:val="20"/>
                <w:lang w:val="en-GB"/>
              </w:rPr>
              <w:t>II</w:t>
            </w:r>
          </w:p>
        </w:tc>
        <w:tc>
          <w:tcPr>
            <w:tcW w:w="1730" w:type="dxa"/>
          </w:tcPr>
          <w:p w14:paraId="7BE4E646" w14:textId="77777777" w:rsidR="00D01830" w:rsidRPr="00D57436" w:rsidRDefault="00D01830" w:rsidP="0075304E">
            <w:pPr>
              <w:autoSpaceDE w:val="0"/>
              <w:autoSpaceDN w:val="0"/>
              <w:adjustRightInd w:val="0"/>
              <w:jc w:val="right"/>
              <w:rPr>
                <w:rFonts w:ascii="Arial" w:eastAsiaTheme="minorHAnsi" w:hAnsi="Arial" w:cs="Arial"/>
                <w:sz w:val="20"/>
                <w:szCs w:val="20"/>
                <w:lang w:val="en-GB"/>
              </w:rPr>
            </w:pPr>
            <w:r w:rsidRPr="00D57436">
              <w:rPr>
                <w:rFonts w:ascii="Arial" w:eastAsiaTheme="minorHAnsi" w:hAnsi="Arial" w:cs="Arial"/>
                <w:sz w:val="20"/>
                <w:szCs w:val="20"/>
                <w:lang w:val="en-GB"/>
              </w:rPr>
              <w:t>1,991.2</w:t>
            </w:r>
          </w:p>
        </w:tc>
        <w:tc>
          <w:tcPr>
            <w:tcW w:w="1276" w:type="dxa"/>
          </w:tcPr>
          <w:p w14:paraId="1763099D" w14:textId="77777777" w:rsidR="00D01830" w:rsidRPr="00D57436" w:rsidRDefault="00D01830" w:rsidP="0075304E">
            <w:pPr>
              <w:autoSpaceDE w:val="0"/>
              <w:autoSpaceDN w:val="0"/>
              <w:adjustRightInd w:val="0"/>
              <w:jc w:val="right"/>
              <w:rPr>
                <w:rFonts w:ascii="Arial" w:eastAsiaTheme="minorHAnsi" w:hAnsi="Arial" w:cs="Arial"/>
                <w:sz w:val="20"/>
                <w:szCs w:val="20"/>
                <w:lang w:val="en-GB"/>
              </w:rPr>
            </w:pPr>
            <w:r w:rsidRPr="00D57436">
              <w:rPr>
                <w:rFonts w:ascii="Arial" w:eastAsiaTheme="minorHAnsi" w:hAnsi="Arial" w:cs="Arial"/>
                <w:sz w:val="20"/>
                <w:szCs w:val="20"/>
                <w:lang w:val="en-GB"/>
              </w:rPr>
              <w:t>2,029.4</w:t>
            </w:r>
          </w:p>
        </w:tc>
        <w:tc>
          <w:tcPr>
            <w:tcW w:w="1701" w:type="dxa"/>
          </w:tcPr>
          <w:p w14:paraId="4D747B04" w14:textId="77777777" w:rsidR="00D01830" w:rsidRPr="00D57436" w:rsidRDefault="00D01830" w:rsidP="0075304E">
            <w:pPr>
              <w:autoSpaceDE w:val="0"/>
              <w:autoSpaceDN w:val="0"/>
              <w:adjustRightInd w:val="0"/>
              <w:jc w:val="right"/>
              <w:rPr>
                <w:rFonts w:ascii="Arial" w:eastAsiaTheme="minorHAnsi" w:hAnsi="Arial" w:cs="Arial"/>
                <w:sz w:val="20"/>
                <w:szCs w:val="20"/>
                <w:lang w:val="en-GB"/>
              </w:rPr>
            </w:pPr>
            <w:r w:rsidRPr="00D57436">
              <w:rPr>
                <w:rFonts w:ascii="Arial" w:eastAsiaTheme="minorHAnsi" w:hAnsi="Arial" w:cs="Arial"/>
                <w:sz w:val="20"/>
                <w:szCs w:val="20"/>
                <w:lang w:val="en-GB"/>
              </w:rPr>
              <w:t>2,002.5</w:t>
            </w:r>
          </w:p>
        </w:tc>
        <w:tc>
          <w:tcPr>
            <w:tcW w:w="1842" w:type="dxa"/>
          </w:tcPr>
          <w:p w14:paraId="08A01E06" w14:textId="77777777" w:rsidR="00D01830" w:rsidRPr="00D57436" w:rsidRDefault="00D01830" w:rsidP="0075304E">
            <w:pPr>
              <w:autoSpaceDE w:val="0"/>
              <w:autoSpaceDN w:val="0"/>
              <w:adjustRightInd w:val="0"/>
              <w:jc w:val="right"/>
              <w:rPr>
                <w:rFonts w:ascii="Arial" w:eastAsiaTheme="minorHAnsi" w:hAnsi="Arial" w:cs="Arial"/>
                <w:sz w:val="20"/>
                <w:szCs w:val="20"/>
                <w:lang w:val="en-GB"/>
              </w:rPr>
            </w:pPr>
            <w:r w:rsidRPr="00D57436">
              <w:rPr>
                <w:rFonts w:ascii="Arial" w:eastAsiaTheme="minorHAnsi" w:hAnsi="Arial" w:cs="Arial"/>
                <w:sz w:val="20"/>
                <w:szCs w:val="20"/>
                <w:lang w:val="en-GB"/>
              </w:rPr>
              <w:t>1,932.2</w:t>
            </w:r>
          </w:p>
        </w:tc>
        <w:tc>
          <w:tcPr>
            <w:tcW w:w="964" w:type="dxa"/>
          </w:tcPr>
          <w:p w14:paraId="01AC904B" w14:textId="77777777" w:rsidR="00D01830" w:rsidRPr="00D57436" w:rsidRDefault="00D01830" w:rsidP="0075304E">
            <w:pPr>
              <w:autoSpaceDE w:val="0"/>
              <w:autoSpaceDN w:val="0"/>
              <w:adjustRightInd w:val="0"/>
              <w:jc w:val="right"/>
              <w:rPr>
                <w:rFonts w:ascii="Arial" w:eastAsiaTheme="minorHAnsi" w:hAnsi="Arial" w:cs="Arial"/>
                <w:sz w:val="20"/>
                <w:szCs w:val="20"/>
                <w:lang w:val="en-GB"/>
              </w:rPr>
            </w:pPr>
            <w:r w:rsidRPr="00D57436">
              <w:rPr>
                <w:rFonts w:ascii="Arial" w:eastAsiaTheme="minorHAnsi" w:hAnsi="Arial" w:cs="Arial"/>
                <w:sz w:val="20"/>
                <w:szCs w:val="20"/>
                <w:lang w:val="en-GB"/>
              </w:rPr>
              <w:t>0.97</w:t>
            </w:r>
          </w:p>
        </w:tc>
      </w:tr>
      <w:tr w:rsidR="00D01830" w:rsidRPr="00D57436" w14:paraId="33D6507A" w14:textId="77777777" w:rsidTr="0075304E">
        <w:tc>
          <w:tcPr>
            <w:tcW w:w="1384" w:type="dxa"/>
          </w:tcPr>
          <w:p w14:paraId="27EBA383" w14:textId="77777777" w:rsidR="00D01830" w:rsidRPr="00D57436" w:rsidRDefault="00D01830" w:rsidP="0075304E">
            <w:pPr>
              <w:autoSpaceDE w:val="0"/>
              <w:autoSpaceDN w:val="0"/>
              <w:adjustRightInd w:val="0"/>
              <w:rPr>
                <w:rFonts w:ascii="Arial" w:eastAsiaTheme="minorHAnsi" w:hAnsi="Arial" w:cs="Arial"/>
                <w:sz w:val="20"/>
                <w:szCs w:val="20"/>
                <w:lang w:val="en-GB"/>
              </w:rPr>
            </w:pPr>
            <w:r w:rsidRPr="00D57436">
              <w:rPr>
                <w:rFonts w:ascii="Arial" w:eastAsiaTheme="minorHAnsi" w:hAnsi="Arial" w:cs="Arial"/>
                <w:sz w:val="20"/>
                <w:szCs w:val="20"/>
                <w:lang w:val="en-GB"/>
              </w:rPr>
              <w:t>III</w:t>
            </w:r>
          </w:p>
        </w:tc>
        <w:tc>
          <w:tcPr>
            <w:tcW w:w="1730" w:type="dxa"/>
          </w:tcPr>
          <w:p w14:paraId="15EC9DE7" w14:textId="77777777" w:rsidR="00D01830" w:rsidRPr="00D57436" w:rsidRDefault="00D01830" w:rsidP="0075304E">
            <w:pPr>
              <w:autoSpaceDE w:val="0"/>
              <w:autoSpaceDN w:val="0"/>
              <w:adjustRightInd w:val="0"/>
              <w:jc w:val="right"/>
              <w:rPr>
                <w:rFonts w:ascii="Arial" w:eastAsiaTheme="minorHAnsi" w:hAnsi="Arial" w:cs="Arial"/>
                <w:sz w:val="20"/>
                <w:szCs w:val="20"/>
                <w:lang w:val="en-GB"/>
              </w:rPr>
            </w:pPr>
            <w:r w:rsidRPr="00D57436">
              <w:rPr>
                <w:rFonts w:ascii="Arial" w:eastAsiaTheme="minorHAnsi" w:hAnsi="Arial" w:cs="Arial"/>
                <w:sz w:val="20"/>
                <w:szCs w:val="20"/>
                <w:lang w:val="en-GB"/>
              </w:rPr>
              <w:t>21,353.0</w:t>
            </w:r>
          </w:p>
        </w:tc>
        <w:tc>
          <w:tcPr>
            <w:tcW w:w="1276" w:type="dxa"/>
          </w:tcPr>
          <w:p w14:paraId="31725B12" w14:textId="77777777" w:rsidR="00D01830" w:rsidRPr="00D57436" w:rsidRDefault="00D01830" w:rsidP="0075304E">
            <w:pPr>
              <w:autoSpaceDE w:val="0"/>
              <w:autoSpaceDN w:val="0"/>
              <w:adjustRightInd w:val="0"/>
              <w:jc w:val="right"/>
              <w:rPr>
                <w:rFonts w:ascii="Arial" w:eastAsiaTheme="minorHAnsi" w:hAnsi="Arial" w:cs="Arial"/>
                <w:sz w:val="20"/>
                <w:szCs w:val="20"/>
                <w:lang w:val="en-GB"/>
              </w:rPr>
            </w:pPr>
            <w:r w:rsidRPr="00D57436">
              <w:rPr>
                <w:rFonts w:ascii="Arial" w:eastAsiaTheme="minorHAnsi" w:hAnsi="Arial" w:cs="Arial"/>
                <w:sz w:val="20"/>
                <w:szCs w:val="20"/>
                <w:lang w:val="en-GB"/>
              </w:rPr>
              <w:t>14,825.9</w:t>
            </w:r>
          </w:p>
        </w:tc>
        <w:tc>
          <w:tcPr>
            <w:tcW w:w="1701" w:type="dxa"/>
          </w:tcPr>
          <w:p w14:paraId="0B1C8534" w14:textId="77777777" w:rsidR="00D01830" w:rsidRPr="00D57436" w:rsidRDefault="00D01830" w:rsidP="0075304E">
            <w:pPr>
              <w:autoSpaceDE w:val="0"/>
              <w:autoSpaceDN w:val="0"/>
              <w:adjustRightInd w:val="0"/>
              <w:jc w:val="right"/>
              <w:rPr>
                <w:rFonts w:ascii="Arial" w:eastAsiaTheme="minorHAnsi" w:hAnsi="Arial" w:cs="Arial"/>
                <w:sz w:val="20"/>
                <w:szCs w:val="20"/>
                <w:lang w:val="en-GB"/>
              </w:rPr>
            </w:pPr>
            <w:r w:rsidRPr="00D57436">
              <w:rPr>
                <w:rFonts w:ascii="Arial" w:eastAsiaTheme="minorHAnsi" w:hAnsi="Arial" w:cs="Arial"/>
                <w:sz w:val="20"/>
                <w:szCs w:val="20"/>
                <w:lang w:val="en-GB"/>
              </w:rPr>
              <w:t>12,138.7</w:t>
            </w:r>
          </w:p>
        </w:tc>
        <w:tc>
          <w:tcPr>
            <w:tcW w:w="1842" w:type="dxa"/>
          </w:tcPr>
          <w:p w14:paraId="602ED030" w14:textId="77777777" w:rsidR="00D01830" w:rsidRPr="00D57436" w:rsidRDefault="00D01830" w:rsidP="0075304E">
            <w:pPr>
              <w:autoSpaceDE w:val="0"/>
              <w:autoSpaceDN w:val="0"/>
              <w:adjustRightInd w:val="0"/>
              <w:jc w:val="right"/>
              <w:rPr>
                <w:rFonts w:ascii="Arial" w:eastAsiaTheme="minorHAnsi" w:hAnsi="Arial" w:cs="Arial"/>
                <w:sz w:val="20"/>
                <w:szCs w:val="20"/>
                <w:lang w:val="en-GB"/>
              </w:rPr>
            </w:pPr>
            <w:r w:rsidRPr="00D57436">
              <w:rPr>
                <w:rFonts w:ascii="Arial" w:eastAsiaTheme="minorHAnsi" w:hAnsi="Arial" w:cs="Arial"/>
                <w:sz w:val="20"/>
                <w:szCs w:val="20"/>
                <w:lang w:val="en-GB"/>
              </w:rPr>
              <w:t>9,933.6</w:t>
            </w:r>
          </w:p>
        </w:tc>
        <w:tc>
          <w:tcPr>
            <w:tcW w:w="964" w:type="dxa"/>
          </w:tcPr>
          <w:p w14:paraId="7EF5B965" w14:textId="77777777" w:rsidR="00D01830" w:rsidRPr="00D57436" w:rsidRDefault="00D01830" w:rsidP="0075304E">
            <w:pPr>
              <w:autoSpaceDE w:val="0"/>
              <w:autoSpaceDN w:val="0"/>
              <w:adjustRightInd w:val="0"/>
              <w:jc w:val="right"/>
              <w:rPr>
                <w:rFonts w:ascii="Arial" w:eastAsiaTheme="minorHAnsi" w:hAnsi="Arial" w:cs="Arial"/>
                <w:sz w:val="20"/>
                <w:szCs w:val="20"/>
                <w:lang w:val="en-GB"/>
              </w:rPr>
            </w:pPr>
            <w:r w:rsidRPr="00D57436">
              <w:rPr>
                <w:rFonts w:ascii="Arial" w:eastAsiaTheme="minorHAnsi" w:hAnsi="Arial" w:cs="Arial"/>
                <w:sz w:val="20"/>
                <w:szCs w:val="20"/>
                <w:lang w:val="en-GB"/>
              </w:rPr>
              <w:t>0.47</w:t>
            </w:r>
          </w:p>
        </w:tc>
      </w:tr>
      <w:tr w:rsidR="00D01830" w:rsidRPr="00D57436" w14:paraId="58152ECD" w14:textId="77777777" w:rsidTr="0075304E">
        <w:tc>
          <w:tcPr>
            <w:tcW w:w="1384" w:type="dxa"/>
          </w:tcPr>
          <w:p w14:paraId="3FDA2AAB" w14:textId="77777777" w:rsidR="00D01830" w:rsidRPr="00D57436" w:rsidRDefault="00D01830" w:rsidP="0075304E">
            <w:pPr>
              <w:autoSpaceDE w:val="0"/>
              <w:autoSpaceDN w:val="0"/>
              <w:adjustRightInd w:val="0"/>
              <w:rPr>
                <w:rFonts w:ascii="Arial" w:eastAsiaTheme="minorHAnsi" w:hAnsi="Arial" w:cs="Arial"/>
                <w:sz w:val="20"/>
                <w:szCs w:val="20"/>
                <w:lang w:val="en-GB"/>
              </w:rPr>
            </w:pPr>
            <w:r w:rsidRPr="00D57436">
              <w:rPr>
                <w:rFonts w:ascii="Arial" w:eastAsiaTheme="minorHAnsi" w:hAnsi="Arial" w:cs="Arial"/>
                <w:sz w:val="20"/>
                <w:szCs w:val="20"/>
                <w:lang w:val="en-GB"/>
              </w:rPr>
              <w:t>X</w:t>
            </w:r>
          </w:p>
        </w:tc>
        <w:tc>
          <w:tcPr>
            <w:tcW w:w="1730" w:type="dxa"/>
          </w:tcPr>
          <w:p w14:paraId="2FA3AD80" w14:textId="77777777" w:rsidR="00D01830" w:rsidRPr="00D57436" w:rsidRDefault="00D01830" w:rsidP="0075304E">
            <w:pPr>
              <w:autoSpaceDE w:val="0"/>
              <w:autoSpaceDN w:val="0"/>
              <w:adjustRightInd w:val="0"/>
              <w:jc w:val="right"/>
              <w:rPr>
                <w:rFonts w:ascii="Arial" w:eastAsiaTheme="minorHAnsi" w:hAnsi="Arial" w:cs="Arial"/>
                <w:sz w:val="20"/>
                <w:szCs w:val="20"/>
                <w:lang w:val="en-GB"/>
              </w:rPr>
            </w:pPr>
            <w:r w:rsidRPr="00D57436">
              <w:rPr>
                <w:rFonts w:ascii="Arial" w:eastAsiaTheme="minorHAnsi" w:hAnsi="Arial" w:cs="Arial"/>
                <w:sz w:val="20"/>
                <w:szCs w:val="20"/>
                <w:lang w:val="en-GB"/>
              </w:rPr>
              <w:t>32,334.7</w:t>
            </w:r>
          </w:p>
        </w:tc>
        <w:tc>
          <w:tcPr>
            <w:tcW w:w="1276" w:type="dxa"/>
          </w:tcPr>
          <w:p w14:paraId="3543D700" w14:textId="77777777" w:rsidR="00D01830" w:rsidRPr="00D57436" w:rsidRDefault="00D01830" w:rsidP="0075304E">
            <w:pPr>
              <w:autoSpaceDE w:val="0"/>
              <w:autoSpaceDN w:val="0"/>
              <w:adjustRightInd w:val="0"/>
              <w:jc w:val="right"/>
              <w:rPr>
                <w:rFonts w:ascii="Arial" w:eastAsiaTheme="minorHAnsi" w:hAnsi="Arial" w:cs="Arial"/>
                <w:sz w:val="20"/>
                <w:szCs w:val="20"/>
                <w:lang w:val="en-GB"/>
              </w:rPr>
            </w:pPr>
            <w:r w:rsidRPr="00D57436">
              <w:rPr>
                <w:rFonts w:ascii="Arial" w:eastAsiaTheme="minorHAnsi" w:hAnsi="Arial" w:cs="Arial"/>
                <w:sz w:val="20"/>
                <w:szCs w:val="20"/>
                <w:lang w:val="en-GB"/>
              </w:rPr>
              <w:t>40,235.2</w:t>
            </w:r>
          </w:p>
        </w:tc>
        <w:tc>
          <w:tcPr>
            <w:tcW w:w="1701" w:type="dxa"/>
          </w:tcPr>
          <w:p w14:paraId="069BEA21" w14:textId="77777777" w:rsidR="00D01830" w:rsidRPr="00D57436" w:rsidRDefault="00D01830" w:rsidP="0075304E">
            <w:pPr>
              <w:autoSpaceDE w:val="0"/>
              <w:autoSpaceDN w:val="0"/>
              <w:adjustRightInd w:val="0"/>
              <w:jc w:val="right"/>
              <w:rPr>
                <w:rFonts w:ascii="Arial" w:eastAsiaTheme="minorHAnsi" w:hAnsi="Arial" w:cs="Arial"/>
                <w:sz w:val="20"/>
                <w:szCs w:val="20"/>
                <w:lang w:val="en-GB"/>
              </w:rPr>
            </w:pPr>
            <w:r w:rsidRPr="00D57436">
              <w:rPr>
                <w:rFonts w:ascii="Arial" w:eastAsiaTheme="minorHAnsi" w:hAnsi="Arial" w:cs="Arial"/>
                <w:sz w:val="20"/>
                <w:szCs w:val="20"/>
                <w:lang w:val="en-GB"/>
              </w:rPr>
              <w:t>43,736.1</w:t>
            </w:r>
          </w:p>
        </w:tc>
        <w:tc>
          <w:tcPr>
            <w:tcW w:w="1842" w:type="dxa"/>
          </w:tcPr>
          <w:p w14:paraId="2671A046" w14:textId="77777777" w:rsidR="00D01830" w:rsidRPr="00D57436" w:rsidRDefault="00D01830" w:rsidP="0075304E">
            <w:pPr>
              <w:autoSpaceDE w:val="0"/>
              <w:autoSpaceDN w:val="0"/>
              <w:adjustRightInd w:val="0"/>
              <w:jc w:val="right"/>
              <w:rPr>
                <w:rFonts w:ascii="Arial" w:eastAsiaTheme="minorHAnsi" w:hAnsi="Arial" w:cs="Arial"/>
                <w:sz w:val="20"/>
                <w:szCs w:val="20"/>
                <w:lang w:val="en-GB"/>
              </w:rPr>
            </w:pPr>
            <w:r w:rsidRPr="00D57436">
              <w:rPr>
                <w:rFonts w:ascii="Arial" w:eastAsiaTheme="minorHAnsi" w:hAnsi="Arial" w:cs="Arial"/>
                <w:sz w:val="20"/>
                <w:szCs w:val="20"/>
                <w:lang w:val="en-GB"/>
              </w:rPr>
              <w:t>44,144.2</w:t>
            </w:r>
          </w:p>
        </w:tc>
        <w:tc>
          <w:tcPr>
            <w:tcW w:w="964" w:type="dxa"/>
          </w:tcPr>
          <w:p w14:paraId="701E5E51" w14:textId="77777777" w:rsidR="00D01830" w:rsidRPr="00D57436" w:rsidRDefault="00D01830" w:rsidP="0075304E">
            <w:pPr>
              <w:autoSpaceDE w:val="0"/>
              <w:autoSpaceDN w:val="0"/>
              <w:adjustRightInd w:val="0"/>
              <w:jc w:val="right"/>
              <w:rPr>
                <w:rFonts w:ascii="Arial" w:eastAsiaTheme="minorHAnsi" w:hAnsi="Arial" w:cs="Arial"/>
                <w:sz w:val="20"/>
                <w:szCs w:val="20"/>
                <w:lang w:val="en-GB"/>
              </w:rPr>
            </w:pPr>
            <w:r w:rsidRPr="00D57436">
              <w:rPr>
                <w:rFonts w:ascii="Arial" w:eastAsiaTheme="minorHAnsi" w:hAnsi="Arial" w:cs="Arial"/>
                <w:sz w:val="20"/>
                <w:szCs w:val="20"/>
                <w:lang w:val="en-GB"/>
              </w:rPr>
              <w:t>1.37</w:t>
            </w:r>
          </w:p>
        </w:tc>
      </w:tr>
      <w:tr w:rsidR="00D01830" w:rsidRPr="00D57436" w14:paraId="4213B42B" w14:textId="77777777" w:rsidTr="0075304E">
        <w:tc>
          <w:tcPr>
            <w:tcW w:w="1384" w:type="dxa"/>
          </w:tcPr>
          <w:p w14:paraId="3FB16589" w14:textId="77777777" w:rsidR="00D01830" w:rsidRPr="00D57436" w:rsidRDefault="00D01830" w:rsidP="0075304E">
            <w:pPr>
              <w:autoSpaceDE w:val="0"/>
              <w:autoSpaceDN w:val="0"/>
              <w:adjustRightInd w:val="0"/>
              <w:rPr>
                <w:rFonts w:ascii="Arial" w:eastAsiaTheme="minorHAnsi" w:hAnsi="Arial" w:cs="Arial"/>
                <w:sz w:val="20"/>
                <w:szCs w:val="20"/>
                <w:lang w:val="en-GB"/>
              </w:rPr>
            </w:pPr>
            <w:r w:rsidRPr="00D57436">
              <w:rPr>
                <w:rFonts w:ascii="Arial" w:eastAsiaTheme="minorHAnsi" w:hAnsi="Arial" w:cs="Arial"/>
                <w:sz w:val="20"/>
                <w:szCs w:val="20"/>
                <w:lang w:val="en-GB"/>
              </w:rPr>
              <w:t>Total</w:t>
            </w:r>
          </w:p>
        </w:tc>
        <w:tc>
          <w:tcPr>
            <w:tcW w:w="1730" w:type="dxa"/>
          </w:tcPr>
          <w:p w14:paraId="1391044D" w14:textId="77777777" w:rsidR="00D01830" w:rsidRPr="00D57436" w:rsidRDefault="00D01830" w:rsidP="0075304E">
            <w:pPr>
              <w:autoSpaceDE w:val="0"/>
              <w:autoSpaceDN w:val="0"/>
              <w:adjustRightInd w:val="0"/>
              <w:jc w:val="right"/>
              <w:rPr>
                <w:rFonts w:ascii="Arial" w:eastAsiaTheme="minorHAnsi" w:hAnsi="Arial" w:cs="Arial"/>
                <w:sz w:val="20"/>
                <w:szCs w:val="20"/>
                <w:lang w:val="en-GB"/>
              </w:rPr>
            </w:pPr>
            <w:r w:rsidRPr="00D57436">
              <w:rPr>
                <w:rFonts w:ascii="Arial" w:eastAsiaTheme="minorHAnsi" w:hAnsi="Arial" w:cs="Arial"/>
                <w:sz w:val="20"/>
                <w:szCs w:val="20"/>
                <w:lang w:val="en-GB"/>
              </w:rPr>
              <w:t>81,801.5</w:t>
            </w:r>
          </w:p>
        </w:tc>
        <w:tc>
          <w:tcPr>
            <w:tcW w:w="1276" w:type="dxa"/>
          </w:tcPr>
          <w:p w14:paraId="3D5EB50C" w14:textId="77777777" w:rsidR="00D01830" w:rsidRPr="00D57436" w:rsidRDefault="00D01830" w:rsidP="0075304E">
            <w:pPr>
              <w:autoSpaceDE w:val="0"/>
              <w:autoSpaceDN w:val="0"/>
              <w:adjustRightInd w:val="0"/>
              <w:jc w:val="right"/>
              <w:rPr>
                <w:rFonts w:ascii="Arial" w:eastAsiaTheme="minorHAnsi" w:hAnsi="Arial" w:cs="Arial"/>
                <w:sz w:val="20"/>
                <w:szCs w:val="20"/>
                <w:lang w:val="en-GB"/>
              </w:rPr>
            </w:pPr>
            <w:r w:rsidRPr="00D57436">
              <w:rPr>
                <w:rFonts w:ascii="Arial" w:eastAsiaTheme="minorHAnsi" w:hAnsi="Arial" w:cs="Arial"/>
                <w:sz w:val="20"/>
                <w:szCs w:val="20"/>
                <w:lang w:val="en-GB"/>
              </w:rPr>
              <w:t>84,758.2</w:t>
            </w:r>
          </w:p>
        </w:tc>
        <w:tc>
          <w:tcPr>
            <w:tcW w:w="1701" w:type="dxa"/>
          </w:tcPr>
          <w:p w14:paraId="7554543D" w14:textId="77777777" w:rsidR="00D01830" w:rsidRPr="00D57436" w:rsidRDefault="00D01830" w:rsidP="0075304E">
            <w:pPr>
              <w:autoSpaceDE w:val="0"/>
              <w:autoSpaceDN w:val="0"/>
              <w:adjustRightInd w:val="0"/>
              <w:jc w:val="right"/>
              <w:rPr>
                <w:rFonts w:ascii="Arial" w:eastAsiaTheme="minorHAnsi" w:hAnsi="Arial" w:cs="Arial"/>
                <w:sz w:val="20"/>
                <w:szCs w:val="20"/>
                <w:lang w:val="en-GB"/>
              </w:rPr>
            </w:pPr>
            <w:r w:rsidRPr="00D57436">
              <w:rPr>
                <w:rFonts w:ascii="Arial" w:eastAsiaTheme="minorHAnsi" w:hAnsi="Arial" w:cs="Arial"/>
                <w:sz w:val="20"/>
                <w:szCs w:val="20"/>
                <w:lang w:val="en-GB"/>
              </w:rPr>
              <w:t>86,325.5</w:t>
            </w:r>
          </w:p>
        </w:tc>
        <w:tc>
          <w:tcPr>
            <w:tcW w:w="1842" w:type="dxa"/>
          </w:tcPr>
          <w:p w14:paraId="3F30A1EB" w14:textId="77777777" w:rsidR="00D01830" w:rsidRPr="00D57436" w:rsidRDefault="00D01830" w:rsidP="0075304E">
            <w:pPr>
              <w:autoSpaceDE w:val="0"/>
              <w:autoSpaceDN w:val="0"/>
              <w:adjustRightInd w:val="0"/>
              <w:jc w:val="right"/>
              <w:rPr>
                <w:rFonts w:ascii="Arial" w:eastAsiaTheme="minorHAnsi" w:hAnsi="Arial" w:cs="Arial"/>
                <w:sz w:val="20"/>
                <w:szCs w:val="20"/>
                <w:lang w:val="en-GB"/>
              </w:rPr>
            </w:pPr>
            <w:r w:rsidRPr="00D57436">
              <w:rPr>
                <w:rFonts w:ascii="Arial" w:eastAsiaTheme="minorHAnsi" w:hAnsi="Arial" w:cs="Arial"/>
                <w:sz w:val="20"/>
                <w:szCs w:val="20"/>
                <w:lang w:val="en-GB"/>
              </w:rPr>
              <w:t>85,235.5</w:t>
            </w:r>
          </w:p>
        </w:tc>
        <w:tc>
          <w:tcPr>
            <w:tcW w:w="964" w:type="dxa"/>
          </w:tcPr>
          <w:p w14:paraId="47C094A7" w14:textId="77777777" w:rsidR="00D01830" w:rsidRPr="00D57436" w:rsidRDefault="00D01830" w:rsidP="0075304E">
            <w:pPr>
              <w:autoSpaceDE w:val="0"/>
              <w:autoSpaceDN w:val="0"/>
              <w:adjustRightInd w:val="0"/>
              <w:jc w:val="right"/>
              <w:rPr>
                <w:rFonts w:ascii="Arial" w:eastAsiaTheme="minorHAnsi" w:hAnsi="Arial" w:cs="Arial"/>
                <w:sz w:val="20"/>
                <w:szCs w:val="20"/>
                <w:lang w:val="en-GB"/>
              </w:rPr>
            </w:pPr>
            <w:r w:rsidRPr="00D57436">
              <w:rPr>
                <w:rFonts w:ascii="Arial" w:eastAsiaTheme="minorHAnsi" w:hAnsi="Arial" w:cs="Arial"/>
                <w:sz w:val="20"/>
                <w:szCs w:val="20"/>
                <w:lang w:val="en-GB"/>
              </w:rPr>
              <w:t>1.04</w:t>
            </w:r>
          </w:p>
        </w:tc>
      </w:tr>
      <w:tr w:rsidR="00D01830" w:rsidRPr="00D57436" w14:paraId="301CF700" w14:textId="77777777" w:rsidTr="0075304E">
        <w:tc>
          <w:tcPr>
            <w:tcW w:w="1384" w:type="dxa"/>
          </w:tcPr>
          <w:p w14:paraId="08F3A5DF" w14:textId="77777777" w:rsidR="00D01830" w:rsidRPr="00D57436" w:rsidRDefault="00D01830" w:rsidP="0075304E">
            <w:pPr>
              <w:autoSpaceDE w:val="0"/>
              <w:autoSpaceDN w:val="0"/>
              <w:adjustRightInd w:val="0"/>
              <w:rPr>
                <w:rFonts w:ascii="Arial" w:eastAsiaTheme="minorHAnsi" w:hAnsi="Arial" w:cs="Arial"/>
                <w:sz w:val="20"/>
                <w:szCs w:val="20"/>
                <w:lang w:val="en-GB"/>
              </w:rPr>
            </w:pPr>
            <w:r w:rsidRPr="00D57436">
              <w:rPr>
                <w:rFonts w:ascii="Arial" w:eastAsiaTheme="minorHAnsi" w:hAnsi="Arial" w:cs="Arial"/>
                <w:sz w:val="20"/>
                <w:szCs w:val="20"/>
                <w:lang w:val="en-GB"/>
              </w:rPr>
              <w:t>Share of III on Total (%)</w:t>
            </w:r>
          </w:p>
        </w:tc>
        <w:tc>
          <w:tcPr>
            <w:tcW w:w="1730" w:type="dxa"/>
          </w:tcPr>
          <w:p w14:paraId="062F2419" w14:textId="77777777" w:rsidR="00D01830" w:rsidRPr="00D57436" w:rsidRDefault="00D01830" w:rsidP="0075304E">
            <w:pPr>
              <w:autoSpaceDE w:val="0"/>
              <w:autoSpaceDN w:val="0"/>
              <w:adjustRightInd w:val="0"/>
              <w:jc w:val="right"/>
              <w:rPr>
                <w:rFonts w:ascii="Arial" w:eastAsiaTheme="minorHAnsi" w:hAnsi="Arial" w:cs="Arial"/>
                <w:sz w:val="20"/>
                <w:szCs w:val="20"/>
                <w:lang w:val="en-GB"/>
              </w:rPr>
            </w:pPr>
            <w:r w:rsidRPr="00D57436">
              <w:rPr>
                <w:rFonts w:ascii="Arial" w:eastAsiaTheme="minorHAnsi" w:hAnsi="Arial" w:cs="Arial"/>
                <w:sz w:val="20"/>
                <w:szCs w:val="20"/>
                <w:lang w:val="en-GB"/>
              </w:rPr>
              <w:t>26.1</w:t>
            </w:r>
          </w:p>
        </w:tc>
        <w:tc>
          <w:tcPr>
            <w:tcW w:w="1276" w:type="dxa"/>
          </w:tcPr>
          <w:p w14:paraId="59887C84" w14:textId="77777777" w:rsidR="00D01830" w:rsidRPr="00D57436" w:rsidRDefault="00D01830" w:rsidP="0075304E">
            <w:pPr>
              <w:autoSpaceDE w:val="0"/>
              <w:autoSpaceDN w:val="0"/>
              <w:adjustRightInd w:val="0"/>
              <w:jc w:val="right"/>
              <w:rPr>
                <w:rFonts w:ascii="Arial" w:eastAsiaTheme="minorHAnsi" w:hAnsi="Arial" w:cs="Arial"/>
                <w:sz w:val="20"/>
                <w:szCs w:val="20"/>
                <w:lang w:val="en-GB"/>
              </w:rPr>
            </w:pPr>
            <w:r w:rsidRPr="00D57436">
              <w:rPr>
                <w:rFonts w:ascii="Arial" w:eastAsiaTheme="minorHAnsi" w:hAnsi="Arial" w:cs="Arial"/>
                <w:sz w:val="20"/>
                <w:szCs w:val="20"/>
                <w:lang w:val="en-GB"/>
              </w:rPr>
              <w:t>17.5</w:t>
            </w:r>
          </w:p>
        </w:tc>
        <w:tc>
          <w:tcPr>
            <w:tcW w:w="1701" w:type="dxa"/>
          </w:tcPr>
          <w:p w14:paraId="641DBEF3" w14:textId="77777777" w:rsidR="00D01830" w:rsidRPr="00D57436" w:rsidRDefault="00D01830" w:rsidP="0075304E">
            <w:pPr>
              <w:autoSpaceDE w:val="0"/>
              <w:autoSpaceDN w:val="0"/>
              <w:adjustRightInd w:val="0"/>
              <w:jc w:val="right"/>
              <w:rPr>
                <w:rFonts w:ascii="Arial" w:eastAsiaTheme="minorHAnsi" w:hAnsi="Arial" w:cs="Arial"/>
                <w:sz w:val="20"/>
                <w:szCs w:val="20"/>
                <w:lang w:val="en-GB"/>
              </w:rPr>
            </w:pPr>
            <w:r w:rsidRPr="00D57436">
              <w:rPr>
                <w:rFonts w:ascii="Arial" w:eastAsiaTheme="minorHAnsi" w:hAnsi="Arial" w:cs="Arial"/>
                <w:sz w:val="20"/>
                <w:szCs w:val="20"/>
                <w:lang w:val="en-GB"/>
              </w:rPr>
              <w:t>14.1</w:t>
            </w:r>
          </w:p>
        </w:tc>
        <w:tc>
          <w:tcPr>
            <w:tcW w:w="1842" w:type="dxa"/>
          </w:tcPr>
          <w:p w14:paraId="643358CD" w14:textId="77777777" w:rsidR="00D01830" w:rsidRPr="00D57436" w:rsidRDefault="00D01830" w:rsidP="0075304E">
            <w:pPr>
              <w:autoSpaceDE w:val="0"/>
              <w:autoSpaceDN w:val="0"/>
              <w:adjustRightInd w:val="0"/>
              <w:jc w:val="right"/>
              <w:rPr>
                <w:rFonts w:ascii="Arial" w:eastAsiaTheme="minorHAnsi" w:hAnsi="Arial" w:cs="Arial"/>
                <w:sz w:val="20"/>
                <w:szCs w:val="20"/>
                <w:lang w:val="en-GB"/>
              </w:rPr>
            </w:pPr>
            <w:r w:rsidRPr="00D57436">
              <w:rPr>
                <w:rFonts w:ascii="Arial" w:eastAsiaTheme="minorHAnsi" w:hAnsi="Arial" w:cs="Arial"/>
                <w:sz w:val="20"/>
                <w:szCs w:val="20"/>
                <w:lang w:val="en-GB"/>
              </w:rPr>
              <w:t>11.7</w:t>
            </w:r>
          </w:p>
        </w:tc>
        <w:tc>
          <w:tcPr>
            <w:tcW w:w="964" w:type="dxa"/>
          </w:tcPr>
          <w:p w14:paraId="20E2993A" w14:textId="77777777" w:rsidR="00D01830" w:rsidRPr="00D57436" w:rsidRDefault="00D01830" w:rsidP="0075304E">
            <w:pPr>
              <w:autoSpaceDE w:val="0"/>
              <w:autoSpaceDN w:val="0"/>
              <w:adjustRightInd w:val="0"/>
              <w:jc w:val="right"/>
              <w:rPr>
                <w:rFonts w:ascii="Arial" w:eastAsiaTheme="minorHAnsi" w:hAnsi="Arial" w:cs="Arial"/>
                <w:sz w:val="20"/>
                <w:szCs w:val="20"/>
                <w:lang w:val="en-GB"/>
              </w:rPr>
            </w:pPr>
            <w:r w:rsidRPr="00D57436">
              <w:rPr>
                <w:rFonts w:ascii="Arial" w:eastAsiaTheme="minorHAnsi" w:hAnsi="Arial" w:cs="Arial"/>
                <w:sz w:val="20"/>
                <w:szCs w:val="20"/>
                <w:lang w:val="en-GB"/>
              </w:rPr>
              <w:t>0.45</w:t>
            </w:r>
          </w:p>
        </w:tc>
      </w:tr>
    </w:tbl>
    <w:p w14:paraId="623C85ED" w14:textId="77777777" w:rsidR="00D01830" w:rsidRPr="00D57436" w:rsidRDefault="00D01830" w:rsidP="00D01830">
      <w:pPr>
        <w:rPr>
          <w:rFonts w:ascii="Arial" w:hAnsi="Arial" w:cs="Arial"/>
          <w:sz w:val="18"/>
          <w:szCs w:val="18"/>
          <w:lang w:val="en-GB"/>
        </w:rPr>
      </w:pPr>
      <w:r w:rsidRPr="00D57436">
        <w:rPr>
          <w:rFonts w:ascii="Arial" w:hAnsi="Arial" w:cs="Arial"/>
          <w:sz w:val="18"/>
          <w:szCs w:val="18"/>
          <w:lang w:val="en-GB"/>
        </w:rPr>
        <w:t xml:space="preserve">All phases are normalised to a length of 12 months. </w:t>
      </w:r>
      <w:r w:rsidRPr="00D57436">
        <w:rPr>
          <w:rFonts w:ascii="Arial" w:hAnsi="Arial" w:cs="Arial"/>
          <w:sz w:val="18"/>
          <w:szCs w:val="18"/>
          <w:lang w:val="en-GB"/>
        </w:rPr>
        <w:br/>
      </w:r>
      <w:r w:rsidRPr="00D57436">
        <w:rPr>
          <w:rFonts w:ascii="Arial" w:eastAsia="Times New Roman" w:hAnsi="Arial" w:cs="Arial"/>
          <w:sz w:val="18"/>
          <w:szCs w:val="18"/>
          <w:lang w:val="en" w:eastAsia="de-DE"/>
        </w:rPr>
        <w:t>† DDD: defined daily dose, ‡ CHC: combined hormonal contraceptives</w:t>
      </w:r>
    </w:p>
    <w:p w14:paraId="46EAC783" w14:textId="77777777" w:rsidR="00D01830" w:rsidRPr="00C907E1" w:rsidRDefault="00D01830" w:rsidP="00D01830">
      <w:pPr>
        <w:autoSpaceDE w:val="0"/>
        <w:autoSpaceDN w:val="0"/>
        <w:adjustRightInd w:val="0"/>
        <w:spacing w:after="120" w:line="240" w:lineRule="auto"/>
        <w:rPr>
          <w:rFonts w:ascii="Arial" w:eastAsiaTheme="minorHAnsi" w:hAnsi="Arial" w:cs="Arial"/>
          <w:lang w:val="en-GB"/>
        </w:rPr>
      </w:pPr>
      <w:r w:rsidRPr="00D57436">
        <w:rPr>
          <w:rFonts w:ascii="Arial" w:eastAsiaTheme="minorHAnsi" w:hAnsi="Arial" w:cs="Arial"/>
          <w:lang w:val="en-GB"/>
        </w:rPr>
        <w:t>Table 4 a: Annual prevalence (in 1000 units) of risk classes for AOK-insured</w:t>
      </w:r>
      <w:r w:rsidRPr="00D57436">
        <w:rPr>
          <w:rFonts w:ascii="Times New Roman" w:eastAsia="Times New Roman" w:hAnsi="Times New Roman"/>
          <w:sz w:val="29"/>
          <w:szCs w:val="29"/>
          <w:vertAlign w:val="superscript"/>
          <w:lang w:val="en" w:eastAsia="de-DE"/>
        </w:rPr>
        <w:t>†</w:t>
      </w:r>
      <w:r w:rsidRPr="00D57436">
        <w:rPr>
          <w:rFonts w:ascii="Arial" w:eastAsiaTheme="minorHAnsi" w:hAnsi="Arial" w:cs="Arial"/>
          <w:lang w:val="en-GB"/>
        </w:rPr>
        <w:t xml:space="preserve"> women aged</w:t>
      </w:r>
      <w:r w:rsidRPr="00C907E1">
        <w:rPr>
          <w:rFonts w:ascii="Arial" w:eastAsiaTheme="minorHAnsi" w:hAnsi="Arial" w:cs="Arial"/>
          <w:lang w:val="en-GB"/>
        </w:rPr>
        <w:t xml:space="preserve"> 10 to under 20 years</w:t>
      </w:r>
    </w:p>
    <w:tbl>
      <w:tblPr>
        <w:tblStyle w:val="TableGrid"/>
        <w:tblW w:w="0" w:type="auto"/>
        <w:tblInd w:w="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9"/>
        <w:gridCol w:w="667"/>
        <w:gridCol w:w="1003"/>
        <w:gridCol w:w="667"/>
        <w:gridCol w:w="947"/>
        <w:gridCol w:w="667"/>
        <w:gridCol w:w="947"/>
        <w:gridCol w:w="667"/>
        <w:gridCol w:w="947"/>
        <w:gridCol w:w="667"/>
        <w:gridCol w:w="947"/>
      </w:tblGrid>
      <w:tr w:rsidR="00D01830" w:rsidRPr="00D56D3A" w14:paraId="2B4225F3" w14:textId="77777777" w:rsidTr="0075304E">
        <w:tc>
          <w:tcPr>
            <w:tcW w:w="904" w:type="dxa"/>
            <w:tcBorders>
              <w:top w:val="single" w:sz="4" w:space="0" w:color="auto"/>
              <w:left w:val="single" w:sz="4" w:space="0" w:color="auto"/>
              <w:bottom w:val="single" w:sz="4" w:space="0" w:color="auto"/>
              <w:right w:val="single" w:sz="4" w:space="0" w:color="auto"/>
            </w:tcBorders>
          </w:tcPr>
          <w:p w14:paraId="37F4D471" w14:textId="77777777" w:rsidR="00D01830" w:rsidRPr="002E3D46" w:rsidRDefault="00D01830" w:rsidP="0075304E">
            <w:pPr>
              <w:rPr>
                <w:rFonts w:ascii="Arial" w:eastAsia="Times New Roman" w:hAnsi="Arial" w:cs="Arial"/>
                <w:color w:val="000000"/>
                <w:sz w:val="18"/>
                <w:szCs w:val="18"/>
                <w:lang w:val="en-GB" w:eastAsia="de-DE"/>
              </w:rPr>
            </w:pPr>
            <w:r w:rsidRPr="002E3D46">
              <w:rPr>
                <w:rFonts w:ascii="Arial" w:eastAsia="Times New Roman" w:hAnsi="Arial" w:cs="Arial"/>
                <w:color w:val="000000"/>
                <w:sz w:val="18"/>
                <w:szCs w:val="18"/>
                <w:lang w:val="en-GB" w:eastAsia="de-DE"/>
              </w:rPr>
              <w:t xml:space="preserve">Risk class </w:t>
            </w:r>
          </w:p>
        </w:tc>
        <w:tc>
          <w:tcPr>
            <w:tcW w:w="1471" w:type="dxa"/>
            <w:gridSpan w:val="2"/>
            <w:tcBorders>
              <w:top w:val="single" w:sz="4" w:space="0" w:color="auto"/>
              <w:left w:val="single" w:sz="4" w:space="0" w:color="auto"/>
              <w:bottom w:val="single" w:sz="4" w:space="0" w:color="auto"/>
              <w:right w:val="single" w:sz="4" w:space="0" w:color="auto"/>
            </w:tcBorders>
          </w:tcPr>
          <w:p w14:paraId="4686C373" w14:textId="77777777" w:rsidR="00D01830" w:rsidRPr="002E3D46" w:rsidRDefault="00D01830" w:rsidP="0075304E">
            <w:pPr>
              <w:jc w:val="center"/>
              <w:rPr>
                <w:rFonts w:ascii="Arial" w:eastAsia="Times New Roman" w:hAnsi="Arial" w:cs="Arial"/>
                <w:color w:val="000000"/>
                <w:sz w:val="18"/>
                <w:szCs w:val="18"/>
                <w:lang w:val="en-GB" w:eastAsia="de-DE"/>
              </w:rPr>
            </w:pPr>
            <w:r w:rsidRPr="002E3D46">
              <w:rPr>
                <w:rFonts w:ascii="Arial" w:eastAsia="Times New Roman" w:hAnsi="Arial" w:cs="Arial"/>
                <w:color w:val="000000"/>
                <w:sz w:val="18"/>
                <w:szCs w:val="18"/>
                <w:lang w:val="en-GB" w:eastAsia="de-DE"/>
              </w:rPr>
              <w:t>2011</w:t>
            </w:r>
          </w:p>
        </w:tc>
        <w:tc>
          <w:tcPr>
            <w:tcW w:w="0" w:type="auto"/>
            <w:gridSpan w:val="2"/>
            <w:tcBorders>
              <w:top w:val="single" w:sz="4" w:space="0" w:color="auto"/>
              <w:left w:val="single" w:sz="4" w:space="0" w:color="auto"/>
              <w:bottom w:val="single" w:sz="4" w:space="0" w:color="auto"/>
              <w:right w:val="single" w:sz="4" w:space="0" w:color="auto"/>
            </w:tcBorders>
          </w:tcPr>
          <w:p w14:paraId="3B04E8CC" w14:textId="77777777" w:rsidR="00D01830" w:rsidRPr="002E3D46" w:rsidRDefault="00D01830" w:rsidP="0075304E">
            <w:pPr>
              <w:jc w:val="center"/>
              <w:rPr>
                <w:rFonts w:ascii="Arial" w:eastAsia="Times New Roman" w:hAnsi="Arial" w:cs="Arial"/>
                <w:color w:val="000000"/>
                <w:sz w:val="18"/>
                <w:szCs w:val="18"/>
                <w:lang w:val="en-GB" w:eastAsia="de-DE"/>
              </w:rPr>
            </w:pPr>
            <w:r w:rsidRPr="002E3D46">
              <w:rPr>
                <w:rFonts w:ascii="Arial" w:eastAsia="Times New Roman" w:hAnsi="Arial" w:cs="Arial"/>
                <w:color w:val="000000"/>
                <w:sz w:val="18"/>
                <w:szCs w:val="18"/>
                <w:lang w:val="en-GB" w:eastAsia="de-DE"/>
              </w:rPr>
              <w:t>2012</w:t>
            </w:r>
          </w:p>
        </w:tc>
        <w:tc>
          <w:tcPr>
            <w:tcW w:w="0" w:type="auto"/>
            <w:gridSpan w:val="2"/>
            <w:tcBorders>
              <w:top w:val="single" w:sz="4" w:space="0" w:color="auto"/>
              <w:left w:val="single" w:sz="4" w:space="0" w:color="auto"/>
              <w:bottom w:val="single" w:sz="4" w:space="0" w:color="auto"/>
              <w:right w:val="single" w:sz="4" w:space="0" w:color="auto"/>
            </w:tcBorders>
          </w:tcPr>
          <w:p w14:paraId="4663A1AA" w14:textId="77777777" w:rsidR="00D01830" w:rsidRPr="002E3D46" w:rsidRDefault="00D01830" w:rsidP="0075304E">
            <w:pPr>
              <w:jc w:val="center"/>
              <w:rPr>
                <w:rFonts w:ascii="Arial" w:eastAsia="Times New Roman" w:hAnsi="Arial" w:cs="Arial"/>
                <w:color w:val="000000"/>
                <w:sz w:val="18"/>
                <w:szCs w:val="18"/>
                <w:lang w:val="en-GB" w:eastAsia="de-DE"/>
              </w:rPr>
            </w:pPr>
            <w:r w:rsidRPr="002E3D46">
              <w:rPr>
                <w:rFonts w:ascii="Arial" w:eastAsia="Times New Roman" w:hAnsi="Arial" w:cs="Arial"/>
                <w:color w:val="000000"/>
                <w:sz w:val="18"/>
                <w:szCs w:val="18"/>
                <w:lang w:val="en-GB" w:eastAsia="de-DE"/>
              </w:rPr>
              <w:t>2013</w:t>
            </w:r>
          </w:p>
        </w:tc>
        <w:tc>
          <w:tcPr>
            <w:tcW w:w="0" w:type="auto"/>
            <w:gridSpan w:val="2"/>
            <w:tcBorders>
              <w:top w:val="single" w:sz="4" w:space="0" w:color="auto"/>
              <w:left w:val="single" w:sz="4" w:space="0" w:color="auto"/>
              <w:bottom w:val="single" w:sz="4" w:space="0" w:color="auto"/>
              <w:right w:val="single" w:sz="4" w:space="0" w:color="auto"/>
            </w:tcBorders>
          </w:tcPr>
          <w:p w14:paraId="773DE280" w14:textId="77777777" w:rsidR="00D01830" w:rsidRPr="002E3D46" w:rsidRDefault="00D01830" w:rsidP="0075304E">
            <w:pPr>
              <w:jc w:val="center"/>
              <w:rPr>
                <w:rFonts w:ascii="Arial" w:eastAsia="Times New Roman" w:hAnsi="Arial" w:cs="Arial"/>
                <w:color w:val="000000"/>
                <w:sz w:val="18"/>
                <w:szCs w:val="18"/>
                <w:lang w:val="en-GB" w:eastAsia="de-DE"/>
              </w:rPr>
            </w:pPr>
            <w:r w:rsidRPr="002E3D46">
              <w:rPr>
                <w:rFonts w:ascii="Arial" w:eastAsia="Times New Roman" w:hAnsi="Arial" w:cs="Arial"/>
                <w:color w:val="000000"/>
                <w:sz w:val="18"/>
                <w:szCs w:val="18"/>
                <w:lang w:val="en-GB" w:eastAsia="de-DE"/>
              </w:rPr>
              <w:t>2014</w:t>
            </w:r>
          </w:p>
        </w:tc>
        <w:tc>
          <w:tcPr>
            <w:tcW w:w="0" w:type="auto"/>
            <w:gridSpan w:val="2"/>
            <w:tcBorders>
              <w:top w:val="single" w:sz="4" w:space="0" w:color="auto"/>
              <w:left w:val="single" w:sz="4" w:space="0" w:color="auto"/>
              <w:bottom w:val="single" w:sz="4" w:space="0" w:color="auto"/>
              <w:right w:val="single" w:sz="4" w:space="0" w:color="auto"/>
            </w:tcBorders>
          </w:tcPr>
          <w:p w14:paraId="1C275059" w14:textId="77777777" w:rsidR="00D01830" w:rsidRPr="002E3D46" w:rsidRDefault="00D01830" w:rsidP="0075304E">
            <w:pPr>
              <w:jc w:val="center"/>
              <w:rPr>
                <w:rFonts w:ascii="Arial" w:eastAsia="Times New Roman" w:hAnsi="Arial" w:cs="Arial"/>
                <w:color w:val="000000"/>
                <w:sz w:val="18"/>
                <w:szCs w:val="18"/>
                <w:lang w:val="en-GB" w:eastAsia="de-DE"/>
              </w:rPr>
            </w:pPr>
            <w:r w:rsidRPr="002E3D46">
              <w:rPr>
                <w:rFonts w:ascii="Arial" w:eastAsia="Times New Roman" w:hAnsi="Arial" w:cs="Arial"/>
                <w:color w:val="000000"/>
                <w:sz w:val="18"/>
                <w:szCs w:val="18"/>
                <w:lang w:val="en-GB" w:eastAsia="de-DE"/>
              </w:rPr>
              <w:t>2015</w:t>
            </w:r>
          </w:p>
        </w:tc>
      </w:tr>
      <w:tr w:rsidR="00D01830" w:rsidRPr="00D56D3A" w14:paraId="7F1297F9" w14:textId="77777777" w:rsidTr="0075304E">
        <w:tc>
          <w:tcPr>
            <w:tcW w:w="904" w:type="dxa"/>
            <w:tcBorders>
              <w:top w:val="single" w:sz="4" w:space="0" w:color="auto"/>
              <w:left w:val="single" w:sz="4" w:space="0" w:color="auto"/>
              <w:right w:val="single" w:sz="4" w:space="0" w:color="auto"/>
            </w:tcBorders>
          </w:tcPr>
          <w:p w14:paraId="23B696EC" w14:textId="77777777" w:rsidR="00D01830" w:rsidRPr="002E3D46" w:rsidRDefault="00D01830" w:rsidP="0075304E">
            <w:pPr>
              <w:rPr>
                <w:rFonts w:ascii="Arial" w:eastAsia="Times New Roman" w:hAnsi="Arial" w:cs="Arial"/>
                <w:color w:val="000000"/>
                <w:sz w:val="18"/>
                <w:szCs w:val="18"/>
                <w:lang w:val="en-GB" w:eastAsia="de-DE"/>
              </w:rPr>
            </w:pPr>
            <w:r w:rsidRPr="002E3D46">
              <w:rPr>
                <w:rFonts w:ascii="Arial" w:eastAsia="Times New Roman" w:hAnsi="Arial" w:cs="Arial"/>
                <w:color w:val="000000"/>
                <w:sz w:val="18"/>
                <w:szCs w:val="18"/>
                <w:lang w:val="en-GB" w:eastAsia="de-DE"/>
              </w:rPr>
              <w:t xml:space="preserve">I </w:t>
            </w:r>
          </w:p>
        </w:tc>
        <w:tc>
          <w:tcPr>
            <w:tcW w:w="462" w:type="dxa"/>
            <w:tcBorders>
              <w:top w:val="single" w:sz="4" w:space="0" w:color="auto"/>
              <w:left w:val="single" w:sz="4" w:space="0" w:color="auto"/>
            </w:tcBorders>
          </w:tcPr>
          <w:p w14:paraId="2EC8A5B1" w14:textId="77777777" w:rsidR="00D01830" w:rsidRPr="002E3D46" w:rsidRDefault="00D01830" w:rsidP="0075304E">
            <w:pPr>
              <w:jc w:val="right"/>
              <w:rPr>
                <w:rFonts w:ascii="Arial" w:eastAsia="Times New Roman" w:hAnsi="Arial" w:cs="Arial"/>
                <w:color w:val="000000"/>
                <w:sz w:val="18"/>
                <w:szCs w:val="18"/>
                <w:lang w:val="en-GB" w:eastAsia="de-DE"/>
              </w:rPr>
            </w:pPr>
            <w:r w:rsidRPr="002E3D46">
              <w:rPr>
                <w:rFonts w:ascii="Arial" w:eastAsia="Times New Roman" w:hAnsi="Arial" w:cs="Arial"/>
                <w:color w:val="000000"/>
                <w:sz w:val="18"/>
                <w:szCs w:val="18"/>
                <w:lang w:val="en-GB" w:eastAsia="de-DE"/>
              </w:rPr>
              <w:t>126.6</w:t>
            </w:r>
          </w:p>
        </w:tc>
        <w:tc>
          <w:tcPr>
            <w:tcW w:w="0" w:type="auto"/>
            <w:tcBorders>
              <w:top w:val="single" w:sz="4" w:space="0" w:color="auto"/>
              <w:right w:val="single" w:sz="4" w:space="0" w:color="auto"/>
            </w:tcBorders>
          </w:tcPr>
          <w:p w14:paraId="6289357D" w14:textId="77777777" w:rsidR="00D01830" w:rsidRPr="002E3D46" w:rsidRDefault="00D01830" w:rsidP="0075304E">
            <w:pPr>
              <w:jc w:val="right"/>
              <w:rPr>
                <w:rFonts w:ascii="Arial" w:eastAsia="Times New Roman" w:hAnsi="Arial" w:cs="Arial"/>
                <w:color w:val="000000"/>
                <w:sz w:val="18"/>
                <w:szCs w:val="18"/>
                <w:lang w:val="en-GB" w:eastAsia="de-DE"/>
              </w:rPr>
            </w:pPr>
            <w:r w:rsidRPr="002E3D46">
              <w:rPr>
                <w:rFonts w:ascii="Arial" w:eastAsia="Times New Roman" w:hAnsi="Arial" w:cs="Arial"/>
                <w:color w:val="000000"/>
                <w:sz w:val="18"/>
                <w:szCs w:val="18"/>
                <w:lang w:val="en-GB" w:eastAsia="de-DE"/>
              </w:rPr>
              <w:t>(35.4%)</w:t>
            </w:r>
          </w:p>
        </w:tc>
        <w:tc>
          <w:tcPr>
            <w:tcW w:w="0" w:type="auto"/>
            <w:tcBorders>
              <w:top w:val="single" w:sz="4" w:space="0" w:color="auto"/>
              <w:left w:val="single" w:sz="4" w:space="0" w:color="auto"/>
            </w:tcBorders>
          </w:tcPr>
          <w:p w14:paraId="44D5F379" w14:textId="77777777" w:rsidR="00D01830" w:rsidRPr="002E3D46" w:rsidRDefault="00D01830" w:rsidP="0075304E">
            <w:pPr>
              <w:jc w:val="right"/>
              <w:rPr>
                <w:rFonts w:ascii="Arial" w:eastAsia="Times New Roman" w:hAnsi="Arial" w:cs="Arial"/>
                <w:color w:val="000000"/>
                <w:sz w:val="18"/>
                <w:szCs w:val="18"/>
                <w:lang w:val="en-GB" w:eastAsia="de-DE"/>
              </w:rPr>
            </w:pPr>
            <w:r w:rsidRPr="002E3D46">
              <w:rPr>
                <w:rFonts w:ascii="Arial" w:eastAsia="Times New Roman" w:hAnsi="Arial" w:cs="Arial"/>
                <w:color w:val="000000"/>
                <w:sz w:val="18"/>
                <w:szCs w:val="18"/>
                <w:lang w:val="en-GB" w:eastAsia="de-DE"/>
              </w:rPr>
              <w:t>124.2</w:t>
            </w:r>
          </w:p>
        </w:tc>
        <w:tc>
          <w:tcPr>
            <w:tcW w:w="0" w:type="auto"/>
            <w:tcBorders>
              <w:top w:val="single" w:sz="4" w:space="0" w:color="auto"/>
              <w:right w:val="single" w:sz="4" w:space="0" w:color="auto"/>
            </w:tcBorders>
          </w:tcPr>
          <w:p w14:paraId="5EEA347C" w14:textId="77777777" w:rsidR="00D01830" w:rsidRPr="002E3D46" w:rsidRDefault="00D01830" w:rsidP="0075304E">
            <w:pPr>
              <w:jc w:val="right"/>
              <w:rPr>
                <w:rFonts w:ascii="Arial" w:eastAsia="Times New Roman" w:hAnsi="Arial" w:cs="Arial"/>
                <w:color w:val="000000"/>
                <w:sz w:val="18"/>
                <w:szCs w:val="18"/>
                <w:lang w:val="en-GB" w:eastAsia="de-DE"/>
              </w:rPr>
            </w:pPr>
            <w:r w:rsidRPr="002E3D46">
              <w:rPr>
                <w:rFonts w:ascii="Arial" w:eastAsia="Times New Roman" w:hAnsi="Arial" w:cs="Arial"/>
                <w:color w:val="000000"/>
                <w:sz w:val="18"/>
                <w:szCs w:val="18"/>
                <w:lang w:val="en-GB" w:eastAsia="de-DE"/>
              </w:rPr>
              <w:t>(36.0%)</w:t>
            </w:r>
          </w:p>
        </w:tc>
        <w:tc>
          <w:tcPr>
            <w:tcW w:w="0" w:type="auto"/>
            <w:tcBorders>
              <w:top w:val="single" w:sz="4" w:space="0" w:color="auto"/>
              <w:left w:val="single" w:sz="4" w:space="0" w:color="auto"/>
            </w:tcBorders>
          </w:tcPr>
          <w:p w14:paraId="59EC567B" w14:textId="77777777" w:rsidR="00D01830" w:rsidRPr="002E3D46" w:rsidRDefault="00D01830" w:rsidP="0075304E">
            <w:pPr>
              <w:jc w:val="right"/>
              <w:rPr>
                <w:rFonts w:ascii="Arial" w:eastAsia="Times New Roman" w:hAnsi="Arial" w:cs="Arial"/>
                <w:color w:val="000000"/>
                <w:sz w:val="18"/>
                <w:szCs w:val="18"/>
                <w:lang w:val="en-GB" w:eastAsia="de-DE"/>
              </w:rPr>
            </w:pPr>
            <w:r w:rsidRPr="002E3D46">
              <w:rPr>
                <w:rFonts w:ascii="Arial" w:eastAsia="Times New Roman" w:hAnsi="Arial" w:cs="Arial"/>
                <w:color w:val="000000"/>
                <w:sz w:val="18"/>
                <w:szCs w:val="18"/>
                <w:lang w:val="en-GB" w:eastAsia="de-DE"/>
              </w:rPr>
              <w:t>120.4</w:t>
            </w:r>
          </w:p>
        </w:tc>
        <w:tc>
          <w:tcPr>
            <w:tcW w:w="0" w:type="auto"/>
            <w:tcBorders>
              <w:top w:val="single" w:sz="4" w:space="0" w:color="auto"/>
              <w:right w:val="single" w:sz="4" w:space="0" w:color="auto"/>
            </w:tcBorders>
          </w:tcPr>
          <w:p w14:paraId="5ABE99EE" w14:textId="77777777" w:rsidR="00D01830" w:rsidRPr="002E3D46" w:rsidRDefault="00D01830" w:rsidP="0075304E">
            <w:pPr>
              <w:jc w:val="right"/>
              <w:rPr>
                <w:rFonts w:ascii="Arial" w:eastAsia="Times New Roman" w:hAnsi="Arial" w:cs="Arial"/>
                <w:color w:val="000000"/>
                <w:sz w:val="18"/>
                <w:szCs w:val="18"/>
                <w:lang w:val="en-GB" w:eastAsia="de-DE"/>
              </w:rPr>
            </w:pPr>
            <w:r w:rsidRPr="002E3D46">
              <w:rPr>
                <w:rFonts w:ascii="Arial" w:eastAsia="Times New Roman" w:hAnsi="Arial" w:cs="Arial"/>
                <w:color w:val="000000"/>
                <w:sz w:val="18"/>
                <w:szCs w:val="18"/>
                <w:lang w:val="en-GB" w:eastAsia="de-DE"/>
              </w:rPr>
              <w:t>(35.7%)</w:t>
            </w:r>
          </w:p>
        </w:tc>
        <w:tc>
          <w:tcPr>
            <w:tcW w:w="0" w:type="auto"/>
            <w:tcBorders>
              <w:top w:val="single" w:sz="4" w:space="0" w:color="auto"/>
              <w:left w:val="single" w:sz="4" w:space="0" w:color="auto"/>
            </w:tcBorders>
          </w:tcPr>
          <w:p w14:paraId="5D2412DB" w14:textId="77777777" w:rsidR="00D01830" w:rsidRPr="002E3D46" w:rsidRDefault="00D01830" w:rsidP="0075304E">
            <w:pPr>
              <w:jc w:val="right"/>
              <w:rPr>
                <w:rFonts w:ascii="Arial" w:eastAsia="Times New Roman" w:hAnsi="Arial" w:cs="Arial"/>
                <w:color w:val="000000"/>
                <w:sz w:val="18"/>
                <w:szCs w:val="18"/>
                <w:lang w:val="en-GB" w:eastAsia="de-DE"/>
              </w:rPr>
            </w:pPr>
            <w:r w:rsidRPr="002E3D46">
              <w:rPr>
                <w:rFonts w:ascii="Arial" w:eastAsia="Times New Roman" w:hAnsi="Arial" w:cs="Arial"/>
                <w:color w:val="000000"/>
                <w:sz w:val="18"/>
                <w:szCs w:val="18"/>
                <w:lang w:val="en-GB" w:eastAsia="de-DE"/>
              </w:rPr>
              <w:t>119.8</w:t>
            </w:r>
          </w:p>
        </w:tc>
        <w:tc>
          <w:tcPr>
            <w:tcW w:w="0" w:type="auto"/>
            <w:tcBorders>
              <w:top w:val="single" w:sz="4" w:space="0" w:color="auto"/>
              <w:right w:val="single" w:sz="4" w:space="0" w:color="auto"/>
            </w:tcBorders>
          </w:tcPr>
          <w:p w14:paraId="4BF43BC4" w14:textId="77777777" w:rsidR="00D01830" w:rsidRPr="002E3D46" w:rsidRDefault="00D01830" w:rsidP="0075304E">
            <w:pPr>
              <w:jc w:val="right"/>
              <w:rPr>
                <w:rFonts w:ascii="Arial" w:eastAsia="Times New Roman" w:hAnsi="Arial" w:cs="Arial"/>
                <w:color w:val="000000"/>
                <w:sz w:val="18"/>
                <w:szCs w:val="18"/>
                <w:lang w:val="en-GB" w:eastAsia="de-DE"/>
              </w:rPr>
            </w:pPr>
            <w:r w:rsidRPr="002E3D46">
              <w:rPr>
                <w:rFonts w:ascii="Arial" w:eastAsia="Times New Roman" w:hAnsi="Arial" w:cs="Arial"/>
                <w:color w:val="000000"/>
                <w:sz w:val="18"/>
                <w:szCs w:val="18"/>
                <w:lang w:val="en-GB" w:eastAsia="de-DE"/>
              </w:rPr>
              <w:t>(36.0%)</w:t>
            </w:r>
          </w:p>
        </w:tc>
        <w:tc>
          <w:tcPr>
            <w:tcW w:w="0" w:type="auto"/>
            <w:tcBorders>
              <w:top w:val="single" w:sz="4" w:space="0" w:color="auto"/>
              <w:left w:val="single" w:sz="4" w:space="0" w:color="auto"/>
            </w:tcBorders>
          </w:tcPr>
          <w:p w14:paraId="73A5B0BB" w14:textId="77777777" w:rsidR="00D01830" w:rsidRPr="002E3D46" w:rsidRDefault="00D01830" w:rsidP="0075304E">
            <w:pPr>
              <w:jc w:val="right"/>
              <w:rPr>
                <w:rFonts w:ascii="Arial" w:eastAsia="Times New Roman" w:hAnsi="Arial" w:cs="Arial"/>
                <w:color w:val="000000"/>
                <w:sz w:val="18"/>
                <w:szCs w:val="18"/>
                <w:lang w:val="en-GB" w:eastAsia="de-DE"/>
              </w:rPr>
            </w:pPr>
            <w:r w:rsidRPr="002E3D46">
              <w:rPr>
                <w:rFonts w:ascii="Arial" w:eastAsia="Times New Roman" w:hAnsi="Arial" w:cs="Arial"/>
                <w:color w:val="000000"/>
                <w:sz w:val="18"/>
                <w:szCs w:val="18"/>
                <w:lang w:val="en-GB" w:eastAsia="de-DE"/>
              </w:rPr>
              <w:t>122.9</w:t>
            </w:r>
          </w:p>
        </w:tc>
        <w:tc>
          <w:tcPr>
            <w:tcW w:w="0" w:type="auto"/>
            <w:tcBorders>
              <w:top w:val="single" w:sz="4" w:space="0" w:color="auto"/>
              <w:right w:val="single" w:sz="4" w:space="0" w:color="auto"/>
            </w:tcBorders>
          </w:tcPr>
          <w:p w14:paraId="3679F0AB" w14:textId="77777777" w:rsidR="00D01830" w:rsidRPr="002E3D46" w:rsidRDefault="00D01830" w:rsidP="0075304E">
            <w:pPr>
              <w:jc w:val="right"/>
              <w:rPr>
                <w:rFonts w:ascii="Arial" w:eastAsia="Times New Roman" w:hAnsi="Arial" w:cs="Arial"/>
                <w:color w:val="000000"/>
                <w:sz w:val="18"/>
                <w:szCs w:val="18"/>
                <w:lang w:val="en-GB" w:eastAsia="de-DE"/>
              </w:rPr>
            </w:pPr>
            <w:r w:rsidRPr="002E3D46">
              <w:rPr>
                <w:rFonts w:ascii="Arial" w:eastAsia="Times New Roman" w:hAnsi="Arial" w:cs="Arial"/>
                <w:color w:val="000000"/>
                <w:sz w:val="18"/>
                <w:szCs w:val="18"/>
                <w:lang w:val="en-GB" w:eastAsia="de-DE"/>
              </w:rPr>
              <w:t>(38.1%)</w:t>
            </w:r>
          </w:p>
        </w:tc>
      </w:tr>
      <w:tr w:rsidR="00D01830" w:rsidRPr="00D56D3A" w14:paraId="5C1CAF1F" w14:textId="77777777" w:rsidTr="0075304E">
        <w:tc>
          <w:tcPr>
            <w:tcW w:w="904" w:type="dxa"/>
            <w:tcBorders>
              <w:left w:val="single" w:sz="4" w:space="0" w:color="auto"/>
              <w:right w:val="single" w:sz="4" w:space="0" w:color="auto"/>
            </w:tcBorders>
          </w:tcPr>
          <w:p w14:paraId="075D3315" w14:textId="77777777" w:rsidR="00D01830" w:rsidRPr="002E3D46" w:rsidRDefault="00D01830" w:rsidP="0075304E">
            <w:pPr>
              <w:rPr>
                <w:rFonts w:ascii="Arial" w:eastAsia="Times New Roman" w:hAnsi="Arial" w:cs="Arial"/>
                <w:color w:val="000000"/>
                <w:sz w:val="18"/>
                <w:szCs w:val="18"/>
                <w:lang w:val="en-GB" w:eastAsia="de-DE"/>
              </w:rPr>
            </w:pPr>
            <w:r w:rsidRPr="002E3D46">
              <w:rPr>
                <w:rFonts w:ascii="Arial" w:eastAsia="Times New Roman" w:hAnsi="Arial" w:cs="Arial"/>
                <w:color w:val="000000"/>
                <w:sz w:val="18"/>
                <w:szCs w:val="18"/>
                <w:lang w:val="en-GB" w:eastAsia="de-DE"/>
              </w:rPr>
              <w:t xml:space="preserve">II </w:t>
            </w:r>
          </w:p>
        </w:tc>
        <w:tc>
          <w:tcPr>
            <w:tcW w:w="462" w:type="dxa"/>
            <w:tcBorders>
              <w:left w:val="single" w:sz="4" w:space="0" w:color="auto"/>
            </w:tcBorders>
          </w:tcPr>
          <w:p w14:paraId="1D7D576A" w14:textId="77777777" w:rsidR="00D01830" w:rsidRPr="002E3D46" w:rsidRDefault="00D01830" w:rsidP="0075304E">
            <w:pPr>
              <w:jc w:val="right"/>
              <w:rPr>
                <w:rFonts w:ascii="Arial" w:eastAsia="Times New Roman" w:hAnsi="Arial" w:cs="Arial"/>
                <w:color w:val="000000"/>
                <w:sz w:val="18"/>
                <w:szCs w:val="18"/>
                <w:lang w:val="en-GB" w:eastAsia="de-DE"/>
              </w:rPr>
            </w:pPr>
            <w:r w:rsidRPr="002E3D46">
              <w:rPr>
                <w:rFonts w:ascii="Arial" w:eastAsia="Times New Roman" w:hAnsi="Arial" w:cs="Arial"/>
                <w:color w:val="000000"/>
                <w:sz w:val="18"/>
                <w:szCs w:val="18"/>
                <w:lang w:val="en-GB" w:eastAsia="de-DE"/>
              </w:rPr>
              <w:t>11.2</w:t>
            </w:r>
          </w:p>
        </w:tc>
        <w:tc>
          <w:tcPr>
            <w:tcW w:w="0" w:type="auto"/>
            <w:tcBorders>
              <w:right w:val="single" w:sz="4" w:space="0" w:color="auto"/>
            </w:tcBorders>
          </w:tcPr>
          <w:p w14:paraId="6C8F4C7B" w14:textId="77777777" w:rsidR="00D01830" w:rsidRPr="002E3D46" w:rsidRDefault="00D01830" w:rsidP="0075304E">
            <w:pPr>
              <w:jc w:val="right"/>
              <w:rPr>
                <w:rFonts w:ascii="Arial" w:eastAsia="Times New Roman" w:hAnsi="Arial" w:cs="Arial"/>
                <w:color w:val="000000"/>
                <w:sz w:val="18"/>
                <w:szCs w:val="18"/>
                <w:lang w:val="en-GB" w:eastAsia="de-DE"/>
              </w:rPr>
            </w:pPr>
            <w:r w:rsidRPr="002E3D46">
              <w:rPr>
                <w:rFonts w:ascii="Arial" w:eastAsia="Times New Roman" w:hAnsi="Arial" w:cs="Arial"/>
                <w:color w:val="000000"/>
                <w:sz w:val="18"/>
                <w:szCs w:val="18"/>
                <w:lang w:val="en-GB" w:eastAsia="de-DE"/>
              </w:rPr>
              <w:t>(3.1%)</w:t>
            </w:r>
          </w:p>
        </w:tc>
        <w:tc>
          <w:tcPr>
            <w:tcW w:w="0" w:type="auto"/>
            <w:tcBorders>
              <w:left w:val="single" w:sz="4" w:space="0" w:color="auto"/>
            </w:tcBorders>
          </w:tcPr>
          <w:p w14:paraId="5075F5C1" w14:textId="77777777" w:rsidR="00D01830" w:rsidRPr="002E3D46" w:rsidRDefault="00D01830" w:rsidP="0075304E">
            <w:pPr>
              <w:jc w:val="right"/>
              <w:rPr>
                <w:rFonts w:ascii="Arial" w:eastAsia="Times New Roman" w:hAnsi="Arial" w:cs="Arial"/>
                <w:color w:val="000000"/>
                <w:sz w:val="18"/>
                <w:szCs w:val="18"/>
                <w:lang w:val="en-GB" w:eastAsia="de-DE"/>
              </w:rPr>
            </w:pPr>
            <w:r w:rsidRPr="002E3D46">
              <w:rPr>
                <w:rFonts w:ascii="Arial" w:eastAsia="Times New Roman" w:hAnsi="Arial" w:cs="Arial"/>
                <w:color w:val="000000"/>
                <w:sz w:val="18"/>
                <w:szCs w:val="18"/>
                <w:lang w:val="en-GB" w:eastAsia="de-DE"/>
              </w:rPr>
              <w:t>10.8</w:t>
            </w:r>
          </w:p>
        </w:tc>
        <w:tc>
          <w:tcPr>
            <w:tcW w:w="0" w:type="auto"/>
            <w:tcBorders>
              <w:right w:val="single" w:sz="4" w:space="0" w:color="auto"/>
            </w:tcBorders>
          </w:tcPr>
          <w:p w14:paraId="5861DCAE" w14:textId="77777777" w:rsidR="00D01830" w:rsidRPr="002E3D46" w:rsidRDefault="00D01830" w:rsidP="0075304E">
            <w:pPr>
              <w:jc w:val="right"/>
              <w:rPr>
                <w:rFonts w:ascii="Arial" w:eastAsia="Times New Roman" w:hAnsi="Arial" w:cs="Arial"/>
                <w:color w:val="000000"/>
                <w:sz w:val="18"/>
                <w:szCs w:val="18"/>
                <w:lang w:val="en-GB" w:eastAsia="de-DE"/>
              </w:rPr>
            </w:pPr>
            <w:r w:rsidRPr="002E3D46">
              <w:rPr>
                <w:rFonts w:ascii="Arial" w:eastAsia="Times New Roman" w:hAnsi="Arial" w:cs="Arial"/>
                <w:color w:val="000000"/>
                <w:sz w:val="18"/>
                <w:szCs w:val="18"/>
                <w:lang w:val="en-GB" w:eastAsia="de-DE"/>
              </w:rPr>
              <w:t>(3.1%)</w:t>
            </w:r>
          </w:p>
        </w:tc>
        <w:tc>
          <w:tcPr>
            <w:tcW w:w="0" w:type="auto"/>
            <w:tcBorders>
              <w:left w:val="single" w:sz="4" w:space="0" w:color="auto"/>
            </w:tcBorders>
          </w:tcPr>
          <w:p w14:paraId="3D5BEACF" w14:textId="77777777" w:rsidR="00D01830" w:rsidRPr="002E3D46" w:rsidRDefault="00D01830" w:rsidP="0075304E">
            <w:pPr>
              <w:jc w:val="right"/>
              <w:rPr>
                <w:rFonts w:ascii="Arial" w:eastAsia="Times New Roman" w:hAnsi="Arial" w:cs="Arial"/>
                <w:color w:val="000000"/>
                <w:sz w:val="18"/>
                <w:szCs w:val="18"/>
                <w:lang w:val="en-GB" w:eastAsia="de-DE"/>
              </w:rPr>
            </w:pPr>
            <w:r w:rsidRPr="002E3D46">
              <w:rPr>
                <w:rFonts w:ascii="Arial" w:eastAsia="Times New Roman" w:hAnsi="Arial" w:cs="Arial"/>
                <w:color w:val="000000"/>
                <w:sz w:val="18"/>
                <w:szCs w:val="18"/>
                <w:lang w:val="en-GB" w:eastAsia="de-DE"/>
              </w:rPr>
              <w:t>10.6</w:t>
            </w:r>
          </w:p>
        </w:tc>
        <w:tc>
          <w:tcPr>
            <w:tcW w:w="0" w:type="auto"/>
            <w:tcBorders>
              <w:right w:val="single" w:sz="4" w:space="0" w:color="auto"/>
            </w:tcBorders>
          </w:tcPr>
          <w:p w14:paraId="0A4BDABF" w14:textId="77777777" w:rsidR="00D01830" w:rsidRPr="002E3D46" w:rsidRDefault="00D01830" w:rsidP="0075304E">
            <w:pPr>
              <w:jc w:val="right"/>
              <w:rPr>
                <w:rFonts w:ascii="Arial" w:eastAsia="Times New Roman" w:hAnsi="Arial" w:cs="Arial"/>
                <w:color w:val="000000"/>
                <w:sz w:val="18"/>
                <w:szCs w:val="18"/>
                <w:lang w:val="en-GB" w:eastAsia="de-DE"/>
              </w:rPr>
            </w:pPr>
            <w:r w:rsidRPr="002E3D46">
              <w:rPr>
                <w:rFonts w:ascii="Arial" w:eastAsia="Times New Roman" w:hAnsi="Arial" w:cs="Arial"/>
                <w:color w:val="000000"/>
                <w:sz w:val="18"/>
                <w:szCs w:val="18"/>
                <w:lang w:val="en-GB" w:eastAsia="de-DE"/>
              </w:rPr>
              <w:t>(3.1%)</w:t>
            </w:r>
          </w:p>
        </w:tc>
        <w:tc>
          <w:tcPr>
            <w:tcW w:w="0" w:type="auto"/>
            <w:tcBorders>
              <w:left w:val="single" w:sz="4" w:space="0" w:color="auto"/>
            </w:tcBorders>
          </w:tcPr>
          <w:p w14:paraId="1B13992C" w14:textId="77777777" w:rsidR="00D01830" w:rsidRPr="002E3D46" w:rsidRDefault="00D01830" w:rsidP="0075304E">
            <w:pPr>
              <w:jc w:val="right"/>
              <w:rPr>
                <w:rFonts w:ascii="Arial" w:eastAsia="Times New Roman" w:hAnsi="Arial" w:cs="Arial"/>
                <w:color w:val="000000"/>
                <w:sz w:val="18"/>
                <w:szCs w:val="18"/>
                <w:lang w:val="en-GB" w:eastAsia="de-DE"/>
              </w:rPr>
            </w:pPr>
            <w:r w:rsidRPr="002E3D46">
              <w:rPr>
                <w:rFonts w:ascii="Arial" w:eastAsia="Times New Roman" w:hAnsi="Arial" w:cs="Arial"/>
                <w:color w:val="000000"/>
                <w:sz w:val="18"/>
                <w:szCs w:val="18"/>
                <w:lang w:val="en-GB" w:eastAsia="de-DE"/>
              </w:rPr>
              <w:t>10.1</w:t>
            </w:r>
          </w:p>
        </w:tc>
        <w:tc>
          <w:tcPr>
            <w:tcW w:w="0" w:type="auto"/>
            <w:tcBorders>
              <w:right w:val="single" w:sz="4" w:space="0" w:color="auto"/>
            </w:tcBorders>
          </w:tcPr>
          <w:p w14:paraId="59E7E0E9" w14:textId="77777777" w:rsidR="00D01830" w:rsidRPr="002E3D46" w:rsidRDefault="00D01830" w:rsidP="0075304E">
            <w:pPr>
              <w:jc w:val="right"/>
              <w:rPr>
                <w:rFonts w:ascii="Arial" w:eastAsia="Times New Roman" w:hAnsi="Arial" w:cs="Arial"/>
                <w:color w:val="000000"/>
                <w:sz w:val="18"/>
                <w:szCs w:val="18"/>
                <w:lang w:val="en-GB" w:eastAsia="de-DE"/>
              </w:rPr>
            </w:pPr>
            <w:r w:rsidRPr="002E3D46">
              <w:rPr>
                <w:rFonts w:ascii="Arial" w:eastAsia="Times New Roman" w:hAnsi="Arial" w:cs="Arial"/>
                <w:color w:val="000000"/>
                <w:sz w:val="18"/>
                <w:szCs w:val="18"/>
                <w:lang w:val="en-GB" w:eastAsia="de-DE"/>
              </w:rPr>
              <w:t>(3.0%)</w:t>
            </w:r>
          </w:p>
        </w:tc>
        <w:tc>
          <w:tcPr>
            <w:tcW w:w="0" w:type="auto"/>
            <w:tcBorders>
              <w:left w:val="single" w:sz="4" w:space="0" w:color="auto"/>
            </w:tcBorders>
          </w:tcPr>
          <w:p w14:paraId="2FAC1FC4" w14:textId="77777777" w:rsidR="00D01830" w:rsidRPr="002E3D46" w:rsidRDefault="00D01830" w:rsidP="0075304E">
            <w:pPr>
              <w:jc w:val="right"/>
              <w:rPr>
                <w:rFonts w:ascii="Arial" w:eastAsia="Times New Roman" w:hAnsi="Arial" w:cs="Arial"/>
                <w:color w:val="000000"/>
                <w:sz w:val="18"/>
                <w:szCs w:val="18"/>
                <w:lang w:val="en-GB" w:eastAsia="de-DE"/>
              </w:rPr>
            </w:pPr>
            <w:r w:rsidRPr="002E3D46">
              <w:rPr>
                <w:rFonts w:ascii="Arial" w:eastAsia="Times New Roman" w:hAnsi="Arial" w:cs="Arial"/>
                <w:color w:val="000000"/>
                <w:sz w:val="18"/>
                <w:szCs w:val="18"/>
                <w:lang w:val="en-GB" w:eastAsia="de-DE"/>
              </w:rPr>
              <w:t>9.8</w:t>
            </w:r>
          </w:p>
        </w:tc>
        <w:tc>
          <w:tcPr>
            <w:tcW w:w="0" w:type="auto"/>
            <w:tcBorders>
              <w:right w:val="single" w:sz="4" w:space="0" w:color="auto"/>
            </w:tcBorders>
          </w:tcPr>
          <w:p w14:paraId="794B62DD" w14:textId="77777777" w:rsidR="00D01830" w:rsidRPr="002E3D46" w:rsidRDefault="00D01830" w:rsidP="0075304E">
            <w:pPr>
              <w:jc w:val="right"/>
              <w:rPr>
                <w:rFonts w:ascii="Arial" w:eastAsia="Times New Roman" w:hAnsi="Arial" w:cs="Arial"/>
                <w:color w:val="000000"/>
                <w:sz w:val="18"/>
                <w:szCs w:val="18"/>
                <w:lang w:val="en-GB" w:eastAsia="de-DE"/>
              </w:rPr>
            </w:pPr>
            <w:r w:rsidRPr="002E3D46">
              <w:rPr>
                <w:rFonts w:ascii="Arial" w:eastAsia="Times New Roman" w:hAnsi="Arial" w:cs="Arial"/>
                <w:color w:val="000000"/>
                <w:sz w:val="18"/>
                <w:szCs w:val="18"/>
                <w:lang w:val="en-GB" w:eastAsia="de-DE"/>
              </w:rPr>
              <w:t>(3.0%)</w:t>
            </w:r>
          </w:p>
        </w:tc>
      </w:tr>
      <w:tr w:rsidR="00D01830" w:rsidRPr="00D56D3A" w14:paraId="63B0906F" w14:textId="77777777" w:rsidTr="0075304E">
        <w:tc>
          <w:tcPr>
            <w:tcW w:w="904" w:type="dxa"/>
            <w:tcBorders>
              <w:left w:val="single" w:sz="4" w:space="0" w:color="auto"/>
              <w:right w:val="single" w:sz="4" w:space="0" w:color="auto"/>
            </w:tcBorders>
          </w:tcPr>
          <w:p w14:paraId="53771566" w14:textId="77777777" w:rsidR="00D01830" w:rsidRPr="002E3D46" w:rsidRDefault="00D01830" w:rsidP="0075304E">
            <w:pPr>
              <w:rPr>
                <w:rFonts w:ascii="Arial" w:eastAsia="Times New Roman" w:hAnsi="Arial" w:cs="Arial"/>
                <w:color w:val="000000"/>
                <w:sz w:val="18"/>
                <w:szCs w:val="18"/>
                <w:lang w:val="en-GB" w:eastAsia="de-DE"/>
              </w:rPr>
            </w:pPr>
            <w:r w:rsidRPr="002E3D46">
              <w:rPr>
                <w:rFonts w:ascii="Arial" w:eastAsia="Times New Roman" w:hAnsi="Arial" w:cs="Arial"/>
                <w:color w:val="000000"/>
                <w:sz w:val="18"/>
                <w:szCs w:val="18"/>
                <w:lang w:val="en-GB" w:eastAsia="de-DE"/>
              </w:rPr>
              <w:t xml:space="preserve">III </w:t>
            </w:r>
          </w:p>
        </w:tc>
        <w:tc>
          <w:tcPr>
            <w:tcW w:w="462" w:type="dxa"/>
            <w:tcBorders>
              <w:left w:val="single" w:sz="4" w:space="0" w:color="auto"/>
            </w:tcBorders>
          </w:tcPr>
          <w:p w14:paraId="1A7CBB6E" w14:textId="77777777" w:rsidR="00D01830" w:rsidRPr="002E3D46" w:rsidRDefault="00D01830" w:rsidP="0075304E">
            <w:pPr>
              <w:jc w:val="right"/>
              <w:rPr>
                <w:rFonts w:ascii="Arial" w:eastAsia="Times New Roman" w:hAnsi="Arial" w:cs="Arial"/>
                <w:color w:val="000000"/>
                <w:sz w:val="18"/>
                <w:szCs w:val="18"/>
                <w:lang w:val="en-GB" w:eastAsia="de-DE"/>
              </w:rPr>
            </w:pPr>
            <w:r w:rsidRPr="002E3D46">
              <w:rPr>
                <w:rFonts w:ascii="Arial" w:eastAsia="Times New Roman" w:hAnsi="Arial" w:cs="Arial"/>
                <w:color w:val="000000"/>
                <w:sz w:val="18"/>
                <w:szCs w:val="18"/>
                <w:lang w:val="en-GB" w:eastAsia="de-DE"/>
              </w:rPr>
              <w:t>109.9</w:t>
            </w:r>
          </w:p>
        </w:tc>
        <w:tc>
          <w:tcPr>
            <w:tcW w:w="0" w:type="auto"/>
            <w:tcBorders>
              <w:right w:val="single" w:sz="4" w:space="0" w:color="auto"/>
            </w:tcBorders>
          </w:tcPr>
          <w:p w14:paraId="3E2F287A" w14:textId="77777777" w:rsidR="00D01830" w:rsidRPr="002E3D46" w:rsidRDefault="00D01830" w:rsidP="0075304E">
            <w:pPr>
              <w:jc w:val="right"/>
              <w:rPr>
                <w:rFonts w:ascii="Arial" w:eastAsia="Times New Roman" w:hAnsi="Arial" w:cs="Arial"/>
                <w:color w:val="000000"/>
                <w:sz w:val="18"/>
                <w:szCs w:val="18"/>
                <w:lang w:val="en-GB" w:eastAsia="de-DE"/>
              </w:rPr>
            </w:pPr>
            <w:r w:rsidRPr="002E3D46">
              <w:rPr>
                <w:rFonts w:ascii="Arial" w:eastAsia="Times New Roman" w:hAnsi="Arial" w:cs="Arial"/>
                <w:color w:val="000000"/>
                <w:sz w:val="18"/>
                <w:szCs w:val="18"/>
                <w:lang w:val="en-GB" w:eastAsia="de-DE"/>
              </w:rPr>
              <w:t>(30.7%)</w:t>
            </w:r>
          </w:p>
        </w:tc>
        <w:tc>
          <w:tcPr>
            <w:tcW w:w="0" w:type="auto"/>
            <w:tcBorders>
              <w:left w:val="single" w:sz="4" w:space="0" w:color="auto"/>
            </w:tcBorders>
          </w:tcPr>
          <w:p w14:paraId="3230AF08" w14:textId="77777777" w:rsidR="00D01830" w:rsidRPr="002E3D46" w:rsidRDefault="00D01830" w:rsidP="0075304E">
            <w:pPr>
              <w:jc w:val="right"/>
              <w:rPr>
                <w:rFonts w:ascii="Arial" w:eastAsia="Times New Roman" w:hAnsi="Arial" w:cs="Arial"/>
                <w:color w:val="000000"/>
                <w:sz w:val="18"/>
                <w:szCs w:val="18"/>
                <w:lang w:val="en-GB" w:eastAsia="de-DE"/>
              </w:rPr>
            </w:pPr>
            <w:r w:rsidRPr="002E3D46">
              <w:rPr>
                <w:rFonts w:ascii="Arial" w:eastAsia="Times New Roman" w:hAnsi="Arial" w:cs="Arial"/>
                <w:color w:val="000000"/>
                <w:sz w:val="18"/>
                <w:szCs w:val="18"/>
                <w:lang w:val="en-GB" w:eastAsia="de-DE"/>
              </w:rPr>
              <w:t>83.4</w:t>
            </w:r>
          </w:p>
        </w:tc>
        <w:tc>
          <w:tcPr>
            <w:tcW w:w="0" w:type="auto"/>
            <w:tcBorders>
              <w:right w:val="single" w:sz="4" w:space="0" w:color="auto"/>
            </w:tcBorders>
          </w:tcPr>
          <w:p w14:paraId="10B7902A" w14:textId="77777777" w:rsidR="00D01830" w:rsidRPr="002E3D46" w:rsidRDefault="00D01830" w:rsidP="0075304E">
            <w:pPr>
              <w:jc w:val="right"/>
              <w:rPr>
                <w:rFonts w:ascii="Arial" w:eastAsia="Times New Roman" w:hAnsi="Arial" w:cs="Arial"/>
                <w:color w:val="000000"/>
                <w:sz w:val="18"/>
                <w:szCs w:val="18"/>
                <w:lang w:val="en-GB" w:eastAsia="de-DE"/>
              </w:rPr>
            </w:pPr>
            <w:r w:rsidRPr="002E3D46">
              <w:rPr>
                <w:rFonts w:ascii="Arial" w:eastAsia="Times New Roman" w:hAnsi="Arial" w:cs="Arial"/>
                <w:color w:val="000000"/>
                <w:sz w:val="18"/>
                <w:szCs w:val="18"/>
                <w:lang w:val="en-GB" w:eastAsia="de-DE"/>
              </w:rPr>
              <w:t>(24.2%)</w:t>
            </w:r>
          </w:p>
        </w:tc>
        <w:tc>
          <w:tcPr>
            <w:tcW w:w="0" w:type="auto"/>
            <w:tcBorders>
              <w:left w:val="single" w:sz="4" w:space="0" w:color="auto"/>
            </w:tcBorders>
          </w:tcPr>
          <w:p w14:paraId="6D224EF5" w14:textId="77777777" w:rsidR="00D01830" w:rsidRPr="002E3D46" w:rsidRDefault="00D01830" w:rsidP="0075304E">
            <w:pPr>
              <w:jc w:val="right"/>
              <w:rPr>
                <w:rFonts w:ascii="Arial" w:eastAsia="Times New Roman" w:hAnsi="Arial" w:cs="Arial"/>
                <w:color w:val="000000"/>
                <w:sz w:val="18"/>
                <w:szCs w:val="18"/>
                <w:lang w:val="en-GB" w:eastAsia="de-DE"/>
              </w:rPr>
            </w:pPr>
            <w:r w:rsidRPr="002E3D46">
              <w:rPr>
                <w:rFonts w:ascii="Arial" w:eastAsia="Times New Roman" w:hAnsi="Arial" w:cs="Arial"/>
                <w:color w:val="000000"/>
                <w:sz w:val="18"/>
                <w:szCs w:val="18"/>
                <w:lang w:val="en-GB" w:eastAsia="de-DE"/>
              </w:rPr>
              <w:t>65.1</w:t>
            </w:r>
          </w:p>
        </w:tc>
        <w:tc>
          <w:tcPr>
            <w:tcW w:w="0" w:type="auto"/>
            <w:tcBorders>
              <w:right w:val="single" w:sz="4" w:space="0" w:color="auto"/>
            </w:tcBorders>
          </w:tcPr>
          <w:p w14:paraId="583BF394" w14:textId="77777777" w:rsidR="00D01830" w:rsidRPr="002E3D46" w:rsidRDefault="00D01830" w:rsidP="0075304E">
            <w:pPr>
              <w:jc w:val="right"/>
              <w:rPr>
                <w:rFonts w:ascii="Arial" w:eastAsia="Times New Roman" w:hAnsi="Arial" w:cs="Arial"/>
                <w:color w:val="000000"/>
                <w:sz w:val="18"/>
                <w:szCs w:val="18"/>
                <w:lang w:val="en-GB" w:eastAsia="de-DE"/>
              </w:rPr>
            </w:pPr>
            <w:r w:rsidRPr="002E3D46">
              <w:rPr>
                <w:rFonts w:ascii="Arial" w:eastAsia="Times New Roman" w:hAnsi="Arial" w:cs="Arial"/>
                <w:color w:val="000000"/>
                <w:sz w:val="18"/>
                <w:szCs w:val="18"/>
                <w:lang w:val="en-GB" w:eastAsia="de-DE"/>
              </w:rPr>
              <w:t>(19.3%)</w:t>
            </w:r>
          </w:p>
        </w:tc>
        <w:tc>
          <w:tcPr>
            <w:tcW w:w="0" w:type="auto"/>
            <w:tcBorders>
              <w:left w:val="single" w:sz="4" w:space="0" w:color="auto"/>
            </w:tcBorders>
          </w:tcPr>
          <w:p w14:paraId="0EFC683C" w14:textId="77777777" w:rsidR="00D01830" w:rsidRPr="002E3D46" w:rsidRDefault="00D01830" w:rsidP="0075304E">
            <w:pPr>
              <w:jc w:val="right"/>
              <w:rPr>
                <w:rFonts w:ascii="Arial" w:eastAsia="Times New Roman" w:hAnsi="Arial" w:cs="Arial"/>
                <w:color w:val="000000"/>
                <w:sz w:val="18"/>
                <w:szCs w:val="18"/>
                <w:lang w:val="en-GB" w:eastAsia="de-DE"/>
              </w:rPr>
            </w:pPr>
            <w:r w:rsidRPr="002E3D46">
              <w:rPr>
                <w:rFonts w:ascii="Arial" w:eastAsia="Times New Roman" w:hAnsi="Arial" w:cs="Arial"/>
                <w:color w:val="000000"/>
                <w:sz w:val="18"/>
                <w:szCs w:val="18"/>
                <w:lang w:val="en-GB" w:eastAsia="de-DE"/>
              </w:rPr>
              <w:t>52.1</w:t>
            </w:r>
          </w:p>
        </w:tc>
        <w:tc>
          <w:tcPr>
            <w:tcW w:w="0" w:type="auto"/>
            <w:tcBorders>
              <w:right w:val="single" w:sz="4" w:space="0" w:color="auto"/>
            </w:tcBorders>
          </w:tcPr>
          <w:p w14:paraId="043775C1" w14:textId="77777777" w:rsidR="00D01830" w:rsidRPr="002E3D46" w:rsidRDefault="00D01830" w:rsidP="0075304E">
            <w:pPr>
              <w:jc w:val="right"/>
              <w:rPr>
                <w:rFonts w:ascii="Arial" w:eastAsia="Times New Roman" w:hAnsi="Arial" w:cs="Arial"/>
                <w:color w:val="000000"/>
                <w:sz w:val="18"/>
                <w:szCs w:val="18"/>
                <w:lang w:val="en-GB" w:eastAsia="de-DE"/>
              </w:rPr>
            </w:pPr>
            <w:r w:rsidRPr="002E3D46">
              <w:rPr>
                <w:rFonts w:ascii="Arial" w:eastAsia="Times New Roman" w:hAnsi="Arial" w:cs="Arial"/>
                <w:color w:val="000000"/>
                <w:sz w:val="18"/>
                <w:szCs w:val="18"/>
                <w:lang w:val="en-GB" w:eastAsia="de-DE"/>
              </w:rPr>
              <w:t>(15.7%)</w:t>
            </w:r>
          </w:p>
        </w:tc>
        <w:tc>
          <w:tcPr>
            <w:tcW w:w="0" w:type="auto"/>
            <w:tcBorders>
              <w:left w:val="single" w:sz="4" w:space="0" w:color="auto"/>
            </w:tcBorders>
          </w:tcPr>
          <w:p w14:paraId="5EAD2A2E" w14:textId="77777777" w:rsidR="00D01830" w:rsidRPr="002E3D46" w:rsidRDefault="00D01830" w:rsidP="0075304E">
            <w:pPr>
              <w:jc w:val="right"/>
              <w:rPr>
                <w:rFonts w:ascii="Arial" w:eastAsia="Times New Roman" w:hAnsi="Arial" w:cs="Arial"/>
                <w:color w:val="000000"/>
                <w:sz w:val="18"/>
                <w:szCs w:val="18"/>
                <w:lang w:val="en-GB" w:eastAsia="de-DE"/>
              </w:rPr>
            </w:pPr>
            <w:r w:rsidRPr="002E3D46">
              <w:rPr>
                <w:rFonts w:ascii="Arial" w:eastAsia="Times New Roman" w:hAnsi="Arial" w:cs="Arial"/>
                <w:color w:val="000000"/>
                <w:sz w:val="18"/>
                <w:szCs w:val="18"/>
                <w:lang w:val="en-GB" w:eastAsia="de-DE"/>
              </w:rPr>
              <w:t>41.8</w:t>
            </w:r>
          </w:p>
        </w:tc>
        <w:tc>
          <w:tcPr>
            <w:tcW w:w="0" w:type="auto"/>
            <w:tcBorders>
              <w:right w:val="single" w:sz="4" w:space="0" w:color="auto"/>
            </w:tcBorders>
          </w:tcPr>
          <w:p w14:paraId="343801FA" w14:textId="77777777" w:rsidR="00D01830" w:rsidRPr="002E3D46" w:rsidRDefault="00D01830" w:rsidP="0075304E">
            <w:pPr>
              <w:jc w:val="right"/>
              <w:rPr>
                <w:rFonts w:ascii="Arial" w:eastAsia="Times New Roman" w:hAnsi="Arial" w:cs="Arial"/>
                <w:color w:val="000000"/>
                <w:sz w:val="18"/>
                <w:szCs w:val="18"/>
                <w:lang w:val="en-GB" w:eastAsia="de-DE"/>
              </w:rPr>
            </w:pPr>
            <w:r w:rsidRPr="002E3D46">
              <w:rPr>
                <w:rFonts w:ascii="Arial" w:eastAsia="Times New Roman" w:hAnsi="Arial" w:cs="Arial"/>
                <w:color w:val="000000"/>
                <w:sz w:val="18"/>
                <w:szCs w:val="18"/>
                <w:lang w:val="en-GB" w:eastAsia="de-DE"/>
              </w:rPr>
              <w:t>(13.0%)</w:t>
            </w:r>
          </w:p>
        </w:tc>
      </w:tr>
      <w:tr w:rsidR="00D01830" w:rsidRPr="00D56D3A" w14:paraId="203D022B" w14:textId="77777777" w:rsidTr="0075304E">
        <w:tc>
          <w:tcPr>
            <w:tcW w:w="904" w:type="dxa"/>
            <w:tcBorders>
              <w:left w:val="single" w:sz="4" w:space="0" w:color="auto"/>
              <w:bottom w:val="single" w:sz="4" w:space="0" w:color="auto"/>
              <w:right w:val="single" w:sz="4" w:space="0" w:color="auto"/>
            </w:tcBorders>
          </w:tcPr>
          <w:p w14:paraId="07A1F082" w14:textId="77777777" w:rsidR="00D01830" w:rsidRPr="002E3D46" w:rsidRDefault="00D01830" w:rsidP="0075304E">
            <w:pPr>
              <w:rPr>
                <w:rFonts w:ascii="Arial" w:eastAsia="Times New Roman" w:hAnsi="Arial" w:cs="Arial"/>
                <w:color w:val="000000"/>
                <w:sz w:val="18"/>
                <w:szCs w:val="18"/>
                <w:lang w:val="en-GB" w:eastAsia="de-DE"/>
              </w:rPr>
            </w:pPr>
            <w:r w:rsidRPr="002E3D46">
              <w:rPr>
                <w:rFonts w:ascii="Arial" w:eastAsia="Times New Roman" w:hAnsi="Arial" w:cs="Arial"/>
                <w:color w:val="000000"/>
                <w:sz w:val="18"/>
                <w:szCs w:val="18"/>
                <w:lang w:val="en-GB" w:eastAsia="de-DE"/>
              </w:rPr>
              <w:t xml:space="preserve">X </w:t>
            </w:r>
          </w:p>
        </w:tc>
        <w:tc>
          <w:tcPr>
            <w:tcW w:w="462" w:type="dxa"/>
            <w:tcBorders>
              <w:left w:val="single" w:sz="4" w:space="0" w:color="auto"/>
              <w:bottom w:val="single" w:sz="4" w:space="0" w:color="auto"/>
            </w:tcBorders>
          </w:tcPr>
          <w:p w14:paraId="6A945A34" w14:textId="77777777" w:rsidR="00D01830" w:rsidRPr="002E3D46" w:rsidRDefault="00D01830" w:rsidP="0075304E">
            <w:pPr>
              <w:jc w:val="right"/>
              <w:rPr>
                <w:rFonts w:ascii="Arial" w:eastAsia="Times New Roman" w:hAnsi="Arial" w:cs="Arial"/>
                <w:color w:val="000000"/>
                <w:sz w:val="18"/>
                <w:szCs w:val="18"/>
                <w:lang w:val="en-GB" w:eastAsia="de-DE"/>
              </w:rPr>
            </w:pPr>
            <w:r w:rsidRPr="002E3D46">
              <w:rPr>
                <w:rFonts w:ascii="Arial" w:eastAsia="Times New Roman" w:hAnsi="Arial" w:cs="Arial"/>
                <w:color w:val="000000"/>
                <w:sz w:val="18"/>
                <w:szCs w:val="18"/>
                <w:lang w:val="en-GB" w:eastAsia="de-DE"/>
              </w:rPr>
              <w:t>142.0</w:t>
            </w:r>
          </w:p>
        </w:tc>
        <w:tc>
          <w:tcPr>
            <w:tcW w:w="0" w:type="auto"/>
            <w:tcBorders>
              <w:bottom w:val="single" w:sz="4" w:space="0" w:color="auto"/>
              <w:right w:val="single" w:sz="4" w:space="0" w:color="auto"/>
            </w:tcBorders>
          </w:tcPr>
          <w:p w14:paraId="585578D2" w14:textId="77777777" w:rsidR="00D01830" w:rsidRPr="002E3D46" w:rsidRDefault="00D01830" w:rsidP="0075304E">
            <w:pPr>
              <w:jc w:val="right"/>
              <w:rPr>
                <w:rFonts w:ascii="Arial" w:eastAsia="Times New Roman" w:hAnsi="Arial" w:cs="Arial"/>
                <w:color w:val="000000"/>
                <w:sz w:val="18"/>
                <w:szCs w:val="18"/>
                <w:lang w:val="en-GB" w:eastAsia="de-DE"/>
              </w:rPr>
            </w:pPr>
            <w:r w:rsidRPr="002E3D46">
              <w:rPr>
                <w:rFonts w:ascii="Arial" w:eastAsia="Times New Roman" w:hAnsi="Arial" w:cs="Arial"/>
                <w:color w:val="000000"/>
                <w:sz w:val="18"/>
                <w:szCs w:val="18"/>
                <w:lang w:val="en-GB" w:eastAsia="de-DE"/>
              </w:rPr>
              <w:t>(39.7%)</w:t>
            </w:r>
          </w:p>
        </w:tc>
        <w:tc>
          <w:tcPr>
            <w:tcW w:w="0" w:type="auto"/>
            <w:tcBorders>
              <w:left w:val="single" w:sz="4" w:space="0" w:color="auto"/>
              <w:bottom w:val="single" w:sz="4" w:space="0" w:color="auto"/>
            </w:tcBorders>
          </w:tcPr>
          <w:p w14:paraId="6208FAC3" w14:textId="77777777" w:rsidR="00D01830" w:rsidRPr="002E3D46" w:rsidRDefault="00D01830" w:rsidP="0075304E">
            <w:pPr>
              <w:jc w:val="right"/>
              <w:rPr>
                <w:rFonts w:ascii="Arial" w:eastAsia="Times New Roman" w:hAnsi="Arial" w:cs="Arial"/>
                <w:color w:val="000000"/>
                <w:sz w:val="18"/>
                <w:szCs w:val="18"/>
                <w:lang w:val="en-GB" w:eastAsia="de-DE"/>
              </w:rPr>
            </w:pPr>
            <w:r w:rsidRPr="002E3D46">
              <w:rPr>
                <w:rFonts w:ascii="Arial" w:eastAsia="Times New Roman" w:hAnsi="Arial" w:cs="Arial"/>
                <w:color w:val="000000"/>
                <w:sz w:val="18"/>
                <w:szCs w:val="18"/>
                <w:lang w:val="en-GB" w:eastAsia="de-DE"/>
              </w:rPr>
              <w:t>155.8</w:t>
            </w:r>
          </w:p>
        </w:tc>
        <w:tc>
          <w:tcPr>
            <w:tcW w:w="0" w:type="auto"/>
            <w:tcBorders>
              <w:bottom w:val="single" w:sz="4" w:space="0" w:color="auto"/>
              <w:right w:val="single" w:sz="4" w:space="0" w:color="auto"/>
            </w:tcBorders>
          </w:tcPr>
          <w:p w14:paraId="0D88E8F4" w14:textId="77777777" w:rsidR="00D01830" w:rsidRPr="002E3D46" w:rsidRDefault="00D01830" w:rsidP="0075304E">
            <w:pPr>
              <w:jc w:val="right"/>
              <w:rPr>
                <w:rFonts w:ascii="Arial" w:eastAsia="Times New Roman" w:hAnsi="Arial" w:cs="Arial"/>
                <w:color w:val="000000"/>
                <w:sz w:val="18"/>
                <w:szCs w:val="18"/>
                <w:lang w:val="en-GB" w:eastAsia="de-DE"/>
              </w:rPr>
            </w:pPr>
            <w:r w:rsidRPr="002E3D46">
              <w:rPr>
                <w:rFonts w:ascii="Arial" w:eastAsia="Times New Roman" w:hAnsi="Arial" w:cs="Arial"/>
                <w:color w:val="000000"/>
                <w:sz w:val="18"/>
                <w:szCs w:val="18"/>
                <w:lang w:val="en-GB" w:eastAsia="de-DE"/>
              </w:rPr>
              <w:t>(45.2%)</w:t>
            </w:r>
          </w:p>
        </w:tc>
        <w:tc>
          <w:tcPr>
            <w:tcW w:w="0" w:type="auto"/>
            <w:tcBorders>
              <w:left w:val="single" w:sz="4" w:space="0" w:color="auto"/>
              <w:bottom w:val="single" w:sz="4" w:space="0" w:color="auto"/>
            </w:tcBorders>
          </w:tcPr>
          <w:p w14:paraId="585D9183" w14:textId="77777777" w:rsidR="00D01830" w:rsidRPr="002E3D46" w:rsidRDefault="00D01830" w:rsidP="0075304E">
            <w:pPr>
              <w:jc w:val="right"/>
              <w:rPr>
                <w:rFonts w:ascii="Arial" w:eastAsia="Times New Roman" w:hAnsi="Arial" w:cs="Arial"/>
                <w:color w:val="000000"/>
                <w:sz w:val="18"/>
                <w:szCs w:val="18"/>
                <w:lang w:val="en-GB" w:eastAsia="de-DE"/>
              </w:rPr>
            </w:pPr>
            <w:r w:rsidRPr="002E3D46">
              <w:rPr>
                <w:rFonts w:ascii="Arial" w:eastAsia="Times New Roman" w:hAnsi="Arial" w:cs="Arial"/>
                <w:color w:val="000000"/>
                <w:sz w:val="18"/>
                <w:szCs w:val="18"/>
                <w:lang w:val="en-GB" w:eastAsia="de-DE"/>
              </w:rPr>
              <w:t>170.2</w:t>
            </w:r>
          </w:p>
        </w:tc>
        <w:tc>
          <w:tcPr>
            <w:tcW w:w="0" w:type="auto"/>
            <w:tcBorders>
              <w:bottom w:val="single" w:sz="4" w:space="0" w:color="auto"/>
              <w:right w:val="single" w:sz="4" w:space="0" w:color="auto"/>
            </w:tcBorders>
          </w:tcPr>
          <w:p w14:paraId="18A42343" w14:textId="77777777" w:rsidR="00D01830" w:rsidRPr="002E3D46" w:rsidRDefault="00D01830" w:rsidP="0075304E">
            <w:pPr>
              <w:jc w:val="right"/>
              <w:rPr>
                <w:rFonts w:ascii="Arial" w:eastAsia="Times New Roman" w:hAnsi="Arial" w:cs="Arial"/>
                <w:color w:val="000000"/>
                <w:sz w:val="18"/>
                <w:szCs w:val="18"/>
                <w:lang w:val="en-GB" w:eastAsia="de-DE"/>
              </w:rPr>
            </w:pPr>
            <w:r w:rsidRPr="002E3D46">
              <w:rPr>
                <w:rFonts w:ascii="Arial" w:eastAsia="Times New Roman" w:hAnsi="Arial" w:cs="Arial"/>
                <w:color w:val="000000"/>
                <w:sz w:val="18"/>
                <w:szCs w:val="18"/>
                <w:lang w:val="en-GB" w:eastAsia="de-DE"/>
              </w:rPr>
              <w:t>(50.5%)</w:t>
            </w:r>
          </w:p>
        </w:tc>
        <w:tc>
          <w:tcPr>
            <w:tcW w:w="0" w:type="auto"/>
            <w:tcBorders>
              <w:left w:val="single" w:sz="4" w:space="0" w:color="auto"/>
              <w:bottom w:val="single" w:sz="4" w:space="0" w:color="auto"/>
            </w:tcBorders>
          </w:tcPr>
          <w:p w14:paraId="6BE97E8E" w14:textId="77777777" w:rsidR="00D01830" w:rsidRPr="002E3D46" w:rsidRDefault="00D01830" w:rsidP="0075304E">
            <w:pPr>
              <w:jc w:val="right"/>
              <w:rPr>
                <w:rFonts w:ascii="Arial" w:eastAsia="Times New Roman" w:hAnsi="Arial" w:cs="Arial"/>
                <w:color w:val="000000"/>
                <w:sz w:val="18"/>
                <w:szCs w:val="18"/>
                <w:lang w:val="en-GB" w:eastAsia="de-DE"/>
              </w:rPr>
            </w:pPr>
            <w:r w:rsidRPr="002E3D46">
              <w:rPr>
                <w:rFonts w:ascii="Arial" w:eastAsia="Times New Roman" w:hAnsi="Arial" w:cs="Arial"/>
                <w:color w:val="000000"/>
                <w:sz w:val="18"/>
                <w:szCs w:val="18"/>
                <w:lang w:val="en-GB" w:eastAsia="de-DE"/>
              </w:rPr>
              <w:t>176.0</w:t>
            </w:r>
          </w:p>
        </w:tc>
        <w:tc>
          <w:tcPr>
            <w:tcW w:w="0" w:type="auto"/>
            <w:tcBorders>
              <w:bottom w:val="single" w:sz="4" w:space="0" w:color="auto"/>
              <w:right w:val="single" w:sz="4" w:space="0" w:color="auto"/>
            </w:tcBorders>
          </w:tcPr>
          <w:p w14:paraId="77A8F6C8" w14:textId="77777777" w:rsidR="00D01830" w:rsidRPr="002E3D46" w:rsidRDefault="00D01830" w:rsidP="0075304E">
            <w:pPr>
              <w:jc w:val="right"/>
              <w:rPr>
                <w:rFonts w:ascii="Arial" w:eastAsia="Times New Roman" w:hAnsi="Arial" w:cs="Arial"/>
                <w:color w:val="000000"/>
                <w:sz w:val="18"/>
                <w:szCs w:val="18"/>
                <w:lang w:val="en-GB" w:eastAsia="de-DE"/>
              </w:rPr>
            </w:pPr>
            <w:r w:rsidRPr="002E3D46">
              <w:rPr>
                <w:rFonts w:ascii="Arial" w:eastAsia="Times New Roman" w:hAnsi="Arial" w:cs="Arial"/>
                <w:color w:val="000000"/>
                <w:sz w:val="18"/>
                <w:szCs w:val="18"/>
                <w:lang w:val="en-GB" w:eastAsia="de-DE"/>
              </w:rPr>
              <w:t>(52.9%)</w:t>
            </w:r>
          </w:p>
        </w:tc>
        <w:tc>
          <w:tcPr>
            <w:tcW w:w="0" w:type="auto"/>
            <w:tcBorders>
              <w:left w:val="single" w:sz="4" w:space="0" w:color="auto"/>
              <w:bottom w:val="single" w:sz="4" w:space="0" w:color="auto"/>
            </w:tcBorders>
          </w:tcPr>
          <w:p w14:paraId="281057C2" w14:textId="77777777" w:rsidR="00D01830" w:rsidRPr="002E3D46" w:rsidRDefault="00D01830" w:rsidP="0075304E">
            <w:pPr>
              <w:jc w:val="right"/>
              <w:rPr>
                <w:rFonts w:ascii="Arial" w:eastAsia="Times New Roman" w:hAnsi="Arial" w:cs="Arial"/>
                <w:color w:val="000000"/>
                <w:sz w:val="18"/>
                <w:szCs w:val="18"/>
                <w:lang w:val="en-GB" w:eastAsia="de-DE"/>
              </w:rPr>
            </w:pPr>
            <w:r w:rsidRPr="002E3D46">
              <w:rPr>
                <w:rFonts w:ascii="Arial" w:eastAsia="Times New Roman" w:hAnsi="Arial" w:cs="Arial"/>
                <w:color w:val="000000"/>
                <w:sz w:val="18"/>
                <w:szCs w:val="18"/>
                <w:lang w:val="en-GB" w:eastAsia="de-DE"/>
              </w:rPr>
              <w:t>172.3</w:t>
            </w:r>
          </w:p>
        </w:tc>
        <w:tc>
          <w:tcPr>
            <w:tcW w:w="0" w:type="auto"/>
            <w:tcBorders>
              <w:bottom w:val="single" w:sz="4" w:space="0" w:color="auto"/>
              <w:right w:val="single" w:sz="4" w:space="0" w:color="auto"/>
            </w:tcBorders>
          </w:tcPr>
          <w:p w14:paraId="1603861F" w14:textId="77777777" w:rsidR="00D01830" w:rsidRPr="002E3D46" w:rsidRDefault="00D01830" w:rsidP="0075304E">
            <w:pPr>
              <w:jc w:val="right"/>
              <w:rPr>
                <w:rFonts w:ascii="Arial" w:eastAsia="Times New Roman" w:hAnsi="Arial" w:cs="Arial"/>
                <w:color w:val="000000"/>
                <w:sz w:val="18"/>
                <w:szCs w:val="18"/>
                <w:lang w:val="en-GB" w:eastAsia="de-DE"/>
              </w:rPr>
            </w:pPr>
            <w:r w:rsidRPr="002E3D46">
              <w:rPr>
                <w:rFonts w:ascii="Arial" w:eastAsia="Times New Roman" w:hAnsi="Arial" w:cs="Arial"/>
                <w:color w:val="000000"/>
                <w:sz w:val="18"/>
                <w:szCs w:val="18"/>
                <w:lang w:val="en-GB" w:eastAsia="de-DE"/>
              </w:rPr>
              <w:t>(53.4%)</w:t>
            </w:r>
          </w:p>
        </w:tc>
      </w:tr>
      <w:tr w:rsidR="00D01830" w:rsidRPr="00D56D3A" w14:paraId="4F91D9D1" w14:textId="77777777" w:rsidTr="0075304E">
        <w:tc>
          <w:tcPr>
            <w:tcW w:w="904" w:type="dxa"/>
            <w:tcBorders>
              <w:top w:val="single" w:sz="4" w:space="0" w:color="auto"/>
              <w:left w:val="single" w:sz="4" w:space="0" w:color="auto"/>
              <w:bottom w:val="single" w:sz="4" w:space="0" w:color="auto"/>
              <w:right w:val="single" w:sz="4" w:space="0" w:color="auto"/>
            </w:tcBorders>
          </w:tcPr>
          <w:p w14:paraId="5F88FA38" w14:textId="77777777" w:rsidR="00D01830" w:rsidRPr="002E3D46" w:rsidRDefault="00D01830" w:rsidP="0075304E">
            <w:pPr>
              <w:rPr>
                <w:rFonts w:ascii="Arial" w:eastAsia="Times New Roman" w:hAnsi="Arial" w:cs="Arial"/>
                <w:color w:val="000000"/>
                <w:sz w:val="18"/>
                <w:szCs w:val="18"/>
                <w:lang w:val="en-GB" w:eastAsia="de-DE"/>
              </w:rPr>
            </w:pPr>
            <w:r w:rsidRPr="002E3D46">
              <w:rPr>
                <w:rFonts w:ascii="Arial" w:eastAsia="Times New Roman" w:hAnsi="Arial" w:cs="Arial"/>
                <w:color w:val="000000"/>
                <w:sz w:val="18"/>
                <w:szCs w:val="18"/>
                <w:lang w:val="en-GB" w:eastAsia="de-DE"/>
              </w:rPr>
              <w:t xml:space="preserve">Total </w:t>
            </w:r>
          </w:p>
        </w:tc>
        <w:tc>
          <w:tcPr>
            <w:tcW w:w="462" w:type="dxa"/>
            <w:tcBorders>
              <w:top w:val="single" w:sz="4" w:space="0" w:color="auto"/>
              <w:left w:val="single" w:sz="4" w:space="0" w:color="auto"/>
              <w:bottom w:val="single" w:sz="4" w:space="0" w:color="auto"/>
            </w:tcBorders>
          </w:tcPr>
          <w:p w14:paraId="24F424F1" w14:textId="77777777" w:rsidR="00D01830" w:rsidRPr="002E3D46" w:rsidRDefault="00D01830" w:rsidP="0075304E">
            <w:pPr>
              <w:jc w:val="right"/>
              <w:rPr>
                <w:rFonts w:ascii="Arial" w:eastAsia="Times New Roman" w:hAnsi="Arial" w:cs="Arial"/>
                <w:color w:val="000000"/>
                <w:sz w:val="18"/>
                <w:szCs w:val="18"/>
                <w:lang w:val="en-GB" w:eastAsia="de-DE"/>
              </w:rPr>
            </w:pPr>
            <w:r w:rsidRPr="002E3D46">
              <w:rPr>
                <w:rFonts w:ascii="Arial" w:eastAsia="Times New Roman" w:hAnsi="Arial" w:cs="Arial"/>
                <w:color w:val="000000"/>
                <w:sz w:val="18"/>
                <w:szCs w:val="18"/>
                <w:lang w:val="en-GB" w:eastAsia="de-DE"/>
              </w:rPr>
              <w:t>357.7</w:t>
            </w:r>
          </w:p>
        </w:tc>
        <w:tc>
          <w:tcPr>
            <w:tcW w:w="0" w:type="auto"/>
            <w:tcBorders>
              <w:top w:val="single" w:sz="4" w:space="0" w:color="auto"/>
              <w:bottom w:val="single" w:sz="4" w:space="0" w:color="auto"/>
              <w:right w:val="single" w:sz="4" w:space="0" w:color="auto"/>
            </w:tcBorders>
          </w:tcPr>
          <w:p w14:paraId="4539E8EC" w14:textId="77777777" w:rsidR="00D01830" w:rsidRPr="002E3D46" w:rsidRDefault="00D01830" w:rsidP="0075304E">
            <w:pPr>
              <w:jc w:val="right"/>
              <w:rPr>
                <w:rFonts w:ascii="Arial" w:eastAsia="Times New Roman" w:hAnsi="Arial" w:cs="Arial"/>
                <w:color w:val="000000"/>
                <w:sz w:val="18"/>
                <w:szCs w:val="18"/>
                <w:lang w:val="en-GB" w:eastAsia="de-DE"/>
              </w:rPr>
            </w:pPr>
            <w:r w:rsidRPr="002E3D46">
              <w:rPr>
                <w:rFonts w:ascii="Arial" w:eastAsia="Times New Roman" w:hAnsi="Arial" w:cs="Arial"/>
                <w:color w:val="000000"/>
                <w:sz w:val="18"/>
                <w:szCs w:val="18"/>
                <w:lang w:val="en-GB" w:eastAsia="de-DE"/>
              </w:rPr>
              <w:t>(100.0%)</w:t>
            </w:r>
          </w:p>
        </w:tc>
        <w:tc>
          <w:tcPr>
            <w:tcW w:w="0" w:type="auto"/>
            <w:tcBorders>
              <w:top w:val="single" w:sz="4" w:space="0" w:color="auto"/>
              <w:left w:val="single" w:sz="4" w:space="0" w:color="auto"/>
              <w:bottom w:val="single" w:sz="4" w:space="0" w:color="auto"/>
            </w:tcBorders>
          </w:tcPr>
          <w:p w14:paraId="59A9887D" w14:textId="77777777" w:rsidR="00D01830" w:rsidRPr="002E3D46" w:rsidRDefault="00D01830" w:rsidP="0075304E">
            <w:pPr>
              <w:jc w:val="right"/>
              <w:rPr>
                <w:rFonts w:ascii="Arial" w:eastAsia="Times New Roman" w:hAnsi="Arial" w:cs="Arial"/>
                <w:color w:val="000000"/>
                <w:sz w:val="18"/>
                <w:szCs w:val="18"/>
                <w:lang w:val="en-GB" w:eastAsia="de-DE"/>
              </w:rPr>
            </w:pPr>
            <w:r w:rsidRPr="002E3D46">
              <w:rPr>
                <w:rFonts w:ascii="Arial" w:eastAsia="Times New Roman" w:hAnsi="Arial" w:cs="Arial"/>
                <w:color w:val="000000"/>
                <w:sz w:val="18"/>
                <w:szCs w:val="18"/>
                <w:lang w:val="en-GB" w:eastAsia="de-DE"/>
              </w:rPr>
              <w:t>345.0</w:t>
            </w:r>
          </w:p>
        </w:tc>
        <w:tc>
          <w:tcPr>
            <w:tcW w:w="0" w:type="auto"/>
            <w:tcBorders>
              <w:top w:val="single" w:sz="4" w:space="0" w:color="auto"/>
              <w:bottom w:val="single" w:sz="4" w:space="0" w:color="auto"/>
              <w:right w:val="single" w:sz="4" w:space="0" w:color="auto"/>
            </w:tcBorders>
          </w:tcPr>
          <w:p w14:paraId="57E60CAF" w14:textId="77777777" w:rsidR="00D01830" w:rsidRPr="002E3D46" w:rsidRDefault="00D01830" w:rsidP="0075304E">
            <w:pPr>
              <w:jc w:val="right"/>
              <w:rPr>
                <w:rFonts w:ascii="Arial" w:eastAsia="Times New Roman" w:hAnsi="Arial" w:cs="Arial"/>
                <w:color w:val="000000"/>
                <w:sz w:val="18"/>
                <w:szCs w:val="18"/>
                <w:lang w:val="en-GB" w:eastAsia="de-DE"/>
              </w:rPr>
            </w:pPr>
            <w:r w:rsidRPr="002E3D46">
              <w:rPr>
                <w:rFonts w:ascii="Arial" w:eastAsia="Times New Roman" w:hAnsi="Arial" w:cs="Arial"/>
                <w:color w:val="000000"/>
                <w:sz w:val="18"/>
                <w:szCs w:val="18"/>
                <w:lang w:val="en-GB" w:eastAsia="de-DE"/>
              </w:rPr>
              <w:t>(100.0%)</w:t>
            </w:r>
          </w:p>
        </w:tc>
        <w:tc>
          <w:tcPr>
            <w:tcW w:w="0" w:type="auto"/>
            <w:tcBorders>
              <w:top w:val="single" w:sz="4" w:space="0" w:color="auto"/>
              <w:left w:val="single" w:sz="4" w:space="0" w:color="auto"/>
              <w:bottom w:val="single" w:sz="4" w:space="0" w:color="auto"/>
            </w:tcBorders>
          </w:tcPr>
          <w:p w14:paraId="2F817748" w14:textId="77777777" w:rsidR="00D01830" w:rsidRPr="002E3D46" w:rsidRDefault="00D01830" w:rsidP="0075304E">
            <w:pPr>
              <w:jc w:val="right"/>
              <w:rPr>
                <w:rFonts w:ascii="Arial" w:eastAsia="Times New Roman" w:hAnsi="Arial" w:cs="Arial"/>
                <w:color w:val="000000"/>
                <w:sz w:val="18"/>
                <w:szCs w:val="18"/>
                <w:lang w:val="en-GB" w:eastAsia="de-DE"/>
              </w:rPr>
            </w:pPr>
            <w:r w:rsidRPr="002E3D46">
              <w:rPr>
                <w:rFonts w:ascii="Arial" w:eastAsia="Times New Roman" w:hAnsi="Arial" w:cs="Arial"/>
                <w:color w:val="000000"/>
                <w:sz w:val="18"/>
                <w:szCs w:val="18"/>
                <w:lang w:val="en-GB" w:eastAsia="de-DE"/>
              </w:rPr>
              <w:t>337.3</w:t>
            </w:r>
          </w:p>
        </w:tc>
        <w:tc>
          <w:tcPr>
            <w:tcW w:w="0" w:type="auto"/>
            <w:tcBorders>
              <w:top w:val="single" w:sz="4" w:space="0" w:color="auto"/>
              <w:bottom w:val="single" w:sz="4" w:space="0" w:color="auto"/>
              <w:right w:val="single" w:sz="4" w:space="0" w:color="auto"/>
            </w:tcBorders>
          </w:tcPr>
          <w:p w14:paraId="14C9D99A" w14:textId="77777777" w:rsidR="00D01830" w:rsidRPr="002E3D46" w:rsidRDefault="00D01830" w:rsidP="0075304E">
            <w:pPr>
              <w:jc w:val="right"/>
              <w:rPr>
                <w:rFonts w:ascii="Arial" w:eastAsia="Times New Roman" w:hAnsi="Arial" w:cs="Arial"/>
                <w:color w:val="000000"/>
                <w:sz w:val="18"/>
                <w:szCs w:val="18"/>
                <w:lang w:val="en-GB" w:eastAsia="de-DE"/>
              </w:rPr>
            </w:pPr>
            <w:r w:rsidRPr="002E3D46">
              <w:rPr>
                <w:rFonts w:ascii="Arial" w:eastAsia="Times New Roman" w:hAnsi="Arial" w:cs="Arial"/>
                <w:color w:val="000000"/>
                <w:sz w:val="18"/>
                <w:szCs w:val="18"/>
                <w:lang w:val="en-GB" w:eastAsia="de-DE"/>
              </w:rPr>
              <w:t>(100.0%)</w:t>
            </w:r>
          </w:p>
        </w:tc>
        <w:tc>
          <w:tcPr>
            <w:tcW w:w="0" w:type="auto"/>
            <w:tcBorders>
              <w:top w:val="single" w:sz="4" w:space="0" w:color="auto"/>
              <w:left w:val="single" w:sz="4" w:space="0" w:color="auto"/>
              <w:bottom w:val="single" w:sz="4" w:space="0" w:color="auto"/>
            </w:tcBorders>
          </w:tcPr>
          <w:p w14:paraId="1EADB79F" w14:textId="77777777" w:rsidR="00D01830" w:rsidRPr="002E3D46" w:rsidRDefault="00D01830" w:rsidP="0075304E">
            <w:pPr>
              <w:jc w:val="right"/>
              <w:rPr>
                <w:rFonts w:ascii="Arial" w:eastAsia="Times New Roman" w:hAnsi="Arial" w:cs="Arial"/>
                <w:color w:val="000000"/>
                <w:sz w:val="18"/>
                <w:szCs w:val="18"/>
                <w:lang w:val="en-GB" w:eastAsia="de-DE"/>
              </w:rPr>
            </w:pPr>
            <w:r w:rsidRPr="002E3D46">
              <w:rPr>
                <w:rFonts w:ascii="Arial" w:eastAsia="Times New Roman" w:hAnsi="Arial" w:cs="Arial"/>
                <w:color w:val="000000"/>
                <w:sz w:val="18"/>
                <w:szCs w:val="18"/>
                <w:lang w:val="en-GB" w:eastAsia="de-DE"/>
              </w:rPr>
              <w:t>332.4</w:t>
            </w:r>
          </w:p>
        </w:tc>
        <w:tc>
          <w:tcPr>
            <w:tcW w:w="0" w:type="auto"/>
            <w:tcBorders>
              <w:top w:val="single" w:sz="4" w:space="0" w:color="auto"/>
              <w:bottom w:val="single" w:sz="4" w:space="0" w:color="auto"/>
              <w:right w:val="single" w:sz="4" w:space="0" w:color="auto"/>
            </w:tcBorders>
          </w:tcPr>
          <w:p w14:paraId="096A1DF7" w14:textId="77777777" w:rsidR="00D01830" w:rsidRPr="002E3D46" w:rsidRDefault="00D01830" w:rsidP="0075304E">
            <w:pPr>
              <w:jc w:val="right"/>
              <w:rPr>
                <w:rFonts w:ascii="Arial" w:eastAsia="Times New Roman" w:hAnsi="Arial" w:cs="Arial"/>
                <w:color w:val="000000"/>
                <w:sz w:val="18"/>
                <w:szCs w:val="18"/>
                <w:lang w:val="en-GB" w:eastAsia="de-DE"/>
              </w:rPr>
            </w:pPr>
            <w:r w:rsidRPr="002E3D46">
              <w:rPr>
                <w:rFonts w:ascii="Arial" w:eastAsia="Times New Roman" w:hAnsi="Arial" w:cs="Arial"/>
                <w:color w:val="000000"/>
                <w:sz w:val="18"/>
                <w:szCs w:val="18"/>
                <w:lang w:val="en-GB" w:eastAsia="de-DE"/>
              </w:rPr>
              <w:t>(100.0%)</w:t>
            </w:r>
          </w:p>
        </w:tc>
        <w:tc>
          <w:tcPr>
            <w:tcW w:w="0" w:type="auto"/>
            <w:tcBorders>
              <w:top w:val="single" w:sz="4" w:space="0" w:color="auto"/>
              <w:left w:val="single" w:sz="4" w:space="0" w:color="auto"/>
              <w:bottom w:val="single" w:sz="4" w:space="0" w:color="auto"/>
            </w:tcBorders>
          </w:tcPr>
          <w:p w14:paraId="470C3FFB" w14:textId="77777777" w:rsidR="00D01830" w:rsidRPr="002E3D46" w:rsidRDefault="00D01830" w:rsidP="0075304E">
            <w:pPr>
              <w:jc w:val="right"/>
              <w:rPr>
                <w:rFonts w:ascii="Arial" w:eastAsia="Times New Roman" w:hAnsi="Arial" w:cs="Arial"/>
                <w:color w:val="000000"/>
                <w:sz w:val="18"/>
                <w:szCs w:val="18"/>
                <w:lang w:val="en-GB" w:eastAsia="de-DE"/>
              </w:rPr>
            </w:pPr>
            <w:r w:rsidRPr="002E3D46">
              <w:rPr>
                <w:rFonts w:ascii="Arial" w:eastAsia="Times New Roman" w:hAnsi="Arial" w:cs="Arial"/>
                <w:color w:val="000000"/>
                <w:sz w:val="18"/>
                <w:szCs w:val="18"/>
                <w:lang w:val="en-GB" w:eastAsia="de-DE"/>
              </w:rPr>
              <w:t>322.4</w:t>
            </w:r>
          </w:p>
        </w:tc>
        <w:tc>
          <w:tcPr>
            <w:tcW w:w="0" w:type="auto"/>
            <w:tcBorders>
              <w:top w:val="single" w:sz="4" w:space="0" w:color="auto"/>
              <w:bottom w:val="single" w:sz="4" w:space="0" w:color="auto"/>
              <w:right w:val="single" w:sz="4" w:space="0" w:color="auto"/>
            </w:tcBorders>
          </w:tcPr>
          <w:p w14:paraId="3BFF6350" w14:textId="77777777" w:rsidR="00D01830" w:rsidRPr="002E3D46" w:rsidRDefault="00D01830" w:rsidP="0075304E">
            <w:pPr>
              <w:jc w:val="right"/>
              <w:rPr>
                <w:rFonts w:ascii="Arial" w:eastAsia="Times New Roman" w:hAnsi="Arial" w:cs="Arial"/>
                <w:color w:val="000000"/>
                <w:sz w:val="18"/>
                <w:szCs w:val="18"/>
                <w:lang w:val="en-GB" w:eastAsia="de-DE"/>
              </w:rPr>
            </w:pPr>
            <w:r w:rsidRPr="002E3D46">
              <w:rPr>
                <w:rFonts w:ascii="Arial" w:eastAsia="Times New Roman" w:hAnsi="Arial" w:cs="Arial"/>
                <w:color w:val="000000"/>
                <w:sz w:val="18"/>
                <w:szCs w:val="18"/>
                <w:lang w:val="en-GB" w:eastAsia="de-DE"/>
              </w:rPr>
              <w:t>(100.0%)</w:t>
            </w:r>
          </w:p>
        </w:tc>
      </w:tr>
    </w:tbl>
    <w:p w14:paraId="295DF407" w14:textId="77777777" w:rsidR="00D01830" w:rsidRPr="00984407" w:rsidRDefault="00D01830" w:rsidP="00D01830">
      <w:pPr>
        <w:autoSpaceDE w:val="0"/>
        <w:autoSpaceDN w:val="0"/>
        <w:adjustRightInd w:val="0"/>
        <w:spacing w:before="120" w:after="120" w:line="240" w:lineRule="auto"/>
        <w:rPr>
          <w:rFonts w:ascii="Arial" w:eastAsia="Times New Roman" w:hAnsi="Arial" w:cs="Arial"/>
          <w:sz w:val="18"/>
          <w:szCs w:val="18"/>
          <w:lang w:val="en" w:eastAsia="de-DE"/>
        </w:rPr>
      </w:pPr>
      <w:r w:rsidRPr="00984407">
        <w:rPr>
          <w:rFonts w:ascii="Arial" w:eastAsia="Times New Roman" w:hAnsi="Arial" w:cs="Arial"/>
          <w:sz w:val="18"/>
          <w:szCs w:val="18"/>
          <w:lang w:val="en" w:eastAsia="de-DE"/>
        </w:rPr>
        <w:t>†AOK: Local health care funds</w:t>
      </w:r>
    </w:p>
    <w:p w14:paraId="146786DD" w14:textId="5F8A2404" w:rsidR="00D01830" w:rsidRPr="00C907E1" w:rsidRDefault="00D01830" w:rsidP="00D01830">
      <w:pPr>
        <w:autoSpaceDE w:val="0"/>
        <w:autoSpaceDN w:val="0"/>
        <w:adjustRightInd w:val="0"/>
        <w:spacing w:after="120" w:line="240" w:lineRule="auto"/>
        <w:rPr>
          <w:rFonts w:ascii="Arial" w:hAnsi="Arial" w:cs="Arial"/>
          <w:lang w:val="en-GB"/>
        </w:rPr>
      </w:pPr>
      <w:r w:rsidRPr="00C907E1">
        <w:rPr>
          <w:rFonts w:ascii="Arial" w:eastAsiaTheme="minorHAnsi" w:hAnsi="Arial" w:cs="Arial"/>
          <w:lang w:val="en-GB"/>
        </w:rPr>
        <w:t xml:space="preserve">Table </w:t>
      </w:r>
      <w:r w:rsidRPr="00AB7AD8">
        <w:rPr>
          <w:rFonts w:ascii="Arial" w:eastAsiaTheme="minorHAnsi" w:hAnsi="Arial" w:cs="Arial"/>
          <w:lang w:val="en-GB"/>
        </w:rPr>
        <w:t>4 b: I</w:t>
      </w:r>
      <w:r w:rsidRPr="00C907E1">
        <w:rPr>
          <w:rFonts w:ascii="Arial" w:eastAsiaTheme="minorHAnsi" w:hAnsi="Arial" w:cs="Arial"/>
          <w:lang w:val="en-GB"/>
        </w:rPr>
        <w:t xml:space="preserve">ncidence per 1000 </w:t>
      </w:r>
      <w:proofErr w:type="spellStart"/>
      <w:r w:rsidRPr="00C907E1">
        <w:rPr>
          <w:rFonts w:ascii="Arial" w:eastAsiaTheme="minorHAnsi" w:hAnsi="Arial" w:cs="Arial"/>
          <w:lang w:val="en-GB"/>
        </w:rPr>
        <w:t>insuree</w:t>
      </w:r>
      <w:proofErr w:type="spellEnd"/>
      <w:r w:rsidRPr="00C907E1">
        <w:rPr>
          <w:rFonts w:ascii="Arial" w:eastAsiaTheme="minorHAnsi" w:hAnsi="Arial" w:cs="Arial"/>
          <w:lang w:val="en-GB"/>
        </w:rPr>
        <w:t xml:space="preserve"> years of CHC</w:t>
      </w:r>
      <w:r w:rsidRPr="005A6DA8">
        <w:rPr>
          <w:rFonts w:ascii="Times New Roman" w:eastAsia="Times New Roman" w:hAnsi="Times New Roman"/>
          <w:sz w:val="29"/>
          <w:szCs w:val="29"/>
          <w:vertAlign w:val="superscript"/>
          <w:lang w:val="en" w:eastAsia="de-DE"/>
        </w:rPr>
        <w:t>†</w:t>
      </w:r>
      <w:r w:rsidRPr="00C907E1">
        <w:rPr>
          <w:rFonts w:ascii="Arial" w:eastAsiaTheme="minorHAnsi" w:hAnsi="Arial" w:cs="Arial"/>
          <w:lang w:val="en-GB"/>
        </w:rPr>
        <w:t xml:space="preserve"> recipients aged under 20, broken down by risk class</w:t>
      </w:r>
    </w:p>
    <w:tbl>
      <w:tblPr>
        <w:tblStyle w:val="TableGrid"/>
        <w:tblW w:w="0" w:type="auto"/>
        <w:tblLook w:val="04A0" w:firstRow="1" w:lastRow="0" w:firstColumn="1" w:lastColumn="0" w:noHBand="0" w:noVBand="1"/>
      </w:tblPr>
      <w:tblGrid>
        <w:gridCol w:w="1490"/>
        <w:gridCol w:w="1639"/>
        <w:gridCol w:w="1089"/>
        <w:gridCol w:w="1584"/>
        <w:gridCol w:w="1842"/>
        <w:gridCol w:w="1416"/>
      </w:tblGrid>
      <w:tr w:rsidR="00D01830" w:rsidRPr="00C907E1" w14:paraId="15420636" w14:textId="77777777" w:rsidTr="00CF29C7">
        <w:tc>
          <w:tcPr>
            <w:tcW w:w="1490" w:type="dxa"/>
          </w:tcPr>
          <w:p w14:paraId="62AD895A" w14:textId="77777777" w:rsidR="00D01830" w:rsidRPr="00C907E1" w:rsidRDefault="00D01830" w:rsidP="0075304E">
            <w:pPr>
              <w:rPr>
                <w:rFonts w:ascii="Arial" w:hAnsi="Arial" w:cs="Arial"/>
                <w:sz w:val="20"/>
                <w:szCs w:val="20"/>
                <w:lang w:val="en-GB"/>
              </w:rPr>
            </w:pPr>
            <w:r w:rsidRPr="00C907E1">
              <w:rPr>
                <w:rFonts w:ascii="Arial" w:hAnsi="Arial" w:cs="Arial"/>
                <w:sz w:val="20"/>
                <w:szCs w:val="20"/>
                <w:lang w:val="en-GB"/>
              </w:rPr>
              <w:t xml:space="preserve">Risk class </w:t>
            </w:r>
          </w:p>
        </w:tc>
        <w:tc>
          <w:tcPr>
            <w:tcW w:w="1639" w:type="dxa"/>
          </w:tcPr>
          <w:p w14:paraId="367B1CF5" w14:textId="77777777" w:rsidR="00D01830" w:rsidRPr="00C907E1" w:rsidRDefault="00D01830" w:rsidP="0075304E">
            <w:pPr>
              <w:jc w:val="right"/>
              <w:rPr>
                <w:rFonts w:ascii="Arial" w:hAnsi="Arial" w:cs="Arial"/>
                <w:sz w:val="20"/>
                <w:szCs w:val="20"/>
                <w:lang w:val="en-GB"/>
              </w:rPr>
            </w:pPr>
            <w:r w:rsidRPr="00C907E1">
              <w:rPr>
                <w:rFonts w:ascii="Arial" w:hAnsi="Arial" w:cs="Arial"/>
                <w:sz w:val="20"/>
                <w:szCs w:val="20"/>
                <w:lang w:val="en-GB"/>
              </w:rPr>
              <w:t xml:space="preserve">Pre-intervention </w:t>
            </w:r>
          </w:p>
        </w:tc>
        <w:tc>
          <w:tcPr>
            <w:tcW w:w="1089" w:type="dxa"/>
          </w:tcPr>
          <w:p w14:paraId="2C12C5FC" w14:textId="77777777" w:rsidR="00D01830" w:rsidRPr="00C907E1" w:rsidRDefault="00D01830" w:rsidP="0075304E">
            <w:pPr>
              <w:jc w:val="right"/>
              <w:rPr>
                <w:rFonts w:ascii="Arial" w:hAnsi="Arial" w:cs="Arial"/>
                <w:sz w:val="20"/>
                <w:szCs w:val="20"/>
                <w:lang w:val="en-GB"/>
              </w:rPr>
            </w:pPr>
            <w:r w:rsidRPr="00C907E1">
              <w:rPr>
                <w:rFonts w:ascii="Arial" w:hAnsi="Arial" w:cs="Arial"/>
                <w:sz w:val="20"/>
                <w:szCs w:val="20"/>
                <w:lang w:val="en-GB"/>
              </w:rPr>
              <w:t xml:space="preserve">Referral </w:t>
            </w:r>
          </w:p>
        </w:tc>
        <w:tc>
          <w:tcPr>
            <w:tcW w:w="1584" w:type="dxa"/>
          </w:tcPr>
          <w:p w14:paraId="67422C5C" w14:textId="77777777" w:rsidR="00D01830" w:rsidRPr="00C907E1" w:rsidRDefault="00D01830" w:rsidP="0075304E">
            <w:pPr>
              <w:jc w:val="right"/>
              <w:rPr>
                <w:rFonts w:ascii="Arial" w:hAnsi="Arial" w:cs="Arial"/>
                <w:sz w:val="20"/>
                <w:szCs w:val="20"/>
                <w:lang w:val="en-GB"/>
              </w:rPr>
            </w:pPr>
            <w:r w:rsidRPr="00C907E1">
              <w:rPr>
                <w:rFonts w:ascii="Arial" w:hAnsi="Arial" w:cs="Arial"/>
                <w:sz w:val="20"/>
                <w:szCs w:val="20"/>
                <w:lang w:val="en-GB"/>
              </w:rPr>
              <w:t xml:space="preserve">Implementation </w:t>
            </w:r>
          </w:p>
        </w:tc>
        <w:tc>
          <w:tcPr>
            <w:tcW w:w="1842" w:type="dxa"/>
          </w:tcPr>
          <w:p w14:paraId="70ACC120" w14:textId="77777777" w:rsidR="00D01830" w:rsidRPr="00C907E1" w:rsidRDefault="00D01830" w:rsidP="0075304E">
            <w:pPr>
              <w:jc w:val="right"/>
              <w:rPr>
                <w:rFonts w:ascii="Arial" w:hAnsi="Arial" w:cs="Arial"/>
                <w:sz w:val="20"/>
                <w:szCs w:val="20"/>
                <w:lang w:val="en-GB"/>
              </w:rPr>
            </w:pPr>
            <w:r w:rsidRPr="00C907E1">
              <w:rPr>
                <w:rFonts w:ascii="Arial" w:hAnsi="Arial" w:cs="Arial"/>
                <w:sz w:val="20"/>
                <w:szCs w:val="20"/>
                <w:lang w:val="en-GB"/>
              </w:rPr>
              <w:t xml:space="preserve">Post intervention </w:t>
            </w:r>
          </w:p>
        </w:tc>
        <w:tc>
          <w:tcPr>
            <w:tcW w:w="1416" w:type="dxa"/>
          </w:tcPr>
          <w:p w14:paraId="2E79E48F" w14:textId="77777777" w:rsidR="00D01830" w:rsidRPr="00C907E1" w:rsidRDefault="00D01830" w:rsidP="0075304E">
            <w:pPr>
              <w:jc w:val="right"/>
              <w:rPr>
                <w:rFonts w:ascii="Arial" w:hAnsi="Arial" w:cs="Arial"/>
                <w:sz w:val="20"/>
                <w:szCs w:val="20"/>
                <w:lang w:val="en-GB"/>
              </w:rPr>
            </w:pPr>
            <w:r w:rsidRPr="00C907E1">
              <w:rPr>
                <w:rFonts w:ascii="Arial" w:hAnsi="Arial" w:cs="Arial"/>
                <w:sz w:val="20"/>
                <w:szCs w:val="20"/>
                <w:lang w:val="en-GB"/>
              </w:rPr>
              <w:t>Ratio</w:t>
            </w:r>
          </w:p>
        </w:tc>
      </w:tr>
      <w:tr w:rsidR="00D01830" w:rsidRPr="00C907E1" w14:paraId="4C5300DD" w14:textId="77777777" w:rsidTr="00CF29C7">
        <w:tc>
          <w:tcPr>
            <w:tcW w:w="1490" w:type="dxa"/>
          </w:tcPr>
          <w:p w14:paraId="20F50B4D" w14:textId="77777777" w:rsidR="00D01830" w:rsidRPr="00C907E1" w:rsidRDefault="00D01830" w:rsidP="0075304E">
            <w:pPr>
              <w:rPr>
                <w:rFonts w:ascii="Arial" w:hAnsi="Arial" w:cs="Arial"/>
                <w:sz w:val="20"/>
                <w:szCs w:val="20"/>
                <w:lang w:val="en-GB"/>
              </w:rPr>
            </w:pPr>
          </w:p>
        </w:tc>
        <w:tc>
          <w:tcPr>
            <w:tcW w:w="1639" w:type="dxa"/>
          </w:tcPr>
          <w:p w14:paraId="73BF5FF6" w14:textId="77777777" w:rsidR="00D01830" w:rsidRPr="00C907E1" w:rsidRDefault="00D01830" w:rsidP="0075304E">
            <w:pPr>
              <w:jc w:val="right"/>
              <w:rPr>
                <w:rFonts w:ascii="Arial" w:hAnsi="Arial" w:cs="Arial"/>
                <w:sz w:val="20"/>
                <w:szCs w:val="20"/>
                <w:lang w:val="en-GB"/>
              </w:rPr>
            </w:pPr>
            <w:r w:rsidRPr="00C907E1">
              <w:rPr>
                <w:rFonts w:ascii="Arial" w:hAnsi="Arial" w:cs="Arial"/>
                <w:sz w:val="20"/>
                <w:szCs w:val="20"/>
                <w:lang w:val="en-GB"/>
              </w:rPr>
              <w:t xml:space="preserve"> (A) </w:t>
            </w:r>
          </w:p>
        </w:tc>
        <w:tc>
          <w:tcPr>
            <w:tcW w:w="1089" w:type="dxa"/>
          </w:tcPr>
          <w:p w14:paraId="0FD15C27" w14:textId="77777777" w:rsidR="00D01830" w:rsidRPr="00C907E1" w:rsidRDefault="00D01830" w:rsidP="0075304E">
            <w:pPr>
              <w:jc w:val="right"/>
              <w:rPr>
                <w:rFonts w:ascii="Arial" w:hAnsi="Arial" w:cs="Arial"/>
                <w:sz w:val="20"/>
                <w:szCs w:val="20"/>
                <w:lang w:val="en-GB"/>
              </w:rPr>
            </w:pPr>
            <w:r w:rsidRPr="00C907E1">
              <w:rPr>
                <w:rFonts w:ascii="Arial" w:hAnsi="Arial" w:cs="Arial"/>
                <w:sz w:val="20"/>
                <w:szCs w:val="20"/>
                <w:lang w:val="en-GB"/>
              </w:rPr>
              <w:t xml:space="preserve"> (B) </w:t>
            </w:r>
          </w:p>
        </w:tc>
        <w:tc>
          <w:tcPr>
            <w:tcW w:w="1584" w:type="dxa"/>
          </w:tcPr>
          <w:p w14:paraId="6DC8FA57" w14:textId="77777777" w:rsidR="00D01830" w:rsidRPr="00C907E1" w:rsidRDefault="00D01830" w:rsidP="0075304E">
            <w:pPr>
              <w:jc w:val="right"/>
              <w:rPr>
                <w:rFonts w:ascii="Arial" w:hAnsi="Arial" w:cs="Arial"/>
                <w:sz w:val="20"/>
                <w:szCs w:val="20"/>
                <w:lang w:val="en-GB"/>
              </w:rPr>
            </w:pPr>
            <w:r w:rsidRPr="00C907E1">
              <w:rPr>
                <w:rFonts w:ascii="Arial" w:hAnsi="Arial" w:cs="Arial"/>
                <w:sz w:val="20"/>
                <w:szCs w:val="20"/>
                <w:lang w:val="en-GB"/>
              </w:rPr>
              <w:t xml:space="preserve"> (C) </w:t>
            </w:r>
          </w:p>
        </w:tc>
        <w:tc>
          <w:tcPr>
            <w:tcW w:w="1842" w:type="dxa"/>
          </w:tcPr>
          <w:p w14:paraId="5238C1F5" w14:textId="77777777" w:rsidR="00D01830" w:rsidRPr="00C907E1" w:rsidRDefault="00D01830" w:rsidP="0075304E">
            <w:pPr>
              <w:jc w:val="right"/>
              <w:rPr>
                <w:rFonts w:ascii="Arial" w:hAnsi="Arial" w:cs="Arial"/>
                <w:sz w:val="20"/>
                <w:szCs w:val="20"/>
                <w:lang w:val="en-GB"/>
              </w:rPr>
            </w:pPr>
            <w:r w:rsidRPr="00C907E1">
              <w:rPr>
                <w:rFonts w:ascii="Arial" w:hAnsi="Arial" w:cs="Arial"/>
                <w:sz w:val="20"/>
                <w:szCs w:val="20"/>
                <w:lang w:val="en-GB"/>
              </w:rPr>
              <w:t xml:space="preserve"> (D) </w:t>
            </w:r>
          </w:p>
        </w:tc>
        <w:tc>
          <w:tcPr>
            <w:tcW w:w="1416" w:type="dxa"/>
          </w:tcPr>
          <w:p w14:paraId="6675B2A3" w14:textId="77777777" w:rsidR="00D01830" w:rsidRPr="00C907E1" w:rsidRDefault="00D01830" w:rsidP="0075304E">
            <w:pPr>
              <w:jc w:val="right"/>
              <w:rPr>
                <w:rFonts w:ascii="Arial" w:hAnsi="Arial" w:cs="Arial"/>
                <w:sz w:val="20"/>
                <w:szCs w:val="20"/>
                <w:lang w:val="en-GB"/>
              </w:rPr>
            </w:pPr>
            <w:r w:rsidRPr="00C907E1">
              <w:rPr>
                <w:rFonts w:ascii="Arial" w:hAnsi="Arial" w:cs="Arial"/>
                <w:sz w:val="20"/>
                <w:szCs w:val="20"/>
                <w:lang w:val="en-GB"/>
              </w:rPr>
              <w:t xml:space="preserve"> (D/A)</w:t>
            </w:r>
          </w:p>
        </w:tc>
      </w:tr>
      <w:tr w:rsidR="00CF29C7" w:rsidRPr="006E0949" w14:paraId="2B93F7ED" w14:textId="77777777" w:rsidTr="00A81BCD">
        <w:tc>
          <w:tcPr>
            <w:tcW w:w="9060" w:type="dxa"/>
            <w:gridSpan w:val="6"/>
          </w:tcPr>
          <w:p w14:paraId="12358DF7" w14:textId="6D6FAD7E" w:rsidR="00CF29C7" w:rsidRPr="00BF1A2A" w:rsidRDefault="00CF29C7" w:rsidP="00BF1A2A">
            <w:pPr>
              <w:rPr>
                <w:rFonts w:ascii="Arial" w:hAnsi="Arial" w:cs="Arial"/>
                <w:b/>
                <w:sz w:val="20"/>
                <w:szCs w:val="20"/>
                <w:lang w:val="en-GB"/>
              </w:rPr>
            </w:pPr>
            <w:r w:rsidRPr="00BF1A2A">
              <w:rPr>
                <w:rFonts w:ascii="Arial" w:hAnsi="Arial" w:cs="Arial"/>
                <w:b/>
                <w:sz w:val="20"/>
                <w:szCs w:val="20"/>
                <w:lang w:val="en-GB"/>
              </w:rPr>
              <w:t>All age groups (10 to under 20)</w:t>
            </w:r>
          </w:p>
        </w:tc>
      </w:tr>
      <w:tr w:rsidR="00D01830" w:rsidRPr="00C907E1" w14:paraId="167DC8C4" w14:textId="77777777" w:rsidTr="00CF29C7">
        <w:tc>
          <w:tcPr>
            <w:tcW w:w="1490" w:type="dxa"/>
          </w:tcPr>
          <w:p w14:paraId="2754FC79" w14:textId="77777777" w:rsidR="00D01830" w:rsidRPr="00C907E1" w:rsidRDefault="00D01830" w:rsidP="0075304E">
            <w:pPr>
              <w:rPr>
                <w:rFonts w:ascii="Arial" w:hAnsi="Arial" w:cs="Arial"/>
                <w:sz w:val="20"/>
                <w:szCs w:val="20"/>
                <w:lang w:val="en-GB"/>
              </w:rPr>
            </w:pPr>
            <w:r w:rsidRPr="00C907E1">
              <w:rPr>
                <w:rFonts w:ascii="Arial" w:hAnsi="Arial" w:cs="Arial"/>
                <w:sz w:val="20"/>
                <w:szCs w:val="20"/>
                <w:lang w:val="en-GB"/>
              </w:rPr>
              <w:t xml:space="preserve">I </w:t>
            </w:r>
          </w:p>
        </w:tc>
        <w:tc>
          <w:tcPr>
            <w:tcW w:w="1639" w:type="dxa"/>
          </w:tcPr>
          <w:p w14:paraId="02666DCD" w14:textId="77777777" w:rsidR="00D01830" w:rsidRPr="00C907E1" w:rsidRDefault="00D01830" w:rsidP="0075304E">
            <w:pPr>
              <w:jc w:val="right"/>
              <w:rPr>
                <w:rFonts w:ascii="Arial" w:hAnsi="Arial" w:cs="Arial"/>
                <w:sz w:val="20"/>
                <w:szCs w:val="20"/>
                <w:lang w:val="en-GB"/>
              </w:rPr>
            </w:pPr>
            <w:r w:rsidRPr="00C907E1">
              <w:rPr>
                <w:rFonts w:ascii="Arial" w:hAnsi="Arial" w:cs="Arial"/>
                <w:sz w:val="20"/>
                <w:szCs w:val="20"/>
                <w:lang w:val="en-GB"/>
              </w:rPr>
              <w:t xml:space="preserve"> 58.2 </w:t>
            </w:r>
          </w:p>
        </w:tc>
        <w:tc>
          <w:tcPr>
            <w:tcW w:w="1089" w:type="dxa"/>
          </w:tcPr>
          <w:p w14:paraId="2E8EFBA9" w14:textId="77777777" w:rsidR="00D01830" w:rsidRPr="00C907E1" w:rsidRDefault="00D01830" w:rsidP="0075304E">
            <w:pPr>
              <w:jc w:val="right"/>
              <w:rPr>
                <w:rFonts w:ascii="Arial" w:hAnsi="Arial" w:cs="Arial"/>
                <w:sz w:val="20"/>
                <w:szCs w:val="20"/>
                <w:lang w:val="en-GB"/>
              </w:rPr>
            </w:pPr>
            <w:r w:rsidRPr="00C907E1">
              <w:rPr>
                <w:rFonts w:ascii="Arial" w:hAnsi="Arial" w:cs="Arial"/>
                <w:sz w:val="20"/>
                <w:szCs w:val="20"/>
                <w:lang w:val="en-GB"/>
              </w:rPr>
              <w:t xml:space="preserve"> 67.8 </w:t>
            </w:r>
          </w:p>
        </w:tc>
        <w:tc>
          <w:tcPr>
            <w:tcW w:w="1584" w:type="dxa"/>
          </w:tcPr>
          <w:p w14:paraId="3E593FFD" w14:textId="77777777" w:rsidR="00D01830" w:rsidRPr="00C907E1" w:rsidRDefault="00D01830" w:rsidP="0075304E">
            <w:pPr>
              <w:jc w:val="right"/>
              <w:rPr>
                <w:rFonts w:ascii="Arial" w:hAnsi="Arial" w:cs="Arial"/>
                <w:sz w:val="20"/>
                <w:szCs w:val="20"/>
                <w:lang w:val="en-GB"/>
              </w:rPr>
            </w:pPr>
            <w:r w:rsidRPr="00C907E1">
              <w:rPr>
                <w:rFonts w:ascii="Arial" w:hAnsi="Arial" w:cs="Arial"/>
                <w:sz w:val="20"/>
                <w:szCs w:val="20"/>
                <w:lang w:val="en-GB"/>
              </w:rPr>
              <w:t xml:space="preserve"> 84.7 </w:t>
            </w:r>
          </w:p>
        </w:tc>
        <w:tc>
          <w:tcPr>
            <w:tcW w:w="1842" w:type="dxa"/>
          </w:tcPr>
          <w:p w14:paraId="00F8A33B" w14:textId="77777777" w:rsidR="00D01830" w:rsidRPr="00C907E1" w:rsidRDefault="00D01830" w:rsidP="0075304E">
            <w:pPr>
              <w:jc w:val="right"/>
              <w:rPr>
                <w:rFonts w:ascii="Arial" w:hAnsi="Arial" w:cs="Arial"/>
                <w:sz w:val="20"/>
                <w:szCs w:val="20"/>
                <w:lang w:val="en-GB"/>
              </w:rPr>
            </w:pPr>
            <w:r w:rsidRPr="00C907E1">
              <w:rPr>
                <w:rFonts w:ascii="Arial" w:hAnsi="Arial" w:cs="Arial"/>
                <w:sz w:val="20"/>
                <w:szCs w:val="20"/>
                <w:lang w:val="en-GB"/>
              </w:rPr>
              <w:t xml:space="preserve"> 118.3 </w:t>
            </w:r>
          </w:p>
        </w:tc>
        <w:tc>
          <w:tcPr>
            <w:tcW w:w="1416" w:type="dxa"/>
          </w:tcPr>
          <w:p w14:paraId="5D9ACB80" w14:textId="77777777" w:rsidR="00D01830" w:rsidRPr="00C907E1" w:rsidRDefault="00D01830" w:rsidP="0075304E">
            <w:pPr>
              <w:jc w:val="right"/>
              <w:rPr>
                <w:rFonts w:ascii="Arial" w:hAnsi="Arial" w:cs="Arial"/>
                <w:sz w:val="20"/>
                <w:szCs w:val="20"/>
                <w:lang w:val="en-GB"/>
              </w:rPr>
            </w:pPr>
            <w:r w:rsidRPr="00C907E1">
              <w:rPr>
                <w:rFonts w:ascii="Arial" w:hAnsi="Arial" w:cs="Arial"/>
                <w:sz w:val="20"/>
                <w:szCs w:val="20"/>
                <w:lang w:val="en-GB"/>
              </w:rPr>
              <w:t xml:space="preserve"> 2.03</w:t>
            </w:r>
          </w:p>
        </w:tc>
      </w:tr>
      <w:tr w:rsidR="00D01830" w:rsidRPr="00C907E1" w14:paraId="48C33549" w14:textId="77777777" w:rsidTr="00CF29C7">
        <w:tc>
          <w:tcPr>
            <w:tcW w:w="1490" w:type="dxa"/>
          </w:tcPr>
          <w:p w14:paraId="728BCF48" w14:textId="77777777" w:rsidR="00D01830" w:rsidRPr="00C907E1" w:rsidRDefault="00D01830" w:rsidP="0075304E">
            <w:pPr>
              <w:rPr>
                <w:rFonts w:ascii="Arial" w:hAnsi="Arial" w:cs="Arial"/>
                <w:sz w:val="20"/>
                <w:szCs w:val="20"/>
                <w:lang w:val="en-GB"/>
              </w:rPr>
            </w:pPr>
            <w:r w:rsidRPr="00C907E1">
              <w:rPr>
                <w:rFonts w:ascii="Arial" w:hAnsi="Arial" w:cs="Arial"/>
                <w:sz w:val="20"/>
                <w:szCs w:val="20"/>
                <w:lang w:val="en-GB"/>
              </w:rPr>
              <w:t xml:space="preserve">II </w:t>
            </w:r>
          </w:p>
        </w:tc>
        <w:tc>
          <w:tcPr>
            <w:tcW w:w="1639" w:type="dxa"/>
          </w:tcPr>
          <w:p w14:paraId="789BF351" w14:textId="77777777" w:rsidR="00D01830" w:rsidRPr="00C907E1" w:rsidRDefault="00D01830" w:rsidP="0075304E">
            <w:pPr>
              <w:jc w:val="right"/>
              <w:rPr>
                <w:rFonts w:ascii="Arial" w:hAnsi="Arial" w:cs="Arial"/>
                <w:sz w:val="20"/>
                <w:szCs w:val="20"/>
                <w:lang w:val="en-GB"/>
              </w:rPr>
            </w:pPr>
            <w:r w:rsidRPr="00C907E1">
              <w:rPr>
                <w:rFonts w:ascii="Arial" w:hAnsi="Arial" w:cs="Arial"/>
                <w:sz w:val="20"/>
                <w:szCs w:val="20"/>
                <w:lang w:val="en-GB"/>
              </w:rPr>
              <w:t xml:space="preserve"> 2.9 </w:t>
            </w:r>
          </w:p>
        </w:tc>
        <w:tc>
          <w:tcPr>
            <w:tcW w:w="1089" w:type="dxa"/>
          </w:tcPr>
          <w:p w14:paraId="11D25580" w14:textId="77777777" w:rsidR="00D01830" w:rsidRPr="00C907E1" w:rsidRDefault="00D01830" w:rsidP="0075304E">
            <w:pPr>
              <w:jc w:val="right"/>
              <w:rPr>
                <w:rFonts w:ascii="Arial" w:hAnsi="Arial" w:cs="Arial"/>
                <w:sz w:val="20"/>
                <w:szCs w:val="20"/>
                <w:lang w:val="en-GB"/>
              </w:rPr>
            </w:pPr>
            <w:r w:rsidRPr="00C907E1">
              <w:rPr>
                <w:rFonts w:ascii="Arial" w:hAnsi="Arial" w:cs="Arial"/>
                <w:sz w:val="20"/>
                <w:szCs w:val="20"/>
                <w:lang w:val="en-GB"/>
              </w:rPr>
              <w:t xml:space="preserve"> 3.6 </w:t>
            </w:r>
          </w:p>
        </w:tc>
        <w:tc>
          <w:tcPr>
            <w:tcW w:w="1584" w:type="dxa"/>
          </w:tcPr>
          <w:p w14:paraId="4D26D8B4" w14:textId="77777777" w:rsidR="00D01830" w:rsidRPr="00C907E1" w:rsidRDefault="00D01830" w:rsidP="0075304E">
            <w:pPr>
              <w:jc w:val="right"/>
              <w:rPr>
                <w:rFonts w:ascii="Arial" w:hAnsi="Arial" w:cs="Arial"/>
                <w:sz w:val="20"/>
                <w:szCs w:val="20"/>
                <w:lang w:val="en-GB"/>
              </w:rPr>
            </w:pPr>
            <w:r w:rsidRPr="00C907E1">
              <w:rPr>
                <w:rFonts w:ascii="Arial" w:hAnsi="Arial" w:cs="Arial"/>
                <w:sz w:val="20"/>
                <w:szCs w:val="20"/>
                <w:lang w:val="en-GB"/>
              </w:rPr>
              <w:t xml:space="preserve"> 4.1 </w:t>
            </w:r>
          </w:p>
        </w:tc>
        <w:tc>
          <w:tcPr>
            <w:tcW w:w="1842" w:type="dxa"/>
          </w:tcPr>
          <w:p w14:paraId="66545CFC" w14:textId="77777777" w:rsidR="00D01830" w:rsidRPr="00C907E1" w:rsidRDefault="00D01830" w:rsidP="0075304E">
            <w:pPr>
              <w:jc w:val="right"/>
              <w:rPr>
                <w:rFonts w:ascii="Arial" w:hAnsi="Arial" w:cs="Arial"/>
                <w:sz w:val="20"/>
                <w:szCs w:val="20"/>
                <w:lang w:val="en-GB"/>
              </w:rPr>
            </w:pPr>
            <w:r w:rsidRPr="00C907E1">
              <w:rPr>
                <w:rFonts w:ascii="Arial" w:hAnsi="Arial" w:cs="Arial"/>
                <w:sz w:val="20"/>
                <w:szCs w:val="20"/>
                <w:lang w:val="en-GB"/>
              </w:rPr>
              <w:t xml:space="preserve"> 5.1 </w:t>
            </w:r>
          </w:p>
        </w:tc>
        <w:tc>
          <w:tcPr>
            <w:tcW w:w="1416" w:type="dxa"/>
          </w:tcPr>
          <w:p w14:paraId="4D802974" w14:textId="77777777" w:rsidR="00D01830" w:rsidRPr="00C907E1" w:rsidRDefault="00D01830" w:rsidP="0075304E">
            <w:pPr>
              <w:jc w:val="right"/>
              <w:rPr>
                <w:rFonts w:ascii="Arial" w:hAnsi="Arial" w:cs="Arial"/>
                <w:sz w:val="20"/>
                <w:szCs w:val="20"/>
                <w:lang w:val="en-GB"/>
              </w:rPr>
            </w:pPr>
            <w:r w:rsidRPr="00C907E1">
              <w:rPr>
                <w:rFonts w:ascii="Arial" w:hAnsi="Arial" w:cs="Arial"/>
                <w:sz w:val="20"/>
                <w:szCs w:val="20"/>
                <w:lang w:val="en-GB"/>
              </w:rPr>
              <w:t xml:space="preserve"> 1.76</w:t>
            </w:r>
          </w:p>
        </w:tc>
      </w:tr>
      <w:tr w:rsidR="00D01830" w:rsidRPr="00C907E1" w14:paraId="2F376528" w14:textId="77777777" w:rsidTr="00CF29C7">
        <w:tc>
          <w:tcPr>
            <w:tcW w:w="1490" w:type="dxa"/>
          </w:tcPr>
          <w:p w14:paraId="03E00BD0" w14:textId="77777777" w:rsidR="00D01830" w:rsidRPr="00C907E1" w:rsidRDefault="00D01830" w:rsidP="0075304E">
            <w:pPr>
              <w:rPr>
                <w:rFonts w:ascii="Arial" w:hAnsi="Arial" w:cs="Arial"/>
                <w:sz w:val="20"/>
                <w:szCs w:val="20"/>
                <w:lang w:val="en-GB"/>
              </w:rPr>
            </w:pPr>
            <w:r w:rsidRPr="00C907E1">
              <w:rPr>
                <w:rFonts w:ascii="Arial" w:hAnsi="Arial" w:cs="Arial"/>
                <w:sz w:val="20"/>
                <w:szCs w:val="20"/>
                <w:lang w:val="en-GB"/>
              </w:rPr>
              <w:t xml:space="preserve">III </w:t>
            </w:r>
          </w:p>
        </w:tc>
        <w:tc>
          <w:tcPr>
            <w:tcW w:w="1639" w:type="dxa"/>
          </w:tcPr>
          <w:p w14:paraId="4531D951" w14:textId="77777777" w:rsidR="00D01830" w:rsidRPr="00C907E1" w:rsidRDefault="00D01830" w:rsidP="0075304E">
            <w:pPr>
              <w:jc w:val="right"/>
              <w:rPr>
                <w:rFonts w:ascii="Arial" w:hAnsi="Arial" w:cs="Arial"/>
                <w:sz w:val="20"/>
                <w:szCs w:val="20"/>
                <w:lang w:val="en-GB"/>
              </w:rPr>
            </w:pPr>
            <w:r w:rsidRPr="00C907E1">
              <w:rPr>
                <w:rFonts w:ascii="Arial" w:hAnsi="Arial" w:cs="Arial"/>
                <w:sz w:val="20"/>
                <w:szCs w:val="20"/>
                <w:lang w:val="en-GB"/>
              </w:rPr>
              <w:t xml:space="preserve"> 27.3 </w:t>
            </w:r>
          </w:p>
        </w:tc>
        <w:tc>
          <w:tcPr>
            <w:tcW w:w="1089" w:type="dxa"/>
          </w:tcPr>
          <w:p w14:paraId="246ADF74" w14:textId="77777777" w:rsidR="00D01830" w:rsidRPr="00C907E1" w:rsidRDefault="00D01830" w:rsidP="0075304E">
            <w:pPr>
              <w:jc w:val="right"/>
              <w:rPr>
                <w:rFonts w:ascii="Arial" w:hAnsi="Arial" w:cs="Arial"/>
                <w:sz w:val="20"/>
                <w:szCs w:val="20"/>
                <w:lang w:val="en-GB"/>
              </w:rPr>
            </w:pPr>
            <w:r w:rsidRPr="00C907E1">
              <w:rPr>
                <w:rFonts w:ascii="Arial" w:hAnsi="Arial" w:cs="Arial"/>
                <w:sz w:val="20"/>
                <w:szCs w:val="20"/>
                <w:lang w:val="en-GB"/>
              </w:rPr>
              <w:t xml:space="preserve"> 24.4 </w:t>
            </w:r>
          </w:p>
        </w:tc>
        <w:tc>
          <w:tcPr>
            <w:tcW w:w="1584" w:type="dxa"/>
          </w:tcPr>
          <w:p w14:paraId="330B359D" w14:textId="77777777" w:rsidR="00D01830" w:rsidRPr="00C907E1" w:rsidRDefault="00D01830" w:rsidP="0075304E">
            <w:pPr>
              <w:jc w:val="right"/>
              <w:rPr>
                <w:rFonts w:ascii="Arial" w:hAnsi="Arial" w:cs="Arial"/>
                <w:sz w:val="20"/>
                <w:szCs w:val="20"/>
                <w:lang w:val="en-GB"/>
              </w:rPr>
            </w:pPr>
            <w:r w:rsidRPr="00C907E1">
              <w:rPr>
                <w:rFonts w:ascii="Arial" w:hAnsi="Arial" w:cs="Arial"/>
                <w:sz w:val="20"/>
                <w:szCs w:val="20"/>
                <w:lang w:val="en-GB"/>
              </w:rPr>
              <w:t xml:space="preserve"> 24.1 </w:t>
            </w:r>
          </w:p>
        </w:tc>
        <w:tc>
          <w:tcPr>
            <w:tcW w:w="1842" w:type="dxa"/>
          </w:tcPr>
          <w:p w14:paraId="5014A505" w14:textId="77777777" w:rsidR="00D01830" w:rsidRPr="00C907E1" w:rsidRDefault="00D01830" w:rsidP="0075304E">
            <w:pPr>
              <w:jc w:val="right"/>
              <w:rPr>
                <w:rFonts w:ascii="Arial" w:hAnsi="Arial" w:cs="Arial"/>
                <w:sz w:val="20"/>
                <w:szCs w:val="20"/>
                <w:lang w:val="en-GB"/>
              </w:rPr>
            </w:pPr>
            <w:r w:rsidRPr="00C907E1">
              <w:rPr>
                <w:rFonts w:ascii="Arial" w:hAnsi="Arial" w:cs="Arial"/>
                <w:sz w:val="20"/>
                <w:szCs w:val="20"/>
                <w:lang w:val="en-GB"/>
              </w:rPr>
              <w:t xml:space="preserve"> 21.7 </w:t>
            </w:r>
          </w:p>
        </w:tc>
        <w:tc>
          <w:tcPr>
            <w:tcW w:w="1416" w:type="dxa"/>
          </w:tcPr>
          <w:p w14:paraId="430B9A9E" w14:textId="77777777" w:rsidR="00D01830" w:rsidRPr="00C907E1" w:rsidRDefault="00D01830" w:rsidP="0075304E">
            <w:pPr>
              <w:jc w:val="right"/>
              <w:rPr>
                <w:rFonts w:ascii="Arial" w:hAnsi="Arial" w:cs="Arial"/>
                <w:sz w:val="20"/>
                <w:szCs w:val="20"/>
                <w:lang w:val="en-GB"/>
              </w:rPr>
            </w:pPr>
            <w:r w:rsidRPr="00C907E1">
              <w:rPr>
                <w:rFonts w:ascii="Arial" w:hAnsi="Arial" w:cs="Arial"/>
                <w:sz w:val="20"/>
                <w:szCs w:val="20"/>
                <w:lang w:val="en-GB"/>
              </w:rPr>
              <w:t xml:space="preserve"> 0.80</w:t>
            </w:r>
          </w:p>
        </w:tc>
      </w:tr>
      <w:tr w:rsidR="00D01830" w:rsidRPr="00C907E1" w14:paraId="2D9EC263" w14:textId="77777777" w:rsidTr="00CF29C7">
        <w:tc>
          <w:tcPr>
            <w:tcW w:w="1490" w:type="dxa"/>
          </w:tcPr>
          <w:p w14:paraId="7B308D7D" w14:textId="77777777" w:rsidR="00D01830" w:rsidRPr="00C907E1" w:rsidRDefault="00D01830" w:rsidP="0075304E">
            <w:pPr>
              <w:rPr>
                <w:rFonts w:ascii="Arial" w:hAnsi="Arial" w:cs="Arial"/>
                <w:sz w:val="20"/>
                <w:szCs w:val="20"/>
                <w:lang w:val="en-GB"/>
              </w:rPr>
            </w:pPr>
            <w:r w:rsidRPr="00C907E1">
              <w:rPr>
                <w:rFonts w:ascii="Arial" w:hAnsi="Arial" w:cs="Arial"/>
                <w:sz w:val="20"/>
                <w:szCs w:val="20"/>
                <w:lang w:val="en-GB"/>
              </w:rPr>
              <w:t xml:space="preserve">X </w:t>
            </w:r>
          </w:p>
        </w:tc>
        <w:tc>
          <w:tcPr>
            <w:tcW w:w="1639" w:type="dxa"/>
          </w:tcPr>
          <w:p w14:paraId="10B0EC13" w14:textId="77777777" w:rsidR="00D01830" w:rsidRPr="00C907E1" w:rsidRDefault="00D01830" w:rsidP="0075304E">
            <w:pPr>
              <w:jc w:val="right"/>
              <w:rPr>
                <w:rFonts w:ascii="Arial" w:hAnsi="Arial" w:cs="Arial"/>
                <w:sz w:val="20"/>
                <w:szCs w:val="20"/>
                <w:lang w:val="en-GB"/>
              </w:rPr>
            </w:pPr>
            <w:r w:rsidRPr="00C907E1">
              <w:rPr>
                <w:rFonts w:ascii="Arial" w:hAnsi="Arial" w:cs="Arial"/>
                <w:sz w:val="20"/>
                <w:szCs w:val="20"/>
                <w:lang w:val="en-GB"/>
              </w:rPr>
              <w:t xml:space="preserve"> 66.4 </w:t>
            </w:r>
          </w:p>
        </w:tc>
        <w:tc>
          <w:tcPr>
            <w:tcW w:w="1089" w:type="dxa"/>
          </w:tcPr>
          <w:p w14:paraId="6E5D4B86" w14:textId="77777777" w:rsidR="00D01830" w:rsidRPr="00C907E1" w:rsidRDefault="00D01830" w:rsidP="0075304E">
            <w:pPr>
              <w:jc w:val="right"/>
              <w:rPr>
                <w:rFonts w:ascii="Arial" w:hAnsi="Arial" w:cs="Arial"/>
                <w:sz w:val="20"/>
                <w:szCs w:val="20"/>
                <w:lang w:val="en-GB"/>
              </w:rPr>
            </w:pPr>
            <w:r w:rsidRPr="00C907E1">
              <w:rPr>
                <w:rFonts w:ascii="Arial" w:hAnsi="Arial" w:cs="Arial"/>
                <w:sz w:val="20"/>
                <w:szCs w:val="20"/>
                <w:lang w:val="en-GB"/>
              </w:rPr>
              <w:t xml:space="preserve"> 94.6 </w:t>
            </w:r>
          </w:p>
        </w:tc>
        <w:tc>
          <w:tcPr>
            <w:tcW w:w="1584" w:type="dxa"/>
          </w:tcPr>
          <w:p w14:paraId="0C273D7B" w14:textId="77777777" w:rsidR="00D01830" w:rsidRPr="00C907E1" w:rsidRDefault="00D01830" w:rsidP="0075304E">
            <w:pPr>
              <w:jc w:val="right"/>
              <w:rPr>
                <w:rFonts w:ascii="Arial" w:hAnsi="Arial" w:cs="Arial"/>
                <w:sz w:val="20"/>
                <w:szCs w:val="20"/>
                <w:lang w:val="en-GB"/>
              </w:rPr>
            </w:pPr>
            <w:r w:rsidRPr="00C907E1">
              <w:rPr>
                <w:rFonts w:ascii="Arial" w:hAnsi="Arial" w:cs="Arial"/>
                <w:sz w:val="20"/>
                <w:szCs w:val="20"/>
                <w:lang w:val="en-GB"/>
              </w:rPr>
              <w:t xml:space="preserve"> 112.2 </w:t>
            </w:r>
          </w:p>
        </w:tc>
        <w:tc>
          <w:tcPr>
            <w:tcW w:w="1842" w:type="dxa"/>
          </w:tcPr>
          <w:p w14:paraId="586E5D71" w14:textId="77777777" w:rsidR="00D01830" w:rsidRPr="00C907E1" w:rsidRDefault="00D01830" w:rsidP="0075304E">
            <w:pPr>
              <w:jc w:val="right"/>
              <w:rPr>
                <w:rFonts w:ascii="Arial" w:hAnsi="Arial" w:cs="Arial"/>
                <w:sz w:val="20"/>
                <w:szCs w:val="20"/>
                <w:lang w:val="en-GB"/>
              </w:rPr>
            </w:pPr>
            <w:r w:rsidRPr="00C907E1">
              <w:rPr>
                <w:rFonts w:ascii="Arial" w:hAnsi="Arial" w:cs="Arial"/>
                <w:sz w:val="20"/>
                <w:szCs w:val="20"/>
                <w:lang w:val="en-GB"/>
              </w:rPr>
              <w:t xml:space="preserve"> 125.6 </w:t>
            </w:r>
          </w:p>
        </w:tc>
        <w:tc>
          <w:tcPr>
            <w:tcW w:w="1416" w:type="dxa"/>
          </w:tcPr>
          <w:p w14:paraId="1D039603" w14:textId="77777777" w:rsidR="00D01830" w:rsidRPr="00C907E1" w:rsidRDefault="00D01830" w:rsidP="0075304E">
            <w:pPr>
              <w:jc w:val="right"/>
              <w:rPr>
                <w:rFonts w:ascii="Arial" w:hAnsi="Arial" w:cs="Arial"/>
                <w:sz w:val="20"/>
                <w:szCs w:val="20"/>
                <w:lang w:val="en-GB"/>
              </w:rPr>
            </w:pPr>
            <w:r w:rsidRPr="00C907E1">
              <w:rPr>
                <w:rFonts w:ascii="Arial" w:hAnsi="Arial" w:cs="Arial"/>
                <w:sz w:val="20"/>
                <w:szCs w:val="20"/>
                <w:lang w:val="en-GB"/>
              </w:rPr>
              <w:t xml:space="preserve"> 1.89</w:t>
            </w:r>
          </w:p>
        </w:tc>
      </w:tr>
      <w:tr w:rsidR="00D01830" w:rsidRPr="00C907E1" w14:paraId="409B43B2" w14:textId="77777777" w:rsidTr="00CF29C7">
        <w:tc>
          <w:tcPr>
            <w:tcW w:w="1490" w:type="dxa"/>
          </w:tcPr>
          <w:p w14:paraId="3E942CE0" w14:textId="77777777" w:rsidR="00D01830" w:rsidRPr="00C907E1" w:rsidRDefault="00D01830" w:rsidP="0075304E">
            <w:pPr>
              <w:rPr>
                <w:rFonts w:ascii="Arial" w:hAnsi="Arial" w:cs="Arial"/>
                <w:sz w:val="20"/>
                <w:szCs w:val="20"/>
                <w:lang w:val="en-GB"/>
              </w:rPr>
            </w:pPr>
            <w:r w:rsidRPr="00C907E1">
              <w:rPr>
                <w:rFonts w:ascii="Arial" w:hAnsi="Arial" w:cs="Arial"/>
                <w:sz w:val="20"/>
                <w:szCs w:val="20"/>
                <w:lang w:val="en-GB"/>
              </w:rPr>
              <w:t xml:space="preserve">Total </w:t>
            </w:r>
          </w:p>
        </w:tc>
        <w:tc>
          <w:tcPr>
            <w:tcW w:w="1639" w:type="dxa"/>
          </w:tcPr>
          <w:p w14:paraId="558A7034" w14:textId="77777777" w:rsidR="00D01830" w:rsidRPr="00C907E1" w:rsidRDefault="00D01830" w:rsidP="0075304E">
            <w:pPr>
              <w:jc w:val="right"/>
              <w:rPr>
                <w:rFonts w:ascii="Arial" w:hAnsi="Arial" w:cs="Arial"/>
                <w:sz w:val="20"/>
                <w:szCs w:val="20"/>
                <w:lang w:val="en-GB"/>
              </w:rPr>
            </w:pPr>
            <w:r w:rsidRPr="00C907E1">
              <w:rPr>
                <w:rFonts w:ascii="Arial" w:hAnsi="Arial" w:cs="Arial"/>
                <w:sz w:val="20"/>
                <w:szCs w:val="20"/>
                <w:lang w:val="en-GB"/>
              </w:rPr>
              <w:t xml:space="preserve"> 154.7 </w:t>
            </w:r>
          </w:p>
        </w:tc>
        <w:tc>
          <w:tcPr>
            <w:tcW w:w="1089" w:type="dxa"/>
          </w:tcPr>
          <w:p w14:paraId="3AFF6B22" w14:textId="77777777" w:rsidR="00D01830" w:rsidRPr="00C907E1" w:rsidRDefault="00D01830" w:rsidP="0075304E">
            <w:pPr>
              <w:jc w:val="right"/>
              <w:rPr>
                <w:rFonts w:ascii="Arial" w:hAnsi="Arial" w:cs="Arial"/>
                <w:sz w:val="20"/>
                <w:szCs w:val="20"/>
                <w:lang w:val="en-GB"/>
              </w:rPr>
            </w:pPr>
            <w:r w:rsidRPr="00C907E1">
              <w:rPr>
                <w:rFonts w:ascii="Arial" w:hAnsi="Arial" w:cs="Arial"/>
                <w:sz w:val="20"/>
                <w:szCs w:val="20"/>
                <w:lang w:val="en-GB"/>
              </w:rPr>
              <w:t xml:space="preserve"> 190.4 </w:t>
            </w:r>
          </w:p>
        </w:tc>
        <w:tc>
          <w:tcPr>
            <w:tcW w:w="1584" w:type="dxa"/>
          </w:tcPr>
          <w:p w14:paraId="73BDD4EF" w14:textId="77777777" w:rsidR="00D01830" w:rsidRPr="00C907E1" w:rsidRDefault="00D01830" w:rsidP="0075304E">
            <w:pPr>
              <w:jc w:val="right"/>
              <w:rPr>
                <w:rFonts w:ascii="Arial" w:hAnsi="Arial" w:cs="Arial"/>
                <w:sz w:val="20"/>
                <w:szCs w:val="20"/>
                <w:lang w:val="en-GB"/>
              </w:rPr>
            </w:pPr>
            <w:r w:rsidRPr="00C907E1">
              <w:rPr>
                <w:rFonts w:ascii="Arial" w:hAnsi="Arial" w:cs="Arial"/>
                <w:sz w:val="20"/>
                <w:szCs w:val="20"/>
                <w:lang w:val="en-GB"/>
              </w:rPr>
              <w:t xml:space="preserve"> 225.1 </w:t>
            </w:r>
          </w:p>
        </w:tc>
        <w:tc>
          <w:tcPr>
            <w:tcW w:w="1842" w:type="dxa"/>
          </w:tcPr>
          <w:p w14:paraId="549ED001" w14:textId="77777777" w:rsidR="00D01830" w:rsidRPr="00C907E1" w:rsidRDefault="00D01830" w:rsidP="0075304E">
            <w:pPr>
              <w:jc w:val="right"/>
              <w:rPr>
                <w:rFonts w:ascii="Arial" w:hAnsi="Arial" w:cs="Arial"/>
                <w:sz w:val="20"/>
                <w:szCs w:val="20"/>
                <w:lang w:val="en-GB"/>
              </w:rPr>
            </w:pPr>
            <w:r w:rsidRPr="00C907E1">
              <w:rPr>
                <w:rFonts w:ascii="Arial" w:hAnsi="Arial" w:cs="Arial"/>
                <w:sz w:val="20"/>
                <w:szCs w:val="20"/>
                <w:lang w:val="en-GB"/>
              </w:rPr>
              <w:t xml:space="preserve"> 270.7 </w:t>
            </w:r>
          </w:p>
        </w:tc>
        <w:tc>
          <w:tcPr>
            <w:tcW w:w="1416" w:type="dxa"/>
          </w:tcPr>
          <w:p w14:paraId="6B9EA7E1" w14:textId="77777777" w:rsidR="00D01830" w:rsidRPr="00C907E1" w:rsidRDefault="00D01830" w:rsidP="0075304E">
            <w:pPr>
              <w:jc w:val="right"/>
              <w:rPr>
                <w:rFonts w:ascii="Arial" w:hAnsi="Arial" w:cs="Arial"/>
                <w:sz w:val="20"/>
                <w:szCs w:val="20"/>
                <w:lang w:val="en-GB"/>
              </w:rPr>
            </w:pPr>
            <w:r w:rsidRPr="00C907E1">
              <w:rPr>
                <w:rFonts w:ascii="Arial" w:hAnsi="Arial" w:cs="Arial"/>
                <w:sz w:val="20"/>
                <w:szCs w:val="20"/>
                <w:lang w:val="en-GB"/>
              </w:rPr>
              <w:t xml:space="preserve"> 1.75</w:t>
            </w:r>
          </w:p>
        </w:tc>
      </w:tr>
      <w:tr w:rsidR="00CF29C7" w:rsidRPr="00C907E1" w14:paraId="50423C32" w14:textId="77777777" w:rsidTr="00CF29C7">
        <w:tc>
          <w:tcPr>
            <w:tcW w:w="1490" w:type="dxa"/>
          </w:tcPr>
          <w:p w14:paraId="6B7CB2CB" w14:textId="77777777" w:rsidR="00CF29C7" w:rsidRPr="00C907E1" w:rsidRDefault="00CF29C7" w:rsidP="0075304E">
            <w:pPr>
              <w:rPr>
                <w:rFonts w:ascii="Arial" w:hAnsi="Arial" w:cs="Arial"/>
                <w:sz w:val="20"/>
                <w:szCs w:val="20"/>
                <w:lang w:val="en-GB"/>
              </w:rPr>
            </w:pPr>
          </w:p>
        </w:tc>
        <w:tc>
          <w:tcPr>
            <w:tcW w:w="1639" w:type="dxa"/>
          </w:tcPr>
          <w:p w14:paraId="29E3F608" w14:textId="77777777" w:rsidR="00CF29C7" w:rsidRPr="00C907E1" w:rsidRDefault="00CF29C7" w:rsidP="0075304E">
            <w:pPr>
              <w:jc w:val="right"/>
              <w:rPr>
                <w:rFonts w:ascii="Arial" w:hAnsi="Arial" w:cs="Arial"/>
                <w:sz w:val="20"/>
                <w:szCs w:val="20"/>
                <w:lang w:val="en-GB"/>
              </w:rPr>
            </w:pPr>
          </w:p>
        </w:tc>
        <w:tc>
          <w:tcPr>
            <w:tcW w:w="1089" w:type="dxa"/>
          </w:tcPr>
          <w:p w14:paraId="2962541E" w14:textId="77777777" w:rsidR="00CF29C7" w:rsidRPr="00C907E1" w:rsidRDefault="00CF29C7" w:rsidP="0075304E">
            <w:pPr>
              <w:jc w:val="right"/>
              <w:rPr>
                <w:rFonts w:ascii="Arial" w:hAnsi="Arial" w:cs="Arial"/>
                <w:sz w:val="20"/>
                <w:szCs w:val="20"/>
                <w:lang w:val="en-GB"/>
              </w:rPr>
            </w:pPr>
          </w:p>
        </w:tc>
        <w:tc>
          <w:tcPr>
            <w:tcW w:w="1584" w:type="dxa"/>
          </w:tcPr>
          <w:p w14:paraId="3C41DA1E" w14:textId="77777777" w:rsidR="00CF29C7" w:rsidRPr="00C907E1" w:rsidRDefault="00CF29C7" w:rsidP="0075304E">
            <w:pPr>
              <w:jc w:val="right"/>
              <w:rPr>
                <w:rFonts w:ascii="Arial" w:hAnsi="Arial" w:cs="Arial"/>
                <w:sz w:val="20"/>
                <w:szCs w:val="20"/>
                <w:lang w:val="en-GB"/>
              </w:rPr>
            </w:pPr>
          </w:p>
        </w:tc>
        <w:tc>
          <w:tcPr>
            <w:tcW w:w="1842" w:type="dxa"/>
          </w:tcPr>
          <w:p w14:paraId="455974DC" w14:textId="77777777" w:rsidR="00CF29C7" w:rsidRPr="00C907E1" w:rsidRDefault="00CF29C7" w:rsidP="0075304E">
            <w:pPr>
              <w:jc w:val="right"/>
              <w:rPr>
                <w:rFonts w:ascii="Arial" w:hAnsi="Arial" w:cs="Arial"/>
                <w:sz w:val="20"/>
                <w:szCs w:val="20"/>
                <w:lang w:val="en-GB"/>
              </w:rPr>
            </w:pPr>
          </w:p>
        </w:tc>
        <w:tc>
          <w:tcPr>
            <w:tcW w:w="1416" w:type="dxa"/>
          </w:tcPr>
          <w:p w14:paraId="13E4EC19" w14:textId="77777777" w:rsidR="00CF29C7" w:rsidRPr="00C907E1" w:rsidRDefault="00CF29C7" w:rsidP="0075304E">
            <w:pPr>
              <w:jc w:val="right"/>
              <w:rPr>
                <w:rFonts w:ascii="Arial" w:hAnsi="Arial" w:cs="Arial"/>
                <w:sz w:val="20"/>
                <w:szCs w:val="20"/>
                <w:lang w:val="en-GB"/>
              </w:rPr>
            </w:pPr>
          </w:p>
        </w:tc>
      </w:tr>
      <w:tr w:rsidR="00D30F87" w:rsidRPr="00867361" w14:paraId="13388E8B" w14:textId="77777777" w:rsidTr="00A81BCD">
        <w:tc>
          <w:tcPr>
            <w:tcW w:w="9060" w:type="dxa"/>
            <w:gridSpan w:val="6"/>
          </w:tcPr>
          <w:p w14:paraId="26548329" w14:textId="7D46B956" w:rsidR="00D30F87" w:rsidRPr="00BF1A2A" w:rsidRDefault="00D30F87" w:rsidP="00BF1A2A">
            <w:pPr>
              <w:rPr>
                <w:rFonts w:ascii="Arial" w:hAnsi="Arial" w:cs="Arial"/>
                <w:b/>
                <w:sz w:val="20"/>
                <w:szCs w:val="20"/>
                <w:lang w:val="en-GB"/>
              </w:rPr>
            </w:pPr>
            <w:r w:rsidRPr="00BF1A2A">
              <w:rPr>
                <w:rFonts w:ascii="Arial" w:hAnsi="Arial" w:cs="Arial"/>
                <w:b/>
                <w:sz w:val="20"/>
                <w:szCs w:val="20"/>
                <w:lang w:val="en-GB"/>
              </w:rPr>
              <w:t>Subgroup 15 to under 20</w:t>
            </w:r>
          </w:p>
        </w:tc>
      </w:tr>
      <w:tr w:rsidR="00D30F87" w:rsidRPr="00867361" w14:paraId="5A70636E" w14:textId="77777777" w:rsidTr="00CF29C7">
        <w:tc>
          <w:tcPr>
            <w:tcW w:w="1490" w:type="dxa"/>
          </w:tcPr>
          <w:p w14:paraId="378E93B3" w14:textId="20278158" w:rsidR="00D30F87" w:rsidRPr="00867361" w:rsidRDefault="00D30F87" w:rsidP="00D30F87">
            <w:pPr>
              <w:rPr>
                <w:rFonts w:ascii="Arial" w:hAnsi="Arial" w:cs="Arial"/>
                <w:sz w:val="20"/>
                <w:szCs w:val="20"/>
                <w:lang w:val="en-GB"/>
              </w:rPr>
            </w:pPr>
            <w:r w:rsidRPr="00867361">
              <w:rPr>
                <w:rFonts w:ascii="Arial" w:hAnsi="Arial" w:cs="Arial"/>
                <w:sz w:val="20"/>
                <w:szCs w:val="20"/>
                <w:lang w:val="en-GB"/>
              </w:rPr>
              <w:t xml:space="preserve">I </w:t>
            </w:r>
          </w:p>
        </w:tc>
        <w:tc>
          <w:tcPr>
            <w:tcW w:w="1639" w:type="dxa"/>
          </w:tcPr>
          <w:p w14:paraId="73C50CE5" w14:textId="2E770D1B" w:rsidR="00D30F87" w:rsidRPr="00867361" w:rsidRDefault="00552DA8" w:rsidP="00D30F87">
            <w:pPr>
              <w:jc w:val="right"/>
              <w:rPr>
                <w:rFonts w:ascii="Arial" w:hAnsi="Arial" w:cs="Arial"/>
                <w:sz w:val="20"/>
                <w:szCs w:val="20"/>
                <w:lang w:val="en-GB"/>
              </w:rPr>
            </w:pPr>
            <w:r w:rsidRPr="00BF1A2A">
              <w:rPr>
                <w:rFonts w:ascii="Arial" w:hAnsi="Arial" w:cs="Arial"/>
                <w:sz w:val="20"/>
                <w:szCs w:val="20"/>
                <w:lang w:val="en-GB"/>
              </w:rPr>
              <w:t>83.5</w:t>
            </w:r>
          </w:p>
        </w:tc>
        <w:tc>
          <w:tcPr>
            <w:tcW w:w="1089" w:type="dxa"/>
          </w:tcPr>
          <w:p w14:paraId="698CA958" w14:textId="68EE9431" w:rsidR="00D30F87" w:rsidRPr="00867361" w:rsidRDefault="00552DA8" w:rsidP="00D30F87">
            <w:pPr>
              <w:jc w:val="right"/>
              <w:rPr>
                <w:rFonts w:ascii="Arial" w:hAnsi="Arial" w:cs="Arial"/>
                <w:sz w:val="20"/>
                <w:szCs w:val="20"/>
                <w:lang w:val="en-GB"/>
              </w:rPr>
            </w:pPr>
            <w:r w:rsidRPr="00BF1A2A">
              <w:rPr>
                <w:rFonts w:ascii="Arial" w:hAnsi="Arial" w:cs="Arial"/>
                <w:sz w:val="20"/>
                <w:szCs w:val="20"/>
                <w:lang w:val="en-GB"/>
              </w:rPr>
              <w:t>83.2</w:t>
            </w:r>
          </w:p>
        </w:tc>
        <w:tc>
          <w:tcPr>
            <w:tcW w:w="1584" w:type="dxa"/>
          </w:tcPr>
          <w:p w14:paraId="5449946C" w14:textId="5296793F" w:rsidR="00D30F87" w:rsidRPr="00867361" w:rsidRDefault="00552DA8" w:rsidP="00D30F87">
            <w:pPr>
              <w:jc w:val="right"/>
              <w:rPr>
                <w:rFonts w:ascii="Arial" w:hAnsi="Arial" w:cs="Arial"/>
                <w:sz w:val="20"/>
                <w:szCs w:val="20"/>
                <w:lang w:val="en-GB"/>
              </w:rPr>
            </w:pPr>
            <w:r w:rsidRPr="00BF1A2A">
              <w:rPr>
                <w:rFonts w:ascii="Arial" w:hAnsi="Arial" w:cs="Arial"/>
                <w:sz w:val="20"/>
                <w:szCs w:val="20"/>
                <w:lang w:val="en-GB"/>
              </w:rPr>
              <w:t>93.1</w:t>
            </w:r>
          </w:p>
        </w:tc>
        <w:tc>
          <w:tcPr>
            <w:tcW w:w="1842" w:type="dxa"/>
          </w:tcPr>
          <w:p w14:paraId="25CFCBF4" w14:textId="6AF3E73A" w:rsidR="00D30F87" w:rsidRPr="00867361" w:rsidRDefault="00552DA8" w:rsidP="00D30F87">
            <w:pPr>
              <w:jc w:val="right"/>
              <w:rPr>
                <w:rFonts w:ascii="Arial" w:hAnsi="Arial" w:cs="Arial"/>
                <w:sz w:val="20"/>
                <w:szCs w:val="20"/>
                <w:lang w:val="en-GB"/>
              </w:rPr>
            </w:pPr>
            <w:r w:rsidRPr="00BF1A2A">
              <w:rPr>
                <w:rFonts w:ascii="Arial" w:hAnsi="Arial" w:cs="Arial"/>
                <w:sz w:val="20"/>
                <w:szCs w:val="20"/>
                <w:lang w:val="en-GB"/>
              </w:rPr>
              <w:t>120.6</w:t>
            </w:r>
          </w:p>
        </w:tc>
        <w:tc>
          <w:tcPr>
            <w:tcW w:w="1416" w:type="dxa"/>
          </w:tcPr>
          <w:p w14:paraId="2FD00584" w14:textId="5F62F4F1" w:rsidR="00D30F87" w:rsidRPr="00867361" w:rsidRDefault="00552DA8" w:rsidP="00D30F87">
            <w:pPr>
              <w:jc w:val="right"/>
              <w:rPr>
                <w:rFonts w:ascii="Arial" w:hAnsi="Arial" w:cs="Arial"/>
                <w:sz w:val="20"/>
                <w:szCs w:val="20"/>
                <w:lang w:val="en-GB"/>
              </w:rPr>
            </w:pPr>
            <w:r w:rsidRPr="00BF1A2A">
              <w:rPr>
                <w:rFonts w:ascii="Arial" w:hAnsi="Arial" w:cs="Arial"/>
                <w:sz w:val="20"/>
                <w:szCs w:val="20"/>
                <w:lang w:val="en-GB"/>
              </w:rPr>
              <w:t>1.45</w:t>
            </w:r>
          </w:p>
        </w:tc>
      </w:tr>
      <w:tr w:rsidR="00D30F87" w:rsidRPr="00867361" w14:paraId="68436CD0" w14:textId="77777777" w:rsidTr="00CF29C7">
        <w:tc>
          <w:tcPr>
            <w:tcW w:w="1490" w:type="dxa"/>
          </w:tcPr>
          <w:p w14:paraId="7980F4CB" w14:textId="2699CD09" w:rsidR="00D30F87" w:rsidRPr="00867361" w:rsidRDefault="00D30F87" w:rsidP="00D30F87">
            <w:pPr>
              <w:rPr>
                <w:rFonts w:ascii="Arial" w:hAnsi="Arial" w:cs="Arial"/>
                <w:sz w:val="20"/>
                <w:szCs w:val="20"/>
                <w:lang w:val="en-GB"/>
              </w:rPr>
            </w:pPr>
            <w:r w:rsidRPr="00867361">
              <w:rPr>
                <w:rFonts w:ascii="Arial" w:hAnsi="Arial" w:cs="Arial"/>
                <w:sz w:val="20"/>
                <w:szCs w:val="20"/>
                <w:lang w:val="en-GB"/>
              </w:rPr>
              <w:t xml:space="preserve">II </w:t>
            </w:r>
          </w:p>
        </w:tc>
        <w:tc>
          <w:tcPr>
            <w:tcW w:w="1639" w:type="dxa"/>
          </w:tcPr>
          <w:p w14:paraId="633C162A" w14:textId="7872FD34" w:rsidR="00D30F87" w:rsidRPr="00867361" w:rsidRDefault="00552DA8" w:rsidP="00D30F87">
            <w:pPr>
              <w:jc w:val="right"/>
              <w:rPr>
                <w:rFonts w:ascii="Arial" w:hAnsi="Arial" w:cs="Arial"/>
                <w:sz w:val="20"/>
                <w:szCs w:val="20"/>
                <w:lang w:val="en-GB"/>
              </w:rPr>
            </w:pPr>
            <w:r w:rsidRPr="00BF1A2A">
              <w:rPr>
                <w:rFonts w:ascii="Arial" w:hAnsi="Arial" w:cs="Arial"/>
                <w:sz w:val="20"/>
                <w:szCs w:val="20"/>
                <w:lang w:val="en-GB"/>
              </w:rPr>
              <w:t>4.4</w:t>
            </w:r>
          </w:p>
        </w:tc>
        <w:tc>
          <w:tcPr>
            <w:tcW w:w="1089" w:type="dxa"/>
          </w:tcPr>
          <w:p w14:paraId="132B445E" w14:textId="6B588F76" w:rsidR="00D30F87" w:rsidRPr="00867361" w:rsidRDefault="00552DA8" w:rsidP="00D30F87">
            <w:pPr>
              <w:jc w:val="right"/>
              <w:rPr>
                <w:rFonts w:ascii="Arial" w:hAnsi="Arial" w:cs="Arial"/>
                <w:sz w:val="20"/>
                <w:szCs w:val="20"/>
                <w:lang w:val="en-GB"/>
              </w:rPr>
            </w:pPr>
            <w:r w:rsidRPr="00BF1A2A">
              <w:rPr>
                <w:rFonts w:ascii="Arial" w:hAnsi="Arial" w:cs="Arial"/>
                <w:sz w:val="20"/>
                <w:szCs w:val="20"/>
                <w:lang w:val="en-GB"/>
              </w:rPr>
              <w:t>4.6</w:t>
            </w:r>
          </w:p>
        </w:tc>
        <w:tc>
          <w:tcPr>
            <w:tcW w:w="1584" w:type="dxa"/>
          </w:tcPr>
          <w:p w14:paraId="7DEA8E54" w14:textId="7CE8ED5C" w:rsidR="00D30F87" w:rsidRPr="00867361" w:rsidRDefault="00552DA8" w:rsidP="00D30F87">
            <w:pPr>
              <w:jc w:val="right"/>
              <w:rPr>
                <w:rFonts w:ascii="Arial" w:hAnsi="Arial" w:cs="Arial"/>
                <w:sz w:val="20"/>
                <w:szCs w:val="20"/>
                <w:lang w:val="en-GB"/>
              </w:rPr>
            </w:pPr>
            <w:r w:rsidRPr="00BF1A2A">
              <w:rPr>
                <w:rFonts w:ascii="Arial" w:hAnsi="Arial" w:cs="Arial"/>
                <w:sz w:val="20"/>
                <w:szCs w:val="20"/>
                <w:lang w:val="en-GB"/>
              </w:rPr>
              <w:t>4.8</w:t>
            </w:r>
          </w:p>
        </w:tc>
        <w:tc>
          <w:tcPr>
            <w:tcW w:w="1842" w:type="dxa"/>
          </w:tcPr>
          <w:p w14:paraId="2A6337F5" w14:textId="7CBE2DCF" w:rsidR="00D30F87" w:rsidRPr="00867361" w:rsidRDefault="00552DA8" w:rsidP="00D30F87">
            <w:pPr>
              <w:jc w:val="right"/>
              <w:rPr>
                <w:rFonts w:ascii="Arial" w:hAnsi="Arial" w:cs="Arial"/>
                <w:sz w:val="20"/>
                <w:szCs w:val="20"/>
                <w:lang w:val="en-GB"/>
              </w:rPr>
            </w:pPr>
            <w:r w:rsidRPr="00BF1A2A">
              <w:rPr>
                <w:rFonts w:ascii="Arial" w:hAnsi="Arial" w:cs="Arial"/>
                <w:sz w:val="20"/>
                <w:szCs w:val="20"/>
                <w:lang w:val="en-GB"/>
              </w:rPr>
              <w:t>5.5</w:t>
            </w:r>
          </w:p>
        </w:tc>
        <w:tc>
          <w:tcPr>
            <w:tcW w:w="1416" w:type="dxa"/>
          </w:tcPr>
          <w:p w14:paraId="3B668D31" w14:textId="44080952" w:rsidR="00D30F87" w:rsidRPr="00867361" w:rsidRDefault="00552DA8" w:rsidP="00D30F87">
            <w:pPr>
              <w:jc w:val="right"/>
              <w:rPr>
                <w:rFonts w:ascii="Arial" w:hAnsi="Arial" w:cs="Arial"/>
                <w:sz w:val="20"/>
                <w:szCs w:val="20"/>
                <w:lang w:val="en-GB"/>
              </w:rPr>
            </w:pPr>
            <w:r w:rsidRPr="00BF1A2A">
              <w:rPr>
                <w:rFonts w:ascii="Arial" w:hAnsi="Arial" w:cs="Arial"/>
                <w:sz w:val="20"/>
                <w:szCs w:val="20"/>
                <w:lang w:val="en-GB"/>
              </w:rPr>
              <w:t>1.24</w:t>
            </w:r>
          </w:p>
        </w:tc>
      </w:tr>
      <w:tr w:rsidR="00D30F87" w:rsidRPr="00867361" w14:paraId="641B5D29" w14:textId="77777777" w:rsidTr="00CF29C7">
        <w:tc>
          <w:tcPr>
            <w:tcW w:w="1490" w:type="dxa"/>
          </w:tcPr>
          <w:p w14:paraId="7BA2B5ED" w14:textId="755B915B" w:rsidR="00D30F87" w:rsidRPr="00867361" w:rsidRDefault="00D30F87" w:rsidP="00D30F87">
            <w:pPr>
              <w:rPr>
                <w:rFonts w:ascii="Arial" w:hAnsi="Arial" w:cs="Arial"/>
                <w:sz w:val="20"/>
                <w:szCs w:val="20"/>
                <w:lang w:val="en-GB"/>
              </w:rPr>
            </w:pPr>
            <w:r w:rsidRPr="00867361">
              <w:rPr>
                <w:rFonts w:ascii="Arial" w:hAnsi="Arial" w:cs="Arial"/>
                <w:sz w:val="20"/>
                <w:szCs w:val="20"/>
                <w:lang w:val="en-GB"/>
              </w:rPr>
              <w:t xml:space="preserve">III </w:t>
            </w:r>
          </w:p>
        </w:tc>
        <w:tc>
          <w:tcPr>
            <w:tcW w:w="1639" w:type="dxa"/>
          </w:tcPr>
          <w:p w14:paraId="2C2A4839" w14:textId="6BCF238A" w:rsidR="00D30F87" w:rsidRPr="00867361" w:rsidRDefault="00552DA8" w:rsidP="00D30F87">
            <w:pPr>
              <w:jc w:val="right"/>
              <w:rPr>
                <w:rFonts w:ascii="Arial" w:hAnsi="Arial" w:cs="Arial"/>
                <w:sz w:val="20"/>
                <w:szCs w:val="20"/>
                <w:lang w:val="en-GB"/>
              </w:rPr>
            </w:pPr>
            <w:r w:rsidRPr="00BF1A2A">
              <w:rPr>
                <w:rFonts w:ascii="Arial" w:hAnsi="Arial" w:cs="Arial"/>
                <w:sz w:val="20"/>
                <w:szCs w:val="20"/>
                <w:lang w:val="en-GB"/>
              </w:rPr>
              <w:t>41.1</w:t>
            </w:r>
          </w:p>
        </w:tc>
        <w:tc>
          <w:tcPr>
            <w:tcW w:w="1089" w:type="dxa"/>
          </w:tcPr>
          <w:p w14:paraId="6D2187C0" w14:textId="5415E9DD" w:rsidR="00D30F87" w:rsidRPr="00867361" w:rsidRDefault="00552DA8" w:rsidP="00D30F87">
            <w:pPr>
              <w:jc w:val="right"/>
              <w:rPr>
                <w:rFonts w:ascii="Arial" w:hAnsi="Arial" w:cs="Arial"/>
                <w:sz w:val="20"/>
                <w:szCs w:val="20"/>
                <w:lang w:val="en-GB"/>
              </w:rPr>
            </w:pPr>
            <w:r w:rsidRPr="00BF1A2A">
              <w:rPr>
                <w:rFonts w:ascii="Arial" w:hAnsi="Arial" w:cs="Arial"/>
                <w:sz w:val="20"/>
                <w:szCs w:val="20"/>
                <w:lang w:val="en-GB"/>
              </w:rPr>
              <w:t>30.8</w:t>
            </w:r>
          </w:p>
        </w:tc>
        <w:tc>
          <w:tcPr>
            <w:tcW w:w="1584" w:type="dxa"/>
          </w:tcPr>
          <w:p w14:paraId="3A61B0CF" w14:textId="31416B9C" w:rsidR="00D30F87" w:rsidRPr="00867361" w:rsidRDefault="00552DA8" w:rsidP="00D30F87">
            <w:pPr>
              <w:jc w:val="right"/>
              <w:rPr>
                <w:rFonts w:ascii="Arial" w:hAnsi="Arial" w:cs="Arial"/>
                <w:sz w:val="20"/>
                <w:szCs w:val="20"/>
                <w:lang w:val="en-GB"/>
              </w:rPr>
            </w:pPr>
            <w:r w:rsidRPr="00BF1A2A">
              <w:rPr>
                <w:rFonts w:ascii="Arial" w:hAnsi="Arial" w:cs="Arial"/>
                <w:sz w:val="20"/>
                <w:szCs w:val="20"/>
                <w:lang w:val="en-GB"/>
              </w:rPr>
              <w:t>27.7</w:t>
            </w:r>
          </w:p>
        </w:tc>
        <w:tc>
          <w:tcPr>
            <w:tcW w:w="1842" w:type="dxa"/>
          </w:tcPr>
          <w:p w14:paraId="50C8C9F1" w14:textId="3B2F734D" w:rsidR="00D30F87" w:rsidRPr="00867361" w:rsidRDefault="00552DA8" w:rsidP="00D30F87">
            <w:pPr>
              <w:jc w:val="right"/>
              <w:rPr>
                <w:rFonts w:ascii="Arial" w:hAnsi="Arial" w:cs="Arial"/>
                <w:sz w:val="20"/>
                <w:szCs w:val="20"/>
                <w:lang w:val="en-GB"/>
              </w:rPr>
            </w:pPr>
            <w:r w:rsidRPr="00BF1A2A">
              <w:rPr>
                <w:rFonts w:ascii="Arial" w:hAnsi="Arial" w:cs="Arial"/>
                <w:sz w:val="20"/>
                <w:szCs w:val="20"/>
                <w:lang w:val="en-GB"/>
              </w:rPr>
              <w:t>23.4</w:t>
            </w:r>
          </w:p>
        </w:tc>
        <w:tc>
          <w:tcPr>
            <w:tcW w:w="1416" w:type="dxa"/>
          </w:tcPr>
          <w:p w14:paraId="41F80D19" w14:textId="7CA96774" w:rsidR="00D30F87" w:rsidRPr="00867361" w:rsidRDefault="00552DA8" w:rsidP="00D30F87">
            <w:pPr>
              <w:jc w:val="right"/>
              <w:rPr>
                <w:rFonts w:ascii="Arial" w:hAnsi="Arial" w:cs="Arial"/>
                <w:sz w:val="20"/>
                <w:szCs w:val="20"/>
                <w:lang w:val="en-GB"/>
              </w:rPr>
            </w:pPr>
            <w:r w:rsidRPr="00BF1A2A">
              <w:rPr>
                <w:rFonts w:ascii="Arial" w:hAnsi="Arial" w:cs="Arial"/>
                <w:sz w:val="20"/>
                <w:szCs w:val="20"/>
                <w:lang w:val="en-GB"/>
              </w:rPr>
              <w:t>0.57</w:t>
            </w:r>
          </w:p>
        </w:tc>
      </w:tr>
      <w:tr w:rsidR="00D30F87" w:rsidRPr="00867361" w14:paraId="4F29D06F" w14:textId="77777777" w:rsidTr="00CF29C7">
        <w:tc>
          <w:tcPr>
            <w:tcW w:w="1490" w:type="dxa"/>
          </w:tcPr>
          <w:p w14:paraId="11A2BD80" w14:textId="54E44E03" w:rsidR="00D30F87" w:rsidRPr="00867361" w:rsidRDefault="00D30F87" w:rsidP="00D30F87">
            <w:pPr>
              <w:rPr>
                <w:rFonts w:ascii="Arial" w:hAnsi="Arial" w:cs="Arial"/>
                <w:sz w:val="20"/>
                <w:szCs w:val="20"/>
                <w:lang w:val="en-GB"/>
              </w:rPr>
            </w:pPr>
            <w:r w:rsidRPr="00867361">
              <w:rPr>
                <w:rFonts w:ascii="Arial" w:hAnsi="Arial" w:cs="Arial"/>
                <w:sz w:val="20"/>
                <w:szCs w:val="20"/>
                <w:lang w:val="en-GB"/>
              </w:rPr>
              <w:t xml:space="preserve">X </w:t>
            </w:r>
          </w:p>
        </w:tc>
        <w:tc>
          <w:tcPr>
            <w:tcW w:w="1639" w:type="dxa"/>
          </w:tcPr>
          <w:p w14:paraId="2B4C9099" w14:textId="6F6E78E4" w:rsidR="00D30F87" w:rsidRPr="00867361" w:rsidRDefault="00552DA8" w:rsidP="00D30F87">
            <w:pPr>
              <w:jc w:val="right"/>
              <w:rPr>
                <w:rFonts w:ascii="Arial" w:hAnsi="Arial" w:cs="Arial"/>
                <w:sz w:val="20"/>
                <w:szCs w:val="20"/>
                <w:lang w:val="en-GB"/>
              </w:rPr>
            </w:pPr>
            <w:r w:rsidRPr="00BF1A2A">
              <w:rPr>
                <w:rFonts w:ascii="Arial" w:hAnsi="Arial" w:cs="Arial"/>
                <w:sz w:val="20"/>
                <w:szCs w:val="20"/>
                <w:lang w:val="en-GB"/>
              </w:rPr>
              <w:t>96.2</w:t>
            </w:r>
          </w:p>
        </w:tc>
        <w:tc>
          <w:tcPr>
            <w:tcW w:w="1089" w:type="dxa"/>
          </w:tcPr>
          <w:p w14:paraId="335400CB" w14:textId="3956634C" w:rsidR="00D30F87" w:rsidRPr="00867361" w:rsidRDefault="00552DA8" w:rsidP="00D30F87">
            <w:pPr>
              <w:jc w:val="right"/>
              <w:rPr>
                <w:rFonts w:ascii="Arial" w:hAnsi="Arial" w:cs="Arial"/>
                <w:sz w:val="20"/>
                <w:szCs w:val="20"/>
                <w:lang w:val="en-GB"/>
              </w:rPr>
            </w:pPr>
            <w:r w:rsidRPr="00BF1A2A">
              <w:rPr>
                <w:rFonts w:ascii="Arial" w:hAnsi="Arial" w:cs="Arial"/>
                <w:sz w:val="20"/>
                <w:szCs w:val="20"/>
                <w:lang w:val="en-GB"/>
              </w:rPr>
              <w:t>117.0</w:t>
            </w:r>
          </w:p>
        </w:tc>
        <w:tc>
          <w:tcPr>
            <w:tcW w:w="1584" w:type="dxa"/>
          </w:tcPr>
          <w:p w14:paraId="38AF42F7" w14:textId="338A5795" w:rsidR="00D30F87" w:rsidRPr="00867361" w:rsidRDefault="00552DA8" w:rsidP="00D30F87">
            <w:pPr>
              <w:jc w:val="right"/>
              <w:rPr>
                <w:rFonts w:ascii="Arial" w:hAnsi="Arial" w:cs="Arial"/>
                <w:sz w:val="20"/>
                <w:szCs w:val="20"/>
                <w:lang w:val="en-GB"/>
              </w:rPr>
            </w:pPr>
            <w:r w:rsidRPr="00BF1A2A">
              <w:rPr>
                <w:rFonts w:ascii="Arial" w:hAnsi="Arial" w:cs="Arial"/>
                <w:sz w:val="20"/>
                <w:szCs w:val="20"/>
                <w:lang w:val="en-GB"/>
              </w:rPr>
              <w:t>127.0</w:t>
            </w:r>
          </w:p>
        </w:tc>
        <w:tc>
          <w:tcPr>
            <w:tcW w:w="1842" w:type="dxa"/>
          </w:tcPr>
          <w:p w14:paraId="36A8C1B1" w14:textId="366436EA" w:rsidR="00D30F87" w:rsidRPr="00867361" w:rsidRDefault="00614A39" w:rsidP="00D30F87">
            <w:pPr>
              <w:jc w:val="right"/>
              <w:rPr>
                <w:rFonts w:ascii="Arial" w:hAnsi="Arial" w:cs="Arial"/>
                <w:sz w:val="20"/>
                <w:szCs w:val="20"/>
                <w:lang w:val="en-GB"/>
              </w:rPr>
            </w:pPr>
            <w:r w:rsidRPr="00BF1A2A">
              <w:rPr>
                <w:rFonts w:ascii="Arial" w:hAnsi="Arial" w:cs="Arial"/>
                <w:sz w:val="20"/>
                <w:szCs w:val="20"/>
                <w:lang w:val="en-GB"/>
              </w:rPr>
              <w:t>132.7</w:t>
            </w:r>
          </w:p>
        </w:tc>
        <w:tc>
          <w:tcPr>
            <w:tcW w:w="1416" w:type="dxa"/>
          </w:tcPr>
          <w:p w14:paraId="031B737A" w14:textId="55F04D7F" w:rsidR="00D30F87" w:rsidRPr="00867361" w:rsidRDefault="00614A39" w:rsidP="00D30F87">
            <w:pPr>
              <w:jc w:val="right"/>
              <w:rPr>
                <w:rFonts w:ascii="Arial" w:hAnsi="Arial" w:cs="Arial"/>
                <w:sz w:val="20"/>
                <w:szCs w:val="20"/>
                <w:lang w:val="en-GB"/>
              </w:rPr>
            </w:pPr>
            <w:r w:rsidRPr="00BF1A2A">
              <w:rPr>
                <w:rFonts w:ascii="Arial" w:hAnsi="Arial" w:cs="Arial"/>
                <w:sz w:val="20"/>
                <w:szCs w:val="20"/>
                <w:lang w:val="en-GB"/>
              </w:rPr>
              <w:t>1.38</w:t>
            </w:r>
          </w:p>
        </w:tc>
      </w:tr>
      <w:tr w:rsidR="00D30F87" w:rsidRPr="00C907E1" w14:paraId="0DB44781" w14:textId="77777777" w:rsidTr="00CF29C7">
        <w:tc>
          <w:tcPr>
            <w:tcW w:w="1490" w:type="dxa"/>
          </w:tcPr>
          <w:p w14:paraId="23BF0AB9" w14:textId="5591AFF7" w:rsidR="00D30F87" w:rsidRPr="00867361" w:rsidRDefault="00D30F87" w:rsidP="00D30F87">
            <w:pPr>
              <w:rPr>
                <w:rFonts w:ascii="Arial" w:hAnsi="Arial" w:cs="Arial"/>
                <w:sz w:val="20"/>
                <w:szCs w:val="20"/>
                <w:lang w:val="en-GB"/>
              </w:rPr>
            </w:pPr>
            <w:r w:rsidRPr="00867361">
              <w:rPr>
                <w:rFonts w:ascii="Arial" w:hAnsi="Arial" w:cs="Arial"/>
                <w:sz w:val="20"/>
                <w:szCs w:val="20"/>
                <w:lang w:val="en-GB"/>
              </w:rPr>
              <w:t xml:space="preserve">Total </w:t>
            </w:r>
          </w:p>
        </w:tc>
        <w:tc>
          <w:tcPr>
            <w:tcW w:w="1639" w:type="dxa"/>
          </w:tcPr>
          <w:p w14:paraId="730B2CA7" w14:textId="7216B70A" w:rsidR="00D30F87" w:rsidRPr="00867361" w:rsidRDefault="00614A39" w:rsidP="00D30F87">
            <w:pPr>
              <w:jc w:val="right"/>
              <w:rPr>
                <w:rFonts w:ascii="Arial" w:hAnsi="Arial" w:cs="Arial"/>
                <w:sz w:val="20"/>
                <w:szCs w:val="20"/>
                <w:lang w:val="en-GB"/>
              </w:rPr>
            </w:pPr>
            <w:r w:rsidRPr="00BF1A2A">
              <w:rPr>
                <w:rFonts w:ascii="Arial" w:hAnsi="Arial" w:cs="Arial"/>
                <w:sz w:val="20"/>
                <w:szCs w:val="20"/>
                <w:lang w:val="en-GB"/>
              </w:rPr>
              <w:t>225.2</w:t>
            </w:r>
          </w:p>
        </w:tc>
        <w:tc>
          <w:tcPr>
            <w:tcW w:w="1089" w:type="dxa"/>
          </w:tcPr>
          <w:p w14:paraId="0EBCED85" w14:textId="274CB65A" w:rsidR="00D30F87" w:rsidRPr="00867361" w:rsidRDefault="00614A39" w:rsidP="00D30F87">
            <w:pPr>
              <w:jc w:val="right"/>
              <w:rPr>
                <w:rFonts w:ascii="Arial" w:hAnsi="Arial" w:cs="Arial"/>
                <w:sz w:val="20"/>
                <w:szCs w:val="20"/>
                <w:lang w:val="en-GB"/>
              </w:rPr>
            </w:pPr>
            <w:r w:rsidRPr="00BF1A2A">
              <w:rPr>
                <w:rFonts w:ascii="Arial" w:hAnsi="Arial" w:cs="Arial"/>
                <w:sz w:val="20"/>
                <w:szCs w:val="20"/>
                <w:lang w:val="en-GB"/>
              </w:rPr>
              <w:t>235.6</w:t>
            </w:r>
          </w:p>
        </w:tc>
        <w:tc>
          <w:tcPr>
            <w:tcW w:w="1584" w:type="dxa"/>
          </w:tcPr>
          <w:p w14:paraId="00F0BBB2" w14:textId="06B5BA45" w:rsidR="00D30F87" w:rsidRPr="00867361" w:rsidRDefault="00614A39" w:rsidP="00D30F87">
            <w:pPr>
              <w:jc w:val="right"/>
              <w:rPr>
                <w:rFonts w:ascii="Arial" w:hAnsi="Arial" w:cs="Arial"/>
                <w:sz w:val="20"/>
                <w:szCs w:val="20"/>
                <w:lang w:val="en-GB"/>
              </w:rPr>
            </w:pPr>
            <w:r w:rsidRPr="00BF1A2A">
              <w:rPr>
                <w:rFonts w:ascii="Arial" w:hAnsi="Arial" w:cs="Arial"/>
                <w:sz w:val="20"/>
                <w:szCs w:val="20"/>
                <w:lang w:val="en-GB"/>
              </w:rPr>
              <w:t>252.6</w:t>
            </w:r>
          </w:p>
        </w:tc>
        <w:tc>
          <w:tcPr>
            <w:tcW w:w="1842" w:type="dxa"/>
          </w:tcPr>
          <w:p w14:paraId="2E5D4DDE" w14:textId="33C873F1" w:rsidR="00D30F87" w:rsidRPr="00867361" w:rsidRDefault="00614A39" w:rsidP="00D30F87">
            <w:pPr>
              <w:jc w:val="right"/>
              <w:rPr>
                <w:rFonts w:ascii="Arial" w:hAnsi="Arial" w:cs="Arial"/>
                <w:sz w:val="20"/>
                <w:szCs w:val="20"/>
                <w:lang w:val="en-GB"/>
              </w:rPr>
            </w:pPr>
            <w:r w:rsidRPr="00BF1A2A">
              <w:rPr>
                <w:rFonts w:ascii="Arial" w:hAnsi="Arial" w:cs="Arial"/>
                <w:sz w:val="20"/>
                <w:szCs w:val="20"/>
                <w:lang w:val="en-GB"/>
              </w:rPr>
              <w:t>282.3</w:t>
            </w:r>
          </w:p>
        </w:tc>
        <w:tc>
          <w:tcPr>
            <w:tcW w:w="1416" w:type="dxa"/>
          </w:tcPr>
          <w:p w14:paraId="4C810BF3" w14:textId="494C4834" w:rsidR="00D30F87" w:rsidRPr="00867361" w:rsidRDefault="00614A39" w:rsidP="00D30F87">
            <w:pPr>
              <w:jc w:val="right"/>
              <w:rPr>
                <w:rFonts w:ascii="Arial" w:hAnsi="Arial" w:cs="Arial"/>
                <w:sz w:val="20"/>
                <w:szCs w:val="20"/>
                <w:lang w:val="en-GB"/>
              </w:rPr>
            </w:pPr>
            <w:r w:rsidRPr="00BF1A2A">
              <w:rPr>
                <w:rFonts w:ascii="Arial" w:hAnsi="Arial" w:cs="Arial"/>
                <w:sz w:val="20"/>
                <w:szCs w:val="20"/>
                <w:lang w:val="en-GB"/>
              </w:rPr>
              <w:t>1.25</w:t>
            </w:r>
          </w:p>
        </w:tc>
      </w:tr>
    </w:tbl>
    <w:p w14:paraId="1F80DF4E" w14:textId="77777777" w:rsidR="00D01830" w:rsidRPr="005A6DA8" w:rsidRDefault="00D01830" w:rsidP="00D01830">
      <w:pPr>
        <w:spacing w:line="240" w:lineRule="auto"/>
        <w:rPr>
          <w:rFonts w:ascii="Arial" w:hAnsi="Arial" w:cs="Arial"/>
          <w:sz w:val="20"/>
          <w:szCs w:val="20"/>
          <w:lang w:val="en-GB"/>
        </w:rPr>
      </w:pPr>
      <w:r w:rsidRPr="005A6DA8">
        <w:rPr>
          <w:rFonts w:ascii="Arial" w:eastAsia="Times New Roman" w:hAnsi="Arial" w:cs="Arial"/>
          <w:sz w:val="20"/>
          <w:szCs w:val="20"/>
          <w:lang w:val="en" w:eastAsia="de-DE"/>
        </w:rPr>
        <w:t>†</w:t>
      </w:r>
      <w:r w:rsidRPr="00C44CC9">
        <w:rPr>
          <w:rFonts w:ascii="Arial" w:eastAsia="Times New Roman" w:hAnsi="Arial" w:cs="Arial"/>
          <w:sz w:val="20"/>
          <w:szCs w:val="20"/>
          <w:lang w:val="en" w:eastAsia="de-DE"/>
        </w:rPr>
        <w:t xml:space="preserve"> CHC: combined ho</w:t>
      </w:r>
      <w:r>
        <w:rPr>
          <w:rFonts w:ascii="Arial" w:eastAsia="Times New Roman" w:hAnsi="Arial" w:cs="Arial"/>
          <w:sz w:val="20"/>
          <w:szCs w:val="20"/>
          <w:lang w:val="en" w:eastAsia="de-DE"/>
        </w:rPr>
        <w:t>r</w:t>
      </w:r>
      <w:r w:rsidRPr="005A6DA8">
        <w:rPr>
          <w:rFonts w:ascii="Arial" w:eastAsia="Times New Roman" w:hAnsi="Arial" w:cs="Arial"/>
          <w:sz w:val="20"/>
          <w:szCs w:val="20"/>
          <w:lang w:val="en" w:eastAsia="de-DE"/>
        </w:rPr>
        <w:t>monal contraceptives</w:t>
      </w:r>
    </w:p>
    <w:p w14:paraId="2E036C6F" w14:textId="451FA414" w:rsidR="00D01830" w:rsidRDefault="00AA6DF6" w:rsidP="00D01830">
      <w:pPr>
        <w:rPr>
          <w:lang w:val="en-GB"/>
        </w:rPr>
      </w:pPr>
      <w:r>
        <w:rPr>
          <w:lang w:val="en-GB"/>
        </w:rPr>
        <w:tab/>
      </w:r>
      <w:r w:rsidR="00D01830">
        <w:rPr>
          <w:lang w:val="en-GB"/>
        </w:rPr>
        <w:br w:type="page"/>
      </w:r>
    </w:p>
    <w:p w14:paraId="5463A189" w14:textId="77777777" w:rsidR="00D01830" w:rsidRPr="00C907E1" w:rsidRDefault="00D01830" w:rsidP="00D01830">
      <w:pPr>
        <w:pStyle w:val="BodyText"/>
        <w:tabs>
          <w:tab w:val="left" w:pos="8789"/>
        </w:tabs>
        <w:rPr>
          <w:lang w:val="en-GB"/>
        </w:rPr>
      </w:pPr>
    </w:p>
    <w:p w14:paraId="0D38DBFD" w14:textId="77777777" w:rsidR="00D01830" w:rsidRPr="00AB7AD8" w:rsidRDefault="00D01830" w:rsidP="00D01830">
      <w:pPr>
        <w:spacing w:after="120" w:line="240" w:lineRule="auto"/>
        <w:rPr>
          <w:rFonts w:ascii="Arial" w:hAnsi="Arial" w:cs="Arial"/>
          <w:lang w:val="en-GB"/>
        </w:rPr>
      </w:pPr>
      <w:r w:rsidRPr="00AB7AD8">
        <w:rPr>
          <w:rFonts w:ascii="Arial" w:hAnsi="Arial" w:cs="Arial"/>
          <w:lang w:val="en-GB"/>
        </w:rPr>
        <w:t>Table 5: Model parameters for the various risk classes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7"/>
        <w:gridCol w:w="1027"/>
        <w:gridCol w:w="777"/>
        <w:gridCol w:w="837"/>
        <w:gridCol w:w="1027"/>
        <w:gridCol w:w="777"/>
        <w:gridCol w:w="837"/>
        <w:gridCol w:w="1027"/>
        <w:gridCol w:w="777"/>
        <w:gridCol w:w="837"/>
      </w:tblGrid>
      <w:tr w:rsidR="00D01830" w:rsidRPr="00AB7AD8" w14:paraId="628975B3" w14:textId="77777777" w:rsidTr="0075304E">
        <w:tc>
          <w:tcPr>
            <w:tcW w:w="0" w:type="auto"/>
            <w:vMerge w:val="restart"/>
            <w:tcBorders>
              <w:top w:val="single" w:sz="4" w:space="0" w:color="auto"/>
              <w:left w:val="nil"/>
              <w:bottom w:val="single" w:sz="4" w:space="0" w:color="auto"/>
              <w:right w:val="nil"/>
            </w:tcBorders>
            <w:hideMark/>
          </w:tcPr>
          <w:p w14:paraId="595C3CDE" w14:textId="77777777" w:rsidR="00D01830" w:rsidRPr="00AB7AD8" w:rsidRDefault="00D01830" w:rsidP="0075304E">
            <w:pPr>
              <w:pStyle w:val="NormalWeb"/>
              <w:spacing w:after="240"/>
              <w:rPr>
                <w:rFonts w:ascii="Arial" w:hAnsi="Arial" w:cs="Arial"/>
                <w:sz w:val="18"/>
                <w:szCs w:val="18"/>
                <w:lang w:val="en-GB" w:eastAsia="en-US"/>
              </w:rPr>
            </w:pPr>
            <w:r w:rsidRPr="00AB7AD8">
              <w:rPr>
                <w:rFonts w:ascii="Arial" w:hAnsi="Arial" w:cs="Arial"/>
                <w:sz w:val="18"/>
                <w:szCs w:val="18"/>
                <w:lang w:val="en-GB" w:eastAsia="en-US"/>
              </w:rPr>
              <w:t>Parameter</w:t>
            </w:r>
          </w:p>
        </w:tc>
        <w:tc>
          <w:tcPr>
            <w:tcW w:w="0" w:type="auto"/>
            <w:gridSpan w:val="3"/>
            <w:tcBorders>
              <w:top w:val="single" w:sz="4" w:space="0" w:color="auto"/>
              <w:left w:val="nil"/>
              <w:bottom w:val="nil"/>
              <w:right w:val="single" w:sz="4" w:space="0" w:color="auto"/>
            </w:tcBorders>
            <w:hideMark/>
          </w:tcPr>
          <w:p w14:paraId="4298072F" w14:textId="77777777" w:rsidR="00D01830" w:rsidRPr="00AB7AD8" w:rsidRDefault="00D01830" w:rsidP="0075304E">
            <w:pPr>
              <w:pStyle w:val="NormalWeb"/>
              <w:spacing w:after="240"/>
              <w:jc w:val="center"/>
              <w:rPr>
                <w:rFonts w:ascii="Arial" w:hAnsi="Arial" w:cs="Arial"/>
                <w:sz w:val="18"/>
                <w:szCs w:val="18"/>
                <w:lang w:val="en-GB" w:eastAsia="en-US"/>
              </w:rPr>
            </w:pPr>
            <w:r w:rsidRPr="00AB7AD8">
              <w:rPr>
                <w:rFonts w:ascii="Arial" w:hAnsi="Arial" w:cs="Arial"/>
                <w:sz w:val="18"/>
                <w:szCs w:val="18"/>
                <w:lang w:val="en-GB" w:eastAsia="en-US"/>
              </w:rPr>
              <w:t>Risk class I</w:t>
            </w:r>
          </w:p>
        </w:tc>
        <w:tc>
          <w:tcPr>
            <w:tcW w:w="0" w:type="auto"/>
            <w:gridSpan w:val="3"/>
            <w:tcBorders>
              <w:top w:val="single" w:sz="4" w:space="0" w:color="auto"/>
              <w:left w:val="single" w:sz="4" w:space="0" w:color="auto"/>
              <w:bottom w:val="nil"/>
              <w:right w:val="single" w:sz="4" w:space="0" w:color="auto"/>
            </w:tcBorders>
            <w:hideMark/>
          </w:tcPr>
          <w:p w14:paraId="5D587D8C" w14:textId="77777777" w:rsidR="00D01830" w:rsidRPr="00AB7AD8" w:rsidRDefault="00D01830" w:rsidP="0075304E">
            <w:pPr>
              <w:pStyle w:val="NormalWeb"/>
              <w:spacing w:after="240"/>
              <w:jc w:val="center"/>
              <w:rPr>
                <w:rFonts w:ascii="Arial" w:hAnsi="Arial" w:cs="Arial"/>
                <w:sz w:val="18"/>
                <w:szCs w:val="18"/>
                <w:lang w:val="en-GB" w:eastAsia="en-US"/>
              </w:rPr>
            </w:pPr>
            <w:r w:rsidRPr="00AB7AD8">
              <w:rPr>
                <w:rFonts w:ascii="Arial" w:hAnsi="Arial" w:cs="Arial"/>
                <w:sz w:val="18"/>
                <w:szCs w:val="18"/>
                <w:lang w:val="en-GB" w:eastAsia="en-US"/>
              </w:rPr>
              <w:t>Risk class III</w:t>
            </w:r>
          </w:p>
        </w:tc>
        <w:tc>
          <w:tcPr>
            <w:tcW w:w="0" w:type="auto"/>
            <w:gridSpan w:val="3"/>
            <w:tcBorders>
              <w:top w:val="single" w:sz="4" w:space="0" w:color="auto"/>
              <w:left w:val="single" w:sz="4" w:space="0" w:color="auto"/>
              <w:bottom w:val="nil"/>
              <w:right w:val="nil"/>
            </w:tcBorders>
            <w:hideMark/>
          </w:tcPr>
          <w:p w14:paraId="26D55E25" w14:textId="77777777" w:rsidR="00D01830" w:rsidRPr="00AB7AD8" w:rsidRDefault="00D01830" w:rsidP="0075304E">
            <w:pPr>
              <w:pStyle w:val="NormalWeb"/>
              <w:spacing w:after="240"/>
              <w:jc w:val="center"/>
              <w:rPr>
                <w:rFonts w:ascii="Arial" w:hAnsi="Arial" w:cs="Arial"/>
                <w:sz w:val="18"/>
                <w:szCs w:val="18"/>
                <w:lang w:val="en-GB" w:eastAsia="en-US"/>
              </w:rPr>
            </w:pPr>
            <w:r w:rsidRPr="00AB7AD8">
              <w:rPr>
                <w:rFonts w:ascii="Arial" w:hAnsi="Arial" w:cs="Arial"/>
                <w:sz w:val="18"/>
                <w:szCs w:val="18"/>
                <w:lang w:val="en-GB" w:eastAsia="en-US"/>
              </w:rPr>
              <w:t>Risk class X</w:t>
            </w:r>
          </w:p>
        </w:tc>
      </w:tr>
      <w:tr w:rsidR="00D01830" w:rsidRPr="00AB7AD8" w14:paraId="02ACC0CE" w14:textId="77777777" w:rsidTr="0075304E">
        <w:tc>
          <w:tcPr>
            <w:tcW w:w="0" w:type="auto"/>
            <w:vMerge/>
            <w:tcBorders>
              <w:top w:val="single" w:sz="4" w:space="0" w:color="auto"/>
              <w:left w:val="nil"/>
              <w:bottom w:val="single" w:sz="4" w:space="0" w:color="auto"/>
              <w:right w:val="nil"/>
            </w:tcBorders>
            <w:vAlign w:val="center"/>
            <w:hideMark/>
          </w:tcPr>
          <w:p w14:paraId="4E754013" w14:textId="77777777" w:rsidR="00D01830" w:rsidRPr="00AB7AD8" w:rsidRDefault="00D01830" w:rsidP="0075304E">
            <w:pPr>
              <w:rPr>
                <w:rFonts w:ascii="Arial" w:eastAsia="Times New Roman" w:hAnsi="Arial" w:cs="Arial"/>
                <w:sz w:val="18"/>
                <w:szCs w:val="18"/>
                <w:lang w:val="en-GB"/>
              </w:rPr>
            </w:pPr>
          </w:p>
        </w:tc>
        <w:tc>
          <w:tcPr>
            <w:tcW w:w="0" w:type="auto"/>
            <w:tcBorders>
              <w:top w:val="nil"/>
              <w:left w:val="nil"/>
              <w:bottom w:val="single" w:sz="4" w:space="0" w:color="auto"/>
              <w:right w:val="nil"/>
            </w:tcBorders>
            <w:hideMark/>
          </w:tcPr>
          <w:p w14:paraId="0327EFE6" w14:textId="77777777" w:rsidR="00D01830" w:rsidRPr="00AB7AD8" w:rsidRDefault="00D01830" w:rsidP="0075304E">
            <w:pPr>
              <w:pStyle w:val="NormalWeb"/>
              <w:spacing w:after="240"/>
              <w:jc w:val="right"/>
              <w:rPr>
                <w:rFonts w:ascii="Arial" w:hAnsi="Arial" w:cs="Arial"/>
                <w:sz w:val="18"/>
                <w:szCs w:val="18"/>
                <w:lang w:val="en-GB" w:eastAsia="en-US"/>
              </w:rPr>
            </w:pPr>
            <w:r w:rsidRPr="00AB7AD8">
              <w:rPr>
                <w:rFonts w:ascii="Arial" w:hAnsi="Arial" w:cs="Arial"/>
                <w:sz w:val="18"/>
                <w:szCs w:val="18"/>
                <w:lang w:val="en-GB" w:eastAsia="en-US"/>
              </w:rPr>
              <w:t>Value</w:t>
            </w:r>
          </w:p>
        </w:tc>
        <w:tc>
          <w:tcPr>
            <w:tcW w:w="0" w:type="auto"/>
            <w:tcBorders>
              <w:top w:val="nil"/>
              <w:left w:val="nil"/>
              <w:bottom w:val="single" w:sz="4" w:space="0" w:color="auto"/>
              <w:right w:val="nil"/>
            </w:tcBorders>
            <w:hideMark/>
          </w:tcPr>
          <w:p w14:paraId="2E2AF99C" w14:textId="77777777" w:rsidR="00D01830" w:rsidRPr="00AB7AD8" w:rsidRDefault="00D01830" w:rsidP="0075304E">
            <w:pPr>
              <w:pStyle w:val="NormalWeb"/>
              <w:spacing w:after="240"/>
              <w:jc w:val="right"/>
              <w:rPr>
                <w:rFonts w:ascii="Arial" w:hAnsi="Arial" w:cs="Arial"/>
                <w:sz w:val="18"/>
                <w:szCs w:val="18"/>
                <w:lang w:val="en-GB" w:eastAsia="en-US"/>
              </w:rPr>
            </w:pPr>
            <w:r w:rsidRPr="00AB7AD8">
              <w:rPr>
                <w:rFonts w:ascii="Arial" w:hAnsi="Arial" w:cs="Arial"/>
                <w:sz w:val="18"/>
                <w:szCs w:val="18"/>
                <w:lang w:val="en-GB" w:eastAsia="en-US"/>
              </w:rPr>
              <w:t>Std Err</w:t>
            </w:r>
          </w:p>
        </w:tc>
        <w:tc>
          <w:tcPr>
            <w:tcW w:w="0" w:type="auto"/>
            <w:tcBorders>
              <w:top w:val="nil"/>
              <w:left w:val="nil"/>
              <w:bottom w:val="single" w:sz="4" w:space="0" w:color="auto"/>
              <w:right w:val="single" w:sz="4" w:space="0" w:color="auto"/>
            </w:tcBorders>
            <w:hideMark/>
          </w:tcPr>
          <w:p w14:paraId="41B6B236" w14:textId="77777777" w:rsidR="00D01830" w:rsidRPr="00AB7AD8" w:rsidRDefault="00D01830" w:rsidP="0075304E">
            <w:pPr>
              <w:pStyle w:val="NormalWeb"/>
              <w:spacing w:after="240"/>
              <w:jc w:val="right"/>
              <w:rPr>
                <w:rFonts w:ascii="Arial" w:hAnsi="Arial" w:cs="Arial"/>
                <w:sz w:val="18"/>
                <w:szCs w:val="18"/>
                <w:lang w:val="en-GB" w:eastAsia="en-US"/>
              </w:rPr>
            </w:pPr>
            <w:r w:rsidRPr="00AB7AD8">
              <w:rPr>
                <w:rFonts w:ascii="Arial" w:hAnsi="Arial" w:cs="Arial"/>
                <w:i/>
                <w:sz w:val="18"/>
                <w:szCs w:val="18"/>
                <w:lang w:val="en-GB" w:eastAsia="en-US"/>
              </w:rPr>
              <w:t>p</w:t>
            </w:r>
            <w:r w:rsidRPr="00AB7AD8">
              <w:rPr>
                <w:rFonts w:ascii="Arial" w:hAnsi="Arial" w:cs="Arial"/>
                <w:sz w:val="18"/>
                <w:szCs w:val="18"/>
                <w:lang w:val="en-GB" w:eastAsia="en-US"/>
              </w:rPr>
              <w:t>-Value</w:t>
            </w:r>
          </w:p>
        </w:tc>
        <w:tc>
          <w:tcPr>
            <w:tcW w:w="0" w:type="auto"/>
            <w:tcBorders>
              <w:top w:val="nil"/>
              <w:left w:val="single" w:sz="4" w:space="0" w:color="auto"/>
              <w:bottom w:val="single" w:sz="4" w:space="0" w:color="auto"/>
              <w:right w:val="nil"/>
            </w:tcBorders>
            <w:hideMark/>
          </w:tcPr>
          <w:p w14:paraId="18DF989D" w14:textId="77777777" w:rsidR="00D01830" w:rsidRPr="00AB7AD8" w:rsidRDefault="00D01830" w:rsidP="0075304E">
            <w:pPr>
              <w:pStyle w:val="NormalWeb"/>
              <w:spacing w:after="240"/>
              <w:jc w:val="right"/>
              <w:rPr>
                <w:rFonts w:ascii="Arial" w:hAnsi="Arial" w:cs="Arial"/>
                <w:sz w:val="18"/>
                <w:szCs w:val="18"/>
                <w:lang w:val="en-GB" w:eastAsia="en-US"/>
              </w:rPr>
            </w:pPr>
            <w:r w:rsidRPr="00AB7AD8">
              <w:rPr>
                <w:rFonts w:ascii="Arial" w:hAnsi="Arial" w:cs="Arial"/>
                <w:sz w:val="18"/>
                <w:szCs w:val="18"/>
                <w:lang w:val="en-GB" w:eastAsia="en-US"/>
              </w:rPr>
              <w:t>Value</w:t>
            </w:r>
          </w:p>
        </w:tc>
        <w:tc>
          <w:tcPr>
            <w:tcW w:w="0" w:type="auto"/>
            <w:tcBorders>
              <w:top w:val="nil"/>
              <w:left w:val="nil"/>
              <w:bottom w:val="single" w:sz="4" w:space="0" w:color="auto"/>
              <w:right w:val="nil"/>
            </w:tcBorders>
            <w:hideMark/>
          </w:tcPr>
          <w:p w14:paraId="54EE6E17" w14:textId="77777777" w:rsidR="00D01830" w:rsidRPr="00AB7AD8" w:rsidRDefault="00D01830" w:rsidP="0075304E">
            <w:pPr>
              <w:pStyle w:val="NormalWeb"/>
              <w:spacing w:after="240"/>
              <w:jc w:val="right"/>
              <w:rPr>
                <w:rFonts w:ascii="Arial" w:hAnsi="Arial" w:cs="Arial"/>
                <w:sz w:val="18"/>
                <w:szCs w:val="18"/>
                <w:lang w:val="en-GB" w:eastAsia="en-US"/>
              </w:rPr>
            </w:pPr>
            <w:r w:rsidRPr="00AB7AD8">
              <w:rPr>
                <w:rFonts w:ascii="Arial" w:hAnsi="Arial" w:cs="Arial"/>
                <w:sz w:val="18"/>
                <w:szCs w:val="18"/>
                <w:lang w:val="en-GB" w:eastAsia="en-US"/>
              </w:rPr>
              <w:t>Std Err</w:t>
            </w:r>
          </w:p>
        </w:tc>
        <w:tc>
          <w:tcPr>
            <w:tcW w:w="0" w:type="auto"/>
            <w:tcBorders>
              <w:top w:val="nil"/>
              <w:left w:val="nil"/>
              <w:bottom w:val="single" w:sz="4" w:space="0" w:color="auto"/>
              <w:right w:val="single" w:sz="4" w:space="0" w:color="auto"/>
            </w:tcBorders>
            <w:hideMark/>
          </w:tcPr>
          <w:p w14:paraId="5A0244E4" w14:textId="77777777" w:rsidR="00D01830" w:rsidRPr="00AB7AD8" w:rsidRDefault="00D01830" w:rsidP="0075304E">
            <w:pPr>
              <w:pStyle w:val="NormalWeb"/>
              <w:spacing w:after="240"/>
              <w:jc w:val="right"/>
              <w:rPr>
                <w:rFonts w:ascii="Arial" w:hAnsi="Arial" w:cs="Arial"/>
                <w:sz w:val="18"/>
                <w:szCs w:val="18"/>
                <w:lang w:val="en-GB" w:eastAsia="en-US"/>
              </w:rPr>
            </w:pPr>
            <w:r w:rsidRPr="00AB7AD8">
              <w:rPr>
                <w:rFonts w:ascii="Arial" w:hAnsi="Arial" w:cs="Arial"/>
                <w:i/>
                <w:sz w:val="18"/>
                <w:szCs w:val="18"/>
                <w:lang w:val="en-GB" w:eastAsia="en-US"/>
              </w:rPr>
              <w:t>p</w:t>
            </w:r>
            <w:r w:rsidRPr="00AB7AD8">
              <w:rPr>
                <w:rFonts w:ascii="Arial" w:hAnsi="Arial" w:cs="Arial"/>
                <w:sz w:val="18"/>
                <w:szCs w:val="18"/>
                <w:lang w:val="en-GB" w:eastAsia="en-US"/>
              </w:rPr>
              <w:t>-Value</w:t>
            </w:r>
          </w:p>
        </w:tc>
        <w:tc>
          <w:tcPr>
            <w:tcW w:w="0" w:type="auto"/>
            <w:tcBorders>
              <w:top w:val="nil"/>
              <w:left w:val="single" w:sz="4" w:space="0" w:color="auto"/>
              <w:bottom w:val="single" w:sz="4" w:space="0" w:color="auto"/>
              <w:right w:val="nil"/>
            </w:tcBorders>
            <w:hideMark/>
          </w:tcPr>
          <w:p w14:paraId="2419C52F" w14:textId="77777777" w:rsidR="00D01830" w:rsidRPr="00AB7AD8" w:rsidRDefault="00D01830" w:rsidP="0075304E">
            <w:pPr>
              <w:pStyle w:val="NormalWeb"/>
              <w:spacing w:after="240"/>
              <w:jc w:val="right"/>
              <w:rPr>
                <w:rFonts w:ascii="Arial" w:hAnsi="Arial" w:cs="Arial"/>
                <w:sz w:val="18"/>
                <w:szCs w:val="18"/>
                <w:lang w:val="en-GB" w:eastAsia="en-US"/>
              </w:rPr>
            </w:pPr>
            <w:r w:rsidRPr="00AB7AD8">
              <w:rPr>
                <w:rFonts w:ascii="Arial" w:hAnsi="Arial" w:cs="Arial"/>
                <w:sz w:val="18"/>
                <w:szCs w:val="18"/>
                <w:lang w:val="en-GB" w:eastAsia="en-US"/>
              </w:rPr>
              <w:t>Value</w:t>
            </w:r>
          </w:p>
        </w:tc>
        <w:tc>
          <w:tcPr>
            <w:tcW w:w="0" w:type="auto"/>
            <w:tcBorders>
              <w:top w:val="nil"/>
              <w:left w:val="nil"/>
              <w:bottom w:val="single" w:sz="4" w:space="0" w:color="auto"/>
              <w:right w:val="nil"/>
            </w:tcBorders>
            <w:hideMark/>
          </w:tcPr>
          <w:p w14:paraId="0BAE5433" w14:textId="77777777" w:rsidR="00D01830" w:rsidRPr="00AB7AD8" w:rsidRDefault="00D01830" w:rsidP="0075304E">
            <w:pPr>
              <w:pStyle w:val="NormalWeb"/>
              <w:spacing w:after="240"/>
              <w:jc w:val="right"/>
              <w:rPr>
                <w:rFonts w:ascii="Arial" w:hAnsi="Arial" w:cs="Arial"/>
                <w:sz w:val="18"/>
                <w:szCs w:val="18"/>
                <w:lang w:val="en-GB" w:eastAsia="en-US"/>
              </w:rPr>
            </w:pPr>
            <w:r w:rsidRPr="00AB7AD8">
              <w:rPr>
                <w:rFonts w:ascii="Arial" w:hAnsi="Arial" w:cs="Arial"/>
                <w:sz w:val="18"/>
                <w:szCs w:val="18"/>
                <w:lang w:val="en-GB" w:eastAsia="en-US"/>
              </w:rPr>
              <w:t>Std Err</w:t>
            </w:r>
          </w:p>
        </w:tc>
        <w:tc>
          <w:tcPr>
            <w:tcW w:w="0" w:type="auto"/>
            <w:tcBorders>
              <w:top w:val="nil"/>
              <w:left w:val="nil"/>
              <w:bottom w:val="single" w:sz="4" w:space="0" w:color="auto"/>
              <w:right w:val="nil"/>
            </w:tcBorders>
            <w:hideMark/>
          </w:tcPr>
          <w:p w14:paraId="39E0DDE1" w14:textId="77777777" w:rsidR="00D01830" w:rsidRPr="00AB7AD8" w:rsidRDefault="00D01830" w:rsidP="0075304E">
            <w:pPr>
              <w:pStyle w:val="NormalWeb"/>
              <w:spacing w:after="240"/>
              <w:jc w:val="right"/>
              <w:rPr>
                <w:rFonts w:ascii="Arial" w:hAnsi="Arial" w:cs="Arial"/>
                <w:sz w:val="18"/>
                <w:szCs w:val="18"/>
                <w:lang w:val="en-GB" w:eastAsia="en-US"/>
              </w:rPr>
            </w:pPr>
            <w:r w:rsidRPr="00AB7AD8">
              <w:rPr>
                <w:rFonts w:ascii="Arial" w:hAnsi="Arial" w:cs="Arial"/>
                <w:i/>
                <w:sz w:val="18"/>
                <w:szCs w:val="18"/>
                <w:lang w:val="en-GB" w:eastAsia="en-US"/>
              </w:rPr>
              <w:t>p</w:t>
            </w:r>
            <w:r w:rsidRPr="00AB7AD8">
              <w:rPr>
                <w:rFonts w:ascii="Arial" w:hAnsi="Arial" w:cs="Arial"/>
                <w:sz w:val="18"/>
                <w:szCs w:val="18"/>
                <w:lang w:val="en-GB" w:eastAsia="en-US"/>
              </w:rPr>
              <w:t>-Value</w:t>
            </w:r>
          </w:p>
        </w:tc>
      </w:tr>
      <w:tr w:rsidR="00D01830" w:rsidRPr="00AB7AD8" w14:paraId="00472256" w14:textId="77777777" w:rsidTr="0075304E">
        <w:trPr>
          <w:trHeight w:val="227"/>
        </w:trPr>
        <w:tc>
          <w:tcPr>
            <w:tcW w:w="0" w:type="auto"/>
            <w:tcBorders>
              <w:top w:val="single" w:sz="4" w:space="0" w:color="auto"/>
              <w:left w:val="nil"/>
              <w:bottom w:val="nil"/>
              <w:right w:val="nil"/>
            </w:tcBorders>
            <w:hideMark/>
          </w:tcPr>
          <w:p w14:paraId="386D5DED" w14:textId="77777777" w:rsidR="00D01830" w:rsidRPr="00AB7AD8" w:rsidRDefault="00D01830" w:rsidP="0075304E">
            <w:pPr>
              <w:pStyle w:val="NormalWeb"/>
              <w:spacing w:after="240"/>
              <w:rPr>
                <w:rFonts w:ascii="Arial" w:hAnsi="Arial" w:cs="Arial"/>
                <w:sz w:val="18"/>
                <w:szCs w:val="18"/>
                <w:lang w:val="en-GB" w:eastAsia="en-US"/>
              </w:rPr>
            </w:pPr>
            <w:r w:rsidRPr="00AB7AD8">
              <w:rPr>
                <w:rFonts w:ascii="Arial" w:hAnsi="Arial" w:cs="Arial"/>
                <w:sz w:val="18"/>
                <w:szCs w:val="18"/>
                <w:lang w:val="en-GB" w:eastAsia="en-US"/>
              </w:rPr>
              <w:t>O(AR)</w:t>
            </w:r>
          </w:p>
        </w:tc>
        <w:tc>
          <w:tcPr>
            <w:tcW w:w="0" w:type="auto"/>
            <w:tcBorders>
              <w:top w:val="single" w:sz="4" w:space="0" w:color="auto"/>
              <w:left w:val="nil"/>
              <w:bottom w:val="nil"/>
              <w:right w:val="nil"/>
            </w:tcBorders>
            <w:hideMark/>
          </w:tcPr>
          <w:p w14:paraId="56B924B1" w14:textId="77777777" w:rsidR="00D01830" w:rsidRPr="00AB7AD8" w:rsidRDefault="00D01830" w:rsidP="0075304E">
            <w:pPr>
              <w:pStyle w:val="NormalWeb"/>
              <w:spacing w:after="240"/>
              <w:jc w:val="right"/>
              <w:rPr>
                <w:rFonts w:ascii="Arial" w:hAnsi="Arial" w:cs="Arial"/>
                <w:sz w:val="18"/>
                <w:szCs w:val="18"/>
                <w:lang w:val="en-GB" w:eastAsia="en-US"/>
              </w:rPr>
            </w:pPr>
            <w:r w:rsidRPr="00AB7AD8">
              <w:rPr>
                <w:rFonts w:ascii="Arial" w:hAnsi="Arial" w:cs="Arial"/>
                <w:sz w:val="18"/>
                <w:szCs w:val="18"/>
                <w:lang w:val="en-GB" w:eastAsia="en-US"/>
              </w:rPr>
              <w:t>4</w:t>
            </w:r>
          </w:p>
        </w:tc>
        <w:tc>
          <w:tcPr>
            <w:tcW w:w="0" w:type="auto"/>
            <w:tcBorders>
              <w:top w:val="single" w:sz="4" w:space="0" w:color="auto"/>
              <w:left w:val="nil"/>
              <w:bottom w:val="nil"/>
              <w:right w:val="nil"/>
            </w:tcBorders>
          </w:tcPr>
          <w:p w14:paraId="17C171BF" w14:textId="77777777" w:rsidR="00D01830" w:rsidRPr="00AB7AD8" w:rsidRDefault="00D01830" w:rsidP="0075304E">
            <w:pPr>
              <w:pStyle w:val="NormalWeb"/>
              <w:spacing w:after="240"/>
              <w:jc w:val="right"/>
              <w:rPr>
                <w:rFonts w:ascii="Arial" w:hAnsi="Arial" w:cs="Arial"/>
                <w:sz w:val="18"/>
                <w:szCs w:val="18"/>
                <w:lang w:val="en-GB" w:eastAsia="en-US"/>
              </w:rPr>
            </w:pPr>
          </w:p>
        </w:tc>
        <w:tc>
          <w:tcPr>
            <w:tcW w:w="0" w:type="auto"/>
            <w:tcBorders>
              <w:top w:val="single" w:sz="4" w:space="0" w:color="auto"/>
              <w:left w:val="nil"/>
              <w:bottom w:val="nil"/>
              <w:right w:val="single" w:sz="4" w:space="0" w:color="auto"/>
            </w:tcBorders>
          </w:tcPr>
          <w:p w14:paraId="73355EE3" w14:textId="77777777" w:rsidR="00D01830" w:rsidRPr="00AB7AD8" w:rsidRDefault="00D01830" w:rsidP="0075304E">
            <w:pPr>
              <w:pStyle w:val="NormalWeb"/>
              <w:spacing w:after="240"/>
              <w:jc w:val="right"/>
              <w:rPr>
                <w:rFonts w:ascii="Arial" w:hAnsi="Arial" w:cs="Arial"/>
                <w:sz w:val="18"/>
                <w:szCs w:val="18"/>
                <w:lang w:val="en-GB" w:eastAsia="en-US"/>
              </w:rPr>
            </w:pPr>
          </w:p>
        </w:tc>
        <w:tc>
          <w:tcPr>
            <w:tcW w:w="0" w:type="auto"/>
            <w:tcBorders>
              <w:top w:val="single" w:sz="4" w:space="0" w:color="auto"/>
              <w:left w:val="single" w:sz="4" w:space="0" w:color="auto"/>
              <w:bottom w:val="nil"/>
              <w:right w:val="nil"/>
            </w:tcBorders>
            <w:hideMark/>
          </w:tcPr>
          <w:p w14:paraId="618614A3" w14:textId="77777777" w:rsidR="00D01830" w:rsidRPr="00AB7AD8" w:rsidRDefault="00D01830" w:rsidP="0075304E">
            <w:pPr>
              <w:pStyle w:val="NormalWeb"/>
              <w:spacing w:after="240"/>
              <w:jc w:val="right"/>
              <w:rPr>
                <w:rFonts w:ascii="Arial" w:hAnsi="Arial" w:cs="Arial"/>
                <w:sz w:val="18"/>
                <w:szCs w:val="18"/>
                <w:lang w:val="en-GB" w:eastAsia="en-US"/>
              </w:rPr>
            </w:pPr>
            <w:r w:rsidRPr="00AB7AD8">
              <w:rPr>
                <w:rFonts w:ascii="Arial" w:hAnsi="Arial" w:cs="Arial"/>
                <w:sz w:val="18"/>
                <w:szCs w:val="18"/>
                <w:lang w:val="en-GB" w:eastAsia="en-US"/>
              </w:rPr>
              <w:t>2</w:t>
            </w:r>
          </w:p>
        </w:tc>
        <w:tc>
          <w:tcPr>
            <w:tcW w:w="0" w:type="auto"/>
            <w:tcBorders>
              <w:top w:val="single" w:sz="4" w:space="0" w:color="auto"/>
              <w:left w:val="nil"/>
              <w:bottom w:val="nil"/>
              <w:right w:val="nil"/>
            </w:tcBorders>
          </w:tcPr>
          <w:p w14:paraId="6FD299E3" w14:textId="77777777" w:rsidR="00D01830" w:rsidRPr="00AB7AD8" w:rsidRDefault="00D01830" w:rsidP="0075304E">
            <w:pPr>
              <w:pStyle w:val="NormalWeb"/>
              <w:spacing w:after="240"/>
              <w:jc w:val="right"/>
              <w:rPr>
                <w:rFonts w:ascii="Arial" w:hAnsi="Arial" w:cs="Arial"/>
                <w:sz w:val="18"/>
                <w:szCs w:val="18"/>
                <w:lang w:val="en-GB" w:eastAsia="en-US"/>
              </w:rPr>
            </w:pPr>
          </w:p>
        </w:tc>
        <w:tc>
          <w:tcPr>
            <w:tcW w:w="0" w:type="auto"/>
            <w:tcBorders>
              <w:top w:val="single" w:sz="4" w:space="0" w:color="auto"/>
              <w:left w:val="nil"/>
              <w:bottom w:val="nil"/>
              <w:right w:val="single" w:sz="4" w:space="0" w:color="auto"/>
            </w:tcBorders>
          </w:tcPr>
          <w:p w14:paraId="7D669026" w14:textId="77777777" w:rsidR="00D01830" w:rsidRPr="00AB7AD8" w:rsidRDefault="00D01830" w:rsidP="0075304E">
            <w:pPr>
              <w:pStyle w:val="NormalWeb"/>
              <w:spacing w:after="240"/>
              <w:jc w:val="right"/>
              <w:rPr>
                <w:rFonts w:ascii="Arial" w:hAnsi="Arial" w:cs="Arial"/>
                <w:sz w:val="18"/>
                <w:szCs w:val="18"/>
                <w:lang w:val="en-GB" w:eastAsia="en-US"/>
              </w:rPr>
            </w:pPr>
          </w:p>
        </w:tc>
        <w:tc>
          <w:tcPr>
            <w:tcW w:w="0" w:type="auto"/>
            <w:tcBorders>
              <w:top w:val="single" w:sz="4" w:space="0" w:color="auto"/>
              <w:left w:val="single" w:sz="4" w:space="0" w:color="auto"/>
              <w:bottom w:val="nil"/>
              <w:right w:val="nil"/>
            </w:tcBorders>
            <w:hideMark/>
          </w:tcPr>
          <w:p w14:paraId="62B4F737" w14:textId="77777777" w:rsidR="00D01830" w:rsidRPr="00AB7AD8" w:rsidRDefault="00D01830" w:rsidP="0075304E">
            <w:pPr>
              <w:pStyle w:val="NormalWeb"/>
              <w:spacing w:after="240"/>
              <w:jc w:val="right"/>
              <w:rPr>
                <w:rFonts w:ascii="Arial" w:hAnsi="Arial" w:cs="Arial"/>
                <w:sz w:val="18"/>
                <w:szCs w:val="18"/>
                <w:lang w:val="en-GB" w:eastAsia="en-US"/>
              </w:rPr>
            </w:pPr>
            <w:r w:rsidRPr="00AB7AD8">
              <w:rPr>
                <w:rFonts w:ascii="Arial" w:hAnsi="Arial" w:cs="Arial"/>
                <w:sz w:val="18"/>
                <w:szCs w:val="18"/>
                <w:lang w:val="en-GB" w:eastAsia="en-US"/>
              </w:rPr>
              <w:t>2</w:t>
            </w:r>
          </w:p>
        </w:tc>
        <w:tc>
          <w:tcPr>
            <w:tcW w:w="0" w:type="auto"/>
            <w:tcBorders>
              <w:top w:val="single" w:sz="4" w:space="0" w:color="auto"/>
              <w:left w:val="nil"/>
              <w:bottom w:val="nil"/>
              <w:right w:val="nil"/>
            </w:tcBorders>
          </w:tcPr>
          <w:p w14:paraId="537CEB18" w14:textId="77777777" w:rsidR="00D01830" w:rsidRPr="00AB7AD8" w:rsidRDefault="00D01830" w:rsidP="0075304E">
            <w:pPr>
              <w:pStyle w:val="NormalWeb"/>
              <w:spacing w:after="240"/>
              <w:jc w:val="right"/>
              <w:rPr>
                <w:rFonts w:ascii="Arial" w:hAnsi="Arial" w:cs="Arial"/>
                <w:sz w:val="18"/>
                <w:szCs w:val="18"/>
                <w:lang w:val="en-GB" w:eastAsia="en-US"/>
              </w:rPr>
            </w:pPr>
          </w:p>
        </w:tc>
        <w:tc>
          <w:tcPr>
            <w:tcW w:w="0" w:type="auto"/>
            <w:tcBorders>
              <w:top w:val="single" w:sz="4" w:space="0" w:color="auto"/>
              <w:left w:val="nil"/>
              <w:bottom w:val="nil"/>
              <w:right w:val="nil"/>
            </w:tcBorders>
          </w:tcPr>
          <w:p w14:paraId="7A53EA0E" w14:textId="77777777" w:rsidR="00D01830" w:rsidRPr="00AB7AD8" w:rsidRDefault="00D01830" w:rsidP="0075304E">
            <w:pPr>
              <w:pStyle w:val="NormalWeb"/>
              <w:spacing w:after="240"/>
              <w:jc w:val="right"/>
              <w:rPr>
                <w:rFonts w:ascii="Arial" w:hAnsi="Arial" w:cs="Arial"/>
                <w:sz w:val="18"/>
                <w:szCs w:val="18"/>
                <w:lang w:val="en-GB" w:eastAsia="en-US"/>
              </w:rPr>
            </w:pPr>
          </w:p>
        </w:tc>
      </w:tr>
      <w:tr w:rsidR="00D01830" w:rsidRPr="00AB7AD8" w14:paraId="5E2DE01B" w14:textId="77777777" w:rsidTr="0075304E">
        <w:trPr>
          <w:trHeight w:val="227"/>
        </w:trPr>
        <w:tc>
          <w:tcPr>
            <w:tcW w:w="0" w:type="auto"/>
            <w:hideMark/>
          </w:tcPr>
          <w:p w14:paraId="43FCEB79" w14:textId="77777777" w:rsidR="00D01830" w:rsidRPr="00AB7AD8" w:rsidRDefault="00D01830" w:rsidP="0075304E">
            <w:pPr>
              <w:pStyle w:val="NormalWeb"/>
              <w:spacing w:after="240"/>
              <w:rPr>
                <w:rFonts w:ascii="Arial" w:hAnsi="Arial" w:cs="Arial"/>
                <w:sz w:val="18"/>
                <w:szCs w:val="18"/>
                <w:lang w:val="en-GB" w:eastAsia="en-US"/>
              </w:rPr>
            </w:pPr>
            <w:r w:rsidRPr="00AB7AD8">
              <w:rPr>
                <w:rFonts w:ascii="Arial" w:hAnsi="Arial" w:cs="Arial"/>
                <w:sz w:val="18"/>
                <w:szCs w:val="18"/>
                <w:lang w:val="en-GB" w:eastAsia="en-US"/>
              </w:rPr>
              <w:t>O(I)</w:t>
            </w:r>
          </w:p>
        </w:tc>
        <w:tc>
          <w:tcPr>
            <w:tcW w:w="0" w:type="auto"/>
            <w:hideMark/>
          </w:tcPr>
          <w:p w14:paraId="58E25D92" w14:textId="77777777" w:rsidR="00D01830" w:rsidRPr="00AB7AD8" w:rsidRDefault="00D01830" w:rsidP="0075304E">
            <w:pPr>
              <w:pStyle w:val="NormalWeb"/>
              <w:spacing w:after="240"/>
              <w:jc w:val="right"/>
              <w:rPr>
                <w:rFonts w:ascii="Arial" w:hAnsi="Arial" w:cs="Arial"/>
                <w:sz w:val="18"/>
                <w:szCs w:val="18"/>
                <w:lang w:val="en-GB" w:eastAsia="en-US"/>
              </w:rPr>
            </w:pPr>
            <w:r w:rsidRPr="00AB7AD8">
              <w:rPr>
                <w:rFonts w:ascii="Arial" w:hAnsi="Arial" w:cs="Arial"/>
                <w:sz w:val="18"/>
                <w:szCs w:val="18"/>
                <w:lang w:val="en-GB" w:eastAsia="en-US"/>
              </w:rPr>
              <w:t>1</w:t>
            </w:r>
          </w:p>
        </w:tc>
        <w:tc>
          <w:tcPr>
            <w:tcW w:w="0" w:type="auto"/>
          </w:tcPr>
          <w:p w14:paraId="7F2C7F61" w14:textId="77777777" w:rsidR="00D01830" w:rsidRPr="00AB7AD8" w:rsidRDefault="00D01830" w:rsidP="0075304E">
            <w:pPr>
              <w:pStyle w:val="NormalWeb"/>
              <w:spacing w:after="240"/>
              <w:jc w:val="right"/>
              <w:rPr>
                <w:rFonts w:ascii="Arial" w:hAnsi="Arial" w:cs="Arial"/>
                <w:sz w:val="18"/>
                <w:szCs w:val="18"/>
                <w:lang w:val="en-GB" w:eastAsia="en-US"/>
              </w:rPr>
            </w:pPr>
          </w:p>
        </w:tc>
        <w:tc>
          <w:tcPr>
            <w:tcW w:w="0" w:type="auto"/>
            <w:tcBorders>
              <w:top w:val="nil"/>
              <w:left w:val="nil"/>
              <w:bottom w:val="nil"/>
              <w:right w:val="single" w:sz="4" w:space="0" w:color="auto"/>
            </w:tcBorders>
          </w:tcPr>
          <w:p w14:paraId="691FA82B" w14:textId="77777777" w:rsidR="00D01830" w:rsidRPr="00AB7AD8" w:rsidRDefault="00D01830" w:rsidP="0075304E">
            <w:pPr>
              <w:pStyle w:val="NormalWeb"/>
              <w:spacing w:after="240"/>
              <w:jc w:val="right"/>
              <w:rPr>
                <w:rFonts w:ascii="Arial" w:hAnsi="Arial" w:cs="Arial"/>
                <w:sz w:val="18"/>
                <w:szCs w:val="18"/>
                <w:lang w:val="en-GB" w:eastAsia="en-US"/>
              </w:rPr>
            </w:pPr>
          </w:p>
        </w:tc>
        <w:tc>
          <w:tcPr>
            <w:tcW w:w="0" w:type="auto"/>
            <w:tcBorders>
              <w:top w:val="nil"/>
              <w:left w:val="single" w:sz="4" w:space="0" w:color="auto"/>
              <w:bottom w:val="nil"/>
              <w:right w:val="nil"/>
            </w:tcBorders>
            <w:hideMark/>
          </w:tcPr>
          <w:p w14:paraId="7E83643E" w14:textId="77777777" w:rsidR="00D01830" w:rsidRPr="00AB7AD8" w:rsidRDefault="00D01830" w:rsidP="0075304E">
            <w:pPr>
              <w:pStyle w:val="NormalWeb"/>
              <w:spacing w:after="240"/>
              <w:jc w:val="right"/>
              <w:rPr>
                <w:rFonts w:ascii="Arial" w:hAnsi="Arial" w:cs="Arial"/>
                <w:sz w:val="18"/>
                <w:szCs w:val="18"/>
                <w:lang w:val="en-GB" w:eastAsia="en-US"/>
              </w:rPr>
            </w:pPr>
            <w:r w:rsidRPr="00AB7AD8">
              <w:rPr>
                <w:rFonts w:ascii="Arial" w:hAnsi="Arial" w:cs="Arial"/>
                <w:sz w:val="18"/>
                <w:szCs w:val="18"/>
                <w:lang w:val="en-GB" w:eastAsia="en-US"/>
              </w:rPr>
              <w:t>2</w:t>
            </w:r>
          </w:p>
        </w:tc>
        <w:tc>
          <w:tcPr>
            <w:tcW w:w="0" w:type="auto"/>
          </w:tcPr>
          <w:p w14:paraId="11A98A93" w14:textId="77777777" w:rsidR="00D01830" w:rsidRPr="00AB7AD8" w:rsidRDefault="00D01830" w:rsidP="0075304E">
            <w:pPr>
              <w:pStyle w:val="NormalWeb"/>
              <w:spacing w:after="240"/>
              <w:jc w:val="right"/>
              <w:rPr>
                <w:rFonts w:ascii="Arial" w:hAnsi="Arial" w:cs="Arial"/>
                <w:sz w:val="18"/>
                <w:szCs w:val="18"/>
                <w:lang w:val="en-GB" w:eastAsia="en-US"/>
              </w:rPr>
            </w:pPr>
          </w:p>
        </w:tc>
        <w:tc>
          <w:tcPr>
            <w:tcW w:w="0" w:type="auto"/>
            <w:tcBorders>
              <w:top w:val="nil"/>
              <w:left w:val="nil"/>
              <w:bottom w:val="nil"/>
              <w:right w:val="single" w:sz="4" w:space="0" w:color="auto"/>
            </w:tcBorders>
          </w:tcPr>
          <w:p w14:paraId="3035DA2F" w14:textId="77777777" w:rsidR="00D01830" w:rsidRPr="00AB7AD8" w:rsidRDefault="00D01830" w:rsidP="0075304E">
            <w:pPr>
              <w:pStyle w:val="NormalWeb"/>
              <w:spacing w:after="240"/>
              <w:jc w:val="right"/>
              <w:rPr>
                <w:rFonts w:ascii="Arial" w:hAnsi="Arial" w:cs="Arial"/>
                <w:sz w:val="18"/>
                <w:szCs w:val="18"/>
                <w:lang w:val="en-GB" w:eastAsia="en-US"/>
              </w:rPr>
            </w:pPr>
          </w:p>
        </w:tc>
        <w:tc>
          <w:tcPr>
            <w:tcW w:w="0" w:type="auto"/>
            <w:tcBorders>
              <w:top w:val="nil"/>
              <w:left w:val="single" w:sz="4" w:space="0" w:color="auto"/>
              <w:bottom w:val="nil"/>
              <w:right w:val="nil"/>
            </w:tcBorders>
            <w:hideMark/>
          </w:tcPr>
          <w:p w14:paraId="1CFFFA11" w14:textId="77777777" w:rsidR="00D01830" w:rsidRPr="00AB7AD8" w:rsidRDefault="00D01830" w:rsidP="0075304E">
            <w:pPr>
              <w:pStyle w:val="NormalWeb"/>
              <w:spacing w:after="240"/>
              <w:jc w:val="right"/>
              <w:rPr>
                <w:rFonts w:ascii="Arial" w:hAnsi="Arial" w:cs="Arial"/>
                <w:sz w:val="18"/>
                <w:szCs w:val="18"/>
                <w:lang w:val="en-GB" w:eastAsia="en-US"/>
              </w:rPr>
            </w:pPr>
            <w:r w:rsidRPr="00AB7AD8">
              <w:rPr>
                <w:rFonts w:ascii="Arial" w:hAnsi="Arial" w:cs="Arial"/>
                <w:sz w:val="18"/>
                <w:szCs w:val="18"/>
                <w:lang w:val="en-GB" w:eastAsia="en-US"/>
              </w:rPr>
              <w:t>2</w:t>
            </w:r>
          </w:p>
        </w:tc>
        <w:tc>
          <w:tcPr>
            <w:tcW w:w="0" w:type="auto"/>
          </w:tcPr>
          <w:p w14:paraId="23293279" w14:textId="77777777" w:rsidR="00D01830" w:rsidRPr="00AB7AD8" w:rsidRDefault="00D01830" w:rsidP="0075304E">
            <w:pPr>
              <w:pStyle w:val="NormalWeb"/>
              <w:spacing w:after="240"/>
              <w:jc w:val="right"/>
              <w:rPr>
                <w:rFonts w:ascii="Arial" w:hAnsi="Arial" w:cs="Arial"/>
                <w:sz w:val="18"/>
                <w:szCs w:val="18"/>
                <w:lang w:val="en-GB" w:eastAsia="en-US"/>
              </w:rPr>
            </w:pPr>
          </w:p>
        </w:tc>
        <w:tc>
          <w:tcPr>
            <w:tcW w:w="0" w:type="auto"/>
          </w:tcPr>
          <w:p w14:paraId="7E820CB1" w14:textId="77777777" w:rsidR="00D01830" w:rsidRPr="00AB7AD8" w:rsidRDefault="00D01830" w:rsidP="0075304E">
            <w:pPr>
              <w:pStyle w:val="NormalWeb"/>
              <w:spacing w:after="240"/>
              <w:jc w:val="right"/>
              <w:rPr>
                <w:rFonts w:ascii="Arial" w:hAnsi="Arial" w:cs="Arial"/>
                <w:sz w:val="18"/>
                <w:szCs w:val="18"/>
                <w:lang w:val="en-GB" w:eastAsia="en-US"/>
              </w:rPr>
            </w:pPr>
          </w:p>
        </w:tc>
      </w:tr>
      <w:tr w:rsidR="00D01830" w:rsidRPr="00AB7AD8" w14:paraId="223BD076" w14:textId="77777777" w:rsidTr="0075304E">
        <w:trPr>
          <w:trHeight w:val="227"/>
        </w:trPr>
        <w:tc>
          <w:tcPr>
            <w:tcW w:w="0" w:type="auto"/>
            <w:hideMark/>
          </w:tcPr>
          <w:p w14:paraId="20FB44C0" w14:textId="77777777" w:rsidR="00D01830" w:rsidRPr="00AB7AD8" w:rsidRDefault="00D01830" w:rsidP="0075304E">
            <w:pPr>
              <w:pStyle w:val="NormalWeb"/>
              <w:spacing w:after="240"/>
              <w:rPr>
                <w:rFonts w:ascii="Arial" w:hAnsi="Arial" w:cs="Arial"/>
                <w:sz w:val="18"/>
                <w:szCs w:val="18"/>
                <w:lang w:val="en-GB" w:eastAsia="en-US"/>
              </w:rPr>
            </w:pPr>
            <w:r w:rsidRPr="00AB7AD8">
              <w:rPr>
                <w:rFonts w:ascii="Arial" w:hAnsi="Arial" w:cs="Arial"/>
                <w:sz w:val="18"/>
                <w:szCs w:val="18"/>
                <w:lang w:val="en-GB" w:eastAsia="en-US"/>
              </w:rPr>
              <w:t>O(MA)</w:t>
            </w:r>
          </w:p>
        </w:tc>
        <w:tc>
          <w:tcPr>
            <w:tcW w:w="0" w:type="auto"/>
            <w:hideMark/>
          </w:tcPr>
          <w:p w14:paraId="62894487" w14:textId="77777777" w:rsidR="00D01830" w:rsidRPr="00AB7AD8" w:rsidRDefault="00D01830" w:rsidP="0075304E">
            <w:pPr>
              <w:pStyle w:val="NormalWeb"/>
              <w:spacing w:after="240"/>
              <w:jc w:val="right"/>
              <w:rPr>
                <w:rFonts w:ascii="Arial" w:hAnsi="Arial" w:cs="Arial"/>
                <w:sz w:val="18"/>
                <w:szCs w:val="18"/>
                <w:lang w:val="en-GB" w:eastAsia="en-US"/>
              </w:rPr>
            </w:pPr>
            <w:r w:rsidRPr="00AB7AD8">
              <w:rPr>
                <w:rFonts w:ascii="Arial" w:hAnsi="Arial" w:cs="Arial"/>
                <w:sz w:val="18"/>
                <w:szCs w:val="18"/>
                <w:lang w:val="en-GB" w:eastAsia="en-US"/>
              </w:rPr>
              <w:t>0</w:t>
            </w:r>
          </w:p>
        </w:tc>
        <w:tc>
          <w:tcPr>
            <w:tcW w:w="0" w:type="auto"/>
          </w:tcPr>
          <w:p w14:paraId="4716D386" w14:textId="77777777" w:rsidR="00D01830" w:rsidRPr="00AB7AD8" w:rsidRDefault="00D01830" w:rsidP="0075304E">
            <w:pPr>
              <w:pStyle w:val="NormalWeb"/>
              <w:spacing w:after="240"/>
              <w:jc w:val="right"/>
              <w:rPr>
                <w:rFonts w:ascii="Arial" w:hAnsi="Arial" w:cs="Arial"/>
                <w:sz w:val="18"/>
                <w:szCs w:val="18"/>
                <w:lang w:val="en-GB" w:eastAsia="en-US"/>
              </w:rPr>
            </w:pPr>
          </w:p>
        </w:tc>
        <w:tc>
          <w:tcPr>
            <w:tcW w:w="0" w:type="auto"/>
            <w:tcBorders>
              <w:top w:val="nil"/>
              <w:left w:val="nil"/>
              <w:bottom w:val="nil"/>
              <w:right w:val="single" w:sz="4" w:space="0" w:color="auto"/>
            </w:tcBorders>
          </w:tcPr>
          <w:p w14:paraId="51BD8569" w14:textId="77777777" w:rsidR="00D01830" w:rsidRPr="00AB7AD8" w:rsidRDefault="00D01830" w:rsidP="0075304E">
            <w:pPr>
              <w:pStyle w:val="NormalWeb"/>
              <w:spacing w:after="240"/>
              <w:jc w:val="right"/>
              <w:rPr>
                <w:rFonts w:ascii="Arial" w:hAnsi="Arial" w:cs="Arial"/>
                <w:sz w:val="18"/>
                <w:szCs w:val="18"/>
                <w:lang w:val="en-GB" w:eastAsia="en-US"/>
              </w:rPr>
            </w:pPr>
          </w:p>
        </w:tc>
        <w:tc>
          <w:tcPr>
            <w:tcW w:w="0" w:type="auto"/>
            <w:tcBorders>
              <w:top w:val="nil"/>
              <w:left w:val="single" w:sz="4" w:space="0" w:color="auto"/>
              <w:bottom w:val="nil"/>
              <w:right w:val="nil"/>
            </w:tcBorders>
            <w:hideMark/>
          </w:tcPr>
          <w:p w14:paraId="6EB3DCCA" w14:textId="77777777" w:rsidR="00D01830" w:rsidRPr="00AB7AD8" w:rsidRDefault="00D01830" w:rsidP="0075304E">
            <w:pPr>
              <w:pStyle w:val="NormalWeb"/>
              <w:spacing w:after="240"/>
              <w:jc w:val="right"/>
              <w:rPr>
                <w:rFonts w:ascii="Arial" w:hAnsi="Arial" w:cs="Arial"/>
                <w:sz w:val="18"/>
                <w:szCs w:val="18"/>
                <w:lang w:val="en-GB" w:eastAsia="en-US"/>
              </w:rPr>
            </w:pPr>
            <w:r w:rsidRPr="00AB7AD8">
              <w:rPr>
                <w:rFonts w:ascii="Arial" w:hAnsi="Arial" w:cs="Arial"/>
                <w:sz w:val="18"/>
                <w:szCs w:val="18"/>
                <w:lang w:val="en-GB" w:eastAsia="en-US"/>
              </w:rPr>
              <w:t>2</w:t>
            </w:r>
          </w:p>
        </w:tc>
        <w:tc>
          <w:tcPr>
            <w:tcW w:w="0" w:type="auto"/>
          </w:tcPr>
          <w:p w14:paraId="052A34D0" w14:textId="77777777" w:rsidR="00D01830" w:rsidRPr="00AB7AD8" w:rsidRDefault="00D01830" w:rsidP="0075304E">
            <w:pPr>
              <w:pStyle w:val="NormalWeb"/>
              <w:spacing w:after="240"/>
              <w:jc w:val="right"/>
              <w:rPr>
                <w:rFonts w:ascii="Arial" w:hAnsi="Arial" w:cs="Arial"/>
                <w:sz w:val="18"/>
                <w:szCs w:val="18"/>
                <w:lang w:val="en-GB" w:eastAsia="en-US"/>
              </w:rPr>
            </w:pPr>
          </w:p>
        </w:tc>
        <w:tc>
          <w:tcPr>
            <w:tcW w:w="0" w:type="auto"/>
            <w:tcBorders>
              <w:top w:val="nil"/>
              <w:left w:val="nil"/>
              <w:bottom w:val="nil"/>
              <w:right w:val="single" w:sz="4" w:space="0" w:color="auto"/>
            </w:tcBorders>
          </w:tcPr>
          <w:p w14:paraId="3F38B3C1" w14:textId="77777777" w:rsidR="00D01830" w:rsidRPr="00AB7AD8" w:rsidRDefault="00D01830" w:rsidP="0075304E">
            <w:pPr>
              <w:pStyle w:val="NormalWeb"/>
              <w:spacing w:after="240"/>
              <w:jc w:val="right"/>
              <w:rPr>
                <w:rFonts w:ascii="Arial" w:hAnsi="Arial" w:cs="Arial"/>
                <w:sz w:val="18"/>
                <w:szCs w:val="18"/>
                <w:lang w:val="en-GB" w:eastAsia="en-US"/>
              </w:rPr>
            </w:pPr>
          </w:p>
        </w:tc>
        <w:tc>
          <w:tcPr>
            <w:tcW w:w="0" w:type="auto"/>
            <w:tcBorders>
              <w:top w:val="nil"/>
              <w:left w:val="single" w:sz="4" w:space="0" w:color="auto"/>
              <w:bottom w:val="nil"/>
              <w:right w:val="nil"/>
            </w:tcBorders>
            <w:hideMark/>
          </w:tcPr>
          <w:p w14:paraId="7D54C2AF" w14:textId="77777777" w:rsidR="00D01830" w:rsidRPr="00AB7AD8" w:rsidRDefault="00D01830" w:rsidP="0075304E">
            <w:pPr>
              <w:pStyle w:val="NormalWeb"/>
              <w:spacing w:after="240"/>
              <w:jc w:val="right"/>
              <w:rPr>
                <w:rFonts w:ascii="Arial" w:hAnsi="Arial" w:cs="Arial"/>
                <w:sz w:val="18"/>
                <w:szCs w:val="18"/>
                <w:lang w:val="en-GB" w:eastAsia="en-US"/>
              </w:rPr>
            </w:pPr>
            <w:r w:rsidRPr="00AB7AD8">
              <w:rPr>
                <w:rFonts w:ascii="Arial" w:hAnsi="Arial" w:cs="Arial"/>
                <w:sz w:val="18"/>
                <w:szCs w:val="18"/>
                <w:lang w:val="en-GB" w:eastAsia="en-US"/>
              </w:rPr>
              <w:t>1</w:t>
            </w:r>
          </w:p>
        </w:tc>
        <w:tc>
          <w:tcPr>
            <w:tcW w:w="0" w:type="auto"/>
          </w:tcPr>
          <w:p w14:paraId="37BDB008" w14:textId="77777777" w:rsidR="00D01830" w:rsidRPr="00AB7AD8" w:rsidRDefault="00D01830" w:rsidP="0075304E">
            <w:pPr>
              <w:pStyle w:val="NormalWeb"/>
              <w:spacing w:after="240"/>
              <w:jc w:val="right"/>
              <w:rPr>
                <w:rFonts w:ascii="Arial" w:hAnsi="Arial" w:cs="Arial"/>
                <w:sz w:val="18"/>
                <w:szCs w:val="18"/>
                <w:lang w:val="en-GB" w:eastAsia="en-US"/>
              </w:rPr>
            </w:pPr>
          </w:p>
        </w:tc>
        <w:tc>
          <w:tcPr>
            <w:tcW w:w="0" w:type="auto"/>
          </w:tcPr>
          <w:p w14:paraId="0316F183" w14:textId="77777777" w:rsidR="00D01830" w:rsidRPr="00AB7AD8" w:rsidRDefault="00D01830" w:rsidP="0075304E">
            <w:pPr>
              <w:pStyle w:val="NormalWeb"/>
              <w:spacing w:after="240"/>
              <w:jc w:val="right"/>
              <w:rPr>
                <w:rFonts w:ascii="Arial" w:hAnsi="Arial" w:cs="Arial"/>
                <w:sz w:val="18"/>
                <w:szCs w:val="18"/>
                <w:lang w:val="en-GB" w:eastAsia="en-US"/>
              </w:rPr>
            </w:pPr>
          </w:p>
        </w:tc>
      </w:tr>
      <w:tr w:rsidR="00D01830" w:rsidRPr="00AB7AD8" w14:paraId="026B17BE" w14:textId="77777777" w:rsidTr="0075304E">
        <w:trPr>
          <w:trHeight w:val="227"/>
        </w:trPr>
        <w:tc>
          <w:tcPr>
            <w:tcW w:w="0" w:type="auto"/>
            <w:hideMark/>
          </w:tcPr>
          <w:p w14:paraId="6BB8F63D" w14:textId="77777777" w:rsidR="00D01830" w:rsidRPr="00AB7AD8" w:rsidRDefault="00D01830" w:rsidP="0075304E">
            <w:pPr>
              <w:pStyle w:val="NormalWeb"/>
              <w:spacing w:after="240"/>
              <w:rPr>
                <w:rFonts w:ascii="Arial" w:hAnsi="Arial" w:cs="Arial"/>
                <w:sz w:val="18"/>
                <w:szCs w:val="18"/>
                <w:lang w:val="en-GB" w:eastAsia="en-US"/>
              </w:rPr>
            </w:pPr>
            <w:r w:rsidRPr="00AB7AD8">
              <w:rPr>
                <w:rFonts w:ascii="Arial" w:hAnsi="Arial" w:cs="Arial"/>
                <w:sz w:val="18"/>
                <w:szCs w:val="18"/>
                <w:lang w:val="en-GB" w:eastAsia="en-US"/>
              </w:rPr>
              <w:t>AR</w:t>
            </w:r>
            <w:r w:rsidRPr="00AB7AD8">
              <w:rPr>
                <w:rFonts w:ascii="Arial" w:hAnsi="Arial" w:cs="Arial"/>
                <w:sz w:val="18"/>
                <w:szCs w:val="18"/>
                <w:vertAlign w:val="subscript"/>
                <w:lang w:val="en-GB" w:eastAsia="en-US"/>
              </w:rPr>
              <w:t>1</w:t>
            </w:r>
          </w:p>
        </w:tc>
        <w:tc>
          <w:tcPr>
            <w:tcW w:w="0" w:type="auto"/>
            <w:hideMark/>
          </w:tcPr>
          <w:p w14:paraId="31CB7BEB" w14:textId="77777777" w:rsidR="00D01830" w:rsidRPr="00AB7AD8" w:rsidRDefault="00D01830" w:rsidP="0075304E">
            <w:pPr>
              <w:pStyle w:val="NormalWeb"/>
              <w:spacing w:after="240"/>
              <w:jc w:val="right"/>
              <w:rPr>
                <w:rFonts w:ascii="Arial" w:hAnsi="Arial" w:cs="Arial"/>
                <w:sz w:val="18"/>
                <w:szCs w:val="18"/>
                <w:lang w:val="en-GB" w:eastAsia="en-US"/>
              </w:rPr>
            </w:pPr>
            <w:r w:rsidRPr="00AB7AD8">
              <w:rPr>
                <w:rFonts w:ascii="Arial" w:hAnsi="Arial" w:cs="Arial"/>
                <w:sz w:val="18"/>
                <w:szCs w:val="18"/>
                <w:lang w:val="en-GB" w:eastAsia="en-US"/>
              </w:rPr>
              <w:t>-0.6398</w:t>
            </w:r>
          </w:p>
        </w:tc>
        <w:tc>
          <w:tcPr>
            <w:tcW w:w="0" w:type="auto"/>
            <w:hideMark/>
          </w:tcPr>
          <w:p w14:paraId="665DC6A7" w14:textId="77777777" w:rsidR="00D01830" w:rsidRPr="00AB7AD8" w:rsidRDefault="00D01830" w:rsidP="0075304E">
            <w:pPr>
              <w:pStyle w:val="NormalWeb"/>
              <w:spacing w:after="240"/>
              <w:jc w:val="right"/>
              <w:rPr>
                <w:rFonts w:ascii="Arial" w:hAnsi="Arial" w:cs="Arial"/>
                <w:sz w:val="18"/>
                <w:szCs w:val="18"/>
                <w:lang w:val="en-GB" w:eastAsia="en-US"/>
              </w:rPr>
            </w:pPr>
            <w:r w:rsidRPr="00AB7AD8">
              <w:rPr>
                <w:rFonts w:ascii="Arial" w:hAnsi="Arial" w:cs="Arial"/>
                <w:sz w:val="18"/>
                <w:szCs w:val="18"/>
                <w:lang w:val="en-GB" w:eastAsia="en-US"/>
              </w:rPr>
              <w:t>0.114</w:t>
            </w:r>
          </w:p>
        </w:tc>
        <w:tc>
          <w:tcPr>
            <w:tcW w:w="0" w:type="auto"/>
            <w:tcBorders>
              <w:top w:val="nil"/>
              <w:left w:val="nil"/>
              <w:bottom w:val="nil"/>
              <w:right w:val="single" w:sz="4" w:space="0" w:color="auto"/>
            </w:tcBorders>
            <w:hideMark/>
          </w:tcPr>
          <w:p w14:paraId="369ADE2B" w14:textId="77777777" w:rsidR="00D01830" w:rsidRPr="00AB7AD8" w:rsidRDefault="00D01830" w:rsidP="0075304E">
            <w:pPr>
              <w:pStyle w:val="NormalWeb"/>
              <w:spacing w:after="240"/>
              <w:jc w:val="right"/>
              <w:rPr>
                <w:rFonts w:ascii="Arial" w:hAnsi="Arial" w:cs="Arial"/>
                <w:sz w:val="18"/>
                <w:szCs w:val="18"/>
                <w:lang w:val="en-GB" w:eastAsia="en-US"/>
              </w:rPr>
            </w:pPr>
            <w:r w:rsidRPr="00AB7AD8">
              <w:rPr>
                <w:rFonts w:ascii="Arial" w:hAnsi="Arial" w:cs="Arial"/>
                <w:sz w:val="18"/>
                <w:szCs w:val="18"/>
                <w:lang w:val="en-GB" w:eastAsia="en-US"/>
              </w:rPr>
              <w:t>&lt;0.001</w:t>
            </w:r>
          </w:p>
        </w:tc>
        <w:tc>
          <w:tcPr>
            <w:tcW w:w="0" w:type="auto"/>
            <w:tcBorders>
              <w:top w:val="nil"/>
              <w:left w:val="single" w:sz="4" w:space="0" w:color="auto"/>
              <w:bottom w:val="nil"/>
              <w:right w:val="nil"/>
            </w:tcBorders>
            <w:hideMark/>
          </w:tcPr>
          <w:p w14:paraId="6E49E7DE" w14:textId="77777777" w:rsidR="00D01830" w:rsidRPr="00AB7AD8" w:rsidRDefault="00D01830" w:rsidP="0075304E">
            <w:pPr>
              <w:pStyle w:val="NormalWeb"/>
              <w:spacing w:after="240"/>
              <w:jc w:val="right"/>
              <w:rPr>
                <w:rFonts w:ascii="Arial" w:hAnsi="Arial" w:cs="Arial"/>
                <w:sz w:val="18"/>
                <w:szCs w:val="18"/>
                <w:lang w:val="en-GB" w:eastAsia="en-US"/>
              </w:rPr>
            </w:pPr>
            <w:r w:rsidRPr="00AB7AD8">
              <w:rPr>
                <w:rFonts w:ascii="Arial" w:hAnsi="Arial" w:cs="Arial"/>
                <w:sz w:val="18"/>
                <w:szCs w:val="18"/>
                <w:lang w:val="en-GB" w:eastAsia="en-US"/>
              </w:rPr>
              <w:t>-0.8791</w:t>
            </w:r>
          </w:p>
        </w:tc>
        <w:tc>
          <w:tcPr>
            <w:tcW w:w="0" w:type="auto"/>
            <w:hideMark/>
          </w:tcPr>
          <w:p w14:paraId="24511E18" w14:textId="77777777" w:rsidR="00D01830" w:rsidRPr="00AB7AD8" w:rsidRDefault="00D01830" w:rsidP="0075304E">
            <w:pPr>
              <w:pStyle w:val="NormalWeb"/>
              <w:spacing w:after="240"/>
              <w:jc w:val="right"/>
              <w:rPr>
                <w:rFonts w:ascii="Arial" w:hAnsi="Arial" w:cs="Arial"/>
                <w:sz w:val="18"/>
                <w:szCs w:val="18"/>
                <w:lang w:val="en-GB" w:eastAsia="en-US"/>
              </w:rPr>
            </w:pPr>
            <w:r w:rsidRPr="00AB7AD8">
              <w:rPr>
                <w:rFonts w:ascii="Arial" w:hAnsi="Arial" w:cs="Arial"/>
                <w:sz w:val="18"/>
                <w:szCs w:val="18"/>
                <w:lang w:val="en-GB" w:eastAsia="en-US"/>
              </w:rPr>
              <w:t>0.113</w:t>
            </w:r>
          </w:p>
        </w:tc>
        <w:tc>
          <w:tcPr>
            <w:tcW w:w="0" w:type="auto"/>
            <w:tcBorders>
              <w:top w:val="nil"/>
              <w:left w:val="nil"/>
              <w:bottom w:val="nil"/>
              <w:right w:val="single" w:sz="4" w:space="0" w:color="auto"/>
            </w:tcBorders>
            <w:hideMark/>
          </w:tcPr>
          <w:p w14:paraId="56FC4EAB" w14:textId="77777777" w:rsidR="00D01830" w:rsidRPr="00AB7AD8" w:rsidRDefault="00D01830" w:rsidP="0075304E">
            <w:pPr>
              <w:pStyle w:val="NormalWeb"/>
              <w:spacing w:after="240"/>
              <w:jc w:val="right"/>
              <w:rPr>
                <w:rFonts w:ascii="Arial" w:hAnsi="Arial" w:cs="Arial"/>
                <w:sz w:val="18"/>
                <w:szCs w:val="18"/>
                <w:lang w:val="en-GB" w:eastAsia="en-US"/>
              </w:rPr>
            </w:pPr>
            <w:r w:rsidRPr="00AB7AD8">
              <w:rPr>
                <w:rFonts w:ascii="Arial" w:hAnsi="Arial" w:cs="Arial"/>
                <w:sz w:val="18"/>
                <w:szCs w:val="18"/>
                <w:lang w:val="en-GB" w:eastAsia="en-US"/>
              </w:rPr>
              <w:t>&lt;0.001</w:t>
            </w:r>
          </w:p>
        </w:tc>
        <w:tc>
          <w:tcPr>
            <w:tcW w:w="0" w:type="auto"/>
            <w:tcBorders>
              <w:top w:val="nil"/>
              <w:left w:val="single" w:sz="4" w:space="0" w:color="auto"/>
              <w:bottom w:val="nil"/>
              <w:right w:val="nil"/>
            </w:tcBorders>
            <w:hideMark/>
          </w:tcPr>
          <w:p w14:paraId="2862C8B2" w14:textId="77777777" w:rsidR="00D01830" w:rsidRPr="00AB7AD8" w:rsidRDefault="00D01830" w:rsidP="0075304E">
            <w:pPr>
              <w:pStyle w:val="NormalWeb"/>
              <w:spacing w:after="240"/>
              <w:jc w:val="right"/>
              <w:rPr>
                <w:rFonts w:ascii="Arial" w:hAnsi="Arial" w:cs="Arial"/>
                <w:sz w:val="18"/>
                <w:szCs w:val="18"/>
                <w:lang w:val="en-GB" w:eastAsia="en-US"/>
              </w:rPr>
            </w:pPr>
            <w:r w:rsidRPr="00AB7AD8">
              <w:rPr>
                <w:rFonts w:ascii="Arial" w:hAnsi="Arial" w:cs="Arial"/>
                <w:sz w:val="18"/>
                <w:szCs w:val="18"/>
                <w:lang w:val="en-GB" w:eastAsia="en-US"/>
              </w:rPr>
              <w:t>-0.5868</w:t>
            </w:r>
          </w:p>
        </w:tc>
        <w:tc>
          <w:tcPr>
            <w:tcW w:w="0" w:type="auto"/>
            <w:hideMark/>
          </w:tcPr>
          <w:p w14:paraId="70BA0E95" w14:textId="77777777" w:rsidR="00D01830" w:rsidRPr="00AB7AD8" w:rsidRDefault="00D01830" w:rsidP="0075304E">
            <w:pPr>
              <w:pStyle w:val="NormalWeb"/>
              <w:spacing w:after="240"/>
              <w:jc w:val="right"/>
              <w:rPr>
                <w:rFonts w:ascii="Arial" w:hAnsi="Arial" w:cs="Arial"/>
                <w:sz w:val="18"/>
                <w:szCs w:val="18"/>
                <w:lang w:val="en-GB" w:eastAsia="en-US"/>
              </w:rPr>
            </w:pPr>
            <w:r w:rsidRPr="00AB7AD8">
              <w:rPr>
                <w:rFonts w:ascii="Arial" w:hAnsi="Arial" w:cs="Arial"/>
                <w:sz w:val="18"/>
                <w:szCs w:val="18"/>
                <w:lang w:val="en-GB" w:eastAsia="en-US"/>
              </w:rPr>
              <w:t>0.187</w:t>
            </w:r>
          </w:p>
        </w:tc>
        <w:tc>
          <w:tcPr>
            <w:tcW w:w="0" w:type="auto"/>
            <w:hideMark/>
          </w:tcPr>
          <w:p w14:paraId="2CCE53A1" w14:textId="77777777" w:rsidR="00D01830" w:rsidRPr="00AB7AD8" w:rsidRDefault="00D01830" w:rsidP="0075304E">
            <w:pPr>
              <w:pStyle w:val="NormalWeb"/>
              <w:spacing w:after="240"/>
              <w:jc w:val="right"/>
              <w:rPr>
                <w:rFonts w:ascii="Arial" w:hAnsi="Arial" w:cs="Arial"/>
                <w:sz w:val="18"/>
                <w:szCs w:val="18"/>
                <w:lang w:val="en-GB" w:eastAsia="en-US"/>
              </w:rPr>
            </w:pPr>
            <w:r w:rsidRPr="00AB7AD8">
              <w:rPr>
                <w:rFonts w:ascii="Arial" w:hAnsi="Arial" w:cs="Arial"/>
                <w:sz w:val="18"/>
                <w:szCs w:val="18"/>
                <w:lang w:val="en-GB" w:eastAsia="en-US"/>
              </w:rPr>
              <w:t>&lt;0.001</w:t>
            </w:r>
          </w:p>
        </w:tc>
      </w:tr>
      <w:tr w:rsidR="00D01830" w:rsidRPr="00AB7AD8" w14:paraId="07618BD1" w14:textId="77777777" w:rsidTr="0075304E">
        <w:trPr>
          <w:trHeight w:val="227"/>
        </w:trPr>
        <w:tc>
          <w:tcPr>
            <w:tcW w:w="0" w:type="auto"/>
            <w:hideMark/>
          </w:tcPr>
          <w:p w14:paraId="617A75BD" w14:textId="77777777" w:rsidR="00D01830" w:rsidRPr="00AB7AD8" w:rsidRDefault="00D01830" w:rsidP="0075304E">
            <w:pPr>
              <w:pStyle w:val="NormalWeb"/>
              <w:spacing w:after="240"/>
              <w:rPr>
                <w:rFonts w:ascii="Arial" w:hAnsi="Arial" w:cs="Arial"/>
                <w:sz w:val="18"/>
                <w:szCs w:val="18"/>
                <w:lang w:val="en-GB" w:eastAsia="en-US"/>
              </w:rPr>
            </w:pPr>
            <w:r w:rsidRPr="00AB7AD8">
              <w:rPr>
                <w:rFonts w:ascii="Arial" w:hAnsi="Arial" w:cs="Arial"/>
                <w:sz w:val="18"/>
                <w:szCs w:val="18"/>
                <w:lang w:val="en-GB" w:eastAsia="en-US"/>
              </w:rPr>
              <w:t>AR</w:t>
            </w:r>
            <w:r w:rsidRPr="00AB7AD8">
              <w:rPr>
                <w:rFonts w:ascii="Arial" w:hAnsi="Arial" w:cs="Arial"/>
                <w:sz w:val="18"/>
                <w:szCs w:val="18"/>
                <w:vertAlign w:val="subscript"/>
                <w:lang w:val="en-GB" w:eastAsia="en-US"/>
              </w:rPr>
              <w:t>2</w:t>
            </w:r>
          </w:p>
        </w:tc>
        <w:tc>
          <w:tcPr>
            <w:tcW w:w="0" w:type="auto"/>
            <w:hideMark/>
          </w:tcPr>
          <w:p w14:paraId="3203C9D3" w14:textId="77777777" w:rsidR="00D01830" w:rsidRPr="00AB7AD8" w:rsidRDefault="00D01830" w:rsidP="0075304E">
            <w:pPr>
              <w:pStyle w:val="NormalWeb"/>
              <w:spacing w:after="240"/>
              <w:jc w:val="right"/>
              <w:rPr>
                <w:rFonts w:ascii="Arial" w:hAnsi="Arial" w:cs="Arial"/>
                <w:sz w:val="18"/>
                <w:szCs w:val="18"/>
                <w:lang w:val="en-GB" w:eastAsia="en-US"/>
              </w:rPr>
            </w:pPr>
            <w:r w:rsidRPr="00AB7AD8">
              <w:rPr>
                <w:rFonts w:ascii="Arial" w:hAnsi="Arial" w:cs="Arial"/>
                <w:sz w:val="18"/>
                <w:szCs w:val="18"/>
                <w:lang w:val="en-GB" w:eastAsia="en-US"/>
              </w:rPr>
              <w:t>-0.0738</w:t>
            </w:r>
          </w:p>
        </w:tc>
        <w:tc>
          <w:tcPr>
            <w:tcW w:w="0" w:type="auto"/>
            <w:hideMark/>
          </w:tcPr>
          <w:p w14:paraId="56627F4A" w14:textId="77777777" w:rsidR="00D01830" w:rsidRPr="00AB7AD8" w:rsidRDefault="00D01830" w:rsidP="0075304E">
            <w:pPr>
              <w:pStyle w:val="NormalWeb"/>
              <w:spacing w:after="240"/>
              <w:jc w:val="right"/>
              <w:rPr>
                <w:rFonts w:ascii="Arial" w:hAnsi="Arial" w:cs="Arial"/>
                <w:sz w:val="18"/>
                <w:szCs w:val="18"/>
                <w:lang w:val="en-GB" w:eastAsia="en-US"/>
              </w:rPr>
            </w:pPr>
            <w:r w:rsidRPr="00AB7AD8">
              <w:rPr>
                <w:rFonts w:ascii="Arial" w:hAnsi="Arial" w:cs="Arial"/>
                <w:sz w:val="18"/>
                <w:szCs w:val="18"/>
                <w:lang w:val="en-GB" w:eastAsia="en-US"/>
              </w:rPr>
              <w:t>0.098</w:t>
            </w:r>
          </w:p>
        </w:tc>
        <w:tc>
          <w:tcPr>
            <w:tcW w:w="0" w:type="auto"/>
            <w:tcBorders>
              <w:top w:val="nil"/>
              <w:left w:val="nil"/>
              <w:bottom w:val="nil"/>
              <w:right w:val="single" w:sz="4" w:space="0" w:color="auto"/>
            </w:tcBorders>
            <w:hideMark/>
          </w:tcPr>
          <w:p w14:paraId="1BBA1958" w14:textId="77777777" w:rsidR="00D01830" w:rsidRPr="00AB7AD8" w:rsidRDefault="00D01830" w:rsidP="0075304E">
            <w:pPr>
              <w:pStyle w:val="NormalWeb"/>
              <w:spacing w:after="240"/>
              <w:jc w:val="right"/>
              <w:rPr>
                <w:rFonts w:ascii="Arial" w:hAnsi="Arial" w:cs="Arial"/>
                <w:sz w:val="18"/>
                <w:szCs w:val="18"/>
                <w:lang w:val="en-GB" w:eastAsia="en-US"/>
              </w:rPr>
            </w:pPr>
            <w:r w:rsidRPr="00AB7AD8">
              <w:rPr>
                <w:rFonts w:ascii="Arial" w:hAnsi="Arial" w:cs="Arial"/>
                <w:sz w:val="18"/>
                <w:szCs w:val="18"/>
                <w:lang w:val="en-GB" w:eastAsia="en-US"/>
              </w:rPr>
              <w:t>0.453</w:t>
            </w:r>
          </w:p>
        </w:tc>
        <w:tc>
          <w:tcPr>
            <w:tcW w:w="0" w:type="auto"/>
            <w:tcBorders>
              <w:top w:val="nil"/>
              <w:left w:val="single" w:sz="4" w:space="0" w:color="auto"/>
              <w:bottom w:val="nil"/>
              <w:right w:val="nil"/>
            </w:tcBorders>
            <w:hideMark/>
          </w:tcPr>
          <w:p w14:paraId="4D6B082E" w14:textId="77777777" w:rsidR="00D01830" w:rsidRPr="00AB7AD8" w:rsidRDefault="00D01830" w:rsidP="0075304E">
            <w:pPr>
              <w:pStyle w:val="NormalWeb"/>
              <w:spacing w:after="240"/>
              <w:jc w:val="right"/>
              <w:rPr>
                <w:rFonts w:ascii="Arial" w:hAnsi="Arial" w:cs="Arial"/>
                <w:sz w:val="18"/>
                <w:szCs w:val="18"/>
                <w:lang w:val="en-GB" w:eastAsia="en-US"/>
              </w:rPr>
            </w:pPr>
            <w:r w:rsidRPr="00AB7AD8">
              <w:rPr>
                <w:rFonts w:ascii="Arial" w:hAnsi="Arial" w:cs="Arial"/>
                <w:sz w:val="18"/>
                <w:szCs w:val="18"/>
                <w:lang w:val="en-GB" w:eastAsia="en-US"/>
              </w:rPr>
              <w:t>-0.7928</w:t>
            </w:r>
          </w:p>
        </w:tc>
        <w:tc>
          <w:tcPr>
            <w:tcW w:w="0" w:type="auto"/>
            <w:hideMark/>
          </w:tcPr>
          <w:p w14:paraId="1E25A3EE" w14:textId="77777777" w:rsidR="00D01830" w:rsidRPr="00AB7AD8" w:rsidRDefault="00D01830" w:rsidP="0075304E">
            <w:pPr>
              <w:pStyle w:val="NormalWeb"/>
              <w:spacing w:after="240"/>
              <w:jc w:val="right"/>
              <w:rPr>
                <w:rFonts w:ascii="Arial" w:hAnsi="Arial" w:cs="Arial"/>
                <w:sz w:val="18"/>
                <w:szCs w:val="18"/>
                <w:lang w:val="en-GB" w:eastAsia="en-US"/>
              </w:rPr>
            </w:pPr>
            <w:r w:rsidRPr="00AB7AD8">
              <w:rPr>
                <w:rFonts w:ascii="Arial" w:hAnsi="Arial" w:cs="Arial"/>
                <w:sz w:val="18"/>
                <w:szCs w:val="18"/>
                <w:lang w:val="en-GB" w:eastAsia="en-US"/>
              </w:rPr>
              <w:t>0.094</w:t>
            </w:r>
          </w:p>
        </w:tc>
        <w:tc>
          <w:tcPr>
            <w:tcW w:w="0" w:type="auto"/>
            <w:tcBorders>
              <w:top w:val="nil"/>
              <w:left w:val="nil"/>
              <w:bottom w:val="nil"/>
              <w:right w:val="single" w:sz="4" w:space="0" w:color="auto"/>
            </w:tcBorders>
            <w:hideMark/>
          </w:tcPr>
          <w:p w14:paraId="250EA56C" w14:textId="77777777" w:rsidR="00D01830" w:rsidRPr="00AB7AD8" w:rsidRDefault="00D01830" w:rsidP="0075304E">
            <w:pPr>
              <w:pStyle w:val="NormalWeb"/>
              <w:spacing w:after="240"/>
              <w:jc w:val="right"/>
              <w:rPr>
                <w:rFonts w:ascii="Arial" w:hAnsi="Arial" w:cs="Arial"/>
                <w:sz w:val="18"/>
                <w:szCs w:val="18"/>
                <w:lang w:val="en-GB" w:eastAsia="en-US"/>
              </w:rPr>
            </w:pPr>
            <w:r w:rsidRPr="00AB7AD8">
              <w:rPr>
                <w:rFonts w:ascii="Arial" w:hAnsi="Arial" w:cs="Arial"/>
                <w:sz w:val="18"/>
                <w:szCs w:val="18"/>
                <w:lang w:val="en-GB" w:eastAsia="en-US"/>
              </w:rPr>
              <w:t>&lt;0.001</w:t>
            </w:r>
          </w:p>
        </w:tc>
        <w:tc>
          <w:tcPr>
            <w:tcW w:w="0" w:type="auto"/>
            <w:tcBorders>
              <w:top w:val="nil"/>
              <w:left w:val="single" w:sz="4" w:space="0" w:color="auto"/>
              <w:bottom w:val="nil"/>
              <w:right w:val="nil"/>
            </w:tcBorders>
            <w:hideMark/>
          </w:tcPr>
          <w:p w14:paraId="3DECF068" w14:textId="77777777" w:rsidR="00D01830" w:rsidRPr="00AB7AD8" w:rsidRDefault="00D01830" w:rsidP="0075304E">
            <w:pPr>
              <w:pStyle w:val="NormalWeb"/>
              <w:spacing w:after="240"/>
              <w:jc w:val="right"/>
              <w:rPr>
                <w:rFonts w:ascii="Arial" w:hAnsi="Arial" w:cs="Arial"/>
                <w:sz w:val="18"/>
                <w:szCs w:val="18"/>
                <w:lang w:val="en-GB" w:eastAsia="en-US"/>
              </w:rPr>
            </w:pPr>
            <w:r w:rsidRPr="00AB7AD8">
              <w:rPr>
                <w:rFonts w:ascii="Arial" w:hAnsi="Arial" w:cs="Arial"/>
                <w:sz w:val="18"/>
                <w:szCs w:val="18"/>
                <w:lang w:val="en-GB" w:eastAsia="en-US"/>
              </w:rPr>
              <w:t>-0.6313</w:t>
            </w:r>
          </w:p>
        </w:tc>
        <w:tc>
          <w:tcPr>
            <w:tcW w:w="0" w:type="auto"/>
            <w:hideMark/>
          </w:tcPr>
          <w:p w14:paraId="45CFAD42" w14:textId="77777777" w:rsidR="00D01830" w:rsidRPr="00AB7AD8" w:rsidRDefault="00D01830" w:rsidP="0075304E">
            <w:pPr>
              <w:pStyle w:val="NormalWeb"/>
              <w:spacing w:after="240"/>
              <w:jc w:val="right"/>
              <w:rPr>
                <w:rFonts w:ascii="Arial" w:hAnsi="Arial" w:cs="Arial"/>
                <w:sz w:val="18"/>
                <w:szCs w:val="18"/>
                <w:lang w:val="en-GB" w:eastAsia="en-US"/>
              </w:rPr>
            </w:pPr>
            <w:r w:rsidRPr="00AB7AD8">
              <w:rPr>
                <w:rFonts w:ascii="Arial" w:hAnsi="Arial" w:cs="Arial"/>
                <w:sz w:val="18"/>
                <w:szCs w:val="18"/>
                <w:lang w:val="en-GB" w:eastAsia="en-US"/>
              </w:rPr>
              <w:t>0.112</w:t>
            </w:r>
          </w:p>
        </w:tc>
        <w:tc>
          <w:tcPr>
            <w:tcW w:w="0" w:type="auto"/>
            <w:hideMark/>
          </w:tcPr>
          <w:p w14:paraId="4B3690E5" w14:textId="77777777" w:rsidR="00D01830" w:rsidRPr="00AB7AD8" w:rsidRDefault="00D01830" w:rsidP="0075304E">
            <w:pPr>
              <w:pStyle w:val="NormalWeb"/>
              <w:spacing w:after="240"/>
              <w:jc w:val="right"/>
              <w:rPr>
                <w:rFonts w:ascii="Arial" w:hAnsi="Arial" w:cs="Arial"/>
                <w:sz w:val="18"/>
                <w:szCs w:val="18"/>
                <w:lang w:val="en-GB" w:eastAsia="en-US"/>
              </w:rPr>
            </w:pPr>
            <w:r w:rsidRPr="00AB7AD8">
              <w:rPr>
                <w:rFonts w:ascii="Arial" w:hAnsi="Arial" w:cs="Arial"/>
                <w:sz w:val="18"/>
                <w:szCs w:val="18"/>
                <w:lang w:val="en-GB" w:eastAsia="en-US"/>
              </w:rPr>
              <w:t>&lt;0.001</w:t>
            </w:r>
          </w:p>
        </w:tc>
      </w:tr>
      <w:tr w:rsidR="00D01830" w:rsidRPr="00AB7AD8" w14:paraId="3271DA94" w14:textId="77777777" w:rsidTr="0075304E">
        <w:trPr>
          <w:trHeight w:val="227"/>
        </w:trPr>
        <w:tc>
          <w:tcPr>
            <w:tcW w:w="0" w:type="auto"/>
            <w:hideMark/>
          </w:tcPr>
          <w:p w14:paraId="443D969C" w14:textId="77777777" w:rsidR="00D01830" w:rsidRPr="00AB7AD8" w:rsidRDefault="00D01830" w:rsidP="0075304E">
            <w:pPr>
              <w:pStyle w:val="NormalWeb"/>
              <w:spacing w:after="240"/>
              <w:rPr>
                <w:rFonts w:ascii="Arial" w:hAnsi="Arial" w:cs="Arial"/>
                <w:sz w:val="18"/>
                <w:szCs w:val="18"/>
                <w:lang w:val="en-GB" w:eastAsia="en-US"/>
              </w:rPr>
            </w:pPr>
            <w:r w:rsidRPr="00AB7AD8">
              <w:rPr>
                <w:rFonts w:ascii="Arial" w:hAnsi="Arial" w:cs="Arial"/>
                <w:sz w:val="18"/>
                <w:szCs w:val="18"/>
                <w:lang w:val="en-GB" w:eastAsia="en-US"/>
              </w:rPr>
              <w:t>AR</w:t>
            </w:r>
            <w:r w:rsidRPr="00AB7AD8">
              <w:rPr>
                <w:rFonts w:ascii="Arial" w:hAnsi="Arial" w:cs="Arial"/>
                <w:sz w:val="18"/>
                <w:szCs w:val="18"/>
                <w:vertAlign w:val="subscript"/>
                <w:lang w:val="en-GB" w:eastAsia="en-US"/>
              </w:rPr>
              <w:t>3</w:t>
            </w:r>
          </w:p>
        </w:tc>
        <w:tc>
          <w:tcPr>
            <w:tcW w:w="0" w:type="auto"/>
            <w:hideMark/>
          </w:tcPr>
          <w:p w14:paraId="09C7B5AB" w14:textId="77777777" w:rsidR="00D01830" w:rsidRPr="00AB7AD8" w:rsidRDefault="00D01830" w:rsidP="0075304E">
            <w:pPr>
              <w:pStyle w:val="NormalWeb"/>
              <w:spacing w:after="240"/>
              <w:jc w:val="right"/>
              <w:rPr>
                <w:rFonts w:ascii="Arial" w:hAnsi="Arial" w:cs="Arial"/>
                <w:sz w:val="18"/>
                <w:szCs w:val="18"/>
                <w:lang w:val="en-GB" w:eastAsia="en-US"/>
              </w:rPr>
            </w:pPr>
            <w:r w:rsidRPr="00AB7AD8">
              <w:rPr>
                <w:rFonts w:ascii="Arial" w:hAnsi="Arial" w:cs="Arial"/>
                <w:sz w:val="18"/>
                <w:szCs w:val="18"/>
                <w:lang w:val="en-GB" w:eastAsia="en-US"/>
              </w:rPr>
              <w:t>0.7465</w:t>
            </w:r>
          </w:p>
        </w:tc>
        <w:tc>
          <w:tcPr>
            <w:tcW w:w="0" w:type="auto"/>
            <w:hideMark/>
          </w:tcPr>
          <w:p w14:paraId="4D91102D" w14:textId="77777777" w:rsidR="00D01830" w:rsidRPr="00AB7AD8" w:rsidRDefault="00D01830" w:rsidP="0075304E">
            <w:pPr>
              <w:pStyle w:val="NormalWeb"/>
              <w:spacing w:after="240"/>
              <w:jc w:val="right"/>
              <w:rPr>
                <w:rFonts w:ascii="Arial" w:hAnsi="Arial" w:cs="Arial"/>
                <w:sz w:val="18"/>
                <w:szCs w:val="18"/>
                <w:lang w:val="en-GB" w:eastAsia="en-US"/>
              </w:rPr>
            </w:pPr>
            <w:r w:rsidRPr="00AB7AD8">
              <w:rPr>
                <w:rFonts w:ascii="Arial" w:hAnsi="Arial" w:cs="Arial"/>
                <w:sz w:val="18"/>
                <w:szCs w:val="18"/>
                <w:lang w:val="en-GB" w:eastAsia="en-US"/>
              </w:rPr>
              <w:t>0.100</w:t>
            </w:r>
          </w:p>
        </w:tc>
        <w:tc>
          <w:tcPr>
            <w:tcW w:w="0" w:type="auto"/>
            <w:tcBorders>
              <w:top w:val="nil"/>
              <w:left w:val="nil"/>
              <w:bottom w:val="nil"/>
              <w:right w:val="single" w:sz="4" w:space="0" w:color="auto"/>
            </w:tcBorders>
            <w:hideMark/>
          </w:tcPr>
          <w:p w14:paraId="51266AE2" w14:textId="77777777" w:rsidR="00D01830" w:rsidRPr="00AB7AD8" w:rsidRDefault="00D01830" w:rsidP="0075304E">
            <w:pPr>
              <w:pStyle w:val="NormalWeb"/>
              <w:spacing w:after="240"/>
              <w:jc w:val="right"/>
              <w:rPr>
                <w:rFonts w:ascii="Arial" w:hAnsi="Arial" w:cs="Arial"/>
                <w:sz w:val="18"/>
                <w:szCs w:val="18"/>
                <w:lang w:val="en-GB" w:eastAsia="en-US"/>
              </w:rPr>
            </w:pPr>
            <w:r w:rsidRPr="00AB7AD8">
              <w:rPr>
                <w:rFonts w:ascii="Arial" w:hAnsi="Arial" w:cs="Arial"/>
                <w:sz w:val="18"/>
                <w:szCs w:val="18"/>
                <w:lang w:val="en-GB" w:eastAsia="en-US"/>
              </w:rPr>
              <w:t>&lt;0.001</w:t>
            </w:r>
          </w:p>
        </w:tc>
        <w:tc>
          <w:tcPr>
            <w:tcW w:w="0" w:type="auto"/>
            <w:tcBorders>
              <w:top w:val="nil"/>
              <w:left w:val="single" w:sz="4" w:space="0" w:color="auto"/>
              <w:bottom w:val="nil"/>
              <w:right w:val="nil"/>
            </w:tcBorders>
          </w:tcPr>
          <w:p w14:paraId="49DF4674" w14:textId="77777777" w:rsidR="00D01830" w:rsidRPr="00AB7AD8" w:rsidRDefault="00D01830" w:rsidP="0075304E">
            <w:pPr>
              <w:pStyle w:val="NormalWeb"/>
              <w:spacing w:after="240"/>
              <w:jc w:val="right"/>
              <w:rPr>
                <w:rFonts w:ascii="Arial" w:hAnsi="Arial" w:cs="Arial"/>
                <w:sz w:val="18"/>
                <w:szCs w:val="18"/>
                <w:lang w:val="en-GB" w:eastAsia="en-US"/>
              </w:rPr>
            </w:pPr>
          </w:p>
        </w:tc>
        <w:tc>
          <w:tcPr>
            <w:tcW w:w="0" w:type="auto"/>
          </w:tcPr>
          <w:p w14:paraId="159EAEA1" w14:textId="77777777" w:rsidR="00D01830" w:rsidRPr="00AB7AD8" w:rsidRDefault="00D01830" w:rsidP="0075304E">
            <w:pPr>
              <w:pStyle w:val="NormalWeb"/>
              <w:spacing w:after="240"/>
              <w:jc w:val="right"/>
              <w:rPr>
                <w:rFonts w:ascii="Arial" w:hAnsi="Arial" w:cs="Arial"/>
                <w:sz w:val="18"/>
                <w:szCs w:val="18"/>
                <w:lang w:val="en-GB" w:eastAsia="en-US"/>
              </w:rPr>
            </w:pPr>
          </w:p>
        </w:tc>
        <w:tc>
          <w:tcPr>
            <w:tcW w:w="0" w:type="auto"/>
            <w:tcBorders>
              <w:top w:val="nil"/>
              <w:left w:val="nil"/>
              <w:bottom w:val="nil"/>
              <w:right w:val="single" w:sz="4" w:space="0" w:color="auto"/>
            </w:tcBorders>
          </w:tcPr>
          <w:p w14:paraId="039E0BD7" w14:textId="77777777" w:rsidR="00D01830" w:rsidRPr="00AB7AD8" w:rsidRDefault="00D01830" w:rsidP="0075304E">
            <w:pPr>
              <w:pStyle w:val="NormalWeb"/>
              <w:spacing w:after="240"/>
              <w:jc w:val="right"/>
              <w:rPr>
                <w:rFonts w:ascii="Arial" w:hAnsi="Arial" w:cs="Arial"/>
                <w:sz w:val="18"/>
                <w:szCs w:val="18"/>
                <w:lang w:val="en-GB" w:eastAsia="en-US"/>
              </w:rPr>
            </w:pPr>
          </w:p>
        </w:tc>
        <w:tc>
          <w:tcPr>
            <w:tcW w:w="0" w:type="auto"/>
            <w:tcBorders>
              <w:top w:val="nil"/>
              <w:left w:val="single" w:sz="4" w:space="0" w:color="auto"/>
              <w:bottom w:val="nil"/>
              <w:right w:val="nil"/>
            </w:tcBorders>
          </w:tcPr>
          <w:p w14:paraId="6138F72B" w14:textId="77777777" w:rsidR="00D01830" w:rsidRPr="00AB7AD8" w:rsidRDefault="00D01830" w:rsidP="0075304E">
            <w:pPr>
              <w:pStyle w:val="NormalWeb"/>
              <w:spacing w:after="240"/>
              <w:jc w:val="right"/>
              <w:rPr>
                <w:rFonts w:ascii="Arial" w:hAnsi="Arial" w:cs="Arial"/>
                <w:sz w:val="18"/>
                <w:szCs w:val="18"/>
                <w:lang w:val="en-GB" w:eastAsia="en-US"/>
              </w:rPr>
            </w:pPr>
          </w:p>
        </w:tc>
        <w:tc>
          <w:tcPr>
            <w:tcW w:w="0" w:type="auto"/>
          </w:tcPr>
          <w:p w14:paraId="616F1213" w14:textId="77777777" w:rsidR="00D01830" w:rsidRPr="00AB7AD8" w:rsidRDefault="00D01830" w:rsidP="0075304E">
            <w:pPr>
              <w:pStyle w:val="NormalWeb"/>
              <w:spacing w:after="240"/>
              <w:jc w:val="right"/>
              <w:rPr>
                <w:rFonts w:ascii="Arial" w:hAnsi="Arial" w:cs="Arial"/>
                <w:sz w:val="18"/>
                <w:szCs w:val="18"/>
                <w:lang w:val="en-GB" w:eastAsia="en-US"/>
              </w:rPr>
            </w:pPr>
          </w:p>
        </w:tc>
        <w:tc>
          <w:tcPr>
            <w:tcW w:w="0" w:type="auto"/>
          </w:tcPr>
          <w:p w14:paraId="7D153A7D" w14:textId="77777777" w:rsidR="00D01830" w:rsidRPr="00AB7AD8" w:rsidRDefault="00D01830" w:rsidP="0075304E">
            <w:pPr>
              <w:pStyle w:val="NormalWeb"/>
              <w:spacing w:after="240"/>
              <w:jc w:val="right"/>
              <w:rPr>
                <w:rFonts w:ascii="Arial" w:hAnsi="Arial" w:cs="Arial"/>
                <w:sz w:val="18"/>
                <w:szCs w:val="18"/>
                <w:lang w:val="en-GB" w:eastAsia="en-US"/>
              </w:rPr>
            </w:pPr>
          </w:p>
        </w:tc>
      </w:tr>
      <w:tr w:rsidR="00D01830" w:rsidRPr="00AB7AD8" w14:paraId="314B42DB" w14:textId="77777777" w:rsidTr="0075304E">
        <w:trPr>
          <w:trHeight w:val="227"/>
        </w:trPr>
        <w:tc>
          <w:tcPr>
            <w:tcW w:w="0" w:type="auto"/>
            <w:hideMark/>
          </w:tcPr>
          <w:p w14:paraId="54DB1B55" w14:textId="77777777" w:rsidR="00D01830" w:rsidRPr="00AB7AD8" w:rsidRDefault="00D01830" w:rsidP="0075304E">
            <w:pPr>
              <w:pStyle w:val="NormalWeb"/>
              <w:spacing w:after="240"/>
              <w:rPr>
                <w:rFonts w:ascii="Arial" w:hAnsi="Arial" w:cs="Arial"/>
                <w:sz w:val="18"/>
                <w:szCs w:val="18"/>
                <w:lang w:val="en-GB" w:eastAsia="en-US"/>
              </w:rPr>
            </w:pPr>
            <w:r w:rsidRPr="00AB7AD8">
              <w:rPr>
                <w:rFonts w:ascii="Arial" w:hAnsi="Arial" w:cs="Arial"/>
                <w:sz w:val="18"/>
                <w:szCs w:val="18"/>
                <w:lang w:val="en-GB" w:eastAsia="en-US"/>
              </w:rPr>
              <w:t>AR</w:t>
            </w:r>
            <w:r w:rsidRPr="00AB7AD8">
              <w:rPr>
                <w:rFonts w:ascii="Arial" w:hAnsi="Arial" w:cs="Arial"/>
                <w:sz w:val="18"/>
                <w:szCs w:val="18"/>
                <w:vertAlign w:val="subscript"/>
                <w:lang w:val="en-GB" w:eastAsia="en-US"/>
              </w:rPr>
              <w:t>4</w:t>
            </w:r>
          </w:p>
        </w:tc>
        <w:tc>
          <w:tcPr>
            <w:tcW w:w="0" w:type="auto"/>
            <w:hideMark/>
          </w:tcPr>
          <w:p w14:paraId="74B4753A" w14:textId="77777777" w:rsidR="00D01830" w:rsidRPr="00AB7AD8" w:rsidRDefault="00D01830" w:rsidP="0075304E">
            <w:pPr>
              <w:pStyle w:val="NormalWeb"/>
              <w:spacing w:after="240"/>
              <w:jc w:val="right"/>
              <w:rPr>
                <w:rFonts w:ascii="Arial" w:hAnsi="Arial" w:cs="Arial"/>
                <w:sz w:val="18"/>
                <w:szCs w:val="18"/>
                <w:lang w:val="en-GB" w:eastAsia="en-US"/>
              </w:rPr>
            </w:pPr>
            <w:r w:rsidRPr="00AB7AD8">
              <w:rPr>
                <w:rFonts w:ascii="Arial" w:hAnsi="Arial" w:cs="Arial"/>
                <w:sz w:val="18"/>
                <w:szCs w:val="18"/>
                <w:lang w:val="en-GB" w:eastAsia="en-US"/>
              </w:rPr>
              <w:t>0.4909</w:t>
            </w:r>
          </w:p>
        </w:tc>
        <w:tc>
          <w:tcPr>
            <w:tcW w:w="0" w:type="auto"/>
            <w:hideMark/>
          </w:tcPr>
          <w:p w14:paraId="4A021ABF" w14:textId="77777777" w:rsidR="00D01830" w:rsidRPr="00AB7AD8" w:rsidRDefault="00D01830" w:rsidP="0075304E">
            <w:pPr>
              <w:pStyle w:val="NormalWeb"/>
              <w:spacing w:after="240"/>
              <w:jc w:val="right"/>
              <w:rPr>
                <w:rFonts w:ascii="Arial" w:hAnsi="Arial" w:cs="Arial"/>
                <w:sz w:val="18"/>
                <w:szCs w:val="18"/>
                <w:lang w:val="en-GB" w:eastAsia="en-US"/>
              </w:rPr>
            </w:pPr>
            <w:r w:rsidRPr="00AB7AD8">
              <w:rPr>
                <w:rFonts w:ascii="Arial" w:hAnsi="Arial" w:cs="Arial"/>
                <w:sz w:val="18"/>
                <w:szCs w:val="18"/>
                <w:lang w:val="en-GB" w:eastAsia="en-US"/>
              </w:rPr>
              <w:t>0.114</w:t>
            </w:r>
          </w:p>
        </w:tc>
        <w:tc>
          <w:tcPr>
            <w:tcW w:w="0" w:type="auto"/>
            <w:tcBorders>
              <w:top w:val="nil"/>
              <w:left w:val="nil"/>
              <w:bottom w:val="nil"/>
              <w:right w:val="single" w:sz="4" w:space="0" w:color="auto"/>
            </w:tcBorders>
            <w:hideMark/>
          </w:tcPr>
          <w:p w14:paraId="4DC8E1C9" w14:textId="77777777" w:rsidR="00D01830" w:rsidRPr="00AB7AD8" w:rsidRDefault="00D01830" w:rsidP="0075304E">
            <w:pPr>
              <w:pStyle w:val="NormalWeb"/>
              <w:spacing w:after="240"/>
              <w:jc w:val="right"/>
              <w:rPr>
                <w:rFonts w:ascii="Arial" w:hAnsi="Arial" w:cs="Arial"/>
                <w:sz w:val="18"/>
                <w:szCs w:val="18"/>
                <w:lang w:val="en-GB" w:eastAsia="en-US"/>
              </w:rPr>
            </w:pPr>
            <w:r w:rsidRPr="00AB7AD8">
              <w:rPr>
                <w:rFonts w:ascii="Arial" w:hAnsi="Arial" w:cs="Arial"/>
                <w:sz w:val="18"/>
                <w:szCs w:val="18"/>
                <w:lang w:val="en-GB" w:eastAsia="en-US"/>
              </w:rPr>
              <w:t>&lt;0.001</w:t>
            </w:r>
          </w:p>
        </w:tc>
        <w:tc>
          <w:tcPr>
            <w:tcW w:w="0" w:type="auto"/>
            <w:tcBorders>
              <w:top w:val="nil"/>
              <w:left w:val="single" w:sz="4" w:space="0" w:color="auto"/>
              <w:bottom w:val="nil"/>
              <w:right w:val="nil"/>
            </w:tcBorders>
          </w:tcPr>
          <w:p w14:paraId="2E8AB20A" w14:textId="77777777" w:rsidR="00D01830" w:rsidRPr="00AB7AD8" w:rsidRDefault="00D01830" w:rsidP="0075304E">
            <w:pPr>
              <w:pStyle w:val="NormalWeb"/>
              <w:spacing w:after="240"/>
              <w:jc w:val="right"/>
              <w:rPr>
                <w:rFonts w:ascii="Arial" w:hAnsi="Arial" w:cs="Arial"/>
                <w:sz w:val="18"/>
                <w:szCs w:val="18"/>
                <w:lang w:val="en-GB" w:eastAsia="en-US"/>
              </w:rPr>
            </w:pPr>
          </w:p>
        </w:tc>
        <w:tc>
          <w:tcPr>
            <w:tcW w:w="0" w:type="auto"/>
          </w:tcPr>
          <w:p w14:paraId="19DCF131" w14:textId="77777777" w:rsidR="00D01830" w:rsidRPr="00AB7AD8" w:rsidRDefault="00D01830" w:rsidP="0075304E">
            <w:pPr>
              <w:pStyle w:val="NormalWeb"/>
              <w:spacing w:after="240"/>
              <w:jc w:val="right"/>
              <w:rPr>
                <w:rFonts w:ascii="Arial" w:hAnsi="Arial" w:cs="Arial"/>
                <w:sz w:val="18"/>
                <w:szCs w:val="18"/>
                <w:lang w:val="en-GB" w:eastAsia="en-US"/>
              </w:rPr>
            </w:pPr>
          </w:p>
        </w:tc>
        <w:tc>
          <w:tcPr>
            <w:tcW w:w="0" w:type="auto"/>
            <w:tcBorders>
              <w:top w:val="nil"/>
              <w:left w:val="nil"/>
              <w:bottom w:val="nil"/>
              <w:right w:val="single" w:sz="4" w:space="0" w:color="auto"/>
            </w:tcBorders>
          </w:tcPr>
          <w:p w14:paraId="4C1DAA2F" w14:textId="77777777" w:rsidR="00D01830" w:rsidRPr="00AB7AD8" w:rsidRDefault="00D01830" w:rsidP="0075304E">
            <w:pPr>
              <w:pStyle w:val="NormalWeb"/>
              <w:spacing w:after="240"/>
              <w:jc w:val="right"/>
              <w:rPr>
                <w:rFonts w:ascii="Arial" w:hAnsi="Arial" w:cs="Arial"/>
                <w:sz w:val="18"/>
                <w:szCs w:val="18"/>
                <w:lang w:val="en-GB" w:eastAsia="en-US"/>
              </w:rPr>
            </w:pPr>
          </w:p>
        </w:tc>
        <w:tc>
          <w:tcPr>
            <w:tcW w:w="0" w:type="auto"/>
            <w:tcBorders>
              <w:top w:val="nil"/>
              <w:left w:val="single" w:sz="4" w:space="0" w:color="auto"/>
              <w:bottom w:val="nil"/>
              <w:right w:val="nil"/>
            </w:tcBorders>
          </w:tcPr>
          <w:p w14:paraId="2916AE8F" w14:textId="77777777" w:rsidR="00D01830" w:rsidRPr="00AB7AD8" w:rsidRDefault="00D01830" w:rsidP="0075304E">
            <w:pPr>
              <w:pStyle w:val="NormalWeb"/>
              <w:spacing w:after="240"/>
              <w:jc w:val="right"/>
              <w:rPr>
                <w:rFonts w:ascii="Arial" w:hAnsi="Arial" w:cs="Arial"/>
                <w:sz w:val="18"/>
                <w:szCs w:val="18"/>
                <w:lang w:val="en-GB" w:eastAsia="en-US"/>
              </w:rPr>
            </w:pPr>
          </w:p>
        </w:tc>
        <w:tc>
          <w:tcPr>
            <w:tcW w:w="0" w:type="auto"/>
          </w:tcPr>
          <w:p w14:paraId="6633637D" w14:textId="77777777" w:rsidR="00D01830" w:rsidRPr="00AB7AD8" w:rsidRDefault="00D01830" w:rsidP="0075304E">
            <w:pPr>
              <w:pStyle w:val="NormalWeb"/>
              <w:spacing w:after="240"/>
              <w:jc w:val="right"/>
              <w:rPr>
                <w:rFonts w:ascii="Arial" w:hAnsi="Arial" w:cs="Arial"/>
                <w:sz w:val="18"/>
                <w:szCs w:val="18"/>
                <w:lang w:val="en-GB" w:eastAsia="en-US"/>
              </w:rPr>
            </w:pPr>
          </w:p>
        </w:tc>
        <w:tc>
          <w:tcPr>
            <w:tcW w:w="0" w:type="auto"/>
          </w:tcPr>
          <w:p w14:paraId="5C7C8D72" w14:textId="77777777" w:rsidR="00D01830" w:rsidRPr="00AB7AD8" w:rsidRDefault="00D01830" w:rsidP="0075304E">
            <w:pPr>
              <w:pStyle w:val="NormalWeb"/>
              <w:spacing w:after="240"/>
              <w:jc w:val="right"/>
              <w:rPr>
                <w:rFonts w:ascii="Arial" w:hAnsi="Arial" w:cs="Arial"/>
                <w:sz w:val="18"/>
                <w:szCs w:val="18"/>
                <w:lang w:val="en-GB" w:eastAsia="en-US"/>
              </w:rPr>
            </w:pPr>
          </w:p>
        </w:tc>
      </w:tr>
      <w:tr w:rsidR="00D01830" w:rsidRPr="00AB7AD8" w14:paraId="2E94FB65" w14:textId="77777777" w:rsidTr="0075304E">
        <w:trPr>
          <w:trHeight w:val="227"/>
        </w:trPr>
        <w:tc>
          <w:tcPr>
            <w:tcW w:w="0" w:type="auto"/>
            <w:hideMark/>
          </w:tcPr>
          <w:p w14:paraId="2F508960" w14:textId="77777777" w:rsidR="00D01830" w:rsidRPr="00AB7AD8" w:rsidRDefault="00D01830" w:rsidP="0075304E">
            <w:pPr>
              <w:pStyle w:val="NormalWeb"/>
              <w:spacing w:after="240"/>
              <w:rPr>
                <w:rFonts w:ascii="Arial" w:hAnsi="Arial" w:cs="Arial"/>
                <w:sz w:val="18"/>
                <w:szCs w:val="18"/>
                <w:lang w:val="en-GB" w:eastAsia="en-US"/>
              </w:rPr>
            </w:pPr>
            <w:r w:rsidRPr="00AB7AD8">
              <w:rPr>
                <w:rFonts w:ascii="Arial" w:hAnsi="Arial" w:cs="Arial"/>
                <w:sz w:val="18"/>
                <w:szCs w:val="18"/>
                <w:lang w:val="en-GB" w:eastAsia="en-US"/>
              </w:rPr>
              <w:t>MA</w:t>
            </w:r>
            <w:r w:rsidRPr="00AB7AD8">
              <w:rPr>
                <w:rFonts w:ascii="Arial" w:hAnsi="Arial" w:cs="Arial"/>
                <w:sz w:val="18"/>
                <w:szCs w:val="18"/>
                <w:vertAlign w:val="subscript"/>
                <w:lang w:val="en-GB" w:eastAsia="en-US"/>
              </w:rPr>
              <w:t>1</w:t>
            </w:r>
          </w:p>
        </w:tc>
        <w:tc>
          <w:tcPr>
            <w:tcW w:w="0" w:type="auto"/>
          </w:tcPr>
          <w:p w14:paraId="3FB2FC18" w14:textId="77777777" w:rsidR="00D01830" w:rsidRPr="00AB7AD8" w:rsidRDefault="00D01830" w:rsidP="0075304E">
            <w:pPr>
              <w:pStyle w:val="NormalWeb"/>
              <w:spacing w:after="240"/>
              <w:jc w:val="right"/>
              <w:rPr>
                <w:rFonts w:ascii="Arial" w:hAnsi="Arial" w:cs="Arial"/>
                <w:sz w:val="18"/>
                <w:szCs w:val="18"/>
                <w:lang w:val="en-GB" w:eastAsia="en-US"/>
              </w:rPr>
            </w:pPr>
          </w:p>
        </w:tc>
        <w:tc>
          <w:tcPr>
            <w:tcW w:w="0" w:type="auto"/>
          </w:tcPr>
          <w:p w14:paraId="507E04DA" w14:textId="77777777" w:rsidR="00D01830" w:rsidRPr="00AB7AD8" w:rsidRDefault="00D01830" w:rsidP="0075304E">
            <w:pPr>
              <w:pStyle w:val="NormalWeb"/>
              <w:spacing w:after="240"/>
              <w:jc w:val="right"/>
              <w:rPr>
                <w:rFonts w:ascii="Arial" w:hAnsi="Arial" w:cs="Arial"/>
                <w:sz w:val="18"/>
                <w:szCs w:val="18"/>
                <w:lang w:val="en-GB" w:eastAsia="en-US"/>
              </w:rPr>
            </w:pPr>
          </w:p>
        </w:tc>
        <w:tc>
          <w:tcPr>
            <w:tcW w:w="0" w:type="auto"/>
            <w:tcBorders>
              <w:top w:val="nil"/>
              <w:left w:val="nil"/>
              <w:bottom w:val="nil"/>
              <w:right w:val="single" w:sz="4" w:space="0" w:color="auto"/>
            </w:tcBorders>
          </w:tcPr>
          <w:p w14:paraId="0D8CFAC3" w14:textId="77777777" w:rsidR="00D01830" w:rsidRPr="00AB7AD8" w:rsidRDefault="00D01830" w:rsidP="0075304E">
            <w:pPr>
              <w:pStyle w:val="NormalWeb"/>
              <w:spacing w:after="240"/>
              <w:jc w:val="right"/>
              <w:rPr>
                <w:rFonts w:ascii="Arial" w:hAnsi="Arial" w:cs="Arial"/>
                <w:sz w:val="18"/>
                <w:szCs w:val="18"/>
                <w:lang w:val="en-GB" w:eastAsia="en-US"/>
              </w:rPr>
            </w:pPr>
          </w:p>
        </w:tc>
        <w:tc>
          <w:tcPr>
            <w:tcW w:w="0" w:type="auto"/>
            <w:tcBorders>
              <w:top w:val="nil"/>
              <w:left w:val="single" w:sz="4" w:space="0" w:color="auto"/>
              <w:bottom w:val="nil"/>
              <w:right w:val="nil"/>
            </w:tcBorders>
            <w:hideMark/>
          </w:tcPr>
          <w:p w14:paraId="747CBCF7" w14:textId="77777777" w:rsidR="00D01830" w:rsidRPr="00AB7AD8" w:rsidRDefault="00D01830" w:rsidP="0075304E">
            <w:pPr>
              <w:pStyle w:val="NormalWeb"/>
              <w:spacing w:after="240"/>
              <w:jc w:val="right"/>
              <w:rPr>
                <w:rFonts w:ascii="Arial" w:hAnsi="Arial" w:cs="Arial"/>
                <w:sz w:val="18"/>
                <w:szCs w:val="18"/>
                <w:lang w:val="en-GB" w:eastAsia="en-US"/>
              </w:rPr>
            </w:pPr>
            <w:r w:rsidRPr="00AB7AD8">
              <w:rPr>
                <w:rFonts w:ascii="Arial" w:hAnsi="Arial" w:cs="Arial"/>
                <w:sz w:val="18"/>
                <w:szCs w:val="18"/>
                <w:lang w:val="en-GB" w:eastAsia="en-US"/>
              </w:rPr>
              <w:t xml:space="preserve"> -0.6980</w:t>
            </w:r>
          </w:p>
        </w:tc>
        <w:tc>
          <w:tcPr>
            <w:tcW w:w="0" w:type="auto"/>
            <w:hideMark/>
          </w:tcPr>
          <w:p w14:paraId="706A3D6C" w14:textId="77777777" w:rsidR="00D01830" w:rsidRPr="00AB7AD8" w:rsidRDefault="00D01830" w:rsidP="0075304E">
            <w:pPr>
              <w:pStyle w:val="NormalWeb"/>
              <w:spacing w:after="240"/>
              <w:jc w:val="right"/>
              <w:rPr>
                <w:rFonts w:ascii="Arial" w:hAnsi="Arial" w:cs="Arial"/>
                <w:sz w:val="18"/>
                <w:szCs w:val="18"/>
                <w:lang w:val="en-GB" w:eastAsia="en-US"/>
              </w:rPr>
            </w:pPr>
            <w:r w:rsidRPr="00AB7AD8">
              <w:rPr>
                <w:rFonts w:ascii="Arial" w:hAnsi="Arial" w:cs="Arial"/>
                <w:sz w:val="18"/>
                <w:szCs w:val="18"/>
                <w:lang w:val="en-GB" w:eastAsia="en-US"/>
              </w:rPr>
              <w:t>0.192</w:t>
            </w:r>
          </w:p>
        </w:tc>
        <w:tc>
          <w:tcPr>
            <w:tcW w:w="0" w:type="auto"/>
            <w:tcBorders>
              <w:top w:val="nil"/>
              <w:left w:val="nil"/>
              <w:bottom w:val="nil"/>
              <w:right w:val="single" w:sz="4" w:space="0" w:color="auto"/>
            </w:tcBorders>
            <w:hideMark/>
          </w:tcPr>
          <w:p w14:paraId="36C35571" w14:textId="77777777" w:rsidR="00D01830" w:rsidRPr="00AB7AD8" w:rsidRDefault="00D01830" w:rsidP="0075304E">
            <w:pPr>
              <w:pStyle w:val="NormalWeb"/>
              <w:spacing w:after="240"/>
              <w:jc w:val="right"/>
              <w:rPr>
                <w:rFonts w:ascii="Arial" w:hAnsi="Arial" w:cs="Arial"/>
                <w:sz w:val="18"/>
                <w:szCs w:val="18"/>
                <w:lang w:val="en-GB" w:eastAsia="en-US"/>
              </w:rPr>
            </w:pPr>
            <w:r w:rsidRPr="00AB7AD8">
              <w:rPr>
                <w:rFonts w:ascii="Arial" w:hAnsi="Arial" w:cs="Arial"/>
                <w:sz w:val="18"/>
                <w:szCs w:val="18"/>
                <w:lang w:val="en-GB" w:eastAsia="en-US"/>
              </w:rPr>
              <w:t>&lt;0.001</w:t>
            </w:r>
          </w:p>
        </w:tc>
        <w:tc>
          <w:tcPr>
            <w:tcW w:w="0" w:type="auto"/>
            <w:tcBorders>
              <w:top w:val="nil"/>
              <w:left w:val="single" w:sz="4" w:space="0" w:color="auto"/>
              <w:bottom w:val="nil"/>
              <w:right w:val="nil"/>
            </w:tcBorders>
            <w:hideMark/>
          </w:tcPr>
          <w:p w14:paraId="7EB1979B" w14:textId="77777777" w:rsidR="00D01830" w:rsidRPr="00AB7AD8" w:rsidRDefault="00D01830" w:rsidP="0075304E">
            <w:pPr>
              <w:pStyle w:val="NormalWeb"/>
              <w:spacing w:after="240"/>
              <w:jc w:val="right"/>
              <w:rPr>
                <w:rFonts w:ascii="Arial" w:hAnsi="Arial" w:cs="Arial"/>
                <w:sz w:val="18"/>
                <w:szCs w:val="18"/>
                <w:lang w:val="en-GB" w:eastAsia="en-US"/>
              </w:rPr>
            </w:pPr>
            <w:r w:rsidRPr="00AB7AD8">
              <w:rPr>
                <w:rFonts w:ascii="Arial" w:hAnsi="Arial" w:cs="Arial"/>
                <w:sz w:val="18"/>
                <w:szCs w:val="18"/>
                <w:lang w:val="en-GB" w:eastAsia="en-US"/>
              </w:rPr>
              <w:t>-0.5897</w:t>
            </w:r>
          </w:p>
        </w:tc>
        <w:tc>
          <w:tcPr>
            <w:tcW w:w="0" w:type="auto"/>
            <w:hideMark/>
          </w:tcPr>
          <w:p w14:paraId="7E12010D" w14:textId="77777777" w:rsidR="00D01830" w:rsidRPr="00AB7AD8" w:rsidRDefault="00D01830" w:rsidP="0075304E">
            <w:pPr>
              <w:pStyle w:val="NormalWeb"/>
              <w:spacing w:after="240"/>
              <w:jc w:val="right"/>
              <w:rPr>
                <w:rFonts w:ascii="Arial" w:hAnsi="Arial" w:cs="Arial"/>
                <w:sz w:val="18"/>
                <w:szCs w:val="18"/>
                <w:lang w:val="en-GB" w:eastAsia="en-US"/>
              </w:rPr>
            </w:pPr>
            <w:r w:rsidRPr="00AB7AD8">
              <w:rPr>
                <w:rFonts w:ascii="Arial" w:hAnsi="Arial" w:cs="Arial"/>
                <w:sz w:val="18"/>
                <w:szCs w:val="18"/>
                <w:lang w:val="en-GB" w:eastAsia="en-US"/>
              </w:rPr>
              <w:t>0.128</w:t>
            </w:r>
          </w:p>
        </w:tc>
        <w:tc>
          <w:tcPr>
            <w:tcW w:w="0" w:type="auto"/>
            <w:hideMark/>
          </w:tcPr>
          <w:p w14:paraId="13BF57B8" w14:textId="77777777" w:rsidR="00D01830" w:rsidRPr="00AB7AD8" w:rsidRDefault="00D01830" w:rsidP="0075304E">
            <w:pPr>
              <w:pStyle w:val="NormalWeb"/>
              <w:spacing w:after="240"/>
              <w:jc w:val="right"/>
              <w:rPr>
                <w:rFonts w:ascii="Arial" w:hAnsi="Arial" w:cs="Arial"/>
                <w:sz w:val="18"/>
                <w:szCs w:val="18"/>
                <w:lang w:val="en-GB" w:eastAsia="en-US"/>
              </w:rPr>
            </w:pPr>
            <w:r w:rsidRPr="00AB7AD8">
              <w:rPr>
                <w:rFonts w:ascii="Arial" w:hAnsi="Arial" w:cs="Arial"/>
                <w:sz w:val="18"/>
                <w:szCs w:val="18"/>
                <w:lang w:val="en-GB" w:eastAsia="en-US"/>
              </w:rPr>
              <w:t>&lt;0.001</w:t>
            </w:r>
          </w:p>
        </w:tc>
      </w:tr>
      <w:tr w:rsidR="00D01830" w:rsidRPr="00AB7AD8" w14:paraId="7C1F4EA6" w14:textId="77777777" w:rsidTr="0075304E">
        <w:trPr>
          <w:trHeight w:val="227"/>
        </w:trPr>
        <w:tc>
          <w:tcPr>
            <w:tcW w:w="0" w:type="auto"/>
            <w:hideMark/>
          </w:tcPr>
          <w:p w14:paraId="247D2B75" w14:textId="77777777" w:rsidR="00D01830" w:rsidRPr="00AB7AD8" w:rsidRDefault="00D01830" w:rsidP="0075304E">
            <w:pPr>
              <w:pStyle w:val="NormalWeb"/>
              <w:spacing w:after="240"/>
              <w:rPr>
                <w:rFonts w:ascii="Arial" w:hAnsi="Arial" w:cs="Arial"/>
                <w:sz w:val="18"/>
                <w:szCs w:val="18"/>
                <w:lang w:val="en-GB" w:eastAsia="en-US"/>
              </w:rPr>
            </w:pPr>
            <w:r w:rsidRPr="00AB7AD8">
              <w:rPr>
                <w:rFonts w:ascii="Arial" w:hAnsi="Arial" w:cs="Arial"/>
                <w:sz w:val="18"/>
                <w:szCs w:val="18"/>
                <w:lang w:val="en-GB" w:eastAsia="en-US"/>
              </w:rPr>
              <w:t>MA</w:t>
            </w:r>
            <w:r w:rsidRPr="00AB7AD8">
              <w:rPr>
                <w:rFonts w:ascii="Arial" w:hAnsi="Arial" w:cs="Arial"/>
                <w:sz w:val="18"/>
                <w:szCs w:val="18"/>
                <w:vertAlign w:val="subscript"/>
                <w:lang w:val="en-GB" w:eastAsia="en-US"/>
              </w:rPr>
              <w:t>2</w:t>
            </w:r>
          </w:p>
        </w:tc>
        <w:tc>
          <w:tcPr>
            <w:tcW w:w="0" w:type="auto"/>
          </w:tcPr>
          <w:p w14:paraId="70F8F234" w14:textId="77777777" w:rsidR="00D01830" w:rsidRPr="00AB7AD8" w:rsidRDefault="00D01830" w:rsidP="0075304E">
            <w:pPr>
              <w:pStyle w:val="NormalWeb"/>
              <w:spacing w:after="240"/>
              <w:jc w:val="right"/>
              <w:rPr>
                <w:rFonts w:ascii="Arial" w:hAnsi="Arial" w:cs="Arial"/>
                <w:sz w:val="18"/>
                <w:szCs w:val="18"/>
                <w:lang w:val="en-GB" w:eastAsia="en-US"/>
              </w:rPr>
            </w:pPr>
          </w:p>
        </w:tc>
        <w:tc>
          <w:tcPr>
            <w:tcW w:w="0" w:type="auto"/>
          </w:tcPr>
          <w:p w14:paraId="1970B8C4" w14:textId="77777777" w:rsidR="00D01830" w:rsidRPr="00AB7AD8" w:rsidRDefault="00D01830" w:rsidP="0075304E">
            <w:pPr>
              <w:pStyle w:val="NormalWeb"/>
              <w:spacing w:after="240"/>
              <w:jc w:val="right"/>
              <w:rPr>
                <w:rFonts w:ascii="Arial" w:hAnsi="Arial" w:cs="Arial"/>
                <w:sz w:val="18"/>
                <w:szCs w:val="18"/>
                <w:lang w:val="en-GB" w:eastAsia="en-US"/>
              </w:rPr>
            </w:pPr>
          </w:p>
        </w:tc>
        <w:tc>
          <w:tcPr>
            <w:tcW w:w="0" w:type="auto"/>
            <w:tcBorders>
              <w:top w:val="nil"/>
              <w:left w:val="nil"/>
              <w:bottom w:val="nil"/>
              <w:right w:val="single" w:sz="4" w:space="0" w:color="auto"/>
            </w:tcBorders>
          </w:tcPr>
          <w:p w14:paraId="146D050E" w14:textId="77777777" w:rsidR="00D01830" w:rsidRPr="00AB7AD8" w:rsidRDefault="00D01830" w:rsidP="0075304E">
            <w:pPr>
              <w:pStyle w:val="NormalWeb"/>
              <w:spacing w:after="240"/>
              <w:jc w:val="right"/>
              <w:rPr>
                <w:rFonts w:ascii="Arial" w:hAnsi="Arial" w:cs="Arial"/>
                <w:sz w:val="18"/>
                <w:szCs w:val="18"/>
                <w:lang w:val="en-GB" w:eastAsia="en-US"/>
              </w:rPr>
            </w:pPr>
          </w:p>
        </w:tc>
        <w:tc>
          <w:tcPr>
            <w:tcW w:w="0" w:type="auto"/>
            <w:tcBorders>
              <w:top w:val="nil"/>
              <w:left w:val="single" w:sz="4" w:space="0" w:color="auto"/>
              <w:bottom w:val="nil"/>
              <w:right w:val="nil"/>
            </w:tcBorders>
            <w:hideMark/>
          </w:tcPr>
          <w:p w14:paraId="3567B95C" w14:textId="77777777" w:rsidR="00D01830" w:rsidRPr="00AB7AD8" w:rsidRDefault="00D01830" w:rsidP="0075304E">
            <w:pPr>
              <w:pStyle w:val="NormalWeb"/>
              <w:spacing w:after="240"/>
              <w:jc w:val="right"/>
              <w:rPr>
                <w:rFonts w:ascii="Arial" w:hAnsi="Arial" w:cs="Arial"/>
                <w:sz w:val="18"/>
                <w:szCs w:val="18"/>
                <w:lang w:val="en-GB" w:eastAsia="en-US"/>
              </w:rPr>
            </w:pPr>
            <w:r w:rsidRPr="00AB7AD8">
              <w:rPr>
                <w:rFonts w:ascii="Arial" w:hAnsi="Arial" w:cs="Arial"/>
                <w:sz w:val="18"/>
                <w:szCs w:val="18"/>
                <w:lang w:val="en-GB" w:eastAsia="en-US"/>
              </w:rPr>
              <w:t xml:space="preserve"> 0.2854</w:t>
            </w:r>
          </w:p>
        </w:tc>
        <w:tc>
          <w:tcPr>
            <w:tcW w:w="0" w:type="auto"/>
            <w:hideMark/>
          </w:tcPr>
          <w:p w14:paraId="673EDF01" w14:textId="77777777" w:rsidR="00D01830" w:rsidRPr="00AB7AD8" w:rsidRDefault="00D01830" w:rsidP="0075304E">
            <w:pPr>
              <w:pStyle w:val="NormalWeb"/>
              <w:spacing w:after="240"/>
              <w:jc w:val="right"/>
              <w:rPr>
                <w:rFonts w:ascii="Arial" w:hAnsi="Arial" w:cs="Arial"/>
                <w:sz w:val="18"/>
                <w:szCs w:val="18"/>
                <w:lang w:val="en-GB" w:eastAsia="en-US"/>
              </w:rPr>
            </w:pPr>
            <w:r w:rsidRPr="00AB7AD8">
              <w:rPr>
                <w:rFonts w:ascii="Arial" w:hAnsi="Arial" w:cs="Arial"/>
                <w:sz w:val="18"/>
                <w:szCs w:val="18"/>
                <w:lang w:val="en-GB" w:eastAsia="en-US"/>
              </w:rPr>
              <w:t>0.195</w:t>
            </w:r>
          </w:p>
        </w:tc>
        <w:tc>
          <w:tcPr>
            <w:tcW w:w="0" w:type="auto"/>
            <w:tcBorders>
              <w:top w:val="nil"/>
              <w:left w:val="nil"/>
              <w:bottom w:val="nil"/>
              <w:right w:val="single" w:sz="4" w:space="0" w:color="auto"/>
            </w:tcBorders>
            <w:hideMark/>
          </w:tcPr>
          <w:p w14:paraId="71FE085F" w14:textId="77777777" w:rsidR="00D01830" w:rsidRPr="00AB7AD8" w:rsidRDefault="00D01830" w:rsidP="0075304E">
            <w:pPr>
              <w:pStyle w:val="NormalWeb"/>
              <w:spacing w:after="240"/>
              <w:jc w:val="right"/>
              <w:rPr>
                <w:rFonts w:ascii="Arial" w:hAnsi="Arial" w:cs="Arial"/>
                <w:sz w:val="18"/>
                <w:szCs w:val="18"/>
                <w:lang w:val="en-GB" w:eastAsia="en-US"/>
              </w:rPr>
            </w:pPr>
            <w:r w:rsidRPr="00AB7AD8">
              <w:rPr>
                <w:rFonts w:ascii="Arial" w:hAnsi="Arial" w:cs="Arial"/>
                <w:sz w:val="18"/>
                <w:szCs w:val="18"/>
                <w:lang w:val="en-GB" w:eastAsia="en-US"/>
              </w:rPr>
              <w:t>0.143</w:t>
            </w:r>
          </w:p>
        </w:tc>
        <w:tc>
          <w:tcPr>
            <w:tcW w:w="0" w:type="auto"/>
            <w:tcBorders>
              <w:top w:val="nil"/>
              <w:left w:val="single" w:sz="4" w:space="0" w:color="auto"/>
              <w:bottom w:val="nil"/>
              <w:right w:val="nil"/>
            </w:tcBorders>
          </w:tcPr>
          <w:p w14:paraId="39940AA4" w14:textId="77777777" w:rsidR="00D01830" w:rsidRPr="00AB7AD8" w:rsidRDefault="00D01830" w:rsidP="0075304E">
            <w:pPr>
              <w:pStyle w:val="NormalWeb"/>
              <w:spacing w:after="240"/>
              <w:jc w:val="right"/>
              <w:rPr>
                <w:rFonts w:ascii="Arial" w:hAnsi="Arial" w:cs="Arial"/>
                <w:sz w:val="18"/>
                <w:szCs w:val="18"/>
                <w:lang w:val="en-GB" w:eastAsia="en-US"/>
              </w:rPr>
            </w:pPr>
          </w:p>
        </w:tc>
        <w:tc>
          <w:tcPr>
            <w:tcW w:w="0" w:type="auto"/>
          </w:tcPr>
          <w:p w14:paraId="7F68FF3B" w14:textId="77777777" w:rsidR="00D01830" w:rsidRPr="00AB7AD8" w:rsidRDefault="00D01830" w:rsidP="0075304E">
            <w:pPr>
              <w:pStyle w:val="NormalWeb"/>
              <w:spacing w:after="240"/>
              <w:jc w:val="right"/>
              <w:rPr>
                <w:rFonts w:ascii="Arial" w:hAnsi="Arial" w:cs="Arial"/>
                <w:sz w:val="18"/>
                <w:szCs w:val="18"/>
                <w:lang w:val="en-GB" w:eastAsia="en-US"/>
              </w:rPr>
            </w:pPr>
          </w:p>
        </w:tc>
        <w:tc>
          <w:tcPr>
            <w:tcW w:w="0" w:type="auto"/>
          </w:tcPr>
          <w:p w14:paraId="7A146979" w14:textId="77777777" w:rsidR="00D01830" w:rsidRPr="00AB7AD8" w:rsidRDefault="00D01830" w:rsidP="0075304E">
            <w:pPr>
              <w:pStyle w:val="NormalWeb"/>
              <w:spacing w:after="240"/>
              <w:jc w:val="right"/>
              <w:rPr>
                <w:rFonts w:ascii="Arial" w:hAnsi="Arial" w:cs="Arial"/>
                <w:sz w:val="18"/>
                <w:szCs w:val="18"/>
                <w:lang w:val="en-GB" w:eastAsia="en-US"/>
              </w:rPr>
            </w:pPr>
          </w:p>
        </w:tc>
      </w:tr>
      <w:tr w:rsidR="00D01830" w:rsidRPr="00AB7AD8" w14:paraId="2B0840A4" w14:textId="77777777" w:rsidTr="0075304E">
        <w:trPr>
          <w:trHeight w:val="227"/>
        </w:trPr>
        <w:tc>
          <w:tcPr>
            <w:tcW w:w="0" w:type="auto"/>
            <w:hideMark/>
          </w:tcPr>
          <w:p w14:paraId="581934B5" w14:textId="77777777" w:rsidR="00D01830" w:rsidRPr="00AB7AD8" w:rsidRDefault="00D01830" w:rsidP="0075304E">
            <w:pPr>
              <w:pStyle w:val="NormalWeb"/>
              <w:spacing w:after="240"/>
              <w:rPr>
                <w:rFonts w:ascii="Arial" w:hAnsi="Arial" w:cs="Arial"/>
                <w:b/>
                <w:sz w:val="18"/>
                <w:szCs w:val="18"/>
                <w:lang w:val="en-GB" w:eastAsia="en-US"/>
              </w:rPr>
            </w:pPr>
            <w:r w:rsidRPr="00AB7AD8">
              <w:rPr>
                <w:rFonts w:ascii="Arial" w:hAnsi="Arial" w:cs="Arial"/>
                <w:b/>
                <w:sz w:val="18"/>
                <w:szCs w:val="18"/>
                <w:lang w:val="en-GB" w:eastAsia="en-US"/>
              </w:rPr>
              <w:t>δ</w:t>
            </w:r>
            <w:r w:rsidRPr="00AB7AD8">
              <w:rPr>
                <w:rFonts w:ascii="Arial" w:hAnsi="Arial" w:cs="Arial"/>
                <w:b/>
                <w:i/>
                <w:sz w:val="18"/>
                <w:szCs w:val="18"/>
                <w:vertAlign w:val="subscript"/>
                <w:lang w:val="en-GB" w:eastAsia="en-US"/>
              </w:rPr>
              <w:t>1</w:t>
            </w:r>
          </w:p>
        </w:tc>
        <w:tc>
          <w:tcPr>
            <w:tcW w:w="0" w:type="auto"/>
            <w:hideMark/>
          </w:tcPr>
          <w:p w14:paraId="5A07EE13" w14:textId="77777777" w:rsidR="00D01830" w:rsidRPr="00AB7AD8" w:rsidRDefault="00D01830" w:rsidP="0075304E">
            <w:pPr>
              <w:pStyle w:val="NormalWeb"/>
              <w:spacing w:after="240"/>
              <w:jc w:val="right"/>
              <w:rPr>
                <w:rFonts w:ascii="Arial" w:hAnsi="Arial" w:cs="Arial"/>
                <w:b/>
                <w:sz w:val="18"/>
                <w:szCs w:val="18"/>
                <w:lang w:val="en-GB" w:eastAsia="en-US"/>
              </w:rPr>
            </w:pPr>
            <w:r w:rsidRPr="00AB7AD8">
              <w:rPr>
                <w:rFonts w:ascii="Arial" w:hAnsi="Arial" w:cs="Arial"/>
                <w:b/>
                <w:sz w:val="18"/>
                <w:szCs w:val="18"/>
                <w:lang w:val="en-GB" w:eastAsia="en-US"/>
              </w:rPr>
              <w:t xml:space="preserve"> -0.0000</w:t>
            </w:r>
          </w:p>
        </w:tc>
        <w:tc>
          <w:tcPr>
            <w:tcW w:w="0" w:type="auto"/>
            <w:hideMark/>
          </w:tcPr>
          <w:p w14:paraId="7D45456F" w14:textId="77777777" w:rsidR="00D01830" w:rsidRPr="00AB7AD8" w:rsidRDefault="00D01830" w:rsidP="0075304E">
            <w:pPr>
              <w:pStyle w:val="NormalWeb"/>
              <w:spacing w:after="240"/>
              <w:jc w:val="right"/>
              <w:rPr>
                <w:rFonts w:ascii="Arial" w:hAnsi="Arial" w:cs="Arial"/>
                <w:b/>
                <w:sz w:val="18"/>
                <w:szCs w:val="18"/>
                <w:lang w:val="en-GB" w:eastAsia="en-US"/>
              </w:rPr>
            </w:pPr>
            <w:r w:rsidRPr="00AB7AD8">
              <w:rPr>
                <w:rFonts w:ascii="Arial" w:hAnsi="Arial" w:cs="Arial"/>
                <w:b/>
                <w:sz w:val="18"/>
                <w:szCs w:val="18"/>
                <w:lang w:val="en-GB" w:eastAsia="en-US"/>
              </w:rPr>
              <w:t>n/a</w:t>
            </w:r>
          </w:p>
        </w:tc>
        <w:tc>
          <w:tcPr>
            <w:tcW w:w="0" w:type="auto"/>
            <w:tcBorders>
              <w:top w:val="nil"/>
              <w:left w:val="nil"/>
              <w:bottom w:val="nil"/>
              <w:right w:val="single" w:sz="4" w:space="0" w:color="auto"/>
            </w:tcBorders>
            <w:hideMark/>
          </w:tcPr>
          <w:p w14:paraId="6585C129" w14:textId="77777777" w:rsidR="00D01830" w:rsidRPr="00AB7AD8" w:rsidRDefault="00D01830" w:rsidP="0075304E">
            <w:pPr>
              <w:pStyle w:val="NormalWeb"/>
              <w:spacing w:after="240"/>
              <w:jc w:val="right"/>
              <w:rPr>
                <w:rFonts w:ascii="Arial" w:hAnsi="Arial" w:cs="Arial"/>
                <w:b/>
                <w:sz w:val="18"/>
                <w:szCs w:val="18"/>
                <w:lang w:val="en-GB" w:eastAsia="en-US"/>
              </w:rPr>
            </w:pPr>
            <w:r w:rsidRPr="00AB7AD8">
              <w:rPr>
                <w:rFonts w:ascii="Arial" w:hAnsi="Arial" w:cs="Arial"/>
                <w:b/>
                <w:sz w:val="18"/>
                <w:szCs w:val="18"/>
                <w:lang w:val="en-GB" w:eastAsia="en-US"/>
              </w:rPr>
              <w:t>n/a</w:t>
            </w:r>
          </w:p>
        </w:tc>
        <w:tc>
          <w:tcPr>
            <w:tcW w:w="0" w:type="auto"/>
            <w:tcBorders>
              <w:top w:val="nil"/>
              <w:left w:val="single" w:sz="4" w:space="0" w:color="auto"/>
              <w:bottom w:val="nil"/>
              <w:right w:val="nil"/>
            </w:tcBorders>
            <w:hideMark/>
          </w:tcPr>
          <w:p w14:paraId="57503C40" w14:textId="77777777" w:rsidR="00D01830" w:rsidRPr="00AB7AD8" w:rsidRDefault="00D01830" w:rsidP="0075304E">
            <w:pPr>
              <w:pStyle w:val="NormalWeb"/>
              <w:spacing w:after="240"/>
              <w:jc w:val="right"/>
              <w:rPr>
                <w:rFonts w:ascii="Arial" w:hAnsi="Arial" w:cs="Arial"/>
                <w:b/>
                <w:sz w:val="18"/>
                <w:szCs w:val="18"/>
                <w:lang w:val="en-GB" w:eastAsia="en-US"/>
              </w:rPr>
            </w:pPr>
            <w:r w:rsidRPr="00AB7AD8">
              <w:rPr>
                <w:rFonts w:ascii="Arial" w:hAnsi="Arial" w:cs="Arial"/>
                <w:b/>
                <w:sz w:val="18"/>
                <w:szCs w:val="18"/>
                <w:lang w:val="en-GB" w:eastAsia="en-US"/>
              </w:rPr>
              <w:t>0.3421</w:t>
            </w:r>
          </w:p>
        </w:tc>
        <w:tc>
          <w:tcPr>
            <w:tcW w:w="0" w:type="auto"/>
            <w:hideMark/>
          </w:tcPr>
          <w:p w14:paraId="3C2454D8" w14:textId="77777777" w:rsidR="00D01830" w:rsidRPr="00AB7AD8" w:rsidRDefault="00D01830" w:rsidP="0075304E">
            <w:pPr>
              <w:pStyle w:val="NormalWeb"/>
              <w:spacing w:after="240"/>
              <w:jc w:val="right"/>
              <w:rPr>
                <w:rFonts w:ascii="Arial" w:hAnsi="Arial" w:cs="Arial"/>
                <w:b/>
                <w:sz w:val="18"/>
                <w:szCs w:val="18"/>
                <w:lang w:val="en-GB" w:eastAsia="en-US"/>
              </w:rPr>
            </w:pPr>
            <w:r w:rsidRPr="00AB7AD8">
              <w:rPr>
                <w:rFonts w:ascii="Arial" w:hAnsi="Arial" w:cs="Arial"/>
                <w:b/>
                <w:sz w:val="18"/>
                <w:szCs w:val="18"/>
                <w:lang w:val="en-GB" w:eastAsia="en-US"/>
              </w:rPr>
              <w:t>0.246</w:t>
            </w:r>
          </w:p>
        </w:tc>
        <w:tc>
          <w:tcPr>
            <w:tcW w:w="0" w:type="auto"/>
            <w:tcBorders>
              <w:top w:val="nil"/>
              <w:left w:val="nil"/>
              <w:bottom w:val="nil"/>
              <w:right w:val="single" w:sz="4" w:space="0" w:color="auto"/>
            </w:tcBorders>
            <w:hideMark/>
          </w:tcPr>
          <w:p w14:paraId="58D7A408" w14:textId="77777777" w:rsidR="00D01830" w:rsidRPr="00AB7AD8" w:rsidRDefault="00D01830" w:rsidP="0075304E">
            <w:pPr>
              <w:pStyle w:val="NormalWeb"/>
              <w:spacing w:after="240"/>
              <w:jc w:val="right"/>
              <w:rPr>
                <w:rFonts w:ascii="Arial" w:hAnsi="Arial" w:cs="Arial"/>
                <w:b/>
                <w:sz w:val="18"/>
                <w:szCs w:val="18"/>
                <w:lang w:val="en-GB" w:eastAsia="en-US"/>
              </w:rPr>
            </w:pPr>
            <w:r w:rsidRPr="00AB7AD8">
              <w:rPr>
                <w:rFonts w:ascii="Arial" w:hAnsi="Arial" w:cs="Arial"/>
                <w:b/>
                <w:sz w:val="18"/>
                <w:szCs w:val="18"/>
                <w:lang w:val="en-GB" w:eastAsia="en-US"/>
              </w:rPr>
              <w:t>0.165</w:t>
            </w:r>
          </w:p>
        </w:tc>
        <w:tc>
          <w:tcPr>
            <w:tcW w:w="0" w:type="auto"/>
            <w:tcBorders>
              <w:top w:val="nil"/>
              <w:left w:val="single" w:sz="4" w:space="0" w:color="auto"/>
              <w:bottom w:val="nil"/>
              <w:right w:val="nil"/>
            </w:tcBorders>
            <w:hideMark/>
          </w:tcPr>
          <w:p w14:paraId="63BC9E45" w14:textId="77777777" w:rsidR="00D01830" w:rsidRPr="00AB7AD8" w:rsidRDefault="00D01830" w:rsidP="0075304E">
            <w:pPr>
              <w:pStyle w:val="NormalWeb"/>
              <w:spacing w:after="240"/>
              <w:jc w:val="right"/>
              <w:rPr>
                <w:rFonts w:ascii="Arial" w:hAnsi="Arial" w:cs="Arial"/>
                <w:b/>
                <w:sz w:val="18"/>
                <w:szCs w:val="18"/>
                <w:lang w:val="en-GB" w:eastAsia="en-US"/>
              </w:rPr>
            </w:pPr>
            <w:r w:rsidRPr="00AB7AD8">
              <w:rPr>
                <w:rFonts w:ascii="Arial" w:hAnsi="Arial" w:cs="Arial"/>
                <w:b/>
                <w:sz w:val="18"/>
                <w:szCs w:val="18"/>
                <w:lang w:val="en-GB" w:eastAsia="en-US"/>
              </w:rPr>
              <w:t>0.5201</w:t>
            </w:r>
          </w:p>
        </w:tc>
        <w:tc>
          <w:tcPr>
            <w:tcW w:w="0" w:type="auto"/>
            <w:hideMark/>
          </w:tcPr>
          <w:p w14:paraId="5610B553" w14:textId="77777777" w:rsidR="00D01830" w:rsidRPr="00AB7AD8" w:rsidRDefault="00D01830" w:rsidP="0075304E">
            <w:pPr>
              <w:pStyle w:val="NormalWeb"/>
              <w:spacing w:after="240"/>
              <w:jc w:val="right"/>
              <w:rPr>
                <w:rFonts w:ascii="Arial" w:hAnsi="Arial" w:cs="Arial"/>
                <w:b/>
                <w:sz w:val="18"/>
                <w:szCs w:val="18"/>
                <w:lang w:val="en-GB" w:eastAsia="en-US"/>
              </w:rPr>
            </w:pPr>
            <w:r w:rsidRPr="00AB7AD8">
              <w:rPr>
                <w:rFonts w:ascii="Arial" w:hAnsi="Arial" w:cs="Arial"/>
                <w:b/>
                <w:sz w:val="18"/>
                <w:szCs w:val="18"/>
                <w:lang w:val="en-GB" w:eastAsia="en-US"/>
              </w:rPr>
              <w:t>0.255</w:t>
            </w:r>
          </w:p>
        </w:tc>
        <w:tc>
          <w:tcPr>
            <w:tcW w:w="0" w:type="auto"/>
            <w:hideMark/>
          </w:tcPr>
          <w:p w14:paraId="5A091F72" w14:textId="77777777" w:rsidR="00D01830" w:rsidRPr="00AB7AD8" w:rsidRDefault="00D01830" w:rsidP="0075304E">
            <w:pPr>
              <w:pStyle w:val="NormalWeb"/>
              <w:spacing w:after="240"/>
              <w:jc w:val="right"/>
              <w:rPr>
                <w:rFonts w:ascii="Arial" w:hAnsi="Arial" w:cs="Arial"/>
                <w:b/>
                <w:sz w:val="18"/>
                <w:szCs w:val="18"/>
                <w:u w:val="single"/>
                <w:lang w:val="en-GB" w:eastAsia="en-US"/>
              </w:rPr>
            </w:pPr>
            <w:r w:rsidRPr="00AB7AD8">
              <w:rPr>
                <w:rFonts w:ascii="Arial" w:hAnsi="Arial" w:cs="Arial"/>
                <w:b/>
                <w:sz w:val="18"/>
                <w:szCs w:val="18"/>
                <w:u w:val="single"/>
                <w:lang w:val="en-GB" w:eastAsia="en-US"/>
              </w:rPr>
              <w:t>0.041</w:t>
            </w:r>
          </w:p>
        </w:tc>
      </w:tr>
      <w:tr w:rsidR="00D01830" w:rsidRPr="00AB7AD8" w14:paraId="65FCBC75" w14:textId="77777777" w:rsidTr="0075304E">
        <w:trPr>
          <w:trHeight w:val="227"/>
        </w:trPr>
        <w:tc>
          <w:tcPr>
            <w:tcW w:w="0" w:type="auto"/>
            <w:hideMark/>
          </w:tcPr>
          <w:p w14:paraId="76A4A074" w14:textId="77777777" w:rsidR="00D01830" w:rsidRPr="00AB7AD8" w:rsidRDefault="00D01830" w:rsidP="0075304E">
            <w:pPr>
              <w:pStyle w:val="NormalWeb"/>
              <w:spacing w:after="240"/>
              <w:rPr>
                <w:rFonts w:ascii="Arial" w:hAnsi="Arial" w:cs="Arial"/>
                <w:b/>
                <w:sz w:val="18"/>
                <w:szCs w:val="18"/>
                <w:lang w:val="en-GB" w:eastAsia="en-US"/>
              </w:rPr>
            </w:pPr>
            <w:r w:rsidRPr="00AB7AD8">
              <w:rPr>
                <w:rFonts w:ascii="Arial" w:hAnsi="Arial" w:cs="Arial"/>
                <w:b/>
                <w:sz w:val="18"/>
                <w:szCs w:val="18"/>
                <w:lang w:val="en-GB" w:eastAsia="en-US"/>
              </w:rPr>
              <w:t>ω</w:t>
            </w:r>
            <w:r w:rsidRPr="00AB7AD8">
              <w:rPr>
                <w:rFonts w:ascii="Arial" w:hAnsi="Arial" w:cs="Arial"/>
                <w:b/>
                <w:i/>
                <w:sz w:val="18"/>
                <w:szCs w:val="18"/>
                <w:vertAlign w:val="subscript"/>
                <w:lang w:val="en-GB" w:eastAsia="en-US"/>
              </w:rPr>
              <w:t>1</w:t>
            </w:r>
          </w:p>
        </w:tc>
        <w:tc>
          <w:tcPr>
            <w:tcW w:w="0" w:type="auto"/>
            <w:hideMark/>
          </w:tcPr>
          <w:p w14:paraId="24AC69EB" w14:textId="77777777" w:rsidR="00D01830" w:rsidRPr="00AB7AD8" w:rsidRDefault="00D01830" w:rsidP="0075304E">
            <w:pPr>
              <w:pStyle w:val="NormalWeb"/>
              <w:spacing w:after="240"/>
              <w:jc w:val="right"/>
              <w:rPr>
                <w:rFonts w:ascii="Arial" w:hAnsi="Arial" w:cs="Arial"/>
                <w:b/>
                <w:sz w:val="18"/>
                <w:szCs w:val="18"/>
                <w:lang w:val="en-GB" w:eastAsia="en-US"/>
              </w:rPr>
            </w:pPr>
            <w:r w:rsidRPr="00AB7AD8">
              <w:rPr>
                <w:rFonts w:ascii="Arial" w:hAnsi="Arial" w:cs="Arial"/>
                <w:b/>
                <w:sz w:val="18"/>
                <w:szCs w:val="18"/>
                <w:lang w:val="en-GB" w:eastAsia="en-US"/>
              </w:rPr>
              <w:t xml:space="preserve"> 0.0002</w:t>
            </w:r>
          </w:p>
        </w:tc>
        <w:tc>
          <w:tcPr>
            <w:tcW w:w="0" w:type="auto"/>
            <w:hideMark/>
          </w:tcPr>
          <w:p w14:paraId="056825E1" w14:textId="77777777" w:rsidR="00D01830" w:rsidRPr="00AB7AD8" w:rsidRDefault="00D01830" w:rsidP="0075304E">
            <w:pPr>
              <w:pStyle w:val="NormalWeb"/>
              <w:spacing w:after="240"/>
              <w:jc w:val="right"/>
              <w:rPr>
                <w:rFonts w:ascii="Arial" w:hAnsi="Arial" w:cs="Arial"/>
                <w:b/>
                <w:sz w:val="18"/>
                <w:szCs w:val="18"/>
                <w:lang w:val="en-GB" w:eastAsia="en-US"/>
              </w:rPr>
            </w:pPr>
            <w:r w:rsidRPr="00AB7AD8">
              <w:rPr>
                <w:rFonts w:ascii="Arial" w:hAnsi="Arial" w:cs="Arial"/>
                <w:b/>
                <w:sz w:val="18"/>
                <w:szCs w:val="18"/>
                <w:lang w:val="en-GB" w:eastAsia="en-US"/>
              </w:rPr>
              <w:t>n/a</w:t>
            </w:r>
          </w:p>
        </w:tc>
        <w:tc>
          <w:tcPr>
            <w:tcW w:w="0" w:type="auto"/>
            <w:tcBorders>
              <w:top w:val="nil"/>
              <w:left w:val="nil"/>
              <w:bottom w:val="nil"/>
              <w:right w:val="single" w:sz="4" w:space="0" w:color="auto"/>
            </w:tcBorders>
            <w:hideMark/>
          </w:tcPr>
          <w:p w14:paraId="0781E37C" w14:textId="77777777" w:rsidR="00D01830" w:rsidRPr="00AB7AD8" w:rsidRDefault="00D01830" w:rsidP="0075304E">
            <w:pPr>
              <w:pStyle w:val="NormalWeb"/>
              <w:spacing w:after="240"/>
              <w:jc w:val="right"/>
              <w:rPr>
                <w:rFonts w:ascii="Arial" w:hAnsi="Arial" w:cs="Arial"/>
                <w:b/>
                <w:sz w:val="18"/>
                <w:szCs w:val="18"/>
                <w:lang w:val="en-GB" w:eastAsia="en-US"/>
              </w:rPr>
            </w:pPr>
            <w:r w:rsidRPr="00AB7AD8">
              <w:rPr>
                <w:rFonts w:ascii="Arial" w:hAnsi="Arial" w:cs="Arial"/>
                <w:b/>
                <w:sz w:val="18"/>
                <w:szCs w:val="18"/>
                <w:lang w:val="en-GB" w:eastAsia="en-US"/>
              </w:rPr>
              <w:t>n/a</w:t>
            </w:r>
          </w:p>
        </w:tc>
        <w:tc>
          <w:tcPr>
            <w:tcW w:w="0" w:type="auto"/>
            <w:tcBorders>
              <w:top w:val="nil"/>
              <w:left w:val="single" w:sz="4" w:space="0" w:color="auto"/>
              <w:bottom w:val="nil"/>
              <w:right w:val="nil"/>
            </w:tcBorders>
            <w:hideMark/>
          </w:tcPr>
          <w:p w14:paraId="1D00CF1C" w14:textId="77777777" w:rsidR="00D01830" w:rsidRPr="00AB7AD8" w:rsidRDefault="00D01830" w:rsidP="0075304E">
            <w:pPr>
              <w:pStyle w:val="NormalWeb"/>
              <w:spacing w:after="240"/>
              <w:jc w:val="right"/>
              <w:rPr>
                <w:rFonts w:ascii="Arial" w:hAnsi="Arial" w:cs="Arial"/>
                <w:b/>
                <w:sz w:val="18"/>
                <w:szCs w:val="18"/>
                <w:lang w:val="en-GB" w:eastAsia="en-US"/>
              </w:rPr>
            </w:pPr>
            <w:r w:rsidRPr="00AB7AD8">
              <w:rPr>
                <w:rFonts w:ascii="Arial" w:hAnsi="Arial" w:cs="Arial"/>
                <w:b/>
                <w:sz w:val="18"/>
                <w:szCs w:val="18"/>
                <w:lang w:val="en-GB" w:eastAsia="en-US"/>
              </w:rPr>
              <w:t>-0.0035</w:t>
            </w:r>
          </w:p>
        </w:tc>
        <w:tc>
          <w:tcPr>
            <w:tcW w:w="0" w:type="auto"/>
            <w:hideMark/>
          </w:tcPr>
          <w:p w14:paraId="43162E74" w14:textId="77777777" w:rsidR="00D01830" w:rsidRPr="00AB7AD8" w:rsidRDefault="00D01830" w:rsidP="0075304E">
            <w:pPr>
              <w:pStyle w:val="NormalWeb"/>
              <w:spacing w:after="240"/>
              <w:jc w:val="right"/>
              <w:rPr>
                <w:rFonts w:ascii="Arial" w:hAnsi="Arial" w:cs="Arial"/>
                <w:b/>
                <w:sz w:val="18"/>
                <w:szCs w:val="18"/>
                <w:lang w:val="en-GB" w:eastAsia="en-US"/>
              </w:rPr>
            </w:pPr>
            <w:r w:rsidRPr="00AB7AD8">
              <w:rPr>
                <w:rFonts w:ascii="Arial" w:hAnsi="Arial" w:cs="Arial"/>
                <w:b/>
                <w:sz w:val="18"/>
                <w:szCs w:val="18"/>
                <w:lang w:val="en-GB" w:eastAsia="en-US"/>
              </w:rPr>
              <w:t>0.001</w:t>
            </w:r>
          </w:p>
        </w:tc>
        <w:tc>
          <w:tcPr>
            <w:tcW w:w="0" w:type="auto"/>
            <w:tcBorders>
              <w:top w:val="nil"/>
              <w:left w:val="nil"/>
              <w:bottom w:val="nil"/>
              <w:right w:val="single" w:sz="4" w:space="0" w:color="auto"/>
            </w:tcBorders>
            <w:hideMark/>
          </w:tcPr>
          <w:p w14:paraId="4500E458" w14:textId="77777777" w:rsidR="00D01830" w:rsidRPr="00AB7AD8" w:rsidRDefault="00D01830" w:rsidP="0075304E">
            <w:pPr>
              <w:pStyle w:val="NormalWeb"/>
              <w:spacing w:after="240"/>
              <w:jc w:val="right"/>
              <w:rPr>
                <w:rFonts w:ascii="Arial" w:hAnsi="Arial" w:cs="Arial"/>
                <w:b/>
                <w:sz w:val="18"/>
                <w:szCs w:val="18"/>
                <w:u w:val="single"/>
                <w:lang w:val="en-GB" w:eastAsia="en-US"/>
              </w:rPr>
            </w:pPr>
            <w:r w:rsidRPr="00AB7AD8">
              <w:rPr>
                <w:rFonts w:ascii="Arial" w:hAnsi="Arial" w:cs="Arial"/>
                <w:b/>
                <w:sz w:val="18"/>
                <w:szCs w:val="18"/>
                <w:u w:val="single"/>
                <w:lang w:val="en-GB" w:eastAsia="en-US"/>
              </w:rPr>
              <w:t>0.001</w:t>
            </w:r>
          </w:p>
        </w:tc>
        <w:tc>
          <w:tcPr>
            <w:tcW w:w="0" w:type="auto"/>
            <w:tcBorders>
              <w:top w:val="nil"/>
              <w:left w:val="single" w:sz="4" w:space="0" w:color="auto"/>
              <w:bottom w:val="nil"/>
              <w:right w:val="nil"/>
            </w:tcBorders>
            <w:hideMark/>
          </w:tcPr>
          <w:p w14:paraId="4E44D364" w14:textId="77777777" w:rsidR="00D01830" w:rsidRPr="00AB7AD8" w:rsidRDefault="00D01830" w:rsidP="0075304E">
            <w:pPr>
              <w:pStyle w:val="NormalWeb"/>
              <w:spacing w:after="240"/>
              <w:jc w:val="right"/>
              <w:rPr>
                <w:rFonts w:ascii="Arial" w:hAnsi="Arial" w:cs="Arial"/>
                <w:b/>
                <w:sz w:val="18"/>
                <w:szCs w:val="18"/>
                <w:lang w:val="en-GB" w:eastAsia="en-US"/>
              </w:rPr>
            </w:pPr>
            <w:r w:rsidRPr="00AB7AD8">
              <w:rPr>
                <w:rFonts w:ascii="Arial" w:hAnsi="Arial" w:cs="Arial"/>
                <w:b/>
                <w:sz w:val="18"/>
                <w:szCs w:val="18"/>
                <w:lang w:val="en-GB" w:eastAsia="en-US"/>
              </w:rPr>
              <w:t>0.0046</w:t>
            </w:r>
          </w:p>
        </w:tc>
        <w:tc>
          <w:tcPr>
            <w:tcW w:w="0" w:type="auto"/>
            <w:hideMark/>
          </w:tcPr>
          <w:p w14:paraId="416E91D9" w14:textId="77777777" w:rsidR="00D01830" w:rsidRPr="00AB7AD8" w:rsidRDefault="00D01830" w:rsidP="0075304E">
            <w:pPr>
              <w:pStyle w:val="NormalWeb"/>
              <w:spacing w:after="240"/>
              <w:jc w:val="right"/>
              <w:rPr>
                <w:rFonts w:ascii="Arial" w:hAnsi="Arial" w:cs="Arial"/>
                <w:b/>
                <w:sz w:val="18"/>
                <w:szCs w:val="18"/>
                <w:lang w:val="en-GB" w:eastAsia="en-US"/>
              </w:rPr>
            </w:pPr>
            <w:r w:rsidRPr="00AB7AD8">
              <w:rPr>
                <w:rFonts w:ascii="Arial" w:hAnsi="Arial" w:cs="Arial"/>
                <w:b/>
                <w:sz w:val="18"/>
                <w:szCs w:val="18"/>
                <w:lang w:val="en-GB" w:eastAsia="en-US"/>
              </w:rPr>
              <w:t>0.002</w:t>
            </w:r>
          </w:p>
        </w:tc>
        <w:tc>
          <w:tcPr>
            <w:tcW w:w="0" w:type="auto"/>
            <w:hideMark/>
          </w:tcPr>
          <w:p w14:paraId="49DE0899" w14:textId="77777777" w:rsidR="00D01830" w:rsidRPr="00AB7AD8" w:rsidRDefault="00D01830" w:rsidP="0075304E">
            <w:pPr>
              <w:pStyle w:val="NormalWeb"/>
              <w:spacing w:after="240"/>
              <w:jc w:val="right"/>
              <w:rPr>
                <w:rFonts w:ascii="Arial" w:hAnsi="Arial" w:cs="Arial"/>
                <w:b/>
                <w:sz w:val="18"/>
                <w:szCs w:val="18"/>
                <w:u w:val="single"/>
                <w:lang w:val="en-GB" w:eastAsia="en-US"/>
              </w:rPr>
            </w:pPr>
            <w:r w:rsidRPr="00AB7AD8">
              <w:rPr>
                <w:rFonts w:ascii="Arial" w:hAnsi="Arial" w:cs="Arial"/>
                <w:b/>
                <w:sz w:val="18"/>
                <w:szCs w:val="18"/>
                <w:u w:val="single"/>
                <w:lang w:val="en-GB" w:eastAsia="en-US"/>
              </w:rPr>
              <w:t>0.009</w:t>
            </w:r>
          </w:p>
        </w:tc>
      </w:tr>
      <w:tr w:rsidR="00D01830" w:rsidRPr="00AB7AD8" w14:paraId="52BF372A" w14:textId="77777777" w:rsidTr="0075304E">
        <w:trPr>
          <w:trHeight w:val="227"/>
        </w:trPr>
        <w:tc>
          <w:tcPr>
            <w:tcW w:w="0" w:type="auto"/>
            <w:hideMark/>
          </w:tcPr>
          <w:p w14:paraId="2BD6BD68" w14:textId="77777777" w:rsidR="00D01830" w:rsidRPr="00AB7AD8" w:rsidRDefault="00D01830" w:rsidP="0075304E">
            <w:pPr>
              <w:pStyle w:val="NormalWeb"/>
              <w:spacing w:after="240"/>
              <w:rPr>
                <w:rFonts w:ascii="Arial" w:hAnsi="Arial" w:cs="Arial"/>
                <w:sz w:val="18"/>
                <w:szCs w:val="18"/>
                <w:lang w:val="en-GB" w:eastAsia="en-US"/>
              </w:rPr>
            </w:pPr>
            <w:r w:rsidRPr="00AB7AD8">
              <w:rPr>
                <w:rFonts w:ascii="Arial" w:hAnsi="Arial" w:cs="Arial"/>
                <w:sz w:val="18"/>
                <w:szCs w:val="18"/>
                <w:lang w:val="en-GB" w:eastAsia="en-US"/>
              </w:rPr>
              <w:t>δ</w:t>
            </w:r>
            <w:r w:rsidRPr="00AB7AD8">
              <w:rPr>
                <w:rFonts w:ascii="Arial" w:hAnsi="Arial" w:cs="Arial"/>
                <w:i/>
                <w:sz w:val="18"/>
                <w:szCs w:val="18"/>
                <w:vertAlign w:val="subscript"/>
                <w:lang w:val="en-GB" w:eastAsia="en-US"/>
              </w:rPr>
              <w:t>2</w:t>
            </w:r>
          </w:p>
        </w:tc>
        <w:tc>
          <w:tcPr>
            <w:tcW w:w="0" w:type="auto"/>
            <w:hideMark/>
          </w:tcPr>
          <w:p w14:paraId="682CFDA5" w14:textId="77777777" w:rsidR="00D01830" w:rsidRPr="00AB7AD8" w:rsidRDefault="00D01830" w:rsidP="0075304E">
            <w:pPr>
              <w:pStyle w:val="NormalWeb"/>
              <w:spacing w:after="240"/>
              <w:jc w:val="right"/>
              <w:rPr>
                <w:rFonts w:ascii="Arial" w:hAnsi="Arial" w:cs="Arial"/>
                <w:sz w:val="18"/>
                <w:szCs w:val="18"/>
                <w:lang w:val="en-GB" w:eastAsia="en-US"/>
              </w:rPr>
            </w:pPr>
            <w:r w:rsidRPr="00AB7AD8">
              <w:rPr>
                <w:rFonts w:ascii="Arial" w:hAnsi="Arial" w:cs="Arial"/>
                <w:sz w:val="18"/>
                <w:szCs w:val="18"/>
                <w:lang w:val="en-GB" w:eastAsia="en-US"/>
              </w:rPr>
              <w:t xml:space="preserve"> 0.0000</w:t>
            </w:r>
          </w:p>
        </w:tc>
        <w:tc>
          <w:tcPr>
            <w:tcW w:w="0" w:type="auto"/>
            <w:hideMark/>
          </w:tcPr>
          <w:p w14:paraId="210B8BFE" w14:textId="77777777" w:rsidR="00D01830" w:rsidRPr="00AB7AD8" w:rsidRDefault="00D01830" w:rsidP="0075304E">
            <w:pPr>
              <w:pStyle w:val="NormalWeb"/>
              <w:spacing w:after="240"/>
              <w:jc w:val="right"/>
              <w:rPr>
                <w:rFonts w:ascii="Arial" w:hAnsi="Arial" w:cs="Arial"/>
                <w:sz w:val="18"/>
                <w:szCs w:val="18"/>
                <w:lang w:val="en-GB" w:eastAsia="en-US"/>
              </w:rPr>
            </w:pPr>
            <w:r w:rsidRPr="00AB7AD8">
              <w:rPr>
                <w:rFonts w:ascii="Arial" w:hAnsi="Arial" w:cs="Arial"/>
                <w:sz w:val="18"/>
                <w:szCs w:val="18"/>
                <w:lang w:val="en-GB" w:eastAsia="en-US"/>
              </w:rPr>
              <w:t>n/a</w:t>
            </w:r>
          </w:p>
        </w:tc>
        <w:tc>
          <w:tcPr>
            <w:tcW w:w="0" w:type="auto"/>
            <w:tcBorders>
              <w:top w:val="nil"/>
              <w:left w:val="nil"/>
              <w:bottom w:val="nil"/>
              <w:right w:val="single" w:sz="4" w:space="0" w:color="auto"/>
            </w:tcBorders>
            <w:hideMark/>
          </w:tcPr>
          <w:p w14:paraId="53065C13" w14:textId="77777777" w:rsidR="00D01830" w:rsidRPr="00AB7AD8" w:rsidRDefault="00D01830" w:rsidP="0075304E">
            <w:pPr>
              <w:pStyle w:val="NormalWeb"/>
              <w:spacing w:after="240"/>
              <w:jc w:val="right"/>
              <w:rPr>
                <w:rFonts w:ascii="Arial" w:hAnsi="Arial" w:cs="Arial"/>
                <w:sz w:val="18"/>
                <w:szCs w:val="18"/>
                <w:lang w:val="en-GB" w:eastAsia="en-US"/>
              </w:rPr>
            </w:pPr>
            <w:r w:rsidRPr="00AB7AD8">
              <w:rPr>
                <w:rFonts w:ascii="Arial" w:hAnsi="Arial" w:cs="Arial"/>
                <w:sz w:val="18"/>
                <w:szCs w:val="18"/>
                <w:lang w:val="en-GB" w:eastAsia="en-US"/>
              </w:rPr>
              <w:t>n/a</w:t>
            </w:r>
          </w:p>
        </w:tc>
        <w:tc>
          <w:tcPr>
            <w:tcW w:w="0" w:type="auto"/>
            <w:tcBorders>
              <w:top w:val="nil"/>
              <w:left w:val="single" w:sz="4" w:space="0" w:color="auto"/>
              <w:bottom w:val="nil"/>
              <w:right w:val="nil"/>
            </w:tcBorders>
            <w:hideMark/>
          </w:tcPr>
          <w:p w14:paraId="360725B6" w14:textId="77777777" w:rsidR="00D01830" w:rsidRPr="00AB7AD8" w:rsidRDefault="00D01830" w:rsidP="0075304E">
            <w:pPr>
              <w:pStyle w:val="NormalWeb"/>
              <w:spacing w:after="240"/>
              <w:jc w:val="right"/>
              <w:rPr>
                <w:rFonts w:ascii="Arial" w:hAnsi="Arial" w:cs="Arial"/>
                <w:sz w:val="18"/>
                <w:szCs w:val="18"/>
                <w:lang w:val="en-GB" w:eastAsia="en-US"/>
              </w:rPr>
            </w:pPr>
            <w:r w:rsidRPr="00AB7AD8">
              <w:rPr>
                <w:rFonts w:ascii="Arial" w:hAnsi="Arial" w:cs="Arial"/>
                <w:sz w:val="18"/>
                <w:szCs w:val="18"/>
                <w:lang w:val="en-GB" w:eastAsia="en-US"/>
              </w:rPr>
              <w:t>0.4900</w:t>
            </w:r>
          </w:p>
        </w:tc>
        <w:tc>
          <w:tcPr>
            <w:tcW w:w="0" w:type="auto"/>
            <w:hideMark/>
          </w:tcPr>
          <w:p w14:paraId="4B3E84AB" w14:textId="77777777" w:rsidR="00D01830" w:rsidRPr="00AB7AD8" w:rsidRDefault="00D01830" w:rsidP="0075304E">
            <w:pPr>
              <w:pStyle w:val="NormalWeb"/>
              <w:spacing w:after="240"/>
              <w:jc w:val="right"/>
              <w:rPr>
                <w:rFonts w:ascii="Arial" w:hAnsi="Arial" w:cs="Arial"/>
                <w:sz w:val="18"/>
                <w:szCs w:val="18"/>
                <w:lang w:val="en-GB" w:eastAsia="en-US"/>
              </w:rPr>
            </w:pPr>
            <w:r w:rsidRPr="00AB7AD8">
              <w:rPr>
                <w:rFonts w:ascii="Arial" w:hAnsi="Arial" w:cs="Arial"/>
                <w:sz w:val="18"/>
                <w:szCs w:val="18"/>
                <w:lang w:val="en-GB" w:eastAsia="en-US"/>
              </w:rPr>
              <w:t>0.350</w:t>
            </w:r>
          </w:p>
        </w:tc>
        <w:tc>
          <w:tcPr>
            <w:tcW w:w="0" w:type="auto"/>
            <w:tcBorders>
              <w:top w:val="nil"/>
              <w:left w:val="nil"/>
              <w:bottom w:val="nil"/>
              <w:right w:val="single" w:sz="4" w:space="0" w:color="auto"/>
            </w:tcBorders>
            <w:hideMark/>
          </w:tcPr>
          <w:p w14:paraId="38746DE3" w14:textId="77777777" w:rsidR="00D01830" w:rsidRPr="00AB7AD8" w:rsidRDefault="00D01830" w:rsidP="0075304E">
            <w:pPr>
              <w:pStyle w:val="NormalWeb"/>
              <w:spacing w:after="240"/>
              <w:jc w:val="right"/>
              <w:rPr>
                <w:rFonts w:ascii="Arial" w:hAnsi="Arial" w:cs="Arial"/>
                <w:sz w:val="18"/>
                <w:szCs w:val="18"/>
                <w:lang w:val="en-GB" w:eastAsia="en-US"/>
              </w:rPr>
            </w:pPr>
            <w:r w:rsidRPr="00AB7AD8">
              <w:rPr>
                <w:rFonts w:ascii="Arial" w:hAnsi="Arial" w:cs="Arial"/>
                <w:sz w:val="18"/>
                <w:szCs w:val="18"/>
                <w:lang w:val="en-GB" w:eastAsia="en-US"/>
              </w:rPr>
              <w:t>0.161</w:t>
            </w:r>
          </w:p>
        </w:tc>
        <w:tc>
          <w:tcPr>
            <w:tcW w:w="0" w:type="auto"/>
            <w:tcBorders>
              <w:top w:val="nil"/>
              <w:left w:val="single" w:sz="4" w:space="0" w:color="auto"/>
              <w:bottom w:val="nil"/>
              <w:right w:val="nil"/>
            </w:tcBorders>
            <w:hideMark/>
          </w:tcPr>
          <w:p w14:paraId="65A8682B" w14:textId="77777777" w:rsidR="00D01830" w:rsidRPr="00AB7AD8" w:rsidRDefault="00D01830" w:rsidP="0075304E">
            <w:pPr>
              <w:pStyle w:val="NormalWeb"/>
              <w:spacing w:after="240"/>
              <w:jc w:val="right"/>
              <w:rPr>
                <w:rFonts w:ascii="Arial" w:hAnsi="Arial" w:cs="Arial"/>
                <w:sz w:val="18"/>
                <w:szCs w:val="18"/>
                <w:lang w:val="en-GB" w:eastAsia="en-US"/>
              </w:rPr>
            </w:pPr>
            <w:r w:rsidRPr="00AB7AD8">
              <w:rPr>
                <w:rFonts w:ascii="Arial" w:hAnsi="Arial" w:cs="Arial"/>
                <w:sz w:val="18"/>
                <w:szCs w:val="18"/>
                <w:lang w:val="en-GB" w:eastAsia="en-US"/>
              </w:rPr>
              <w:t>0.0055</w:t>
            </w:r>
          </w:p>
        </w:tc>
        <w:tc>
          <w:tcPr>
            <w:tcW w:w="0" w:type="auto"/>
            <w:hideMark/>
          </w:tcPr>
          <w:p w14:paraId="08B11723" w14:textId="77777777" w:rsidR="00D01830" w:rsidRPr="00AB7AD8" w:rsidRDefault="00D01830" w:rsidP="0075304E">
            <w:pPr>
              <w:pStyle w:val="NormalWeb"/>
              <w:spacing w:after="240"/>
              <w:jc w:val="right"/>
              <w:rPr>
                <w:rFonts w:ascii="Arial" w:hAnsi="Arial" w:cs="Arial"/>
                <w:sz w:val="18"/>
                <w:szCs w:val="18"/>
                <w:lang w:val="en-GB" w:eastAsia="en-US"/>
              </w:rPr>
            </w:pPr>
            <w:r w:rsidRPr="00AB7AD8">
              <w:rPr>
                <w:rFonts w:ascii="Arial" w:hAnsi="Arial" w:cs="Arial"/>
                <w:sz w:val="18"/>
                <w:szCs w:val="18"/>
                <w:lang w:val="en-GB" w:eastAsia="en-US"/>
              </w:rPr>
              <w:t>n/a</w:t>
            </w:r>
          </w:p>
        </w:tc>
        <w:tc>
          <w:tcPr>
            <w:tcW w:w="0" w:type="auto"/>
            <w:hideMark/>
          </w:tcPr>
          <w:p w14:paraId="0CD14135" w14:textId="77777777" w:rsidR="00D01830" w:rsidRPr="00AB7AD8" w:rsidRDefault="00D01830" w:rsidP="0075304E">
            <w:pPr>
              <w:pStyle w:val="NormalWeb"/>
              <w:spacing w:after="240"/>
              <w:jc w:val="right"/>
              <w:rPr>
                <w:rFonts w:ascii="Arial" w:hAnsi="Arial" w:cs="Arial"/>
                <w:sz w:val="18"/>
                <w:szCs w:val="18"/>
                <w:lang w:val="en-GB" w:eastAsia="en-US"/>
              </w:rPr>
            </w:pPr>
            <w:r w:rsidRPr="00AB7AD8">
              <w:rPr>
                <w:rFonts w:ascii="Arial" w:hAnsi="Arial" w:cs="Arial"/>
                <w:sz w:val="18"/>
                <w:szCs w:val="18"/>
                <w:lang w:val="en-GB" w:eastAsia="en-US"/>
              </w:rPr>
              <w:t>n/a</w:t>
            </w:r>
          </w:p>
        </w:tc>
      </w:tr>
      <w:tr w:rsidR="00D01830" w:rsidRPr="00AB7AD8" w14:paraId="0C523800" w14:textId="77777777" w:rsidTr="0075304E">
        <w:trPr>
          <w:trHeight w:val="227"/>
        </w:trPr>
        <w:tc>
          <w:tcPr>
            <w:tcW w:w="0" w:type="auto"/>
            <w:hideMark/>
          </w:tcPr>
          <w:p w14:paraId="0CB426D8" w14:textId="77777777" w:rsidR="00D01830" w:rsidRPr="00AB7AD8" w:rsidRDefault="00D01830" w:rsidP="0075304E">
            <w:pPr>
              <w:pStyle w:val="NormalWeb"/>
              <w:spacing w:after="240"/>
              <w:rPr>
                <w:rFonts w:ascii="Arial" w:hAnsi="Arial" w:cs="Arial"/>
                <w:sz w:val="18"/>
                <w:szCs w:val="18"/>
                <w:lang w:val="en-GB" w:eastAsia="en-US"/>
              </w:rPr>
            </w:pPr>
            <w:r w:rsidRPr="00AB7AD8">
              <w:rPr>
                <w:rFonts w:ascii="Arial" w:hAnsi="Arial" w:cs="Arial"/>
                <w:sz w:val="18"/>
                <w:szCs w:val="18"/>
                <w:lang w:val="en-GB" w:eastAsia="en-US"/>
              </w:rPr>
              <w:t>ω</w:t>
            </w:r>
            <w:r w:rsidRPr="00AB7AD8">
              <w:rPr>
                <w:rFonts w:ascii="Arial" w:hAnsi="Arial" w:cs="Arial"/>
                <w:i/>
                <w:sz w:val="18"/>
                <w:szCs w:val="18"/>
                <w:vertAlign w:val="subscript"/>
                <w:lang w:val="en-GB" w:eastAsia="en-US"/>
              </w:rPr>
              <w:t>2</w:t>
            </w:r>
          </w:p>
        </w:tc>
        <w:tc>
          <w:tcPr>
            <w:tcW w:w="0" w:type="auto"/>
            <w:hideMark/>
          </w:tcPr>
          <w:p w14:paraId="7642E51D" w14:textId="77777777" w:rsidR="00D01830" w:rsidRPr="00AB7AD8" w:rsidRDefault="00D01830" w:rsidP="0075304E">
            <w:pPr>
              <w:pStyle w:val="NormalWeb"/>
              <w:spacing w:after="240"/>
              <w:jc w:val="right"/>
              <w:rPr>
                <w:rFonts w:ascii="Arial" w:hAnsi="Arial" w:cs="Arial"/>
                <w:sz w:val="18"/>
                <w:szCs w:val="18"/>
                <w:lang w:val="en-GB" w:eastAsia="en-US"/>
              </w:rPr>
            </w:pPr>
            <w:r w:rsidRPr="00AB7AD8">
              <w:rPr>
                <w:rFonts w:ascii="Arial" w:hAnsi="Arial" w:cs="Arial"/>
                <w:sz w:val="18"/>
                <w:szCs w:val="18"/>
                <w:lang w:val="en-GB" w:eastAsia="en-US"/>
              </w:rPr>
              <w:t xml:space="preserve"> -0.0006</w:t>
            </w:r>
          </w:p>
        </w:tc>
        <w:tc>
          <w:tcPr>
            <w:tcW w:w="0" w:type="auto"/>
            <w:hideMark/>
          </w:tcPr>
          <w:p w14:paraId="7F5C6FA9" w14:textId="77777777" w:rsidR="00D01830" w:rsidRPr="00AB7AD8" w:rsidRDefault="00D01830" w:rsidP="0075304E">
            <w:pPr>
              <w:pStyle w:val="NormalWeb"/>
              <w:spacing w:after="240"/>
              <w:jc w:val="right"/>
              <w:rPr>
                <w:rFonts w:ascii="Arial" w:hAnsi="Arial" w:cs="Arial"/>
                <w:sz w:val="18"/>
                <w:szCs w:val="18"/>
                <w:lang w:val="en-GB" w:eastAsia="en-US"/>
              </w:rPr>
            </w:pPr>
            <w:r w:rsidRPr="00AB7AD8">
              <w:rPr>
                <w:rFonts w:ascii="Arial" w:hAnsi="Arial" w:cs="Arial"/>
                <w:sz w:val="18"/>
                <w:szCs w:val="18"/>
                <w:lang w:val="en-GB" w:eastAsia="en-US"/>
              </w:rPr>
              <w:t>n/a</w:t>
            </w:r>
          </w:p>
        </w:tc>
        <w:tc>
          <w:tcPr>
            <w:tcW w:w="0" w:type="auto"/>
            <w:tcBorders>
              <w:top w:val="nil"/>
              <w:left w:val="nil"/>
              <w:bottom w:val="nil"/>
              <w:right w:val="single" w:sz="4" w:space="0" w:color="auto"/>
            </w:tcBorders>
            <w:hideMark/>
          </w:tcPr>
          <w:p w14:paraId="1834966A" w14:textId="77777777" w:rsidR="00D01830" w:rsidRPr="00AB7AD8" w:rsidRDefault="00D01830" w:rsidP="0075304E">
            <w:pPr>
              <w:pStyle w:val="NormalWeb"/>
              <w:spacing w:after="240"/>
              <w:jc w:val="right"/>
              <w:rPr>
                <w:rFonts w:ascii="Arial" w:hAnsi="Arial" w:cs="Arial"/>
                <w:sz w:val="18"/>
                <w:szCs w:val="18"/>
                <w:lang w:val="en-GB" w:eastAsia="en-US"/>
              </w:rPr>
            </w:pPr>
            <w:r w:rsidRPr="00AB7AD8">
              <w:rPr>
                <w:rFonts w:ascii="Arial" w:hAnsi="Arial" w:cs="Arial"/>
                <w:sz w:val="18"/>
                <w:szCs w:val="18"/>
                <w:lang w:val="en-GB" w:eastAsia="en-US"/>
              </w:rPr>
              <w:t>n/a</w:t>
            </w:r>
          </w:p>
        </w:tc>
        <w:tc>
          <w:tcPr>
            <w:tcW w:w="0" w:type="auto"/>
            <w:tcBorders>
              <w:top w:val="nil"/>
              <w:left w:val="single" w:sz="4" w:space="0" w:color="auto"/>
              <w:bottom w:val="nil"/>
              <w:right w:val="nil"/>
            </w:tcBorders>
            <w:hideMark/>
          </w:tcPr>
          <w:p w14:paraId="347B2944" w14:textId="77777777" w:rsidR="00D01830" w:rsidRPr="00AB7AD8" w:rsidRDefault="00D01830" w:rsidP="0075304E">
            <w:pPr>
              <w:pStyle w:val="NormalWeb"/>
              <w:spacing w:after="240"/>
              <w:jc w:val="right"/>
              <w:rPr>
                <w:rFonts w:ascii="Arial" w:hAnsi="Arial" w:cs="Arial"/>
                <w:sz w:val="18"/>
                <w:szCs w:val="18"/>
                <w:lang w:val="en-GB" w:eastAsia="en-US"/>
              </w:rPr>
            </w:pPr>
            <w:r w:rsidRPr="00AB7AD8">
              <w:rPr>
                <w:rFonts w:ascii="Arial" w:hAnsi="Arial" w:cs="Arial"/>
                <w:sz w:val="18"/>
                <w:szCs w:val="18"/>
                <w:lang w:val="en-GB" w:eastAsia="en-US"/>
              </w:rPr>
              <w:t>-0.0018</w:t>
            </w:r>
          </w:p>
        </w:tc>
        <w:tc>
          <w:tcPr>
            <w:tcW w:w="0" w:type="auto"/>
            <w:hideMark/>
          </w:tcPr>
          <w:p w14:paraId="73EAD77D" w14:textId="77777777" w:rsidR="00D01830" w:rsidRPr="00AB7AD8" w:rsidRDefault="00D01830" w:rsidP="0075304E">
            <w:pPr>
              <w:pStyle w:val="NormalWeb"/>
              <w:spacing w:after="240"/>
              <w:jc w:val="right"/>
              <w:rPr>
                <w:rFonts w:ascii="Arial" w:hAnsi="Arial" w:cs="Arial"/>
                <w:sz w:val="18"/>
                <w:szCs w:val="18"/>
                <w:lang w:val="en-GB" w:eastAsia="en-US"/>
              </w:rPr>
            </w:pPr>
            <w:r w:rsidRPr="00AB7AD8">
              <w:rPr>
                <w:rFonts w:ascii="Arial" w:hAnsi="Arial" w:cs="Arial"/>
                <w:sz w:val="18"/>
                <w:szCs w:val="18"/>
                <w:lang w:val="en-GB" w:eastAsia="en-US"/>
              </w:rPr>
              <w:t>0.001</w:t>
            </w:r>
          </w:p>
        </w:tc>
        <w:tc>
          <w:tcPr>
            <w:tcW w:w="0" w:type="auto"/>
            <w:tcBorders>
              <w:top w:val="nil"/>
              <w:left w:val="nil"/>
              <w:bottom w:val="nil"/>
              <w:right w:val="single" w:sz="4" w:space="0" w:color="auto"/>
            </w:tcBorders>
            <w:hideMark/>
          </w:tcPr>
          <w:p w14:paraId="1359C2AF" w14:textId="77777777" w:rsidR="00D01830" w:rsidRPr="00AB7AD8" w:rsidRDefault="00D01830" w:rsidP="0075304E">
            <w:pPr>
              <w:pStyle w:val="NormalWeb"/>
              <w:spacing w:after="240"/>
              <w:jc w:val="right"/>
              <w:rPr>
                <w:rFonts w:ascii="Arial" w:hAnsi="Arial" w:cs="Arial"/>
                <w:sz w:val="18"/>
                <w:szCs w:val="18"/>
                <w:lang w:val="en-GB" w:eastAsia="en-US"/>
              </w:rPr>
            </w:pPr>
            <w:r w:rsidRPr="00AB7AD8">
              <w:rPr>
                <w:rFonts w:ascii="Arial" w:hAnsi="Arial" w:cs="Arial"/>
                <w:sz w:val="18"/>
                <w:szCs w:val="18"/>
                <w:lang w:val="en-GB" w:eastAsia="en-US"/>
              </w:rPr>
              <w:t>0.179</w:t>
            </w:r>
          </w:p>
        </w:tc>
        <w:tc>
          <w:tcPr>
            <w:tcW w:w="0" w:type="auto"/>
            <w:tcBorders>
              <w:top w:val="nil"/>
              <w:left w:val="single" w:sz="4" w:space="0" w:color="auto"/>
              <w:bottom w:val="nil"/>
              <w:right w:val="nil"/>
            </w:tcBorders>
            <w:hideMark/>
          </w:tcPr>
          <w:p w14:paraId="758E792E" w14:textId="77777777" w:rsidR="00D01830" w:rsidRPr="00AB7AD8" w:rsidRDefault="00D01830" w:rsidP="0075304E">
            <w:pPr>
              <w:pStyle w:val="NormalWeb"/>
              <w:spacing w:after="240"/>
              <w:jc w:val="right"/>
              <w:rPr>
                <w:rFonts w:ascii="Arial" w:hAnsi="Arial" w:cs="Arial"/>
                <w:sz w:val="18"/>
                <w:szCs w:val="18"/>
                <w:lang w:val="en-GB" w:eastAsia="en-US"/>
              </w:rPr>
            </w:pPr>
            <w:r w:rsidRPr="00AB7AD8">
              <w:rPr>
                <w:rFonts w:ascii="Arial" w:hAnsi="Arial" w:cs="Arial"/>
                <w:sz w:val="18"/>
                <w:szCs w:val="18"/>
                <w:lang w:val="en-GB" w:eastAsia="en-US"/>
              </w:rPr>
              <w:t>0.0000</w:t>
            </w:r>
          </w:p>
        </w:tc>
        <w:tc>
          <w:tcPr>
            <w:tcW w:w="0" w:type="auto"/>
            <w:hideMark/>
          </w:tcPr>
          <w:p w14:paraId="75CBD018" w14:textId="77777777" w:rsidR="00D01830" w:rsidRPr="00AB7AD8" w:rsidRDefault="00D01830" w:rsidP="0075304E">
            <w:pPr>
              <w:pStyle w:val="NormalWeb"/>
              <w:spacing w:after="240"/>
              <w:jc w:val="right"/>
              <w:rPr>
                <w:rFonts w:ascii="Arial" w:hAnsi="Arial" w:cs="Arial"/>
                <w:sz w:val="18"/>
                <w:szCs w:val="18"/>
                <w:lang w:val="en-GB" w:eastAsia="en-US"/>
              </w:rPr>
            </w:pPr>
            <w:r w:rsidRPr="00AB7AD8">
              <w:rPr>
                <w:rFonts w:ascii="Arial" w:hAnsi="Arial" w:cs="Arial"/>
                <w:sz w:val="18"/>
                <w:szCs w:val="18"/>
                <w:lang w:val="en-GB" w:eastAsia="en-US"/>
              </w:rPr>
              <w:t>n/a</w:t>
            </w:r>
          </w:p>
        </w:tc>
        <w:tc>
          <w:tcPr>
            <w:tcW w:w="0" w:type="auto"/>
            <w:hideMark/>
          </w:tcPr>
          <w:p w14:paraId="26FB28A0" w14:textId="77777777" w:rsidR="00D01830" w:rsidRPr="00AB7AD8" w:rsidRDefault="00D01830" w:rsidP="0075304E">
            <w:pPr>
              <w:pStyle w:val="NormalWeb"/>
              <w:spacing w:after="240"/>
              <w:jc w:val="right"/>
              <w:rPr>
                <w:rFonts w:ascii="Arial" w:hAnsi="Arial" w:cs="Arial"/>
                <w:sz w:val="18"/>
                <w:szCs w:val="18"/>
                <w:lang w:val="en-GB" w:eastAsia="en-US"/>
              </w:rPr>
            </w:pPr>
            <w:r w:rsidRPr="00AB7AD8">
              <w:rPr>
                <w:rFonts w:ascii="Arial" w:hAnsi="Arial" w:cs="Arial"/>
                <w:sz w:val="18"/>
                <w:szCs w:val="18"/>
                <w:lang w:val="en-GB" w:eastAsia="en-US"/>
              </w:rPr>
              <w:t>n/a</w:t>
            </w:r>
          </w:p>
        </w:tc>
      </w:tr>
      <w:tr w:rsidR="00D01830" w:rsidRPr="00AB7AD8" w14:paraId="7AC38AC2" w14:textId="77777777" w:rsidTr="0075304E">
        <w:trPr>
          <w:trHeight w:val="227"/>
        </w:trPr>
        <w:tc>
          <w:tcPr>
            <w:tcW w:w="0" w:type="auto"/>
            <w:hideMark/>
          </w:tcPr>
          <w:p w14:paraId="493B227A" w14:textId="77777777" w:rsidR="00D01830" w:rsidRPr="00AB7AD8" w:rsidRDefault="00D01830" w:rsidP="0075304E">
            <w:pPr>
              <w:pStyle w:val="NormalWeb"/>
              <w:spacing w:after="240"/>
              <w:rPr>
                <w:rFonts w:ascii="Arial" w:hAnsi="Arial" w:cs="Arial"/>
                <w:sz w:val="18"/>
                <w:szCs w:val="18"/>
                <w:lang w:val="en-GB" w:eastAsia="en-US"/>
              </w:rPr>
            </w:pPr>
            <w:r w:rsidRPr="00AB7AD8">
              <w:rPr>
                <w:rFonts w:ascii="Arial" w:hAnsi="Arial" w:cs="Arial"/>
                <w:sz w:val="18"/>
                <w:szCs w:val="18"/>
                <w:lang w:val="en-GB" w:eastAsia="en-US"/>
              </w:rPr>
              <w:t>AIC</w:t>
            </w:r>
          </w:p>
        </w:tc>
        <w:tc>
          <w:tcPr>
            <w:tcW w:w="0" w:type="auto"/>
            <w:hideMark/>
          </w:tcPr>
          <w:p w14:paraId="7CA69149" w14:textId="77777777" w:rsidR="00D01830" w:rsidRPr="00AB7AD8" w:rsidRDefault="00D01830" w:rsidP="0075304E">
            <w:pPr>
              <w:pStyle w:val="NormalWeb"/>
              <w:spacing w:after="240"/>
              <w:jc w:val="right"/>
              <w:rPr>
                <w:rFonts w:ascii="Arial" w:hAnsi="Arial" w:cs="Arial"/>
                <w:sz w:val="18"/>
                <w:szCs w:val="18"/>
                <w:lang w:val="en-GB" w:eastAsia="en-US"/>
              </w:rPr>
            </w:pPr>
            <w:r w:rsidRPr="00AB7AD8">
              <w:rPr>
                <w:rFonts w:ascii="Arial" w:hAnsi="Arial" w:cs="Arial"/>
                <w:sz w:val="18"/>
                <w:szCs w:val="18"/>
                <w:lang w:val="en-GB" w:eastAsia="en-US"/>
              </w:rPr>
              <w:t>-504.0069</w:t>
            </w:r>
          </w:p>
        </w:tc>
        <w:tc>
          <w:tcPr>
            <w:tcW w:w="0" w:type="auto"/>
          </w:tcPr>
          <w:p w14:paraId="1D209E19" w14:textId="77777777" w:rsidR="00D01830" w:rsidRPr="00AB7AD8" w:rsidRDefault="00D01830" w:rsidP="0075304E">
            <w:pPr>
              <w:pStyle w:val="NormalWeb"/>
              <w:spacing w:after="240"/>
              <w:jc w:val="right"/>
              <w:rPr>
                <w:rFonts w:ascii="Arial" w:hAnsi="Arial" w:cs="Arial"/>
                <w:sz w:val="18"/>
                <w:szCs w:val="18"/>
                <w:lang w:val="en-GB" w:eastAsia="en-US"/>
              </w:rPr>
            </w:pPr>
          </w:p>
        </w:tc>
        <w:tc>
          <w:tcPr>
            <w:tcW w:w="0" w:type="auto"/>
            <w:tcBorders>
              <w:top w:val="nil"/>
              <w:left w:val="nil"/>
              <w:bottom w:val="nil"/>
              <w:right w:val="single" w:sz="4" w:space="0" w:color="auto"/>
            </w:tcBorders>
          </w:tcPr>
          <w:p w14:paraId="075DF33C" w14:textId="77777777" w:rsidR="00D01830" w:rsidRPr="00AB7AD8" w:rsidRDefault="00D01830" w:rsidP="0075304E">
            <w:pPr>
              <w:pStyle w:val="NormalWeb"/>
              <w:spacing w:after="240"/>
              <w:jc w:val="right"/>
              <w:rPr>
                <w:rFonts w:ascii="Arial" w:hAnsi="Arial" w:cs="Arial"/>
                <w:sz w:val="18"/>
                <w:szCs w:val="18"/>
                <w:lang w:val="en-GB" w:eastAsia="en-US"/>
              </w:rPr>
            </w:pPr>
          </w:p>
        </w:tc>
        <w:tc>
          <w:tcPr>
            <w:tcW w:w="0" w:type="auto"/>
            <w:tcBorders>
              <w:top w:val="nil"/>
              <w:left w:val="single" w:sz="4" w:space="0" w:color="auto"/>
              <w:bottom w:val="nil"/>
              <w:right w:val="nil"/>
            </w:tcBorders>
            <w:hideMark/>
          </w:tcPr>
          <w:p w14:paraId="3A490995" w14:textId="77777777" w:rsidR="00D01830" w:rsidRPr="00AB7AD8" w:rsidRDefault="00D01830" w:rsidP="0075304E">
            <w:pPr>
              <w:pStyle w:val="NormalWeb"/>
              <w:spacing w:after="240"/>
              <w:jc w:val="right"/>
              <w:rPr>
                <w:rFonts w:ascii="Arial" w:hAnsi="Arial" w:cs="Arial"/>
                <w:sz w:val="18"/>
                <w:szCs w:val="18"/>
                <w:lang w:val="en-GB" w:eastAsia="en-US"/>
              </w:rPr>
            </w:pPr>
            <w:r w:rsidRPr="00AB7AD8">
              <w:rPr>
                <w:rFonts w:ascii="Arial" w:hAnsi="Arial" w:cs="Arial"/>
                <w:sz w:val="18"/>
                <w:szCs w:val="18"/>
                <w:lang w:val="en-GB" w:eastAsia="en-US"/>
              </w:rPr>
              <w:t>-526.3275</w:t>
            </w:r>
          </w:p>
        </w:tc>
        <w:tc>
          <w:tcPr>
            <w:tcW w:w="0" w:type="auto"/>
          </w:tcPr>
          <w:p w14:paraId="1F01693B" w14:textId="77777777" w:rsidR="00D01830" w:rsidRPr="00AB7AD8" w:rsidRDefault="00D01830" w:rsidP="0075304E">
            <w:pPr>
              <w:pStyle w:val="NormalWeb"/>
              <w:spacing w:after="240"/>
              <w:jc w:val="right"/>
              <w:rPr>
                <w:rFonts w:ascii="Arial" w:hAnsi="Arial" w:cs="Arial"/>
                <w:sz w:val="18"/>
                <w:szCs w:val="18"/>
                <w:lang w:val="en-GB" w:eastAsia="en-US"/>
              </w:rPr>
            </w:pPr>
          </w:p>
        </w:tc>
        <w:tc>
          <w:tcPr>
            <w:tcW w:w="0" w:type="auto"/>
            <w:tcBorders>
              <w:top w:val="nil"/>
              <w:left w:val="nil"/>
              <w:bottom w:val="nil"/>
              <w:right w:val="single" w:sz="4" w:space="0" w:color="auto"/>
            </w:tcBorders>
          </w:tcPr>
          <w:p w14:paraId="142EB695" w14:textId="77777777" w:rsidR="00D01830" w:rsidRPr="00AB7AD8" w:rsidRDefault="00D01830" w:rsidP="0075304E">
            <w:pPr>
              <w:pStyle w:val="NormalWeb"/>
              <w:spacing w:after="240"/>
              <w:jc w:val="right"/>
              <w:rPr>
                <w:rFonts w:ascii="Arial" w:hAnsi="Arial" w:cs="Arial"/>
                <w:sz w:val="18"/>
                <w:szCs w:val="18"/>
                <w:lang w:val="en-GB" w:eastAsia="en-US"/>
              </w:rPr>
            </w:pPr>
          </w:p>
        </w:tc>
        <w:tc>
          <w:tcPr>
            <w:tcW w:w="0" w:type="auto"/>
            <w:tcBorders>
              <w:top w:val="nil"/>
              <w:left w:val="single" w:sz="4" w:space="0" w:color="auto"/>
              <w:bottom w:val="nil"/>
              <w:right w:val="nil"/>
            </w:tcBorders>
            <w:hideMark/>
          </w:tcPr>
          <w:p w14:paraId="5F1F23CE" w14:textId="77777777" w:rsidR="00D01830" w:rsidRPr="00AB7AD8" w:rsidRDefault="00D01830" w:rsidP="0075304E">
            <w:pPr>
              <w:pStyle w:val="NormalWeb"/>
              <w:spacing w:after="240"/>
              <w:jc w:val="right"/>
              <w:rPr>
                <w:rFonts w:ascii="Arial" w:hAnsi="Arial" w:cs="Arial"/>
                <w:sz w:val="18"/>
                <w:szCs w:val="18"/>
                <w:lang w:val="en-GB" w:eastAsia="en-US"/>
              </w:rPr>
            </w:pPr>
            <w:r w:rsidRPr="00AB7AD8">
              <w:rPr>
                <w:rFonts w:ascii="Arial" w:hAnsi="Arial" w:cs="Arial"/>
                <w:sz w:val="18"/>
                <w:szCs w:val="18"/>
                <w:lang w:val="en-GB" w:eastAsia="en-US"/>
              </w:rPr>
              <w:t>-496.2445</w:t>
            </w:r>
          </w:p>
        </w:tc>
        <w:tc>
          <w:tcPr>
            <w:tcW w:w="0" w:type="auto"/>
          </w:tcPr>
          <w:p w14:paraId="48AD8016" w14:textId="77777777" w:rsidR="00D01830" w:rsidRPr="00AB7AD8" w:rsidRDefault="00D01830" w:rsidP="0075304E">
            <w:pPr>
              <w:pStyle w:val="NormalWeb"/>
              <w:spacing w:after="240"/>
              <w:jc w:val="right"/>
              <w:rPr>
                <w:rFonts w:ascii="Arial" w:hAnsi="Arial" w:cs="Arial"/>
                <w:sz w:val="18"/>
                <w:szCs w:val="18"/>
                <w:lang w:val="en-GB" w:eastAsia="en-US"/>
              </w:rPr>
            </w:pPr>
          </w:p>
        </w:tc>
        <w:tc>
          <w:tcPr>
            <w:tcW w:w="0" w:type="auto"/>
          </w:tcPr>
          <w:p w14:paraId="43179533" w14:textId="77777777" w:rsidR="00D01830" w:rsidRPr="00AB7AD8" w:rsidRDefault="00D01830" w:rsidP="0075304E">
            <w:pPr>
              <w:pStyle w:val="NormalWeb"/>
              <w:spacing w:after="240"/>
              <w:jc w:val="right"/>
              <w:rPr>
                <w:rFonts w:ascii="Arial" w:hAnsi="Arial" w:cs="Arial"/>
                <w:sz w:val="18"/>
                <w:szCs w:val="18"/>
                <w:lang w:val="en-GB" w:eastAsia="en-US"/>
              </w:rPr>
            </w:pPr>
          </w:p>
        </w:tc>
      </w:tr>
      <w:tr w:rsidR="00D01830" w:rsidRPr="00AB7AD8" w14:paraId="43F30202" w14:textId="77777777" w:rsidTr="0075304E">
        <w:trPr>
          <w:trHeight w:val="227"/>
        </w:trPr>
        <w:tc>
          <w:tcPr>
            <w:tcW w:w="0" w:type="auto"/>
            <w:hideMark/>
          </w:tcPr>
          <w:p w14:paraId="3AAF2E63" w14:textId="77777777" w:rsidR="00D01830" w:rsidRPr="00AB7AD8" w:rsidRDefault="00D01830" w:rsidP="0075304E">
            <w:pPr>
              <w:pStyle w:val="NormalWeb"/>
              <w:spacing w:after="240"/>
              <w:rPr>
                <w:rFonts w:ascii="Arial" w:hAnsi="Arial" w:cs="Arial"/>
                <w:sz w:val="18"/>
                <w:szCs w:val="18"/>
                <w:lang w:val="en-GB" w:eastAsia="en-US"/>
              </w:rPr>
            </w:pPr>
            <w:r w:rsidRPr="00AB7AD8">
              <w:rPr>
                <w:rFonts w:ascii="Arial" w:hAnsi="Arial" w:cs="Arial"/>
                <w:sz w:val="18"/>
                <w:szCs w:val="18"/>
                <w:lang w:val="en-GB" w:eastAsia="en-US"/>
              </w:rPr>
              <w:t>LBT</w:t>
            </w:r>
          </w:p>
        </w:tc>
        <w:tc>
          <w:tcPr>
            <w:tcW w:w="0" w:type="auto"/>
            <w:hideMark/>
          </w:tcPr>
          <w:p w14:paraId="6D9353D2" w14:textId="77777777" w:rsidR="00D01830" w:rsidRPr="00AB7AD8" w:rsidRDefault="00D01830" w:rsidP="0075304E">
            <w:pPr>
              <w:pStyle w:val="NormalWeb"/>
              <w:spacing w:after="240"/>
              <w:jc w:val="right"/>
              <w:rPr>
                <w:rFonts w:ascii="Arial" w:hAnsi="Arial" w:cs="Arial"/>
                <w:sz w:val="18"/>
                <w:szCs w:val="18"/>
                <w:lang w:val="en-GB" w:eastAsia="en-US"/>
              </w:rPr>
            </w:pPr>
            <w:r w:rsidRPr="00AB7AD8">
              <w:rPr>
                <w:rFonts w:ascii="Arial" w:hAnsi="Arial" w:cs="Arial"/>
                <w:sz w:val="18"/>
                <w:szCs w:val="18"/>
                <w:lang w:val="en-GB" w:eastAsia="en-US"/>
              </w:rPr>
              <w:t>25.0452</w:t>
            </w:r>
          </w:p>
        </w:tc>
        <w:tc>
          <w:tcPr>
            <w:tcW w:w="0" w:type="auto"/>
          </w:tcPr>
          <w:p w14:paraId="4803808C" w14:textId="77777777" w:rsidR="00D01830" w:rsidRPr="00AB7AD8" w:rsidRDefault="00D01830" w:rsidP="0075304E">
            <w:pPr>
              <w:pStyle w:val="NormalWeb"/>
              <w:spacing w:after="240"/>
              <w:jc w:val="right"/>
              <w:rPr>
                <w:rFonts w:ascii="Arial" w:hAnsi="Arial" w:cs="Arial"/>
                <w:sz w:val="18"/>
                <w:szCs w:val="18"/>
                <w:lang w:val="en-GB" w:eastAsia="en-US"/>
              </w:rPr>
            </w:pPr>
          </w:p>
        </w:tc>
        <w:tc>
          <w:tcPr>
            <w:tcW w:w="0" w:type="auto"/>
            <w:tcBorders>
              <w:top w:val="nil"/>
              <w:left w:val="nil"/>
              <w:bottom w:val="nil"/>
              <w:right w:val="single" w:sz="4" w:space="0" w:color="auto"/>
            </w:tcBorders>
            <w:hideMark/>
          </w:tcPr>
          <w:p w14:paraId="49674C02" w14:textId="77777777" w:rsidR="00D01830" w:rsidRPr="00AB7AD8" w:rsidRDefault="00D01830" w:rsidP="0075304E">
            <w:pPr>
              <w:pStyle w:val="NormalWeb"/>
              <w:spacing w:after="240"/>
              <w:jc w:val="right"/>
              <w:rPr>
                <w:rFonts w:ascii="Arial" w:hAnsi="Arial" w:cs="Arial"/>
                <w:sz w:val="18"/>
                <w:szCs w:val="18"/>
                <w:lang w:val="en-GB" w:eastAsia="en-US"/>
              </w:rPr>
            </w:pPr>
            <w:r w:rsidRPr="00AB7AD8">
              <w:rPr>
                <w:rFonts w:ascii="Arial" w:hAnsi="Arial" w:cs="Arial"/>
                <w:sz w:val="18"/>
                <w:szCs w:val="18"/>
                <w:lang w:val="en-GB" w:eastAsia="en-US"/>
              </w:rPr>
              <w:t>0.200</w:t>
            </w:r>
          </w:p>
        </w:tc>
        <w:tc>
          <w:tcPr>
            <w:tcW w:w="0" w:type="auto"/>
            <w:tcBorders>
              <w:top w:val="nil"/>
              <w:left w:val="single" w:sz="4" w:space="0" w:color="auto"/>
              <w:bottom w:val="nil"/>
              <w:right w:val="nil"/>
            </w:tcBorders>
            <w:hideMark/>
          </w:tcPr>
          <w:p w14:paraId="1ADBB7B4" w14:textId="77777777" w:rsidR="00D01830" w:rsidRPr="00AB7AD8" w:rsidRDefault="00D01830" w:rsidP="0075304E">
            <w:pPr>
              <w:pStyle w:val="NormalWeb"/>
              <w:spacing w:after="240"/>
              <w:jc w:val="right"/>
              <w:rPr>
                <w:rFonts w:ascii="Arial" w:hAnsi="Arial" w:cs="Arial"/>
                <w:sz w:val="18"/>
                <w:szCs w:val="18"/>
                <w:lang w:val="en-GB" w:eastAsia="en-US"/>
              </w:rPr>
            </w:pPr>
            <w:r w:rsidRPr="00AB7AD8">
              <w:rPr>
                <w:rFonts w:ascii="Arial" w:hAnsi="Arial" w:cs="Arial"/>
                <w:sz w:val="18"/>
                <w:szCs w:val="18"/>
                <w:lang w:val="en-GB" w:eastAsia="en-US"/>
              </w:rPr>
              <w:t>15.1708</w:t>
            </w:r>
          </w:p>
        </w:tc>
        <w:tc>
          <w:tcPr>
            <w:tcW w:w="0" w:type="auto"/>
          </w:tcPr>
          <w:p w14:paraId="7A233919" w14:textId="77777777" w:rsidR="00D01830" w:rsidRPr="00AB7AD8" w:rsidRDefault="00D01830" w:rsidP="0075304E">
            <w:pPr>
              <w:pStyle w:val="NormalWeb"/>
              <w:spacing w:after="240"/>
              <w:jc w:val="right"/>
              <w:rPr>
                <w:rFonts w:ascii="Arial" w:hAnsi="Arial" w:cs="Arial"/>
                <w:sz w:val="18"/>
                <w:szCs w:val="18"/>
                <w:lang w:val="en-GB" w:eastAsia="en-US"/>
              </w:rPr>
            </w:pPr>
          </w:p>
        </w:tc>
        <w:tc>
          <w:tcPr>
            <w:tcW w:w="0" w:type="auto"/>
            <w:tcBorders>
              <w:top w:val="nil"/>
              <w:left w:val="nil"/>
              <w:bottom w:val="nil"/>
              <w:right w:val="single" w:sz="4" w:space="0" w:color="auto"/>
            </w:tcBorders>
            <w:hideMark/>
          </w:tcPr>
          <w:p w14:paraId="34526394" w14:textId="77777777" w:rsidR="00D01830" w:rsidRPr="00AB7AD8" w:rsidRDefault="00D01830" w:rsidP="0075304E">
            <w:pPr>
              <w:pStyle w:val="NormalWeb"/>
              <w:spacing w:after="240"/>
              <w:jc w:val="right"/>
              <w:rPr>
                <w:rFonts w:ascii="Arial" w:hAnsi="Arial" w:cs="Arial"/>
                <w:sz w:val="18"/>
                <w:szCs w:val="18"/>
                <w:lang w:val="en-GB" w:eastAsia="en-US"/>
              </w:rPr>
            </w:pPr>
            <w:r w:rsidRPr="00AB7AD8">
              <w:rPr>
                <w:rFonts w:ascii="Arial" w:hAnsi="Arial" w:cs="Arial"/>
                <w:sz w:val="18"/>
                <w:szCs w:val="18"/>
                <w:lang w:val="en-GB" w:eastAsia="en-US"/>
              </w:rPr>
              <w:t>0.767</w:t>
            </w:r>
          </w:p>
        </w:tc>
        <w:tc>
          <w:tcPr>
            <w:tcW w:w="0" w:type="auto"/>
            <w:tcBorders>
              <w:top w:val="nil"/>
              <w:left w:val="single" w:sz="4" w:space="0" w:color="auto"/>
              <w:bottom w:val="nil"/>
              <w:right w:val="nil"/>
            </w:tcBorders>
            <w:hideMark/>
          </w:tcPr>
          <w:p w14:paraId="57C2E308" w14:textId="77777777" w:rsidR="00D01830" w:rsidRPr="00AB7AD8" w:rsidRDefault="00D01830" w:rsidP="0075304E">
            <w:pPr>
              <w:pStyle w:val="NormalWeb"/>
              <w:spacing w:after="240"/>
              <w:jc w:val="right"/>
              <w:rPr>
                <w:rFonts w:ascii="Arial" w:hAnsi="Arial" w:cs="Arial"/>
                <w:sz w:val="18"/>
                <w:szCs w:val="18"/>
                <w:lang w:val="en-GB" w:eastAsia="en-US"/>
              </w:rPr>
            </w:pPr>
            <w:r w:rsidRPr="00AB7AD8">
              <w:rPr>
                <w:rFonts w:ascii="Arial" w:hAnsi="Arial" w:cs="Arial"/>
                <w:sz w:val="18"/>
                <w:szCs w:val="18"/>
                <w:lang w:val="en-GB" w:eastAsia="en-US"/>
              </w:rPr>
              <w:t>13.0957</w:t>
            </w:r>
          </w:p>
        </w:tc>
        <w:tc>
          <w:tcPr>
            <w:tcW w:w="0" w:type="auto"/>
          </w:tcPr>
          <w:p w14:paraId="6A8C8192" w14:textId="77777777" w:rsidR="00D01830" w:rsidRPr="00AB7AD8" w:rsidRDefault="00D01830" w:rsidP="0075304E">
            <w:pPr>
              <w:pStyle w:val="NormalWeb"/>
              <w:spacing w:after="240"/>
              <w:jc w:val="right"/>
              <w:rPr>
                <w:rFonts w:ascii="Arial" w:hAnsi="Arial" w:cs="Arial"/>
                <w:sz w:val="18"/>
                <w:szCs w:val="18"/>
                <w:lang w:val="en-GB" w:eastAsia="en-US"/>
              </w:rPr>
            </w:pPr>
          </w:p>
        </w:tc>
        <w:tc>
          <w:tcPr>
            <w:tcW w:w="0" w:type="auto"/>
            <w:hideMark/>
          </w:tcPr>
          <w:p w14:paraId="2B53ABD0" w14:textId="77777777" w:rsidR="00D01830" w:rsidRPr="00AB7AD8" w:rsidRDefault="00D01830" w:rsidP="0075304E">
            <w:pPr>
              <w:pStyle w:val="NormalWeb"/>
              <w:spacing w:after="240"/>
              <w:jc w:val="right"/>
              <w:rPr>
                <w:rFonts w:ascii="Arial" w:hAnsi="Arial" w:cs="Arial"/>
                <w:sz w:val="18"/>
                <w:szCs w:val="18"/>
                <w:lang w:val="en-GB" w:eastAsia="en-US"/>
              </w:rPr>
            </w:pPr>
            <w:r w:rsidRPr="00AB7AD8">
              <w:rPr>
                <w:rFonts w:ascii="Arial" w:hAnsi="Arial" w:cs="Arial"/>
                <w:sz w:val="18"/>
                <w:szCs w:val="18"/>
                <w:lang w:val="en-GB" w:eastAsia="en-US"/>
              </w:rPr>
              <w:t>0.905</w:t>
            </w:r>
          </w:p>
        </w:tc>
      </w:tr>
      <w:tr w:rsidR="00D01830" w:rsidRPr="00AB7AD8" w14:paraId="4BCD0184" w14:textId="77777777" w:rsidTr="0075304E">
        <w:trPr>
          <w:trHeight w:val="227"/>
        </w:trPr>
        <w:tc>
          <w:tcPr>
            <w:tcW w:w="0" w:type="auto"/>
            <w:tcBorders>
              <w:top w:val="nil"/>
              <w:left w:val="nil"/>
              <w:bottom w:val="single" w:sz="4" w:space="0" w:color="auto"/>
              <w:right w:val="nil"/>
            </w:tcBorders>
            <w:hideMark/>
          </w:tcPr>
          <w:p w14:paraId="5CA0F073" w14:textId="77777777" w:rsidR="00D01830" w:rsidRPr="00AB7AD8" w:rsidRDefault="00D01830" w:rsidP="0075304E">
            <w:pPr>
              <w:pStyle w:val="NormalWeb"/>
              <w:spacing w:after="240"/>
              <w:rPr>
                <w:rFonts w:ascii="Arial" w:hAnsi="Arial" w:cs="Arial"/>
                <w:sz w:val="18"/>
                <w:szCs w:val="18"/>
                <w:lang w:val="en-GB" w:eastAsia="en-US"/>
              </w:rPr>
            </w:pPr>
            <w:r w:rsidRPr="00AB7AD8">
              <w:rPr>
                <w:rFonts w:ascii="Arial" w:hAnsi="Arial" w:cs="Arial"/>
                <w:sz w:val="18"/>
                <w:szCs w:val="18"/>
                <w:lang w:val="en-GB" w:eastAsia="en-US"/>
              </w:rPr>
              <w:t>ADF</w:t>
            </w:r>
          </w:p>
        </w:tc>
        <w:tc>
          <w:tcPr>
            <w:tcW w:w="0" w:type="auto"/>
            <w:tcBorders>
              <w:top w:val="nil"/>
              <w:left w:val="nil"/>
              <w:bottom w:val="single" w:sz="4" w:space="0" w:color="auto"/>
              <w:right w:val="nil"/>
            </w:tcBorders>
            <w:hideMark/>
          </w:tcPr>
          <w:p w14:paraId="253550EF" w14:textId="77777777" w:rsidR="00D01830" w:rsidRPr="00AB7AD8" w:rsidRDefault="00D01830" w:rsidP="0075304E">
            <w:pPr>
              <w:pStyle w:val="NormalWeb"/>
              <w:spacing w:after="240"/>
              <w:jc w:val="right"/>
              <w:rPr>
                <w:rFonts w:ascii="Arial" w:hAnsi="Arial" w:cs="Arial"/>
                <w:sz w:val="18"/>
                <w:szCs w:val="18"/>
                <w:lang w:val="en-GB" w:eastAsia="en-US"/>
              </w:rPr>
            </w:pPr>
            <w:r w:rsidRPr="00AB7AD8">
              <w:rPr>
                <w:rFonts w:ascii="Arial" w:hAnsi="Arial" w:cs="Arial"/>
                <w:sz w:val="18"/>
                <w:szCs w:val="18"/>
                <w:lang w:val="en-GB" w:eastAsia="en-US"/>
              </w:rPr>
              <w:t>-3.4982</w:t>
            </w:r>
          </w:p>
        </w:tc>
        <w:tc>
          <w:tcPr>
            <w:tcW w:w="0" w:type="auto"/>
            <w:tcBorders>
              <w:top w:val="nil"/>
              <w:left w:val="nil"/>
              <w:bottom w:val="single" w:sz="4" w:space="0" w:color="auto"/>
              <w:right w:val="nil"/>
            </w:tcBorders>
          </w:tcPr>
          <w:p w14:paraId="096E9C8C" w14:textId="77777777" w:rsidR="00D01830" w:rsidRPr="00AB7AD8" w:rsidRDefault="00D01830" w:rsidP="0075304E">
            <w:pPr>
              <w:pStyle w:val="NormalWeb"/>
              <w:spacing w:after="240"/>
              <w:jc w:val="right"/>
              <w:rPr>
                <w:rFonts w:ascii="Arial" w:hAnsi="Arial" w:cs="Arial"/>
                <w:sz w:val="18"/>
                <w:szCs w:val="18"/>
                <w:lang w:val="en-GB" w:eastAsia="en-US"/>
              </w:rPr>
            </w:pPr>
          </w:p>
        </w:tc>
        <w:tc>
          <w:tcPr>
            <w:tcW w:w="0" w:type="auto"/>
            <w:tcBorders>
              <w:top w:val="nil"/>
              <w:left w:val="nil"/>
              <w:bottom w:val="single" w:sz="4" w:space="0" w:color="auto"/>
              <w:right w:val="single" w:sz="4" w:space="0" w:color="auto"/>
            </w:tcBorders>
            <w:hideMark/>
          </w:tcPr>
          <w:p w14:paraId="7378516A" w14:textId="77777777" w:rsidR="00D01830" w:rsidRPr="00AB7AD8" w:rsidRDefault="00D01830" w:rsidP="0075304E">
            <w:pPr>
              <w:pStyle w:val="NormalWeb"/>
              <w:spacing w:after="240"/>
              <w:jc w:val="right"/>
              <w:rPr>
                <w:rFonts w:ascii="Arial" w:hAnsi="Arial" w:cs="Arial"/>
                <w:sz w:val="18"/>
                <w:szCs w:val="18"/>
                <w:lang w:val="en-GB" w:eastAsia="en-US"/>
              </w:rPr>
            </w:pPr>
            <w:r w:rsidRPr="00AB7AD8">
              <w:rPr>
                <w:rFonts w:ascii="Arial" w:hAnsi="Arial" w:cs="Arial"/>
                <w:sz w:val="18"/>
                <w:szCs w:val="18"/>
                <w:lang w:val="en-GB" w:eastAsia="en-US"/>
              </w:rPr>
              <w:t>0.050</w:t>
            </w:r>
          </w:p>
        </w:tc>
        <w:tc>
          <w:tcPr>
            <w:tcW w:w="0" w:type="auto"/>
            <w:tcBorders>
              <w:top w:val="nil"/>
              <w:left w:val="single" w:sz="4" w:space="0" w:color="auto"/>
              <w:bottom w:val="single" w:sz="4" w:space="0" w:color="auto"/>
              <w:right w:val="nil"/>
            </w:tcBorders>
            <w:hideMark/>
          </w:tcPr>
          <w:p w14:paraId="69D8564D" w14:textId="77777777" w:rsidR="00D01830" w:rsidRPr="00AB7AD8" w:rsidRDefault="00D01830" w:rsidP="0075304E">
            <w:pPr>
              <w:pStyle w:val="NormalWeb"/>
              <w:spacing w:after="240"/>
              <w:jc w:val="right"/>
              <w:rPr>
                <w:rFonts w:ascii="Arial" w:hAnsi="Arial" w:cs="Arial"/>
                <w:sz w:val="18"/>
                <w:szCs w:val="18"/>
                <w:lang w:val="en-GB" w:eastAsia="en-US"/>
              </w:rPr>
            </w:pPr>
            <w:r w:rsidRPr="00AB7AD8">
              <w:rPr>
                <w:rFonts w:ascii="Arial" w:hAnsi="Arial" w:cs="Arial"/>
                <w:sz w:val="18"/>
                <w:szCs w:val="18"/>
                <w:lang w:val="en-GB" w:eastAsia="en-US"/>
              </w:rPr>
              <w:t>-3.5291</w:t>
            </w:r>
          </w:p>
        </w:tc>
        <w:tc>
          <w:tcPr>
            <w:tcW w:w="0" w:type="auto"/>
            <w:tcBorders>
              <w:top w:val="nil"/>
              <w:left w:val="nil"/>
              <w:bottom w:val="single" w:sz="4" w:space="0" w:color="auto"/>
              <w:right w:val="nil"/>
            </w:tcBorders>
          </w:tcPr>
          <w:p w14:paraId="2B73BF7C" w14:textId="77777777" w:rsidR="00D01830" w:rsidRPr="00AB7AD8" w:rsidRDefault="00D01830" w:rsidP="0075304E">
            <w:pPr>
              <w:pStyle w:val="NormalWeb"/>
              <w:spacing w:after="240"/>
              <w:jc w:val="right"/>
              <w:rPr>
                <w:rFonts w:ascii="Arial" w:hAnsi="Arial" w:cs="Arial"/>
                <w:sz w:val="18"/>
                <w:szCs w:val="18"/>
                <w:lang w:val="en-GB" w:eastAsia="en-US"/>
              </w:rPr>
            </w:pPr>
          </w:p>
        </w:tc>
        <w:tc>
          <w:tcPr>
            <w:tcW w:w="0" w:type="auto"/>
            <w:tcBorders>
              <w:top w:val="nil"/>
              <w:left w:val="nil"/>
              <w:bottom w:val="single" w:sz="4" w:space="0" w:color="auto"/>
              <w:right w:val="single" w:sz="4" w:space="0" w:color="auto"/>
            </w:tcBorders>
            <w:hideMark/>
          </w:tcPr>
          <w:p w14:paraId="1285C706" w14:textId="77777777" w:rsidR="00D01830" w:rsidRPr="00AB7AD8" w:rsidRDefault="00D01830" w:rsidP="0075304E">
            <w:pPr>
              <w:pStyle w:val="NormalWeb"/>
              <w:spacing w:after="240"/>
              <w:jc w:val="right"/>
              <w:rPr>
                <w:rFonts w:ascii="Arial" w:hAnsi="Arial" w:cs="Arial"/>
                <w:sz w:val="18"/>
                <w:szCs w:val="18"/>
                <w:lang w:val="en-GB" w:eastAsia="en-US"/>
              </w:rPr>
            </w:pPr>
            <w:r w:rsidRPr="00AB7AD8">
              <w:rPr>
                <w:rFonts w:ascii="Arial" w:hAnsi="Arial" w:cs="Arial"/>
                <w:sz w:val="18"/>
                <w:szCs w:val="18"/>
                <w:lang w:val="en-GB" w:eastAsia="en-US"/>
              </w:rPr>
              <w:t>0.047</w:t>
            </w:r>
          </w:p>
        </w:tc>
        <w:tc>
          <w:tcPr>
            <w:tcW w:w="0" w:type="auto"/>
            <w:tcBorders>
              <w:top w:val="nil"/>
              <w:left w:val="single" w:sz="4" w:space="0" w:color="auto"/>
              <w:bottom w:val="single" w:sz="4" w:space="0" w:color="auto"/>
              <w:right w:val="nil"/>
            </w:tcBorders>
            <w:hideMark/>
          </w:tcPr>
          <w:p w14:paraId="3130F5E4" w14:textId="77777777" w:rsidR="00D01830" w:rsidRPr="00AB7AD8" w:rsidRDefault="00D01830" w:rsidP="0075304E">
            <w:pPr>
              <w:pStyle w:val="NormalWeb"/>
              <w:spacing w:after="240"/>
              <w:jc w:val="right"/>
              <w:rPr>
                <w:rFonts w:ascii="Arial" w:hAnsi="Arial" w:cs="Arial"/>
                <w:sz w:val="18"/>
                <w:szCs w:val="18"/>
                <w:lang w:val="en-GB" w:eastAsia="en-US"/>
              </w:rPr>
            </w:pPr>
            <w:r w:rsidRPr="00AB7AD8">
              <w:rPr>
                <w:rFonts w:ascii="Arial" w:hAnsi="Arial" w:cs="Arial"/>
                <w:sz w:val="18"/>
                <w:szCs w:val="18"/>
                <w:lang w:val="en-GB" w:eastAsia="en-US"/>
              </w:rPr>
              <w:t>-3.5694</w:t>
            </w:r>
          </w:p>
        </w:tc>
        <w:tc>
          <w:tcPr>
            <w:tcW w:w="0" w:type="auto"/>
            <w:tcBorders>
              <w:top w:val="nil"/>
              <w:left w:val="nil"/>
              <w:bottom w:val="single" w:sz="4" w:space="0" w:color="auto"/>
              <w:right w:val="nil"/>
            </w:tcBorders>
          </w:tcPr>
          <w:p w14:paraId="3E55F4F5" w14:textId="77777777" w:rsidR="00D01830" w:rsidRPr="00AB7AD8" w:rsidRDefault="00D01830" w:rsidP="0075304E">
            <w:pPr>
              <w:pStyle w:val="NormalWeb"/>
              <w:spacing w:after="240"/>
              <w:jc w:val="right"/>
              <w:rPr>
                <w:rFonts w:ascii="Arial" w:hAnsi="Arial" w:cs="Arial"/>
                <w:sz w:val="18"/>
                <w:szCs w:val="18"/>
                <w:lang w:val="en-GB" w:eastAsia="en-US"/>
              </w:rPr>
            </w:pPr>
          </w:p>
        </w:tc>
        <w:tc>
          <w:tcPr>
            <w:tcW w:w="0" w:type="auto"/>
            <w:tcBorders>
              <w:top w:val="nil"/>
              <w:left w:val="nil"/>
              <w:bottom w:val="single" w:sz="4" w:space="0" w:color="auto"/>
              <w:right w:val="nil"/>
            </w:tcBorders>
            <w:hideMark/>
          </w:tcPr>
          <w:p w14:paraId="02A33FA3" w14:textId="77777777" w:rsidR="00D01830" w:rsidRPr="00AB7AD8" w:rsidRDefault="00D01830" w:rsidP="0075304E">
            <w:pPr>
              <w:pStyle w:val="NormalWeb"/>
              <w:spacing w:after="240"/>
              <w:jc w:val="right"/>
              <w:rPr>
                <w:rFonts w:ascii="Arial" w:hAnsi="Arial" w:cs="Arial"/>
                <w:sz w:val="18"/>
                <w:szCs w:val="18"/>
                <w:lang w:val="en-GB" w:eastAsia="en-US"/>
              </w:rPr>
            </w:pPr>
            <w:r w:rsidRPr="00AB7AD8">
              <w:rPr>
                <w:rFonts w:ascii="Arial" w:hAnsi="Arial" w:cs="Arial"/>
                <w:sz w:val="18"/>
                <w:szCs w:val="18"/>
                <w:lang w:val="en-GB" w:eastAsia="en-US"/>
              </w:rPr>
              <w:t>0.044</w:t>
            </w:r>
          </w:p>
        </w:tc>
      </w:tr>
    </w:tbl>
    <w:p w14:paraId="12C012BA" w14:textId="77777777" w:rsidR="00D01830" w:rsidRPr="00984407" w:rsidRDefault="00D01830" w:rsidP="00D01830">
      <w:pPr>
        <w:rPr>
          <w:rFonts w:ascii="Arial" w:hAnsi="Arial" w:cs="Arial"/>
          <w:sz w:val="18"/>
          <w:szCs w:val="18"/>
          <w:lang w:val="en-GB"/>
        </w:rPr>
      </w:pPr>
      <w:r w:rsidRPr="00AB7AD8">
        <w:rPr>
          <w:rFonts w:ascii="Arial" w:hAnsi="Arial" w:cs="Arial"/>
          <w:sz w:val="18"/>
          <w:szCs w:val="18"/>
          <w:lang w:val="en-GB"/>
        </w:rPr>
        <w:t xml:space="preserve">Legend: </w:t>
      </w:r>
      <w:proofErr w:type="spellStart"/>
      <w:r w:rsidRPr="00AB7AD8">
        <w:rPr>
          <w:rFonts w:ascii="Arial" w:hAnsi="Arial" w:cs="Arial"/>
          <w:sz w:val="18"/>
          <w:szCs w:val="18"/>
          <w:lang w:val="en-GB"/>
        </w:rPr>
        <w:t>cf</w:t>
      </w:r>
      <w:proofErr w:type="spellEnd"/>
      <w:r w:rsidRPr="00AB7AD8">
        <w:rPr>
          <w:rFonts w:ascii="Arial" w:hAnsi="Arial" w:cs="Arial"/>
          <w:sz w:val="18"/>
          <w:szCs w:val="18"/>
          <w:lang w:val="en-GB"/>
        </w:rPr>
        <w:t xml:space="preserve"> table 2</w:t>
      </w:r>
    </w:p>
    <w:p w14:paraId="6D9B3805" w14:textId="77777777" w:rsidR="00D01830" w:rsidRPr="00C907E1" w:rsidRDefault="00D01830" w:rsidP="00D01830">
      <w:pPr>
        <w:rPr>
          <w:rFonts w:ascii="Arial" w:hAnsi="Arial" w:cs="Arial"/>
          <w:i/>
          <w:lang w:val="en-GB"/>
        </w:rPr>
      </w:pPr>
      <w:r w:rsidRPr="00C907E1">
        <w:rPr>
          <w:rFonts w:ascii="Arial" w:hAnsi="Arial" w:cs="Arial"/>
          <w:i/>
          <w:lang w:val="en-GB"/>
        </w:rPr>
        <w:br w:type="page"/>
      </w:r>
    </w:p>
    <w:p w14:paraId="76C0F879" w14:textId="77777777" w:rsidR="00D01830" w:rsidRPr="00C907E1" w:rsidRDefault="00D01830" w:rsidP="00D01830">
      <w:pPr>
        <w:rPr>
          <w:rFonts w:ascii="Arial" w:hAnsi="Arial" w:cs="Arial"/>
          <w:lang w:val="en-GB"/>
        </w:rPr>
      </w:pPr>
      <w:r w:rsidRPr="00C907E1">
        <w:rPr>
          <w:rFonts w:ascii="Arial" w:hAnsi="Arial" w:cs="Arial"/>
          <w:lang w:val="en-GB"/>
        </w:rPr>
        <w:lastRenderedPageBreak/>
        <w:t xml:space="preserve">Table </w:t>
      </w:r>
      <w:r>
        <w:rPr>
          <w:rFonts w:ascii="Arial" w:hAnsi="Arial" w:cs="Arial"/>
          <w:lang w:val="en-GB"/>
        </w:rPr>
        <w:t>6</w:t>
      </w:r>
      <w:r w:rsidRPr="00C907E1">
        <w:rPr>
          <w:rFonts w:ascii="Arial" w:hAnsi="Arial" w:cs="Arial"/>
          <w:lang w:val="en-GB"/>
        </w:rPr>
        <w:t>: Odds Ratio for incident recipients of ris</w:t>
      </w:r>
      <w:r>
        <w:rPr>
          <w:rFonts w:ascii="Arial" w:hAnsi="Arial" w:cs="Arial"/>
          <w:lang w:val="en-GB"/>
        </w:rPr>
        <w:t>k</w:t>
      </w:r>
      <w:r w:rsidRPr="00C907E1">
        <w:rPr>
          <w:rFonts w:ascii="Arial" w:hAnsi="Arial" w:cs="Arial"/>
          <w:lang w:val="en-GB"/>
        </w:rPr>
        <w:t xml:space="preserve"> class III compared to risk class I during the post-intervention phase</w:t>
      </w:r>
    </w:p>
    <w:p w14:paraId="64092015" w14:textId="77777777" w:rsidR="00D01830" w:rsidRPr="00C907E1" w:rsidRDefault="00D01830" w:rsidP="00D01830">
      <w:pPr>
        <w:rPr>
          <w:rFonts w:ascii="Arial" w:hAnsi="Arial" w:cs="Arial"/>
          <w:i/>
          <w:lang w:val="en-GB"/>
        </w:rPr>
      </w:pPr>
    </w:p>
    <w:tbl>
      <w:tblPr>
        <w:tblW w:w="8780" w:type="dxa"/>
        <w:tblInd w:w="70" w:type="dxa"/>
        <w:tblCellMar>
          <w:left w:w="70" w:type="dxa"/>
          <w:right w:w="70" w:type="dxa"/>
        </w:tblCellMar>
        <w:tblLook w:val="04A0" w:firstRow="1" w:lastRow="0" w:firstColumn="1" w:lastColumn="0" w:noHBand="0" w:noVBand="1"/>
      </w:tblPr>
      <w:tblGrid>
        <w:gridCol w:w="2120"/>
        <w:gridCol w:w="2980"/>
        <w:gridCol w:w="2480"/>
        <w:gridCol w:w="1200"/>
      </w:tblGrid>
      <w:tr w:rsidR="00D01830" w:rsidRPr="00AB7AD8" w14:paraId="4D1BACC2" w14:textId="77777777" w:rsidTr="0075304E">
        <w:trPr>
          <w:trHeight w:val="315"/>
        </w:trPr>
        <w:tc>
          <w:tcPr>
            <w:tcW w:w="212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D20B5A5" w14:textId="77777777" w:rsidR="00D01830" w:rsidRPr="00AB7AD8" w:rsidRDefault="00D01830" w:rsidP="0075304E">
            <w:pPr>
              <w:spacing w:after="0" w:line="240" w:lineRule="auto"/>
              <w:rPr>
                <w:rFonts w:ascii="Arial" w:eastAsia="Times New Roman" w:hAnsi="Arial" w:cs="Arial"/>
                <w:color w:val="000000"/>
                <w:sz w:val="20"/>
                <w:szCs w:val="20"/>
                <w:lang w:eastAsia="de-DE"/>
              </w:rPr>
            </w:pPr>
            <w:r w:rsidRPr="00AB7AD8">
              <w:rPr>
                <w:rFonts w:ascii="Arial" w:eastAsia="Times New Roman" w:hAnsi="Arial" w:cs="Arial"/>
                <w:color w:val="000000"/>
                <w:sz w:val="20"/>
                <w:szCs w:val="20"/>
                <w:lang w:val="en-GB" w:eastAsia="de-DE"/>
              </w:rPr>
              <w:t>Factor</w:t>
            </w:r>
          </w:p>
        </w:tc>
        <w:tc>
          <w:tcPr>
            <w:tcW w:w="2980" w:type="dxa"/>
            <w:tcBorders>
              <w:top w:val="single" w:sz="8" w:space="0" w:color="auto"/>
              <w:left w:val="nil"/>
              <w:bottom w:val="single" w:sz="8" w:space="0" w:color="auto"/>
              <w:right w:val="single" w:sz="8" w:space="0" w:color="auto"/>
            </w:tcBorders>
            <w:shd w:val="clear" w:color="auto" w:fill="auto"/>
            <w:vAlign w:val="center"/>
            <w:hideMark/>
          </w:tcPr>
          <w:p w14:paraId="7AE569FB" w14:textId="77777777" w:rsidR="00D01830" w:rsidRPr="00AB7AD8" w:rsidRDefault="00D01830" w:rsidP="0075304E">
            <w:pPr>
              <w:spacing w:after="0" w:line="240" w:lineRule="auto"/>
              <w:rPr>
                <w:rFonts w:ascii="Arial" w:eastAsia="Times New Roman" w:hAnsi="Arial" w:cs="Arial"/>
                <w:color w:val="000000"/>
                <w:sz w:val="20"/>
                <w:szCs w:val="20"/>
                <w:lang w:eastAsia="de-DE"/>
              </w:rPr>
            </w:pPr>
            <w:r w:rsidRPr="00AB7AD8">
              <w:rPr>
                <w:rFonts w:ascii="Arial" w:eastAsia="Times New Roman" w:hAnsi="Arial" w:cs="Arial"/>
                <w:color w:val="000000"/>
                <w:sz w:val="20"/>
                <w:szCs w:val="20"/>
                <w:lang w:val="en-GB" w:eastAsia="de-DE"/>
              </w:rPr>
              <w:t>Value</w:t>
            </w:r>
          </w:p>
        </w:tc>
        <w:tc>
          <w:tcPr>
            <w:tcW w:w="2480" w:type="dxa"/>
            <w:tcBorders>
              <w:top w:val="single" w:sz="8" w:space="0" w:color="auto"/>
              <w:left w:val="nil"/>
              <w:bottom w:val="single" w:sz="8" w:space="0" w:color="auto"/>
              <w:right w:val="single" w:sz="8" w:space="0" w:color="auto"/>
            </w:tcBorders>
            <w:shd w:val="clear" w:color="auto" w:fill="auto"/>
            <w:vAlign w:val="center"/>
            <w:hideMark/>
          </w:tcPr>
          <w:p w14:paraId="4E1FC9BA" w14:textId="77777777" w:rsidR="00D01830" w:rsidRPr="00AB7AD8" w:rsidRDefault="00D01830" w:rsidP="0075304E">
            <w:pPr>
              <w:spacing w:after="0" w:line="240" w:lineRule="auto"/>
              <w:jc w:val="center"/>
              <w:rPr>
                <w:rFonts w:ascii="Arial" w:eastAsia="Times New Roman" w:hAnsi="Arial" w:cs="Arial"/>
                <w:color w:val="000000"/>
                <w:sz w:val="20"/>
                <w:szCs w:val="20"/>
                <w:lang w:eastAsia="de-DE"/>
              </w:rPr>
            </w:pPr>
            <w:r w:rsidRPr="00AB7AD8">
              <w:rPr>
                <w:rFonts w:ascii="Arial" w:eastAsia="Times New Roman" w:hAnsi="Arial" w:cs="Arial"/>
                <w:color w:val="000000"/>
                <w:sz w:val="20"/>
                <w:szCs w:val="20"/>
                <w:lang w:val="en-GB" w:eastAsia="de-DE"/>
              </w:rPr>
              <w:t>Odds Ratio (95% CI)</w:t>
            </w:r>
          </w:p>
        </w:tc>
        <w:tc>
          <w:tcPr>
            <w:tcW w:w="1200" w:type="dxa"/>
            <w:tcBorders>
              <w:top w:val="single" w:sz="8" w:space="0" w:color="auto"/>
              <w:left w:val="nil"/>
              <w:bottom w:val="single" w:sz="8" w:space="0" w:color="auto"/>
              <w:right w:val="single" w:sz="8" w:space="0" w:color="auto"/>
            </w:tcBorders>
            <w:shd w:val="clear" w:color="auto" w:fill="auto"/>
            <w:vAlign w:val="center"/>
            <w:hideMark/>
          </w:tcPr>
          <w:p w14:paraId="348AD50A" w14:textId="77777777" w:rsidR="00D01830" w:rsidRPr="00AB7AD8" w:rsidRDefault="00D01830" w:rsidP="0075304E">
            <w:pPr>
              <w:spacing w:after="0" w:line="240" w:lineRule="auto"/>
              <w:jc w:val="center"/>
              <w:rPr>
                <w:rFonts w:eastAsia="Times New Roman"/>
                <w:color w:val="000000"/>
                <w:vertAlign w:val="superscript"/>
                <w:lang w:eastAsia="de-DE"/>
              </w:rPr>
            </w:pPr>
            <w:r w:rsidRPr="00AB7AD8">
              <w:rPr>
                <w:rFonts w:eastAsia="Times New Roman"/>
                <w:i/>
                <w:iCs/>
                <w:color w:val="000000"/>
                <w:lang w:val="en-GB" w:eastAsia="de-DE"/>
              </w:rPr>
              <w:t>p</w:t>
            </w:r>
            <w:r w:rsidRPr="00AB7AD8">
              <w:rPr>
                <w:rFonts w:eastAsia="Times New Roman"/>
                <w:color w:val="000000"/>
                <w:lang w:val="en-GB" w:eastAsia="de-DE"/>
              </w:rPr>
              <w:t>-value</w:t>
            </w:r>
            <w:r w:rsidRPr="00AB7AD8">
              <w:rPr>
                <w:rFonts w:ascii="Arial" w:eastAsia="Times New Roman" w:hAnsi="Arial" w:cs="Arial"/>
                <w:sz w:val="20"/>
                <w:szCs w:val="20"/>
                <w:vertAlign w:val="superscript"/>
                <w:lang w:val="en" w:eastAsia="de-DE"/>
              </w:rPr>
              <w:t>†</w:t>
            </w:r>
          </w:p>
        </w:tc>
      </w:tr>
      <w:tr w:rsidR="00D01830" w:rsidRPr="00AB7AD8" w14:paraId="531CB623" w14:textId="77777777" w:rsidTr="0075304E">
        <w:trPr>
          <w:trHeight w:val="315"/>
        </w:trPr>
        <w:tc>
          <w:tcPr>
            <w:tcW w:w="2120" w:type="dxa"/>
            <w:tcBorders>
              <w:top w:val="nil"/>
              <w:left w:val="single" w:sz="8" w:space="0" w:color="auto"/>
              <w:bottom w:val="single" w:sz="8" w:space="0" w:color="auto"/>
              <w:right w:val="single" w:sz="8" w:space="0" w:color="auto"/>
            </w:tcBorders>
            <w:shd w:val="clear" w:color="auto" w:fill="auto"/>
            <w:vAlign w:val="center"/>
            <w:hideMark/>
          </w:tcPr>
          <w:p w14:paraId="39BF7D4C" w14:textId="77777777" w:rsidR="00D01830" w:rsidRPr="00AB7AD8" w:rsidRDefault="00D01830" w:rsidP="0075304E">
            <w:pPr>
              <w:spacing w:after="0" w:line="240" w:lineRule="auto"/>
              <w:rPr>
                <w:rFonts w:ascii="Arial" w:eastAsia="Times New Roman" w:hAnsi="Arial" w:cs="Arial"/>
                <w:color w:val="000000"/>
                <w:sz w:val="20"/>
                <w:szCs w:val="20"/>
                <w:lang w:eastAsia="de-DE"/>
              </w:rPr>
            </w:pPr>
            <w:r w:rsidRPr="00AB7AD8">
              <w:rPr>
                <w:rFonts w:ascii="Arial" w:eastAsia="Times New Roman" w:hAnsi="Arial" w:cs="Arial"/>
                <w:color w:val="000000"/>
                <w:sz w:val="20"/>
                <w:szCs w:val="20"/>
                <w:lang w:val="en-GB" w:eastAsia="de-DE"/>
              </w:rPr>
              <w:t>Intercept</w:t>
            </w:r>
          </w:p>
        </w:tc>
        <w:tc>
          <w:tcPr>
            <w:tcW w:w="2980" w:type="dxa"/>
            <w:tcBorders>
              <w:top w:val="nil"/>
              <w:left w:val="nil"/>
              <w:bottom w:val="single" w:sz="8" w:space="0" w:color="auto"/>
              <w:right w:val="single" w:sz="8" w:space="0" w:color="auto"/>
            </w:tcBorders>
            <w:shd w:val="clear" w:color="auto" w:fill="auto"/>
            <w:vAlign w:val="center"/>
            <w:hideMark/>
          </w:tcPr>
          <w:p w14:paraId="023698E4" w14:textId="77777777" w:rsidR="00D01830" w:rsidRPr="00AB7AD8" w:rsidRDefault="00D01830" w:rsidP="0075304E">
            <w:pPr>
              <w:spacing w:after="0" w:line="240" w:lineRule="auto"/>
              <w:rPr>
                <w:rFonts w:ascii="Arial" w:eastAsia="Times New Roman" w:hAnsi="Arial" w:cs="Arial"/>
                <w:color w:val="000000"/>
                <w:sz w:val="20"/>
                <w:szCs w:val="20"/>
                <w:lang w:eastAsia="de-DE"/>
              </w:rPr>
            </w:pPr>
          </w:p>
        </w:tc>
        <w:tc>
          <w:tcPr>
            <w:tcW w:w="2480" w:type="dxa"/>
            <w:tcBorders>
              <w:top w:val="nil"/>
              <w:left w:val="nil"/>
              <w:bottom w:val="single" w:sz="8" w:space="0" w:color="auto"/>
              <w:right w:val="single" w:sz="8" w:space="0" w:color="auto"/>
            </w:tcBorders>
            <w:shd w:val="clear" w:color="auto" w:fill="auto"/>
            <w:vAlign w:val="center"/>
            <w:hideMark/>
          </w:tcPr>
          <w:p w14:paraId="039412DC" w14:textId="77777777" w:rsidR="00D01830" w:rsidRPr="00AB7AD8" w:rsidRDefault="00D01830" w:rsidP="0075304E">
            <w:pPr>
              <w:spacing w:after="0" w:line="240" w:lineRule="auto"/>
              <w:jc w:val="center"/>
              <w:rPr>
                <w:rFonts w:ascii="Arial" w:eastAsia="Times New Roman" w:hAnsi="Arial" w:cs="Arial"/>
                <w:color w:val="000000"/>
                <w:sz w:val="20"/>
                <w:szCs w:val="20"/>
                <w:lang w:eastAsia="de-DE"/>
              </w:rPr>
            </w:pPr>
            <w:r w:rsidRPr="00AB7AD8">
              <w:rPr>
                <w:rFonts w:ascii="Arial" w:eastAsia="Times New Roman" w:hAnsi="Arial" w:cs="Arial"/>
                <w:color w:val="000000"/>
                <w:sz w:val="20"/>
                <w:szCs w:val="20"/>
                <w:lang w:eastAsia="de-DE"/>
              </w:rPr>
              <w:t xml:space="preserve"> 0.108  (0.088, 0.134)</w:t>
            </w:r>
          </w:p>
        </w:tc>
        <w:tc>
          <w:tcPr>
            <w:tcW w:w="1200" w:type="dxa"/>
            <w:tcBorders>
              <w:top w:val="nil"/>
              <w:left w:val="nil"/>
              <w:bottom w:val="single" w:sz="8" w:space="0" w:color="auto"/>
              <w:right w:val="single" w:sz="8" w:space="0" w:color="auto"/>
            </w:tcBorders>
            <w:shd w:val="clear" w:color="auto" w:fill="auto"/>
            <w:vAlign w:val="center"/>
            <w:hideMark/>
          </w:tcPr>
          <w:p w14:paraId="62A445F5" w14:textId="77777777" w:rsidR="00D01830" w:rsidRPr="00AB7AD8" w:rsidRDefault="00D01830" w:rsidP="0075304E">
            <w:pPr>
              <w:spacing w:after="0" w:line="240" w:lineRule="auto"/>
              <w:jc w:val="right"/>
              <w:rPr>
                <w:rFonts w:eastAsia="Times New Roman"/>
                <w:color w:val="000000"/>
                <w:lang w:eastAsia="de-DE"/>
              </w:rPr>
            </w:pPr>
            <w:r w:rsidRPr="00AB7AD8">
              <w:rPr>
                <w:rFonts w:eastAsia="Times New Roman"/>
                <w:color w:val="000000"/>
                <w:lang w:eastAsia="de-DE"/>
              </w:rPr>
              <w:t>&lt; 0.001</w:t>
            </w:r>
          </w:p>
        </w:tc>
      </w:tr>
      <w:tr w:rsidR="00D01830" w:rsidRPr="00AB7AD8" w14:paraId="0740247F" w14:textId="77777777" w:rsidTr="0075304E">
        <w:trPr>
          <w:trHeight w:val="315"/>
        </w:trPr>
        <w:tc>
          <w:tcPr>
            <w:tcW w:w="2120" w:type="dxa"/>
            <w:tcBorders>
              <w:top w:val="nil"/>
              <w:left w:val="single" w:sz="8" w:space="0" w:color="auto"/>
              <w:bottom w:val="single" w:sz="8" w:space="0" w:color="auto"/>
              <w:right w:val="single" w:sz="8" w:space="0" w:color="auto"/>
            </w:tcBorders>
            <w:shd w:val="clear" w:color="auto" w:fill="auto"/>
            <w:vAlign w:val="center"/>
            <w:hideMark/>
          </w:tcPr>
          <w:p w14:paraId="0F844E16" w14:textId="77777777" w:rsidR="00D01830" w:rsidRPr="00AB7AD8" w:rsidRDefault="00D01830" w:rsidP="0075304E">
            <w:pPr>
              <w:spacing w:after="0" w:line="240" w:lineRule="auto"/>
              <w:rPr>
                <w:rFonts w:ascii="Arial" w:eastAsia="Times New Roman" w:hAnsi="Arial" w:cs="Arial"/>
                <w:color w:val="000000"/>
                <w:sz w:val="20"/>
                <w:szCs w:val="20"/>
                <w:lang w:eastAsia="de-DE"/>
              </w:rPr>
            </w:pPr>
            <w:r w:rsidRPr="00AB7AD8">
              <w:rPr>
                <w:rFonts w:ascii="Arial" w:eastAsia="Times New Roman" w:hAnsi="Arial" w:cs="Arial"/>
                <w:color w:val="000000"/>
                <w:sz w:val="20"/>
                <w:szCs w:val="20"/>
                <w:lang w:val="en-GB" w:eastAsia="de-DE"/>
              </w:rPr>
              <w:t>Age</w:t>
            </w:r>
          </w:p>
        </w:tc>
        <w:tc>
          <w:tcPr>
            <w:tcW w:w="2980" w:type="dxa"/>
            <w:tcBorders>
              <w:top w:val="nil"/>
              <w:left w:val="nil"/>
              <w:bottom w:val="single" w:sz="8" w:space="0" w:color="auto"/>
              <w:right w:val="single" w:sz="8" w:space="0" w:color="auto"/>
            </w:tcBorders>
            <w:shd w:val="clear" w:color="auto" w:fill="auto"/>
            <w:vAlign w:val="center"/>
            <w:hideMark/>
          </w:tcPr>
          <w:p w14:paraId="61B44EA6" w14:textId="77777777" w:rsidR="00D01830" w:rsidRPr="00AB7AD8" w:rsidRDefault="00D01830" w:rsidP="0075304E">
            <w:pPr>
              <w:spacing w:after="0" w:line="240" w:lineRule="auto"/>
              <w:rPr>
                <w:rFonts w:ascii="Arial" w:eastAsia="Times New Roman" w:hAnsi="Arial" w:cs="Arial"/>
                <w:color w:val="000000"/>
                <w:sz w:val="20"/>
                <w:szCs w:val="20"/>
                <w:lang w:eastAsia="de-DE"/>
              </w:rPr>
            </w:pPr>
          </w:p>
        </w:tc>
        <w:tc>
          <w:tcPr>
            <w:tcW w:w="2480" w:type="dxa"/>
            <w:tcBorders>
              <w:top w:val="nil"/>
              <w:left w:val="nil"/>
              <w:bottom w:val="single" w:sz="8" w:space="0" w:color="auto"/>
              <w:right w:val="single" w:sz="8" w:space="0" w:color="auto"/>
            </w:tcBorders>
            <w:shd w:val="clear" w:color="auto" w:fill="auto"/>
            <w:vAlign w:val="center"/>
            <w:hideMark/>
          </w:tcPr>
          <w:p w14:paraId="5D3A1A08" w14:textId="77777777" w:rsidR="00D01830" w:rsidRPr="00AB7AD8" w:rsidRDefault="00D01830" w:rsidP="0075304E">
            <w:pPr>
              <w:spacing w:after="0" w:line="240" w:lineRule="auto"/>
              <w:jc w:val="center"/>
              <w:rPr>
                <w:rFonts w:ascii="Arial" w:eastAsia="Times New Roman" w:hAnsi="Arial" w:cs="Arial"/>
                <w:color w:val="000000"/>
                <w:sz w:val="20"/>
                <w:szCs w:val="20"/>
                <w:lang w:eastAsia="de-DE"/>
              </w:rPr>
            </w:pPr>
            <w:r w:rsidRPr="00AB7AD8">
              <w:rPr>
                <w:rFonts w:ascii="Arial" w:eastAsia="Times New Roman" w:hAnsi="Arial" w:cs="Arial"/>
                <w:color w:val="000000"/>
                <w:sz w:val="20"/>
                <w:szCs w:val="20"/>
                <w:lang w:eastAsia="de-DE"/>
              </w:rPr>
              <w:t>1.049  (1.037, 1.062)</w:t>
            </w:r>
          </w:p>
        </w:tc>
        <w:tc>
          <w:tcPr>
            <w:tcW w:w="1200" w:type="dxa"/>
            <w:tcBorders>
              <w:top w:val="nil"/>
              <w:left w:val="nil"/>
              <w:bottom w:val="single" w:sz="8" w:space="0" w:color="auto"/>
              <w:right w:val="single" w:sz="8" w:space="0" w:color="auto"/>
            </w:tcBorders>
            <w:shd w:val="clear" w:color="auto" w:fill="auto"/>
            <w:vAlign w:val="center"/>
            <w:hideMark/>
          </w:tcPr>
          <w:p w14:paraId="19059C0C" w14:textId="77777777" w:rsidR="00D01830" w:rsidRPr="00AB7AD8" w:rsidRDefault="00D01830" w:rsidP="0075304E">
            <w:pPr>
              <w:spacing w:after="0" w:line="240" w:lineRule="auto"/>
              <w:jc w:val="right"/>
              <w:rPr>
                <w:rFonts w:eastAsia="Times New Roman"/>
                <w:color w:val="000000"/>
                <w:lang w:eastAsia="de-DE"/>
              </w:rPr>
            </w:pPr>
            <w:r w:rsidRPr="00AB7AD8">
              <w:rPr>
                <w:rFonts w:eastAsia="Times New Roman"/>
                <w:color w:val="000000"/>
                <w:lang w:eastAsia="de-DE"/>
              </w:rPr>
              <w:t>&lt; 0.001</w:t>
            </w:r>
          </w:p>
        </w:tc>
      </w:tr>
      <w:tr w:rsidR="00D01830" w:rsidRPr="00AB7AD8" w14:paraId="1E44154C" w14:textId="77777777" w:rsidTr="0075304E">
        <w:trPr>
          <w:trHeight w:val="315"/>
        </w:trPr>
        <w:tc>
          <w:tcPr>
            <w:tcW w:w="2120" w:type="dxa"/>
            <w:tcBorders>
              <w:top w:val="nil"/>
              <w:left w:val="single" w:sz="8" w:space="0" w:color="auto"/>
              <w:bottom w:val="single" w:sz="8" w:space="0" w:color="auto"/>
              <w:right w:val="single" w:sz="8" w:space="0" w:color="auto"/>
            </w:tcBorders>
            <w:shd w:val="clear" w:color="auto" w:fill="auto"/>
            <w:vAlign w:val="center"/>
            <w:hideMark/>
          </w:tcPr>
          <w:p w14:paraId="42C4CF17" w14:textId="77777777" w:rsidR="00D01830" w:rsidRPr="00AB7AD8" w:rsidRDefault="00D01830" w:rsidP="0075304E">
            <w:pPr>
              <w:spacing w:after="0" w:line="240" w:lineRule="auto"/>
              <w:rPr>
                <w:rFonts w:ascii="Arial" w:eastAsia="Times New Roman" w:hAnsi="Arial" w:cs="Arial"/>
                <w:color w:val="000000"/>
                <w:sz w:val="20"/>
                <w:szCs w:val="20"/>
                <w:lang w:eastAsia="de-DE"/>
              </w:rPr>
            </w:pPr>
            <w:r w:rsidRPr="00AB7AD8">
              <w:rPr>
                <w:rFonts w:ascii="Arial" w:eastAsia="Times New Roman" w:hAnsi="Arial" w:cs="Arial"/>
                <w:color w:val="000000"/>
                <w:sz w:val="20"/>
                <w:szCs w:val="20"/>
                <w:lang w:val="en-GB" w:eastAsia="de-DE"/>
              </w:rPr>
              <w:t>Region</w:t>
            </w:r>
          </w:p>
        </w:tc>
        <w:tc>
          <w:tcPr>
            <w:tcW w:w="2980" w:type="dxa"/>
            <w:tcBorders>
              <w:top w:val="nil"/>
              <w:left w:val="nil"/>
              <w:bottom w:val="single" w:sz="8" w:space="0" w:color="auto"/>
              <w:right w:val="single" w:sz="8" w:space="0" w:color="auto"/>
            </w:tcBorders>
            <w:shd w:val="clear" w:color="auto" w:fill="auto"/>
            <w:vAlign w:val="center"/>
            <w:hideMark/>
          </w:tcPr>
          <w:p w14:paraId="13496C9E" w14:textId="77777777" w:rsidR="00D01830" w:rsidRPr="00AB7AD8" w:rsidRDefault="00D01830" w:rsidP="0075304E">
            <w:pPr>
              <w:spacing w:after="0" w:line="240" w:lineRule="auto"/>
              <w:rPr>
                <w:rFonts w:ascii="Arial" w:eastAsia="Times New Roman" w:hAnsi="Arial" w:cs="Arial"/>
                <w:color w:val="000000"/>
                <w:sz w:val="20"/>
                <w:szCs w:val="20"/>
                <w:lang w:eastAsia="de-DE"/>
              </w:rPr>
            </w:pPr>
            <w:r w:rsidRPr="00AB7AD8">
              <w:rPr>
                <w:rFonts w:ascii="Arial" w:eastAsia="Times New Roman" w:hAnsi="Arial" w:cs="Arial"/>
                <w:color w:val="000000"/>
                <w:sz w:val="20"/>
                <w:szCs w:val="20"/>
                <w:lang w:val="en-GB" w:eastAsia="de-DE"/>
              </w:rPr>
              <w:t>Baden-Württemberg</w:t>
            </w:r>
          </w:p>
        </w:tc>
        <w:tc>
          <w:tcPr>
            <w:tcW w:w="2480" w:type="dxa"/>
            <w:tcBorders>
              <w:top w:val="nil"/>
              <w:left w:val="nil"/>
              <w:bottom w:val="single" w:sz="8" w:space="0" w:color="auto"/>
              <w:right w:val="single" w:sz="8" w:space="0" w:color="auto"/>
            </w:tcBorders>
            <w:shd w:val="clear" w:color="auto" w:fill="auto"/>
            <w:vAlign w:val="center"/>
            <w:hideMark/>
          </w:tcPr>
          <w:p w14:paraId="02D892EA" w14:textId="77777777" w:rsidR="00D01830" w:rsidRPr="00AB7AD8" w:rsidRDefault="00D01830" w:rsidP="0075304E">
            <w:pPr>
              <w:spacing w:after="0" w:line="240" w:lineRule="auto"/>
              <w:jc w:val="center"/>
              <w:rPr>
                <w:rFonts w:ascii="Arial" w:eastAsia="Times New Roman" w:hAnsi="Arial" w:cs="Arial"/>
                <w:color w:val="000000"/>
                <w:sz w:val="20"/>
                <w:szCs w:val="20"/>
                <w:lang w:eastAsia="de-DE"/>
              </w:rPr>
            </w:pPr>
            <w:r w:rsidRPr="00AB7AD8">
              <w:rPr>
                <w:rFonts w:ascii="Arial" w:eastAsia="Times New Roman" w:hAnsi="Arial" w:cs="Arial"/>
                <w:color w:val="000000"/>
                <w:sz w:val="20"/>
                <w:szCs w:val="20"/>
                <w:lang w:eastAsia="de-DE"/>
              </w:rPr>
              <w:t xml:space="preserve">Reference  </w:t>
            </w:r>
          </w:p>
        </w:tc>
        <w:tc>
          <w:tcPr>
            <w:tcW w:w="1200" w:type="dxa"/>
            <w:tcBorders>
              <w:top w:val="nil"/>
              <w:left w:val="nil"/>
              <w:bottom w:val="single" w:sz="8" w:space="0" w:color="auto"/>
              <w:right w:val="single" w:sz="8" w:space="0" w:color="auto"/>
            </w:tcBorders>
            <w:shd w:val="clear" w:color="auto" w:fill="auto"/>
            <w:vAlign w:val="center"/>
            <w:hideMark/>
          </w:tcPr>
          <w:p w14:paraId="4988C03F" w14:textId="77777777" w:rsidR="00D01830" w:rsidRPr="00AB7AD8" w:rsidRDefault="00D01830" w:rsidP="0075304E">
            <w:pPr>
              <w:spacing w:after="0" w:line="240" w:lineRule="auto"/>
              <w:jc w:val="center"/>
              <w:rPr>
                <w:rFonts w:eastAsia="Times New Roman"/>
                <w:color w:val="000000"/>
                <w:lang w:eastAsia="de-DE"/>
              </w:rPr>
            </w:pPr>
            <w:r w:rsidRPr="00AB7AD8">
              <w:rPr>
                <w:rFonts w:eastAsia="Times New Roman"/>
                <w:color w:val="000000"/>
                <w:lang w:eastAsia="de-DE"/>
              </w:rPr>
              <w:t>-</w:t>
            </w:r>
          </w:p>
        </w:tc>
      </w:tr>
      <w:tr w:rsidR="00D01830" w:rsidRPr="00AB7AD8" w14:paraId="31DB9B4A" w14:textId="77777777" w:rsidTr="0075304E">
        <w:trPr>
          <w:trHeight w:val="315"/>
        </w:trPr>
        <w:tc>
          <w:tcPr>
            <w:tcW w:w="2120" w:type="dxa"/>
            <w:tcBorders>
              <w:top w:val="nil"/>
              <w:left w:val="single" w:sz="8" w:space="0" w:color="auto"/>
              <w:bottom w:val="single" w:sz="8" w:space="0" w:color="auto"/>
              <w:right w:val="single" w:sz="8" w:space="0" w:color="auto"/>
            </w:tcBorders>
            <w:shd w:val="clear" w:color="auto" w:fill="auto"/>
            <w:vAlign w:val="center"/>
            <w:hideMark/>
          </w:tcPr>
          <w:p w14:paraId="34F1B803" w14:textId="77777777" w:rsidR="00D01830" w:rsidRPr="00AB7AD8" w:rsidRDefault="00D01830" w:rsidP="0075304E">
            <w:pPr>
              <w:spacing w:after="0" w:line="240" w:lineRule="auto"/>
              <w:rPr>
                <w:rFonts w:ascii="Arial" w:eastAsia="Times New Roman" w:hAnsi="Arial" w:cs="Arial"/>
                <w:color w:val="000000"/>
                <w:sz w:val="20"/>
                <w:szCs w:val="20"/>
                <w:lang w:eastAsia="de-DE"/>
              </w:rPr>
            </w:pPr>
          </w:p>
        </w:tc>
        <w:tc>
          <w:tcPr>
            <w:tcW w:w="2980" w:type="dxa"/>
            <w:tcBorders>
              <w:top w:val="nil"/>
              <w:left w:val="nil"/>
              <w:bottom w:val="single" w:sz="8" w:space="0" w:color="auto"/>
              <w:right w:val="single" w:sz="8" w:space="0" w:color="auto"/>
            </w:tcBorders>
            <w:shd w:val="clear" w:color="auto" w:fill="auto"/>
            <w:vAlign w:val="center"/>
            <w:hideMark/>
          </w:tcPr>
          <w:p w14:paraId="382D15CB" w14:textId="77777777" w:rsidR="00D01830" w:rsidRPr="00AB7AD8" w:rsidRDefault="00D01830" w:rsidP="0075304E">
            <w:pPr>
              <w:spacing w:after="0" w:line="240" w:lineRule="auto"/>
              <w:rPr>
                <w:rFonts w:ascii="Arial" w:eastAsia="Times New Roman" w:hAnsi="Arial" w:cs="Arial"/>
                <w:color w:val="000000"/>
                <w:sz w:val="20"/>
                <w:szCs w:val="20"/>
                <w:lang w:eastAsia="de-DE"/>
              </w:rPr>
            </w:pPr>
            <w:r w:rsidRPr="00AB7AD8">
              <w:rPr>
                <w:rFonts w:ascii="Arial" w:eastAsia="Times New Roman" w:hAnsi="Arial" w:cs="Arial"/>
                <w:color w:val="000000"/>
                <w:sz w:val="20"/>
                <w:szCs w:val="20"/>
                <w:lang w:val="en-GB" w:eastAsia="de-DE"/>
              </w:rPr>
              <w:t>Bavaria</w:t>
            </w:r>
          </w:p>
        </w:tc>
        <w:tc>
          <w:tcPr>
            <w:tcW w:w="2480" w:type="dxa"/>
            <w:tcBorders>
              <w:top w:val="nil"/>
              <w:left w:val="nil"/>
              <w:bottom w:val="single" w:sz="8" w:space="0" w:color="auto"/>
              <w:right w:val="single" w:sz="8" w:space="0" w:color="auto"/>
            </w:tcBorders>
            <w:shd w:val="clear" w:color="auto" w:fill="auto"/>
            <w:vAlign w:val="center"/>
            <w:hideMark/>
          </w:tcPr>
          <w:p w14:paraId="34A9EA42" w14:textId="77777777" w:rsidR="00D01830" w:rsidRPr="00AB7AD8" w:rsidRDefault="00D01830" w:rsidP="0075304E">
            <w:pPr>
              <w:spacing w:after="0" w:line="240" w:lineRule="auto"/>
              <w:jc w:val="center"/>
              <w:rPr>
                <w:rFonts w:ascii="Arial" w:eastAsia="Times New Roman" w:hAnsi="Arial" w:cs="Arial"/>
                <w:color w:val="000000"/>
                <w:sz w:val="20"/>
                <w:szCs w:val="20"/>
                <w:lang w:eastAsia="de-DE"/>
              </w:rPr>
            </w:pPr>
            <w:r w:rsidRPr="00AB7AD8">
              <w:rPr>
                <w:rFonts w:ascii="Arial" w:eastAsia="Times New Roman" w:hAnsi="Arial" w:cs="Arial"/>
                <w:color w:val="000000"/>
                <w:sz w:val="20"/>
                <w:szCs w:val="20"/>
                <w:lang w:eastAsia="de-DE"/>
              </w:rPr>
              <w:t>1.037  (0.973, 1.105)</w:t>
            </w:r>
          </w:p>
        </w:tc>
        <w:tc>
          <w:tcPr>
            <w:tcW w:w="1200" w:type="dxa"/>
            <w:tcBorders>
              <w:top w:val="nil"/>
              <w:left w:val="nil"/>
              <w:bottom w:val="single" w:sz="8" w:space="0" w:color="auto"/>
              <w:right w:val="single" w:sz="8" w:space="0" w:color="auto"/>
            </w:tcBorders>
            <w:shd w:val="clear" w:color="auto" w:fill="auto"/>
            <w:vAlign w:val="center"/>
            <w:hideMark/>
          </w:tcPr>
          <w:p w14:paraId="758CB3D3" w14:textId="77777777" w:rsidR="00D01830" w:rsidRPr="00AB7AD8" w:rsidRDefault="00D01830" w:rsidP="0075304E">
            <w:pPr>
              <w:spacing w:after="0" w:line="240" w:lineRule="auto"/>
              <w:jc w:val="right"/>
              <w:rPr>
                <w:rFonts w:eastAsia="Times New Roman"/>
                <w:color w:val="000000"/>
                <w:lang w:eastAsia="de-DE"/>
              </w:rPr>
            </w:pPr>
            <w:r w:rsidRPr="00AB7AD8">
              <w:rPr>
                <w:rFonts w:eastAsia="Times New Roman"/>
                <w:color w:val="000000"/>
                <w:lang w:val="en-GB" w:eastAsia="de-DE"/>
              </w:rPr>
              <w:t xml:space="preserve"> 0.266</w:t>
            </w:r>
          </w:p>
        </w:tc>
      </w:tr>
      <w:tr w:rsidR="00D01830" w:rsidRPr="00AB7AD8" w14:paraId="564D09A0" w14:textId="77777777" w:rsidTr="0075304E">
        <w:trPr>
          <w:trHeight w:val="315"/>
        </w:trPr>
        <w:tc>
          <w:tcPr>
            <w:tcW w:w="2120" w:type="dxa"/>
            <w:tcBorders>
              <w:top w:val="nil"/>
              <w:left w:val="single" w:sz="8" w:space="0" w:color="auto"/>
              <w:bottom w:val="single" w:sz="8" w:space="0" w:color="auto"/>
              <w:right w:val="single" w:sz="8" w:space="0" w:color="auto"/>
            </w:tcBorders>
            <w:shd w:val="clear" w:color="auto" w:fill="auto"/>
            <w:vAlign w:val="center"/>
            <w:hideMark/>
          </w:tcPr>
          <w:p w14:paraId="50E1469D" w14:textId="77777777" w:rsidR="00D01830" w:rsidRPr="00AB7AD8" w:rsidRDefault="00D01830" w:rsidP="0075304E">
            <w:pPr>
              <w:spacing w:after="0" w:line="240" w:lineRule="auto"/>
              <w:rPr>
                <w:rFonts w:ascii="Arial" w:eastAsia="Times New Roman" w:hAnsi="Arial" w:cs="Arial"/>
                <w:color w:val="000000"/>
                <w:sz w:val="20"/>
                <w:szCs w:val="20"/>
                <w:lang w:eastAsia="de-DE"/>
              </w:rPr>
            </w:pPr>
          </w:p>
        </w:tc>
        <w:tc>
          <w:tcPr>
            <w:tcW w:w="2980" w:type="dxa"/>
            <w:tcBorders>
              <w:top w:val="nil"/>
              <w:left w:val="nil"/>
              <w:bottom w:val="single" w:sz="8" w:space="0" w:color="auto"/>
              <w:right w:val="single" w:sz="8" w:space="0" w:color="auto"/>
            </w:tcBorders>
            <w:shd w:val="clear" w:color="auto" w:fill="auto"/>
            <w:vAlign w:val="center"/>
            <w:hideMark/>
          </w:tcPr>
          <w:p w14:paraId="6D5EE1FA" w14:textId="77777777" w:rsidR="00D01830" w:rsidRPr="00AB7AD8" w:rsidRDefault="00D01830" w:rsidP="0075304E">
            <w:pPr>
              <w:spacing w:after="0" w:line="240" w:lineRule="auto"/>
              <w:rPr>
                <w:rFonts w:ascii="Arial" w:eastAsia="Times New Roman" w:hAnsi="Arial" w:cs="Arial"/>
                <w:color w:val="000000"/>
                <w:sz w:val="20"/>
                <w:szCs w:val="20"/>
                <w:lang w:eastAsia="de-DE"/>
              </w:rPr>
            </w:pPr>
            <w:r w:rsidRPr="00AB7AD8">
              <w:rPr>
                <w:rFonts w:ascii="Arial" w:eastAsia="Times New Roman" w:hAnsi="Arial" w:cs="Arial"/>
                <w:color w:val="000000"/>
                <w:sz w:val="20"/>
                <w:szCs w:val="20"/>
                <w:lang w:val="en-GB" w:eastAsia="de-DE"/>
              </w:rPr>
              <w:t>Berlin</w:t>
            </w:r>
          </w:p>
        </w:tc>
        <w:tc>
          <w:tcPr>
            <w:tcW w:w="2480" w:type="dxa"/>
            <w:tcBorders>
              <w:top w:val="nil"/>
              <w:left w:val="nil"/>
              <w:bottom w:val="single" w:sz="8" w:space="0" w:color="auto"/>
              <w:right w:val="single" w:sz="8" w:space="0" w:color="auto"/>
            </w:tcBorders>
            <w:shd w:val="clear" w:color="auto" w:fill="auto"/>
            <w:vAlign w:val="center"/>
            <w:hideMark/>
          </w:tcPr>
          <w:p w14:paraId="6C103811" w14:textId="77777777" w:rsidR="00D01830" w:rsidRPr="00AB7AD8" w:rsidRDefault="00D01830" w:rsidP="0075304E">
            <w:pPr>
              <w:spacing w:after="0" w:line="240" w:lineRule="auto"/>
              <w:jc w:val="center"/>
              <w:rPr>
                <w:rFonts w:ascii="Arial" w:eastAsia="Times New Roman" w:hAnsi="Arial" w:cs="Arial"/>
                <w:color w:val="000000"/>
                <w:sz w:val="20"/>
                <w:szCs w:val="20"/>
                <w:lang w:eastAsia="de-DE"/>
              </w:rPr>
            </w:pPr>
            <w:r w:rsidRPr="00AB7AD8">
              <w:rPr>
                <w:rFonts w:ascii="Arial" w:eastAsia="Times New Roman" w:hAnsi="Arial" w:cs="Arial"/>
                <w:color w:val="000000"/>
                <w:sz w:val="20"/>
                <w:szCs w:val="20"/>
                <w:lang w:eastAsia="de-DE"/>
              </w:rPr>
              <w:t>1.116  (0.965, 1.288)</w:t>
            </w:r>
          </w:p>
        </w:tc>
        <w:tc>
          <w:tcPr>
            <w:tcW w:w="1200" w:type="dxa"/>
            <w:tcBorders>
              <w:top w:val="nil"/>
              <w:left w:val="nil"/>
              <w:bottom w:val="single" w:sz="8" w:space="0" w:color="auto"/>
              <w:right w:val="single" w:sz="8" w:space="0" w:color="auto"/>
            </w:tcBorders>
            <w:shd w:val="clear" w:color="auto" w:fill="auto"/>
            <w:vAlign w:val="center"/>
            <w:hideMark/>
          </w:tcPr>
          <w:p w14:paraId="4543D4F1" w14:textId="77777777" w:rsidR="00D01830" w:rsidRPr="00AB7AD8" w:rsidRDefault="00D01830" w:rsidP="0075304E">
            <w:pPr>
              <w:spacing w:after="0" w:line="240" w:lineRule="auto"/>
              <w:jc w:val="right"/>
              <w:rPr>
                <w:rFonts w:eastAsia="Times New Roman"/>
                <w:color w:val="000000"/>
                <w:lang w:eastAsia="de-DE"/>
              </w:rPr>
            </w:pPr>
            <w:r w:rsidRPr="00AB7AD8">
              <w:rPr>
                <w:rFonts w:eastAsia="Times New Roman"/>
                <w:color w:val="000000"/>
                <w:lang w:val="en-GB" w:eastAsia="de-DE"/>
              </w:rPr>
              <w:t xml:space="preserve"> 0.135</w:t>
            </w:r>
          </w:p>
        </w:tc>
      </w:tr>
      <w:tr w:rsidR="00D01830" w:rsidRPr="00AB7AD8" w14:paraId="491BC8CF" w14:textId="77777777" w:rsidTr="0075304E">
        <w:trPr>
          <w:trHeight w:val="315"/>
        </w:trPr>
        <w:tc>
          <w:tcPr>
            <w:tcW w:w="2120" w:type="dxa"/>
            <w:tcBorders>
              <w:top w:val="nil"/>
              <w:left w:val="single" w:sz="8" w:space="0" w:color="auto"/>
              <w:bottom w:val="single" w:sz="8" w:space="0" w:color="auto"/>
              <w:right w:val="single" w:sz="8" w:space="0" w:color="auto"/>
            </w:tcBorders>
            <w:shd w:val="clear" w:color="auto" w:fill="auto"/>
            <w:vAlign w:val="center"/>
            <w:hideMark/>
          </w:tcPr>
          <w:p w14:paraId="6477246D" w14:textId="77777777" w:rsidR="00D01830" w:rsidRPr="00AB7AD8" w:rsidRDefault="00D01830" w:rsidP="0075304E">
            <w:pPr>
              <w:spacing w:after="0" w:line="240" w:lineRule="auto"/>
              <w:rPr>
                <w:rFonts w:ascii="Arial" w:eastAsia="Times New Roman" w:hAnsi="Arial" w:cs="Arial"/>
                <w:color w:val="000000"/>
                <w:sz w:val="20"/>
                <w:szCs w:val="20"/>
                <w:lang w:eastAsia="de-DE"/>
              </w:rPr>
            </w:pPr>
          </w:p>
        </w:tc>
        <w:tc>
          <w:tcPr>
            <w:tcW w:w="2980" w:type="dxa"/>
            <w:tcBorders>
              <w:top w:val="nil"/>
              <w:left w:val="nil"/>
              <w:bottom w:val="single" w:sz="8" w:space="0" w:color="auto"/>
              <w:right w:val="single" w:sz="8" w:space="0" w:color="auto"/>
            </w:tcBorders>
            <w:shd w:val="clear" w:color="auto" w:fill="auto"/>
            <w:vAlign w:val="center"/>
            <w:hideMark/>
          </w:tcPr>
          <w:p w14:paraId="49BD599D" w14:textId="77777777" w:rsidR="00D01830" w:rsidRPr="00AB7AD8" w:rsidRDefault="00D01830" w:rsidP="0075304E">
            <w:pPr>
              <w:spacing w:after="0" w:line="240" w:lineRule="auto"/>
              <w:rPr>
                <w:rFonts w:ascii="Arial" w:eastAsia="Times New Roman" w:hAnsi="Arial" w:cs="Arial"/>
                <w:color w:val="000000"/>
                <w:sz w:val="20"/>
                <w:szCs w:val="20"/>
                <w:lang w:eastAsia="de-DE"/>
              </w:rPr>
            </w:pPr>
            <w:r w:rsidRPr="00AB7AD8">
              <w:rPr>
                <w:rFonts w:ascii="Arial" w:eastAsia="Times New Roman" w:hAnsi="Arial" w:cs="Arial"/>
                <w:color w:val="000000"/>
                <w:sz w:val="20"/>
                <w:szCs w:val="20"/>
                <w:lang w:val="en-GB" w:eastAsia="de-DE"/>
              </w:rPr>
              <w:t>Brandenburg</w:t>
            </w:r>
          </w:p>
        </w:tc>
        <w:tc>
          <w:tcPr>
            <w:tcW w:w="2480" w:type="dxa"/>
            <w:tcBorders>
              <w:top w:val="nil"/>
              <w:left w:val="nil"/>
              <w:bottom w:val="single" w:sz="8" w:space="0" w:color="auto"/>
              <w:right w:val="single" w:sz="8" w:space="0" w:color="auto"/>
            </w:tcBorders>
            <w:shd w:val="clear" w:color="auto" w:fill="auto"/>
            <w:vAlign w:val="center"/>
            <w:hideMark/>
          </w:tcPr>
          <w:p w14:paraId="0023CB15" w14:textId="77777777" w:rsidR="00D01830" w:rsidRPr="00AB7AD8" w:rsidRDefault="00D01830" w:rsidP="0075304E">
            <w:pPr>
              <w:spacing w:after="0" w:line="240" w:lineRule="auto"/>
              <w:jc w:val="center"/>
              <w:rPr>
                <w:rFonts w:ascii="Arial" w:eastAsia="Times New Roman" w:hAnsi="Arial" w:cs="Arial"/>
                <w:color w:val="000000"/>
                <w:sz w:val="20"/>
                <w:szCs w:val="20"/>
                <w:lang w:eastAsia="de-DE"/>
              </w:rPr>
            </w:pPr>
            <w:r w:rsidRPr="00AB7AD8">
              <w:rPr>
                <w:rFonts w:ascii="Arial" w:eastAsia="Times New Roman" w:hAnsi="Arial" w:cs="Arial"/>
                <w:color w:val="000000"/>
                <w:sz w:val="20"/>
                <w:szCs w:val="20"/>
                <w:lang w:eastAsia="de-DE"/>
              </w:rPr>
              <w:t>0.956  (0.808, 1.126)</w:t>
            </w:r>
          </w:p>
        </w:tc>
        <w:tc>
          <w:tcPr>
            <w:tcW w:w="1200" w:type="dxa"/>
            <w:tcBorders>
              <w:top w:val="nil"/>
              <w:left w:val="nil"/>
              <w:bottom w:val="single" w:sz="8" w:space="0" w:color="auto"/>
              <w:right w:val="single" w:sz="8" w:space="0" w:color="auto"/>
            </w:tcBorders>
            <w:shd w:val="clear" w:color="auto" w:fill="auto"/>
            <w:vAlign w:val="center"/>
            <w:hideMark/>
          </w:tcPr>
          <w:p w14:paraId="78329F72" w14:textId="77777777" w:rsidR="00D01830" w:rsidRPr="00AB7AD8" w:rsidRDefault="00D01830" w:rsidP="0075304E">
            <w:pPr>
              <w:spacing w:after="0" w:line="240" w:lineRule="auto"/>
              <w:jc w:val="right"/>
              <w:rPr>
                <w:rFonts w:eastAsia="Times New Roman"/>
                <w:color w:val="000000"/>
                <w:lang w:eastAsia="de-DE"/>
              </w:rPr>
            </w:pPr>
            <w:r w:rsidRPr="00AB7AD8">
              <w:rPr>
                <w:rFonts w:eastAsia="Times New Roman"/>
                <w:color w:val="000000"/>
                <w:lang w:val="en-GB" w:eastAsia="de-DE"/>
              </w:rPr>
              <w:t xml:space="preserve"> 0.593</w:t>
            </w:r>
          </w:p>
        </w:tc>
      </w:tr>
      <w:tr w:rsidR="00D01830" w:rsidRPr="00AB7AD8" w14:paraId="24F3E8DE" w14:textId="77777777" w:rsidTr="0075304E">
        <w:trPr>
          <w:trHeight w:val="315"/>
        </w:trPr>
        <w:tc>
          <w:tcPr>
            <w:tcW w:w="2120" w:type="dxa"/>
            <w:tcBorders>
              <w:top w:val="nil"/>
              <w:left w:val="single" w:sz="8" w:space="0" w:color="auto"/>
              <w:bottom w:val="single" w:sz="8" w:space="0" w:color="auto"/>
              <w:right w:val="single" w:sz="8" w:space="0" w:color="auto"/>
            </w:tcBorders>
            <w:shd w:val="clear" w:color="auto" w:fill="auto"/>
            <w:vAlign w:val="center"/>
            <w:hideMark/>
          </w:tcPr>
          <w:p w14:paraId="49F380BE" w14:textId="77777777" w:rsidR="00D01830" w:rsidRPr="00AB7AD8" w:rsidRDefault="00D01830" w:rsidP="0075304E">
            <w:pPr>
              <w:spacing w:after="0" w:line="240" w:lineRule="auto"/>
              <w:rPr>
                <w:rFonts w:ascii="Arial" w:eastAsia="Times New Roman" w:hAnsi="Arial" w:cs="Arial"/>
                <w:color w:val="000000"/>
                <w:sz w:val="20"/>
                <w:szCs w:val="20"/>
                <w:lang w:eastAsia="de-DE"/>
              </w:rPr>
            </w:pPr>
          </w:p>
        </w:tc>
        <w:tc>
          <w:tcPr>
            <w:tcW w:w="2980" w:type="dxa"/>
            <w:tcBorders>
              <w:top w:val="nil"/>
              <w:left w:val="nil"/>
              <w:bottom w:val="single" w:sz="8" w:space="0" w:color="auto"/>
              <w:right w:val="single" w:sz="8" w:space="0" w:color="auto"/>
            </w:tcBorders>
            <w:shd w:val="clear" w:color="auto" w:fill="auto"/>
            <w:vAlign w:val="center"/>
            <w:hideMark/>
          </w:tcPr>
          <w:p w14:paraId="1D9EE72C" w14:textId="77777777" w:rsidR="00D01830" w:rsidRPr="00AB7AD8" w:rsidRDefault="00D01830" w:rsidP="0075304E">
            <w:pPr>
              <w:spacing w:after="0" w:line="240" w:lineRule="auto"/>
              <w:rPr>
                <w:rFonts w:ascii="Arial" w:eastAsia="Times New Roman" w:hAnsi="Arial" w:cs="Arial"/>
                <w:color w:val="000000"/>
                <w:sz w:val="20"/>
                <w:szCs w:val="20"/>
                <w:lang w:eastAsia="de-DE"/>
              </w:rPr>
            </w:pPr>
            <w:r w:rsidRPr="00AB7AD8">
              <w:rPr>
                <w:rFonts w:ascii="Arial" w:eastAsia="Times New Roman" w:hAnsi="Arial" w:cs="Arial"/>
                <w:color w:val="000000"/>
                <w:sz w:val="20"/>
                <w:szCs w:val="20"/>
                <w:lang w:val="en-GB" w:eastAsia="de-DE"/>
              </w:rPr>
              <w:t>Bremen</w:t>
            </w:r>
          </w:p>
        </w:tc>
        <w:tc>
          <w:tcPr>
            <w:tcW w:w="2480" w:type="dxa"/>
            <w:tcBorders>
              <w:top w:val="nil"/>
              <w:left w:val="nil"/>
              <w:bottom w:val="single" w:sz="8" w:space="0" w:color="auto"/>
              <w:right w:val="single" w:sz="8" w:space="0" w:color="auto"/>
            </w:tcBorders>
            <w:shd w:val="clear" w:color="auto" w:fill="auto"/>
            <w:vAlign w:val="center"/>
            <w:hideMark/>
          </w:tcPr>
          <w:p w14:paraId="741736E8" w14:textId="77777777" w:rsidR="00D01830" w:rsidRPr="00AB7AD8" w:rsidRDefault="00D01830" w:rsidP="0075304E">
            <w:pPr>
              <w:spacing w:after="0" w:line="240" w:lineRule="auto"/>
              <w:jc w:val="center"/>
              <w:rPr>
                <w:rFonts w:ascii="Arial" w:eastAsia="Times New Roman" w:hAnsi="Arial" w:cs="Arial"/>
                <w:color w:val="000000"/>
                <w:sz w:val="20"/>
                <w:szCs w:val="20"/>
                <w:lang w:eastAsia="de-DE"/>
              </w:rPr>
            </w:pPr>
            <w:r w:rsidRPr="00AB7AD8">
              <w:rPr>
                <w:rFonts w:ascii="Arial" w:eastAsia="Times New Roman" w:hAnsi="Arial" w:cs="Arial"/>
                <w:color w:val="000000"/>
                <w:sz w:val="20"/>
                <w:szCs w:val="20"/>
                <w:lang w:eastAsia="de-DE"/>
              </w:rPr>
              <w:t>0.766  (0.617, 0.943)</w:t>
            </w:r>
          </w:p>
        </w:tc>
        <w:tc>
          <w:tcPr>
            <w:tcW w:w="1200" w:type="dxa"/>
            <w:tcBorders>
              <w:top w:val="nil"/>
              <w:left w:val="nil"/>
              <w:bottom w:val="single" w:sz="8" w:space="0" w:color="auto"/>
              <w:right w:val="single" w:sz="8" w:space="0" w:color="auto"/>
            </w:tcBorders>
            <w:shd w:val="clear" w:color="auto" w:fill="auto"/>
            <w:vAlign w:val="center"/>
            <w:hideMark/>
          </w:tcPr>
          <w:p w14:paraId="39A25DC4" w14:textId="77777777" w:rsidR="00D01830" w:rsidRPr="00AB7AD8" w:rsidRDefault="00D01830" w:rsidP="0075304E">
            <w:pPr>
              <w:spacing w:after="0" w:line="240" w:lineRule="auto"/>
              <w:jc w:val="right"/>
              <w:rPr>
                <w:rFonts w:eastAsia="Times New Roman"/>
                <w:color w:val="000000"/>
                <w:lang w:eastAsia="de-DE"/>
              </w:rPr>
            </w:pPr>
            <w:r w:rsidRPr="00AB7AD8">
              <w:rPr>
                <w:rFonts w:eastAsia="Times New Roman"/>
                <w:color w:val="000000"/>
                <w:lang w:val="en-GB" w:eastAsia="de-DE"/>
              </w:rPr>
              <w:t xml:space="preserve"> 0.014</w:t>
            </w:r>
          </w:p>
        </w:tc>
      </w:tr>
      <w:tr w:rsidR="00D01830" w:rsidRPr="00AB7AD8" w14:paraId="6D041C9F" w14:textId="77777777" w:rsidTr="0075304E">
        <w:trPr>
          <w:trHeight w:val="315"/>
        </w:trPr>
        <w:tc>
          <w:tcPr>
            <w:tcW w:w="2120" w:type="dxa"/>
            <w:tcBorders>
              <w:top w:val="nil"/>
              <w:left w:val="single" w:sz="8" w:space="0" w:color="auto"/>
              <w:bottom w:val="single" w:sz="8" w:space="0" w:color="auto"/>
              <w:right w:val="single" w:sz="8" w:space="0" w:color="auto"/>
            </w:tcBorders>
            <w:shd w:val="clear" w:color="auto" w:fill="auto"/>
            <w:vAlign w:val="center"/>
            <w:hideMark/>
          </w:tcPr>
          <w:p w14:paraId="3C395D1F" w14:textId="77777777" w:rsidR="00D01830" w:rsidRPr="00AB7AD8" w:rsidRDefault="00D01830" w:rsidP="0075304E">
            <w:pPr>
              <w:spacing w:after="0" w:line="240" w:lineRule="auto"/>
              <w:rPr>
                <w:rFonts w:ascii="Arial" w:eastAsia="Times New Roman" w:hAnsi="Arial" w:cs="Arial"/>
                <w:color w:val="000000"/>
                <w:sz w:val="20"/>
                <w:szCs w:val="20"/>
                <w:lang w:eastAsia="de-DE"/>
              </w:rPr>
            </w:pPr>
          </w:p>
        </w:tc>
        <w:tc>
          <w:tcPr>
            <w:tcW w:w="2980" w:type="dxa"/>
            <w:tcBorders>
              <w:top w:val="nil"/>
              <w:left w:val="nil"/>
              <w:bottom w:val="single" w:sz="8" w:space="0" w:color="auto"/>
              <w:right w:val="single" w:sz="8" w:space="0" w:color="auto"/>
            </w:tcBorders>
            <w:shd w:val="clear" w:color="auto" w:fill="auto"/>
            <w:vAlign w:val="center"/>
            <w:hideMark/>
          </w:tcPr>
          <w:p w14:paraId="7FB64B3F" w14:textId="77777777" w:rsidR="00D01830" w:rsidRPr="00AB7AD8" w:rsidRDefault="00D01830" w:rsidP="0075304E">
            <w:pPr>
              <w:spacing w:after="0" w:line="240" w:lineRule="auto"/>
              <w:rPr>
                <w:rFonts w:ascii="Arial" w:eastAsia="Times New Roman" w:hAnsi="Arial" w:cs="Arial"/>
                <w:color w:val="000000"/>
                <w:sz w:val="20"/>
                <w:szCs w:val="20"/>
                <w:lang w:eastAsia="de-DE"/>
              </w:rPr>
            </w:pPr>
            <w:r w:rsidRPr="00AB7AD8">
              <w:rPr>
                <w:rFonts w:ascii="Arial" w:eastAsia="Times New Roman" w:hAnsi="Arial" w:cs="Arial"/>
                <w:color w:val="000000"/>
                <w:sz w:val="20"/>
                <w:szCs w:val="20"/>
                <w:lang w:val="en-GB" w:eastAsia="de-DE"/>
              </w:rPr>
              <w:t>Hamburg</w:t>
            </w:r>
          </w:p>
        </w:tc>
        <w:tc>
          <w:tcPr>
            <w:tcW w:w="2480" w:type="dxa"/>
            <w:tcBorders>
              <w:top w:val="nil"/>
              <w:left w:val="nil"/>
              <w:bottom w:val="single" w:sz="8" w:space="0" w:color="auto"/>
              <w:right w:val="single" w:sz="8" w:space="0" w:color="auto"/>
            </w:tcBorders>
            <w:shd w:val="clear" w:color="auto" w:fill="auto"/>
            <w:vAlign w:val="center"/>
            <w:hideMark/>
          </w:tcPr>
          <w:p w14:paraId="0F7199B0" w14:textId="77777777" w:rsidR="00D01830" w:rsidRPr="00AB7AD8" w:rsidRDefault="00D01830" w:rsidP="0075304E">
            <w:pPr>
              <w:spacing w:after="0" w:line="240" w:lineRule="auto"/>
              <w:jc w:val="center"/>
              <w:rPr>
                <w:rFonts w:ascii="Arial" w:eastAsia="Times New Roman" w:hAnsi="Arial" w:cs="Arial"/>
                <w:color w:val="000000"/>
                <w:sz w:val="20"/>
                <w:szCs w:val="20"/>
                <w:lang w:eastAsia="de-DE"/>
              </w:rPr>
            </w:pPr>
            <w:r w:rsidRPr="00AB7AD8">
              <w:rPr>
                <w:rFonts w:ascii="Arial" w:eastAsia="Times New Roman" w:hAnsi="Arial" w:cs="Arial"/>
                <w:color w:val="000000"/>
                <w:sz w:val="20"/>
                <w:szCs w:val="20"/>
                <w:lang w:eastAsia="de-DE"/>
              </w:rPr>
              <w:t>0.859  (0.710, 1.034)</w:t>
            </w:r>
          </w:p>
        </w:tc>
        <w:tc>
          <w:tcPr>
            <w:tcW w:w="1200" w:type="dxa"/>
            <w:tcBorders>
              <w:top w:val="nil"/>
              <w:left w:val="nil"/>
              <w:bottom w:val="single" w:sz="8" w:space="0" w:color="auto"/>
              <w:right w:val="single" w:sz="8" w:space="0" w:color="auto"/>
            </w:tcBorders>
            <w:shd w:val="clear" w:color="auto" w:fill="auto"/>
            <w:vAlign w:val="center"/>
            <w:hideMark/>
          </w:tcPr>
          <w:p w14:paraId="1421BAB3" w14:textId="77777777" w:rsidR="00D01830" w:rsidRPr="00AB7AD8" w:rsidRDefault="00D01830" w:rsidP="0075304E">
            <w:pPr>
              <w:spacing w:after="0" w:line="240" w:lineRule="auto"/>
              <w:jc w:val="right"/>
              <w:rPr>
                <w:rFonts w:eastAsia="Times New Roman"/>
                <w:color w:val="000000"/>
                <w:lang w:eastAsia="de-DE"/>
              </w:rPr>
            </w:pPr>
            <w:r w:rsidRPr="00AB7AD8">
              <w:rPr>
                <w:rFonts w:eastAsia="Times New Roman"/>
                <w:color w:val="000000"/>
                <w:lang w:val="en-GB" w:eastAsia="de-DE"/>
              </w:rPr>
              <w:t xml:space="preserve"> 0.114</w:t>
            </w:r>
          </w:p>
        </w:tc>
      </w:tr>
      <w:tr w:rsidR="00D01830" w:rsidRPr="00AB7AD8" w14:paraId="4618107D" w14:textId="77777777" w:rsidTr="0075304E">
        <w:trPr>
          <w:trHeight w:val="315"/>
        </w:trPr>
        <w:tc>
          <w:tcPr>
            <w:tcW w:w="2120" w:type="dxa"/>
            <w:tcBorders>
              <w:top w:val="nil"/>
              <w:left w:val="single" w:sz="8" w:space="0" w:color="auto"/>
              <w:bottom w:val="single" w:sz="8" w:space="0" w:color="auto"/>
              <w:right w:val="single" w:sz="8" w:space="0" w:color="auto"/>
            </w:tcBorders>
            <w:shd w:val="clear" w:color="auto" w:fill="auto"/>
            <w:vAlign w:val="center"/>
            <w:hideMark/>
          </w:tcPr>
          <w:p w14:paraId="51CAF76C" w14:textId="77777777" w:rsidR="00D01830" w:rsidRPr="00AB7AD8" w:rsidRDefault="00D01830" w:rsidP="0075304E">
            <w:pPr>
              <w:spacing w:after="0" w:line="240" w:lineRule="auto"/>
              <w:rPr>
                <w:rFonts w:ascii="Arial" w:eastAsia="Times New Roman" w:hAnsi="Arial" w:cs="Arial"/>
                <w:color w:val="000000"/>
                <w:sz w:val="20"/>
                <w:szCs w:val="20"/>
                <w:lang w:eastAsia="de-DE"/>
              </w:rPr>
            </w:pPr>
          </w:p>
        </w:tc>
        <w:tc>
          <w:tcPr>
            <w:tcW w:w="2980" w:type="dxa"/>
            <w:tcBorders>
              <w:top w:val="nil"/>
              <w:left w:val="nil"/>
              <w:bottom w:val="single" w:sz="8" w:space="0" w:color="auto"/>
              <w:right w:val="single" w:sz="8" w:space="0" w:color="auto"/>
            </w:tcBorders>
            <w:shd w:val="clear" w:color="auto" w:fill="auto"/>
            <w:vAlign w:val="center"/>
            <w:hideMark/>
          </w:tcPr>
          <w:p w14:paraId="7282C738" w14:textId="77777777" w:rsidR="00D01830" w:rsidRPr="00AB7AD8" w:rsidRDefault="00D01830" w:rsidP="0075304E">
            <w:pPr>
              <w:spacing w:after="0" w:line="240" w:lineRule="auto"/>
              <w:rPr>
                <w:rFonts w:ascii="Arial" w:eastAsia="Times New Roman" w:hAnsi="Arial" w:cs="Arial"/>
                <w:color w:val="000000"/>
                <w:sz w:val="20"/>
                <w:szCs w:val="20"/>
                <w:lang w:eastAsia="de-DE"/>
              </w:rPr>
            </w:pPr>
            <w:r w:rsidRPr="00AB7AD8">
              <w:rPr>
                <w:rFonts w:ascii="Arial" w:eastAsia="Times New Roman" w:hAnsi="Arial" w:cs="Arial"/>
                <w:color w:val="000000"/>
                <w:sz w:val="20"/>
                <w:szCs w:val="20"/>
                <w:lang w:val="en-GB" w:eastAsia="de-DE"/>
              </w:rPr>
              <w:t>Hesse</w:t>
            </w:r>
          </w:p>
        </w:tc>
        <w:tc>
          <w:tcPr>
            <w:tcW w:w="2480" w:type="dxa"/>
            <w:tcBorders>
              <w:top w:val="nil"/>
              <w:left w:val="nil"/>
              <w:bottom w:val="single" w:sz="8" w:space="0" w:color="auto"/>
              <w:right w:val="single" w:sz="8" w:space="0" w:color="auto"/>
            </w:tcBorders>
            <w:shd w:val="clear" w:color="auto" w:fill="auto"/>
            <w:vAlign w:val="center"/>
            <w:hideMark/>
          </w:tcPr>
          <w:p w14:paraId="1E219925" w14:textId="77777777" w:rsidR="00D01830" w:rsidRPr="00AB7AD8" w:rsidRDefault="00D01830" w:rsidP="0075304E">
            <w:pPr>
              <w:spacing w:after="0" w:line="240" w:lineRule="auto"/>
              <w:jc w:val="center"/>
              <w:rPr>
                <w:rFonts w:ascii="Arial" w:eastAsia="Times New Roman" w:hAnsi="Arial" w:cs="Arial"/>
                <w:color w:val="000000"/>
                <w:sz w:val="20"/>
                <w:szCs w:val="20"/>
                <w:lang w:eastAsia="de-DE"/>
              </w:rPr>
            </w:pPr>
            <w:r w:rsidRPr="00AB7AD8">
              <w:rPr>
                <w:rFonts w:ascii="Arial" w:eastAsia="Times New Roman" w:hAnsi="Arial" w:cs="Arial"/>
                <w:color w:val="000000"/>
                <w:sz w:val="20"/>
                <w:szCs w:val="20"/>
                <w:lang w:eastAsia="de-DE"/>
              </w:rPr>
              <w:t>0.925  (0.841, 1.017)</w:t>
            </w:r>
          </w:p>
        </w:tc>
        <w:tc>
          <w:tcPr>
            <w:tcW w:w="1200" w:type="dxa"/>
            <w:tcBorders>
              <w:top w:val="nil"/>
              <w:left w:val="nil"/>
              <w:bottom w:val="single" w:sz="8" w:space="0" w:color="auto"/>
              <w:right w:val="single" w:sz="8" w:space="0" w:color="auto"/>
            </w:tcBorders>
            <w:shd w:val="clear" w:color="auto" w:fill="auto"/>
            <w:vAlign w:val="center"/>
            <w:hideMark/>
          </w:tcPr>
          <w:p w14:paraId="09FCE634" w14:textId="77777777" w:rsidR="00D01830" w:rsidRPr="00AB7AD8" w:rsidRDefault="00D01830" w:rsidP="0075304E">
            <w:pPr>
              <w:spacing w:after="0" w:line="240" w:lineRule="auto"/>
              <w:jc w:val="right"/>
              <w:rPr>
                <w:rFonts w:eastAsia="Times New Roman"/>
                <w:color w:val="000000"/>
                <w:lang w:eastAsia="de-DE"/>
              </w:rPr>
            </w:pPr>
            <w:r w:rsidRPr="00AB7AD8">
              <w:rPr>
                <w:rFonts w:eastAsia="Times New Roman"/>
                <w:color w:val="000000"/>
                <w:lang w:val="en-GB" w:eastAsia="de-DE"/>
              </w:rPr>
              <w:t xml:space="preserve"> 0.108</w:t>
            </w:r>
          </w:p>
        </w:tc>
      </w:tr>
      <w:tr w:rsidR="00D01830" w:rsidRPr="00AB7AD8" w14:paraId="3E90CFE2" w14:textId="77777777" w:rsidTr="0075304E">
        <w:trPr>
          <w:trHeight w:val="315"/>
        </w:trPr>
        <w:tc>
          <w:tcPr>
            <w:tcW w:w="2120" w:type="dxa"/>
            <w:tcBorders>
              <w:top w:val="nil"/>
              <w:left w:val="single" w:sz="8" w:space="0" w:color="auto"/>
              <w:bottom w:val="single" w:sz="8" w:space="0" w:color="auto"/>
              <w:right w:val="single" w:sz="8" w:space="0" w:color="auto"/>
            </w:tcBorders>
            <w:shd w:val="clear" w:color="auto" w:fill="auto"/>
            <w:vAlign w:val="center"/>
            <w:hideMark/>
          </w:tcPr>
          <w:p w14:paraId="243D5CB6" w14:textId="77777777" w:rsidR="00D01830" w:rsidRPr="00AB7AD8" w:rsidRDefault="00D01830" w:rsidP="0075304E">
            <w:pPr>
              <w:spacing w:after="0" w:line="240" w:lineRule="auto"/>
              <w:rPr>
                <w:rFonts w:ascii="Arial" w:eastAsia="Times New Roman" w:hAnsi="Arial" w:cs="Arial"/>
                <w:color w:val="000000"/>
                <w:sz w:val="20"/>
                <w:szCs w:val="20"/>
                <w:lang w:eastAsia="de-DE"/>
              </w:rPr>
            </w:pPr>
          </w:p>
        </w:tc>
        <w:tc>
          <w:tcPr>
            <w:tcW w:w="2980" w:type="dxa"/>
            <w:tcBorders>
              <w:top w:val="nil"/>
              <w:left w:val="nil"/>
              <w:bottom w:val="single" w:sz="8" w:space="0" w:color="auto"/>
              <w:right w:val="single" w:sz="8" w:space="0" w:color="auto"/>
            </w:tcBorders>
            <w:shd w:val="clear" w:color="auto" w:fill="auto"/>
            <w:vAlign w:val="center"/>
            <w:hideMark/>
          </w:tcPr>
          <w:p w14:paraId="611A68AA" w14:textId="77777777" w:rsidR="00D01830" w:rsidRPr="00AB7AD8" w:rsidRDefault="00D01830" w:rsidP="0075304E">
            <w:pPr>
              <w:spacing w:after="0" w:line="240" w:lineRule="auto"/>
              <w:rPr>
                <w:rFonts w:ascii="Arial" w:eastAsia="Times New Roman" w:hAnsi="Arial" w:cs="Arial"/>
                <w:color w:val="000000"/>
                <w:sz w:val="20"/>
                <w:szCs w:val="20"/>
                <w:lang w:eastAsia="de-DE"/>
              </w:rPr>
            </w:pPr>
            <w:r w:rsidRPr="00AB7AD8">
              <w:rPr>
                <w:rFonts w:ascii="Arial" w:eastAsia="Times New Roman" w:hAnsi="Arial" w:cs="Arial"/>
                <w:color w:val="000000"/>
                <w:sz w:val="20"/>
                <w:szCs w:val="20"/>
                <w:lang w:val="en-GB" w:eastAsia="de-DE"/>
              </w:rPr>
              <w:t>Mecklenburg-Vorpommern</w:t>
            </w:r>
          </w:p>
        </w:tc>
        <w:tc>
          <w:tcPr>
            <w:tcW w:w="2480" w:type="dxa"/>
            <w:tcBorders>
              <w:top w:val="nil"/>
              <w:left w:val="nil"/>
              <w:bottom w:val="single" w:sz="8" w:space="0" w:color="auto"/>
              <w:right w:val="single" w:sz="8" w:space="0" w:color="auto"/>
            </w:tcBorders>
            <w:shd w:val="clear" w:color="auto" w:fill="auto"/>
            <w:vAlign w:val="center"/>
            <w:hideMark/>
          </w:tcPr>
          <w:p w14:paraId="4D2E2496" w14:textId="77777777" w:rsidR="00D01830" w:rsidRPr="00AB7AD8" w:rsidRDefault="00D01830" w:rsidP="0075304E">
            <w:pPr>
              <w:spacing w:after="0" w:line="240" w:lineRule="auto"/>
              <w:jc w:val="center"/>
              <w:rPr>
                <w:rFonts w:ascii="Arial" w:eastAsia="Times New Roman" w:hAnsi="Arial" w:cs="Arial"/>
                <w:color w:val="000000"/>
                <w:sz w:val="20"/>
                <w:szCs w:val="20"/>
                <w:lang w:eastAsia="de-DE"/>
              </w:rPr>
            </w:pPr>
            <w:r w:rsidRPr="00AB7AD8">
              <w:rPr>
                <w:rFonts w:ascii="Arial" w:eastAsia="Times New Roman" w:hAnsi="Arial" w:cs="Arial"/>
                <w:color w:val="000000"/>
                <w:sz w:val="20"/>
                <w:szCs w:val="20"/>
                <w:lang w:eastAsia="de-DE"/>
              </w:rPr>
              <w:t>1.090  (0.913, 1.295)</w:t>
            </w:r>
          </w:p>
        </w:tc>
        <w:tc>
          <w:tcPr>
            <w:tcW w:w="1200" w:type="dxa"/>
            <w:tcBorders>
              <w:top w:val="nil"/>
              <w:left w:val="nil"/>
              <w:bottom w:val="single" w:sz="8" w:space="0" w:color="auto"/>
              <w:right w:val="single" w:sz="8" w:space="0" w:color="auto"/>
            </w:tcBorders>
            <w:shd w:val="clear" w:color="auto" w:fill="auto"/>
            <w:vAlign w:val="center"/>
            <w:hideMark/>
          </w:tcPr>
          <w:p w14:paraId="7E3E7EBB" w14:textId="77777777" w:rsidR="00D01830" w:rsidRPr="00AB7AD8" w:rsidRDefault="00D01830" w:rsidP="0075304E">
            <w:pPr>
              <w:spacing w:after="0" w:line="240" w:lineRule="auto"/>
              <w:jc w:val="right"/>
              <w:rPr>
                <w:rFonts w:eastAsia="Times New Roman"/>
                <w:color w:val="000000"/>
                <w:lang w:eastAsia="de-DE"/>
              </w:rPr>
            </w:pPr>
            <w:r w:rsidRPr="00AB7AD8">
              <w:rPr>
                <w:rFonts w:eastAsia="Times New Roman"/>
                <w:color w:val="000000"/>
                <w:lang w:val="en-GB" w:eastAsia="de-DE"/>
              </w:rPr>
              <w:t xml:space="preserve"> 0.333</w:t>
            </w:r>
          </w:p>
        </w:tc>
      </w:tr>
      <w:tr w:rsidR="00D01830" w:rsidRPr="00AB7AD8" w14:paraId="6CB68E18" w14:textId="77777777" w:rsidTr="0075304E">
        <w:trPr>
          <w:trHeight w:val="315"/>
        </w:trPr>
        <w:tc>
          <w:tcPr>
            <w:tcW w:w="2120" w:type="dxa"/>
            <w:tcBorders>
              <w:top w:val="nil"/>
              <w:left w:val="single" w:sz="8" w:space="0" w:color="auto"/>
              <w:bottom w:val="single" w:sz="8" w:space="0" w:color="auto"/>
              <w:right w:val="single" w:sz="8" w:space="0" w:color="auto"/>
            </w:tcBorders>
            <w:shd w:val="clear" w:color="auto" w:fill="auto"/>
            <w:vAlign w:val="center"/>
            <w:hideMark/>
          </w:tcPr>
          <w:p w14:paraId="5483E5FF" w14:textId="77777777" w:rsidR="00D01830" w:rsidRPr="00AB7AD8" w:rsidRDefault="00D01830" w:rsidP="0075304E">
            <w:pPr>
              <w:spacing w:after="0" w:line="240" w:lineRule="auto"/>
              <w:rPr>
                <w:rFonts w:ascii="Arial" w:eastAsia="Times New Roman" w:hAnsi="Arial" w:cs="Arial"/>
                <w:color w:val="000000"/>
                <w:sz w:val="20"/>
                <w:szCs w:val="20"/>
                <w:lang w:eastAsia="de-DE"/>
              </w:rPr>
            </w:pPr>
          </w:p>
        </w:tc>
        <w:tc>
          <w:tcPr>
            <w:tcW w:w="2980" w:type="dxa"/>
            <w:tcBorders>
              <w:top w:val="nil"/>
              <w:left w:val="nil"/>
              <w:bottom w:val="single" w:sz="8" w:space="0" w:color="auto"/>
              <w:right w:val="single" w:sz="8" w:space="0" w:color="auto"/>
            </w:tcBorders>
            <w:shd w:val="clear" w:color="auto" w:fill="auto"/>
            <w:vAlign w:val="center"/>
            <w:hideMark/>
          </w:tcPr>
          <w:p w14:paraId="631B39C2" w14:textId="77777777" w:rsidR="00D01830" w:rsidRPr="00AB7AD8" w:rsidRDefault="00D01830" w:rsidP="0075304E">
            <w:pPr>
              <w:spacing w:after="0" w:line="240" w:lineRule="auto"/>
              <w:rPr>
                <w:rFonts w:ascii="Arial" w:eastAsia="Times New Roman" w:hAnsi="Arial" w:cs="Arial"/>
                <w:color w:val="000000"/>
                <w:sz w:val="20"/>
                <w:szCs w:val="20"/>
                <w:lang w:eastAsia="de-DE"/>
              </w:rPr>
            </w:pPr>
            <w:r w:rsidRPr="00AB7AD8">
              <w:rPr>
                <w:rFonts w:ascii="Arial" w:eastAsia="Times New Roman" w:hAnsi="Arial" w:cs="Arial"/>
                <w:color w:val="000000"/>
                <w:sz w:val="20"/>
                <w:szCs w:val="20"/>
                <w:lang w:val="en-GB" w:eastAsia="de-DE"/>
              </w:rPr>
              <w:t>Lower Saxony</w:t>
            </w:r>
          </w:p>
        </w:tc>
        <w:tc>
          <w:tcPr>
            <w:tcW w:w="2480" w:type="dxa"/>
            <w:tcBorders>
              <w:top w:val="nil"/>
              <w:left w:val="nil"/>
              <w:bottom w:val="single" w:sz="8" w:space="0" w:color="auto"/>
              <w:right w:val="single" w:sz="8" w:space="0" w:color="auto"/>
            </w:tcBorders>
            <w:shd w:val="clear" w:color="auto" w:fill="auto"/>
            <w:vAlign w:val="center"/>
            <w:hideMark/>
          </w:tcPr>
          <w:p w14:paraId="2683A451" w14:textId="77777777" w:rsidR="00D01830" w:rsidRPr="00AB7AD8" w:rsidRDefault="00D01830" w:rsidP="0075304E">
            <w:pPr>
              <w:spacing w:after="0" w:line="240" w:lineRule="auto"/>
              <w:jc w:val="center"/>
              <w:rPr>
                <w:rFonts w:ascii="Arial" w:eastAsia="Times New Roman" w:hAnsi="Arial" w:cs="Arial"/>
                <w:color w:val="000000"/>
                <w:sz w:val="20"/>
                <w:szCs w:val="20"/>
                <w:lang w:eastAsia="de-DE"/>
              </w:rPr>
            </w:pPr>
            <w:r w:rsidRPr="00AB7AD8">
              <w:rPr>
                <w:rFonts w:ascii="Arial" w:eastAsia="Times New Roman" w:hAnsi="Arial" w:cs="Arial"/>
                <w:color w:val="000000"/>
                <w:sz w:val="20"/>
                <w:szCs w:val="20"/>
                <w:lang w:eastAsia="de-DE"/>
              </w:rPr>
              <w:t>0.878  (0.816, 0.945)</w:t>
            </w:r>
          </w:p>
        </w:tc>
        <w:tc>
          <w:tcPr>
            <w:tcW w:w="1200" w:type="dxa"/>
            <w:tcBorders>
              <w:top w:val="nil"/>
              <w:left w:val="nil"/>
              <w:bottom w:val="single" w:sz="8" w:space="0" w:color="auto"/>
              <w:right w:val="single" w:sz="8" w:space="0" w:color="auto"/>
            </w:tcBorders>
            <w:shd w:val="clear" w:color="auto" w:fill="auto"/>
            <w:vAlign w:val="center"/>
            <w:hideMark/>
          </w:tcPr>
          <w:p w14:paraId="23436CED" w14:textId="77777777" w:rsidR="00D01830" w:rsidRPr="00AB7AD8" w:rsidRDefault="00D01830" w:rsidP="0075304E">
            <w:pPr>
              <w:spacing w:after="0" w:line="240" w:lineRule="auto"/>
              <w:jc w:val="right"/>
              <w:rPr>
                <w:rFonts w:eastAsia="Times New Roman"/>
                <w:color w:val="000000"/>
                <w:lang w:eastAsia="de-DE"/>
              </w:rPr>
            </w:pPr>
            <w:r w:rsidRPr="00AB7AD8">
              <w:rPr>
                <w:rFonts w:eastAsia="Times New Roman"/>
                <w:color w:val="000000"/>
                <w:lang w:eastAsia="de-DE"/>
              </w:rPr>
              <w:t>&lt; 0.001</w:t>
            </w:r>
          </w:p>
        </w:tc>
      </w:tr>
      <w:tr w:rsidR="00D01830" w:rsidRPr="00AB7AD8" w14:paraId="7D7D2CB6" w14:textId="77777777" w:rsidTr="0075304E">
        <w:trPr>
          <w:trHeight w:val="315"/>
        </w:trPr>
        <w:tc>
          <w:tcPr>
            <w:tcW w:w="2120" w:type="dxa"/>
            <w:tcBorders>
              <w:top w:val="nil"/>
              <w:left w:val="single" w:sz="8" w:space="0" w:color="auto"/>
              <w:bottom w:val="single" w:sz="8" w:space="0" w:color="auto"/>
              <w:right w:val="single" w:sz="8" w:space="0" w:color="auto"/>
            </w:tcBorders>
            <w:shd w:val="clear" w:color="auto" w:fill="auto"/>
            <w:vAlign w:val="center"/>
            <w:hideMark/>
          </w:tcPr>
          <w:p w14:paraId="3276324B" w14:textId="77777777" w:rsidR="00D01830" w:rsidRPr="00AB7AD8" w:rsidRDefault="00D01830" w:rsidP="0075304E">
            <w:pPr>
              <w:spacing w:after="0" w:line="240" w:lineRule="auto"/>
              <w:rPr>
                <w:rFonts w:ascii="Arial" w:eastAsia="Times New Roman" w:hAnsi="Arial" w:cs="Arial"/>
                <w:color w:val="000000"/>
                <w:sz w:val="20"/>
                <w:szCs w:val="20"/>
                <w:lang w:eastAsia="de-DE"/>
              </w:rPr>
            </w:pPr>
          </w:p>
        </w:tc>
        <w:tc>
          <w:tcPr>
            <w:tcW w:w="2980" w:type="dxa"/>
            <w:tcBorders>
              <w:top w:val="nil"/>
              <w:left w:val="nil"/>
              <w:bottom w:val="single" w:sz="8" w:space="0" w:color="auto"/>
              <w:right w:val="single" w:sz="8" w:space="0" w:color="auto"/>
            </w:tcBorders>
            <w:shd w:val="clear" w:color="auto" w:fill="auto"/>
            <w:vAlign w:val="center"/>
            <w:hideMark/>
          </w:tcPr>
          <w:p w14:paraId="7B743F95" w14:textId="77777777" w:rsidR="00D01830" w:rsidRPr="00AB7AD8" w:rsidRDefault="00D01830" w:rsidP="0075304E">
            <w:pPr>
              <w:spacing w:after="0" w:line="240" w:lineRule="auto"/>
              <w:rPr>
                <w:rFonts w:ascii="Arial" w:eastAsia="Times New Roman" w:hAnsi="Arial" w:cs="Arial"/>
                <w:color w:val="000000"/>
                <w:sz w:val="20"/>
                <w:szCs w:val="20"/>
                <w:lang w:eastAsia="de-DE"/>
              </w:rPr>
            </w:pPr>
            <w:r w:rsidRPr="00AB7AD8">
              <w:rPr>
                <w:rFonts w:ascii="Arial" w:eastAsia="Times New Roman" w:hAnsi="Arial" w:cs="Arial"/>
                <w:color w:val="000000"/>
                <w:sz w:val="20"/>
                <w:szCs w:val="20"/>
                <w:lang w:val="en-GB" w:eastAsia="de-DE"/>
              </w:rPr>
              <w:t>North-Rhine</w:t>
            </w:r>
          </w:p>
        </w:tc>
        <w:tc>
          <w:tcPr>
            <w:tcW w:w="2480" w:type="dxa"/>
            <w:tcBorders>
              <w:top w:val="nil"/>
              <w:left w:val="nil"/>
              <w:bottom w:val="single" w:sz="8" w:space="0" w:color="auto"/>
              <w:right w:val="single" w:sz="8" w:space="0" w:color="auto"/>
            </w:tcBorders>
            <w:shd w:val="clear" w:color="auto" w:fill="auto"/>
            <w:vAlign w:val="center"/>
            <w:hideMark/>
          </w:tcPr>
          <w:p w14:paraId="35B83D40" w14:textId="77777777" w:rsidR="00D01830" w:rsidRPr="00AB7AD8" w:rsidRDefault="00D01830" w:rsidP="0075304E">
            <w:pPr>
              <w:spacing w:after="0" w:line="240" w:lineRule="auto"/>
              <w:jc w:val="center"/>
              <w:rPr>
                <w:rFonts w:ascii="Arial" w:eastAsia="Times New Roman" w:hAnsi="Arial" w:cs="Arial"/>
                <w:color w:val="000000"/>
                <w:sz w:val="20"/>
                <w:szCs w:val="20"/>
                <w:lang w:eastAsia="de-DE"/>
              </w:rPr>
            </w:pPr>
            <w:r w:rsidRPr="00AB7AD8">
              <w:rPr>
                <w:rFonts w:ascii="Arial" w:eastAsia="Times New Roman" w:hAnsi="Arial" w:cs="Arial"/>
                <w:color w:val="000000"/>
                <w:sz w:val="20"/>
                <w:szCs w:val="20"/>
                <w:lang w:eastAsia="de-DE"/>
              </w:rPr>
              <w:t>1.007  (0.934, 1.085)</w:t>
            </w:r>
          </w:p>
        </w:tc>
        <w:tc>
          <w:tcPr>
            <w:tcW w:w="1200" w:type="dxa"/>
            <w:tcBorders>
              <w:top w:val="nil"/>
              <w:left w:val="nil"/>
              <w:bottom w:val="single" w:sz="8" w:space="0" w:color="auto"/>
              <w:right w:val="single" w:sz="8" w:space="0" w:color="auto"/>
            </w:tcBorders>
            <w:shd w:val="clear" w:color="auto" w:fill="auto"/>
            <w:vAlign w:val="center"/>
            <w:hideMark/>
          </w:tcPr>
          <w:p w14:paraId="78129F7B" w14:textId="77777777" w:rsidR="00D01830" w:rsidRPr="00AB7AD8" w:rsidRDefault="00D01830" w:rsidP="0075304E">
            <w:pPr>
              <w:spacing w:after="0" w:line="240" w:lineRule="auto"/>
              <w:jc w:val="right"/>
              <w:rPr>
                <w:rFonts w:eastAsia="Times New Roman"/>
                <w:color w:val="000000"/>
                <w:lang w:eastAsia="de-DE"/>
              </w:rPr>
            </w:pPr>
            <w:r w:rsidRPr="00AB7AD8">
              <w:rPr>
                <w:rFonts w:eastAsia="Times New Roman"/>
                <w:color w:val="000000"/>
                <w:lang w:val="en-GB" w:eastAsia="de-DE"/>
              </w:rPr>
              <w:t xml:space="preserve"> 0.855</w:t>
            </w:r>
          </w:p>
        </w:tc>
      </w:tr>
      <w:tr w:rsidR="00D01830" w:rsidRPr="00AB7AD8" w14:paraId="132DCE8E" w14:textId="77777777" w:rsidTr="0075304E">
        <w:trPr>
          <w:trHeight w:val="315"/>
        </w:trPr>
        <w:tc>
          <w:tcPr>
            <w:tcW w:w="2120" w:type="dxa"/>
            <w:tcBorders>
              <w:top w:val="nil"/>
              <w:left w:val="single" w:sz="8" w:space="0" w:color="auto"/>
              <w:bottom w:val="single" w:sz="8" w:space="0" w:color="auto"/>
              <w:right w:val="single" w:sz="8" w:space="0" w:color="auto"/>
            </w:tcBorders>
            <w:shd w:val="clear" w:color="auto" w:fill="auto"/>
            <w:vAlign w:val="center"/>
            <w:hideMark/>
          </w:tcPr>
          <w:p w14:paraId="46294C36" w14:textId="77777777" w:rsidR="00D01830" w:rsidRPr="00AB7AD8" w:rsidRDefault="00D01830" w:rsidP="0075304E">
            <w:pPr>
              <w:spacing w:after="0" w:line="240" w:lineRule="auto"/>
              <w:rPr>
                <w:rFonts w:ascii="Arial" w:eastAsia="Times New Roman" w:hAnsi="Arial" w:cs="Arial"/>
                <w:color w:val="000000"/>
                <w:sz w:val="20"/>
                <w:szCs w:val="20"/>
                <w:lang w:eastAsia="de-DE"/>
              </w:rPr>
            </w:pPr>
          </w:p>
        </w:tc>
        <w:tc>
          <w:tcPr>
            <w:tcW w:w="2980" w:type="dxa"/>
            <w:tcBorders>
              <w:top w:val="nil"/>
              <w:left w:val="nil"/>
              <w:bottom w:val="single" w:sz="8" w:space="0" w:color="auto"/>
              <w:right w:val="single" w:sz="8" w:space="0" w:color="auto"/>
            </w:tcBorders>
            <w:shd w:val="clear" w:color="auto" w:fill="auto"/>
            <w:vAlign w:val="center"/>
            <w:hideMark/>
          </w:tcPr>
          <w:p w14:paraId="395D8477" w14:textId="77777777" w:rsidR="00D01830" w:rsidRPr="00AB7AD8" w:rsidRDefault="00D01830" w:rsidP="0075304E">
            <w:pPr>
              <w:spacing w:after="0" w:line="240" w:lineRule="auto"/>
              <w:rPr>
                <w:rFonts w:ascii="Arial" w:eastAsia="Times New Roman" w:hAnsi="Arial" w:cs="Arial"/>
                <w:color w:val="000000"/>
                <w:sz w:val="20"/>
                <w:szCs w:val="20"/>
                <w:lang w:eastAsia="de-DE"/>
              </w:rPr>
            </w:pPr>
            <w:r w:rsidRPr="00AB7AD8">
              <w:rPr>
                <w:rFonts w:ascii="Arial" w:eastAsia="Times New Roman" w:hAnsi="Arial" w:cs="Arial"/>
                <w:color w:val="000000"/>
                <w:sz w:val="20"/>
                <w:szCs w:val="20"/>
                <w:lang w:val="en-GB" w:eastAsia="de-DE"/>
              </w:rPr>
              <w:t>Rhineland-Palatinate</w:t>
            </w:r>
          </w:p>
        </w:tc>
        <w:tc>
          <w:tcPr>
            <w:tcW w:w="2480" w:type="dxa"/>
            <w:tcBorders>
              <w:top w:val="nil"/>
              <w:left w:val="nil"/>
              <w:bottom w:val="single" w:sz="8" w:space="0" w:color="auto"/>
              <w:right w:val="single" w:sz="8" w:space="0" w:color="auto"/>
            </w:tcBorders>
            <w:shd w:val="clear" w:color="auto" w:fill="auto"/>
            <w:vAlign w:val="center"/>
            <w:hideMark/>
          </w:tcPr>
          <w:p w14:paraId="53AFA2B2" w14:textId="77777777" w:rsidR="00D01830" w:rsidRPr="00AB7AD8" w:rsidRDefault="00D01830" w:rsidP="0075304E">
            <w:pPr>
              <w:spacing w:after="0" w:line="240" w:lineRule="auto"/>
              <w:jc w:val="center"/>
              <w:rPr>
                <w:rFonts w:ascii="Arial" w:eastAsia="Times New Roman" w:hAnsi="Arial" w:cs="Arial"/>
                <w:color w:val="000000"/>
                <w:sz w:val="20"/>
                <w:szCs w:val="20"/>
                <w:lang w:eastAsia="de-DE"/>
              </w:rPr>
            </w:pPr>
            <w:r w:rsidRPr="00AB7AD8">
              <w:rPr>
                <w:rFonts w:ascii="Arial" w:eastAsia="Times New Roman" w:hAnsi="Arial" w:cs="Arial"/>
                <w:color w:val="000000"/>
                <w:sz w:val="20"/>
                <w:szCs w:val="20"/>
                <w:lang w:eastAsia="de-DE"/>
              </w:rPr>
              <w:t>0.964  (0.868, 1.069)</w:t>
            </w:r>
          </w:p>
        </w:tc>
        <w:tc>
          <w:tcPr>
            <w:tcW w:w="1200" w:type="dxa"/>
            <w:tcBorders>
              <w:top w:val="nil"/>
              <w:left w:val="nil"/>
              <w:bottom w:val="single" w:sz="8" w:space="0" w:color="auto"/>
              <w:right w:val="single" w:sz="8" w:space="0" w:color="auto"/>
            </w:tcBorders>
            <w:shd w:val="clear" w:color="auto" w:fill="auto"/>
            <w:vAlign w:val="center"/>
            <w:hideMark/>
          </w:tcPr>
          <w:p w14:paraId="14015BDC" w14:textId="77777777" w:rsidR="00D01830" w:rsidRPr="00AB7AD8" w:rsidRDefault="00D01830" w:rsidP="0075304E">
            <w:pPr>
              <w:spacing w:after="0" w:line="240" w:lineRule="auto"/>
              <w:jc w:val="right"/>
              <w:rPr>
                <w:rFonts w:eastAsia="Times New Roman"/>
                <w:color w:val="000000"/>
                <w:lang w:eastAsia="de-DE"/>
              </w:rPr>
            </w:pPr>
            <w:r w:rsidRPr="00AB7AD8">
              <w:rPr>
                <w:rFonts w:eastAsia="Times New Roman"/>
                <w:color w:val="000000"/>
                <w:lang w:val="en-GB" w:eastAsia="de-DE"/>
              </w:rPr>
              <w:t xml:space="preserve"> 0.487</w:t>
            </w:r>
          </w:p>
        </w:tc>
      </w:tr>
      <w:tr w:rsidR="00D01830" w:rsidRPr="00AB7AD8" w14:paraId="5E5CBB44" w14:textId="77777777" w:rsidTr="0075304E">
        <w:trPr>
          <w:trHeight w:val="315"/>
        </w:trPr>
        <w:tc>
          <w:tcPr>
            <w:tcW w:w="2120" w:type="dxa"/>
            <w:tcBorders>
              <w:top w:val="nil"/>
              <w:left w:val="single" w:sz="8" w:space="0" w:color="auto"/>
              <w:bottom w:val="single" w:sz="8" w:space="0" w:color="auto"/>
              <w:right w:val="single" w:sz="8" w:space="0" w:color="auto"/>
            </w:tcBorders>
            <w:shd w:val="clear" w:color="auto" w:fill="auto"/>
            <w:vAlign w:val="center"/>
            <w:hideMark/>
          </w:tcPr>
          <w:p w14:paraId="5F59E9F0" w14:textId="77777777" w:rsidR="00D01830" w:rsidRPr="00AB7AD8" w:rsidRDefault="00D01830" w:rsidP="0075304E">
            <w:pPr>
              <w:spacing w:after="0" w:line="240" w:lineRule="auto"/>
              <w:rPr>
                <w:rFonts w:ascii="Arial" w:eastAsia="Times New Roman" w:hAnsi="Arial" w:cs="Arial"/>
                <w:color w:val="000000"/>
                <w:sz w:val="20"/>
                <w:szCs w:val="20"/>
                <w:lang w:eastAsia="de-DE"/>
              </w:rPr>
            </w:pPr>
          </w:p>
        </w:tc>
        <w:tc>
          <w:tcPr>
            <w:tcW w:w="2980" w:type="dxa"/>
            <w:tcBorders>
              <w:top w:val="nil"/>
              <w:left w:val="nil"/>
              <w:bottom w:val="single" w:sz="8" w:space="0" w:color="auto"/>
              <w:right w:val="single" w:sz="8" w:space="0" w:color="auto"/>
            </w:tcBorders>
            <w:shd w:val="clear" w:color="auto" w:fill="auto"/>
            <w:vAlign w:val="center"/>
            <w:hideMark/>
          </w:tcPr>
          <w:p w14:paraId="1770798D" w14:textId="77777777" w:rsidR="00D01830" w:rsidRPr="00AB7AD8" w:rsidRDefault="00D01830" w:rsidP="0075304E">
            <w:pPr>
              <w:spacing w:after="0" w:line="240" w:lineRule="auto"/>
              <w:rPr>
                <w:rFonts w:ascii="Arial" w:eastAsia="Times New Roman" w:hAnsi="Arial" w:cs="Arial"/>
                <w:color w:val="000000"/>
                <w:sz w:val="20"/>
                <w:szCs w:val="20"/>
                <w:lang w:eastAsia="de-DE"/>
              </w:rPr>
            </w:pPr>
            <w:r w:rsidRPr="00AB7AD8">
              <w:rPr>
                <w:rFonts w:ascii="Arial" w:eastAsia="Times New Roman" w:hAnsi="Arial" w:cs="Arial"/>
                <w:color w:val="000000"/>
                <w:sz w:val="20"/>
                <w:szCs w:val="20"/>
                <w:lang w:val="en-GB" w:eastAsia="de-DE"/>
              </w:rPr>
              <w:t>Saarland</w:t>
            </w:r>
          </w:p>
        </w:tc>
        <w:tc>
          <w:tcPr>
            <w:tcW w:w="2480" w:type="dxa"/>
            <w:tcBorders>
              <w:top w:val="nil"/>
              <w:left w:val="nil"/>
              <w:bottom w:val="single" w:sz="8" w:space="0" w:color="auto"/>
              <w:right w:val="single" w:sz="8" w:space="0" w:color="auto"/>
            </w:tcBorders>
            <w:shd w:val="clear" w:color="auto" w:fill="auto"/>
            <w:vAlign w:val="center"/>
            <w:hideMark/>
          </w:tcPr>
          <w:p w14:paraId="50F3D623" w14:textId="77777777" w:rsidR="00D01830" w:rsidRPr="00AB7AD8" w:rsidRDefault="00D01830" w:rsidP="0075304E">
            <w:pPr>
              <w:spacing w:after="0" w:line="240" w:lineRule="auto"/>
              <w:jc w:val="center"/>
              <w:rPr>
                <w:rFonts w:ascii="Arial" w:eastAsia="Times New Roman" w:hAnsi="Arial" w:cs="Arial"/>
                <w:color w:val="000000"/>
                <w:sz w:val="20"/>
                <w:szCs w:val="20"/>
                <w:lang w:eastAsia="de-DE"/>
              </w:rPr>
            </w:pPr>
            <w:r w:rsidRPr="00AB7AD8">
              <w:rPr>
                <w:rFonts w:ascii="Arial" w:eastAsia="Times New Roman" w:hAnsi="Arial" w:cs="Arial"/>
                <w:color w:val="000000"/>
                <w:sz w:val="20"/>
                <w:szCs w:val="20"/>
                <w:lang w:eastAsia="de-DE"/>
              </w:rPr>
              <w:t>1.293  (1.030, 1.614)</w:t>
            </w:r>
          </w:p>
        </w:tc>
        <w:tc>
          <w:tcPr>
            <w:tcW w:w="1200" w:type="dxa"/>
            <w:tcBorders>
              <w:top w:val="nil"/>
              <w:left w:val="nil"/>
              <w:bottom w:val="single" w:sz="8" w:space="0" w:color="auto"/>
              <w:right w:val="single" w:sz="8" w:space="0" w:color="auto"/>
            </w:tcBorders>
            <w:shd w:val="clear" w:color="auto" w:fill="auto"/>
            <w:vAlign w:val="center"/>
            <w:hideMark/>
          </w:tcPr>
          <w:p w14:paraId="356AD43B" w14:textId="77777777" w:rsidR="00D01830" w:rsidRPr="00AB7AD8" w:rsidRDefault="00D01830" w:rsidP="0075304E">
            <w:pPr>
              <w:spacing w:after="0" w:line="240" w:lineRule="auto"/>
              <w:jc w:val="right"/>
              <w:rPr>
                <w:rFonts w:eastAsia="Times New Roman"/>
                <w:color w:val="000000"/>
                <w:lang w:eastAsia="de-DE"/>
              </w:rPr>
            </w:pPr>
            <w:r w:rsidRPr="00AB7AD8">
              <w:rPr>
                <w:rFonts w:eastAsia="Times New Roman"/>
                <w:color w:val="000000"/>
                <w:lang w:val="en-GB" w:eastAsia="de-DE"/>
              </w:rPr>
              <w:t xml:space="preserve"> 0.024</w:t>
            </w:r>
          </w:p>
        </w:tc>
      </w:tr>
      <w:tr w:rsidR="00D01830" w:rsidRPr="00AB7AD8" w14:paraId="69D81753" w14:textId="77777777" w:rsidTr="0075304E">
        <w:trPr>
          <w:trHeight w:val="315"/>
        </w:trPr>
        <w:tc>
          <w:tcPr>
            <w:tcW w:w="2120" w:type="dxa"/>
            <w:tcBorders>
              <w:top w:val="nil"/>
              <w:left w:val="single" w:sz="8" w:space="0" w:color="auto"/>
              <w:bottom w:val="single" w:sz="8" w:space="0" w:color="auto"/>
              <w:right w:val="single" w:sz="8" w:space="0" w:color="auto"/>
            </w:tcBorders>
            <w:shd w:val="clear" w:color="auto" w:fill="auto"/>
            <w:vAlign w:val="center"/>
            <w:hideMark/>
          </w:tcPr>
          <w:p w14:paraId="268905C2" w14:textId="77777777" w:rsidR="00D01830" w:rsidRPr="00AB7AD8" w:rsidRDefault="00D01830" w:rsidP="0075304E">
            <w:pPr>
              <w:spacing w:after="0" w:line="240" w:lineRule="auto"/>
              <w:rPr>
                <w:rFonts w:ascii="Arial" w:eastAsia="Times New Roman" w:hAnsi="Arial" w:cs="Arial"/>
                <w:color w:val="000000"/>
                <w:sz w:val="20"/>
                <w:szCs w:val="20"/>
                <w:lang w:eastAsia="de-DE"/>
              </w:rPr>
            </w:pPr>
          </w:p>
        </w:tc>
        <w:tc>
          <w:tcPr>
            <w:tcW w:w="2980" w:type="dxa"/>
            <w:tcBorders>
              <w:top w:val="nil"/>
              <w:left w:val="nil"/>
              <w:bottom w:val="single" w:sz="8" w:space="0" w:color="auto"/>
              <w:right w:val="single" w:sz="8" w:space="0" w:color="auto"/>
            </w:tcBorders>
            <w:shd w:val="clear" w:color="auto" w:fill="auto"/>
            <w:vAlign w:val="center"/>
            <w:hideMark/>
          </w:tcPr>
          <w:p w14:paraId="71AEA616" w14:textId="77777777" w:rsidR="00D01830" w:rsidRPr="00AB7AD8" w:rsidRDefault="00D01830" w:rsidP="0075304E">
            <w:pPr>
              <w:spacing w:after="0" w:line="240" w:lineRule="auto"/>
              <w:rPr>
                <w:rFonts w:ascii="Arial" w:eastAsia="Times New Roman" w:hAnsi="Arial" w:cs="Arial"/>
                <w:color w:val="000000"/>
                <w:sz w:val="20"/>
                <w:szCs w:val="20"/>
                <w:lang w:eastAsia="de-DE"/>
              </w:rPr>
            </w:pPr>
            <w:r w:rsidRPr="00AB7AD8">
              <w:rPr>
                <w:rFonts w:ascii="Arial" w:eastAsia="Times New Roman" w:hAnsi="Arial" w:cs="Arial"/>
                <w:color w:val="000000"/>
                <w:sz w:val="20"/>
                <w:szCs w:val="20"/>
                <w:lang w:val="en-GB" w:eastAsia="de-DE"/>
              </w:rPr>
              <w:t>Saxony</w:t>
            </w:r>
          </w:p>
        </w:tc>
        <w:tc>
          <w:tcPr>
            <w:tcW w:w="2480" w:type="dxa"/>
            <w:tcBorders>
              <w:top w:val="nil"/>
              <w:left w:val="nil"/>
              <w:bottom w:val="single" w:sz="8" w:space="0" w:color="auto"/>
              <w:right w:val="single" w:sz="8" w:space="0" w:color="auto"/>
            </w:tcBorders>
            <w:shd w:val="clear" w:color="auto" w:fill="auto"/>
            <w:vAlign w:val="center"/>
            <w:hideMark/>
          </w:tcPr>
          <w:p w14:paraId="54268630" w14:textId="77777777" w:rsidR="00D01830" w:rsidRPr="00AB7AD8" w:rsidRDefault="00D01830" w:rsidP="0075304E">
            <w:pPr>
              <w:spacing w:after="0" w:line="240" w:lineRule="auto"/>
              <w:jc w:val="center"/>
              <w:rPr>
                <w:rFonts w:ascii="Arial" w:eastAsia="Times New Roman" w:hAnsi="Arial" w:cs="Arial"/>
                <w:color w:val="000000"/>
                <w:sz w:val="20"/>
                <w:szCs w:val="20"/>
                <w:lang w:eastAsia="de-DE"/>
              </w:rPr>
            </w:pPr>
            <w:r w:rsidRPr="00AB7AD8">
              <w:rPr>
                <w:rFonts w:ascii="Arial" w:eastAsia="Times New Roman" w:hAnsi="Arial" w:cs="Arial"/>
                <w:color w:val="000000"/>
                <w:sz w:val="20"/>
                <w:szCs w:val="20"/>
                <w:lang w:eastAsia="de-DE"/>
              </w:rPr>
              <w:t>0.784  (0.710, 0.864)</w:t>
            </w:r>
          </w:p>
        </w:tc>
        <w:tc>
          <w:tcPr>
            <w:tcW w:w="1200" w:type="dxa"/>
            <w:tcBorders>
              <w:top w:val="nil"/>
              <w:left w:val="nil"/>
              <w:bottom w:val="single" w:sz="8" w:space="0" w:color="auto"/>
              <w:right w:val="single" w:sz="8" w:space="0" w:color="auto"/>
            </w:tcBorders>
            <w:shd w:val="clear" w:color="auto" w:fill="auto"/>
            <w:vAlign w:val="center"/>
            <w:hideMark/>
          </w:tcPr>
          <w:p w14:paraId="64F6C45D" w14:textId="77777777" w:rsidR="00D01830" w:rsidRPr="00AB7AD8" w:rsidRDefault="00D01830" w:rsidP="0075304E">
            <w:pPr>
              <w:spacing w:after="0" w:line="240" w:lineRule="auto"/>
              <w:jc w:val="right"/>
              <w:rPr>
                <w:rFonts w:eastAsia="Times New Roman"/>
                <w:color w:val="000000"/>
                <w:lang w:eastAsia="de-DE"/>
              </w:rPr>
            </w:pPr>
            <w:r w:rsidRPr="00AB7AD8">
              <w:rPr>
                <w:rFonts w:eastAsia="Times New Roman"/>
                <w:color w:val="000000"/>
                <w:lang w:eastAsia="de-DE"/>
              </w:rPr>
              <w:t>&lt; 0.001</w:t>
            </w:r>
          </w:p>
        </w:tc>
      </w:tr>
      <w:tr w:rsidR="00D01830" w:rsidRPr="00AB7AD8" w14:paraId="7C56F289" w14:textId="77777777" w:rsidTr="0075304E">
        <w:trPr>
          <w:trHeight w:val="315"/>
        </w:trPr>
        <w:tc>
          <w:tcPr>
            <w:tcW w:w="2120" w:type="dxa"/>
            <w:tcBorders>
              <w:top w:val="nil"/>
              <w:left w:val="single" w:sz="8" w:space="0" w:color="auto"/>
              <w:bottom w:val="single" w:sz="8" w:space="0" w:color="auto"/>
              <w:right w:val="single" w:sz="8" w:space="0" w:color="auto"/>
            </w:tcBorders>
            <w:shd w:val="clear" w:color="auto" w:fill="auto"/>
            <w:vAlign w:val="center"/>
            <w:hideMark/>
          </w:tcPr>
          <w:p w14:paraId="2203A871" w14:textId="77777777" w:rsidR="00D01830" w:rsidRPr="00AB7AD8" w:rsidRDefault="00D01830" w:rsidP="0075304E">
            <w:pPr>
              <w:spacing w:after="0" w:line="240" w:lineRule="auto"/>
              <w:rPr>
                <w:rFonts w:ascii="Arial" w:eastAsia="Times New Roman" w:hAnsi="Arial" w:cs="Arial"/>
                <w:color w:val="000000"/>
                <w:sz w:val="20"/>
                <w:szCs w:val="20"/>
                <w:lang w:eastAsia="de-DE"/>
              </w:rPr>
            </w:pPr>
          </w:p>
        </w:tc>
        <w:tc>
          <w:tcPr>
            <w:tcW w:w="2980" w:type="dxa"/>
            <w:tcBorders>
              <w:top w:val="nil"/>
              <w:left w:val="nil"/>
              <w:bottom w:val="single" w:sz="8" w:space="0" w:color="auto"/>
              <w:right w:val="single" w:sz="8" w:space="0" w:color="auto"/>
            </w:tcBorders>
            <w:shd w:val="clear" w:color="auto" w:fill="auto"/>
            <w:vAlign w:val="center"/>
            <w:hideMark/>
          </w:tcPr>
          <w:p w14:paraId="0161B000" w14:textId="77777777" w:rsidR="00D01830" w:rsidRPr="00AB7AD8" w:rsidRDefault="00D01830" w:rsidP="0075304E">
            <w:pPr>
              <w:spacing w:after="0" w:line="240" w:lineRule="auto"/>
              <w:rPr>
                <w:rFonts w:ascii="Arial" w:eastAsia="Times New Roman" w:hAnsi="Arial" w:cs="Arial"/>
                <w:color w:val="000000"/>
                <w:sz w:val="20"/>
                <w:szCs w:val="20"/>
                <w:lang w:eastAsia="de-DE"/>
              </w:rPr>
            </w:pPr>
            <w:r w:rsidRPr="00AB7AD8">
              <w:rPr>
                <w:rFonts w:ascii="Arial" w:eastAsia="Times New Roman" w:hAnsi="Arial" w:cs="Arial"/>
                <w:color w:val="000000"/>
                <w:sz w:val="20"/>
                <w:szCs w:val="20"/>
                <w:lang w:val="en-GB" w:eastAsia="de-DE"/>
              </w:rPr>
              <w:t>Saxony-Anhalt</w:t>
            </w:r>
          </w:p>
        </w:tc>
        <w:tc>
          <w:tcPr>
            <w:tcW w:w="2480" w:type="dxa"/>
            <w:tcBorders>
              <w:top w:val="nil"/>
              <w:left w:val="nil"/>
              <w:bottom w:val="single" w:sz="8" w:space="0" w:color="auto"/>
              <w:right w:val="single" w:sz="8" w:space="0" w:color="auto"/>
            </w:tcBorders>
            <w:shd w:val="clear" w:color="auto" w:fill="auto"/>
            <w:vAlign w:val="center"/>
            <w:hideMark/>
          </w:tcPr>
          <w:p w14:paraId="1BA9A547" w14:textId="77777777" w:rsidR="00D01830" w:rsidRPr="00AB7AD8" w:rsidRDefault="00D01830" w:rsidP="0075304E">
            <w:pPr>
              <w:spacing w:after="0" w:line="240" w:lineRule="auto"/>
              <w:jc w:val="center"/>
              <w:rPr>
                <w:rFonts w:ascii="Arial" w:eastAsia="Times New Roman" w:hAnsi="Arial" w:cs="Arial"/>
                <w:color w:val="000000"/>
                <w:sz w:val="20"/>
                <w:szCs w:val="20"/>
                <w:lang w:eastAsia="de-DE"/>
              </w:rPr>
            </w:pPr>
            <w:r w:rsidRPr="00AB7AD8">
              <w:rPr>
                <w:rFonts w:ascii="Arial" w:eastAsia="Times New Roman" w:hAnsi="Arial" w:cs="Arial"/>
                <w:color w:val="000000"/>
                <w:sz w:val="20"/>
                <w:szCs w:val="20"/>
                <w:lang w:eastAsia="de-DE"/>
              </w:rPr>
              <w:t>0.801  (0.686, 0.933)</w:t>
            </w:r>
          </w:p>
        </w:tc>
        <w:tc>
          <w:tcPr>
            <w:tcW w:w="1200" w:type="dxa"/>
            <w:tcBorders>
              <w:top w:val="nil"/>
              <w:left w:val="nil"/>
              <w:bottom w:val="single" w:sz="8" w:space="0" w:color="auto"/>
              <w:right w:val="single" w:sz="8" w:space="0" w:color="auto"/>
            </w:tcBorders>
            <w:shd w:val="clear" w:color="auto" w:fill="auto"/>
            <w:vAlign w:val="center"/>
            <w:hideMark/>
          </w:tcPr>
          <w:p w14:paraId="56364DE3" w14:textId="77777777" w:rsidR="00D01830" w:rsidRPr="00AB7AD8" w:rsidRDefault="00D01830" w:rsidP="0075304E">
            <w:pPr>
              <w:spacing w:after="0" w:line="240" w:lineRule="auto"/>
              <w:jc w:val="right"/>
              <w:rPr>
                <w:rFonts w:eastAsia="Times New Roman"/>
                <w:color w:val="000000"/>
                <w:lang w:eastAsia="de-DE"/>
              </w:rPr>
            </w:pPr>
            <w:r w:rsidRPr="00AB7AD8">
              <w:rPr>
                <w:rFonts w:eastAsia="Times New Roman"/>
                <w:color w:val="000000"/>
                <w:lang w:val="en-GB" w:eastAsia="de-DE"/>
              </w:rPr>
              <w:t xml:space="preserve"> 0.005</w:t>
            </w:r>
          </w:p>
        </w:tc>
      </w:tr>
      <w:tr w:rsidR="00D01830" w:rsidRPr="00AB7AD8" w14:paraId="3566FC64" w14:textId="77777777" w:rsidTr="0075304E">
        <w:trPr>
          <w:trHeight w:val="315"/>
        </w:trPr>
        <w:tc>
          <w:tcPr>
            <w:tcW w:w="2120" w:type="dxa"/>
            <w:tcBorders>
              <w:top w:val="nil"/>
              <w:left w:val="single" w:sz="8" w:space="0" w:color="auto"/>
              <w:bottom w:val="single" w:sz="8" w:space="0" w:color="auto"/>
              <w:right w:val="single" w:sz="8" w:space="0" w:color="auto"/>
            </w:tcBorders>
            <w:shd w:val="clear" w:color="auto" w:fill="auto"/>
            <w:vAlign w:val="center"/>
            <w:hideMark/>
          </w:tcPr>
          <w:p w14:paraId="2EA37E09" w14:textId="77777777" w:rsidR="00D01830" w:rsidRPr="00AB7AD8" w:rsidRDefault="00D01830" w:rsidP="0075304E">
            <w:pPr>
              <w:spacing w:after="0" w:line="240" w:lineRule="auto"/>
              <w:rPr>
                <w:rFonts w:ascii="Arial" w:eastAsia="Times New Roman" w:hAnsi="Arial" w:cs="Arial"/>
                <w:color w:val="000000"/>
                <w:sz w:val="20"/>
                <w:szCs w:val="20"/>
                <w:lang w:eastAsia="de-DE"/>
              </w:rPr>
            </w:pPr>
          </w:p>
        </w:tc>
        <w:tc>
          <w:tcPr>
            <w:tcW w:w="2980" w:type="dxa"/>
            <w:tcBorders>
              <w:top w:val="nil"/>
              <w:left w:val="nil"/>
              <w:bottom w:val="single" w:sz="8" w:space="0" w:color="auto"/>
              <w:right w:val="single" w:sz="8" w:space="0" w:color="auto"/>
            </w:tcBorders>
            <w:shd w:val="clear" w:color="auto" w:fill="auto"/>
            <w:vAlign w:val="center"/>
            <w:hideMark/>
          </w:tcPr>
          <w:p w14:paraId="5126FA4F" w14:textId="77777777" w:rsidR="00D01830" w:rsidRPr="00AB7AD8" w:rsidRDefault="00D01830" w:rsidP="0075304E">
            <w:pPr>
              <w:spacing w:after="0" w:line="240" w:lineRule="auto"/>
              <w:rPr>
                <w:rFonts w:ascii="Arial" w:eastAsia="Times New Roman" w:hAnsi="Arial" w:cs="Arial"/>
                <w:color w:val="000000"/>
                <w:sz w:val="20"/>
                <w:szCs w:val="20"/>
                <w:lang w:eastAsia="de-DE"/>
              </w:rPr>
            </w:pPr>
            <w:r w:rsidRPr="00AB7AD8">
              <w:rPr>
                <w:rFonts w:ascii="Arial" w:eastAsia="Times New Roman" w:hAnsi="Arial" w:cs="Arial"/>
                <w:color w:val="000000"/>
                <w:sz w:val="20"/>
                <w:szCs w:val="20"/>
                <w:lang w:val="en-GB" w:eastAsia="de-DE"/>
              </w:rPr>
              <w:t>Schleswig-Holstein</w:t>
            </w:r>
          </w:p>
        </w:tc>
        <w:tc>
          <w:tcPr>
            <w:tcW w:w="2480" w:type="dxa"/>
            <w:tcBorders>
              <w:top w:val="nil"/>
              <w:left w:val="nil"/>
              <w:bottom w:val="single" w:sz="8" w:space="0" w:color="auto"/>
              <w:right w:val="single" w:sz="8" w:space="0" w:color="auto"/>
            </w:tcBorders>
            <w:shd w:val="clear" w:color="auto" w:fill="auto"/>
            <w:vAlign w:val="center"/>
            <w:hideMark/>
          </w:tcPr>
          <w:p w14:paraId="5F5D76C6" w14:textId="77777777" w:rsidR="00D01830" w:rsidRPr="00AB7AD8" w:rsidRDefault="00D01830" w:rsidP="0075304E">
            <w:pPr>
              <w:spacing w:after="0" w:line="240" w:lineRule="auto"/>
              <w:jc w:val="center"/>
              <w:rPr>
                <w:rFonts w:ascii="Arial" w:eastAsia="Times New Roman" w:hAnsi="Arial" w:cs="Arial"/>
                <w:color w:val="000000"/>
                <w:sz w:val="20"/>
                <w:szCs w:val="20"/>
                <w:lang w:eastAsia="de-DE"/>
              </w:rPr>
            </w:pPr>
            <w:r w:rsidRPr="00AB7AD8">
              <w:rPr>
                <w:rFonts w:ascii="Arial" w:eastAsia="Times New Roman" w:hAnsi="Arial" w:cs="Arial"/>
                <w:color w:val="000000"/>
                <w:sz w:val="20"/>
                <w:szCs w:val="20"/>
                <w:lang w:eastAsia="de-DE"/>
              </w:rPr>
              <w:t>0.965  (0.856, 1.086)</w:t>
            </w:r>
          </w:p>
        </w:tc>
        <w:tc>
          <w:tcPr>
            <w:tcW w:w="1200" w:type="dxa"/>
            <w:tcBorders>
              <w:top w:val="nil"/>
              <w:left w:val="nil"/>
              <w:bottom w:val="single" w:sz="8" w:space="0" w:color="auto"/>
              <w:right w:val="single" w:sz="8" w:space="0" w:color="auto"/>
            </w:tcBorders>
            <w:shd w:val="clear" w:color="auto" w:fill="auto"/>
            <w:vAlign w:val="center"/>
            <w:hideMark/>
          </w:tcPr>
          <w:p w14:paraId="1FA26E1C" w14:textId="77777777" w:rsidR="00D01830" w:rsidRPr="00AB7AD8" w:rsidRDefault="00D01830" w:rsidP="0075304E">
            <w:pPr>
              <w:spacing w:after="0" w:line="240" w:lineRule="auto"/>
              <w:jc w:val="right"/>
              <w:rPr>
                <w:rFonts w:eastAsia="Times New Roman"/>
                <w:color w:val="000000"/>
                <w:lang w:eastAsia="de-DE"/>
              </w:rPr>
            </w:pPr>
            <w:r w:rsidRPr="00AB7AD8">
              <w:rPr>
                <w:rFonts w:eastAsia="Times New Roman"/>
                <w:color w:val="000000"/>
                <w:lang w:val="en-GB" w:eastAsia="de-DE"/>
              </w:rPr>
              <w:t xml:space="preserve"> 0.555</w:t>
            </w:r>
          </w:p>
        </w:tc>
      </w:tr>
      <w:tr w:rsidR="00D01830" w:rsidRPr="00AB7AD8" w14:paraId="5E476BCC" w14:textId="77777777" w:rsidTr="0075304E">
        <w:trPr>
          <w:trHeight w:val="315"/>
        </w:trPr>
        <w:tc>
          <w:tcPr>
            <w:tcW w:w="2120" w:type="dxa"/>
            <w:tcBorders>
              <w:top w:val="nil"/>
              <w:left w:val="single" w:sz="8" w:space="0" w:color="auto"/>
              <w:bottom w:val="single" w:sz="8" w:space="0" w:color="auto"/>
              <w:right w:val="single" w:sz="8" w:space="0" w:color="auto"/>
            </w:tcBorders>
            <w:shd w:val="clear" w:color="auto" w:fill="auto"/>
            <w:vAlign w:val="center"/>
            <w:hideMark/>
          </w:tcPr>
          <w:p w14:paraId="4AED6876" w14:textId="77777777" w:rsidR="00D01830" w:rsidRPr="00AB7AD8" w:rsidRDefault="00D01830" w:rsidP="0075304E">
            <w:pPr>
              <w:spacing w:after="0" w:line="240" w:lineRule="auto"/>
              <w:rPr>
                <w:rFonts w:ascii="Arial" w:eastAsia="Times New Roman" w:hAnsi="Arial" w:cs="Arial"/>
                <w:color w:val="000000"/>
                <w:sz w:val="20"/>
                <w:szCs w:val="20"/>
                <w:lang w:eastAsia="de-DE"/>
              </w:rPr>
            </w:pPr>
          </w:p>
        </w:tc>
        <w:tc>
          <w:tcPr>
            <w:tcW w:w="2980" w:type="dxa"/>
            <w:tcBorders>
              <w:top w:val="nil"/>
              <w:left w:val="nil"/>
              <w:bottom w:val="single" w:sz="8" w:space="0" w:color="auto"/>
              <w:right w:val="single" w:sz="8" w:space="0" w:color="auto"/>
            </w:tcBorders>
            <w:shd w:val="clear" w:color="auto" w:fill="auto"/>
            <w:vAlign w:val="center"/>
            <w:hideMark/>
          </w:tcPr>
          <w:p w14:paraId="10CD526F" w14:textId="77777777" w:rsidR="00D01830" w:rsidRPr="00AB7AD8" w:rsidRDefault="00D01830" w:rsidP="0075304E">
            <w:pPr>
              <w:spacing w:after="0" w:line="240" w:lineRule="auto"/>
              <w:rPr>
                <w:rFonts w:ascii="Arial" w:eastAsia="Times New Roman" w:hAnsi="Arial" w:cs="Arial"/>
                <w:color w:val="000000"/>
                <w:sz w:val="20"/>
                <w:szCs w:val="20"/>
                <w:lang w:eastAsia="de-DE"/>
              </w:rPr>
            </w:pPr>
            <w:r w:rsidRPr="00AB7AD8">
              <w:rPr>
                <w:rFonts w:ascii="Arial" w:eastAsia="Times New Roman" w:hAnsi="Arial" w:cs="Arial"/>
                <w:color w:val="000000"/>
                <w:sz w:val="20"/>
                <w:szCs w:val="20"/>
                <w:lang w:val="en-GB" w:eastAsia="de-DE"/>
              </w:rPr>
              <w:t>Thuringia</w:t>
            </w:r>
          </w:p>
        </w:tc>
        <w:tc>
          <w:tcPr>
            <w:tcW w:w="2480" w:type="dxa"/>
            <w:tcBorders>
              <w:top w:val="nil"/>
              <w:left w:val="nil"/>
              <w:bottom w:val="single" w:sz="8" w:space="0" w:color="auto"/>
              <w:right w:val="single" w:sz="8" w:space="0" w:color="auto"/>
            </w:tcBorders>
            <w:shd w:val="clear" w:color="auto" w:fill="auto"/>
            <w:vAlign w:val="center"/>
            <w:hideMark/>
          </w:tcPr>
          <w:p w14:paraId="2FE01E74" w14:textId="77777777" w:rsidR="00D01830" w:rsidRPr="00AB7AD8" w:rsidRDefault="00D01830" w:rsidP="0075304E">
            <w:pPr>
              <w:spacing w:after="0" w:line="240" w:lineRule="auto"/>
              <w:jc w:val="center"/>
              <w:rPr>
                <w:rFonts w:ascii="Arial" w:eastAsia="Times New Roman" w:hAnsi="Arial" w:cs="Arial"/>
                <w:color w:val="000000"/>
                <w:sz w:val="20"/>
                <w:szCs w:val="20"/>
                <w:lang w:eastAsia="de-DE"/>
              </w:rPr>
            </w:pPr>
            <w:r w:rsidRPr="00AB7AD8">
              <w:rPr>
                <w:rFonts w:ascii="Arial" w:eastAsia="Times New Roman" w:hAnsi="Arial" w:cs="Arial"/>
                <w:color w:val="000000"/>
                <w:sz w:val="20"/>
                <w:szCs w:val="20"/>
                <w:lang w:eastAsia="de-DE"/>
              </w:rPr>
              <w:t>1.017  (0.902, 1.146)</w:t>
            </w:r>
          </w:p>
        </w:tc>
        <w:tc>
          <w:tcPr>
            <w:tcW w:w="1200" w:type="dxa"/>
            <w:tcBorders>
              <w:top w:val="nil"/>
              <w:left w:val="nil"/>
              <w:bottom w:val="single" w:sz="8" w:space="0" w:color="auto"/>
              <w:right w:val="single" w:sz="8" w:space="0" w:color="auto"/>
            </w:tcBorders>
            <w:shd w:val="clear" w:color="auto" w:fill="auto"/>
            <w:vAlign w:val="center"/>
            <w:hideMark/>
          </w:tcPr>
          <w:p w14:paraId="43FD0F79" w14:textId="77777777" w:rsidR="00D01830" w:rsidRPr="00AB7AD8" w:rsidRDefault="00D01830" w:rsidP="0075304E">
            <w:pPr>
              <w:spacing w:after="0" w:line="240" w:lineRule="auto"/>
              <w:jc w:val="right"/>
              <w:rPr>
                <w:rFonts w:eastAsia="Times New Roman"/>
                <w:color w:val="000000"/>
                <w:lang w:eastAsia="de-DE"/>
              </w:rPr>
            </w:pPr>
            <w:r w:rsidRPr="00AB7AD8">
              <w:rPr>
                <w:rFonts w:eastAsia="Times New Roman"/>
                <w:color w:val="000000"/>
                <w:lang w:val="en-GB" w:eastAsia="de-DE"/>
              </w:rPr>
              <w:t xml:space="preserve"> 0.780</w:t>
            </w:r>
          </w:p>
        </w:tc>
      </w:tr>
      <w:tr w:rsidR="00D01830" w:rsidRPr="00AB7AD8" w14:paraId="53CF4D7F" w14:textId="77777777" w:rsidTr="0075304E">
        <w:trPr>
          <w:trHeight w:val="315"/>
        </w:trPr>
        <w:tc>
          <w:tcPr>
            <w:tcW w:w="2120" w:type="dxa"/>
            <w:tcBorders>
              <w:top w:val="nil"/>
              <w:left w:val="single" w:sz="8" w:space="0" w:color="auto"/>
              <w:bottom w:val="single" w:sz="8" w:space="0" w:color="auto"/>
              <w:right w:val="single" w:sz="8" w:space="0" w:color="auto"/>
            </w:tcBorders>
            <w:shd w:val="clear" w:color="auto" w:fill="auto"/>
            <w:vAlign w:val="center"/>
            <w:hideMark/>
          </w:tcPr>
          <w:p w14:paraId="74FF5EF4" w14:textId="77777777" w:rsidR="00D01830" w:rsidRPr="00AB7AD8" w:rsidRDefault="00D01830" w:rsidP="0075304E">
            <w:pPr>
              <w:spacing w:after="0" w:line="240" w:lineRule="auto"/>
              <w:rPr>
                <w:rFonts w:ascii="Arial" w:eastAsia="Times New Roman" w:hAnsi="Arial" w:cs="Arial"/>
                <w:color w:val="000000"/>
                <w:sz w:val="20"/>
                <w:szCs w:val="20"/>
                <w:lang w:eastAsia="de-DE"/>
              </w:rPr>
            </w:pPr>
          </w:p>
        </w:tc>
        <w:tc>
          <w:tcPr>
            <w:tcW w:w="2980" w:type="dxa"/>
            <w:tcBorders>
              <w:top w:val="nil"/>
              <w:left w:val="nil"/>
              <w:bottom w:val="single" w:sz="8" w:space="0" w:color="auto"/>
              <w:right w:val="single" w:sz="8" w:space="0" w:color="auto"/>
            </w:tcBorders>
            <w:shd w:val="clear" w:color="auto" w:fill="auto"/>
            <w:vAlign w:val="center"/>
            <w:hideMark/>
          </w:tcPr>
          <w:p w14:paraId="03EA9B6C" w14:textId="77777777" w:rsidR="00D01830" w:rsidRPr="00AB7AD8" w:rsidRDefault="00D01830" w:rsidP="0075304E">
            <w:pPr>
              <w:spacing w:after="0" w:line="240" w:lineRule="auto"/>
              <w:rPr>
                <w:rFonts w:ascii="Arial" w:eastAsia="Times New Roman" w:hAnsi="Arial" w:cs="Arial"/>
                <w:color w:val="000000"/>
                <w:sz w:val="20"/>
                <w:szCs w:val="20"/>
                <w:lang w:eastAsia="de-DE"/>
              </w:rPr>
            </w:pPr>
            <w:r w:rsidRPr="00AB7AD8">
              <w:rPr>
                <w:rFonts w:ascii="Arial" w:eastAsia="Times New Roman" w:hAnsi="Arial" w:cs="Arial"/>
                <w:color w:val="000000"/>
                <w:sz w:val="20"/>
                <w:szCs w:val="20"/>
                <w:lang w:val="en-GB" w:eastAsia="de-DE"/>
              </w:rPr>
              <w:t>Westphalia-Lippe</w:t>
            </w:r>
          </w:p>
        </w:tc>
        <w:tc>
          <w:tcPr>
            <w:tcW w:w="2480" w:type="dxa"/>
            <w:tcBorders>
              <w:top w:val="nil"/>
              <w:left w:val="nil"/>
              <w:bottom w:val="single" w:sz="8" w:space="0" w:color="auto"/>
              <w:right w:val="single" w:sz="8" w:space="0" w:color="auto"/>
            </w:tcBorders>
            <w:shd w:val="clear" w:color="auto" w:fill="auto"/>
            <w:vAlign w:val="center"/>
            <w:hideMark/>
          </w:tcPr>
          <w:p w14:paraId="5A593D8C" w14:textId="77777777" w:rsidR="00D01830" w:rsidRPr="00AB7AD8" w:rsidRDefault="00D01830" w:rsidP="0075304E">
            <w:pPr>
              <w:spacing w:after="0" w:line="240" w:lineRule="auto"/>
              <w:jc w:val="center"/>
              <w:rPr>
                <w:rFonts w:ascii="Arial" w:eastAsia="Times New Roman" w:hAnsi="Arial" w:cs="Arial"/>
                <w:color w:val="000000"/>
                <w:sz w:val="20"/>
                <w:szCs w:val="20"/>
                <w:lang w:eastAsia="de-DE"/>
              </w:rPr>
            </w:pPr>
            <w:r w:rsidRPr="00AB7AD8">
              <w:rPr>
                <w:rFonts w:ascii="Arial" w:eastAsia="Times New Roman" w:hAnsi="Arial" w:cs="Arial"/>
                <w:color w:val="000000"/>
                <w:sz w:val="20"/>
                <w:szCs w:val="20"/>
                <w:lang w:eastAsia="de-DE"/>
              </w:rPr>
              <w:t>1.170  (1.084, 1.263)</w:t>
            </w:r>
          </w:p>
        </w:tc>
        <w:tc>
          <w:tcPr>
            <w:tcW w:w="1200" w:type="dxa"/>
            <w:tcBorders>
              <w:top w:val="nil"/>
              <w:left w:val="nil"/>
              <w:bottom w:val="single" w:sz="8" w:space="0" w:color="auto"/>
              <w:right w:val="single" w:sz="8" w:space="0" w:color="auto"/>
            </w:tcBorders>
            <w:shd w:val="clear" w:color="auto" w:fill="auto"/>
            <w:vAlign w:val="center"/>
            <w:hideMark/>
          </w:tcPr>
          <w:p w14:paraId="2C9B105B" w14:textId="77777777" w:rsidR="00D01830" w:rsidRPr="00AB7AD8" w:rsidRDefault="00D01830" w:rsidP="0075304E">
            <w:pPr>
              <w:spacing w:after="0" w:line="240" w:lineRule="auto"/>
              <w:jc w:val="right"/>
              <w:rPr>
                <w:rFonts w:eastAsia="Times New Roman"/>
                <w:color w:val="000000"/>
                <w:lang w:eastAsia="de-DE"/>
              </w:rPr>
            </w:pPr>
            <w:r w:rsidRPr="00AB7AD8">
              <w:rPr>
                <w:rFonts w:eastAsia="Times New Roman"/>
                <w:color w:val="000000"/>
                <w:lang w:eastAsia="de-DE"/>
              </w:rPr>
              <w:t>&lt; 0.001</w:t>
            </w:r>
          </w:p>
        </w:tc>
      </w:tr>
      <w:tr w:rsidR="00D01830" w:rsidRPr="00AB7AD8" w14:paraId="1E452530" w14:textId="77777777" w:rsidTr="0075304E">
        <w:trPr>
          <w:trHeight w:val="315"/>
        </w:trPr>
        <w:tc>
          <w:tcPr>
            <w:tcW w:w="2120" w:type="dxa"/>
            <w:tcBorders>
              <w:top w:val="nil"/>
              <w:left w:val="single" w:sz="8" w:space="0" w:color="auto"/>
              <w:bottom w:val="single" w:sz="8" w:space="0" w:color="auto"/>
              <w:right w:val="single" w:sz="8" w:space="0" w:color="auto"/>
            </w:tcBorders>
            <w:shd w:val="clear" w:color="auto" w:fill="auto"/>
            <w:vAlign w:val="center"/>
            <w:hideMark/>
          </w:tcPr>
          <w:p w14:paraId="52DCE431" w14:textId="77777777" w:rsidR="00D01830" w:rsidRPr="00AB7AD8" w:rsidRDefault="00D01830" w:rsidP="0075304E">
            <w:pPr>
              <w:spacing w:after="0" w:line="240" w:lineRule="auto"/>
              <w:rPr>
                <w:rFonts w:ascii="Arial" w:eastAsia="Times New Roman" w:hAnsi="Arial" w:cs="Arial"/>
                <w:color w:val="000000"/>
                <w:sz w:val="20"/>
                <w:szCs w:val="20"/>
                <w:lang w:eastAsia="de-DE"/>
              </w:rPr>
            </w:pPr>
          </w:p>
        </w:tc>
        <w:tc>
          <w:tcPr>
            <w:tcW w:w="2980" w:type="dxa"/>
            <w:tcBorders>
              <w:top w:val="nil"/>
              <w:left w:val="nil"/>
              <w:bottom w:val="single" w:sz="8" w:space="0" w:color="auto"/>
              <w:right w:val="single" w:sz="8" w:space="0" w:color="auto"/>
            </w:tcBorders>
            <w:shd w:val="clear" w:color="auto" w:fill="auto"/>
            <w:vAlign w:val="center"/>
            <w:hideMark/>
          </w:tcPr>
          <w:p w14:paraId="7F2B0A95" w14:textId="77777777" w:rsidR="00D01830" w:rsidRPr="00AB7AD8" w:rsidRDefault="00D01830" w:rsidP="0075304E">
            <w:pPr>
              <w:spacing w:after="0" w:line="240" w:lineRule="auto"/>
              <w:rPr>
                <w:rFonts w:ascii="Arial" w:eastAsia="Times New Roman" w:hAnsi="Arial" w:cs="Arial"/>
                <w:color w:val="000000"/>
                <w:sz w:val="20"/>
                <w:szCs w:val="20"/>
                <w:lang w:eastAsia="de-DE"/>
              </w:rPr>
            </w:pPr>
            <w:r w:rsidRPr="00AB7AD8">
              <w:rPr>
                <w:rFonts w:ascii="Arial" w:eastAsia="Times New Roman" w:hAnsi="Arial" w:cs="Arial"/>
                <w:color w:val="000000"/>
                <w:sz w:val="20"/>
                <w:szCs w:val="20"/>
                <w:lang w:val="en-GB" w:eastAsia="de-DE"/>
              </w:rPr>
              <w:t>Unknown</w:t>
            </w:r>
          </w:p>
        </w:tc>
        <w:tc>
          <w:tcPr>
            <w:tcW w:w="2480" w:type="dxa"/>
            <w:tcBorders>
              <w:top w:val="nil"/>
              <w:left w:val="nil"/>
              <w:bottom w:val="single" w:sz="8" w:space="0" w:color="auto"/>
              <w:right w:val="single" w:sz="8" w:space="0" w:color="auto"/>
            </w:tcBorders>
            <w:shd w:val="clear" w:color="auto" w:fill="auto"/>
            <w:vAlign w:val="center"/>
            <w:hideMark/>
          </w:tcPr>
          <w:p w14:paraId="3141EDB7" w14:textId="77777777" w:rsidR="00D01830" w:rsidRPr="00AB7AD8" w:rsidRDefault="00D01830" w:rsidP="0075304E">
            <w:pPr>
              <w:spacing w:after="0" w:line="240" w:lineRule="auto"/>
              <w:jc w:val="center"/>
              <w:rPr>
                <w:rFonts w:ascii="Arial" w:eastAsia="Times New Roman" w:hAnsi="Arial" w:cs="Arial"/>
                <w:color w:val="000000"/>
                <w:sz w:val="20"/>
                <w:szCs w:val="20"/>
                <w:lang w:eastAsia="de-DE"/>
              </w:rPr>
            </w:pPr>
            <w:r w:rsidRPr="00AB7AD8">
              <w:rPr>
                <w:rFonts w:ascii="Arial" w:eastAsia="Times New Roman" w:hAnsi="Arial" w:cs="Arial"/>
                <w:color w:val="000000"/>
                <w:sz w:val="20"/>
                <w:szCs w:val="20"/>
                <w:lang w:eastAsia="de-DE"/>
              </w:rPr>
              <w:t>0.788  (0.319, 1.756)</w:t>
            </w:r>
          </w:p>
        </w:tc>
        <w:tc>
          <w:tcPr>
            <w:tcW w:w="1200" w:type="dxa"/>
            <w:tcBorders>
              <w:top w:val="nil"/>
              <w:left w:val="nil"/>
              <w:bottom w:val="single" w:sz="8" w:space="0" w:color="auto"/>
              <w:right w:val="single" w:sz="8" w:space="0" w:color="auto"/>
            </w:tcBorders>
            <w:shd w:val="clear" w:color="auto" w:fill="auto"/>
            <w:vAlign w:val="center"/>
            <w:hideMark/>
          </w:tcPr>
          <w:p w14:paraId="49495B6C" w14:textId="77777777" w:rsidR="00D01830" w:rsidRPr="00AB7AD8" w:rsidRDefault="00D01830" w:rsidP="0075304E">
            <w:pPr>
              <w:spacing w:after="0" w:line="240" w:lineRule="auto"/>
              <w:jc w:val="right"/>
              <w:rPr>
                <w:rFonts w:eastAsia="Times New Roman"/>
                <w:color w:val="000000"/>
                <w:lang w:eastAsia="de-DE"/>
              </w:rPr>
            </w:pPr>
            <w:r w:rsidRPr="00AB7AD8">
              <w:rPr>
                <w:rFonts w:eastAsia="Times New Roman"/>
                <w:color w:val="000000"/>
                <w:lang w:val="en-GB" w:eastAsia="de-DE"/>
              </w:rPr>
              <w:t xml:space="preserve"> 0.579</w:t>
            </w:r>
          </w:p>
        </w:tc>
      </w:tr>
      <w:tr w:rsidR="00D01830" w:rsidRPr="00AB7AD8" w14:paraId="4ED2EF39" w14:textId="77777777" w:rsidTr="0075304E">
        <w:trPr>
          <w:trHeight w:val="315"/>
        </w:trPr>
        <w:tc>
          <w:tcPr>
            <w:tcW w:w="2120" w:type="dxa"/>
            <w:tcBorders>
              <w:top w:val="nil"/>
              <w:left w:val="single" w:sz="8" w:space="0" w:color="auto"/>
              <w:bottom w:val="single" w:sz="8" w:space="0" w:color="auto"/>
              <w:right w:val="single" w:sz="8" w:space="0" w:color="auto"/>
            </w:tcBorders>
            <w:shd w:val="clear" w:color="auto" w:fill="auto"/>
            <w:vAlign w:val="center"/>
            <w:hideMark/>
          </w:tcPr>
          <w:p w14:paraId="5DB06BF1" w14:textId="77777777" w:rsidR="00D01830" w:rsidRPr="00AB7AD8" w:rsidRDefault="00D01830" w:rsidP="0075304E">
            <w:pPr>
              <w:spacing w:after="0" w:line="240" w:lineRule="auto"/>
              <w:rPr>
                <w:rFonts w:ascii="Arial" w:eastAsia="Times New Roman" w:hAnsi="Arial" w:cs="Arial"/>
                <w:color w:val="000000"/>
                <w:sz w:val="20"/>
                <w:szCs w:val="20"/>
                <w:lang w:eastAsia="de-DE"/>
              </w:rPr>
            </w:pPr>
            <w:r w:rsidRPr="00AB7AD8">
              <w:rPr>
                <w:rFonts w:ascii="Arial" w:eastAsia="Times New Roman" w:hAnsi="Arial" w:cs="Arial"/>
                <w:color w:val="000000"/>
                <w:sz w:val="20"/>
                <w:szCs w:val="20"/>
                <w:lang w:val="en-GB" w:eastAsia="de-DE"/>
              </w:rPr>
              <w:t>Specialty</w:t>
            </w:r>
          </w:p>
        </w:tc>
        <w:tc>
          <w:tcPr>
            <w:tcW w:w="2980" w:type="dxa"/>
            <w:tcBorders>
              <w:top w:val="nil"/>
              <w:left w:val="nil"/>
              <w:bottom w:val="single" w:sz="8" w:space="0" w:color="auto"/>
              <w:right w:val="single" w:sz="8" w:space="0" w:color="auto"/>
            </w:tcBorders>
            <w:shd w:val="clear" w:color="auto" w:fill="auto"/>
            <w:vAlign w:val="center"/>
            <w:hideMark/>
          </w:tcPr>
          <w:p w14:paraId="5429DDA8" w14:textId="77777777" w:rsidR="00D01830" w:rsidRPr="00AB7AD8" w:rsidRDefault="00D01830" w:rsidP="0075304E">
            <w:pPr>
              <w:spacing w:after="0" w:line="240" w:lineRule="auto"/>
              <w:rPr>
                <w:rFonts w:ascii="Arial" w:eastAsia="Times New Roman" w:hAnsi="Arial" w:cs="Arial"/>
                <w:color w:val="000000"/>
                <w:sz w:val="20"/>
                <w:szCs w:val="20"/>
                <w:lang w:eastAsia="de-DE"/>
              </w:rPr>
            </w:pPr>
            <w:proofErr w:type="spellStart"/>
            <w:r w:rsidRPr="00AB7AD8">
              <w:rPr>
                <w:rFonts w:ascii="Arial" w:eastAsia="Times New Roman" w:hAnsi="Arial" w:cs="Arial"/>
                <w:color w:val="000000"/>
                <w:sz w:val="20"/>
                <w:szCs w:val="20"/>
                <w:lang w:val="en-GB" w:eastAsia="de-DE"/>
              </w:rPr>
              <w:t>Gynecologists</w:t>
            </w:r>
            <w:proofErr w:type="spellEnd"/>
          </w:p>
        </w:tc>
        <w:tc>
          <w:tcPr>
            <w:tcW w:w="2480" w:type="dxa"/>
            <w:tcBorders>
              <w:top w:val="nil"/>
              <w:left w:val="nil"/>
              <w:bottom w:val="single" w:sz="8" w:space="0" w:color="auto"/>
              <w:right w:val="single" w:sz="8" w:space="0" w:color="auto"/>
            </w:tcBorders>
            <w:shd w:val="clear" w:color="auto" w:fill="auto"/>
            <w:vAlign w:val="center"/>
            <w:hideMark/>
          </w:tcPr>
          <w:p w14:paraId="65295F74" w14:textId="77777777" w:rsidR="00D01830" w:rsidRPr="00AB7AD8" w:rsidRDefault="00D01830" w:rsidP="0075304E">
            <w:pPr>
              <w:spacing w:after="0" w:line="240" w:lineRule="auto"/>
              <w:jc w:val="center"/>
              <w:rPr>
                <w:rFonts w:ascii="Arial" w:eastAsia="Times New Roman" w:hAnsi="Arial" w:cs="Arial"/>
                <w:color w:val="000000"/>
                <w:sz w:val="20"/>
                <w:szCs w:val="20"/>
                <w:lang w:eastAsia="de-DE"/>
              </w:rPr>
            </w:pPr>
            <w:r w:rsidRPr="00AB7AD8">
              <w:rPr>
                <w:rFonts w:ascii="Arial" w:eastAsia="Times New Roman" w:hAnsi="Arial" w:cs="Arial"/>
                <w:color w:val="000000"/>
                <w:sz w:val="20"/>
                <w:szCs w:val="20"/>
                <w:lang w:eastAsia="de-DE"/>
              </w:rPr>
              <w:t xml:space="preserve">Reference  </w:t>
            </w:r>
          </w:p>
        </w:tc>
        <w:tc>
          <w:tcPr>
            <w:tcW w:w="1200" w:type="dxa"/>
            <w:tcBorders>
              <w:top w:val="nil"/>
              <w:left w:val="nil"/>
              <w:bottom w:val="single" w:sz="8" w:space="0" w:color="auto"/>
              <w:right w:val="single" w:sz="8" w:space="0" w:color="auto"/>
            </w:tcBorders>
            <w:shd w:val="clear" w:color="auto" w:fill="auto"/>
            <w:vAlign w:val="center"/>
            <w:hideMark/>
          </w:tcPr>
          <w:p w14:paraId="7F3FD4C8" w14:textId="77777777" w:rsidR="00D01830" w:rsidRPr="00AB7AD8" w:rsidRDefault="00D01830" w:rsidP="0075304E">
            <w:pPr>
              <w:spacing w:after="0" w:line="240" w:lineRule="auto"/>
              <w:jc w:val="center"/>
              <w:rPr>
                <w:rFonts w:eastAsia="Times New Roman"/>
                <w:color w:val="000000"/>
                <w:lang w:eastAsia="de-DE"/>
              </w:rPr>
            </w:pPr>
            <w:r w:rsidRPr="00AB7AD8">
              <w:rPr>
                <w:rFonts w:eastAsia="Times New Roman"/>
                <w:color w:val="000000"/>
                <w:lang w:eastAsia="de-DE"/>
              </w:rPr>
              <w:t>-</w:t>
            </w:r>
          </w:p>
        </w:tc>
      </w:tr>
      <w:tr w:rsidR="00D01830" w:rsidRPr="00AB7AD8" w14:paraId="0FD6E314" w14:textId="77777777" w:rsidTr="0075304E">
        <w:trPr>
          <w:trHeight w:val="315"/>
        </w:trPr>
        <w:tc>
          <w:tcPr>
            <w:tcW w:w="2120" w:type="dxa"/>
            <w:tcBorders>
              <w:top w:val="nil"/>
              <w:left w:val="single" w:sz="8" w:space="0" w:color="auto"/>
              <w:bottom w:val="single" w:sz="8" w:space="0" w:color="auto"/>
              <w:right w:val="single" w:sz="8" w:space="0" w:color="auto"/>
            </w:tcBorders>
            <w:shd w:val="clear" w:color="auto" w:fill="auto"/>
            <w:vAlign w:val="center"/>
            <w:hideMark/>
          </w:tcPr>
          <w:p w14:paraId="0D302D36" w14:textId="77777777" w:rsidR="00D01830" w:rsidRPr="00AB7AD8" w:rsidRDefault="00D01830" w:rsidP="0075304E">
            <w:pPr>
              <w:spacing w:after="0" w:line="240" w:lineRule="auto"/>
              <w:rPr>
                <w:rFonts w:ascii="Arial" w:eastAsia="Times New Roman" w:hAnsi="Arial" w:cs="Arial"/>
                <w:color w:val="000000"/>
                <w:sz w:val="20"/>
                <w:szCs w:val="20"/>
                <w:lang w:eastAsia="de-DE"/>
              </w:rPr>
            </w:pPr>
          </w:p>
        </w:tc>
        <w:tc>
          <w:tcPr>
            <w:tcW w:w="2980" w:type="dxa"/>
            <w:tcBorders>
              <w:top w:val="nil"/>
              <w:left w:val="nil"/>
              <w:bottom w:val="single" w:sz="8" w:space="0" w:color="auto"/>
              <w:right w:val="single" w:sz="8" w:space="0" w:color="auto"/>
            </w:tcBorders>
            <w:shd w:val="clear" w:color="auto" w:fill="auto"/>
            <w:vAlign w:val="center"/>
            <w:hideMark/>
          </w:tcPr>
          <w:p w14:paraId="0C431962" w14:textId="77777777" w:rsidR="00D01830" w:rsidRPr="00AB7AD8" w:rsidRDefault="00D01830" w:rsidP="0075304E">
            <w:pPr>
              <w:spacing w:after="0" w:line="240" w:lineRule="auto"/>
              <w:rPr>
                <w:rFonts w:ascii="Arial" w:eastAsia="Times New Roman" w:hAnsi="Arial" w:cs="Arial"/>
                <w:color w:val="000000"/>
                <w:sz w:val="20"/>
                <w:szCs w:val="20"/>
                <w:lang w:eastAsia="de-DE"/>
              </w:rPr>
            </w:pPr>
            <w:r w:rsidRPr="00AB7AD8">
              <w:rPr>
                <w:rFonts w:ascii="Arial" w:eastAsia="Times New Roman" w:hAnsi="Arial" w:cs="Arial"/>
                <w:color w:val="000000"/>
                <w:sz w:val="20"/>
                <w:szCs w:val="20"/>
                <w:lang w:val="en-GB" w:eastAsia="de-DE"/>
              </w:rPr>
              <w:t>General practitioners</w:t>
            </w:r>
          </w:p>
        </w:tc>
        <w:tc>
          <w:tcPr>
            <w:tcW w:w="2480" w:type="dxa"/>
            <w:tcBorders>
              <w:top w:val="nil"/>
              <w:left w:val="nil"/>
              <w:bottom w:val="single" w:sz="8" w:space="0" w:color="auto"/>
              <w:right w:val="single" w:sz="8" w:space="0" w:color="auto"/>
            </w:tcBorders>
            <w:shd w:val="clear" w:color="auto" w:fill="auto"/>
            <w:vAlign w:val="center"/>
            <w:hideMark/>
          </w:tcPr>
          <w:p w14:paraId="053170E3" w14:textId="77777777" w:rsidR="00D01830" w:rsidRPr="00AB7AD8" w:rsidRDefault="00D01830" w:rsidP="0075304E">
            <w:pPr>
              <w:spacing w:after="0" w:line="240" w:lineRule="auto"/>
              <w:jc w:val="center"/>
              <w:rPr>
                <w:rFonts w:ascii="Arial" w:eastAsia="Times New Roman" w:hAnsi="Arial" w:cs="Arial"/>
                <w:color w:val="000000"/>
                <w:sz w:val="20"/>
                <w:szCs w:val="20"/>
                <w:lang w:eastAsia="de-DE"/>
              </w:rPr>
            </w:pPr>
            <w:r w:rsidRPr="00AB7AD8">
              <w:rPr>
                <w:rFonts w:ascii="Arial" w:eastAsia="Times New Roman" w:hAnsi="Arial" w:cs="Arial"/>
                <w:color w:val="000000"/>
                <w:sz w:val="20"/>
                <w:szCs w:val="20"/>
                <w:lang w:eastAsia="de-DE"/>
              </w:rPr>
              <w:t>1.973  (1.830, 2.126)</w:t>
            </w:r>
          </w:p>
        </w:tc>
        <w:tc>
          <w:tcPr>
            <w:tcW w:w="1200" w:type="dxa"/>
            <w:tcBorders>
              <w:top w:val="nil"/>
              <w:left w:val="nil"/>
              <w:bottom w:val="single" w:sz="8" w:space="0" w:color="auto"/>
              <w:right w:val="single" w:sz="8" w:space="0" w:color="auto"/>
            </w:tcBorders>
            <w:shd w:val="clear" w:color="auto" w:fill="auto"/>
            <w:vAlign w:val="center"/>
            <w:hideMark/>
          </w:tcPr>
          <w:p w14:paraId="54C4755A" w14:textId="77777777" w:rsidR="00D01830" w:rsidRPr="00AB7AD8" w:rsidRDefault="00D01830" w:rsidP="0075304E">
            <w:pPr>
              <w:spacing w:after="0" w:line="240" w:lineRule="auto"/>
              <w:jc w:val="right"/>
              <w:rPr>
                <w:rFonts w:eastAsia="Times New Roman"/>
                <w:color w:val="000000"/>
                <w:lang w:eastAsia="de-DE"/>
              </w:rPr>
            </w:pPr>
            <w:r w:rsidRPr="00AB7AD8">
              <w:rPr>
                <w:rFonts w:eastAsia="Times New Roman"/>
                <w:color w:val="000000"/>
                <w:lang w:eastAsia="de-DE"/>
              </w:rPr>
              <w:t>&lt; 0.001</w:t>
            </w:r>
          </w:p>
        </w:tc>
      </w:tr>
      <w:tr w:rsidR="00D01830" w:rsidRPr="00AB7AD8" w14:paraId="232C5A6E" w14:textId="77777777" w:rsidTr="0075304E">
        <w:trPr>
          <w:trHeight w:val="315"/>
        </w:trPr>
        <w:tc>
          <w:tcPr>
            <w:tcW w:w="2120" w:type="dxa"/>
            <w:tcBorders>
              <w:top w:val="nil"/>
              <w:left w:val="single" w:sz="8" w:space="0" w:color="auto"/>
              <w:bottom w:val="single" w:sz="8" w:space="0" w:color="auto"/>
              <w:right w:val="single" w:sz="8" w:space="0" w:color="auto"/>
            </w:tcBorders>
            <w:shd w:val="clear" w:color="auto" w:fill="auto"/>
            <w:vAlign w:val="center"/>
            <w:hideMark/>
          </w:tcPr>
          <w:p w14:paraId="41D22087" w14:textId="77777777" w:rsidR="00D01830" w:rsidRPr="00AB7AD8" w:rsidRDefault="00D01830" w:rsidP="0075304E">
            <w:pPr>
              <w:spacing w:after="0" w:line="240" w:lineRule="auto"/>
              <w:rPr>
                <w:rFonts w:ascii="Arial" w:eastAsia="Times New Roman" w:hAnsi="Arial" w:cs="Arial"/>
                <w:color w:val="000000"/>
                <w:sz w:val="20"/>
                <w:szCs w:val="20"/>
                <w:lang w:eastAsia="de-DE"/>
              </w:rPr>
            </w:pPr>
          </w:p>
        </w:tc>
        <w:tc>
          <w:tcPr>
            <w:tcW w:w="2980" w:type="dxa"/>
            <w:tcBorders>
              <w:top w:val="nil"/>
              <w:left w:val="nil"/>
              <w:bottom w:val="single" w:sz="8" w:space="0" w:color="auto"/>
              <w:right w:val="single" w:sz="8" w:space="0" w:color="auto"/>
            </w:tcBorders>
            <w:shd w:val="clear" w:color="auto" w:fill="auto"/>
            <w:vAlign w:val="center"/>
            <w:hideMark/>
          </w:tcPr>
          <w:p w14:paraId="35369F9A" w14:textId="77777777" w:rsidR="00D01830" w:rsidRPr="00AB7AD8" w:rsidRDefault="00D01830" w:rsidP="0075304E">
            <w:pPr>
              <w:spacing w:after="0" w:line="240" w:lineRule="auto"/>
              <w:rPr>
                <w:rFonts w:ascii="Arial" w:eastAsia="Times New Roman" w:hAnsi="Arial" w:cs="Arial"/>
                <w:color w:val="000000"/>
                <w:sz w:val="20"/>
                <w:szCs w:val="20"/>
                <w:lang w:eastAsia="de-DE"/>
              </w:rPr>
            </w:pPr>
            <w:r w:rsidRPr="00AB7AD8">
              <w:rPr>
                <w:rFonts w:ascii="Arial" w:eastAsia="Times New Roman" w:hAnsi="Arial" w:cs="Arial"/>
                <w:color w:val="000000"/>
                <w:sz w:val="20"/>
                <w:szCs w:val="20"/>
                <w:lang w:val="en-GB" w:eastAsia="de-DE"/>
              </w:rPr>
              <w:t>Other</w:t>
            </w:r>
          </w:p>
        </w:tc>
        <w:tc>
          <w:tcPr>
            <w:tcW w:w="2480" w:type="dxa"/>
            <w:tcBorders>
              <w:top w:val="nil"/>
              <w:left w:val="nil"/>
              <w:bottom w:val="single" w:sz="8" w:space="0" w:color="auto"/>
              <w:right w:val="single" w:sz="8" w:space="0" w:color="auto"/>
            </w:tcBorders>
            <w:shd w:val="clear" w:color="auto" w:fill="auto"/>
            <w:vAlign w:val="center"/>
            <w:hideMark/>
          </w:tcPr>
          <w:p w14:paraId="0B95B881" w14:textId="77777777" w:rsidR="00D01830" w:rsidRPr="00AB7AD8" w:rsidRDefault="00D01830" w:rsidP="0075304E">
            <w:pPr>
              <w:spacing w:after="0" w:line="240" w:lineRule="auto"/>
              <w:jc w:val="center"/>
              <w:rPr>
                <w:rFonts w:ascii="Arial" w:eastAsia="Times New Roman" w:hAnsi="Arial" w:cs="Arial"/>
                <w:color w:val="000000"/>
                <w:sz w:val="20"/>
                <w:szCs w:val="20"/>
                <w:lang w:eastAsia="de-DE"/>
              </w:rPr>
            </w:pPr>
            <w:r w:rsidRPr="00AB7AD8">
              <w:rPr>
                <w:rFonts w:ascii="Arial" w:eastAsia="Times New Roman" w:hAnsi="Arial" w:cs="Arial"/>
                <w:color w:val="000000"/>
                <w:sz w:val="20"/>
                <w:szCs w:val="20"/>
                <w:lang w:eastAsia="de-DE"/>
              </w:rPr>
              <w:t>1.189  (0.899, 1.565)</w:t>
            </w:r>
          </w:p>
        </w:tc>
        <w:tc>
          <w:tcPr>
            <w:tcW w:w="1200" w:type="dxa"/>
            <w:tcBorders>
              <w:top w:val="nil"/>
              <w:left w:val="nil"/>
              <w:bottom w:val="single" w:sz="8" w:space="0" w:color="auto"/>
              <w:right w:val="single" w:sz="8" w:space="0" w:color="auto"/>
            </w:tcBorders>
            <w:shd w:val="clear" w:color="auto" w:fill="auto"/>
            <w:vAlign w:val="center"/>
            <w:hideMark/>
          </w:tcPr>
          <w:p w14:paraId="09D3F360" w14:textId="77777777" w:rsidR="00D01830" w:rsidRPr="00AB7AD8" w:rsidRDefault="00D01830" w:rsidP="0075304E">
            <w:pPr>
              <w:spacing w:after="0" w:line="240" w:lineRule="auto"/>
              <w:jc w:val="right"/>
              <w:rPr>
                <w:rFonts w:eastAsia="Times New Roman"/>
                <w:color w:val="000000"/>
                <w:lang w:eastAsia="de-DE"/>
              </w:rPr>
            </w:pPr>
            <w:r w:rsidRPr="00AB7AD8">
              <w:rPr>
                <w:rFonts w:eastAsia="Times New Roman"/>
                <w:color w:val="000000"/>
                <w:lang w:val="en-GB" w:eastAsia="de-DE"/>
              </w:rPr>
              <w:t xml:space="preserve"> 0.220</w:t>
            </w:r>
          </w:p>
        </w:tc>
      </w:tr>
      <w:tr w:rsidR="00D01830" w:rsidRPr="00AB7AD8" w14:paraId="24211BC2" w14:textId="77777777" w:rsidTr="0075304E">
        <w:trPr>
          <w:trHeight w:val="315"/>
        </w:trPr>
        <w:tc>
          <w:tcPr>
            <w:tcW w:w="2120" w:type="dxa"/>
            <w:tcBorders>
              <w:top w:val="nil"/>
              <w:left w:val="single" w:sz="8" w:space="0" w:color="auto"/>
              <w:bottom w:val="single" w:sz="8" w:space="0" w:color="auto"/>
              <w:right w:val="single" w:sz="8" w:space="0" w:color="auto"/>
            </w:tcBorders>
            <w:shd w:val="clear" w:color="auto" w:fill="auto"/>
            <w:vAlign w:val="center"/>
            <w:hideMark/>
          </w:tcPr>
          <w:p w14:paraId="7795FC68" w14:textId="77777777" w:rsidR="00D01830" w:rsidRPr="00AB7AD8" w:rsidRDefault="00D01830" w:rsidP="0075304E">
            <w:pPr>
              <w:spacing w:after="0" w:line="240" w:lineRule="auto"/>
              <w:rPr>
                <w:rFonts w:ascii="Arial" w:eastAsia="Times New Roman" w:hAnsi="Arial" w:cs="Arial"/>
                <w:color w:val="000000"/>
                <w:sz w:val="20"/>
                <w:szCs w:val="20"/>
                <w:lang w:eastAsia="de-DE"/>
              </w:rPr>
            </w:pPr>
            <w:r w:rsidRPr="00AB7AD8">
              <w:rPr>
                <w:rFonts w:ascii="Arial" w:eastAsia="Times New Roman" w:hAnsi="Arial" w:cs="Arial"/>
                <w:color w:val="000000"/>
                <w:sz w:val="20"/>
                <w:szCs w:val="20"/>
                <w:lang w:val="en-GB" w:eastAsia="de-DE"/>
              </w:rPr>
              <w:t>Physicians’ Gender</w:t>
            </w:r>
          </w:p>
        </w:tc>
        <w:tc>
          <w:tcPr>
            <w:tcW w:w="2980" w:type="dxa"/>
            <w:tcBorders>
              <w:top w:val="nil"/>
              <w:left w:val="nil"/>
              <w:bottom w:val="single" w:sz="8" w:space="0" w:color="auto"/>
              <w:right w:val="single" w:sz="8" w:space="0" w:color="auto"/>
            </w:tcBorders>
            <w:shd w:val="clear" w:color="auto" w:fill="auto"/>
            <w:vAlign w:val="center"/>
            <w:hideMark/>
          </w:tcPr>
          <w:p w14:paraId="500128CD" w14:textId="77777777" w:rsidR="00D01830" w:rsidRPr="00AB7AD8" w:rsidRDefault="00D01830" w:rsidP="0075304E">
            <w:pPr>
              <w:spacing w:after="0" w:line="240" w:lineRule="auto"/>
              <w:rPr>
                <w:rFonts w:ascii="Arial" w:eastAsia="Times New Roman" w:hAnsi="Arial" w:cs="Arial"/>
                <w:color w:val="000000"/>
                <w:sz w:val="20"/>
                <w:szCs w:val="20"/>
                <w:lang w:eastAsia="de-DE"/>
              </w:rPr>
            </w:pPr>
            <w:r w:rsidRPr="00AB7AD8">
              <w:rPr>
                <w:rFonts w:ascii="Arial" w:eastAsia="Times New Roman" w:hAnsi="Arial" w:cs="Arial"/>
                <w:color w:val="000000"/>
                <w:sz w:val="20"/>
                <w:szCs w:val="20"/>
                <w:lang w:val="en-GB" w:eastAsia="de-DE"/>
              </w:rPr>
              <w:t>Male</w:t>
            </w:r>
          </w:p>
        </w:tc>
        <w:tc>
          <w:tcPr>
            <w:tcW w:w="2480" w:type="dxa"/>
            <w:tcBorders>
              <w:top w:val="nil"/>
              <w:left w:val="nil"/>
              <w:bottom w:val="single" w:sz="8" w:space="0" w:color="auto"/>
              <w:right w:val="single" w:sz="8" w:space="0" w:color="auto"/>
            </w:tcBorders>
            <w:shd w:val="clear" w:color="auto" w:fill="auto"/>
            <w:vAlign w:val="center"/>
            <w:hideMark/>
          </w:tcPr>
          <w:p w14:paraId="57872699" w14:textId="77777777" w:rsidR="00D01830" w:rsidRPr="00AB7AD8" w:rsidRDefault="00D01830" w:rsidP="0075304E">
            <w:pPr>
              <w:spacing w:after="0" w:line="240" w:lineRule="auto"/>
              <w:jc w:val="center"/>
              <w:rPr>
                <w:rFonts w:ascii="Arial" w:eastAsia="Times New Roman" w:hAnsi="Arial" w:cs="Arial"/>
                <w:color w:val="000000"/>
                <w:sz w:val="20"/>
                <w:szCs w:val="20"/>
                <w:lang w:eastAsia="de-DE"/>
              </w:rPr>
            </w:pPr>
            <w:r w:rsidRPr="00AB7AD8">
              <w:rPr>
                <w:rFonts w:ascii="Arial" w:eastAsia="Times New Roman" w:hAnsi="Arial" w:cs="Arial"/>
                <w:color w:val="000000"/>
                <w:sz w:val="20"/>
                <w:szCs w:val="20"/>
                <w:lang w:eastAsia="de-DE"/>
              </w:rPr>
              <w:t xml:space="preserve">Reference  </w:t>
            </w:r>
          </w:p>
        </w:tc>
        <w:tc>
          <w:tcPr>
            <w:tcW w:w="1200" w:type="dxa"/>
            <w:tcBorders>
              <w:top w:val="nil"/>
              <w:left w:val="nil"/>
              <w:bottom w:val="single" w:sz="8" w:space="0" w:color="auto"/>
              <w:right w:val="single" w:sz="8" w:space="0" w:color="auto"/>
            </w:tcBorders>
            <w:shd w:val="clear" w:color="auto" w:fill="auto"/>
            <w:vAlign w:val="center"/>
            <w:hideMark/>
          </w:tcPr>
          <w:p w14:paraId="76E0AB86" w14:textId="77777777" w:rsidR="00D01830" w:rsidRPr="00AB7AD8" w:rsidRDefault="00D01830" w:rsidP="0075304E">
            <w:pPr>
              <w:spacing w:after="0" w:line="240" w:lineRule="auto"/>
              <w:jc w:val="center"/>
              <w:rPr>
                <w:rFonts w:eastAsia="Times New Roman"/>
                <w:color w:val="000000"/>
                <w:lang w:eastAsia="de-DE"/>
              </w:rPr>
            </w:pPr>
            <w:r w:rsidRPr="00AB7AD8">
              <w:rPr>
                <w:rFonts w:eastAsia="Times New Roman"/>
                <w:color w:val="000000"/>
                <w:lang w:eastAsia="de-DE"/>
              </w:rPr>
              <w:t>-</w:t>
            </w:r>
          </w:p>
        </w:tc>
      </w:tr>
      <w:tr w:rsidR="00D01830" w:rsidRPr="00AB7AD8" w14:paraId="4DCFA4BA" w14:textId="77777777" w:rsidTr="0075304E">
        <w:trPr>
          <w:trHeight w:val="315"/>
        </w:trPr>
        <w:tc>
          <w:tcPr>
            <w:tcW w:w="2120" w:type="dxa"/>
            <w:tcBorders>
              <w:top w:val="nil"/>
              <w:left w:val="single" w:sz="8" w:space="0" w:color="auto"/>
              <w:bottom w:val="single" w:sz="8" w:space="0" w:color="auto"/>
              <w:right w:val="single" w:sz="8" w:space="0" w:color="auto"/>
            </w:tcBorders>
            <w:shd w:val="clear" w:color="auto" w:fill="auto"/>
            <w:vAlign w:val="center"/>
            <w:hideMark/>
          </w:tcPr>
          <w:p w14:paraId="2532A07E" w14:textId="77777777" w:rsidR="00D01830" w:rsidRPr="00AB7AD8" w:rsidRDefault="00D01830" w:rsidP="0075304E">
            <w:pPr>
              <w:spacing w:after="0" w:line="240" w:lineRule="auto"/>
              <w:rPr>
                <w:rFonts w:ascii="Arial" w:eastAsia="Times New Roman" w:hAnsi="Arial" w:cs="Arial"/>
                <w:color w:val="000000"/>
                <w:sz w:val="20"/>
                <w:szCs w:val="20"/>
                <w:lang w:eastAsia="de-DE"/>
              </w:rPr>
            </w:pPr>
          </w:p>
        </w:tc>
        <w:tc>
          <w:tcPr>
            <w:tcW w:w="2980" w:type="dxa"/>
            <w:tcBorders>
              <w:top w:val="nil"/>
              <w:left w:val="nil"/>
              <w:bottom w:val="single" w:sz="8" w:space="0" w:color="auto"/>
              <w:right w:val="single" w:sz="8" w:space="0" w:color="auto"/>
            </w:tcBorders>
            <w:shd w:val="clear" w:color="auto" w:fill="auto"/>
            <w:vAlign w:val="center"/>
            <w:hideMark/>
          </w:tcPr>
          <w:p w14:paraId="2243D266" w14:textId="77777777" w:rsidR="00D01830" w:rsidRPr="00AB7AD8" w:rsidRDefault="00D01830" w:rsidP="0075304E">
            <w:pPr>
              <w:spacing w:after="0" w:line="240" w:lineRule="auto"/>
              <w:rPr>
                <w:rFonts w:ascii="Arial" w:eastAsia="Times New Roman" w:hAnsi="Arial" w:cs="Arial"/>
                <w:color w:val="000000"/>
                <w:sz w:val="20"/>
                <w:szCs w:val="20"/>
                <w:lang w:eastAsia="de-DE"/>
              </w:rPr>
            </w:pPr>
            <w:r w:rsidRPr="00AB7AD8">
              <w:rPr>
                <w:rFonts w:ascii="Arial" w:eastAsia="Times New Roman" w:hAnsi="Arial" w:cs="Arial"/>
                <w:color w:val="000000"/>
                <w:sz w:val="20"/>
                <w:szCs w:val="20"/>
                <w:lang w:val="en-GB" w:eastAsia="de-DE"/>
              </w:rPr>
              <w:t>Female</w:t>
            </w:r>
          </w:p>
        </w:tc>
        <w:tc>
          <w:tcPr>
            <w:tcW w:w="2480" w:type="dxa"/>
            <w:tcBorders>
              <w:top w:val="nil"/>
              <w:left w:val="nil"/>
              <w:bottom w:val="single" w:sz="8" w:space="0" w:color="auto"/>
              <w:right w:val="single" w:sz="8" w:space="0" w:color="auto"/>
            </w:tcBorders>
            <w:shd w:val="clear" w:color="auto" w:fill="auto"/>
            <w:vAlign w:val="center"/>
            <w:hideMark/>
          </w:tcPr>
          <w:p w14:paraId="1EEB579E" w14:textId="77777777" w:rsidR="00D01830" w:rsidRPr="00AB7AD8" w:rsidRDefault="00D01830" w:rsidP="0075304E">
            <w:pPr>
              <w:spacing w:after="0" w:line="240" w:lineRule="auto"/>
              <w:jc w:val="center"/>
              <w:rPr>
                <w:rFonts w:ascii="Arial" w:eastAsia="Times New Roman" w:hAnsi="Arial" w:cs="Arial"/>
                <w:color w:val="000000"/>
                <w:sz w:val="20"/>
                <w:szCs w:val="20"/>
                <w:lang w:eastAsia="de-DE"/>
              </w:rPr>
            </w:pPr>
            <w:r w:rsidRPr="00AB7AD8">
              <w:rPr>
                <w:rFonts w:ascii="Arial" w:eastAsia="Times New Roman" w:hAnsi="Arial" w:cs="Arial"/>
                <w:color w:val="000000"/>
                <w:sz w:val="20"/>
                <w:szCs w:val="20"/>
                <w:lang w:eastAsia="de-DE"/>
              </w:rPr>
              <w:t>0.752  (0.720, 0.785)</w:t>
            </w:r>
          </w:p>
        </w:tc>
        <w:tc>
          <w:tcPr>
            <w:tcW w:w="1200" w:type="dxa"/>
            <w:tcBorders>
              <w:top w:val="nil"/>
              <w:left w:val="nil"/>
              <w:bottom w:val="single" w:sz="8" w:space="0" w:color="auto"/>
              <w:right w:val="single" w:sz="8" w:space="0" w:color="auto"/>
            </w:tcBorders>
            <w:shd w:val="clear" w:color="auto" w:fill="auto"/>
            <w:vAlign w:val="center"/>
            <w:hideMark/>
          </w:tcPr>
          <w:p w14:paraId="458D0397" w14:textId="77777777" w:rsidR="00D01830" w:rsidRPr="00AB7AD8" w:rsidRDefault="00D01830" w:rsidP="0075304E">
            <w:pPr>
              <w:spacing w:after="0" w:line="240" w:lineRule="auto"/>
              <w:jc w:val="right"/>
              <w:rPr>
                <w:rFonts w:eastAsia="Times New Roman"/>
                <w:color w:val="000000"/>
                <w:lang w:eastAsia="de-DE"/>
              </w:rPr>
            </w:pPr>
            <w:r w:rsidRPr="00AB7AD8">
              <w:rPr>
                <w:rFonts w:eastAsia="Times New Roman"/>
                <w:color w:val="000000"/>
                <w:lang w:eastAsia="de-DE"/>
              </w:rPr>
              <w:t>&lt; 0.001</w:t>
            </w:r>
          </w:p>
        </w:tc>
      </w:tr>
      <w:tr w:rsidR="00D01830" w:rsidRPr="00AB7AD8" w14:paraId="63F6F107" w14:textId="77777777" w:rsidTr="0075304E">
        <w:trPr>
          <w:trHeight w:val="315"/>
        </w:trPr>
        <w:tc>
          <w:tcPr>
            <w:tcW w:w="2120" w:type="dxa"/>
            <w:tcBorders>
              <w:top w:val="nil"/>
              <w:left w:val="single" w:sz="8" w:space="0" w:color="auto"/>
              <w:bottom w:val="single" w:sz="8" w:space="0" w:color="auto"/>
              <w:right w:val="single" w:sz="8" w:space="0" w:color="auto"/>
            </w:tcBorders>
            <w:shd w:val="clear" w:color="auto" w:fill="auto"/>
            <w:vAlign w:val="center"/>
            <w:hideMark/>
          </w:tcPr>
          <w:p w14:paraId="31EF4A7D" w14:textId="77777777" w:rsidR="00D01830" w:rsidRPr="00AB7AD8" w:rsidRDefault="00D01830" w:rsidP="0075304E">
            <w:pPr>
              <w:spacing w:after="0" w:line="240" w:lineRule="auto"/>
              <w:rPr>
                <w:rFonts w:ascii="Arial" w:eastAsia="Times New Roman" w:hAnsi="Arial" w:cs="Arial"/>
                <w:color w:val="000000"/>
                <w:sz w:val="20"/>
                <w:szCs w:val="20"/>
                <w:lang w:eastAsia="de-DE"/>
              </w:rPr>
            </w:pPr>
          </w:p>
        </w:tc>
        <w:tc>
          <w:tcPr>
            <w:tcW w:w="2980" w:type="dxa"/>
            <w:tcBorders>
              <w:top w:val="nil"/>
              <w:left w:val="nil"/>
              <w:bottom w:val="single" w:sz="8" w:space="0" w:color="auto"/>
              <w:right w:val="single" w:sz="8" w:space="0" w:color="auto"/>
            </w:tcBorders>
            <w:shd w:val="clear" w:color="auto" w:fill="auto"/>
            <w:vAlign w:val="center"/>
            <w:hideMark/>
          </w:tcPr>
          <w:p w14:paraId="44096BDC" w14:textId="77777777" w:rsidR="00D01830" w:rsidRPr="00AB7AD8" w:rsidRDefault="00D01830" w:rsidP="0075304E">
            <w:pPr>
              <w:spacing w:after="0" w:line="240" w:lineRule="auto"/>
              <w:rPr>
                <w:rFonts w:ascii="Arial" w:eastAsia="Times New Roman" w:hAnsi="Arial" w:cs="Arial"/>
                <w:color w:val="000000"/>
                <w:sz w:val="20"/>
                <w:szCs w:val="20"/>
                <w:lang w:eastAsia="de-DE"/>
              </w:rPr>
            </w:pPr>
            <w:r w:rsidRPr="00AB7AD8">
              <w:rPr>
                <w:rFonts w:ascii="Arial" w:eastAsia="Times New Roman" w:hAnsi="Arial" w:cs="Arial"/>
                <w:color w:val="000000"/>
                <w:sz w:val="20"/>
                <w:szCs w:val="20"/>
                <w:lang w:val="en-GB" w:eastAsia="de-DE"/>
              </w:rPr>
              <w:t>Unknown</w:t>
            </w:r>
          </w:p>
        </w:tc>
        <w:tc>
          <w:tcPr>
            <w:tcW w:w="2480" w:type="dxa"/>
            <w:tcBorders>
              <w:top w:val="nil"/>
              <w:left w:val="nil"/>
              <w:bottom w:val="single" w:sz="8" w:space="0" w:color="auto"/>
              <w:right w:val="single" w:sz="8" w:space="0" w:color="auto"/>
            </w:tcBorders>
            <w:shd w:val="clear" w:color="auto" w:fill="auto"/>
            <w:vAlign w:val="center"/>
            <w:hideMark/>
          </w:tcPr>
          <w:p w14:paraId="387BB795" w14:textId="77777777" w:rsidR="00D01830" w:rsidRPr="00AB7AD8" w:rsidRDefault="00D01830" w:rsidP="0075304E">
            <w:pPr>
              <w:spacing w:after="0" w:line="240" w:lineRule="auto"/>
              <w:jc w:val="center"/>
              <w:rPr>
                <w:rFonts w:ascii="Arial" w:eastAsia="Times New Roman" w:hAnsi="Arial" w:cs="Arial"/>
                <w:color w:val="000000"/>
                <w:sz w:val="20"/>
                <w:szCs w:val="20"/>
                <w:lang w:eastAsia="de-DE"/>
              </w:rPr>
            </w:pPr>
            <w:r w:rsidRPr="00AB7AD8">
              <w:rPr>
                <w:rFonts w:ascii="Arial" w:eastAsia="Times New Roman" w:hAnsi="Arial" w:cs="Arial"/>
                <w:color w:val="000000"/>
                <w:sz w:val="20"/>
                <w:szCs w:val="20"/>
                <w:lang w:eastAsia="de-DE"/>
              </w:rPr>
              <w:t>1.020  (0.795, 1.302)</w:t>
            </w:r>
          </w:p>
        </w:tc>
        <w:tc>
          <w:tcPr>
            <w:tcW w:w="1200" w:type="dxa"/>
            <w:tcBorders>
              <w:top w:val="nil"/>
              <w:left w:val="nil"/>
              <w:bottom w:val="single" w:sz="8" w:space="0" w:color="auto"/>
              <w:right w:val="single" w:sz="8" w:space="0" w:color="auto"/>
            </w:tcBorders>
            <w:shd w:val="clear" w:color="auto" w:fill="auto"/>
            <w:vAlign w:val="center"/>
            <w:hideMark/>
          </w:tcPr>
          <w:p w14:paraId="7D3E8EBD" w14:textId="77777777" w:rsidR="00D01830" w:rsidRPr="00AB7AD8" w:rsidRDefault="00D01830" w:rsidP="0075304E">
            <w:pPr>
              <w:spacing w:after="0" w:line="240" w:lineRule="auto"/>
              <w:jc w:val="right"/>
              <w:rPr>
                <w:rFonts w:eastAsia="Times New Roman"/>
                <w:color w:val="000000"/>
                <w:lang w:eastAsia="de-DE"/>
              </w:rPr>
            </w:pPr>
            <w:r w:rsidRPr="00AB7AD8">
              <w:rPr>
                <w:rFonts w:eastAsia="Times New Roman"/>
                <w:color w:val="000000"/>
                <w:lang w:val="en-GB" w:eastAsia="de-DE"/>
              </w:rPr>
              <w:t xml:space="preserve"> 0.876</w:t>
            </w:r>
          </w:p>
        </w:tc>
      </w:tr>
      <w:tr w:rsidR="00D01830" w:rsidRPr="00AB7AD8" w14:paraId="72B45267" w14:textId="77777777" w:rsidTr="0075304E">
        <w:trPr>
          <w:trHeight w:val="315"/>
        </w:trPr>
        <w:tc>
          <w:tcPr>
            <w:tcW w:w="2120" w:type="dxa"/>
            <w:tcBorders>
              <w:top w:val="nil"/>
              <w:left w:val="single" w:sz="8" w:space="0" w:color="auto"/>
              <w:bottom w:val="single" w:sz="8" w:space="0" w:color="auto"/>
              <w:right w:val="single" w:sz="8" w:space="0" w:color="auto"/>
            </w:tcBorders>
            <w:shd w:val="clear" w:color="auto" w:fill="auto"/>
            <w:vAlign w:val="center"/>
            <w:hideMark/>
          </w:tcPr>
          <w:p w14:paraId="138989DD" w14:textId="77777777" w:rsidR="00D01830" w:rsidRPr="00AB7AD8" w:rsidRDefault="00D01830" w:rsidP="0075304E">
            <w:pPr>
              <w:spacing w:after="0" w:line="240" w:lineRule="auto"/>
              <w:rPr>
                <w:rFonts w:ascii="Arial" w:eastAsia="Times New Roman" w:hAnsi="Arial" w:cs="Arial"/>
                <w:color w:val="000000"/>
                <w:sz w:val="20"/>
                <w:szCs w:val="20"/>
                <w:lang w:eastAsia="de-DE"/>
              </w:rPr>
            </w:pPr>
            <w:r w:rsidRPr="00AB7AD8">
              <w:rPr>
                <w:rFonts w:ascii="Arial" w:eastAsia="Times New Roman" w:hAnsi="Arial" w:cs="Arial"/>
                <w:color w:val="000000"/>
                <w:sz w:val="20"/>
                <w:szCs w:val="20"/>
                <w:lang w:val="en-GB" w:eastAsia="de-DE"/>
              </w:rPr>
              <w:t>Age of physician</w:t>
            </w:r>
          </w:p>
        </w:tc>
        <w:tc>
          <w:tcPr>
            <w:tcW w:w="2980" w:type="dxa"/>
            <w:tcBorders>
              <w:top w:val="nil"/>
              <w:left w:val="nil"/>
              <w:bottom w:val="single" w:sz="8" w:space="0" w:color="auto"/>
              <w:right w:val="single" w:sz="8" w:space="0" w:color="auto"/>
            </w:tcBorders>
            <w:shd w:val="clear" w:color="auto" w:fill="auto"/>
            <w:vAlign w:val="center"/>
            <w:hideMark/>
          </w:tcPr>
          <w:p w14:paraId="1E7AA17A" w14:textId="77777777" w:rsidR="00D01830" w:rsidRPr="00AB7AD8" w:rsidRDefault="00D01830" w:rsidP="0075304E">
            <w:pPr>
              <w:spacing w:after="0" w:line="240" w:lineRule="auto"/>
              <w:rPr>
                <w:rFonts w:ascii="Arial" w:eastAsia="Times New Roman" w:hAnsi="Arial" w:cs="Arial"/>
                <w:color w:val="000000"/>
                <w:sz w:val="20"/>
                <w:szCs w:val="20"/>
                <w:lang w:eastAsia="de-DE"/>
              </w:rPr>
            </w:pPr>
            <w:r w:rsidRPr="00AB7AD8">
              <w:rPr>
                <w:rFonts w:ascii="Arial" w:eastAsia="Times New Roman" w:hAnsi="Arial" w:cs="Arial"/>
                <w:color w:val="000000"/>
                <w:sz w:val="20"/>
                <w:szCs w:val="20"/>
                <w:lang w:val="en-GB" w:eastAsia="de-DE"/>
              </w:rPr>
              <w:t>Under 45</w:t>
            </w:r>
          </w:p>
        </w:tc>
        <w:tc>
          <w:tcPr>
            <w:tcW w:w="2480" w:type="dxa"/>
            <w:tcBorders>
              <w:top w:val="nil"/>
              <w:left w:val="nil"/>
              <w:bottom w:val="single" w:sz="8" w:space="0" w:color="auto"/>
              <w:right w:val="single" w:sz="8" w:space="0" w:color="auto"/>
            </w:tcBorders>
            <w:shd w:val="clear" w:color="auto" w:fill="auto"/>
            <w:vAlign w:val="center"/>
            <w:hideMark/>
          </w:tcPr>
          <w:p w14:paraId="61919604" w14:textId="77777777" w:rsidR="00D01830" w:rsidRPr="00AB7AD8" w:rsidRDefault="00D01830" w:rsidP="0075304E">
            <w:pPr>
              <w:spacing w:after="0" w:line="240" w:lineRule="auto"/>
              <w:jc w:val="center"/>
              <w:rPr>
                <w:rFonts w:ascii="Arial" w:eastAsia="Times New Roman" w:hAnsi="Arial" w:cs="Arial"/>
                <w:color w:val="000000"/>
                <w:sz w:val="20"/>
                <w:szCs w:val="20"/>
                <w:lang w:eastAsia="de-DE"/>
              </w:rPr>
            </w:pPr>
            <w:r w:rsidRPr="00AB7AD8">
              <w:rPr>
                <w:rFonts w:ascii="Arial" w:eastAsia="Times New Roman" w:hAnsi="Arial" w:cs="Arial"/>
                <w:color w:val="000000"/>
                <w:sz w:val="20"/>
                <w:szCs w:val="20"/>
                <w:lang w:eastAsia="de-DE"/>
              </w:rPr>
              <w:t xml:space="preserve">Reference  </w:t>
            </w:r>
          </w:p>
        </w:tc>
        <w:tc>
          <w:tcPr>
            <w:tcW w:w="1200" w:type="dxa"/>
            <w:tcBorders>
              <w:top w:val="nil"/>
              <w:left w:val="nil"/>
              <w:bottom w:val="single" w:sz="8" w:space="0" w:color="auto"/>
              <w:right w:val="single" w:sz="8" w:space="0" w:color="auto"/>
            </w:tcBorders>
            <w:shd w:val="clear" w:color="auto" w:fill="auto"/>
            <w:vAlign w:val="center"/>
            <w:hideMark/>
          </w:tcPr>
          <w:p w14:paraId="29350959" w14:textId="77777777" w:rsidR="00D01830" w:rsidRPr="00AB7AD8" w:rsidRDefault="00D01830" w:rsidP="0075304E">
            <w:pPr>
              <w:spacing w:after="0" w:line="240" w:lineRule="auto"/>
              <w:jc w:val="center"/>
              <w:rPr>
                <w:rFonts w:eastAsia="Times New Roman"/>
                <w:color w:val="000000"/>
                <w:lang w:eastAsia="de-DE"/>
              </w:rPr>
            </w:pPr>
            <w:r w:rsidRPr="00AB7AD8">
              <w:rPr>
                <w:rFonts w:eastAsia="Times New Roman"/>
                <w:color w:val="000000"/>
                <w:lang w:eastAsia="de-DE"/>
              </w:rPr>
              <w:t>-</w:t>
            </w:r>
          </w:p>
        </w:tc>
      </w:tr>
      <w:tr w:rsidR="00D01830" w:rsidRPr="00AB7AD8" w14:paraId="31A01A8F" w14:textId="77777777" w:rsidTr="0075304E">
        <w:trPr>
          <w:trHeight w:val="315"/>
        </w:trPr>
        <w:tc>
          <w:tcPr>
            <w:tcW w:w="2120" w:type="dxa"/>
            <w:tcBorders>
              <w:top w:val="nil"/>
              <w:left w:val="single" w:sz="8" w:space="0" w:color="auto"/>
              <w:bottom w:val="single" w:sz="8" w:space="0" w:color="auto"/>
              <w:right w:val="single" w:sz="8" w:space="0" w:color="auto"/>
            </w:tcBorders>
            <w:shd w:val="clear" w:color="auto" w:fill="auto"/>
            <w:vAlign w:val="center"/>
            <w:hideMark/>
          </w:tcPr>
          <w:p w14:paraId="0ACA26AB" w14:textId="77777777" w:rsidR="00D01830" w:rsidRPr="00AB7AD8" w:rsidRDefault="00D01830" w:rsidP="0075304E">
            <w:pPr>
              <w:spacing w:after="0" w:line="240" w:lineRule="auto"/>
              <w:rPr>
                <w:rFonts w:ascii="Arial" w:eastAsia="Times New Roman" w:hAnsi="Arial" w:cs="Arial"/>
                <w:color w:val="000000"/>
                <w:sz w:val="20"/>
                <w:szCs w:val="20"/>
                <w:lang w:eastAsia="de-DE"/>
              </w:rPr>
            </w:pPr>
          </w:p>
        </w:tc>
        <w:tc>
          <w:tcPr>
            <w:tcW w:w="2980" w:type="dxa"/>
            <w:tcBorders>
              <w:top w:val="nil"/>
              <w:left w:val="nil"/>
              <w:bottom w:val="single" w:sz="8" w:space="0" w:color="auto"/>
              <w:right w:val="single" w:sz="8" w:space="0" w:color="auto"/>
            </w:tcBorders>
            <w:shd w:val="clear" w:color="auto" w:fill="auto"/>
            <w:vAlign w:val="center"/>
            <w:hideMark/>
          </w:tcPr>
          <w:p w14:paraId="083A1B4E" w14:textId="77777777" w:rsidR="00D01830" w:rsidRPr="00AB7AD8" w:rsidRDefault="00D01830" w:rsidP="0075304E">
            <w:pPr>
              <w:spacing w:after="0" w:line="240" w:lineRule="auto"/>
              <w:rPr>
                <w:rFonts w:ascii="Arial" w:eastAsia="Times New Roman" w:hAnsi="Arial" w:cs="Arial"/>
                <w:color w:val="000000"/>
                <w:sz w:val="20"/>
                <w:szCs w:val="20"/>
                <w:lang w:eastAsia="de-DE"/>
              </w:rPr>
            </w:pPr>
            <w:r w:rsidRPr="00AB7AD8">
              <w:rPr>
                <w:rFonts w:ascii="Arial" w:eastAsia="Times New Roman" w:hAnsi="Arial" w:cs="Arial"/>
                <w:color w:val="000000"/>
                <w:sz w:val="20"/>
                <w:szCs w:val="20"/>
                <w:lang w:val="en-GB" w:eastAsia="de-DE"/>
              </w:rPr>
              <w:t>45 to below 60</w:t>
            </w:r>
          </w:p>
        </w:tc>
        <w:tc>
          <w:tcPr>
            <w:tcW w:w="2480" w:type="dxa"/>
            <w:tcBorders>
              <w:top w:val="nil"/>
              <w:left w:val="nil"/>
              <w:bottom w:val="single" w:sz="8" w:space="0" w:color="auto"/>
              <w:right w:val="single" w:sz="8" w:space="0" w:color="auto"/>
            </w:tcBorders>
            <w:shd w:val="clear" w:color="auto" w:fill="auto"/>
            <w:vAlign w:val="center"/>
            <w:hideMark/>
          </w:tcPr>
          <w:p w14:paraId="3836471E" w14:textId="77777777" w:rsidR="00D01830" w:rsidRPr="00AB7AD8" w:rsidRDefault="00D01830" w:rsidP="0075304E">
            <w:pPr>
              <w:spacing w:after="0" w:line="240" w:lineRule="auto"/>
              <w:jc w:val="center"/>
              <w:rPr>
                <w:rFonts w:ascii="Arial" w:eastAsia="Times New Roman" w:hAnsi="Arial" w:cs="Arial"/>
                <w:color w:val="000000"/>
                <w:sz w:val="20"/>
                <w:szCs w:val="20"/>
                <w:lang w:eastAsia="de-DE"/>
              </w:rPr>
            </w:pPr>
            <w:r w:rsidRPr="00AB7AD8">
              <w:rPr>
                <w:rFonts w:ascii="Arial" w:eastAsia="Times New Roman" w:hAnsi="Arial" w:cs="Arial"/>
                <w:color w:val="000000"/>
                <w:sz w:val="20"/>
                <w:szCs w:val="20"/>
                <w:lang w:eastAsia="de-DE"/>
              </w:rPr>
              <w:t>1.004  (0.949, 1.063)</w:t>
            </w:r>
          </w:p>
        </w:tc>
        <w:tc>
          <w:tcPr>
            <w:tcW w:w="1200" w:type="dxa"/>
            <w:tcBorders>
              <w:top w:val="nil"/>
              <w:left w:val="nil"/>
              <w:bottom w:val="single" w:sz="8" w:space="0" w:color="auto"/>
              <w:right w:val="single" w:sz="8" w:space="0" w:color="auto"/>
            </w:tcBorders>
            <w:shd w:val="clear" w:color="auto" w:fill="auto"/>
            <w:vAlign w:val="center"/>
            <w:hideMark/>
          </w:tcPr>
          <w:p w14:paraId="15532431" w14:textId="77777777" w:rsidR="00D01830" w:rsidRPr="00AB7AD8" w:rsidRDefault="00D01830" w:rsidP="0075304E">
            <w:pPr>
              <w:spacing w:after="0" w:line="240" w:lineRule="auto"/>
              <w:jc w:val="right"/>
              <w:rPr>
                <w:rFonts w:eastAsia="Times New Roman"/>
                <w:color w:val="000000"/>
                <w:lang w:eastAsia="de-DE"/>
              </w:rPr>
            </w:pPr>
            <w:r w:rsidRPr="00AB7AD8">
              <w:rPr>
                <w:rFonts w:eastAsia="Times New Roman"/>
                <w:color w:val="000000"/>
                <w:lang w:val="en-GB" w:eastAsia="de-DE"/>
              </w:rPr>
              <w:t xml:space="preserve"> 0.881</w:t>
            </w:r>
          </w:p>
        </w:tc>
      </w:tr>
      <w:tr w:rsidR="00D01830" w:rsidRPr="00AB7AD8" w14:paraId="5DA896A1" w14:textId="77777777" w:rsidTr="0075304E">
        <w:trPr>
          <w:trHeight w:val="315"/>
        </w:trPr>
        <w:tc>
          <w:tcPr>
            <w:tcW w:w="2120" w:type="dxa"/>
            <w:tcBorders>
              <w:top w:val="nil"/>
              <w:left w:val="single" w:sz="8" w:space="0" w:color="auto"/>
              <w:bottom w:val="single" w:sz="8" w:space="0" w:color="auto"/>
              <w:right w:val="single" w:sz="8" w:space="0" w:color="auto"/>
            </w:tcBorders>
            <w:shd w:val="clear" w:color="auto" w:fill="auto"/>
            <w:vAlign w:val="center"/>
            <w:hideMark/>
          </w:tcPr>
          <w:p w14:paraId="6627A09C" w14:textId="77777777" w:rsidR="00D01830" w:rsidRPr="00AB7AD8" w:rsidRDefault="00D01830" w:rsidP="0075304E">
            <w:pPr>
              <w:spacing w:after="0" w:line="240" w:lineRule="auto"/>
              <w:rPr>
                <w:rFonts w:ascii="Arial" w:eastAsia="Times New Roman" w:hAnsi="Arial" w:cs="Arial"/>
                <w:color w:val="000000"/>
                <w:sz w:val="20"/>
                <w:szCs w:val="20"/>
                <w:lang w:eastAsia="de-DE"/>
              </w:rPr>
            </w:pPr>
          </w:p>
        </w:tc>
        <w:tc>
          <w:tcPr>
            <w:tcW w:w="2980" w:type="dxa"/>
            <w:tcBorders>
              <w:top w:val="nil"/>
              <w:left w:val="nil"/>
              <w:bottom w:val="single" w:sz="8" w:space="0" w:color="auto"/>
              <w:right w:val="single" w:sz="8" w:space="0" w:color="auto"/>
            </w:tcBorders>
            <w:shd w:val="clear" w:color="auto" w:fill="auto"/>
            <w:vAlign w:val="center"/>
            <w:hideMark/>
          </w:tcPr>
          <w:p w14:paraId="19497783" w14:textId="77777777" w:rsidR="00D01830" w:rsidRPr="00AB7AD8" w:rsidRDefault="00D01830" w:rsidP="0075304E">
            <w:pPr>
              <w:spacing w:after="0" w:line="240" w:lineRule="auto"/>
              <w:rPr>
                <w:rFonts w:ascii="Arial" w:eastAsia="Times New Roman" w:hAnsi="Arial" w:cs="Arial"/>
                <w:color w:val="000000"/>
                <w:sz w:val="20"/>
                <w:szCs w:val="20"/>
                <w:lang w:eastAsia="de-DE"/>
              </w:rPr>
            </w:pPr>
            <w:r w:rsidRPr="00AB7AD8">
              <w:rPr>
                <w:rFonts w:ascii="Arial" w:eastAsia="Times New Roman" w:hAnsi="Arial" w:cs="Arial"/>
                <w:color w:val="000000"/>
                <w:sz w:val="20"/>
                <w:szCs w:val="20"/>
                <w:lang w:val="en-GB" w:eastAsia="de-DE"/>
              </w:rPr>
              <w:t>60 and older</w:t>
            </w:r>
          </w:p>
        </w:tc>
        <w:tc>
          <w:tcPr>
            <w:tcW w:w="2480" w:type="dxa"/>
            <w:tcBorders>
              <w:top w:val="nil"/>
              <w:left w:val="nil"/>
              <w:bottom w:val="single" w:sz="8" w:space="0" w:color="auto"/>
              <w:right w:val="single" w:sz="8" w:space="0" w:color="auto"/>
            </w:tcBorders>
            <w:shd w:val="clear" w:color="auto" w:fill="auto"/>
            <w:vAlign w:val="center"/>
            <w:hideMark/>
          </w:tcPr>
          <w:p w14:paraId="327A9337" w14:textId="77777777" w:rsidR="00D01830" w:rsidRPr="00AB7AD8" w:rsidRDefault="00D01830" w:rsidP="0075304E">
            <w:pPr>
              <w:spacing w:after="0" w:line="240" w:lineRule="auto"/>
              <w:jc w:val="center"/>
              <w:rPr>
                <w:rFonts w:ascii="Arial" w:eastAsia="Times New Roman" w:hAnsi="Arial" w:cs="Arial"/>
                <w:color w:val="000000"/>
                <w:sz w:val="20"/>
                <w:szCs w:val="20"/>
                <w:lang w:eastAsia="de-DE"/>
              </w:rPr>
            </w:pPr>
            <w:r w:rsidRPr="00AB7AD8">
              <w:rPr>
                <w:rFonts w:ascii="Arial" w:eastAsia="Times New Roman" w:hAnsi="Arial" w:cs="Arial"/>
                <w:color w:val="000000"/>
                <w:sz w:val="20"/>
                <w:szCs w:val="20"/>
                <w:lang w:eastAsia="de-DE"/>
              </w:rPr>
              <w:t>1.032  (0.965, 1.103)</w:t>
            </w:r>
          </w:p>
        </w:tc>
        <w:tc>
          <w:tcPr>
            <w:tcW w:w="1200" w:type="dxa"/>
            <w:tcBorders>
              <w:top w:val="nil"/>
              <w:left w:val="nil"/>
              <w:bottom w:val="single" w:sz="8" w:space="0" w:color="auto"/>
              <w:right w:val="single" w:sz="8" w:space="0" w:color="auto"/>
            </w:tcBorders>
            <w:shd w:val="clear" w:color="auto" w:fill="auto"/>
            <w:vAlign w:val="center"/>
            <w:hideMark/>
          </w:tcPr>
          <w:p w14:paraId="236E686B" w14:textId="77777777" w:rsidR="00D01830" w:rsidRPr="00AB7AD8" w:rsidRDefault="00D01830" w:rsidP="0075304E">
            <w:pPr>
              <w:spacing w:after="0" w:line="240" w:lineRule="auto"/>
              <w:jc w:val="right"/>
              <w:rPr>
                <w:rFonts w:eastAsia="Times New Roman"/>
                <w:color w:val="000000"/>
                <w:lang w:eastAsia="de-DE"/>
              </w:rPr>
            </w:pPr>
            <w:r w:rsidRPr="00AB7AD8">
              <w:rPr>
                <w:rFonts w:eastAsia="Times New Roman"/>
                <w:color w:val="000000"/>
                <w:lang w:val="en-GB" w:eastAsia="de-DE"/>
              </w:rPr>
              <w:t xml:space="preserve"> 0.363</w:t>
            </w:r>
          </w:p>
        </w:tc>
      </w:tr>
      <w:tr w:rsidR="00D01830" w:rsidRPr="00AB7AD8" w14:paraId="62859C92" w14:textId="77777777" w:rsidTr="0075304E">
        <w:trPr>
          <w:trHeight w:val="315"/>
        </w:trPr>
        <w:tc>
          <w:tcPr>
            <w:tcW w:w="2120" w:type="dxa"/>
            <w:tcBorders>
              <w:top w:val="nil"/>
              <w:left w:val="single" w:sz="8" w:space="0" w:color="auto"/>
              <w:bottom w:val="single" w:sz="8" w:space="0" w:color="auto"/>
              <w:right w:val="single" w:sz="8" w:space="0" w:color="auto"/>
            </w:tcBorders>
            <w:shd w:val="clear" w:color="auto" w:fill="auto"/>
            <w:vAlign w:val="center"/>
            <w:hideMark/>
          </w:tcPr>
          <w:p w14:paraId="27A77C73" w14:textId="77777777" w:rsidR="00D01830" w:rsidRPr="00AB7AD8" w:rsidRDefault="00D01830" w:rsidP="0075304E">
            <w:pPr>
              <w:spacing w:after="0" w:line="240" w:lineRule="auto"/>
              <w:rPr>
                <w:rFonts w:ascii="Arial" w:eastAsia="Times New Roman" w:hAnsi="Arial" w:cs="Arial"/>
                <w:color w:val="000000"/>
                <w:sz w:val="20"/>
                <w:szCs w:val="20"/>
                <w:lang w:eastAsia="de-DE"/>
              </w:rPr>
            </w:pPr>
            <w:r w:rsidRPr="00AB7AD8">
              <w:rPr>
                <w:rFonts w:ascii="Arial" w:eastAsia="Times New Roman" w:hAnsi="Arial" w:cs="Arial"/>
                <w:color w:val="000000"/>
                <w:sz w:val="20"/>
                <w:szCs w:val="20"/>
                <w:lang w:val="en-GB" w:eastAsia="de-DE"/>
              </w:rPr>
              <w:t>Patient’s CHC status</w:t>
            </w:r>
          </w:p>
        </w:tc>
        <w:tc>
          <w:tcPr>
            <w:tcW w:w="2980" w:type="dxa"/>
            <w:tcBorders>
              <w:top w:val="nil"/>
              <w:left w:val="nil"/>
              <w:bottom w:val="single" w:sz="8" w:space="0" w:color="auto"/>
              <w:right w:val="single" w:sz="8" w:space="0" w:color="auto"/>
            </w:tcBorders>
            <w:shd w:val="clear" w:color="auto" w:fill="auto"/>
            <w:vAlign w:val="center"/>
            <w:hideMark/>
          </w:tcPr>
          <w:p w14:paraId="5F5E1913" w14:textId="77777777" w:rsidR="00D01830" w:rsidRPr="00AB7AD8" w:rsidRDefault="00D01830" w:rsidP="0075304E">
            <w:pPr>
              <w:spacing w:after="0" w:line="240" w:lineRule="auto"/>
              <w:rPr>
                <w:rFonts w:ascii="Arial" w:eastAsia="Times New Roman" w:hAnsi="Arial" w:cs="Arial"/>
                <w:color w:val="000000"/>
                <w:sz w:val="20"/>
                <w:szCs w:val="20"/>
                <w:lang w:eastAsia="de-DE"/>
              </w:rPr>
            </w:pPr>
            <w:r w:rsidRPr="00AB7AD8">
              <w:rPr>
                <w:rFonts w:ascii="Arial" w:eastAsia="Times New Roman" w:hAnsi="Arial" w:cs="Arial"/>
                <w:color w:val="000000"/>
                <w:sz w:val="20"/>
                <w:szCs w:val="20"/>
                <w:lang w:val="en-GB" w:eastAsia="de-DE"/>
              </w:rPr>
              <w:t>Naïve</w:t>
            </w:r>
          </w:p>
        </w:tc>
        <w:tc>
          <w:tcPr>
            <w:tcW w:w="2480" w:type="dxa"/>
            <w:tcBorders>
              <w:top w:val="nil"/>
              <w:left w:val="nil"/>
              <w:bottom w:val="single" w:sz="8" w:space="0" w:color="auto"/>
              <w:right w:val="single" w:sz="8" w:space="0" w:color="auto"/>
            </w:tcBorders>
            <w:shd w:val="clear" w:color="auto" w:fill="auto"/>
            <w:vAlign w:val="center"/>
            <w:hideMark/>
          </w:tcPr>
          <w:p w14:paraId="37F4CAD0" w14:textId="77777777" w:rsidR="00D01830" w:rsidRPr="00AB7AD8" w:rsidRDefault="00D01830" w:rsidP="0075304E">
            <w:pPr>
              <w:spacing w:after="0" w:line="240" w:lineRule="auto"/>
              <w:jc w:val="center"/>
              <w:rPr>
                <w:rFonts w:ascii="Arial" w:eastAsia="Times New Roman" w:hAnsi="Arial" w:cs="Arial"/>
                <w:color w:val="000000"/>
                <w:sz w:val="20"/>
                <w:szCs w:val="20"/>
                <w:lang w:eastAsia="de-DE"/>
              </w:rPr>
            </w:pPr>
            <w:r w:rsidRPr="00AB7AD8">
              <w:rPr>
                <w:rFonts w:ascii="Arial" w:eastAsia="Times New Roman" w:hAnsi="Arial" w:cs="Arial"/>
                <w:color w:val="000000"/>
                <w:sz w:val="20"/>
                <w:szCs w:val="20"/>
                <w:lang w:eastAsia="de-DE"/>
              </w:rPr>
              <w:t xml:space="preserve">Reference  </w:t>
            </w:r>
          </w:p>
        </w:tc>
        <w:tc>
          <w:tcPr>
            <w:tcW w:w="1200" w:type="dxa"/>
            <w:tcBorders>
              <w:top w:val="nil"/>
              <w:left w:val="nil"/>
              <w:bottom w:val="single" w:sz="8" w:space="0" w:color="auto"/>
              <w:right w:val="single" w:sz="8" w:space="0" w:color="auto"/>
            </w:tcBorders>
            <w:shd w:val="clear" w:color="auto" w:fill="auto"/>
            <w:vAlign w:val="center"/>
            <w:hideMark/>
          </w:tcPr>
          <w:p w14:paraId="45157065" w14:textId="77777777" w:rsidR="00D01830" w:rsidRPr="00AB7AD8" w:rsidRDefault="00D01830" w:rsidP="0075304E">
            <w:pPr>
              <w:spacing w:after="0" w:line="240" w:lineRule="auto"/>
              <w:jc w:val="center"/>
              <w:rPr>
                <w:rFonts w:eastAsia="Times New Roman"/>
                <w:color w:val="000000"/>
                <w:lang w:eastAsia="de-DE"/>
              </w:rPr>
            </w:pPr>
            <w:r w:rsidRPr="00AB7AD8">
              <w:rPr>
                <w:rFonts w:eastAsia="Times New Roman"/>
                <w:color w:val="000000"/>
                <w:lang w:eastAsia="de-DE"/>
              </w:rPr>
              <w:t>-</w:t>
            </w:r>
          </w:p>
        </w:tc>
      </w:tr>
      <w:tr w:rsidR="00D01830" w:rsidRPr="00AB7AD8" w14:paraId="4D2AFAD5" w14:textId="77777777" w:rsidTr="0075304E">
        <w:trPr>
          <w:trHeight w:val="315"/>
        </w:trPr>
        <w:tc>
          <w:tcPr>
            <w:tcW w:w="2120" w:type="dxa"/>
            <w:tcBorders>
              <w:top w:val="nil"/>
              <w:left w:val="single" w:sz="8" w:space="0" w:color="auto"/>
              <w:bottom w:val="single" w:sz="8" w:space="0" w:color="auto"/>
              <w:right w:val="single" w:sz="8" w:space="0" w:color="auto"/>
            </w:tcBorders>
            <w:shd w:val="clear" w:color="auto" w:fill="auto"/>
            <w:vAlign w:val="center"/>
            <w:hideMark/>
          </w:tcPr>
          <w:p w14:paraId="3AD46AA0" w14:textId="77777777" w:rsidR="00D01830" w:rsidRPr="00AB7AD8" w:rsidRDefault="00D01830" w:rsidP="0075304E">
            <w:pPr>
              <w:spacing w:after="0" w:line="240" w:lineRule="auto"/>
              <w:rPr>
                <w:rFonts w:ascii="Arial" w:eastAsia="Times New Roman" w:hAnsi="Arial" w:cs="Arial"/>
                <w:color w:val="000000"/>
                <w:sz w:val="20"/>
                <w:szCs w:val="20"/>
                <w:lang w:eastAsia="de-DE"/>
              </w:rPr>
            </w:pPr>
          </w:p>
        </w:tc>
        <w:tc>
          <w:tcPr>
            <w:tcW w:w="2980" w:type="dxa"/>
            <w:tcBorders>
              <w:top w:val="nil"/>
              <w:left w:val="nil"/>
              <w:bottom w:val="single" w:sz="8" w:space="0" w:color="auto"/>
              <w:right w:val="single" w:sz="8" w:space="0" w:color="auto"/>
            </w:tcBorders>
            <w:shd w:val="clear" w:color="auto" w:fill="auto"/>
            <w:vAlign w:val="center"/>
            <w:hideMark/>
          </w:tcPr>
          <w:p w14:paraId="020B50F3" w14:textId="77777777" w:rsidR="00D01830" w:rsidRPr="00AB7AD8" w:rsidRDefault="00D01830" w:rsidP="0075304E">
            <w:pPr>
              <w:spacing w:after="0" w:line="240" w:lineRule="auto"/>
              <w:rPr>
                <w:rFonts w:ascii="Arial" w:eastAsia="Times New Roman" w:hAnsi="Arial" w:cs="Arial"/>
                <w:color w:val="000000"/>
                <w:sz w:val="20"/>
                <w:szCs w:val="20"/>
                <w:lang w:eastAsia="de-DE"/>
              </w:rPr>
            </w:pPr>
            <w:r w:rsidRPr="00AB7AD8">
              <w:rPr>
                <w:rFonts w:ascii="Arial" w:eastAsia="Times New Roman" w:hAnsi="Arial" w:cs="Arial"/>
                <w:color w:val="000000"/>
                <w:sz w:val="20"/>
                <w:szCs w:val="20"/>
                <w:lang w:val="en-GB" w:eastAsia="de-DE"/>
              </w:rPr>
              <w:t>Previously exposed</w:t>
            </w:r>
          </w:p>
        </w:tc>
        <w:tc>
          <w:tcPr>
            <w:tcW w:w="2480" w:type="dxa"/>
            <w:tcBorders>
              <w:top w:val="nil"/>
              <w:left w:val="nil"/>
              <w:bottom w:val="single" w:sz="8" w:space="0" w:color="auto"/>
              <w:right w:val="single" w:sz="8" w:space="0" w:color="auto"/>
            </w:tcBorders>
            <w:shd w:val="clear" w:color="auto" w:fill="auto"/>
            <w:vAlign w:val="center"/>
            <w:hideMark/>
          </w:tcPr>
          <w:p w14:paraId="072D1F12" w14:textId="77777777" w:rsidR="00D01830" w:rsidRPr="00AB7AD8" w:rsidRDefault="00D01830" w:rsidP="0075304E">
            <w:pPr>
              <w:spacing w:after="0" w:line="240" w:lineRule="auto"/>
              <w:jc w:val="center"/>
              <w:rPr>
                <w:rFonts w:ascii="Arial" w:eastAsia="Times New Roman" w:hAnsi="Arial" w:cs="Arial"/>
                <w:color w:val="000000"/>
                <w:sz w:val="20"/>
                <w:szCs w:val="20"/>
                <w:lang w:eastAsia="de-DE"/>
              </w:rPr>
            </w:pPr>
            <w:r w:rsidRPr="00AB7AD8">
              <w:rPr>
                <w:rFonts w:ascii="Arial" w:eastAsia="Times New Roman" w:hAnsi="Arial" w:cs="Arial"/>
                <w:color w:val="000000"/>
                <w:sz w:val="20"/>
                <w:szCs w:val="20"/>
                <w:lang w:eastAsia="de-DE"/>
              </w:rPr>
              <w:t>2.780  (2.663, 2.901)</w:t>
            </w:r>
          </w:p>
        </w:tc>
        <w:tc>
          <w:tcPr>
            <w:tcW w:w="1200" w:type="dxa"/>
            <w:tcBorders>
              <w:top w:val="nil"/>
              <w:left w:val="nil"/>
              <w:bottom w:val="single" w:sz="8" w:space="0" w:color="auto"/>
              <w:right w:val="single" w:sz="8" w:space="0" w:color="auto"/>
            </w:tcBorders>
            <w:shd w:val="clear" w:color="auto" w:fill="auto"/>
            <w:vAlign w:val="center"/>
            <w:hideMark/>
          </w:tcPr>
          <w:p w14:paraId="690DB022" w14:textId="77777777" w:rsidR="00D01830" w:rsidRPr="00AB7AD8" w:rsidRDefault="00D01830" w:rsidP="0075304E">
            <w:pPr>
              <w:spacing w:after="0" w:line="240" w:lineRule="auto"/>
              <w:jc w:val="right"/>
              <w:rPr>
                <w:rFonts w:eastAsia="Times New Roman"/>
                <w:color w:val="000000"/>
                <w:lang w:eastAsia="de-DE"/>
              </w:rPr>
            </w:pPr>
            <w:r w:rsidRPr="00AB7AD8">
              <w:rPr>
                <w:rFonts w:eastAsia="Times New Roman"/>
                <w:color w:val="000000"/>
                <w:lang w:eastAsia="de-DE"/>
              </w:rPr>
              <w:t>&lt; 0.001</w:t>
            </w:r>
          </w:p>
        </w:tc>
      </w:tr>
    </w:tbl>
    <w:p w14:paraId="04E59CEB" w14:textId="77777777" w:rsidR="00D01830" w:rsidRPr="00C907E1" w:rsidRDefault="00D01830" w:rsidP="00D01830">
      <w:pPr>
        <w:rPr>
          <w:rFonts w:ascii="Arial" w:hAnsi="Arial" w:cs="Arial"/>
          <w:i/>
          <w:lang w:val="en-GB"/>
        </w:rPr>
      </w:pPr>
      <w:r w:rsidRPr="00AB7AD8">
        <w:rPr>
          <w:rFonts w:ascii="Arial" w:eastAsia="Times New Roman" w:hAnsi="Arial" w:cs="Arial"/>
          <w:sz w:val="18"/>
          <w:szCs w:val="18"/>
          <w:vertAlign w:val="superscript"/>
          <w:lang w:val="en" w:eastAsia="de-DE"/>
        </w:rPr>
        <w:t>†</w:t>
      </w:r>
      <w:r w:rsidRPr="008401BC">
        <w:rPr>
          <w:i/>
          <w:sz w:val="18"/>
          <w:szCs w:val="18"/>
          <w:lang w:val="en-GB"/>
        </w:rPr>
        <w:t>p</w:t>
      </w:r>
      <w:r w:rsidRPr="008401BC">
        <w:rPr>
          <w:sz w:val="18"/>
          <w:szCs w:val="18"/>
          <w:lang w:val="en-GB"/>
        </w:rPr>
        <w:t xml:space="preserve">-values obtained from Wald test. </w:t>
      </w:r>
    </w:p>
    <w:p w14:paraId="0E38D8F0" w14:textId="77777777" w:rsidR="008948AE" w:rsidRPr="008401BC" w:rsidRDefault="008948AE">
      <w:pPr>
        <w:rPr>
          <w:lang w:val="en-GB"/>
        </w:rPr>
      </w:pPr>
      <w:bookmarkStart w:id="1" w:name="_GoBack"/>
      <w:bookmarkEnd w:id="1"/>
    </w:p>
    <w:sectPr w:rsidR="008948AE" w:rsidRPr="008401BC" w:rsidSect="0075304E">
      <w:footerReference w:type="default" r:id="rId16"/>
      <w:footnotePr>
        <w:numRestart w:val="eachPage"/>
      </w:footnotePr>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4F7F57" w14:textId="77777777" w:rsidR="00661E17" w:rsidRDefault="00661E17" w:rsidP="00D01830">
      <w:pPr>
        <w:spacing w:after="0" w:line="240" w:lineRule="auto"/>
      </w:pPr>
      <w:r>
        <w:separator/>
      </w:r>
    </w:p>
  </w:endnote>
  <w:endnote w:type="continuationSeparator" w:id="0">
    <w:p w14:paraId="01F420A9" w14:textId="77777777" w:rsidR="00661E17" w:rsidRDefault="00661E17" w:rsidP="00D01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etaNormal-Roman">
    <w:charset w:val="00"/>
    <w:family w:val="swiss"/>
    <w:pitch w:val="variable"/>
    <w:sig w:usb0="8000002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dvTT6071803a.B">
    <w:altName w:val="Arial"/>
    <w:panose1 w:val="00000000000000000000"/>
    <w:charset w:val="00"/>
    <w:family w:val="swiss"/>
    <w:notTrueType/>
    <w:pitch w:val="default"/>
    <w:sig w:usb0="00000003" w:usb1="00000000" w:usb2="00000000" w:usb3="00000000" w:csb0="00000001" w:csb1="00000000"/>
  </w:font>
  <w:font w:name="AdvTTeb5f0e55.I">
    <w:altName w:val="Arial"/>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2438096"/>
      <w:docPartObj>
        <w:docPartGallery w:val="Page Numbers (Bottom of Page)"/>
        <w:docPartUnique/>
      </w:docPartObj>
    </w:sdtPr>
    <w:sdtEndPr>
      <w:rPr>
        <w:noProof/>
      </w:rPr>
    </w:sdtEndPr>
    <w:sdtContent>
      <w:p w14:paraId="382ECF91" w14:textId="085EDC10" w:rsidR="00552DA8" w:rsidRDefault="00552DA8">
        <w:pPr>
          <w:pStyle w:val="Footer"/>
          <w:jc w:val="right"/>
        </w:pPr>
        <w:r>
          <w:fldChar w:fldCharType="begin"/>
        </w:r>
        <w:r>
          <w:instrText xml:space="preserve"> PAGE   \* MERGEFORMAT </w:instrText>
        </w:r>
        <w:r>
          <w:fldChar w:fldCharType="separate"/>
        </w:r>
        <w:r w:rsidR="006E0949">
          <w:rPr>
            <w:noProof/>
          </w:rPr>
          <w:t>5</w:t>
        </w:r>
        <w:r>
          <w:rPr>
            <w:noProof/>
          </w:rPr>
          <w:fldChar w:fldCharType="end"/>
        </w:r>
      </w:p>
    </w:sdtContent>
  </w:sdt>
  <w:p w14:paraId="424F9308" w14:textId="77777777" w:rsidR="00552DA8" w:rsidRDefault="00552D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581847" w14:textId="77777777" w:rsidR="00661E17" w:rsidRDefault="00661E17" w:rsidP="00D01830">
      <w:pPr>
        <w:spacing w:after="0" w:line="240" w:lineRule="auto"/>
      </w:pPr>
      <w:r>
        <w:separator/>
      </w:r>
    </w:p>
  </w:footnote>
  <w:footnote w:type="continuationSeparator" w:id="0">
    <w:p w14:paraId="60E14E59" w14:textId="77777777" w:rsidR="00661E17" w:rsidRDefault="00661E17" w:rsidP="00D01830">
      <w:pPr>
        <w:spacing w:after="0" w:line="240" w:lineRule="auto"/>
      </w:pPr>
      <w:r>
        <w:continuationSeparator/>
      </w:r>
    </w:p>
  </w:footnote>
  <w:footnote w:id="1">
    <w:p w14:paraId="7DB80AAC" w14:textId="77777777" w:rsidR="00552DA8" w:rsidRDefault="00552DA8" w:rsidP="00D01830">
      <w:r w:rsidRPr="004E7812">
        <w:rPr>
          <w:rFonts w:ascii="Arial" w:hAnsi="Arial" w:cs="Arial"/>
          <w:sz w:val="20"/>
          <w:szCs w:val="20"/>
          <w:lang w:val="en-GB"/>
        </w:rPr>
        <w:t xml:space="preserve">Ϯ Time series analyses of </w:t>
      </w:r>
      <w:proofErr w:type="spellStart"/>
      <w:r w:rsidRPr="004E7812">
        <w:rPr>
          <w:rFonts w:ascii="Arial" w:hAnsi="Arial" w:cs="Arial"/>
          <w:sz w:val="20"/>
          <w:szCs w:val="20"/>
          <w:lang w:val="en-GB"/>
        </w:rPr>
        <w:t>prevalences</w:t>
      </w:r>
      <w:proofErr w:type="spellEnd"/>
      <w:r w:rsidRPr="004E7812">
        <w:rPr>
          <w:rFonts w:ascii="Arial" w:hAnsi="Arial" w:cs="Arial"/>
          <w:sz w:val="20"/>
          <w:szCs w:val="20"/>
          <w:lang w:val="en-GB"/>
        </w:rPr>
        <w:t xml:space="preserve"> was limited up until Oct 2015. Annual </w:t>
      </w:r>
      <w:proofErr w:type="spellStart"/>
      <w:r w:rsidRPr="004E7812">
        <w:rPr>
          <w:rFonts w:ascii="Arial" w:hAnsi="Arial" w:cs="Arial"/>
          <w:sz w:val="20"/>
          <w:szCs w:val="20"/>
          <w:lang w:val="en-GB"/>
        </w:rPr>
        <w:t>prevalences</w:t>
      </w:r>
      <w:proofErr w:type="spellEnd"/>
      <w:r w:rsidRPr="004E7812">
        <w:rPr>
          <w:rFonts w:ascii="Arial" w:hAnsi="Arial" w:cs="Arial"/>
          <w:sz w:val="20"/>
          <w:szCs w:val="20"/>
          <w:lang w:val="en-GB"/>
        </w:rPr>
        <w:t xml:space="preserve"> are shown only up to 2015, inclusively</w:t>
      </w:r>
      <w:r>
        <w:rPr>
          <w:rFonts w:ascii="Arial" w:hAnsi="Arial" w:cs="Arial"/>
          <w:sz w:val="20"/>
          <w:szCs w:val="20"/>
          <w:lang w:val="en-GB"/>
        </w:rPr>
        <w:t>.</w:t>
      </w:r>
      <w:r>
        <w:rPr>
          <w:rFonts w:ascii="Arial" w:hAnsi="Arial" w:cs="Arial"/>
          <w:lang w:val="en-GB"/>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5EB0546"/>
    <w:multiLevelType w:val="multilevel"/>
    <w:tmpl w:val="A5EA83B0"/>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F215B6F8"/>
    <w:multiLevelType w:val="multilevel"/>
    <w:tmpl w:val="9E861CAA"/>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Roman"/>
      <w:lvlText w:val="%7."/>
      <w:lvlJc w:val="left"/>
      <w:pPr>
        <w:tabs>
          <w:tab w:val="num" w:pos="4320"/>
        </w:tabs>
        <w:ind w:left="4800" w:hanging="48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044918DF"/>
    <w:multiLevelType w:val="hybridMultilevel"/>
    <w:tmpl w:val="7E46A9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8677932"/>
    <w:multiLevelType w:val="hybridMultilevel"/>
    <w:tmpl w:val="B19AD7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04A17CB"/>
    <w:multiLevelType w:val="hybridMultilevel"/>
    <w:tmpl w:val="08DE87BE"/>
    <w:lvl w:ilvl="0" w:tplc="EC16BB24">
      <w:start w:val="1"/>
      <w:numFmt w:val="upp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15:restartNumberingAfterBreak="0">
    <w:nsid w:val="18885CBA"/>
    <w:multiLevelType w:val="hybridMultilevel"/>
    <w:tmpl w:val="3A3C89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D9F1F24"/>
    <w:multiLevelType w:val="hybridMultilevel"/>
    <w:tmpl w:val="C994F13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45922674"/>
    <w:multiLevelType w:val="hybridMultilevel"/>
    <w:tmpl w:val="7880377C"/>
    <w:lvl w:ilvl="0" w:tplc="D47AD1B4">
      <w:start w:val="1"/>
      <w:numFmt w:val="upp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15:restartNumberingAfterBreak="0">
    <w:nsid w:val="55310FB2"/>
    <w:multiLevelType w:val="hybridMultilevel"/>
    <w:tmpl w:val="098EE052"/>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15:restartNumberingAfterBreak="0">
    <w:nsid w:val="56349D29"/>
    <w:multiLevelType w:val="multilevel"/>
    <w:tmpl w:val="BC1E562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64DA43A3"/>
    <w:multiLevelType w:val="hybridMultilevel"/>
    <w:tmpl w:val="059CAA5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68746716"/>
    <w:multiLevelType w:val="hybridMultilevel"/>
    <w:tmpl w:val="6502772C"/>
    <w:lvl w:ilvl="0" w:tplc="F9D29C02">
      <w:start w:val="1"/>
      <w:numFmt w:val="upp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2" w15:restartNumberingAfterBreak="0">
    <w:nsid w:val="692D3EF2"/>
    <w:multiLevelType w:val="hybridMultilevel"/>
    <w:tmpl w:val="3BCA46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9F9330B"/>
    <w:multiLevelType w:val="hybridMultilevel"/>
    <w:tmpl w:val="CF64BE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num>
  <w:num w:numId="3">
    <w:abstractNumId w:val="9"/>
  </w:num>
  <w:num w:numId="4">
    <w:abstractNumId w:val="11"/>
  </w:num>
  <w:num w:numId="5">
    <w:abstractNumId w:val="7"/>
  </w:num>
  <w:num w:numId="6">
    <w:abstractNumId w:val="4"/>
  </w:num>
  <w:num w:numId="7">
    <w:abstractNumId w:val="13"/>
  </w:num>
  <w:num w:numId="8">
    <w:abstractNumId w:val="3"/>
  </w:num>
  <w:num w:numId="9">
    <w:abstractNumId w:val="6"/>
  </w:num>
  <w:num w:numId="10">
    <w:abstractNumId w:val="10"/>
  </w:num>
  <w:num w:numId="11">
    <w:abstractNumId w:val="8"/>
  </w:num>
  <w:num w:numId="12">
    <w:abstractNumId w:val="12"/>
  </w:num>
  <w:num w:numId="13">
    <w:abstractNumId w:val="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1830"/>
    <w:rsid w:val="000B0D83"/>
    <w:rsid w:val="000D2F2F"/>
    <w:rsid w:val="001B5AC8"/>
    <w:rsid w:val="001F4C88"/>
    <w:rsid w:val="00220E60"/>
    <w:rsid w:val="00234E86"/>
    <w:rsid w:val="00256FF4"/>
    <w:rsid w:val="00265320"/>
    <w:rsid w:val="002A3BA9"/>
    <w:rsid w:val="002B78D4"/>
    <w:rsid w:val="0033625B"/>
    <w:rsid w:val="00340EFE"/>
    <w:rsid w:val="003D0B83"/>
    <w:rsid w:val="003E2913"/>
    <w:rsid w:val="00480AF5"/>
    <w:rsid w:val="004F4F9D"/>
    <w:rsid w:val="00552DA8"/>
    <w:rsid w:val="00591B0A"/>
    <w:rsid w:val="005B250C"/>
    <w:rsid w:val="00614A39"/>
    <w:rsid w:val="00646F38"/>
    <w:rsid w:val="00661E17"/>
    <w:rsid w:val="006E0949"/>
    <w:rsid w:val="00736021"/>
    <w:rsid w:val="0075304E"/>
    <w:rsid w:val="00766805"/>
    <w:rsid w:val="00825A9A"/>
    <w:rsid w:val="008401BC"/>
    <w:rsid w:val="00867361"/>
    <w:rsid w:val="0087153E"/>
    <w:rsid w:val="00884576"/>
    <w:rsid w:val="008948AE"/>
    <w:rsid w:val="008A2789"/>
    <w:rsid w:val="008D2154"/>
    <w:rsid w:val="008D33EE"/>
    <w:rsid w:val="0096115A"/>
    <w:rsid w:val="00963F40"/>
    <w:rsid w:val="009A5529"/>
    <w:rsid w:val="00A81BCD"/>
    <w:rsid w:val="00AA6DF6"/>
    <w:rsid w:val="00AB2CA2"/>
    <w:rsid w:val="00AE3D1D"/>
    <w:rsid w:val="00B54E43"/>
    <w:rsid w:val="00B57AB5"/>
    <w:rsid w:val="00BF1A2A"/>
    <w:rsid w:val="00C02668"/>
    <w:rsid w:val="00C45849"/>
    <w:rsid w:val="00CF05F5"/>
    <w:rsid w:val="00CF29C7"/>
    <w:rsid w:val="00D01830"/>
    <w:rsid w:val="00D02693"/>
    <w:rsid w:val="00D148CD"/>
    <w:rsid w:val="00D30F87"/>
    <w:rsid w:val="00D72490"/>
    <w:rsid w:val="00D8591A"/>
    <w:rsid w:val="00DB4620"/>
    <w:rsid w:val="00DF24B6"/>
    <w:rsid w:val="00E06329"/>
    <w:rsid w:val="00E5763E"/>
    <w:rsid w:val="00E66B9F"/>
    <w:rsid w:val="00EC618C"/>
    <w:rsid w:val="00ED51D8"/>
    <w:rsid w:val="00F21CA6"/>
    <w:rsid w:val="00F3409C"/>
    <w:rsid w:val="00F34871"/>
    <w:rsid w:val="00FA7CEF"/>
    <w:rsid w:val="00FC0A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CAAAA"/>
  <w15:chartTrackingRefBased/>
  <w15:docId w15:val="{466AC9AA-B9AA-416D-AFBD-392080BFE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01830"/>
    <w:rPr>
      <w:rFonts w:ascii="Calibri" w:eastAsia="Calibri" w:hAnsi="Calibri" w:cs="Times New Roman"/>
      <w:lang w:val="de-DE"/>
    </w:rPr>
  </w:style>
  <w:style w:type="paragraph" w:styleId="Heading2">
    <w:name w:val="heading 2"/>
    <w:basedOn w:val="Normal"/>
    <w:next w:val="Normal"/>
    <w:link w:val="Heading2Char"/>
    <w:uiPriority w:val="9"/>
    <w:semiHidden/>
    <w:unhideWhenUsed/>
    <w:qFormat/>
    <w:rsid w:val="00D0183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BodyText"/>
    <w:link w:val="Heading3Char"/>
    <w:uiPriority w:val="9"/>
    <w:unhideWhenUsed/>
    <w:qFormat/>
    <w:rsid w:val="00D01830"/>
    <w:pPr>
      <w:keepNext/>
      <w:keepLines/>
      <w:spacing w:before="200" w:after="0" w:line="240" w:lineRule="auto"/>
      <w:outlineLvl w:val="2"/>
    </w:pPr>
    <w:rPr>
      <w:rFonts w:asciiTheme="majorHAnsi" w:eastAsiaTheme="majorEastAsia" w:hAnsiTheme="majorHAnsi" w:cstheme="majorBidi"/>
      <w:b/>
      <w:bCs/>
      <w:color w:val="4472C4" w:themeColor="accent1"/>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D01830"/>
    <w:rPr>
      <w:rFonts w:asciiTheme="majorHAnsi" w:eastAsiaTheme="majorEastAsia" w:hAnsiTheme="majorHAnsi" w:cstheme="majorBidi"/>
      <w:color w:val="2F5496" w:themeColor="accent1" w:themeShade="BF"/>
      <w:sz w:val="26"/>
      <w:szCs w:val="26"/>
      <w:lang w:val="de-DE"/>
    </w:rPr>
  </w:style>
  <w:style w:type="paragraph" w:styleId="BodyText">
    <w:name w:val="Body Text"/>
    <w:basedOn w:val="Normal"/>
    <w:link w:val="BodyTextChar"/>
    <w:uiPriority w:val="99"/>
    <w:unhideWhenUsed/>
    <w:rsid w:val="00D01830"/>
    <w:pPr>
      <w:spacing w:after="120"/>
    </w:pPr>
  </w:style>
  <w:style w:type="character" w:customStyle="1" w:styleId="BodyTextChar">
    <w:name w:val="Body Text Char"/>
    <w:basedOn w:val="DefaultParagraphFont"/>
    <w:link w:val="BodyText"/>
    <w:uiPriority w:val="99"/>
    <w:rsid w:val="00D01830"/>
    <w:rPr>
      <w:rFonts w:ascii="Calibri" w:eastAsia="Calibri" w:hAnsi="Calibri" w:cs="Times New Roman"/>
      <w:lang w:val="de-DE"/>
    </w:rPr>
  </w:style>
  <w:style w:type="character" w:customStyle="1" w:styleId="Heading3Char">
    <w:name w:val="Heading 3 Char"/>
    <w:basedOn w:val="DefaultParagraphFont"/>
    <w:link w:val="Heading3"/>
    <w:uiPriority w:val="9"/>
    <w:rsid w:val="00D01830"/>
    <w:rPr>
      <w:rFonts w:asciiTheme="majorHAnsi" w:eastAsiaTheme="majorEastAsia" w:hAnsiTheme="majorHAnsi" w:cstheme="majorBidi"/>
      <w:b/>
      <w:bCs/>
      <w:color w:val="4472C4" w:themeColor="accent1"/>
      <w:sz w:val="28"/>
      <w:szCs w:val="28"/>
      <w:lang w:val="en-US"/>
    </w:rPr>
  </w:style>
  <w:style w:type="paragraph" w:customStyle="1" w:styleId="NormalNormal">
    <w:name w:val="NormalNormal"/>
    <w:basedOn w:val="Normal"/>
    <w:link w:val="NormalNormalZchn"/>
    <w:uiPriority w:val="99"/>
    <w:rsid w:val="00D01830"/>
    <w:pPr>
      <w:spacing w:after="0" w:line="280" w:lineRule="exact"/>
    </w:pPr>
    <w:rPr>
      <w:rFonts w:ascii="MetaNormal-Roman" w:hAnsi="MetaNormal-Roman"/>
      <w:sz w:val="20"/>
      <w:szCs w:val="20"/>
      <w:lang w:eastAsia="de-DE"/>
    </w:rPr>
  </w:style>
  <w:style w:type="character" w:customStyle="1" w:styleId="NormalNormalZchn">
    <w:name w:val="NormalNormal Zchn"/>
    <w:link w:val="NormalNormal"/>
    <w:uiPriority w:val="99"/>
    <w:locked/>
    <w:rsid w:val="00D01830"/>
    <w:rPr>
      <w:rFonts w:ascii="MetaNormal-Roman" w:eastAsia="Calibri" w:hAnsi="MetaNormal-Roman" w:cs="Times New Roman"/>
      <w:sz w:val="20"/>
      <w:szCs w:val="20"/>
      <w:lang w:val="de-DE" w:eastAsia="de-DE"/>
    </w:rPr>
  </w:style>
  <w:style w:type="paragraph" w:customStyle="1" w:styleId="StandardArial">
    <w:name w:val="Standard + Arial"/>
    <w:aliases w:val="12 pt,Zeilenabstand:  1,5 Zeilen + 11 pt,Block + 11 pt + 11 ..."/>
    <w:basedOn w:val="Normal"/>
    <w:uiPriority w:val="99"/>
    <w:rsid w:val="00D01830"/>
    <w:pPr>
      <w:spacing w:after="0" w:line="360" w:lineRule="auto"/>
    </w:pPr>
    <w:rPr>
      <w:rFonts w:ascii="Arial" w:eastAsia="Times New Roman" w:hAnsi="Arial"/>
      <w:sz w:val="20"/>
      <w:szCs w:val="20"/>
      <w:lang w:eastAsia="de-DE"/>
    </w:rPr>
  </w:style>
  <w:style w:type="character" w:styleId="Hyperlink">
    <w:name w:val="Hyperlink"/>
    <w:basedOn w:val="DefaultParagraphFont"/>
    <w:uiPriority w:val="99"/>
    <w:rsid w:val="00D01830"/>
    <w:rPr>
      <w:rFonts w:cs="Times New Roman"/>
      <w:color w:val="0563C1"/>
      <w:u w:val="single"/>
    </w:rPr>
  </w:style>
  <w:style w:type="paragraph" w:customStyle="1" w:styleId="FirstParagraph">
    <w:name w:val="First Paragraph"/>
    <w:basedOn w:val="BodyText"/>
    <w:next w:val="BodyText"/>
    <w:qFormat/>
    <w:rsid w:val="00D01830"/>
    <w:pPr>
      <w:spacing w:before="180" w:after="180" w:line="240" w:lineRule="auto"/>
    </w:pPr>
    <w:rPr>
      <w:rFonts w:asciiTheme="minorHAnsi" w:eastAsiaTheme="minorHAnsi" w:hAnsiTheme="minorHAnsi" w:cstheme="minorBidi"/>
      <w:sz w:val="24"/>
      <w:szCs w:val="24"/>
      <w:lang w:val="en-US"/>
    </w:rPr>
  </w:style>
  <w:style w:type="paragraph" w:styleId="FootnoteText">
    <w:name w:val="footnote text"/>
    <w:basedOn w:val="Normal"/>
    <w:link w:val="FootnoteTextChar"/>
    <w:unhideWhenUsed/>
    <w:qFormat/>
    <w:rsid w:val="00D01830"/>
    <w:pPr>
      <w:spacing w:after="200" w:line="240" w:lineRule="auto"/>
    </w:pPr>
    <w:rPr>
      <w:rFonts w:asciiTheme="minorHAnsi" w:eastAsiaTheme="minorHAnsi" w:hAnsiTheme="minorHAnsi" w:cstheme="minorBidi"/>
      <w:sz w:val="24"/>
      <w:szCs w:val="24"/>
      <w:lang w:val="en-US"/>
    </w:rPr>
  </w:style>
  <w:style w:type="character" w:customStyle="1" w:styleId="FootnoteTextChar">
    <w:name w:val="Footnote Text Char"/>
    <w:basedOn w:val="DefaultParagraphFont"/>
    <w:link w:val="FootnoteText"/>
    <w:rsid w:val="00D01830"/>
    <w:rPr>
      <w:sz w:val="24"/>
      <w:szCs w:val="24"/>
      <w:lang w:val="en-US"/>
    </w:rPr>
  </w:style>
  <w:style w:type="character" w:styleId="FootnoteReference">
    <w:name w:val="footnote reference"/>
    <w:basedOn w:val="DefaultParagraphFont"/>
    <w:unhideWhenUsed/>
    <w:rsid w:val="00D01830"/>
    <w:rPr>
      <w:vertAlign w:val="superscript"/>
    </w:rPr>
  </w:style>
  <w:style w:type="paragraph" w:styleId="Header">
    <w:name w:val="header"/>
    <w:basedOn w:val="Normal"/>
    <w:link w:val="HeaderChar"/>
    <w:uiPriority w:val="99"/>
    <w:unhideWhenUsed/>
    <w:rsid w:val="00D01830"/>
    <w:pPr>
      <w:tabs>
        <w:tab w:val="center" w:pos="4536"/>
        <w:tab w:val="right" w:pos="9072"/>
      </w:tabs>
      <w:spacing w:after="0" w:line="240" w:lineRule="auto"/>
    </w:pPr>
  </w:style>
  <w:style w:type="character" w:customStyle="1" w:styleId="HeaderChar">
    <w:name w:val="Header Char"/>
    <w:basedOn w:val="DefaultParagraphFont"/>
    <w:link w:val="Header"/>
    <w:uiPriority w:val="99"/>
    <w:rsid w:val="00D01830"/>
    <w:rPr>
      <w:rFonts w:ascii="Calibri" w:eastAsia="Calibri" w:hAnsi="Calibri" w:cs="Times New Roman"/>
      <w:lang w:val="de-DE"/>
    </w:rPr>
  </w:style>
  <w:style w:type="paragraph" w:styleId="Footer">
    <w:name w:val="footer"/>
    <w:basedOn w:val="Normal"/>
    <w:link w:val="FooterChar"/>
    <w:uiPriority w:val="99"/>
    <w:unhideWhenUsed/>
    <w:rsid w:val="00D01830"/>
    <w:pPr>
      <w:tabs>
        <w:tab w:val="center" w:pos="4536"/>
        <w:tab w:val="right" w:pos="9072"/>
      </w:tabs>
      <w:spacing w:after="0" w:line="240" w:lineRule="auto"/>
    </w:pPr>
  </w:style>
  <w:style w:type="character" w:customStyle="1" w:styleId="FooterChar">
    <w:name w:val="Footer Char"/>
    <w:basedOn w:val="DefaultParagraphFont"/>
    <w:link w:val="Footer"/>
    <w:uiPriority w:val="99"/>
    <w:rsid w:val="00D01830"/>
    <w:rPr>
      <w:rFonts w:ascii="Calibri" w:eastAsia="Calibri" w:hAnsi="Calibri" w:cs="Times New Roman"/>
      <w:lang w:val="de-DE"/>
    </w:rPr>
  </w:style>
  <w:style w:type="paragraph" w:styleId="ListParagraph">
    <w:name w:val="List Paragraph"/>
    <w:basedOn w:val="Normal"/>
    <w:uiPriority w:val="34"/>
    <w:qFormat/>
    <w:rsid w:val="00D01830"/>
    <w:pPr>
      <w:ind w:left="720"/>
      <w:contextualSpacing/>
    </w:pPr>
  </w:style>
  <w:style w:type="table" w:styleId="TableGrid">
    <w:name w:val="Table Grid"/>
    <w:basedOn w:val="TableNormal"/>
    <w:uiPriority w:val="39"/>
    <w:rsid w:val="00D01830"/>
    <w:pPr>
      <w:spacing w:after="0" w:line="240" w:lineRule="auto"/>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D01830"/>
    <w:rPr>
      <w:b/>
      <w:bCs/>
    </w:rPr>
  </w:style>
  <w:style w:type="paragraph" w:customStyle="1" w:styleId="Default">
    <w:name w:val="Default"/>
    <w:rsid w:val="00D01830"/>
    <w:pPr>
      <w:autoSpaceDE w:val="0"/>
      <w:autoSpaceDN w:val="0"/>
      <w:adjustRightInd w:val="0"/>
      <w:spacing w:after="0" w:line="240" w:lineRule="auto"/>
    </w:pPr>
    <w:rPr>
      <w:rFonts w:ascii="Times New Roman" w:hAnsi="Times New Roman" w:cs="Times New Roman"/>
      <w:color w:val="000000"/>
      <w:sz w:val="24"/>
      <w:szCs w:val="24"/>
      <w:lang w:val="de-DE"/>
    </w:rPr>
  </w:style>
  <w:style w:type="character" w:customStyle="1" w:styleId="CommentTextChar">
    <w:name w:val="Comment Text Char"/>
    <w:basedOn w:val="DefaultParagraphFont"/>
    <w:link w:val="CommentText"/>
    <w:uiPriority w:val="99"/>
    <w:semiHidden/>
    <w:rsid w:val="00D01830"/>
    <w:rPr>
      <w:rFonts w:ascii="Calibri" w:eastAsia="Calibri" w:hAnsi="Calibri" w:cs="Times New Roman"/>
      <w:sz w:val="20"/>
      <w:szCs w:val="20"/>
      <w:lang w:val="de-DE"/>
    </w:rPr>
  </w:style>
  <w:style w:type="paragraph" w:styleId="CommentText">
    <w:name w:val="annotation text"/>
    <w:basedOn w:val="Normal"/>
    <w:link w:val="CommentTextChar"/>
    <w:uiPriority w:val="99"/>
    <w:semiHidden/>
    <w:unhideWhenUsed/>
    <w:rsid w:val="00D01830"/>
    <w:pPr>
      <w:spacing w:line="240" w:lineRule="auto"/>
    </w:pPr>
    <w:rPr>
      <w:sz w:val="20"/>
      <w:szCs w:val="20"/>
    </w:rPr>
  </w:style>
  <w:style w:type="character" w:customStyle="1" w:styleId="CommentSubjectChar">
    <w:name w:val="Comment Subject Char"/>
    <w:basedOn w:val="CommentTextChar"/>
    <w:link w:val="CommentSubject"/>
    <w:uiPriority w:val="99"/>
    <w:semiHidden/>
    <w:rsid w:val="00D01830"/>
    <w:rPr>
      <w:rFonts w:ascii="Calibri" w:eastAsia="Calibri" w:hAnsi="Calibri" w:cs="Times New Roman"/>
      <w:b/>
      <w:bCs/>
      <w:sz w:val="20"/>
      <w:szCs w:val="20"/>
      <w:lang w:val="de-DE"/>
    </w:rPr>
  </w:style>
  <w:style w:type="paragraph" w:styleId="CommentSubject">
    <w:name w:val="annotation subject"/>
    <w:basedOn w:val="CommentText"/>
    <w:next w:val="CommentText"/>
    <w:link w:val="CommentSubjectChar"/>
    <w:uiPriority w:val="99"/>
    <w:semiHidden/>
    <w:unhideWhenUsed/>
    <w:rsid w:val="00D01830"/>
    <w:rPr>
      <w:b/>
      <w:bCs/>
    </w:rPr>
  </w:style>
  <w:style w:type="character" w:customStyle="1" w:styleId="BalloonTextChar">
    <w:name w:val="Balloon Text Char"/>
    <w:basedOn w:val="DefaultParagraphFont"/>
    <w:link w:val="BalloonText"/>
    <w:uiPriority w:val="99"/>
    <w:semiHidden/>
    <w:rsid w:val="00D01830"/>
    <w:rPr>
      <w:rFonts w:ascii="Tahoma" w:eastAsia="Calibri" w:hAnsi="Tahoma" w:cs="Tahoma"/>
      <w:sz w:val="16"/>
      <w:szCs w:val="16"/>
      <w:lang w:val="de-DE"/>
    </w:rPr>
  </w:style>
  <w:style w:type="paragraph" w:styleId="BalloonText">
    <w:name w:val="Balloon Text"/>
    <w:basedOn w:val="Normal"/>
    <w:link w:val="BalloonTextChar"/>
    <w:uiPriority w:val="99"/>
    <w:semiHidden/>
    <w:unhideWhenUsed/>
    <w:rsid w:val="00D01830"/>
    <w:pPr>
      <w:spacing w:after="0" w:line="240" w:lineRule="auto"/>
    </w:pPr>
    <w:rPr>
      <w:rFonts w:ascii="Tahoma" w:hAnsi="Tahoma" w:cs="Tahoma"/>
      <w:sz w:val="16"/>
      <w:szCs w:val="16"/>
    </w:rPr>
  </w:style>
  <w:style w:type="character" w:styleId="LineNumber">
    <w:name w:val="line number"/>
    <w:basedOn w:val="DefaultParagraphFont"/>
    <w:uiPriority w:val="99"/>
    <w:semiHidden/>
    <w:unhideWhenUsed/>
    <w:rsid w:val="00D01830"/>
  </w:style>
  <w:style w:type="paragraph" w:styleId="NoSpacing">
    <w:name w:val="No Spacing"/>
    <w:link w:val="NoSpacingChar"/>
    <w:uiPriority w:val="1"/>
    <w:qFormat/>
    <w:rsid w:val="00D01830"/>
    <w:pPr>
      <w:spacing w:after="0" w:line="240" w:lineRule="auto"/>
    </w:pPr>
    <w:rPr>
      <w:rFonts w:ascii="Calibri" w:eastAsia="Calibri" w:hAnsi="Calibri" w:cs="Times New Roman"/>
      <w:lang w:val="de-DE"/>
    </w:rPr>
  </w:style>
  <w:style w:type="character" w:customStyle="1" w:styleId="NoSpacingChar">
    <w:name w:val="No Spacing Char"/>
    <w:link w:val="NoSpacing"/>
    <w:uiPriority w:val="1"/>
    <w:locked/>
    <w:rsid w:val="0075304E"/>
    <w:rPr>
      <w:rFonts w:ascii="Calibri" w:eastAsia="Calibri" w:hAnsi="Calibri" w:cs="Times New Roman"/>
      <w:lang w:val="de-DE"/>
    </w:rPr>
  </w:style>
  <w:style w:type="paragraph" w:styleId="NormalWeb">
    <w:name w:val="Normal (Web)"/>
    <w:basedOn w:val="Normal"/>
    <w:uiPriority w:val="99"/>
    <w:semiHidden/>
    <w:unhideWhenUsed/>
    <w:rsid w:val="00D01830"/>
    <w:pPr>
      <w:spacing w:before="85" w:after="85" w:line="240" w:lineRule="auto"/>
    </w:pPr>
    <w:rPr>
      <w:rFonts w:ascii="Times New Roman" w:eastAsia="Times New Roman" w:hAnsi="Times New Roman"/>
      <w:sz w:val="24"/>
      <w:szCs w:val="24"/>
      <w:lang w:eastAsia="de-DE"/>
    </w:rPr>
  </w:style>
  <w:style w:type="character" w:styleId="CommentReference">
    <w:name w:val="annotation reference"/>
    <w:basedOn w:val="DefaultParagraphFont"/>
    <w:uiPriority w:val="99"/>
    <w:semiHidden/>
    <w:unhideWhenUsed/>
    <w:rsid w:val="009A5529"/>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ian.Godman@ki.se" TargetMode="External"/><Relationship Id="rId13" Type="http://schemas.openxmlformats.org/officeDocument/2006/relationships/image" Target="media/image3.w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brian.godman@strath.ac.uk" TargetMode="External"/><Relationship Id="rId12" Type="http://schemas.openxmlformats.org/officeDocument/2006/relationships/oleObject" Target="embeddings/oleObject2.bin"/><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wmf"/><Relationship Id="rId5" Type="http://schemas.openxmlformats.org/officeDocument/2006/relationships/footnotes" Target="footnotes.xml"/><Relationship Id="rId15" Type="http://schemas.openxmlformats.org/officeDocument/2006/relationships/image" Target="media/image4.emf"/><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oleObject" Target="embeddings/oleObject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14</Pages>
  <Words>6204</Words>
  <Characters>35366</Characters>
  <Application>Microsoft Office Word</Application>
  <DocSecurity>0</DocSecurity>
  <Lines>294</Lines>
  <Paragraphs>82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41488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Godman</dc:creator>
  <cp:keywords/>
  <dc:description/>
  <cp:lastModifiedBy>Brian Godman</cp:lastModifiedBy>
  <cp:revision>3</cp:revision>
  <dcterms:created xsi:type="dcterms:W3CDTF">2018-10-24T11:38:00Z</dcterms:created>
  <dcterms:modified xsi:type="dcterms:W3CDTF">2018-10-24T11:45:00Z</dcterms:modified>
</cp:coreProperties>
</file>