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A4B46" w14:textId="07EEB9D2" w:rsidR="00BC6DE6" w:rsidRPr="00DB32AC" w:rsidRDefault="000B070B" w:rsidP="003F4196">
      <w:pPr>
        <w:pStyle w:val="Title"/>
        <w:rPr>
          <w:rFonts w:asciiTheme="minorHAnsi" w:hAnsiTheme="minorHAnsi"/>
        </w:rPr>
      </w:pPr>
      <w:bookmarkStart w:id="0" w:name="_GoBack"/>
      <w:bookmarkEnd w:id="0"/>
      <w:r w:rsidRPr="00DB32AC">
        <w:rPr>
          <w:rFonts w:asciiTheme="minorHAnsi" w:hAnsiTheme="minorHAnsi"/>
        </w:rPr>
        <w:t xml:space="preserve">CRISPR/Cas9-mediated one step </w:t>
      </w:r>
      <w:r w:rsidR="00BC6DE6" w:rsidRPr="00DB32AC">
        <w:rPr>
          <w:rFonts w:asciiTheme="minorHAnsi" w:hAnsiTheme="minorHAnsi"/>
        </w:rPr>
        <w:t>bi-allelic change</w:t>
      </w:r>
      <w:r w:rsidR="005D5652" w:rsidRPr="00DB32AC">
        <w:rPr>
          <w:rFonts w:asciiTheme="minorHAnsi" w:hAnsiTheme="minorHAnsi"/>
        </w:rPr>
        <w:t xml:space="preserve"> of genomic DNA </w:t>
      </w:r>
      <w:r w:rsidRPr="00DB32AC">
        <w:rPr>
          <w:rFonts w:asciiTheme="minorHAnsi" w:hAnsiTheme="minorHAnsi"/>
        </w:rPr>
        <w:t xml:space="preserve">in </w:t>
      </w:r>
      <w:proofErr w:type="spellStart"/>
      <w:r w:rsidRPr="00DB32AC">
        <w:rPr>
          <w:rFonts w:asciiTheme="minorHAnsi" w:hAnsiTheme="minorHAnsi"/>
        </w:rPr>
        <w:t>iPSCs</w:t>
      </w:r>
      <w:proofErr w:type="spellEnd"/>
      <w:r w:rsidRPr="00DB32AC">
        <w:rPr>
          <w:rFonts w:asciiTheme="minorHAnsi" w:hAnsiTheme="minorHAnsi"/>
        </w:rPr>
        <w:t xml:space="preserve"> and human RPE cells </w:t>
      </w:r>
      <w:r w:rsidR="005D5652" w:rsidRPr="00DB32AC">
        <w:rPr>
          <w:rFonts w:asciiTheme="minorHAnsi" w:hAnsiTheme="minorHAnsi"/>
          <w:i/>
          <w:iCs/>
        </w:rPr>
        <w:t>in vitro</w:t>
      </w:r>
      <w:r w:rsidR="005D5652" w:rsidRPr="00DB32AC">
        <w:rPr>
          <w:rFonts w:asciiTheme="minorHAnsi" w:hAnsiTheme="minorHAnsi"/>
        </w:rPr>
        <w:t xml:space="preserve"> </w:t>
      </w:r>
      <w:r w:rsidR="00624FCD" w:rsidRPr="00DB32AC">
        <w:rPr>
          <w:rFonts w:asciiTheme="minorHAnsi" w:hAnsiTheme="minorHAnsi"/>
        </w:rPr>
        <w:t xml:space="preserve">with </w:t>
      </w:r>
      <w:r w:rsidR="005542B9" w:rsidRPr="00DB32AC">
        <w:rPr>
          <w:rFonts w:asciiTheme="minorHAnsi" w:hAnsiTheme="minorHAnsi"/>
        </w:rPr>
        <w:t xml:space="preserve">dual </w:t>
      </w:r>
      <w:r w:rsidR="00BC6DE6" w:rsidRPr="00DB32AC">
        <w:rPr>
          <w:rFonts w:asciiTheme="minorHAnsi" w:hAnsiTheme="minorHAnsi"/>
        </w:rPr>
        <w:t>antibiotic selection</w:t>
      </w:r>
      <w:r w:rsidR="00624FCD" w:rsidRPr="00DB32AC">
        <w:rPr>
          <w:rFonts w:asciiTheme="minorHAnsi" w:hAnsiTheme="minorHAnsi"/>
        </w:rPr>
        <w:t xml:space="preserve"> </w:t>
      </w:r>
    </w:p>
    <w:p w14:paraId="34468F4D" w14:textId="77777777" w:rsidR="00BC6DE6" w:rsidRDefault="00BC6DE6" w:rsidP="00BC6DE6"/>
    <w:p w14:paraId="11F452C5" w14:textId="205F0811" w:rsidR="00BC6DE6" w:rsidRPr="0081067F" w:rsidRDefault="00BC6DE6" w:rsidP="00BC6DE6">
      <w:r>
        <w:t>Wasu Supharattanasitthi</w:t>
      </w:r>
      <w:r w:rsidRPr="00BC6DE6">
        <w:rPr>
          <w:vertAlign w:val="superscript"/>
        </w:rPr>
        <w:t>1</w:t>
      </w:r>
      <w:r w:rsidR="002B3448" w:rsidRPr="00BC6DE6">
        <w:rPr>
          <w:vertAlign w:val="superscript"/>
        </w:rPr>
        <w:t>, 2</w:t>
      </w:r>
      <w:r>
        <w:t>,</w:t>
      </w:r>
      <w:r w:rsidRPr="00BC6DE6">
        <w:t xml:space="preserve"> </w:t>
      </w:r>
      <w:r w:rsidR="00557A41">
        <w:t xml:space="preserve">Emil </w:t>
      </w:r>
      <w:r w:rsidR="00557A41" w:rsidRPr="00557A41">
        <w:t>Carlsson</w:t>
      </w:r>
      <w:r w:rsidR="00557A41" w:rsidRPr="00557A41">
        <w:rPr>
          <w:vertAlign w:val="superscript"/>
        </w:rPr>
        <w:t>1</w:t>
      </w:r>
      <w:r w:rsidR="00557A41">
        <w:t xml:space="preserve">, </w:t>
      </w:r>
      <w:r w:rsidRPr="00557A41">
        <w:t>Umar</w:t>
      </w:r>
      <w:r w:rsidRPr="00BC6DE6">
        <w:t xml:space="preserve"> Sharif</w:t>
      </w:r>
      <w:r w:rsidRPr="00BC6DE6">
        <w:rPr>
          <w:vertAlign w:val="superscript"/>
        </w:rPr>
        <w:t>1</w:t>
      </w:r>
      <w:r>
        <w:t>, Luminita Paraoan</w:t>
      </w:r>
      <w:r w:rsidRPr="00BC6DE6">
        <w:rPr>
          <w:vertAlign w:val="superscript"/>
        </w:rPr>
        <w:t>1</w:t>
      </w:r>
      <w:proofErr w:type="gramStart"/>
      <w:r w:rsidRPr="00BC6DE6">
        <w:rPr>
          <w:vertAlign w:val="superscript"/>
        </w:rPr>
        <w:t>,</w:t>
      </w:r>
      <w:r w:rsidR="0081067F">
        <w:t>*</w:t>
      </w:r>
      <w:proofErr w:type="gramEnd"/>
    </w:p>
    <w:p w14:paraId="65180237" w14:textId="77777777" w:rsidR="00BC6DE6" w:rsidRDefault="00BC6DE6" w:rsidP="00BC6DE6"/>
    <w:p w14:paraId="6519F017" w14:textId="77777777" w:rsidR="00BC6DE6" w:rsidRDefault="00BC6DE6" w:rsidP="00BC6DE6">
      <w:r w:rsidRPr="00BC6DE6">
        <w:rPr>
          <w:vertAlign w:val="superscript"/>
        </w:rPr>
        <w:t>1</w:t>
      </w:r>
      <w:r>
        <w:t>Department of Eye and Vision Science, Institute of Ageing and Chronic Disease, University of Liverpool, Liverpool, United Kingdom;</w:t>
      </w:r>
    </w:p>
    <w:p w14:paraId="2F1C82B7" w14:textId="77777777" w:rsidR="00BC6DE6" w:rsidRDefault="00BC6DE6" w:rsidP="00BC6DE6">
      <w:r w:rsidRPr="00BC6DE6">
        <w:rPr>
          <w:vertAlign w:val="superscript"/>
        </w:rPr>
        <w:t>2</w:t>
      </w:r>
      <w:r>
        <w:t>Department of Physiology, Faculty of Pharmacy, Mahidol University, Bangkok, Thailand</w:t>
      </w:r>
    </w:p>
    <w:p w14:paraId="73CF7095" w14:textId="77777777" w:rsidR="00385830" w:rsidRDefault="00385830" w:rsidP="00BC6DE6"/>
    <w:p w14:paraId="781EF69E" w14:textId="77777777" w:rsidR="00BC6DE6" w:rsidRDefault="00BC6DE6" w:rsidP="00BC6DE6">
      <w:r>
        <w:t>*Corresponding author: Luminita Paraoan, PhD</w:t>
      </w:r>
    </w:p>
    <w:p w14:paraId="56E7FA37" w14:textId="77777777" w:rsidR="00BC6DE6" w:rsidRDefault="00BC6DE6" w:rsidP="00BC6DE6">
      <w:r>
        <w:t xml:space="preserve">Department of Eye and Vision Science, Institute of Ageing and Chronic Disease, University of Liverpool, </w:t>
      </w:r>
      <w:r w:rsidR="00242044" w:rsidRPr="00242044">
        <w:t>William Duncan Building</w:t>
      </w:r>
      <w:r>
        <w:t>, 6 West Derby Street, Liverpool L7 8TX, United Kingdom</w:t>
      </w:r>
    </w:p>
    <w:p w14:paraId="1C7702B3" w14:textId="77777777" w:rsidR="00BC6DE6" w:rsidRDefault="00BC6DE6" w:rsidP="00BC6DE6">
      <w:r>
        <w:t>Tel.: +44 151 794 9038</w:t>
      </w:r>
    </w:p>
    <w:p w14:paraId="1CAF4407" w14:textId="77777777" w:rsidR="001565A3" w:rsidRDefault="00BC6DE6" w:rsidP="00BC6DE6">
      <w:r>
        <w:t xml:space="preserve">E-mail: </w:t>
      </w:r>
      <w:hyperlink r:id="rId6" w:history="1">
        <w:r w:rsidRPr="006D1D6E">
          <w:rPr>
            <w:rStyle w:val="Hyperlink"/>
          </w:rPr>
          <w:t>lparaoan@liverpool.ac.uk</w:t>
        </w:r>
      </w:hyperlink>
    </w:p>
    <w:p w14:paraId="006A4A2F" w14:textId="77777777" w:rsidR="005542B9" w:rsidRDefault="005542B9" w:rsidP="00BC6DE6"/>
    <w:p w14:paraId="4B81FD7E" w14:textId="77777777" w:rsidR="00DB32AC" w:rsidRDefault="00DB32AC" w:rsidP="00BC6DE6"/>
    <w:p w14:paraId="2E83695C" w14:textId="1750654D" w:rsidR="001206C2" w:rsidRPr="00146AF3" w:rsidRDefault="001206C2" w:rsidP="003F4196">
      <w:pPr>
        <w:pStyle w:val="Heading1"/>
        <w:rPr>
          <w:rFonts w:asciiTheme="minorHAnsi" w:hAnsiTheme="minorHAnsi"/>
          <w:color w:val="auto"/>
        </w:rPr>
      </w:pPr>
      <w:r w:rsidRPr="00146AF3">
        <w:rPr>
          <w:rFonts w:asciiTheme="minorHAnsi" w:hAnsiTheme="minorHAnsi"/>
          <w:color w:val="auto"/>
        </w:rPr>
        <w:t>Abstract</w:t>
      </w:r>
    </w:p>
    <w:p w14:paraId="026DB10A" w14:textId="07056940" w:rsidR="001206C2" w:rsidRDefault="00696953" w:rsidP="0080517C">
      <w:pPr>
        <w:ind w:firstLine="720"/>
        <w:jc w:val="both"/>
      </w:pPr>
      <w:r>
        <w:t>CRI</w:t>
      </w:r>
      <w:r w:rsidR="00FE0FE7">
        <w:t>SPR/Cas9 causes</w:t>
      </w:r>
      <w:r w:rsidR="00752390">
        <w:t xml:space="preserve"> </w:t>
      </w:r>
      <w:r>
        <w:t>double-stranded DNA break</w:t>
      </w:r>
      <w:r w:rsidR="00752390">
        <w:t>s</w:t>
      </w:r>
      <w:r w:rsidR="00193F32">
        <w:t xml:space="preserve"> that</w:t>
      </w:r>
      <w:r w:rsidR="00FE0FE7">
        <w:t xml:space="preserve"> can </w:t>
      </w:r>
      <w:r>
        <w:t>un</w:t>
      </w:r>
      <w:r w:rsidR="007F281F">
        <w:t xml:space="preserve">dergo DNA repair </w:t>
      </w:r>
      <w:r w:rsidR="00752390">
        <w:t xml:space="preserve">either </w:t>
      </w:r>
      <w:r w:rsidR="007F281F">
        <w:t>via n</w:t>
      </w:r>
      <w:r>
        <w:t>on-homologous</w:t>
      </w:r>
      <w:r w:rsidR="00752390">
        <w:t xml:space="preserve"> end joining (NHEJ) or, in the presence of a template, homology-</w:t>
      </w:r>
      <w:r>
        <w:t>directed repair (HDR).</w:t>
      </w:r>
      <w:r w:rsidR="001D636E">
        <w:t xml:space="preserve"> </w:t>
      </w:r>
      <w:r w:rsidR="00AE3BE8">
        <w:t xml:space="preserve">HDR is typically used to insert a specific genetic modification into the genome but </w:t>
      </w:r>
      <w:r w:rsidR="00193F32">
        <w:t>has</w:t>
      </w:r>
      <w:r w:rsidR="00A50235">
        <w:t xml:space="preserve"> low efficiency </w:t>
      </w:r>
      <w:r w:rsidR="00193F32">
        <w:t xml:space="preserve">compared to NHEJ, which </w:t>
      </w:r>
      <w:r w:rsidR="00A50235">
        <w:t>is lowered even further when trying to create a homozygous cha</w:t>
      </w:r>
      <w:r w:rsidR="00752390">
        <w:t>nge</w:t>
      </w:r>
      <w:r w:rsidR="00A50235">
        <w:t xml:space="preserve">. </w:t>
      </w:r>
      <w:r w:rsidR="00861C70">
        <w:t>I</w:t>
      </w:r>
      <w:r>
        <w:t xml:space="preserve">n this study we </w:t>
      </w:r>
      <w:r w:rsidR="00AD3F4C">
        <w:t>devised</w:t>
      </w:r>
      <w:r>
        <w:t xml:space="preserve"> a novel approach </w:t>
      </w:r>
      <w:r w:rsidR="00FE0FE7">
        <w:t xml:space="preserve">for homozygous single base editing </w:t>
      </w:r>
      <w:r w:rsidR="00AD3F4C">
        <w:t xml:space="preserve">based on utilising simultaneously </w:t>
      </w:r>
      <w:r>
        <w:t xml:space="preserve">two </w:t>
      </w:r>
      <w:r w:rsidR="00EB7A3D">
        <w:t xml:space="preserve">donor DNA </w:t>
      </w:r>
      <w:r w:rsidR="001206C2">
        <w:t xml:space="preserve">templates </w:t>
      </w:r>
      <w:r w:rsidR="00AD3F4C">
        <w:t xml:space="preserve">cloned in plasmids with different </w:t>
      </w:r>
      <w:r w:rsidR="001206C2">
        <w:t>antibiotic resistant genes</w:t>
      </w:r>
      <w:r w:rsidR="00802350">
        <w:t>. The</w:t>
      </w:r>
      <w:r w:rsidR="003E0D85">
        <w:t xml:space="preserve"> donor templates</w:t>
      </w:r>
      <w:r w:rsidR="00A50235">
        <w:t xml:space="preserve"> </w:t>
      </w:r>
      <w:r w:rsidR="003E0D85">
        <w:t xml:space="preserve">were </w:t>
      </w:r>
      <w:r w:rsidR="00A50235">
        <w:t xml:space="preserve">co-transfected alongside the CRISPR/Cas9 </w:t>
      </w:r>
      <w:r w:rsidR="00BA44A9">
        <w:t>machinery</w:t>
      </w:r>
      <w:r w:rsidR="00A50235">
        <w:t xml:space="preserve"> into cells</w:t>
      </w:r>
      <w:r w:rsidR="003E0D85">
        <w:t xml:space="preserve"> </w:t>
      </w:r>
      <w:r w:rsidR="00AD3F4C">
        <w:t>and</w:t>
      </w:r>
      <w:r w:rsidR="003E0D85">
        <w:t xml:space="preserve"> a doubl</w:t>
      </w:r>
      <w:r w:rsidR="00AD3F4C">
        <w:t>e antibiotic selection</w:t>
      </w:r>
      <w:r w:rsidR="003E0D85">
        <w:t xml:space="preserve"> was </w:t>
      </w:r>
      <w:r w:rsidR="00AD3F4C">
        <w:t>optimised and allowed the isolation</w:t>
      </w:r>
      <w:r w:rsidR="003E0D85">
        <w:t xml:space="preserve"> </w:t>
      </w:r>
      <w:r w:rsidR="00AD3F4C">
        <w:t xml:space="preserve">of </w:t>
      </w:r>
      <w:r w:rsidR="00F93554">
        <w:t xml:space="preserve">viable </w:t>
      </w:r>
      <w:r w:rsidR="003E0D85">
        <w:t>desired clones</w:t>
      </w:r>
      <w:r w:rsidR="00A50235">
        <w:t>.</w:t>
      </w:r>
      <w:r w:rsidR="000E5BB9">
        <w:t xml:space="preserve"> </w:t>
      </w:r>
      <w:r w:rsidR="00802350">
        <w:t xml:space="preserve">We applied the method for obtaining </w:t>
      </w:r>
      <w:r w:rsidR="00F77E92">
        <w:t>isogenic cells homozygous for variant B cystatin C</w:t>
      </w:r>
      <w:r w:rsidR="00F93554">
        <w:t>, a recessive risk factor for age-related macular degen</w:t>
      </w:r>
      <w:r w:rsidR="00752390">
        <w:t xml:space="preserve">eration and Alzheimer’s </w:t>
      </w:r>
      <w:r w:rsidR="00C6746A">
        <w:t>disease</w:t>
      </w:r>
      <w:r w:rsidR="00752390">
        <w:t>, in both induced Pluripotent Stem Cells (</w:t>
      </w:r>
      <w:proofErr w:type="spellStart"/>
      <w:r w:rsidR="00752390">
        <w:t>iPSCs</w:t>
      </w:r>
      <w:proofErr w:type="spellEnd"/>
      <w:r w:rsidR="00752390">
        <w:t>) and a human RPE cell line.</w:t>
      </w:r>
      <w:r w:rsidR="00F77E92">
        <w:t xml:space="preserve"> </w:t>
      </w:r>
      <w:r w:rsidR="00AD3F4C">
        <w:t xml:space="preserve">Bi-allelic gene edited clones </w:t>
      </w:r>
      <w:r w:rsidR="00802350">
        <w:t>wer</w:t>
      </w:r>
      <w:r w:rsidR="00193F32">
        <w:t xml:space="preserve">e validated by sequencing, </w:t>
      </w:r>
      <w:r w:rsidR="00802350">
        <w:t>demonstrating</w:t>
      </w:r>
      <w:r w:rsidR="00193F32">
        <w:t xml:space="preserve"> that the </w:t>
      </w:r>
      <w:r w:rsidR="00A50235">
        <w:t>double antibiotic template</w:t>
      </w:r>
      <w:r w:rsidR="007F463C">
        <w:t>s</w:t>
      </w:r>
      <w:r w:rsidR="00193F32">
        <w:t xml:space="preserve"> </w:t>
      </w:r>
      <w:r w:rsidR="00752390">
        <w:t>approach worked efficiently for</w:t>
      </w:r>
      <w:r w:rsidR="00011313">
        <w:t xml:space="preserve"> both </w:t>
      </w:r>
      <w:proofErr w:type="spellStart"/>
      <w:r w:rsidR="000E5BB9">
        <w:t>iPSCs</w:t>
      </w:r>
      <w:proofErr w:type="spellEnd"/>
      <w:r w:rsidR="000E5BB9">
        <w:t xml:space="preserve"> and </w:t>
      </w:r>
      <w:r w:rsidR="00011313">
        <w:t xml:space="preserve">human </w:t>
      </w:r>
      <w:r w:rsidR="00802350">
        <w:t>differentiat</w:t>
      </w:r>
      <w:r w:rsidR="00752390">
        <w:t>ed cells</w:t>
      </w:r>
      <w:r w:rsidR="00802350">
        <w:t>. We propose that</w:t>
      </w:r>
      <w:r w:rsidR="00011313">
        <w:t xml:space="preserve"> this </w:t>
      </w:r>
      <w:r w:rsidR="00802350">
        <w:t xml:space="preserve">one step gene editing </w:t>
      </w:r>
      <w:r w:rsidR="00011313">
        <w:t>approach</w:t>
      </w:r>
      <w:r w:rsidR="00A50235">
        <w:t xml:space="preserve"> can be used to improve the specificity </w:t>
      </w:r>
      <w:r w:rsidR="00F93554">
        <w:t>and</w:t>
      </w:r>
      <w:r w:rsidR="00A50235">
        <w:t xml:space="preserve"> frequency of </w:t>
      </w:r>
      <w:r w:rsidR="003E0D85">
        <w:t>introducing</w:t>
      </w:r>
      <w:r w:rsidR="00A50235">
        <w:t xml:space="preserve"> homozygous modification</w:t>
      </w:r>
      <w:r w:rsidR="00F93554">
        <w:t>s</w:t>
      </w:r>
      <w:r w:rsidR="00A50235">
        <w:t xml:space="preserve"> in mammalian cells.</w:t>
      </w:r>
      <w:r w:rsidR="00802350">
        <w:t xml:space="preserve"> </w:t>
      </w:r>
    </w:p>
    <w:p w14:paraId="08AC923E" w14:textId="77777777" w:rsidR="005542B9" w:rsidRPr="001206C2" w:rsidRDefault="005542B9" w:rsidP="00E11110">
      <w:pPr>
        <w:jc w:val="both"/>
      </w:pPr>
    </w:p>
    <w:p w14:paraId="452D6C1A" w14:textId="5FEE00AE" w:rsidR="00BC6DE6" w:rsidRPr="00146AF3" w:rsidRDefault="00BC6DE6" w:rsidP="003F4196">
      <w:pPr>
        <w:pStyle w:val="Heading1"/>
        <w:rPr>
          <w:rFonts w:asciiTheme="minorHAnsi" w:hAnsiTheme="minorHAnsi"/>
          <w:b/>
          <w:color w:val="auto"/>
        </w:rPr>
      </w:pPr>
      <w:r w:rsidRPr="00146AF3">
        <w:rPr>
          <w:rFonts w:asciiTheme="minorHAnsi" w:hAnsiTheme="minorHAnsi"/>
          <w:b/>
          <w:color w:val="auto"/>
        </w:rPr>
        <w:t>Introduction</w:t>
      </w:r>
    </w:p>
    <w:p w14:paraId="7A99065F" w14:textId="1963B806" w:rsidR="007F463C" w:rsidRPr="00146AF3" w:rsidRDefault="00BC6DE6" w:rsidP="0080517C">
      <w:pPr>
        <w:ind w:firstLine="720"/>
        <w:jc w:val="both"/>
        <w:rPr>
          <w:sz w:val="24"/>
          <w:szCs w:val="24"/>
        </w:rPr>
      </w:pPr>
      <w:r w:rsidRPr="00146AF3">
        <w:rPr>
          <w:sz w:val="24"/>
          <w:szCs w:val="24"/>
        </w:rPr>
        <w:t xml:space="preserve">CRISPR/Cas9 is </w:t>
      </w:r>
      <w:r w:rsidR="005D0C26" w:rsidRPr="00146AF3">
        <w:rPr>
          <w:sz w:val="24"/>
          <w:szCs w:val="24"/>
        </w:rPr>
        <w:t>a powerful method</w:t>
      </w:r>
      <w:r w:rsidRPr="00146AF3">
        <w:rPr>
          <w:sz w:val="24"/>
          <w:szCs w:val="24"/>
        </w:rPr>
        <w:t xml:space="preserve"> for </w:t>
      </w:r>
      <w:r w:rsidR="00C968E8" w:rsidRPr="00146AF3">
        <w:rPr>
          <w:sz w:val="24"/>
          <w:szCs w:val="24"/>
        </w:rPr>
        <w:t xml:space="preserve">editing </w:t>
      </w:r>
      <w:r w:rsidR="00325028" w:rsidRPr="00146AF3">
        <w:rPr>
          <w:sz w:val="24"/>
          <w:szCs w:val="24"/>
        </w:rPr>
        <w:t>and</w:t>
      </w:r>
      <w:r w:rsidR="007E29FF" w:rsidRPr="00146AF3">
        <w:rPr>
          <w:sz w:val="24"/>
          <w:szCs w:val="24"/>
        </w:rPr>
        <w:t xml:space="preserve"> introducing specific </w:t>
      </w:r>
      <w:r w:rsidR="00733BAD" w:rsidRPr="00146AF3">
        <w:rPr>
          <w:sz w:val="24"/>
          <w:szCs w:val="24"/>
        </w:rPr>
        <w:t>changes to the gen</w:t>
      </w:r>
      <w:r w:rsidR="00325028" w:rsidRPr="00146AF3">
        <w:rPr>
          <w:sz w:val="24"/>
          <w:szCs w:val="24"/>
        </w:rPr>
        <w:t>ome</w:t>
      </w:r>
      <w:r w:rsidR="00DB766F" w:rsidRPr="00146AF3">
        <w:rPr>
          <w:sz w:val="24"/>
          <w:szCs w:val="24"/>
        </w:rPr>
        <w:fldChar w:fldCharType="begin" w:fldLock="1"/>
      </w:r>
      <w:r w:rsidR="00D7684C" w:rsidRPr="00146AF3">
        <w:rPr>
          <w:sz w:val="24"/>
          <w:szCs w:val="24"/>
        </w:rPr>
        <w:instrText>ADDIN CSL_CITATION {"citationItems":[{"id":"ITEM-1","itemData":{"DOI":"10.1038/nbt.3659","ISSN":"1087-0156","PMID":"27606440","abstract":"Programmable DNA cleavage using CRISPR–Cas9 enables efficient, site-specific genome engineering in single cells and whole organisms. In the research arena, versatile CRISPR-enabled genome editing has been used in various ways, such as controlling transcription, modifying epigenomes, conducting genome-wide screens and imaging chromosomes. CRISPR systems are already being used to alleviate genetic disorders in animals and are likely to be employed soon in the clinic to treat human diseases of the eye and blood. Two clinical trials using CRISPR-Cas9 for targeted cancer therapies have been approved in China and the United States. Beyond biomedical applications, these tools are now being used to expedite crop and livestock breeding, engineer new antimicrobials and control disease-carrying insects with gene drives.","author":[{"dropping-particle":"","family":"Barrangou","given":"Rodolphe","non-dropping-particle":"","parse-names":false,"suffix":""},{"dropping-particle":"","family":"Doudna","given":"Jennifer A","non-dropping-particle":"","parse-names":false,"suffix":""}],"container-title":"Nature Biotechnology","id":"ITEM-1","issue":"9","issued":{"date-parts":[["2016"]]},"page":"933-941","title":"Applications of CRISPR technologies in research and beyond","type":"article-journal","volume":"34"},"uris":["http://www.mendeley.com/documents/?uuid=9cf7c4aa-da36-40b3-9e82-7b9ca883a939"]},{"id":"ITEM-2","itemData":{"DOI":"10.1111/febs.13763","ISSN":"1742464X","author":[{"dropping-particle":"","family":"Lin","given":"Jennie","non-dropping-particle":"","parse-names":false,"suffix":""},{"dropping-particle":"","family":"Musunuru","given":"Kiran","non-dropping-particle":"","parse-names":false,"suffix":""}],"container-title":"The FEBS Journal","id":"ITEM-2","issue":"17","issued":{"date-parts":[["2016","9","1"]]},"page":"3222-3231","title":"Genome engineering tools for building cellular models of disease","type":"article-journal","volume":"283"},"uris":["http://www.mendeley.com/documents/?uuid=2f057625-8f34-4b88-a755-d574a3cfb240"]},{"id":"ITEM-3","itemData":{"DOI":"10.1016/j.cell.2016.10.044","ISSN":"0092-8674","author":[{"dropping-particle":"","family":"Komor","given":"Alexis C","non-dropping-particle":"","parse-names":false,"suffix":""},{"dropping-particle":"","family":"Badran","given":"Ahmed H","non-dropping-particle":"","parse-names":false,"suffix":""},{"dropping-particle":"","family":"Liu","given":"David R","non-dropping-particle":"","parse-names":false,"suffix":""}],"container-title":"Cell","id":"ITEM-3","issued":{"date-parts":[["2017"]]},"page":"1-17","publisher":"Elsevier Inc.","title":"Review CRISPR-Based Technologies for the Manipulation of Eukaryotic Genomes","type":"article-journal"},"uris":["http://www.mendeley.com/documents/?uuid=6103610e-f2ba-4d81-8d80-9d0c9981a33b"]}],"mendeley":{"formattedCitation":"&lt;sup&gt;1–3&lt;/sup&gt;","plainTextFormattedCitation":"1–3","previouslyFormattedCitation":"&lt;sup&gt;1–3&lt;/sup&gt;"},"properties":{"noteIndex":0},"schema":"https://github.com/citation-style-language/schema/raw/master/csl-citation.json"}</w:instrText>
      </w:r>
      <w:r w:rsidR="00DB766F" w:rsidRPr="00146AF3">
        <w:rPr>
          <w:sz w:val="24"/>
          <w:szCs w:val="24"/>
        </w:rPr>
        <w:fldChar w:fldCharType="separate"/>
      </w:r>
      <w:r w:rsidR="002259C0" w:rsidRPr="00146AF3">
        <w:rPr>
          <w:noProof/>
          <w:sz w:val="24"/>
          <w:szCs w:val="24"/>
          <w:vertAlign w:val="superscript"/>
        </w:rPr>
        <w:t>1–3</w:t>
      </w:r>
      <w:r w:rsidR="00DB766F" w:rsidRPr="00146AF3">
        <w:rPr>
          <w:sz w:val="24"/>
          <w:szCs w:val="24"/>
        </w:rPr>
        <w:fldChar w:fldCharType="end"/>
      </w:r>
      <w:r w:rsidRPr="00146AF3">
        <w:rPr>
          <w:sz w:val="24"/>
          <w:szCs w:val="24"/>
        </w:rPr>
        <w:t>.</w:t>
      </w:r>
      <w:r w:rsidR="00242044" w:rsidRPr="00146AF3">
        <w:rPr>
          <w:sz w:val="24"/>
          <w:szCs w:val="24"/>
        </w:rPr>
        <w:t xml:space="preserve"> </w:t>
      </w:r>
      <w:r w:rsidR="005D0C26" w:rsidRPr="00146AF3">
        <w:rPr>
          <w:sz w:val="24"/>
          <w:szCs w:val="24"/>
        </w:rPr>
        <w:t>One of t</w:t>
      </w:r>
      <w:r w:rsidR="00151F1E" w:rsidRPr="00146AF3">
        <w:rPr>
          <w:sz w:val="24"/>
          <w:szCs w:val="24"/>
        </w:rPr>
        <w:t>he most challenging application</w:t>
      </w:r>
      <w:r w:rsidR="005D0C26" w:rsidRPr="00146AF3">
        <w:rPr>
          <w:sz w:val="24"/>
          <w:szCs w:val="24"/>
        </w:rPr>
        <w:t>s</w:t>
      </w:r>
      <w:r w:rsidR="00151F1E" w:rsidRPr="00146AF3">
        <w:rPr>
          <w:sz w:val="24"/>
          <w:szCs w:val="24"/>
        </w:rPr>
        <w:t xml:space="preserve"> of the technique is </w:t>
      </w:r>
      <w:r w:rsidR="007E29FF" w:rsidRPr="00146AF3">
        <w:rPr>
          <w:sz w:val="24"/>
          <w:szCs w:val="24"/>
        </w:rPr>
        <w:t xml:space="preserve">the </w:t>
      </w:r>
      <w:r w:rsidR="00151F1E" w:rsidRPr="00146AF3">
        <w:rPr>
          <w:sz w:val="24"/>
          <w:szCs w:val="24"/>
        </w:rPr>
        <w:t>introduction of bi</w:t>
      </w:r>
      <w:r w:rsidR="005D0C26" w:rsidRPr="00146AF3">
        <w:rPr>
          <w:sz w:val="24"/>
          <w:szCs w:val="24"/>
        </w:rPr>
        <w:t>-allelic changes</w:t>
      </w:r>
      <w:r w:rsidR="004E7B7D" w:rsidRPr="00146AF3">
        <w:rPr>
          <w:sz w:val="24"/>
          <w:szCs w:val="24"/>
        </w:rPr>
        <w:t>, which is often necessary</w:t>
      </w:r>
      <w:r w:rsidR="005D0C26" w:rsidRPr="00146AF3">
        <w:rPr>
          <w:sz w:val="24"/>
          <w:szCs w:val="24"/>
        </w:rPr>
        <w:t xml:space="preserve"> for either </w:t>
      </w:r>
      <w:r w:rsidR="00151F1E" w:rsidRPr="00146AF3">
        <w:rPr>
          <w:sz w:val="24"/>
          <w:szCs w:val="24"/>
        </w:rPr>
        <w:t xml:space="preserve">obtaining experimental models or for correction of disease-related </w:t>
      </w:r>
      <w:r w:rsidR="005D0C26" w:rsidRPr="00146AF3">
        <w:rPr>
          <w:sz w:val="24"/>
          <w:szCs w:val="24"/>
        </w:rPr>
        <w:t xml:space="preserve">recessive variants. Such editing of </w:t>
      </w:r>
      <w:r w:rsidR="00151F1E" w:rsidRPr="00146AF3">
        <w:rPr>
          <w:sz w:val="24"/>
          <w:szCs w:val="24"/>
        </w:rPr>
        <w:t xml:space="preserve">both alleles </w:t>
      </w:r>
      <w:r w:rsidR="005D0C26" w:rsidRPr="00146AF3">
        <w:rPr>
          <w:sz w:val="24"/>
          <w:szCs w:val="24"/>
        </w:rPr>
        <w:t xml:space="preserve">is required in case of </w:t>
      </w:r>
      <w:r w:rsidR="00151F1E" w:rsidRPr="00146AF3">
        <w:rPr>
          <w:sz w:val="24"/>
          <w:szCs w:val="24"/>
        </w:rPr>
        <w:t>r</w:t>
      </w:r>
      <w:r w:rsidR="007F463C" w:rsidRPr="00146AF3">
        <w:rPr>
          <w:sz w:val="24"/>
          <w:szCs w:val="24"/>
        </w:rPr>
        <w:t>etinal degenerative disease</w:t>
      </w:r>
      <w:r w:rsidR="00151F1E" w:rsidRPr="00146AF3">
        <w:rPr>
          <w:sz w:val="24"/>
          <w:szCs w:val="24"/>
        </w:rPr>
        <w:t>s</w:t>
      </w:r>
      <w:r w:rsidR="007F463C" w:rsidRPr="00146AF3">
        <w:rPr>
          <w:sz w:val="24"/>
          <w:szCs w:val="24"/>
        </w:rPr>
        <w:t xml:space="preserve">, </w:t>
      </w:r>
      <w:r w:rsidR="00151F1E" w:rsidRPr="00146AF3">
        <w:rPr>
          <w:sz w:val="24"/>
          <w:szCs w:val="24"/>
        </w:rPr>
        <w:t>s</w:t>
      </w:r>
      <w:r w:rsidR="007F463C" w:rsidRPr="00146AF3">
        <w:rPr>
          <w:sz w:val="24"/>
          <w:szCs w:val="24"/>
        </w:rPr>
        <w:t xml:space="preserve">ickle cell disease, </w:t>
      </w:r>
      <w:r w:rsidR="00325028" w:rsidRPr="00146AF3">
        <w:rPr>
          <w:sz w:val="24"/>
          <w:szCs w:val="24"/>
        </w:rPr>
        <w:t>β-t</w:t>
      </w:r>
      <w:r w:rsidR="007F463C" w:rsidRPr="00146AF3">
        <w:rPr>
          <w:sz w:val="24"/>
          <w:szCs w:val="24"/>
        </w:rPr>
        <w:t xml:space="preserve">halassemia, </w:t>
      </w:r>
      <w:r w:rsidR="00151F1E" w:rsidRPr="00146AF3">
        <w:rPr>
          <w:sz w:val="24"/>
          <w:szCs w:val="24"/>
        </w:rPr>
        <w:t>c</w:t>
      </w:r>
      <w:r w:rsidR="007F463C" w:rsidRPr="00146AF3">
        <w:rPr>
          <w:sz w:val="24"/>
          <w:szCs w:val="24"/>
        </w:rPr>
        <w:t>ystic fibrosis</w:t>
      </w:r>
      <w:r w:rsidR="00F1745B" w:rsidRPr="00146AF3">
        <w:rPr>
          <w:sz w:val="24"/>
          <w:szCs w:val="24"/>
        </w:rPr>
        <w:t xml:space="preserve"> </w:t>
      </w:r>
      <w:r w:rsidR="007F463C" w:rsidRPr="00146AF3">
        <w:rPr>
          <w:sz w:val="24"/>
          <w:szCs w:val="24"/>
        </w:rPr>
        <w:fldChar w:fldCharType="begin" w:fldLock="1"/>
      </w:r>
      <w:r w:rsidR="00D7684C" w:rsidRPr="00146AF3">
        <w:rPr>
          <w:sz w:val="24"/>
          <w:szCs w:val="24"/>
        </w:rPr>
        <w:instrText xml:space="preserve">ADDIN CSL_CITATION {"citationItems":[{"id":"ITEM-1","itemData":{"DOI":"10.1007/s00439-016-1691-5","ISSN":"1432-1203","author":[{"dropping-particle":"","family":"Young","given":"Yoon","non-dropping-particle":"","parse-names":false,"suffix":""},{"dropping-particle":"","family":"Zhaohui","given":"Jang","non-dropping-particle":"","parse-names":false,"suffix":""}],"container-title":"Human Genetics","id":"ITEM-1","issue":"9","issued":{"date-parts":[["2016"]]},"page":"1041-1058","publisher":"Springer Berlin Heidelberg","title":"Gene correction in patient </w:instrText>
      </w:r>
      <w:r w:rsidR="00D7684C" w:rsidRPr="00146AF3">
        <w:rPr>
          <w:rFonts w:ascii="Monaco" w:hAnsi="Monaco" w:cs="Monaco"/>
          <w:sz w:val="24"/>
          <w:szCs w:val="24"/>
        </w:rPr>
        <w:instrText>‑</w:instrText>
      </w:r>
      <w:r w:rsidR="00D7684C" w:rsidRPr="00146AF3">
        <w:rPr>
          <w:sz w:val="24"/>
          <w:szCs w:val="24"/>
        </w:rPr>
        <w:instrText xml:space="preserve"> specific iPSCs for therapy development and disease modeling","type":"article-journal","volume":"135"},"uris":["http://www.mendeley.com/documents/?uuid=bc846975-5b34-4b50-8596-7a621ea3cacc"]}],"mendeley":{"formattedCitation":"&lt;sup&gt;4&lt;/sup&gt;","plainTextFormattedCitation":"4","previouslyFormattedCitation":"&lt;sup&gt;4&lt;/sup&gt;"},"properties":{"noteIndex":0},"schema":"https://github.com/citation-style-language/schema/raw/master/csl-citation.json"}</w:instrText>
      </w:r>
      <w:r w:rsidR="007F463C" w:rsidRPr="00146AF3">
        <w:rPr>
          <w:sz w:val="24"/>
          <w:szCs w:val="24"/>
        </w:rPr>
        <w:fldChar w:fldCharType="separate"/>
      </w:r>
      <w:r w:rsidR="002259C0" w:rsidRPr="00146AF3">
        <w:rPr>
          <w:noProof/>
          <w:sz w:val="24"/>
          <w:szCs w:val="24"/>
          <w:vertAlign w:val="superscript"/>
        </w:rPr>
        <w:t>4</w:t>
      </w:r>
      <w:r w:rsidR="007F463C" w:rsidRPr="00146AF3">
        <w:rPr>
          <w:sz w:val="24"/>
          <w:szCs w:val="24"/>
        </w:rPr>
        <w:fldChar w:fldCharType="end"/>
      </w:r>
      <w:r w:rsidR="007F463C" w:rsidRPr="00146AF3">
        <w:rPr>
          <w:sz w:val="24"/>
          <w:szCs w:val="24"/>
        </w:rPr>
        <w:t xml:space="preserve"> and </w:t>
      </w:r>
      <w:r w:rsidR="005D0C26" w:rsidRPr="00146AF3">
        <w:rPr>
          <w:sz w:val="24"/>
          <w:szCs w:val="24"/>
        </w:rPr>
        <w:t xml:space="preserve">various </w:t>
      </w:r>
      <w:r w:rsidR="007F463C" w:rsidRPr="00146AF3">
        <w:rPr>
          <w:sz w:val="24"/>
          <w:szCs w:val="24"/>
        </w:rPr>
        <w:t>mutations related to human cancer</w:t>
      </w:r>
      <w:r w:rsidR="00F1745B" w:rsidRPr="00146AF3">
        <w:rPr>
          <w:sz w:val="24"/>
          <w:szCs w:val="24"/>
        </w:rPr>
        <w:t xml:space="preserve"> </w:t>
      </w:r>
      <w:r w:rsidR="007F463C" w:rsidRPr="00146AF3">
        <w:rPr>
          <w:sz w:val="24"/>
          <w:szCs w:val="24"/>
        </w:rPr>
        <w:fldChar w:fldCharType="begin" w:fldLock="1"/>
      </w:r>
      <w:r w:rsidR="00D7684C" w:rsidRPr="00146AF3">
        <w:rPr>
          <w:sz w:val="24"/>
          <w:szCs w:val="24"/>
        </w:rPr>
        <w:instrText>ADDIN CSL_CITATION {"citationItems":[{"id":"ITEM-1","itemData":{"DOI":"10.1016/j.stem.2016.04.013","ISSN":"19345909","PMID":"27152442","author":[{"dropping-particle":"","family":"Hockemeyer","given":"Dirk","non-dropping-particle":"","parse-names":false,"suffix":""},{"dropping-particle":"","family":"Jaenisch","given":"Rudolf","non-dropping-particle":"","parse-names":false,"suffix":""}],"container-title":"Cell Stem Cell","id":"ITEM-1","issue":"5","issued":{"date-parts":[["2016"]]},"page":"573-586","publisher":"Elsevier Inc.","title":"Induced Pluripotent Stem Cells Meet Genome Editing","type":"article-journal","volume":"18"},"uris":["http://www.mendeley.com/documents/?uuid=d0dd5315-2067-495a-ad24-da239267efd4"]},{"id":"ITEM-2","itemData":{"DOI":"10.1016/j.ddmod.2017.02.009","ISSN":"17406757","author":[{"dropping-particle":"","family":"Lindsay-Mosher","given":"Nicole","non-dropping-particle":"","parse-names":false,"suffix":""},{"dropping-particle":"","family":"Su","given":"Cathy","non-dropping-particle":"","parse-names":false,"suffix":""}],"container-title":"Drug Discovery Today: Disease Models","id":"ITEM-2","issued":{"date-parts":[["2017"]]},"page":"1-5","publisher":"Elsevier Ltd","title":"Cancer gene therapy: innovations in therapeutic delivery of CRISPR-Cas9","type":"article-journal"},"uris":["http://www.mendeley.com/documents/?uuid=5dc203f0-6dac-424a-a3c0-ae7c7f0cc806"]}],"mendeley":{"formattedCitation":"&lt;sup&gt;5,6&lt;/sup&gt;","plainTextFormattedCitation":"5,6","previouslyFormattedCitation":"&lt;sup&gt;5,6&lt;/sup&gt;"},"properties":{"noteIndex":0},"schema":"https://github.com/citation-style-language/schema/raw/master/csl-citation.json"}</w:instrText>
      </w:r>
      <w:r w:rsidR="007F463C" w:rsidRPr="00146AF3">
        <w:rPr>
          <w:sz w:val="24"/>
          <w:szCs w:val="24"/>
        </w:rPr>
        <w:fldChar w:fldCharType="separate"/>
      </w:r>
      <w:r w:rsidR="002259C0" w:rsidRPr="00146AF3">
        <w:rPr>
          <w:noProof/>
          <w:sz w:val="24"/>
          <w:szCs w:val="24"/>
          <w:vertAlign w:val="superscript"/>
        </w:rPr>
        <w:t>5,6</w:t>
      </w:r>
      <w:r w:rsidR="007F463C" w:rsidRPr="00146AF3">
        <w:rPr>
          <w:sz w:val="24"/>
          <w:szCs w:val="24"/>
        </w:rPr>
        <w:fldChar w:fldCharType="end"/>
      </w:r>
      <w:r w:rsidR="00151F1E" w:rsidRPr="00146AF3">
        <w:rPr>
          <w:sz w:val="24"/>
          <w:szCs w:val="24"/>
        </w:rPr>
        <w:t xml:space="preserve">. </w:t>
      </w:r>
    </w:p>
    <w:p w14:paraId="5B96750E" w14:textId="0648FCD4" w:rsidR="00242044" w:rsidRPr="00146AF3" w:rsidRDefault="00242044" w:rsidP="0080517C">
      <w:pPr>
        <w:ind w:firstLine="720"/>
        <w:jc w:val="both"/>
        <w:rPr>
          <w:sz w:val="24"/>
          <w:szCs w:val="24"/>
        </w:rPr>
      </w:pPr>
      <w:r w:rsidRPr="00146AF3">
        <w:rPr>
          <w:sz w:val="24"/>
          <w:szCs w:val="24"/>
        </w:rPr>
        <w:t xml:space="preserve">Two main </w:t>
      </w:r>
      <w:r w:rsidR="00246952" w:rsidRPr="00146AF3">
        <w:rPr>
          <w:sz w:val="24"/>
          <w:szCs w:val="24"/>
        </w:rPr>
        <w:t>repair</w:t>
      </w:r>
      <w:r w:rsidR="00833D23" w:rsidRPr="00146AF3">
        <w:rPr>
          <w:sz w:val="24"/>
          <w:szCs w:val="24"/>
        </w:rPr>
        <w:t xml:space="preserve"> mechanisms exist in cells</w:t>
      </w:r>
      <w:r w:rsidR="00246952" w:rsidRPr="00146AF3">
        <w:rPr>
          <w:sz w:val="24"/>
          <w:szCs w:val="24"/>
        </w:rPr>
        <w:t xml:space="preserve"> after </w:t>
      </w:r>
      <w:r w:rsidR="00922170" w:rsidRPr="00146AF3">
        <w:rPr>
          <w:sz w:val="24"/>
          <w:szCs w:val="24"/>
        </w:rPr>
        <w:t xml:space="preserve">the </w:t>
      </w:r>
      <w:r w:rsidR="00DA63B3" w:rsidRPr="00146AF3">
        <w:rPr>
          <w:sz w:val="24"/>
          <w:szCs w:val="24"/>
        </w:rPr>
        <w:t>occurrence</w:t>
      </w:r>
      <w:r w:rsidR="00922170" w:rsidRPr="00146AF3">
        <w:rPr>
          <w:sz w:val="24"/>
          <w:szCs w:val="24"/>
        </w:rPr>
        <w:t xml:space="preserve"> of </w:t>
      </w:r>
      <w:r w:rsidR="002715ED" w:rsidRPr="00146AF3">
        <w:rPr>
          <w:sz w:val="24"/>
          <w:szCs w:val="24"/>
        </w:rPr>
        <w:t>double-</w:t>
      </w:r>
      <w:r w:rsidR="00246952" w:rsidRPr="00146AF3">
        <w:rPr>
          <w:sz w:val="24"/>
          <w:szCs w:val="24"/>
        </w:rPr>
        <w:t>strand DNA breaks</w:t>
      </w:r>
      <w:r w:rsidR="00B82E69" w:rsidRPr="00146AF3">
        <w:rPr>
          <w:sz w:val="24"/>
          <w:szCs w:val="24"/>
        </w:rPr>
        <w:t xml:space="preserve">: </w:t>
      </w:r>
      <w:r w:rsidRPr="00146AF3">
        <w:rPr>
          <w:sz w:val="24"/>
          <w:szCs w:val="24"/>
        </w:rPr>
        <w:t xml:space="preserve">non-homologous </w:t>
      </w:r>
      <w:r w:rsidR="001206C2" w:rsidRPr="00146AF3">
        <w:rPr>
          <w:sz w:val="24"/>
          <w:szCs w:val="24"/>
        </w:rPr>
        <w:t>end joining (NHEJ) and homology-</w:t>
      </w:r>
      <w:r w:rsidRPr="00146AF3">
        <w:rPr>
          <w:sz w:val="24"/>
          <w:szCs w:val="24"/>
        </w:rPr>
        <w:t>direct</w:t>
      </w:r>
      <w:r w:rsidR="001206C2" w:rsidRPr="00146AF3">
        <w:rPr>
          <w:sz w:val="24"/>
          <w:szCs w:val="24"/>
        </w:rPr>
        <w:t>ed</w:t>
      </w:r>
      <w:r w:rsidRPr="00146AF3">
        <w:rPr>
          <w:sz w:val="24"/>
          <w:szCs w:val="24"/>
        </w:rPr>
        <w:t xml:space="preserve"> repair (HDR). Several </w:t>
      </w:r>
      <w:r w:rsidR="004E7B7D" w:rsidRPr="00146AF3">
        <w:rPr>
          <w:sz w:val="24"/>
          <w:szCs w:val="24"/>
        </w:rPr>
        <w:t xml:space="preserve">recent </w:t>
      </w:r>
      <w:r w:rsidRPr="00146AF3">
        <w:rPr>
          <w:sz w:val="24"/>
          <w:szCs w:val="24"/>
        </w:rPr>
        <w:t xml:space="preserve">studies </w:t>
      </w:r>
      <w:r w:rsidR="00922170" w:rsidRPr="00146AF3">
        <w:rPr>
          <w:sz w:val="24"/>
          <w:szCs w:val="24"/>
        </w:rPr>
        <w:t>have attempted to</w:t>
      </w:r>
      <w:r w:rsidR="00696953" w:rsidRPr="00146AF3">
        <w:rPr>
          <w:sz w:val="24"/>
          <w:szCs w:val="24"/>
        </w:rPr>
        <w:t xml:space="preserve"> improve the efficiency of </w:t>
      </w:r>
      <w:r w:rsidR="007C71EA" w:rsidRPr="00146AF3">
        <w:rPr>
          <w:sz w:val="24"/>
          <w:szCs w:val="24"/>
        </w:rPr>
        <w:t>HDR-</w:t>
      </w:r>
      <w:r w:rsidR="004E7B7D" w:rsidRPr="00146AF3">
        <w:rPr>
          <w:sz w:val="24"/>
          <w:szCs w:val="24"/>
        </w:rPr>
        <w:t xml:space="preserve">mediated </w:t>
      </w:r>
      <w:r w:rsidR="00430EB2" w:rsidRPr="00146AF3">
        <w:rPr>
          <w:sz w:val="24"/>
          <w:szCs w:val="24"/>
        </w:rPr>
        <w:t>gene correction</w:t>
      </w:r>
      <w:r w:rsidR="00246952" w:rsidRPr="00146AF3">
        <w:rPr>
          <w:sz w:val="24"/>
          <w:szCs w:val="24"/>
        </w:rPr>
        <w:t xml:space="preserve"> or </w:t>
      </w:r>
      <w:r w:rsidR="00021011" w:rsidRPr="00146AF3">
        <w:rPr>
          <w:sz w:val="24"/>
          <w:szCs w:val="24"/>
        </w:rPr>
        <w:t>modification</w:t>
      </w:r>
      <w:r w:rsidR="00A865BE" w:rsidRPr="00146AF3">
        <w:rPr>
          <w:sz w:val="24"/>
          <w:szCs w:val="24"/>
        </w:rPr>
        <w:fldChar w:fldCharType="begin" w:fldLock="1"/>
      </w:r>
      <w:r w:rsidR="00D7684C" w:rsidRPr="00146AF3">
        <w:rPr>
          <w:sz w:val="24"/>
          <w:szCs w:val="24"/>
        </w:rPr>
        <w:instrText>ADDIN CSL_CITATION {"citationItems":[{"id":"ITEM-1","itemData":{"DOI":"10.1038/nprot.2016.171","ISSN":"1754-2189","author":[{"dropping-particle":"","family":"Kwart","given":"Dylan","non-dropping-particle":"","parse-names":false,"suffix":""},{"dropping-particle":"","family":"Paquet","given":"Dominik","non-dropping-particle":"","parse-names":false,"suffix":""},{"dropping-particle":"","family":"Teo","given":"Shaun","non-dropping-particle":"","parse-names":false,"suffix":""},{"dropping-particle":"","family":"Tessier-lavigne","given":"Marc","non-dropping-particle":"","parse-names":false,"suffix":""}],"container-title":"Nature Protocols","id":"ITEM-1","issue":"2","issued":{"date-parts":[["2017"]]},"page":"329-354","publisher":"Nature Publishing Group","title":"Precise and efficient scarless genome editing in stem cells using CORRECT","type":"article-journal","volume":"12"},"uris":["http://www.mendeley.com/documents/?uuid=221e9294-5d36-490b-9529-847899891934"]},{"id":"ITEM-2","itemData":{"DOI":"10.1016/j.omtn.2016.11.010","ISSN":"2162-2531","author":[{"dropping-particle":"","family":"Liu","given":"Yali","non-dropping-particle":"","parse-names":false,"suffix":""},{"dropping-particle":"","family":"Yang","given":"Yi","non-dropping-particle":"","parse-names":false,"suffix":""},{"dropping-particle":"","family":"Kang","given":"Xiangjin","non-dropping-particle":"","parse-names":false,"suffix":""},{"dropping-particle":"","family":"Lin","given":"Bin","non-dropping-particle":"","parse-names":false,"suffix":""},{"dropping-particle":"","family":"Yu","given":"Qian","non-dropping-particle":"","parse-names":false,"suffix":""},{"dropping-particle":"","family":"Song","given":"Bing","non-dropping-particle":"","parse-names":false,"suffix":""},{"dropping-particle":"","family":"Gao","given":"Ge","non-dropping-particle":"","parse-names":false,"suffix":""},{"dropping-particle":"","family":"Chen","given":"Yaoyong","non-dropping-particle":"","parse-names":false,"suffix":""},{"dropping-particle":"","family":"Sun","given":"Xiaofang","non-dropping-particle":"","parse-names":false,"suffix":""},{"dropping-particle":"","family":"Li","given":"Xiaoping","non-dropping-particle":"","parse-names":false,"suffix":""},{"dropping-particle":"","family":"Bu","given":"Lei","non-dropping-particle":"","parse-names":false,"suffix":""},{"dropping-particle":"","family":"Fan","given":"Yong","non-dropping-particle":"","parse-names":false,"suffix":""}],"container-title":"Molecular Therapy: Nucleic Acid","id":"ITEM-2","issue":"March","issued":{"date-parts":[["2017"]]},"page":"57-67","publisher":"Elsevier Ltd.","title":"One-Step Biallelic and Scarless Correction of a b -Thalassemia Mutation in Patient-Specific iPSCs without Drug Selection","type":"article-journal","volume":"6"},"uris":["http://www.mendeley.com/documents/?uuid=771c788d-15e2-4357-a596-2479b912892a"]},{"id":"ITEM-3","itemData":{"DOI":"10.1038/nprot.2013.143","ISBN":"1750-2799","ISSN":"1754-2189","PMID":"24157548","abstract":"Targeted nucleases are powerful tools for mediating genome alteration with high precision. The RNA-guided Cas9 nuclease from the microbial clustered regularly interspaced short palindromic repeats (CRISPR) adaptive immune system can be used to facilitate efficient genome engineering in eukaryotic cells by simply specifying a 20-nt targeting sequence within its guide RNA. Here we describe a set of tools for Cas9-mediated genome editing via nonhomologous end joining (NHEJ) or homology-directed repair (HDR) in mammalian cells, as well as generation of modified cell lines for downstream functional studies. To minimize off-target cleavage, we further describe a double-nicking strategy using the Cas9 nickase mutant with paired guide RNAs. This protocol provides experimentally derived guidelines for the selection of target sites, evaluation of cleavage efficiency and analysis of off-target activity. Beginning with target design, gene modifications can be achieved within as little as 1-2 weeks, and modified clonal cell lines can be derived within 2-3 weeks","author":[{"dropping-particle":"","family":"Ran","given":"F Ann","non-dropping-particle":"","parse-names":false,"suffix":""},{"dropping-particle":"","family":"Hsu","given":"Patrick D","non-dropping-particle":"","parse-names":false,"suffix":""},{"dropping-particle":"","family":"Wright","given":"Jason","non-dropping-particle":"","parse-names":false,"suffix":""},{"dropping-particle":"","family":"Agarwala","given":"Vineeta","non-dropping-particle":"","parse-names":false,"suffix":""},{"dropping-particle":"","family":"Scott","given":"David A","non-dropping-particle":"","parse-names":false,"suffix":""},{"dropping-particle":"","family":"Zhang","given":"Feng","non-dropping-particle":"","parse-names":false,"suffix":""}],"container-title":"Nat Protoc","id":"ITEM-3","issue":"11","issued":{"date-parts":[["2013"]]},"page":"2281-2308","title":"Genome engineering using the CRISPR-Cas9 system.","type":"article-journal","volume":"8"},"uris":["http://www.mendeley.com/documents/?uuid=f176a046-40d9-4767-817f-29d3f3740687"]},{"id":"ITEM-4","itemData":{"DOI":"10.1038/nature17664","ISBN":"1476-4687 (Electronic)\r0028-0836 (Linking)","ISSN":"0028-0836","PMID":"27120160","abstract":"The bacterial CRISPR/Cas9 system allows sequence-specific gene editing in many organisms and holds promise as a tool to generate models of human diseases, for example, in human pluripotent stem cells1,2. CRISPR/Cas9 introduces targeted double-stranded breaks (DSBs) with high efficiency, which are typically repaired by non-homologous end-joining (NHEJ) resulting in nonspecific insertions, deletions or other mutations (indels)2. DSBs may also be repaired by homology-directed repair (HDR)1,2 using a DNA repair template, such as an introduced single-stranded oligo DNA nucleotide (ssODN), allowing knock-in of specific mutations3. Although CRISPR/Cas9 is used extensively to engineer gene knockouts through NHEJ, editing by HDR remains inefficient3–8 and can be corrupted by additional indels9, preventing its widespread use for modelling genetic disorders through introducing disease-associated mutations. Furthermore, targeted mutational knock-in at single alleles to model diseases caused by heterozygous mutations has not been reported. Here we describe a CRISPR/Cas9-based genome-editing framework that allows selective introduction of mono- and bi-allelic sequence changes with high efficiency and accuracy. We show that HDR accuracy is increased dramatically by incorporating silent CRISPR/Cas- blocking mutations along with pathogenic mutations, and establish a method termed ‘CORRECT’ for scarless genome editing. By characterizing and exploiting a stereotyped inverse relationship between a mutation’s incorporation rate and its distance to the DSB, we achieve predictable control of zygosity. Homozygous introduction requires a guide RNA targeting close to the intended mutation, whereas heterozygous introduction can be accomplished by distance-dependent suboptimal mutation incorporation or by use of mixed repair templates. Using this approach, we generated human induced pluripotent stem cells with heterozygous and homozygous dominant early onset Alzheimer’s disease-causing mutations in amyloid precursor protein (APPSwe)10 and presenilin 1 (PSEN1M146V)11 and derived cortical neurons, which displayed genotype-dependent disease-associated phenotypes. Our findings enable efficient introduction of specific sequence changes with CRISPR/Cas9, facilitating study of human disease.","author":[{"dropping-particle":"","family":"Paquet","given":"Dominik","non-dropping-particle":"","parse-names":false,"suffix":""},{"dropping-particle":"","family":"Kwart","given":"Dylan","non-dropping-particle":"","parse-names":false,"suffix":""},{"dropping-particle":"","family":"Chen","given":"Antonia","non-dropping-particle":"","parse-names":false,"suffix":""},{"dropping-particle":"","family":"Sproul","given":"Andrew","non-dropping-particle":"","parse-names":false,"suffix":""},{"dropping-particle":"","family":"Jacob","given":"Samson","non-dropping-particle":"","parse-names":false,"suffix":""},{"dropping-particle":"","family":"Teo","given":"Shaun","non-dropping-particle":"","parse-names":false,"suffix":""},{"dropping-particle":"","family":"Olsen","given":"Kimberly Moore","non-dropping-particle":"","parse-names":false,"suffix":""},{"dropping-particle":"","family":"Gregg","given":"Andrew","non-dropping-particle":"","parse-names":false,"suffix":""},{"dropping-particle":"","family":"Noggle","given":"Scott","non-dropping-particle":"","parse-names":false,"suffix":""},{"dropping-particle":"","family":"Tessier-Lavigne","given":"Marc","non-dropping-particle":"","parse-names":false,"suffix":""}],"container-title":"Nature","id":"ITEM-4","issue":"7601","issued":{"date-parts":[["2016"]]},"page":"1-18","publisher":"Nature Publishing Group","title":"Efficient introduction of specific homozygous and heterozygous mutations using CRISPR/Cas9","type":"article-journal","volume":"533"},"uris":["http://www.mendeley.com/documents/?uuid=9d538bf8-9d36-499d-8ddc-2e560f80b4cf"]}],"mendeley":{"formattedCitation":"&lt;sup&gt;7–10&lt;/sup&gt;","plainTextFormattedCitation":"7–10","previouslyFormattedCitation":"&lt;sup&gt;7–10&lt;/sup&gt;"},"properties":{"noteIndex":0},"schema":"https://github.com/citation-style-language/schema/raw/master/csl-citation.json"}</w:instrText>
      </w:r>
      <w:r w:rsidR="00A865BE" w:rsidRPr="00146AF3">
        <w:rPr>
          <w:sz w:val="24"/>
          <w:szCs w:val="24"/>
        </w:rPr>
        <w:fldChar w:fldCharType="separate"/>
      </w:r>
      <w:r w:rsidR="002259C0" w:rsidRPr="00146AF3">
        <w:rPr>
          <w:noProof/>
          <w:sz w:val="24"/>
          <w:szCs w:val="24"/>
          <w:vertAlign w:val="superscript"/>
        </w:rPr>
        <w:t>7–10</w:t>
      </w:r>
      <w:r w:rsidR="00A865BE" w:rsidRPr="00146AF3">
        <w:rPr>
          <w:sz w:val="24"/>
          <w:szCs w:val="24"/>
        </w:rPr>
        <w:fldChar w:fldCharType="end"/>
      </w:r>
      <w:r w:rsidR="00430EB2" w:rsidRPr="00146AF3">
        <w:rPr>
          <w:sz w:val="24"/>
          <w:szCs w:val="24"/>
        </w:rPr>
        <w:t xml:space="preserve">. </w:t>
      </w:r>
      <w:r w:rsidR="00F37A16" w:rsidRPr="00146AF3">
        <w:rPr>
          <w:sz w:val="24"/>
          <w:szCs w:val="24"/>
        </w:rPr>
        <w:t>As the efficiency of HDR is low (</w:t>
      </w:r>
      <w:r w:rsidR="00DA63B3" w:rsidRPr="00146AF3">
        <w:rPr>
          <w:sz w:val="24"/>
          <w:szCs w:val="24"/>
        </w:rPr>
        <w:t>1-</w:t>
      </w:r>
      <w:r w:rsidR="00F37A16" w:rsidRPr="00146AF3">
        <w:rPr>
          <w:sz w:val="24"/>
          <w:szCs w:val="24"/>
        </w:rPr>
        <w:t>10% of modified alleles)</w:t>
      </w:r>
      <w:r w:rsidR="00B82E69" w:rsidRPr="00146AF3">
        <w:rPr>
          <w:sz w:val="24"/>
          <w:szCs w:val="24"/>
        </w:rPr>
        <w:t>, the</w:t>
      </w:r>
      <w:r w:rsidR="00232B3B" w:rsidRPr="00146AF3">
        <w:rPr>
          <w:sz w:val="24"/>
          <w:szCs w:val="24"/>
        </w:rPr>
        <w:t xml:space="preserve"> cells </w:t>
      </w:r>
      <w:r w:rsidR="00B82E69" w:rsidRPr="00146AF3">
        <w:rPr>
          <w:sz w:val="24"/>
          <w:szCs w:val="24"/>
        </w:rPr>
        <w:t>resulting from Cas9-driven cleavage events (that occur with higher efficiency) most often present</w:t>
      </w:r>
      <w:r w:rsidR="00A32113" w:rsidRPr="00146AF3">
        <w:rPr>
          <w:sz w:val="24"/>
          <w:szCs w:val="24"/>
        </w:rPr>
        <w:t xml:space="preserve"> NHEJ repaired alleles</w:t>
      </w:r>
      <w:r w:rsidR="00B82E69" w:rsidRPr="00146AF3">
        <w:rPr>
          <w:sz w:val="24"/>
          <w:szCs w:val="24"/>
        </w:rPr>
        <w:t xml:space="preserve"> (wild-type or mutated)</w:t>
      </w:r>
      <w:r w:rsidR="00564EB0" w:rsidRPr="00146AF3">
        <w:rPr>
          <w:sz w:val="24"/>
          <w:szCs w:val="24"/>
        </w:rPr>
        <w:t xml:space="preserve"> and only</w:t>
      </w:r>
      <w:r w:rsidR="00A32113" w:rsidRPr="00146AF3">
        <w:rPr>
          <w:sz w:val="24"/>
          <w:szCs w:val="24"/>
        </w:rPr>
        <w:t xml:space="preserve"> a </w:t>
      </w:r>
      <w:r w:rsidR="00564EB0" w:rsidRPr="00146AF3">
        <w:rPr>
          <w:sz w:val="24"/>
          <w:szCs w:val="24"/>
        </w:rPr>
        <w:t xml:space="preserve">very </w:t>
      </w:r>
      <w:r w:rsidR="00A32113" w:rsidRPr="00146AF3">
        <w:rPr>
          <w:sz w:val="24"/>
          <w:szCs w:val="24"/>
        </w:rPr>
        <w:t>low proportion HDR-edited alleles</w:t>
      </w:r>
      <w:r w:rsidR="00DA63B3" w:rsidRPr="00146AF3">
        <w:rPr>
          <w:sz w:val="24"/>
          <w:szCs w:val="24"/>
        </w:rPr>
        <w:fldChar w:fldCharType="begin" w:fldLock="1"/>
      </w:r>
      <w:r w:rsidR="00D7684C" w:rsidRPr="00146AF3">
        <w:rPr>
          <w:sz w:val="24"/>
          <w:szCs w:val="24"/>
        </w:rPr>
        <w:instrText>ADDIN CSL_CITATION {"citationItems":[{"id":"ITEM-1","itemData":{"DOI":"10.1038/nprot.2016.171","ISSN":"1754-2189","author":[{"dropping-particle":"","family":"Kwart","given":"Dylan","non-dropping-particle":"","parse-names":false,"suffix":""},{"dropping-particle":"","family":"Paquet","given":"Dominik","non-dropping-particle":"","parse-names":false,"suffix":""},{"dropping-particle":"","family":"Teo","given":"Shaun","non-dropping-particle":"","parse-names":false,"suffix":""},{"dropping-particle":"","family":"Tessier-lavigne","given":"Marc","non-dropping-particle":"","parse-names":false,"suffix":""}],"container-title":"Nature Protocols","id":"ITEM-1","issue":"2","issued":{"date-parts":[["2017"]]},"page":"329-354","publisher":"Nature Publishing Group","title":"Precise and efficient scarless genome editing in stem cells using CORRECT","type":"article-journal","volume":"12"},"uris":["http://www.mendeley.com/documents/?uuid=221e9294-5d36-490b-9529-847899891934"]}],"mendeley":{"formattedCitation":"&lt;sup&gt;7&lt;/sup&gt;","plainTextFormattedCitation":"7","previouslyFormattedCitation":"&lt;sup&gt;7&lt;/sup&gt;"},"properties":{"noteIndex":0},"schema":"https://github.com/citation-style-language/schema/raw/master/csl-citation.json"}</w:instrText>
      </w:r>
      <w:r w:rsidR="00DA63B3" w:rsidRPr="00146AF3">
        <w:rPr>
          <w:sz w:val="24"/>
          <w:szCs w:val="24"/>
        </w:rPr>
        <w:fldChar w:fldCharType="separate"/>
      </w:r>
      <w:r w:rsidR="002259C0" w:rsidRPr="00146AF3">
        <w:rPr>
          <w:noProof/>
          <w:sz w:val="24"/>
          <w:szCs w:val="24"/>
          <w:vertAlign w:val="superscript"/>
        </w:rPr>
        <w:t>7</w:t>
      </w:r>
      <w:r w:rsidR="00DA63B3" w:rsidRPr="00146AF3">
        <w:rPr>
          <w:sz w:val="24"/>
          <w:szCs w:val="24"/>
        </w:rPr>
        <w:fldChar w:fldCharType="end"/>
      </w:r>
      <w:r w:rsidR="00A32113" w:rsidRPr="00146AF3">
        <w:rPr>
          <w:sz w:val="24"/>
          <w:szCs w:val="24"/>
        </w:rPr>
        <w:t xml:space="preserve">. </w:t>
      </w:r>
      <w:r w:rsidR="00564EB0" w:rsidRPr="00146AF3">
        <w:rPr>
          <w:sz w:val="24"/>
          <w:szCs w:val="24"/>
        </w:rPr>
        <w:t>Furthermore</w:t>
      </w:r>
      <w:r w:rsidR="00696953" w:rsidRPr="00146AF3">
        <w:rPr>
          <w:sz w:val="24"/>
          <w:szCs w:val="24"/>
        </w:rPr>
        <w:t xml:space="preserve">, if a </w:t>
      </w:r>
      <w:r w:rsidR="00B340F9" w:rsidRPr="00146AF3">
        <w:rPr>
          <w:sz w:val="24"/>
          <w:szCs w:val="24"/>
        </w:rPr>
        <w:t>desired</w:t>
      </w:r>
      <w:r w:rsidR="00696953" w:rsidRPr="00146AF3">
        <w:rPr>
          <w:sz w:val="24"/>
          <w:szCs w:val="24"/>
        </w:rPr>
        <w:t xml:space="preserve"> change</w:t>
      </w:r>
      <w:r w:rsidR="00922170" w:rsidRPr="00146AF3">
        <w:rPr>
          <w:sz w:val="24"/>
          <w:szCs w:val="24"/>
        </w:rPr>
        <w:t xml:space="preserve"> is required to occur on both alleles i.e. </w:t>
      </w:r>
      <w:r w:rsidR="00B340F9" w:rsidRPr="00146AF3">
        <w:rPr>
          <w:sz w:val="24"/>
          <w:szCs w:val="24"/>
        </w:rPr>
        <w:t xml:space="preserve">a </w:t>
      </w:r>
      <w:r w:rsidR="00922170" w:rsidRPr="00146AF3">
        <w:rPr>
          <w:sz w:val="24"/>
          <w:szCs w:val="24"/>
        </w:rPr>
        <w:t>homozygous change,</w:t>
      </w:r>
      <w:r w:rsidR="00B340F9" w:rsidRPr="00146AF3">
        <w:rPr>
          <w:sz w:val="24"/>
          <w:szCs w:val="24"/>
        </w:rPr>
        <w:t xml:space="preserve"> the</w:t>
      </w:r>
      <w:r w:rsidR="00922170" w:rsidRPr="00146AF3">
        <w:rPr>
          <w:sz w:val="24"/>
          <w:szCs w:val="24"/>
        </w:rPr>
        <w:t xml:space="preserve"> probability of </w:t>
      </w:r>
      <w:r w:rsidR="00564EB0" w:rsidRPr="00146AF3">
        <w:rPr>
          <w:sz w:val="24"/>
          <w:szCs w:val="24"/>
        </w:rPr>
        <w:t>achieving</w:t>
      </w:r>
      <w:r w:rsidR="00B340F9" w:rsidRPr="00146AF3">
        <w:rPr>
          <w:sz w:val="24"/>
          <w:szCs w:val="24"/>
        </w:rPr>
        <w:t xml:space="preserve"> this via HDR is even lower and in most cases r</w:t>
      </w:r>
      <w:r w:rsidR="00A32113" w:rsidRPr="00146AF3">
        <w:rPr>
          <w:sz w:val="24"/>
          <w:szCs w:val="24"/>
        </w:rPr>
        <w:t>equires a double-step</w:t>
      </w:r>
      <w:r w:rsidR="00564EB0" w:rsidRPr="00146AF3">
        <w:rPr>
          <w:sz w:val="24"/>
          <w:szCs w:val="24"/>
        </w:rPr>
        <w:t xml:space="preserve">, sequential </w:t>
      </w:r>
      <w:r w:rsidR="00A32113" w:rsidRPr="00146AF3">
        <w:rPr>
          <w:sz w:val="24"/>
          <w:szCs w:val="24"/>
        </w:rPr>
        <w:t>approach</w:t>
      </w:r>
      <w:r w:rsidR="00922170" w:rsidRPr="00146AF3">
        <w:rPr>
          <w:sz w:val="24"/>
          <w:szCs w:val="24"/>
        </w:rPr>
        <w:t>.</w:t>
      </w:r>
      <w:r w:rsidR="0016521C" w:rsidRPr="00146AF3">
        <w:rPr>
          <w:sz w:val="24"/>
          <w:szCs w:val="24"/>
        </w:rPr>
        <w:t xml:space="preserve"> </w:t>
      </w:r>
      <w:r w:rsidR="00A32113" w:rsidRPr="00146AF3">
        <w:rPr>
          <w:sz w:val="24"/>
          <w:szCs w:val="24"/>
        </w:rPr>
        <w:t xml:space="preserve">Thus, </w:t>
      </w:r>
      <w:r w:rsidR="00564EB0" w:rsidRPr="00146AF3">
        <w:rPr>
          <w:sz w:val="24"/>
          <w:szCs w:val="24"/>
        </w:rPr>
        <w:t xml:space="preserve">the application of </w:t>
      </w:r>
      <w:r w:rsidR="007E5D31" w:rsidRPr="00146AF3">
        <w:rPr>
          <w:sz w:val="24"/>
          <w:szCs w:val="24"/>
        </w:rPr>
        <w:t xml:space="preserve">gene editing </w:t>
      </w:r>
      <w:r w:rsidR="00564EB0" w:rsidRPr="00146AF3">
        <w:rPr>
          <w:sz w:val="24"/>
          <w:szCs w:val="24"/>
        </w:rPr>
        <w:t xml:space="preserve">in relation to introducing a desired homozygous change in cells could greatly benefit from developing efficient </w:t>
      </w:r>
      <w:r w:rsidR="007E5D31" w:rsidRPr="00146AF3">
        <w:rPr>
          <w:sz w:val="24"/>
          <w:szCs w:val="24"/>
        </w:rPr>
        <w:t>experimental approaches</w:t>
      </w:r>
      <w:r w:rsidR="00564EB0" w:rsidRPr="00146AF3">
        <w:rPr>
          <w:sz w:val="24"/>
          <w:szCs w:val="24"/>
        </w:rPr>
        <w:t xml:space="preserve"> </w:t>
      </w:r>
      <w:r w:rsidR="007E5D31" w:rsidRPr="00146AF3">
        <w:rPr>
          <w:sz w:val="24"/>
          <w:szCs w:val="24"/>
        </w:rPr>
        <w:t>that are</w:t>
      </w:r>
      <w:r w:rsidR="00564EB0" w:rsidRPr="00146AF3">
        <w:rPr>
          <w:sz w:val="24"/>
          <w:szCs w:val="24"/>
        </w:rPr>
        <w:t xml:space="preserve"> </w:t>
      </w:r>
      <w:r w:rsidR="00A32113" w:rsidRPr="00146AF3">
        <w:rPr>
          <w:sz w:val="24"/>
          <w:szCs w:val="24"/>
        </w:rPr>
        <w:t xml:space="preserve">less time </w:t>
      </w:r>
      <w:r w:rsidR="00373C1D" w:rsidRPr="00146AF3">
        <w:rPr>
          <w:sz w:val="24"/>
          <w:szCs w:val="24"/>
        </w:rPr>
        <w:t>consuming</w:t>
      </w:r>
      <w:r w:rsidR="00A32113" w:rsidRPr="00146AF3">
        <w:rPr>
          <w:sz w:val="24"/>
          <w:szCs w:val="24"/>
        </w:rPr>
        <w:t xml:space="preserve"> </w:t>
      </w:r>
      <w:r w:rsidR="007E5D31" w:rsidRPr="00146AF3">
        <w:rPr>
          <w:sz w:val="24"/>
          <w:szCs w:val="24"/>
        </w:rPr>
        <w:t>and</w:t>
      </w:r>
      <w:r w:rsidR="00A32113" w:rsidRPr="00146AF3">
        <w:rPr>
          <w:sz w:val="24"/>
          <w:szCs w:val="24"/>
        </w:rPr>
        <w:t xml:space="preserve"> more specific</w:t>
      </w:r>
      <w:r w:rsidR="00564EB0" w:rsidRPr="00146AF3">
        <w:rPr>
          <w:sz w:val="24"/>
          <w:szCs w:val="24"/>
        </w:rPr>
        <w:t xml:space="preserve">. </w:t>
      </w:r>
    </w:p>
    <w:p w14:paraId="36156E62" w14:textId="51D075CA" w:rsidR="00BC6DE6" w:rsidRPr="00146AF3" w:rsidRDefault="00BC6DE6" w:rsidP="0080517C">
      <w:pPr>
        <w:ind w:firstLine="720"/>
        <w:jc w:val="both"/>
        <w:rPr>
          <w:sz w:val="24"/>
          <w:szCs w:val="24"/>
        </w:rPr>
      </w:pPr>
      <w:r w:rsidRPr="00146AF3">
        <w:rPr>
          <w:sz w:val="24"/>
          <w:szCs w:val="24"/>
        </w:rPr>
        <w:t xml:space="preserve">Here we </w:t>
      </w:r>
      <w:r w:rsidR="00373C1D" w:rsidRPr="00146AF3">
        <w:rPr>
          <w:sz w:val="24"/>
          <w:szCs w:val="24"/>
        </w:rPr>
        <w:t>describe</w:t>
      </w:r>
      <w:r w:rsidR="00246952" w:rsidRPr="00146AF3">
        <w:rPr>
          <w:sz w:val="24"/>
          <w:szCs w:val="24"/>
        </w:rPr>
        <w:t xml:space="preserve"> </w:t>
      </w:r>
      <w:r w:rsidR="00922170" w:rsidRPr="00146AF3">
        <w:rPr>
          <w:sz w:val="24"/>
          <w:szCs w:val="24"/>
        </w:rPr>
        <w:t xml:space="preserve">a novel </w:t>
      </w:r>
      <w:r w:rsidR="007E5D31" w:rsidRPr="00146AF3">
        <w:rPr>
          <w:sz w:val="24"/>
          <w:szCs w:val="24"/>
        </w:rPr>
        <w:t xml:space="preserve">one step </w:t>
      </w:r>
      <w:r w:rsidR="00922170" w:rsidRPr="00146AF3">
        <w:rPr>
          <w:sz w:val="24"/>
          <w:szCs w:val="24"/>
        </w:rPr>
        <w:t xml:space="preserve">approach to </w:t>
      </w:r>
      <w:r w:rsidR="00242044" w:rsidRPr="00146AF3">
        <w:rPr>
          <w:sz w:val="24"/>
          <w:szCs w:val="24"/>
        </w:rPr>
        <w:t>modify both alleles</w:t>
      </w:r>
      <w:r w:rsidR="00922170" w:rsidRPr="00146AF3">
        <w:rPr>
          <w:sz w:val="24"/>
          <w:szCs w:val="24"/>
        </w:rPr>
        <w:t xml:space="preserve"> with a desired change</w:t>
      </w:r>
      <w:r w:rsidR="00242044" w:rsidRPr="00146AF3">
        <w:rPr>
          <w:sz w:val="24"/>
          <w:szCs w:val="24"/>
        </w:rPr>
        <w:t xml:space="preserve"> </w:t>
      </w:r>
      <w:r w:rsidR="005017B5" w:rsidRPr="00146AF3">
        <w:rPr>
          <w:sz w:val="24"/>
          <w:szCs w:val="24"/>
        </w:rPr>
        <w:t>based on</w:t>
      </w:r>
      <w:r w:rsidR="00922170" w:rsidRPr="00146AF3">
        <w:rPr>
          <w:sz w:val="24"/>
          <w:szCs w:val="24"/>
        </w:rPr>
        <w:t xml:space="preserve"> the use of</w:t>
      </w:r>
      <w:r w:rsidR="00DD411E" w:rsidRPr="00146AF3">
        <w:rPr>
          <w:sz w:val="24"/>
          <w:szCs w:val="24"/>
        </w:rPr>
        <w:t xml:space="preserve"> </w:t>
      </w:r>
      <w:r w:rsidR="00922170" w:rsidRPr="00146AF3">
        <w:rPr>
          <w:sz w:val="24"/>
          <w:szCs w:val="24"/>
        </w:rPr>
        <w:t>two DNA donor templates with different</w:t>
      </w:r>
      <w:r w:rsidR="00DD411E" w:rsidRPr="00146AF3">
        <w:rPr>
          <w:sz w:val="24"/>
          <w:szCs w:val="24"/>
        </w:rPr>
        <w:t xml:space="preserve"> antibiotic resistant gene</w:t>
      </w:r>
      <w:r w:rsidR="007E5D31" w:rsidRPr="00146AF3">
        <w:rPr>
          <w:sz w:val="24"/>
          <w:szCs w:val="24"/>
        </w:rPr>
        <w:t>s</w:t>
      </w:r>
      <w:r w:rsidR="00373C1D" w:rsidRPr="00146AF3">
        <w:rPr>
          <w:sz w:val="24"/>
          <w:szCs w:val="24"/>
        </w:rPr>
        <w:t>.</w:t>
      </w:r>
      <w:r w:rsidR="00011313" w:rsidRPr="00146AF3">
        <w:rPr>
          <w:sz w:val="24"/>
          <w:szCs w:val="24"/>
        </w:rPr>
        <w:t xml:space="preserve"> </w:t>
      </w:r>
      <w:r w:rsidR="00373C1D" w:rsidRPr="00146AF3">
        <w:rPr>
          <w:sz w:val="24"/>
          <w:szCs w:val="24"/>
        </w:rPr>
        <w:t>A bi-allelic nucleotide change in the CST3 gene was successfully introduced in both</w:t>
      </w:r>
      <w:r w:rsidR="00011313" w:rsidRPr="00146AF3">
        <w:rPr>
          <w:sz w:val="24"/>
          <w:szCs w:val="24"/>
        </w:rPr>
        <w:t xml:space="preserve"> </w:t>
      </w:r>
      <w:r w:rsidR="001C0B0C" w:rsidRPr="00146AF3">
        <w:rPr>
          <w:sz w:val="24"/>
          <w:szCs w:val="24"/>
        </w:rPr>
        <w:t>induced pluripotent stem cells (</w:t>
      </w:r>
      <w:proofErr w:type="spellStart"/>
      <w:r w:rsidR="00011313" w:rsidRPr="00146AF3">
        <w:rPr>
          <w:sz w:val="24"/>
          <w:szCs w:val="24"/>
        </w:rPr>
        <w:t>iPSCs</w:t>
      </w:r>
      <w:proofErr w:type="spellEnd"/>
      <w:r w:rsidR="001C0B0C" w:rsidRPr="00146AF3">
        <w:rPr>
          <w:sz w:val="24"/>
          <w:szCs w:val="24"/>
        </w:rPr>
        <w:t>)</w:t>
      </w:r>
      <w:r w:rsidR="00011313" w:rsidRPr="00146AF3">
        <w:rPr>
          <w:sz w:val="24"/>
          <w:szCs w:val="24"/>
        </w:rPr>
        <w:t xml:space="preserve"> and </w:t>
      </w:r>
      <w:r w:rsidR="00425A57" w:rsidRPr="00146AF3">
        <w:rPr>
          <w:sz w:val="24"/>
          <w:szCs w:val="24"/>
        </w:rPr>
        <w:t xml:space="preserve">a human </w:t>
      </w:r>
      <w:r w:rsidR="001C0B0C" w:rsidRPr="00146AF3">
        <w:rPr>
          <w:sz w:val="24"/>
          <w:szCs w:val="24"/>
        </w:rPr>
        <w:t xml:space="preserve">retinal pigment </w:t>
      </w:r>
      <w:r w:rsidR="00BF4974" w:rsidRPr="00146AF3">
        <w:rPr>
          <w:sz w:val="24"/>
          <w:szCs w:val="24"/>
        </w:rPr>
        <w:t xml:space="preserve">epithelium </w:t>
      </w:r>
      <w:r w:rsidR="001C0B0C" w:rsidRPr="00146AF3">
        <w:rPr>
          <w:sz w:val="24"/>
          <w:szCs w:val="24"/>
        </w:rPr>
        <w:t>cell</w:t>
      </w:r>
      <w:r w:rsidR="00425A57" w:rsidRPr="00146AF3">
        <w:rPr>
          <w:sz w:val="24"/>
          <w:szCs w:val="24"/>
        </w:rPr>
        <w:t xml:space="preserve"> line</w:t>
      </w:r>
      <w:r w:rsidR="001C0B0C" w:rsidRPr="00146AF3">
        <w:rPr>
          <w:sz w:val="24"/>
          <w:szCs w:val="24"/>
        </w:rPr>
        <w:t xml:space="preserve"> (A</w:t>
      </w:r>
      <w:r w:rsidR="00011313" w:rsidRPr="00146AF3">
        <w:rPr>
          <w:sz w:val="24"/>
          <w:szCs w:val="24"/>
        </w:rPr>
        <w:t>RPE</w:t>
      </w:r>
      <w:r w:rsidR="00862223" w:rsidRPr="00146AF3">
        <w:rPr>
          <w:sz w:val="24"/>
          <w:szCs w:val="24"/>
        </w:rPr>
        <w:t>-</w:t>
      </w:r>
      <w:r w:rsidR="001C0B0C" w:rsidRPr="00146AF3">
        <w:rPr>
          <w:sz w:val="24"/>
          <w:szCs w:val="24"/>
        </w:rPr>
        <w:t xml:space="preserve">19) generating isogenic cells homozygous for variant B cystatin C, a recessive allele </w:t>
      </w:r>
      <w:r w:rsidR="00BF2308" w:rsidRPr="00146AF3">
        <w:rPr>
          <w:sz w:val="24"/>
          <w:szCs w:val="24"/>
        </w:rPr>
        <w:t xml:space="preserve">associated with increased risk of developing </w:t>
      </w:r>
      <w:r w:rsidR="001C0B0C" w:rsidRPr="00146AF3">
        <w:rPr>
          <w:sz w:val="24"/>
          <w:szCs w:val="24"/>
        </w:rPr>
        <w:t xml:space="preserve">age-related macular degeneration and Alzheimer’s </w:t>
      </w:r>
      <w:r w:rsidR="00C249BC" w:rsidRPr="00146AF3">
        <w:rPr>
          <w:sz w:val="24"/>
          <w:szCs w:val="24"/>
        </w:rPr>
        <w:t>disease</w:t>
      </w:r>
      <w:r w:rsidR="00C249BC" w:rsidRPr="00146AF3">
        <w:rPr>
          <w:sz w:val="24"/>
          <w:szCs w:val="24"/>
        </w:rPr>
        <w:fldChar w:fldCharType="begin" w:fldLock="1"/>
      </w:r>
      <w:r w:rsidR="00C249BC" w:rsidRPr="00146AF3">
        <w:rPr>
          <w:sz w:val="24"/>
          <w:szCs w:val="24"/>
        </w:rPr>
        <w:instrText>ADDIN CSL_CITATION {"citationItems":[{"id":"ITEM-1","itemData":{"DOI":"10.1007/s00439-015-1552-7","ISBN":"0340-6717\\r1432-1203","ISSN":"14321203","PMID":"25893795","abstract":"Age-related macular degeneration (AMD) and Alzheimer's disease (AD) are degenerative, multifactorial diseases involving age-related accumulation of extracellular deposits linked to dysregulation of protein homeostasis. Here, we strengthen the evidence that an nsSNP (p.Ala25Thr) in the cysteine proteinase inhibitor cystatin C gene CST3, previously confirmed by meta-analysis to be associated with AD, is associated with exudative AMD. To our knowledge, this is the first report highlighting a genetic variant that increases the risk of developing both AD and AMD. Furthermore, we demonstrate that the risk associated with the mutant allele follows a recessive model for both diseases. We perform an AMD-CST3 case-control study genotyping 350 exudative AMD Caucasian individuals. Bringing together our data with the previously reported AMD-CST3 association study, the evidence of a recessive effect on AMD risk is strengthened (OR = 1.89, P = 0.005). This effect closely resembles the AD-CST3 recessive effect (OR = 1.73, P = 0.005) previously established by meta-analysis. This resemblance is substantiated by the high correlation between CST3 genotype and effect size across the two diseases (R(2) = 0.978). A recessive effect is in line with the known function of cystatin C, a potent enzyme inhibitor. Its potency means that, in heterozygous individuals, a single functional allele is sufficient to maintain its inhibitory function; only homozygous individuals will lack this form of proteolytic regulation. Our findings support the hypothesis that recessively acting variants account for some of the missing heritability of multifactorial diseases. Replacement therapy represents a translational opportunity for individuals homozygous for the mutant allele.","author":[{"dropping-particle":"","family":"Butler","given":"Joe M.","non-dropping-particle":"","parse-names":false,"suffix":""},{"dropping-particle":"","family":"Sharif","given":"Umar","non-dropping-particle":"","parse-names":false,"suffix":""},{"dropping-particle":"","family":"Ali","given":"Manir","non-dropping-particle":"","parse-names":false,"suffix":""},{"dropping-particle":"","family":"McKibbin","given":"Martin","non-dropping-particle":"","parse-names":false,"suffix":""},{"dropping-particle":"","family":"Thompson","given":"Joseph P.","non-dropping-particle":"","parse-names":false,"suffix":""},{"dropping-particle":"","family":"Gale","given":"Richard","non-dropping-particle":"","parse-names":false,"suffix":""},{"dropping-particle":"","family":"Yang","given":"Yit C.","non-dropping-particle":"","parse-names":false,"suffix":""},{"dropping-particle":"","family":"Inglehearn","given":"Chris","non-dropping-particle":"","parse-names":false,"suffix":""},{"dropping-particle":"","family":"Paraoan","given":"Luminita","non-dropping-particle":"","parse-names":false,"suffix":""}],"container-title":"Human Genetics","id":"ITEM-1","issue":"7","issued":{"date-parts":[["2015"]]},"page":"705-715","publisher":"Springer Berlin Heidelberg","title":"A missense variant in CST3 exerts a recessive effect on susceptibility to age-related macular degeneration resembling its association with Alzheimer’s disease","type":"article-journal","volume":"134"},"uris":["http://www.mendeley.com/documents/?uuid=efd0741f-91fd-42c2-a46f-bccbd7fb2ddd"]},{"id":"ITEM-2","itemData":{"DOI":"10.3109/00207454.2012.672502","ISSN":"0020-7454","PMID":"22435454","abstract":"BACKGROUND: The association between cystatin C(CST3) gene (rs1064039) G73A polymorphism and Alzheimer's disease (AD) is controversial. The objective of the study was to investigate the possible association between CST3 G73A polymorphism and AD. METHOD: We performed a meta-analysis pooling data from all relevant studies including 2,410 cases and 2,539 controls. We applied a random-effects or fixed-effects model to combine odds ratio (OR) and 95% confidence intervals (95% CI). RESULTS: Positive associations of the CST3 G73A polymorphism with AD risk were found in allele comparison A versus G (OR = 1.61, 95% CI = 1.19-2.18), dominant model AG + GG versus AA (OR = 0.63, 95% CI = 0.47-0.86), and homozygote comparison AA versus GG (OR = 1.61, 95% CI = 1.19-2.18). In subgroup analysis stratified by ethnicity, significant associations were also demonstrated in Caucasians under allele comparison (OR = 1.17, 95% CI = 1.02-1.33), dominant genetic (OR = 0.59, 95% CI = 0.40-0.86) model, and homozygote comparison (OR = 1.73, 95% CI = 1.18-2.54), but not in Asians. In subgroup analysis according to the age of onset, 73A allele (A versus G) was significantly associated with susceptibility to AD in Caucasians (OR = 1.26, 95% CI = 1.06-1.50), However, no association was found in Asians. CONCLUSION: The CST3 G73A polymorphism is associated with AD in Caucasian populations, but not in Asians.","author":[{"dropping-particle":"","family":"Hua","given":"Ye","non-dropping-particle":"","parse-names":false,"suffix":""},{"dropping-particle":"","family":"Zhao","given":"Hui","non-dropping-particle":"","parse-names":false,"suffix":""},{"dropping-particle":"","family":"Lu","given":"Xiaojie","non-dropping-particle":"","parse-names":false,"suffix":""},{"dropping-particle":"","family":"Kong","given":"Yuenan","non-dropping-particle":"","parse-names":false,"suffix":""},{"dropping-particle":"","family":"Jin","given":"Huihan","non-dropping-particle":"","parse-names":false,"suffix":""}],"container-title":"International Journal of Neuroscience","id":"ITEM-2","issue":"8","issued":{"date-parts":[["2012"]]},"page":"431-438","title":"Meta-Analysis of the Cystatin C (CST3) Gene G73A Polymorphism and Susceptibility to Alzheimer's Disease","type":"article-journal","volume":"122"},"uris":["http://www.mendeley.com/documents/?uuid=864c4eb7-627d-479d-b944-90b320de7455"]}],"mendeley":{"formattedCitation":"&lt;sup&gt;11,12&lt;/sup&gt;","plainTextFormattedCitation":"11,12","previouslyFormattedCitation":"&lt;sup&gt;11&lt;/sup&gt;"},"properties":{"noteIndex":0},"schema":"https://github.com/citation-style-language/schema/raw/master/csl-citation.json"}</w:instrText>
      </w:r>
      <w:r w:rsidR="00C249BC" w:rsidRPr="00146AF3">
        <w:rPr>
          <w:sz w:val="24"/>
          <w:szCs w:val="24"/>
        </w:rPr>
        <w:fldChar w:fldCharType="separate"/>
      </w:r>
      <w:r w:rsidR="00C249BC" w:rsidRPr="00146AF3">
        <w:rPr>
          <w:noProof/>
          <w:sz w:val="24"/>
          <w:szCs w:val="24"/>
          <w:vertAlign w:val="superscript"/>
        </w:rPr>
        <w:t>11,12</w:t>
      </w:r>
      <w:r w:rsidR="00C249BC" w:rsidRPr="00146AF3">
        <w:rPr>
          <w:sz w:val="24"/>
          <w:szCs w:val="24"/>
        </w:rPr>
        <w:fldChar w:fldCharType="end"/>
      </w:r>
      <w:r w:rsidR="002259C0" w:rsidRPr="00146AF3">
        <w:rPr>
          <w:sz w:val="24"/>
          <w:szCs w:val="24"/>
        </w:rPr>
        <w:t>.</w:t>
      </w:r>
      <w:r w:rsidR="005017B5" w:rsidRPr="00146AF3">
        <w:rPr>
          <w:sz w:val="24"/>
          <w:szCs w:val="24"/>
        </w:rPr>
        <w:t xml:space="preserve"> </w:t>
      </w:r>
      <w:r w:rsidR="00011313" w:rsidRPr="00146AF3">
        <w:rPr>
          <w:sz w:val="24"/>
          <w:szCs w:val="24"/>
        </w:rPr>
        <w:t xml:space="preserve">Based on our </w:t>
      </w:r>
      <w:r w:rsidR="00373C1D" w:rsidRPr="00146AF3">
        <w:rPr>
          <w:sz w:val="24"/>
          <w:szCs w:val="24"/>
        </w:rPr>
        <w:t>results</w:t>
      </w:r>
      <w:r w:rsidR="00011313" w:rsidRPr="00146AF3">
        <w:rPr>
          <w:sz w:val="24"/>
          <w:szCs w:val="24"/>
        </w:rPr>
        <w:t xml:space="preserve">, we </w:t>
      </w:r>
      <w:r w:rsidR="00373C1D" w:rsidRPr="00146AF3">
        <w:rPr>
          <w:sz w:val="24"/>
          <w:szCs w:val="24"/>
        </w:rPr>
        <w:t>expect</w:t>
      </w:r>
      <w:r w:rsidR="00011313" w:rsidRPr="00146AF3">
        <w:rPr>
          <w:sz w:val="24"/>
          <w:szCs w:val="24"/>
        </w:rPr>
        <w:t xml:space="preserve"> that this </w:t>
      </w:r>
      <w:r w:rsidR="007E5D31" w:rsidRPr="00146AF3">
        <w:rPr>
          <w:sz w:val="24"/>
          <w:szCs w:val="24"/>
        </w:rPr>
        <w:t>approach</w:t>
      </w:r>
      <w:r w:rsidR="00242044" w:rsidRPr="00146AF3">
        <w:rPr>
          <w:sz w:val="24"/>
          <w:szCs w:val="24"/>
        </w:rPr>
        <w:t xml:space="preserve"> can be applied </w:t>
      </w:r>
      <w:r w:rsidR="00E84957">
        <w:rPr>
          <w:sz w:val="24"/>
          <w:szCs w:val="24"/>
        </w:rPr>
        <w:t>to</w:t>
      </w:r>
      <w:r w:rsidR="00E84957" w:rsidRPr="00146AF3">
        <w:rPr>
          <w:sz w:val="24"/>
          <w:szCs w:val="24"/>
        </w:rPr>
        <w:t xml:space="preserve"> </w:t>
      </w:r>
      <w:r w:rsidR="007D0196" w:rsidRPr="00146AF3">
        <w:rPr>
          <w:sz w:val="24"/>
          <w:szCs w:val="24"/>
        </w:rPr>
        <w:t xml:space="preserve">similar </w:t>
      </w:r>
      <w:r w:rsidR="00231CA6" w:rsidRPr="00146AF3">
        <w:rPr>
          <w:i/>
          <w:iCs/>
          <w:sz w:val="24"/>
          <w:szCs w:val="24"/>
        </w:rPr>
        <w:t>in vitro</w:t>
      </w:r>
      <w:r w:rsidR="00242044" w:rsidRPr="00146AF3">
        <w:rPr>
          <w:sz w:val="24"/>
          <w:szCs w:val="24"/>
        </w:rPr>
        <w:t xml:space="preserve"> experiments </w:t>
      </w:r>
      <w:r w:rsidR="007D0196" w:rsidRPr="00146AF3">
        <w:rPr>
          <w:sz w:val="24"/>
          <w:szCs w:val="24"/>
        </w:rPr>
        <w:t>employing</w:t>
      </w:r>
      <w:r w:rsidR="00242044" w:rsidRPr="00146AF3">
        <w:rPr>
          <w:sz w:val="24"/>
          <w:szCs w:val="24"/>
        </w:rPr>
        <w:t xml:space="preserve"> CRISPR/Cas9 </w:t>
      </w:r>
      <w:r w:rsidR="007D0196" w:rsidRPr="00146AF3">
        <w:rPr>
          <w:sz w:val="24"/>
          <w:szCs w:val="24"/>
        </w:rPr>
        <w:t>editing</w:t>
      </w:r>
      <w:r w:rsidR="00373C1D" w:rsidRPr="00146AF3">
        <w:rPr>
          <w:sz w:val="24"/>
          <w:szCs w:val="24"/>
        </w:rPr>
        <w:t xml:space="preserve"> where efficiency is </w:t>
      </w:r>
      <w:r w:rsidR="007E5D31" w:rsidRPr="00146AF3">
        <w:rPr>
          <w:sz w:val="24"/>
          <w:szCs w:val="24"/>
        </w:rPr>
        <w:t>a</w:t>
      </w:r>
      <w:r w:rsidR="00373C1D" w:rsidRPr="00146AF3">
        <w:rPr>
          <w:sz w:val="24"/>
          <w:szCs w:val="24"/>
        </w:rPr>
        <w:t xml:space="preserve"> concern</w:t>
      </w:r>
      <w:r w:rsidR="007D0196" w:rsidRPr="00146AF3">
        <w:rPr>
          <w:sz w:val="24"/>
          <w:szCs w:val="24"/>
        </w:rPr>
        <w:t xml:space="preserve"> or </w:t>
      </w:r>
      <w:r w:rsidR="00BE648F" w:rsidRPr="00146AF3">
        <w:rPr>
          <w:sz w:val="24"/>
          <w:szCs w:val="24"/>
        </w:rPr>
        <w:t xml:space="preserve">a </w:t>
      </w:r>
      <w:r w:rsidR="007D0196" w:rsidRPr="00146AF3">
        <w:rPr>
          <w:sz w:val="24"/>
          <w:szCs w:val="24"/>
        </w:rPr>
        <w:t>limiting factor</w:t>
      </w:r>
      <w:r w:rsidR="00242044" w:rsidRPr="00146AF3">
        <w:rPr>
          <w:sz w:val="24"/>
          <w:szCs w:val="24"/>
        </w:rPr>
        <w:t>.</w:t>
      </w:r>
      <w:r w:rsidR="007E5D31" w:rsidRPr="00146AF3">
        <w:rPr>
          <w:sz w:val="24"/>
          <w:szCs w:val="24"/>
        </w:rPr>
        <w:t xml:space="preserve"> </w:t>
      </w:r>
    </w:p>
    <w:p w14:paraId="5E2459E2" w14:textId="551DB807" w:rsidR="004144E1" w:rsidRPr="00146AF3" w:rsidRDefault="004144E1" w:rsidP="003F4196">
      <w:pPr>
        <w:pStyle w:val="Heading1"/>
        <w:rPr>
          <w:rFonts w:asciiTheme="minorHAnsi" w:hAnsiTheme="minorHAnsi"/>
          <w:b/>
          <w:color w:val="auto"/>
        </w:rPr>
      </w:pPr>
      <w:r w:rsidRPr="00146AF3">
        <w:rPr>
          <w:rFonts w:asciiTheme="minorHAnsi" w:hAnsiTheme="minorHAnsi"/>
          <w:b/>
          <w:color w:val="auto"/>
        </w:rPr>
        <w:lastRenderedPageBreak/>
        <w:t>Results</w:t>
      </w:r>
    </w:p>
    <w:p w14:paraId="2C98B435" w14:textId="77777777" w:rsidR="00441718" w:rsidRDefault="0010578B" w:rsidP="00146AF3">
      <w:pPr>
        <w:pStyle w:val="Heading2"/>
        <w:jc w:val="both"/>
        <w:rPr>
          <w:rFonts w:asciiTheme="minorHAnsi" w:hAnsiTheme="minorHAnsi"/>
          <w:b/>
          <w:color w:val="auto"/>
        </w:rPr>
      </w:pPr>
      <w:r w:rsidRPr="00146AF3">
        <w:rPr>
          <w:rFonts w:asciiTheme="minorHAnsi" w:hAnsiTheme="minorHAnsi"/>
          <w:b/>
          <w:color w:val="auto"/>
        </w:rPr>
        <w:t xml:space="preserve">CRISPR/Cas9-mediated gene editing of </w:t>
      </w:r>
      <w:proofErr w:type="spellStart"/>
      <w:r w:rsidR="001259E3" w:rsidRPr="00146AF3">
        <w:rPr>
          <w:rFonts w:asciiTheme="minorHAnsi" w:hAnsiTheme="minorHAnsi"/>
          <w:b/>
          <w:color w:val="auto"/>
        </w:rPr>
        <w:t>iPSCs</w:t>
      </w:r>
      <w:proofErr w:type="spellEnd"/>
      <w:r w:rsidR="00146AF3" w:rsidRPr="00146AF3">
        <w:rPr>
          <w:rFonts w:asciiTheme="minorHAnsi" w:hAnsiTheme="minorHAnsi"/>
          <w:b/>
          <w:color w:val="auto"/>
        </w:rPr>
        <w:t xml:space="preserve">. </w:t>
      </w:r>
    </w:p>
    <w:p w14:paraId="283BFE5D" w14:textId="4FEEB46A" w:rsidR="00A00441" w:rsidRPr="00146AF3" w:rsidRDefault="001259E3" w:rsidP="00441718">
      <w:pPr>
        <w:pStyle w:val="Heading2"/>
        <w:ind w:firstLine="720"/>
        <w:jc w:val="both"/>
        <w:rPr>
          <w:rFonts w:asciiTheme="minorHAnsi" w:hAnsiTheme="minorHAnsi"/>
          <w:b/>
          <w:color w:val="auto"/>
          <w:sz w:val="24"/>
          <w:szCs w:val="24"/>
        </w:rPr>
      </w:pPr>
      <w:proofErr w:type="spellStart"/>
      <w:proofErr w:type="gramStart"/>
      <w:r w:rsidRPr="00146AF3">
        <w:rPr>
          <w:rFonts w:asciiTheme="minorHAnsi" w:hAnsiTheme="minorHAnsi"/>
          <w:color w:val="auto"/>
          <w:sz w:val="22"/>
          <w:szCs w:val="22"/>
        </w:rPr>
        <w:t>iPSCs</w:t>
      </w:r>
      <w:proofErr w:type="spellEnd"/>
      <w:proofErr w:type="gramEnd"/>
      <w:r w:rsidR="00F30EBD" w:rsidRPr="00146AF3">
        <w:rPr>
          <w:rFonts w:asciiTheme="minorHAnsi" w:hAnsiTheme="minorHAnsi"/>
          <w:color w:val="auto"/>
          <w:sz w:val="22"/>
          <w:szCs w:val="22"/>
        </w:rPr>
        <w:t xml:space="preserve"> </w:t>
      </w:r>
      <w:r w:rsidRPr="00146AF3">
        <w:rPr>
          <w:rFonts w:asciiTheme="minorHAnsi" w:hAnsiTheme="minorHAnsi"/>
          <w:color w:val="auto"/>
          <w:sz w:val="22"/>
          <w:szCs w:val="22"/>
        </w:rPr>
        <w:t>are differentiable to</w:t>
      </w:r>
      <w:r w:rsidR="007D0196" w:rsidRPr="00146AF3">
        <w:rPr>
          <w:rFonts w:asciiTheme="minorHAnsi" w:hAnsiTheme="minorHAnsi"/>
          <w:color w:val="auto"/>
          <w:sz w:val="22"/>
          <w:szCs w:val="22"/>
        </w:rPr>
        <w:t xml:space="preserve"> multiple cell types</w:t>
      </w:r>
      <w:r w:rsidR="00F30EBD" w:rsidRPr="00146AF3">
        <w:rPr>
          <w:rFonts w:asciiTheme="minorHAnsi" w:hAnsiTheme="minorHAnsi"/>
          <w:color w:val="auto"/>
          <w:sz w:val="22"/>
          <w:szCs w:val="22"/>
        </w:rPr>
        <w:t>,</w:t>
      </w:r>
      <w:r w:rsidR="007D0196" w:rsidRPr="00146AF3">
        <w:rPr>
          <w:rFonts w:asciiTheme="minorHAnsi" w:hAnsiTheme="minorHAnsi"/>
          <w:color w:val="auto"/>
          <w:sz w:val="22"/>
          <w:szCs w:val="22"/>
        </w:rPr>
        <w:t xml:space="preserve"> making them valuable for tissue-specific functional studies. However, they are also highly sensitive and prone to </w:t>
      </w:r>
      <w:r w:rsidR="00FC4CEB" w:rsidRPr="00146AF3">
        <w:rPr>
          <w:rFonts w:asciiTheme="minorHAnsi" w:hAnsiTheme="minorHAnsi"/>
          <w:color w:val="auto"/>
          <w:sz w:val="22"/>
          <w:szCs w:val="22"/>
        </w:rPr>
        <w:t xml:space="preserve">spontaneously </w:t>
      </w:r>
      <w:r w:rsidR="007D0196" w:rsidRPr="00146AF3">
        <w:rPr>
          <w:rFonts w:asciiTheme="minorHAnsi" w:hAnsiTheme="minorHAnsi"/>
          <w:color w:val="auto"/>
          <w:sz w:val="22"/>
          <w:szCs w:val="22"/>
        </w:rPr>
        <w:t>differentiate during routine culture</w:t>
      </w:r>
      <w:r w:rsidR="00FC4CEB" w:rsidRPr="00146AF3">
        <w:rPr>
          <w:rFonts w:asciiTheme="minorHAnsi" w:hAnsiTheme="minorHAnsi"/>
          <w:color w:val="auto"/>
          <w:sz w:val="22"/>
          <w:szCs w:val="22"/>
        </w:rPr>
        <w:t xml:space="preserve"> if care is not taken</w:t>
      </w:r>
      <w:r w:rsidR="007D0196" w:rsidRPr="00146AF3">
        <w:rPr>
          <w:rFonts w:asciiTheme="minorHAnsi" w:hAnsiTheme="minorHAnsi"/>
          <w:color w:val="auto"/>
          <w:sz w:val="22"/>
          <w:szCs w:val="22"/>
        </w:rPr>
        <w:t>.</w:t>
      </w:r>
      <w:r w:rsidR="00F30EBD" w:rsidRPr="00146AF3">
        <w:rPr>
          <w:rFonts w:asciiTheme="minorHAnsi" w:hAnsiTheme="minorHAnsi"/>
          <w:color w:val="auto"/>
          <w:sz w:val="22"/>
          <w:szCs w:val="22"/>
        </w:rPr>
        <w:t xml:space="preserve"> </w:t>
      </w:r>
      <w:r w:rsidR="00FC4CEB" w:rsidRPr="00146AF3">
        <w:rPr>
          <w:rFonts w:asciiTheme="minorHAnsi" w:hAnsiTheme="minorHAnsi"/>
          <w:color w:val="auto"/>
          <w:sz w:val="22"/>
          <w:szCs w:val="22"/>
        </w:rPr>
        <w:t>W</w:t>
      </w:r>
      <w:r w:rsidR="00F30EBD" w:rsidRPr="00146AF3">
        <w:rPr>
          <w:rFonts w:asciiTheme="minorHAnsi" w:hAnsiTheme="minorHAnsi"/>
          <w:color w:val="auto"/>
          <w:sz w:val="22"/>
          <w:szCs w:val="22"/>
        </w:rPr>
        <w:t>e employed CRISPR/Cas9 methodology in order to introduce a bi-allelic mutation in the</w:t>
      </w:r>
      <w:r w:rsidR="007643B5" w:rsidRPr="00146AF3">
        <w:rPr>
          <w:rFonts w:asciiTheme="minorHAnsi" w:hAnsiTheme="minorHAnsi"/>
          <w:color w:val="auto"/>
          <w:sz w:val="22"/>
          <w:szCs w:val="22"/>
        </w:rPr>
        <w:t xml:space="preserve"> </w:t>
      </w:r>
      <w:r w:rsidR="007D0196" w:rsidRPr="00146AF3">
        <w:rPr>
          <w:rFonts w:asciiTheme="minorHAnsi" w:hAnsiTheme="minorHAnsi"/>
          <w:color w:val="auto"/>
          <w:sz w:val="22"/>
          <w:szCs w:val="22"/>
        </w:rPr>
        <w:t>CST3</w:t>
      </w:r>
      <w:r w:rsidR="007643B5" w:rsidRPr="00146AF3">
        <w:rPr>
          <w:rFonts w:asciiTheme="minorHAnsi" w:hAnsiTheme="minorHAnsi"/>
          <w:color w:val="auto"/>
          <w:sz w:val="22"/>
          <w:szCs w:val="22"/>
        </w:rPr>
        <w:t xml:space="preserve"> </w:t>
      </w:r>
      <w:r w:rsidR="00F30EBD" w:rsidRPr="00146AF3">
        <w:rPr>
          <w:rFonts w:asciiTheme="minorHAnsi" w:hAnsiTheme="minorHAnsi"/>
          <w:color w:val="auto"/>
          <w:sz w:val="22"/>
          <w:szCs w:val="22"/>
        </w:rPr>
        <w:t>gene</w:t>
      </w:r>
      <w:r w:rsidR="007D0196" w:rsidRPr="00146AF3">
        <w:rPr>
          <w:rFonts w:asciiTheme="minorHAnsi" w:hAnsiTheme="minorHAnsi"/>
          <w:color w:val="auto"/>
          <w:sz w:val="22"/>
          <w:szCs w:val="22"/>
        </w:rPr>
        <w:t>, which encodes cystatin C</w:t>
      </w:r>
      <w:r w:rsidR="00F30EBD" w:rsidRPr="00146AF3">
        <w:rPr>
          <w:rFonts w:asciiTheme="minorHAnsi" w:hAnsiTheme="minorHAnsi"/>
          <w:color w:val="auto"/>
          <w:sz w:val="22"/>
          <w:szCs w:val="22"/>
        </w:rPr>
        <w:t>. Recommended protocols for establishing bi-allelic mutations typically involve insertion of a selection cassette</w:t>
      </w:r>
      <w:r w:rsidR="00E30BD8" w:rsidRPr="00146AF3">
        <w:rPr>
          <w:rFonts w:asciiTheme="minorHAnsi" w:hAnsiTheme="minorHAnsi"/>
          <w:color w:val="auto"/>
          <w:sz w:val="22"/>
          <w:szCs w:val="22"/>
        </w:rPr>
        <w:t xml:space="preserve"> into the target genome, followed by manual evaluation of individual clones to segregate between mono- and bi-allelic edits</w:t>
      </w:r>
      <w:r w:rsidR="00791E7A" w:rsidRPr="00146AF3">
        <w:rPr>
          <w:rFonts w:asciiTheme="minorHAnsi" w:hAnsiTheme="minorHAnsi"/>
          <w:color w:val="auto"/>
          <w:sz w:val="22"/>
          <w:szCs w:val="22"/>
        </w:rPr>
        <w:t>.</w:t>
      </w:r>
      <w:r w:rsidR="00A76077" w:rsidRPr="00146AF3">
        <w:rPr>
          <w:rFonts w:asciiTheme="minorHAnsi" w:hAnsiTheme="minorHAnsi"/>
          <w:color w:val="auto"/>
          <w:sz w:val="22"/>
          <w:szCs w:val="22"/>
        </w:rPr>
        <w:t xml:space="preserve"> </w:t>
      </w:r>
      <w:r w:rsidR="00E30BD8" w:rsidRPr="00146AF3">
        <w:rPr>
          <w:rFonts w:asciiTheme="minorHAnsi" w:hAnsiTheme="minorHAnsi"/>
          <w:color w:val="auto"/>
          <w:sz w:val="22"/>
          <w:szCs w:val="22"/>
        </w:rPr>
        <w:t xml:space="preserve">Following multiple unsuccessful attempts to generate a bi-allelic mutation in the </w:t>
      </w:r>
      <w:r w:rsidR="00E30BD8" w:rsidRPr="00146AF3">
        <w:rPr>
          <w:rFonts w:asciiTheme="minorHAnsi" w:hAnsiTheme="minorHAnsi"/>
          <w:iCs/>
          <w:color w:val="auto"/>
          <w:sz w:val="22"/>
          <w:szCs w:val="22"/>
        </w:rPr>
        <w:t>CST3</w:t>
      </w:r>
      <w:r w:rsidR="00E30BD8" w:rsidRPr="00146AF3">
        <w:rPr>
          <w:rFonts w:asciiTheme="minorHAnsi" w:hAnsiTheme="minorHAnsi"/>
          <w:color w:val="auto"/>
          <w:sz w:val="22"/>
          <w:szCs w:val="22"/>
        </w:rPr>
        <w:t xml:space="preserve"> gene </w:t>
      </w:r>
      <w:r w:rsidR="00A76077" w:rsidRPr="00146AF3">
        <w:rPr>
          <w:rFonts w:asciiTheme="minorHAnsi" w:hAnsiTheme="minorHAnsi"/>
          <w:color w:val="auto"/>
          <w:sz w:val="22"/>
          <w:szCs w:val="22"/>
        </w:rPr>
        <w:t>through the</w:t>
      </w:r>
      <w:r w:rsidR="00E30BD8" w:rsidRPr="00146AF3">
        <w:rPr>
          <w:rFonts w:asciiTheme="minorHAnsi" w:hAnsiTheme="minorHAnsi"/>
          <w:color w:val="auto"/>
          <w:sz w:val="22"/>
          <w:szCs w:val="22"/>
        </w:rPr>
        <w:t xml:space="preserve"> insertion of a </w:t>
      </w:r>
      <w:r w:rsidR="00B841CA" w:rsidRPr="00146AF3">
        <w:rPr>
          <w:rFonts w:asciiTheme="minorHAnsi" w:hAnsiTheme="minorHAnsi"/>
          <w:color w:val="auto"/>
          <w:sz w:val="22"/>
          <w:szCs w:val="22"/>
        </w:rPr>
        <w:t>puromycin</w:t>
      </w:r>
      <w:r w:rsidR="00E30BD8" w:rsidRPr="00146AF3">
        <w:rPr>
          <w:rFonts w:asciiTheme="minorHAnsi" w:hAnsiTheme="minorHAnsi"/>
          <w:color w:val="auto"/>
          <w:sz w:val="22"/>
          <w:szCs w:val="22"/>
        </w:rPr>
        <w:t>-based selection cassette</w:t>
      </w:r>
      <w:r w:rsidR="00B214DC">
        <w:rPr>
          <w:rFonts w:asciiTheme="minorHAnsi" w:hAnsiTheme="minorHAnsi"/>
          <w:color w:val="auto"/>
          <w:sz w:val="22"/>
          <w:szCs w:val="22"/>
        </w:rPr>
        <w:t xml:space="preserve"> (58 clones screened, 0 with bi-allelic change)</w:t>
      </w:r>
      <w:r w:rsidR="00E30BD8" w:rsidRPr="00146AF3">
        <w:rPr>
          <w:rFonts w:asciiTheme="minorHAnsi" w:hAnsiTheme="minorHAnsi"/>
          <w:color w:val="auto"/>
          <w:sz w:val="22"/>
          <w:szCs w:val="22"/>
        </w:rPr>
        <w:t>, we devised a modified strategy for gene editing</w:t>
      </w:r>
      <w:r w:rsidR="00C16EDF" w:rsidRPr="00146AF3">
        <w:rPr>
          <w:rFonts w:asciiTheme="minorHAnsi" w:hAnsiTheme="minorHAnsi"/>
          <w:color w:val="auto"/>
          <w:sz w:val="22"/>
          <w:szCs w:val="22"/>
        </w:rPr>
        <w:t xml:space="preserve"> (Fig. 1</w:t>
      </w:r>
      <w:r w:rsidR="001663B1" w:rsidRPr="00146AF3">
        <w:rPr>
          <w:rFonts w:asciiTheme="minorHAnsi" w:hAnsiTheme="minorHAnsi"/>
          <w:color w:val="auto"/>
          <w:sz w:val="22"/>
          <w:szCs w:val="22"/>
        </w:rPr>
        <w:t>a</w:t>
      </w:r>
      <w:r w:rsidR="00C16EDF" w:rsidRPr="00146AF3">
        <w:rPr>
          <w:rFonts w:asciiTheme="minorHAnsi" w:hAnsiTheme="minorHAnsi"/>
          <w:color w:val="auto"/>
          <w:sz w:val="22"/>
          <w:szCs w:val="22"/>
        </w:rPr>
        <w:t>)</w:t>
      </w:r>
      <w:r w:rsidR="00E30BD8" w:rsidRPr="00146AF3">
        <w:rPr>
          <w:rFonts w:asciiTheme="minorHAnsi" w:hAnsiTheme="minorHAnsi"/>
          <w:color w:val="auto"/>
          <w:sz w:val="22"/>
          <w:szCs w:val="22"/>
        </w:rPr>
        <w:t xml:space="preserve"> using two separate donor </w:t>
      </w:r>
      <w:r w:rsidR="00B62290" w:rsidRPr="00146AF3">
        <w:rPr>
          <w:rFonts w:asciiTheme="minorHAnsi" w:hAnsiTheme="minorHAnsi"/>
          <w:color w:val="auto"/>
          <w:sz w:val="22"/>
          <w:szCs w:val="22"/>
        </w:rPr>
        <w:t>plasmids (</w:t>
      </w:r>
      <w:r w:rsidR="00BF4974" w:rsidRPr="00146AF3">
        <w:rPr>
          <w:rFonts w:asciiTheme="minorHAnsi" w:hAnsiTheme="minorHAnsi"/>
          <w:color w:val="auto"/>
          <w:sz w:val="22"/>
          <w:szCs w:val="22"/>
        </w:rPr>
        <w:t xml:space="preserve">Fig. </w:t>
      </w:r>
      <w:r w:rsidR="00EA3BF5" w:rsidRPr="00146AF3">
        <w:rPr>
          <w:rFonts w:asciiTheme="minorHAnsi" w:hAnsiTheme="minorHAnsi"/>
          <w:color w:val="auto"/>
          <w:sz w:val="22"/>
          <w:szCs w:val="22"/>
        </w:rPr>
        <w:t>1</w:t>
      </w:r>
      <w:r w:rsidR="001663B1" w:rsidRPr="00146AF3">
        <w:rPr>
          <w:rFonts w:asciiTheme="minorHAnsi" w:hAnsiTheme="minorHAnsi"/>
          <w:color w:val="auto"/>
          <w:sz w:val="22"/>
          <w:szCs w:val="22"/>
        </w:rPr>
        <w:t>b</w:t>
      </w:r>
      <w:r w:rsidR="00B62290" w:rsidRPr="00146AF3">
        <w:rPr>
          <w:rFonts w:asciiTheme="minorHAnsi" w:hAnsiTheme="minorHAnsi"/>
          <w:color w:val="auto"/>
          <w:sz w:val="22"/>
          <w:szCs w:val="22"/>
        </w:rPr>
        <w:t>)</w:t>
      </w:r>
      <w:r w:rsidR="00E30BD8" w:rsidRPr="00146AF3">
        <w:rPr>
          <w:rFonts w:asciiTheme="minorHAnsi" w:hAnsiTheme="minorHAnsi"/>
          <w:color w:val="auto"/>
          <w:sz w:val="22"/>
          <w:szCs w:val="22"/>
        </w:rPr>
        <w:t>.</w:t>
      </w:r>
      <w:r w:rsidR="00F30EBD" w:rsidRPr="00146AF3">
        <w:rPr>
          <w:rFonts w:asciiTheme="minorHAnsi" w:hAnsiTheme="minorHAnsi"/>
          <w:color w:val="auto"/>
          <w:sz w:val="22"/>
          <w:szCs w:val="22"/>
        </w:rPr>
        <w:t xml:space="preserve"> </w:t>
      </w:r>
      <w:r w:rsidR="00A00441" w:rsidRPr="00146AF3">
        <w:rPr>
          <w:rFonts w:asciiTheme="minorHAnsi" w:hAnsiTheme="minorHAnsi"/>
          <w:color w:val="auto"/>
          <w:sz w:val="22"/>
          <w:szCs w:val="22"/>
        </w:rPr>
        <w:t xml:space="preserve">The only difference between the two donor plasmids is the inserted gene used for antibiotic selection, one using </w:t>
      </w:r>
      <w:r w:rsidR="00B841CA" w:rsidRPr="00146AF3">
        <w:rPr>
          <w:rFonts w:asciiTheme="minorHAnsi" w:hAnsiTheme="minorHAnsi"/>
          <w:color w:val="auto"/>
          <w:sz w:val="22"/>
          <w:szCs w:val="22"/>
        </w:rPr>
        <w:t xml:space="preserve">puromycin </w:t>
      </w:r>
      <w:r w:rsidR="00A00441" w:rsidRPr="00146AF3">
        <w:rPr>
          <w:rFonts w:asciiTheme="minorHAnsi" w:hAnsiTheme="minorHAnsi"/>
          <w:color w:val="auto"/>
          <w:sz w:val="22"/>
          <w:szCs w:val="22"/>
        </w:rPr>
        <w:t xml:space="preserve">and the other </w:t>
      </w:r>
      <w:proofErr w:type="spellStart"/>
      <w:r w:rsidR="00223AF0" w:rsidRPr="00146AF3">
        <w:rPr>
          <w:rFonts w:asciiTheme="minorHAnsi" w:hAnsiTheme="minorHAnsi"/>
          <w:color w:val="auto"/>
          <w:sz w:val="22"/>
          <w:szCs w:val="22"/>
        </w:rPr>
        <w:t>blasticidin</w:t>
      </w:r>
      <w:proofErr w:type="spellEnd"/>
      <w:r w:rsidR="00A00441" w:rsidRPr="00146AF3">
        <w:rPr>
          <w:rFonts w:asciiTheme="minorHAnsi" w:hAnsiTheme="minorHAnsi"/>
          <w:color w:val="auto"/>
          <w:sz w:val="22"/>
          <w:szCs w:val="22"/>
        </w:rPr>
        <w:t>. By applying dual antibiotic selection after gene editing, only cells that ha</w:t>
      </w:r>
      <w:r w:rsidR="002838A7" w:rsidRPr="00146AF3">
        <w:rPr>
          <w:rFonts w:asciiTheme="minorHAnsi" w:hAnsiTheme="minorHAnsi"/>
          <w:color w:val="auto"/>
          <w:sz w:val="22"/>
          <w:szCs w:val="22"/>
        </w:rPr>
        <w:t>ve</w:t>
      </w:r>
      <w:r w:rsidR="00A00441" w:rsidRPr="00146AF3">
        <w:rPr>
          <w:rFonts w:asciiTheme="minorHAnsi" w:hAnsiTheme="minorHAnsi"/>
          <w:color w:val="auto"/>
          <w:sz w:val="22"/>
          <w:szCs w:val="22"/>
        </w:rPr>
        <w:t xml:space="preserve"> incorporated both genes for antibiotic resistance should in theory survive, meaning only bi-allelic edits should be present.</w:t>
      </w:r>
      <w:r w:rsidR="00A00441" w:rsidRPr="00146AF3">
        <w:rPr>
          <w:rFonts w:asciiTheme="minorHAnsi" w:hAnsiTheme="minorHAnsi"/>
          <w:sz w:val="22"/>
          <w:szCs w:val="22"/>
        </w:rPr>
        <w:t xml:space="preserve"> </w:t>
      </w:r>
    </w:p>
    <w:p w14:paraId="6CABA405" w14:textId="138C3242" w:rsidR="00C842E8" w:rsidRDefault="006F7BA3" w:rsidP="000C12F5">
      <w:pPr>
        <w:spacing w:after="0"/>
        <w:ind w:firstLine="720"/>
        <w:jc w:val="both"/>
      </w:pPr>
      <w:r>
        <w:t xml:space="preserve">Electroporation of </w:t>
      </w:r>
      <w:proofErr w:type="spellStart"/>
      <w:r>
        <w:t>iPSCs</w:t>
      </w:r>
      <w:proofErr w:type="spellEnd"/>
      <w:r>
        <w:t xml:space="preserve"> was performed with the Neon electroporation kit. Although the manufacturer has made available protocols for electroporation of multiple established cell lines, no iPSC-specific protocol was available at the time of this study. We </w:t>
      </w:r>
      <w:r w:rsidR="001663B1">
        <w:t xml:space="preserve">therefore initially </w:t>
      </w:r>
      <w:r>
        <w:t xml:space="preserve">used electroporation with a plasmid encoding </w:t>
      </w:r>
      <w:proofErr w:type="spellStart"/>
      <w:r w:rsidR="001259E3" w:rsidRPr="001259E3">
        <w:t>eGFP</w:t>
      </w:r>
      <w:proofErr w:type="spellEnd"/>
      <w:r w:rsidR="001259E3" w:rsidRPr="001259E3">
        <w:t xml:space="preserve"> with various parameters</w:t>
      </w:r>
      <w:r>
        <w:t xml:space="preserve"> to optimise transfection conditions</w:t>
      </w:r>
      <w:r w:rsidR="001259E3" w:rsidRPr="001259E3">
        <w:t xml:space="preserve">. </w:t>
      </w:r>
      <w:r>
        <w:t xml:space="preserve">As </w:t>
      </w:r>
      <w:proofErr w:type="spellStart"/>
      <w:r>
        <w:t>iPSCs</w:t>
      </w:r>
      <w:proofErr w:type="spellEnd"/>
      <w:r>
        <w:t xml:space="preserve"> are fragile and a large proportion of dead cells could be seen following electroporation under most of the conditions evaluated, we chose to use the </w:t>
      </w:r>
      <w:r w:rsidR="00577D52">
        <w:t>lowest voltage</w:t>
      </w:r>
      <w:r w:rsidR="001259E3" w:rsidRPr="001259E3">
        <w:t xml:space="preserve"> which </w:t>
      </w:r>
      <w:r w:rsidR="00577D52">
        <w:t>still resulted in clear</w:t>
      </w:r>
      <w:r w:rsidR="001259E3" w:rsidRPr="001259E3">
        <w:t xml:space="preserve"> </w:t>
      </w:r>
      <w:proofErr w:type="spellStart"/>
      <w:r w:rsidR="001259E3" w:rsidRPr="001259E3">
        <w:t>eGFP</w:t>
      </w:r>
      <w:proofErr w:type="spellEnd"/>
      <w:r w:rsidR="001259E3" w:rsidRPr="001259E3">
        <w:t xml:space="preserve"> </w:t>
      </w:r>
      <w:r w:rsidR="00577D52">
        <w:t>expression</w:t>
      </w:r>
      <w:r w:rsidR="001259E3" w:rsidRPr="001259E3">
        <w:t>.</w:t>
      </w:r>
      <w:r w:rsidR="001259E3">
        <w:t xml:space="preserve"> </w:t>
      </w:r>
      <w:r w:rsidR="00A00441">
        <w:t xml:space="preserve">Following electroporation of </w:t>
      </w:r>
      <w:proofErr w:type="spellStart"/>
      <w:r w:rsidR="001259E3">
        <w:t>iPSCs</w:t>
      </w:r>
      <w:proofErr w:type="spellEnd"/>
      <w:r w:rsidR="00A00441">
        <w:t xml:space="preserve"> with both donor plasmids, together with the CRISPR</w:t>
      </w:r>
      <w:r w:rsidR="00B62290">
        <w:t>/Cas9</w:t>
      </w:r>
      <w:r w:rsidR="00A00441">
        <w:t xml:space="preserve"> plasmid, </w:t>
      </w:r>
      <w:r w:rsidR="001259E3">
        <w:t>12</w:t>
      </w:r>
      <w:r w:rsidR="00A00441">
        <w:t xml:space="preserve"> clones could successfully be expanded and had their genomic DNA extracted and analysed.</w:t>
      </w:r>
      <w:r w:rsidR="007021FC">
        <w:t xml:space="preserve"> Specific r</w:t>
      </w:r>
      <w:r w:rsidR="00B62290">
        <w:t>ounds of PCR</w:t>
      </w:r>
      <w:r w:rsidR="00554592">
        <w:t xml:space="preserve"> were applied to characterise clones in different regions on plasmids and g</w:t>
      </w:r>
      <w:r w:rsidR="00B214DC">
        <w:t xml:space="preserve">enomic </w:t>
      </w:r>
      <w:r w:rsidR="00554592">
        <w:t>DNA (</w:t>
      </w:r>
      <w:r w:rsidR="00577D52">
        <w:t xml:space="preserve">Fig. </w:t>
      </w:r>
      <w:r w:rsidR="00FC4CEB">
        <w:t>1</w:t>
      </w:r>
      <w:r w:rsidR="007021FC">
        <w:t>b</w:t>
      </w:r>
      <w:r w:rsidR="00554592">
        <w:t>)</w:t>
      </w:r>
      <w:r w:rsidR="009C0EF9">
        <w:t xml:space="preserve"> and provided a unique pattern for each pair of primer</w:t>
      </w:r>
      <w:r w:rsidR="00EE6797">
        <w:t>s</w:t>
      </w:r>
      <w:r w:rsidR="00AB3415">
        <w:t xml:space="preserve"> (</w:t>
      </w:r>
      <w:r w:rsidR="00EA3BF5">
        <w:t>Fig. 2</w:t>
      </w:r>
      <w:r w:rsidR="007021FC">
        <w:t>a</w:t>
      </w:r>
      <w:r w:rsidR="00AB3415">
        <w:t>)</w:t>
      </w:r>
      <w:r w:rsidR="00554592">
        <w:t xml:space="preserve">. </w:t>
      </w:r>
      <w:r w:rsidR="00EA3BF5">
        <w:t>O</w:t>
      </w:r>
      <w:r w:rsidR="00A00441">
        <w:t xml:space="preserve">ne of these clones showed the expected pattern of PCR products for a successful bi-allelic edit, </w:t>
      </w:r>
      <w:r w:rsidR="000C12F5">
        <w:t>comprising</w:t>
      </w:r>
      <w:r w:rsidR="00A00441">
        <w:t xml:space="preserve"> </w:t>
      </w:r>
      <w:r w:rsidR="00AC6EE1">
        <w:t>2</w:t>
      </w:r>
      <w:r w:rsidR="00E279ED">
        <w:t xml:space="preserve"> large</w:t>
      </w:r>
      <w:r w:rsidR="00AC6EE1">
        <w:t xml:space="preserve"> bands with the A primers, single band</w:t>
      </w:r>
      <w:r w:rsidR="002838A7">
        <w:t>s</w:t>
      </w:r>
      <w:r w:rsidR="00AC6EE1">
        <w:t xml:space="preserve"> with B, D, </w:t>
      </w:r>
      <w:r w:rsidR="00EA3BF5">
        <w:t xml:space="preserve">and </w:t>
      </w:r>
      <w:r w:rsidR="00AC6EE1">
        <w:t xml:space="preserve">E primers and </w:t>
      </w:r>
      <w:r w:rsidR="00A00441">
        <w:t>the absence of a band</w:t>
      </w:r>
      <w:r w:rsidR="00AC6EE1">
        <w:t xml:space="preserve"> with the C primers</w:t>
      </w:r>
      <w:r w:rsidR="00C842E8">
        <w:t xml:space="preserve"> (Fig. 2</w:t>
      </w:r>
      <w:r w:rsidR="007021FC">
        <w:t>a</w:t>
      </w:r>
      <w:r w:rsidR="00C842E8">
        <w:t>)</w:t>
      </w:r>
      <w:r w:rsidR="00A00441">
        <w:t>.</w:t>
      </w:r>
      <w:r w:rsidR="007021FC">
        <w:t xml:space="preserve"> To ensure </w:t>
      </w:r>
      <w:r w:rsidR="00C842E8">
        <w:t xml:space="preserve">optimal concentrations of </w:t>
      </w:r>
      <w:r w:rsidR="007021FC">
        <w:t>antibiotic selection</w:t>
      </w:r>
      <w:r w:rsidR="00C842E8">
        <w:t xml:space="preserve">, kill-curves were first established for both </w:t>
      </w:r>
      <w:proofErr w:type="spellStart"/>
      <w:r w:rsidR="00C842E8">
        <w:t>iPSCs</w:t>
      </w:r>
      <w:proofErr w:type="spellEnd"/>
      <w:r w:rsidR="00C842E8">
        <w:t xml:space="preserve"> (Fig. 2</w:t>
      </w:r>
      <w:r w:rsidR="007021FC">
        <w:t>b</w:t>
      </w:r>
      <w:r w:rsidR="00C842E8">
        <w:t>) and ARPE</w:t>
      </w:r>
      <w:r w:rsidR="00862223">
        <w:t>-</w:t>
      </w:r>
      <w:r w:rsidR="00C842E8">
        <w:t>19 cells (Fig. 2</w:t>
      </w:r>
      <w:r w:rsidR="007021FC">
        <w:t>c</w:t>
      </w:r>
      <w:r w:rsidR="00C842E8">
        <w:t>).</w:t>
      </w:r>
      <w:r w:rsidR="00AC6EE1">
        <w:t xml:space="preserve"> </w:t>
      </w:r>
      <w:r w:rsidR="00C842E8">
        <w:t xml:space="preserve">As expected, </w:t>
      </w:r>
      <w:proofErr w:type="spellStart"/>
      <w:r w:rsidR="00C842E8">
        <w:t>iPSCs</w:t>
      </w:r>
      <w:proofErr w:type="spellEnd"/>
      <w:r w:rsidR="00C842E8">
        <w:t xml:space="preserve"> were found to be far more sensitive to both </w:t>
      </w:r>
      <w:proofErr w:type="spellStart"/>
      <w:r w:rsidR="00B841CA">
        <w:t>p</w:t>
      </w:r>
      <w:r w:rsidR="00C842E8">
        <w:t>uromycin</w:t>
      </w:r>
      <w:proofErr w:type="spellEnd"/>
      <w:r w:rsidR="00C842E8">
        <w:t xml:space="preserve"> and </w:t>
      </w:r>
      <w:proofErr w:type="spellStart"/>
      <w:r w:rsidR="00B841CA">
        <w:t>b</w:t>
      </w:r>
      <w:r w:rsidR="00C842E8">
        <w:t>lasticidin</w:t>
      </w:r>
      <w:proofErr w:type="spellEnd"/>
      <w:r w:rsidR="00C842E8">
        <w:t xml:space="preserve">, with effectively no surviving cells at concentrations of </w:t>
      </w:r>
      <w:r w:rsidR="00C842E8" w:rsidDel="006D40AC">
        <w:t>0.3</w:t>
      </w:r>
      <w:r w:rsidR="00C842E8">
        <w:t xml:space="preserve"> </w:t>
      </w:r>
      <w:r w:rsidR="00C842E8" w:rsidDel="006D40AC">
        <w:rPr>
          <w:rFonts w:ascii="Times New Roman" w:hAnsi="Times New Roman" w:cs="Times New Roman"/>
        </w:rPr>
        <w:t>µ</w:t>
      </w:r>
      <w:r w:rsidR="00C842E8" w:rsidDel="006D40AC">
        <w:t>g/ml and 4</w:t>
      </w:r>
      <w:r w:rsidR="00C842E8">
        <w:t xml:space="preserve"> </w:t>
      </w:r>
      <w:r w:rsidR="00C842E8" w:rsidDel="006D40AC">
        <w:rPr>
          <w:rFonts w:ascii="Times New Roman" w:hAnsi="Times New Roman" w:cs="Times New Roman"/>
        </w:rPr>
        <w:t>µ</w:t>
      </w:r>
      <w:r w:rsidR="00C842E8" w:rsidDel="006D40AC">
        <w:t>g/ml</w:t>
      </w:r>
      <w:r w:rsidR="00C842E8">
        <w:t>, respectively.</w:t>
      </w:r>
      <w:r w:rsidR="000C12F5">
        <w:t xml:space="preserve"> </w:t>
      </w:r>
    </w:p>
    <w:p w14:paraId="647970FF" w14:textId="4543B4C1" w:rsidR="00AC6EE1" w:rsidRDefault="00234974" w:rsidP="0007299F">
      <w:pPr>
        <w:ind w:firstLine="720"/>
        <w:jc w:val="both"/>
      </w:pPr>
      <w:r>
        <w:t xml:space="preserve">To analyse whether the </w:t>
      </w:r>
      <w:r w:rsidRPr="00596A5C">
        <w:t>CST3</w:t>
      </w:r>
      <w:r>
        <w:t xml:space="preserve"> gene had been edited as predicted, the </w:t>
      </w:r>
      <w:r w:rsidR="00A00441">
        <w:t xml:space="preserve">PCR product resulting from amplification using primer pair </w:t>
      </w:r>
      <w:r w:rsidR="004A1635">
        <w:t xml:space="preserve">F </w:t>
      </w:r>
      <w:r w:rsidR="00A00441">
        <w:t xml:space="preserve">was subjected to </w:t>
      </w:r>
      <w:r w:rsidR="00E279ED">
        <w:t>Sanger sequencing,</w:t>
      </w:r>
      <w:r w:rsidR="00A00441">
        <w:t xml:space="preserve"> which confirmed the</w:t>
      </w:r>
      <w:r w:rsidR="000939F8">
        <w:t xml:space="preserve"> homozygous G73A nucleotide </w:t>
      </w:r>
      <w:r w:rsidR="00C07FC1">
        <w:t>variant</w:t>
      </w:r>
      <w:r w:rsidR="000939F8">
        <w:t xml:space="preserve"> in the </w:t>
      </w:r>
      <w:r w:rsidR="000939F8" w:rsidRPr="007021FC">
        <w:rPr>
          <w:iCs/>
        </w:rPr>
        <w:t>CST3</w:t>
      </w:r>
      <w:r w:rsidR="000939F8">
        <w:t xml:space="preserve"> gene (</w:t>
      </w:r>
      <w:r w:rsidR="00EA3BF5">
        <w:t>Fig. 3</w:t>
      </w:r>
      <w:r w:rsidR="007021FC">
        <w:t>a</w:t>
      </w:r>
      <w:r w:rsidR="000939F8" w:rsidRPr="002D1E6C">
        <w:t>).</w:t>
      </w:r>
      <w:r w:rsidR="00E279ED" w:rsidRPr="002D1E6C">
        <w:t xml:space="preserve"> </w:t>
      </w:r>
      <w:r w:rsidR="000939F8" w:rsidRPr="002D1E6C">
        <w:t>As</w:t>
      </w:r>
      <w:r w:rsidR="000939F8">
        <w:t xml:space="preserve"> an additional control, and to test whether our strategy of using two different insertion cassettes had worked as expected, a</w:t>
      </w:r>
      <w:r w:rsidR="00E279ED">
        <w:t xml:space="preserve">mplicons from </w:t>
      </w:r>
      <w:r w:rsidR="000939F8">
        <w:t xml:space="preserve">PCR reactions using </w:t>
      </w:r>
      <w:r w:rsidR="00AB3415">
        <w:t>D</w:t>
      </w:r>
      <w:r w:rsidR="002D1E6C">
        <w:t xml:space="preserve"> </w:t>
      </w:r>
      <w:r w:rsidR="00E279ED">
        <w:t xml:space="preserve">and </w:t>
      </w:r>
      <w:r w:rsidR="00AB3415">
        <w:t>E</w:t>
      </w:r>
      <w:r w:rsidR="002D1E6C">
        <w:t xml:space="preserve"> </w:t>
      </w:r>
      <w:r w:rsidR="00E279ED">
        <w:t>primers, which amplify</w:t>
      </w:r>
      <w:r w:rsidR="000630CC">
        <w:t xml:space="preserve"> specific</w:t>
      </w:r>
      <w:r w:rsidR="00E279ED">
        <w:t xml:space="preserve"> </w:t>
      </w:r>
      <w:r w:rsidR="000630CC">
        <w:t>regions for each</w:t>
      </w:r>
      <w:r w:rsidR="00E279ED">
        <w:t xml:space="preserve"> antibiotic resistant gene, were used as templates to re-amplify </w:t>
      </w:r>
      <w:r w:rsidR="000939F8">
        <w:t>the region spanning the intended mutatio</w:t>
      </w:r>
      <w:r w:rsidR="000939F8" w:rsidRPr="002D1E6C">
        <w:t xml:space="preserve">n </w:t>
      </w:r>
      <w:r w:rsidR="00E279ED" w:rsidRPr="002D1E6C">
        <w:t xml:space="preserve">with </w:t>
      </w:r>
      <w:r w:rsidR="00CE48DC">
        <w:t>F</w:t>
      </w:r>
      <w:r w:rsidR="00E279ED" w:rsidRPr="002D1E6C">
        <w:t xml:space="preserve"> primers</w:t>
      </w:r>
      <w:r w:rsidR="000939F8" w:rsidRPr="002D1E6C">
        <w:t>. Sanger sequencing confirmed that the mutation was present in both of the a</w:t>
      </w:r>
      <w:r w:rsidR="00AB3415">
        <w:t>ntibiotic-based amplicons</w:t>
      </w:r>
      <w:r w:rsidR="00EA3BF5">
        <w:t xml:space="preserve"> (data not shown)</w:t>
      </w:r>
      <w:r w:rsidR="000939F8" w:rsidRPr="002D1E6C">
        <w:t>.</w:t>
      </w:r>
    </w:p>
    <w:p w14:paraId="41904B4D" w14:textId="77777777" w:rsidR="0010578B" w:rsidRDefault="0010578B" w:rsidP="00E279ED">
      <w:pPr>
        <w:jc w:val="both"/>
      </w:pPr>
    </w:p>
    <w:p w14:paraId="57A59746" w14:textId="0388F867" w:rsidR="0010578B" w:rsidRPr="00146AF3" w:rsidRDefault="0010578B" w:rsidP="0007299F">
      <w:pPr>
        <w:pStyle w:val="Heading2"/>
        <w:rPr>
          <w:rFonts w:asciiTheme="minorHAnsi" w:hAnsiTheme="minorHAnsi"/>
          <w:b/>
          <w:color w:val="auto"/>
        </w:rPr>
      </w:pPr>
      <w:r w:rsidRPr="00146AF3">
        <w:rPr>
          <w:rFonts w:asciiTheme="minorHAnsi" w:hAnsiTheme="minorHAnsi"/>
          <w:b/>
          <w:color w:val="auto"/>
        </w:rPr>
        <w:t xml:space="preserve">Removal of insertion cassette from gene edited </w:t>
      </w:r>
      <w:proofErr w:type="spellStart"/>
      <w:r w:rsidR="001259E3" w:rsidRPr="00146AF3">
        <w:rPr>
          <w:rFonts w:asciiTheme="minorHAnsi" w:hAnsiTheme="minorHAnsi"/>
          <w:b/>
          <w:color w:val="auto"/>
        </w:rPr>
        <w:t>iPSCs</w:t>
      </w:r>
      <w:proofErr w:type="spellEnd"/>
    </w:p>
    <w:p w14:paraId="64F448A8" w14:textId="379DCE55" w:rsidR="00233755" w:rsidRDefault="003867EC" w:rsidP="009C4F72">
      <w:pPr>
        <w:ind w:firstLine="720"/>
        <w:jc w:val="both"/>
      </w:pPr>
      <w:r>
        <w:t xml:space="preserve">Gene edited </w:t>
      </w:r>
      <w:proofErr w:type="spellStart"/>
      <w:r w:rsidR="001259E3">
        <w:t>iPSCs</w:t>
      </w:r>
      <w:proofErr w:type="spellEnd"/>
      <w:r>
        <w:t xml:space="preserve"> were expanded and subjected to at least one freeze/thaw cycle in liquid nitrogen to ensure the robustness of the cells, after which the inserted cassettes were removed via Cre-recombinase expression. As shown </w:t>
      </w:r>
      <w:r w:rsidR="00F43B71">
        <w:t xml:space="preserve">in </w:t>
      </w:r>
      <w:r w:rsidR="00BF4974">
        <w:t>F</w:t>
      </w:r>
      <w:r w:rsidR="00BF4974" w:rsidRPr="002D1E6C">
        <w:t xml:space="preserve">igure </w:t>
      </w:r>
      <w:r w:rsidR="00EA3BF5" w:rsidRPr="002D1E6C">
        <w:t>1</w:t>
      </w:r>
      <w:r w:rsidR="007021FC">
        <w:t>b</w:t>
      </w:r>
      <w:r w:rsidRPr="002D1E6C">
        <w:t xml:space="preserve">, two </w:t>
      </w:r>
      <w:proofErr w:type="spellStart"/>
      <w:r w:rsidRPr="002D1E6C">
        <w:t>LoxP</w:t>
      </w:r>
      <w:proofErr w:type="spellEnd"/>
      <w:r>
        <w:t xml:space="preserve"> sites are flanking the inserted selection marker regions, which make the</w:t>
      </w:r>
      <w:r w:rsidR="008144D9">
        <w:t xml:space="preserve">se regions targets for excision. Following electroporation using the </w:t>
      </w:r>
      <w:proofErr w:type="spellStart"/>
      <w:r w:rsidR="008144D9">
        <w:t>pCMV</w:t>
      </w:r>
      <w:proofErr w:type="spellEnd"/>
      <w:r w:rsidR="008144D9">
        <w:t xml:space="preserve">-CRE plasmid, cells were subjected to </w:t>
      </w:r>
      <w:r w:rsidR="002D1E6C">
        <w:t>the same method</w:t>
      </w:r>
      <w:r w:rsidR="00FC4CEB">
        <w:t>s</w:t>
      </w:r>
      <w:r w:rsidR="002D1E6C">
        <w:t xml:space="preserve"> and control</w:t>
      </w:r>
      <w:r w:rsidR="00754E67">
        <w:t>s</w:t>
      </w:r>
      <w:r w:rsidR="002D1E6C">
        <w:t xml:space="preserve"> as </w:t>
      </w:r>
      <w:r w:rsidR="00234974">
        <w:t xml:space="preserve">during </w:t>
      </w:r>
      <w:r w:rsidR="007021FC">
        <w:t xml:space="preserve">the </w:t>
      </w:r>
      <w:r w:rsidR="002D1E6C">
        <w:lastRenderedPageBreak/>
        <w:t>editing processes</w:t>
      </w:r>
      <w:r w:rsidR="00234974">
        <w:t>.</w:t>
      </w:r>
      <w:r w:rsidR="00754E67">
        <w:t xml:space="preserve"> </w:t>
      </w:r>
      <w:r w:rsidR="00FC4CEB">
        <w:t>As the selection</w:t>
      </w:r>
      <w:r w:rsidR="00234974">
        <w:t xml:space="preserve"> cassettes</w:t>
      </w:r>
      <w:r w:rsidR="00B72298">
        <w:t xml:space="preserve"> </w:t>
      </w:r>
      <w:r w:rsidR="00545CEC">
        <w:t>contain in addition to</w:t>
      </w:r>
      <w:r w:rsidR="00B72298">
        <w:t xml:space="preserve"> genes for antibiotic resistance also</w:t>
      </w:r>
      <w:r w:rsidR="00545CEC">
        <w:t xml:space="preserve"> </w:t>
      </w:r>
      <w:r w:rsidR="00B72298">
        <w:t xml:space="preserve">the </w:t>
      </w:r>
      <w:proofErr w:type="spellStart"/>
      <w:r w:rsidR="00B72298">
        <w:t>eGFP</w:t>
      </w:r>
      <w:proofErr w:type="spellEnd"/>
      <w:r w:rsidR="00B72298">
        <w:t xml:space="preserve"> gene, successful gene editing could be manually evaluated through fluorescence microscopy</w:t>
      </w:r>
      <w:r w:rsidR="00234974">
        <w:t xml:space="preserve"> </w:t>
      </w:r>
      <w:r w:rsidR="004426CB">
        <w:t>(</w:t>
      </w:r>
      <w:r w:rsidR="00B72298">
        <w:t>Fig. 3</w:t>
      </w:r>
      <w:r w:rsidR="007021FC">
        <w:t>b</w:t>
      </w:r>
      <w:r w:rsidR="004426CB">
        <w:t>)</w:t>
      </w:r>
      <w:r w:rsidR="002D1E6C">
        <w:t>.</w:t>
      </w:r>
      <w:r w:rsidR="00B72298">
        <w:t xml:space="preserve"> Consequently, removal of the insertion cassettes also resulted in a loss of </w:t>
      </w:r>
      <w:proofErr w:type="spellStart"/>
      <w:r w:rsidR="00B72298">
        <w:t>eGFP</w:t>
      </w:r>
      <w:proofErr w:type="spellEnd"/>
      <w:r w:rsidR="00B72298">
        <w:t xml:space="preserve"> expression (Fig. 3</w:t>
      </w:r>
      <w:r w:rsidR="007021FC">
        <w:t>c</w:t>
      </w:r>
      <w:r w:rsidR="00B72298">
        <w:t>).</w:t>
      </w:r>
      <w:r w:rsidR="004426CB">
        <w:t xml:space="preserve"> </w:t>
      </w:r>
    </w:p>
    <w:p w14:paraId="3856B250" w14:textId="3CB15801" w:rsidR="0010578B" w:rsidRDefault="00233755" w:rsidP="009C4F72">
      <w:pPr>
        <w:ind w:firstLine="720"/>
        <w:jc w:val="both"/>
      </w:pPr>
      <w:r>
        <w:t xml:space="preserve">Although confirmation of successful editing via sequencing is enough to demonstrate the viability of the protocol from a technical standpoint, the usefulness in this specific example was still dependent on the </w:t>
      </w:r>
      <w:proofErr w:type="spellStart"/>
      <w:r>
        <w:t>iPSCs</w:t>
      </w:r>
      <w:proofErr w:type="spellEnd"/>
      <w:r>
        <w:t xml:space="preserve"> retaining their pluripotent state throughout the process. To analyse whether this was the case, </w:t>
      </w:r>
      <w:r w:rsidR="004426CB" w:rsidRPr="004426CB">
        <w:t>PSC pluripotency staining</w:t>
      </w:r>
      <w:r w:rsidR="004426CB">
        <w:t xml:space="preserve"> was used to compare</w:t>
      </w:r>
      <w:r w:rsidR="004426CB" w:rsidRPr="004426CB">
        <w:t xml:space="preserve"> wild-type </w:t>
      </w:r>
      <w:proofErr w:type="spellStart"/>
      <w:r w:rsidR="004426CB" w:rsidRPr="004426CB">
        <w:t>iPSCs</w:t>
      </w:r>
      <w:proofErr w:type="spellEnd"/>
      <w:r w:rsidR="004426CB" w:rsidRPr="004426CB">
        <w:t xml:space="preserve"> and the </w:t>
      </w:r>
      <w:proofErr w:type="spellStart"/>
      <w:r w:rsidR="004426CB" w:rsidRPr="004426CB">
        <w:t>iPS</w:t>
      </w:r>
      <w:proofErr w:type="spellEnd"/>
      <w:r w:rsidR="004426CB" w:rsidRPr="004426CB">
        <w:t xml:space="preserve"> clone after removal of insertion cassette</w:t>
      </w:r>
      <w:r>
        <w:t>. As shown in Figure 3</w:t>
      </w:r>
      <w:r w:rsidR="007021FC">
        <w:t>d</w:t>
      </w:r>
      <w:r>
        <w:t>, immunostaining against pluripotency markers SOX2, TRA-1-60, SSEA4, and OCT4 clearly showed expression all four markers in the edited cells.</w:t>
      </w:r>
    </w:p>
    <w:p w14:paraId="2BE2C919" w14:textId="77777777" w:rsidR="0010578B" w:rsidRDefault="0010578B" w:rsidP="0007299F"/>
    <w:p w14:paraId="36499335" w14:textId="3466C452" w:rsidR="0010578B" w:rsidRPr="00146AF3" w:rsidRDefault="0010578B" w:rsidP="0007299F">
      <w:pPr>
        <w:pStyle w:val="Heading2"/>
        <w:rPr>
          <w:rFonts w:asciiTheme="minorHAnsi" w:hAnsiTheme="minorHAnsi"/>
          <w:b/>
          <w:color w:val="auto"/>
        </w:rPr>
      </w:pPr>
      <w:r w:rsidRPr="00146AF3">
        <w:rPr>
          <w:rFonts w:asciiTheme="minorHAnsi" w:hAnsiTheme="minorHAnsi"/>
          <w:b/>
          <w:color w:val="auto"/>
        </w:rPr>
        <w:t xml:space="preserve">CRISPR/Cas9-mediated gene editing of </w:t>
      </w:r>
      <w:r w:rsidR="001259E3" w:rsidRPr="00146AF3">
        <w:rPr>
          <w:rFonts w:asciiTheme="minorHAnsi" w:hAnsiTheme="minorHAnsi"/>
          <w:b/>
          <w:color w:val="auto"/>
        </w:rPr>
        <w:t>ARPE-19 cells</w:t>
      </w:r>
    </w:p>
    <w:p w14:paraId="21F0CEF0" w14:textId="4A98A14E" w:rsidR="00EE3FAA" w:rsidRDefault="00CD5327" w:rsidP="00532CF5">
      <w:pPr>
        <w:ind w:firstLine="720"/>
        <w:jc w:val="both"/>
      </w:pPr>
      <w:r>
        <w:t>To demonstrate a broader applicability of this editing strategy, we also used it to edit the genome of the human cell line ARPE-19. This</w:t>
      </w:r>
      <w:r w:rsidR="001259E3" w:rsidRPr="001259E3">
        <w:t xml:space="preserve"> is a commonly used and robust cell line of RPE cells</w:t>
      </w:r>
      <w:r>
        <w:t>, and given that cystatin C is highly expressed by these cells a modified line homozygous for variant B expression may prove useful in downstream applications</w:t>
      </w:r>
      <w:r w:rsidR="00EE3FAA">
        <w:t>.</w:t>
      </w:r>
      <w:r w:rsidR="001259E3">
        <w:t xml:space="preserve"> The </w:t>
      </w:r>
      <w:r>
        <w:t>editing</w:t>
      </w:r>
      <w:r w:rsidR="001259E3">
        <w:t xml:space="preserve"> method applied to ARPE-19 cells </w:t>
      </w:r>
      <w:r>
        <w:t xml:space="preserve">was identical </w:t>
      </w:r>
      <w:r w:rsidR="00AE709B">
        <w:t>to that used for</w:t>
      </w:r>
      <w:r w:rsidR="001259E3">
        <w:t xml:space="preserve"> </w:t>
      </w:r>
      <w:proofErr w:type="spellStart"/>
      <w:r w:rsidR="001259E3">
        <w:t>iPSCs</w:t>
      </w:r>
      <w:proofErr w:type="spellEnd"/>
      <w:r w:rsidR="001259E3">
        <w:t xml:space="preserve"> </w:t>
      </w:r>
      <w:r>
        <w:t>with the exception</w:t>
      </w:r>
      <w:r w:rsidR="00AE709B">
        <w:t>s</w:t>
      </w:r>
      <w:r>
        <w:t xml:space="preserve"> of</w:t>
      </w:r>
      <w:r w:rsidR="001259E3">
        <w:t xml:space="preserve"> electric parameters</w:t>
      </w:r>
      <w:r w:rsidR="000C141C">
        <w:t xml:space="preserve"> </w:t>
      </w:r>
      <w:r w:rsidR="00AE709B">
        <w:t xml:space="preserve">during </w:t>
      </w:r>
      <w:r w:rsidR="000C141C">
        <w:t>electroporation</w:t>
      </w:r>
      <w:r w:rsidR="001259E3">
        <w:t xml:space="preserve">, </w:t>
      </w:r>
      <w:r w:rsidR="000C141C">
        <w:t xml:space="preserve">cell </w:t>
      </w:r>
      <w:r w:rsidR="001259E3">
        <w:t>maintenance and antibiotic concentrations</w:t>
      </w:r>
      <w:r w:rsidR="000C141C">
        <w:t xml:space="preserve"> </w:t>
      </w:r>
      <w:r>
        <w:t>used during the selection process</w:t>
      </w:r>
      <w:r w:rsidR="001259E3">
        <w:t>.</w:t>
      </w:r>
      <w:r w:rsidR="00EE3FAA">
        <w:t xml:space="preserve"> </w:t>
      </w:r>
      <w:r>
        <w:t>In total, seven</w:t>
      </w:r>
      <w:r w:rsidRPr="001D6656">
        <w:t xml:space="preserve"> </w:t>
      </w:r>
      <w:r>
        <w:t xml:space="preserve">surviving </w:t>
      </w:r>
      <w:r w:rsidR="00EE3FAA" w:rsidRPr="001D6656">
        <w:t xml:space="preserve">clones were obtained and </w:t>
      </w:r>
      <w:r>
        <w:t>expanded, and t</w:t>
      </w:r>
      <w:r w:rsidR="00545820">
        <w:t>wo</w:t>
      </w:r>
      <w:r w:rsidR="007643B5" w:rsidRPr="00EE3FAA">
        <w:t xml:space="preserve"> </w:t>
      </w:r>
      <w:r w:rsidR="00EE3FAA" w:rsidRPr="00EE3FAA">
        <w:t>clone</w:t>
      </w:r>
      <w:r w:rsidR="00545820">
        <w:t>s</w:t>
      </w:r>
      <w:r w:rsidR="00EE3FAA">
        <w:t xml:space="preserve"> show</w:t>
      </w:r>
      <w:r w:rsidR="00373C1D">
        <w:t>ed</w:t>
      </w:r>
      <w:r w:rsidR="00EE3FAA">
        <w:t xml:space="preserve"> the </w:t>
      </w:r>
      <w:r>
        <w:t>expected</w:t>
      </w:r>
      <w:r w:rsidR="002959B8">
        <w:t xml:space="preserve"> PCR</w:t>
      </w:r>
      <w:r w:rsidR="00EE3FAA">
        <w:t xml:space="preserve"> pattern</w:t>
      </w:r>
      <w:r w:rsidR="002959B8">
        <w:t xml:space="preserve"> and Sanger sequencing results</w:t>
      </w:r>
      <w:r w:rsidR="00EE3FAA">
        <w:t xml:space="preserve"> </w:t>
      </w:r>
      <w:r>
        <w:t xml:space="preserve">from a homozygous edit, just </w:t>
      </w:r>
      <w:r w:rsidR="00EE3FAA">
        <w:t>as</w:t>
      </w:r>
      <w:r w:rsidR="002959B8">
        <w:t xml:space="preserve"> the</w:t>
      </w:r>
      <w:r w:rsidR="00EE3FAA">
        <w:t xml:space="preserve"> corrected </w:t>
      </w:r>
      <w:r w:rsidR="001259E3">
        <w:t>iPSC</w:t>
      </w:r>
      <w:r w:rsidR="00EE3FAA">
        <w:t xml:space="preserve"> clone</w:t>
      </w:r>
      <w:r w:rsidR="004426CB">
        <w:t xml:space="preserve"> (</w:t>
      </w:r>
      <w:r>
        <w:t>F</w:t>
      </w:r>
      <w:r w:rsidR="00AE709B">
        <w:t>ig.</w:t>
      </w:r>
      <w:r>
        <w:t xml:space="preserve"> 3</w:t>
      </w:r>
      <w:r w:rsidR="00545CEC">
        <w:t>b</w:t>
      </w:r>
      <w:r w:rsidR="004426CB">
        <w:t>)</w:t>
      </w:r>
      <w:r w:rsidR="00EE3FAA">
        <w:t>.</w:t>
      </w:r>
    </w:p>
    <w:p w14:paraId="08435881" w14:textId="77777777" w:rsidR="005542B9" w:rsidRPr="00EE3FAA" w:rsidRDefault="005542B9" w:rsidP="00E279ED">
      <w:pPr>
        <w:jc w:val="both"/>
      </w:pPr>
    </w:p>
    <w:p w14:paraId="2E3FA109" w14:textId="2676B0FC" w:rsidR="004144E1" w:rsidRPr="005352DB" w:rsidRDefault="00506044" w:rsidP="003F4196">
      <w:pPr>
        <w:pStyle w:val="Heading1"/>
        <w:rPr>
          <w:rFonts w:asciiTheme="minorHAnsi" w:hAnsiTheme="minorHAnsi"/>
          <w:b/>
          <w:color w:val="auto"/>
        </w:rPr>
      </w:pPr>
      <w:r w:rsidRPr="005352DB">
        <w:rPr>
          <w:rFonts w:asciiTheme="minorHAnsi" w:hAnsiTheme="minorHAnsi"/>
          <w:b/>
          <w:color w:val="auto"/>
        </w:rPr>
        <w:t>Discussion</w:t>
      </w:r>
    </w:p>
    <w:p w14:paraId="30F111DE" w14:textId="541BC4AB" w:rsidR="00545820" w:rsidRDefault="007B6F24" w:rsidP="00545820">
      <w:pPr>
        <w:ind w:firstLine="720"/>
        <w:jc w:val="both"/>
      </w:pPr>
      <w:r>
        <w:t xml:space="preserve">CRISPR/Cas9 system </w:t>
      </w:r>
      <w:r w:rsidR="00545820" w:rsidRPr="00545820">
        <w:t>provides the opportunity to correct erroneous g</w:t>
      </w:r>
      <w:r w:rsidR="00B214DC">
        <w:t xml:space="preserve">enomic </w:t>
      </w:r>
      <w:r w:rsidR="00545820" w:rsidRPr="00545820">
        <w:t>DNA in many organisms</w:t>
      </w:r>
      <w:r w:rsidR="00C268D9">
        <w:fldChar w:fldCharType="begin" w:fldLock="1"/>
      </w:r>
      <w:r w:rsidR="00D7684C">
        <w:instrText xml:space="preserve">ADDIN CSL_CITATION {"citationItems":[{"id":"ITEM-1","itemData":{"DOI":"10.1080/0194262X.2016.1208135","ISSN":"15411109","abstract":"A simple but revolutionary technique for editing genetic material is exciting the scientific community. CRISPR-Cas9 produces affordable, efficient genome editing that will affect future developments in agriculture, animal science, human disease, and potentially the heritable human genome. The controversy surrounding the regulation and ethical questions of CRISPR-Cas9 is starting to build in the popular and scientific press. Understanding the basics of CRISPR-Cas9 will help science librarians prepare for reference and resource requests from students, faculty, and researchers.","author":[{"dropping-particle":"","family":"Butler","given":"Kathy","non-dropping-particle":"","parse-names":false,"suffix":""}],"container-title":"Science &amp; Technology Libraries","id":"ITEM-1","issue":"August","issued":{"date-parts":[["2016"]]},"title":"Reviews of Science for Science Librarians: CRISPR-Cas9Revolutionizes Gene Editing","type":"article-journal","volume":"1109"},"uris":["http://www.mendeley.com/documents/?uuid=408565ca-e3a9-479e-9a7c-c0bfb0f0f500"]},{"id":"ITEM-2","itemData":{"DOI":"10.1111/jeu.12338","ISBN":"5519352194","ISSN":"15507408","PMID":"27315329","abstract":"Genome editing by CRISPR (clustered regularly interspaced short palindromic repeats)/Cas9 (CRISPR-associated gene 9) system has been transformative in biology. Originally discovered as an adaptive prokaryotic immune system, CRISPR/Cas9 has been repurposed for genome editing in a broad range of model organisms, from yeast to mammalian cells. Protist parasites are unicellular organisms producing important human diseases that affect millions of people around the world. For many of these diseases, such as malaria, Chagas disease, leishmaniasis and cryptosporidiosis, there are no effective treatments or vaccines available. The recent adaptation of the CRISPR/Cas9 technology to several protist models will be playing a key role in the functional study of their proteins, in the characterization of their metabolic pathways, and in the understanding of their biology, and will facilitate the search for new chemotherapeutic targets. In this work we review recent studies where the CRISPR/Cas9 system was adapted to protist parasites, particularly to Apicomplexans and trypanosomatids, emphasizing the different molecular strategies used for genome editing of each organism, as well as their advantages. We also discuss the potential usefulness of this technology in the green alga Chlamydomonas reinhardtii.","author":[{"dropping-particle":"","family":"Lander","given":"Noelia","non-dropping-particle":"","parse-names":false,"suffix":""},{"dropping-particle":"","family":"Chiurillo","given":"Miguel A","non-dropping-particle":"","parse-names":false,"suffix":""},{"dropping-particle":"","family":"Docampo","given":"Roberto","non-dropping-particle":"","parse-names":false,"suffix":""}],"container-title":"Journal of Eukaryotic Microbiology","id":"ITEM-2","issue":"5","issued":{"date-parts":[["2016"]]},"page":"679-690","title":"Genome Editing by CRISPR/Cas9: A Game Change in the Genetic Manipulation of Protists","type":"article-journal","volume":"63"},"uris":["http://www.mendeley.com/documents/?uuid=78541045-d471-4cac-b757-eaefaccd644b"]},{"id":"ITEM-3","itemData":{"DOI":"10.1007/s00439-016-1691-5","ISSN":"1432-1203","author":[{"dropping-particle":"","family":"Young","given":"Yoon","non-dropping-particle":"","parse-names":false,"suffix":""},{"dropping-particle":"","family":"Zhaohui","given":"Jang","non-dropping-particle":"","parse-names":false,"suffix":""}],"container-title":"Human Genetics","id":"ITEM-3","issue":"9","issued":{"date-parts":[["2016"]]},"page":"1041-1058","publisher":"Springer Berlin Heidelberg","title":"Gene correction in patient </w:instrText>
      </w:r>
      <w:r w:rsidR="00D7684C">
        <w:rPr>
          <w:rFonts w:ascii="Cambria Math" w:hAnsi="Cambria Math" w:cs="Cambria Math"/>
        </w:rPr>
        <w:instrText>‑</w:instrText>
      </w:r>
      <w:r w:rsidR="00D7684C">
        <w:instrText xml:space="preserve"> specific iPSCs for therapy development and disease modeling","type":"article-journal","volume":"135"},"uris":["http://www.mendeley.com/documents/?uuid=bc846975-5b34-4b50-8596-7a621ea3cacc"]}],"mendeley":{"formattedCitation":"&lt;sup&gt;4,13,14&lt;/sup&gt;","plainTextFormattedCitation":"4,13,14","previouslyFormattedCitation":"&lt;sup&gt;4,12,13&lt;/sup&gt;"},"properties":{"noteIndex":0},"schema":"https://github.com/citation-style-language/schema/raw/master/csl-citation.json"}</w:instrText>
      </w:r>
      <w:r w:rsidR="00C268D9">
        <w:fldChar w:fldCharType="separate"/>
      </w:r>
      <w:r w:rsidR="00D7684C" w:rsidRPr="00D7684C">
        <w:rPr>
          <w:noProof/>
          <w:vertAlign w:val="superscript"/>
        </w:rPr>
        <w:t>4,13,14</w:t>
      </w:r>
      <w:r w:rsidR="00C268D9">
        <w:fldChar w:fldCharType="end"/>
      </w:r>
      <w:r w:rsidR="00990E80">
        <w:t xml:space="preserve">. </w:t>
      </w:r>
      <w:r w:rsidR="00596A5C">
        <w:t>However, o</w:t>
      </w:r>
      <w:r w:rsidR="00596A5C" w:rsidRPr="00545820">
        <w:t xml:space="preserve">ne </w:t>
      </w:r>
      <w:r w:rsidR="00545820" w:rsidRPr="00545820">
        <w:t xml:space="preserve">of the </w:t>
      </w:r>
      <w:r w:rsidR="00596A5C">
        <w:t xml:space="preserve">most </w:t>
      </w:r>
      <w:r w:rsidR="00545820" w:rsidRPr="00545820">
        <w:t>difficult aspects of CRISPR/Cas9 technology is the</w:t>
      </w:r>
      <w:r w:rsidR="002715ED">
        <w:t xml:space="preserve"> </w:t>
      </w:r>
      <w:r w:rsidR="00596A5C">
        <w:t xml:space="preserve">low </w:t>
      </w:r>
      <w:r w:rsidR="002715ED">
        <w:t>efficiency of repairing double-</w:t>
      </w:r>
      <w:r w:rsidR="00545820" w:rsidRPr="00545820">
        <w:t xml:space="preserve">strand breaks via HDR when a donor template is provided. </w:t>
      </w:r>
      <w:r w:rsidR="00596A5C">
        <w:t>T</w:t>
      </w:r>
      <w:r w:rsidR="00545820" w:rsidRPr="00545820">
        <w:t xml:space="preserve">he resulting population of cells on which CRISPR/Cas9 </w:t>
      </w:r>
      <w:r w:rsidR="00596A5C">
        <w:t>has been</w:t>
      </w:r>
      <w:r w:rsidR="00596A5C" w:rsidRPr="00545820">
        <w:t xml:space="preserve"> </w:t>
      </w:r>
      <w:r w:rsidR="00545820" w:rsidRPr="00545820">
        <w:t>applied</w:t>
      </w:r>
      <w:r w:rsidR="00596A5C">
        <w:t xml:space="preserve"> </w:t>
      </w:r>
      <w:r w:rsidR="00545820" w:rsidRPr="00545820">
        <w:t xml:space="preserve">will contain mostly </w:t>
      </w:r>
      <w:proofErr w:type="gramStart"/>
      <w:r w:rsidR="00545820" w:rsidRPr="00545820">
        <w:t>wild-type</w:t>
      </w:r>
      <w:proofErr w:type="gramEnd"/>
      <w:r w:rsidR="00545820" w:rsidRPr="00545820">
        <w:t xml:space="preserve"> and NHEJ repaired alleles with a low proportion of HDR edited alleles. In addition, if the purpose of the HDR is to introduce a homozygous change</w:t>
      </w:r>
      <w:r w:rsidR="00596A5C">
        <w:t>,</w:t>
      </w:r>
      <w:r w:rsidR="00545820" w:rsidRPr="00545820">
        <w:t xml:space="preserve"> </w:t>
      </w:r>
      <w:r w:rsidR="00D24540">
        <w:t xml:space="preserve">the chance </w:t>
      </w:r>
      <w:r>
        <w:t xml:space="preserve">of obtaining this </w:t>
      </w:r>
      <w:r w:rsidR="00D24540">
        <w:t xml:space="preserve">and </w:t>
      </w:r>
      <w:r>
        <w:t xml:space="preserve">related </w:t>
      </w:r>
      <w:r w:rsidR="00D24540">
        <w:t>efficiency are</w:t>
      </w:r>
      <w:r w:rsidR="00545820" w:rsidRPr="00545820">
        <w:t xml:space="preserve"> further lowered. </w:t>
      </w:r>
      <w:r>
        <w:t xml:space="preserve">Improved efficiency of HDR homozygous change is thus required both for </w:t>
      </w:r>
      <w:r w:rsidR="00145F6F">
        <w:t xml:space="preserve">generation of experimental models of </w:t>
      </w:r>
      <w:r w:rsidR="00545820" w:rsidRPr="00545820">
        <w:t xml:space="preserve">diseases which are caused by a homozygous mutation </w:t>
      </w:r>
      <w:r w:rsidR="00145F6F">
        <w:t>an</w:t>
      </w:r>
      <w:r w:rsidR="00B85118">
        <w:t>d</w:t>
      </w:r>
      <w:r w:rsidR="00145F6F">
        <w:t xml:space="preserve"> for enabling potential new treatment avenues. </w:t>
      </w:r>
    </w:p>
    <w:p w14:paraId="2D9A0BC2" w14:textId="3ABD0B45" w:rsidR="00545820" w:rsidRDefault="00145F6F" w:rsidP="00545820">
      <w:pPr>
        <w:ind w:firstLine="720"/>
        <w:jc w:val="both"/>
      </w:pPr>
      <w:r>
        <w:t>In this study, a methodological approach has been devised and applied</w:t>
      </w:r>
      <w:r w:rsidR="00545820">
        <w:t xml:space="preserve"> in which the gRNA, Cas9 nuclease and two identical donor DNA templates (except for difference in antibiotic selection) were delivered into </w:t>
      </w:r>
      <w:proofErr w:type="spellStart"/>
      <w:r w:rsidR="00545820">
        <w:t>iPSCs</w:t>
      </w:r>
      <w:proofErr w:type="spellEnd"/>
      <w:r w:rsidR="00545820">
        <w:t xml:space="preserve"> </w:t>
      </w:r>
      <w:r>
        <w:t>resulting in</w:t>
      </w:r>
      <w:r w:rsidR="00596A5C">
        <w:t xml:space="preserve"> </w:t>
      </w:r>
      <w:r w:rsidRPr="00145F6F">
        <w:t>radically</w:t>
      </w:r>
      <w:r>
        <w:t xml:space="preserve"> increasing</w:t>
      </w:r>
      <w:r w:rsidR="00545820" w:rsidRPr="00545820">
        <w:t xml:space="preserve"> </w:t>
      </w:r>
      <w:r w:rsidR="00596A5C">
        <w:t xml:space="preserve">the </w:t>
      </w:r>
      <w:r w:rsidR="00545820" w:rsidRPr="00545820">
        <w:t>efficiency of introducing</w:t>
      </w:r>
      <w:r w:rsidR="00545820">
        <w:t xml:space="preserve"> a </w:t>
      </w:r>
      <w:r w:rsidR="00545820" w:rsidRPr="00545820">
        <w:t xml:space="preserve">homozygous change in </w:t>
      </w:r>
      <w:r w:rsidR="00545820" w:rsidRPr="00545820">
        <w:rPr>
          <w:i/>
          <w:iCs/>
        </w:rPr>
        <w:t>in vitro</w:t>
      </w:r>
      <w:r w:rsidR="00545820" w:rsidRPr="00545820">
        <w:t xml:space="preserve"> </w:t>
      </w:r>
      <w:r>
        <w:t xml:space="preserve">cell </w:t>
      </w:r>
      <w:r w:rsidR="00545820" w:rsidRPr="00545820">
        <w:t>cultures</w:t>
      </w:r>
      <w:r w:rsidR="00F4451B">
        <w:t xml:space="preserve">. </w:t>
      </w:r>
      <w:r w:rsidR="00545820" w:rsidRPr="00545820">
        <w:t>When using a double antibiotic approach, the mechanism of action of both</w:t>
      </w:r>
      <w:r w:rsidR="00596A5C">
        <w:t xml:space="preserve"> antibiotics</w:t>
      </w:r>
      <w:r w:rsidR="00545820" w:rsidRPr="00545820">
        <w:t xml:space="preserve"> should not </w:t>
      </w:r>
      <w:r w:rsidR="00596A5C">
        <w:t>interfere</w:t>
      </w:r>
      <w:r w:rsidR="00545820" w:rsidRPr="00545820">
        <w:t xml:space="preserve"> with the interaction of DNA or RNA processes that may </w:t>
      </w:r>
      <w:r w:rsidR="00596A5C">
        <w:t>inhibit</w:t>
      </w:r>
      <w:r w:rsidR="00596A5C" w:rsidRPr="00545820">
        <w:t xml:space="preserve"> </w:t>
      </w:r>
      <w:r w:rsidR="00545820" w:rsidRPr="00545820">
        <w:t xml:space="preserve">CRISPR/Cas9 </w:t>
      </w:r>
      <w:r w:rsidR="00596A5C">
        <w:t>activity</w:t>
      </w:r>
      <w:r w:rsidR="00545820" w:rsidRPr="00545820">
        <w:t xml:space="preserve">. Both antibiotics must also be </w:t>
      </w:r>
      <w:r w:rsidR="00596A5C">
        <w:t>compatible</w:t>
      </w:r>
      <w:r w:rsidR="00596A5C" w:rsidRPr="00545820">
        <w:t xml:space="preserve"> </w:t>
      </w:r>
      <w:r w:rsidR="00545820" w:rsidRPr="00545820">
        <w:t xml:space="preserve">and not show any signs of drug-drug interaction </w:t>
      </w:r>
      <w:r>
        <w:t xml:space="preserve">– a condition that is met by the combination of </w:t>
      </w:r>
      <w:proofErr w:type="spellStart"/>
      <w:r w:rsidR="00B841CA">
        <w:t>p</w:t>
      </w:r>
      <w:r w:rsidR="00B841CA" w:rsidRPr="00545820">
        <w:t>uromycin</w:t>
      </w:r>
      <w:proofErr w:type="spellEnd"/>
      <w:r w:rsidR="00B841CA" w:rsidRPr="00545820">
        <w:t xml:space="preserve"> </w:t>
      </w:r>
      <w:r w:rsidR="00545820" w:rsidRPr="00545820">
        <w:t xml:space="preserve">and </w:t>
      </w:r>
      <w:proofErr w:type="spellStart"/>
      <w:r w:rsidR="00B841CA">
        <w:t>b</w:t>
      </w:r>
      <w:r w:rsidR="00B841CA" w:rsidRPr="00545820">
        <w:t>lasticidin</w:t>
      </w:r>
      <w:proofErr w:type="spellEnd"/>
      <w:r w:rsidR="00B841CA" w:rsidRPr="00545820">
        <w:t xml:space="preserve"> </w:t>
      </w:r>
      <w:r w:rsidR="00545820" w:rsidRPr="00545820">
        <w:t>used in this study</w:t>
      </w:r>
      <w:r w:rsidR="00545820">
        <w:t xml:space="preserve"> </w:t>
      </w:r>
      <w:r w:rsidR="00545820">
        <w:fldChar w:fldCharType="begin" w:fldLock="1"/>
      </w:r>
      <w:r w:rsidR="00D7684C">
        <w:instrText>ADDIN CSL_CITATION {"citationItems":[{"id":"ITEM-1","itemData":{"DOI":"10.2144/000114417","ISSN":"1940-9818","PMID":"27177818","abstract":"In contrast to most common gene delivery techniques, lentiviral vectors allow targeting of almost any mammalian cell type, even non-dividing cells, and they stably integrate in the genome. Therefore, these vectors are a very powerful tool for biomedical research. Here we report the generation of a versatile new set of 22 lentiviral vectors with broad applicability in multiple research areas. In contrast to previous systems, our platform provides a choice between constitutive and/or conditional expression and six different C-terminal fusions. Furthermore, two compatible selection markers enable the easy derivation of stable cell lines co-expressing differently tagged transgenes in a constitutive or inducible manner. We show that all of the vector features are functional and that they contribute to transgene overexpression in proof-of-principle experiments.","author":[{"dropping-particle":"","family":"Groote","given":"Philippe","non-dropping-particle":"De","parse-names":false,"suffix":""},{"dropping-particle":"","family":"Grootjans","given":"Sasker","non-dropping-particle":"","parse-names":false,"suffix":""},{"dropping-particle":"","family":"Lippens","given":"Saskia","non-dropping-particle":"","parse-names":false,"suffix":""},{"dropping-particle":"","family":"Eichperger","given":"Chantal","non-dropping-particle":"","parse-names":false,"suffix":""},{"dropping-particle":"","family":"Leurs","given":"Kirsten","non-dropping-particle":"","parse-names":false,"suffix":""},{"dropping-particle":"","family":"Kahr","given":"Irene","non-dropping-particle":"","parse-names":false,"suffix":""},{"dropping-particle":"","family":"Tanghe","given":"Giel","non-dropping-particle":"","parse-names":false,"suffix":""},{"dropping-particle":"","family":"Bruggeman","given":"Inge","non-dropping-particle":"","parse-names":false,"suffix":""},{"dropping-particle":"","family":"Schamphelaire","given":"Wouter","non-dropping-particle":"De","parse-names":false,"suffix":""},{"dropping-particle":"","family":"Urwyler","given":"Corinne","non-dropping-particle":"","parse-names":false,"suffix":""},{"dropping-particle":"","family":"Vandenabeele","given":"Peter","non-dropping-particle":"","parse-names":false,"suffix":""},{"dropping-particle":"","family":"Haustraete","given":"Jurgen","non-dropping-particle":"","parse-names":false,"suffix":""},{"dropping-particle":"","family":"Declercq","given":"Wim","non-dropping-particle":"","parse-names":false,"suffix":""}],"container-title":"BioTechniques","id":"ITEM-1","issue":"5","issued":{"date-parts":[["2016"]]},"page":"252-9","title":"Generation of a new Gateway-compatible inducible lentiviral vector platform allowing easy derivation of co-transduced cells.","type":"article-journal","volume":"60"},"uris":["http://www.mendeley.com/documents/?uuid=26a401bd-7f8c-477a-8689-ddf2f5b2323a"]},{"id":"ITEM-2","itemData":{"DOI":"10.1534/g3.116.028241","ISSN":"2160-1836","PMID":"27172193","abstract":"Custom genome editing has become an essential element of molecular biology. In particular, the generation of fusion constructs with epitope tags or fluorescent proteins at the genomic locus facilitates the analysis of protein expression, localization, and interaction partners at physiologic levels. Following up on our initial publication, we now describe a considerably simplified, more efficient, and readily scalable experimental workflow for PCR-based genome editing in cultured Drosophila melanogaster cells. Our analysis at the act5C locus suggests that PCR-based homology arms of 60 bp are sufficient to reach targeting efficiencies of up to 80% after selection; extension to 80 bp (PCR) or 500 bp (targeting vector) did not further improve the yield. We have expanded our targeting system to N-terminal epitope tags; this also allows the generation of cell populations with heterologous expression control of the tagged locus via the copper-inducible mtnDE promoter. We present detailed, quantitative data on editing efficiencies for several genomic loci that may serve as positive controls or benchmarks in other laboratories. While our first PCR-based editing approach offered only blasticidin-resistance for selection, we now introduce puromycin-resistance as a second, independent selection marker; it is thus possible to edit two loci (e.g., for coimmunoprecipitation) without marker removal. Finally, we describe a modified FLP recombinase expression plasmid that improves the efficiency of marker cassette FLP-out. In summary, our technique and reagents enable a flexible, robust, and cloning-free genome editing approach that can be parallelized for scale-up.","author":[{"dropping-particle":"","family":"Kunzelmann","given":"Stefan","non-dropping-particle":"","parse-names":false,"suffix":""},{"dropping-particle":"","family":"Böttcher","given":"Romy","non-dropping-particle":"","parse-names":false,"suffix":""},{"dropping-particle":"","family":"Schmidts","given":"Ines","non-dropping-particle":"","parse-names":false,"suffix":""},{"dropping-particle":"","family":"Förstemann","given":"Klaus","non-dropping-particle":"","parse-names":false,"suffix":""}],"container-title":"G3: Genes|Genomes|Genetics","id":"ITEM-2","issue":"6","issued":{"date-parts":[["2016","6","1"]]},"page":"1777-1785","title":"A Comprehensive Toolbox for Genome Editing in Cultured &lt;em&gt;Drosophila melanogaster&lt;/em&gt; Cells","type":"article-journal","volume":"6"},"uris":["http://www.mendeley.com/documents/?uuid=8e8c185b-cbf7-43d6-8033-68cb110af33b"]},{"id":"ITEM-3","itemData":{"DOI":"10.1371/journal.pone.0095101","ISBN":"1932-6203 (Electronic)\\r1932-6203 (Linking)","ISSN":"19326203","PMID":"24743236","abstract":"Although modulation of protein levels is an important tool for study of protein function, it is difficult or impossible to knockdown or knockout genes that are critical for cell growth or viability. For such genes, a conditional knockdown approach would be valuable. The FKBP protein-based destabilization domain (DD)-tagging approach, which confers instability to the tagged protein in the absence of the compound Shield-1, has been shown to provide rapid control of protein levels determined by Shield-1 concentration. Although a strategy to knock-in DD-tagged protein at the endogenous loci has been employed in certain parasite studies, partly due to the relative ease of knock-in as a result of their mostly haploid lifecycles, this strategy has not been demonstrated in diploid or hyperploid mammalian cells due to the relative difficulty of achieving complete knock-in in all alleles. The recent advent of CRISPR/Cas9 homing endonuclease-mediated targeted genome cleavage has been shown to allow highly efficient homologous recombination at the targeted locus. We therefore assessed the feasibility of using C. Using a double antibiotic selection strategy to select clones with at least two knock-in alleles, we obtained numerous complete knock-in clones within three weeks of initial transfection. DD-TCOF1 expression in the knock-in cells was Shield-1 concentration-dependent, and removal of Shield-1 resulted in destabilization of DD-TCOF1 over the course of hours. We further confirmed that the tagged TCOF1 retained the nucleolar localization of the wild-type untagged protein, and that destabilization of DD-TCOF1 resulted in impaired cell growth, as expected for a gene implicated in ribosome biogenesis. CRISPR/Cas9-mediated homologous recombination to completely knock-in a DD tCg likely represents a generalizable and efficient strategy to achieve rapid modulation of protein levels in mammalian cells.","author":[{"dropping-particle":"","family":"Park","given":"Arnold","non-dropping-particle":"","parse-names":false,"suffix":""},{"dropping-particle":"","family":"Won","given":"Sohui T.","non-dropping-particle":"","parse-names":false,"suffix":""},{"dropping-particle":"","family":"Pentecost","given":"Mickey","non-dropping-particle":"","parse-names":false,"suffix":""},{"dropping-particle":"","family":"Bartkowski","given":"Wojciech","non-dropping-particle":"","parse-names":false,"suffix":""},{"dropping-particle":"","family":"Lee","given":"Benhur","non-dropping-particle":"","parse-names":false,"suffix":""}],"container-title":"PLoS ONE","id":"ITEM-3","issue":"4","issued":{"date-parts":[["2014"]]},"page":"1-8","title":"CRISPR/Cas9 allows efficient and complete knock-in of a destabilization domain-tagged essential protein in a human cell line, allowing rapid knockdown of protein function","type":"article-journal","volume":"9"},"uris":["http://www.mendeley.com/documents/?uuid=8ab7a91b-ff7a-4093-a8e0-b60699eeb542"]}],"mendeley":{"formattedCitation":"&lt;sup&gt;15–17&lt;/sup&gt;","plainTextFormattedCitation":"15–17","previouslyFormattedCitation":"&lt;sup&gt;14–16&lt;/sup&gt;"},"properties":{"noteIndex":0},"schema":"https://github.com/citation-style-language/schema/raw/master/csl-citation.json"}</w:instrText>
      </w:r>
      <w:r w:rsidR="00545820">
        <w:fldChar w:fldCharType="separate"/>
      </w:r>
      <w:r w:rsidR="00D7684C" w:rsidRPr="00D7684C">
        <w:rPr>
          <w:noProof/>
          <w:vertAlign w:val="superscript"/>
        </w:rPr>
        <w:t>5–17</w:t>
      </w:r>
      <w:r w:rsidR="00545820">
        <w:fldChar w:fldCharType="end"/>
      </w:r>
      <w:r w:rsidR="00545820">
        <w:t>.</w:t>
      </w:r>
    </w:p>
    <w:p w14:paraId="14FD7BE3" w14:textId="779975CB" w:rsidR="00545820" w:rsidRDefault="00145F6F" w:rsidP="00545820">
      <w:pPr>
        <w:ind w:firstLine="720"/>
        <w:jc w:val="both"/>
      </w:pPr>
      <w:r>
        <w:t>By introducing two</w:t>
      </w:r>
      <w:r w:rsidR="00545820" w:rsidRPr="00545820">
        <w:t xml:space="preserve"> DNA templates with different antibiotic </w:t>
      </w:r>
      <w:r w:rsidR="00596A5C" w:rsidRPr="00545820">
        <w:t>resistan</w:t>
      </w:r>
      <w:r w:rsidR="00596A5C">
        <w:t>ce</w:t>
      </w:r>
      <w:r w:rsidR="00596A5C" w:rsidRPr="00545820">
        <w:t xml:space="preserve"> </w:t>
      </w:r>
      <w:r w:rsidR="004C3B0A">
        <w:t>genes, clones surviving the selection process sh</w:t>
      </w:r>
      <w:r w:rsidR="00545820" w:rsidRPr="00545820">
        <w:t xml:space="preserve">ould </w:t>
      </w:r>
      <w:r w:rsidR="00F4451B">
        <w:t>theoretically</w:t>
      </w:r>
      <w:r w:rsidR="00545820" w:rsidRPr="00545820">
        <w:t xml:space="preserve"> contain the desired change in both alleles, i.e. </w:t>
      </w:r>
      <w:r w:rsidR="00545820" w:rsidRPr="00545820">
        <w:lastRenderedPageBreak/>
        <w:t xml:space="preserve">one allele </w:t>
      </w:r>
      <w:r w:rsidR="00596A5C" w:rsidRPr="00545820">
        <w:t>contain</w:t>
      </w:r>
      <w:r w:rsidR="00596A5C">
        <w:t>ing</w:t>
      </w:r>
      <w:r w:rsidR="00596A5C" w:rsidRPr="00545820">
        <w:t xml:space="preserve"> </w:t>
      </w:r>
      <w:r w:rsidR="00545820" w:rsidRPr="00545820">
        <w:t xml:space="preserve">the </w:t>
      </w:r>
      <w:r w:rsidR="00B841CA">
        <w:t>p</w:t>
      </w:r>
      <w:r w:rsidR="00B841CA" w:rsidRPr="00545820">
        <w:t xml:space="preserve">uromycin </w:t>
      </w:r>
      <w:r w:rsidR="00223AF0" w:rsidRPr="00545820">
        <w:t>resistan</w:t>
      </w:r>
      <w:r w:rsidR="00223AF0">
        <w:t>ce</w:t>
      </w:r>
      <w:r w:rsidR="00223AF0" w:rsidRPr="00545820">
        <w:t xml:space="preserve"> </w:t>
      </w:r>
      <w:r w:rsidR="00545820" w:rsidRPr="00545820">
        <w:t xml:space="preserve">template whereas the second allele </w:t>
      </w:r>
      <w:r w:rsidR="00596A5C" w:rsidRPr="00545820">
        <w:t>contain</w:t>
      </w:r>
      <w:r w:rsidR="004C3B0A">
        <w:t>ing</w:t>
      </w:r>
      <w:r w:rsidR="00596A5C" w:rsidRPr="00545820">
        <w:t xml:space="preserve"> </w:t>
      </w:r>
      <w:r w:rsidR="00545820" w:rsidRPr="00545820">
        <w:t xml:space="preserve">the </w:t>
      </w:r>
      <w:proofErr w:type="spellStart"/>
      <w:r w:rsidR="00223AF0">
        <w:t>b</w:t>
      </w:r>
      <w:r w:rsidR="00223AF0" w:rsidRPr="00545820">
        <w:t>lasticidin</w:t>
      </w:r>
      <w:proofErr w:type="spellEnd"/>
      <w:r w:rsidR="00223AF0" w:rsidRPr="00545820">
        <w:t xml:space="preserve"> resistan</w:t>
      </w:r>
      <w:r w:rsidR="00223AF0">
        <w:t>ce</w:t>
      </w:r>
      <w:r w:rsidR="00223AF0" w:rsidRPr="00545820">
        <w:t xml:space="preserve"> </w:t>
      </w:r>
      <w:r w:rsidR="00545820" w:rsidRPr="00545820">
        <w:t>template. The use of both antibiotic resistant genes, which are slightly different in term of sequence length, also helped with the PCR screening of the</w:t>
      </w:r>
      <w:r w:rsidR="00921A43">
        <w:t>se</w:t>
      </w:r>
      <w:r w:rsidR="00545820" w:rsidRPr="00545820">
        <w:t xml:space="preserve"> clones (</w:t>
      </w:r>
      <w:r w:rsidR="00596A5C">
        <w:t>F</w:t>
      </w:r>
      <w:r w:rsidR="00596A5C" w:rsidRPr="00545820">
        <w:t>igure 2</w:t>
      </w:r>
      <w:r>
        <w:t>a</w:t>
      </w:r>
      <w:r w:rsidR="00545820" w:rsidRPr="00545820">
        <w:t>)</w:t>
      </w:r>
      <w:r w:rsidR="004C3B0A">
        <w:t xml:space="preserve"> due to the different sizes of respective PCR amplicons</w:t>
      </w:r>
      <w:r w:rsidR="00545820" w:rsidRPr="00545820">
        <w:t xml:space="preserve">. </w:t>
      </w:r>
      <w:r w:rsidR="00596A5C">
        <w:t>W</w:t>
      </w:r>
      <w:r w:rsidR="00545820" w:rsidRPr="00545820">
        <w:t xml:space="preserve">hen this method was applied to </w:t>
      </w:r>
      <w:proofErr w:type="spellStart"/>
      <w:r w:rsidR="00545820" w:rsidRPr="00545820">
        <w:t>iPSCs</w:t>
      </w:r>
      <w:proofErr w:type="spellEnd"/>
      <w:r w:rsidR="004C3B0A">
        <w:t xml:space="preserve"> in this study, twelve</w:t>
      </w:r>
      <w:r w:rsidR="00545820" w:rsidRPr="00545820">
        <w:t xml:space="preserve"> c</w:t>
      </w:r>
      <w:r w:rsidR="004C3B0A">
        <w:t>lones were selected from which one</w:t>
      </w:r>
      <w:r w:rsidR="00545820" w:rsidRPr="00545820">
        <w:t xml:space="preserve"> sh</w:t>
      </w:r>
      <w:r w:rsidR="004C3B0A">
        <w:t>owed the desired change as determined</w:t>
      </w:r>
      <w:r w:rsidR="00545820" w:rsidRPr="00545820">
        <w:t xml:space="preserve"> by PCR screening and Sanger sequencing (efficiency of 8.3%). This approach was also applied to ARPE-19 cells and here an efficiency of 28.6% was achieved</w:t>
      </w:r>
      <w:r w:rsidR="006B63F2">
        <w:t xml:space="preserve"> (Table S1)</w:t>
      </w:r>
      <w:r w:rsidR="00545820" w:rsidRPr="00545820">
        <w:t xml:space="preserve">. </w:t>
      </w:r>
      <w:r w:rsidR="005F7287">
        <w:t xml:space="preserve">A recent study demonstrated an efficiency of around 8% </w:t>
      </w:r>
      <w:r w:rsidR="00545820" w:rsidRPr="00545820">
        <w:t>for a homozygous change in human embryonic stem cells for the gene of interest</w:t>
      </w:r>
      <w:r w:rsidR="005F7287">
        <w:t xml:space="preserve"> when using a standard one antibiotic approach</w:t>
      </w:r>
      <w:r w:rsidR="00F4451B">
        <w:fldChar w:fldCharType="begin" w:fldLock="1"/>
      </w:r>
      <w:r w:rsidR="00D7684C">
        <w:instrText>ADDIN CSL_CITATION {"citationItems":[{"id":"ITEM-1","itemData":{"DOI":"10.1093/nar/gkx130","ISBN":"1362-4962 (Electronic)\r0305-1048 (Linking)","ISSN":"13624962","PMID":"28334759","abstract":"Genome editing research of human ES/iPS cells has been accelerated by clustered regularly interspaced short palindromic repeats/CRISPR-associated 9 (CRISPR/Cas9) and transcription activator-like ef- fector nucleases (TALEN) technologies. However, the efficiency of biallelic genetic engineering in transcriptionally inactive genes is still low, unlike that in transcriptionally active genes. To enhance the biallelic homologous recombination efficiency in human ES/iPS cells, we performed screenings of accessorial genes and compounds. We found that RAD51 overexpression and valproic acid treat- ment enhanced biallelic-targeting efficiency in hu- man ES/iPS cells regardless of the transcriptional activity of the targeted locus. Importantly, RAD51 overexpression and valproic acid treatment syn- ergistically increased the biallelic homologous re- combination efficiency. Our findings would facilitate genome editing study using human ES/iPS cells.","author":[{"dropping-particle":"","family":"Takayama","given":"Kazuo","non-dropping-particle":"","parse-names":false,"suffix":""},{"dropping-particle":"","family":"Igai","given":"Keisuke","non-dropping-particle":"","parse-names":false,"suffix":""},{"dropping-particle":"","family":"Hagihara","given":"Yasuko","non-dropping-particle":"","parse-names":false,"suffix":""},{"dropping-particle":"","family":"Hashimoto","given":"Rina","non-dropping-particle":"","parse-names":false,"suffix":""},{"dropping-particle":"","family":"Hanawa","given":"Morifumi","non-dropping-particle":"","parse-names":false,"suffix":""},{"dropping-particle":"","family":"Sakuma","given":"Tetsushi","non-dropping-particle":"","parse-names":false,"suffix":""},{"dropping-particle":"","family":"Tachibana","given":"Masashi","non-dropping-particle":"","parse-names":false,"suffix":""},{"dropping-particle":"","family":"Sakurai","given":"Fuminori","non-dropping-particle":"","parse-names":false,"suffix":""},{"dropping-particle":"","family":"Yamamoto","given":"Takashi","non-dropping-particle":"","parse-names":false,"suffix":""},{"dropping-particle":"","family":"Mizuguchi","given":"Hiroyuki","non-dropping-particle":"","parse-names":false,"suffix":""}],"container-title":"Nucleic Acids Research","id":"ITEM-1","issue":"9","issued":{"date-parts":[["2017"]]},"page":"5198-5207","title":"Highly efficient biallelic genome editing of human ES/iPS cells using a CRISPR/Cas9 or TALEN system","type":"article-journal","volume":"45"},"uris":["http://www.mendeley.com/documents/?uuid=abf86def-839e-43c2-b847-34cb8edb031e"]}],"mendeley":{"formattedCitation":"&lt;sup&gt;18&lt;/sup&gt;","plainTextFormattedCitation":"18","previouslyFormattedCitation":"&lt;sup&gt;17&lt;/sup&gt;"},"properties":{"noteIndex":0},"schema":"https://github.com/citation-style-language/schema/raw/master/csl-citation.json"}</w:instrText>
      </w:r>
      <w:r w:rsidR="00F4451B">
        <w:fldChar w:fldCharType="separate"/>
      </w:r>
      <w:r w:rsidR="00D7684C" w:rsidRPr="00D7684C">
        <w:rPr>
          <w:noProof/>
          <w:vertAlign w:val="superscript"/>
        </w:rPr>
        <w:t>18</w:t>
      </w:r>
      <w:r w:rsidR="00F4451B">
        <w:fldChar w:fldCharType="end"/>
      </w:r>
      <w:r w:rsidR="00F4451B">
        <w:t>.</w:t>
      </w:r>
    </w:p>
    <w:p w14:paraId="6332470F" w14:textId="1EA10CE7" w:rsidR="00F4451B" w:rsidRPr="00545820" w:rsidRDefault="004C3B0A" w:rsidP="00545820">
      <w:pPr>
        <w:ind w:firstLine="720"/>
        <w:jc w:val="both"/>
      </w:pPr>
      <w:r>
        <w:t>Our study provided a clear proof of principle and initial optimisations for the use of a double antibiotic approach in CRI</w:t>
      </w:r>
      <w:r w:rsidR="00495866">
        <w:t>S</w:t>
      </w:r>
      <w:r>
        <w:t xml:space="preserve">PR/Cas9-mediated </w:t>
      </w:r>
      <w:r w:rsidR="002C7DDF">
        <w:t xml:space="preserve">homozygous </w:t>
      </w:r>
      <w:r w:rsidR="00FE0FE7">
        <w:t xml:space="preserve">single base </w:t>
      </w:r>
      <w:r>
        <w:t xml:space="preserve">gene editing. </w:t>
      </w:r>
      <w:r w:rsidR="00F4451B" w:rsidRPr="00F4451B">
        <w:t xml:space="preserve">Although the overall efficiency was improved compared to the use of one antibiotic approach, this can be further improved by altering certain details of the design used. One way of improving </w:t>
      </w:r>
      <w:r w:rsidR="005F7287">
        <w:t>the</w:t>
      </w:r>
      <w:r w:rsidR="005F7287" w:rsidRPr="00F4451B">
        <w:t xml:space="preserve"> </w:t>
      </w:r>
      <w:r w:rsidR="00F4451B" w:rsidRPr="00F4451B">
        <w:t>design is to bring the Cas9 binding site closer to t</w:t>
      </w:r>
      <w:r w:rsidR="008D2957">
        <w:t>he point of interest allowing</w:t>
      </w:r>
      <w:r w:rsidR="00F4451B" w:rsidRPr="00F4451B">
        <w:t xml:space="preserve"> the DNA break and subsequent diges</w:t>
      </w:r>
      <w:r w:rsidR="008D2957">
        <w:t xml:space="preserve">tion before the HDR event to </w:t>
      </w:r>
      <w:r w:rsidR="00F4451B" w:rsidRPr="00F4451B">
        <w:t xml:space="preserve">occur more efficiently. In addition to this, </w:t>
      </w:r>
      <w:r w:rsidR="000C2C9E">
        <w:t xml:space="preserve">the HDR efficiency </w:t>
      </w:r>
      <w:r w:rsidR="005F7287">
        <w:t>can be improved by using</w:t>
      </w:r>
      <w:r w:rsidR="000C2C9E">
        <w:t xml:space="preserve"> single-</w:t>
      </w:r>
      <w:r w:rsidR="00F4451B" w:rsidRPr="00F4451B">
        <w:t>stranded DN</w:t>
      </w:r>
      <w:r w:rsidR="000C2C9E">
        <w:t>A (ssDNA) instead of the double-</w:t>
      </w:r>
      <w:r w:rsidR="00F4451B" w:rsidRPr="00F4451B">
        <w:t>stranded donor template</w:t>
      </w:r>
      <w:r w:rsidR="008D2957">
        <w:t xml:space="preserve"> since t</w:t>
      </w:r>
      <w:r w:rsidR="00F4451B" w:rsidRPr="00F4451B">
        <w:t xml:space="preserve">he use of ssDNA </w:t>
      </w:r>
      <w:r w:rsidR="008D2957">
        <w:t>was shown to increase the</w:t>
      </w:r>
      <w:r w:rsidR="00F4451B" w:rsidRPr="00F4451B">
        <w:t xml:space="preserve"> HDR outcome and</w:t>
      </w:r>
      <w:r w:rsidR="008D2957">
        <w:t xml:space="preserve"> to decrease</w:t>
      </w:r>
      <w:r w:rsidR="00F4451B" w:rsidRPr="00F4451B">
        <w:t xml:space="preserve"> </w:t>
      </w:r>
      <w:r w:rsidR="000C2C9E">
        <w:t>random integration</w:t>
      </w:r>
      <w:r w:rsidR="005D6D47">
        <w:fldChar w:fldCharType="begin" w:fldLock="1"/>
      </w:r>
      <w:r w:rsidR="00D7684C">
        <w:instrText>ADDIN CSL_CITATION {"citationItems":[{"id":"ITEM-1","itemData":{"DOI":"10.1101/178905","abstract":"CRISPR/Cas technologies have transformed our ability to manipulate genomes for research and gene-based therapy. In particular, homology-directed repair after genomic cleavage allows for precise modification of genes using exogenous donor sequences as templates. While both single-stranded DNA (ssDNA) and double-stranded DNA (dsDNA) forms of donors have been used as repair templates, a systematic comparison of the performance and specificity of repair using ssDNA versus dsDNA donors is still lacking. Here, we describe an optimized method for the synthesis of long ssDNA templates and demonstrate that ssDNA donors can drive efficient integration of gene-sized reporters in human cell lines. We next define a set of rules to maximize the efficiency of ssDNA-mediated knock-in by optimizing donor design. Finally, by comparing ssDNA donors with equivalent dsDNA sequences (PCR products or plasmids), we demonstrate that ssDNA templates have a unique advantage in terms of repair specificity while dsDNA donors can lead to a high rate of off-target integration. Our results provide a framework for designing high-fidelity CRISPR-based knock-in experiments, in both research and therapeutic settings.","author":[{"dropping-particle":"","family":"Li","given":"Han","non-dropping-particle":"","parse-names":false,"suffix":""},{"dropping-particle":"","family":"Beckman","given":"Kyle A.","non-dropping-particle":"","parse-names":false,"suffix":""},{"dropping-particle":"","family":"Pessino","given":"Veronica","non-dropping-particle":"","parse-names":false,"suffix":""},{"dropping-particle":"","family":"Huang","given":"Bo","non-dropping-particle":"","parse-names":false,"suffix":""},{"dropping-particle":"","family":"Weissman","given":"Jonathan S.","non-dropping-particle":"","parse-names":false,"suffix":""},{"dropping-particle":"","family":"Leonetti","given":"Manuel D.","non-dropping-particle":"","parse-names":false,"suffix":""}],"container-title":"bioRxiv","id":"ITEM-1","issued":{"date-parts":[["2017"]]},"page":"178905","title":"Design and specificity of long ssDNA donors for CRISPR-based knock-in","type":"article-journal"},"uris":["http://www.mendeley.com/documents/?uuid=05a7a9ef-97b5-403f-bb29-4e02cd09b8cb"]}],"mendeley":{"formattedCitation":"&lt;sup&gt;19&lt;/sup&gt;","plainTextFormattedCitation":"19","previouslyFormattedCitation":"&lt;sup&gt;18&lt;/sup&gt;"},"properties":{"noteIndex":0},"schema":"https://github.com/citation-style-language/schema/raw/master/csl-citation.json"}</w:instrText>
      </w:r>
      <w:r w:rsidR="005D6D47">
        <w:fldChar w:fldCharType="separate"/>
      </w:r>
      <w:r w:rsidR="00D7684C" w:rsidRPr="00D7684C">
        <w:rPr>
          <w:noProof/>
          <w:vertAlign w:val="superscript"/>
        </w:rPr>
        <w:t>19</w:t>
      </w:r>
      <w:r w:rsidR="005D6D47">
        <w:fldChar w:fldCharType="end"/>
      </w:r>
      <w:r w:rsidR="00F4451B" w:rsidRPr="00F4451B">
        <w:t xml:space="preserve">. </w:t>
      </w:r>
      <w:r w:rsidR="002715ED">
        <w:t>Furthermore, to help reduce off-</w:t>
      </w:r>
      <w:r w:rsidR="00F4451B" w:rsidRPr="00F4451B">
        <w:t xml:space="preserve">target effects, the use of Cas9 </w:t>
      </w:r>
      <w:proofErr w:type="spellStart"/>
      <w:r w:rsidR="00F4451B" w:rsidRPr="00F4451B">
        <w:t>nickase</w:t>
      </w:r>
      <w:proofErr w:type="spellEnd"/>
      <w:r w:rsidR="00F4451B" w:rsidRPr="00F4451B">
        <w:t xml:space="preserve"> with two gRNA</w:t>
      </w:r>
      <w:r w:rsidR="005F7287">
        <w:t>s</w:t>
      </w:r>
      <w:r w:rsidR="00F4451B" w:rsidRPr="00F4451B">
        <w:t xml:space="preserve"> which cover the point of interest can be considered. </w:t>
      </w:r>
    </w:p>
    <w:p w14:paraId="6ED4E683" w14:textId="2920F155" w:rsidR="00336639" w:rsidRDefault="00F4451B" w:rsidP="00532CF5">
      <w:pPr>
        <w:ind w:firstLine="720"/>
        <w:jc w:val="both"/>
      </w:pPr>
      <w:r w:rsidRPr="00F4451B">
        <w:t xml:space="preserve">Improvement </w:t>
      </w:r>
      <w:r w:rsidR="008D2957">
        <w:t>of</w:t>
      </w:r>
      <w:r w:rsidRPr="00F4451B">
        <w:t xml:space="preserve"> the delivery of the CRISPR/Cas9 machinery into cells</w:t>
      </w:r>
      <w:r w:rsidR="008D2957">
        <w:t xml:space="preserve"> can also be considered</w:t>
      </w:r>
      <w:r w:rsidRPr="00F4451B">
        <w:t xml:space="preserve">. </w:t>
      </w:r>
      <w:r w:rsidR="008D2957">
        <w:t xml:space="preserve">Of particular value for this study proved to be the </w:t>
      </w:r>
      <w:r w:rsidR="006E4C16">
        <w:t xml:space="preserve">cell-specific </w:t>
      </w:r>
      <w:r w:rsidR="008D2957">
        <w:t xml:space="preserve">optimisation </w:t>
      </w:r>
      <w:r w:rsidR="006E4C16">
        <w:t xml:space="preserve">of the electric parameters of electroporation as </w:t>
      </w:r>
      <w:r w:rsidR="006B0CD0">
        <w:t>t</w:t>
      </w:r>
      <w:r w:rsidR="006B0CD0" w:rsidRPr="00F4451B">
        <w:t xml:space="preserve">he </w:t>
      </w:r>
      <w:r w:rsidRPr="00F4451B">
        <w:t>use of electropor</w:t>
      </w:r>
      <w:r w:rsidR="002960EC">
        <w:t xml:space="preserve">ation may result in DNA damage </w:t>
      </w:r>
      <w:r w:rsidRPr="00F4451B">
        <w:t xml:space="preserve">as well as cell death. Before addition of CRISPR/Cas9 machinery into cells, the transfection of </w:t>
      </w:r>
      <w:proofErr w:type="spellStart"/>
      <w:r w:rsidRPr="00F4451B">
        <w:t>eGFP</w:t>
      </w:r>
      <w:proofErr w:type="spellEnd"/>
      <w:r w:rsidRPr="00F4451B">
        <w:t xml:space="preserve"> plasmid was used to measure and optimise the </w:t>
      </w:r>
      <w:r w:rsidR="002960EC">
        <w:t>minimum levels of voltage, pulse</w:t>
      </w:r>
      <w:r w:rsidRPr="00F4451B">
        <w:t xml:space="preserve"> width</w:t>
      </w:r>
      <w:r w:rsidR="002960EC">
        <w:t xml:space="preserve"> and number of pulse</w:t>
      </w:r>
      <w:r w:rsidR="006B0CD0">
        <w:t>s</w:t>
      </w:r>
      <w:r w:rsidRPr="00F4451B">
        <w:t xml:space="preserve"> needed to observe </w:t>
      </w:r>
      <w:proofErr w:type="spellStart"/>
      <w:r w:rsidRPr="00F4451B">
        <w:t>eGFP</w:t>
      </w:r>
      <w:proofErr w:type="spellEnd"/>
      <w:r w:rsidRPr="00F4451B">
        <w:t xml:space="preserve"> </w:t>
      </w:r>
      <w:r w:rsidR="006B0CD0">
        <w:t>expression</w:t>
      </w:r>
      <w:r w:rsidR="006B0CD0" w:rsidRPr="00F4451B">
        <w:t xml:space="preserve"> </w:t>
      </w:r>
      <w:r w:rsidRPr="00F4451B">
        <w:t>inside the cell. These values were then applied to the actual experiment</w:t>
      </w:r>
      <w:r w:rsidR="006E4C16">
        <w:t>s</w:t>
      </w:r>
      <w:r w:rsidRPr="00F4451B">
        <w:t xml:space="preserve"> to deliver CRISPR/Cas9 and donor templates to the cells.</w:t>
      </w:r>
      <w:r w:rsidR="006B0CD0">
        <w:t xml:space="preserve"> However, it is not clear if the transfection efficiency for the plasmids used during gene editing differs from that of the </w:t>
      </w:r>
      <w:proofErr w:type="spellStart"/>
      <w:r w:rsidR="006B0CD0">
        <w:t>eGFP</w:t>
      </w:r>
      <w:proofErr w:type="spellEnd"/>
      <w:r w:rsidR="006B0CD0">
        <w:t xml:space="preserve"> plasmid.</w:t>
      </w:r>
      <w:r w:rsidRPr="00F4451B">
        <w:t xml:space="preserve"> </w:t>
      </w:r>
      <w:r w:rsidR="006B0CD0">
        <w:t>If electroporation is not a viable option for a study, we predict that o</w:t>
      </w:r>
      <w:r w:rsidR="006B0CD0" w:rsidRPr="00F4451B">
        <w:t xml:space="preserve">ther </w:t>
      </w:r>
      <w:r w:rsidRPr="00F4451B">
        <w:t xml:space="preserve">ways </w:t>
      </w:r>
      <w:r w:rsidR="006B0CD0">
        <w:t>of</w:t>
      </w:r>
      <w:r w:rsidR="006B0CD0" w:rsidRPr="00F4451B">
        <w:t xml:space="preserve"> </w:t>
      </w:r>
      <w:r w:rsidR="006B0CD0">
        <w:t xml:space="preserve">plasmid </w:t>
      </w:r>
      <w:r w:rsidRPr="00F4451B">
        <w:t>delivery such as viral vector</w:t>
      </w:r>
      <w:r w:rsidR="006B0CD0">
        <w:t>s</w:t>
      </w:r>
      <w:r w:rsidRPr="00F4451B">
        <w:t>, nanoparticle</w:t>
      </w:r>
      <w:r w:rsidR="006B0CD0">
        <w:t>s</w:t>
      </w:r>
      <w:r w:rsidRPr="00F4451B">
        <w:t xml:space="preserve"> or nucleic acid injection </w:t>
      </w:r>
      <w:r w:rsidR="006B0CD0" w:rsidRPr="00F4451B">
        <w:t>c</w:t>
      </w:r>
      <w:r w:rsidR="006B0CD0">
        <w:t>ould</w:t>
      </w:r>
      <w:r w:rsidR="006B0CD0" w:rsidRPr="00F4451B">
        <w:t xml:space="preserve"> </w:t>
      </w:r>
      <w:r w:rsidRPr="00F4451B">
        <w:t>be applied alongside the double antibiotic approach used in this study</w:t>
      </w:r>
      <w:r w:rsidR="00336639">
        <w:fldChar w:fldCharType="begin" w:fldLock="1"/>
      </w:r>
      <w:r w:rsidR="00D7684C">
        <w:instrText>ADDIN CSL_CITATION {"citationItems":[{"id":"ITEM-1","itemData":{"DOI":"10.1074/jbc.M116.729467","ISSN":"1083-351X","PMID":"27246850","abstract":"The 309G allele of single nucleotide polymorphisms (SNPs) in the mouse double minute (MDM2) promoter locus is associated with a higher risk of cancer and proliferative vitreoretinopathy (PVR), but as to whether this SNP G309 contributes to the pathogenesis of PVR is to-date unknown. The clustered, regularly interspaced, short palindromic repeats (CRISPR)-associated endonuclease (Cas)9 from Streptococcus pyogenes (SpCas9) can be harnessed to manipulate a single or multiple nucleotides in mammalian cells. Here, we delivered SpCas9 and guide RNAs (SpGuides) using dual adeno-associated viral (AAV)-derived vectors to target the MDM2 genomic locus together with a homologous repair template for creating the mutation of MDM2 T309G in human primary retinal pigment epithelial (hPRPE) cells, whose genotype is MDM2 T309T. The next generation sequencing results indicated that there was 42.51% MDM2 G309 in the edited hPRPE cells using the AAV-CRISPR/Cas9. Our data showed that vitreous induced an increase in MDM2 and subsequent attenuation of p53 expression in the MDM2 T309G hPRPE cells. Furthermore, our experimental results demonstrated that the MDM2 T309G in the hPRPE cells enhanced vitreous-induced cell proliferation and survival, suggesting that this SNP contributes to the pathogenesis of PVR.","author":[{"dropping-particle":"","family":"Duan","given":"Yajian","non-dropping-particle":"","parse-names":false,"suffix":""},{"dropping-particle":"","family":"Ma","given":"Gaoen","non-dropping-particle":"","parse-names":false,"suffix":""},{"dropping-particle":"","family":"Huang","given":"Xionggao","non-dropping-particle":"","parse-names":false,"suffix":""},{"dropping-particle":"","family":"D'Amore","given":"Patricia A","non-dropping-particle":"","parse-names":false,"suffix":""},{"dropping-particle":"","family":"Zhang","given":"Feng","non-dropping-particle":"","parse-names":false,"suffix":""},{"dropping-particle":"","family":"Lei","given":"Hetian","non-dropping-particle":"","parse-names":false,"suffix":""}],"container-title":"The Journal of biological chemistry","id":"ITEM-1","issue":"31","issued":{"date-parts":[["2016"]]},"page":"16339-16347","title":"The CRISPR/Cas9-created MDM2 T309G enhances vitreous-induced expression of MDM2 and proliferation and survival of cells.","type":"article-journal","volume":"291"},"uris":["http://www.mendeley.com/documents/?uuid=34b55d52-be62-4658-a666-0c55580435bb"]},{"id":"ITEM-2","itemData":{"DOI":"10.1111/febs.13586","ISBN":"1742-464x","ISSN":"17424658","PMID":"26535798","abstract":"Recently, a novel technique named clustered regularly interspaced short palindromic repeat (CRISPR)/CRISPR-associated protein (Cas) 9 system has been rapidly developed. This genome editing tool has tremendously improved our ability to explore the pathogenesis of diseases and correct the disease mutations as well as phenotypes. With a short guide RNA, Cas9 can be precisely directed to target sites, and functions as an endonuclease to efficiently produce breaks in DNA double strands. Over the past 30 years, CRISPR has evolved from the \"curious sequences of unknown biological function\" into a promising genome editing tool. As a result of the incessant development in the CRISPR/Cas9 system, Cas9 co-expressed with custom guide RNAs has been successfully used in a variety of cells and organisms. This genome editing technology can also be applied to synthetic biology, functional genomic screening, transcriptional modulation, and gene therapy. However, although CRISPR/Cas9 has a broad range of action in science, there are several aspects that affect its efficiency and specificity, including Cas9 activity, target sites selection and sgRNAs design, delivery methods, off-target effects, and the incidence of homology-directed repair. Here, we highlight the factors that affect the utilization of CRISPR/Cas9 as well as possible strategies to handle these problems. Addressing these issues will allow us to take better advantage of this technique. In addition, we will also review the history and rapid development of the CRISPR/Cas system from the time of its initial discovery in 2012. This article is protected by copyright. All rights reserved.","author":[{"dropping-particle":"","family":"Peng","given":"Rongxue","non-dropping-particle":"","parse-names":false,"suffix":""},{"dropping-particle":"","family":"Lin","given":"Guigao","non-dropping-particle":"","parse-names":false,"suffix":""},{"dropping-particle":"","family":"Li","given":"Jinming","non-dropping-particle":"","parse-names":false,"suffix":""}],"container-title":"FEBS Journal","id":"ITEM-2","issued":{"date-parts":[["2015"]]},"page":"1218-1231","title":"Potential pitfalls of CRISPR/Cas9-mediated genome editing","type":"article-journal","volume":"283"},"uris":["http://www.mendeley.com/documents/?uuid=734e56de-4af2-453a-a586-221e6bb83988"]},{"id":"ITEM-3","itemData":{"DOI":"10.1016/j.cell.2016.10.044","ISSN":"0092-8674","author":[{"dropping-particle":"","family":"Komor","given":"Alexis C","non-dropping-particle":"","parse-names":false,"suffix":""},{"dropping-particle":"","family":"Badran","given":"Ahmed H","non-dropping-particle":"","parse-names":false,"suffix":""},{"dropping-particle":"","family":"Liu","given":"David R","non-dropping-particle":"","parse-names":false,"suffix":""}],"container-title":"Cell","id":"ITEM-3","issued":{"date-parts":[["2017"]]},"page":"1-17","publisher":"Elsevier Inc.","title":"Review CRISPR-Based Technologies for the Manipulation of Eukaryotic Genomes","type":"article-journal"},"uris":["http://www.mendeley.com/documents/?uuid=6103610e-f2ba-4d81-8d80-9d0c9981a33b"]}],"mendeley":{"formattedCitation":"&lt;sup&gt;3,20,21&lt;/sup&gt;","plainTextFormattedCitation":"3,20,21","previouslyFormattedCitation":"&lt;sup&gt;3,19,20&lt;/sup&gt;"},"properties":{"noteIndex":0},"schema":"https://github.com/citation-style-language/schema/raw/master/csl-citation.json"}</w:instrText>
      </w:r>
      <w:r w:rsidR="00336639">
        <w:fldChar w:fldCharType="separate"/>
      </w:r>
      <w:r w:rsidR="00D7684C" w:rsidRPr="00D7684C">
        <w:rPr>
          <w:noProof/>
          <w:vertAlign w:val="superscript"/>
        </w:rPr>
        <w:t>3,20,21</w:t>
      </w:r>
      <w:r w:rsidR="00336639">
        <w:fldChar w:fldCharType="end"/>
      </w:r>
      <w:r w:rsidR="00E16F26">
        <w:t>.</w:t>
      </w:r>
    </w:p>
    <w:p w14:paraId="1ABFD20C" w14:textId="291B7F05" w:rsidR="00794C7E" w:rsidRDefault="0096361D" w:rsidP="00532CF5">
      <w:pPr>
        <w:ind w:firstLine="720"/>
        <w:jc w:val="both"/>
      </w:pPr>
      <w:r>
        <w:t>As</w:t>
      </w:r>
      <w:r w:rsidR="00F4451B" w:rsidRPr="00F4451B">
        <w:t xml:space="preserve"> the dual antibiotic approach is effective and simple in principle, it is applicable to</w:t>
      </w:r>
      <w:r w:rsidR="00FB3394">
        <w:t xml:space="preserve"> many</w:t>
      </w:r>
      <w:r w:rsidR="00F4451B" w:rsidRPr="00F4451B">
        <w:t xml:space="preserve"> different cell types. The method has an efficient outcome and is less time consuming compared to standard approaches making it a very appealing way of introducing homozygous genetic alterations in cells. The ability to efficiently introduce homozygous changes will open up avenues for the study of diseases at a molecular level through the development of </w:t>
      </w:r>
      <w:r w:rsidR="00F4451B" w:rsidRPr="00F4451B">
        <w:rPr>
          <w:i/>
          <w:iCs/>
        </w:rPr>
        <w:t>in vitro</w:t>
      </w:r>
      <w:r w:rsidR="006E4C16">
        <w:t xml:space="preserve"> disease-in-a-</w:t>
      </w:r>
      <w:r w:rsidR="00F4451B" w:rsidRPr="00F4451B">
        <w:t xml:space="preserve">dish </w:t>
      </w:r>
      <w:r w:rsidR="006E4C16">
        <w:t xml:space="preserve">experimental </w:t>
      </w:r>
      <w:r w:rsidR="00F4451B" w:rsidRPr="00F4451B">
        <w:t>models. These models will allow better understanding of how variant protein products contribute to disease throu</w:t>
      </w:r>
      <w:r w:rsidR="00F4451B">
        <w:t xml:space="preserve">gh </w:t>
      </w:r>
      <w:r>
        <w:t xml:space="preserve">elucidating </w:t>
      </w:r>
      <w:r w:rsidR="00F4451B">
        <w:t>mechanisms at the</w:t>
      </w:r>
      <w:r w:rsidR="00F4451B" w:rsidRPr="00F4451B">
        <w:t xml:space="preserve"> molecular level</w:t>
      </w:r>
      <w:r>
        <w:t>,</w:t>
      </w:r>
      <w:r w:rsidR="00F4451B" w:rsidRPr="00F4451B">
        <w:t xml:space="preserve"> thus eventually giving rise to an opportunity for therapeutic advancements.</w:t>
      </w:r>
      <w:r w:rsidR="006E4C16">
        <w:t xml:space="preserve"> </w:t>
      </w:r>
    </w:p>
    <w:p w14:paraId="08F5BD88" w14:textId="77777777" w:rsidR="0046349C" w:rsidRDefault="0046349C" w:rsidP="00532CF5">
      <w:pPr>
        <w:ind w:firstLine="720"/>
        <w:jc w:val="both"/>
      </w:pPr>
    </w:p>
    <w:p w14:paraId="623029AF" w14:textId="77777777" w:rsidR="006B63F2" w:rsidRDefault="006B63F2" w:rsidP="00EA0801">
      <w:pPr>
        <w:pStyle w:val="Heading1"/>
        <w:rPr>
          <w:rFonts w:asciiTheme="minorHAnsi" w:hAnsiTheme="minorHAnsi"/>
          <w:b/>
          <w:color w:val="auto"/>
        </w:rPr>
      </w:pPr>
    </w:p>
    <w:p w14:paraId="37A2F051" w14:textId="204A697E" w:rsidR="00EA0801" w:rsidRPr="005352DB" w:rsidRDefault="00EA0801" w:rsidP="00EA0801">
      <w:pPr>
        <w:pStyle w:val="Heading1"/>
        <w:rPr>
          <w:rFonts w:asciiTheme="minorHAnsi" w:hAnsiTheme="minorHAnsi"/>
          <w:b/>
          <w:color w:val="auto"/>
        </w:rPr>
      </w:pPr>
      <w:r w:rsidRPr="005352DB">
        <w:rPr>
          <w:rFonts w:asciiTheme="minorHAnsi" w:hAnsiTheme="minorHAnsi"/>
          <w:b/>
          <w:color w:val="auto"/>
        </w:rPr>
        <w:t>Methods</w:t>
      </w:r>
    </w:p>
    <w:p w14:paraId="00EA1B83" w14:textId="77777777" w:rsidR="00EA0801" w:rsidRPr="005352DB" w:rsidRDefault="00EA0801" w:rsidP="00EA0801">
      <w:pPr>
        <w:pStyle w:val="Heading2"/>
        <w:rPr>
          <w:rFonts w:asciiTheme="minorHAnsi" w:hAnsiTheme="minorHAnsi"/>
          <w:b/>
          <w:color w:val="auto"/>
        </w:rPr>
      </w:pPr>
      <w:r w:rsidRPr="005352DB">
        <w:rPr>
          <w:rFonts w:asciiTheme="minorHAnsi" w:hAnsiTheme="minorHAnsi"/>
          <w:b/>
          <w:color w:val="auto"/>
        </w:rPr>
        <w:t>Cell culture</w:t>
      </w:r>
    </w:p>
    <w:p w14:paraId="302E1A07" w14:textId="6D6E127E" w:rsidR="00EA0801" w:rsidRDefault="00EA0801" w:rsidP="00EA0801">
      <w:pPr>
        <w:ind w:firstLine="720"/>
        <w:jc w:val="both"/>
      </w:pPr>
      <w:r>
        <w:t xml:space="preserve">Human </w:t>
      </w:r>
      <w:proofErr w:type="spellStart"/>
      <w:r>
        <w:t>iPSCs</w:t>
      </w:r>
      <w:proofErr w:type="spellEnd"/>
      <w:r>
        <w:t xml:space="preserve"> were supplied by </w:t>
      </w:r>
      <w:r w:rsidRPr="009774A3">
        <w:t>The Human Induced Pluripotent Stem Cells Initiative (</w:t>
      </w:r>
      <w:proofErr w:type="spellStart"/>
      <w:r w:rsidRPr="009774A3">
        <w:t>HipSci</w:t>
      </w:r>
      <w:proofErr w:type="spellEnd"/>
      <w:r>
        <w:t>) and maintained according to general guidelines for handli</w:t>
      </w:r>
      <w:r w:rsidR="00A908A0">
        <w:t xml:space="preserve">ng human </w:t>
      </w:r>
      <w:proofErr w:type="spellStart"/>
      <w:r w:rsidR="00A908A0">
        <w:t>iPSCs</w:t>
      </w:r>
      <w:proofErr w:type="spellEnd"/>
      <w:r w:rsidR="00A908A0">
        <w:t xml:space="preserve"> (document number</w:t>
      </w:r>
      <w:r>
        <w:t xml:space="preserve"> M211.20160208.</w:t>
      </w:r>
      <w:r w:rsidR="00A908A0">
        <w:t>v1). Briefly,</w:t>
      </w:r>
      <w:r>
        <w:t xml:space="preserve"> 6-well plate</w:t>
      </w:r>
      <w:r w:rsidR="00A908A0">
        <w:t>s</w:t>
      </w:r>
      <w:r>
        <w:t xml:space="preserve"> </w:t>
      </w:r>
      <w:r w:rsidR="00A908A0">
        <w:t>(catalogue number</w:t>
      </w:r>
      <w:r w:rsidRPr="003D1A3C">
        <w:t xml:space="preserve"> 657160, Greiner Bio-One Ltd.)</w:t>
      </w:r>
      <w:r>
        <w:t xml:space="preserve"> </w:t>
      </w:r>
      <w:r w:rsidR="00A908A0">
        <w:t>were</w:t>
      </w:r>
      <w:r>
        <w:t xml:space="preserve"> coated with </w:t>
      </w:r>
      <w:proofErr w:type="spellStart"/>
      <w:r>
        <w:t>vitronectin</w:t>
      </w:r>
      <w:proofErr w:type="spellEnd"/>
      <w:r>
        <w:t xml:space="preserve"> </w:t>
      </w:r>
      <w:r w:rsidR="00A908A0">
        <w:t>(catalogue number</w:t>
      </w:r>
      <w:r w:rsidRPr="003D1A3C">
        <w:t xml:space="preserve"> A14700, Life Technologies Ltd.)</w:t>
      </w:r>
      <w:r>
        <w:t xml:space="preserve"> for 1 hour before seeding </w:t>
      </w:r>
      <w:proofErr w:type="spellStart"/>
      <w:r>
        <w:t>iPSCs</w:t>
      </w:r>
      <w:proofErr w:type="spellEnd"/>
      <w:r>
        <w:t xml:space="preserve">. Cells were maintained in </w:t>
      </w:r>
      <w:r w:rsidRPr="00B55389">
        <w:t>Essential 8™ Medium</w:t>
      </w:r>
      <w:r>
        <w:t xml:space="preserve"> </w:t>
      </w:r>
      <w:r w:rsidRPr="003D1A3C">
        <w:t>(cata</w:t>
      </w:r>
      <w:r w:rsidR="00A908A0">
        <w:t>logue number</w:t>
      </w:r>
      <w:r w:rsidRPr="003D1A3C">
        <w:t xml:space="preserve"> A1517001, Life Technologies Ltd.)</w:t>
      </w:r>
      <w:r>
        <w:t xml:space="preserve"> at 37</w:t>
      </w:r>
      <w:r>
        <w:sym w:font="Symbol" w:char="F0B0"/>
      </w:r>
      <w:r w:rsidRPr="003D1A3C">
        <w:t>C and 5% CO</w:t>
      </w:r>
      <w:r w:rsidRPr="001444B8">
        <w:rPr>
          <w:vertAlign w:val="subscript"/>
        </w:rPr>
        <w:t>2</w:t>
      </w:r>
      <w:r w:rsidRPr="003D1A3C">
        <w:t>.</w:t>
      </w:r>
      <w:r>
        <w:t xml:space="preserve"> Daily feeding continued until 80% </w:t>
      </w:r>
      <w:r w:rsidR="0046349C">
        <w:t>confluency</w:t>
      </w:r>
      <w:r>
        <w:t xml:space="preserve">. </w:t>
      </w:r>
      <w:proofErr w:type="spellStart"/>
      <w:proofErr w:type="gramStart"/>
      <w:r>
        <w:t>iPSCs</w:t>
      </w:r>
      <w:proofErr w:type="spellEnd"/>
      <w:proofErr w:type="gramEnd"/>
      <w:r>
        <w:t xml:space="preserve"> were passaged by </w:t>
      </w:r>
      <w:r w:rsidRPr="00B55389">
        <w:t>washing twice with Dulbecco’s phosphate buffered</w:t>
      </w:r>
      <w:r w:rsidR="00A908A0">
        <w:t xml:space="preserve"> saline (DPBS, catalogue number</w:t>
      </w:r>
      <w:r w:rsidRPr="00B55389">
        <w:t xml:space="preserve"> 14190144, Life Technologies Ltd.)</w:t>
      </w:r>
      <w:r>
        <w:t xml:space="preserve"> then harvested with an EDTA solution </w:t>
      </w:r>
      <w:r w:rsidRPr="00B55389">
        <w:t>(</w:t>
      </w:r>
      <w:proofErr w:type="spellStart"/>
      <w:r>
        <w:t>Versene</w:t>
      </w:r>
      <w:proofErr w:type="spellEnd"/>
      <w:r w:rsidR="00A908A0">
        <w:t>, catalogue number</w:t>
      </w:r>
      <w:r w:rsidRPr="00B55389">
        <w:t xml:space="preserve"> 15040066, Life Technologies Ltd.)</w:t>
      </w:r>
      <w:r>
        <w:t xml:space="preserve">. </w:t>
      </w:r>
      <w:r w:rsidR="0046349C">
        <w:t xml:space="preserve">Cells </w:t>
      </w:r>
      <w:r>
        <w:t xml:space="preserve">were fed with </w:t>
      </w:r>
      <w:r w:rsidRPr="00A77DE0">
        <w:t>Essential 8™ medium supplemented with 10 µM R</w:t>
      </w:r>
      <w:r w:rsidR="00A908A0">
        <w:t>ock inhibitor (catalogue number</w:t>
      </w:r>
      <w:r w:rsidRPr="00A77DE0">
        <w:t xml:space="preserve"> 72304, STEMCELL Technologies UK Ltd.)</w:t>
      </w:r>
      <w:r>
        <w:t xml:space="preserve"> on the day after splitting and media was then changed to normal </w:t>
      </w:r>
      <w:r w:rsidRPr="00A77DE0">
        <w:t>Essential 8™ Medium</w:t>
      </w:r>
      <w:r>
        <w:t xml:space="preserve"> on the following day.</w:t>
      </w:r>
    </w:p>
    <w:p w14:paraId="73A9432D" w14:textId="5F3C13EA" w:rsidR="00EA0801" w:rsidRDefault="00EA0801" w:rsidP="00EA0801">
      <w:pPr>
        <w:ind w:firstLine="720"/>
        <w:jc w:val="both"/>
      </w:pPr>
      <w:r>
        <w:t xml:space="preserve">ARPE-19 cells (ATCC) </w:t>
      </w:r>
      <w:r w:rsidRPr="002B3BBF">
        <w:t xml:space="preserve">were maintained in </w:t>
      </w:r>
      <w:r>
        <w:t>Dulbecco’s modified Eagle’s medium/nutrient m</w:t>
      </w:r>
      <w:r w:rsidRPr="002B3BBF">
        <w:t>ixture F-12 Ham (</w:t>
      </w:r>
      <w:r>
        <w:t xml:space="preserve">DMEM F12, </w:t>
      </w:r>
      <w:r w:rsidR="00A908A0">
        <w:t xml:space="preserve">catalogue number </w:t>
      </w:r>
      <w:r w:rsidRPr="002B3BBF">
        <w:t>8437</w:t>
      </w:r>
      <w:r w:rsidRPr="0050192A">
        <w:t>, Sigma-Aldrich Company Ltd.</w:t>
      </w:r>
      <w:r w:rsidRPr="002B3BBF">
        <w:t xml:space="preserve">) containing 10% </w:t>
      </w:r>
      <w:proofErr w:type="spellStart"/>
      <w:r w:rsidRPr="002B3BBF">
        <w:t>fetal</w:t>
      </w:r>
      <w:proofErr w:type="spellEnd"/>
      <w:r w:rsidRPr="002B3BBF">
        <w:t xml:space="preserve"> bovine serum (</w:t>
      </w:r>
      <w:r w:rsidR="00A908A0">
        <w:t>catalogue number</w:t>
      </w:r>
      <w:r w:rsidRPr="0050192A">
        <w:t xml:space="preserve"> </w:t>
      </w:r>
      <w:r w:rsidRPr="002B3BBF">
        <w:t>F7524</w:t>
      </w:r>
      <w:r w:rsidRPr="0050192A">
        <w:t>, Sigma-Aldrich Company Ltd.</w:t>
      </w:r>
      <w:r w:rsidRPr="002B3BBF">
        <w:t xml:space="preserve">) </w:t>
      </w:r>
      <w:r>
        <w:t>at 37</w:t>
      </w:r>
      <w:r>
        <w:sym w:font="Symbol" w:char="F0B0"/>
      </w:r>
      <w:r w:rsidRPr="002B3BBF">
        <w:t>C and 5% CO</w:t>
      </w:r>
      <w:r w:rsidRPr="003679C8">
        <w:rPr>
          <w:vertAlign w:val="subscript"/>
        </w:rPr>
        <w:t>2</w:t>
      </w:r>
      <w:r w:rsidRPr="002B3BBF">
        <w:t xml:space="preserve">. Cells were </w:t>
      </w:r>
      <w:r>
        <w:t xml:space="preserve">routinely </w:t>
      </w:r>
      <w:r w:rsidRPr="002B3BBF">
        <w:t>passaged</w:t>
      </w:r>
      <w:r>
        <w:t xml:space="preserve"> by washing twice with Dulbecco’s phosphate buffered s</w:t>
      </w:r>
      <w:r w:rsidRPr="00CF4354">
        <w:t>aline</w:t>
      </w:r>
      <w:r>
        <w:t xml:space="preserve"> </w:t>
      </w:r>
      <w:r w:rsidRPr="002B3BBF">
        <w:t>(</w:t>
      </w:r>
      <w:r>
        <w:t xml:space="preserve">DPBS, </w:t>
      </w:r>
      <w:r w:rsidR="00A908A0">
        <w:t>catalogue number</w:t>
      </w:r>
      <w:r w:rsidRPr="0050192A">
        <w:t xml:space="preserve"> </w:t>
      </w:r>
      <w:r w:rsidRPr="00CF4354">
        <w:t>D8537</w:t>
      </w:r>
      <w:r w:rsidRPr="0050192A">
        <w:t>, Sigma-Aldrich Company Ltd.</w:t>
      </w:r>
      <w:r w:rsidRPr="002B3BBF">
        <w:t xml:space="preserve">) </w:t>
      </w:r>
      <w:r>
        <w:t>and dislodged</w:t>
      </w:r>
      <w:r w:rsidRPr="002B3BBF">
        <w:t xml:space="preserve"> using</w:t>
      </w:r>
      <w:r>
        <w:t xml:space="preserve"> 1×</w:t>
      </w:r>
      <w:r w:rsidRPr="00F75111">
        <w:t>Trypsin-EDTA solution</w:t>
      </w:r>
      <w:r w:rsidRPr="002B3BBF">
        <w:t xml:space="preserve"> (</w:t>
      </w:r>
      <w:r w:rsidR="00A908A0">
        <w:t xml:space="preserve">catalogue number </w:t>
      </w:r>
      <w:r w:rsidRPr="00F75111">
        <w:t>T4174</w:t>
      </w:r>
      <w:r w:rsidRPr="0050192A">
        <w:t>, Sigma-Aldrich Company Ltd.</w:t>
      </w:r>
      <w:r w:rsidRPr="002B3BBF">
        <w:t>) when they reached 80% confluence.</w:t>
      </w:r>
    </w:p>
    <w:p w14:paraId="3F830960" w14:textId="77777777" w:rsidR="00EA0801" w:rsidRPr="0050192A" w:rsidRDefault="00EA0801" w:rsidP="00EA0801">
      <w:pPr>
        <w:jc w:val="both"/>
      </w:pPr>
    </w:p>
    <w:p w14:paraId="210B7906" w14:textId="77777777" w:rsidR="00EA0801" w:rsidRPr="005352DB" w:rsidRDefault="00EA0801" w:rsidP="00EA0801">
      <w:pPr>
        <w:pStyle w:val="Heading2"/>
        <w:rPr>
          <w:rFonts w:asciiTheme="minorHAnsi" w:hAnsiTheme="minorHAnsi"/>
          <w:b/>
          <w:color w:val="auto"/>
        </w:rPr>
      </w:pPr>
      <w:r w:rsidRPr="005352DB">
        <w:rPr>
          <w:rFonts w:asciiTheme="minorHAnsi" w:hAnsiTheme="minorHAnsi"/>
          <w:b/>
          <w:color w:val="auto"/>
        </w:rPr>
        <w:t>Plasmid template and guide RNA</w:t>
      </w:r>
    </w:p>
    <w:p w14:paraId="502EAA27" w14:textId="1501E65C" w:rsidR="00EA0801" w:rsidRDefault="00EA0801" w:rsidP="00EA0801">
      <w:pPr>
        <w:ind w:firstLine="720"/>
        <w:jc w:val="both"/>
      </w:pPr>
      <w:r w:rsidRPr="00243DB0">
        <w:t>Plasmid donor templates a</w:t>
      </w:r>
      <w:r w:rsidR="00A908A0">
        <w:t>nd guide RNA (gRNA) were custom-</w:t>
      </w:r>
      <w:r w:rsidRPr="00243DB0">
        <w:t>designed</w:t>
      </w:r>
      <w:r>
        <w:t xml:space="preserve"> with sequences verified</w:t>
      </w:r>
      <w:r w:rsidRPr="00243DB0">
        <w:t xml:space="preserve"> by System Biosciences (SBI). </w:t>
      </w:r>
      <w:r>
        <w:t>T</w:t>
      </w:r>
      <w:r w:rsidRPr="00243DB0">
        <w:t>he customised donor template contained a 5’ homology arm</w:t>
      </w:r>
      <w:r>
        <w:t xml:space="preserve">, </w:t>
      </w:r>
      <w:proofErr w:type="spellStart"/>
      <w:r>
        <w:t>LoxP</w:t>
      </w:r>
      <w:proofErr w:type="spellEnd"/>
      <w:r>
        <w:t xml:space="preserve"> site, EF1 promoter</w:t>
      </w:r>
      <w:r w:rsidRPr="00243DB0">
        <w:t>, reporter genes (</w:t>
      </w:r>
      <w:proofErr w:type="spellStart"/>
      <w:r w:rsidRPr="00243DB0">
        <w:t>eGFP</w:t>
      </w:r>
      <w:proofErr w:type="spellEnd"/>
      <w:r w:rsidRPr="00243DB0">
        <w:t xml:space="preserve"> with </w:t>
      </w:r>
      <w:proofErr w:type="spellStart"/>
      <w:r w:rsidR="00B841CA">
        <w:t>p</w:t>
      </w:r>
      <w:r w:rsidR="00B841CA" w:rsidRPr="00243DB0">
        <w:t>uromycin</w:t>
      </w:r>
      <w:proofErr w:type="spellEnd"/>
      <w:r w:rsidR="00B841CA" w:rsidRPr="00243DB0">
        <w:t xml:space="preserve"> </w:t>
      </w:r>
      <w:r w:rsidR="004E4E7D" w:rsidRPr="00243DB0">
        <w:t>resistan</w:t>
      </w:r>
      <w:r w:rsidR="004E4E7D">
        <w:t>ce</w:t>
      </w:r>
      <w:r w:rsidR="004E4E7D" w:rsidRPr="00243DB0">
        <w:t xml:space="preserve"> </w:t>
      </w:r>
      <w:r w:rsidRPr="00243DB0">
        <w:t>gene)</w:t>
      </w:r>
      <w:r>
        <w:t xml:space="preserve">, a second </w:t>
      </w:r>
      <w:proofErr w:type="spellStart"/>
      <w:r>
        <w:t>LoxP</w:t>
      </w:r>
      <w:proofErr w:type="spellEnd"/>
      <w:r>
        <w:t xml:space="preserve"> site, point of mutation</w:t>
      </w:r>
      <w:r w:rsidRPr="00243DB0">
        <w:t xml:space="preserve">, 3’ homology arm and another reporter gene (extra reporter: </w:t>
      </w:r>
      <w:r>
        <w:t xml:space="preserve">PGK promoter with </w:t>
      </w:r>
      <w:r w:rsidRPr="0080517C">
        <w:rPr>
          <w:rFonts w:cs="Arial"/>
          <w:color w:val="000000"/>
          <w:shd w:val="clear" w:color="auto" w:fill="FFFFFF"/>
        </w:rPr>
        <w:t>human herpes simplex virus thymidine kinase type 1 gene (</w:t>
      </w:r>
      <w:proofErr w:type="spellStart"/>
      <w:r w:rsidRPr="0080517C">
        <w:rPr>
          <w:rFonts w:cs="Arial"/>
          <w:color w:val="000000"/>
          <w:shd w:val="clear" w:color="auto" w:fill="FFFFFF"/>
        </w:rPr>
        <w:t>HSVtk</w:t>
      </w:r>
      <w:proofErr w:type="spellEnd"/>
      <w:r w:rsidRPr="0080517C">
        <w:rPr>
          <w:rFonts w:cs="Arial"/>
          <w:color w:val="000000"/>
          <w:shd w:val="clear" w:color="auto" w:fill="FFFFFF"/>
        </w:rPr>
        <w:t>)</w:t>
      </w:r>
      <w:r w:rsidRPr="00243DB0">
        <w:t>). The customised donor template was modif</w:t>
      </w:r>
      <w:r>
        <w:t>ied with restriction enzymes fro</w:t>
      </w:r>
      <w:r w:rsidR="00A908A0">
        <w:t xml:space="preserve">m Roche Diagnostics Ltd., </w:t>
      </w:r>
      <w:proofErr w:type="spellStart"/>
      <w:r w:rsidR="00A908A0">
        <w:t>P</w:t>
      </w:r>
      <w:r w:rsidRPr="00243DB0">
        <w:t>husion</w:t>
      </w:r>
      <w:proofErr w:type="spellEnd"/>
      <w:r w:rsidRPr="00243DB0">
        <w:t xml:space="preserve"> high-fidelity PCR kit (c</w:t>
      </w:r>
      <w:r w:rsidR="00A908A0">
        <w:t>atalogue number</w:t>
      </w:r>
      <w:r w:rsidRPr="00243DB0">
        <w:t xml:space="preserve"> F553S, Life Technologies Ltd.) and </w:t>
      </w:r>
      <w:r w:rsidR="004E4E7D">
        <w:t xml:space="preserve">Mighty Mix </w:t>
      </w:r>
      <w:r w:rsidRPr="00243DB0">
        <w:t xml:space="preserve">DNA Ligation Kit </w:t>
      </w:r>
      <w:r w:rsidR="00A908A0">
        <w:t xml:space="preserve">(catalogue number </w:t>
      </w:r>
      <w:r w:rsidRPr="00243DB0">
        <w:t xml:space="preserve">6023, Takara Bio Europe SAS) to change the </w:t>
      </w:r>
      <w:r w:rsidR="00B841CA">
        <w:t>p</w:t>
      </w:r>
      <w:r w:rsidR="00B841CA" w:rsidRPr="00243DB0">
        <w:t xml:space="preserve">uromycin </w:t>
      </w:r>
      <w:r w:rsidR="004E4E7D" w:rsidRPr="00243DB0">
        <w:t>resistan</w:t>
      </w:r>
      <w:r w:rsidR="004E4E7D">
        <w:t>ce</w:t>
      </w:r>
      <w:r w:rsidR="004E4E7D" w:rsidRPr="00243DB0">
        <w:t xml:space="preserve"> </w:t>
      </w:r>
      <w:r w:rsidRPr="00243DB0">
        <w:t xml:space="preserve">gene to a </w:t>
      </w:r>
      <w:proofErr w:type="spellStart"/>
      <w:r w:rsidR="00B841CA">
        <w:t>b</w:t>
      </w:r>
      <w:r w:rsidR="00B841CA" w:rsidRPr="00243DB0">
        <w:t>lasticidin</w:t>
      </w:r>
      <w:proofErr w:type="spellEnd"/>
      <w:r w:rsidR="00B841CA">
        <w:t xml:space="preserve"> </w:t>
      </w:r>
      <w:r w:rsidR="004E4E7D">
        <w:t xml:space="preserve">resistance </w:t>
      </w:r>
      <w:r>
        <w:t xml:space="preserve">gene amplified from the </w:t>
      </w:r>
      <w:r w:rsidRPr="00520CFA">
        <w:t xml:space="preserve">PSF-CMV-BLAST </w:t>
      </w:r>
      <w:r>
        <w:t>plasmid (catalogue</w:t>
      </w:r>
      <w:r w:rsidR="00A908A0">
        <w:t xml:space="preserve"> number</w:t>
      </w:r>
      <w:r w:rsidRPr="00520CFA">
        <w:t xml:space="preserve"> </w:t>
      </w:r>
      <w:r>
        <w:t>OGS588</w:t>
      </w:r>
      <w:r w:rsidRPr="00520CFA">
        <w:t>, Sigma-Aldrich Company Ltd.)</w:t>
      </w:r>
      <w:r>
        <w:t xml:space="preserve"> to create the second donor DNA pla</w:t>
      </w:r>
      <w:r w:rsidR="00A908A0">
        <w:t>smid. All cloning steps were per</w:t>
      </w:r>
      <w:r>
        <w:t xml:space="preserve">formed </w:t>
      </w:r>
      <w:r w:rsidR="00A908A0">
        <w:t>according to manufacturer</w:t>
      </w:r>
      <w:r>
        <w:t>s</w:t>
      </w:r>
      <w:r w:rsidR="00A908A0">
        <w:t>’</w:t>
      </w:r>
      <w:r w:rsidRPr="007325DE">
        <w:t xml:space="preserve"> protocols</w:t>
      </w:r>
      <w:r>
        <w:t>.</w:t>
      </w:r>
    </w:p>
    <w:p w14:paraId="2942853E" w14:textId="77777777" w:rsidR="00EA0801" w:rsidRDefault="00EA0801" w:rsidP="00EA0801">
      <w:pPr>
        <w:jc w:val="both"/>
      </w:pPr>
    </w:p>
    <w:p w14:paraId="77FE64A6" w14:textId="77777777" w:rsidR="00EA0801" w:rsidRPr="005352DB" w:rsidRDefault="00EA0801" w:rsidP="00EA0801">
      <w:pPr>
        <w:pStyle w:val="Heading2"/>
        <w:rPr>
          <w:rFonts w:asciiTheme="minorHAnsi" w:hAnsiTheme="minorHAnsi"/>
          <w:b/>
          <w:color w:val="auto"/>
        </w:rPr>
      </w:pPr>
      <w:r w:rsidRPr="005352DB">
        <w:rPr>
          <w:rFonts w:asciiTheme="minorHAnsi" w:hAnsiTheme="minorHAnsi"/>
          <w:b/>
          <w:color w:val="auto"/>
        </w:rPr>
        <w:t>Establishment of antibiotic selection conditions</w:t>
      </w:r>
    </w:p>
    <w:p w14:paraId="75683F4B" w14:textId="6E06E949" w:rsidR="00EA0801" w:rsidRDefault="00EA0801" w:rsidP="00EA0801">
      <w:pPr>
        <w:ind w:firstLine="720"/>
        <w:jc w:val="both"/>
      </w:pPr>
      <w:r>
        <w:t xml:space="preserve">ARPE-19 cells and </w:t>
      </w:r>
      <w:proofErr w:type="spellStart"/>
      <w:r>
        <w:t>iPSCs</w:t>
      </w:r>
      <w:proofErr w:type="spellEnd"/>
      <w:r>
        <w:t xml:space="preserve"> were cultured with a range of </w:t>
      </w:r>
      <w:r w:rsidR="00B841CA">
        <w:t xml:space="preserve">puromycin </w:t>
      </w:r>
      <w:r w:rsidR="00A908A0">
        <w:t xml:space="preserve">(catalogue number </w:t>
      </w:r>
      <w:r w:rsidRPr="00DC2C9B">
        <w:t>ant-pr-1</w:t>
      </w:r>
      <w:r w:rsidRPr="0050192A">
        <w:t xml:space="preserve">, </w:t>
      </w:r>
      <w:proofErr w:type="spellStart"/>
      <w:r w:rsidRPr="000557EF">
        <w:t>InvivoGen</w:t>
      </w:r>
      <w:proofErr w:type="spellEnd"/>
      <w:r w:rsidRPr="0050192A">
        <w:t>)</w:t>
      </w:r>
      <w:r>
        <w:t xml:space="preserve"> or </w:t>
      </w:r>
      <w:proofErr w:type="spellStart"/>
      <w:r w:rsidR="00223AF0">
        <w:t>blasticidin</w:t>
      </w:r>
      <w:proofErr w:type="spellEnd"/>
      <w:r w:rsidR="00223AF0">
        <w:t xml:space="preserve"> </w:t>
      </w:r>
      <w:r w:rsidR="001C15F6">
        <w:t>(catalogue number</w:t>
      </w:r>
      <w:r w:rsidRPr="0050192A">
        <w:t xml:space="preserve"> </w:t>
      </w:r>
      <w:r w:rsidRPr="000557EF">
        <w:t>ant-bl-1</w:t>
      </w:r>
      <w:r w:rsidRPr="0050192A">
        <w:t xml:space="preserve">, </w:t>
      </w:r>
      <w:proofErr w:type="spellStart"/>
      <w:r w:rsidRPr="000557EF">
        <w:t>InvivoGen</w:t>
      </w:r>
      <w:proofErr w:type="spellEnd"/>
      <w:r w:rsidRPr="0050192A">
        <w:t>)</w:t>
      </w:r>
      <w:r>
        <w:t xml:space="preserve"> concentration for 7 days. </w:t>
      </w:r>
      <w:proofErr w:type="spellStart"/>
      <w:r>
        <w:t>Vybrant</w:t>
      </w:r>
      <w:proofErr w:type="spellEnd"/>
      <w:r>
        <w:t>® MTT cell proliferation assay k</w:t>
      </w:r>
      <w:r w:rsidRPr="006A2D2C">
        <w:t>it</w:t>
      </w:r>
      <w:r>
        <w:t xml:space="preserve"> </w:t>
      </w:r>
      <w:r w:rsidR="001C15F6">
        <w:t xml:space="preserve">(catalogue number </w:t>
      </w:r>
      <w:r w:rsidRPr="006A2D2C">
        <w:t>V13154, Life Technologies Ltd.)</w:t>
      </w:r>
      <w:r>
        <w:t xml:space="preserve"> was then used to measure survival rates at the end point, according to manufacturer’s instructions. </w:t>
      </w:r>
      <w:r w:rsidDel="006D40AC">
        <w:t xml:space="preserve">The </w:t>
      </w:r>
      <w:r>
        <w:t>lowest concentrations of antibiotics that killed all cells were considered optimal and used in subsequent selection experiments</w:t>
      </w:r>
      <w:r w:rsidDel="006D40AC">
        <w:t>.</w:t>
      </w:r>
      <w:r w:rsidR="001C15F6">
        <w:t xml:space="preserve"> </w:t>
      </w:r>
    </w:p>
    <w:p w14:paraId="3B511E5A" w14:textId="77777777" w:rsidR="00EA0801" w:rsidRPr="006A2D2C" w:rsidRDefault="00EA0801" w:rsidP="00EA0801">
      <w:pPr>
        <w:jc w:val="both"/>
      </w:pPr>
    </w:p>
    <w:p w14:paraId="32063125" w14:textId="77777777" w:rsidR="00EA0801" w:rsidRPr="005352DB" w:rsidRDefault="00EA0801" w:rsidP="00EA0801">
      <w:pPr>
        <w:pStyle w:val="Heading2"/>
        <w:rPr>
          <w:rFonts w:asciiTheme="minorHAnsi" w:hAnsiTheme="minorHAnsi"/>
          <w:b/>
          <w:color w:val="auto"/>
        </w:rPr>
      </w:pPr>
      <w:r w:rsidRPr="005352DB">
        <w:rPr>
          <w:rFonts w:asciiTheme="minorHAnsi" w:hAnsiTheme="minorHAnsi"/>
          <w:b/>
          <w:color w:val="auto"/>
        </w:rPr>
        <w:lastRenderedPageBreak/>
        <w:t>Electroporation</w:t>
      </w:r>
    </w:p>
    <w:p w14:paraId="3298391A" w14:textId="064B1721" w:rsidR="00EA0801" w:rsidRDefault="00EA0801" w:rsidP="00EA0801">
      <w:pPr>
        <w:ind w:firstLine="720"/>
        <w:jc w:val="both"/>
      </w:pPr>
      <w:r>
        <w:t xml:space="preserve">ARPE-19 cells and </w:t>
      </w:r>
      <w:proofErr w:type="spellStart"/>
      <w:r>
        <w:t>iPSCs</w:t>
      </w:r>
      <w:proofErr w:type="spellEnd"/>
      <w:r>
        <w:t xml:space="preserve"> were transfected using the Neon® transfection system (</w:t>
      </w:r>
      <w:r w:rsidRPr="004E69DA">
        <w:t xml:space="preserve">Life Technologies </w:t>
      </w:r>
      <w:r w:rsidRPr="00520CFA">
        <w:t>Ltd.</w:t>
      </w:r>
      <w:r>
        <w:t>) in accordance with manufacturer’s instructions. Briefly, for ARPE-19 cells, 5×10</w:t>
      </w:r>
      <w:r w:rsidRPr="00C83FAD">
        <w:rPr>
          <w:vertAlign w:val="superscript"/>
        </w:rPr>
        <w:t>6</w:t>
      </w:r>
      <w:r>
        <w:rPr>
          <w:vertAlign w:val="superscript"/>
        </w:rPr>
        <w:t xml:space="preserve"> </w:t>
      </w:r>
      <w:r>
        <w:t>cells were harvested by centrifugation at 300</w:t>
      </w:r>
      <w:r w:rsidRPr="00532CF5">
        <w:rPr>
          <w:i/>
        </w:rPr>
        <w:t>g</w:t>
      </w:r>
      <w:r>
        <w:t xml:space="preserve"> for 5 min, washed with DPBS and </w:t>
      </w:r>
      <w:proofErr w:type="spellStart"/>
      <w:r>
        <w:t>resuspended</w:t>
      </w:r>
      <w:proofErr w:type="spellEnd"/>
      <w:r>
        <w:t xml:space="preserve"> in 10</w:t>
      </w:r>
      <w:r w:rsidRPr="00243DB0">
        <w:t xml:space="preserve">0 </w:t>
      </w:r>
      <w:r w:rsidRPr="00532CF5">
        <w:rPr>
          <w:rFonts w:eastAsiaTheme="minorHAnsi" w:cs="Arial"/>
          <w:lang w:eastAsia="zh-CN"/>
        </w:rPr>
        <w:t>µ</w:t>
      </w:r>
      <w:r>
        <w:t>L buffer R.</w:t>
      </w:r>
      <w:r w:rsidRPr="00243DB0">
        <w:t xml:space="preserve"> </w:t>
      </w:r>
      <w:r>
        <w:t>5 µg of each donor plasmid, togethe</w:t>
      </w:r>
      <w:r w:rsidR="001C15F6">
        <w:t>r with 5 µg of Cas9 plasmid, were</w:t>
      </w:r>
      <w:r>
        <w:t xml:space="preserve"> added to the suspension and electroporation was performed using parameters 1350 V, 20 </w:t>
      </w:r>
      <w:proofErr w:type="spellStart"/>
      <w:r>
        <w:t>ms</w:t>
      </w:r>
      <w:proofErr w:type="spellEnd"/>
      <w:r>
        <w:t xml:space="preserve">, 2 pulses, after which cells were grown in DMEM F12 medium. For </w:t>
      </w:r>
      <w:proofErr w:type="spellStart"/>
      <w:r>
        <w:t>iPSCs</w:t>
      </w:r>
      <w:proofErr w:type="spellEnd"/>
      <w:r>
        <w:t xml:space="preserve">, </w:t>
      </w:r>
      <w:r w:rsidR="004E4E7D">
        <w:t xml:space="preserve">cells </w:t>
      </w:r>
      <w:r>
        <w:t>were fed with Essential 8™ m</w:t>
      </w:r>
      <w:r w:rsidRPr="004E22E3">
        <w:t>edium supplemented</w:t>
      </w:r>
      <w:r>
        <w:t xml:space="preserve"> with 10 </w:t>
      </w:r>
      <w:r w:rsidRPr="004E22E3">
        <w:t>µ</w:t>
      </w:r>
      <w:r>
        <w:t xml:space="preserve">M </w:t>
      </w:r>
      <w:r w:rsidRPr="00D657D5">
        <w:t>Rock inhibitor</w:t>
      </w:r>
      <w:r w:rsidRPr="004E4FB6">
        <w:t xml:space="preserve"> </w:t>
      </w:r>
      <w:r>
        <w:t xml:space="preserve">30 minutes before electroporation. After harvesting with </w:t>
      </w:r>
      <w:proofErr w:type="spellStart"/>
      <w:r w:rsidRPr="00C83FAD">
        <w:t>StemPro</w:t>
      </w:r>
      <w:proofErr w:type="spellEnd"/>
      <w:r w:rsidRPr="00C83FAD">
        <w:t xml:space="preserve">® </w:t>
      </w:r>
      <w:proofErr w:type="spellStart"/>
      <w:r w:rsidRPr="00C83FAD">
        <w:t>Accutase</w:t>
      </w:r>
      <w:proofErr w:type="spellEnd"/>
      <w:r w:rsidRPr="00C83FAD">
        <w:t xml:space="preserve">® </w:t>
      </w:r>
      <w:r>
        <w:t>c</w:t>
      </w:r>
      <w:r w:rsidRPr="00C83FAD">
        <w:t xml:space="preserve">ell </w:t>
      </w:r>
      <w:r>
        <w:t>d</w:t>
      </w:r>
      <w:r w:rsidRPr="00C83FAD">
        <w:t xml:space="preserve">issociation </w:t>
      </w:r>
      <w:r>
        <w:t>r</w:t>
      </w:r>
      <w:r w:rsidRPr="00C83FAD">
        <w:t>eagent</w:t>
      </w:r>
      <w:r>
        <w:t xml:space="preserve"> </w:t>
      </w:r>
      <w:r w:rsidR="001C15F6">
        <w:t>(catalogue number</w:t>
      </w:r>
      <w:r w:rsidRPr="006A2D2C">
        <w:t xml:space="preserve"> </w:t>
      </w:r>
      <w:r w:rsidRPr="00C83FAD">
        <w:t>A1110501</w:t>
      </w:r>
      <w:r w:rsidRPr="006A2D2C">
        <w:t>, Life Technologies Ltd.)</w:t>
      </w:r>
      <w:r>
        <w:t>, 3×10</w:t>
      </w:r>
      <w:r w:rsidRPr="00C83FAD">
        <w:rPr>
          <w:vertAlign w:val="superscript"/>
        </w:rPr>
        <w:t xml:space="preserve">6 </w:t>
      </w:r>
      <w:r>
        <w:t xml:space="preserve">cells were collected and </w:t>
      </w:r>
      <w:proofErr w:type="spellStart"/>
      <w:r>
        <w:t>resuspended</w:t>
      </w:r>
      <w:proofErr w:type="spellEnd"/>
      <w:r>
        <w:t xml:space="preserve"> in 100 </w:t>
      </w:r>
      <w:r>
        <w:rPr>
          <w:rFonts w:ascii="Times New Roman" w:hAnsi="Times New Roman" w:cs="Times New Roman"/>
        </w:rPr>
        <w:t>µ</w:t>
      </w:r>
      <w:r>
        <w:t>l buffer R. 10 µg of donor plasmid (two preparations), together with 5 µg of Cas9 p</w:t>
      </w:r>
      <w:r w:rsidR="001C15F6">
        <w:t>lasmid, were</w:t>
      </w:r>
      <w:r>
        <w:t xml:space="preserve"> added to the suspension and electroporation was performed using parameters 1400 V, 20 </w:t>
      </w:r>
      <w:proofErr w:type="spellStart"/>
      <w:r>
        <w:t>ms</w:t>
      </w:r>
      <w:proofErr w:type="spellEnd"/>
      <w:r>
        <w:t xml:space="preserve">, 1 pulse, after which cells were grown in </w:t>
      </w:r>
      <w:proofErr w:type="spellStart"/>
      <w:r w:rsidRPr="00252C34">
        <w:t>NutriStem</w:t>
      </w:r>
      <w:proofErr w:type="spellEnd"/>
      <w:r w:rsidRPr="00252C34">
        <w:t>®</w:t>
      </w:r>
      <w:r>
        <w:t xml:space="preserve"> </w:t>
      </w:r>
      <w:r w:rsidRPr="00252C34">
        <w:t xml:space="preserve">(catalogue number: 01-0005, </w:t>
      </w:r>
      <w:proofErr w:type="spellStart"/>
      <w:r>
        <w:t>ReproCELL</w:t>
      </w:r>
      <w:proofErr w:type="spellEnd"/>
      <w:r>
        <w:t xml:space="preserve"> Europe Ltd</w:t>
      </w:r>
      <w:r w:rsidRPr="00252C34">
        <w:t>.)</w:t>
      </w:r>
      <w:r>
        <w:t xml:space="preserve"> medium.</w:t>
      </w:r>
    </w:p>
    <w:p w14:paraId="14D35A10" w14:textId="77777777" w:rsidR="00EA0801" w:rsidRPr="00CC2A13" w:rsidRDefault="00EA0801" w:rsidP="00EA0801">
      <w:pPr>
        <w:jc w:val="both"/>
      </w:pPr>
    </w:p>
    <w:p w14:paraId="0B32D375" w14:textId="77777777" w:rsidR="00EA0801" w:rsidRPr="005352DB" w:rsidRDefault="00EA0801" w:rsidP="00EA0801">
      <w:pPr>
        <w:pStyle w:val="Heading2"/>
        <w:rPr>
          <w:rFonts w:asciiTheme="minorHAnsi" w:hAnsiTheme="minorHAnsi"/>
          <w:b/>
          <w:color w:val="auto"/>
        </w:rPr>
      </w:pPr>
      <w:r w:rsidRPr="005352DB">
        <w:rPr>
          <w:rFonts w:asciiTheme="minorHAnsi" w:hAnsiTheme="minorHAnsi"/>
          <w:b/>
          <w:color w:val="auto"/>
        </w:rPr>
        <w:t>Antibiotic selection and extraction of genomic DNA</w:t>
      </w:r>
    </w:p>
    <w:p w14:paraId="37E6F975" w14:textId="4854BC45" w:rsidR="00EA0801" w:rsidRDefault="00EA0801" w:rsidP="00EA0801">
      <w:pPr>
        <w:ind w:firstLine="720"/>
        <w:jc w:val="both"/>
      </w:pPr>
      <w:r>
        <w:t>Following electropora</w:t>
      </w:r>
      <w:r w:rsidR="001C15F6">
        <w:t xml:space="preserve">tion, cells were seeded into 10 </w:t>
      </w:r>
      <w:r>
        <w:t xml:space="preserve">cm dishes </w:t>
      </w:r>
      <w:r w:rsidR="001C15F6">
        <w:t>(catalogue number</w:t>
      </w:r>
      <w:r w:rsidRPr="0050192A">
        <w:t xml:space="preserve"> </w:t>
      </w:r>
      <w:r w:rsidRPr="002547F6">
        <w:t>664160</w:t>
      </w:r>
      <w:r w:rsidRPr="0050192A">
        <w:t xml:space="preserve">, </w:t>
      </w:r>
      <w:r w:rsidRPr="002547F6">
        <w:t>Greiner Bio-One Ltd</w:t>
      </w:r>
      <w:r>
        <w:t>.</w:t>
      </w:r>
      <w:r w:rsidRPr="0050192A">
        <w:t>)</w:t>
      </w:r>
      <w:r>
        <w:t xml:space="preserve"> and cultured at 37</w:t>
      </w:r>
      <w:r>
        <w:sym w:font="Symbol" w:char="F0B0"/>
      </w:r>
      <w:r w:rsidRPr="002B3BBF">
        <w:t>C and 5% CO</w:t>
      </w:r>
      <w:r w:rsidRPr="003679C8">
        <w:rPr>
          <w:vertAlign w:val="subscript"/>
        </w:rPr>
        <w:t>2</w:t>
      </w:r>
      <w:r>
        <w:t xml:space="preserve">. 3 days post-transfection, dual antibiotic selection pressure was applied in accordance with previously established kill curve performance and cells were cultured for a further 8 days. For ARPE-19, </w:t>
      </w:r>
      <w:r w:rsidDel="006D40AC">
        <w:t>0.6</w:t>
      </w:r>
      <w:r>
        <w:t xml:space="preserve"> </w:t>
      </w:r>
      <w:r w:rsidDel="006D40AC">
        <w:rPr>
          <w:rFonts w:ascii="Times New Roman" w:hAnsi="Times New Roman" w:cs="Times New Roman"/>
        </w:rPr>
        <w:t>µ</w:t>
      </w:r>
      <w:r w:rsidDel="006D40AC">
        <w:t>g/ml</w:t>
      </w:r>
      <w:r>
        <w:t xml:space="preserve"> </w:t>
      </w:r>
      <w:r w:rsidR="00B841CA">
        <w:t>puromycin</w:t>
      </w:r>
      <w:r w:rsidR="00B841CA" w:rsidDel="006D40AC">
        <w:t xml:space="preserve"> </w:t>
      </w:r>
      <w:r w:rsidDel="006D40AC">
        <w:t>and 25</w:t>
      </w:r>
      <w:r>
        <w:t xml:space="preserve"> </w:t>
      </w:r>
      <w:r w:rsidDel="006D40AC">
        <w:rPr>
          <w:rFonts w:ascii="Times New Roman" w:hAnsi="Times New Roman" w:cs="Times New Roman"/>
        </w:rPr>
        <w:t>µ</w:t>
      </w:r>
      <w:r w:rsidDel="006D40AC">
        <w:t>g/ml</w:t>
      </w:r>
      <w:r>
        <w:t xml:space="preserve"> </w:t>
      </w:r>
      <w:proofErr w:type="spellStart"/>
      <w:r w:rsidR="00B841CA">
        <w:t>blasticidin</w:t>
      </w:r>
      <w:proofErr w:type="spellEnd"/>
      <w:r w:rsidR="00B841CA">
        <w:t xml:space="preserve"> </w:t>
      </w:r>
      <w:r w:rsidR="001C15F6">
        <w:t>were</w:t>
      </w:r>
      <w:r>
        <w:t xml:space="preserve"> used</w:t>
      </w:r>
      <w:r w:rsidRPr="008969DF">
        <w:t xml:space="preserve"> </w:t>
      </w:r>
      <w:r>
        <w:t xml:space="preserve">while </w:t>
      </w:r>
      <w:r w:rsidDel="006D40AC">
        <w:t>0.3</w:t>
      </w:r>
      <w:r>
        <w:t xml:space="preserve"> </w:t>
      </w:r>
      <w:r w:rsidDel="006D40AC">
        <w:rPr>
          <w:rFonts w:ascii="Times New Roman" w:hAnsi="Times New Roman" w:cs="Times New Roman"/>
        </w:rPr>
        <w:t>µ</w:t>
      </w:r>
      <w:r w:rsidDel="006D40AC">
        <w:t xml:space="preserve">g/ml </w:t>
      </w:r>
      <w:r w:rsidR="00B841CA">
        <w:t xml:space="preserve">puromycin </w:t>
      </w:r>
      <w:r w:rsidDel="006D40AC">
        <w:t>and 4</w:t>
      </w:r>
      <w:r>
        <w:t xml:space="preserve"> </w:t>
      </w:r>
      <w:r w:rsidDel="006D40AC">
        <w:rPr>
          <w:rFonts w:ascii="Times New Roman" w:hAnsi="Times New Roman" w:cs="Times New Roman"/>
        </w:rPr>
        <w:t>µ</w:t>
      </w:r>
      <w:r w:rsidDel="006D40AC">
        <w:t>g/ml</w:t>
      </w:r>
      <w:r>
        <w:t xml:space="preserve"> </w:t>
      </w:r>
      <w:proofErr w:type="spellStart"/>
      <w:r w:rsidR="00B841CA">
        <w:t>blasticidin</w:t>
      </w:r>
      <w:proofErr w:type="spellEnd"/>
      <w:r w:rsidR="00B841CA">
        <w:t xml:space="preserve"> </w:t>
      </w:r>
      <w:r w:rsidR="001C15F6">
        <w:t>were</w:t>
      </w:r>
      <w:r>
        <w:t xml:space="preserve"> used for </w:t>
      </w:r>
      <w:proofErr w:type="spellStart"/>
      <w:r>
        <w:t>iPSCs</w:t>
      </w:r>
      <w:proofErr w:type="spellEnd"/>
      <w:r>
        <w:t xml:space="preserve">. Cells were then washed twice with DPBS, and individual clones were picked with a loop </w:t>
      </w:r>
      <w:r w:rsidR="001C15F6">
        <w:t xml:space="preserve">(catalogue number </w:t>
      </w:r>
      <w:r>
        <w:t xml:space="preserve">731165, Greiner Bio-One Ltd.) and moved into separate wells on a 24-well plate </w:t>
      </w:r>
      <w:r w:rsidR="001C15F6">
        <w:t>(catalogue number</w:t>
      </w:r>
      <w:r w:rsidRPr="0050192A">
        <w:t xml:space="preserve"> </w:t>
      </w:r>
      <w:r w:rsidRPr="002547F6">
        <w:t>662160</w:t>
      </w:r>
      <w:r w:rsidRPr="0050192A">
        <w:t xml:space="preserve">, </w:t>
      </w:r>
      <w:r w:rsidRPr="002547F6">
        <w:t>Greiner Bio-One Ltd</w:t>
      </w:r>
      <w:r>
        <w:t>.</w:t>
      </w:r>
      <w:r w:rsidRPr="0050192A">
        <w:t>)</w:t>
      </w:r>
      <w:r>
        <w:t xml:space="preserve">. Clones were expanded until near confluence, after which genomic DNA was harvested with </w:t>
      </w:r>
      <w:proofErr w:type="spellStart"/>
      <w:r>
        <w:t>DNeasy</w:t>
      </w:r>
      <w:proofErr w:type="spellEnd"/>
      <w:r>
        <w:t xml:space="preserve"> blood &amp; tissue k</w:t>
      </w:r>
      <w:r w:rsidRPr="0025233D">
        <w:t>its</w:t>
      </w:r>
      <w:r>
        <w:t xml:space="preserve"> </w:t>
      </w:r>
      <w:r w:rsidRPr="0050192A">
        <w:t>(catalog</w:t>
      </w:r>
      <w:r>
        <w:t>ue</w:t>
      </w:r>
      <w:r w:rsidR="001C15F6">
        <w:t xml:space="preserve"> number </w:t>
      </w:r>
      <w:r w:rsidRPr="00422D04">
        <w:t>69506</w:t>
      </w:r>
      <w:r w:rsidRPr="0050192A">
        <w:t>, QIAGEN Ltd.)</w:t>
      </w:r>
      <w:r>
        <w:t>.</w:t>
      </w:r>
    </w:p>
    <w:p w14:paraId="32FCE20F" w14:textId="77777777" w:rsidR="00EA0801" w:rsidRPr="00DC2C9B" w:rsidRDefault="00EA0801" w:rsidP="00EA0801">
      <w:pPr>
        <w:jc w:val="both"/>
      </w:pPr>
    </w:p>
    <w:p w14:paraId="2A792A26" w14:textId="77777777" w:rsidR="00EA0801" w:rsidRPr="005352DB" w:rsidRDefault="00EA0801" w:rsidP="00EA0801">
      <w:pPr>
        <w:pStyle w:val="Heading2"/>
        <w:rPr>
          <w:rFonts w:asciiTheme="minorHAnsi" w:hAnsiTheme="minorHAnsi"/>
          <w:b/>
          <w:color w:val="auto"/>
        </w:rPr>
      </w:pPr>
      <w:r w:rsidRPr="005352DB">
        <w:rPr>
          <w:rFonts w:asciiTheme="minorHAnsi" w:hAnsiTheme="minorHAnsi"/>
          <w:b/>
          <w:color w:val="auto"/>
        </w:rPr>
        <w:t>PCR screening and Sanger sequencing</w:t>
      </w:r>
    </w:p>
    <w:p w14:paraId="0552BF56" w14:textId="1AC945CD" w:rsidR="00EA0801" w:rsidRDefault="00EA0801" w:rsidP="00EA0801">
      <w:pPr>
        <w:ind w:firstLine="720"/>
        <w:jc w:val="both"/>
      </w:pPr>
      <w:r>
        <w:t>Extracted g</w:t>
      </w:r>
      <w:r w:rsidR="00B214DC">
        <w:t xml:space="preserve">enomic </w:t>
      </w:r>
      <w:r>
        <w:t>DNA was used as template for PCR screening using primers (</w:t>
      </w:r>
      <w:proofErr w:type="spellStart"/>
      <w:r w:rsidRPr="00B63C24">
        <w:t>Eurogentec</w:t>
      </w:r>
      <w:proofErr w:type="spellEnd"/>
      <w:r w:rsidRPr="00B63C24">
        <w:t xml:space="preserve"> Ltd</w:t>
      </w:r>
      <w:r>
        <w:t xml:space="preserve">. or Life Technologies Ltd) shown in </w:t>
      </w:r>
      <w:r w:rsidR="004E4E7D">
        <w:t xml:space="preserve">Table </w:t>
      </w:r>
      <w:r>
        <w:t xml:space="preserve">1. Individual reactions were set up with </w:t>
      </w:r>
      <w:proofErr w:type="spellStart"/>
      <w:r w:rsidRPr="001F104A">
        <w:rPr>
          <w:i/>
          <w:iCs/>
        </w:rPr>
        <w:t>Taq</w:t>
      </w:r>
      <w:proofErr w:type="spellEnd"/>
      <w:r w:rsidRPr="001F104A">
        <w:t xml:space="preserve"> PCR Master Mix Kit</w:t>
      </w:r>
      <w:r>
        <w:t xml:space="preserve"> </w:t>
      </w:r>
      <w:r w:rsidR="001C15F6">
        <w:t>(catalogue number</w:t>
      </w:r>
      <w:r w:rsidRPr="0050192A">
        <w:t xml:space="preserve"> </w:t>
      </w:r>
      <w:r w:rsidRPr="001F104A">
        <w:t>201445</w:t>
      </w:r>
      <w:r w:rsidRPr="0050192A">
        <w:t>, QIAGEN Ltd.)</w:t>
      </w:r>
      <w:r>
        <w:t xml:space="preserve"> with the addition of 5% d</w:t>
      </w:r>
      <w:r w:rsidRPr="00145FE6">
        <w:t>imethyl sulfoxide</w:t>
      </w:r>
      <w:r>
        <w:t xml:space="preserve"> </w:t>
      </w:r>
      <w:r w:rsidR="001C15F6">
        <w:t>(catalogue number</w:t>
      </w:r>
      <w:r w:rsidRPr="0050192A">
        <w:t xml:space="preserve"> </w:t>
      </w:r>
      <w:r w:rsidRPr="00145FE6">
        <w:t>D8418</w:t>
      </w:r>
      <w:r w:rsidRPr="0050192A">
        <w:t>, Sigma-Aldrich Company Ltd.)</w:t>
      </w:r>
      <w:r>
        <w:t xml:space="preserve"> and </w:t>
      </w:r>
      <w:proofErr w:type="spellStart"/>
      <w:r>
        <w:t>thermocycling</w:t>
      </w:r>
      <w:proofErr w:type="spellEnd"/>
      <w:r>
        <w:t xml:space="preserve"> was performed using a </w:t>
      </w:r>
      <w:proofErr w:type="spellStart"/>
      <w:r w:rsidRPr="00663AA9">
        <w:t>Veriti</w:t>
      </w:r>
      <w:proofErr w:type="spellEnd"/>
      <w:r w:rsidRPr="00663AA9">
        <w:t>® 96-Well Fast Thermal Cycler</w:t>
      </w:r>
      <w:r>
        <w:t xml:space="preserve"> (</w:t>
      </w:r>
      <w:r w:rsidRPr="004E69DA">
        <w:t xml:space="preserve">Life Technologies </w:t>
      </w:r>
      <w:r w:rsidRPr="00520CFA">
        <w:t>Ltd.</w:t>
      </w:r>
      <w:r>
        <w:t xml:space="preserve">). Selected PCR products were sequenced by </w:t>
      </w:r>
      <w:r w:rsidRPr="00DF1B15">
        <w:t xml:space="preserve">Source </w:t>
      </w:r>
      <w:proofErr w:type="spellStart"/>
      <w:r w:rsidRPr="00DF1B15">
        <w:t>BioScience</w:t>
      </w:r>
      <w:proofErr w:type="spellEnd"/>
      <w:r>
        <w:t xml:space="preserve"> or DNA Sequencing and Services, University of Dundee. </w:t>
      </w:r>
    </w:p>
    <w:p w14:paraId="5282FD50" w14:textId="77777777" w:rsidR="00EA0801" w:rsidRPr="00EC1849" w:rsidRDefault="00EA0801" w:rsidP="00EA0801">
      <w:pPr>
        <w:jc w:val="both"/>
      </w:pPr>
    </w:p>
    <w:p w14:paraId="063CD350" w14:textId="77777777" w:rsidR="00EA0801" w:rsidRPr="005352DB" w:rsidRDefault="00EA0801" w:rsidP="00EA0801">
      <w:pPr>
        <w:pStyle w:val="Heading2"/>
        <w:rPr>
          <w:rFonts w:asciiTheme="minorHAnsi" w:hAnsiTheme="minorHAnsi"/>
          <w:b/>
          <w:color w:val="auto"/>
        </w:rPr>
      </w:pPr>
      <w:r w:rsidRPr="005352DB">
        <w:rPr>
          <w:rFonts w:asciiTheme="minorHAnsi" w:hAnsiTheme="minorHAnsi"/>
          <w:b/>
          <w:color w:val="auto"/>
        </w:rPr>
        <w:t>Removal of insertion cassette and verification of gene editing</w:t>
      </w:r>
    </w:p>
    <w:p w14:paraId="66835118" w14:textId="3580CC4F" w:rsidR="00EA0801" w:rsidRDefault="00EA0801" w:rsidP="00EA0801">
      <w:pPr>
        <w:ind w:firstLine="720"/>
        <w:jc w:val="both"/>
      </w:pPr>
      <w:r>
        <w:t xml:space="preserve">Clones were </w:t>
      </w:r>
      <w:proofErr w:type="spellStart"/>
      <w:r>
        <w:t>electroporated</w:t>
      </w:r>
      <w:proofErr w:type="spellEnd"/>
      <w:r>
        <w:t xml:space="preserve"> </w:t>
      </w:r>
      <w:r w:rsidR="004E4E7D">
        <w:t xml:space="preserve">using </w:t>
      </w:r>
      <w:r>
        <w:t xml:space="preserve">the same </w:t>
      </w:r>
      <w:r w:rsidR="004E4E7D">
        <w:t xml:space="preserve">protocol described </w:t>
      </w:r>
      <w:r>
        <w:t>above with Cre recombinase expression p</w:t>
      </w:r>
      <w:r w:rsidRPr="0029664E">
        <w:t>lasmid (</w:t>
      </w:r>
      <w:proofErr w:type="spellStart"/>
      <w:r w:rsidRPr="0029664E">
        <w:t>pCMV</w:t>
      </w:r>
      <w:proofErr w:type="spellEnd"/>
      <w:r w:rsidRPr="0029664E">
        <w:t>-CRE</w:t>
      </w:r>
      <w:r w:rsidR="000C12F5">
        <w:t xml:space="preserve">, </w:t>
      </w:r>
      <w:r w:rsidRPr="0050192A">
        <w:t>catalog</w:t>
      </w:r>
      <w:r>
        <w:t>ue</w:t>
      </w:r>
      <w:r w:rsidR="001C15F6">
        <w:t xml:space="preserve"> number</w:t>
      </w:r>
      <w:r w:rsidRPr="0050192A">
        <w:t xml:space="preserve"> </w:t>
      </w:r>
      <w:r w:rsidRPr="00B57931">
        <w:t>CRE100A-1</w:t>
      </w:r>
      <w:r w:rsidRPr="0050192A">
        <w:t xml:space="preserve">, </w:t>
      </w:r>
      <w:r w:rsidRPr="00B57931">
        <w:t>Cambridge Bioscience Ltd</w:t>
      </w:r>
      <w:r>
        <w:t>.</w:t>
      </w:r>
      <w:r w:rsidRPr="0050192A">
        <w:t>)</w:t>
      </w:r>
      <w:r>
        <w:t xml:space="preserve"> and cultured for 5-7 days. Individual clones were picked and analysed</w:t>
      </w:r>
      <w:r w:rsidR="00100D56">
        <w:t xml:space="preserve"> by PCR screening and Sanger sequencing</w:t>
      </w:r>
      <w:r>
        <w:t xml:space="preserve"> as described above to verify successful removal of the inserted cassette. </w:t>
      </w:r>
    </w:p>
    <w:p w14:paraId="56CAE5ED" w14:textId="77777777" w:rsidR="00EA0801" w:rsidRDefault="00EA0801" w:rsidP="00EA0801">
      <w:pPr>
        <w:jc w:val="both"/>
      </w:pPr>
    </w:p>
    <w:p w14:paraId="1D0D87DC" w14:textId="47FA71BE" w:rsidR="00627EED" w:rsidRPr="005352DB" w:rsidRDefault="00627EED" w:rsidP="001C15F6">
      <w:pPr>
        <w:pStyle w:val="Heading2"/>
        <w:rPr>
          <w:rFonts w:asciiTheme="minorHAnsi" w:hAnsiTheme="minorHAnsi"/>
          <w:b/>
          <w:color w:val="auto"/>
        </w:rPr>
      </w:pPr>
      <w:r w:rsidRPr="005352DB">
        <w:rPr>
          <w:rFonts w:asciiTheme="minorHAnsi" w:hAnsiTheme="minorHAnsi"/>
          <w:b/>
          <w:color w:val="auto"/>
        </w:rPr>
        <w:t>Immunofluorescence</w:t>
      </w:r>
    </w:p>
    <w:p w14:paraId="2B21BA72" w14:textId="43ECA308" w:rsidR="00627EED" w:rsidRPr="00627EED" w:rsidRDefault="00627EED" w:rsidP="001C15F6">
      <w:pPr>
        <w:jc w:val="both"/>
      </w:pPr>
      <w:r>
        <w:tab/>
      </w:r>
      <w:r w:rsidR="008611DE">
        <w:t xml:space="preserve">The </w:t>
      </w:r>
      <w:r w:rsidRPr="00627EED">
        <w:t>iPSC staining of selected pluripotency markers was performed using a PSC 4-marker immunocytochemistry kit (</w:t>
      </w:r>
      <w:r w:rsidR="008611DE" w:rsidRPr="0050192A">
        <w:t xml:space="preserve">catalogue number </w:t>
      </w:r>
      <w:r w:rsidR="008611DE">
        <w:t xml:space="preserve">A24881, </w:t>
      </w:r>
      <w:r w:rsidRPr="00627EED">
        <w:t xml:space="preserve">Life Technologies). 10,000 cells were seeded </w:t>
      </w:r>
      <w:r w:rsidRPr="00627EED">
        <w:lastRenderedPageBreak/>
        <w:t xml:space="preserve">per well in a 96-well plate and cultured for 48 hours, followed by fixation in 4% formaldehyde in DPBS for 15 minutes, </w:t>
      </w:r>
      <w:proofErr w:type="spellStart"/>
      <w:r w:rsidRPr="00627EED">
        <w:t>permeabilisation</w:t>
      </w:r>
      <w:proofErr w:type="spellEnd"/>
      <w:r w:rsidRPr="00627EED">
        <w:t xml:space="preserve"> with 1% </w:t>
      </w:r>
      <w:proofErr w:type="spellStart"/>
      <w:r w:rsidRPr="00627EED">
        <w:t>saponin</w:t>
      </w:r>
      <w:proofErr w:type="spellEnd"/>
      <w:r w:rsidRPr="00627EED">
        <w:t xml:space="preserve"> in DPBS for 15 minutes, blocking with 3% BSA in DPBS for 30 minutes, and immunostaining with indicated antibodies diluted in blocking buffer for 3 hours. Primary antibodies used were mouse anti-SSEA4 (1:100), rabbit anti-OCT4 (1:100), rat anti-SOX2 (1:100), and mouse anti-TRA-1-60 (1:100). Cells were then washed three times with DPBS and stained with secondary fluorescent antibodies for 1 hour. Secondary antibodies used were Alexa Fluor 488 goat anti-mouse IgG3 (1:250), Alexa Fluor 594 do</w:t>
      </w:r>
      <w:r w:rsidR="001C15F6">
        <w:t>n</w:t>
      </w:r>
      <w:r w:rsidRPr="00627EED">
        <w:t xml:space="preserve">key anti-rabbit IgG (1:250), Alexa Fluor 488 donkey anti-rat IgG (1:250), and Alexa Fluor 594 goat anti-mouse IgM (1:250). Cells were finally washed three times with DPBS, stained with DAPI and imaged using a Zeiss </w:t>
      </w:r>
      <w:proofErr w:type="spellStart"/>
      <w:r w:rsidRPr="00627EED">
        <w:t>Apotome</w:t>
      </w:r>
      <w:proofErr w:type="spellEnd"/>
      <w:r w:rsidRPr="00627EED">
        <w:t xml:space="preserve"> inverted fluorescence microscope.</w:t>
      </w:r>
    </w:p>
    <w:p w14:paraId="4BE9DB85" w14:textId="77777777" w:rsidR="003061BA" w:rsidRDefault="003061BA" w:rsidP="00E16F26">
      <w:pPr>
        <w:jc w:val="both"/>
      </w:pPr>
    </w:p>
    <w:p w14:paraId="659749E4" w14:textId="77777777" w:rsidR="003F4196" w:rsidRPr="005352DB" w:rsidRDefault="003F4196" w:rsidP="003F4196">
      <w:pPr>
        <w:pStyle w:val="Heading1"/>
        <w:rPr>
          <w:rFonts w:asciiTheme="minorHAnsi" w:hAnsiTheme="minorHAnsi"/>
          <w:b/>
          <w:color w:val="auto"/>
        </w:rPr>
      </w:pPr>
      <w:r w:rsidRPr="005352DB">
        <w:rPr>
          <w:rFonts w:asciiTheme="minorHAnsi" w:hAnsiTheme="minorHAnsi"/>
          <w:b/>
          <w:color w:val="auto"/>
        </w:rPr>
        <w:t>References</w:t>
      </w:r>
    </w:p>
    <w:p w14:paraId="52281C57" w14:textId="65EFC5E7" w:rsidR="00D7684C" w:rsidRPr="00D7684C" w:rsidRDefault="00DB766F" w:rsidP="00D7684C">
      <w:pPr>
        <w:widowControl w:val="0"/>
        <w:autoSpaceDE w:val="0"/>
        <w:autoSpaceDN w:val="0"/>
        <w:adjustRightInd w:val="0"/>
        <w:spacing w:line="240" w:lineRule="auto"/>
        <w:ind w:left="640" w:hanging="640"/>
        <w:rPr>
          <w:rFonts w:ascii="Calibri" w:hAnsi="Calibri" w:cs="Calibri"/>
          <w:noProof/>
          <w:szCs w:val="24"/>
        </w:rPr>
      </w:pPr>
      <w:r>
        <w:rPr>
          <w:rFonts w:eastAsiaTheme="minorHAnsi"/>
        </w:rPr>
        <w:fldChar w:fldCharType="begin" w:fldLock="1"/>
      </w:r>
      <w:r>
        <w:instrText xml:space="preserve">ADDIN Mendeley Bibliography CSL_BIBLIOGRAPHY </w:instrText>
      </w:r>
      <w:r>
        <w:rPr>
          <w:rFonts w:eastAsiaTheme="minorHAnsi"/>
        </w:rPr>
        <w:fldChar w:fldCharType="separate"/>
      </w:r>
      <w:r w:rsidR="00D7684C" w:rsidRPr="00D7684C">
        <w:rPr>
          <w:rFonts w:ascii="Calibri" w:hAnsi="Calibri" w:cs="Calibri"/>
          <w:noProof/>
          <w:szCs w:val="24"/>
        </w:rPr>
        <w:t>1.</w:t>
      </w:r>
      <w:r w:rsidR="00D7684C" w:rsidRPr="00D7684C">
        <w:rPr>
          <w:rFonts w:ascii="Calibri" w:hAnsi="Calibri" w:cs="Calibri"/>
          <w:noProof/>
          <w:szCs w:val="24"/>
        </w:rPr>
        <w:tab/>
        <w:t xml:space="preserve">Barrangou, R. &amp; Doudna, J. A. Applications of CRISPR technologies in research and beyond. </w:t>
      </w:r>
      <w:r w:rsidR="00D7684C" w:rsidRPr="00D7684C">
        <w:rPr>
          <w:rFonts w:ascii="Calibri" w:hAnsi="Calibri" w:cs="Calibri"/>
          <w:i/>
          <w:iCs/>
          <w:noProof/>
          <w:szCs w:val="24"/>
        </w:rPr>
        <w:t>Nat. Biotechnol.</w:t>
      </w:r>
      <w:r w:rsidR="00D7684C" w:rsidRPr="00D7684C">
        <w:rPr>
          <w:rFonts w:ascii="Calibri" w:hAnsi="Calibri" w:cs="Calibri"/>
          <w:noProof/>
          <w:szCs w:val="24"/>
        </w:rPr>
        <w:t xml:space="preserve"> </w:t>
      </w:r>
      <w:r w:rsidR="00D7684C" w:rsidRPr="00D7684C">
        <w:rPr>
          <w:rFonts w:ascii="Calibri" w:hAnsi="Calibri" w:cs="Calibri"/>
          <w:b/>
          <w:bCs/>
          <w:noProof/>
          <w:szCs w:val="24"/>
        </w:rPr>
        <w:t>34,</w:t>
      </w:r>
      <w:r w:rsidR="00D7684C" w:rsidRPr="00D7684C">
        <w:rPr>
          <w:rFonts w:ascii="Calibri" w:hAnsi="Calibri" w:cs="Calibri"/>
          <w:noProof/>
          <w:szCs w:val="24"/>
        </w:rPr>
        <w:t xml:space="preserve"> 933–941 (2016).</w:t>
      </w:r>
    </w:p>
    <w:p w14:paraId="67D40ED8"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2.</w:t>
      </w:r>
      <w:r w:rsidRPr="00D7684C">
        <w:rPr>
          <w:rFonts w:ascii="Calibri" w:hAnsi="Calibri" w:cs="Calibri"/>
          <w:noProof/>
          <w:szCs w:val="24"/>
        </w:rPr>
        <w:tab/>
        <w:t xml:space="preserve">Lin, J. &amp; Musunuru, K. Genome engineering tools for building cellular models of disease. </w:t>
      </w:r>
      <w:r w:rsidRPr="00D7684C">
        <w:rPr>
          <w:rFonts w:ascii="Calibri" w:hAnsi="Calibri" w:cs="Calibri"/>
          <w:i/>
          <w:iCs/>
          <w:noProof/>
          <w:szCs w:val="24"/>
        </w:rPr>
        <w:t>FEBS J.</w:t>
      </w:r>
      <w:r w:rsidRPr="00D7684C">
        <w:rPr>
          <w:rFonts w:ascii="Calibri" w:hAnsi="Calibri" w:cs="Calibri"/>
          <w:noProof/>
          <w:szCs w:val="24"/>
        </w:rPr>
        <w:t xml:space="preserve"> </w:t>
      </w:r>
      <w:r w:rsidRPr="00D7684C">
        <w:rPr>
          <w:rFonts w:ascii="Calibri" w:hAnsi="Calibri" w:cs="Calibri"/>
          <w:b/>
          <w:bCs/>
          <w:noProof/>
          <w:szCs w:val="24"/>
        </w:rPr>
        <w:t>283,</w:t>
      </w:r>
      <w:r w:rsidRPr="00D7684C">
        <w:rPr>
          <w:rFonts w:ascii="Calibri" w:hAnsi="Calibri" w:cs="Calibri"/>
          <w:noProof/>
          <w:szCs w:val="24"/>
        </w:rPr>
        <w:t xml:space="preserve"> 3222–3231 (2016).</w:t>
      </w:r>
    </w:p>
    <w:p w14:paraId="4D4A5B1F"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3.</w:t>
      </w:r>
      <w:r w:rsidRPr="00D7684C">
        <w:rPr>
          <w:rFonts w:ascii="Calibri" w:hAnsi="Calibri" w:cs="Calibri"/>
          <w:noProof/>
          <w:szCs w:val="24"/>
        </w:rPr>
        <w:tab/>
        <w:t xml:space="preserve">Komor, A. C., Badran, A. H. &amp; Liu, D. R. Review CRISPR-Based Technologies for the Manipulation of Eukaryotic Genomes. </w:t>
      </w:r>
      <w:r w:rsidRPr="00D7684C">
        <w:rPr>
          <w:rFonts w:ascii="Calibri" w:hAnsi="Calibri" w:cs="Calibri"/>
          <w:i/>
          <w:iCs/>
          <w:noProof/>
          <w:szCs w:val="24"/>
        </w:rPr>
        <w:t>Cell</w:t>
      </w:r>
      <w:r w:rsidRPr="00D7684C">
        <w:rPr>
          <w:rFonts w:ascii="Calibri" w:hAnsi="Calibri" w:cs="Calibri"/>
          <w:noProof/>
          <w:szCs w:val="24"/>
        </w:rPr>
        <w:t xml:space="preserve"> 1–17 (2017). doi:10.1016/j.cell.2016.10.044</w:t>
      </w:r>
    </w:p>
    <w:p w14:paraId="38968842"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4.</w:t>
      </w:r>
      <w:r w:rsidRPr="00D7684C">
        <w:rPr>
          <w:rFonts w:ascii="Calibri" w:hAnsi="Calibri" w:cs="Calibri"/>
          <w:noProof/>
          <w:szCs w:val="24"/>
        </w:rPr>
        <w:tab/>
        <w:t xml:space="preserve">Young, Y. &amp; Zhaohui, J. Gene correction in patient ‑ specific iPSCs for therapy development and disease modeling. </w:t>
      </w:r>
      <w:r w:rsidRPr="00D7684C">
        <w:rPr>
          <w:rFonts w:ascii="Calibri" w:hAnsi="Calibri" w:cs="Calibri"/>
          <w:i/>
          <w:iCs/>
          <w:noProof/>
          <w:szCs w:val="24"/>
        </w:rPr>
        <w:t>Hum. Genet.</w:t>
      </w:r>
      <w:r w:rsidRPr="00D7684C">
        <w:rPr>
          <w:rFonts w:ascii="Calibri" w:hAnsi="Calibri" w:cs="Calibri"/>
          <w:noProof/>
          <w:szCs w:val="24"/>
        </w:rPr>
        <w:t xml:space="preserve"> </w:t>
      </w:r>
      <w:r w:rsidRPr="00D7684C">
        <w:rPr>
          <w:rFonts w:ascii="Calibri" w:hAnsi="Calibri" w:cs="Calibri"/>
          <w:b/>
          <w:bCs/>
          <w:noProof/>
          <w:szCs w:val="24"/>
        </w:rPr>
        <w:t>135,</w:t>
      </w:r>
      <w:r w:rsidRPr="00D7684C">
        <w:rPr>
          <w:rFonts w:ascii="Calibri" w:hAnsi="Calibri" w:cs="Calibri"/>
          <w:noProof/>
          <w:szCs w:val="24"/>
        </w:rPr>
        <w:t xml:space="preserve"> 1041–1058 (2016).</w:t>
      </w:r>
    </w:p>
    <w:p w14:paraId="01F61735"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5.</w:t>
      </w:r>
      <w:r w:rsidRPr="00D7684C">
        <w:rPr>
          <w:rFonts w:ascii="Calibri" w:hAnsi="Calibri" w:cs="Calibri"/>
          <w:noProof/>
          <w:szCs w:val="24"/>
        </w:rPr>
        <w:tab/>
        <w:t xml:space="preserve">Hockemeyer, D. &amp; Jaenisch, R. Induced Pluripotent Stem Cells Meet Genome Editing. </w:t>
      </w:r>
      <w:r w:rsidRPr="00D7684C">
        <w:rPr>
          <w:rFonts w:ascii="Calibri" w:hAnsi="Calibri" w:cs="Calibri"/>
          <w:i/>
          <w:iCs/>
          <w:noProof/>
          <w:szCs w:val="24"/>
        </w:rPr>
        <w:t>Cell Stem Cell</w:t>
      </w:r>
      <w:r w:rsidRPr="00D7684C">
        <w:rPr>
          <w:rFonts w:ascii="Calibri" w:hAnsi="Calibri" w:cs="Calibri"/>
          <w:noProof/>
          <w:szCs w:val="24"/>
        </w:rPr>
        <w:t xml:space="preserve"> </w:t>
      </w:r>
      <w:r w:rsidRPr="00D7684C">
        <w:rPr>
          <w:rFonts w:ascii="Calibri" w:hAnsi="Calibri" w:cs="Calibri"/>
          <w:b/>
          <w:bCs/>
          <w:noProof/>
          <w:szCs w:val="24"/>
        </w:rPr>
        <w:t>18,</w:t>
      </w:r>
      <w:r w:rsidRPr="00D7684C">
        <w:rPr>
          <w:rFonts w:ascii="Calibri" w:hAnsi="Calibri" w:cs="Calibri"/>
          <w:noProof/>
          <w:szCs w:val="24"/>
        </w:rPr>
        <w:t xml:space="preserve"> 573–586 (2016).</w:t>
      </w:r>
    </w:p>
    <w:p w14:paraId="58E50DD1"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6.</w:t>
      </w:r>
      <w:r w:rsidRPr="00D7684C">
        <w:rPr>
          <w:rFonts w:ascii="Calibri" w:hAnsi="Calibri" w:cs="Calibri"/>
          <w:noProof/>
          <w:szCs w:val="24"/>
        </w:rPr>
        <w:tab/>
        <w:t xml:space="preserve">Lindsay-Mosher, N. &amp; Su, C. Cancer gene therapy: innovations in therapeutic delivery of CRISPR-Cas9. </w:t>
      </w:r>
      <w:r w:rsidRPr="00D7684C">
        <w:rPr>
          <w:rFonts w:ascii="Calibri" w:hAnsi="Calibri" w:cs="Calibri"/>
          <w:i/>
          <w:iCs/>
          <w:noProof/>
          <w:szCs w:val="24"/>
        </w:rPr>
        <w:t>Drug Discov. Today Dis. Model.</w:t>
      </w:r>
      <w:r w:rsidRPr="00D7684C">
        <w:rPr>
          <w:rFonts w:ascii="Calibri" w:hAnsi="Calibri" w:cs="Calibri"/>
          <w:noProof/>
          <w:szCs w:val="24"/>
        </w:rPr>
        <w:t xml:space="preserve"> 1–5 (2017). doi:10.1016/j.ddmod.2017.02.009</w:t>
      </w:r>
    </w:p>
    <w:p w14:paraId="664FE24B"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7.</w:t>
      </w:r>
      <w:r w:rsidRPr="00D7684C">
        <w:rPr>
          <w:rFonts w:ascii="Calibri" w:hAnsi="Calibri" w:cs="Calibri"/>
          <w:noProof/>
          <w:szCs w:val="24"/>
        </w:rPr>
        <w:tab/>
        <w:t xml:space="preserve">Kwart, D., Paquet, D., Teo, S. &amp; Tessier-lavigne, M. Precise and efficient scarless genome editing in stem cells using CORRECT. </w:t>
      </w:r>
      <w:r w:rsidRPr="00D7684C">
        <w:rPr>
          <w:rFonts w:ascii="Calibri" w:hAnsi="Calibri" w:cs="Calibri"/>
          <w:i/>
          <w:iCs/>
          <w:noProof/>
          <w:szCs w:val="24"/>
        </w:rPr>
        <w:t>Nat. Protoc.</w:t>
      </w:r>
      <w:r w:rsidRPr="00D7684C">
        <w:rPr>
          <w:rFonts w:ascii="Calibri" w:hAnsi="Calibri" w:cs="Calibri"/>
          <w:noProof/>
          <w:szCs w:val="24"/>
        </w:rPr>
        <w:t xml:space="preserve"> </w:t>
      </w:r>
      <w:r w:rsidRPr="00D7684C">
        <w:rPr>
          <w:rFonts w:ascii="Calibri" w:hAnsi="Calibri" w:cs="Calibri"/>
          <w:b/>
          <w:bCs/>
          <w:noProof/>
          <w:szCs w:val="24"/>
        </w:rPr>
        <w:t>12,</w:t>
      </w:r>
      <w:r w:rsidRPr="00D7684C">
        <w:rPr>
          <w:rFonts w:ascii="Calibri" w:hAnsi="Calibri" w:cs="Calibri"/>
          <w:noProof/>
          <w:szCs w:val="24"/>
        </w:rPr>
        <w:t xml:space="preserve"> 329–354 (2017).</w:t>
      </w:r>
    </w:p>
    <w:p w14:paraId="21A94026"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8.</w:t>
      </w:r>
      <w:r w:rsidRPr="00D7684C">
        <w:rPr>
          <w:rFonts w:ascii="Calibri" w:hAnsi="Calibri" w:cs="Calibri"/>
          <w:noProof/>
          <w:szCs w:val="24"/>
        </w:rPr>
        <w:tab/>
        <w:t xml:space="preserve">Liu, Y. </w:t>
      </w:r>
      <w:r w:rsidRPr="00D7684C">
        <w:rPr>
          <w:rFonts w:ascii="Calibri" w:hAnsi="Calibri" w:cs="Calibri"/>
          <w:i/>
          <w:iCs/>
          <w:noProof/>
          <w:szCs w:val="24"/>
        </w:rPr>
        <w:t>et al.</w:t>
      </w:r>
      <w:r w:rsidRPr="00D7684C">
        <w:rPr>
          <w:rFonts w:ascii="Calibri" w:hAnsi="Calibri" w:cs="Calibri"/>
          <w:noProof/>
          <w:szCs w:val="24"/>
        </w:rPr>
        <w:t xml:space="preserve"> One-Step Biallelic and Scarless Correction of a b -Thalassemia Mutation in Patient-Specific iPSCs without Drug Selection. </w:t>
      </w:r>
      <w:r w:rsidRPr="00D7684C">
        <w:rPr>
          <w:rFonts w:ascii="Calibri" w:hAnsi="Calibri" w:cs="Calibri"/>
          <w:i/>
          <w:iCs/>
          <w:noProof/>
          <w:szCs w:val="24"/>
        </w:rPr>
        <w:t>Mol. Ther. Nucleic Acid</w:t>
      </w:r>
      <w:r w:rsidRPr="00D7684C">
        <w:rPr>
          <w:rFonts w:ascii="Calibri" w:hAnsi="Calibri" w:cs="Calibri"/>
          <w:noProof/>
          <w:szCs w:val="24"/>
        </w:rPr>
        <w:t xml:space="preserve"> </w:t>
      </w:r>
      <w:r w:rsidRPr="00D7684C">
        <w:rPr>
          <w:rFonts w:ascii="Calibri" w:hAnsi="Calibri" w:cs="Calibri"/>
          <w:b/>
          <w:bCs/>
          <w:noProof/>
          <w:szCs w:val="24"/>
        </w:rPr>
        <w:t>6,</w:t>
      </w:r>
      <w:r w:rsidRPr="00D7684C">
        <w:rPr>
          <w:rFonts w:ascii="Calibri" w:hAnsi="Calibri" w:cs="Calibri"/>
          <w:noProof/>
          <w:szCs w:val="24"/>
        </w:rPr>
        <w:t xml:space="preserve"> 57–67 (2017).</w:t>
      </w:r>
    </w:p>
    <w:p w14:paraId="750EB0AB"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9.</w:t>
      </w:r>
      <w:r w:rsidRPr="00D7684C">
        <w:rPr>
          <w:rFonts w:ascii="Calibri" w:hAnsi="Calibri" w:cs="Calibri"/>
          <w:noProof/>
          <w:szCs w:val="24"/>
        </w:rPr>
        <w:tab/>
        <w:t xml:space="preserve">Ran, F. A. </w:t>
      </w:r>
      <w:r w:rsidRPr="00D7684C">
        <w:rPr>
          <w:rFonts w:ascii="Calibri" w:hAnsi="Calibri" w:cs="Calibri"/>
          <w:i/>
          <w:iCs/>
          <w:noProof/>
          <w:szCs w:val="24"/>
        </w:rPr>
        <w:t>et al.</w:t>
      </w:r>
      <w:r w:rsidRPr="00D7684C">
        <w:rPr>
          <w:rFonts w:ascii="Calibri" w:hAnsi="Calibri" w:cs="Calibri"/>
          <w:noProof/>
          <w:szCs w:val="24"/>
        </w:rPr>
        <w:t xml:space="preserve"> Genome engineering using the CRISPR-Cas9 system. </w:t>
      </w:r>
      <w:r w:rsidRPr="00D7684C">
        <w:rPr>
          <w:rFonts w:ascii="Calibri" w:hAnsi="Calibri" w:cs="Calibri"/>
          <w:i/>
          <w:iCs/>
          <w:noProof/>
          <w:szCs w:val="24"/>
        </w:rPr>
        <w:t>Nat Protoc</w:t>
      </w:r>
      <w:r w:rsidRPr="00D7684C">
        <w:rPr>
          <w:rFonts w:ascii="Calibri" w:hAnsi="Calibri" w:cs="Calibri"/>
          <w:noProof/>
          <w:szCs w:val="24"/>
        </w:rPr>
        <w:t xml:space="preserve"> </w:t>
      </w:r>
      <w:r w:rsidRPr="00D7684C">
        <w:rPr>
          <w:rFonts w:ascii="Calibri" w:hAnsi="Calibri" w:cs="Calibri"/>
          <w:b/>
          <w:bCs/>
          <w:noProof/>
          <w:szCs w:val="24"/>
        </w:rPr>
        <w:t>8,</w:t>
      </w:r>
      <w:r w:rsidRPr="00D7684C">
        <w:rPr>
          <w:rFonts w:ascii="Calibri" w:hAnsi="Calibri" w:cs="Calibri"/>
          <w:noProof/>
          <w:szCs w:val="24"/>
        </w:rPr>
        <w:t xml:space="preserve"> 2281–2308 (2013).</w:t>
      </w:r>
    </w:p>
    <w:p w14:paraId="4F9C792C"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10.</w:t>
      </w:r>
      <w:r w:rsidRPr="00D7684C">
        <w:rPr>
          <w:rFonts w:ascii="Calibri" w:hAnsi="Calibri" w:cs="Calibri"/>
          <w:noProof/>
          <w:szCs w:val="24"/>
        </w:rPr>
        <w:tab/>
        <w:t xml:space="preserve">Paquet, D. </w:t>
      </w:r>
      <w:r w:rsidRPr="00D7684C">
        <w:rPr>
          <w:rFonts w:ascii="Calibri" w:hAnsi="Calibri" w:cs="Calibri"/>
          <w:i/>
          <w:iCs/>
          <w:noProof/>
          <w:szCs w:val="24"/>
        </w:rPr>
        <w:t>et al.</w:t>
      </w:r>
      <w:r w:rsidRPr="00D7684C">
        <w:rPr>
          <w:rFonts w:ascii="Calibri" w:hAnsi="Calibri" w:cs="Calibri"/>
          <w:noProof/>
          <w:szCs w:val="24"/>
        </w:rPr>
        <w:t xml:space="preserve"> Efficient introduction of specific homozygous and heterozygous mutations using CRISPR/Cas9. </w:t>
      </w:r>
      <w:r w:rsidRPr="00D7684C">
        <w:rPr>
          <w:rFonts w:ascii="Calibri" w:hAnsi="Calibri" w:cs="Calibri"/>
          <w:i/>
          <w:iCs/>
          <w:noProof/>
          <w:szCs w:val="24"/>
        </w:rPr>
        <w:t>Nature</w:t>
      </w:r>
      <w:r w:rsidRPr="00D7684C">
        <w:rPr>
          <w:rFonts w:ascii="Calibri" w:hAnsi="Calibri" w:cs="Calibri"/>
          <w:noProof/>
          <w:szCs w:val="24"/>
        </w:rPr>
        <w:t xml:space="preserve"> </w:t>
      </w:r>
      <w:r w:rsidRPr="00D7684C">
        <w:rPr>
          <w:rFonts w:ascii="Calibri" w:hAnsi="Calibri" w:cs="Calibri"/>
          <w:b/>
          <w:bCs/>
          <w:noProof/>
          <w:szCs w:val="24"/>
        </w:rPr>
        <w:t>533,</w:t>
      </w:r>
      <w:r w:rsidRPr="00D7684C">
        <w:rPr>
          <w:rFonts w:ascii="Calibri" w:hAnsi="Calibri" w:cs="Calibri"/>
          <w:noProof/>
          <w:szCs w:val="24"/>
        </w:rPr>
        <w:t xml:space="preserve"> 1–18 (2016).</w:t>
      </w:r>
    </w:p>
    <w:p w14:paraId="40E159F0"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11.</w:t>
      </w:r>
      <w:r w:rsidRPr="00D7684C">
        <w:rPr>
          <w:rFonts w:ascii="Calibri" w:hAnsi="Calibri" w:cs="Calibri"/>
          <w:noProof/>
          <w:szCs w:val="24"/>
        </w:rPr>
        <w:tab/>
        <w:t xml:space="preserve">Butler, J. M. </w:t>
      </w:r>
      <w:r w:rsidRPr="00D7684C">
        <w:rPr>
          <w:rFonts w:ascii="Calibri" w:hAnsi="Calibri" w:cs="Calibri"/>
          <w:i/>
          <w:iCs/>
          <w:noProof/>
          <w:szCs w:val="24"/>
        </w:rPr>
        <w:t>et al.</w:t>
      </w:r>
      <w:r w:rsidRPr="00D7684C">
        <w:rPr>
          <w:rFonts w:ascii="Calibri" w:hAnsi="Calibri" w:cs="Calibri"/>
          <w:noProof/>
          <w:szCs w:val="24"/>
        </w:rPr>
        <w:t xml:space="preserve"> A missense variant in CST3 exerts a recessive effect on susceptibility to age-related macular degeneration resembling its association with Alzheimer’s disease. </w:t>
      </w:r>
      <w:r w:rsidRPr="00D7684C">
        <w:rPr>
          <w:rFonts w:ascii="Calibri" w:hAnsi="Calibri" w:cs="Calibri"/>
          <w:i/>
          <w:iCs/>
          <w:noProof/>
          <w:szCs w:val="24"/>
        </w:rPr>
        <w:t>Hum. Genet.</w:t>
      </w:r>
      <w:r w:rsidRPr="00D7684C">
        <w:rPr>
          <w:rFonts w:ascii="Calibri" w:hAnsi="Calibri" w:cs="Calibri"/>
          <w:noProof/>
          <w:szCs w:val="24"/>
        </w:rPr>
        <w:t xml:space="preserve"> </w:t>
      </w:r>
      <w:r w:rsidRPr="00D7684C">
        <w:rPr>
          <w:rFonts w:ascii="Calibri" w:hAnsi="Calibri" w:cs="Calibri"/>
          <w:b/>
          <w:bCs/>
          <w:noProof/>
          <w:szCs w:val="24"/>
        </w:rPr>
        <w:t>134,</w:t>
      </w:r>
      <w:r w:rsidRPr="00D7684C">
        <w:rPr>
          <w:rFonts w:ascii="Calibri" w:hAnsi="Calibri" w:cs="Calibri"/>
          <w:noProof/>
          <w:szCs w:val="24"/>
        </w:rPr>
        <w:t xml:space="preserve"> 705–715 (2015).</w:t>
      </w:r>
    </w:p>
    <w:p w14:paraId="20441492"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12.</w:t>
      </w:r>
      <w:r w:rsidRPr="00D7684C">
        <w:rPr>
          <w:rFonts w:ascii="Calibri" w:hAnsi="Calibri" w:cs="Calibri"/>
          <w:noProof/>
          <w:szCs w:val="24"/>
        </w:rPr>
        <w:tab/>
        <w:t xml:space="preserve">Hua, Y., Zhao, H., Lu, X., Kong, Y. &amp; Jin, H. Meta-Analysis of the Cystatin C (CST3) Gene G73A Polymorphism and Susceptibility to Alzheimer’s Disease. </w:t>
      </w:r>
      <w:r w:rsidRPr="00D7684C">
        <w:rPr>
          <w:rFonts w:ascii="Calibri" w:hAnsi="Calibri" w:cs="Calibri"/>
          <w:i/>
          <w:iCs/>
          <w:noProof/>
          <w:szCs w:val="24"/>
        </w:rPr>
        <w:t>Int. J. Neurosci.</w:t>
      </w:r>
      <w:r w:rsidRPr="00D7684C">
        <w:rPr>
          <w:rFonts w:ascii="Calibri" w:hAnsi="Calibri" w:cs="Calibri"/>
          <w:noProof/>
          <w:szCs w:val="24"/>
        </w:rPr>
        <w:t xml:space="preserve"> </w:t>
      </w:r>
      <w:r w:rsidRPr="00D7684C">
        <w:rPr>
          <w:rFonts w:ascii="Calibri" w:hAnsi="Calibri" w:cs="Calibri"/>
          <w:b/>
          <w:bCs/>
          <w:noProof/>
          <w:szCs w:val="24"/>
        </w:rPr>
        <w:t>122,</w:t>
      </w:r>
      <w:r w:rsidRPr="00D7684C">
        <w:rPr>
          <w:rFonts w:ascii="Calibri" w:hAnsi="Calibri" w:cs="Calibri"/>
          <w:noProof/>
          <w:szCs w:val="24"/>
        </w:rPr>
        <w:t xml:space="preserve"> 431–438 (2012).</w:t>
      </w:r>
    </w:p>
    <w:p w14:paraId="6ED5EA58"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13.</w:t>
      </w:r>
      <w:r w:rsidRPr="00D7684C">
        <w:rPr>
          <w:rFonts w:ascii="Calibri" w:hAnsi="Calibri" w:cs="Calibri"/>
          <w:noProof/>
          <w:szCs w:val="24"/>
        </w:rPr>
        <w:tab/>
        <w:t xml:space="preserve">Butler, K. Reviews of Science for Science Librarians: CRISPR-Cas9Revolutionizes Gene Editing. </w:t>
      </w:r>
      <w:r w:rsidRPr="00D7684C">
        <w:rPr>
          <w:rFonts w:ascii="Calibri" w:hAnsi="Calibri" w:cs="Calibri"/>
          <w:i/>
          <w:iCs/>
          <w:noProof/>
          <w:szCs w:val="24"/>
        </w:rPr>
        <w:t>Sci. Technol. Libr.</w:t>
      </w:r>
      <w:r w:rsidRPr="00D7684C">
        <w:rPr>
          <w:rFonts w:ascii="Calibri" w:hAnsi="Calibri" w:cs="Calibri"/>
          <w:noProof/>
          <w:szCs w:val="24"/>
        </w:rPr>
        <w:t xml:space="preserve"> </w:t>
      </w:r>
      <w:r w:rsidRPr="00D7684C">
        <w:rPr>
          <w:rFonts w:ascii="Calibri" w:hAnsi="Calibri" w:cs="Calibri"/>
          <w:b/>
          <w:bCs/>
          <w:noProof/>
          <w:szCs w:val="24"/>
        </w:rPr>
        <w:t>1109,</w:t>
      </w:r>
      <w:r w:rsidRPr="00D7684C">
        <w:rPr>
          <w:rFonts w:ascii="Calibri" w:hAnsi="Calibri" w:cs="Calibri"/>
          <w:noProof/>
          <w:szCs w:val="24"/>
        </w:rPr>
        <w:t xml:space="preserve"> (2016).</w:t>
      </w:r>
    </w:p>
    <w:p w14:paraId="1F8C32D9"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14.</w:t>
      </w:r>
      <w:r w:rsidRPr="00D7684C">
        <w:rPr>
          <w:rFonts w:ascii="Calibri" w:hAnsi="Calibri" w:cs="Calibri"/>
          <w:noProof/>
          <w:szCs w:val="24"/>
        </w:rPr>
        <w:tab/>
        <w:t xml:space="preserve">Lander, N., Chiurillo, M. A. &amp; Docampo, R. Genome Editing by CRISPR/Cas9: A Game Change </w:t>
      </w:r>
      <w:r w:rsidRPr="00D7684C">
        <w:rPr>
          <w:rFonts w:ascii="Calibri" w:hAnsi="Calibri" w:cs="Calibri"/>
          <w:noProof/>
          <w:szCs w:val="24"/>
        </w:rPr>
        <w:lastRenderedPageBreak/>
        <w:t xml:space="preserve">in the Genetic Manipulation of Protists. </w:t>
      </w:r>
      <w:r w:rsidRPr="00D7684C">
        <w:rPr>
          <w:rFonts w:ascii="Calibri" w:hAnsi="Calibri" w:cs="Calibri"/>
          <w:i/>
          <w:iCs/>
          <w:noProof/>
          <w:szCs w:val="24"/>
        </w:rPr>
        <w:t>J. Eukaryot. Microbiol.</w:t>
      </w:r>
      <w:r w:rsidRPr="00D7684C">
        <w:rPr>
          <w:rFonts w:ascii="Calibri" w:hAnsi="Calibri" w:cs="Calibri"/>
          <w:noProof/>
          <w:szCs w:val="24"/>
        </w:rPr>
        <w:t xml:space="preserve"> </w:t>
      </w:r>
      <w:r w:rsidRPr="00D7684C">
        <w:rPr>
          <w:rFonts w:ascii="Calibri" w:hAnsi="Calibri" w:cs="Calibri"/>
          <w:b/>
          <w:bCs/>
          <w:noProof/>
          <w:szCs w:val="24"/>
        </w:rPr>
        <w:t>63,</w:t>
      </w:r>
      <w:r w:rsidRPr="00D7684C">
        <w:rPr>
          <w:rFonts w:ascii="Calibri" w:hAnsi="Calibri" w:cs="Calibri"/>
          <w:noProof/>
          <w:szCs w:val="24"/>
        </w:rPr>
        <w:t xml:space="preserve"> 679–690 (2016).</w:t>
      </w:r>
    </w:p>
    <w:p w14:paraId="6087727E"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15.</w:t>
      </w:r>
      <w:r w:rsidRPr="00D7684C">
        <w:rPr>
          <w:rFonts w:ascii="Calibri" w:hAnsi="Calibri" w:cs="Calibri"/>
          <w:noProof/>
          <w:szCs w:val="24"/>
        </w:rPr>
        <w:tab/>
        <w:t xml:space="preserve">De Groote, P. </w:t>
      </w:r>
      <w:r w:rsidRPr="00D7684C">
        <w:rPr>
          <w:rFonts w:ascii="Calibri" w:hAnsi="Calibri" w:cs="Calibri"/>
          <w:i/>
          <w:iCs/>
          <w:noProof/>
          <w:szCs w:val="24"/>
        </w:rPr>
        <w:t>et al.</w:t>
      </w:r>
      <w:r w:rsidRPr="00D7684C">
        <w:rPr>
          <w:rFonts w:ascii="Calibri" w:hAnsi="Calibri" w:cs="Calibri"/>
          <w:noProof/>
          <w:szCs w:val="24"/>
        </w:rPr>
        <w:t xml:space="preserve"> Generation of a new Gateway-compatible inducible lentiviral vector platform allowing easy derivation of co-transduced cells. </w:t>
      </w:r>
      <w:r w:rsidRPr="00D7684C">
        <w:rPr>
          <w:rFonts w:ascii="Calibri" w:hAnsi="Calibri" w:cs="Calibri"/>
          <w:i/>
          <w:iCs/>
          <w:noProof/>
          <w:szCs w:val="24"/>
        </w:rPr>
        <w:t>Biotechniques</w:t>
      </w:r>
      <w:r w:rsidRPr="00D7684C">
        <w:rPr>
          <w:rFonts w:ascii="Calibri" w:hAnsi="Calibri" w:cs="Calibri"/>
          <w:noProof/>
          <w:szCs w:val="24"/>
        </w:rPr>
        <w:t xml:space="preserve"> </w:t>
      </w:r>
      <w:r w:rsidRPr="00D7684C">
        <w:rPr>
          <w:rFonts w:ascii="Calibri" w:hAnsi="Calibri" w:cs="Calibri"/>
          <w:b/>
          <w:bCs/>
          <w:noProof/>
          <w:szCs w:val="24"/>
        </w:rPr>
        <w:t>60,</w:t>
      </w:r>
      <w:r w:rsidRPr="00D7684C">
        <w:rPr>
          <w:rFonts w:ascii="Calibri" w:hAnsi="Calibri" w:cs="Calibri"/>
          <w:noProof/>
          <w:szCs w:val="24"/>
        </w:rPr>
        <w:t xml:space="preserve"> 252–9 (2016).</w:t>
      </w:r>
    </w:p>
    <w:p w14:paraId="47402670" w14:textId="4A6DD02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16.</w:t>
      </w:r>
      <w:r w:rsidRPr="00D7684C">
        <w:rPr>
          <w:rFonts w:ascii="Calibri" w:hAnsi="Calibri" w:cs="Calibri"/>
          <w:noProof/>
          <w:szCs w:val="24"/>
        </w:rPr>
        <w:tab/>
        <w:t xml:space="preserve">Kunzelmann, S., Böttcher, R., Schmidts, I. &amp; Förstemann, K. A Comprehensive Toolbox for Genome Editing in Cultured </w:t>
      </w:r>
      <w:r w:rsidRPr="00124141">
        <w:rPr>
          <w:rFonts w:ascii="Calibri" w:hAnsi="Calibri" w:cs="Calibri"/>
          <w:i/>
          <w:noProof/>
          <w:szCs w:val="24"/>
        </w:rPr>
        <w:t>Drosophila melanogaster</w:t>
      </w:r>
      <w:r w:rsidRPr="00D7684C">
        <w:rPr>
          <w:rFonts w:ascii="Calibri" w:hAnsi="Calibri" w:cs="Calibri"/>
          <w:noProof/>
          <w:szCs w:val="24"/>
        </w:rPr>
        <w:t xml:space="preserve"> Cells. </w:t>
      </w:r>
      <w:r w:rsidRPr="00D7684C">
        <w:rPr>
          <w:rFonts w:ascii="Calibri" w:hAnsi="Calibri" w:cs="Calibri"/>
          <w:i/>
          <w:iCs/>
          <w:noProof/>
          <w:szCs w:val="24"/>
        </w:rPr>
        <w:t>G3 Genes|Genomes|Genetics</w:t>
      </w:r>
      <w:r w:rsidRPr="00D7684C">
        <w:rPr>
          <w:rFonts w:ascii="Calibri" w:hAnsi="Calibri" w:cs="Calibri"/>
          <w:noProof/>
          <w:szCs w:val="24"/>
        </w:rPr>
        <w:t xml:space="preserve"> </w:t>
      </w:r>
      <w:r w:rsidRPr="00D7684C">
        <w:rPr>
          <w:rFonts w:ascii="Calibri" w:hAnsi="Calibri" w:cs="Calibri"/>
          <w:b/>
          <w:bCs/>
          <w:noProof/>
          <w:szCs w:val="24"/>
        </w:rPr>
        <w:t>6,</w:t>
      </w:r>
      <w:r w:rsidRPr="00D7684C">
        <w:rPr>
          <w:rFonts w:ascii="Calibri" w:hAnsi="Calibri" w:cs="Calibri"/>
          <w:noProof/>
          <w:szCs w:val="24"/>
        </w:rPr>
        <w:t xml:space="preserve"> 1777–1785 (2016).</w:t>
      </w:r>
    </w:p>
    <w:p w14:paraId="030F684A"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17.</w:t>
      </w:r>
      <w:r w:rsidRPr="00D7684C">
        <w:rPr>
          <w:rFonts w:ascii="Calibri" w:hAnsi="Calibri" w:cs="Calibri"/>
          <w:noProof/>
          <w:szCs w:val="24"/>
        </w:rPr>
        <w:tab/>
        <w:t xml:space="preserve">Park, A., Won, S. T., Pentecost, M., Bartkowski, W. &amp; Lee, B. CRISPR/Cas9 allows efficient and complete knock-in of a destabilization domain-tagged essential protein in a human cell line, allowing rapid knockdown of protein function. </w:t>
      </w:r>
      <w:r w:rsidRPr="00D7684C">
        <w:rPr>
          <w:rFonts w:ascii="Calibri" w:hAnsi="Calibri" w:cs="Calibri"/>
          <w:i/>
          <w:iCs/>
          <w:noProof/>
          <w:szCs w:val="24"/>
        </w:rPr>
        <w:t>PLoS One</w:t>
      </w:r>
      <w:r w:rsidRPr="00D7684C">
        <w:rPr>
          <w:rFonts w:ascii="Calibri" w:hAnsi="Calibri" w:cs="Calibri"/>
          <w:noProof/>
          <w:szCs w:val="24"/>
        </w:rPr>
        <w:t xml:space="preserve"> </w:t>
      </w:r>
      <w:r w:rsidRPr="00D7684C">
        <w:rPr>
          <w:rFonts w:ascii="Calibri" w:hAnsi="Calibri" w:cs="Calibri"/>
          <w:b/>
          <w:bCs/>
          <w:noProof/>
          <w:szCs w:val="24"/>
        </w:rPr>
        <w:t>9,</w:t>
      </w:r>
      <w:r w:rsidRPr="00D7684C">
        <w:rPr>
          <w:rFonts w:ascii="Calibri" w:hAnsi="Calibri" w:cs="Calibri"/>
          <w:noProof/>
          <w:szCs w:val="24"/>
        </w:rPr>
        <w:t xml:space="preserve"> 1–8 (2014).</w:t>
      </w:r>
    </w:p>
    <w:p w14:paraId="01208AF2"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18.</w:t>
      </w:r>
      <w:r w:rsidRPr="00D7684C">
        <w:rPr>
          <w:rFonts w:ascii="Calibri" w:hAnsi="Calibri" w:cs="Calibri"/>
          <w:noProof/>
          <w:szCs w:val="24"/>
        </w:rPr>
        <w:tab/>
        <w:t xml:space="preserve">Takayama, K. </w:t>
      </w:r>
      <w:r w:rsidRPr="00D7684C">
        <w:rPr>
          <w:rFonts w:ascii="Calibri" w:hAnsi="Calibri" w:cs="Calibri"/>
          <w:i/>
          <w:iCs/>
          <w:noProof/>
          <w:szCs w:val="24"/>
        </w:rPr>
        <w:t>et al.</w:t>
      </w:r>
      <w:r w:rsidRPr="00D7684C">
        <w:rPr>
          <w:rFonts w:ascii="Calibri" w:hAnsi="Calibri" w:cs="Calibri"/>
          <w:noProof/>
          <w:szCs w:val="24"/>
        </w:rPr>
        <w:t xml:space="preserve"> Highly efficient biallelic genome editing of human ES/iPS cells using a CRISPR/Cas9 or TALEN system. </w:t>
      </w:r>
      <w:r w:rsidRPr="00D7684C">
        <w:rPr>
          <w:rFonts w:ascii="Calibri" w:hAnsi="Calibri" w:cs="Calibri"/>
          <w:i/>
          <w:iCs/>
          <w:noProof/>
          <w:szCs w:val="24"/>
        </w:rPr>
        <w:t>Nucleic Acids Res.</w:t>
      </w:r>
      <w:r w:rsidRPr="00D7684C">
        <w:rPr>
          <w:rFonts w:ascii="Calibri" w:hAnsi="Calibri" w:cs="Calibri"/>
          <w:noProof/>
          <w:szCs w:val="24"/>
        </w:rPr>
        <w:t xml:space="preserve"> </w:t>
      </w:r>
      <w:r w:rsidRPr="00D7684C">
        <w:rPr>
          <w:rFonts w:ascii="Calibri" w:hAnsi="Calibri" w:cs="Calibri"/>
          <w:b/>
          <w:bCs/>
          <w:noProof/>
          <w:szCs w:val="24"/>
        </w:rPr>
        <w:t>45,</w:t>
      </w:r>
      <w:r w:rsidRPr="00D7684C">
        <w:rPr>
          <w:rFonts w:ascii="Calibri" w:hAnsi="Calibri" w:cs="Calibri"/>
          <w:noProof/>
          <w:szCs w:val="24"/>
        </w:rPr>
        <w:t xml:space="preserve"> 5198–5207 (2017).</w:t>
      </w:r>
    </w:p>
    <w:p w14:paraId="587F11E6"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19.</w:t>
      </w:r>
      <w:r w:rsidRPr="00D7684C">
        <w:rPr>
          <w:rFonts w:ascii="Calibri" w:hAnsi="Calibri" w:cs="Calibri"/>
          <w:noProof/>
          <w:szCs w:val="24"/>
        </w:rPr>
        <w:tab/>
        <w:t xml:space="preserve">Li, H. </w:t>
      </w:r>
      <w:r w:rsidRPr="00D7684C">
        <w:rPr>
          <w:rFonts w:ascii="Calibri" w:hAnsi="Calibri" w:cs="Calibri"/>
          <w:i/>
          <w:iCs/>
          <w:noProof/>
          <w:szCs w:val="24"/>
        </w:rPr>
        <w:t>et al.</w:t>
      </w:r>
      <w:r w:rsidRPr="00D7684C">
        <w:rPr>
          <w:rFonts w:ascii="Calibri" w:hAnsi="Calibri" w:cs="Calibri"/>
          <w:noProof/>
          <w:szCs w:val="24"/>
        </w:rPr>
        <w:t xml:space="preserve"> Design and specificity of long ssDNA donors for CRISPR-based knock-in. </w:t>
      </w:r>
      <w:r w:rsidRPr="00D7684C">
        <w:rPr>
          <w:rFonts w:ascii="Calibri" w:hAnsi="Calibri" w:cs="Calibri"/>
          <w:i/>
          <w:iCs/>
          <w:noProof/>
          <w:szCs w:val="24"/>
        </w:rPr>
        <w:t>bioRxiv</w:t>
      </w:r>
      <w:r w:rsidRPr="00D7684C">
        <w:rPr>
          <w:rFonts w:ascii="Calibri" w:hAnsi="Calibri" w:cs="Calibri"/>
          <w:noProof/>
          <w:szCs w:val="24"/>
        </w:rPr>
        <w:t xml:space="preserve"> 178905 (2017). doi:10.1101/178905</w:t>
      </w:r>
    </w:p>
    <w:p w14:paraId="1DDE86EF"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szCs w:val="24"/>
        </w:rPr>
      </w:pPr>
      <w:r w:rsidRPr="00D7684C">
        <w:rPr>
          <w:rFonts w:ascii="Calibri" w:hAnsi="Calibri" w:cs="Calibri"/>
          <w:noProof/>
          <w:szCs w:val="24"/>
        </w:rPr>
        <w:t>20.</w:t>
      </w:r>
      <w:r w:rsidRPr="00D7684C">
        <w:rPr>
          <w:rFonts w:ascii="Calibri" w:hAnsi="Calibri" w:cs="Calibri"/>
          <w:noProof/>
          <w:szCs w:val="24"/>
        </w:rPr>
        <w:tab/>
        <w:t xml:space="preserve">Duan, Y. </w:t>
      </w:r>
      <w:r w:rsidRPr="00D7684C">
        <w:rPr>
          <w:rFonts w:ascii="Calibri" w:hAnsi="Calibri" w:cs="Calibri"/>
          <w:i/>
          <w:iCs/>
          <w:noProof/>
          <w:szCs w:val="24"/>
        </w:rPr>
        <w:t>et al.</w:t>
      </w:r>
      <w:r w:rsidRPr="00D7684C">
        <w:rPr>
          <w:rFonts w:ascii="Calibri" w:hAnsi="Calibri" w:cs="Calibri"/>
          <w:noProof/>
          <w:szCs w:val="24"/>
        </w:rPr>
        <w:t xml:space="preserve"> The CRISPR/Cas9-created MDM2 T309G enhances vitreous-induced expression of MDM2 and proliferation and survival of cells. </w:t>
      </w:r>
      <w:r w:rsidRPr="00D7684C">
        <w:rPr>
          <w:rFonts w:ascii="Calibri" w:hAnsi="Calibri" w:cs="Calibri"/>
          <w:i/>
          <w:iCs/>
          <w:noProof/>
          <w:szCs w:val="24"/>
        </w:rPr>
        <w:t>J. Biol. Chem.</w:t>
      </w:r>
      <w:r w:rsidRPr="00D7684C">
        <w:rPr>
          <w:rFonts w:ascii="Calibri" w:hAnsi="Calibri" w:cs="Calibri"/>
          <w:noProof/>
          <w:szCs w:val="24"/>
        </w:rPr>
        <w:t xml:space="preserve"> </w:t>
      </w:r>
      <w:r w:rsidRPr="00D7684C">
        <w:rPr>
          <w:rFonts w:ascii="Calibri" w:hAnsi="Calibri" w:cs="Calibri"/>
          <w:b/>
          <w:bCs/>
          <w:noProof/>
          <w:szCs w:val="24"/>
        </w:rPr>
        <w:t>291,</w:t>
      </w:r>
      <w:r w:rsidRPr="00D7684C">
        <w:rPr>
          <w:rFonts w:ascii="Calibri" w:hAnsi="Calibri" w:cs="Calibri"/>
          <w:noProof/>
          <w:szCs w:val="24"/>
        </w:rPr>
        <w:t xml:space="preserve"> 16339–16347 (2016).</w:t>
      </w:r>
    </w:p>
    <w:p w14:paraId="7CEB3226" w14:textId="77777777" w:rsidR="00D7684C" w:rsidRPr="00D7684C" w:rsidRDefault="00D7684C" w:rsidP="00D7684C">
      <w:pPr>
        <w:widowControl w:val="0"/>
        <w:autoSpaceDE w:val="0"/>
        <w:autoSpaceDN w:val="0"/>
        <w:adjustRightInd w:val="0"/>
        <w:spacing w:line="240" w:lineRule="auto"/>
        <w:ind w:left="640" w:hanging="640"/>
        <w:rPr>
          <w:rFonts w:ascii="Calibri" w:hAnsi="Calibri" w:cs="Calibri"/>
          <w:noProof/>
        </w:rPr>
      </w:pPr>
      <w:r w:rsidRPr="00D7684C">
        <w:rPr>
          <w:rFonts w:ascii="Calibri" w:hAnsi="Calibri" w:cs="Calibri"/>
          <w:noProof/>
          <w:szCs w:val="24"/>
        </w:rPr>
        <w:t>21.</w:t>
      </w:r>
      <w:r w:rsidRPr="00D7684C">
        <w:rPr>
          <w:rFonts w:ascii="Calibri" w:hAnsi="Calibri" w:cs="Calibri"/>
          <w:noProof/>
          <w:szCs w:val="24"/>
        </w:rPr>
        <w:tab/>
        <w:t xml:space="preserve">Peng, R., Lin, G. &amp; Li, J. Potential pitfalls of CRISPR/Cas9-mediated genome editing. </w:t>
      </w:r>
      <w:r w:rsidRPr="00D7684C">
        <w:rPr>
          <w:rFonts w:ascii="Calibri" w:hAnsi="Calibri" w:cs="Calibri"/>
          <w:i/>
          <w:iCs/>
          <w:noProof/>
          <w:szCs w:val="24"/>
        </w:rPr>
        <w:t>FEBS J.</w:t>
      </w:r>
      <w:r w:rsidRPr="00D7684C">
        <w:rPr>
          <w:rFonts w:ascii="Calibri" w:hAnsi="Calibri" w:cs="Calibri"/>
          <w:noProof/>
          <w:szCs w:val="24"/>
        </w:rPr>
        <w:t xml:space="preserve"> </w:t>
      </w:r>
      <w:r w:rsidRPr="00D7684C">
        <w:rPr>
          <w:rFonts w:ascii="Calibri" w:hAnsi="Calibri" w:cs="Calibri"/>
          <w:b/>
          <w:bCs/>
          <w:noProof/>
          <w:szCs w:val="24"/>
        </w:rPr>
        <w:t>283,</w:t>
      </w:r>
      <w:r w:rsidRPr="00D7684C">
        <w:rPr>
          <w:rFonts w:ascii="Calibri" w:hAnsi="Calibri" w:cs="Calibri"/>
          <w:noProof/>
          <w:szCs w:val="24"/>
        </w:rPr>
        <w:t xml:space="preserve"> 1218–1231 (2015).</w:t>
      </w:r>
    </w:p>
    <w:p w14:paraId="04E37D4B" w14:textId="5A770C74" w:rsidR="00506AD0" w:rsidRDefault="00DB766F" w:rsidP="00777244">
      <w:r>
        <w:fldChar w:fldCharType="end"/>
      </w:r>
    </w:p>
    <w:p w14:paraId="226263DA" w14:textId="00663F42" w:rsidR="005352DB" w:rsidRPr="00940F72" w:rsidRDefault="00940F72" w:rsidP="00777244">
      <w:pPr>
        <w:rPr>
          <w:b/>
          <w:sz w:val="32"/>
          <w:szCs w:val="32"/>
        </w:rPr>
      </w:pPr>
      <w:r>
        <w:rPr>
          <w:b/>
          <w:sz w:val="32"/>
          <w:szCs w:val="32"/>
        </w:rPr>
        <w:t>Acknowledgements</w:t>
      </w:r>
    </w:p>
    <w:p w14:paraId="620BF942" w14:textId="48B6C22F" w:rsidR="00940F72" w:rsidRDefault="009E3B4B" w:rsidP="005E20C9">
      <w:pPr>
        <w:jc w:val="both"/>
      </w:pPr>
      <w:r>
        <w:t xml:space="preserve">WS is a recipient of a </w:t>
      </w:r>
      <w:r w:rsidRPr="009E3B4B">
        <w:t>Liverpool-</w:t>
      </w:r>
      <w:r>
        <w:t xml:space="preserve">Mahidol Partnership Scholarship. The authors gratefully acknowledge the support from The Macular Society and The Humane Research Trust UK. </w:t>
      </w:r>
    </w:p>
    <w:p w14:paraId="26445CD1" w14:textId="77777777" w:rsidR="009E3B4B" w:rsidRDefault="009E3B4B" w:rsidP="00777244"/>
    <w:p w14:paraId="27A98C4D" w14:textId="562F207E" w:rsidR="009E3B4B" w:rsidRDefault="009E3B4B" w:rsidP="00777244">
      <w:pPr>
        <w:rPr>
          <w:b/>
          <w:sz w:val="32"/>
          <w:szCs w:val="32"/>
        </w:rPr>
      </w:pPr>
      <w:r>
        <w:rPr>
          <w:b/>
          <w:sz w:val="32"/>
          <w:szCs w:val="32"/>
        </w:rPr>
        <w:t>Author Contributions</w:t>
      </w:r>
    </w:p>
    <w:p w14:paraId="2E783FAA" w14:textId="0391E0FE" w:rsidR="009E3B4B" w:rsidRPr="003D02D8" w:rsidRDefault="003D02D8" w:rsidP="005E20C9">
      <w:pPr>
        <w:jc w:val="both"/>
      </w:pPr>
      <w:r w:rsidRPr="003D02D8">
        <w:t xml:space="preserve">WS and LP conceived the study and designed the research. </w:t>
      </w:r>
      <w:r>
        <w:t>WS, E</w:t>
      </w:r>
      <w:r w:rsidR="005E20C9">
        <w:t xml:space="preserve">C, US performed experiments. All authors discussed the results, contributed to analysis and wrote and commented on the manuscript. </w:t>
      </w:r>
      <w:r w:rsidR="001C483D">
        <w:t xml:space="preserve">All authors reviewed and approved the final version of manuscript. </w:t>
      </w:r>
    </w:p>
    <w:p w14:paraId="264A506F" w14:textId="77777777" w:rsidR="00506AD0" w:rsidRDefault="00506AD0" w:rsidP="00777244">
      <w:pPr>
        <w:rPr>
          <w:b/>
          <w:sz w:val="32"/>
          <w:szCs w:val="32"/>
        </w:rPr>
      </w:pPr>
    </w:p>
    <w:p w14:paraId="68FE6367" w14:textId="46EB68C6" w:rsidR="009E3B4B" w:rsidRDefault="009E3B4B" w:rsidP="00777244">
      <w:pPr>
        <w:rPr>
          <w:b/>
          <w:sz w:val="32"/>
          <w:szCs w:val="32"/>
        </w:rPr>
      </w:pPr>
      <w:r>
        <w:rPr>
          <w:b/>
          <w:sz w:val="32"/>
          <w:szCs w:val="32"/>
        </w:rPr>
        <w:t>Additional Information</w:t>
      </w:r>
    </w:p>
    <w:p w14:paraId="02385A43" w14:textId="29BA6F90" w:rsidR="009E3B4B" w:rsidRPr="00506AD0" w:rsidRDefault="009E3B4B" w:rsidP="005E20C9">
      <w:pPr>
        <w:jc w:val="both"/>
      </w:pPr>
      <w:r w:rsidRPr="00506AD0">
        <w:rPr>
          <w:b/>
          <w:sz w:val="26"/>
          <w:szCs w:val="26"/>
        </w:rPr>
        <w:t xml:space="preserve">Competing Interests: </w:t>
      </w:r>
      <w:r w:rsidR="00506AD0">
        <w:t xml:space="preserve">The authors declare no competing </w:t>
      </w:r>
      <w:r w:rsidR="00124141">
        <w:t xml:space="preserve">(financial and non-financial) </w:t>
      </w:r>
      <w:r w:rsidR="00506AD0">
        <w:t xml:space="preserve">interests. </w:t>
      </w:r>
    </w:p>
    <w:p w14:paraId="0F068BF6" w14:textId="77777777" w:rsidR="005E20C9" w:rsidRDefault="005E20C9" w:rsidP="00777244"/>
    <w:p w14:paraId="4164E703" w14:textId="77777777" w:rsidR="00940F72" w:rsidRPr="005352DB" w:rsidRDefault="00940F72" w:rsidP="00940F72">
      <w:pPr>
        <w:pStyle w:val="Heading1"/>
        <w:rPr>
          <w:rFonts w:asciiTheme="minorHAnsi" w:hAnsiTheme="minorHAnsi"/>
          <w:b/>
          <w:color w:val="auto"/>
        </w:rPr>
      </w:pPr>
      <w:r w:rsidRPr="005352DB">
        <w:rPr>
          <w:rFonts w:asciiTheme="minorHAnsi" w:hAnsiTheme="minorHAnsi"/>
          <w:b/>
          <w:color w:val="auto"/>
        </w:rPr>
        <w:t>Figure legends</w:t>
      </w:r>
    </w:p>
    <w:p w14:paraId="56FF450A" w14:textId="77777777" w:rsidR="00940F72" w:rsidRDefault="00940F72" w:rsidP="00940F72">
      <w:pPr>
        <w:jc w:val="both"/>
        <w:rPr>
          <w:b/>
          <w:bCs/>
        </w:rPr>
      </w:pPr>
    </w:p>
    <w:p w14:paraId="1A088081" w14:textId="368797A0" w:rsidR="00940F72" w:rsidRDefault="00940F72" w:rsidP="00940F72">
      <w:pPr>
        <w:jc w:val="both"/>
      </w:pPr>
      <w:r>
        <w:rPr>
          <w:b/>
          <w:bCs/>
        </w:rPr>
        <w:t>Figure 1. Overall processes and s</w:t>
      </w:r>
      <w:r w:rsidRPr="005735DD">
        <w:rPr>
          <w:b/>
          <w:bCs/>
        </w:rPr>
        <w:t>chematic diagram</w:t>
      </w:r>
      <w:r>
        <w:rPr>
          <w:b/>
          <w:bCs/>
        </w:rPr>
        <w:t>s of plasmid donor and g</w:t>
      </w:r>
      <w:r w:rsidR="00B214DC">
        <w:rPr>
          <w:b/>
          <w:bCs/>
        </w:rPr>
        <w:t xml:space="preserve">enomic </w:t>
      </w:r>
      <w:r>
        <w:rPr>
          <w:b/>
          <w:bCs/>
        </w:rPr>
        <w:t>DNA in different stages</w:t>
      </w:r>
      <w:r w:rsidRPr="005735DD">
        <w:rPr>
          <w:b/>
          <w:bCs/>
        </w:rPr>
        <w:t xml:space="preserve"> </w:t>
      </w:r>
      <w:r>
        <w:rPr>
          <w:b/>
          <w:bCs/>
        </w:rPr>
        <w:t xml:space="preserve">of CRISPR/Cas9-mediated HDR. </w:t>
      </w:r>
      <w:r w:rsidRPr="000C12F5">
        <w:rPr>
          <w:b/>
        </w:rPr>
        <w:t>(a)</w:t>
      </w:r>
      <w:r>
        <w:t xml:space="preserve"> Flow chart of the transfection and screening steps for isolation of gene edited clones. </w:t>
      </w:r>
      <w:r w:rsidRPr="000C12F5">
        <w:rPr>
          <w:b/>
        </w:rPr>
        <w:t xml:space="preserve">(b) </w:t>
      </w:r>
      <w:r>
        <w:t xml:space="preserve">Schematic illustrations of genomic sequences and donor plasmids. Four diagrams are shown: wild-type (WT), plasmid donor, edited sequence and edited </w:t>
      </w:r>
      <w:r>
        <w:lastRenderedPageBreak/>
        <w:t>sequence after removing a reporter cassette with Cre expression. CRISPR/Cas9 cleaves at the region shown with a magenta arrow on wild-type sequence. Lines drawn above diagrams indicate PCR fragments A-F as detailed in Table 1.</w:t>
      </w:r>
    </w:p>
    <w:p w14:paraId="53368F9B" w14:textId="77777777" w:rsidR="00940F72" w:rsidRDefault="00940F72" w:rsidP="00940F72">
      <w:pPr>
        <w:jc w:val="both"/>
        <w:rPr>
          <w:b/>
          <w:bCs/>
        </w:rPr>
      </w:pPr>
    </w:p>
    <w:p w14:paraId="6F3016BB" w14:textId="75C78F56" w:rsidR="00940F72" w:rsidRPr="00E15AC5" w:rsidRDefault="00940F72" w:rsidP="00940F72">
      <w:pPr>
        <w:jc w:val="both"/>
      </w:pPr>
      <w:r>
        <w:rPr>
          <w:b/>
          <w:bCs/>
        </w:rPr>
        <w:t>Figure 2</w:t>
      </w:r>
      <w:r w:rsidRPr="005735DD">
        <w:rPr>
          <w:b/>
          <w:bCs/>
        </w:rPr>
        <w:t xml:space="preserve">. </w:t>
      </w:r>
      <w:r>
        <w:rPr>
          <w:b/>
          <w:bCs/>
        </w:rPr>
        <w:t xml:space="preserve">PCR screening of </w:t>
      </w:r>
      <w:proofErr w:type="spellStart"/>
      <w:r>
        <w:rPr>
          <w:b/>
          <w:bCs/>
        </w:rPr>
        <w:t>iPSCs</w:t>
      </w:r>
      <w:proofErr w:type="spellEnd"/>
      <w:r>
        <w:rPr>
          <w:b/>
          <w:bCs/>
        </w:rPr>
        <w:t xml:space="preserve"> gene edited with dual antibiotic selection</w:t>
      </w:r>
      <w:r w:rsidRPr="00545CEC">
        <w:rPr>
          <w:b/>
          <w:bCs/>
        </w:rPr>
        <w:t>.</w:t>
      </w:r>
      <w:r w:rsidR="000C12F5">
        <w:rPr>
          <w:b/>
          <w:bCs/>
        </w:rPr>
        <w:t xml:space="preserve"> </w:t>
      </w:r>
      <w:r w:rsidRPr="00545CEC">
        <w:rPr>
          <w:b/>
        </w:rPr>
        <w:t>(</w:t>
      </w:r>
      <w:r>
        <w:rPr>
          <w:b/>
        </w:rPr>
        <w:t>a</w:t>
      </w:r>
      <w:r w:rsidRPr="00545CEC">
        <w:rPr>
          <w:b/>
        </w:rPr>
        <w:t>)</w:t>
      </w:r>
      <w:r>
        <w:rPr>
          <w:b/>
          <w:bCs/>
        </w:rPr>
        <w:t xml:space="preserve"> </w:t>
      </w:r>
      <w:r>
        <w:t>PCR products were analysed by gel electroph</w:t>
      </w:r>
      <w:r w:rsidR="00220A85">
        <w:t>oresis and referred to in relation to the different</w:t>
      </w:r>
      <w:r>
        <w:t xml:space="preserve"> sources of templates: wild-type (WT), heterozygous changed (Het) with puromycin donor template (Puro), homozygous changed (</w:t>
      </w:r>
      <w:proofErr w:type="spellStart"/>
      <w:r>
        <w:t>Hom</w:t>
      </w:r>
      <w:proofErr w:type="spellEnd"/>
      <w:r>
        <w:t>), CRISPR/Cas9 mediated HDR (Ed</w:t>
      </w:r>
      <w:r w:rsidR="000C12F5">
        <w:t>it</w:t>
      </w:r>
      <w:r>
        <w:t>) and random plasmid integrated. M</w:t>
      </w:r>
      <w:r w:rsidRPr="00E15AC5">
        <w:t>agenta arrow</w:t>
      </w:r>
      <w:r>
        <w:t xml:space="preserve">s highlight faint bands in </w:t>
      </w:r>
      <w:r w:rsidRPr="00E15AC5">
        <w:t>agarose gel</w:t>
      </w:r>
      <w:r>
        <w:t>. Sizes of the predicted PCR products (</w:t>
      </w:r>
      <w:r w:rsidR="00220A85">
        <w:t xml:space="preserve">indicated in the </w:t>
      </w:r>
      <w:r>
        <w:t>top</w:t>
      </w:r>
      <w:r w:rsidR="00220A85">
        <w:t xml:space="preserve"> diagram) were </w:t>
      </w:r>
      <w:r>
        <w:t>confirmed by electrophoresis (</w:t>
      </w:r>
      <w:r w:rsidR="00220A85">
        <w:t xml:space="preserve">full gel shown at the </w:t>
      </w:r>
      <w:r>
        <w:t>bottom). The resulting unique patterns coul</w:t>
      </w:r>
      <w:r w:rsidR="00220A85">
        <w:t>d be used to differentiate</w:t>
      </w:r>
      <w:r>
        <w:t xml:space="preserve"> homozygous gene edits from WT and heterozygous edits. </w:t>
      </w:r>
      <w:r w:rsidRPr="00545CEC">
        <w:rPr>
          <w:b/>
        </w:rPr>
        <w:t>(</w:t>
      </w:r>
      <w:r>
        <w:rPr>
          <w:b/>
        </w:rPr>
        <w:t>b</w:t>
      </w:r>
      <w:r w:rsidRPr="00545CEC">
        <w:rPr>
          <w:b/>
        </w:rPr>
        <w:t>)</w:t>
      </w:r>
      <w:r>
        <w:t xml:space="preserve"> Antibiotic kill curves performed with </w:t>
      </w:r>
      <w:proofErr w:type="spellStart"/>
      <w:r>
        <w:t>iPSCs</w:t>
      </w:r>
      <w:proofErr w:type="spellEnd"/>
      <w:r>
        <w:t xml:space="preserve">. Cells were grown with increasing concentrations of </w:t>
      </w:r>
      <w:proofErr w:type="spellStart"/>
      <w:r>
        <w:t>puromycin</w:t>
      </w:r>
      <w:proofErr w:type="spellEnd"/>
      <w:r>
        <w:t xml:space="preserve"> (top) and </w:t>
      </w:r>
      <w:proofErr w:type="spellStart"/>
      <w:r>
        <w:t>blasticidin</w:t>
      </w:r>
      <w:proofErr w:type="spellEnd"/>
      <w:r>
        <w:t xml:space="preserve"> (bottom) for 7 days. Endpoint survival was analysed by MTT assay. Means and SEM are shown in curves </w:t>
      </w:r>
      <w:r w:rsidRPr="000C12F5">
        <w:rPr>
          <w:b/>
        </w:rPr>
        <w:t>(c)</w:t>
      </w:r>
      <w:r>
        <w:t xml:space="preserve"> Antibiotic kill curves performed with ARPE-19 cells. Means and SEM are shown in curves.</w:t>
      </w:r>
    </w:p>
    <w:p w14:paraId="22E4F394" w14:textId="77777777" w:rsidR="00940F72" w:rsidRDefault="00940F72" w:rsidP="00940F72">
      <w:pPr>
        <w:jc w:val="both"/>
        <w:rPr>
          <w:b/>
          <w:bCs/>
        </w:rPr>
      </w:pPr>
    </w:p>
    <w:p w14:paraId="4461411E" w14:textId="7A5D87F8" w:rsidR="00940F72" w:rsidRPr="005735DD" w:rsidRDefault="00940F72" w:rsidP="00940F72">
      <w:pPr>
        <w:jc w:val="both"/>
      </w:pPr>
      <w:r>
        <w:rPr>
          <w:b/>
          <w:bCs/>
        </w:rPr>
        <w:t>Figure 3</w:t>
      </w:r>
      <w:r w:rsidRPr="005735DD">
        <w:rPr>
          <w:b/>
          <w:bCs/>
        </w:rPr>
        <w:t xml:space="preserve">. </w:t>
      </w:r>
      <w:r>
        <w:rPr>
          <w:b/>
          <w:bCs/>
        </w:rPr>
        <w:t xml:space="preserve">Verification by sequencing of gene editing and retention of iPSC pluripotency. </w:t>
      </w:r>
      <w:r w:rsidRPr="00607CCA">
        <w:rPr>
          <w:b/>
        </w:rPr>
        <w:t>(</w:t>
      </w:r>
      <w:r>
        <w:rPr>
          <w:b/>
        </w:rPr>
        <w:t>a</w:t>
      </w:r>
      <w:r w:rsidRPr="00607CCA">
        <w:rPr>
          <w:b/>
        </w:rPr>
        <w:t>)</w:t>
      </w:r>
      <w:r>
        <w:t xml:space="preserve"> Sanger sequencing of genomic DNA extracted from gene edited </w:t>
      </w:r>
      <w:proofErr w:type="spellStart"/>
      <w:r>
        <w:t>iPSCs</w:t>
      </w:r>
      <w:proofErr w:type="spellEnd"/>
      <w:r>
        <w:t xml:space="preserve"> was used to identify clones harbouring hetero- or homozygous gene edits. The magenta box highlights the points of mutation. </w:t>
      </w:r>
      <w:r w:rsidRPr="00607CCA">
        <w:rPr>
          <w:b/>
        </w:rPr>
        <w:t>(</w:t>
      </w:r>
      <w:r>
        <w:rPr>
          <w:b/>
        </w:rPr>
        <w:t>b</w:t>
      </w:r>
      <w:r w:rsidRPr="00607CCA">
        <w:rPr>
          <w:b/>
        </w:rPr>
        <w:t>)</w:t>
      </w:r>
      <w:r w:rsidRPr="004426CB">
        <w:t xml:space="preserve"> </w:t>
      </w:r>
      <w:r>
        <w:t xml:space="preserve">Confirmation of successful gene editing via fluorescence microscopy. </w:t>
      </w:r>
      <w:r w:rsidRPr="004426CB">
        <w:t>Clones</w:t>
      </w:r>
      <w:r>
        <w:t xml:space="preserve"> viewed under fluorescence microscope</w:t>
      </w:r>
      <w:r w:rsidRPr="004426CB">
        <w:t xml:space="preserve"> after transfection</w:t>
      </w:r>
      <w:r>
        <w:t xml:space="preserve"> displayed </w:t>
      </w:r>
      <w:proofErr w:type="spellStart"/>
      <w:r>
        <w:t>eGFP</w:t>
      </w:r>
      <w:proofErr w:type="spellEnd"/>
      <w:r>
        <w:t xml:space="preserve"> expression. Both </w:t>
      </w:r>
      <w:proofErr w:type="spellStart"/>
      <w:r>
        <w:t>iPSCs</w:t>
      </w:r>
      <w:proofErr w:type="spellEnd"/>
      <w:r>
        <w:t xml:space="preserve"> (top) and ARPE-19 cells (bottom) are shown. Scale bars 100 </w:t>
      </w:r>
      <w:r>
        <w:rPr>
          <w:rFonts w:cstheme="minorHAnsi"/>
        </w:rPr>
        <w:t>µ</w:t>
      </w:r>
      <w:r>
        <w:t>m</w:t>
      </w:r>
      <w:r w:rsidRPr="004426CB">
        <w:t xml:space="preserve"> </w:t>
      </w:r>
      <w:r w:rsidRPr="00607CCA">
        <w:rPr>
          <w:b/>
        </w:rPr>
        <w:t>(</w:t>
      </w:r>
      <w:r>
        <w:rPr>
          <w:b/>
        </w:rPr>
        <w:t>c</w:t>
      </w:r>
      <w:r w:rsidRPr="00607CCA">
        <w:rPr>
          <w:b/>
        </w:rPr>
        <w:t>)</w:t>
      </w:r>
      <w:r w:rsidRPr="004426CB">
        <w:t xml:space="preserve"> </w:t>
      </w:r>
      <w:r>
        <w:t xml:space="preserve">Successful removal of selection cassette. </w:t>
      </w:r>
      <w:proofErr w:type="spellStart"/>
      <w:proofErr w:type="gramStart"/>
      <w:r w:rsidRPr="004426CB">
        <w:t>iPS</w:t>
      </w:r>
      <w:proofErr w:type="spellEnd"/>
      <w:proofErr w:type="gramEnd"/>
      <w:r w:rsidRPr="004426CB">
        <w:t xml:space="preserve"> clone</w:t>
      </w:r>
      <w:r>
        <w:t xml:space="preserve"> viewed under fluorescence microscope</w:t>
      </w:r>
      <w:r w:rsidRPr="004426CB">
        <w:t xml:space="preserve"> after rem</w:t>
      </w:r>
      <w:r>
        <w:t xml:space="preserve">oval of insertion cassette through Cre recombinase expression shows loss of </w:t>
      </w:r>
      <w:proofErr w:type="spellStart"/>
      <w:r>
        <w:t>eGFP</w:t>
      </w:r>
      <w:proofErr w:type="spellEnd"/>
      <w:r>
        <w:t xml:space="preserve"> expression. </w:t>
      </w:r>
      <w:r w:rsidR="006B63F2">
        <w:t xml:space="preserve">Images were captured using identical microscope settings as used for images shown in panel b. </w:t>
      </w:r>
      <w:r>
        <w:t xml:space="preserve">Scale bar 100 </w:t>
      </w:r>
      <w:r>
        <w:rPr>
          <w:rFonts w:cstheme="minorHAnsi"/>
        </w:rPr>
        <w:t>µ</w:t>
      </w:r>
      <w:r>
        <w:t xml:space="preserve">m </w:t>
      </w:r>
      <w:r w:rsidRPr="00607CCA">
        <w:rPr>
          <w:b/>
        </w:rPr>
        <w:t>(</w:t>
      </w:r>
      <w:r>
        <w:rPr>
          <w:b/>
        </w:rPr>
        <w:t>d</w:t>
      </w:r>
      <w:r w:rsidRPr="00607CCA">
        <w:rPr>
          <w:b/>
        </w:rPr>
        <w:t>)</w:t>
      </w:r>
      <w:r>
        <w:t xml:space="preserve"> Gene edited </w:t>
      </w:r>
      <w:proofErr w:type="spellStart"/>
      <w:r>
        <w:t>iPSCs</w:t>
      </w:r>
      <w:proofErr w:type="spellEnd"/>
      <w:r>
        <w:t xml:space="preserve"> are still pluripotent. </w:t>
      </w:r>
      <w:r w:rsidRPr="004426CB">
        <w:t xml:space="preserve">PSC pluripotency staining </w:t>
      </w:r>
      <w:r>
        <w:t>of</w:t>
      </w:r>
      <w:r w:rsidRPr="004426CB">
        <w:t xml:space="preserve"> wild-type </w:t>
      </w:r>
      <w:proofErr w:type="spellStart"/>
      <w:r w:rsidRPr="004426CB">
        <w:t>iPSCs</w:t>
      </w:r>
      <w:proofErr w:type="spellEnd"/>
      <w:r>
        <w:t xml:space="preserve"> (top)</w:t>
      </w:r>
      <w:r w:rsidRPr="004426CB">
        <w:t xml:space="preserve"> and the </w:t>
      </w:r>
      <w:proofErr w:type="spellStart"/>
      <w:r w:rsidRPr="004426CB">
        <w:t>iPS</w:t>
      </w:r>
      <w:proofErr w:type="spellEnd"/>
      <w:r w:rsidRPr="004426CB">
        <w:t xml:space="preserve"> clone after removal of insertion cassette</w:t>
      </w:r>
      <w:r>
        <w:t xml:space="preserve"> (bottom) show continued expression of the four markers SOX2, TRA-1-60, SSEA4, and OCT4 following gene editing. Scale bars 100 </w:t>
      </w:r>
      <w:r>
        <w:rPr>
          <w:rFonts w:cstheme="minorHAnsi"/>
        </w:rPr>
        <w:t>µ</w:t>
      </w:r>
      <w:r>
        <w:t>m.</w:t>
      </w:r>
    </w:p>
    <w:p w14:paraId="373538F5" w14:textId="77777777" w:rsidR="00940F72" w:rsidRDefault="00940F72" w:rsidP="00777244"/>
    <w:p w14:paraId="0FD6E03B" w14:textId="09340AD4" w:rsidR="005E20C9" w:rsidRDefault="005E20C9">
      <w:r>
        <w:br w:type="page"/>
      </w:r>
    </w:p>
    <w:p w14:paraId="2C900BCF" w14:textId="77777777" w:rsidR="00940F72" w:rsidRDefault="00940F72" w:rsidP="00777244"/>
    <w:p w14:paraId="7D032263" w14:textId="78E1ED70" w:rsidR="00226AB3" w:rsidRDefault="00226AB3" w:rsidP="00226AB3">
      <w:pPr>
        <w:jc w:val="both"/>
      </w:pPr>
      <w:r w:rsidRPr="00621C6C">
        <w:rPr>
          <w:b/>
          <w:bCs/>
        </w:rPr>
        <w:t>Table</w:t>
      </w:r>
      <w:r>
        <w:rPr>
          <w:b/>
          <w:bCs/>
        </w:rPr>
        <w:t xml:space="preserve"> </w:t>
      </w:r>
      <w:r w:rsidRPr="00621C6C">
        <w:rPr>
          <w:b/>
          <w:bCs/>
        </w:rPr>
        <w:t>1.</w:t>
      </w:r>
      <w:r>
        <w:t xml:space="preserve"> Primers, binding site, function and referable PCR product size</w:t>
      </w:r>
    </w:p>
    <w:tbl>
      <w:tblPr>
        <w:tblStyle w:val="TableGrid"/>
        <w:tblW w:w="0" w:type="auto"/>
        <w:tblLayout w:type="fixed"/>
        <w:tblLook w:val="04A0" w:firstRow="1" w:lastRow="0" w:firstColumn="1" w:lastColumn="0" w:noHBand="0" w:noVBand="1"/>
      </w:tblPr>
      <w:tblGrid>
        <w:gridCol w:w="824"/>
        <w:gridCol w:w="1589"/>
        <w:gridCol w:w="1589"/>
        <w:gridCol w:w="1402"/>
        <w:gridCol w:w="1204"/>
        <w:gridCol w:w="1204"/>
        <w:gridCol w:w="1204"/>
      </w:tblGrid>
      <w:tr w:rsidR="002C7DDF" w14:paraId="262A3B0F" w14:textId="77777777" w:rsidTr="002C7DDF">
        <w:tc>
          <w:tcPr>
            <w:tcW w:w="824" w:type="dxa"/>
            <w:vMerge w:val="restart"/>
          </w:tcPr>
          <w:p w14:paraId="1E7D970D" w14:textId="77777777" w:rsidR="002C7DDF" w:rsidRDefault="002C7DDF" w:rsidP="002C7DDF">
            <w:r>
              <w:t>Primer</w:t>
            </w:r>
          </w:p>
        </w:tc>
        <w:tc>
          <w:tcPr>
            <w:tcW w:w="3178" w:type="dxa"/>
            <w:gridSpan w:val="2"/>
          </w:tcPr>
          <w:p w14:paraId="53189F3E" w14:textId="77777777" w:rsidR="002C7DDF" w:rsidRDefault="002C7DDF" w:rsidP="002C7DDF">
            <w:r>
              <w:t>Binding site</w:t>
            </w:r>
          </w:p>
        </w:tc>
        <w:tc>
          <w:tcPr>
            <w:tcW w:w="1402" w:type="dxa"/>
            <w:vMerge w:val="restart"/>
          </w:tcPr>
          <w:p w14:paraId="72A1FF56" w14:textId="77777777" w:rsidR="002C7DDF" w:rsidRDefault="002C7DDF" w:rsidP="002C7DDF">
            <w:r>
              <w:t>Function</w:t>
            </w:r>
          </w:p>
        </w:tc>
        <w:tc>
          <w:tcPr>
            <w:tcW w:w="3612" w:type="dxa"/>
            <w:gridSpan w:val="3"/>
          </w:tcPr>
          <w:p w14:paraId="4BCD8313" w14:textId="77777777" w:rsidR="002C7DDF" w:rsidRDefault="002C7DDF" w:rsidP="002C7DDF">
            <w:r>
              <w:t>PCR product size</w:t>
            </w:r>
          </w:p>
        </w:tc>
      </w:tr>
      <w:tr w:rsidR="002C7DDF" w14:paraId="1AC9848B" w14:textId="77777777" w:rsidTr="002C7DDF">
        <w:tc>
          <w:tcPr>
            <w:tcW w:w="824" w:type="dxa"/>
            <w:vMerge/>
          </w:tcPr>
          <w:p w14:paraId="3D28690B" w14:textId="77777777" w:rsidR="002C7DDF" w:rsidRDefault="002C7DDF" w:rsidP="002C7DDF"/>
        </w:tc>
        <w:tc>
          <w:tcPr>
            <w:tcW w:w="1589" w:type="dxa"/>
          </w:tcPr>
          <w:p w14:paraId="5252A67C" w14:textId="77777777" w:rsidR="002C7DDF" w:rsidRDefault="002C7DDF" w:rsidP="002C7DDF">
            <w:r>
              <w:t>Forward</w:t>
            </w:r>
          </w:p>
        </w:tc>
        <w:tc>
          <w:tcPr>
            <w:tcW w:w="1589" w:type="dxa"/>
          </w:tcPr>
          <w:p w14:paraId="47C9B492" w14:textId="77777777" w:rsidR="002C7DDF" w:rsidRDefault="002C7DDF" w:rsidP="002C7DDF">
            <w:r>
              <w:t>Reverse</w:t>
            </w:r>
          </w:p>
        </w:tc>
        <w:tc>
          <w:tcPr>
            <w:tcW w:w="1402" w:type="dxa"/>
            <w:vMerge/>
          </w:tcPr>
          <w:p w14:paraId="2021107E" w14:textId="77777777" w:rsidR="002C7DDF" w:rsidRDefault="002C7DDF" w:rsidP="002C7DDF"/>
        </w:tc>
        <w:tc>
          <w:tcPr>
            <w:tcW w:w="1204" w:type="dxa"/>
          </w:tcPr>
          <w:p w14:paraId="2F82883E" w14:textId="77777777" w:rsidR="002C7DDF" w:rsidRDefault="002C7DDF" w:rsidP="002C7DDF">
            <w:r>
              <w:t>Wild type</w:t>
            </w:r>
          </w:p>
        </w:tc>
        <w:tc>
          <w:tcPr>
            <w:tcW w:w="1204" w:type="dxa"/>
          </w:tcPr>
          <w:p w14:paraId="3DB17D87" w14:textId="77777777" w:rsidR="002C7DDF" w:rsidRDefault="002C7DDF" w:rsidP="002C7DDF">
            <w:r>
              <w:t>heterozygous</w:t>
            </w:r>
          </w:p>
        </w:tc>
        <w:tc>
          <w:tcPr>
            <w:tcW w:w="1204" w:type="dxa"/>
          </w:tcPr>
          <w:p w14:paraId="5D297710" w14:textId="77777777" w:rsidR="002C7DDF" w:rsidRDefault="002C7DDF" w:rsidP="002C7DDF">
            <w:r>
              <w:t>homozygous</w:t>
            </w:r>
          </w:p>
        </w:tc>
      </w:tr>
      <w:tr w:rsidR="002C7DDF" w14:paraId="33334CC4" w14:textId="77777777" w:rsidTr="002C7DDF">
        <w:tc>
          <w:tcPr>
            <w:tcW w:w="824" w:type="dxa"/>
          </w:tcPr>
          <w:p w14:paraId="3FEE9945" w14:textId="77777777" w:rsidR="002C7DDF" w:rsidRDefault="002C7DDF" w:rsidP="002C7DDF">
            <w:r>
              <w:t>A</w:t>
            </w:r>
          </w:p>
        </w:tc>
        <w:tc>
          <w:tcPr>
            <w:tcW w:w="1589" w:type="dxa"/>
          </w:tcPr>
          <w:p w14:paraId="3F7ABE90" w14:textId="77777777" w:rsidR="002C7DDF" w:rsidRDefault="002C7DDF" w:rsidP="002C7DDF">
            <w:r>
              <w:t>5’ homology arm</w:t>
            </w:r>
          </w:p>
        </w:tc>
        <w:tc>
          <w:tcPr>
            <w:tcW w:w="1589" w:type="dxa"/>
          </w:tcPr>
          <w:p w14:paraId="62ED73A0" w14:textId="77777777" w:rsidR="002C7DDF" w:rsidRDefault="002C7DDF" w:rsidP="002C7DDF">
            <w:r>
              <w:t>3’ homology arm</w:t>
            </w:r>
          </w:p>
        </w:tc>
        <w:tc>
          <w:tcPr>
            <w:tcW w:w="1402" w:type="dxa"/>
          </w:tcPr>
          <w:p w14:paraId="4A79AEBF" w14:textId="77777777" w:rsidR="002C7DDF" w:rsidRDefault="002C7DDF" w:rsidP="002C7DDF">
            <w:r>
              <w:t>Classify wild type and edited</w:t>
            </w:r>
          </w:p>
        </w:tc>
        <w:tc>
          <w:tcPr>
            <w:tcW w:w="1204" w:type="dxa"/>
          </w:tcPr>
          <w:p w14:paraId="3931A543" w14:textId="77777777" w:rsidR="002C7DDF" w:rsidRDefault="002C7DDF" w:rsidP="002C7DDF">
            <w:r>
              <w:t>+</w:t>
            </w:r>
          </w:p>
        </w:tc>
        <w:tc>
          <w:tcPr>
            <w:tcW w:w="1204" w:type="dxa"/>
          </w:tcPr>
          <w:p w14:paraId="409DC6F1" w14:textId="77777777" w:rsidR="002C7DDF" w:rsidRDefault="002C7DDF" w:rsidP="002C7DDF">
            <w:r>
              <w:t>+ and ++</w:t>
            </w:r>
          </w:p>
        </w:tc>
        <w:tc>
          <w:tcPr>
            <w:tcW w:w="1204" w:type="dxa"/>
          </w:tcPr>
          <w:p w14:paraId="7FE5EFF3" w14:textId="77777777" w:rsidR="002C7DDF" w:rsidRDefault="002C7DDF" w:rsidP="002C7DDF">
            <w:r>
              <w:t>++</w:t>
            </w:r>
          </w:p>
        </w:tc>
      </w:tr>
      <w:tr w:rsidR="002C7DDF" w14:paraId="56FE0275" w14:textId="77777777" w:rsidTr="002C7DDF">
        <w:tc>
          <w:tcPr>
            <w:tcW w:w="824" w:type="dxa"/>
          </w:tcPr>
          <w:p w14:paraId="5214CF0C" w14:textId="77777777" w:rsidR="002C7DDF" w:rsidRDefault="002C7DDF" w:rsidP="002C7DDF">
            <w:r>
              <w:t>B</w:t>
            </w:r>
          </w:p>
        </w:tc>
        <w:tc>
          <w:tcPr>
            <w:tcW w:w="1589" w:type="dxa"/>
          </w:tcPr>
          <w:p w14:paraId="0357E305" w14:textId="77777777" w:rsidR="002C7DDF" w:rsidRDefault="002C7DDF" w:rsidP="002C7DDF">
            <w:r>
              <w:t>Inserted part</w:t>
            </w:r>
          </w:p>
        </w:tc>
        <w:tc>
          <w:tcPr>
            <w:tcW w:w="1589" w:type="dxa"/>
          </w:tcPr>
          <w:p w14:paraId="5DACDA42" w14:textId="77777777" w:rsidR="002C7DDF" w:rsidRDefault="002C7DDF" w:rsidP="002C7DDF">
            <w:r>
              <w:t>3’ homology arm</w:t>
            </w:r>
          </w:p>
        </w:tc>
        <w:tc>
          <w:tcPr>
            <w:tcW w:w="1402" w:type="dxa"/>
          </w:tcPr>
          <w:p w14:paraId="4B3DEC98" w14:textId="77777777" w:rsidR="002C7DDF" w:rsidRDefault="002C7DDF" w:rsidP="002C7DDF">
            <w:r>
              <w:t>Prove inserted</w:t>
            </w:r>
          </w:p>
        </w:tc>
        <w:tc>
          <w:tcPr>
            <w:tcW w:w="1204" w:type="dxa"/>
          </w:tcPr>
          <w:p w14:paraId="21AA5C29" w14:textId="77777777" w:rsidR="002C7DDF" w:rsidRDefault="002C7DDF" w:rsidP="002C7DDF">
            <w:r>
              <w:t>-</w:t>
            </w:r>
          </w:p>
        </w:tc>
        <w:tc>
          <w:tcPr>
            <w:tcW w:w="1204" w:type="dxa"/>
          </w:tcPr>
          <w:p w14:paraId="1F9E5BAD" w14:textId="77777777" w:rsidR="002C7DDF" w:rsidRDefault="002C7DDF" w:rsidP="002C7DDF">
            <w:r>
              <w:t>+</w:t>
            </w:r>
          </w:p>
        </w:tc>
        <w:tc>
          <w:tcPr>
            <w:tcW w:w="1204" w:type="dxa"/>
          </w:tcPr>
          <w:p w14:paraId="192FB9F7" w14:textId="77777777" w:rsidR="002C7DDF" w:rsidRDefault="002C7DDF" w:rsidP="002C7DDF">
            <w:r>
              <w:t>+</w:t>
            </w:r>
          </w:p>
        </w:tc>
      </w:tr>
      <w:tr w:rsidR="002C7DDF" w14:paraId="303CA3B6" w14:textId="77777777" w:rsidTr="002C7DDF">
        <w:tc>
          <w:tcPr>
            <w:tcW w:w="824" w:type="dxa"/>
          </w:tcPr>
          <w:p w14:paraId="69B13884" w14:textId="77777777" w:rsidR="002C7DDF" w:rsidRDefault="002C7DDF" w:rsidP="002C7DDF">
            <w:r>
              <w:t>C</w:t>
            </w:r>
          </w:p>
        </w:tc>
        <w:tc>
          <w:tcPr>
            <w:tcW w:w="1589" w:type="dxa"/>
          </w:tcPr>
          <w:p w14:paraId="4ED1FD03" w14:textId="77777777" w:rsidR="002C7DDF" w:rsidRDefault="002C7DDF" w:rsidP="002C7DDF">
            <w:r>
              <w:t>Extra reporter</w:t>
            </w:r>
          </w:p>
        </w:tc>
        <w:tc>
          <w:tcPr>
            <w:tcW w:w="1589" w:type="dxa"/>
          </w:tcPr>
          <w:p w14:paraId="68E44CDB" w14:textId="77777777" w:rsidR="002C7DDF" w:rsidRDefault="002C7DDF" w:rsidP="002C7DDF">
            <w:r>
              <w:t>Extra reporter</w:t>
            </w:r>
          </w:p>
        </w:tc>
        <w:tc>
          <w:tcPr>
            <w:tcW w:w="1402" w:type="dxa"/>
          </w:tcPr>
          <w:p w14:paraId="19655590" w14:textId="77777777" w:rsidR="002C7DDF" w:rsidRDefault="002C7DDF" w:rsidP="002C7DDF">
            <w:r>
              <w:t>Prove random integrated</w:t>
            </w:r>
          </w:p>
        </w:tc>
        <w:tc>
          <w:tcPr>
            <w:tcW w:w="1204" w:type="dxa"/>
          </w:tcPr>
          <w:p w14:paraId="5F902D48" w14:textId="77777777" w:rsidR="002C7DDF" w:rsidRDefault="002C7DDF" w:rsidP="002C7DDF">
            <w:r>
              <w:t>-</w:t>
            </w:r>
          </w:p>
        </w:tc>
        <w:tc>
          <w:tcPr>
            <w:tcW w:w="1204" w:type="dxa"/>
          </w:tcPr>
          <w:p w14:paraId="3926174C" w14:textId="77777777" w:rsidR="002C7DDF" w:rsidRDefault="002C7DDF" w:rsidP="002C7DDF">
            <w:r>
              <w:t>-</w:t>
            </w:r>
          </w:p>
        </w:tc>
        <w:tc>
          <w:tcPr>
            <w:tcW w:w="1204" w:type="dxa"/>
          </w:tcPr>
          <w:p w14:paraId="055886EB" w14:textId="77777777" w:rsidR="002C7DDF" w:rsidRDefault="002C7DDF" w:rsidP="002C7DDF">
            <w:r>
              <w:t>-</w:t>
            </w:r>
          </w:p>
        </w:tc>
      </w:tr>
      <w:tr w:rsidR="002C7DDF" w14:paraId="1C2D2596" w14:textId="77777777" w:rsidTr="002C7DDF">
        <w:tc>
          <w:tcPr>
            <w:tcW w:w="824" w:type="dxa"/>
          </w:tcPr>
          <w:p w14:paraId="21615BC1" w14:textId="77777777" w:rsidR="002C7DDF" w:rsidRDefault="002C7DDF" w:rsidP="002C7DDF">
            <w:r>
              <w:t>D</w:t>
            </w:r>
          </w:p>
        </w:tc>
        <w:tc>
          <w:tcPr>
            <w:tcW w:w="1589" w:type="dxa"/>
          </w:tcPr>
          <w:p w14:paraId="2F09BE66" w14:textId="77777777" w:rsidR="002C7DDF" w:rsidRDefault="002C7DDF" w:rsidP="002C7DDF">
            <w:r>
              <w:t>Puromycin resistant gene</w:t>
            </w:r>
          </w:p>
        </w:tc>
        <w:tc>
          <w:tcPr>
            <w:tcW w:w="1589" w:type="dxa"/>
          </w:tcPr>
          <w:p w14:paraId="23DA2D3E" w14:textId="0AD099EA" w:rsidR="002C7DDF" w:rsidRDefault="002C7DDF" w:rsidP="002C7DDF">
            <w:r w:rsidRPr="005966ED">
              <w:t>Downstream</w:t>
            </w:r>
            <w:r>
              <w:t xml:space="preserve"> 3</w:t>
            </w:r>
            <w:r w:rsidRPr="005966ED">
              <w:t>’ homology arm g</w:t>
            </w:r>
            <w:r w:rsidR="00B214DC">
              <w:t xml:space="preserve">enomic </w:t>
            </w:r>
            <w:r w:rsidRPr="005966ED">
              <w:t>DNA</w:t>
            </w:r>
          </w:p>
        </w:tc>
        <w:tc>
          <w:tcPr>
            <w:tcW w:w="1402" w:type="dxa"/>
          </w:tcPr>
          <w:p w14:paraId="0406635E" w14:textId="77777777" w:rsidR="002C7DDF" w:rsidRDefault="002C7DDF" w:rsidP="002C7DDF">
            <w:r>
              <w:t>Prove the edited allele with p</w:t>
            </w:r>
            <w:r w:rsidRPr="00532C16">
              <w:t>uromycin resistant gene</w:t>
            </w:r>
            <w:r>
              <w:t xml:space="preserve"> at correct region</w:t>
            </w:r>
          </w:p>
        </w:tc>
        <w:tc>
          <w:tcPr>
            <w:tcW w:w="1204" w:type="dxa"/>
          </w:tcPr>
          <w:p w14:paraId="041EB756" w14:textId="77777777" w:rsidR="002C7DDF" w:rsidRDefault="002C7DDF" w:rsidP="002C7DDF">
            <w:r>
              <w:t>-</w:t>
            </w:r>
          </w:p>
        </w:tc>
        <w:tc>
          <w:tcPr>
            <w:tcW w:w="1204" w:type="dxa"/>
          </w:tcPr>
          <w:p w14:paraId="296C1BD6" w14:textId="77777777" w:rsidR="002C7DDF" w:rsidRDefault="002C7DDF" w:rsidP="002C7DDF">
            <w:r>
              <w:t>+</w:t>
            </w:r>
          </w:p>
        </w:tc>
        <w:tc>
          <w:tcPr>
            <w:tcW w:w="1204" w:type="dxa"/>
          </w:tcPr>
          <w:p w14:paraId="3374A00F" w14:textId="77777777" w:rsidR="002C7DDF" w:rsidRDefault="002C7DDF" w:rsidP="002C7DDF">
            <w:r>
              <w:t>+</w:t>
            </w:r>
          </w:p>
        </w:tc>
      </w:tr>
      <w:tr w:rsidR="002C7DDF" w14:paraId="281C3E24" w14:textId="77777777" w:rsidTr="002C7DDF">
        <w:tc>
          <w:tcPr>
            <w:tcW w:w="824" w:type="dxa"/>
          </w:tcPr>
          <w:p w14:paraId="0B079F92" w14:textId="77777777" w:rsidR="002C7DDF" w:rsidRDefault="002C7DDF" w:rsidP="002C7DDF">
            <w:r>
              <w:t>E</w:t>
            </w:r>
          </w:p>
        </w:tc>
        <w:tc>
          <w:tcPr>
            <w:tcW w:w="1589" w:type="dxa"/>
          </w:tcPr>
          <w:p w14:paraId="3E8160BB" w14:textId="77777777" w:rsidR="002C7DDF" w:rsidRDefault="002C7DDF" w:rsidP="002C7DDF">
            <w:r>
              <w:t>Blasticidin resistant gene</w:t>
            </w:r>
          </w:p>
        </w:tc>
        <w:tc>
          <w:tcPr>
            <w:tcW w:w="1589" w:type="dxa"/>
          </w:tcPr>
          <w:p w14:paraId="0468C4B9" w14:textId="7FAD4FBD" w:rsidR="002C7DDF" w:rsidRDefault="002C7DDF" w:rsidP="002C7DDF">
            <w:r w:rsidRPr="005966ED">
              <w:t>Downstream</w:t>
            </w:r>
            <w:r>
              <w:t xml:space="preserve"> 3</w:t>
            </w:r>
            <w:r w:rsidRPr="005966ED">
              <w:t>’ homology arm g</w:t>
            </w:r>
            <w:r w:rsidR="00B214DC">
              <w:t xml:space="preserve">enomic </w:t>
            </w:r>
            <w:r w:rsidRPr="005966ED">
              <w:t>DNA</w:t>
            </w:r>
          </w:p>
        </w:tc>
        <w:tc>
          <w:tcPr>
            <w:tcW w:w="1402" w:type="dxa"/>
          </w:tcPr>
          <w:p w14:paraId="424F9811" w14:textId="77777777" w:rsidR="002C7DDF" w:rsidRDefault="002C7DDF" w:rsidP="002C7DDF">
            <w:r>
              <w:t xml:space="preserve">Prove the edited allele with </w:t>
            </w:r>
            <w:proofErr w:type="spellStart"/>
            <w:r>
              <w:t>blasticidin</w:t>
            </w:r>
            <w:proofErr w:type="spellEnd"/>
            <w:r w:rsidRPr="00532C16">
              <w:t xml:space="preserve"> resistant gene</w:t>
            </w:r>
            <w:r>
              <w:t xml:space="preserve"> at correct region</w:t>
            </w:r>
          </w:p>
        </w:tc>
        <w:tc>
          <w:tcPr>
            <w:tcW w:w="1204" w:type="dxa"/>
          </w:tcPr>
          <w:p w14:paraId="02899A1F" w14:textId="77777777" w:rsidR="002C7DDF" w:rsidRDefault="002C7DDF" w:rsidP="002C7DDF">
            <w:r>
              <w:t>-</w:t>
            </w:r>
          </w:p>
        </w:tc>
        <w:tc>
          <w:tcPr>
            <w:tcW w:w="1204" w:type="dxa"/>
          </w:tcPr>
          <w:p w14:paraId="73EA57D9" w14:textId="77777777" w:rsidR="002C7DDF" w:rsidRDefault="002C7DDF" w:rsidP="002C7DDF">
            <w:r>
              <w:t>+</w:t>
            </w:r>
          </w:p>
        </w:tc>
        <w:tc>
          <w:tcPr>
            <w:tcW w:w="1204" w:type="dxa"/>
          </w:tcPr>
          <w:p w14:paraId="00390FB5" w14:textId="77777777" w:rsidR="002C7DDF" w:rsidRDefault="002C7DDF" w:rsidP="002C7DDF">
            <w:r>
              <w:t>+</w:t>
            </w:r>
          </w:p>
        </w:tc>
      </w:tr>
      <w:tr w:rsidR="002C7DDF" w14:paraId="1E43333A" w14:textId="77777777" w:rsidTr="002C7DDF">
        <w:tc>
          <w:tcPr>
            <w:tcW w:w="824" w:type="dxa"/>
          </w:tcPr>
          <w:p w14:paraId="5E88A513" w14:textId="77777777" w:rsidR="002C7DDF" w:rsidRDefault="002C7DDF" w:rsidP="002C7DDF">
            <w:r>
              <w:t>F</w:t>
            </w:r>
          </w:p>
        </w:tc>
        <w:tc>
          <w:tcPr>
            <w:tcW w:w="1589" w:type="dxa"/>
          </w:tcPr>
          <w:p w14:paraId="3B31A265" w14:textId="77777777" w:rsidR="002C7DDF" w:rsidRDefault="002C7DDF" w:rsidP="002C7DDF">
            <w:r>
              <w:t>Before point of interest</w:t>
            </w:r>
          </w:p>
        </w:tc>
        <w:tc>
          <w:tcPr>
            <w:tcW w:w="1589" w:type="dxa"/>
          </w:tcPr>
          <w:p w14:paraId="7A2FC405" w14:textId="77777777" w:rsidR="002C7DDF" w:rsidRDefault="002C7DDF" w:rsidP="002C7DDF">
            <w:r>
              <w:t>After</w:t>
            </w:r>
            <w:r w:rsidRPr="005966ED">
              <w:t xml:space="preserve"> point of interest</w:t>
            </w:r>
          </w:p>
        </w:tc>
        <w:tc>
          <w:tcPr>
            <w:tcW w:w="1402" w:type="dxa"/>
          </w:tcPr>
          <w:p w14:paraId="157FF106" w14:textId="77777777" w:rsidR="002C7DDF" w:rsidRDefault="002C7DDF" w:rsidP="002C7DDF">
            <w:r>
              <w:t>Prepare for sequencing</w:t>
            </w:r>
          </w:p>
        </w:tc>
        <w:tc>
          <w:tcPr>
            <w:tcW w:w="1204" w:type="dxa"/>
          </w:tcPr>
          <w:p w14:paraId="684E3ABC" w14:textId="77777777" w:rsidR="002C7DDF" w:rsidRDefault="002C7DDF" w:rsidP="002C7DDF">
            <w:r>
              <w:t>+</w:t>
            </w:r>
          </w:p>
        </w:tc>
        <w:tc>
          <w:tcPr>
            <w:tcW w:w="1204" w:type="dxa"/>
          </w:tcPr>
          <w:p w14:paraId="1C302A0C" w14:textId="77777777" w:rsidR="002C7DDF" w:rsidRDefault="002C7DDF" w:rsidP="002C7DDF">
            <w:r>
              <w:t>+</w:t>
            </w:r>
          </w:p>
        </w:tc>
        <w:tc>
          <w:tcPr>
            <w:tcW w:w="1204" w:type="dxa"/>
          </w:tcPr>
          <w:p w14:paraId="7EC9C979" w14:textId="77777777" w:rsidR="002C7DDF" w:rsidRDefault="002C7DDF" w:rsidP="002C7DDF">
            <w:r>
              <w:t>+</w:t>
            </w:r>
          </w:p>
        </w:tc>
      </w:tr>
    </w:tbl>
    <w:p w14:paraId="42ACC3D7" w14:textId="1C8D041F" w:rsidR="00226AB3" w:rsidRDefault="002C7DDF" w:rsidP="00226AB3">
      <w:pPr>
        <w:jc w:val="both"/>
      </w:pPr>
      <w:r>
        <w:t>-: no</w:t>
      </w:r>
      <w:r w:rsidR="00226AB3">
        <w:t xml:space="preserve"> product, +: positive pr</w:t>
      </w:r>
      <w:r>
        <w:t>oduct, ++: positive product of a larger</w:t>
      </w:r>
      <w:r w:rsidR="00226AB3">
        <w:t xml:space="preserve"> size</w:t>
      </w:r>
    </w:p>
    <w:p w14:paraId="5E7E57A7" w14:textId="77777777" w:rsidR="00421241" w:rsidRPr="00421241" w:rsidRDefault="00421241" w:rsidP="00777244"/>
    <w:sectPr w:rsidR="00421241" w:rsidRPr="00421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ordia New">
    <w:panose1 w:val="00000000000000000000"/>
    <w:charset w:val="DE"/>
    <w:family w:val="roman"/>
    <w:notTrueType/>
    <w:pitch w:val="variable"/>
    <w:sig w:usb0="01000001" w:usb1="00000000" w:usb2="00000000" w:usb3="00000000" w:csb0="00010000"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ngsan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if, Umar">
    <w15:presenceInfo w15:providerId="AD" w15:userId="S-1-5-21-137024685-2204166116-4157399963-244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WwNDc0MTQ3szA0MjZS0lEKTi0uzszPAykwqwUAyfYMSywAAAA="/>
  </w:docVars>
  <w:rsids>
    <w:rsidRoot w:val="00BC6DE6"/>
    <w:rsid w:val="0000094E"/>
    <w:rsid w:val="00003786"/>
    <w:rsid w:val="00011313"/>
    <w:rsid w:val="00021011"/>
    <w:rsid w:val="0004108B"/>
    <w:rsid w:val="000479D5"/>
    <w:rsid w:val="0005518E"/>
    <w:rsid w:val="000557EF"/>
    <w:rsid w:val="00061609"/>
    <w:rsid w:val="000630CC"/>
    <w:rsid w:val="00066DAA"/>
    <w:rsid w:val="00070ADB"/>
    <w:rsid w:val="0007299F"/>
    <w:rsid w:val="000811BA"/>
    <w:rsid w:val="000939F8"/>
    <w:rsid w:val="00096DFF"/>
    <w:rsid w:val="0009793E"/>
    <w:rsid w:val="000A3455"/>
    <w:rsid w:val="000B070B"/>
    <w:rsid w:val="000C12F5"/>
    <w:rsid w:val="000C141C"/>
    <w:rsid w:val="000C2C9E"/>
    <w:rsid w:val="000C5441"/>
    <w:rsid w:val="000D4DBC"/>
    <w:rsid w:val="000E06F0"/>
    <w:rsid w:val="000E5BB9"/>
    <w:rsid w:val="000E7319"/>
    <w:rsid w:val="00100D56"/>
    <w:rsid w:val="0010515C"/>
    <w:rsid w:val="0010578B"/>
    <w:rsid w:val="001134EE"/>
    <w:rsid w:val="001204E0"/>
    <w:rsid w:val="001206C2"/>
    <w:rsid w:val="00124141"/>
    <w:rsid w:val="001259E3"/>
    <w:rsid w:val="0014244A"/>
    <w:rsid w:val="001444B8"/>
    <w:rsid w:val="00145F6F"/>
    <w:rsid w:val="00145FE6"/>
    <w:rsid w:val="00146AF3"/>
    <w:rsid w:val="00151F1E"/>
    <w:rsid w:val="001565A3"/>
    <w:rsid w:val="0016521C"/>
    <w:rsid w:val="001663B1"/>
    <w:rsid w:val="00191A80"/>
    <w:rsid w:val="00192B60"/>
    <w:rsid w:val="00193F32"/>
    <w:rsid w:val="00195308"/>
    <w:rsid w:val="001C0B0C"/>
    <w:rsid w:val="001C15F6"/>
    <w:rsid w:val="001C35BC"/>
    <w:rsid w:val="001C483D"/>
    <w:rsid w:val="001D636E"/>
    <w:rsid w:val="001D65E6"/>
    <w:rsid w:val="001D6656"/>
    <w:rsid w:val="001D7AA6"/>
    <w:rsid w:val="001F104A"/>
    <w:rsid w:val="00213447"/>
    <w:rsid w:val="00220A55"/>
    <w:rsid w:val="00220A85"/>
    <w:rsid w:val="00223AF0"/>
    <w:rsid w:val="002259C0"/>
    <w:rsid w:val="00226AB3"/>
    <w:rsid w:val="00231CA6"/>
    <w:rsid w:val="00232B3B"/>
    <w:rsid w:val="00233755"/>
    <w:rsid w:val="00234974"/>
    <w:rsid w:val="00242044"/>
    <w:rsid w:val="00243DB0"/>
    <w:rsid w:val="002450BF"/>
    <w:rsid w:val="00246952"/>
    <w:rsid w:val="0025233D"/>
    <w:rsid w:val="00252C34"/>
    <w:rsid w:val="002547F6"/>
    <w:rsid w:val="00256E32"/>
    <w:rsid w:val="002715ED"/>
    <w:rsid w:val="002800A0"/>
    <w:rsid w:val="002838A7"/>
    <w:rsid w:val="002869FF"/>
    <w:rsid w:val="002959B8"/>
    <w:rsid w:val="002960EC"/>
    <w:rsid w:val="0029664E"/>
    <w:rsid w:val="002B3448"/>
    <w:rsid w:val="002B3BBF"/>
    <w:rsid w:val="002C7DDF"/>
    <w:rsid w:val="002D12C8"/>
    <w:rsid w:val="002D1E6C"/>
    <w:rsid w:val="002D1F1B"/>
    <w:rsid w:val="002D231B"/>
    <w:rsid w:val="002E7EF5"/>
    <w:rsid w:val="002F367A"/>
    <w:rsid w:val="002F4EBF"/>
    <w:rsid w:val="0030247A"/>
    <w:rsid w:val="00304D9A"/>
    <w:rsid w:val="003061BA"/>
    <w:rsid w:val="00315B5F"/>
    <w:rsid w:val="00325028"/>
    <w:rsid w:val="00332345"/>
    <w:rsid w:val="00336639"/>
    <w:rsid w:val="00343C73"/>
    <w:rsid w:val="00352543"/>
    <w:rsid w:val="0036477B"/>
    <w:rsid w:val="003679C8"/>
    <w:rsid w:val="00373C1D"/>
    <w:rsid w:val="003843F1"/>
    <w:rsid w:val="00384853"/>
    <w:rsid w:val="0038533E"/>
    <w:rsid w:val="00385830"/>
    <w:rsid w:val="003860A1"/>
    <w:rsid w:val="003866C4"/>
    <w:rsid w:val="003867EC"/>
    <w:rsid w:val="003A5DF2"/>
    <w:rsid w:val="003A6DD4"/>
    <w:rsid w:val="003B2204"/>
    <w:rsid w:val="003C5BFC"/>
    <w:rsid w:val="003C7FAC"/>
    <w:rsid w:val="003D02D8"/>
    <w:rsid w:val="003D1A3C"/>
    <w:rsid w:val="003D4771"/>
    <w:rsid w:val="003D50AE"/>
    <w:rsid w:val="003E0D85"/>
    <w:rsid w:val="003E54D0"/>
    <w:rsid w:val="003F4196"/>
    <w:rsid w:val="004144E1"/>
    <w:rsid w:val="004147B1"/>
    <w:rsid w:val="00421241"/>
    <w:rsid w:val="00421B5F"/>
    <w:rsid w:val="00422D04"/>
    <w:rsid w:val="00424673"/>
    <w:rsid w:val="00425A57"/>
    <w:rsid w:val="00430EB2"/>
    <w:rsid w:val="004367E4"/>
    <w:rsid w:val="0044002B"/>
    <w:rsid w:val="00441718"/>
    <w:rsid w:val="004426CB"/>
    <w:rsid w:val="0044637C"/>
    <w:rsid w:val="004537B9"/>
    <w:rsid w:val="0046349C"/>
    <w:rsid w:val="00476C4D"/>
    <w:rsid w:val="004923F2"/>
    <w:rsid w:val="00495866"/>
    <w:rsid w:val="004A1635"/>
    <w:rsid w:val="004A2641"/>
    <w:rsid w:val="004B584C"/>
    <w:rsid w:val="004C020E"/>
    <w:rsid w:val="004C3B0A"/>
    <w:rsid w:val="004C5669"/>
    <w:rsid w:val="004D6349"/>
    <w:rsid w:val="004E22E3"/>
    <w:rsid w:val="004E3168"/>
    <w:rsid w:val="004E4E7D"/>
    <w:rsid w:val="004E4FB6"/>
    <w:rsid w:val="004E69DA"/>
    <w:rsid w:val="004E7B7D"/>
    <w:rsid w:val="005017B5"/>
    <w:rsid w:val="0050192A"/>
    <w:rsid w:val="00506044"/>
    <w:rsid w:val="00506AD0"/>
    <w:rsid w:val="00507310"/>
    <w:rsid w:val="00520646"/>
    <w:rsid w:val="00520CFA"/>
    <w:rsid w:val="00532C16"/>
    <w:rsid w:val="00532CF5"/>
    <w:rsid w:val="005352DB"/>
    <w:rsid w:val="005369B2"/>
    <w:rsid w:val="00543935"/>
    <w:rsid w:val="00544508"/>
    <w:rsid w:val="00545820"/>
    <w:rsid w:val="00545CEC"/>
    <w:rsid w:val="005542B9"/>
    <w:rsid w:val="00554592"/>
    <w:rsid w:val="00557A41"/>
    <w:rsid w:val="00564EB0"/>
    <w:rsid w:val="005735DD"/>
    <w:rsid w:val="00577D52"/>
    <w:rsid w:val="005835B8"/>
    <w:rsid w:val="00584436"/>
    <w:rsid w:val="005911AE"/>
    <w:rsid w:val="005937E4"/>
    <w:rsid w:val="005966ED"/>
    <w:rsid w:val="00596A5C"/>
    <w:rsid w:val="005A3314"/>
    <w:rsid w:val="005A7167"/>
    <w:rsid w:val="005C7E81"/>
    <w:rsid w:val="005D0C26"/>
    <w:rsid w:val="005D156B"/>
    <w:rsid w:val="005D5652"/>
    <w:rsid w:val="005D6CC0"/>
    <w:rsid w:val="005D6D47"/>
    <w:rsid w:val="005E20C9"/>
    <w:rsid w:val="005F2635"/>
    <w:rsid w:val="005F5341"/>
    <w:rsid w:val="005F7287"/>
    <w:rsid w:val="00607CCA"/>
    <w:rsid w:val="00621C6C"/>
    <w:rsid w:val="00624FCD"/>
    <w:rsid w:val="00627BA6"/>
    <w:rsid w:val="00627EED"/>
    <w:rsid w:val="00635B06"/>
    <w:rsid w:val="00641F9C"/>
    <w:rsid w:val="00663AA9"/>
    <w:rsid w:val="0068674A"/>
    <w:rsid w:val="00696953"/>
    <w:rsid w:val="006A17A3"/>
    <w:rsid w:val="006A2D2C"/>
    <w:rsid w:val="006B0CD0"/>
    <w:rsid w:val="006B4C83"/>
    <w:rsid w:val="006B63F2"/>
    <w:rsid w:val="006D1BB0"/>
    <w:rsid w:val="006D40AC"/>
    <w:rsid w:val="006E289F"/>
    <w:rsid w:val="006E3F97"/>
    <w:rsid w:val="006E4C16"/>
    <w:rsid w:val="006F7BA3"/>
    <w:rsid w:val="007021FC"/>
    <w:rsid w:val="007035A0"/>
    <w:rsid w:val="00724F7D"/>
    <w:rsid w:val="007325DE"/>
    <w:rsid w:val="00733BAD"/>
    <w:rsid w:val="00737C68"/>
    <w:rsid w:val="00752390"/>
    <w:rsid w:val="00753E91"/>
    <w:rsid w:val="00754E67"/>
    <w:rsid w:val="007643B5"/>
    <w:rsid w:val="00777244"/>
    <w:rsid w:val="00782028"/>
    <w:rsid w:val="00791E7A"/>
    <w:rsid w:val="00794C7E"/>
    <w:rsid w:val="007B6F24"/>
    <w:rsid w:val="007B7467"/>
    <w:rsid w:val="007C60CD"/>
    <w:rsid w:val="007C71EA"/>
    <w:rsid w:val="007D0196"/>
    <w:rsid w:val="007E29FF"/>
    <w:rsid w:val="007E39EE"/>
    <w:rsid w:val="007E5D31"/>
    <w:rsid w:val="007F281F"/>
    <w:rsid w:val="007F463C"/>
    <w:rsid w:val="00802350"/>
    <w:rsid w:val="0080517C"/>
    <w:rsid w:val="0080612F"/>
    <w:rsid w:val="0081067F"/>
    <w:rsid w:val="008144D9"/>
    <w:rsid w:val="00833D23"/>
    <w:rsid w:val="00837DFE"/>
    <w:rsid w:val="008611DE"/>
    <w:rsid w:val="00861C70"/>
    <w:rsid w:val="00862223"/>
    <w:rsid w:val="008736E3"/>
    <w:rsid w:val="00873DD5"/>
    <w:rsid w:val="008969DF"/>
    <w:rsid w:val="0089760A"/>
    <w:rsid w:val="008A3DDA"/>
    <w:rsid w:val="008D2957"/>
    <w:rsid w:val="008D336D"/>
    <w:rsid w:val="00906793"/>
    <w:rsid w:val="00916D37"/>
    <w:rsid w:val="00921A43"/>
    <w:rsid w:val="00922170"/>
    <w:rsid w:val="00922933"/>
    <w:rsid w:val="00922D2E"/>
    <w:rsid w:val="00935C1A"/>
    <w:rsid w:val="00940A2A"/>
    <w:rsid w:val="00940F72"/>
    <w:rsid w:val="009428DC"/>
    <w:rsid w:val="00951192"/>
    <w:rsid w:val="0096361D"/>
    <w:rsid w:val="00966242"/>
    <w:rsid w:val="00975F5F"/>
    <w:rsid w:val="009774A3"/>
    <w:rsid w:val="00980F71"/>
    <w:rsid w:val="00990E80"/>
    <w:rsid w:val="009A31D3"/>
    <w:rsid w:val="009B1662"/>
    <w:rsid w:val="009C0EF9"/>
    <w:rsid w:val="009C2152"/>
    <w:rsid w:val="009C4F72"/>
    <w:rsid w:val="009E3B4B"/>
    <w:rsid w:val="009F0061"/>
    <w:rsid w:val="00A00441"/>
    <w:rsid w:val="00A007AB"/>
    <w:rsid w:val="00A05DC6"/>
    <w:rsid w:val="00A11819"/>
    <w:rsid w:val="00A1399C"/>
    <w:rsid w:val="00A32113"/>
    <w:rsid w:val="00A35B9E"/>
    <w:rsid w:val="00A50235"/>
    <w:rsid w:val="00A64184"/>
    <w:rsid w:val="00A703BF"/>
    <w:rsid w:val="00A76077"/>
    <w:rsid w:val="00A77DE0"/>
    <w:rsid w:val="00A819E1"/>
    <w:rsid w:val="00A828C3"/>
    <w:rsid w:val="00A865BE"/>
    <w:rsid w:val="00A908A0"/>
    <w:rsid w:val="00A97371"/>
    <w:rsid w:val="00AA28F1"/>
    <w:rsid w:val="00AB3415"/>
    <w:rsid w:val="00AC6EE1"/>
    <w:rsid w:val="00AD3F4C"/>
    <w:rsid w:val="00AD7363"/>
    <w:rsid w:val="00AE0327"/>
    <w:rsid w:val="00AE3BE8"/>
    <w:rsid w:val="00AE709B"/>
    <w:rsid w:val="00AF19F1"/>
    <w:rsid w:val="00AF3A5E"/>
    <w:rsid w:val="00AF60FF"/>
    <w:rsid w:val="00B214DC"/>
    <w:rsid w:val="00B32A83"/>
    <w:rsid w:val="00B340F9"/>
    <w:rsid w:val="00B367B9"/>
    <w:rsid w:val="00B42ADC"/>
    <w:rsid w:val="00B42F31"/>
    <w:rsid w:val="00B444B8"/>
    <w:rsid w:val="00B51C45"/>
    <w:rsid w:val="00B55389"/>
    <w:rsid w:val="00B556FB"/>
    <w:rsid w:val="00B57931"/>
    <w:rsid w:val="00B62290"/>
    <w:rsid w:val="00B63C24"/>
    <w:rsid w:val="00B66DAD"/>
    <w:rsid w:val="00B67AD1"/>
    <w:rsid w:val="00B72298"/>
    <w:rsid w:val="00B80D44"/>
    <w:rsid w:val="00B82E69"/>
    <w:rsid w:val="00B841CA"/>
    <w:rsid w:val="00B85118"/>
    <w:rsid w:val="00B854C9"/>
    <w:rsid w:val="00B91B20"/>
    <w:rsid w:val="00BA1724"/>
    <w:rsid w:val="00BA44A9"/>
    <w:rsid w:val="00BB079F"/>
    <w:rsid w:val="00BB56B7"/>
    <w:rsid w:val="00BC390E"/>
    <w:rsid w:val="00BC6DE6"/>
    <w:rsid w:val="00BD2B0A"/>
    <w:rsid w:val="00BD56E9"/>
    <w:rsid w:val="00BD76C8"/>
    <w:rsid w:val="00BE648F"/>
    <w:rsid w:val="00BF2308"/>
    <w:rsid w:val="00BF4974"/>
    <w:rsid w:val="00C007DF"/>
    <w:rsid w:val="00C03130"/>
    <w:rsid w:val="00C06770"/>
    <w:rsid w:val="00C07FC1"/>
    <w:rsid w:val="00C16EDF"/>
    <w:rsid w:val="00C249BC"/>
    <w:rsid w:val="00C268D9"/>
    <w:rsid w:val="00C31D51"/>
    <w:rsid w:val="00C44A75"/>
    <w:rsid w:val="00C60F5A"/>
    <w:rsid w:val="00C6746A"/>
    <w:rsid w:val="00C83FAD"/>
    <w:rsid w:val="00C842E8"/>
    <w:rsid w:val="00C909A4"/>
    <w:rsid w:val="00C91188"/>
    <w:rsid w:val="00C95E6D"/>
    <w:rsid w:val="00C968E8"/>
    <w:rsid w:val="00CB2751"/>
    <w:rsid w:val="00CB421F"/>
    <w:rsid w:val="00CC005D"/>
    <w:rsid w:val="00CC268D"/>
    <w:rsid w:val="00CC2A13"/>
    <w:rsid w:val="00CD2D0A"/>
    <w:rsid w:val="00CD5327"/>
    <w:rsid w:val="00CE07ED"/>
    <w:rsid w:val="00CE4431"/>
    <w:rsid w:val="00CE48DC"/>
    <w:rsid w:val="00CF066A"/>
    <w:rsid w:val="00CF3DFF"/>
    <w:rsid w:val="00CF4354"/>
    <w:rsid w:val="00D07DD9"/>
    <w:rsid w:val="00D144F7"/>
    <w:rsid w:val="00D24540"/>
    <w:rsid w:val="00D32794"/>
    <w:rsid w:val="00D362F0"/>
    <w:rsid w:val="00D626E3"/>
    <w:rsid w:val="00D657D5"/>
    <w:rsid w:val="00D66637"/>
    <w:rsid w:val="00D7684C"/>
    <w:rsid w:val="00D965A8"/>
    <w:rsid w:val="00DA1B5E"/>
    <w:rsid w:val="00DA63B3"/>
    <w:rsid w:val="00DA653C"/>
    <w:rsid w:val="00DB32AC"/>
    <w:rsid w:val="00DB766F"/>
    <w:rsid w:val="00DC2C9B"/>
    <w:rsid w:val="00DD411E"/>
    <w:rsid w:val="00DD6BE2"/>
    <w:rsid w:val="00DF1B15"/>
    <w:rsid w:val="00E11110"/>
    <w:rsid w:val="00E12FA0"/>
    <w:rsid w:val="00E15AC5"/>
    <w:rsid w:val="00E16F26"/>
    <w:rsid w:val="00E279ED"/>
    <w:rsid w:val="00E30BD8"/>
    <w:rsid w:val="00E4368B"/>
    <w:rsid w:val="00E50966"/>
    <w:rsid w:val="00E52FC3"/>
    <w:rsid w:val="00E53025"/>
    <w:rsid w:val="00E72757"/>
    <w:rsid w:val="00E779C7"/>
    <w:rsid w:val="00E808AD"/>
    <w:rsid w:val="00E84957"/>
    <w:rsid w:val="00E90FD4"/>
    <w:rsid w:val="00EA0801"/>
    <w:rsid w:val="00EA3BF5"/>
    <w:rsid w:val="00EA7FA7"/>
    <w:rsid w:val="00EB2AC7"/>
    <w:rsid w:val="00EB4BAD"/>
    <w:rsid w:val="00EB7A3D"/>
    <w:rsid w:val="00EC1849"/>
    <w:rsid w:val="00ED2169"/>
    <w:rsid w:val="00ED57DD"/>
    <w:rsid w:val="00EE3FAA"/>
    <w:rsid w:val="00EE6797"/>
    <w:rsid w:val="00F1745B"/>
    <w:rsid w:val="00F30EBD"/>
    <w:rsid w:val="00F33CF1"/>
    <w:rsid w:val="00F37A16"/>
    <w:rsid w:val="00F43B71"/>
    <w:rsid w:val="00F4451B"/>
    <w:rsid w:val="00F45E06"/>
    <w:rsid w:val="00F65572"/>
    <w:rsid w:val="00F65D1D"/>
    <w:rsid w:val="00F733BB"/>
    <w:rsid w:val="00F75111"/>
    <w:rsid w:val="00F77E92"/>
    <w:rsid w:val="00F84CF1"/>
    <w:rsid w:val="00F93554"/>
    <w:rsid w:val="00F9387D"/>
    <w:rsid w:val="00FA385E"/>
    <w:rsid w:val="00FA4257"/>
    <w:rsid w:val="00FB3394"/>
    <w:rsid w:val="00FC4CEB"/>
    <w:rsid w:val="00FE0FE7"/>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1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41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41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DE6"/>
    <w:rPr>
      <w:color w:val="0563C1" w:themeColor="hyperlink"/>
      <w:u w:val="single"/>
    </w:rPr>
  </w:style>
  <w:style w:type="paragraph" w:styleId="Title">
    <w:name w:val="Title"/>
    <w:basedOn w:val="Normal"/>
    <w:next w:val="Normal"/>
    <w:link w:val="TitleChar"/>
    <w:uiPriority w:val="10"/>
    <w:qFormat/>
    <w:rsid w:val="003F41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1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F41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419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55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2170"/>
    <w:rPr>
      <w:sz w:val="16"/>
      <w:szCs w:val="16"/>
    </w:rPr>
  </w:style>
  <w:style w:type="paragraph" w:styleId="CommentText">
    <w:name w:val="annotation text"/>
    <w:basedOn w:val="Normal"/>
    <w:link w:val="CommentTextChar"/>
    <w:uiPriority w:val="99"/>
    <w:semiHidden/>
    <w:unhideWhenUsed/>
    <w:rsid w:val="00922170"/>
    <w:pPr>
      <w:spacing w:line="240" w:lineRule="auto"/>
    </w:pPr>
    <w:rPr>
      <w:sz w:val="20"/>
      <w:szCs w:val="20"/>
    </w:rPr>
  </w:style>
  <w:style w:type="character" w:customStyle="1" w:styleId="CommentTextChar">
    <w:name w:val="Comment Text Char"/>
    <w:basedOn w:val="DefaultParagraphFont"/>
    <w:link w:val="CommentText"/>
    <w:uiPriority w:val="99"/>
    <w:semiHidden/>
    <w:rsid w:val="00922170"/>
    <w:rPr>
      <w:sz w:val="20"/>
      <w:szCs w:val="20"/>
    </w:rPr>
  </w:style>
  <w:style w:type="paragraph" w:styleId="CommentSubject">
    <w:name w:val="annotation subject"/>
    <w:basedOn w:val="CommentText"/>
    <w:next w:val="CommentText"/>
    <w:link w:val="CommentSubjectChar"/>
    <w:uiPriority w:val="99"/>
    <w:semiHidden/>
    <w:unhideWhenUsed/>
    <w:rsid w:val="00922170"/>
    <w:rPr>
      <w:b/>
      <w:bCs/>
    </w:rPr>
  </w:style>
  <w:style w:type="character" w:customStyle="1" w:styleId="CommentSubjectChar">
    <w:name w:val="Comment Subject Char"/>
    <w:basedOn w:val="CommentTextChar"/>
    <w:link w:val="CommentSubject"/>
    <w:uiPriority w:val="99"/>
    <w:semiHidden/>
    <w:rsid w:val="00922170"/>
    <w:rPr>
      <w:b/>
      <w:bCs/>
      <w:sz w:val="20"/>
      <w:szCs w:val="20"/>
    </w:rPr>
  </w:style>
  <w:style w:type="paragraph" w:styleId="BalloonText">
    <w:name w:val="Balloon Text"/>
    <w:basedOn w:val="Normal"/>
    <w:link w:val="BalloonTextChar"/>
    <w:uiPriority w:val="99"/>
    <w:semiHidden/>
    <w:unhideWhenUsed/>
    <w:rsid w:val="0092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70"/>
    <w:rPr>
      <w:rFonts w:ascii="Tahoma" w:hAnsi="Tahoma" w:cs="Tahoma"/>
      <w:sz w:val="16"/>
      <w:szCs w:val="16"/>
    </w:rPr>
  </w:style>
  <w:style w:type="character" w:customStyle="1" w:styleId="apple-converted-space">
    <w:name w:val="apple-converted-space"/>
    <w:basedOn w:val="DefaultParagraphFont"/>
    <w:rsid w:val="002D1F1B"/>
  </w:style>
  <w:style w:type="paragraph" w:styleId="Revision">
    <w:name w:val="Revision"/>
    <w:hidden/>
    <w:uiPriority w:val="99"/>
    <w:semiHidden/>
    <w:rsid w:val="0021344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41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41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DE6"/>
    <w:rPr>
      <w:color w:val="0563C1" w:themeColor="hyperlink"/>
      <w:u w:val="single"/>
    </w:rPr>
  </w:style>
  <w:style w:type="paragraph" w:styleId="Title">
    <w:name w:val="Title"/>
    <w:basedOn w:val="Normal"/>
    <w:next w:val="Normal"/>
    <w:link w:val="TitleChar"/>
    <w:uiPriority w:val="10"/>
    <w:qFormat/>
    <w:rsid w:val="003F41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1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F41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419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55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2170"/>
    <w:rPr>
      <w:sz w:val="16"/>
      <w:szCs w:val="16"/>
    </w:rPr>
  </w:style>
  <w:style w:type="paragraph" w:styleId="CommentText">
    <w:name w:val="annotation text"/>
    <w:basedOn w:val="Normal"/>
    <w:link w:val="CommentTextChar"/>
    <w:uiPriority w:val="99"/>
    <w:semiHidden/>
    <w:unhideWhenUsed/>
    <w:rsid w:val="00922170"/>
    <w:pPr>
      <w:spacing w:line="240" w:lineRule="auto"/>
    </w:pPr>
    <w:rPr>
      <w:sz w:val="20"/>
      <w:szCs w:val="20"/>
    </w:rPr>
  </w:style>
  <w:style w:type="character" w:customStyle="1" w:styleId="CommentTextChar">
    <w:name w:val="Comment Text Char"/>
    <w:basedOn w:val="DefaultParagraphFont"/>
    <w:link w:val="CommentText"/>
    <w:uiPriority w:val="99"/>
    <w:semiHidden/>
    <w:rsid w:val="00922170"/>
    <w:rPr>
      <w:sz w:val="20"/>
      <w:szCs w:val="20"/>
    </w:rPr>
  </w:style>
  <w:style w:type="paragraph" w:styleId="CommentSubject">
    <w:name w:val="annotation subject"/>
    <w:basedOn w:val="CommentText"/>
    <w:next w:val="CommentText"/>
    <w:link w:val="CommentSubjectChar"/>
    <w:uiPriority w:val="99"/>
    <w:semiHidden/>
    <w:unhideWhenUsed/>
    <w:rsid w:val="00922170"/>
    <w:rPr>
      <w:b/>
      <w:bCs/>
    </w:rPr>
  </w:style>
  <w:style w:type="character" w:customStyle="1" w:styleId="CommentSubjectChar">
    <w:name w:val="Comment Subject Char"/>
    <w:basedOn w:val="CommentTextChar"/>
    <w:link w:val="CommentSubject"/>
    <w:uiPriority w:val="99"/>
    <w:semiHidden/>
    <w:rsid w:val="00922170"/>
    <w:rPr>
      <w:b/>
      <w:bCs/>
      <w:sz w:val="20"/>
      <w:szCs w:val="20"/>
    </w:rPr>
  </w:style>
  <w:style w:type="paragraph" w:styleId="BalloonText">
    <w:name w:val="Balloon Text"/>
    <w:basedOn w:val="Normal"/>
    <w:link w:val="BalloonTextChar"/>
    <w:uiPriority w:val="99"/>
    <w:semiHidden/>
    <w:unhideWhenUsed/>
    <w:rsid w:val="0092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70"/>
    <w:rPr>
      <w:rFonts w:ascii="Tahoma" w:hAnsi="Tahoma" w:cs="Tahoma"/>
      <w:sz w:val="16"/>
      <w:szCs w:val="16"/>
    </w:rPr>
  </w:style>
  <w:style w:type="character" w:customStyle="1" w:styleId="apple-converted-space">
    <w:name w:val="apple-converted-space"/>
    <w:basedOn w:val="DefaultParagraphFont"/>
    <w:rsid w:val="002D1F1B"/>
  </w:style>
  <w:style w:type="paragraph" w:styleId="Revision">
    <w:name w:val="Revision"/>
    <w:hidden/>
    <w:uiPriority w:val="99"/>
    <w:semiHidden/>
    <w:rsid w:val="00213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paraoan@liverpool.ac.uk"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83F3-3B3C-E742-B379-008FC813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11626</Words>
  <Characters>66271</Characters>
  <Application>Microsoft Macintosh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Supharattanasitthi, Wasu</dc:creator>
  <cp:lastModifiedBy>Luminita Paraoan</cp:lastModifiedBy>
  <cp:revision>2</cp:revision>
  <dcterms:created xsi:type="dcterms:W3CDTF">2018-11-26T16:20:00Z</dcterms:created>
  <dcterms:modified xsi:type="dcterms:W3CDTF">2018-11-26T16:20:00Z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bacab780-f935-3d8b-a94c-6b0a0470aacd</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http://www.zotero.org/styles/scientific-reports</vt:lpwstr>
  </property>
  <property fmtid="{D5CDD505-2E9C-101B-9397-08002B2CF9AE}" pid="19" name="Mendeley Recent Style Name 7_1">
    <vt:lpwstr>Scientific Reports</vt:lpwstr>
  </property>
  <property fmtid="{D5CDD505-2E9C-101B-9397-08002B2CF9AE}" pid="20" name="Mendeley Recent Style Id 8_1">
    <vt:lpwstr>http://www.zotero.org/styles/stem-cell-research</vt:lpwstr>
  </property>
  <property fmtid="{D5CDD505-2E9C-101B-9397-08002B2CF9AE}" pid="21" name="Mendeley Recent Style Name 8_1">
    <vt:lpwstr>Stem Cell Research</vt:lpwstr>
  </property>
  <property fmtid="{D5CDD505-2E9C-101B-9397-08002B2CF9AE}" pid="22" name="Mendeley Recent Style Id 9_1">
    <vt:lpwstr>http://www.zotero.org/styles/the-faseb-journal</vt:lpwstr>
  </property>
  <property fmtid="{D5CDD505-2E9C-101B-9397-08002B2CF9AE}" pid="23" name="Mendeley Recent Style Name 9_1">
    <vt:lpwstr>The FASEB Journal</vt:lpwstr>
  </property>
  <property fmtid="{D5CDD505-2E9C-101B-9397-08002B2CF9AE}" pid="24" name="Mendeley Citation Style_1">
    <vt:lpwstr>http://www.zotero.org/styles/scientific-reports</vt:lpwstr>
  </property>
</Properties>
</file>