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083E" w14:textId="77777777" w:rsidR="003F2CCB" w:rsidRPr="00191C52" w:rsidRDefault="003F2CCB" w:rsidP="003F2CCB">
      <w:pPr>
        <w:pStyle w:val="Articletitle"/>
      </w:pPr>
      <w:bookmarkStart w:id="0" w:name="_Hlk531089693"/>
      <w:r w:rsidRPr="00191C52">
        <w:t xml:space="preserve">Monitoring the Foreign Exchange Rate Benchmark Fix </w:t>
      </w:r>
    </w:p>
    <w:p w14:paraId="6D421A12" w14:textId="77777777" w:rsidR="003F2CCB" w:rsidRPr="00191C52" w:rsidRDefault="003F2CCB" w:rsidP="003F2CCB">
      <w:pPr>
        <w:pStyle w:val="Authornames"/>
      </w:pPr>
      <w:r w:rsidRPr="00191C52">
        <w:t xml:space="preserve">Hossein Jahanshahloo </w:t>
      </w:r>
      <w:proofErr w:type="gramStart"/>
      <w:r w:rsidRPr="00191C52">
        <w:rPr>
          <w:vertAlign w:val="superscript"/>
        </w:rPr>
        <w:t>a,</w:t>
      </w:r>
      <w:r w:rsidRPr="00191C52">
        <w:t>*</w:t>
      </w:r>
      <w:proofErr w:type="gramEnd"/>
      <w:r w:rsidRPr="00191C52">
        <w:t xml:space="preserve">, Charlie X. Cai </w:t>
      </w:r>
      <w:r w:rsidRPr="00191C52">
        <w:rPr>
          <w:vertAlign w:val="superscript"/>
        </w:rPr>
        <w:t>b</w:t>
      </w:r>
      <w:r w:rsidRPr="00191C52">
        <w:t xml:space="preserve">, Kevin Keasey </w:t>
      </w:r>
      <w:r w:rsidRPr="00191C52">
        <w:rPr>
          <w:vertAlign w:val="superscript"/>
        </w:rPr>
        <w:t>c</w:t>
      </w:r>
    </w:p>
    <w:p w14:paraId="1BEF25F1" w14:textId="77777777" w:rsidR="003F2CCB" w:rsidRPr="00F72840" w:rsidRDefault="003F2CCB" w:rsidP="003F2CCB">
      <w:pPr>
        <w:jc w:val="center"/>
        <w:rPr>
          <w:b/>
          <w:lang w:val="en-US"/>
        </w:rPr>
      </w:pPr>
    </w:p>
    <w:p w14:paraId="408F5CB4" w14:textId="77777777" w:rsidR="003F2CCB" w:rsidRPr="00F72840" w:rsidRDefault="003F2CCB" w:rsidP="003F2CCB">
      <w:pPr>
        <w:pStyle w:val="Abstract"/>
        <w:rPr>
          <w:lang w:val="en-US"/>
        </w:rPr>
      </w:pPr>
      <w:r w:rsidRPr="00F72840">
        <w:rPr>
          <w:lang w:val="en-US"/>
        </w:rPr>
        <w:t>Abstract</w:t>
      </w:r>
    </w:p>
    <w:p w14:paraId="56E42A2C" w14:textId="77777777" w:rsidR="003F2CCB" w:rsidRPr="00F72840" w:rsidRDefault="003F2CCB" w:rsidP="003F2CCB">
      <w:pPr>
        <w:pStyle w:val="Abstract"/>
        <w:jc w:val="both"/>
        <w:rPr>
          <w:rFonts w:asciiTheme="majorBidi" w:hAnsiTheme="majorBidi" w:cstheme="majorBidi"/>
          <w:szCs w:val="22"/>
          <w:lang w:val="en-US"/>
        </w:rPr>
      </w:pPr>
      <w:r w:rsidRPr="004F7FC5">
        <w:rPr>
          <w:rFonts w:asciiTheme="majorBidi" w:hAnsiTheme="majorBidi" w:cstheme="majorBidi"/>
          <w:szCs w:val="22"/>
          <w:lang w:val="en-US"/>
        </w:rPr>
        <w:t xml:space="preserve">In the presence of the manipulation of the World Markets/Reuters (WMR) benchmark in the FX market, regulators need a robust and timely methodology that identifies potential manipulation to better direct their limited resources towards more targeted in-depth investigation. We develop a manipulation index (ManIx) that captures the potential manipulation intention of dealers during the fixing period through a unique algorithm and simulation. The application of this model (using a dataset with dealers’ identities) </w:t>
      </w:r>
      <w:proofErr w:type="gramStart"/>
      <w:r w:rsidRPr="004F7FC5">
        <w:rPr>
          <w:rFonts w:asciiTheme="majorBidi" w:hAnsiTheme="majorBidi" w:cstheme="majorBidi"/>
          <w:szCs w:val="22"/>
          <w:lang w:val="en-US"/>
        </w:rPr>
        <w:t>is able to</w:t>
      </w:r>
      <w:proofErr w:type="gramEnd"/>
      <w:r w:rsidRPr="004F7FC5">
        <w:rPr>
          <w:rFonts w:asciiTheme="majorBidi" w:hAnsiTheme="majorBidi" w:cstheme="majorBidi"/>
          <w:szCs w:val="22"/>
          <w:lang w:val="en-US"/>
        </w:rPr>
        <w:t xml:space="preserve"> identify banks that are prone to potential manipulative behavior. The results concerning the identified banks are supported by the regulatory investigations.</w:t>
      </w:r>
    </w:p>
    <w:p w14:paraId="0A32D073" w14:textId="77777777" w:rsidR="003F2CCB" w:rsidRDefault="003F2CCB" w:rsidP="003F2CCB">
      <w:pPr>
        <w:spacing w:after="200" w:line="360" w:lineRule="auto"/>
        <w:rPr>
          <w:rFonts w:asciiTheme="majorBidi" w:hAnsiTheme="majorBidi" w:cstheme="majorBidi"/>
          <w:szCs w:val="22"/>
          <w:lang w:val="en-US"/>
        </w:rPr>
      </w:pPr>
    </w:p>
    <w:p w14:paraId="5A7385EC" w14:textId="77777777" w:rsidR="003F2CCB" w:rsidRDefault="003F2CCB" w:rsidP="003F2CCB">
      <w:pPr>
        <w:pStyle w:val="Keywords"/>
        <w:rPr>
          <w:lang w:val="en-US"/>
        </w:rPr>
      </w:pPr>
      <w:r w:rsidRPr="00F72840">
        <w:rPr>
          <w:lang w:val="en-US"/>
        </w:rPr>
        <w:t>Keywords: Simulation, Regulation Technology, WMR F</w:t>
      </w:r>
      <w:r>
        <w:rPr>
          <w:lang w:val="en-US"/>
        </w:rPr>
        <w:t>ixing</w:t>
      </w:r>
      <w:r w:rsidRPr="00F72840">
        <w:rPr>
          <w:lang w:val="en-US"/>
        </w:rPr>
        <w:t xml:space="preserve">, FX Market Manipulation </w:t>
      </w:r>
    </w:p>
    <w:p w14:paraId="1CE586C7" w14:textId="77777777" w:rsidR="003F2CCB" w:rsidRPr="007573D9" w:rsidRDefault="003F2CCB" w:rsidP="003F2CCB">
      <w:pPr>
        <w:pStyle w:val="Paragraph"/>
        <w:ind w:firstLine="720"/>
        <w:rPr>
          <w:lang w:val="en-US"/>
        </w:rPr>
      </w:pPr>
      <w:r>
        <w:rPr>
          <w:lang w:val="en-US"/>
        </w:rPr>
        <w:t>JEL classification: G31, G18, O24</w:t>
      </w:r>
    </w:p>
    <w:p w14:paraId="2C70442E" w14:textId="77777777" w:rsidR="003F2CCB" w:rsidRPr="00BD619D" w:rsidRDefault="003F2CCB" w:rsidP="003F2CCB">
      <w:pPr>
        <w:pStyle w:val="Affiliation"/>
      </w:pPr>
      <w:r>
        <w:rPr>
          <w:b/>
          <w:vertAlign w:val="superscript"/>
          <w:lang w:val="en-US"/>
        </w:rPr>
        <w:t>a</w:t>
      </w:r>
      <w:r>
        <w:t xml:space="preserve"> </w:t>
      </w:r>
      <w:r w:rsidRPr="00BD619D">
        <w:t>Leeds University Business School, Leeds, LS2 9JT, United Kingdom</w:t>
      </w:r>
    </w:p>
    <w:p w14:paraId="69F461EA" w14:textId="77777777" w:rsidR="003F2CCB" w:rsidRPr="00BD619D" w:rsidRDefault="003F2CCB" w:rsidP="003F2CCB">
      <w:pPr>
        <w:pStyle w:val="Affiliation"/>
      </w:pPr>
      <w:r>
        <w:rPr>
          <w:b/>
          <w:vertAlign w:val="superscript"/>
          <w:lang w:val="en-US"/>
        </w:rPr>
        <w:t>b</w:t>
      </w:r>
      <w:r>
        <w:t xml:space="preserve"> Management School, University of Liverpool, Liverpool</w:t>
      </w:r>
      <w:r w:rsidRPr="00BD619D">
        <w:t>, L</w:t>
      </w:r>
      <w:r>
        <w:t>69 3BX</w:t>
      </w:r>
      <w:r w:rsidRPr="00BD619D">
        <w:t>, United Kingdom</w:t>
      </w:r>
    </w:p>
    <w:p w14:paraId="5F5D399A" w14:textId="77777777" w:rsidR="003F2CCB" w:rsidRDefault="003F2CCB" w:rsidP="003F2CCB">
      <w:pPr>
        <w:pStyle w:val="Affiliation"/>
        <w:rPr>
          <w:rFonts w:ascii="Garamond" w:hAnsi="Garamond"/>
          <w:sz w:val="22"/>
        </w:rPr>
      </w:pPr>
      <w:r w:rsidRPr="00291D00">
        <w:rPr>
          <w:b/>
          <w:sz w:val="22"/>
          <w:vertAlign w:val="superscript"/>
        </w:rPr>
        <w:t>c</w:t>
      </w:r>
      <w:r w:rsidRPr="00C62B35">
        <w:rPr>
          <w:sz w:val="22"/>
        </w:rPr>
        <w:t xml:space="preserve"> In</w:t>
      </w:r>
      <w:r>
        <w:rPr>
          <w:sz w:val="22"/>
        </w:rPr>
        <w:t>stitute</w:t>
      </w:r>
      <w:r w:rsidRPr="00C62B35">
        <w:rPr>
          <w:sz w:val="22"/>
        </w:rPr>
        <w:t xml:space="preserve"> of Banking and Investment</w:t>
      </w:r>
      <w:r>
        <w:rPr>
          <w:sz w:val="22"/>
        </w:rPr>
        <w:t>,</w:t>
      </w:r>
      <w:r w:rsidRPr="00C62B35">
        <w:rPr>
          <w:sz w:val="22"/>
        </w:rPr>
        <w:t xml:space="preserve"> University of Leeds, Leeds University Business School, Leeds, LS2 9JT, United Kingdom</w:t>
      </w:r>
    </w:p>
    <w:p w14:paraId="1677C2DB" w14:textId="77777777" w:rsidR="003F2CCB" w:rsidRDefault="003F2CCB" w:rsidP="003F2CCB">
      <w:pPr>
        <w:pStyle w:val="Correspondencedetails"/>
        <w:rPr>
          <w:rFonts w:ascii="Garamond" w:hAnsi="Garamond"/>
          <w:lang w:val="en-US"/>
        </w:rPr>
      </w:pPr>
      <w:r>
        <w:rPr>
          <w:lang w:val="en-US"/>
        </w:rPr>
        <w:t>*Corresponding author: Hossein Jahanshahloo, Tel: +441133439779</w:t>
      </w:r>
    </w:p>
    <w:p w14:paraId="0B7B1358" w14:textId="77777777" w:rsidR="003F2CCB" w:rsidRDefault="003F2CCB" w:rsidP="003F2CCB">
      <w:pPr>
        <w:pStyle w:val="Correspondencedetails"/>
        <w:rPr>
          <w:lang w:val="en-US"/>
        </w:rPr>
      </w:pPr>
      <w:r>
        <w:rPr>
          <w:lang w:val="en-US"/>
        </w:rPr>
        <w:t xml:space="preserve">E-mail addresses: </w:t>
      </w:r>
      <w:hyperlink r:id="rId8" w:history="1">
        <w:r>
          <w:rPr>
            <w:rStyle w:val="Hyperlink"/>
            <w:szCs w:val="22"/>
            <w:lang w:val="en-US"/>
          </w:rPr>
          <w:t>H.Jahanshahloo@leeds.ac.uk</w:t>
        </w:r>
      </w:hyperlink>
      <w:r>
        <w:rPr>
          <w:lang w:val="en-US"/>
        </w:rPr>
        <w:t xml:space="preserve"> (</w:t>
      </w:r>
      <w:proofErr w:type="spellStart"/>
      <w:r>
        <w:rPr>
          <w:lang w:val="en-US"/>
        </w:rPr>
        <w:t>H.Jahanshahloo</w:t>
      </w:r>
      <w:proofErr w:type="spellEnd"/>
      <w:r>
        <w:rPr>
          <w:lang w:val="en-US"/>
        </w:rPr>
        <w:t xml:space="preserve">), </w:t>
      </w:r>
      <w:hyperlink r:id="rId9" w:history="1">
        <w:r w:rsidRPr="00106B12">
          <w:rPr>
            <w:rStyle w:val="Hyperlink"/>
            <w:szCs w:val="22"/>
            <w:lang w:val="en-US"/>
          </w:rPr>
          <w:t>X.Cai7@liverpool.ac.uk</w:t>
        </w:r>
      </w:hyperlink>
      <w:r>
        <w:rPr>
          <w:lang w:val="en-US"/>
        </w:rPr>
        <w:t xml:space="preserve"> (C.X. Cai)</w:t>
      </w:r>
    </w:p>
    <w:p w14:paraId="16DD4715" w14:textId="77777777" w:rsidR="00A50800" w:rsidRPr="002F5246" w:rsidRDefault="00A50800">
      <w:pPr>
        <w:spacing w:after="200"/>
        <w:rPr>
          <w:rFonts w:asciiTheme="majorBidi" w:eastAsiaTheme="majorEastAsia" w:hAnsiTheme="majorBidi" w:cstheme="majorBidi"/>
          <w:b/>
          <w:bCs/>
          <w:sz w:val="36"/>
          <w:lang w:val="en-US"/>
        </w:rPr>
      </w:pPr>
      <w:bookmarkStart w:id="1" w:name="_GoBack"/>
      <w:bookmarkEnd w:id="0"/>
      <w:bookmarkEnd w:id="1"/>
      <w:r w:rsidRPr="002F5246">
        <w:rPr>
          <w:lang w:val="en-US"/>
        </w:rPr>
        <w:br w:type="page"/>
      </w:r>
    </w:p>
    <w:p w14:paraId="47C6B4E8" w14:textId="17DFE1EB" w:rsidR="003578D8" w:rsidRPr="002F5246" w:rsidRDefault="00215A42" w:rsidP="00986175">
      <w:pPr>
        <w:pStyle w:val="Heading1"/>
        <w:rPr>
          <w:lang w:val="en-US"/>
        </w:rPr>
      </w:pPr>
      <w:r w:rsidRPr="002F5246">
        <w:rPr>
          <w:lang w:val="en-US"/>
        </w:rPr>
        <w:lastRenderedPageBreak/>
        <w:t>1</w:t>
      </w:r>
      <w:r w:rsidR="00B24AF8" w:rsidRPr="002F5246">
        <w:rPr>
          <w:lang w:val="en-US"/>
        </w:rPr>
        <w:t xml:space="preserve">. </w:t>
      </w:r>
      <w:r w:rsidR="0057497C" w:rsidRPr="002F5246">
        <w:rPr>
          <w:lang w:val="en-US"/>
        </w:rPr>
        <w:t>Introduction</w:t>
      </w:r>
    </w:p>
    <w:p w14:paraId="32C3D8C7" w14:textId="68BF2AAD" w:rsidR="006C2887" w:rsidRPr="002F5246" w:rsidRDefault="00955580" w:rsidP="00F80FB0">
      <w:pPr>
        <w:pStyle w:val="para1"/>
        <w:ind w:firstLine="720"/>
        <w:rPr>
          <w:rFonts w:asciiTheme="majorBidi" w:hAnsiTheme="majorBidi" w:cstheme="majorBidi"/>
          <w:szCs w:val="22"/>
          <w:lang w:val="en-US"/>
        </w:rPr>
      </w:pPr>
      <w:r w:rsidRPr="002F5246">
        <w:rPr>
          <w:rFonts w:asciiTheme="majorBidi" w:hAnsiTheme="majorBidi" w:cstheme="majorBidi"/>
          <w:szCs w:val="22"/>
          <w:lang w:val="en-US"/>
        </w:rPr>
        <w:t>This paper</w:t>
      </w:r>
      <w:r w:rsidR="001568BB" w:rsidRPr="002F5246">
        <w:rPr>
          <w:rFonts w:asciiTheme="majorBidi" w:hAnsiTheme="majorBidi" w:cstheme="majorBidi"/>
          <w:szCs w:val="22"/>
          <w:lang w:val="en-US"/>
        </w:rPr>
        <w:t xml:space="preserve"> proposes</w:t>
      </w:r>
      <w:r w:rsidR="001568BB" w:rsidRPr="002F5246">
        <w:rPr>
          <w:rFonts w:asciiTheme="majorBidi" w:hAnsiTheme="majorBidi"/>
          <w:lang w:val="en-US"/>
        </w:rPr>
        <w:t xml:space="preserve"> the first </w:t>
      </w:r>
      <w:r w:rsidR="001568BB" w:rsidRPr="002F5246">
        <w:rPr>
          <w:rFonts w:asciiTheme="majorBidi" w:hAnsiTheme="majorBidi" w:cstheme="majorBidi"/>
          <w:szCs w:val="22"/>
          <w:lang w:val="en-US"/>
        </w:rPr>
        <w:t>test to monitor</w:t>
      </w:r>
      <w:r w:rsidR="001568BB" w:rsidRPr="002F5246">
        <w:rPr>
          <w:rFonts w:asciiTheme="majorBidi" w:hAnsiTheme="majorBidi"/>
          <w:lang w:val="en-US"/>
        </w:rPr>
        <w:t xml:space="preserve"> the behavior of </w:t>
      </w:r>
      <w:r w:rsidR="001568BB" w:rsidRPr="002F5246">
        <w:rPr>
          <w:rFonts w:asciiTheme="majorBidi" w:hAnsiTheme="majorBidi" w:cstheme="majorBidi"/>
          <w:szCs w:val="22"/>
          <w:lang w:val="en-US"/>
        </w:rPr>
        <w:t>dealers</w:t>
      </w:r>
      <w:r w:rsidR="00BC2F33" w:rsidRPr="002F5246">
        <w:rPr>
          <w:rFonts w:asciiTheme="majorBidi" w:hAnsiTheme="majorBidi" w:cstheme="majorBidi"/>
          <w:szCs w:val="22"/>
          <w:lang w:val="en-US"/>
        </w:rPr>
        <w:t xml:space="preserve">, </w:t>
      </w:r>
      <w:r w:rsidRPr="002F5246">
        <w:rPr>
          <w:rFonts w:asciiTheme="majorBidi" w:hAnsiTheme="majorBidi" w:cstheme="majorBidi"/>
          <w:szCs w:val="22"/>
          <w:lang w:val="en-US"/>
        </w:rPr>
        <w:t>in the foreign exchange (FX) market</w:t>
      </w:r>
      <w:r w:rsidR="001B76BF" w:rsidRPr="002F5246">
        <w:rPr>
          <w:rFonts w:asciiTheme="majorBidi" w:hAnsiTheme="majorBidi" w:cstheme="majorBidi"/>
          <w:szCs w:val="22"/>
          <w:lang w:val="en-US"/>
        </w:rPr>
        <w:t xml:space="preserve"> around </w:t>
      </w:r>
      <w:r w:rsidR="002844D8" w:rsidRPr="002F5246">
        <w:rPr>
          <w:rFonts w:asciiTheme="majorBidi" w:hAnsiTheme="majorBidi" w:cstheme="majorBidi"/>
          <w:szCs w:val="22"/>
          <w:lang w:val="en-US"/>
        </w:rPr>
        <w:t xml:space="preserve">the </w:t>
      </w:r>
      <w:r w:rsidR="001B76BF" w:rsidRPr="002F5246">
        <w:rPr>
          <w:rFonts w:asciiTheme="majorBidi" w:hAnsiTheme="majorBidi" w:cstheme="majorBidi"/>
          <w:szCs w:val="22"/>
          <w:lang w:val="en-US"/>
        </w:rPr>
        <w:t xml:space="preserve">WMR </w:t>
      </w:r>
      <w:r w:rsidR="001568BB" w:rsidRPr="002F5246">
        <w:rPr>
          <w:rFonts w:asciiTheme="majorBidi" w:hAnsiTheme="majorBidi" w:cstheme="majorBidi"/>
          <w:szCs w:val="22"/>
          <w:lang w:val="en-US"/>
        </w:rPr>
        <w:t xml:space="preserve">(World Market Reuters) </w:t>
      </w:r>
      <w:r w:rsidR="001B76BF" w:rsidRPr="002F5246">
        <w:rPr>
          <w:rFonts w:asciiTheme="majorBidi" w:hAnsiTheme="majorBidi" w:cstheme="majorBidi"/>
          <w:szCs w:val="22"/>
          <w:lang w:val="en-US"/>
        </w:rPr>
        <w:t>fixing window</w:t>
      </w:r>
      <w:r w:rsidRPr="002F5246">
        <w:rPr>
          <w:rFonts w:asciiTheme="majorBidi" w:hAnsiTheme="majorBidi" w:cstheme="majorBidi"/>
          <w:szCs w:val="22"/>
          <w:lang w:val="en-US"/>
        </w:rPr>
        <w:t xml:space="preserve">. </w:t>
      </w:r>
      <w:r w:rsidR="006C2887" w:rsidRPr="002F5246">
        <w:rPr>
          <w:rFonts w:asciiTheme="majorBidi" w:hAnsiTheme="majorBidi" w:cstheme="majorBidi"/>
          <w:szCs w:val="22"/>
          <w:lang w:val="en-US"/>
        </w:rPr>
        <w:t xml:space="preserve">The </w:t>
      </w:r>
      <w:r w:rsidR="00B41086" w:rsidRPr="002F5246">
        <w:rPr>
          <w:rFonts w:asciiTheme="majorBidi" w:hAnsiTheme="majorBidi" w:cstheme="majorBidi"/>
          <w:szCs w:val="22"/>
          <w:lang w:val="en-US"/>
        </w:rPr>
        <w:t>FX market</w:t>
      </w:r>
      <w:r w:rsidR="006C2887" w:rsidRPr="002F5246">
        <w:rPr>
          <w:rFonts w:asciiTheme="majorBidi" w:hAnsiTheme="majorBidi" w:cstheme="majorBidi"/>
          <w:szCs w:val="22"/>
          <w:lang w:val="en-US"/>
        </w:rPr>
        <w:t xml:space="preserve"> is a </w:t>
      </w:r>
      <w:r w:rsidR="00AA1175" w:rsidRPr="002F5246">
        <w:rPr>
          <w:rFonts w:asciiTheme="majorBidi" w:hAnsiTheme="majorBidi" w:cstheme="majorBidi"/>
          <w:szCs w:val="22"/>
          <w:lang w:val="en-US"/>
        </w:rPr>
        <w:t>decentralized</w:t>
      </w:r>
      <w:r w:rsidR="006C2887" w:rsidRPr="002F5246">
        <w:rPr>
          <w:rFonts w:asciiTheme="majorBidi" w:hAnsiTheme="majorBidi" w:cstheme="majorBidi"/>
          <w:szCs w:val="22"/>
          <w:lang w:val="en-US"/>
        </w:rPr>
        <w:t xml:space="preserve"> market with dealers spread a</w:t>
      </w:r>
      <w:r w:rsidR="00E30DBF" w:rsidRPr="002F5246">
        <w:rPr>
          <w:rFonts w:asciiTheme="majorBidi" w:hAnsiTheme="majorBidi" w:cstheme="majorBidi"/>
          <w:szCs w:val="22"/>
          <w:lang w:val="en-US"/>
        </w:rPr>
        <w:t>cross</w:t>
      </w:r>
      <w:r w:rsidR="006C2887" w:rsidRPr="002F5246">
        <w:rPr>
          <w:rFonts w:asciiTheme="majorBidi" w:hAnsiTheme="majorBidi" w:cstheme="majorBidi"/>
          <w:szCs w:val="22"/>
          <w:lang w:val="en-US"/>
        </w:rPr>
        <w:t xml:space="preserve"> the globe conducting trades 24 hours a day. </w:t>
      </w:r>
      <w:r w:rsidR="005D4362" w:rsidRPr="002F5246">
        <w:rPr>
          <w:rFonts w:asciiTheme="majorBidi" w:hAnsiTheme="majorBidi" w:cstheme="majorBidi"/>
          <w:szCs w:val="22"/>
          <w:lang w:val="en-US"/>
        </w:rPr>
        <w:t xml:space="preserve">The </w:t>
      </w:r>
      <w:r w:rsidR="00C36F74" w:rsidRPr="002F5246">
        <w:rPr>
          <w:rFonts w:asciiTheme="majorBidi" w:hAnsiTheme="majorBidi" w:cstheme="majorBidi"/>
          <w:szCs w:val="22"/>
          <w:lang w:val="en-US"/>
        </w:rPr>
        <w:t>a</w:t>
      </w:r>
      <w:r w:rsidR="0038355F" w:rsidRPr="002F5246">
        <w:rPr>
          <w:rFonts w:asciiTheme="majorBidi" w:hAnsiTheme="majorBidi" w:cstheme="majorBidi"/>
          <w:szCs w:val="22"/>
          <w:lang w:val="en-US"/>
        </w:rPr>
        <w:t>round the clock trading poses</w:t>
      </w:r>
      <w:r w:rsidR="002844D8" w:rsidRPr="002F5246">
        <w:rPr>
          <w:rFonts w:asciiTheme="majorBidi" w:hAnsiTheme="majorBidi" w:cstheme="majorBidi"/>
          <w:szCs w:val="22"/>
          <w:lang w:val="en-US"/>
        </w:rPr>
        <w:t xml:space="preserve"> a challenge to </w:t>
      </w:r>
      <w:r w:rsidR="005D4362" w:rsidRPr="002F5246">
        <w:rPr>
          <w:rFonts w:asciiTheme="majorBidi" w:hAnsiTheme="majorBidi" w:cstheme="majorBidi"/>
          <w:szCs w:val="22"/>
          <w:lang w:val="en-US"/>
        </w:rPr>
        <w:t xml:space="preserve">determining a daily closing price. </w:t>
      </w:r>
      <w:r w:rsidR="0038355F" w:rsidRPr="002F5246">
        <w:rPr>
          <w:rFonts w:asciiTheme="majorBidi" w:hAnsiTheme="majorBidi" w:cstheme="majorBidi"/>
          <w:szCs w:val="22"/>
          <w:lang w:val="en-US"/>
        </w:rPr>
        <w:t>Such a concept</w:t>
      </w:r>
      <w:r w:rsidR="006C2887" w:rsidRPr="002F5246">
        <w:rPr>
          <w:rFonts w:asciiTheme="majorBidi" w:hAnsiTheme="majorBidi" w:cstheme="majorBidi"/>
          <w:szCs w:val="22"/>
          <w:lang w:val="en-US"/>
        </w:rPr>
        <w:t xml:space="preserve"> is needed for any entity that holds multi-currency portfolios</w:t>
      </w:r>
      <w:r w:rsidR="00F80FB0" w:rsidRPr="002F5246">
        <w:rPr>
          <w:rStyle w:val="EndnoteReference"/>
          <w:rFonts w:asciiTheme="majorBidi" w:hAnsiTheme="majorBidi" w:cstheme="majorBidi"/>
          <w:szCs w:val="22"/>
          <w:lang w:val="en-US"/>
        </w:rPr>
        <w:endnoteReference w:id="2"/>
      </w:r>
      <w:r w:rsidR="006C2887" w:rsidRPr="002F5246">
        <w:rPr>
          <w:rFonts w:asciiTheme="majorBidi" w:hAnsiTheme="majorBidi" w:cstheme="majorBidi"/>
          <w:szCs w:val="22"/>
          <w:lang w:val="en-US"/>
        </w:rPr>
        <w:t xml:space="preserve"> </w:t>
      </w:r>
      <w:r w:rsidR="00780E7B" w:rsidRPr="002F5246">
        <w:rPr>
          <w:rFonts w:asciiTheme="majorBidi" w:hAnsiTheme="majorBidi" w:cstheme="majorBidi"/>
          <w:szCs w:val="22"/>
          <w:lang w:val="en-US"/>
        </w:rPr>
        <w:t>to</w:t>
      </w:r>
      <w:r w:rsidR="006C2887" w:rsidRPr="002F5246">
        <w:rPr>
          <w:rFonts w:asciiTheme="majorBidi" w:hAnsiTheme="majorBidi" w:cstheme="majorBidi"/>
          <w:szCs w:val="22"/>
          <w:lang w:val="en-US"/>
        </w:rPr>
        <w:t xml:space="preserve"> evaluate the value an</w:t>
      </w:r>
      <w:r w:rsidR="005D4362" w:rsidRPr="002F5246">
        <w:rPr>
          <w:rFonts w:asciiTheme="majorBidi" w:hAnsiTheme="majorBidi" w:cstheme="majorBidi"/>
          <w:szCs w:val="22"/>
          <w:lang w:val="en-US"/>
        </w:rPr>
        <w:t>d performance of their holdings</w:t>
      </w:r>
      <w:r w:rsidR="006C2887" w:rsidRPr="002F5246">
        <w:rPr>
          <w:rFonts w:asciiTheme="majorBidi" w:hAnsiTheme="majorBidi" w:cstheme="majorBidi"/>
          <w:szCs w:val="22"/>
          <w:lang w:val="en-US"/>
        </w:rPr>
        <w:t xml:space="preserve">. </w:t>
      </w:r>
      <w:r w:rsidR="00E30DBF" w:rsidRPr="002F5246">
        <w:rPr>
          <w:rFonts w:asciiTheme="majorBidi" w:hAnsiTheme="majorBidi" w:cstheme="majorBidi"/>
          <w:szCs w:val="22"/>
          <w:lang w:val="en-US"/>
        </w:rPr>
        <w:t xml:space="preserve">The </w:t>
      </w:r>
      <w:r w:rsidR="006C2887" w:rsidRPr="002F5246">
        <w:rPr>
          <w:rFonts w:asciiTheme="majorBidi" w:hAnsiTheme="majorBidi" w:cstheme="majorBidi"/>
          <w:szCs w:val="22"/>
          <w:lang w:val="en-US"/>
        </w:rPr>
        <w:t xml:space="preserve">World Market Company </w:t>
      </w:r>
      <w:r w:rsidR="00E30DBF" w:rsidRPr="002F5246">
        <w:rPr>
          <w:rFonts w:asciiTheme="majorBidi" w:hAnsiTheme="majorBidi" w:cstheme="majorBidi"/>
          <w:szCs w:val="22"/>
          <w:lang w:val="en-US"/>
        </w:rPr>
        <w:t xml:space="preserve">(WM) </w:t>
      </w:r>
      <w:r w:rsidR="006C2887" w:rsidRPr="002F5246">
        <w:rPr>
          <w:rFonts w:asciiTheme="majorBidi" w:hAnsiTheme="majorBidi" w:cstheme="majorBidi"/>
          <w:szCs w:val="22"/>
          <w:lang w:val="en-US"/>
        </w:rPr>
        <w:t>in conjunction with Thomson Reuters launched the Closing Spot Rate Service, also known as the WMR Fix Ra</w:t>
      </w:r>
      <w:r w:rsidR="005D4362" w:rsidRPr="002F5246">
        <w:rPr>
          <w:rFonts w:asciiTheme="majorBidi" w:hAnsiTheme="majorBidi" w:cstheme="majorBidi"/>
          <w:szCs w:val="22"/>
          <w:lang w:val="en-US"/>
        </w:rPr>
        <w:t xml:space="preserve">te or London Close, in January </w:t>
      </w:r>
      <w:r w:rsidR="006C2887" w:rsidRPr="002F5246">
        <w:rPr>
          <w:rFonts w:asciiTheme="majorBidi" w:hAnsiTheme="majorBidi" w:cstheme="majorBidi"/>
          <w:szCs w:val="22"/>
          <w:lang w:val="en-US"/>
        </w:rPr>
        <w:t xml:space="preserve">1994. </w:t>
      </w:r>
      <w:r w:rsidR="002844D8" w:rsidRPr="002F5246">
        <w:rPr>
          <w:rFonts w:asciiTheme="majorBidi" w:hAnsiTheme="majorBidi" w:cstheme="majorBidi"/>
          <w:szCs w:val="22"/>
          <w:lang w:val="en-US"/>
        </w:rPr>
        <w:t>The WMR Fix R</w:t>
      </w:r>
      <w:r w:rsidR="00C36F74" w:rsidRPr="002F5246">
        <w:rPr>
          <w:rFonts w:asciiTheme="majorBidi" w:hAnsiTheme="majorBidi" w:cstheme="majorBidi"/>
          <w:szCs w:val="22"/>
          <w:lang w:val="en-US"/>
        </w:rPr>
        <w:t xml:space="preserve">ate </w:t>
      </w:r>
      <w:r w:rsidR="00142630" w:rsidRPr="002F5246">
        <w:rPr>
          <w:rFonts w:asciiTheme="majorBidi" w:hAnsiTheme="majorBidi" w:cstheme="majorBidi"/>
          <w:szCs w:val="22"/>
          <w:lang w:val="en-US"/>
        </w:rPr>
        <w:t>“</w:t>
      </w:r>
      <w:r w:rsidR="00F572C5" w:rsidRPr="002F5246">
        <w:rPr>
          <w:rFonts w:asciiTheme="majorBidi" w:hAnsiTheme="majorBidi" w:cstheme="majorBidi"/>
          <w:szCs w:val="22"/>
          <w:lang w:val="en-US"/>
        </w:rPr>
        <w:t>has become a de facto standard for the closing spot rate</w:t>
      </w:r>
      <w:r w:rsidR="00142630" w:rsidRPr="002F5246">
        <w:rPr>
          <w:rFonts w:asciiTheme="majorBidi" w:hAnsiTheme="majorBidi" w:cstheme="majorBidi"/>
          <w:szCs w:val="22"/>
          <w:lang w:val="en-US"/>
        </w:rPr>
        <w:t>”</w:t>
      </w:r>
      <w:r w:rsidR="00F572C5" w:rsidRPr="002F5246" w:rsidDel="00F572C5">
        <w:rPr>
          <w:rFonts w:asciiTheme="majorBidi" w:hAnsiTheme="majorBidi" w:cstheme="majorBidi"/>
          <w:szCs w:val="22"/>
          <w:lang w:val="en-US"/>
        </w:rPr>
        <w:t xml:space="preserve"> </w:t>
      </w:r>
      <w:r w:rsidR="00180D49" w:rsidRPr="002F5246">
        <w:rPr>
          <w:rFonts w:asciiTheme="majorBidi" w:hAnsiTheme="majorBidi" w:cstheme="majorBidi"/>
          <w:szCs w:val="22"/>
          <w:lang w:val="en-US"/>
        </w:rPr>
        <w:t>(FCA</w:t>
      </w:r>
      <w:r w:rsidR="00142630" w:rsidRPr="002F5246">
        <w:rPr>
          <w:rFonts w:asciiTheme="majorBidi" w:hAnsiTheme="majorBidi" w:cstheme="majorBidi"/>
          <w:szCs w:val="22"/>
          <w:lang w:val="en-US"/>
        </w:rPr>
        <w:t xml:space="preserve"> 201</w:t>
      </w:r>
      <w:r w:rsidR="00085D10" w:rsidRPr="002F5246">
        <w:rPr>
          <w:rFonts w:asciiTheme="majorBidi" w:hAnsiTheme="majorBidi" w:cstheme="majorBidi"/>
          <w:szCs w:val="22"/>
          <w:lang w:val="en-US"/>
        </w:rPr>
        <w:t>4b</w:t>
      </w:r>
      <w:r w:rsidR="00FC3C7B" w:rsidRPr="002F5246">
        <w:rPr>
          <w:rFonts w:asciiTheme="majorBidi" w:hAnsiTheme="majorBidi" w:cstheme="majorBidi"/>
          <w:szCs w:val="22"/>
          <w:lang w:val="en-US"/>
        </w:rPr>
        <w:t>)</w:t>
      </w:r>
      <w:r w:rsidR="00D63337" w:rsidRPr="002F5246">
        <w:rPr>
          <w:rFonts w:asciiTheme="majorBidi" w:hAnsiTheme="majorBidi" w:cstheme="majorBidi"/>
          <w:szCs w:val="22"/>
          <w:lang w:val="en-US"/>
        </w:rPr>
        <w:t xml:space="preserve">. </w:t>
      </w:r>
      <w:r w:rsidR="005D4362" w:rsidRPr="002F5246">
        <w:rPr>
          <w:rFonts w:asciiTheme="majorBidi" w:hAnsiTheme="majorBidi" w:cstheme="majorBidi"/>
          <w:szCs w:val="22"/>
          <w:lang w:val="en-US"/>
        </w:rPr>
        <w:t>Given the importance of this fix rate</w:t>
      </w:r>
      <w:r w:rsidR="00E30DBF" w:rsidRPr="002F5246">
        <w:rPr>
          <w:rFonts w:asciiTheme="majorBidi" w:hAnsiTheme="majorBidi" w:cstheme="majorBidi"/>
          <w:szCs w:val="22"/>
          <w:lang w:val="en-US"/>
        </w:rPr>
        <w:t xml:space="preserve"> for a whole range of financial instruments and contracts</w:t>
      </w:r>
      <w:r w:rsidR="003F7824" w:rsidRPr="002F5246">
        <w:rPr>
          <w:rFonts w:asciiTheme="majorBidi" w:hAnsiTheme="majorBidi" w:cstheme="majorBidi"/>
          <w:szCs w:val="22"/>
          <w:lang w:val="en-US"/>
        </w:rPr>
        <w:t>, it has been a</w:t>
      </w:r>
      <w:r w:rsidR="005D4362" w:rsidRPr="002F5246">
        <w:rPr>
          <w:rFonts w:asciiTheme="majorBidi" w:hAnsiTheme="majorBidi" w:cstheme="majorBidi"/>
          <w:szCs w:val="22"/>
          <w:lang w:val="en-US"/>
        </w:rPr>
        <w:t xml:space="preserve"> shock to the financial system and regulator</w:t>
      </w:r>
      <w:r w:rsidR="008B6A61" w:rsidRPr="002F5246">
        <w:rPr>
          <w:rFonts w:asciiTheme="majorBidi" w:hAnsiTheme="majorBidi" w:cstheme="majorBidi"/>
          <w:szCs w:val="22"/>
          <w:lang w:val="en-US"/>
        </w:rPr>
        <w:t xml:space="preserve">s </w:t>
      </w:r>
      <w:r w:rsidR="005D4362" w:rsidRPr="002F5246">
        <w:rPr>
          <w:rFonts w:asciiTheme="majorBidi" w:hAnsiTheme="majorBidi" w:cstheme="majorBidi"/>
          <w:szCs w:val="22"/>
          <w:lang w:val="en-US"/>
        </w:rPr>
        <w:t xml:space="preserve">to </w:t>
      </w:r>
      <w:r w:rsidR="00C36F74" w:rsidRPr="002F5246">
        <w:rPr>
          <w:rFonts w:asciiTheme="majorBidi" w:hAnsiTheme="majorBidi" w:cstheme="majorBidi"/>
          <w:szCs w:val="22"/>
          <w:lang w:val="en-US"/>
        </w:rPr>
        <w:t xml:space="preserve">find out that the fix rate </w:t>
      </w:r>
      <w:r w:rsidR="008B6A61" w:rsidRPr="002F5246">
        <w:rPr>
          <w:rFonts w:asciiTheme="majorBidi" w:hAnsiTheme="majorBidi" w:cstheme="majorBidi"/>
          <w:szCs w:val="22"/>
          <w:lang w:val="en-US"/>
        </w:rPr>
        <w:t xml:space="preserve">has been </w:t>
      </w:r>
      <w:r w:rsidR="00C36F74" w:rsidRPr="002F5246">
        <w:rPr>
          <w:rFonts w:asciiTheme="majorBidi" w:hAnsiTheme="majorBidi" w:cstheme="majorBidi"/>
          <w:szCs w:val="22"/>
          <w:lang w:val="en-US"/>
        </w:rPr>
        <w:t>subject to manipulation</w:t>
      </w:r>
      <w:r w:rsidR="00D63337" w:rsidRPr="002F5246">
        <w:rPr>
          <w:rFonts w:asciiTheme="majorBidi" w:hAnsiTheme="majorBidi" w:cstheme="majorBidi"/>
          <w:szCs w:val="22"/>
          <w:lang w:val="en-US"/>
        </w:rPr>
        <w:t>.</w:t>
      </w:r>
      <w:r w:rsidR="00F80FB0" w:rsidRPr="002F5246">
        <w:rPr>
          <w:rStyle w:val="EndnoteReference"/>
          <w:rFonts w:asciiTheme="majorBidi" w:hAnsiTheme="majorBidi" w:cstheme="majorBidi"/>
          <w:szCs w:val="22"/>
          <w:lang w:val="en-US"/>
        </w:rPr>
        <w:endnoteReference w:id="3"/>
      </w:r>
      <w:r w:rsidR="00D63337" w:rsidRPr="002F5246">
        <w:rPr>
          <w:rFonts w:asciiTheme="majorBidi" w:hAnsiTheme="majorBidi" w:cstheme="majorBidi"/>
          <w:szCs w:val="22"/>
          <w:lang w:val="en-US"/>
        </w:rPr>
        <w:t xml:space="preserve"> </w:t>
      </w:r>
      <w:r w:rsidR="00B41086" w:rsidRPr="002F5246">
        <w:rPr>
          <w:rFonts w:asciiTheme="majorBidi" w:hAnsiTheme="majorBidi" w:cstheme="majorBidi"/>
          <w:szCs w:val="22"/>
          <w:lang w:val="en-US"/>
        </w:rPr>
        <w:t>The widespread scandal concerning the manipulation has led to heightened concern</w:t>
      </w:r>
      <w:r w:rsidR="008B6A61" w:rsidRPr="002F5246">
        <w:rPr>
          <w:rFonts w:asciiTheme="majorBidi" w:hAnsiTheme="majorBidi" w:cstheme="majorBidi"/>
          <w:szCs w:val="22"/>
          <w:lang w:val="en-US"/>
        </w:rPr>
        <w:t xml:space="preserve">s as to </w:t>
      </w:r>
      <w:r w:rsidR="00B41086" w:rsidRPr="002F5246">
        <w:rPr>
          <w:rFonts w:asciiTheme="majorBidi" w:hAnsiTheme="majorBidi" w:cstheme="majorBidi"/>
          <w:szCs w:val="22"/>
          <w:lang w:val="en-US"/>
        </w:rPr>
        <w:t>the lack of reg</w:t>
      </w:r>
      <w:r w:rsidR="00062006" w:rsidRPr="002F5246">
        <w:rPr>
          <w:rFonts w:asciiTheme="majorBidi" w:hAnsiTheme="majorBidi" w:cstheme="majorBidi"/>
          <w:szCs w:val="22"/>
          <w:lang w:val="en-US"/>
        </w:rPr>
        <w:t xml:space="preserve">ulatory oversight </w:t>
      </w:r>
      <w:r w:rsidR="00B41086" w:rsidRPr="002F5246">
        <w:rPr>
          <w:rFonts w:asciiTheme="majorBidi" w:hAnsiTheme="majorBidi" w:cstheme="majorBidi"/>
          <w:szCs w:val="22"/>
          <w:lang w:val="en-US"/>
        </w:rPr>
        <w:t xml:space="preserve">and </w:t>
      </w:r>
      <w:r w:rsidR="008B6A61" w:rsidRPr="002F5246">
        <w:rPr>
          <w:rFonts w:asciiTheme="majorBidi" w:hAnsiTheme="majorBidi" w:cstheme="majorBidi"/>
          <w:szCs w:val="22"/>
          <w:lang w:val="en-US"/>
        </w:rPr>
        <w:t xml:space="preserve">weaknesses in the design of the </w:t>
      </w:r>
      <w:r w:rsidR="00B41086" w:rsidRPr="002F5246">
        <w:rPr>
          <w:rFonts w:asciiTheme="majorBidi" w:hAnsiTheme="majorBidi" w:cstheme="majorBidi"/>
          <w:szCs w:val="22"/>
          <w:lang w:val="en-US"/>
        </w:rPr>
        <w:t>FX marke</w:t>
      </w:r>
      <w:r w:rsidR="008B6A61" w:rsidRPr="002F5246">
        <w:rPr>
          <w:rFonts w:asciiTheme="majorBidi" w:hAnsiTheme="majorBidi" w:cstheme="majorBidi"/>
          <w:szCs w:val="22"/>
          <w:lang w:val="en-US"/>
        </w:rPr>
        <w:t>t</w:t>
      </w:r>
      <w:r w:rsidR="00B41086" w:rsidRPr="002F5246">
        <w:rPr>
          <w:rFonts w:asciiTheme="majorBidi" w:hAnsiTheme="majorBidi" w:cstheme="majorBidi"/>
          <w:szCs w:val="22"/>
          <w:lang w:val="en-US"/>
        </w:rPr>
        <w:t>.</w:t>
      </w:r>
    </w:p>
    <w:p w14:paraId="40BC1559" w14:textId="53EC5070" w:rsidR="005F3CEB" w:rsidRPr="002F5246" w:rsidRDefault="00292C44" w:rsidP="00F80FB0">
      <w:pPr>
        <w:pStyle w:val="para1"/>
        <w:ind w:firstLine="720"/>
        <w:rPr>
          <w:rFonts w:asciiTheme="majorBidi" w:hAnsiTheme="majorBidi" w:cstheme="majorBidi"/>
          <w:szCs w:val="22"/>
          <w:lang w:val="en-US"/>
        </w:rPr>
      </w:pPr>
      <w:r w:rsidRPr="002F5246">
        <w:rPr>
          <w:rFonts w:asciiTheme="majorBidi" w:hAnsiTheme="majorBidi" w:cstheme="majorBidi"/>
          <w:szCs w:val="22"/>
          <w:lang w:val="en-US"/>
        </w:rPr>
        <w:t xml:space="preserve">Given </w:t>
      </w:r>
      <w:r w:rsidR="008B6A61" w:rsidRPr="002F5246">
        <w:rPr>
          <w:rFonts w:asciiTheme="majorBidi" w:hAnsiTheme="majorBidi" w:cstheme="majorBidi"/>
          <w:szCs w:val="22"/>
          <w:lang w:val="en-US"/>
        </w:rPr>
        <w:t xml:space="preserve">the manipulation </w:t>
      </w:r>
      <w:r w:rsidR="001B60ED" w:rsidRPr="002F5246">
        <w:rPr>
          <w:rFonts w:asciiTheme="majorBidi" w:hAnsiTheme="majorBidi" w:cstheme="majorBidi"/>
          <w:szCs w:val="22"/>
          <w:lang w:val="en-US"/>
        </w:rPr>
        <w:t>issue</w:t>
      </w:r>
      <w:r w:rsidR="000C7A5A" w:rsidRPr="002F5246">
        <w:rPr>
          <w:rFonts w:asciiTheme="majorBidi" w:hAnsiTheme="majorBidi" w:cstheme="majorBidi"/>
          <w:szCs w:val="22"/>
          <w:lang w:val="en-US"/>
        </w:rPr>
        <w:t>,</w:t>
      </w:r>
      <w:r w:rsidR="001B60ED" w:rsidRPr="002F5246">
        <w:rPr>
          <w:rFonts w:asciiTheme="majorBidi" w:hAnsiTheme="majorBidi" w:cstheme="majorBidi"/>
          <w:szCs w:val="22"/>
          <w:lang w:val="en-US"/>
        </w:rPr>
        <w:t xml:space="preserve"> t</w:t>
      </w:r>
      <w:r w:rsidR="00DF4E72" w:rsidRPr="002F5246">
        <w:rPr>
          <w:rFonts w:asciiTheme="majorBidi" w:hAnsiTheme="majorBidi" w:cstheme="majorBidi"/>
          <w:szCs w:val="22"/>
          <w:lang w:val="en-US"/>
        </w:rPr>
        <w:t xml:space="preserve">he </w:t>
      </w:r>
      <w:r w:rsidR="00113CE2" w:rsidRPr="002F5246">
        <w:rPr>
          <w:rFonts w:asciiTheme="majorBidi" w:hAnsiTheme="majorBidi" w:cstheme="majorBidi"/>
          <w:szCs w:val="22"/>
          <w:lang w:val="en-US"/>
        </w:rPr>
        <w:t>focus of the regulatory investigations and media attention has</w:t>
      </w:r>
      <w:r w:rsidR="009171E8" w:rsidRPr="002F5246">
        <w:rPr>
          <w:rFonts w:asciiTheme="majorBidi" w:hAnsiTheme="majorBidi" w:cstheme="majorBidi"/>
          <w:szCs w:val="22"/>
          <w:lang w:val="en-US"/>
        </w:rPr>
        <w:t xml:space="preserve"> been on trac</w:t>
      </w:r>
      <w:r w:rsidR="00BF4387" w:rsidRPr="002F5246">
        <w:rPr>
          <w:rFonts w:asciiTheme="majorBidi" w:hAnsiTheme="majorBidi" w:cstheme="majorBidi"/>
          <w:szCs w:val="22"/>
          <w:lang w:val="en-US"/>
        </w:rPr>
        <w:t>king</w:t>
      </w:r>
      <w:r w:rsidR="003578D8" w:rsidRPr="002F5246">
        <w:rPr>
          <w:rFonts w:asciiTheme="majorBidi" w:hAnsiTheme="majorBidi" w:cstheme="majorBidi"/>
          <w:szCs w:val="22"/>
          <w:lang w:val="en-US"/>
        </w:rPr>
        <w:t xml:space="preserve"> trading</w:t>
      </w:r>
      <w:r w:rsidR="009171E8" w:rsidRPr="002F5246">
        <w:rPr>
          <w:rFonts w:asciiTheme="majorBidi" w:hAnsiTheme="majorBidi" w:cstheme="majorBidi"/>
          <w:szCs w:val="22"/>
          <w:lang w:val="en-US"/>
        </w:rPr>
        <w:t xml:space="preserve"> activities</w:t>
      </w:r>
      <w:r w:rsidR="003578D8" w:rsidRPr="002F5246">
        <w:rPr>
          <w:rFonts w:asciiTheme="majorBidi" w:hAnsiTheme="majorBidi" w:cstheme="majorBidi"/>
          <w:szCs w:val="22"/>
          <w:lang w:val="en-US"/>
        </w:rPr>
        <w:t xml:space="preserve"> for potential man</w:t>
      </w:r>
      <w:r w:rsidR="001B60ED" w:rsidRPr="002F5246">
        <w:rPr>
          <w:rFonts w:asciiTheme="majorBidi" w:hAnsiTheme="majorBidi" w:cstheme="majorBidi"/>
          <w:szCs w:val="22"/>
          <w:lang w:val="en-US"/>
        </w:rPr>
        <w:t xml:space="preserve">ipulation and collusive </w:t>
      </w:r>
      <w:r w:rsidR="00E9526B" w:rsidRPr="002F5246">
        <w:rPr>
          <w:rFonts w:asciiTheme="majorBidi" w:hAnsiTheme="majorBidi" w:cstheme="majorBidi"/>
          <w:szCs w:val="22"/>
          <w:lang w:val="en-US"/>
        </w:rPr>
        <w:t>behavio</w:t>
      </w:r>
      <w:r w:rsidR="00A46662" w:rsidRPr="002F5246">
        <w:rPr>
          <w:rFonts w:asciiTheme="majorBidi" w:hAnsiTheme="majorBidi" w:cstheme="majorBidi"/>
          <w:szCs w:val="22"/>
          <w:lang w:val="en-US"/>
        </w:rPr>
        <w:t>r</w:t>
      </w:r>
      <w:r w:rsidR="00113CE2" w:rsidRPr="002F5246">
        <w:rPr>
          <w:rFonts w:asciiTheme="majorBidi" w:hAnsiTheme="majorBidi" w:cstheme="majorBidi"/>
          <w:szCs w:val="22"/>
          <w:lang w:val="en-US"/>
        </w:rPr>
        <w:t xml:space="preserve"> </w:t>
      </w:r>
      <w:r w:rsidR="00C36F74" w:rsidRPr="002F5246">
        <w:rPr>
          <w:rFonts w:asciiTheme="majorBidi" w:hAnsiTheme="majorBidi" w:cstheme="majorBidi"/>
          <w:szCs w:val="22"/>
          <w:lang w:val="en-US"/>
        </w:rPr>
        <w:t>(FCA 201</w:t>
      </w:r>
      <w:r w:rsidR="00085D10" w:rsidRPr="002F5246">
        <w:rPr>
          <w:rFonts w:asciiTheme="majorBidi" w:hAnsiTheme="majorBidi" w:cstheme="majorBidi"/>
          <w:szCs w:val="22"/>
          <w:lang w:val="en-US"/>
        </w:rPr>
        <w:t>4</w:t>
      </w:r>
      <w:r w:rsidR="00C36F74" w:rsidRPr="002F5246">
        <w:rPr>
          <w:rFonts w:asciiTheme="majorBidi" w:hAnsiTheme="majorBidi" w:cstheme="majorBidi"/>
          <w:szCs w:val="22"/>
          <w:lang w:val="en-US"/>
        </w:rPr>
        <w:t>a; 201</w:t>
      </w:r>
      <w:r w:rsidR="00085D10" w:rsidRPr="002F5246">
        <w:rPr>
          <w:rFonts w:asciiTheme="majorBidi" w:hAnsiTheme="majorBidi" w:cstheme="majorBidi"/>
          <w:szCs w:val="22"/>
          <w:lang w:val="en-US"/>
        </w:rPr>
        <w:t>4</w:t>
      </w:r>
      <w:r w:rsidR="00C36F74" w:rsidRPr="002F5246">
        <w:rPr>
          <w:rFonts w:asciiTheme="majorBidi" w:hAnsiTheme="majorBidi" w:cstheme="majorBidi"/>
          <w:szCs w:val="22"/>
          <w:lang w:val="en-US"/>
        </w:rPr>
        <w:t>b; 201</w:t>
      </w:r>
      <w:r w:rsidR="00085D10" w:rsidRPr="002F5246">
        <w:rPr>
          <w:rFonts w:asciiTheme="majorBidi" w:hAnsiTheme="majorBidi" w:cstheme="majorBidi"/>
          <w:szCs w:val="22"/>
          <w:lang w:val="en-US"/>
        </w:rPr>
        <w:t>4</w:t>
      </w:r>
      <w:r w:rsidR="00C36F74" w:rsidRPr="002F5246">
        <w:rPr>
          <w:rFonts w:asciiTheme="majorBidi" w:hAnsiTheme="majorBidi" w:cstheme="majorBidi"/>
          <w:szCs w:val="22"/>
          <w:lang w:val="en-US"/>
        </w:rPr>
        <w:t>c;</w:t>
      </w:r>
      <w:r w:rsidR="00085D10" w:rsidRPr="002F5246">
        <w:rPr>
          <w:rFonts w:asciiTheme="majorBidi" w:hAnsiTheme="majorBidi" w:cstheme="majorBidi"/>
          <w:szCs w:val="22"/>
          <w:lang w:val="en-US"/>
        </w:rPr>
        <w:t xml:space="preserve"> 2014d;</w:t>
      </w:r>
      <w:r w:rsidR="00180D49" w:rsidRPr="002F5246">
        <w:rPr>
          <w:rFonts w:asciiTheme="majorBidi" w:hAnsiTheme="majorBidi" w:cstheme="majorBidi"/>
          <w:szCs w:val="22"/>
          <w:lang w:val="en-US"/>
        </w:rPr>
        <w:t xml:space="preserve"> Finch and Vaughan </w:t>
      </w:r>
      <w:r w:rsidR="00C36F74" w:rsidRPr="002F5246">
        <w:rPr>
          <w:rFonts w:asciiTheme="majorBidi" w:hAnsiTheme="majorBidi" w:cstheme="majorBidi"/>
          <w:szCs w:val="22"/>
          <w:lang w:val="en-US"/>
        </w:rPr>
        <w:t>2014)</w:t>
      </w:r>
      <w:r w:rsidR="009171E8" w:rsidRPr="002F5246">
        <w:rPr>
          <w:rFonts w:asciiTheme="majorBidi" w:hAnsiTheme="majorBidi" w:cstheme="majorBidi"/>
          <w:szCs w:val="22"/>
          <w:lang w:val="en-US"/>
        </w:rPr>
        <w:t>.</w:t>
      </w:r>
      <w:r w:rsidR="00BF4387" w:rsidRPr="002F5246">
        <w:rPr>
          <w:rFonts w:asciiTheme="majorBidi" w:hAnsiTheme="majorBidi" w:cstheme="majorBidi"/>
          <w:szCs w:val="22"/>
          <w:lang w:val="en-US"/>
        </w:rPr>
        <w:t xml:space="preserve"> </w:t>
      </w:r>
      <w:r w:rsidR="00AA1175" w:rsidRPr="002F5246">
        <w:rPr>
          <w:rFonts w:asciiTheme="majorBidi" w:hAnsiTheme="majorBidi" w:cstheme="majorBidi"/>
          <w:szCs w:val="22"/>
          <w:lang w:val="en-US"/>
        </w:rPr>
        <w:t>It is</w:t>
      </w:r>
      <w:r w:rsidR="00F86CF8" w:rsidRPr="002F5246">
        <w:rPr>
          <w:rFonts w:asciiTheme="majorBidi" w:hAnsiTheme="majorBidi" w:cstheme="majorBidi"/>
          <w:szCs w:val="22"/>
          <w:lang w:val="en-US"/>
        </w:rPr>
        <w:t xml:space="preserve">, </w:t>
      </w:r>
      <w:r w:rsidR="00AA1175" w:rsidRPr="002F5246">
        <w:rPr>
          <w:rFonts w:asciiTheme="majorBidi" w:hAnsiTheme="majorBidi" w:cstheme="majorBidi"/>
          <w:szCs w:val="22"/>
          <w:lang w:val="en-US"/>
        </w:rPr>
        <w:t>however</w:t>
      </w:r>
      <w:r w:rsidR="00F86CF8" w:rsidRPr="002F5246">
        <w:rPr>
          <w:rFonts w:asciiTheme="majorBidi" w:hAnsiTheme="majorBidi" w:cstheme="majorBidi"/>
          <w:szCs w:val="22"/>
          <w:lang w:val="en-US"/>
        </w:rPr>
        <w:t xml:space="preserve">, </w:t>
      </w:r>
      <w:r w:rsidR="00AA1175" w:rsidRPr="002F5246">
        <w:rPr>
          <w:rFonts w:asciiTheme="majorBidi" w:hAnsiTheme="majorBidi" w:cstheme="majorBidi"/>
          <w:szCs w:val="22"/>
          <w:lang w:val="en-US"/>
        </w:rPr>
        <w:t xml:space="preserve">costly for regulators </w:t>
      </w:r>
      <w:r w:rsidR="00B112A9" w:rsidRPr="002F5246">
        <w:rPr>
          <w:rFonts w:asciiTheme="majorBidi" w:hAnsiTheme="majorBidi" w:cstheme="majorBidi"/>
          <w:szCs w:val="22"/>
          <w:lang w:val="en-US"/>
        </w:rPr>
        <w:t xml:space="preserve">to </w:t>
      </w:r>
      <w:r w:rsidR="00AA1175" w:rsidRPr="002F5246">
        <w:rPr>
          <w:rFonts w:asciiTheme="majorBidi" w:hAnsiTheme="majorBidi" w:cstheme="majorBidi"/>
          <w:szCs w:val="22"/>
          <w:lang w:val="en-US"/>
        </w:rPr>
        <w:t>investigat</w:t>
      </w:r>
      <w:r w:rsidR="00B112A9" w:rsidRPr="002F5246">
        <w:rPr>
          <w:rFonts w:asciiTheme="majorBidi" w:hAnsiTheme="majorBidi" w:cstheme="majorBidi"/>
          <w:szCs w:val="22"/>
          <w:lang w:val="en-US"/>
        </w:rPr>
        <w:t>e</w:t>
      </w:r>
      <w:r w:rsidR="00AA1175" w:rsidRPr="002F5246">
        <w:rPr>
          <w:rFonts w:asciiTheme="majorBidi" w:hAnsiTheme="majorBidi" w:cstheme="majorBidi"/>
          <w:szCs w:val="22"/>
          <w:lang w:val="en-US"/>
        </w:rPr>
        <w:t xml:space="preserve"> and</w:t>
      </w:r>
      <w:r w:rsidR="00B112A9" w:rsidRPr="002F5246">
        <w:rPr>
          <w:rFonts w:asciiTheme="majorBidi" w:hAnsiTheme="majorBidi" w:cstheme="majorBidi"/>
          <w:szCs w:val="22"/>
          <w:lang w:val="en-US"/>
        </w:rPr>
        <w:t>,</w:t>
      </w:r>
      <w:r w:rsidR="00AA1175" w:rsidRPr="002F5246">
        <w:rPr>
          <w:rFonts w:asciiTheme="majorBidi" w:hAnsiTheme="majorBidi" w:cstheme="majorBidi"/>
          <w:szCs w:val="22"/>
          <w:lang w:val="en-US"/>
        </w:rPr>
        <w:t xml:space="preserve"> therefore</w:t>
      </w:r>
      <w:r w:rsidR="00B112A9" w:rsidRPr="002F5246">
        <w:rPr>
          <w:rFonts w:asciiTheme="majorBidi" w:hAnsiTheme="majorBidi" w:cstheme="majorBidi"/>
          <w:szCs w:val="22"/>
          <w:lang w:val="en-US"/>
        </w:rPr>
        <w:t>,</w:t>
      </w:r>
      <w:r w:rsidR="00AA1175" w:rsidRPr="002F5246">
        <w:rPr>
          <w:rFonts w:asciiTheme="majorBidi" w:hAnsiTheme="majorBidi" w:cstheme="majorBidi"/>
          <w:szCs w:val="22"/>
          <w:lang w:val="en-US"/>
        </w:rPr>
        <w:t xml:space="preserve"> </w:t>
      </w:r>
      <w:r w:rsidR="001960A0" w:rsidRPr="002F5246">
        <w:rPr>
          <w:rFonts w:asciiTheme="majorBidi" w:hAnsiTheme="majorBidi" w:cstheme="majorBidi"/>
          <w:szCs w:val="22"/>
          <w:lang w:val="en-US"/>
        </w:rPr>
        <w:t xml:space="preserve">effectively </w:t>
      </w:r>
      <w:r w:rsidR="00AA1175" w:rsidRPr="002F5246">
        <w:rPr>
          <w:rFonts w:asciiTheme="majorBidi" w:hAnsiTheme="majorBidi" w:cstheme="majorBidi"/>
          <w:szCs w:val="22"/>
          <w:lang w:val="en-US"/>
        </w:rPr>
        <w:t xml:space="preserve">identifying </w:t>
      </w:r>
      <w:r w:rsidR="001B7756" w:rsidRPr="002F5246">
        <w:rPr>
          <w:rFonts w:asciiTheme="majorBidi" w:hAnsiTheme="majorBidi" w:cstheme="majorBidi"/>
          <w:szCs w:val="22"/>
          <w:lang w:val="en-US"/>
        </w:rPr>
        <w:t xml:space="preserve">potential </w:t>
      </w:r>
      <w:r w:rsidR="00AA1175" w:rsidRPr="002F5246">
        <w:rPr>
          <w:rFonts w:asciiTheme="majorBidi" w:hAnsiTheme="majorBidi" w:cstheme="majorBidi"/>
          <w:szCs w:val="22"/>
          <w:lang w:val="en-US"/>
        </w:rPr>
        <w:t>investigation target</w:t>
      </w:r>
      <w:r w:rsidR="00B112A9" w:rsidRPr="002F5246">
        <w:rPr>
          <w:rFonts w:asciiTheme="majorBidi" w:hAnsiTheme="majorBidi" w:cstheme="majorBidi"/>
          <w:szCs w:val="22"/>
          <w:lang w:val="en-US"/>
        </w:rPr>
        <w:t>s</w:t>
      </w:r>
      <w:r w:rsidR="00AA1175" w:rsidRPr="002F5246">
        <w:rPr>
          <w:rFonts w:asciiTheme="majorBidi" w:hAnsiTheme="majorBidi" w:cstheme="majorBidi"/>
          <w:szCs w:val="22"/>
          <w:lang w:val="en-US"/>
        </w:rPr>
        <w:t xml:space="preserve"> </w:t>
      </w:r>
      <w:r w:rsidR="00B112A9" w:rsidRPr="002F5246">
        <w:rPr>
          <w:rFonts w:asciiTheme="majorBidi" w:hAnsiTheme="majorBidi" w:cstheme="majorBidi"/>
          <w:szCs w:val="22"/>
          <w:lang w:val="en-US"/>
        </w:rPr>
        <w:t xml:space="preserve">is </w:t>
      </w:r>
      <w:r w:rsidR="00AA1175" w:rsidRPr="002F5246">
        <w:rPr>
          <w:rFonts w:asciiTheme="majorBidi" w:hAnsiTheme="majorBidi" w:cstheme="majorBidi"/>
          <w:szCs w:val="22"/>
          <w:lang w:val="en-US"/>
        </w:rPr>
        <w:t xml:space="preserve">itself </w:t>
      </w:r>
      <w:r w:rsidR="001B7756" w:rsidRPr="002F5246">
        <w:rPr>
          <w:rFonts w:asciiTheme="majorBidi" w:hAnsiTheme="majorBidi" w:cstheme="majorBidi"/>
          <w:szCs w:val="22"/>
          <w:lang w:val="en-US"/>
        </w:rPr>
        <w:t>an</w:t>
      </w:r>
      <w:r w:rsidR="00AA1175" w:rsidRPr="002F5246">
        <w:rPr>
          <w:rFonts w:asciiTheme="majorBidi" w:hAnsiTheme="majorBidi" w:cstheme="majorBidi"/>
          <w:szCs w:val="22"/>
          <w:lang w:val="en-US"/>
        </w:rPr>
        <w:t xml:space="preserve"> </w:t>
      </w:r>
      <w:r w:rsidR="001B7756" w:rsidRPr="002F5246">
        <w:rPr>
          <w:rFonts w:asciiTheme="majorBidi" w:hAnsiTheme="majorBidi" w:cstheme="majorBidi"/>
          <w:szCs w:val="22"/>
          <w:lang w:val="en-US"/>
        </w:rPr>
        <w:t>important task</w:t>
      </w:r>
      <w:r w:rsidR="00AA1175" w:rsidRPr="002F5246">
        <w:rPr>
          <w:rFonts w:asciiTheme="majorBidi" w:hAnsiTheme="majorBidi" w:cstheme="majorBidi"/>
          <w:szCs w:val="22"/>
          <w:lang w:val="en-US"/>
        </w:rPr>
        <w:t>.</w:t>
      </w:r>
      <w:r w:rsidR="00D63337" w:rsidRPr="002F5246">
        <w:rPr>
          <w:rFonts w:asciiTheme="majorBidi" w:hAnsiTheme="majorBidi" w:cstheme="majorBidi"/>
          <w:szCs w:val="22"/>
          <w:lang w:val="en-US"/>
        </w:rPr>
        <w:t xml:space="preserve"> </w:t>
      </w:r>
      <w:r w:rsidR="000C7A5A" w:rsidRPr="002F5246">
        <w:rPr>
          <w:rFonts w:asciiTheme="majorBidi" w:hAnsiTheme="majorBidi" w:cstheme="majorBidi"/>
          <w:szCs w:val="22"/>
          <w:lang w:val="en-US"/>
        </w:rPr>
        <w:t xml:space="preserve">With </w:t>
      </w:r>
      <w:r w:rsidR="001B60ED" w:rsidRPr="002F5246">
        <w:rPr>
          <w:rFonts w:asciiTheme="majorBidi" w:hAnsiTheme="majorBidi" w:cstheme="majorBidi"/>
          <w:szCs w:val="22"/>
          <w:lang w:val="en-US"/>
        </w:rPr>
        <w:t>the r</w:t>
      </w:r>
      <w:r w:rsidR="005F3CEB" w:rsidRPr="002F5246">
        <w:rPr>
          <w:rFonts w:asciiTheme="majorBidi" w:hAnsiTheme="majorBidi" w:cstheme="majorBidi"/>
          <w:szCs w:val="22"/>
          <w:lang w:val="en-US"/>
        </w:rPr>
        <w:t xml:space="preserve">ise of </w:t>
      </w:r>
      <w:r w:rsidR="00220923" w:rsidRPr="002F5246">
        <w:rPr>
          <w:rFonts w:asciiTheme="majorBidi" w:hAnsiTheme="majorBidi" w:cstheme="majorBidi"/>
          <w:szCs w:val="22"/>
          <w:lang w:val="en-US"/>
        </w:rPr>
        <w:t>algorithmic</w:t>
      </w:r>
      <w:r w:rsidR="001B60ED" w:rsidRPr="002F5246">
        <w:rPr>
          <w:rFonts w:asciiTheme="majorBidi" w:hAnsiTheme="majorBidi" w:cstheme="majorBidi"/>
          <w:szCs w:val="22"/>
          <w:lang w:val="en-US"/>
        </w:rPr>
        <w:t xml:space="preserve"> and high-frequency trading within this market,</w:t>
      </w:r>
      <w:r w:rsidR="00F80FB0" w:rsidRPr="002F5246">
        <w:rPr>
          <w:rStyle w:val="EndnoteReference"/>
          <w:rFonts w:asciiTheme="majorBidi" w:hAnsiTheme="majorBidi" w:cstheme="majorBidi"/>
          <w:szCs w:val="22"/>
          <w:lang w:val="en-US"/>
        </w:rPr>
        <w:endnoteReference w:id="4"/>
      </w:r>
      <w:r w:rsidR="001B60ED" w:rsidRPr="002F5246">
        <w:rPr>
          <w:rFonts w:asciiTheme="majorBidi" w:hAnsiTheme="majorBidi" w:cstheme="majorBidi"/>
          <w:szCs w:val="22"/>
          <w:lang w:val="en-US"/>
        </w:rPr>
        <w:t xml:space="preserve"> the challenge facing regulators is the design of</w:t>
      </w:r>
      <w:r w:rsidR="005F3CEB" w:rsidRPr="002F5246">
        <w:rPr>
          <w:rFonts w:asciiTheme="majorBidi" w:hAnsiTheme="majorBidi" w:cstheme="majorBidi"/>
          <w:szCs w:val="22"/>
          <w:lang w:val="en-US"/>
        </w:rPr>
        <w:t xml:space="preserve"> </w:t>
      </w:r>
      <w:r w:rsidR="008960F7" w:rsidRPr="002F5246">
        <w:rPr>
          <w:rFonts w:asciiTheme="majorBidi" w:hAnsiTheme="majorBidi" w:cstheme="majorBidi"/>
          <w:szCs w:val="22"/>
          <w:lang w:val="en-US"/>
        </w:rPr>
        <w:t>a method</w:t>
      </w:r>
      <w:r w:rsidR="005F3CEB" w:rsidRPr="002F5246">
        <w:rPr>
          <w:rFonts w:asciiTheme="majorBidi" w:hAnsiTheme="majorBidi" w:cstheme="majorBidi"/>
          <w:szCs w:val="22"/>
          <w:lang w:val="en-US"/>
        </w:rPr>
        <w:t xml:space="preserve"> </w:t>
      </w:r>
      <w:r w:rsidR="00220923" w:rsidRPr="002F5246">
        <w:rPr>
          <w:rFonts w:asciiTheme="majorBidi" w:hAnsiTheme="majorBidi" w:cstheme="majorBidi"/>
          <w:szCs w:val="22"/>
          <w:lang w:val="en-US"/>
        </w:rPr>
        <w:t>that can</w:t>
      </w:r>
      <w:r w:rsidR="008960F7" w:rsidRPr="002F5246">
        <w:rPr>
          <w:rFonts w:asciiTheme="majorBidi" w:hAnsiTheme="majorBidi" w:cstheme="majorBidi"/>
          <w:szCs w:val="22"/>
          <w:lang w:val="en-US"/>
        </w:rPr>
        <w:t xml:space="preserve"> monitor </w:t>
      </w:r>
      <w:r w:rsidR="005F3CEB" w:rsidRPr="002F5246">
        <w:rPr>
          <w:rFonts w:asciiTheme="majorBidi" w:hAnsiTheme="majorBidi" w:cstheme="majorBidi"/>
          <w:szCs w:val="22"/>
          <w:lang w:val="en-US"/>
        </w:rPr>
        <w:t>and provide</w:t>
      </w:r>
      <w:r w:rsidR="007E5D10" w:rsidRPr="002F5246">
        <w:rPr>
          <w:rFonts w:asciiTheme="majorBidi" w:hAnsiTheme="majorBidi" w:cstheme="majorBidi"/>
          <w:szCs w:val="22"/>
          <w:lang w:val="en-US"/>
        </w:rPr>
        <w:t xml:space="preserve"> </w:t>
      </w:r>
      <w:r w:rsidR="00A344CA" w:rsidRPr="002F5246">
        <w:rPr>
          <w:rFonts w:asciiTheme="majorBidi" w:hAnsiTheme="majorBidi" w:cstheme="majorBidi"/>
          <w:szCs w:val="22"/>
          <w:lang w:val="en-US"/>
        </w:rPr>
        <w:t>a</w:t>
      </w:r>
      <w:r w:rsidR="007E5D10" w:rsidRPr="002F5246">
        <w:rPr>
          <w:rFonts w:asciiTheme="majorBidi" w:hAnsiTheme="majorBidi" w:cstheme="majorBidi"/>
          <w:szCs w:val="22"/>
          <w:lang w:val="en-US"/>
        </w:rPr>
        <w:t xml:space="preserve"> </w:t>
      </w:r>
      <w:r w:rsidR="00A344CA" w:rsidRPr="002F5246">
        <w:rPr>
          <w:rFonts w:asciiTheme="majorBidi" w:hAnsiTheme="majorBidi" w:cstheme="majorBidi"/>
          <w:i/>
          <w:iCs/>
          <w:szCs w:val="22"/>
          <w:lang w:val="en-US"/>
        </w:rPr>
        <w:t>timely</w:t>
      </w:r>
      <w:r w:rsidR="00A344CA" w:rsidRPr="002F5246">
        <w:rPr>
          <w:rFonts w:asciiTheme="majorBidi" w:hAnsiTheme="majorBidi" w:cstheme="majorBidi"/>
          <w:szCs w:val="22"/>
          <w:lang w:val="en-US"/>
        </w:rPr>
        <w:t xml:space="preserve"> </w:t>
      </w:r>
      <w:r w:rsidR="005F3CEB" w:rsidRPr="002F5246">
        <w:rPr>
          <w:rFonts w:asciiTheme="majorBidi" w:hAnsiTheme="majorBidi" w:cstheme="majorBidi"/>
          <w:bCs/>
          <w:i/>
          <w:iCs/>
          <w:szCs w:val="22"/>
          <w:lang w:val="en-US"/>
        </w:rPr>
        <w:t>warning</w:t>
      </w:r>
      <w:r w:rsidR="005F3CEB" w:rsidRPr="002F5246">
        <w:rPr>
          <w:rFonts w:asciiTheme="majorBidi" w:hAnsiTheme="majorBidi" w:cstheme="majorBidi"/>
          <w:szCs w:val="22"/>
          <w:lang w:val="en-US"/>
        </w:rPr>
        <w:t xml:space="preserve"> s</w:t>
      </w:r>
      <w:r w:rsidR="00220923" w:rsidRPr="002F5246">
        <w:rPr>
          <w:rFonts w:asciiTheme="majorBidi" w:hAnsiTheme="majorBidi" w:cstheme="majorBidi"/>
          <w:szCs w:val="22"/>
          <w:lang w:val="en-US"/>
        </w:rPr>
        <w:t>ignal</w:t>
      </w:r>
      <w:r w:rsidR="001B60ED" w:rsidRPr="002F5246">
        <w:rPr>
          <w:rFonts w:asciiTheme="majorBidi" w:hAnsiTheme="majorBidi" w:cstheme="majorBidi"/>
          <w:szCs w:val="22"/>
          <w:lang w:val="en-US"/>
        </w:rPr>
        <w:t xml:space="preserve"> that prompt</w:t>
      </w:r>
      <w:r w:rsidR="002844D8" w:rsidRPr="002F5246">
        <w:rPr>
          <w:rFonts w:asciiTheme="majorBidi" w:hAnsiTheme="majorBidi" w:cstheme="majorBidi"/>
          <w:szCs w:val="22"/>
          <w:lang w:val="en-US"/>
        </w:rPr>
        <w:t>s</w:t>
      </w:r>
      <w:r w:rsidR="001B60ED" w:rsidRPr="002F5246">
        <w:rPr>
          <w:rFonts w:asciiTheme="majorBidi" w:hAnsiTheme="majorBidi" w:cstheme="majorBidi"/>
          <w:szCs w:val="22"/>
          <w:lang w:val="en-US"/>
        </w:rPr>
        <w:t xml:space="preserve"> </w:t>
      </w:r>
      <w:r w:rsidR="00220923" w:rsidRPr="002F5246">
        <w:rPr>
          <w:rFonts w:asciiTheme="majorBidi" w:hAnsiTheme="majorBidi" w:cstheme="majorBidi"/>
          <w:szCs w:val="22"/>
          <w:lang w:val="en-US"/>
        </w:rPr>
        <w:t xml:space="preserve">further investigation. </w:t>
      </w:r>
      <w:r w:rsidR="005256FE" w:rsidRPr="002F5246">
        <w:rPr>
          <w:rFonts w:asciiTheme="majorBidi" w:hAnsiTheme="majorBidi" w:cstheme="majorBidi"/>
          <w:szCs w:val="22"/>
          <w:lang w:val="en-US"/>
        </w:rPr>
        <w:t xml:space="preserve">We aim </w:t>
      </w:r>
      <w:r w:rsidR="005A6DC8" w:rsidRPr="002F5246">
        <w:rPr>
          <w:rFonts w:asciiTheme="majorBidi" w:hAnsiTheme="majorBidi" w:cstheme="majorBidi"/>
          <w:szCs w:val="22"/>
          <w:lang w:val="en-US"/>
        </w:rPr>
        <w:t>to</w:t>
      </w:r>
      <w:r w:rsidR="005256FE" w:rsidRPr="002F5246">
        <w:rPr>
          <w:rFonts w:asciiTheme="majorBidi" w:hAnsiTheme="majorBidi" w:cstheme="majorBidi"/>
          <w:szCs w:val="22"/>
          <w:lang w:val="en-US"/>
        </w:rPr>
        <w:t xml:space="preserve"> fill this void </w:t>
      </w:r>
      <w:r w:rsidR="008B1A09" w:rsidRPr="002F5246">
        <w:rPr>
          <w:rFonts w:asciiTheme="majorBidi" w:hAnsiTheme="majorBidi" w:cstheme="majorBidi"/>
          <w:szCs w:val="22"/>
          <w:lang w:val="en-US"/>
        </w:rPr>
        <w:t xml:space="preserve">in the market microstructure literature </w:t>
      </w:r>
      <w:r w:rsidR="005256FE" w:rsidRPr="002F5246">
        <w:rPr>
          <w:rFonts w:asciiTheme="majorBidi" w:hAnsiTheme="majorBidi" w:cstheme="majorBidi"/>
          <w:szCs w:val="22"/>
          <w:lang w:val="en-US"/>
        </w:rPr>
        <w:t>by exploring the possibility of developing a monitoring system that can detect abnormal market behavio</w:t>
      </w:r>
      <w:r w:rsidR="009A4CE0" w:rsidRPr="002F5246">
        <w:rPr>
          <w:rFonts w:asciiTheme="majorBidi" w:hAnsiTheme="majorBidi" w:cstheme="majorBidi"/>
          <w:szCs w:val="22"/>
          <w:lang w:val="en-US"/>
        </w:rPr>
        <w:t>r</w:t>
      </w:r>
      <w:r w:rsidR="005256FE" w:rsidRPr="002F5246">
        <w:rPr>
          <w:rFonts w:asciiTheme="majorBidi" w:hAnsiTheme="majorBidi" w:cstheme="majorBidi"/>
          <w:szCs w:val="22"/>
          <w:lang w:val="en-US"/>
        </w:rPr>
        <w:t>.</w:t>
      </w:r>
    </w:p>
    <w:p w14:paraId="54AD9F38" w14:textId="788B4D33" w:rsidR="00DA306F" w:rsidRPr="002F5246" w:rsidRDefault="00C610AD" w:rsidP="007E379E">
      <w:pPr>
        <w:pStyle w:val="Para2"/>
        <w:spacing w:line="480" w:lineRule="auto"/>
      </w:pPr>
      <w:r w:rsidRPr="002F5246">
        <w:t>The</w:t>
      </w:r>
      <w:r w:rsidR="00AF2876" w:rsidRPr="002F5246">
        <w:t xml:space="preserve"> FX market is predominantly a quote driven market</w:t>
      </w:r>
      <w:r w:rsidRPr="002F5246">
        <w:t>.</w:t>
      </w:r>
      <w:r w:rsidR="00F80FB0" w:rsidRPr="002F5246">
        <w:rPr>
          <w:rStyle w:val="EndnoteReference"/>
        </w:rPr>
        <w:endnoteReference w:id="5"/>
      </w:r>
      <w:r w:rsidRPr="002F5246">
        <w:t xml:space="preserve"> </w:t>
      </w:r>
      <w:r w:rsidR="00854AB6" w:rsidRPr="002F5246">
        <w:t>Dealers’</w:t>
      </w:r>
      <w:r w:rsidR="00E37518" w:rsidRPr="002F5246">
        <w:t xml:space="preserve"> </w:t>
      </w:r>
      <w:r w:rsidR="001753DE" w:rsidRPr="002F5246">
        <w:t xml:space="preserve">quotes are disseminated in real time </w:t>
      </w:r>
      <w:r w:rsidR="008960F7" w:rsidRPr="002F5246">
        <w:t xml:space="preserve">across a </w:t>
      </w:r>
      <w:r w:rsidR="00EC2F33" w:rsidRPr="002F5246">
        <w:t xml:space="preserve">few </w:t>
      </w:r>
      <w:r w:rsidR="001753DE" w:rsidRPr="002F5246">
        <w:t>large platform</w:t>
      </w:r>
      <w:r w:rsidR="008960F7" w:rsidRPr="002F5246">
        <w:t>s</w:t>
      </w:r>
      <w:r w:rsidR="007E379E" w:rsidRPr="002F5246">
        <w:t xml:space="preserve"> with </w:t>
      </w:r>
      <w:r w:rsidR="001753DE" w:rsidRPr="002F5246">
        <w:t xml:space="preserve">Thomson Reuters </w:t>
      </w:r>
      <w:r w:rsidR="007E379E" w:rsidRPr="002F5246">
        <w:t xml:space="preserve">being </w:t>
      </w:r>
      <w:r w:rsidR="001753DE" w:rsidRPr="002F5246">
        <w:t xml:space="preserve">by far the </w:t>
      </w:r>
      <w:r w:rsidR="001753DE" w:rsidRPr="002F5246">
        <w:lastRenderedPageBreak/>
        <w:t>largest and most comprehensive</w:t>
      </w:r>
      <w:r w:rsidR="00EC2F33" w:rsidRPr="002F5246">
        <w:t>.</w:t>
      </w:r>
      <w:r w:rsidR="00241C01" w:rsidRPr="002F5246">
        <w:rPr>
          <w:rStyle w:val="EndnoteReference"/>
        </w:rPr>
        <w:endnoteReference w:id="6"/>
      </w:r>
      <w:r w:rsidR="00EC2F33" w:rsidRPr="002F5246">
        <w:t xml:space="preserve"> </w:t>
      </w:r>
      <w:r w:rsidR="001753DE" w:rsidRPr="002F5246">
        <w:t xml:space="preserve">We </w:t>
      </w:r>
      <w:r w:rsidR="009A4D2A" w:rsidRPr="002F5246">
        <w:t xml:space="preserve">accordingly </w:t>
      </w:r>
      <w:r w:rsidR="001753DE" w:rsidRPr="002F5246">
        <w:t xml:space="preserve">collect and construct </w:t>
      </w:r>
      <w:r w:rsidR="00DA306F" w:rsidRPr="002F5246">
        <w:t>a unique</w:t>
      </w:r>
      <w:r w:rsidR="002D74E0" w:rsidRPr="002F5246">
        <w:t xml:space="preserve"> tick-by-tick </w:t>
      </w:r>
      <w:r w:rsidR="00DA306F" w:rsidRPr="002F5246">
        <w:t xml:space="preserve">dataset </w:t>
      </w:r>
      <w:r w:rsidR="00D334C0" w:rsidRPr="002F5246">
        <w:t xml:space="preserve">from </w:t>
      </w:r>
      <w:r w:rsidR="009A4D2A" w:rsidRPr="002F5246">
        <w:t xml:space="preserve">the </w:t>
      </w:r>
      <w:r w:rsidR="00D334C0" w:rsidRPr="002F5246">
        <w:t>Thomson Reuters</w:t>
      </w:r>
      <w:r w:rsidR="00F26467" w:rsidRPr="002F5246">
        <w:t xml:space="preserve"> platform</w:t>
      </w:r>
      <w:r w:rsidR="00D334C0" w:rsidRPr="002F5246">
        <w:t xml:space="preserve"> </w:t>
      </w:r>
      <w:r w:rsidR="009A4D2A" w:rsidRPr="002F5246">
        <w:t>that</w:t>
      </w:r>
      <w:r w:rsidR="00DA306F" w:rsidRPr="002F5246">
        <w:t xml:space="preserve"> contain</w:t>
      </w:r>
      <w:r w:rsidR="00D334C0" w:rsidRPr="002F5246">
        <w:t>s</w:t>
      </w:r>
      <w:r w:rsidR="00DA306F" w:rsidRPr="002F5246">
        <w:t xml:space="preserve"> </w:t>
      </w:r>
      <w:r w:rsidR="00436BF5" w:rsidRPr="002F5246">
        <w:t xml:space="preserve">dealers’ </w:t>
      </w:r>
      <w:r w:rsidR="00DA306F" w:rsidRPr="002F5246">
        <w:t>high</w:t>
      </w:r>
      <w:r w:rsidR="00436BF5" w:rsidRPr="002F5246">
        <w:t xml:space="preserve"> </w:t>
      </w:r>
      <w:r w:rsidR="00DA306F" w:rsidRPr="002F5246">
        <w:t xml:space="preserve">frequency </w:t>
      </w:r>
      <w:r w:rsidR="002D74E0" w:rsidRPr="002F5246">
        <w:t xml:space="preserve">bid and ask </w:t>
      </w:r>
      <w:r w:rsidR="00DA306F" w:rsidRPr="002F5246">
        <w:t>quotes</w:t>
      </w:r>
      <w:r w:rsidR="00436BF5" w:rsidRPr="002F5246">
        <w:t xml:space="preserve">. </w:t>
      </w:r>
      <w:r w:rsidR="009C12CC" w:rsidRPr="002F5246">
        <w:t>The most prominent feature of this dataset is that the identity and location of the quote disseminators are recorded</w:t>
      </w:r>
      <w:r w:rsidR="000C7A5A" w:rsidRPr="002F5246">
        <w:t>.</w:t>
      </w:r>
      <w:r w:rsidR="000950E7" w:rsidRPr="002F5246">
        <w:t xml:space="preserve"> </w:t>
      </w:r>
      <w:r w:rsidR="000C7A5A" w:rsidRPr="002F5246">
        <w:t xml:space="preserve">This </w:t>
      </w:r>
      <w:r w:rsidR="009C12CC" w:rsidRPr="002F5246">
        <w:t>allow</w:t>
      </w:r>
      <w:r w:rsidR="000C7A5A" w:rsidRPr="002F5246">
        <w:t>s</w:t>
      </w:r>
      <w:r w:rsidR="009C12CC" w:rsidRPr="002F5246">
        <w:t xml:space="preserve"> us to observe closely how individual dealers contribute to price discovery around </w:t>
      </w:r>
      <w:r w:rsidR="009A4D2A" w:rsidRPr="002F5246">
        <w:t xml:space="preserve">the </w:t>
      </w:r>
      <w:r w:rsidR="009C12CC" w:rsidRPr="002F5246">
        <w:t>WMR fixing</w:t>
      </w:r>
      <w:r w:rsidR="009A4D2A" w:rsidRPr="002F5246">
        <w:t xml:space="preserve"> at 4 o’clock (henceforth the </w:t>
      </w:r>
      <w:r w:rsidR="00D66A94" w:rsidRPr="002F5246">
        <w:t>f</w:t>
      </w:r>
      <w:r w:rsidR="009A4D2A" w:rsidRPr="002F5246">
        <w:t>i</w:t>
      </w:r>
      <w:r w:rsidR="009C12CC" w:rsidRPr="002F5246">
        <w:t>x).</w:t>
      </w:r>
      <w:r w:rsidR="00D63337" w:rsidRPr="002F5246">
        <w:t xml:space="preserve"> </w:t>
      </w:r>
      <w:r w:rsidR="008C0022" w:rsidRPr="002F5246">
        <w:t xml:space="preserve">Our final dataset </w:t>
      </w:r>
      <w:r w:rsidR="007E5D10" w:rsidRPr="002F5246">
        <w:t>spans from 2</w:t>
      </w:r>
      <w:r w:rsidR="007E5D10" w:rsidRPr="002F5246">
        <w:rPr>
          <w:vertAlign w:val="superscript"/>
        </w:rPr>
        <w:t>nd</w:t>
      </w:r>
      <w:r w:rsidR="007E5D10" w:rsidRPr="002F5246">
        <w:t xml:space="preserve"> April 2013 to 27</w:t>
      </w:r>
      <w:r w:rsidR="007E5D10" w:rsidRPr="002F5246">
        <w:rPr>
          <w:vertAlign w:val="superscript"/>
        </w:rPr>
        <w:t>th</w:t>
      </w:r>
      <w:r w:rsidR="007E5D10" w:rsidRPr="002F5246">
        <w:t xml:space="preserve"> March 2014 a</w:t>
      </w:r>
      <w:r w:rsidR="003A38A0" w:rsidRPr="002F5246">
        <w:t>n</w:t>
      </w:r>
      <w:r w:rsidR="007E5D10" w:rsidRPr="002F5246">
        <w:t xml:space="preserve">d </w:t>
      </w:r>
      <w:r w:rsidR="008C0022" w:rsidRPr="002F5246">
        <w:t xml:space="preserve">contains </w:t>
      </w:r>
      <w:r w:rsidR="00383731" w:rsidRPr="002F5246">
        <w:t>87,447</w:t>
      </w:r>
      <w:r w:rsidR="001B76BF" w:rsidRPr="002F5246">
        <w:t xml:space="preserve"> </w:t>
      </w:r>
      <w:r w:rsidR="008C0022" w:rsidRPr="002F5246">
        <w:t>quotes from EUR</w:t>
      </w:r>
      <w:r w:rsidR="00CA3FD7" w:rsidRPr="002F5246">
        <w:t>:</w:t>
      </w:r>
      <w:r w:rsidR="008C0022" w:rsidRPr="002F5246">
        <w:t>GBP, EUR</w:t>
      </w:r>
      <w:r w:rsidR="00CA3FD7" w:rsidRPr="002F5246">
        <w:t>:</w:t>
      </w:r>
      <w:r w:rsidR="008C0022" w:rsidRPr="002F5246">
        <w:t>JPY, EUR</w:t>
      </w:r>
      <w:r w:rsidR="00CA3FD7" w:rsidRPr="002F5246">
        <w:t>:</w:t>
      </w:r>
      <w:r w:rsidR="008C0022" w:rsidRPr="002F5246">
        <w:t>USD, GBP</w:t>
      </w:r>
      <w:r w:rsidR="00CA3FD7" w:rsidRPr="002F5246">
        <w:t>:</w:t>
      </w:r>
      <w:r w:rsidR="008C0022" w:rsidRPr="002F5246">
        <w:t>USD, and USD</w:t>
      </w:r>
      <w:r w:rsidR="00CA3FD7" w:rsidRPr="002F5246">
        <w:t>:</w:t>
      </w:r>
      <w:r w:rsidR="008C0022" w:rsidRPr="002F5246">
        <w:t xml:space="preserve">JPY. These currencies are the most traded, liquid, and important currency pairs in the FX market, forming </w:t>
      </w:r>
      <w:r w:rsidR="00CC00F8" w:rsidRPr="002F5246">
        <w:t>77.65</w:t>
      </w:r>
      <w:r w:rsidR="008C0022" w:rsidRPr="002F5246">
        <w:t xml:space="preserve">% of the </w:t>
      </w:r>
      <w:r w:rsidR="007E5D10" w:rsidRPr="002F5246">
        <w:t xml:space="preserve">$5.4 trillion a day </w:t>
      </w:r>
      <w:r w:rsidR="008C0022" w:rsidRPr="002F5246">
        <w:t>FX trades</w:t>
      </w:r>
      <w:r w:rsidR="00180D49" w:rsidRPr="002F5246">
        <w:t xml:space="preserve"> (BIS</w:t>
      </w:r>
      <w:r w:rsidR="00CC00F8" w:rsidRPr="002F5246">
        <w:t xml:space="preserve"> 2013)</w:t>
      </w:r>
      <w:r w:rsidR="008C0022" w:rsidRPr="002F5246">
        <w:t>.</w:t>
      </w:r>
    </w:p>
    <w:p w14:paraId="4A351DDB" w14:textId="642EE9C0" w:rsidR="004517A1" w:rsidRPr="002F5246" w:rsidRDefault="003A1E68" w:rsidP="00E65097">
      <w:pPr>
        <w:pStyle w:val="Para2"/>
        <w:spacing w:line="480" w:lineRule="auto"/>
      </w:pPr>
      <w:r w:rsidRPr="002F5246">
        <w:t>We start our analysis of the abnormal behavior of dealers by understanding their “manipulative” objective functions when participating in the fixing process. The WMR benchmark fixing process is based on the median of the trade/quote prices within one minute centered at 4pm London time.</w:t>
      </w:r>
      <w:r w:rsidR="005D2BBD" w:rsidRPr="002F5246">
        <w:rPr>
          <w:rStyle w:val="EndnoteReference"/>
        </w:rPr>
        <w:endnoteReference w:id="7"/>
      </w:r>
      <w:r w:rsidRPr="002F5246">
        <w:t xml:space="preserve"> </w:t>
      </w:r>
      <w:r w:rsidR="00D96E89" w:rsidRPr="002F5246">
        <w:t>Our procedure of</w:t>
      </w:r>
      <w:r w:rsidR="008B6C7A" w:rsidRPr="002F5246">
        <w:t xml:space="preserve"> captur</w:t>
      </w:r>
      <w:r w:rsidR="00D96E89" w:rsidRPr="002F5246">
        <w:t>ing</w:t>
      </w:r>
      <w:r w:rsidR="00595316" w:rsidRPr="002F5246">
        <w:t xml:space="preserve"> potential manipulation </w:t>
      </w:r>
      <w:r w:rsidR="001A44E3" w:rsidRPr="002F5246">
        <w:t>behavio</w:t>
      </w:r>
      <w:r w:rsidR="00A46662" w:rsidRPr="002F5246">
        <w:t>r</w:t>
      </w:r>
      <w:r w:rsidR="008B6C7A" w:rsidRPr="002F5246">
        <w:t xml:space="preserve"> </w:t>
      </w:r>
      <w:r w:rsidR="00D96E89" w:rsidRPr="002F5246">
        <w:t>is a</w:t>
      </w:r>
      <w:r w:rsidR="00852235" w:rsidRPr="002F5246">
        <w:t>chieved</w:t>
      </w:r>
      <w:r w:rsidR="00D96E89" w:rsidRPr="002F5246">
        <w:t xml:space="preserve"> in two phases. First, in the identification phase, </w:t>
      </w:r>
      <w:r w:rsidR="008B6C7A" w:rsidRPr="002F5246">
        <w:t xml:space="preserve">we identify those quotes updates that are </w:t>
      </w:r>
      <w:r w:rsidR="00623306" w:rsidRPr="002F5246">
        <w:rPr>
          <w:i/>
        </w:rPr>
        <w:t xml:space="preserve">strategically </w:t>
      </w:r>
      <w:r w:rsidR="00623306" w:rsidRPr="002F5246">
        <w:rPr>
          <w:iCs/>
        </w:rPr>
        <w:t>and</w:t>
      </w:r>
      <w:r w:rsidR="00623306" w:rsidRPr="002F5246">
        <w:t xml:space="preserve"> </w:t>
      </w:r>
      <w:r w:rsidR="008B6C7A" w:rsidRPr="002F5246">
        <w:rPr>
          <w:i/>
        </w:rPr>
        <w:t>systematically</w:t>
      </w:r>
      <w:r w:rsidR="008B6C7A" w:rsidRPr="002F5246">
        <w:t xml:space="preserve"> contributing to mov</w:t>
      </w:r>
      <w:r w:rsidR="009B352D" w:rsidRPr="002F5246">
        <w:t>ing</w:t>
      </w:r>
      <w:r w:rsidR="008B6C7A" w:rsidRPr="002F5246">
        <w:t xml:space="preserve"> the </w:t>
      </w:r>
      <w:r w:rsidR="001C1353" w:rsidRPr="002F5246">
        <w:t>current</w:t>
      </w:r>
      <w:r w:rsidR="008B6C7A" w:rsidRPr="002F5246">
        <w:t xml:space="preserve"> median</w:t>
      </w:r>
      <w:r w:rsidR="00837499" w:rsidRPr="002F5246">
        <w:t xml:space="preserve"> of </w:t>
      </w:r>
      <w:r w:rsidR="005D2BBD" w:rsidRPr="002F5246">
        <w:t xml:space="preserve">the </w:t>
      </w:r>
      <w:r w:rsidR="00837499" w:rsidRPr="002F5246">
        <w:t>prices towards</w:t>
      </w:r>
      <w:r w:rsidR="008B6C7A" w:rsidRPr="002F5246">
        <w:t xml:space="preserve"> the final median</w:t>
      </w:r>
      <w:r w:rsidR="00837499" w:rsidRPr="002F5246">
        <w:t xml:space="preserve"> of </w:t>
      </w:r>
      <w:r w:rsidR="005D2BBD" w:rsidRPr="002F5246">
        <w:t xml:space="preserve">the </w:t>
      </w:r>
      <w:r w:rsidR="00837499" w:rsidRPr="002F5246">
        <w:t>prices in the fixing window</w:t>
      </w:r>
      <w:r w:rsidR="00D63337" w:rsidRPr="002F5246">
        <w:t xml:space="preserve">. </w:t>
      </w:r>
      <w:r w:rsidR="008B6C7A" w:rsidRPr="002F5246">
        <w:t xml:space="preserve">The idea is that </w:t>
      </w:r>
      <w:r w:rsidR="00D753D0" w:rsidRPr="002F5246">
        <w:t>before</w:t>
      </w:r>
      <w:r w:rsidR="005348B3" w:rsidRPr="002F5246">
        <w:t xml:space="preserve"> every quote update, </w:t>
      </w:r>
      <w:bookmarkStart w:id="2" w:name="_Hlk515651067"/>
      <w:r w:rsidR="008B6C7A" w:rsidRPr="002F5246">
        <w:t xml:space="preserve"> dealer</w:t>
      </w:r>
      <w:r w:rsidR="0069634F" w:rsidRPr="002F5246">
        <w:t>s</w:t>
      </w:r>
      <w:r w:rsidR="008B6C7A" w:rsidRPr="002F5246">
        <w:t xml:space="preserve"> examine the </w:t>
      </w:r>
      <w:r w:rsidR="00623306" w:rsidRPr="002F5246">
        <w:t xml:space="preserve">distribution </w:t>
      </w:r>
      <w:r w:rsidR="008B6C7A" w:rsidRPr="002F5246">
        <w:t xml:space="preserve">of the </w:t>
      </w:r>
      <w:r w:rsidR="0069634F" w:rsidRPr="002F5246">
        <w:t xml:space="preserve">posted </w:t>
      </w:r>
      <w:r w:rsidR="008B6C7A" w:rsidRPr="002F5246">
        <w:t xml:space="preserve">quotes </w:t>
      </w:r>
      <w:r w:rsidR="00623306" w:rsidRPr="002F5246">
        <w:t xml:space="preserve">since the </w:t>
      </w:r>
      <w:r w:rsidR="0069634F" w:rsidRPr="002F5246">
        <w:t xml:space="preserve">beginning of the </w:t>
      </w:r>
      <w:r w:rsidR="00623306" w:rsidRPr="002F5246">
        <w:t xml:space="preserve">fixing window </w:t>
      </w:r>
      <w:r w:rsidR="008B6C7A" w:rsidRPr="002F5246">
        <w:t xml:space="preserve">and </w:t>
      </w:r>
      <w:r w:rsidR="0069634F" w:rsidRPr="002F5246">
        <w:t xml:space="preserve">post their </w:t>
      </w:r>
      <w:r w:rsidR="008B6C7A" w:rsidRPr="002F5246">
        <w:t>quote</w:t>
      </w:r>
      <w:r w:rsidR="0069634F" w:rsidRPr="002F5246">
        <w:t>s</w:t>
      </w:r>
      <w:r w:rsidR="008B6C7A" w:rsidRPr="002F5246">
        <w:t xml:space="preserve"> so that</w:t>
      </w:r>
      <w:r w:rsidR="00595316" w:rsidRPr="002F5246">
        <w:t xml:space="preserve"> it will move the median in </w:t>
      </w:r>
      <w:r w:rsidR="0069634F" w:rsidRPr="002F5246">
        <w:t xml:space="preserve">towards the desired </w:t>
      </w:r>
      <w:r w:rsidR="00595316" w:rsidRPr="002F5246">
        <w:t>direction</w:t>
      </w:r>
      <w:bookmarkEnd w:id="2"/>
      <w:r w:rsidR="008B6C7A" w:rsidRPr="002F5246">
        <w:t>.</w:t>
      </w:r>
      <w:r w:rsidR="00B45DB1" w:rsidRPr="002F5246">
        <w:rPr>
          <w:rStyle w:val="EndnoteReference"/>
        </w:rPr>
        <w:endnoteReference w:id="8"/>
      </w:r>
      <w:r w:rsidR="006C207B" w:rsidRPr="002F5246">
        <w:t xml:space="preserve"> </w:t>
      </w:r>
      <w:r w:rsidR="008B6C7A" w:rsidRPr="002F5246">
        <w:t>We count the number of suc</w:t>
      </w:r>
      <w:r w:rsidR="00595316" w:rsidRPr="002F5246">
        <w:t xml:space="preserve">h identified </w:t>
      </w:r>
      <w:r w:rsidR="009E1228" w:rsidRPr="002F5246">
        <w:t>quote</w:t>
      </w:r>
      <w:r w:rsidR="00595316" w:rsidRPr="002F5246">
        <w:t xml:space="preserve"> actions</w:t>
      </w:r>
      <w:r w:rsidR="008B6C7A" w:rsidRPr="002F5246">
        <w:t xml:space="preserve"> for each dealer </w:t>
      </w:r>
      <w:r w:rsidR="00595316" w:rsidRPr="002F5246">
        <w:t>and create a daily measure that we refer to</w:t>
      </w:r>
      <w:r w:rsidR="008B6C7A" w:rsidRPr="002F5246">
        <w:t xml:space="preserve"> as the ManIx.</w:t>
      </w:r>
      <w:r w:rsidR="00F96E63" w:rsidRPr="002F5246">
        <w:t xml:space="preserve"> </w:t>
      </w:r>
    </w:p>
    <w:p w14:paraId="3BAB4ADE" w14:textId="31263FAB" w:rsidR="00BE5335" w:rsidRPr="002F5246" w:rsidRDefault="000916CE" w:rsidP="00243B4C">
      <w:pPr>
        <w:pStyle w:val="Para2"/>
        <w:spacing w:line="480" w:lineRule="auto"/>
      </w:pPr>
      <w:r w:rsidRPr="002F5246">
        <w:t>The s</w:t>
      </w:r>
      <w:r w:rsidR="00D96E89" w:rsidRPr="002F5246">
        <w:t>econd</w:t>
      </w:r>
      <w:r w:rsidRPr="002F5246">
        <w:t xml:space="preserve"> phase </w:t>
      </w:r>
      <w:r w:rsidR="00D96E89" w:rsidRPr="002F5246">
        <w:t>is statistical verification</w:t>
      </w:r>
      <w:r w:rsidRPr="002F5246">
        <w:t>.</w:t>
      </w:r>
      <w:r w:rsidR="00D96E89" w:rsidRPr="002F5246">
        <w:t xml:space="preserve"> </w:t>
      </w:r>
      <w:r w:rsidR="00B505B6" w:rsidRPr="002F5246">
        <w:t>The ManIx measure is</w:t>
      </w:r>
      <w:r w:rsidR="009A4CE0" w:rsidRPr="002F5246">
        <w:t>,</w:t>
      </w:r>
      <w:r w:rsidR="00B505B6" w:rsidRPr="002F5246">
        <w:t xml:space="preserve"> therefore</w:t>
      </w:r>
      <w:r w:rsidR="009A4CE0" w:rsidRPr="002F5246">
        <w:t>,</w:t>
      </w:r>
      <w:r w:rsidR="00B505B6" w:rsidRPr="002F5246">
        <w:t xml:space="preserve"> intended to capture</w:t>
      </w:r>
      <w:r w:rsidR="00144E73" w:rsidRPr="002F5246">
        <w:t xml:space="preserve"> a specific type of quoting behavior that is in</w:t>
      </w:r>
      <w:r w:rsidR="009A4CE0" w:rsidRPr="002F5246">
        <w:t xml:space="preserve"> </w:t>
      </w:r>
      <w:r w:rsidR="00144E73" w:rsidRPr="002F5246">
        <w:t>line with the manipulation motive.</w:t>
      </w:r>
      <w:r w:rsidR="00B505B6" w:rsidRPr="002F5246">
        <w:t xml:space="preserve"> </w:t>
      </w:r>
      <w:r w:rsidR="00D96E89" w:rsidRPr="002F5246">
        <w:t>However, it is possible that a dealer has a high ManIx by a random coinciden</w:t>
      </w:r>
      <w:r w:rsidR="009A4CE0" w:rsidRPr="002F5246">
        <w:t>ce</w:t>
      </w:r>
      <w:r w:rsidR="00243B4C" w:rsidRPr="002F5246">
        <w:t>,</w:t>
      </w:r>
      <w:r w:rsidR="00D96E89" w:rsidRPr="002F5246">
        <w:t xml:space="preserve"> </w:t>
      </w:r>
      <w:r w:rsidR="00D63337" w:rsidRPr="002F5246">
        <w:t>when post</w:t>
      </w:r>
      <w:r w:rsidR="00243B4C" w:rsidRPr="002F5246">
        <w:t>ing</w:t>
      </w:r>
      <w:r w:rsidR="00D63337" w:rsidRPr="002F5246">
        <w:t xml:space="preserve"> their quotes. </w:t>
      </w:r>
      <w:r w:rsidR="00412D7D" w:rsidRPr="002F5246">
        <w:t>I</w:t>
      </w:r>
      <w:r w:rsidR="00C64848" w:rsidRPr="002F5246">
        <w:t xml:space="preserve">n order to determine </w:t>
      </w:r>
      <w:r w:rsidR="00AE2E33" w:rsidRPr="002F5246">
        <w:t xml:space="preserve">that </w:t>
      </w:r>
      <w:r w:rsidR="001C6F2B" w:rsidRPr="002F5246">
        <w:t>the</w:t>
      </w:r>
      <w:r w:rsidR="00C64848" w:rsidRPr="002F5246">
        <w:t xml:space="preserve"> ManIx score for individual bank</w:t>
      </w:r>
      <w:r w:rsidR="00036F4B" w:rsidRPr="002F5246">
        <w:t>s is</w:t>
      </w:r>
      <w:r w:rsidR="001C6F2B" w:rsidRPr="002F5246">
        <w:t xml:space="preserve"> capturing </w:t>
      </w:r>
      <w:r w:rsidR="00036F4B" w:rsidRPr="002F5246">
        <w:t xml:space="preserve">the </w:t>
      </w:r>
      <w:r w:rsidR="001C6F2B" w:rsidRPr="002F5246">
        <w:t>s</w:t>
      </w:r>
      <w:r w:rsidR="00036F4B" w:rsidRPr="002F5246">
        <w:t xml:space="preserve">trategic and systematic </w:t>
      </w:r>
      <w:r w:rsidR="00E9526B" w:rsidRPr="002F5246">
        <w:t>behavio</w:t>
      </w:r>
      <w:r w:rsidR="00A46662" w:rsidRPr="002F5246">
        <w:t>r</w:t>
      </w:r>
      <w:r w:rsidR="00036F4B" w:rsidRPr="002F5246">
        <w:t xml:space="preserve"> of dealers, w</w:t>
      </w:r>
      <w:r w:rsidR="001C6F2B" w:rsidRPr="002F5246">
        <w:t xml:space="preserve">e examine the significance </w:t>
      </w:r>
      <w:r w:rsidR="00036F4B" w:rsidRPr="002F5246">
        <w:t xml:space="preserve">of the ManIx score </w:t>
      </w:r>
      <w:r w:rsidR="00036F4B" w:rsidRPr="002F5246">
        <w:lastRenderedPageBreak/>
        <w:t xml:space="preserve">through </w:t>
      </w:r>
      <w:r w:rsidR="00C715F6" w:rsidRPr="002F5246">
        <w:t xml:space="preserve">bootstrap </w:t>
      </w:r>
      <w:r w:rsidR="001C6F2B" w:rsidRPr="002F5246">
        <w:t>simulations.</w:t>
      </w:r>
      <w:r w:rsidR="00E421B2" w:rsidRPr="002F5246">
        <w:t xml:space="preserve"> </w:t>
      </w:r>
      <w:r w:rsidR="001C6F2B" w:rsidRPr="002F5246">
        <w:t xml:space="preserve">In our simulations, for a given fixing period, we change only one aspect of the dealers’ </w:t>
      </w:r>
      <w:r w:rsidR="009E1228" w:rsidRPr="002F5246">
        <w:t>quote</w:t>
      </w:r>
      <w:r w:rsidR="00036F4B" w:rsidRPr="002F5246">
        <w:t>s</w:t>
      </w:r>
      <w:r w:rsidR="001C6F2B" w:rsidRPr="002F5246">
        <w:t>, the timing. In other words, we maintain all dealers’ number of quote</w:t>
      </w:r>
      <w:r w:rsidR="009B352D" w:rsidRPr="002F5246">
        <w:t>s</w:t>
      </w:r>
      <w:r w:rsidR="001C6F2B" w:rsidRPr="002F5246">
        <w:t xml:space="preserve"> and the quote movements</w:t>
      </w:r>
      <w:r w:rsidR="00B04AAB" w:rsidRPr="002F5246">
        <w:t>, relative to the previous quote in the fixing window,</w:t>
      </w:r>
      <w:r w:rsidR="00B15605" w:rsidRPr="002F5246">
        <w:t xml:space="preserve"> while randomi</w:t>
      </w:r>
      <w:r w:rsidRPr="002F5246">
        <w:t>z</w:t>
      </w:r>
      <w:r w:rsidR="00B15605" w:rsidRPr="002F5246">
        <w:t>ing the sequence of their quotes in the fixing window.</w:t>
      </w:r>
      <w:r w:rsidR="00B04AAB" w:rsidRPr="002F5246">
        <w:t xml:space="preserve"> </w:t>
      </w:r>
      <w:r w:rsidR="001C6F2B" w:rsidRPr="002F5246">
        <w:t xml:space="preserve">Such </w:t>
      </w:r>
      <w:r w:rsidR="003676CF" w:rsidRPr="002F5246">
        <w:t xml:space="preserve">a </w:t>
      </w:r>
      <w:r w:rsidR="001C6F2B" w:rsidRPr="002F5246">
        <w:t xml:space="preserve">design randomizes the dealers’ </w:t>
      </w:r>
      <w:r w:rsidR="009E1228" w:rsidRPr="002F5246">
        <w:t>quote</w:t>
      </w:r>
      <w:r w:rsidR="00662630" w:rsidRPr="002F5246">
        <w:t>s</w:t>
      </w:r>
      <w:r w:rsidR="001C6F2B" w:rsidRPr="002F5246">
        <w:t xml:space="preserve"> </w:t>
      </w:r>
      <w:r w:rsidR="003676CF" w:rsidRPr="002F5246">
        <w:t xml:space="preserve">with </w:t>
      </w:r>
      <w:r w:rsidR="001C6F2B" w:rsidRPr="002F5246">
        <w:t xml:space="preserve">respect to the </w:t>
      </w:r>
      <w:r w:rsidR="001C1353" w:rsidRPr="002F5246">
        <w:t>current</w:t>
      </w:r>
      <w:r w:rsidR="001C6F2B" w:rsidRPr="002F5246">
        <w:t xml:space="preserve"> median.</w:t>
      </w:r>
      <w:r w:rsidR="00F96E63" w:rsidRPr="002F5246">
        <w:t xml:space="preserve"> </w:t>
      </w:r>
      <w:r w:rsidR="001C6F2B" w:rsidRPr="002F5246">
        <w:t xml:space="preserve">If dealers’ quotes are </w:t>
      </w:r>
      <w:r w:rsidR="00C54369" w:rsidRPr="002F5246">
        <w:rPr>
          <w:i/>
        </w:rPr>
        <w:t xml:space="preserve">not </w:t>
      </w:r>
      <w:r w:rsidR="00D93ECD" w:rsidRPr="002F5246">
        <w:rPr>
          <w:i/>
          <w:iCs/>
        </w:rPr>
        <w:t>strategically</w:t>
      </w:r>
      <w:r w:rsidR="00D93ECD" w:rsidRPr="002F5246">
        <w:t xml:space="preserve"> </w:t>
      </w:r>
      <w:r w:rsidR="001C6F2B" w:rsidRPr="002F5246">
        <w:t>conditional on the</w:t>
      </w:r>
      <w:r w:rsidR="00662630" w:rsidRPr="002F5246">
        <w:t xml:space="preserve"> median of the quotes </w:t>
      </w:r>
      <w:r w:rsidR="001C6F2B" w:rsidRPr="002F5246">
        <w:t xml:space="preserve">before their quotes, </w:t>
      </w:r>
      <w:r w:rsidR="00C54369" w:rsidRPr="002F5246">
        <w:t>their ManI</w:t>
      </w:r>
      <w:r w:rsidR="001C1353" w:rsidRPr="002F5246">
        <w:t>x</w:t>
      </w:r>
      <w:r w:rsidR="00C54369" w:rsidRPr="002F5246">
        <w:t xml:space="preserve"> measured from their realized quote should </w:t>
      </w:r>
      <w:r w:rsidR="00C54369" w:rsidRPr="002F5246">
        <w:rPr>
          <w:i/>
        </w:rPr>
        <w:t>not</w:t>
      </w:r>
      <w:r w:rsidR="00C54369" w:rsidRPr="002F5246">
        <w:t xml:space="preserve"> be significantly different </w:t>
      </w:r>
      <w:r w:rsidRPr="002F5246">
        <w:t xml:space="preserve">from </w:t>
      </w:r>
      <w:r w:rsidR="00C54369" w:rsidRPr="002F5246">
        <w:t>the mean ManIx measure constructed from these bootstrap simulations.</w:t>
      </w:r>
      <w:r w:rsidR="00B45DB1" w:rsidRPr="002F5246">
        <w:rPr>
          <w:rStyle w:val="EndnoteReference"/>
        </w:rPr>
        <w:endnoteReference w:id="9"/>
      </w:r>
      <w:r w:rsidR="00C54369" w:rsidRPr="002F5246">
        <w:t xml:space="preserve"> A significant realized ManIx compar</w:t>
      </w:r>
      <w:r w:rsidRPr="002F5246">
        <w:t>ed</w:t>
      </w:r>
      <w:r w:rsidR="00C54369" w:rsidRPr="002F5246">
        <w:t xml:space="preserve"> to the bootstrap distribution would</w:t>
      </w:r>
      <w:r w:rsidR="00BC77D9" w:rsidRPr="002F5246">
        <w:t xml:space="preserve"> suggest that the realized ManIx</w:t>
      </w:r>
      <w:r w:rsidR="00C54369" w:rsidRPr="002F5246">
        <w:t xml:space="preserve"> is most likely to be </w:t>
      </w:r>
      <w:r w:rsidR="00EE0913" w:rsidRPr="002F5246">
        <w:t>due</w:t>
      </w:r>
      <w:r w:rsidR="00C54369" w:rsidRPr="002F5246">
        <w:t xml:space="preserve"> to</w:t>
      </w:r>
      <w:r w:rsidR="00652BE5" w:rsidRPr="002F5246">
        <w:t xml:space="preserve"> </w:t>
      </w:r>
      <w:r w:rsidR="00C54369" w:rsidRPr="002F5246">
        <w:t xml:space="preserve">systematic and </w:t>
      </w:r>
      <w:r w:rsidR="00652BE5" w:rsidRPr="002F5246">
        <w:t xml:space="preserve">strategic </w:t>
      </w:r>
      <w:r w:rsidR="00E9526B" w:rsidRPr="002F5246">
        <w:t>behavio</w:t>
      </w:r>
      <w:r w:rsidR="00A46662" w:rsidRPr="002F5246">
        <w:t>r</w:t>
      </w:r>
      <w:r w:rsidR="00652BE5" w:rsidRPr="002F5246">
        <w:t xml:space="preserve">. </w:t>
      </w:r>
    </w:p>
    <w:p w14:paraId="479FC216" w14:textId="2D0C612E" w:rsidR="00DF49DA" w:rsidRPr="002F5246" w:rsidRDefault="00C36F74" w:rsidP="00794124">
      <w:pPr>
        <w:pStyle w:val="Para2"/>
        <w:spacing w:line="480" w:lineRule="auto"/>
        <w:rPr>
          <w:lang w:bidi="fa-IR"/>
        </w:rPr>
      </w:pPr>
      <w:r w:rsidRPr="002F5246">
        <w:t xml:space="preserve">We </w:t>
      </w:r>
      <w:r w:rsidR="00AE313C" w:rsidRPr="002F5246">
        <w:t>identify</w:t>
      </w:r>
      <w:r w:rsidRPr="002F5246">
        <w:t xml:space="preserve"> </w:t>
      </w:r>
      <w:r w:rsidR="00C12D70" w:rsidRPr="002F5246">
        <w:t>1</w:t>
      </w:r>
      <w:r w:rsidR="00A55A51" w:rsidRPr="002F5246">
        <w:t>3</w:t>
      </w:r>
      <w:r w:rsidR="00C12D70" w:rsidRPr="002F5246">
        <w:t xml:space="preserve"> </w:t>
      </w:r>
      <w:r w:rsidRPr="002F5246">
        <w:t xml:space="preserve">out of </w:t>
      </w:r>
      <w:r w:rsidR="008A7F0E" w:rsidRPr="002F5246">
        <w:t xml:space="preserve">69 </w:t>
      </w:r>
      <w:r w:rsidRPr="002F5246">
        <w:t>dealer</w:t>
      </w:r>
      <w:r w:rsidR="008A7F0E" w:rsidRPr="002F5246">
        <w:t>-location</w:t>
      </w:r>
      <w:r w:rsidRPr="002F5246">
        <w:t xml:space="preserve">s in our dataset </w:t>
      </w:r>
      <w:r w:rsidR="00852235" w:rsidRPr="002F5246">
        <w:t xml:space="preserve">that </w:t>
      </w:r>
      <w:r w:rsidR="009B352D" w:rsidRPr="002F5246">
        <w:t xml:space="preserve">have </w:t>
      </w:r>
      <w:r w:rsidR="00AE313C" w:rsidRPr="002F5246">
        <w:t xml:space="preserve">at least one </w:t>
      </w:r>
      <w:r w:rsidR="00EE0913" w:rsidRPr="002F5246">
        <w:t>realized</w:t>
      </w:r>
      <w:r w:rsidRPr="002F5246">
        <w:t xml:space="preserve"> ManIx score</w:t>
      </w:r>
      <w:r w:rsidR="00A14D74" w:rsidRPr="002F5246">
        <w:t xml:space="preserve"> </w:t>
      </w:r>
      <w:r w:rsidR="00E87392" w:rsidRPr="002F5246">
        <w:t xml:space="preserve">in one </w:t>
      </w:r>
      <w:r w:rsidR="00A14D74" w:rsidRPr="002F5246">
        <w:t>of the five currency-pair</w:t>
      </w:r>
      <w:r w:rsidR="009770CD" w:rsidRPr="002F5246">
        <w:t>s</w:t>
      </w:r>
      <w:r w:rsidR="00A14D74" w:rsidRPr="002F5246">
        <w:t xml:space="preserve"> </w:t>
      </w:r>
      <w:r w:rsidRPr="002F5246">
        <w:t xml:space="preserve">that </w:t>
      </w:r>
      <w:r w:rsidR="008639F1" w:rsidRPr="002F5246">
        <w:t>is</w:t>
      </w:r>
      <w:r w:rsidRPr="002F5246">
        <w:t xml:space="preserve"> significant at the </w:t>
      </w:r>
      <w:r w:rsidR="00C715F6" w:rsidRPr="002F5246">
        <w:t>5</w:t>
      </w:r>
      <w:r w:rsidRPr="002F5246">
        <w:t>% level when compared to the simulat</w:t>
      </w:r>
      <w:r w:rsidR="00C610AD" w:rsidRPr="002F5246">
        <w:t>ed</w:t>
      </w:r>
      <w:r w:rsidR="008639F1" w:rsidRPr="002F5246">
        <w:t xml:space="preserve"> scores</w:t>
      </w:r>
      <w:r w:rsidRPr="002F5246">
        <w:t xml:space="preserve">. </w:t>
      </w:r>
      <w:r w:rsidR="00AE313C" w:rsidRPr="002F5246">
        <w:t xml:space="preserve">In order </w:t>
      </w:r>
      <w:r w:rsidR="00A55A51" w:rsidRPr="002F5246">
        <w:t xml:space="preserve">to </w:t>
      </w:r>
      <w:r w:rsidR="00AE313C" w:rsidRPr="002F5246">
        <w:t xml:space="preserve">verify </w:t>
      </w:r>
      <w:r w:rsidR="00542ADD" w:rsidRPr="002F5246">
        <w:t>the effectiveness</w:t>
      </w:r>
      <w:r w:rsidR="00E87392" w:rsidRPr="002F5246">
        <w:t xml:space="preserve"> and accuracy</w:t>
      </w:r>
      <w:r w:rsidR="00542ADD" w:rsidRPr="002F5246">
        <w:t xml:space="preserve"> of our model in capturing </w:t>
      </w:r>
      <w:r w:rsidR="00214D59" w:rsidRPr="002F5246">
        <w:t>realized</w:t>
      </w:r>
      <w:r w:rsidR="00542ADD" w:rsidRPr="002F5246">
        <w:t xml:space="preserve"> manipulation, we conduct an extensive search of regulator</w:t>
      </w:r>
      <w:r w:rsidR="00B13D74" w:rsidRPr="002F5246">
        <w:t>y</w:t>
      </w:r>
      <w:r w:rsidR="00542ADD" w:rsidRPr="002F5246">
        <w:t xml:space="preserve"> investigations and press release</w:t>
      </w:r>
      <w:r w:rsidR="008639F1" w:rsidRPr="002F5246">
        <w:t>s</w:t>
      </w:r>
      <w:r w:rsidR="00542ADD" w:rsidRPr="002F5246">
        <w:t xml:space="preserve"> f</w:t>
      </w:r>
      <w:r w:rsidR="00B13D74" w:rsidRPr="002F5246">
        <w:t>or a full list of banks that have</w:t>
      </w:r>
      <w:r w:rsidR="00542ADD" w:rsidRPr="002F5246">
        <w:t xml:space="preserve"> been investigated.</w:t>
      </w:r>
      <w:r w:rsidR="00794124" w:rsidRPr="002F5246">
        <w:rPr>
          <w:rStyle w:val="EndnoteReference"/>
        </w:rPr>
        <w:endnoteReference w:id="10"/>
      </w:r>
      <w:r w:rsidR="00542ADD" w:rsidRPr="002F5246">
        <w:t xml:space="preserve"> </w:t>
      </w:r>
      <w:r w:rsidR="00DF49DA" w:rsidRPr="002F5246">
        <w:t xml:space="preserve">We find that </w:t>
      </w:r>
      <w:r w:rsidR="00DF49DA" w:rsidRPr="002F5246">
        <w:rPr>
          <w:lang w:bidi="fa-IR"/>
        </w:rPr>
        <w:t xml:space="preserve">by </w:t>
      </w:r>
      <w:r w:rsidR="0044694B" w:rsidRPr="002F5246">
        <w:rPr>
          <w:lang w:bidi="fa-IR"/>
        </w:rPr>
        <w:t xml:space="preserve">mid </w:t>
      </w:r>
      <w:r w:rsidR="00DF49DA" w:rsidRPr="002F5246">
        <w:rPr>
          <w:lang w:bidi="fa-IR"/>
        </w:rPr>
        <w:t>December 2015, there are nine banks that have been investigated or su</w:t>
      </w:r>
      <w:r w:rsidR="00476D0E" w:rsidRPr="002F5246">
        <w:rPr>
          <w:lang w:bidi="fa-IR"/>
        </w:rPr>
        <w:t>e</w:t>
      </w:r>
      <w:r w:rsidR="00DF49DA" w:rsidRPr="002F5246">
        <w:rPr>
          <w:lang w:bidi="fa-IR"/>
        </w:rPr>
        <w:t>d by their investor</w:t>
      </w:r>
      <w:r w:rsidR="00476D0E" w:rsidRPr="002F5246">
        <w:rPr>
          <w:lang w:bidi="fa-IR"/>
        </w:rPr>
        <w:t>s and m</w:t>
      </w:r>
      <w:r w:rsidR="00DF49DA" w:rsidRPr="002F5246">
        <w:rPr>
          <w:lang w:bidi="fa-IR"/>
        </w:rPr>
        <w:t>any cases are still on going.</w:t>
      </w:r>
      <w:r w:rsidR="00B438DA" w:rsidRPr="002F5246">
        <w:rPr>
          <w:lang w:bidi="fa-IR"/>
        </w:rPr>
        <w:t xml:space="preserve"> </w:t>
      </w:r>
      <w:r w:rsidR="00DF49DA" w:rsidRPr="002F5246">
        <w:rPr>
          <w:lang w:bidi="fa-IR"/>
        </w:rPr>
        <w:t>These investigation</w:t>
      </w:r>
      <w:r w:rsidR="00476D0E" w:rsidRPr="002F5246">
        <w:rPr>
          <w:lang w:bidi="fa-IR"/>
        </w:rPr>
        <w:t>s</w:t>
      </w:r>
      <w:r w:rsidR="00DF49DA" w:rsidRPr="002F5246">
        <w:rPr>
          <w:lang w:bidi="fa-IR"/>
        </w:rPr>
        <w:t xml:space="preserve"> </w:t>
      </w:r>
      <w:r w:rsidR="00476D0E" w:rsidRPr="002F5246">
        <w:rPr>
          <w:lang w:bidi="fa-IR"/>
        </w:rPr>
        <w:t xml:space="preserve">have </w:t>
      </w:r>
      <w:r w:rsidR="00DF49DA" w:rsidRPr="002F5246">
        <w:rPr>
          <w:lang w:bidi="fa-IR"/>
        </w:rPr>
        <w:t>le</w:t>
      </w:r>
      <w:r w:rsidR="00476D0E" w:rsidRPr="002F5246">
        <w:rPr>
          <w:lang w:bidi="fa-IR"/>
        </w:rPr>
        <w:t>d</w:t>
      </w:r>
      <w:r w:rsidR="00DF49DA" w:rsidRPr="002F5246">
        <w:rPr>
          <w:lang w:bidi="fa-IR"/>
        </w:rPr>
        <w:t xml:space="preserve"> to a total of more than $11</w:t>
      </w:r>
      <w:r w:rsidR="008B7D86" w:rsidRPr="002F5246">
        <w:rPr>
          <w:lang w:bidi="fa-IR"/>
        </w:rPr>
        <w:t>.8</w:t>
      </w:r>
      <w:r w:rsidR="00DF49DA" w:rsidRPr="002F5246">
        <w:rPr>
          <w:lang w:bidi="fa-IR"/>
        </w:rPr>
        <w:t xml:space="preserve"> billion </w:t>
      </w:r>
      <w:r w:rsidR="00476D0E" w:rsidRPr="002F5246">
        <w:rPr>
          <w:lang w:bidi="fa-IR"/>
        </w:rPr>
        <w:t>of fines across t</w:t>
      </w:r>
      <w:r w:rsidR="00DF49DA" w:rsidRPr="002F5246">
        <w:rPr>
          <w:lang w:bidi="fa-IR"/>
        </w:rPr>
        <w:t>he globe</w:t>
      </w:r>
      <w:r w:rsidR="00B438DA" w:rsidRPr="002F5246">
        <w:rPr>
          <w:lang w:bidi="fa-IR"/>
        </w:rPr>
        <w:t xml:space="preserve">. </w:t>
      </w:r>
      <w:r w:rsidR="00DF49DA" w:rsidRPr="002F5246">
        <w:rPr>
          <w:lang w:bidi="fa-IR"/>
        </w:rPr>
        <w:t>In addition</w:t>
      </w:r>
      <w:r w:rsidR="00476D0E" w:rsidRPr="002F5246">
        <w:rPr>
          <w:lang w:bidi="fa-IR"/>
        </w:rPr>
        <w:t>,</w:t>
      </w:r>
      <w:r w:rsidR="00DF49DA" w:rsidRPr="002F5246">
        <w:rPr>
          <w:lang w:bidi="fa-IR"/>
        </w:rPr>
        <w:t xml:space="preserve"> more than 40 traders have been fired, suspended, put on leave, or resigned since the start of t</w:t>
      </w:r>
      <w:r w:rsidR="002C4AE7" w:rsidRPr="002F5246">
        <w:rPr>
          <w:lang w:bidi="fa-IR"/>
        </w:rPr>
        <w:t>he investigations</w:t>
      </w:r>
      <w:r w:rsidR="00C77CB9" w:rsidRPr="002F5246">
        <w:rPr>
          <w:lang w:bidi="fa-IR"/>
        </w:rPr>
        <w:t xml:space="preserve"> </w:t>
      </w:r>
      <w:r w:rsidR="00C77CB9" w:rsidRPr="002F5246">
        <w:t>(</w:t>
      </w:r>
      <w:r w:rsidR="00C77CB9" w:rsidRPr="002F5246">
        <w:rPr>
          <w:lang w:bidi="fa-IR"/>
        </w:rPr>
        <w:t>McGeever 2014</w:t>
      </w:r>
      <w:r w:rsidR="00C77CB9" w:rsidRPr="002F5246">
        <w:t>)</w:t>
      </w:r>
      <w:r w:rsidR="00DF49DA" w:rsidRPr="002F5246">
        <w:rPr>
          <w:lang w:bidi="fa-IR"/>
        </w:rPr>
        <w:t>.</w:t>
      </w:r>
      <w:r w:rsidR="00F96E63" w:rsidRPr="002F5246">
        <w:rPr>
          <w:lang w:bidi="fa-IR"/>
        </w:rPr>
        <w:t xml:space="preserve"> </w:t>
      </w:r>
    </w:p>
    <w:p w14:paraId="0EC3ACF2" w14:textId="34A6AFDE" w:rsidR="00F56B5B" w:rsidRPr="002F5246" w:rsidRDefault="00AE313C" w:rsidP="00C5350E">
      <w:pPr>
        <w:pStyle w:val="Para2"/>
        <w:spacing w:line="480" w:lineRule="auto"/>
        <w:rPr>
          <w:szCs w:val="24"/>
        </w:rPr>
      </w:pPr>
      <w:r w:rsidRPr="002F5246">
        <w:t xml:space="preserve"> </w:t>
      </w:r>
      <w:r w:rsidR="00EE0913" w:rsidRPr="002F5246">
        <w:t xml:space="preserve">When </w:t>
      </w:r>
      <w:r w:rsidR="00476D0E" w:rsidRPr="002F5246">
        <w:t xml:space="preserve">we </w:t>
      </w:r>
      <w:r w:rsidR="00DF49DA" w:rsidRPr="002F5246">
        <w:t xml:space="preserve">compare our identified list with the investigation list, </w:t>
      </w:r>
      <w:r w:rsidR="00EE0913" w:rsidRPr="002F5246">
        <w:t xml:space="preserve">we find that </w:t>
      </w:r>
      <w:r w:rsidR="001E6346" w:rsidRPr="002F5246">
        <w:t>eight dealer-locations</w:t>
      </w:r>
      <w:r w:rsidR="00C36F74" w:rsidRPr="002F5246">
        <w:t xml:space="preserve"> </w:t>
      </w:r>
      <w:r w:rsidR="001E6346" w:rsidRPr="002F5246">
        <w:t xml:space="preserve">among </w:t>
      </w:r>
      <w:r w:rsidR="001F6A10" w:rsidRPr="002F5246">
        <w:t xml:space="preserve">the </w:t>
      </w:r>
      <w:r w:rsidR="007E5D10" w:rsidRPr="002F5246">
        <w:t xml:space="preserve">top </w:t>
      </w:r>
      <w:r w:rsidR="001E6346" w:rsidRPr="002F5246">
        <w:t>i</w:t>
      </w:r>
      <w:r w:rsidR="007E5D10" w:rsidRPr="002F5246">
        <w:t>dentified banks</w:t>
      </w:r>
      <w:r w:rsidR="00122C3F" w:rsidRPr="002F5246">
        <w:t xml:space="preserve"> sorted by the number of significant ManIx</w:t>
      </w:r>
      <w:r w:rsidR="00C94AE0" w:rsidRPr="002F5246">
        <w:t>,</w:t>
      </w:r>
      <w:r w:rsidR="007E5D10" w:rsidRPr="002F5246">
        <w:t xml:space="preserve"> </w:t>
      </w:r>
      <w:r w:rsidR="00C36F74" w:rsidRPr="002F5246">
        <w:t>ha</w:t>
      </w:r>
      <w:r w:rsidR="00CC54C2" w:rsidRPr="002F5246">
        <w:t>ve</w:t>
      </w:r>
      <w:r w:rsidR="00C36F74" w:rsidRPr="002F5246">
        <w:t xml:space="preserve"> been </w:t>
      </w:r>
      <w:r w:rsidR="00122C3F" w:rsidRPr="002F5246">
        <w:t xml:space="preserve">either fined by </w:t>
      </w:r>
      <w:r w:rsidR="00C36F74" w:rsidRPr="002F5246">
        <w:t>regulato</w:t>
      </w:r>
      <w:r w:rsidR="003D3AE3" w:rsidRPr="002F5246">
        <w:t>rs</w:t>
      </w:r>
      <w:r w:rsidR="00C36F74" w:rsidRPr="002F5246">
        <w:t xml:space="preserve"> </w:t>
      </w:r>
      <w:r w:rsidR="00122C3F" w:rsidRPr="002F5246">
        <w:t xml:space="preserve">or have </w:t>
      </w:r>
      <w:r w:rsidR="00C36F74" w:rsidRPr="002F5246">
        <w:t xml:space="preserve">internal investigations. </w:t>
      </w:r>
      <w:r w:rsidR="000C4C4A" w:rsidRPr="002F5246">
        <w:t xml:space="preserve">Among these banks, </w:t>
      </w:r>
      <w:r w:rsidR="000C4C4A" w:rsidRPr="002F5246">
        <w:rPr>
          <w:lang w:bidi="fa-IR"/>
        </w:rPr>
        <w:t xml:space="preserve">we identify four banks that </w:t>
      </w:r>
      <w:r w:rsidR="00A975EB" w:rsidRPr="002F5246">
        <w:rPr>
          <w:lang w:bidi="fa-IR"/>
        </w:rPr>
        <w:t>have been</w:t>
      </w:r>
      <w:r w:rsidR="000C4C4A" w:rsidRPr="002F5246">
        <w:rPr>
          <w:lang w:bidi="fa-IR"/>
        </w:rPr>
        <w:t xml:space="preserve"> heavily fined by regulator</w:t>
      </w:r>
      <w:r w:rsidR="00A975EB" w:rsidRPr="002F5246">
        <w:rPr>
          <w:lang w:bidi="fa-IR"/>
        </w:rPr>
        <w:t>s</w:t>
      </w:r>
      <w:r w:rsidR="000C4C4A" w:rsidRPr="002F5246">
        <w:rPr>
          <w:lang w:bidi="fa-IR"/>
        </w:rPr>
        <w:t xml:space="preserve"> </w:t>
      </w:r>
      <w:r w:rsidR="00E421B2" w:rsidRPr="002F5246">
        <w:rPr>
          <w:lang w:bidi="fa-IR"/>
        </w:rPr>
        <w:t xml:space="preserve">and these </w:t>
      </w:r>
      <w:r w:rsidR="000C4C4A" w:rsidRPr="002F5246">
        <w:rPr>
          <w:lang w:bidi="fa-IR"/>
        </w:rPr>
        <w:t xml:space="preserve">account for 68% ($8 billion) of the total fines </w:t>
      </w:r>
      <w:r w:rsidR="000C036C" w:rsidRPr="002F5246">
        <w:rPr>
          <w:lang w:bidi="fa-IR"/>
        </w:rPr>
        <w:t>imposed</w:t>
      </w:r>
      <w:r w:rsidR="000C4C4A" w:rsidRPr="002F5246">
        <w:rPr>
          <w:lang w:bidi="fa-IR"/>
        </w:rPr>
        <w:t xml:space="preserve"> by</w:t>
      </w:r>
      <w:r w:rsidR="000C036C" w:rsidRPr="002F5246">
        <w:rPr>
          <w:lang w:bidi="fa-IR"/>
        </w:rPr>
        <w:t xml:space="preserve"> regulators and through court settlements. This confirms the power of the ManIx in </w:t>
      </w:r>
      <w:r w:rsidR="000C036C" w:rsidRPr="002F5246">
        <w:t>c</w:t>
      </w:r>
      <w:r w:rsidR="00EC2F33" w:rsidRPr="002F5246">
        <w:t>aptur</w:t>
      </w:r>
      <w:r w:rsidR="00A975EB" w:rsidRPr="002F5246">
        <w:t>ing</w:t>
      </w:r>
      <w:r w:rsidR="00EC2F33" w:rsidRPr="002F5246">
        <w:t xml:space="preserve"> </w:t>
      </w:r>
      <w:r w:rsidR="00A975EB" w:rsidRPr="002F5246">
        <w:t xml:space="preserve">the </w:t>
      </w:r>
      <w:r w:rsidR="00EC2F33" w:rsidRPr="002F5246">
        <w:t xml:space="preserve">abnormal </w:t>
      </w:r>
      <w:r w:rsidR="00E9526B" w:rsidRPr="002F5246">
        <w:t>behavio</w:t>
      </w:r>
      <w:r w:rsidR="00A46662" w:rsidRPr="002F5246">
        <w:t>r</w:t>
      </w:r>
      <w:r w:rsidR="001C6F2B" w:rsidRPr="002F5246">
        <w:t xml:space="preserve"> </w:t>
      </w:r>
      <w:r w:rsidR="000C036C" w:rsidRPr="002F5246">
        <w:t xml:space="preserve">of </w:t>
      </w:r>
      <w:r w:rsidR="001C6F2B" w:rsidRPr="002F5246">
        <w:t>bank</w:t>
      </w:r>
      <w:r w:rsidR="008C34C2" w:rsidRPr="002F5246">
        <w:t>s</w:t>
      </w:r>
      <w:r w:rsidR="001C6F2B" w:rsidRPr="002F5246">
        <w:t xml:space="preserve"> that </w:t>
      </w:r>
      <w:r w:rsidR="003A234E" w:rsidRPr="002F5246">
        <w:t xml:space="preserve">is of interest to </w:t>
      </w:r>
      <w:r w:rsidR="003A234E" w:rsidRPr="002F5246">
        <w:lastRenderedPageBreak/>
        <w:t>regulators</w:t>
      </w:r>
      <w:r w:rsidR="008C34C2" w:rsidRPr="002F5246">
        <w:t>.</w:t>
      </w:r>
      <w:r w:rsidR="00F56B5B" w:rsidRPr="002F5246">
        <w:t xml:space="preserve"> We </w:t>
      </w:r>
      <w:r w:rsidR="00C5350E" w:rsidRPr="002F5246">
        <w:t xml:space="preserve">implement </w:t>
      </w:r>
      <w:r w:rsidR="00F56B5B" w:rsidRPr="002F5246">
        <w:t xml:space="preserve">ManIx </w:t>
      </w:r>
      <w:r w:rsidR="00C5350E" w:rsidRPr="002F5246">
        <w:t xml:space="preserve">method on </w:t>
      </w:r>
      <w:r w:rsidR="00F56B5B" w:rsidRPr="002F5246">
        <w:t>March 2016 to observe whether there has been changes in the quotation behavior of dealers after the breakout of the scandal and the regulatory investigations. We show that ManIx demonstrates a decrease in its frequency of occurrence</w:t>
      </w:r>
      <w:r w:rsidR="005F6E55" w:rsidRPr="002F5246">
        <w:t>,</w:t>
      </w:r>
      <w:r w:rsidR="00F56B5B" w:rsidRPr="002F5246">
        <w:t xml:space="preserve"> on average</w:t>
      </w:r>
      <w:r w:rsidR="005F6E55" w:rsidRPr="002F5246">
        <w:t>,</w:t>
      </w:r>
      <w:r w:rsidR="00F56B5B" w:rsidRPr="002F5246">
        <w:t xml:space="preserve"> compared to the 2013-14 period. However, there are still some signs of significant ManIx that may </w:t>
      </w:r>
      <w:r w:rsidR="00D77861" w:rsidRPr="002F5246">
        <w:t xml:space="preserve">be </w:t>
      </w:r>
      <w:r w:rsidR="00F56B5B" w:rsidRPr="002F5246">
        <w:t xml:space="preserve">worth close monitoring by regulators. </w:t>
      </w:r>
    </w:p>
    <w:p w14:paraId="3D53B990" w14:textId="2BEAD08C" w:rsidR="0020531E" w:rsidRPr="002F5246" w:rsidRDefault="00A64FD8" w:rsidP="004C0388">
      <w:pPr>
        <w:pStyle w:val="Para2"/>
        <w:spacing w:line="480" w:lineRule="auto"/>
      </w:pPr>
      <w:r w:rsidRPr="002F5246">
        <w:t>One of the important insight</w:t>
      </w:r>
      <w:r w:rsidR="00A975EB" w:rsidRPr="002F5246">
        <w:t>s</w:t>
      </w:r>
      <w:r w:rsidRPr="002F5246">
        <w:t xml:space="preserve"> </w:t>
      </w:r>
      <w:r w:rsidR="00A975EB" w:rsidRPr="002F5246">
        <w:t xml:space="preserve">of </w:t>
      </w:r>
      <w:r w:rsidRPr="002F5246">
        <w:t>the regulatory investigation</w:t>
      </w:r>
      <w:r w:rsidR="00A975EB" w:rsidRPr="002F5246">
        <w:t>s</w:t>
      </w:r>
      <w:r w:rsidRPr="002F5246">
        <w:t xml:space="preserve"> is that the manipulators are not acting alone and collude via the sharing of information through chat</w:t>
      </w:r>
      <w:r w:rsidR="00A975EB" w:rsidRPr="002F5246">
        <w:t xml:space="preserve"> </w:t>
      </w:r>
      <w:r w:rsidRPr="002F5246">
        <w:t>rooms (Finch a</w:t>
      </w:r>
      <w:r w:rsidR="00EE3724" w:rsidRPr="002F5246">
        <w:t>nd Vaughan 2014; Ahmed</w:t>
      </w:r>
      <w:r w:rsidR="00803BA2" w:rsidRPr="002F5246">
        <w:t xml:space="preserve"> 2014). </w:t>
      </w:r>
      <w:r w:rsidRPr="002F5246">
        <w:t xml:space="preserve">Directly detecting and investigating such networks requires special access to information that </w:t>
      </w:r>
      <w:r w:rsidR="002B196A" w:rsidRPr="002F5246">
        <w:t xml:space="preserve">is </w:t>
      </w:r>
      <w:r w:rsidRPr="002F5246">
        <w:t xml:space="preserve">deemed </w:t>
      </w:r>
      <w:r w:rsidR="00803BA2" w:rsidRPr="002F5246">
        <w:t xml:space="preserve">to be </w:t>
      </w:r>
      <w:r w:rsidR="002B196A" w:rsidRPr="002F5246">
        <w:t>private</w:t>
      </w:r>
      <w:r w:rsidR="00803BA2" w:rsidRPr="002F5246">
        <w:t xml:space="preserve"> and confidential. </w:t>
      </w:r>
      <w:r w:rsidRPr="002F5246">
        <w:t>Although ManIx is design</w:t>
      </w:r>
      <w:r w:rsidR="00A975EB" w:rsidRPr="002F5246">
        <w:t>ed</w:t>
      </w:r>
      <w:r w:rsidRPr="002F5246">
        <w:t xml:space="preserve"> to capture</w:t>
      </w:r>
      <w:r w:rsidR="00852235" w:rsidRPr="002F5246">
        <w:t xml:space="preserve"> the</w:t>
      </w:r>
      <w:r w:rsidR="00F96E63" w:rsidRPr="002F5246">
        <w:t xml:space="preserve"> </w:t>
      </w:r>
      <w:r w:rsidRPr="002F5246">
        <w:t xml:space="preserve">abnormal </w:t>
      </w:r>
      <w:r w:rsidR="005B33BF" w:rsidRPr="002F5246">
        <w:t>behavior</w:t>
      </w:r>
      <w:r w:rsidRPr="002F5246">
        <w:t xml:space="preserve"> of individual dealers, it is possible to use </w:t>
      </w:r>
      <w:r w:rsidR="00A975EB" w:rsidRPr="002F5246">
        <w:t xml:space="preserve">it </w:t>
      </w:r>
      <w:r w:rsidRPr="002F5246">
        <w:t>to infer potential collusion through coordinated manipulation.</w:t>
      </w:r>
      <w:r w:rsidR="00803BA2" w:rsidRPr="002F5246">
        <w:t xml:space="preserve"> </w:t>
      </w:r>
      <w:r w:rsidRPr="002F5246">
        <w:t xml:space="preserve">To quantify the potential extent of collusion, we map out the coincidences of banks that have abnormal </w:t>
      </w:r>
      <w:r w:rsidR="005B33BF" w:rsidRPr="002F5246">
        <w:t>behavior</w:t>
      </w:r>
      <w:r w:rsidRPr="002F5246">
        <w:t xml:space="preserve"> in the same fixing period. In other words, by counting the number of days two banks have a significant ManIx score in the same currency pairs, we </w:t>
      </w:r>
      <w:r w:rsidR="006405B6" w:rsidRPr="002F5246">
        <w:t>can</w:t>
      </w:r>
      <w:r w:rsidRPr="002F5246">
        <w:t xml:space="preserve"> identif</w:t>
      </w:r>
      <w:r w:rsidR="00803BA2" w:rsidRPr="002F5246">
        <w:t xml:space="preserve">y </w:t>
      </w:r>
      <w:r w:rsidR="00803BA2" w:rsidRPr="002F5246">
        <w:rPr>
          <w:i/>
        </w:rPr>
        <w:t>potential</w:t>
      </w:r>
      <w:r w:rsidR="00803BA2" w:rsidRPr="002F5246">
        <w:t xml:space="preserve"> collusion networks. </w:t>
      </w:r>
      <w:r w:rsidRPr="002F5246">
        <w:t>Our analysis identifies that some networks exist that are of potential interest to regulators - there is, of course, a lack of public information to verify these findings</w:t>
      </w:r>
      <w:r w:rsidR="00B16377" w:rsidRPr="002F5246">
        <w:t xml:space="preserve"> at this stage</w:t>
      </w:r>
      <w:r w:rsidRPr="002F5246">
        <w:t>.</w:t>
      </w:r>
      <w:r w:rsidR="00803BA2" w:rsidRPr="002F5246">
        <w:t xml:space="preserve"> </w:t>
      </w:r>
      <w:r w:rsidR="00B16377" w:rsidRPr="002F5246">
        <w:t>This analysis illustrate</w:t>
      </w:r>
      <w:r w:rsidR="00A975EB" w:rsidRPr="002F5246">
        <w:t>s</w:t>
      </w:r>
      <w:r w:rsidR="00B16377" w:rsidRPr="002F5246">
        <w:t xml:space="preserve"> the potential application of ManIx in a network analysis context. </w:t>
      </w:r>
    </w:p>
    <w:p w14:paraId="72A1824F" w14:textId="649CBAF3" w:rsidR="001E5236" w:rsidRPr="002F5246" w:rsidRDefault="0012225A" w:rsidP="009121F2">
      <w:pPr>
        <w:pStyle w:val="Para2"/>
        <w:spacing w:line="480" w:lineRule="auto"/>
      </w:pPr>
      <w:r w:rsidRPr="002F5246">
        <w:t xml:space="preserve">Our research contributes to the </w:t>
      </w:r>
      <w:r w:rsidR="008B1A09" w:rsidRPr="002F5246">
        <w:t xml:space="preserve">market microstructure literature and </w:t>
      </w:r>
      <w:r w:rsidRPr="002F5246">
        <w:t>regulat</w:t>
      </w:r>
      <w:r w:rsidR="005F6E55" w:rsidRPr="002F5246">
        <w:t>ion technology (RegTech)</w:t>
      </w:r>
      <w:r w:rsidRPr="002F5246">
        <w:t xml:space="preserve"> framework in the following ways. First, we address the challenge of monitoring the unregulated FX market through a</w:t>
      </w:r>
      <w:r w:rsidR="005F6E55" w:rsidRPr="002F5246">
        <w:t xml:space="preserve"> novel</w:t>
      </w:r>
      <w:r w:rsidRPr="002F5246">
        <w:t xml:space="preserve"> algorithm that can serve as an automated </w:t>
      </w:r>
      <w:r w:rsidRPr="002F5246">
        <w:rPr>
          <w:i/>
          <w:iCs/>
        </w:rPr>
        <w:t>timely</w:t>
      </w:r>
      <w:r w:rsidRPr="002F5246">
        <w:t xml:space="preserve"> </w:t>
      </w:r>
      <w:r w:rsidRPr="002F5246">
        <w:rPr>
          <w:i/>
          <w:iCs/>
        </w:rPr>
        <w:t>warning</w:t>
      </w:r>
      <w:r w:rsidRPr="002F5246">
        <w:t xml:space="preserve"> system to regulators and banks. </w:t>
      </w:r>
      <w:r w:rsidR="008D2AEB" w:rsidRPr="002F5246">
        <w:t xml:space="preserve">Our </w:t>
      </w:r>
      <w:r w:rsidR="00372682" w:rsidRPr="002F5246">
        <w:t>study extend</w:t>
      </w:r>
      <w:r w:rsidR="006405B6" w:rsidRPr="002F5246">
        <w:t>s</w:t>
      </w:r>
      <w:r w:rsidR="00372682" w:rsidRPr="002F5246">
        <w:t xml:space="preserve"> the </w:t>
      </w:r>
      <w:r w:rsidR="00AC1CD3" w:rsidRPr="002F5246">
        <w:t xml:space="preserve">existing </w:t>
      </w:r>
      <w:r w:rsidR="00372682" w:rsidRPr="002F5246">
        <w:t xml:space="preserve">market microstructure literature on the WMR fix </w:t>
      </w:r>
      <w:r w:rsidR="00315BB9" w:rsidRPr="002F5246">
        <w:t xml:space="preserve">such as </w:t>
      </w:r>
      <w:r w:rsidR="00372682" w:rsidRPr="002F5246">
        <w:t xml:space="preserve">Evans (2018) </w:t>
      </w:r>
      <w:r w:rsidR="00315BB9" w:rsidRPr="002F5246">
        <w:t xml:space="preserve">who </w:t>
      </w:r>
      <w:r w:rsidR="00372682" w:rsidRPr="002F5246">
        <w:t>studies the behavior of 21 currency pairs around the WMR fix window</w:t>
      </w:r>
      <w:r w:rsidR="00315BB9" w:rsidRPr="002F5246">
        <w:t>.</w:t>
      </w:r>
      <w:r w:rsidR="00372682" w:rsidRPr="002F5246">
        <w:t xml:space="preserve"> </w:t>
      </w:r>
      <w:r w:rsidR="00E91C70" w:rsidRPr="002F5246">
        <w:t xml:space="preserve"> </w:t>
      </w:r>
      <w:r w:rsidR="00315BB9" w:rsidRPr="002F5246">
        <w:t>He</w:t>
      </w:r>
      <w:r w:rsidR="00372682" w:rsidRPr="002F5246">
        <w:t xml:space="preserve"> finds </w:t>
      </w:r>
      <w:r w:rsidR="006C73F7" w:rsidRPr="002F5246">
        <w:t xml:space="preserve">uncommon behavioral of </w:t>
      </w:r>
      <w:r w:rsidR="00372682" w:rsidRPr="002F5246">
        <w:t>the exchange rate</w:t>
      </w:r>
      <w:r w:rsidR="006C73F7" w:rsidRPr="002F5246">
        <w:t>s</w:t>
      </w:r>
      <w:r w:rsidR="00372682" w:rsidRPr="002F5246">
        <w:t xml:space="preserve"> around the fix </w:t>
      </w:r>
      <w:r w:rsidR="006C73F7" w:rsidRPr="002F5246">
        <w:t xml:space="preserve">that do </w:t>
      </w:r>
      <w:r w:rsidR="00372682" w:rsidRPr="002F5246">
        <w:t xml:space="preserve">not align with the prediction of microstructure models. We extend </w:t>
      </w:r>
      <w:r w:rsidR="00315BB9" w:rsidRPr="002F5246">
        <w:t>this</w:t>
      </w:r>
      <w:r w:rsidR="00372682" w:rsidRPr="002F5246">
        <w:t xml:space="preserve"> line of enquiry by studying the motive of quotation around this period. </w:t>
      </w:r>
      <w:r w:rsidR="001E5236" w:rsidRPr="002F5246">
        <w:lastRenderedPageBreak/>
        <w:t xml:space="preserve">Traditional theoretical study on the market making activities normally assume dealers are risk natural </w:t>
      </w:r>
      <w:r w:rsidR="006804B8" w:rsidRPr="002F5246">
        <w:t>and not</w:t>
      </w:r>
      <w:r w:rsidR="001E5236" w:rsidRPr="002F5246">
        <w:t xml:space="preserve"> interested in betting on the direction of the market (Kyle </w:t>
      </w:r>
      <w:r w:rsidR="00976746" w:rsidRPr="002F5246">
        <w:t>19</w:t>
      </w:r>
      <w:r w:rsidR="00D64C6F" w:rsidRPr="002F5246">
        <w:t>85</w:t>
      </w:r>
      <w:r w:rsidR="00976746" w:rsidRPr="002F5246">
        <w:t xml:space="preserve">; </w:t>
      </w:r>
      <w:r w:rsidR="009121F2" w:rsidRPr="002F5246">
        <w:t>Glosten</w:t>
      </w:r>
      <w:r w:rsidR="009121F2" w:rsidRPr="002F5246" w:rsidDel="009121F2">
        <w:t xml:space="preserve"> </w:t>
      </w:r>
      <w:r w:rsidR="00976746" w:rsidRPr="002F5246">
        <w:t>and Milgrom 1985</w:t>
      </w:r>
      <w:r w:rsidR="001E5236" w:rsidRPr="002F5246">
        <w:t xml:space="preserve">).  Instead they </w:t>
      </w:r>
      <w:r w:rsidR="009A3C64" w:rsidRPr="002F5246">
        <w:t xml:space="preserve">post </w:t>
      </w:r>
      <w:r w:rsidR="001E5236" w:rsidRPr="002F5246">
        <w:t>bid</w:t>
      </w:r>
      <w:r w:rsidR="009A3C64" w:rsidRPr="002F5246">
        <w:t xml:space="preserve"> and </w:t>
      </w:r>
      <w:r w:rsidR="001E5236" w:rsidRPr="002F5246">
        <w:t xml:space="preserve">ask </w:t>
      </w:r>
      <w:r w:rsidR="009A3C64" w:rsidRPr="002F5246">
        <w:t xml:space="preserve">quotes </w:t>
      </w:r>
      <w:r w:rsidR="001E5236" w:rsidRPr="002F5246">
        <w:t xml:space="preserve">to attract volume of business and earn </w:t>
      </w:r>
      <w:r w:rsidR="009A3C64" w:rsidRPr="002F5246">
        <w:t>the</w:t>
      </w:r>
      <w:r w:rsidR="001E5236" w:rsidRPr="002F5246">
        <w:t xml:space="preserve"> spread accordingly.</w:t>
      </w:r>
      <w:r w:rsidR="00FC5684" w:rsidRPr="002F5246">
        <w:t xml:space="preserve"> </w:t>
      </w:r>
      <w:r w:rsidR="001E5236" w:rsidRPr="002F5246">
        <w:t xml:space="preserve">Our study </w:t>
      </w:r>
      <w:r w:rsidR="00D27C04" w:rsidRPr="002F5246">
        <w:t xml:space="preserve">emphasizes on the importance of </w:t>
      </w:r>
      <w:r w:rsidR="001E5236" w:rsidRPr="002F5246">
        <w:t xml:space="preserve">taking into consideration </w:t>
      </w:r>
      <w:r w:rsidR="009A3C64" w:rsidRPr="002F5246">
        <w:t xml:space="preserve">the motivation of </w:t>
      </w:r>
      <w:r w:rsidR="001E5236" w:rsidRPr="002F5246">
        <w:t>dealer</w:t>
      </w:r>
      <w:r w:rsidR="009A3C64" w:rsidRPr="002F5246">
        <w:t xml:space="preserve">s </w:t>
      </w:r>
      <w:r w:rsidR="001E5236" w:rsidRPr="002F5246">
        <w:t xml:space="preserve">in posting </w:t>
      </w:r>
      <w:r w:rsidR="009A3C64" w:rsidRPr="002F5246">
        <w:t xml:space="preserve">their bid and ask </w:t>
      </w:r>
      <w:r w:rsidR="001E5236" w:rsidRPr="002F5246">
        <w:t>quotes</w:t>
      </w:r>
      <w:r w:rsidR="00D27C04" w:rsidRPr="002F5246">
        <w:t xml:space="preserve"> by considering the direction of price movement</w:t>
      </w:r>
      <w:r w:rsidR="00984AF9" w:rsidRPr="002F5246">
        <w:t>s</w:t>
      </w:r>
      <w:r w:rsidR="001E5236" w:rsidRPr="002F5246">
        <w:t>.</w:t>
      </w:r>
      <w:r w:rsidR="00B5113A" w:rsidRPr="002F5246">
        <w:t xml:space="preserve"> </w:t>
      </w:r>
      <w:r w:rsidR="001E5236" w:rsidRPr="002F5246">
        <w:t xml:space="preserve">We </w:t>
      </w:r>
      <w:r w:rsidR="005F774B" w:rsidRPr="002F5246">
        <w:t>show</w:t>
      </w:r>
      <w:r w:rsidR="001E5236" w:rsidRPr="002F5246">
        <w:t xml:space="preserve"> that this will provide further insight about dealers</w:t>
      </w:r>
      <w:r w:rsidR="00B5113A" w:rsidRPr="002F5246">
        <w:t>’</w:t>
      </w:r>
      <w:r w:rsidR="001E5236" w:rsidRPr="002F5246">
        <w:t xml:space="preserve"> quotation behavior especially during a period that the price</w:t>
      </w:r>
      <w:r w:rsidR="00D27C04" w:rsidRPr="002F5246">
        <w:t>s</w:t>
      </w:r>
      <w:r w:rsidR="001E5236" w:rsidRPr="002F5246">
        <w:t xml:space="preserve"> </w:t>
      </w:r>
      <w:r w:rsidR="00841413" w:rsidRPr="002F5246">
        <w:t>have wider</w:t>
      </w:r>
      <w:r w:rsidR="001E5236" w:rsidRPr="002F5246">
        <w:t xml:space="preserve"> </w:t>
      </w:r>
      <w:r w:rsidR="00D27C04" w:rsidRPr="002F5246">
        <w:t xml:space="preserve">implications </w:t>
      </w:r>
      <w:r w:rsidR="001E5236" w:rsidRPr="002F5246">
        <w:t xml:space="preserve">than </w:t>
      </w:r>
      <w:r w:rsidR="00984AF9" w:rsidRPr="002F5246">
        <w:t xml:space="preserve">only </w:t>
      </w:r>
      <w:r w:rsidR="001E5236" w:rsidRPr="002F5246">
        <w:t xml:space="preserve">affecting the trades.  </w:t>
      </w:r>
    </w:p>
    <w:p w14:paraId="29D185F6" w14:textId="477A628B" w:rsidR="00752057" w:rsidRPr="002F5246" w:rsidRDefault="002672C6" w:rsidP="007253C2">
      <w:pPr>
        <w:pStyle w:val="Para2"/>
        <w:spacing w:line="480" w:lineRule="auto"/>
      </w:pPr>
      <w:r w:rsidRPr="002F5246">
        <w:t xml:space="preserve">Second, </w:t>
      </w:r>
      <w:r w:rsidR="004C2C05" w:rsidRPr="002F5246">
        <w:t xml:space="preserve">and </w:t>
      </w:r>
      <w:r w:rsidRPr="002F5246">
        <w:t>m</w:t>
      </w:r>
      <w:r w:rsidR="00683F97" w:rsidRPr="002F5246">
        <w:t>ore generally, our study contribute</w:t>
      </w:r>
      <w:r w:rsidR="005C1B17" w:rsidRPr="002F5246">
        <w:t>s</w:t>
      </w:r>
      <w:r w:rsidR="00683F97" w:rsidRPr="002F5246">
        <w:t xml:space="preserve"> to the new debate on the response of regulators to the rapid change</w:t>
      </w:r>
      <w:r w:rsidR="002F7AB6" w:rsidRPr="002F5246">
        <w:t>s in</w:t>
      </w:r>
      <w:r w:rsidR="00683F97" w:rsidRPr="002F5246">
        <w:t xml:space="preserve"> financial technology. </w:t>
      </w:r>
      <w:r w:rsidR="00D137AB" w:rsidRPr="002F5246">
        <w:t xml:space="preserve">The availability of big-data and </w:t>
      </w:r>
      <w:r w:rsidR="005F774B" w:rsidRPr="002F5246">
        <w:t>high-speed</w:t>
      </w:r>
      <w:r w:rsidR="00D137AB" w:rsidRPr="002F5246">
        <w:t xml:space="preserve"> computing could create a new generation of </w:t>
      </w:r>
      <w:r w:rsidR="00982469" w:rsidRPr="002F5246">
        <w:t>r</w:t>
      </w:r>
      <w:r w:rsidR="00D137AB" w:rsidRPr="002F5246">
        <w:t xml:space="preserve">egulatory </w:t>
      </w:r>
      <w:r w:rsidR="00982469" w:rsidRPr="002F5246">
        <w:t>t</w:t>
      </w:r>
      <w:r w:rsidR="00D137AB" w:rsidRPr="002F5246">
        <w:t>echnology</w:t>
      </w:r>
      <w:r w:rsidR="00653720" w:rsidRPr="002F5246">
        <w:t>;</w:t>
      </w:r>
      <w:r w:rsidR="00D137AB" w:rsidRPr="002F5246">
        <w:t xml:space="preserve"> referred </w:t>
      </w:r>
      <w:r w:rsidR="005C1B17" w:rsidRPr="002F5246">
        <w:t xml:space="preserve">to </w:t>
      </w:r>
      <w:r w:rsidR="00CC54C2" w:rsidRPr="002F5246">
        <w:t>as RegTech</w:t>
      </w:r>
      <w:r w:rsidR="00D137AB" w:rsidRPr="002F5246">
        <w:t xml:space="preserve"> in a report by the UK Government</w:t>
      </w:r>
      <w:r w:rsidR="001914B9" w:rsidRPr="002F5246">
        <w:t xml:space="preserve"> (Government Office for Science</w:t>
      </w:r>
      <w:r w:rsidR="00CF6D4C" w:rsidRPr="002F5246">
        <w:t xml:space="preserve"> </w:t>
      </w:r>
      <w:r w:rsidR="001B53BC" w:rsidRPr="002F5246">
        <w:t>2015)</w:t>
      </w:r>
      <w:r w:rsidR="00D137AB" w:rsidRPr="002F5246">
        <w:t>.</w:t>
      </w:r>
      <w:r w:rsidR="00256D81" w:rsidRPr="002F5246">
        <w:t xml:space="preserve"> We demonstrate, in the context of the FX market, that it is feasible to design an automated </w:t>
      </w:r>
      <w:r w:rsidR="002F7AB6" w:rsidRPr="002F5246">
        <w:t>early warning/</w:t>
      </w:r>
      <w:r w:rsidR="00256D81" w:rsidRPr="002F5246">
        <w:t>monitoring system.</w:t>
      </w:r>
      <w:r w:rsidR="007253C2" w:rsidRPr="002F5246">
        <w:rPr>
          <w:rStyle w:val="EndnoteReference"/>
        </w:rPr>
        <w:endnoteReference w:id="11"/>
      </w:r>
      <w:r w:rsidR="00256D81" w:rsidRPr="002F5246">
        <w:t xml:space="preserve"> </w:t>
      </w:r>
      <w:r w:rsidR="00A1089F" w:rsidRPr="002F5246">
        <w:t>Our study also provide</w:t>
      </w:r>
      <w:r w:rsidR="0032184D" w:rsidRPr="002F5246">
        <w:t>s</w:t>
      </w:r>
      <w:r w:rsidR="00A1089F" w:rsidRPr="002F5246">
        <w:t xml:space="preserve"> a first demonstration that by reverse engineering, it is possible to design a monitoring system for a fixing price process.</w:t>
      </w:r>
      <w:r w:rsidR="00F96E63" w:rsidRPr="002F5246">
        <w:t xml:space="preserve"> </w:t>
      </w:r>
    </w:p>
    <w:p w14:paraId="730681AC" w14:textId="3EAEBC61" w:rsidR="004464F2" w:rsidRPr="002F5246" w:rsidRDefault="002672C6" w:rsidP="00C00BA4">
      <w:pPr>
        <w:pStyle w:val="Para2"/>
        <w:spacing w:line="480" w:lineRule="auto"/>
      </w:pPr>
      <w:r w:rsidRPr="002F5246">
        <w:t>Finally, this study</w:t>
      </w:r>
      <w:r w:rsidR="007216D1" w:rsidRPr="002F5246">
        <w:t xml:space="preserve"> </w:t>
      </w:r>
      <w:r w:rsidR="00A268C1" w:rsidRPr="002F5246">
        <w:t xml:space="preserve">constructs and uses a unique dataset that </w:t>
      </w:r>
      <w:r w:rsidRPr="002F5246">
        <w:t xml:space="preserve">highlights </w:t>
      </w:r>
      <w:r w:rsidR="00BA7513" w:rsidRPr="002F5246">
        <w:t xml:space="preserve">the </w:t>
      </w:r>
      <w:r w:rsidR="00795BAB" w:rsidRPr="002F5246">
        <w:t>p</w:t>
      </w:r>
      <w:r w:rsidR="005C1B17" w:rsidRPr="002F5246">
        <w:t>otential</w:t>
      </w:r>
      <w:r w:rsidR="00BA7513" w:rsidRPr="002F5246">
        <w:t xml:space="preserve"> o</w:t>
      </w:r>
      <w:r w:rsidR="00EE0FC7" w:rsidRPr="002F5246">
        <w:t xml:space="preserve">f </w:t>
      </w:r>
      <w:r w:rsidR="00BA7513" w:rsidRPr="002F5246">
        <w:t>quot</w:t>
      </w:r>
      <w:r w:rsidR="006323A0" w:rsidRPr="002F5246">
        <w:t xml:space="preserve">e data </w:t>
      </w:r>
      <w:r w:rsidR="00EE0FC7" w:rsidRPr="002F5246">
        <w:t>in demonstrating</w:t>
      </w:r>
      <w:r w:rsidR="006323A0" w:rsidRPr="002F5246">
        <w:t xml:space="preserve"> potential mis</w:t>
      </w:r>
      <w:r w:rsidR="00E9526B" w:rsidRPr="002F5246">
        <w:t>behavio</w:t>
      </w:r>
      <w:r w:rsidR="00A46662" w:rsidRPr="002F5246">
        <w:t>r</w:t>
      </w:r>
      <w:r w:rsidR="00BA7513" w:rsidRPr="002F5246">
        <w:t xml:space="preserve"> in the </w:t>
      </w:r>
      <w:r w:rsidR="00E409F8" w:rsidRPr="002F5246">
        <w:t xml:space="preserve">FX </w:t>
      </w:r>
      <w:r w:rsidR="00BA7513" w:rsidRPr="002F5246">
        <w:t>market.</w:t>
      </w:r>
      <w:r w:rsidR="001D5BA5" w:rsidRPr="002F5246">
        <w:t xml:space="preserve"> We </w:t>
      </w:r>
      <w:r w:rsidR="00EE0FC7" w:rsidRPr="002F5246">
        <w:t>show</w:t>
      </w:r>
      <w:r w:rsidR="001D5BA5" w:rsidRPr="002F5246">
        <w:t xml:space="preserve"> how market monitoring is implementable by using </w:t>
      </w:r>
      <w:r w:rsidR="009E1228" w:rsidRPr="002F5246">
        <w:t>quote</w:t>
      </w:r>
      <w:r w:rsidR="001D5BA5" w:rsidRPr="002F5246">
        <w:t xml:space="preserve"> data.</w:t>
      </w:r>
      <w:r w:rsidR="006323A0" w:rsidRPr="002F5246">
        <w:t xml:space="preserve"> Dealers</w:t>
      </w:r>
      <w:r w:rsidR="00795BAB" w:rsidRPr="002F5246">
        <w:t xml:space="preserve"> who have</w:t>
      </w:r>
      <w:r w:rsidR="006323A0" w:rsidRPr="002F5246">
        <w:t xml:space="preserve"> manipulation intention</w:t>
      </w:r>
      <w:r w:rsidR="002F7AB6" w:rsidRPr="002F5246">
        <w:t>s</w:t>
      </w:r>
      <w:r w:rsidR="006323A0" w:rsidRPr="002F5246">
        <w:t xml:space="preserve"> sh</w:t>
      </w:r>
      <w:r w:rsidR="00BA7513" w:rsidRPr="002F5246">
        <w:t>ould have a cohesive strategy in both their trading and quoting</w:t>
      </w:r>
      <w:r w:rsidR="006323A0" w:rsidRPr="002F5246">
        <w:t>, since most transactions originate</w:t>
      </w:r>
      <w:r w:rsidR="001D5BA5" w:rsidRPr="002F5246">
        <w:t xml:space="preserve"> from a quote</w:t>
      </w:r>
      <w:r w:rsidR="00662630" w:rsidRPr="002F5246">
        <w:t>.</w:t>
      </w:r>
      <w:r w:rsidR="00C00BA4" w:rsidRPr="002F5246">
        <w:rPr>
          <w:rStyle w:val="EndnoteReference"/>
        </w:rPr>
        <w:endnoteReference w:id="12"/>
      </w:r>
      <w:r w:rsidR="00803BA2" w:rsidRPr="002F5246">
        <w:t xml:space="preserve"> </w:t>
      </w:r>
      <w:r w:rsidR="00662630" w:rsidRPr="002F5246">
        <w:t xml:space="preserve">We identify </w:t>
      </w:r>
      <w:r w:rsidR="00BA7513" w:rsidRPr="002F5246">
        <w:t xml:space="preserve">potential manipulation </w:t>
      </w:r>
      <w:r w:rsidR="00955580" w:rsidRPr="002F5246">
        <w:t>behavior</w:t>
      </w:r>
      <w:r w:rsidR="000602BA" w:rsidRPr="002F5246">
        <w:t xml:space="preserve"> </w:t>
      </w:r>
      <w:r w:rsidR="00BA7513" w:rsidRPr="002F5246">
        <w:t xml:space="preserve">in the quote </w:t>
      </w:r>
      <w:r w:rsidR="007216D1" w:rsidRPr="002F5246">
        <w:t>data that</w:t>
      </w:r>
      <w:r w:rsidR="00BA7513" w:rsidRPr="002F5246">
        <w:t xml:space="preserve"> affect</w:t>
      </w:r>
      <w:r w:rsidR="006323A0" w:rsidRPr="002F5246">
        <w:t>s</w:t>
      </w:r>
      <w:r w:rsidR="00BA7513" w:rsidRPr="002F5246">
        <w:t xml:space="preserve"> the quality of the </w:t>
      </w:r>
      <w:r w:rsidR="00A12D50" w:rsidRPr="002F5246">
        <w:t xml:space="preserve">WMR </w:t>
      </w:r>
      <w:r w:rsidR="006323A0" w:rsidRPr="002F5246">
        <w:t>F</w:t>
      </w:r>
      <w:r w:rsidR="00BA7513" w:rsidRPr="002F5246">
        <w:t>ix pr</w:t>
      </w:r>
      <w:r w:rsidR="007216D1" w:rsidRPr="002F5246">
        <w:t xml:space="preserve">ice. </w:t>
      </w:r>
    </w:p>
    <w:p w14:paraId="1BB4AD1A" w14:textId="644B1E74" w:rsidR="003F33AF" w:rsidRPr="002F5246" w:rsidRDefault="003F33AF" w:rsidP="0076579B">
      <w:pPr>
        <w:pStyle w:val="Para2"/>
        <w:spacing w:line="480" w:lineRule="auto"/>
      </w:pPr>
      <w:r w:rsidRPr="002F5246">
        <w:t>The rest of this paper is structured as follows. Sec</w:t>
      </w:r>
      <w:r w:rsidR="00D44561" w:rsidRPr="002F5246">
        <w:t xml:space="preserve">tion 2 discusses the background, </w:t>
      </w:r>
      <w:r w:rsidRPr="002F5246">
        <w:t>motivation of this paper</w:t>
      </w:r>
      <w:r w:rsidR="00D44561" w:rsidRPr="002F5246">
        <w:t>, and</w:t>
      </w:r>
      <w:r w:rsidRPr="002F5246">
        <w:t xml:space="preserve"> explains the structure of the FX market and </w:t>
      </w:r>
      <w:r w:rsidR="00D44561" w:rsidRPr="002F5246">
        <w:t xml:space="preserve">our </w:t>
      </w:r>
      <w:r w:rsidRPr="002F5246">
        <w:t xml:space="preserve">dataset. </w:t>
      </w:r>
      <w:r w:rsidR="00D44561" w:rsidRPr="002F5246">
        <w:t>T</w:t>
      </w:r>
      <w:r w:rsidRPr="002F5246">
        <w:t>he methodology of WMR fix rate calculation and how and why the fix rate was manipulated</w:t>
      </w:r>
      <w:r w:rsidR="00D44561" w:rsidRPr="002F5246">
        <w:t xml:space="preserve"> is also presented in </w:t>
      </w:r>
      <w:r w:rsidR="00E91C70" w:rsidRPr="002F5246">
        <w:t>S</w:t>
      </w:r>
      <w:r w:rsidR="00D44561" w:rsidRPr="002F5246">
        <w:t>ection</w:t>
      </w:r>
      <w:r w:rsidR="00E91C70" w:rsidRPr="002F5246">
        <w:t xml:space="preserve"> </w:t>
      </w:r>
      <w:r w:rsidR="00D44561" w:rsidRPr="002F5246">
        <w:t>2</w:t>
      </w:r>
      <w:r w:rsidR="00E91C70" w:rsidRPr="002F5246">
        <w:t>.</w:t>
      </w:r>
      <w:r w:rsidRPr="002F5246">
        <w:t xml:space="preserve"> </w:t>
      </w:r>
      <w:r w:rsidR="00E91C70" w:rsidRPr="002F5246">
        <w:t xml:space="preserve"> </w:t>
      </w:r>
      <w:r w:rsidRPr="002F5246">
        <w:t xml:space="preserve">Section 3 explains the ManIx methodology </w:t>
      </w:r>
      <w:r w:rsidR="00D44561" w:rsidRPr="002F5246">
        <w:t xml:space="preserve">and </w:t>
      </w:r>
      <w:r w:rsidR="00E91C70" w:rsidRPr="002F5246">
        <w:t>S</w:t>
      </w:r>
      <w:r w:rsidRPr="002F5246">
        <w:t xml:space="preserve">ection 4 presents </w:t>
      </w:r>
      <w:r w:rsidRPr="002F5246">
        <w:lastRenderedPageBreak/>
        <w:t>the results of implementing ManIx</w:t>
      </w:r>
      <w:r w:rsidR="00EF1F5C" w:rsidRPr="002F5246">
        <w:t xml:space="preserve"> and</w:t>
      </w:r>
      <w:r w:rsidRPr="002F5246">
        <w:t xml:space="preserve"> compares </w:t>
      </w:r>
      <w:r w:rsidR="00D44561" w:rsidRPr="002F5246">
        <w:t xml:space="preserve">our </w:t>
      </w:r>
      <w:r w:rsidRPr="002F5246">
        <w:t xml:space="preserve">findings </w:t>
      </w:r>
      <w:r w:rsidR="00D44561" w:rsidRPr="002F5246">
        <w:t xml:space="preserve">to </w:t>
      </w:r>
      <w:r w:rsidRPr="002F5246">
        <w:t>media repo</w:t>
      </w:r>
      <w:r w:rsidR="00D44561" w:rsidRPr="002F5246">
        <w:t>rts and regulatory investigations</w:t>
      </w:r>
      <w:r w:rsidR="007718A9" w:rsidRPr="002F5246">
        <w:t xml:space="preserve"> a</w:t>
      </w:r>
      <w:r w:rsidR="00D44561" w:rsidRPr="002F5246">
        <w:t xml:space="preserve">nd </w:t>
      </w:r>
      <w:r w:rsidR="00E91C70" w:rsidRPr="002F5246">
        <w:t>S</w:t>
      </w:r>
      <w:r w:rsidRPr="002F5246">
        <w:t xml:space="preserve">ection 5 </w:t>
      </w:r>
      <w:r w:rsidR="0076579B" w:rsidRPr="002F5246">
        <w:t>concludes</w:t>
      </w:r>
      <w:r w:rsidRPr="002F5246">
        <w:t>.</w:t>
      </w:r>
    </w:p>
    <w:p w14:paraId="6C80CD4E" w14:textId="6AA9591C" w:rsidR="00DF4E72" w:rsidRPr="002F5246" w:rsidRDefault="00215A42" w:rsidP="00CE5E39">
      <w:pPr>
        <w:pStyle w:val="Heading1"/>
        <w:rPr>
          <w:lang w:val="en-US"/>
        </w:rPr>
      </w:pPr>
      <w:r w:rsidRPr="002F5246">
        <w:rPr>
          <w:lang w:val="en-US"/>
        </w:rPr>
        <w:t>2</w:t>
      </w:r>
      <w:r w:rsidR="00B24AF8" w:rsidRPr="002F5246">
        <w:rPr>
          <w:lang w:val="en-US"/>
        </w:rPr>
        <w:t xml:space="preserve">. </w:t>
      </w:r>
      <w:r w:rsidR="004464F2" w:rsidRPr="002F5246">
        <w:rPr>
          <w:lang w:val="en-US"/>
        </w:rPr>
        <w:t>Back</w:t>
      </w:r>
      <w:r w:rsidR="005340DD" w:rsidRPr="002F5246">
        <w:rPr>
          <w:lang w:val="en-US"/>
        </w:rPr>
        <w:t xml:space="preserve">ground, </w:t>
      </w:r>
      <w:r w:rsidR="003B730A" w:rsidRPr="002F5246">
        <w:rPr>
          <w:lang w:val="en-US"/>
        </w:rPr>
        <w:t>M</w:t>
      </w:r>
      <w:r w:rsidR="00847167" w:rsidRPr="002F5246">
        <w:rPr>
          <w:lang w:val="en-US"/>
        </w:rPr>
        <w:t>otivation</w:t>
      </w:r>
      <w:r w:rsidR="004A4615" w:rsidRPr="002F5246">
        <w:rPr>
          <w:lang w:val="en-US"/>
        </w:rPr>
        <w:t xml:space="preserve"> </w:t>
      </w:r>
      <w:r w:rsidR="005340DD" w:rsidRPr="002F5246">
        <w:rPr>
          <w:lang w:val="en-US"/>
        </w:rPr>
        <w:t>and Data</w:t>
      </w:r>
      <w:r w:rsidR="004A4615" w:rsidRPr="002F5246">
        <w:rPr>
          <w:lang w:val="en-US"/>
        </w:rPr>
        <w:t xml:space="preserve"> </w:t>
      </w:r>
    </w:p>
    <w:p w14:paraId="7CB6CCB4" w14:textId="3A2FB9DE" w:rsidR="00847167" w:rsidRPr="002F5246" w:rsidRDefault="00215A42" w:rsidP="00294834">
      <w:pPr>
        <w:pStyle w:val="Heading2"/>
        <w:rPr>
          <w:lang w:val="en-US"/>
        </w:rPr>
      </w:pPr>
      <w:r w:rsidRPr="002F5246">
        <w:rPr>
          <w:lang w:val="en-US"/>
        </w:rPr>
        <w:t>2.1</w:t>
      </w:r>
      <w:r w:rsidR="00B24AF8" w:rsidRPr="002F5246">
        <w:rPr>
          <w:lang w:val="en-US"/>
        </w:rPr>
        <w:t xml:space="preserve">. </w:t>
      </w:r>
      <w:r w:rsidR="003B730A" w:rsidRPr="002F5246">
        <w:rPr>
          <w:lang w:val="en-US"/>
        </w:rPr>
        <w:t>The Forex M</w:t>
      </w:r>
      <w:r w:rsidR="00847167" w:rsidRPr="002F5246">
        <w:rPr>
          <w:lang w:val="en-US"/>
        </w:rPr>
        <w:t>arket</w:t>
      </w:r>
      <w:r w:rsidR="003B730A" w:rsidRPr="002F5246">
        <w:rPr>
          <w:lang w:val="en-US"/>
        </w:rPr>
        <w:t xml:space="preserve"> – A Quote Driven M</w:t>
      </w:r>
      <w:r w:rsidR="00B1544E" w:rsidRPr="002F5246">
        <w:rPr>
          <w:lang w:val="en-US"/>
        </w:rPr>
        <w:t>arket</w:t>
      </w:r>
    </w:p>
    <w:p w14:paraId="4F48572A" w14:textId="5AB7B8F0" w:rsidR="00737686" w:rsidRPr="002F5246" w:rsidRDefault="009613F7" w:rsidP="00CD3316">
      <w:pPr>
        <w:pStyle w:val="para1"/>
        <w:ind w:firstLine="720"/>
        <w:rPr>
          <w:rFonts w:asciiTheme="majorBidi" w:hAnsiTheme="majorBidi" w:cstheme="majorBidi"/>
          <w:szCs w:val="22"/>
          <w:lang w:val="en-US" w:bidi="fa-IR"/>
        </w:rPr>
      </w:pPr>
      <w:r w:rsidRPr="002F5246">
        <w:rPr>
          <w:rFonts w:asciiTheme="majorBidi" w:hAnsiTheme="majorBidi" w:cstheme="majorBidi"/>
          <w:szCs w:val="22"/>
          <w:lang w:val="en-US"/>
        </w:rPr>
        <w:t>The FX market is a geographically disperse</w:t>
      </w:r>
      <w:r w:rsidR="00324743" w:rsidRPr="002F5246">
        <w:rPr>
          <w:rFonts w:asciiTheme="majorBidi" w:hAnsiTheme="majorBidi" w:cstheme="majorBidi"/>
          <w:szCs w:val="22"/>
          <w:lang w:val="en-US"/>
        </w:rPr>
        <w:t xml:space="preserve">d, </w:t>
      </w:r>
      <w:r w:rsidR="005B33BF" w:rsidRPr="002F5246">
        <w:rPr>
          <w:rFonts w:asciiTheme="majorBidi" w:hAnsiTheme="majorBidi" w:cstheme="majorBidi"/>
          <w:szCs w:val="22"/>
          <w:lang w:val="en-US"/>
        </w:rPr>
        <w:t>decentralized</w:t>
      </w:r>
      <w:r w:rsidR="00324743" w:rsidRPr="002F5246">
        <w:rPr>
          <w:rFonts w:asciiTheme="majorBidi" w:hAnsiTheme="majorBidi" w:cstheme="majorBidi"/>
          <w:szCs w:val="22"/>
          <w:lang w:val="en-US"/>
        </w:rPr>
        <w:t>, quote driven</w:t>
      </w:r>
      <w:r w:rsidR="00A46662" w:rsidRPr="002F5246">
        <w:rPr>
          <w:rFonts w:asciiTheme="majorBidi" w:hAnsiTheme="majorBidi" w:cstheme="majorBidi"/>
          <w:szCs w:val="22"/>
          <w:lang w:val="en-US"/>
        </w:rPr>
        <w:t>,</w:t>
      </w:r>
      <w:r w:rsidR="00324743" w:rsidRPr="002F5246">
        <w:rPr>
          <w:rFonts w:asciiTheme="majorBidi" w:hAnsiTheme="majorBidi" w:cstheme="majorBidi"/>
          <w:szCs w:val="22"/>
          <w:lang w:val="en-US"/>
        </w:rPr>
        <w:t xml:space="preserve"> </w:t>
      </w:r>
      <w:r w:rsidRPr="002F5246">
        <w:rPr>
          <w:rFonts w:asciiTheme="majorBidi" w:hAnsiTheme="majorBidi" w:cstheme="majorBidi"/>
          <w:szCs w:val="22"/>
          <w:lang w:val="en-US"/>
        </w:rPr>
        <w:t xml:space="preserve">and primarily over the counter </w:t>
      </w:r>
      <w:r w:rsidR="001914B9" w:rsidRPr="002F5246">
        <w:rPr>
          <w:rFonts w:asciiTheme="majorBidi" w:hAnsiTheme="majorBidi" w:cstheme="majorBidi"/>
          <w:szCs w:val="22"/>
          <w:lang w:val="en-US"/>
        </w:rPr>
        <w:t>market (FSB</w:t>
      </w:r>
      <w:r w:rsidRPr="002F5246">
        <w:rPr>
          <w:rFonts w:asciiTheme="majorBidi" w:hAnsiTheme="majorBidi" w:cstheme="majorBidi"/>
          <w:szCs w:val="22"/>
          <w:lang w:val="en-US"/>
        </w:rPr>
        <w:t xml:space="preserve"> 2014).</w:t>
      </w:r>
      <w:r w:rsidR="00A5646B" w:rsidRPr="002F5246">
        <w:rPr>
          <w:rFonts w:asciiTheme="majorBidi" w:hAnsiTheme="majorBidi" w:cstheme="majorBidi"/>
          <w:szCs w:val="22"/>
          <w:lang w:val="en-US"/>
        </w:rPr>
        <w:t xml:space="preserve"> </w:t>
      </w:r>
      <w:r w:rsidRPr="002F5246">
        <w:rPr>
          <w:rFonts w:asciiTheme="majorBidi" w:hAnsiTheme="majorBidi" w:cstheme="majorBidi"/>
          <w:szCs w:val="22"/>
          <w:lang w:val="en-US"/>
        </w:rPr>
        <w:t>D</w:t>
      </w:r>
      <w:r w:rsidR="006F711D" w:rsidRPr="002F5246">
        <w:rPr>
          <w:rFonts w:asciiTheme="majorBidi" w:hAnsiTheme="majorBidi" w:cstheme="majorBidi"/>
          <w:szCs w:val="22"/>
          <w:lang w:val="en-US"/>
        </w:rPr>
        <w:t>ue to these</w:t>
      </w:r>
      <w:r w:rsidR="00A5646B" w:rsidRPr="002F5246">
        <w:rPr>
          <w:rFonts w:asciiTheme="majorBidi" w:hAnsiTheme="majorBidi" w:cstheme="majorBidi"/>
          <w:szCs w:val="22"/>
          <w:lang w:val="en-US"/>
        </w:rPr>
        <w:t xml:space="preserve"> attribute</w:t>
      </w:r>
      <w:r w:rsidR="006F711D" w:rsidRPr="002F5246">
        <w:rPr>
          <w:rFonts w:asciiTheme="majorBidi" w:hAnsiTheme="majorBidi" w:cstheme="majorBidi"/>
          <w:szCs w:val="22"/>
          <w:lang w:val="en-US"/>
        </w:rPr>
        <w:t>s</w:t>
      </w:r>
      <w:r w:rsidR="00A5646B" w:rsidRPr="002F5246">
        <w:rPr>
          <w:rFonts w:asciiTheme="majorBidi" w:hAnsiTheme="majorBidi" w:cstheme="majorBidi"/>
          <w:szCs w:val="22"/>
          <w:lang w:val="en-US"/>
        </w:rPr>
        <w:t xml:space="preserve">, there is not a single </w:t>
      </w:r>
      <w:r w:rsidR="00AE40E7" w:rsidRPr="002F5246">
        <w:rPr>
          <w:rFonts w:asciiTheme="majorBidi" w:hAnsiTheme="majorBidi" w:cstheme="majorBidi"/>
          <w:szCs w:val="22"/>
          <w:lang w:val="en-US"/>
        </w:rPr>
        <w:t>database that contains all the transaction</w:t>
      </w:r>
      <w:r w:rsidR="00324743" w:rsidRPr="002F5246">
        <w:rPr>
          <w:rFonts w:asciiTheme="majorBidi" w:hAnsiTheme="majorBidi" w:cstheme="majorBidi"/>
          <w:szCs w:val="22"/>
          <w:lang w:val="en-US"/>
        </w:rPr>
        <w:t>s</w:t>
      </w:r>
      <w:r w:rsidR="00AE40E7" w:rsidRPr="002F5246">
        <w:rPr>
          <w:rFonts w:asciiTheme="majorBidi" w:hAnsiTheme="majorBidi" w:cstheme="majorBidi"/>
          <w:szCs w:val="22"/>
          <w:lang w:val="en-US"/>
        </w:rPr>
        <w:t xml:space="preserve"> conducted in this market. </w:t>
      </w:r>
      <w:r w:rsidR="00E44007" w:rsidRPr="002F5246">
        <w:rPr>
          <w:rFonts w:asciiTheme="majorBidi" w:hAnsiTheme="majorBidi" w:cstheme="majorBidi"/>
          <w:szCs w:val="22"/>
          <w:lang w:val="en-US" w:bidi="fa-IR"/>
        </w:rPr>
        <w:t xml:space="preserve">However, active dealers in the FX market disseminate the price that they are willing to trade on, in the form of indicative data (Goodhart </w:t>
      </w:r>
      <w:r w:rsidR="001914B9" w:rsidRPr="002F5246">
        <w:rPr>
          <w:rFonts w:asciiTheme="majorBidi" w:hAnsiTheme="majorBidi" w:cstheme="majorBidi"/>
          <w:szCs w:val="22"/>
          <w:lang w:val="en-US" w:bidi="fa-IR"/>
        </w:rPr>
        <w:t>and O'Hara</w:t>
      </w:r>
      <w:r w:rsidR="00E44007" w:rsidRPr="002F5246">
        <w:rPr>
          <w:rFonts w:asciiTheme="majorBidi" w:hAnsiTheme="majorBidi" w:cstheme="majorBidi"/>
          <w:szCs w:val="22"/>
          <w:lang w:val="en-US" w:bidi="fa-IR"/>
        </w:rPr>
        <w:t xml:space="preserve"> 1997). </w:t>
      </w:r>
      <w:r w:rsidR="00C928F1" w:rsidRPr="002F5246">
        <w:rPr>
          <w:rFonts w:asciiTheme="majorBidi" w:hAnsiTheme="majorBidi" w:cstheme="majorBidi"/>
          <w:szCs w:val="22"/>
          <w:lang w:val="en-US" w:bidi="fa-IR"/>
        </w:rPr>
        <w:t>I</w:t>
      </w:r>
      <w:r w:rsidR="00687A35" w:rsidRPr="002F5246">
        <w:rPr>
          <w:rFonts w:asciiTheme="majorBidi" w:hAnsiTheme="majorBidi" w:cstheme="majorBidi"/>
          <w:szCs w:val="22"/>
          <w:lang w:val="en-US" w:bidi="fa-IR"/>
        </w:rPr>
        <w:t xml:space="preserve">ndicative quotes are disseminated on different </w:t>
      </w:r>
      <w:r w:rsidR="00C928F1" w:rsidRPr="002F5246">
        <w:rPr>
          <w:rFonts w:asciiTheme="majorBidi" w:hAnsiTheme="majorBidi" w:cstheme="majorBidi"/>
          <w:szCs w:val="22"/>
          <w:lang w:val="en-US" w:bidi="fa-IR"/>
        </w:rPr>
        <w:t>platform</w:t>
      </w:r>
      <w:r w:rsidR="00324743" w:rsidRPr="002F5246">
        <w:rPr>
          <w:rFonts w:asciiTheme="majorBidi" w:hAnsiTheme="majorBidi" w:cstheme="majorBidi"/>
          <w:szCs w:val="22"/>
          <w:lang w:val="en-US" w:bidi="fa-IR"/>
        </w:rPr>
        <w:t>s with the most important one</w:t>
      </w:r>
      <w:r w:rsidR="00C928F1" w:rsidRPr="002F5246">
        <w:rPr>
          <w:rFonts w:asciiTheme="majorBidi" w:hAnsiTheme="majorBidi" w:cstheme="majorBidi"/>
          <w:szCs w:val="22"/>
          <w:lang w:val="en-US" w:bidi="fa-IR"/>
        </w:rPr>
        <w:t xml:space="preserve"> being Thomson Reuters </w:t>
      </w:r>
      <w:r w:rsidR="001914B9" w:rsidRPr="002F5246">
        <w:rPr>
          <w:rFonts w:asciiTheme="majorBidi" w:hAnsiTheme="majorBidi" w:cstheme="majorBidi"/>
          <w:szCs w:val="22"/>
          <w:lang w:val="en-US" w:bidi="fa-IR"/>
        </w:rPr>
        <w:t>(Martens and Kofman</w:t>
      </w:r>
      <w:r w:rsidR="00324743" w:rsidRPr="002F5246">
        <w:rPr>
          <w:rFonts w:asciiTheme="majorBidi" w:hAnsiTheme="majorBidi" w:cstheme="majorBidi"/>
          <w:szCs w:val="22"/>
          <w:lang w:val="en-US" w:bidi="fa-IR"/>
        </w:rPr>
        <w:t xml:space="preserve"> 1998);</w:t>
      </w:r>
      <w:r w:rsidR="00E44007" w:rsidRPr="002F5246">
        <w:rPr>
          <w:rFonts w:asciiTheme="majorBidi" w:hAnsiTheme="majorBidi" w:cstheme="majorBidi"/>
          <w:szCs w:val="22"/>
          <w:lang w:val="en-US" w:bidi="fa-IR"/>
        </w:rPr>
        <w:t xml:space="preserve"> </w:t>
      </w:r>
      <w:r w:rsidR="00C928F1" w:rsidRPr="002F5246">
        <w:rPr>
          <w:rFonts w:asciiTheme="majorBidi" w:hAnsiTheme="majorBidi" w:cstheme="majorBidi"/>
          <w:szCs w:val="22"/>
          <w:lang w:val="en-US" w:bidi="fa-IR"/>
        </w:rPr>
        <w:t>m</w:t>
      </w:r>
      <w:r w:rsidR="00E44007" w:rsidRPr="002F5246">
        <w:rPr>
          <w:rFonts w:asciiTheme="majorBidi" w:hAnsiTheme="majorBidi" w:cstheme="majorBidi"/>
          <w:szCs w:val="22"/>
          <w:lang w:val="en-US" w:bidi="fa-IR"/>
        </w:rPr>
        <w:t xml:space="preserve">ore than 50% of all the electronic trading in </w:t>
      </w:r>
      <w:r w:rsidR="006B6C5F" w:rsidRPr="002F5246">
        <w:rPr>
          <w:rFonts w:asciiTheme="majorBidi" w:hAnsiTheme="majorBidi" w:cstheme="majorBidi"/>
          <w:szCs w:val="22"/>
          <w:lang w:val="en-US" w:bidi="fa-IR"/>
        </w:rPr>
        <w:t xml:space="preserve">the </w:t>
      </w:r>
      <w:r w:rsidR="00E44007" w:rsidRPr="002F5246">
        <w:rPr>
          <w:rFonts w:asciiTheme="majorBidi" w:hAnsiTheme="majorBidi" w:cstheme="majorBidi"/>
          <w:szCs w:val="22"/>
          <w:lang w:val="en-US" w:bidi="fa-IR"/>
        </w:rPr>
        <w:t xml:space="preserve">foreign exchange market occurs on </w:t>
      </w:r>
      <w:r w:rsidR="00C971B5" w:rsidRPr="002F5246">
        <w:rPr>
          <w:rFonts w:asciiTheme="majorBidi" w:hAnsiTheme="majorBidi" w:cstheme="majorBidi"/>
          <w:szCs w:val="22"/>
          <w:lang w:val="en-US" w:bidi="fa-IR"/>
        </w:rPr>
        <w:t xml:space="preserve">the </w:t>
      </w:r>
      <w:r w:rsidR="00F844D2" w:rsidRPr="002F5246">
        <w:rPr>
          <w:rFonts w:asciiTheme="majorBidi" w:hAnsiTheme="majorBidi" w:cstheme="majorBidi"/>
          <w:szCs w:val="22"/>
          <w:lang w:val="en-US" w:bidi="fa-IR"/>
        </w:rPr>
        <w:t>Reuters</w:t>
      </w:r>
      <w:r w:rsidR="00E44007" w:rsidRPr="002F5246">
        <w:rPr>
          <w:rFonts w:asciiTheme="majorBidi" w:hAnsiTheme="majorBidi" w:cstheme="majorBidi"/>
          <w:szCs w:val="22"/>
          <w:lang w:val="en-US" w:bidi="fa-IR"/>
        </w:rPr>
        <w:t xml:space="preserve"> platform (Risk 2011)</w:t>
      </w:r>
      <w:r w:rsidR="00324743" w:rsidRPr="002F5246">
        <w:rPr>
          <w:rFonts w:asciiTheme="majorBidi" w:hAnsiTheme="majorBidi" w:cstheme="majorBidi"/>
          <w:szCs w:val="22"/>
          <w:lang w:val="en-US" w:bidi="fa-IR"/>
        </w:rPr>
        <w:t xml:space="preserve"> and the</w:t>
      </w:r>
      <w:r w:rsidR="00C928F1" w:rsidRPr="002F5246">
        <w:rPr>
          <w:rFonts w:asciiTheme="majorBidi" w:hAnsiTheme="majorBidi" w:cstheme="majorBidi"/>
          <w:szCs w:val="22"/>
          <w:lang w:val="en-US" w:bidi="fa-IR"/>
        </w:rPr>
        <w:t xml:space="preserve"> </w:t>
      </w:r>
      <w:r w:rsidR="004A3F23" w:rsidRPr="002F5246">
        <w:rPr>
          <w:rFonts w:asciiTheme="majorBidi" w:hAnsiTheme="majorBidi" w:cstheme="majorBidi"/>
          <w:szCs w:val="22"/>
          <w:lang w:val="en-US" w:bidi="fa-IR"/>
        </w:rPr>
        <w:t>majority of the main players in the FX market disseminate their indicative quotes on this platform.</w:t>
      </w:r>
      <w:r w:rsidR="00C928F1" w:rsidRPr="002F5246">
        <w:rPr>
          <w:rFonts w:asciiTheme="majorBidi" w:hAnsiTheme="majorBidi" w:cstheme="majorBidi"/>
          <w:szCs w:val="22"/>
          <w:lang w:val="en-US" w:bidi="fa-IR"/>
        </w:rPr>
        <w:t xml:space="preserve"> </w:t>
      </w:r>
    </w:p>
    <w:p w14:paraId="262E0FFA" w14:textId="22680492" w:rsidR="009613F7" w:rsidRPr="002F5246" w:rsidRDefault="009613F7" w:rsidP="00984AF9">
      <w:pPr>
        <w:pStyle w:val="para1"/>
        <w:ind w:firstLine="720"/>
        <w:rPr>
          <w:rFonts w:asciiTheme="majorBidi" w:hAnsiTheme="majorBidi" w:cstheme="majorBidi"/>
          <w:szCs w:val="22"/>
          <w:lang w:val="en-US"/>
        </w:rPr>
      </w:pPr>
      <w:r w:rsidRPr="002F5246">
        <w:rPr>
          <w:rFonts w:asciiTheme="majorBidi" w:hAnsiTheme="majorBidi" w:cstheme="majorBidi"/>
          <w:szCs w:val="22"/>
          <w:lang w:val="en-US"/>
        </w:rPr>
        <w:t>In recent years, advance</w:t>
      </w:r>
      <w:r w:rsidR="00324743" w:rsidRPr="002F5246">
        <w:rPr>
          <w:rFonts w:asciiTheme="majorBidi" w:hAnsiTheme="majorBidi" w:cstheme="majorBidi"/>
          <w:szCs w:val="22"/>
          <w:lang w:val="en-US"/>
        </w:rPr>
        <w:t>s</w:t>
      </w:r>
      <w:r w:rsidRPr="002F5246">
        <w:rPr>
          <w:rFonts w:asciiTheme="majorBidi" w:hAnsiTheme="majorBidi" w:cstheme="majorBidi"/>
          <w:szCs w:val="22"/>
          <w:lang w:val="en-US"/>
        </w:rPr>
        <w:t xml:space="preserve"> in communication technolog</w:t>
      </w:r>
      <w:r w:rsidR="002A5236" w:rsidRPr="002F5246">
        <w:rPr>
          <w:rFonts w:asciiTheme="majorBidi" w:hAnsiTheme="majorBidi" w:cstheme="majorBidi"/>
          <w:szCs w:val="22"/>
          <w:lang w:val="en-US"/>
        </w:rPr>
        <w:t>y</w:t>
      </w:r>
      <w:r w:rsidRPr="002F5246">
        <w:rPr>
          <w:rFonts w:asciiTheme="majorBidi" w:hAnsiTheme="majorBidi" w:cstheme="majorBidi"/>
          <w:szCs w:val="22"/>
          <w:lang w:val="en-US"/>
        </w:rPr>
        <w:t xml:space="preserve"> ha</w:t>
      </w:r>
      <w:r w:rsidR="006B6C5F" w:rsidRPr="002F5246">
        <w:rPr>
          <w:rFonts w:asciiTheme="majorBidi" w:hAnsiTheme="majorBidi" w:cstheme="majorBidi"/>
          <w:szCs w:val="22"/>
          <w:lang w:val="en-US"/>
        </w:rPr>
        <w:t>ve</w:t>
      </w:r>
      <w:r w:rsidRPr="002F5246">
        <w:rPr>
          <w:rFonts w:asciiTheme="majorBidi" w:hAnsiTheme="majorBidi" w:cstheme="majorBidi"/>
          <w:szCs w:val="22"/>
          <w:lang w:val="en-US"/>
        </w:rPr>
        <w:t xml:space="preserve"> contributed to </w:t>
      </w:r>
      <w:r w:rsidR="00324743" w:rsidRPr="002F5246">
        <w:rPr>
          <w:rFonts w:asciiTheme="majorBidi" w:hAnsiTheme="majorBidi" w:cstheme="majorBidi"/>
          <w:szCs w:val="22"/>
          <w:lang w:val="en-US"/>
        </w:rPr>
        <w:t xml:space="preserve">the </w:t>
      </w:r>
      <w:r w:rsidRPr="002F5246">
        <w:rPr>
          <w:rFonts w:asciiTheme="majorBidi" w:hAnsiTheme="majorBidi" w:cstheme="majorBidi"/>
          <w:szCs w:val="22"/>
          <w:lang w:val="en-US"/>
        </w:rPr>
        <w:t xml:space="preserve">integration of </w:t>
      </w:r>
      <w:r w:rsidR="002A5236" w:rsidRPr="002F5246">
        <w:rPr>
          <w:rFonts w:asciiTheme="majorBidi" w:hAnsiTheme="majorBidi" w:cstheme="majorBidi"/>
          <w:szCs w:val="22"/>
          <w:lang w:val="en-US"/>
        </w:rPr>
        <w:t xml:space="preserve">the FX </w:t>
      </w:r>
      <w:r w:rsidRPr="002F5246">
        <w:rPr>
          <w:rFonts w:asciiTheme="majorBidi" w:hAnsiTheme="majorBidi" w:cstheme="majorBidi"/>
          <w:szCs w:val="22"/>
          <w:lang w:val="en-US"/>
        </w:rPr>
        <w:t>market and enabled customers to access multi-pricing source</w:t>
      </w:r>
      <w:r w:rsidR="00CE6AEB" w:rsidRPr="002F5246">
        <w:rPr>
          <w:rFonts w:asciiTheme="majorBidi" w:hAnsiTheme="majorBidi" w:cstheme="majorBidi"/>
          <w:szCs w:val="22"/>
          <w:lang w:val="en-US"/>
        </w:rPr>
        <w:t>s</w:t>
      </w:r>
      <w:r w:rsidRPr="002F5246">
        <w:rPr>
          <w:rFonts w:asciiTheme="majorBidi" w:hAnsiTheme="majorBidi" w:cstheme="majorBidi"/>
          <w:szCs w:val="22"/>
          <w:lang w:val="en-US"/>
        </w:rPr>
        <w:t xml:space="preserve"> sim</w:t>
      </w:r>
      <w:r w:rsidR="00F44C3A" w:rsidRPr="002F5246">
        <w:rPr>
          <w:rFonts w:asciiTheme="majorBidi" w:hAnsiTheme="majorBidi" w:cstheme="majorBidi"/>
          <w:szCs w:val="22"/>
          <w:lang w:val="en-US"/>
        </w:rPr>
        <w:t>ultaneously. This has led to an</w:t>
      </w:r>
      <w:r w:rsidRPr="002F5246">
        <w:rPr>
          <w:rFonts w:asciiTheme="majorBidi" w:hAnsiTheme="majorBidi" w:cstheme="majorBidi"/>
          <w:szCs w:val="22"/>
          <w:lang w:val="en-US"/>
        </w:rPr>
        <w:t xml:space="preserve"> increased share of elec</w:t>
      </w:r>
      <w:r w:rsidR="00324743" w:rsidRPr="002F5246">
        <w:rPr>
          <w:rFonts w:asciiTheme="majorBidi" w:hAnsiTheme="majorBidi" w:cstheme="majorBidi"/>
          <w:szCs w:val="22"/>
          <w:lang w:val="en-US"/>
        </w:rPr>
        <w:t>tronic trading in the FX market,</w:t>
      </w:r>
      <w:r w:rsidRPr="002F5246">
        <w:rPr>
          <w:rFonts w:asciiTheme="majorBidi" w:hAnsiTheme="majorBidi" w:cstheme="majorBidi"/>
          <w:szCs w:val="22"/>
          <w:lang w:val="en-US"/>
        </w:rPr>
        <w:t xml:space="preserve"> </w:t>
      </w:r>
      <w:r w:rsidR="00324743" w:rsidRPr="002F5246">
        <w:rPr>
          <w:rFonts w:asciiTheme="majorBidi" w:hAnsiTheme="majorBidi" w:cstheme="majorBidi"/>
          <w:szCs w:val="22"/>
          <w:lang w:val="en-US"/>
        </w:rPr>
        <w:t xml:space="preserve">with </w:t>
      </w:r>
      <w:r w:rsidRPr="002F5246">
        <w:rPr>
          <w:rFonts w:asciiTheme="majorBidi" w:hAnsiTheme="majorBidi" w:cstheme="majorBidi"/>
          <w:szCs w:val="22"/>
          <w:lang w:val="en-US"/>
        </w:rPr>
        <w:t xml:space="preserve">90% of the trades in the FX spot market </w:t>
      </w:r>
      <w:r w:rsidR="00324743" w:rsidRPr="002F5246">
        <w:rPr>
          <w:rFonts w:asciiTheme="majorBidi" w:hAnsiTheme="majorBidi" w:cstheme="majorBidi"/>
          <w:szCs w:val="22"/>
          <w:lang w:val="en-US"/>
        </w:rPr>
        <w:t>being</w:t>
      </w:r>
      <w:r w:rsidRPr="002F5246">
        <w:rPr>
          <w:rFonts w:asciiTheme="majorBidi" w:hAnsiTheme="majorBidi" w:cstheme="majorBidi"/>
          <w:szCs w:val="22"/>
          <w:lang w:val="en-US"/>
        </w:rPr>
        <w:t xml:space="preserve"> conducted via electronic platform</w:t>
      </w:r>
      <w:r w:rsidR="00C460FC" w:rsidRPr="002F5246">
        <w:rPr>
          <w:rFonts w:asciiTheme="majorBidi" w:hAnsiTheme="majorBidi" w:cstheme="majorBidi"/>
          <w:szCs w:val="22"/>
          <w:lang w:val="en-US"/>
        </w:rPr>
        <w:t>s</w:t>
      </w:r>
      <w:r w:rsidRPr="002F5246">
        <w:rPr>
          <w:rFonts w:asciiTheme="majorBidi" w:hAnsiTheme="majorBidi" w:cstheme="majorBidi"/>
          <w:szCs w:val="22"/>
          <w:lang w:val="en-US"/>
        </w:rPr>
        <w:t xml:space="preserve">. </w:t>
      </w:r>
      <w:r w:rsidR="00710804" w:rsidRPr="002F5246">
        <w:rPr>
          <w:rFonts w:asciiTheme="majorBidi" w:hAnsiTheme="majorBidi" w:cstheme="majorBidi"/>
          <w:szCs w:val="22"/>
          <w:lang w:val="en-US"/>
        </w:rPr>
        <w:t>T</w:t>
      </w:r>
      <w:r w:rsidRPr="002F5246">
        <w:rPr>
          <w:rFonts w:asciiTheme="majorBidi" w:hAnsiTheme="majorBidi" w:cstheme="majorBidi"/>
          <w:szCs w:val="22"/>
          <w:lang w:val="en-US"/>
        </w:rPr>
        <w:t>hough the overwhelming majorit</w:t>
      </w:r>
      <w:r w:rsidR="00710804" w:rsidRPr="002F5246">
        <w:rPr>
          <w:rFonts w:asciiTheme="majorBidi" w:hAnsiTheme="majorBidi" w:cstheme="majorBidi"/>
          <w:szCs w:val="22"/>
          <w:lang w:val="en-US"/>
        </w:rPr>
        <w:t>y of the FX market trades occur</w:t>
      </w:r>
      <w:r w:rsidRPr="002F5246">
        <w:rPr>
          <w:rFonts w:asciiTheme="majorBidi" w:hAnsiTheme="majorBidi" w:cstheme="majorBidi"/>
          <w:szCs w:val="22"/>
          <w:lang w:val="en-US"/>
        </w:rPr>
        <w:t xml:space="preserve"> on electronic platforms, there is not a single database that includes all the trades in this market. However, </w:t>
      </w:r>
      <w:r w:rsidR="00710804" w:rsidRPr="002F5246">
        <w:rPr>
          <w:rFonts w:asciiTheme="majorBidi" w:hAnsiTheme="majorBidi" w:cstheme="majorBidi"/>
          <w:szCs w:val="22"/>
          <w:lang w:val="en-US"/>
        </w:rPr>
        <w:t xml:space="preserve">the vast </w:t>
      </w:r>
      <w:r w:rsidR="00201ABC" w:rsidRPr="002F5246">
        <w:rPr>
          <w:rFonts w:asciiTheme="majorBidi" w:hAnsiTheme="majorBidi" w:cstheme="majorBidi"/>
          <w:szCs w:val="22"/>
          <w:lang w:val="en-US"/>
        </w:rPr>
        <w:t>majority of</w:t>
      </w:r>
      <w:r w:rsidR="00710804" w:rsidRPr="002F5246">
        <w:rPr>
          <w:rFonts w:asciiTheme="majorBidi" w:hAnsiTheme="majorBidi" w:cstheme="majorBidi"/>
          <w:szCs w:val="22"/>
          <w:lang w:val="en-US"/>
        </w:rPr>
        <w:t xml:space="preserve"> transactions</w:t>
      </w:r>
      <w:r w:rsidRPr="002F5246">
        <w:rPr>
          <w:rFonts w:asciiTheme="majorBidi" w:hAnsiTheme="majorBidi" w:cstheme="majorBidi"/>
          <w:szCs w:val="22"/>
          <w:lang w:val="en-US"/>
        </w:rPr>
        <w:t xml:space="preserve"> in the FX market, conduct</w:t>
      </w:r>
      <w:r w:rsidR="00710804" w:rsidRPr="002F5246">
        <w:rPr>
          <w:rFonts w:asciiTheme="majorBidi" w:hAnsiTheme="majorBidi" w:cstheme="majorBidi"/>
          <w:szCs w:val="22"/>
          <w:lang w:val="en-US"/>
        </w:rPr>
        <w:t>e</w:t>
      </w:r>
      <w:r w:rsidR="00F844D2" w:rsidRPr="002F5246">
        <w:rPr>
          <w:rFonts w:asciiTheme="majorBidi" w:hAnsiTheme="majorBidi" w:cstheme="majorBidi"/>
          <w:szCs w:val="22"/>
          <w:lang w:val="en-US"/>
        </w:rPr>
        <w:t>d on an electronic platform, originate</w:t>
      </w:r>
      <w:r w:rsidRPr="002F5246">
        <w:rPr>
          <w:rFonts w:asciiTheme="majorBidi" w:hAnsiTheme="majorBidi" w:cstheme="majorBidi"/>
          <w:szCs w:val="22"/>
          <w:lang w:val="en-US"/>
        </w:rPr>
        <w:t xml:space="preserve"> from a quote</w:t>
      </w:r>
      <w:r w:rsidR="00471896" w:rsidRPr="002F5246">
        <w:rPr>
          <w:rFonts w:asciiTheme="majorBidi" w:hAnsiTheme="majorBidi" w:cstheme="majorBidi"/>
          <w:szCs w:val="22"/>
          <w:lang w:val="en-US"/>
        </w:rPr>
        <w:t xml:space="preserve"> </w:t>
      </w:r>
      <w:r w:rsidR="00F844D2" w:rsidRPr="002F5246">
        <w:rPr>
          <w:rFonts w:asciiTheme="majorBidi" w:hAnsiTheme="majorBidi" w:cstheme="majorBidi"/>
          <w:szCs w:val="22"/>
          <w:lang w:val="en-US"/>
        </w:rPr>
        <w:t xml:space="preserve">in </w:t>
      </w:r>
      <w:r w:rsidRPr="002F5246">
        <w:rPr>
          <w:rFonts w:asciiTheme="majorBidi" w:hAnsiTheme="majorBidi" w:cstheme="majorBidi"/>
          <w:szCs w:val="22"/>
          <w:lang w:val="en-US"/>
        </w:rPr>
        <w:t xml:space="preserve">two ways. First, a customer asks for a quote from a dealer or multiple dealers, simultaneously, for ask and bid prices for a specific size and subsequently accepts </w:t>
      </w:r>
      <w:r w:rsidR="0014153D" w:rsidRPr="002F5246">
        <w:rPr>
          <w:rFonts w:asciiTheme="majorBidi" w:hAnsiTheme="majorBidi" w:cstheme="majorBidi"/>
          <w:szCs w:val="22"/>
          <w:lang w:val="en-US"/>
        </w:rPr>
        <w:t>the desired side</w:t>
      </w:r>
      <w:r w:rsidRPr="002F5246">
        <w:rPr>
          <w:rFonts w:asciiTheme="majorBidi" w:hAnsiTheme="majorBidi" w:cstheme="majorBidi"/>
          <w:szCs w:val="22"/>
          <w:lang w:val="en-US"/>
        </w:rPr>
        <w:t>. Second, dealers stream a series of quotes, with predefined sizes. A trader could accept</w:t>
      </w:r>
      <w:r w:rsidR="00710804" w:rsidRPr="002F5246">
        <w:rPr>
          <w:rFonts w:asciiTheme="majorBidi" w:hAnsiTheme="majorBidi" w:cstheme="majorBidi"/>
          <w:szCs w:val="22"/>
          <w:lang w:val="en-US"/>
        </w:rPr>
        <w:t xml:space="preserve"> either side of a quote (</w:t>
      </w:r>
      <w:r w:rsidRPr="002F5246">
        <w:rPr>
          <w:rFonts w:asciiTheme="majorBidi" w:hAnsiTheme="majorBidi" w:cstheme="majorBidi"/>
          <w:szCs w:val="22"/>
          <w:lang w:val="en-US"/>
        </w:rPr>
        <w:t>ask or</w:t>
      </w:r>
      <w:r w:rsidR="00710804" w:rsidRPr="002F5246">
        <w:rPr>
          <w:rFonts w:asciiTheme="majorBidi" w:hAnsiTheme="majorBidi" w:cstheme="majorBidi"/>
          <w:szCs w:val="22"/>
          <w:lang w:val="en-US"/>
        </w:rPr>
        <w:t xml:space="preserve"> bid)</w:t>
      </w:r>
      <w:r w:rsidR="00B1544E" w:rsidRPr="002F5246">
        <w:rPr>
          <w:rFonts w:asciiTheme="majorBidi" w:hAnsiTheme="majorBidi" w:cstheme="majorBidi"/>
          <w:szCs w:val="22"/>
          <w:lang w:val="en-US"/>
        </w:rPr>
        <w:t xml:space="preserve"> and conduct a transaction</w:t>
      </w:r>
      <w:r w:rsidR="00DF3882" w:rsidRPr="002F5246">
        <w:rPr>
          <w:rFonts w:asciiTheme="majorBidi" w:hAnsiTheme="majorBidi" w:cstheme="majorBidi"/>
          <w:szCs w:val="22"/>
          <w:lang w:val="en-US"/>
        </w:rPr>
        <w:t xml:space="preserve"> </w:t>
      </w:r>
      <w:r w:rsidR="00DF3882" w:rsidRPr="002F5246">
        <w:rPr>
          <w:rFonts w:asciiTheme="majorBidi" w:eastAsia="Calibri" w:hAnsiTheme="majorBidi" w:cstheme="majorBidi"/>
          <w:szCs w:val="22"/>
          <w:lang w:val="en-US"/>
        </w:rPr>
        <w:t>(</w:t>
      </w:r>
      <w:r w:rsidR="0035148D" w:rsidRPr="002F5246">
        <w:rPr>
          <w:rFonts w:asciiTheme="majorBidi" w:eastAsia="Calibri" w:hAnsiTheme="majorBidi" w:cstheme="majorBidi"/>
          <w:szCs w:val="22"/>
          <w:lang w:val="en-US"/>
        </w:rPr>
        <w:t xml:space="preserve">RBS </w:t>
      </w:r>
      <w:r w:rsidR="00ED616E" w:rsidRPr="002F5246">
        <w:rPr>
          <w:rFonts w:asciiTheme="majorBidi" w:eastAsia="Calibri" w:hAnsiTheme="majorBidi" w:cstheme="majorBidi"/>
          <w:szCs w:val="22"/>
          <w:lang w:val="en-US"/>
        </w:rPr>
        <w:t>2014a; 2014b</w:t>
      </w:r>
      <w:r w:rsidR="00BF3BD3" w:rsidRPr="002F5246">
        <w:rPr>
          <w:rFonts w:asciiTheme="majorBidi" w:eastAsia="Calibri" w:hAnsiTheme="majorBidi" w:cstheme="majorBidi"/>
          <w:szCs w:val="22"/>
          <w:lang w:val="en-US"/>
        </w:rPr>
        <w:t>)</w:t>
      </w:r>
      <w:r w:rsidR="00B1544E" w:rsidRPr="002F5246">
        <w:rPr>
          <w:rFonts w:asciiTheme="majorBidi" w:hAnsiTheme="majorBidi" w:cstheme="majorBidi"/>
          <w:szCs w:val="22"/>
          <w:lang w:val="en-US"/>
        </w:rPr>
        <w:t>.</w:t>
      </w:r>
      <w:r w:rsidR="00CE4F89" w:rsidRPr="002F5246">
        <w:rPr>
          <w:rStyle w:val="EndnoteReference"/>
          <w:rFonts w:asciiTheme="majorBidi" w:hAnsiTheme="majorBidi" w:cstheme="majorBidi"/>
          <w:szCs w:val="22"/>
          <w:lang w:val="en-US"/>
        </w:rPr>
        <w:endnoteReference w:id="13"/>
      </w:r>
      <w:r w:rsidR="00F96E63" w:rsidRPr="002F5246">
        <w:rPr>
          <w:rFonts w:asciiTheme="majorBidi" w:hAnsiTheme="majorBidi" w:cstheme="majorBidi"/>
          <w:szCs w:val="22"/>
          <w:lang w:val="en-US"/>
        </w:rPr>
        <w:t xml:space="preserve"> </w:t>
      </w:r>
      <w:r w:rsidRPr="002F5246">
        <w:rPr>
          <w:rFonts w:asciiTheme="majorBidi" w:hAnsiTheme="majorBidi" w:cstheme="majorBidi"/>
          <w:szCs w:val="22"/>
          <w:lang w:val="en-US"/>
        </w:rPr>
        <w:t xml:space="preserve">In either of the situations, </w:t>
      </w:r>
      <w:r w:rsidRPr="002F5246">
        <w:rPr>
          <w:rFonts w:asciiTheme="majorBidi" w:hAnsiTheme="majorBidi" w:cstheme="majorBidi"/>
          <w:szCs w:val="22"/>
          <w:lang w:val="en-US"/>
        </w:rPr>
        <w:lastRenderedPageBreak/>
        <w:t>a quote disseminated by a dealer is displayed on multiple ele</w:t>
      </w:r>
      <w:r w:rsidR="00710804" w:rsidRPr="002F5246">
        <w:rPr>
          <w:rFonts w:asciiTheme="majorBidi" w:hAnsiTheme="majorBidi" w:cstheme="majorBidi"/>
          <w:szCs w:val="22"/>
          <w:lang w:val="en-US"/>
        </w:rPr>
        <w:t>ctronic platforms, while a transaction</w:t>
      </w:r>
      <w:r w:rsidRPr="002F5246">
        <w:rPr>
          <w:rFonts w:asciiTheme="majorBidi" w:hAnsiTheme="majorBidi" w:cstheme="majorBidi"/>
          <w:szCs w:val="22"/>
          <w:lang w:val="en-US"/>
        </w:rPr>
        <w:t xml:space="preserve"> is recorded merely on a single platform. Furthermore, a quote is disseminated with t</w:t>
      </w:r>
      <w:r w:rsidR="00710804" w:rsidRPr="002F5246">
        <w:rPr>
          <w:rFonts w:asciiTheme="majorBidi" w:hAnsiTheme="majorBidi" w:cstheme="majorBidi"/>
          <w:szCs w:val="22"/>
          <w:lang w:val="en-US"/>
        </w:rPr>
        <w:t xml:space="preserve">he identity of the disseminator, </w:t>
      </w:r>
      <w:r w:rsidRPr="002F5246">
        <w:rPr>
          <w:rFonts w:asciiTheme="majorBidi" w:hAnsiTheme="majorBidi" w:cstheme="majorBidi"/>
          <w:szCs w:val="22"/>
          <w:lang w:val="en-US"/>
        </w:rPr>
        <w:t>w</w:t>
      </w:r>
      <w:r w:rsidR="00710804" w:rsidRPr="002F5246">
        <w:rPr>
          <w:rFonts w:asciiTheme="majorBidi" w:hAnsiTheme="majorBidi" w:cstheme="majorBidi"/>
          <w:szCs w:val="22"/>
          <w:lang w:val="en-US"/>
        </w:rPr>
        <w:t>hile transaction data do</w:t>
      </w:r>
      <w:r w:rsidRPr="002F5246">
        <w:rPr>
          <w:rFonts w:asciiTheme="majorBidi" w:hAnsiTheme="majorBidi" w:cstheme="majorBidi"/>
          <w:szCs w:val="22"/>
          <w:lang w:val="en-US"/>
        </w:rPr>
        <w:t xml:space="preserve"> not include any identity information due to privacy reasons. </w:t>
      </w:r>
    </w:p>
    <w:p w14:paraId="5027B7AC" w14:textId="2D7EBA06" w:rsidR="009613F7" w:rsidRPr="002F5246" w:rsidRDefault="009613F7" w:rsidP="00CD3316">
      <w:pPr>
        <w:pStyle w:val="Para2"/>
        <w:spacing w:line="480" w:lineRule="auto"/>
      </w:pPr>
      <w:r w:rsidRPr="002F5246">
        <w:t xml:space="preserve">Based on the aforementioned reasons, a comprehensive set of quotes with the identity of their disseminators, is </w:t>
      </w:r>
      <w:r w:rsidR="00710804" w:rsidRPr="002F5246">
        <w:t xml:space="preserve">the most adequate, available </w:t>
      </w:r>
      <w:r w:rsidR="0055263A" w:rsidRPr="002F5246">
        <w:t xml:space="preserve">dataset </w:t>
      </w:r>
      <w:r w:rsidRPr="002F5246">
        <w:t>to study th</w:t>
      </w:r>
      <w:r w:rsidR="00EC2F33" w:rsidRPr="002F5246">
        <w:t xml:space="preserve">e FX market, should the </w:t>
      </w:r>
      <w:r w:rsidR="00E03784" w:rsidRPr="002F5246">
        <w:t>behavior</w:t>
      </w:r>
      <w:r w:rsidRPr="002F5246">
        <w:t xml:space="preserve"> </w:t>
      </w:r>
      <w:r w:rsidR="00710804" w:rsidRPr="002F5246">
        <w:t>of individual dealers be the focus of the analysis</w:t>
      </w:r>
      <w:r w:rsidRPr="002F5246">
        <w:t xml:space="preserve">. </w:t>
      </w:r>
    </w:p>
    <w:p w14:paraId="1E83C7E1" w14:textId="5152C543" w:rsidR="00847167" w:rsidRPr="002F5246" w:rsidRDefault="00215A42" w:rsidP="00294834">
      <w:pPr>
        <w:pStyle w:val="Heading2"/>
        <w:rPr>
          <w:lang w:val="en-US"/>
        </w:rPr>
      </w:pPr>
      <w:r w:rsidRPr="002F5246">
        <w:rPr>
          <w:lang w:val="en-US"/>
        </w:rPr>
        <w:t>2.2</w:t>
      </w:r>
      <w:r w:rsidR="00CE33A4" w:rsidRPr="002F5246">
        <w:rPr>
          <w:lang w:val="en-US"/>
        </w:rPr>
        <w:t>.</w:t>
      </w:r>
      <w:r w:rsidR="00B24AF8" w:rsidRPr="002F5246">
        <w:rPr>
          <w:lang w:val="en-US"/>
        </w:rPr>
        <w:t xml:space="preserve"> </w:t>
      </w:r>
      <w:r w:rsidR="003B730A" w:rsidRPr="002F5246">
        <w:rPr>
          <w:lang w:val="en-US"/>
        </w:rPr>
        <w:t>The WMR B</w:t>
      </w:r>
      <w:r w:rsidR="00847167" w:rsidRPr="002F5246">
        <w:rPr>
          <w:lang w:val="en-US"/>
        </w:rPr>
        <w:t>enchmark</w:t>
      </w:r>
      <w:r w:rsidR="00DB6EAE" w:rsidRPr="002F5246">
        <w:rPr>
          <w:lang w:val="en-US"/>
        </w:rPr>
        <w:t>, Calculation, Manipulation, and Motivation</w:t>
      </w:r>
      <w:r w:rsidR="00847167" w:rsidRPr="002F5246">
        <w:rPr>
          <w:lang w:val="en-US"/>
        </w:rPr>
        <w:t xml:space="preserve"> </w:t>
      </w:r>
    </w:p>
    <w:p w14:paraId="721D2DE5" w14:textId="27E3BB18" w:rsidR="00AD1AAA" w:rsidRPr="002F5246" w:rsidRDefault="00661888" w:rsidP="00AF1792">
      <w:pPr>
        <w:pStyle w:val="Para2"/>
        <w:spacing w:line="480" w:lineRule="auto"/>
        <w:rPr>
          <w:rFonts w:cs="Arial"/>
        </w:rPr>
      </w:pPr>
      <w:r w:rsidRPr="002F5246">
        <w:t>In 1990</w:t>
      </w:r>
      <w:r w:rsidR="00631911" w:rsidRPr="002F5246">
        <w:t xml:space="preserve"> </w:t>
      </w:r>
      <w:r w:rsidR="00710804" w:rsidRPr="002F5246">
        <w:t xml:space="preserve">the </w:t>
      </w:r>
      <w:r w:rsidR="00737686" w:rsidRPr="002F5246">
        <w:t xml:space="preserve">World Markets </w:t>
      </w:r>
      <w:r w:rsidR="006B6C5F" w:rsidRPr="002F5246">
        <w:t xml:space="preserve">(WM) </w:t>
      </w:r>
      <w:r w:rsidR="00737686" w:rsidRPr="002F5246">
        <w:t>Company</w:t>
      </w:r>
      <w:r w:rsidR="00631911" w:rsidRPr="002F5246">
        <w:t xml:space="preserve">, a small actuarial firm in Edinburgh, needed a single exchange rate for valuing </w:t>
      </w:r>
      <w:r w:rsidR="003A4F6E" w:rsidRPr="002F5246">
        <w:t xml:space="preserve">the international portfolio of </w:t>
      </w:r>
      <w:r w:rsidRPr="002F5246">
        <w:t>its</w:t>
      </w:r>
      <w:r w:rsidR="003A4F6E" w:rsidRPr="002F5246">
        <w:t xml:space="preserve"> pension fund</w:t>
      </w:r>
      <w:r w:rsidR="00EA3FEE" w:rsidRPr="002F5246">
        <w:t xml:space="preserve"> </w:t>
      </w:r>
      <w:r w:rsidR="003A4F6E" w:rsidRPr="002F5246">
        <w:t>clients</w:t>
      </w:r>
      <w:r w:rsidR="00EA3FEE" w:rsidRPr="002F5246">
        <w:t>.</w:t>
      </w:r>
      <w:r w:rsidR="00F056EB" w:rsidRPr="002F5246">
        <w:t xml:space="preserve"> Until then</w:t>
      </w:r>
      <w:r w:rsidR="003A4F6E" w:rsidRPr="002F5246">
        <w:t xml:space="preserve"> a closing rat</w:t>
      </w:r>
      <w:r w:rsidRPr="002F5246">
        <w:t>e, published by Financial Times</w:t>
      </w:r>
      <w:r w:rsidR="003A4F6E" w:rsidRPr="002F5246">
        <w:t xml:space="preserve"> </w:t>
      </w:r>
      <w:r w:rsidR="0029364E" w:rsidRPr="002F5246">
        <w:t>on the next day</w:t>
      </w:r>
      <w:r w:rsidRPr="002F5246">
        <w:t>,</w:t>
      </w:r>
      <w:r w:rsidR="003A4F6E" w:rsidRPr="002F5246">
        <w:t xml:space="preserve"> was being used. </w:t>
      </w:r>
      <w:r w:rsidR="00F056EB" w:rsidRPr="002F5246">
        <w:t>The WM Company proposed</w:t>
      </w:r>
      <w:r w:rsidR="00E138E8" w:rsidRPr="002F5246">
        <w:t xml:space="preserve"> their idea of producing a “carefully defined, cleaned, and screened benchmark” with Reuters </w:t>
      </w:r>
      <w:r w:rsidR="008C6A69" w:rsidRPr="002F5246">
        <w:t>(Willson-Taylor</w:t>
      </w:r>
      <w:r w:rsidR="00F056EB" w:rsidRPr="002F5246">
        <w:t xml:space="preserve"> 2013). The FX F</w:t>
      </w:r>
      <w:r w:rsidR="00E138E8" w:rsidRPr="002F5246">
        <w:t xml:space="preserve">ix rate was introduced by </w:t>
      </w:r>
      <w:r w:rsidR="00F056EB" w:rsidRPr="002F5246">
        <w:t xml:space="preserve">the </w:t>
      </w:r>
      <w:r w:rsidR="00E138E8" w:rsidRPr="002F5246">
        <w:t xml:space="preserve">WM </w:t>
      </w:r>
      <w:r w:rsidR="00F90CAB" w:rsidRPr="002F5246">
        <w:t>Company</w:t>
      </w:r>
      <w:r w:rsidR="00E138E8" w:rsidRPr="002F5246">
        <w:t xml:space="preserve"> by using </w:t>
      </w:r>
      <w:r w:rsidR="00F056EB" w:rsidRPr="002F5246">
        <w:t xml:space="preserve">a </w:t>
      </w:r>
      <w:r w:rsidR="00E138E8" w:rsidRPr="002F5246">
        <w:t>Reuters</w:t>
      </w:r>
      <w:r w:rsidRPr="002F5246">
        <w:t>’</w:t>
      </w:r>
      <w:r w:rsidR="00E138E8" w:rsidRPr="002F5246">
        <w:t xml:space="preserve"> data feed in 1994 (</w:t>
      </w:r>
      <w:r w:rsidR="00537F2A" w:rsidRPr="002F5246">
        <w:t xml:space="preserve">The </w:t>
      </w:r>
      <w:r w:rsidR="009A7476" w:rsidRPr="002F5246">
        <w:t>WM</w:t>
      </w:r>
      <w:r w:rsidR="00EB0A9D" w:rsidRPr="002F5246">
        <w:t xml:space="preserve"> Company</w:t>
      </w:r>
      <w:r w:rsidR="00F056EB" w:rsidRPr="002F5246">
        <w:t xml:space="preserve"> 2015). </w:t>
      </w:r>
      <w:r w:rsidR="00AD1AAA" w:rsidRPr="002F5246">
        <w:t xml:space="preserve">The fix price, calculated by </w:t>
      </w:r>
      <w:r w:rsidR="005E24E6" w:rsidRPr="002F5246">
        <w:t xml:space="preserve">the </w:t>
      </w:r>
      <w:r w:rsidR="00AD1AAA" w:rsidRPr="002F5246">
        <w:t xml:space="preserve">WM, is the outcome of the median of the snapshots of ask and bid prices, independently and does not consider the size of the trades (Evans 2018). Over the fixing window the actual trades executed, and the bid and offer rates are sampled every second by WM. Where trade data are available, they will be used to generate bid and ask prices by applying the bid-ask spread at the time of the trade captured. For example, a public buy trade will be traded at the ask price; this trade price minus the bid-ask spread will produce the bid price at the time of the captured trade. The captured market data are subject to currency specific systematic tolerance checks that will identify outlying data. When the trade data are not sufficient or unavailable, quoted bid and ask data are used in the pool of calculation. After the finalization of the data capture, the medians of bid and ask prices are calculated and subsequently the mid-rate is formed based on these bid and ask medians. Finally, to obtain the </w:t>
      </w:r>
      <w:r w:rsidR="00AD1AAA" w:rsidRPr="002F5246">
        <w:lastRenderedPageBreak/>
        <w:t>bid and offer price from the mid-rate, a minimum standard spread is applied to the mid-rate to calculate the new bid and ask price (The WM Company 2015). Therefore, these medians are the most prominent and fundamental elements in constructing the fix price. We conjecture that the manipulation of these medians is likely to lead to the manipulation of the fix price</w:t>
      </w:r>
      <w:r w:rsidR="006652C3" w:rsidRPr="002F5246">
        <w:t>.</w:t>
      </w:r>
    </w:p>
    <w:p w14:paraId="34B2AD56" w14:textId="0B2CD0FE" w:rsidR="00B1544E" w:rsidRPr="002F5246" w:rsidRDefault="00F056EB" w:rsidP="004F3F9C">
      <w:pPr>
        <w:pStyle w:val="para1"/>
        <w:ind w:firstLine="720"/>
        <w:rPr>
          <w:rFonts w:asciiTheme="majorBidi" w:hAnsiTheme="majorBidi" w:cstheme="majorBidi"/>
          <w:szCs w:val="22"/>
          <w:lang w:val="en-US"/>
        </w:rPr>
      </w:pPr>
      <w:r w:rsidRPr="002F5246">
        <w:rPr>
          <w:rFonts w:asciiTheme="majorBidi" w:hAnsiTheme="majorBidi" w:cstheme="majorBidi"/>
          <w:szCs w:val="22"/>
          <w:lang w:val="en-US"/>
        </w:rPr>
        <w:t>T</w:t>
      </w:r>
      <w:r w:rsidR="00E138E8" w:rsidRPr="002F5246">
        <w:rPr>
          <w:rFonts w:asciiTheme="majorBidi" w:hAnsiTheme="majorBidi" w:cstheme="majorBidi"/>
          <w:szCs w:val="22"/>
          <w:lang w:val="en-US"/>
        </w:rPr>
        <w:t xml:space="preserve">he </w:t>
      </w:r>
      <w:r w:rsidR="00F90CAB" w:rsidRPr="002F5246">
        <w:rPr>
          <w:rFonts w:asciiTheme="majorBidi" w:hAnsiTheme="majorBidi" w:cstheme="majorBidi"/>
          <w:szCs w:val="22"/>
          <w:lang w:val="en-US"/>
        </w:rPr>
        <w:t xml:space="preserve">daily </w:t>
      </w:r>
      <w:r w:rsidRPr="002F5246">
        <w:rPr>
          <w:rFonts w:asciiTheme="majorBidi" w:hAnsiTheme="majorBidi" w:cstheme="majorBidi"/>
          <w:szCs w:val="22"/>
          <w:lang w:val="en-US"/>
        </w:rPr>
        <w:t>F</w:t>
      </w:r>
      <w:r w:rsidR="00E138E8" w:rsidRPr="002F5246">
        <w:rPr>
          <w:rFonts w:asciiTheme="majorBidi" w:hAnsiTheme="majorBidi" w:cstheme="majorBidi"/>
          <w:szCs w:val="22"/>
          <w:lang w:val="en-US"/>
        </w:rPr>
        <w:t xml:space="preserve">ix rate </w:t>
      </w:r>
      <w:r w:rsidR="00F90CAB" w:rsidRPr="002F5246">
        <w:rPr>
          <w:rFonts w:asciiTheme="majorBidi" w:hAnsiTheme="majorBidi" w:cstheme="majorBidi"/>
          <w:szCs w:val="22"/>
          <w:lang w:val="en-US"/>
        </w:rPr>
        <w:t>produced by WM/Reuters at 4</w:t>
      </w:r>
      <w:r w:rsidR="00B93A52" w:rsidRPr="002F5246">
        <w:rPr>
          <w:rFonts w:asciiTheme="majorBidi" w:hAnsiTheme="majorBidi" w:cstheme="majorBidi"/>
          <w:szCs w:val="22"/>
          <w:lang w:val="en-US"/>
        </w:rPr>
        <w:t>pm</w:t>
      </w:r>
      <w:r w:rsidR="00F90CAB" w:rsidRPr="002F5246">
        <w:rPr>
          <w:rFonts w:asciiTheme="majorBidi" w:hAnsiTheme="majorBidi" w:cstheme="majorBidi"/>
          <w:szCs w:val="22"/>
          <w:lang w:val="en-US"/>
        </w:rPr>
        <w:t xml:space="preserve"> </w:t>
      </w:r>
      <w:r w:rsidRPr="002F5246">
        <w:rPr>
          <w:rFonts w:asciiTheme="majorBidi" w:hAnsiTheme="majorBidi" w:cstheme="majorBidi"/>
          <w:szCs w:val="22"/>
          <w:lang w:val="en-US"/>
        </w:rPr>
        <w:t>London time, also known as WMR F</w:t>
      </w:r>
      <w:r w:rsidR="00F90CAB" w:rsidRPr="002F5246">
        <w:rPr>
          <w:rFonts w:asciiTheme="majorBidi" w:hAnsiTheme="majorBidi" w:cstheme="majorBidi"/>
          <w:szCs w:val="22"/>
          <w:lang w:val="en-US"/>
        </w:rPr>
        <w:t xml:space="preserve">ix </w:t>
      </w:r>
      <w:r w:rsidR="00B93A52" w:rsidRPr="002F5246">
        <w:rPr>
          <w:rFonts w:asciiTheme="majorBidi" w:hAnsiTheme="majorBidi" w:cstheme="majorBidi"/>
          <w:szCs w:val="22"/>
          <w:lang w:val="en-US"/>
        </w:rPr>
        <w:t>rate or London closing rate, “is by far the dominant benchmark being used, not just in FX, but also as a key input in multi-currency equity, bond, and credit indices” (FSB 2014).</w:t>
      </w:r>
      <w:r w:rsidR="0044230E" w:rsidRPr="002F5246">
        <w:rPr>
          <w:rFonts w:asciiTheme="majorBidi" w:hAnsiTheme="majorBidi" w:cstheme="majorBidi"/>
          <w:szCs w:val="22"/>
          <w:lang w:val="en-US"/>
        </w:rPr>
        <w:t xml:space="preserve"> Due to the prominence of this benchmark and in response t</w:t>
      </w:r>
      <w:r w:rsidRPr="002F5246">
        <w:rPr>
          <w:rFonts w:asciiTheme="majorBidi" w:hAnsiTheme="majorBidi" w:cstheme="majorBidi"/>
          <w:szCs w:val="22"/>
          <w:lang w:val="en-US"/>
        </w:rPr>
        <w:t>o the recent scandal in the FX F</w:t>
      </w:r>
      <w:r w:rsidR="0044230E" w:rsidRPr="002F5246">
        <w:rPr>
          <w:rFonts w:asciiTheme="majorBidi" w:hAnsiTheme="majorBidi" w:cstheme="majorBidi"/>
          <w:szCs w:val="22"/>
          <w:lang w:val="en-US"/>
        </w:rPr>
        <w:t>ix rate, HM Treasury in the UK has brought WMR and six other benchmarks</w:t>
      </w:r>
      <w:r w:rsidR="0056737F" w:rsidRPr="002F5246">
        <w:rPr>
          <w:rFonts w:asciiTheme="majorBidi" w:hAnsiTheme="majorBidi" w:cstheme="majorBidi"/>
          <w:szCs w:val="22"/>
          <w:lang w:val="en-US"/>
        </w:rPr>
        <w:t xml:space="preserve"> “into the regulatory perimeter [to] enable close and continuous supervision by the UK regulators, as well as providing specific powers of enforcement against those that manipulate these benchmarks”</w:t>
      </w:r>
      <w:r w:rsidR="00326FC4" w:rsidRPr="002F5246">
        <w:rPr>
          <w:rFonts w:asciiTheme="majorBidi" w:hAnsiTheme="majorBidi" w:cstheme="majorBidi"/>
          <w:szCs w:val="22"/>
          <w:lang w:val="en-US"/>
        </w:rPr>
        <w:t xml:space="preserve"> </w:t>
      </w:r>
      <w:r w:rsidR="00142630" w:rsidRPr="002F5246">
        <w:rPr>
          <w:rFonts w:asciiTheme="majorBidi" w:hAnsiTheme="majorBidi" w:cstheme="majorBidi"/>
          <w:szCs w:val="22"/>
          <w:lang w:val="en-US"/>
        </w:rPr>
        <w:t>(HM Treasury 2015)</w:t>
      </w:r>
      <w:r w:rsidR="00326FC4" w:rsidRPr="002F5246">
        <w:rPr>
          <w:rFonts w:asciiTheme="majorBidi" w:hAnsiTheme="majorBidi" w:cstheme="majorBidi"/>
          <w:szCs w:val="22"/>
          <w:lang w:val="en-US"/>
        </w:rPr>
        <w:t>.</w:t>
      </w:r>
      <w:r w:rsidR="004F3F9C" w:rsidRPr="002F5246">
        <w:rPr>
          <w:rStyle w:val="EndnoteReference"/>
          <w:rFonts w:asciiTheme="majorBidi" w:hAnsiTheme="majorBidi" w:cstheme="majorBidi"/>
          <w:szCs w:val="22"/>
          <w:lang w:val="en-US"/>
        </w:rPr>
        <w:endnoteReference w:id="14"/>
      </w:r>
      <w:r w:rsidR="00F96E63" w:rsidRPr="002F5246">
        <w:rPr>
          <w:rFonts w:asciiTheme="majorBidi" w:hAnsiTheme="majorBidi" w:cstheme="majorBidi"/>
          <w:szCs w:val="22"/>
          <w:lang w:val="en-US"/>
        </w:rPr>
        <w:t xml:space="preserve"> </w:t>
      </w:r>
    </w:p>
    <w:p w14:paraId="549B9B68" w14:textId="22CB4372" w:rsidR="0008729B" w:rsidRPr="002F5246" w:rsidRDefault="002E45F6" w:rsidP="00AF1792">
      <w:pPr>
        <w:pStyle w:val="Para2"/>
        <w:spacing w:line="480" w:lineRule="auto"/>
      </w:pPr>
      <w:r w:rsidRPr="002F5246">
        <w:t>T</w:t>
      </w:r>
      <w:r w:rsidR="00F056EB" w:rsidRPr="002F5246">
        <w:t>he F</w:t>
      </w:r>
      <w:r w:rsidR="00FC6F32" w:rsidRPr="002F5246">
        <w:t>ix rate is used in</w:t>
      </w:r>
      <w:r w:rsidR="00F056EB" w:rsidRPr="002F5246">
        <w:t xml:space="preserve"> a</w:t>
      </w:r>
      <w:r w:rsidR="00FC6F32" w:rsidRPr="002F5246">
        <w:t xml:space="preserve"> variety of financial benchmarks and</w:t>
      </w:r>
      <w:r w:rsidR="002841D2" w:rsidRPr="002F5246">
        <w:t xml:space="preserve"> </w:t>
      </w:r>
      <w:r w:rsidR="00F056EB" w:rsidRPr="002F5246">
        <w:t xml:space="preserve">by a </w:t>
      </w:r>
      <w:r w:rsidR="002841D2" w:rsidRPr="002F5246">
        <w:t>majority of</w:t>
      </w:r>
      <w:r w:rsidR="00FC6F32" w:rsidRPr="002F5246">
        <w:t xml:space="preserve"> </w:t>
      </w:r>
      <w:r w:rsidR="002841D2" w:rsidRPr="002F5246">
        <w:t>investment entities</w:t>
      </w:r>
      <w:r w:rsidR="00FC6F32" w:rsidRPr="002F5246">
        <w:t xml:space="preserve"> </w:t>
      </w:r>
      <w:r w:rsidRPr="002F5246">
        <w:t>that</w:t>
      </w:r>
      <w:r w:rsidR="00FC6F32" w:rsidRPr="002F5246">
        <w:t xml:space="preserve"> invest globally</w:t>
      </w:r>
      <w:r w:rsidR="00B1544E" w:rsidRPr="002F5246">
        <w:t xml:space="preserve"> such as asset managers (including ETFs and corporate end users), non-financial corpo</w:t>
      </w:r>
      <w:r w:rsidR="00400815" w:rsidRPr="002F5246">
        <w:t xml:space="preserve">rates, and index providers (FSB </w:t>
      </w:r>
      <w:r w:rsidR="00B1544E" w:rsidRPr="002F5246">
        <w:t>2014).</w:t>
      </w:r>
      <w:r w:rsidR="00AD1AAA" w:rsidRPr="002F5246">
        <w:t xml:space="preserve"> One of the reasons for the emergence and attractiveness of manipulating the fix rate is the process, at which trading at the fix price occurs, that allows firms to front-run their clients’ orders.</w:t>
      </w:r>
      <w:r w:rsidR="00E15A43" w:rsidRPr="002F5246">
        <w:t xml:space="preserve"> </w:t>
      </w:r>
      <w:r w:rsidR="00957076" w:rsidRPr="002F5246">
        <w:t xml:space="preserve">Due to the growth in demand for trading at </w:t>
      </w:r>
      <w:r w:rsidR="00BF6B14" w:rsidRPr="002F5246">
        <w:t xml:space="preserve">a </w:t>
      </w:r>
      <w:r w:rsidR="00957076" w:rsidRPr="002F5246">
        <w:t>fix</w:t>
      </w:r>
      <w:r w:rsidR="00BF6B14" w:rsidRPr="002F5246">
        <w:t>ed</w:t>
      </w:r>
      <w:r w:rsidR="00957076" w:rsidRPr="002F5246">
        <w:t xml:space="preserve"> rate and </w:t>
      </w:r>
      <w:r w:rsidR="00BF6B14" w:rsidRPr="002F5246">
        <w:t>a consequent</w:t>
      </w:r>
      <w:r w:rsidR="00957076" w:rsidRPr="002F5246">
        <w:t xml:space="preserve"> incr</w:t>
      </w:r>
      <w:r w:rsidR="00BF6B14" w:rsidRPr="002F5246">
        <w:t xml:space="preserve">ease in competition from </w:t>
      </w:r>
      <w:r w:rsidR="00957076" w:rsidRPr="002F5246">
        <w:t>bank</w:t>
      </w:r>
      <w:r w:rsidR="00BF6B14" w:rsidRPr="002F5246">
        <w:t>s</w:t>
      </w:r>
      <w:r w:rsidR="00957076" w:rsidRPr="002F5246">
        <w:t xml:space="preserve"> </w:t>
      </w:r>
      <w:r w:rsidR="00BF6B14" w:rsidRPr="002F5246">
        <w:t>for this business</w:t>
      </w:r>
      <w:r w:rsidR="00957076" w:rsidRPr="002F5246">
        <w:t xml:space="preserve">, FX dealers </w:t>
      </w:r>
      <w:r w:rsidR="00BF6B14" w:rsidRPr="002F5246">
        <w:t xml:space="preserve">have increasingly </w:t>
      </w:r>
      <w:r w:rsidR="00957076" w:rsidRPr="002F5246">
        <w:t>agree</w:t>
      </w:r>
      <w:r w:rsidR="00BF6B14" w:rsidRPr="002F5246">
        <w:t xml:space="preserve">d to buy from </w:t>
      </w:r>
      <w:r w:rsidR="00957076" w:rsidRPr="002F5246">
        <w:t>or sell to their client</w:t>
      </w:r>
      <w:r w:rsidR="00314854" w:rsidRPr="002F5246">
        <w:t>s</w:t>
      </w:r>
      <w:r w:rsidR="00957076" w:rsidRPr="002F5246">
        <w:t xml:space="preserve"> at </w:t>
      </w:r>
      <w:r w:rsidR="001F3CEF" w:rsidRPr="002F5246">
        <w:t xml:space="preserve">the </w:t>
      </w:r>
      <w:r w:rsidR="00957076" w:rsidRPr="002F5246">
        <w:t xml:space="preserve">mid-point </w:t>
      </w:r>
      <w:r w:rsidR="001F3CEF" w:rsidRPr="002F5246">
        <w:t xml:space="preserve">fix </w:t>
      </w:r>
      <w:r w:rsidR="00957076" w:rsidRPr="002F5246">
        <w:t xml:space="preserve">price, rather than applying </w:t>
      </w:r>
      <w:r w:rsidR="004163EF" w:rsidRPr="002F5246">
        <w:t xml:space="preserve">the </w:t>
      </w:r>
      <w:r w:rsidR="00957076" w:rsidRPr="002F5246">
        <w:t>spread.</w:t>
      </w:r>
      <w:r w:rsidR="00D07285" w:rsidRPr="002F5246">
        <w:t xml:space="preserve"> Prior to the determination of the mid-point fix price, clients place orders (with a predetermined currency, volume and direction) with a firm. The firm, by agreeing to transact with clients at the fix rate, that is yet to be determined, exposes itself to price movements at the fix. </w:t>
      </w:r>
      <w:r w:rsidR="00A87303" w:rsidRPr="002F5246">
        <w:t xml:space="preserve"> </w:t>
      </w:r>
      <w:r w:rsidR="00BF6B14" w:rsidRPr="002F5246">
        <w:t>In order to manage the</w:t>
      </w:r>
      <w:r w:rsidR="005E7CA1" w:rsidRPr="002F5246">
        <w:t xml:space="preserve"> ri</w:t>
      </w:r>
      <w:r w:rsidR="00BF6B14" w:rsidRPr="002F5246">
        <w:t>sk of trading at the mid-point F</w:t>
      </w:r>
      <w:r w:rsidR="005E7CA1" w:rsidRPr="002F5246">
        <w:t xml:space="preserve">ix rate, dealers </w:t>
      </w:r>
      <w:r w:rsidR="00D71CAD" w:rsidRPr="002F5246">
        <w:t xml:space="preserve">attempt to manage their risk </w:t>
      </w:r>
      <w:r w:rsidR="005E7CA1" w:rsidRPr="002F5246">
        <w:t xml:space="preserve">by trading before and around the fixing window. </w:t>
      </w:r>
      <w:r w:rsidR="006A3115" w:rsidRPr="002F5246">
        <w:t xml:space="preserve">A firm with a net client order to buy (sell) at the fix will make profit if the rate that it buys (sells) </w:t>
      </w:r>
      <w:r w:rsidR="006A3115" w:rsidRPr="002F5246">
        <w:lastRenderedPageBreak/>
        <w:t xml:space="preserve">the currency is below the fix rate that it sells to its clients (FCA 2015). </w:t>
      </w:r>
      <w:r w:rsidR="00326FC4" w:rsidRPr="002F5246">
        <w:t>It is clear</w:t>
      </w:r>
      <w:r w:rsidR="0096268E" w:rsidRPr="002F5246">
        <w:t xml:space="preserve"> that the </w:t>
      </w:r>
      <w:r w:rsidR="00BF6B14" w:rsidRPr="002F5246">
        <w:t>larger</w:t>
      </w:r>
      <w:r w:rsidR="0096268E" w:rsidRPr="002F5246">
        <w:t xml:space="preserve"> the </w:t>
      </w:r>
      <w:r w:rsidR="003B13FD" w:rsidRPr="002F5246">
        <w:t xml:space="preserve">size </w:t>
      </w:r>
      <w:r w:rsidR="000E4D30" w:rsidRPr="002F5246">
        <w:t>of a dealer</w:t>
      </w:r>
      <w:r w:rsidR="000F4A39" w:rsidRPr="002F5246">
        <w:t>’</w:t>
      </w:r>
      <w:r w:rsidR="000E4D30" w:rsidRPr="002F5246">
        <w:t>s clientele, the easier it will be</w:t>
      </w:r>
      <w:r w:rsidR="005E7CA1" w:rsidRPr="002F5246">
        <w:t>, for the dealer,</w:t>
      </w:r>
      <w:r w:rsidR="000E4D30" w:rsidRPr="002F5246">
        <w:t xml:space="preserve"> to </w:t>
      </w:r>
      <w:r w:rsidR="00BF6B14" w:rsidRPr="002F5246">
        <w:t>‘</w:t>
      </w:r>
      <w:r w:rsidR="000E4D30" w:rsidRPr="002F5246">
        <w:t>predict</w:t>
      </w:r>
      <w:r w:rsidR="00BF6B14" w:rsidRPr="002F5246">
        <w:t>’</w:t>
      </w:r>
      <w:r w:rsidR="000E4D30" w:rsidRPr="002F5246">
        <w:t xml:space="preserve"> the direction of the price movement. </w:t>
      </w:r>
    </w:p>
    <w:p w14:paraId="5D9F061D" w14:textId="50F7856F" w:rsidR="000102D5" w:rsidRPr="002F5246" w:rsidRDefault="00B1544E" w:rsidP="00CD3316">
      <w:pPr>
        <w:pStyle w:val="Para2"/>
        <w:spacing w:line="480" w:lineRule="auto"/>
      </w:pPr>
      <w:r w:rsidRPr="002F5246">
        <w:t>The</w:t>
      </w:r>
      <w:r w:rsidR="00BF6B14" w:rsidRPr="002F5246">
        <w:t xml:space="preserve"> WMR F</w:t>
      </w:r>
      <w:r w:rsidR="000102D5" w:rsidRPr="002F5246">
        <w:t xml:space="preserve">ix rate manipulation </w:t>
      </w:r>
      <w:r w:rsidR="00BF6B14" w:rsidRPr="002F5246">
        <w:t>scandal that</w:t>
      </w:r>
      <w:r w:rsidRPr="002F5246">
        <w:t xml:space="preserve"> unfolded </w:t>
      </w:r>
      <w:r w:rsidR="00BF6B14" w:rsidRPr="002F5246">
        <w:t xml:space="preserve">in </w:t>
      </w:r>
      <w:r w:rsidRPr="002F5246">
        <w:t>2014</w:t>
      </w:r>
      <w:r w:rsidR="00BF6B14" w:rsidRPr="002F5246">
        <w:t xml:space="preserve"> </w:t>
      </w:r>
      <w:r w:rsidR="000102D5" w:rsidRPr="002F5246">
        <w:t>shook the foundation of many banks. These investigatio</w:t>
      </w:r>
      <w:r w:rsidR="00BF6B14" w:rsidRPr="002F5246">
        <w:t xml:space="preserve">ns have resulted in the largest </w:t>
      </w:r>
      <w:r w:rsidR="009B0F01" w:rsidRPr="002F5246">
        <w:t xml:space="preserve">ever </w:t>
      </w:r>
      <w:r w:rsidR="00BF6B14" w:rsidRPr="002F5246">
        <w:t>fines</w:t>
      </w:r>
      <w:r w:rsidR="000102D5" w:rsidRPr="002F5246">
        <w:t xml:space="preserve"> imposed by regulators on a gro</w:t>
      </w:r>
      <w:r w:rsidR="009B0F01" w:rsidRPr="002F5246">
        <w:t xml:space="preserve">up of banks </w:t>
      </w:r>
      <w:r w:rsidR="00E22B37" w:rsidRPr="002F5246">
        <w:t>(Ring and</w:t>
      </w:r>
      <w:r w:rsidR="000102D5" w:rsidRPr="002F5246">
        <w:t xml:space="preserve"> </w:t>
      </w:r>
      <w:r w:rsidR="007414D0" w:rsidRPr="002F5246">
        <w:t>Vaughan</w:t>
      </w:r>
      <w:r w:rsidR="000102D5" w:rsidRPr="002F5246">
        <w:t xml:space="preserve"> 2014). </w:t>
      </w:r>
      <w:r w:rsidR="00BF6B14" w:rsidRPr="002F5246">
        <w:t xml:space="preserve">The </w:t>
      </w:r>
      <w:r w:rsidR="000102D5" w:rsidRPr="002F5246">
        <w:t>Bank of England fired its chief currency dealer, Martin Mallett, because of his failu</w:t>
      </w:r>
      <w:r w:rsidR="00BF6B14" w:rsidRPr="002F5246">
        <w:t xml:space="preserve">re </w:t>
      </w:r>
      <w:r w:rsidR="00314854" w:rsidRPr="002F5246">
        <w:t>to</w:t>
      </w:r>
      <w:r w:rsidR="00BF6B14" w:rsidRPr="002F5246">
        <w:t xml:space="preserve"> inform his superiors of the practice of sharing </w:t>
      </w:r>
      <w:r w:rsidR="000102D5" w:rsidRPr="002F5246">
        <w:t>client</w:t>
      </w:r>
      <w:r w:rsidR="00BF6B14" w:rsidRPr="002F5246">
        <w:t xml:space="preserve">s’ information </w:t>
      </w:r>
      <w:r w:rsidR="000102D5" w:rsidRPr="002F5246">
        <w:t xml:space="preserve">by traders (Vaughan and Hamilton 2014). </w:t>
      </w:r>
      <w:r w:rsidR="00B16377" w:rsidRPr="002F5246">
        <w:t xml:space="preserve">There </w:t>
      </w:r>
      <w:r w:rsidR="0040649E" w:rsidRPr="002F5246">
        <w:t xml:space="preserve">have been </w:t>
      </w:r>
      <w:r w:rsidR="00B16377" w:rsidRPr="002F5246">
        <w:t>many investigation</w:t>
      </w:r>
      <w:r w:rsidR="005B11DB" w:rsidRPr="002F5246">
        <w:t>s</w:t>
      </w:r>
      <w:r w:rsidR="00B16377" w:rsidRPr="002F5246">
        <w:t xml:space="preserve"> and law suits since 2014. More details of these investigations </w:t>
      </w:r>
      <w:r w:rsidR="00367763" w:rsidRPr="002F5246">
        <w:t>are</w:t>
      </w:r>
      <w:r w:rsidR="002C4AE7" w:rsidRPr="002F5246">
        <w:t xml:space="preserve"> discussed in section 4</w:t>
      </w:r>
      <w:r w:rsidR="00B16377" w:rsidRPr="002F5246">
        <w:t xml:space="preserve">. </w:t>
      </w:r>
    </w:p>
    <w:p w14:paraId="311DF72F" w14:textId="653C942B" w:rsidR="009613F7" w:rsidRPr="002F5246" w:rsidRDefault="00215A42" w:rsidP="00294834">
      <w:pPr>
        <w:pStyle w:val="Heading2"/>
        <w:rPr>
          <w:lang w:val="en-US"/>
        </w:rPr>
      </w:pPr>
      <w:r w:rsidRPr="002F5246">
        <w:rPr>
          <w:lang w:val="en-US"/>
        </w:rPr>
        <w:t>2.3</w:t>
      </w:r>
      <w:r w:rsidR="00B24AF8" w:rsidRPr="002F5246">
        <w:rPr>
          <w:lang w:val="en-US"/>
        </w:rPr>
        <w:t xml:space="preserve">. </w:t>
      </w:r>
      <w:r w:rsidR="00DA0CBE" w:rsidRPr="002F5246">
        <w:rPr>
          <w:lang w:val="en-US"/>
        </w:rPr>
        <w:t>Data</w:t>
      </w:r>
    </w:p>
    <w:p w14:paraId="57BB9A58" w14:textId="0919D667" w:rsidR="002023CA" w:rsidRPr="002F5246" w:rsidRDefault="00F41DD4" w:rsidP="00CA3FD7">
      <w:pPr>
        <w:pStyle w:val="Para2"/>
        <w:spacing w:line="480" w:lineRule="auto"/>
      </w:pPr>
      <w:r w:rsidRPr="002F5246">
        <w:t xml:space="preserve">We start our investigation by </w:t>
      </w:r>
      <w:r w:rsidR="002E5A75" w:rsidRPr="002F5246">
        <w:t xml:space="preserve">constructing </w:t>
      </w:r>
      <w:r w:rsidRPr="002F5246">
        <w:t xml:space="preserve">a unique high frequency dataset, accurate to a </w:t>
      </w:r>
      <w:r w:rsidR="005A05F3" w:rsidRPr="002F5246">
        <w:t>millisecond that</w:t>
      </w:r>
      <w:r w:rsidR="0035614F" w:rsidRPr="002F5246">
        <w:t xml:space="preserve"> contains dealers’ identities</w:t>
      </w:r>
      <w:r w:rsidRPr="002F5246">
        <w:t xml:space="preserve">. We collected our dataset from </w:t>
      </w:r>
      <w:r w:rsidR="00326FC4" w:rsidRPr="002F5246">
        <w:t>the Thomson Reuters</w:t>
      </w:r>
      <w:r w:rsidRPr="002F5246">
        <w:t xml:space="preserve"> platform. Our dataset contains quotes from EUR</w:t>
      </w:r>
      <w:r w:rsidR="00CA3FD7" w:rsidRPr="002F5246">
        <w:t>:</w:t>
      </w:r>
      <w:r w:rsidRPr="002F5246">
        <w:t>GBP, EUR</w:t>
      </w:r>
      <w:r w:rsidR="00CA3FD7" w:rsidRPr="002F5246">
        <w:t>:</w:t>
      </w:r>
      <w:r w:rsidRPr="002F5246">
        <w:t>JPY, EUR</w:t>
      </w:r>
      <w:r w:rsidR="00CA3FD7" w:rsidRPr="002F5246">
        <w:t>:</w:t>
      </w:r>
      <w:r w:rsidRPr="002F5246">
        <w:t>USD, GBP</w:t>
      </w:r>
      <w:r w:rsidR="00CA3FD7" w:rsidRPr="002F5246">
        <w:t>:</w:t>
      </w:r>
      <w:r w:rsidRPr="002F5246">
        <w:t>USD, and USD</w:t>
      </w:r>
      <w:r w:rsidR="00CA3FD7" w:rsidRPr="002F5246">
        <w:t>:</w:t>
      </w:r>
      <w:r w:rsidRPr="002F5246">
        <w:t>JPY. The dataset spans from April 2</w:t>
      </w:r>
      <w:r w:rsidRPr="002F5246">
        <w:rPr>
          <w:vertAlign w:val="superscript"/>
        </w:rPr>
        <w:t>nd</w:t>
      </w:r>
      <w:r w:rsidR="009B0F01" w:rsidRPr="002F5246">
        <w:t xml:space="preserve">, 2013 to </w:t>
      </w:r>
      <w:r w:rsidRPr="002F5246">
        <w:t>March 27</w:t>
      </w:r>
      <w:r w:rsidRPr="002F5246">
        <w:rPr>
          <w:vertAlign w:val="superscript"/>
        </w:rPr>
        <w:t>th</w:t>
      </w:r>
      <w:r w:rsidR="005F774B" w:rsidRPr="002F5246">
        <w:t>, 2014</w:t>
      </w:r>
      <w:r w:rsidRPr="002F5246">
        <w:t>.</w:t>
      </w:r>
      <w:r w:rsidR="00B04AAB" w:rsidRPr="002F5246">
        <w:t xml:space="preserve"> </w:t>
      </w:r>
      <w:r w:rsidR="007567C9" w:rsidRPr="002F5246">
        <w:t>T</w:t>
      </w:r>
      <w:r w:rsidR="00B04AAB" w:rsidRPr="002F5246">
        <w:t>here are 92 dealers from 5 continents, 42 countries and 49 cities that form 104 dealer-locations</w:t>
      </w:r>
      <w:r w:rsidR="009B0F01" w:rsidRPr="002F5246">
        <w:t xml:space="preserve"> – of </w:t>
      </w:r>
      <w:r w:rsidR="00B04AAB" w:rsidRPr="002F5246">
        <w:t xml:space="preserve">which 69 are active around the fixing window. </w:t>
      </w:r>
    </w:p>
    <w:p w14:paraId="00764431" w14:textId="054312AC" w:rsidR="00312055" w:rsidRPr="002F5246" w:rsidRDefault="004115A0" w:rsidP="00B1586D">
      <w:pPr>
        <w:pStyle w:val="Para2"/>
        <w:spacing w:line="480" w:lineRule="auto"/>
      </w:pPr>
      <w:r w:rsidRPr="002F5246">
        <w:t xml:space="preserve">Table 1 </w:t>
      </w:r>
      <w:r w:rsidR="00E52E53" w:rsidRPr="002F5246">
        <w:t xml:space="preserve">reports the descriptive statistics of our dataset of the </w:t>
      </w:r>
      <w:r w:rsidR="00471896" w:rsidRPr="002F5246">
        <w:t>one-minute</w:t>
      </w:r>
      <w:r w:rsidR="00E52E53" w:rsidRPr="002F5246">
        <w:t xml:space="preserve"> fixing window: from 15:59:30.000 to 16:00:30.000</w:t>
      </w:r>
      <w:r w:rsidR="0096516F" w:rsidRPr="002F5246">
        <w:t>.</w:t>
      </w:r>
      <w:r w:rsidR="00F96E63" w:rsidRPr="002F5246">
        <w:t xml:space="preserve"> </w:t>
      </w:r>
      <w:r w:rsidR="00E52E53" w:rsidRPr="002F5246">
        <w:t xml:space="preserve">It contains </w:t>
      </w:r>
      <w:r w:rsidR="00B10E20" w:rsidRPr="002F5246">
        <w:t xml:space="preserve">225 days with </w:t>
      </w:r>
      <w:r w:rsidR="00B1586D" w:rsidRPr="002F5246">
        <w:t xml:space="preserve">87,447 </w:t>
      </w:r>
      <w:r w:rsidR="00B10E20" w:rsidRPr="002F5246">
        <w:t xml:space="preserve">quotes in total for all the </w:t>
      </w:r>
      <w:r w:rsidR="007A6F5B" w:rsidRPr="002F5246">
        <w:t xml:space="preserve">five </w:t>
      </w:r>
      <w:r w:rsidR="00B10E20" w:rsidRPr="002F5246">
        <w:t xml:space="preserve">currency pairs. </w:t>
      </w:r>
      <w:r w:rsidR="002A0AD1" w:rsidRPr="002F5246">
        <w:t>GBP:USD</w:t>
      </w:r>
      <w:r w:rsidR="00B10E20" w:rsidRPr="002F5246">
        <w:t xml:space="preserve"> is the most active currency with </w:t>
      </w:r>
      <w:r w:rsidR="00E52E53" w:rsidRPr="002F5246">
        <w:t xml:space="preserve">an average of </w:t>
      </w:r>
      <w:r w:rsidR="002A0AD1" w:rsidRPr="002F5246">
        <w:t>9</w:t>
      </w:r>
      <w:r w:rsidR="00B1586D" w:rsidRPr="002F5246">
        <w:t>2</w:t>
      </w:r>
      <w:r w:rsidR="002A0AD1" w:rsidRPr="002F5246">
        <w:t xml:space="preserve"> </w:t>
      </w:r>
      <w:r w:rsidR="00E52E53" w:rsidRPr="002F5246">
        <w:t>quotes per day</w:t>
      </w:r>
      <w:r w:rsidR="00B1586D" w:rsidRPr="002F5246">
        <w:t>, within the fixing window</w:t>
      </w:r>
      <w:r w:rsidR="00367763" w:rsidRPr="002F5246">
        <w:t>,</w:t>
      </w:r>
      <w:r w:rsidR="00E52E53" w:rsidRPr="002F5246">
        <w:t xml:space="preserve"> </w:t>
      </w:r>
      <w:r w:rsidR="00B10E20" w:rsidRPr="002F5246">
        <w:t>while USD</w:t>
      </w:r>
      <w:r w:rsidR="002A0AD1" w:rsidRPr="002F5246">
        <w:t>:</w:t>
      </w:r>
      <w:r w:rsidR="00B10E20" w:rsidRPr="002F5246">
        <w:t xml:space="preserve">JPY is the least active with </w:t>
      </w:r>
      <w:r w:rsidR="001B3AD4" w:rsidRPr="002F5246">
        <w:t xml:space="preserve">an average </w:t>
      </w:r>
      <w:r w:rsidR="00326FC4" w:rsidRPr="002F5246">
        <w:t xml:space="preserve">of </w:t>
      </w:r>
      <w:r w:rsidR="00B10E20" w:rsidRPr="002F5246">
        <w:t xml:space="preserve">72 quotes per day. </w:t>
      </w:r>
      <w:r w:rsidR="00B1586D" w:rsidRPr="002F5246">
        <w:t xml:space="preserve">These statistics show </w:t>
      </w:r>
      <w:r w:rsidR="001B3AD4" w:rsidRPr="002F5246">
        <w:t>that for</w:t>
      </w:r>
      <w:r w:rsidR="00B10E20" w:rsidRPr="002F5246">
        <w:t xml:space="preserve"> all currency pairs more than one quote per second is disseminated</w:t>
      </w:r>
      <w:r w:rsidR="00B1586D" w:rsidRPr="002F5246">
        <w:t xml:space="preserve"> that demonstrates the high frequency nature of these currency pairs</w:t>
      </w:r>
      <w:r w:rsidR="00B10E20" w:rsidRPr="002F5246">
        <w:t>.</w:t>
      </w:r>
      <w:r w:rsidR="00F96E63" w:rsidRPr="002F5246">
        <w:t xml:space="preserve"> </w:t>
      </w:r>
    </w:p>
    <w:p w14:paraId="7FDA2342" w14:textId="77777777" w:rsidR="00067E74" w:rsidRPr="002F5246" w:rsidRDefault="00067E74" w:rsidP="001371F8">
      <w:pPr>
        <w:pStyle w:val="Para2"/>
        <w:spacing w:line="480" w:lineRule="auto"/>
        <w:jc w:val="center"/>
      </w:pPr>
    </w:p>
    <w:p w14:paraId="792FFAAA" w14:textId="40BF2423" w:rsidR="001371F8" w:rsidRPr="002F5246" w:rsidRDefault="001371F8" w:rsidP="001371F8">
      <w:pPr>
        <w:pStyle w:val="Para2"/>
        <w:spacing w:line="480" w:lineRule="auto"/>
        <w:jc w:val="center"/>
      </w:pPr>
      <w:r w:rsidRPr="002F5246">
        <w:t>[Table 1 Here]</w:t>
      </w:r>
    </w:p>
    <w:p w14:paraId="4DF51CDF" w14:textId="77777777" w:rsidR="00B21FCA" w:rsidRPr="002F5246" w:rsidRDefault="00B21FCA" w:rsidP="006020D2">
      <w:pPr>
        <w:pStyle w:val="Para2"/>
      </w:pPr>
    </w:p>
    <w:p w14:paraId="280B03EF" w14:textId="0E9E193F" w:rsidR="00B21FCA" w:rsidRPr="002F5246" w:rsidRDefault="00B10E20" w:rsidP="00CD3316">
      <w:pPr>
        <w:pStyle w:val="Para2"/>
        <w:spacing w:line="480" w:lineRule="auto"/>
      </w:pPr>
      <w:r w:rsidRPr="002F5246">
        <w:t xml:space="preserve"> </w:t>
      </w:r>
      <w:r w:rsidR="00C304F4" w:rsidRPr="002F5246">
        <w:t>For dealer</w:t>
      </w:r>
      <w:r w:rsidR="006359E3" w:rsidRPr="002F5246">
        <w:t xml:space="preserve"> information, </w:t>
      </w:r>
      <w:r w:rsidR="00312055" w:rsidRPr="002F5246">
        <w:t>the Dealers/Locations column depicts the total number of unique dealers/location</w:t>
      </w:r>
      <w:r w:rsidR="00326FC4" w:rsidRPr="002F5246">
        <w:t>s</w:t>
      </w:r>
      <w:r w:rsidR="00312055" w:rsidRPr="002F5246">
        <w:t xml:space="preserve"> in our dataset. The reason for distinguishing between the branches of the same dealers in different locations is due to their different characteristics. For </w:t>
      </w:r>
      <w:r w:rsidR="00852BCD" w:rsidRPr="002F5246">
        <w:t>instance,</w:t>
      </w:r>
      <w:r w:rsidR="00312055" w:rsidRPr="002F5246">
        <w:t xml:space="preserve"> </w:t>
      </w:r>
      <w:r w:rsidR="00C304F4" w:rsidRPr="002F5246">
        <w:t xml:space="preserve">the </w:t>
      </w:r>
      <w:r w:rsidR="00312055" w:rsidRPr="002F5246">
        <w:t xml:space="preserve">Royal Bank of Scotland </w:t>
      </w:r>
      <w:r w:rsidR="00FF797F" w:rsidRPr="002F5246">
        <w:t xml:space="preserve">(RBS) </w:t>
      </w:r>
      <w:r w:rsidR="00312055" w:rsidRPr="002F5246">
        <w:t>has two branches, one in New York and one in London. The London branch is active from 8am to 4pm GMT time while the one in New York is active around the clock.</w:t>
      </w:r>
      <w:r w:rsidR="00F96E63" w:rsidRPr="002F5246">
        <w:t xml:space="preserve"> </w:t>
      </w:r>
      <w:r w:rsidR="00312055" w:rsidRPr="002F5246">
        <w:t xml:space="preserve">In total, </w:t>
      </w:r>
      <w:r w:rsidRPr="002F5246">
        <w:t xml:space="preserve">there are 69 unique </w:t>
      </w:r>
      <w:r w:rsidR="006359E3" w:rsidRPr="002F5246">
        <w:t>dealer/l</w:t>
      </w:r>
      <w:r w:rsidR="00C304F4" w:rsidRPr="002F5246">
        <w:t>ocations across 37 cities in our dataset</w:t>
      </w:r>
      <w:r w:rsidRPr="002F5246">
        <w:t>. For more information regarding the dealers, their locations, a</w:t>
      </w:r>
      <w:r w:rsidR="00326FC4" w:rsidRPr="002F5246">
        <w:t xml:space="preserve">nd the currency pairs </w:t>
      </w:r>
      <w:r w:rsidRPr="002F5246">
        <w:t xml:space="preserve">they are active in, see </w:t>
      </w:r>
      <w:r w:rsidR="001C09B8" w:rsidRPr="002F5246">
        <w:t>the a</w:t>
      </w:r>
      <w:r w:rsidRPr="002F5246">
        <w:t xml:space="preserve">ppendix. </w:t>
      </w:r>
    </w:p>
    <w:p w14:paraId="2D988197" w14:textId="2C31ADB2" w:rsidR="00F530BD" w:rsidRPr="002F5246" w:rsidRDefault="00215A42" w:rsidP="00986175">
      <w:pPr>
        <w:pStyle w:val="Heading1"/>
        <w:rPr>
          <w:lang w:val="en-US"/>
        </w:rPr>
      </w:pPr>
      <w:r w:rsidRPr="002F5246">
        <w:rPr>
          <w:lang w:val="en-US"/>
        </w:rPr>
        <w:t>3</w:t>
      </w:r>
      <w:r w:rsidR="00B24AF8" w:rsidRPr="002F5246">
        <w:rPr>
          <w:lang w:val="en-US"/>
        </w:rPr>
        <w:t xml:space="preserve">. </w:t>
      </w:r>
      <w:r w:rsidR="00A42B75" w:rsidRPr="002F5246">
        <w:rPr>
          <w:lang w:val="en-US"/>
        </w:rPr>
        <w:t>The Manipulation Intention Index (ManIx)</w:t>
      </w:r>
    </w:p>
    <w:p w14:paraId="5B7444E7" w14:textId="022E912D" w:rsidR="00117B15" w:rsidRPr="002F5246" w:rsidRDefault="00520724" w:rsidP="00A525D0">
      <w:pPr>
        <w:pStyle w:val="para1"/>
        <w:ind w:firstLine="720"/>
        <w:rPr>
          <w:rFonts w:asciiTheme="majorBidi" w:hAnsiTheme="majorBidi" w:cstheme="majorBidi"/>
          <w:szCs w:val="22"/>
          <w:lang w:val="en-US"/>
        </w:rPr>
      </w:pPr>
      <w:r w:rsidRPr="002F5246">
        <w:rPr>
          <w:rFonts w:asciiTheme="majorBidi" w:hAnsiTheme="majorBidi" w:cstheme="majorBidi"/>
          <w:szCs w:val="22"/>
          <w:lang w:val="en-US"/>
        </w:rPr>
        <w:t>To search</w:t>
      </w:r>
      <w:r w:rsidR="00C47685" w:rsidRPr="002F5246">
        <w:rPr>
          <w:rFonts w:asciiTheme="majorBidi" w:hAnsiTheme="majorBidi" w:cstheme="majorBidi"/>
          <w:szCs w:val="22"/>
          <w:lang w:val="en-US"/>
        </w:rPr>
        <w:t xml:space="preserve"> and identify </w:t>
      </w:r>
      <w:r w:rsidR="00C304F4" w:rsidRPr="002F5246">
        <w:rPr>
          <w:rFonts w:asciiTheme="majorBidi" w:hAnsiTheme="majorBidi" w:cstheme="majorBidi"/>
          <w:szCs w:val="22"/>
          <w:lang w:val="en-US"/>
        </w:rPr>
        <w:t xml:space="preserve">the </w:t>
      </w:r>
      <w:r w:rsidRPr="002F5246">
        <w:rPr>
          <w:rFonts w:asciiTheme="majorBidi" w:hAnsiTheme="majorBidi" w:cstheme="majorBidi"/>
          <w:szCs w:val="22"/>
          <w:lang w:val="en-US"/>
        </w:rPr>
        <w:t>potential</w:t>
      </w:r>
      <w:r w:rsidR="00C47685" w:rsidRPr="002F5246">
        <w:rPr>
          <w:rFonts w:asciiTheme="majorBidi" w:hAnsiTheme="majorBidi" w:cstheme="majorBidi"/>
          <w:szCs w:val="22"/>
          <w:lang w:val="en-US"/>
        </w:rPr>
        <w:t xml:space="preserve">ly manipulative </w:t>
      </w:r>
      <w:r w:rsidR="00E9526B" w:rsidRPr="002F5246">
        <w:rPr>
          <w:rFonts w:asciiTheme="majorBidi" w:hAnsiTheme="majorBidi" w:cstheme="majorBidi"/>
          <w:szCs w:val="22"/>
          <w:lang w:val="en-US"/>
        </w:rPr>
        <w:t>behavio</w:t>
      </w:r>
      <w:r w:rsidR="00A46662" w:rsidRPr="002F5246">
        <w:rPr>
          <w:rFonts w:asciiTheme="majorBidi" w:hAnsiTheme="majorBidi" w:cstheme="majorBidi"/>
          <w:szCs w:val="22"/>
          <w:lang w:val="en-US"/>
        </w:rPr>
        <w:t>r</w:t>
      </w:r>
      <w:r w:rsidRPr="002F5246">
        <w:rPr>
          <w:rFonts w:asciiTheme="majorBidi" w:hAnsiTheme="majorBidi" w:cstheme="majorBidi"/>
          <w:szCs w:val="22"/>
          <w:lang w:val="en-US"/>
        </w:rPr>
        <w:t xml:space="preserve"> of </w:t>
      </w:r>
      <w:r w:rsidR="00C47685" w:rsidRPr="002F5246">
        <w:rPr>
          <w:rFonts w:asciiTheme="majorBidi" w:hAnsiTheme="majorBidi" w:cstheme="majorBidi"/>
          <w:szCs w:val="22"/>
          <w:lang w:val="en-US"/>
        </w:rPr>
        <w:t>market participants</w:t>
      </w:r>
      <w:r w:rsidRPr="002F5246">
        <w:rPr>
          <w:rFonts w:asciiTheme="majorBidi" w:hAnsiTheme="majorBidi" w:cstheme="majorBidi"/>
          <w:szCs w:val="22"/>
          <w:lang w:val="en-US"/>
        </w:rPr>
        <w:t xml:space="preserve">, we begin by </w:t>
      </w:r>
      <w:r w:rsidR="00E54291" w:rsidRPr="002F5246">
        <w:rPr>
          <w:rFonts w:asciiTheme="majorBidi" w:hAnsiTheme="majorBidi" w:cstheme="majorBidi"/>
          <w:szCs w:val="22"/>
          <w:lang w:val="en-US"/>
        </w:rPr>
        <w:t>analyzing</w:t>
      </w:r>
      <w:r w:rsidR="00C47685" w:rsidRPr="002F5246">
        <w:rPr>
          <w:rFonts w:asciiTheme="majorBidi" w:hAnsiTheme="majorBidi" w:cstheme="majorBidi"/>
          <w:szCs w:val="22"/>
          <w:lang w:val="en-US"/>
        </w:rPr>
        <w:t xml:space="preserve"> </w:t>
      </w:r>
      <w:r w:rsidRPr="002F5246">
        <w:rPr>
          <w:rFonts w:asciiTheme="majorBidi" w:hAnsiTheme="majorBidi" w:cstheme="majorBidi"/>
          <w:szCs w:val="22"/>
          <w:lang w:val="en-US"/>
        </w:rPr>
        <w:t>the objective of</w:t>
      </w:r>
      <w:r w:rsidR="00C304F4" w:rsidRPr="002F5246">
        <w:rPr>
          <w:rFonts w:asciiTheme="majorBidi" w:hAnsiTheme="majorBidi" w:cstheme="majorBidi"/>
          <w:szCs w:val="22"/>
          <w:lang w:val="en-US"/>
        </w:rPr>
        <w:t xml:space="preserve"> </w:t>
      </w:r>
      <w:r w:rsidR="00576873" w:rsidRPr="002F5246">
        <w:rPr>
          <w:rFonts w:asciiTheme="majorBidi" w:hAnsiTheme="majorBidi" w:cstheme="majorBidi"/>
          <w:szCs w:val="22"/>
          <w:lang w:val="en-US"/>
        </w:rPr>
        <w:t>manipulati</w:t>
      </w:r>
      <w:r w:rsidR="00EC2F33" w:rsidRPr="002F5246">
        <w:rPr>
          <w:rFonts w:asciiTheme="majorBidi" w:hAnsiTheme="majorBidi" w:cstheme="majorBidi"/>
          <w:szCs w:val="22"/>
          <w:lang w:val="en-US"/>
        </w:rPr>
        <w:t xml:space="preserve">ve </w:t>
      </w:r>
      <w:r w:rsidR="00E9526B" w:rsidRPr="002F5246">
        <w:rPr>
          <w:rFonts w:asciiTheme="majorBidi" w:hAnsiTheme="majorBidi" w:cstheme="majorBidi"/>
          <w:szCs w:val="22"/>
          <w:lang w:val="en-US"/>
        </w:rPr>
        <w:t>behavio</w:t>
      </w:r>
      <w:r w:rsidR="00A46662" w:rsidRPr="002F5246">
        <w:rPr>
          <w:rFonts w:asciiTheme="majorBidi" w:hAnsiTheme="majorBidi" w:cstheme="majorBidi"/>
          <w:szCs w:val="22"/>
          <w:lang w:val="en-US"/>
        </w:rPr>
        <w:t>r</w:t>
      </w:r>
      <w:r w:rsidR="00576873" w:rsidRPr="002F5246">
        <w:rPr>
          <w:rFonts w:asciiTheme="majorBidi" w:hAnsiTheme="majorBidi" w:cstheme="majorBidi"/>
          <w:szCs w:val="22"/>
          <w:lang w:val="en-US"/>
        </w:rPr>
        <w:t xml:space="preserve">. </w:t>
      </w:r>
      <w:r w:rsidR="00C8304B" w:rsidRPr="002F5246">
        <w:rPr>
          <w:rFonts w:asciiTheme="majorBidi" w:hAnsiTheme="majorBidi" w:cstheme="majorBidi"/>
          <w:szCs w:val="22"/>
          <w:lang w:val="en-US"/>
        </w:rPr>
        <w:t xml:space="preserve">We note that the outcome of the manipulation is </w:t>
      </w:r>
      <w:r w:rsidR="00227AC0" w:rsidRPr="002F5246">
        <w:rPr>
          <w:rFonts w:asciiTheme="majorBidi" w:hAnsiTheme="majorBidi" w:cstheme="majorBidi"/>
          <w:szCs w:val="22"/>
          <w:lang w:val="en-US"/>
        </w:rPr>
        <w:t>influenced</w:t>
      </w:r>
      <w:r w:rsidR="00C8304B" w:rsidRPr="002F5246">
        <w:rPr>
          <w:rFonts w:asciiTheme="majorBidi" w:hAnsiTheme="majorBidi" w:cstheme="majorBidi"/>
          <w:szCs w:val="22"/>
          <w:lang w:val="en-US"/>
        </w:rPr>
        <w:t xml:space="preserve"> by the fixing </w:t>
      </w:r>
      <w:r w:rsidRPr="002F5246">
        <w:rPr>
          <w:rFonts w:asciiTheme="majorBidi" w:hAnsiTheme="majorBidi" w:cstheme="majorBidi"/>
          <w:szCs w:val="22"/>
          <w:lang w:val="en-US"/>
        </w:rPr>
        <w:t>methodology.</w:t>
      </w:r>
      <w:r w:rsidR="00182E4B" w:rsidRPr="002F5246">
        <w:rPr>
          <w:rFonts w:asciiTheme="majorBidi" w:hAnsiTheme="majorBidi" w:cstheme="majorBidi"/>
          <w:szCs w:val="22"/>
          <w:lang w:val="en-US"/>
        </w:rPr>
        <w:t xml:space="preserve"> In order to calculate the fix price, WM Company capture</w:t>
      </w:r>
      <w:r w:rsidR="00E74A93" w:rsidRPr="002F5246">
        <w:rPr>
          <w:rFonts w:asciiTheme="majorBidi" w:hAnsiTheme="majorBidi" w:cstheme="majorBidi"/>
          <w:szCs w:val="22"/>
          <w:lang w:val="en-US"/>
        </w:rPr>
        <w:t>s</w:t>
      </w:r>
      <w:r w:rsidR="00182E4B" w:rsidRPr="002F5246">
        <w:rPr>
          <w:rFonts w:asciiTheme="majorBidi" w:hAnsiTheme="majorBidi" w:cstheme="majorBidi"/>
          <w:szCs w:val="22"/>
          <w:lang w:val="en-US"/>
        </w:rPr>
        <w:t xml:space="preserve"> snapshots of trades/quotes</w:t>
      </w:r>
      <w:r w:rsidR="00DA2A20" w:rsidRPr="002F5246">
        <w:rPr>
          <w:rFonts w:asciiTheme="majorBidi" w:hAnsiTheme="majorBidi" w:cstheme="majorBidi"/>
          <w:szCs w:val="22"/>
          <w:lang w:val="en-US"/>
        </w:rPr>
        <w:t>,</w:t>
      </w:r>
      <w:r w:rsidR="00182E4B" w:rsidRPr="002F5246">
        <w:rPr>
          <w:rFonts w:asciiTheme="majorBidi" w:hAnsiTheme="majorBidi" w:cstheme="majorBidi"/>
          <w:szCs w:val="22"/>
          <w:lang w:val="en-US"/>
        </w:rPr>
        <w:t xml:space="preserve"> </w:t>
      </w:r>
      <w:r w:rsidR="00DA2A20" w:rsidRPr="002F5246">
        <w:rPr>
          <w:rFonts w:asciiTheme="majorBidi" w:hAnsiTheme="majorBidi" w:cstheme="majorBidi"/>
          <w:szCs w:val="22"/>
          <w:lang w:val="en-US"/>
        </w:rPr>
        <w:t xml:space="preserve">for 60 seconds </w:t>
      </w:r>
      <w:r w:rsidR="005B33BF" w:rsidRPr="002F5246">
        <w:rPr>
          <w:rFonts w:asciiTheme="majorBidi" w:hAnsiTheme="majorBidi" w:cstheme="majorBidi"/>
          <w:szCs w:val="22"/>
          <w:lang w:val="en-US"/>
        </w:rPr>
        <w:t>centered</w:t>
      </w:r>
      <w:r w:rsidR="00DA2A20" w:rsidRPr="002F5246">
        <w:rPr>
          <w:rFonts w:asciiTheme="majorBidi" w:hAnsiTheme="majorBidi" w:cstheme="majorBidi"/>
          <w:szCs w:val="22"/>
          <w:lang w:val="en-US"/>
        </w:rPr>
        <w:t xml:space="preserve"> at 4pm GMT, </w:t>
      </w:r>
      <w:r w:rsidR="00182E4B" w:rsidRPr="002F5246">
        <w:rPr>
          <w:rFonts w:asciiTheme="majorBidi" w:hAnsiTheme="majorBidi" w:cstheme="majorBidi"/>
          <w:szCs w:val="22"/>
          <w:lang w:val="en-US"/>
        </w:rPr>
        <w:t>at the interval of one second. Then after validation of the captured snapshots the median</w:t>
      </w:r>
      <w:r w:rsidR="00E9526B" w:rsidRPr="002F5246">
        <w:rPr>
          <w:rFonts w:asciiTheme="majorBidi" w:hAnsiTheme="majorBidi" w:cstheme="majorBidi"/>
          <w:szCs w:val="22"/>
          <w:lang w:val="en-US"/>
        </w:rPr>
        <w:t>s</w:t>
      </w:r>
      <w:r w:rsidR="00182E4B" w:rsidRPr="002F5246">
        <w:rPr>
          <w:rFonts w:asciiTheme="majorBidi" w:hAnsiTheme="majorBidi" w:cstheme="majorBidi"/>
          <w:szCs w:val="22"/>
          <w:lang w:val="en-US"/>
        </w:rPr>
        <w:t xml:space="preserve"> of bid and ask prices are calculated and the minimum standard spread is applied to produce the final fix price</w:t>
      </w:r>
      <w:r w:rsidR="005B11DB" w:rsidRPr="002F5246">
        <w:rPr>
          <w:rFonts w:asciiTheme="majorBidi" w:hAnsiTheme="majorBidi" w:cstheme="majorBidi"/>
          <w:szCs w:val="22"/>
          <w:lang w:val="en-US"/>
        </w:rPr>
        <w:t xml:space="preserve"> (</w:t>
      </w:r>
      <w:r w:rsidR="00FA7135" w:rsidRPr="002F5246">
        <w:rPr>
          <w:rFonts w:asciiTheme="majorBidi" w:hAnsiTheme="majorBidi" w:cstheme="majorBidi"/>
          <w:szCs w:val="22"/>
          <w:lang w:val="en-US"/>
        </w:rPr>
        <w:t xml:space="preserve">The </w:t>
      </w:r>
      <w:r w:rsidR="005B11DB" w:rsidRPr="002F5246">
        <w:rPr>
          <w:rFonts w:asciiTheme="majorBidi" w:hAnsiTheme="majorBidi" w:cstheme="majorBidi"/>
          <w:szCs w:val="22"/>
          <w:lang w:val="en-US"/>
        </w:rPr>
        <w:t xml:space="preserve">WM </w:t>
      </w:r>
      <w:r w:rsidR="00182E4B" w:rsidRPr="002F5246">
        <w:rPr>
          <w:rFonts w:asciiTheme="majorBidi" w:hAnsiTheme="majorBidi" w:cstheme="majorBidi"/>
          <w:szCs w:val="22"/>
          <w:lang w:val="en-US"/>
        </w:rPr>
        <w:t>Company 2015).</w:t>
      </w:r>
      <w:r w:rsidR="00A525D0" w:rsidRPr="002F5246">
        <w:rPr>
          <w:rStyle w:val="EndnoteReference"/>
          <w:rFonts w:asciiTheme="majorBidi" w:hAnsiTheme="majorBidi" w:cstheme="majorBidi"/>
          <w:szCs w:val="22"/>
          <w:lang w:val="en-US"/>
        </w:rPr>
        <w:endnoteReference w:id="15"/>
      </w:r>
      <w:r w:rsidR="00F96E63" w:rsidRPr="002F5246">
        <w:rPr>
          <w:rFonts w:asciiTheme="majorBidi" w:hAnsiTheme="majorBidi" w:cstheme="majorBidi"/>
          <w:szCs w:val="22"/>
          <w:lang w:val="en-US"/>
        </w:rPr>
        <w:t xml:space="preserve"> </w:t>
      </w:r>
      <w:r w:rsidR="00641427" w:rsidRPr="002F5246">
        <w:rPr>
          <w:rFonts w:asciiTheme="majorBidi" w:hAnsiTheme="majorBidi" w:cstheme="majorBidi"/>
          <w:szCs w:val="22"/>
          <w:lang w:val="en-US"/>
        </w:rPr>
        <w:t>Thus</w:t>
      </w:r>
      <w:r w:rsidR="00182E4B" w:rsidRPr="002F5246">
        <w:rPr>
          <w:rFonts w:asciiTheme="majorBidi" w:hAnsiTheme="majorBidi" w:cstheme="majorBidi"/>
          <w:szCs w:val="22"/>
          <w:lang w:val="en-US"/>
        </w:rPr>
        <w:t>,</w:t>
      </w:r>
      <w:r w:rsidR="00641427" w:rsidRPr="002F5246">
        <w:rPr>
          <w:rFonts w:asciiTheme="majorBidi" w:hAnsiTheme="majorBidi" w:cstheme="majorBidi"/>
          <w:szCs w:val="22"/>
          <w:lang w:val="en-US"/>
        </w:rPr>
        <w:t xml:space="preserve"> a market participant who wishes to manipulate the fix rate should do so by manipulating the median price,</w:t>
      </w:r>
      <w:r w:rsidR="00182E4B" w:rsidRPr="002F5246">
        <w:rPr>
          <w:rFonts w:asciiTheme="majorBidi" w:hAnsiTheme="majorBidi" w:cstheme="majorBidi"/>
          <w:szCs w:val="22"/>
          <w:lang w:val="en-US"/>
        </w:rPr>
        <w:t xml:space="preserve"> </w:t>
      </w:r>
      <w:r w:rsidR="00641427" w:rsidRPr="002F5246">
        <w:rPr>
          <w:rFonts w:asciiTheme="majorBidi" w:hAnsiTheme="majorBidi" w:cstheme="majorBidi"/>
          <w:szCs w:val="22"/>
          <w:lang w:val="en-US"/>
        </w:rPr>
        <w:t xml:space="preserve">since it is </w:t>
      </w:r>
      <w:r w:rsidR="00182E4B" w:rsidRPr="002F5246">
        <w:rPr>
          <w:rFonts w:asciiTheme="majorBidi" w:hAnsiTheme="majorBidi" w:cstheme="majorBidi"/>
          <w:szCs w:val="22"/>
          <w:lang w:val="en-US"/>
        </w:rPr>
        <w:t xml:space="preserve">the most prominent element of the fix price </w:t>
      </w:r>
      <w:r w:rsidR="00641427" w:rsidRPr="002F5246">
        <w:rPr>
          <w:rFonts w:asciiTheme="majorBidi" w:hAnsiTheme="majorBidi" w:cstheme="majorBidi"/>
          <w:szCs w:val="22"/>
          <w:lang w:val="en-US"/>
        </w:rPr>
        <w:t>calculation process</w:t>
      </w:r>
      <w:r w:rsidR="00182E4B" w:rsidRPr="002F5246">
        <w:rPr>
          <w:rFonts w:asciiTheme="majorBidi" w:hAnsiTheme="majorBidi" w:cstheme="majorBidi"/>
          <w:szCs w:val="22"/>
          <w:lang w:val="en-US"/>
        </w:rPr>
        <w:t>.</w:t>
      </w:r>
      <w:r w:rsidR="00C8304B" w:rsidRPr="002F5246">
        <w:rPr>
          <w:rFonts w:asciiTheme="majorBidi" w:hAnsiTheme="majorBidi" w:cstheme="majorBidi"/>
          <w:szCs w:val="22"/>
          <w:lang w:val="en-US"/>
        </w:rPr>
        <w:t xml:space="preserve"> </w:t>
      </w:r>
    </w:p>
    <w:p w14:paraId="4339A059" w14:textId="2FF4A922" w:rsidR="003D3200" w:rsidRPr="002F5246" w:rsidRDefault="00117B15" w:rsidP="00AF1792">
      <w:pPr>
        <w:pStyle w:val="para1"/>
        <w:ind w:firstLine="720"/>
        <w:rPr>
          <w:rFonts w:asciiTheme="majorBidi" w:hAnsiTheme="majorBidi" w:cstheme="majorBidi"/>
          <w:szCs w:val="22"/>
          <w:lang w:val="en-US"/>
        </w:rPr>
      </w:pPr>
      <w:bookmarkStart w:id="3" w:name="_Hlk513795920"/>
      <w:r w:rsidRPr="002F5246">
        <w:rPr>
          <w:lang w:val="en-US"/>
        </w:rPr>
        <w:t xml:space="preserve">Since the fix rate calculation is based on the median of trades during the fixing window, traders who intend to manipulate the rate are aware that in order to put the highest possible pressure on the fix rate break their transactions into smaller trades (Vaughan et al 2013). Therefore, traders who intent to manipulate the fix are aware that placing large orders are less effective than breaking a large order to smaller orders. Furthermore, due to the validation process of the fix rate methodology </w:t>
      </w:r>
      <w:r w:rsidR="0050771D" w:rsidRPr="002F5246">
        <w:rPr>
          <w:lang w:val="en-US"/>
        </w:rPr>
        <w:t xml:space="preserve">and because the fix rate is calculated based on the median </w:t>
      </w:r>
      <w:r w:rsidR="0050771D" w:rsidRPr="002F5246">
        <w:rPr>
          <w:lang w:val="en-US"/>
        </w:rPr>
        <w:lastRenderedPageBreak/>
        <w:t xml:space="preserve">of the prices not the average, traders are aware that extreme trades or quotes cannot impact the fix rate. </w:t>
      </w:r>
    </w:p>
    <w:p w14:paraId="70E25F59" w14:textId="721F81B1" w:rsidR="009D46EE" w:rsidRPr="002F5246" w:rsidRDefault="00F03F2B" w:rsidP="00852BCD">
      <w:pPr>
        <w:pStyle w:val="para1"/>
        <w:ind w:firstLine="720"/>
        <w:rPr>
          <w:lang w:val="en-US"/>
        </w:rPr>
      </w:pPr>
      <w:r w:rsidRPr="002F5246">
        <w:rPr>
          <w:lang w:val="en-US"/>
        </w:rPr>
        <w:t xml:space="preserve">By having these characteristics of the fix rate methodology and </w:t>
      </w:r>
      <w:r w:rsidR="00B80071" w:rsidRPr="002F5246">
        <w:rPr>
          <w:lang w:val="en-US"/>
        </w:rPr>
        <w:t>behavior</w:t>
      </w:r>
      <w:r w:rsidRPr="002F5246">
        <w:rPr>
          <w:lang w:val="en-US"/>
        </w:rPr>
        <w:t xml:space="preserve"> of dealers around the fix rate, we design our algorithm accordingly.</w:t>
      </w:r>
      <w:bookmarkEnd w:id="3"/>
      <w:r w:rsidRPr="002F5246">
        <w:rPr>
          <w:lang w:val="en-US"/>
        </w:rPr>
        <w:t xml:space="preserve"> </w:t>
      </w:r>
      <w:r w:rsidR="003D3200" w:rsidRPr="002F5246">
        <w:rPr>
          <w:lang w:val="en-US"/>
        </w:rPr>
        <w:t xml:space="preserve">Our proposed </w:t>
      </w:r>
      <w:r w:rsidR="009D46EE" w:rsidRPr="002F5246">
        <w:rPr>
          <w:lang w:val="en-US"/>
        </w:rPr>
        <w:t xml:space="preserve">method for identifying manipulative behavior consists of two </w:t>
      </w:r>
      <w:r w:rsidR="00D77A51" w:rsidRPr="002F5246">
        <w:rPr>
          <w:lang w:val="en-US"/>
        </w:rPr>
        <w:t>phases</w:t>
      </w:r>
      <w:r w:rsidR="009D46EE" w:rsidRPr="002F5246">
        <w:rPr>
          <w:lang w:val="en-US"/>
        </w:rPr>
        <w:t xml:space="preserve">, identification and </w:t>
      </w:r>
      <w:r w:rsidR="003C6363" w:rsidRPr="002F5246">
        <w:rPr>
          <w:lang w:val="en-US"/>
        </w:rPr>
        <w:t>statistical verification</w:t>
      </w:r>
      <w:r w:rsidR="009D46EE" w:rsidRPr="002F5246">
        <w:rPr>
          <w:lang w:val="en-US"/>
        </w:rPr>
        <w:t xml:space="preserve">. The first </w:t>
      </w:r>
      <w:r w:rsidR="00D77A51" w:rsidRPr="002F5246">
        <w:rPr>
          <w:lang w:val="en-US"/>
        </w:rPr>
        <w:t>phase</w:t>
      </w:r>
      <w:r w:rsidR="009D46EE" w:rsidRPr="002F5246">
        <w:rPr>
          <w:lang w:val="en-US"/>
        </w:rPr>
        <w:t xml:space="preserve">, identification, </w:t>
      </w:r>
      <w:r w:rsidR="00375653" w:rsidRPr="002F5246">
        <w:rPr>
          <w:lang w:val="en-US"/>
        </w:rPr>
        <w:t>identif</w:t>
      </w:r>
      <w:r w:rsidR="003D3200" w:rsidRPr="002F5246">
        <w:rPr>
          <w:lang w:val="en-US"/>
        </w:rPr>
        <w:t>ies</w:t>
      </w:r>
      <w:r w:rsidR="00375653" w:rsidRPr="002F5246">
        <w:rPr>
          <w:lang w:val="en-US"/>
        </w:rPr>
        <w:t xml:space="preserve"> those quote updates that contribut</w:t>
      </w:r>
      <w:r w:rsidR="009D46EE" w:rsidRPr="002F5246">
        <w:rPr>
          <w:lang w:val="en-US"/>
        </w:rPr>
        <w:t>ed</w:t>
      </w:r>
      <w:r w:rsidR="00375653" w:rsidRPr="002F5246">
        <w:rPr>
          <w:lang w:val="en-US"/>
        </w:rPr>
        <w:t xml:space="preserve"> to </w:t>
      </w:r>
      <w:r w:rsidR="005A200B" w:rsidRPr="002F5246">
        <w:rPr>
          <w:lang w:val="en-US"/>
        </w:rPr>
        <w:t xml:space="preserve">the </w:t>
      </w:r>
      <w:r w:rsidR="00375653" w:rsidRPr="002F5246">
        <w:rPr>
          <w:lang w:val="en-US"/>
        </w:rPr>
        <w:t>move</w:t>
      </w:r>
      <w:r w:rsidR="005A200B" w:rsidRPr="002F5246">
        <w:rPr>
          <w:lang w:val="en-US"/>
        </w:rPr>
        <w:t>ment of</w:t>
      </w:r>
      <w:r w:rsidR="00D9300A" w:rsidRPr="002F5246">
        <w:rPr>
          <w:lang w:val="en-US"/>
        </w:rPr>
        <w:t xml:space="preserve"> the </w:t>
      </w:r>
      <w:r w:rsidR="001C1353" w:rsidRPr="002F5246">
        <w:rPr>
          <w:lang w:val="en-US"/>
        </w:rPr>
        <w:t>current</w:t>
      </w:r>
      <w:r w:rsidR="00D9300A" w:rsidRPr="002F5246">
        <w:rPr>
          <w:lang w:val="en-US"/>
        </w:rPr>
        <w:t xml:space="preserve"> media</w:t>
      </w:r>
      <w:r w:rsidR="008A5899" w:rsidRPr="002F5246">
        <w:rPr>
          <w:lang w:val="en-US"/>
        </w:rPr>
        <w:t>n</w:t>
      </w:r>
      <w:r w:rsidR="00D9300A" w:rsidRPr="002F5246">
        <w:rPr>
          <w:lang w:val="en-US"/>
        </w:rPr>
        <w:t xml:space="preserve"> </w:t>
      </w:r>
      <w:r w:rsidR="00375653" w:rsidRPr="002F5246">
        <w:rPr>
          <w:lang w:val="en-US"/>
        </w:rPr>
        <w:t>toward</w:t>
      </w:r>
      <w:r w:rsidR="005A200B" w:rsidRPr="002F5246">
        <w:rPr>
          <w:lang w:val="en-US"/>
        </w:rPr>
        <w:t>s</w:t>
      </w:r>
      <w:r w:rsidR="00D9300A" w:rsidRPr="002F5246">
        <w:rPr>
          <w:lang w:val="en-US"/>
        </w:rPr>
        <w:t xml:space="preserve"> the final median, where the </w:t>
      </w:r>
      <w:r w:rsidR="001C1353" w:rsidRPr="002F5246">
        <w:rPr>
          <w:lang w:val="en-US"/>
        </w:rPr>
        <w:t>current</w:t>
      </w:r>
      <w:r w:rsidR="00D9300A" w:rsidRPr="002F5246">
        <w:rPr>
          <w:lang w:val="en-US"/>
        </w:rPr>
        <w:t xml:space="preserve"> median is the median </w:t>
      </w:r>
      <w:r w:rsidR="008A5899" w:rsidRPr="002F5246">
        <w:rPr>
          <w:lang w:val="en-US"/>
        </w:rPr>
        <w:t>of the quotes since the start</w:t>
      </w:r>
      <w:r w:rsidR="00D9300A" w:rsidRPr="002F5246">
        <w:rPr>
          <w:lang w:val="en-US"/>
        </w:rPr>
        <w:t xml:space="preserve"> of the fixing </w:t>
      </w:r>
      <w:r w:rsidR="008A5899" w:rsidRPr="002F5246">
        <w:rPr>
          <w:lang w:val="en-US"/>
        </w:rPr>
        <w:t xml:space="preserve">period </w:t>
      </w:r>
      <w:r w:rsidR="00D9300A" w:rsidRPr="002F5246">
        <w:rPr>
          <w:lang w:val="en-US"/>
        </w:rPr>
        <w:t>up to the current quote.</w:t>
      </w:r>
      <w:r w:rsidR="00D77A51" w:rsidRPr="002F5246">
        <w:rPr>
          <w:lang w:val="en-US"/>
        </w:rPr>
        <w:t xml:space="preserve"> The idea behind this phase is that for every quote update, if a dealer has manipulation intention, the dealer strives to move the median towards the intended direction.</w:t>
      </w:r>
      <w:r w:rsidR="009D46EE" w:rsidRPr="002F5246">
        <w:rPr>
          <w:lang w:val="en-US"/>
        </w:rPr>
        <w:t xml:space="preserve"> The second </w:t>
      </w:r>
      <w:r w:rsidR="00D77A51" w:rsidRPr="002F5246">
        <w:rPr>
          <w:lang w:val="en-US"/>
        </w:rPr>
        <w:t>phase</w:t>
      </w:r>
      <w:r w:rsidR="009D46EE" w:rsidRPr="002F5246">
        <w:rPr>
          <w:lang w:val="en-US"/>
        </w:rPr>
        <w:t xml:space="preserve">, </w:t>
      </w:r>
      <w:r w:rsidR="003C6363" w:rsidRPr="002F5246">
        <w:rPr>
          <w:lang w:val="en-US"/>
        </w:rPr>
        <w:t>statistical verification</w:t>
      </w:r>
      <w:r w:rsidR="009D46EE" w:rsidRPr="002F5246">
        <w:rPr>
          <w:lang w:val="en-US"/>
        </w:rPr>
        <w:t xml:space="preserve">, determines whether </w:t>
      </w:r>
      <w:r w:rsidR="00D63B3E" w:rsidRPr="002F5246">
        <w:rPr>
          <w:lang w:val="en-US"/>
        </w:rPr>
        <w:t xml:space="preserve">the realized measures of manipulation intention </w:t>
      </w:r>
      <w:r w:rsidR="00284672" w:rsidRPr="002F5246">
        <w:rPr>
          <w:lang w:val="en-US"/>
        </w:rPr>
        <w:t>are</w:t>
      </w:r>
      <w:r w:rsidR="00D63B3E" w:rsidRPr="002F5246">
        <w:rPr>
          <w:lang w:val="en-US"/>
        </w:rPr>
        <w:t xml:space="preserve"> statistically significant.</w:t>
      </w:r>
      <w:r w:rsidR="00F96E63" w:rsidRPr="002F5246">
        <w:rPr>
          <w:lang w:val="en-US"/>
        </w:rPr>
        <w:t xml:space="preserve"> </w:t>
      </w:r>
    </w:p>
    <w:p w14:paraId="025D58C9" w14:textId="36389B68" w:rsidR="00887C04" w:rsidRPr="002F5246" w:rsidRDefault="00215A42" w:rsidP="00AB0FCA">
      <w:pPr>
        <w:pStyle w:val="Heading2"/>
        <w:rPr>
          <w:lang w:val="en-US"/>
        </w:rPr>
      </w:pPr>
      <w:r w:rsidRPr="002F5246">
        <w:rPr>
          <w:lang w:val="en-US"/>
        </w:rPr>
        <w:t>3.1</w:t>
      </w:r>
      <w:r w:rsidR="00305F2C" w:rsidRPr="002F5246">
        <w:rPr>
          <w:lang w:val="en-US"/>
        </w:rPr>
        <w:t xml:space="preserve">. </w:t>
      </w:r>
      <w:r w:rsidR="00D3334D" w:rsidRPr="002F5246">
        <w:rPr>
          <w:lang w:val="en-US"/>
        </w:rPr>
        <w:t>The Identification Phase</w:t>
      </w:r>
    </w:p>
    <w:p w14:paraId="22320A90" w14:textId="7CD266E0" w:rsidR="00A71537" w:rsidRPr="002F5246" w:rsidRDefault="00CA438B" w:rsidP="00CD3316">
      <w:pPr>
        <w:pStyle w:val="Para2"/>
        <w:spacing w:line="480" w:lineRule="auto"/>
      </w:pPr>
      <w:r w:rsidRPr="002F5246">
        <w:t xml:space="preserve">Our proposed methodology identifies those quote updates that are contributing to the movement of the </w:t>
      </w:r>
      <w:r w:rsidR="001C1353" w:rsidRPr="002F5246">
        <w:t>current</w:t>
      </w:r>
      <w:r w:rsidRPr="002F5246">
        <w:t xml:space="preserve"> median towards the final median, where the </w:t>
      </w:r>
      <w:r w:rsidR="001C1353" w:rsidRPr="002F5246">
        <w:t>current</w:t>
      </w:r>
      <w:r w:rsidRPr="002F5246">
        <w:t xml:space="preserve"> median is the median of the quotes since the start of the fixing period up to the current quote.</w:t>
      </w:r>
      <w:r w:rsidR="00F96E63" w:rsidRPr="002F5246">
        <w:t xml:space="preserve"> </w:t>
      </w:r>
      <w:r w:rsidRPr="002F5246">
        <w:t xml:space="preserve">The idea behind our methodology is that for every quote </w:t>
      </w:r>
      <w:r w:rsidRPr="002F5246">
        <w:rPr>
          <w:noProof/>
        </w:rPr>
        <w:t>update,</w:t>
      </w:r>
      <w:r w:rsidRPr="002F5246">
        <w:t xml:space="preserve"> if a dealer has manipulation intention, the dealer strives to move the median towards the intended direction. For successful manipulations, the realized medians would be a good proxy for dealers’ manipulation targets.</w:t>
      </w:r>
      <w:r w:rsidR="00F96E63" w:rsidRPr="002F5246">
        <w:t xml:space="preserve"> </w:t>
      </w:r>
      <w:r w:rsidRPr="002F5246">
        <w:t xml:space="preserve">Our methodology determines whether a set of quotes, disseminated by a dealer is placed strategically to move the Fix price. </w:t>
      </w:r>
      <w:r w:rsidRPr="002F5246">
        <w:rPr>
          <w:noProof/>
        </w:rPr>
        <w:t>Specifically</w:t>
      </w:r>
      <w:r w:rsidRPr="002F5246">
        <w:t xml:space="preserve"> we have two conditions to classify each quote</w:t>
      </w:r>
      <w:r w:rsidR="00D26850" w:rsidRPr="002F5246">
        <w:t xml:space="preserve"> as </w:t>
      </w:r>
      <w:r w:rsidR="00BD7949" w:rsidRPr="002F5246">
        <w:t xml:space="preserve">a </w:t>
      </w:r>
      <w:r w:rsidR="007615EB" w:rsidRPr="002F5246">
        <w:t>Potentially Manipulative Quote</w:t>
      </w:r>
      <w:r w:rsidR="00D95C11" w:rsidRPr="002F5246">
        <w:t xml:space="preserve"> (PMQ)</w:t>
      </w:r>
      <w:r w:rsidR="003C0DEC" w:rsidRPr="002F5246">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7749"/>
        <w:gridCol w:w="623"/>
      </w:tblGrid>
      <w:tr w:rsidR="00F11008" w:rsidRPr="002F5246" w14:paraId="5A9585D8" w14:textId="77777777" w:rsidTr="00FB3DAE">
        <w:trPr>
          <w:jc w:val="center"/>
        </w:trPr>
        <w:tc>
          <w:tcPr>
            <w:tcW w:w="675" w:type="dxa"/>
            <w:vAlign w:val="center"/>
          </w:tcPr>
          <w:p w14:paraId="065651FD" w14:textId="77777777" w:rsidR="00F11008" w:rsidRPr="002F5246" w:rsidRDefault="00F11008" w:rsidP="00067E74">
            <w:pPr>
              <w:pStyle w:val="Displayedequation"/>
              <w:rPr>
                <w:lang w:val="en-US" w:bidi="fa-IR"/>
              </w:rPr>
            </w:pPr>
          </w:p>
        </w:tc>
        <w:tc>
          <w:tcPr>
            <w:tcW w:w="7938" w:type="dxa"/>
            <w:vAlign w:val="center"/>
          </w:tcPr>
          <w:p w14:paraId="3893F867" w14:textId="5697D121" w:rsidR="00F11008" w:rsidRPr="002F5246" w:rsidRDefault="00015209" w:rsidP="00067E74">
            <w:pPr>
              <w:pStyle w:val="Displayedequation"/>
              <w:rPr>
                <w:lang w:val="en-US"/>
              </w:rPr>
            </w:pPr>
            <m:oMathPara>
              <m:oMath>
                <m:r>
                  <w:rPr>
                    <w:rFonts w:ascii="Cambria Math" w:hAnsi="Cambria Math"/>
                    <w:lang w:val="en-US"/>
                  </w:rPr>
                  <m:t>IF</m:t>
                </m:r>
                <m:d>
                  <m:dPr>
                    <m:begChr m:val="{"/>
                    <m:endChr m:val=""/>
                    <m:ctrlPr>
                      <w:rPr>
                        <w:rFonts w:ascii="Cambria Math" w:hAnsi="Cambria Math"/>
                        <w:lang w:val="en-US"/>
                      </w:rPr>
                    </m:ctrlPr>
                  </m:dPr>
                  <m:e>
                    <m:eqArr>
                      <m:eqArrPr>
                        <m:ctrlPr>
                          <w:rPr>
                            <w:rFonts w:ascii="Cambria Math" w:hAnsi="Cambria Math"/>
                            <w:lang w:val="en-US"/>
                          </w:rPr>
                        </m:ctrlPr>
                      </m:eqArrPr>
                      <m:e>
                        <m:r>
                          <w:rPr>
                            <w:rFonts w:ascii="Cambria Math" w:hAnsi="Cambria Math"/>
                            <w:lang w:val="en-US"/>
                          </w:rPr>
                          <m:t>S</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m</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m</m:t>
                                </m:r>
                              </m:sub>
                            </m:sSub>
                          </m:e>
                        </m:d>
                        <m:r>
                          <m:rPr>
                            <m:sty m:val="p"/>
                          </m:rPr>
                          <w:rPr>
                            <w:rFonts w:ascii="Cambria Math" w:hAnsi="Cambria Math"/>
                            <w:lang w:val="en-US"/>
                          </w:rPr>
                          <m:t>*</m:t>
                        </m:r>
                        <m:r>
                          <w:rPr>
                            <w:rFonts w:ascii="Cambria Math" w:hAnsi="Cambria Math"/>
                            <w:lang w:val="en-US"/>
                          </w:rPr>
                          <m:t>S</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m</m:t>
                                </m:r>
                              </m:sub>
                            </m:sSub>
                          </m:e>
                        </m:d>
                        <m:r>
                          <m:rPr>
                            <m:sty m:val="p"/>
                          </m:rPr>
                          <w:rPr>
                            <w:rFonts w:ascii="Cambria Math" w:hAnsi="Cambria Math"/>
                            <w:lang w:val="en-US"/>
                          </w:rPr>
                          <m:t>=1</m:t>
                        </m:r>
                      </m:e>
                      <m:e>
                        <m:r>
                          <m:rPr>
                            <m:sty m:val="bi"/>
                          </m:rPr>
                          <w:rPr>
                            <w:rFonts w:ascii="Cambria Math" w:hAnsi="Cambria Math"/>
                            <w:lang w:val="en-US"/>
                          </w:rPr>
                          <m:t>and</m:t>
                        </m:r>
                        <m:ctrlPr>
                          <w:rPr>
                            <w:rFonts w:ascii="Cambria Math" w:eastAsia="Cambria Math" w:hAnsi="Cambria Math"/>
                            <w:lang w:val="en-US"/>
                          </w:rPr>
                        </m:ctrlPr>
                      </m:e>
                      <m:e>
                        <m:r>
                          <m:rPr>
                            <m:sty m:val="p"/>
                          </m:rPr>
                          <w:rPr>
                            <w:rFonts w:ascii="Cambria Math" w:hAnsi="Cambria Math"/>
                            <w:lang w:val="en-US"/>
                          </w:rPr>
                          <m:t xml:space="preserve"> </m:t>
                        </m:r>
                        <m:r>
                          <w:rPr>
                            <w:rFonts w:ascii="Cambria Math" w:hAnsi="Cambria Math"/>
                            <w:lang w:val="en-US"/>
                          </w:rPr>
                          <m:t>S</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F</m:t>
                                </m:r>
                              </m:e>
                              <m:sub>
                                <m:r>
                                  <w:rPr>
                                    <w:rFonts w:ascii="Cambria Math" w:hAnsi="Cambria Math"/>
                                    <w:lang w:val="en-US"/>
                                  </w:rPr>
                                  <m:t>m</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C</m:t>
                                </m:r>
                              </m:e>
                              <m:sub>
                                <m:r>
                                  <w:rPr>
                                    <w:rFonts w:ascii="Cambria Math" w:hAnsi="Cambria Math"/>
                                    <w:lang w:val="en-US"/>
                                  </w:rPr>
                                  <m:t>m</m:t>
                                </m:r>
                              </m:sub>
                            </m:sSub>
                          </m:e>
                        </m:d>
                        <m:r>
                          <m:rPr>
                            <m:sty m:val="p"/>
                          </m:rPr>
                          <w:rPr>
                            <w:rFonts w:ascii="Cambria Math" w:hAnsi="Cambria Math"/>
                            <w:lang w:val="en-US"/>
                          </w:rPr>
                          <m:t>*</m:t>
                        </m:r>
                        <m:r>
                          <w:rPr>
                            <w:rFonts w:ascii="Cambria Math" w:hAnsi="Cambria Math"/>
                            <w:lang w:val="en-US"/>
                          </w:rPr>
                          <m:t>S</m:t>
                        </m:r>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t</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P</m:t>
                                </m:r>
                              </m:e>
                              <m:sub>
                                <m:r>
                                  <w:rPr>
                                    <w:rFonts w:ascii="Cambria Math" w:hAnsi="Cambria Math"/>
                                    <w:lang w:val="en-US"/>
                                  </w:rPr>
                                  <m:t>t</m:t>
                                </m:r>
                                <m:r>
                                  <m:rPr>
                                    <m:sty m:val="p"/>
                                  </m:rPr>
                                  <w:rPr>
                                    <w:rFonts w:ascii="Cambria Math" w:hAnsi="Cambria Math"/>
                                    <w:lang w:val="en-US"/>
                                  </w:rPr>
                                  <m:t>-1</m:t>
                                </m:r>
                              </m:sub>
                            </m:sSub>
                          </m:e>
                        </m:d>
                        <m:r>
                          <m:rPr>
                            <m:sty m:val="p"/>
                          </m:rPr>
                          <w:rPr>
                            <w:rFonts w:ascii="Cambria Math" w:hAnsi="Cambria Math"/>
                            <w:lang w:val="en-US"/>
                          </w:rPr>
                          <m:t>=1</m:t>
                        </m:r>
                      </m:e>
                    </m:eqArr>
                  </m:e>
                </m:d>
                <m:r>
                  <m:rPr>
                    <m:sty m:val="p"/>
                  </m:rPr>
                  <w:rPr>
                    <w:rFonts w:ascii="Cambria Math" w:hAnsi="Cambria Math"/>
                    <w:lang w:val="en-US"/>
                  </w:rPr>
                  <m:t xml:space="preserve"> </m:t>
                </m:r>
                <m:box>
                  <m:boxPr>
                    <m:opEmu m:val="1"/>
                    <m:ctrlPr>
                      <w:rPr>
                        <w:rFonts w:ascii="Cambria Math" w:hAnsi="Cambria Math"/>
                        <w:lang w:val="en-US"/>
                      </w:rPr>
                    </m:ctrlPr>
                  </m:boxPr>
                  <m:e>
                    <m:groupChr>
                      <m:groupChrPr>
                        <m:chr m:val="⇒"/>
                        <m:pos m:val="top"/>
                        <m:ctrlPr>
                          <w:rPr>
                            <w:rFonts w:ascii="Cambria Math" w:hAnsi="Cambria Math"/>
                            <w:lang w:val="en-US"/>
                          </w:rPr>
                        </m:ctrlPr>
                      </m:groupChrPr>
                      <m:e>
                        <m:r>
                          <m:rPr>
                            <m:sty m:val="p"/>
                          </m:rPr>
                          <w:rPr>
                            <w:rFonts w:ascii="Cambria Math" w:hAnsi="Cambria Math"/>
                            <w:lang w:val="en-US"/>
                          </w:rPr>
                          <m:t xml:space="preserve"> </m:t>
                        </m:r>
                      </m:e>
                    </m:groupChr>
                  </m:e>
                </m:box>
                <m:r>
                  <m:rPr>
                    <m:sty m:val="p"/>
                  </m:rPr>
                  <w:rPr>
                    <w:rFonts w:ascii="Cambria Math" w:hAnsi="Cambria Math"/>
                    <w:lang w:val="en-US"/>
                  </w:rPr>
                  <m:t xml:space="preserve"> </m:t>
                </m:r>
                <m:r>
                  <w:rPr>
                    <w:rFonts w:ascii="Cambria Math" w:hAnsi="Cambria Math"/>
                    <w:lang w:val="en-US"/>
                  </w:rPr>
                  <m:t>PMQ</m:t>
                </m:r>
                <m:r>
                  <m:rPr>
                    <m:sty m:val="p"/>
                  </m:rPr>
                  <w:rPr>
                    <w:rFonts w:ascii="Cambria Math" w:hAnsi="Cambria Math"/>
                    <w:lang w:val="en-US"/>
                  </w:rPr>
                  <m:t xml:space="preserve">=1, </m:t>
                </m:r>
                <m:r>
                  <w:rPr>
                    <w:rFonts w:ascii="Cambria Math" w:hAnsi="Cambria Math"/>
                    <w:lang w:val="en-US"/>
                  </w:rPr>
                  <m:t>otherwise</m:t>
                </m:r>
                <m:r>
                  <m:rPr>
                    <m:sty m:val="p"/>
                  </m:rPr>
                  <w:rPr>
                    <w:rFonts w:ascii="Cambria Math" w:hAnsi="Cambria Math"/>
                    <w:lang w:val="en-US"/>
                  </w:rPr>
                  <m:t xml:space="preserve"> </m:t>
                </m:r>
                <m:r>
                  <w:rPr>
                    <w:rFonts w:ascii="Cambria Math" w:hAnsi="Cambria Math"/>
                    <w:lang w:val="en-US"/>
                  </w:rPr>
                  <m:t>PMQ</m:t>
                </m:r>
                <m:r>
                  <m:rPr>
                    <m:sty m:val="p"/>
                  </m:rPr>
                  <w:rPr>
                    <w:rFonts w:ascii="Cambria Math" w:hAnsi="Cambria Math"/>
                    <w:lang w:val="en-US"/>
                  </w:rPr>
                  <m:t>=0</m:t>
                </m:r>
              </m:oMath>
            </m:oMathPara>
          </w:p>
        </w:tc>
        <w:tc>
          <w:tcPr>
            <w:tcW w:w="629" w:type="dxa"/>
            <w:vAlign w:val="center"/>
          </w:tcPr>
          <w:p w14:paraId="1FAD68AD" w14:textId="40E54C08" w:rsidR="00F11008" w:rsidRPr="002F5246" w:rsidRDefault="00F11008" w:rsidP="00067E74">
            <w:pPr>
              <w:pStyle w:val="Displayedequation"/>
              <w:rPr>
                <w:lang w:val="en-US" w:bidi="fa-IR"/>
              </w:rPr>
            </w:pPr>
            <w:r w:rsidRPr="002F5246">
              <w:rPr>
                <w:lang w:val="en-US" w:bidi="fa-IR"/>
              </w:rPr>
              <w:t>(</w:t>
            </w:r>
            <w:r w:rsidRPr="002F5246">
              <w:rPr>
                <w:lang w:val="en-US" w:bidi="fa-IR"/>
              </w:rPr>
              <w:fldChar w:fldCharType="begin"/>
            </w:r>
            <w:r w:rsidRPr="002F5246">
              <w:rPr>
                <w:lang w:val="en-US" w:bidi="fa-IR"/>
              </w:rPr>
              <w:instrText xml:space="preserve"> SEQ Eq \* MERGEFORMAT </w:instrText>
            </w:r>
            <w:r w:rsidRPr="002F5246">
              <w:rPr>
                <w:lang w:val="en-US" w:bidi="fa-IR"/>
              </w:rPr>
              <w:fldChar w:fldCharType="separate"/>
            </w:r>
            <w:r w:rsidR="00E65097" w:rsidRPr="002F5246">
              <w:rPr>
                <w:noProof/>
                <w:lang w:val="en-US" w:bidi="fa-IR"/>
              </w:rPr>
              <w:t>1</w:t>
            </w:r>
            <w:r w:rsidRPr="002F5246">
              <w:rPr>
                <w:lang w:val="en-US" w:bidi="fa-IR"/>
              </w:rPr>
              <w:fldChar w:fldCharType="end"/>
            </w:r>
            <w:r w:rsidRPr="002F5246">
              <w:rPr>
                <w:lang w:val="en-US" w:bidi="fa-IR"/>
              </w:rPr>
              <w:t>)</w:t>
            </w:r>
          </w:p>
        </w:tc>
      </w:tr>
    </w:tbl>
    <w:p w14:paraId="50D124C6" w14:textId="01FCF6EA" w:rsidR="00F11008" w:rsidRPr="002F5246" w:rsidRDefault="007615EB" w:rsidP="00CD3316">
      <w:pPr>
        <w:pStyle w:val="para1"/>
        <w:ind w:firstLine="720"/>
        <w:rPr>
          <w:rFonts w:asciiTheme="majorBidi" w:hAnsiTheme="majorBidi" w:cstheme="majorBidi"/>
          <w:szCs w:val="22"/>
          <w:lang w:val="en-US"/>
        </w:rPr>
      </w:pPr>
      <w:r w:rsidRPr="002F5246">
        <w:rPr>
          <w:rFonts w:asciiTheme="majorBidi" w:hAnsiTheme="majorBidi" w:cstheme="majorBidi"/>
          <w:szCs w:val="22"/>
          <w:lang w:val="en-US"/>
        </w:rPr>
        <w:lastRenderedPageBreak/>
        <w:t>W</w:t>
      </w:r>
      <w:r w:rsidR="00F11008" w:rsidRPr="002F5246">
        <w:rPr>
          <w:rFonts w:asciiTheme="majorBidi" w:hAnsiTheme="majorBidi" w:cstheme="majorBidi"/>
          <w:szCs w:val="22"/>
          <w:lang w:val="en-US"/>
        </w:rPr>
        <w:t xml:space="preserve">here </w:t>
      </w:r>
      <w:r w:rsidR="007864AB" w:rsidRPr="002F5246">
        <w:rPr>
          <w:rFonts w:asciiTheme="majorBidi" w:hAnsiTheme="majorBidi" w:cstheme="majorBidi"/>
          <w:szCs w:val="22"/>
          <w:lang w:val="en-US"/>
        </w:rPr>
        <w:t>F</w:t>
      </w:r>
      <w:r w:rsidR="007864AB" w:rsidRPr="002F5246">
        <w:rPr>
          <w:rFonts w:asciiTheme="majorBidi" w:hAnsiTheme="majorBidi" w:cstheme="majorBidi"/>
          <w:szCs w:val="22"/>
          <w:vertAlign w:val="subscript"/>
          <w:lang w:val="en-US"/>
        </w:rPr>
        <w:t>m</w:t>
      </w:r>
      <w:r w:rsidR="00AD7D1B" w:rsidRPr="002F5246">
        <w:rPr>
          <w:rFonts w:asciiTheme="majorBidi" w:hAnsiTheme="majorBidi" w:cstheme="majorBidi"/>
          <w:szCs w:val="22"/>
          <w:lang w:val="en-US"/>
        </w:rPr>
        <w:t xml:space="preserve">, </w:t>
      </w:r>
      <w:r w:rsidR="00A61190" w:rsidRPr="002F5246">
        <w:rPr>
          <w:rFonts w:asciiTheme="majorBidi" w:hAnsiTheme="majorBidi" w:cstheme="majorBidi"/>
          <w:szCs w:val="22"/>
          <w:lang w:val="en-US"/>
        </w:rPr>
        <w:t>C</w:t>
      </w:r>
      <w:r w:rsidR="00A61190" w:rsidRPr="002F5246">
        <w:rPr>
          <w:rFonts w:asciiTheme="majorBidi" w:hAnsiTheme="majorBidi" w:cstheme="majorBidi"/>
          <w:szCs w:val="22"/>
          <w:vertAlign w:val="subscript"/>
          <w:lang w:val="en-US"/>
        </w:rPr>
        <w:t>m</w:t>
      </w:r>
      <w:r w:rsidR="00AD7D1B" w:rsidRPr="002F5246">
        <w:rPr>
          <w:rFonts w:asciiTheme="majorBidi" w:hAnsiTheme="majorBidi" w:cstheme="majorBidi"/>
          <w:szCs w:val="22"/>
          <w:lang w:val="en-US"/>
        </w:rPr>
        <w:t>, P</w:t>
      </w:r>
      <w:r w:rsidR="00AD7D1B" w:rsidRPr="002F5246">
        <w:rPr>
          <w:rFonts w:asciiTheme="majorBidi" w:hAnsiTheme="majorBidi" w:cstheme="majorBidi"/>
          <w:szCs w:val="22"/>
          <w:vertAlign w:val="subscript"/>
          <w:lang w:val="en-US"/>
        </w:rPr>
        <w:t>t</w:t>
      </w:r>
      <w:r w:rsidR="00AD7D1B" w:rsidRPr="002F5246">
        <w:rPr>
          <w:rFonts w:asciiTheme="majorBidi" w:hAnsiTheme="majorBidi" w:cstheme="majorBidi"/>
          <w:szCs w:val="22"/>
          <w:lang w:val="en-US"/>
        </w:rPr>
        <w:t xml:space="preserve">, </w:t>
      </w:r>
      <w:r w:rsidR="00083FD0" w:rsidRPr="002F5246">
        <w:rPr>
          <w:rFonts w:asciiTheme="majorBidi" w:hAnsiTheme="majorBidi" w:cstheme="majorBidi"/>
          <w:szCs w:val="22"/>
          <w:lang w:val="en-US"/>
        </w:rPr>
        <w:t xml:space="preserve">and </w:t>
      </w:r>
      <w:r w:rsidR="00AD7D1B" w:rsidRPr="002F5246">
        <w:rPr>
          <w:rFonts w:asciiTheme="majorBidi" w:hAnsiTheme="majorBidi" w:cstheme="majorBidi"/>
          <w:szCs w:val="22"/>
          <w:lang w:val="en-US"/>
        </w:rPr>
        <w:t>P</w:t>
      </w:r>
      <w:r w:rsidR="00AD7D1B" w:rsidRPr="002F5246">
        <w:rPr>
          <w:rFonts w:asciiTheme="majorBidi" w:hAnsiTheme="majorBidi" w:cstheme="majorBidi"/>
          <w:szCs w:val="22"/>
          <w:vertAlign w:val="subscript"/>
          <w:lang w:val="en-US"/>
        </w:rPr>
        <w:t>t-1</w:t>
      </w:r>
      <w:r w:rsidR="00083FD0" w:rsidRPr="002F5246">
        <w:rPr>
          <w:rFonts w:asciiTheme="majorBidi" w:hAnsiTheme="majorBidi" w:cstheme="majorBidi"/>
          <w:szCs w:val="22"/>
          <w:vertAlign w:val="subscript"/>
          <w:lang w:val="en-US"/>
        </w:rPr>
        <w:t xml:space="preserve"> </w:t>
      </w:r>
      <w:r w:rsidR="004E4B37" w:rsidRPr="002F5246">
        <w:rPr>
          <w:rFonts w:asciiTheme="majorBidi" w:hAnsiTheme="majorBidi" w:cstheme="majorBidi"/>
          <w:szCs w:val="22"/>
          <w:lang w:val="en-US"/>
        </w:rPr>
        <w:t>are</w:t>
      </w:r>
      <w:r w:rsidR="00A61190" w:rsidRPr="002F5246">
        <w:rPr>
          <w:rFonts w:asciiTheme="majorBidi" w:hAnsiTheme="majorBidi" w:cstheme="majorBidi"/>
          <w:szCs w:val="22"/>
          <w:lang w:val="en-US"/>
        </w:rPr>
        <w:t xml:space="preserve"> the </w:t>
      </w:r>
      <w:r w:rsidR="001C1353" w:rsidRPr="002F5246">
        <w:rPr>
          <w:rFonts w:asciiTheme="majorBidi" w:hAnsiTheme="majorBidi" w:cstheme="majorBidi"/>
          <w:szCs w:val="22"/>
          <w:lang w:val="en-US"/>
        </w:rPr>
        <w:t>final</w:t>
      </w:r>
      <w:r w:rsidR="00EA5E19" w:rsidRPr="002F5246">
        <w:rPr>
          <w:rFonts w:asciiTheme="majorBidi" w:hAnsiTheme="majorBidi" w:cstheme="majorBidi"/>
          <w:szCs w:val="22"/>
          <w:lang w:val="en-US"/>
        </w:rPr>
        <w:t xml:space="preserve"> median</w:t>
      </w:r>
      <w:r w:rsidR="00A61190" w:rsidRPr="002F5246">
        <w:rPr>
          <w:rFonts w:asciiTheme="majorBidi" w:hAnsiTheme="majorBidi" w:cstheme="majorBidi"/>
          <w:szCs w:val="22"/>
          <w:lang w:val="en-US"/>
        </w:rPr>
        <w:t xml:space="preserve">, </w:t>
      </w:r>
      <w:r w:rsidR="001C1353" w:rsidRPr="002F5246">
        <w:rPr>
          <w:rFonts w:asciiTheme="majorBidi" w:hAnsiTheme="majorBidi" w:cstheme="majorBidi"/>
          <w:szCs w:val="22"/>
          <w:lang w:val="en-US"/>
        </w:rPr>
        <w:t>current</w:t>
      </w:r>
      <w:r w:rsidR="00EA5E19" w:rsidRPr="002F5246">
        <w:rPr>
          <w:rFonts w:asciiTheme="majorBidi" w:hAnsiTheme="majorBidi" w:cstheme="majorBidi"/>
          <w:szCs w:val="22"/>
          <w:lang w:val="en-US"/>
        </w:rPr>
        <w:t xml:space="preserve"> </w:t>
      </w:r>
      <w:r w:rsidR="00B8091B" w:rsidRPr="002F5246">
        <w:rPr>
          <w:rFonts w:asciiTheme="majorBidi" w:hAnsiTheme="majorBidi" w:cstheme="majorBidi"/>
          <w:szCs w:val="22"/>
          <w:lang w:val="en-US"/>
        </w:rPr>
        <w:t>median</w:t>
      </w:r>
      <w:r w:rsidR="00AD7D1B" w:rsidRPr="002F5246">
        <w:rPr>
          <w:rFonts w:asciiTheme="majorBidi" w:hAnsiTheme="majorBidi" w:cstheme="majorBidi"/>
          <w:szCs w:val="22"/>
          <w:lang w:val="en-US"/>
        </w:rPr>
        <w:t xml:space="preserve">, </w:t>
      </w:r>
      <w:r w:rsidR="009B70EB" w:rsidRPr="002F5246">
        <w:rPr>
          <w:rFonts w:asciiTheme="majorBidi" w:hAnsiTheme="majorBidi" w:cstheme="majorBidi"/>
          <w:szCs w:val="22"/>
          <w:lang w:val="en-US"/>
        </w:rPr>
        <w:t xml:space="preserve">the </w:t>
      </w:r>
      <w:r w:rsidR="009B70EB" w:rsidRPr="002F5246">
        <w:rPr>
          <w:rFonts w:asciiTheme="majorBidi" w:hAnsiTheme="majorBidi" w:cstheme="majorBidi"/>
          <w:noProof/>
          <w:szCs w:val="22"/>
          <w:lang w:val="en-US"/>
        </w:rPr>
        <w:t>quote</w:t>
      </w:r>
      <w:r w:rsidR="009B70EB" w:rsidRPr="002F5246">
        <w:rPr>
          <w:rFonts w:asciiTheme="majorBidi" w:hAnsiTheme="majorBidi" w:cstheme="majorBidi"/>
          <w:szCs w:val="22"/>
          <w:lang w:val="en-US"/>
        </w:rPr>
        <w:t xml:space="preserve"> </w:t>
      </w:r>
      <w:r w:rsidR="00AD7D1B" w:rsidRPr="002F5246">
        <w:rPr>
          <w:rFonts w:asciiTheme="majorBidi" w:hAnsiTheme="majorBidi" w:cstheme="majorBidi"/>
          <w:szCs w:val="22"/>
          <w:lang w:val="en-US"/>
        </w:rPr>
        <w:t>price at time t</w:t>
      </w:r>
      <w:r w:rsidR="00EA5E19" w:rsidRPr="002F5246">
        <w:rPr>
          <w:rFonts w:asciiTheme="majorBidi" w:hAnsiTheme="majorBidi" w:cstheme="majorBidi"/>
          <w:szCs w:val="22"/>
          <w:lang w:val="en-US"/>
        </w:rPr>
        <w:t xml:space="preserve">, and </w:t>
      </w:r>
      <w:r w:rsidR="009B70EB" w:rsidRPr="002F5246">
        <w:rPr>
          <w:rFonts w:asciiTheme="majorBidi" w:hAnsiTheme="majorBidi" w:cstheme="majorBidi"/>
          <w:szCs w:val="22"/>
          <w:lang w:val="en-US"/>
        </w:rPr>
        <w:t xml:space="preserve">quote </w:t>
      </w:r>
      <w:r w:rsidR="00EA5E19" w:rsidRPr="002F5246">
        <w:rPr>
          <w:rFonts w:asciiTheme="majorBidi" w:hAnsiTheme="majorBidi" w:cstheme="majorBidi"/>
          <w:szCs w:val="22"/>
          <w:lang w:val="en-US"/>
        </w:rPr>
        <w:t>price at time</w:t>
      </w:r>
      <w:r w:rsidR="00AD7D1B" w:rsidRPr="002F5246">
        <w:rPr>
          <w:rFonts w:asciiTheme="majorBidi" w:hAnsiTheme="majorBidi" w:cstheme="majorBidi"/>
          <w:szCs w:val="22"/>
          <w:lang w:val="en-US"/>
        </w:rPr>
        <w:t xml:space="preserve"> t-1, respectively</w:t>
      </w:r>
      <w:r w:rsidR="004E4B37" w:rsidRPr="002F5246">
        <w:rPr>
          <w:rFonts w:asciiTheme="majorBidi" w:hAnsiTheme="majorBidi" w:cstheme="majorBidi"/>
          <w:szCs w:val="22"/>
          <w:lang w:val="en-US"/>
        </w:rPr>
        <w:t>;</w:t>
      </w:r>
      <w:r w:rsidR="00AD7D1B" w:rsidRPr="002F5246">
        <w:rPr>
          <w:rFonts w:asciiTheme="majorBidi" w:hAnsiTheme="majorBidi" w:cstheme="majorBidi"/>
          <w:szCs w:val="22"/>
          <w:lang w:val="en-US"/>
        </w:rPr>
        <w:t xml:space="preserve"> </w:t>
      </w:r>
      <w:r w:rsidR="001C1353" w:rsidRPr="002F5246">
        <w:rPr>
          <w:rFonts w:asciiTheme="majorBidi" w:hAnsiTheme="majorBidi" w:cstheme="majorBidi"/>
          <w:szCs w:val="22"/>
          <w:lang w:val="en-US"/>
        </w:rPr>
        <w:t>final</w:t>
      </w:r>
      <w:r w:rsidR="00EA5E19" w:rsidRPr="002F5246">
        <w:rPr>
          <w:rFonts w:asciiTheme="majorBidi" w:hAnsiTheme="majorBidi" w:cstheme="majorBidi"/>
          <w:szCs w:val="22"/>
          <w:lang w:val="en-US"/>
        </w:rPr>
        <w:t xml:space="preserve"> and </w:t>
      </w:r>
      <w:r w:rsidR="001C1353" w:rsidRPr="002F5246">
        <w:rPr>
          <w:rFonts w:asciiTheme="majorBidi" w:hAnsiTheme="majorBidi" w:cstheme="majorBidi"/>
          <w:szCs w:val="22"/>
          <w:lang w:val="en-US"/>
        </w:rPr>
        <w:t>current</w:t>
      </w:r>
      <w:r w:rsidR="00EA5E19" w:rsidRPr="002F5246">
        <w:rPr>
          <w:rFonts w:asciiTheme="majorBidi" w:hAnsiTheme="majorBidi" w:cstheme="majorBidi"/>
          <w:szCs w:val="22"/>
          <w:lang w:val="en-US"/>
        </w:rPr>
        <w:t xml:space="preserve"> medians </w:t>
      </w:r>
      <w:r w:rsidR="004E4B37" w:rsidRPr="002F5246">
        <w:rPr>
          <w:rFonts w:asciiTheme="majorBidi" w:hAnsiTheme="majorBidi" w:cstheme="majorBidi"/>
          <w:szCs w:val="22"/>
          <w:lang w:val="en-US"/>
        </w:rPr>
        <w:t>are</w:t>
      </w:r>
      <w:r w:rsidR="00EA5E19" w:rsidRPr="002F5246">
        <w:rPr>
          <w:rFonts w:asciiTheme="majorBidi" w:hAnsiTheme="majorBidi" w:cstheme="majorBidi"/>
          <w:szCs w:val="22"/>
          <w:lang w:val="en-US"/>
        </w:rPr>
        <w:t xml:space="preserve"> the final median of the price in the fixing windows and the median</w:t>
      </w:r>
      <w:r w:rsidR="004E4B37" w:rsidRPr="002F5246">
        <w:rPr>
          <w:rFonts w:asciiTheme="majorBidi" w:hAnsiTheme="majorBidi" w:cstheme="majorBidi"/>
          <w:szCs w:val="22"/>
          <w:lang w:val="en-US"/>
        </w:rPr>
        <w:t xml:space="preserve"> </w:t>
      </w:r>
      <w:r w:rsidR="008D6EBF" w:rsidRPr="002F5246">
        <w:rPr>
          <w:rFonts w:asciiTheme="majorBidi" w:hAnsiTheme="majorBidi" w:cstheme="majorBidi"/>
          <w:szCs w:val="22"/>
          <w:lang w:val="en-US"/>
        </w:rPr>
        <w:t xml:space="preserve">up to </w:t>
      </w:r>
      <w:r w:rsidR="004E4B37" w:rsidRPr="002F5246">
        <w:rPr>
          <w:rFonts w:asciiTheme="majorBidi" w:hAnsiTheme="majorBidi" w:cstheme="majorBidi"/>
          <w:szCs w:val="22"/>
          <w:lang w:val="en-US"/>
        </w:rPr>
        <w:t>the current quote</w:t>
      </w:r>
      <w:r w:rsidR="000B3713" w:rsidRPr="002F5246">
        <w:rPr>
          <w:rFonts w:asciiTheme="majorBidi" w:hAnsiTheme="majorBidi" w:cstheme="majorBidi"/>
          <w:szCs w:val="22"/>
          <w:vertAlign w:val="subscript"/>
          <w:lang w:val="en-US"/>
        </w:rPr>
        <w:t xml:space="preserve">, </w:t>
      </w:r>
      <w:r w:rsidR="000B3713" w:rsidRPr="002F5246">
        <w:rPr>
          <w:rFonts w:asciiTheme="majorBidi" w:hAnsiTheme="majorBidi" w:cstheme="majorBidi"/>
          <w:szCs w:val="22"/>
          <w:lang w:val="en-US"/>
        </w:rPr>
        <w:t>respectively</w:t>
      </w:r>
      <w:r w:rsidR="004E4B37" w:rsidRPr="002F5246">
        <w:rPr>
          <w:rFonts w:asciiTheme="majorBidi" w:hAnsiTheme="majorBidi" w:cstheme="majorBidi"/>
          <w:szCs w:val="22"/>
          <w:lang w:val="en-US"/>
        </w:rPr>
        <w:t>;</w:t>
      </w:r>
      <w:r w:rsidR="00076C25" w:rsidRPr="002F5246">
        <w:rPr>
          <w:rFonts w:asciiTheme="majorBidi" w:hAnsiTheme="majorBidi" w:cstheme="majorBidi"/>
          <w:szCs w:val="22"/>
          <w:lang w:val="en-US"/>
        </w:rPr>
        <w:t xml:space="preserve"> S(x) is the sign of x and is equal to +1, 0, and -1 when x is positive, zero, and negative, respectively. </w:t>
      </w:r>
      <w:r w:rsidRPr="002F5246">
        <w:rPr>
          <w:rFonts w:asciiTheme="majorBidi" w:hAnsiTheme="majorBidi" w:cstheme="majorBidi"/>
          <w:szCs w:val="22"/>
          <w:lang w:val="en-US"/>
        </w:rPr>
        <w:t xml:space="preserve">If PMQ is equal to 1 </w:t>
      </w:r>
      <w:r w:rsidR="00285E1E" w:rsidRPr="002F5246">
        <w:rPr>
          <w:rFonts w:asciiTheme="majorBidi" w:hAnsiTheme="majorBidi" w:cstheme="majorBidi"/>
          <w:szCs w:val="22"/>
          <w:lang w:val="en-US"/>
        </w:rPr>
        <w:t xml:space="preserve">it means that the quote could potentially be manipulative and otherwise, if </w:t>
      </w:r>
      <w:r w:rsidR="00B30B1E" w:rsidRPr="002F5246">
        <w:rPr>
          <w:rFonts w:asciiTheme="majorBidi" w:hAnsiTheme="majorBidi" w:cstheme="majorBidi"/>
          <w:szCs w:val="22"/>
          <w:lang w:val="en-US"/>
        </w:rPr>
        <w:t>zero</w:t>
      </w:r>
      <w:r w:rsidR="00285E1E" w:rsidRPr="002F5246">
        <w:rPr>
          <w:rFonts w:asciiTheme="majorBidi" w:hAnsiTheme="majorBidi" w:cstheme="majorBidi"/>
          <w:szCs w:val="22"/>
          <w:lang w:val="en-US"/>
        </w:rPr>
        <w:t>.</w:t>
      </w:r>
      <w:r w:rsidR="00B30B1E" w:rsidRPr="002F5246">
        <w:rPr>
          <w:rFonts w:asciiTheme="majorBidi" w:hAnsiTheme="majorBidi" w:cstheme="majorBidi"/>
          <w:szCs w:val="22"/>
          <w:lang w:val="en-US"/>
        </w:rPr>
        <w:t xml:space="preserve"> </w:t>
      </w:r>
      <w:r w:rsidR="00BF39BD" w:rsidRPr="002F5246">
        <w:rPr>
          <w:rFonts w:asciiTheme="majorBidi" w:hAnsiTheme="majorBidi" w:cstheme="majorBidi"/>
          <w:szCs w:val="22"/>
          <w:lang w:val="en-US"/>
        </w:rPr>
        <w:t xml:space="preserve">By definition, the </w:t>
      </w:r>
      <w:r w:rsidR="00CE27E4" w:rsidRPr="002F5246">
        <w:rPr>
          <w:rFonts w:asciiTheme="majorBidi" w:hAnsiTheme="majorBidi" w:cstheme="majorBidi"/>
          <w:szCs w:val="22"/>
          <w:lang w:val="en-US"/>
        </w:rPr>
        <w:t>PMQ</w:t>
      </w:r>
      <w:r w:rsidR="00BF39BD" w:rsidRPr="002F5246">
        <w:rPr>
          <w:rFonts w:asciiTheme="majorBidi" w:hAnsiTheme="majorBidi" w:cstheme="majorBidi"/>
          <w:szCs w:val="22"/>
          <w:lang w:val="en-US"/>
        </w:rPr>
        <w:t xml:space="preserve"> for the first quote is </w:t>
      </w:r>
      <w:r w:rsidR="005F774B" w:rsidRPr="002F5246">
        <w:rPr>
          <w:rFonts w:asciiTheme="majorBidi" w:hAnsiTheme="majorBidi" w:cstheme="majorBidi"/>
          <w:szCs w:val="22"/>
          <w:lang w:val="en-US"/>
        </w:rPr>
        <w:t>zero since</w:t>
      </w:r>
      <w:r w:rsidR="00BF39BD" w:rsidRPr="002F5246">
        <w:rPr>
          <w:rFonts w:asciiTheme="majorBidi" w:hAnsiTheme="majorBidi" w:cstheme="majorBidi"/>
          <w:szCs w:val="22"/>
          <w:lang w:val="en-US"/>
        </w:rPr>
        <w:t xml:space="preserve"> there is no activity before it in the fixing window to compare it with.</w:t>
      </w:r>
      <w:r w:rsidR="00641427" w:rsidRPr="002F5246">
        <w:rPr>
          <w:rFonts w:asciiTheme="majorBidi" w:hAnsiTheme="majorBidi" w:cstheme="majorBidi"/>
          <w:szCs w:val="22"/>
          <w:lang w:val="en-US"/>
        </w:rPr>
        <w:t xml:space="preserve"> </w:t>
      </w:r>
    </w:p>
    <w:p w14:paraId="24906724" w14:textId="76FF1C39" w:rsidR="00A974DD" w:rsidRPr="002F5246" w:rsidRDefault="002C51D7" w:rsidP="002E6F08">
      <w:pPr>
        <w:pStyle w:val="Para2"/>
        <w:spacing w:line="480" w:lineRule="auto"/>
      </w:pPr>
      <w:r w:rsidRPr="002F5246">
        <w:t>Formula (1) states that a manipulative quote is a quote that meets two</w:t>
      </w:r>
      <w:r w:rsidR="007538F7" w:rsidRPr="002F5246">
        <w:t xml:space="preserve"> </w:t>
      </w:r>
      <w:r w:rsidRPr="002F5246">
        <w:t xml:space="preserve">conditions. </w:t>
      </w:r>
      <w:r w:rsidR="00777010" w:rsidRPr="002F5246">
        <w:t xml:space="preserve">First, </w:t>
      </w:r>
      <w:r w:rsidR="00EA47A0" w:rsidRPr="002F5246">
        <w:t xml:space="preserve">the sign of </w:t>
      </w:r>
      <w:r w:rsidR="000B3713" w:rsidRPr="002F5246">
        <w:t xml:space="preserve">the </w:t>
      </w:r>
      <w:r w:rsidR="00EA47A0" w:rsidRPr="002F5246">
        <w:t xml:space="preserve">difference between the </w:t>
      </w:r>
      <w:r w:rsidR="001C1353" w:rsidRPr="002F5246">
        <w:t>final</w:t>
      </w:r>
      <w:r w:rsidR="00EA47A0" w:rsidRPr="002F5246">
        <w:t xml:space="preserve"> and </w:t>
      </w:r>
      <w:r w:rsidR="001C1353" w:rsidRPr="002F5246">
        <w:t>current</w:t>
      </w:r>
      <w:r w:rsidR="00EA47A0" w:rsidRPr="002F5246">
        <w:t xml:space="preserve"> median is equal to the sign of the </w:t>
      </w:r>
      <w:r w:rsidR="0014199D" w:rsidRPr="002F5246">
        <w:t xml:space="preserve">difference between </w:t>
      </w:r>
      <w:r w:rsidR="00EA47A0" w:rsidRPr="002F5246">
        <w:t xml:space="preserve">current price and the </w:t>
      </w:r>
      <w:r w:rsidR="001C1353" w:rsidRPr="002F5246">
        <w:t>current</w:t>
      </w:r>
      <w:r w:rsidR="00EA47A0" w:rsidRPr="002F5246">
        <w:t xml:space="preserve"> median</w:t>
      </w:r>
      <w:r w:rsidR="000C07C4" w:rsidRPr="002F5246">
        <w:t xml:space="preserve">, </w:t>
      </w:r>
      <w:r w:rsidR="00D26850" w:rsidRPr="002F5246">
        <w:t xml:space="preserve">we call it </w:t>
      </w:r>
      <w:r w:rsidR="000C07C4" w:rsidRPr="002F5246">
        <w:t xml:space="preserve">the location </w:t>
      </w:r>
      <w:r w:rsidR="00A914DA" w:rsidRPr="002F5246">
        <w:t>condition</w:t>
      </w:r>
      <w:r w:rsidR="00EA47A0" w:rsidRPr="002F5246">
        <w:t xml:space="preserve">. </w:t>
      </w:r>
      <w:r w:rsidR="009B70EB" w:rsidRPr="002F5246">
        <w:t xml:space="preserve">This suggests that the new quoted price will move the </w:t>
      </w:r>
      <w:r w:rsidR="001C1353" w:rsidRPr="002F5246">
        <w:t>current</w:t>
      </w:r>
      <w:r w:rsidR="009B70EB" w:rsidRPr="002F5246">
        <w:t xml:space="preserve"> median towards the </w:t>
      </w:r>
      <w:r w:rsidR="001C1353" w:rsidRPr="002F5246">
        <w:t>final</w:t>
      </w:r>
      <w:r w:rsidR="009B70EB" w:rsidRPr="002F5246">
        <w:t xml:space="preserve"> median. </w:t>
      </w:r>
      <w:r w:rsidR="00EA47A0" w:rsidRPr="002F5246">
        <w:t xml:space="preserve">Second, the sign of the difference between </w:t>
      </w:r>
      <w:r w:rsidR="000A363A" w:rsidRPr="002F5246">
        <w:t xml:space="preserve">the </w:t>
      </w:r>
      <w:r w:rsidR="001C1353" w:rsidRPr="002F5246">
        <w:t>final</w:t>
      </w:r>
      <w:r w:rsidR="00EA47A0" w:rsidRPr="002F5246">
        <w:t xml:space="preserve"> and </w:t>
      </w:r>
      <w:r w:rsidR="001C1353" w:rsidRPr="002F5246">
        <w:t>current</w:t>
      </w:r>
      <w:r w:rsidR="00EA47A0" w:rsidRPr="002F5246">
        <w:t xml:space="preserve"> median is equal to the sign of the </w:t>
      </w:r>
      <w:r w:rsidR="0014199D" w:rsidRPr="002F5246">
        <w:t xml:space="preserve">difference between </w:t>
      </w:r>
      <w:r w:rsidR="009B4784" w:rsidRPr="002F5246">
        <w:t xml:space="preserve">the </w:t>
      </w:r>
      <w:r w:rsidR="00EA47A0" w:rsidRPr="002F5246">
        <w:t>current price and the previous price</w:t>
      </w:r>
      <w:r w:rsidR="000C07C4" w:rsidRPr="002F5246">
        <w:t xml:space="preserve">, </w:t>
      </w:r>
      <w:r w:rsidR="00D26850" w:rsidRPr="002F5246">
        <w:t xml:space="preserve">we call it </w:t>
      </w:r>
      <w:r w:rsidR="000C07C4" w:rsidRPr="002F5246">
        <w:t>the direction condition</w:t>
      </w:r>
      <w:r w:rsidR="00EA47A0" w:rsidRPr="002F5246">
        <w:t xml:space="preserve">. </w:t>
      </w:r>
      <w:r w:rsidR="009B70EB" w:rsidRPr="002F5246">
        <w:t>This suggests that the direction of the latest quote is in the same direction as the intended median movement.</w:t>
      </w:r>
      <w:r w:rsidR="00F96E63" w:rsidRPr="002F5246">
        <w:t xml:space="preserve"> </w:t>
      </w:r>
      <w:r w:rsidR="009B70EB" w:rsidRPr="002F5246">
        <w:t>The reason for this second condition is to capture a stro</w:t>
      </w:r>
      <w:r w:rsidR="00EC2F33" w:rsidRPr="002F5246">
        <w:t xml:space="preserve">ng form of manipulative </w:t>
      </w:r>
      <w:r w:rsidR="00D90FB3" w:rsidRPr="002F5246">
        <w:t>behavio</w:t>
      </w:r>
      <w:r w:rsidR="00A46662" w:rsidRPr="002F5246">
        <w:t>r</w:t>
      </w:r>
      <w:r w:rsidR="009B70EB" w:rsidRPr="002F5246">
        <w:t>.</w:t>
      </w:r>
      <w:r w:rsidR="00F96E63" w:rsidRPr="002F5246">
        <w:t xml:space="preserve"> </w:t>
      </w:r>
      <w:r w:rsidR="009B70EB" w:rsidRPr="002F5246">
        <w:t>For example, when quoting to move the median do</w:t>
      </w:r>
      <w:r w:rsidR="005D2270" w:rsidRPr="002F5246">
        <w:t xml:space="preserve">wn, </w:t>
      </w:r>
      <w:r w:rsidR="009B70EB" w:rsidRPr="002F5246">
        <w:t xml:space="preserve">a down tick quote </w:t>
      </w:r>
      <w:r w:rsidR="005D2270" w:rsidRPr="002F5246">
        <w:t xml:space="preserve">is more likely </w:t>
      </w:r>
      <w:r w:rsidR="00284672" w:rsidRPr="002F5246">
        <w:t xml:space="preserve">to be </w:t>
      </w:r>
      <w:r w:rsidR="009B70EB" w:rsidRPr="002F5246">
        <w:t xml:space="preserve">so </w:t>
      </w:r>
      <w:r w:rsidR="00284672" w:rsidRPr="002F5246">
        <w:t>when</w:t>
      </w:r>
      <w:r w:rsidR="009B70EB" w:rsidRPr="002F5246">
        <w:t xml:space="preserve"> the resulting latest quote is at a l</w:t>
      </w:r>
      <w:r w:rsidR="00726D60" w:rsidRPr="002F5246">
        <w:t>ower level for others to follow.</w:t>
      </w:r>
      <w:r w:rsidR="00776611" w:rsidRPr="002F5246">
        <w:rPr>
          <w:rStyle w:val="EndnoteReference"/>
        </w:rPr>
        <w:endnoteReference w:id="16"/>
      </w:r>
      <w:r w:rsidR="00F96E63" w:rsidRPr="002F5246">
        <w:t xml:space="preserve"> </w:t>
      </w:r>
      <w:r w:rsidR="00FE26A6" w:rsidRPr="002F5246">
        <w:t xml:space="preserve">To put it simply, formula (1) determines whether the current quote is moving the price towards the </w:t>
      </w:r>
      <w:r w:rsidR="001C1353" w:rsidRPr="002F5246">
        <w:t>final</w:t>
      </w:r>
      <w:r w:rsidR="00FE26A6" w:rsidRPr="002F5246">
        <w:t xml:space="preserve"> median.</w:t>
      </w:r>
    </w:p>
    <w:p w14:paraId="42EBE11E" w14:textId="0606ADA6" w:rsidR="00171DA9" w:rsidRPr="002F5246" w:rsidRDefault="00E32103" w:rsidP="00CD3316">
      <w:pPr>
        <w:pStyle w:val="Para2"/>
        <w:spacing w:line="480" w:lineRule="auto"/>
      </w:pPr>
      <w:r w:rsidRPr="002F5246">
        <w:t>The final step of the identification phase is constructing the ManIx score</w:t>
      </w:r>
      <w:r w:rsidR="00D26850" w:rsidRPr="002F5246">
        <w:t xml:space="preserve"> for a given fixing session</w:t>
      </w:r>
      <w:r w:rsidRPr="002F5246">
        <w:t xml:space="preserve">. In order to do so, we aggregate the PMQ score of each dealer in each </w:t>
      </w:r>
      <w:r w:rsidR="00D26850" w:rsidRPr="002F5246">
        <w:t>fixing daily</w:t>
      </w:r>
      <w:r w:rsidRPr="002F5246">
        <w:t xml:space="preserve">. </w:t>
      </w:r>
      <w:r w:rsidR="00654271" w:rsidRPr="002F5246">
        <w:t xml:space="preserve">Thus, </w:t>
      </w:r>
      <w:r w:rsidR="002F2CFC" w:rsidRPr="002F5246">
        <w:t xml:space="preserve">the </w:t>
      </w:r>
      <w:r w:rsidRPr="002F5246">
        <w:t xml:space="preserve">ManIx </w:t>
      </w:r>
      <w:r w:rsidR="00654271" w:rsidRPr="002F5246">
        <w:t>score is formulated as below:</w:t>
      </w:r>
      <w:r w:rsidR="009B70EB" w:rsidRPr="002F5246">
        <w:t xml:space="preserve"> </w:t>
      </w:r>
    </w:p>
    <w:p w14:paraId="49405D0C" w14:textId="77777777" w:rsidR="00852BCD" w:rsidRPr="002F5246" w:rsidRDefault="00852BCD" w:rsidP="00CD3316">
      <w:pPr>
        <w:pStyle w:val="Para2"/>
        <w:spacing w:line="48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7741"/>
        <w:gridCol w:w="625"/>
      </w:tblGrid>
      <w:tr w:rsidR="004F0321" w:rsidRPr="002F5246" w14:paraId="757B38FC" w14:textId="77777777" w:rsidTr="00852BCD">
        <w:trPr>
          <w:trHeight w:hRule="exact" w:val="907"/>
          <w:jc w:val="center"/>
        </w:trPr>
        <w:tc>
          <w:tcPr>
            <w:tcW w:w="675" w:type="dxa"/>
            <w:vAlign w:val="center"/>
          </w:tcPr>
          <w:p w14:paraId="6C4DD705" w14:textId="77777777" w:rsidR="00665E89" w:rsidRPr="002F5246" w:rsidRDefault="00665E89" w:rsidP="00067E74">
            <w:pPr>
              <w:pStyle w:val="Displayedequation"/>
              <w:rPr>
                <w:lang w:val="en-US" w:bidi="fa-IR"/>
              </w:rPr>
            </w:pPr>
          </w:p>
          <w:p w14:paraId="5957F4BF" w14:textId="77777777" w:rsidR="00665E89" w:rsidRPr="002F5246" w:rsidRDefault="00665E89" w:rsidP="00067E74">
            <w:pPr>
              <w:pStyle w:val="Displayedequation"/>
              <w:rPr>
                <w:lang w:val="en-US" w:bidi="fa-IR"/>
              </w:rPr>
            </w:pPr>
          </w:p>
        </w:tc>
        <w:tc>
          <w:tcPr>
            <w:tcW w:w="7938" w:type="dxa"/>
            <w:vAlign w:val="center"/>
          </w:tcPr>
          <w:p w14:paraId="1E551968" w14:textId="0DC3EE2B" w:rsidR="004F0321" w:rsidRPr="002F5246" w:rsidRDefault="00D2790C" w:rsidP="00067E74">
            <w:pPr>
              <w:pStyle w:val="Displayedequation"/>
              <w:rPr>
                <w:lang w:val="en-US"/>
              </w:rPr>
            </w:pPr>
            <m:oMathPara>
              <m:oMath>
                <m:sSub>
                  <m:sSubPr>
                    <m:ctrlPr>
                      <w:rPr>
                        <w:rFonts w:ascii="Cambria Math" w:hAnsi="Cambria Math"/>
                        <w:i/>
                        <w:szCs w:val="22"/>
                        <w:lang w:val="en-US"/>
                      </w:rPr>
                    </m:ctrlPr>
                  </m:sSubPr>
                  <m:e>
                    <m:r>
                      <w:rPr>
                        <w:rFonts w:ascii="Cambria Math" w:hAnsi="Cambria Math"/>
                        <w:szCs w:val="22"/>
                        <w:lang w:val="en-US"/>
                      </w:rPr>
                      <m:t>ManIx</m:t>
                    </m:r>
                  </m:e>
                  <m:sub>
                    <m:r>
                      <w:rPr>
                        <w:rFonts w:ascii="Cambria Math" w:hAnsi="Cambria Math"/>
                        <w:szCs w:val="22"/>
                        <w:lang w:val="en-US"/>
                      </w:rPr>
                      <m:t>i,j</m:t>
                    </m:r>
                  </m:sub>
                </m:sSub>
                <m:r>
                  <w:rPr>
                    <w:rFonts w:ascii="Cambria Math" w:hAnsi="Cambria Math"/>
                    <w:szCs w:val="22"/>
                    <w:lang w:val="en-US"/>
                  </w:rPr>
                  <m:t>=</m:t>
                </m:r>
                <m:nary>
                  <m:naryPr>
                    <m:chr m:val="∑"/>
                    <m:limLoc m:val="subSup"/>
                    <m:ctrlPr>
                      <w:rPr>
                        <w:rFonts w:ascii="Cambria Math" w:hAnsi="Cambria Math"/>
                        <w:i/>
                        <w:szCs w:val="22"/>
                        <w:lang w:val="en-US"/>
                      </w:rPr>
                    </m:ctrlPr>
                  </m:naryPr>
                  <m:sub>
                    <m:r>
                      <w:rPr>
                        <w:rFonts w:ascii="Cambria Math" w:hAnsi="Cambria Math"/>
                        <w:szCs w:val="22"/>
                        <w:lang w:val="en-US"/>
                      </w:rPr>
                      <m:t>k=1</m:t>
                    </m:r>
                  </m:sub>
                  <m:sup>
                    <m:r>
                      <w:rPr>
                        <w:rFonts w:ascii="Cambria Math" w:hAnsi="Cambria Math"/>
                        <w:szCs w:val="22"/>
                        <w:lang w:val="en-US"/>
                      </w:rPr>
                      <m:t>n</m:t>
                    </m:r>
                  </m:sup>
                  <m:e>
                    <m:sSub>
                      <m:sSubPr>
                        <m:ctrlPr>
                          <w:rPr>
                            <w:rFonts w:ascii="Cambria Math" w:hAnsi="Cambria Math"/>
                            <w:i/>
                            <w:szCs w:val="22"/>
                            <w:lang w:val="en-US"/>
                          </w:rPr>
                        </m:ctrlPr>
                      </m:sSubPr>
                      <m:e>
                        <m:r>
                          <w:rPr>
                            <w:rFonts w:ascii="Cambria Math" w:hAnsi="Cambria Math"/>
                            <w:szCs w:val="22"/>
                            <w:lang w:val="en-US"/>
                          </w:rPr>
                          <m:t>PMQ</m:t>
                        </m:r>
                      </m:e>
                      <m:sub>
                        <m:r>
                          <w:rPr>
                            <w:rFonts w:ascii="Cambria Math" w:hAnsi="Cambria Math"/>
                            <w:szCs w:val="22"/>
                            <w:lang w:val="en-US"/>
                          </w:rPr>
                          <m:t>k</m:t>
                        </m:r>
                      </m:sub>
                    </m:sSub>
                    <m:r>
                      <w:rPr>
                        <w:rFonts w:ascii="Cambria Math" w:hAnsi="Cambria Math"/>
                        <w:szCs w:val="22"/>
                        <w:lang w:val="en-US"/>
                      </w:rPr>
                      <m:t>*</m:t>
                    </m:r>
                    <m:sSub>
                      <m:sSubPr>
                        <m:ctrlPr>
                          <w:rPr>
                            <w:rFonts w:ascii="Cambria Math" w:hAnsi="Cambria Math"/>
                            <w:i/>
                            <w:szCs w:val="22"/>
                            <w:lang w:val="en-US"/>
                          </w:rPr>
                        </m:ctrlPr>
                      </m:sSubPr>
                      <m:e>
                        <m:r>
                          <w:rPr>
                            <w:rFonts w:ascii="Cambria Math" w:hAnsi="Cambria Math"/>
                            <w:szCs w:val="22"/>
                            <w:lang w:val="en-US"/>
                          </w:rPr>
                          <m:t>D</m:t>
                        </m:r>
                      </m:e>
                      <m:sub>
                        <m:r>
                          <w:rPr>
                            <w:rFonts w:ascii="Cambria Math" w:hAnsi="Cambria Math"/>
                            <w:szCs w:val="22"/>
                            <w:lang w:val="en-US"/>
                          </w:rPr>
                          <m:t>i</m:t>
                        </m:r>
                      </m:sub>
                    </m:sSub>
                    <m:r>
                      <w:rPr>
                        <w:rFonts w:ascii="Cambria Math" w:hAnsi="Cambria Math"/>
                        <w:szCs w:val="22"/>
                        <w:lang w:val="en-US"/>
                      </w:rPr>
                      <m:t xml:space="preserve"> </m:t>
                    </m:r>
                  </m:e>
                </m:nary>
              </m:oMath>
            </m:oMathPara>
          </w:p>
        </w:tc>
        <w:tc>
          <w:tcPr>
            <w:tcW w:w="629" w:type="dxa"/>
            <w:vAlign w:val="center"/>
          </w:tcPr>
          <w:p w14:paraId="41BC7257" w14:textId="4347D272" w:rsidR="004F0321" w:rsidRPr="002F5246" w:rsidRDefault="004F0321" w:rsidP="00067E74">
            <w:pPr>
              <w:pStyle w:val="Displayedequation"/>
              <w:rPr>
                <w:lang w:val="en-US" w:bidi="fa-IR"/>
              </w:rPr>
            </w:pPr>
            <w:r w:rsidRPr="002F5246">
              <w:rPr>
                <w:lang w:val="en-US" w:bidi="fa-IR"/>
              </w:rPr>
              <w:t>(</w:t>
            </w:r>
            <w:r w:rsidR="00817D89" w:rsidRPr="002F5246">
              <w:rPr>
                <w:lang w:val="en-US" w:bidi="fa-IR"/>
              </w:rPr>
              <w:t>2</w:t>
            </w:r>
            <w:r w:rsidRPr="002F5246">
              <w:rPr>
                <w:lang w:val="en-US" w:bidi="fa-IR"/>
              </w:rPr>
              <w:t>)</w:t>
            </w:r>
          </w:p>
        </w:tc>
      </w:tr>
    </w:tbl>
    <w:p w14:paraId="63D40917" w14:textId="77777777" w:rsidR="00852BCD" w:rsidRPr="002F5246" w:rsidRDefault="00852BCD" w:rsidP="00DC3D6F">
      <w:pPr>
        <w:pStyle w:val="para1"/>
        <w:ind w:firstLine="720"/>
        <w:rPr>
          <w:rFonts w:asciiTheme="majorBidi" w:hAnsiTheme="majorBidi" w:cstheme="majorBidi"/>
          <w:szCs w:val="22"/>
          <w:lang w:val="en-US"/>
        </w:rPr>
      </w:pPr>
    </w:p>
    <w:p w14:paraId="18BEA52B" w14:textId="68B7696D" w:rsidR="00887C04" w:rsidRPr="002F5246" w:rsidRDefault="00A46662" w:rsidP="00DC3D6F">
      <w:pPr>
        <w:pStyle w:val="para1"/>
        <w:ind w:firstLine="720"/>
        <w:rPr>
          <w:rFonts w:asciiTheme="majorBidi" w:hAnsiTheme="majorBidi" w:cstheme="majorBidi"/>
          <w:szCs w:val="22"/>
          <w:lang w:val="en-US"/>
        </w:rPr>
      </w:pPr>
      <w:r w:rsidRPr="002F5246">
        <w:rPr>
          <w:rFonts w:asciiTheme="majorBidi" w:hAnsiTheme="majorBidi" w:cstheme="majorBidi"/>
          <w:szCs w:val="22"/>
          <w:lang w:val="en-US"/>
        </w:rPr>
        <w:lastRenderedPageBreak/>
        <w:t>Where</w:t>
      </w:r>
      <w:r w:rsidR="00B41126" w:rsidRPr="002F5246">
        <w:rPr>
          <w:rFonts w:asciiTheme="majorBidi" w:hAnsiTheme="majorBidi" w:cstheme="majorBidi"/>
          <w:szCs w:val="22"/>
          <w:lang w:val="en-US"/>
        </w:rPr>
        <w:t xml:space="preserve"> </w:t>
      </w:r>
      <w:r w:rsidR="00B41126" w:rsidRPr="002F5246">
        <w:rPr>
          <w:rFonts w:asciiTheme="majorBidi" w:hAnsiTheme="majorBidi" w:cstheme="majorBidi"/>
          <w:i/>
          <w:iCs/>
          <w:noProof/>
          <w:szCs w:val="22"/>
          <w:lang w:val="en-US"/>
        </w:rPr>
        <w:t>ManIx</w:t>
      </w:r>
      <w:r w:rsidR="00B41126" w:rsidRPr="002F5246">
        <w:rPr>
          <w:rFonts w:asciiTheme="majorBidi" w:hAnsiTheme="majorBidi" w:cstheme="majorBidi"/>
          <w:i/>
          <w:iCs/>
          <w:noProof/>
          <w:szCs w:val="22"/>
          <w:vertAlign w:val="subscript"/>
          <w:lang w:val="en-US"/>
        </w:rPr>
        <w:t>i</w:t>
      </w:r>
      <w:r w:rsidR="002E29AF" w:rsidRPr="002F5246">
        <w:rPr>
          <w:rFonts w:asciiTheme="majorBidi" w:hAnsiTheme="majorBidi" w:cstheme="majorBidi"/>
          <w:i/>
          <w:iCs/>
          <w:szCs w:val="22"/>
          <w:vertAlign w:val="subscript"/>
          <w:lang w:val="en-US"/>
        </w:rPr>
        <w:t>,j</w:t>
      </w:r>
      <w:r w:rsidR="00B41126" w:rsidRPr="002F5246">
        <w:rPr>
          <w:rFonts w:asciiTheme="majorBidi" w:hAnsiTheme="majorBidi" w:cstheme="majorBidi"/>
          <w:szCs w:val="22"/>
          <w:vertAlign w:val="subscript"/>
          <w:lang w:val="en-US"/>
        </w:rPr>
        <w:t xml:space="preserve"> </w:t>
      </w:r>
      <w:r w:rsidR="00B41126" w:rsidRPr="002F5246">
        <w:rPr>
          <w:rFonts w:asciiTheme="majorBidi" w:hAnsiTheme="majorBidi" w:cstheme="majorBidi"/>
          <w:szCs w:val="22"/>
          <w:lang w:val="en-US"/>
        </w:rPr>
        <w:t xml:space="preserve">is the aggregated </w:t>
      </w:r>
      <w:r w:rsidR="0058505A" w:rsidRPr="002F5246">
        <w:rPr>
          <w:rFonts w:asciiTheme="majorBidi" w:hAnsiTheme="majorBidi" w:cstheme="majorBidi"/>
          <w:szCs w:val="22"/>
          <w:lang w:val="en-US"/>
        </w:rPr>
        <w:t xml:space="preserve">PMQ </w:t>
      </w:r>
      <w:r w:rsidR="00B41126" w:rsidRPr="002F5246">
        <w:rPr>
          <w:rFonts w:asciiTheme="majorBidi" w:hAnsiTheme="majorBidi" w:cstheme="majorBidi"/>
          <w:szCs w:val="22"/>
          <w:lang w:val="en-US"/>
        </w:rPr>
        <w:t xml:space="preserve">score for dealer </w:t>
      </w:r>
      <w:r w:rsidR="00B41126" w:rsidRPr="002F5246">
        <w:rPr>
          <w:rFonts w:asciiTheme="majorBidi" w:hAnsiTheme="majorBidi" w:cstheme="majorBidi"/>
          <w:i/>
          <w:iCs/>
          <w:szCs w:val="22"/>
          <w:lang w:val="en-US"/>
        </w:rPr>
        <w:t>i</w:t>
      </w:r>
      <w:r w:rsidR="00B41126" w:rsidRPr="002F5246">
        <w:rPr>
          <w:rFonts w:asciiTheme="majorBidi" w:hAnsiTheme="majorBidi" w:cstheme="majorBidi"/>
          <w:szCs w:val="22"/>
          <w:lang w:val="en-US"/>
        </w:rPr>
        <w:t xml:space="preserve"> in day </w:t>
      </w:r>
      <w:r w:rsidR="00B41126" w:rsidRPr="002F5246">
        <w:rPr>
          <w:rFonts w:asciiTheme="majorBidi" w:hAnsiTheme="majorBidi" w:cstheme="majorBidi"/>
          <w:i/>
          <w:iCs/>
          <w:szCs w:val="22"/>
          <w:lang w:val="en-US"/>
        </w:rPr>
        <w:t>j</w:t>
      </w:r>
      <w:r w:rsidR="000F2BE9" w:rsidRPr="002F5246">
        <w:rPr>
          <w:rFonts w:asciiTheme="majorBidi" w:hAnsiTheme="majorBidi" w:cstheme="majorBidi"/>
          <w:szCs w:val="22"/>
          <w:lang w:val="en-US"/>
        </w:rPr>
        <w:t xml:space="preserve">, n is the number of </w:t>
      </w:r>
      <w:r w:rsidR="009B70EB" w:rsidRPr="002F5246">
        <w:rPr>
          <w:rFonts w:asciiTheme="majorBidi" w:hAnsiTheme="majorBidi" w:cstheme="majorBidi"/>
          <w:szCs w:val="22"/>
          <w:lang w:val="en-US"/>
        </w:rPr>
        <w:t xml:space="preserve">all </w:t>
      </w:r>
      <w:r w:rsidR="000F2BE9" w:rsidRPr="002F5246">
        <w:rPr>
          <w:rFonts w:asciiTheme="majorBidi" w:hAnsiTheme="majorBidi" w:cstheme="majorBidi"/>
          <w:szCs w:val="22"/>
          <w:lang w:val="en-US"/>
        </w:rPr>
        <w:t xml:space="preserve">quotes in </w:t>
      </w:r>
      <w:r w:rsidR="002F2CFC" w:rsidRPr="002F5246">
        <w:rPr>
          <w:rFonts w:asciiTheme="majorBidi" w:hAnsiTheme="majorBidi" w:cstheme="majorBidi"/>
          <w:szCs w:val="22"/>
          <w:lang w:val="en-US"/>
        </w:rPr>
        <w:t xml:space="preserve">the </w:t>
      </w:r>
      <w:r w:rsidR="009B70EB" w:rsidRPr="002F5246">
        <w:rPr>
          <w:rFonts w:asciiTheme="majorBidi" w:hAnsiTheme="majorBidi" w:cstheme="majorBidi"/>
          <w:szCs w:val="22"/>
          <w:lang w:val="en-US"/>
        </w:rPr>
        <w:t>fixing</w:t>
      </w:r>
      <w:r w:rsidR="000F2BE9" w:rsidRPr="002F5246">
        <w:rPr>
          <w:rFonts w:asciiTheme="majorBidi" w:hAnsiTheme="majorBidi" w:cstheme="majorBidi"/>
          <w:szCs w:val="22"/>
          <w:lang w:val="en-US"/>
        </w:rPr>
        <w:t xml:space="preserve"> </w:t>
      </w:r>
      <w:r w:rsidR="004C0D6D" w:rsidRPr="002F5246">
        <w:rPr>
          <w:rFonts w:asciiTheme="majorBidi" w:hAnsiTheme="majorBidi" w:cstheme="majorBidi"/>
          <w:szCs w:val="22"/>
          <w:lang w:val="en-US"/>
        </w:rPr>
        <w:t xml:space="preserve">window </w:t>
      </w:r>
      <w:r w:rsidR="000F2BE9" w:rsidRPr="002F5246">
        <w:rPr>
          <w:rFonts w:asciiTheme="majorBidi" w:hAnsiTheme="majorBidi" w:cstheme="majorBidi"/>
          <w:i/>
          <w:iCs/>
          <w:szCs w:val="22"/>
          <w:lang w:val="en-US"/>
        </w:rPr>
        <w:t>j</w:t>
      </w:r>
      <w:r w:rsidR="000F2BE9" w:rsidRPr="002F5246">
        <w:rPr>
          <w:rFonts w:asciiTheme="majorBidi" w:hAnsiTheme="majorBidi" w:cstheme="majorBidi"/>
          <w:szCs w:val="22"/>
          <w:lang w:val="en-US"/>
        </w:rPr>
        <w:t xml:space="preserve">, and </w:t>
      </w:r>
      <w:r w:rsidR="00DC3D6F" w:rsidRPr="002F5246">
        <w:rPr>
          <w:rFonts w:asciiTheme="majorBidi" w:hAnsiTheme="majorBidi" w:cstheme="majorBidi"/>
          <w:szCs w:val="22"/>
          <w:lang w:val="en-US"/>
        </w:rPr>
        <w:t>PMQ</w:t>
      </w:r>
      <w:r w:rsidR="00DC3D6F" w:rsidRPr="002F5246">
        <w:rPr>
          <w:rFonts w:asciiTheme="majorBidi" w:hAnsiTheme="majorBidi" w:cstheme="majorBidi"/>
          <w:szCs w:val="22"/>
          <w:vertAlign w:val="subscript"/>
          <w:lang w:val="en-US"/>
        </w:rPr>
        <w:t>k</w:t>
      </w:r>
      <w:r w:rsidR="00DC3D6F" w:rsidRPr="002F5246">
        <w:rPr>
          <w:rFonts w:asciiTheme="majorBidi" w:hAnsiTheme="majorBidi" w:cstheme="majorBidi"/>
          <w:szCs w:val="22"/>
          <w:lang w:val="en-US"/>
        </w:rPr>
        <w:t xml:space="preserve"> </w:t>
      </w:r>
      <w:r w:rsidR="000F2BE9" w:rsidRPr="002F5246">
        <w:rPr>
          <w:rFonts w:asciiTheme="majorBidi" w:hAnsiTheme="majorBidi" w:cstheme="majorBidi"/>
          <w:szCs w:val="22"/>
          <w:lang w:val="en-US"/>
        </w:rPr>
        <w:t xml:space="preserve">is the </w:t>
      </w:r>
      <w:r w:rsidR="00DC3D6F" w:rsidRPr="002F5246">
        <w:rPr>
          <w:rFonts w:asciiTheme="majorBidi" w:hAnsiTheme="majorBidi" w:cstheme="majorBidi"/>
          <w:szCs w:val="22"/>
          <w:lang w:val="en-US"/>
        </w:rPr>
        <w:t>PMQ</w:t>
      </w:r>
      <w:r w:rsidR="00D75D79" w:rsidRPr="002F5246">
        <w:rPr>
          <w:rFonts w:asciiTheme="majorBidi" w:hAnsiTheme="majorBidi" w:cstheme="majorBidi"/>
          <w:szCs w:val="22"/>
          <w:lang w:val="en-US"/>
        </w:rPr>
        <w:t xml:space="preserve"> </w:t>
      </w:r>
      <w:r w:rsidR="000F2BE9" w:rsidRPr="002F5246">
        <w:rPr>
          <w:rFonts w:asciiTheme="majorBidi" w:hAnsiTheme="majorBidi" w:cstheme="majorBidi"/>
          <w:szCs w:val="22"/>
          <w:lang w:val="en-US"/>
        </w:rPr>
        <w:t xml:space="preserve">score for quote </w:t>
      </w:r>
      <w:r w:rsidR="000F2BE9" w:rsidRPr="002F5246">
        <w:rPr>
          <w:rFonts w:asciiTheme="majorBidi" w:hAnsiTheme="majorBidi" w:cstheme="majorBidi"/>
          <w:i/>
          <w:iCs/>
          <w:szCs w:val="22"/>
          <w:lang w:val="en-US"/>
        </w:rPr>
        <w:t>k</w:t>
      </w:r>
      <w:r w:rsidR="000F2BE9" w:rsidRPr="002F5246">
        <w:rPr>
          <w:rFonts w:asciiTheme="majorBidi" w:hAnsiTheme="majorBidi" w:cstheme="majorBidi"/>
          <w:szCs w:val="22"/>
          <w:lang w:val="en-US"/>
        </w:rPr>
        <w:t>. D</w:t>
      </w:r>
      <w:r w:rsidR="000F2BE9" w:rsidRPr="002F5246">
        <w:rPr>
          <w:rFonts w:asciiTheme="majorBidi" w:hAnsiTheme="majorBidi" w:cstheme="majorBidi"/>
          <w:szCs w:val="22"/>
          <w:vertAlign w:val="subscript"/>
          <w:lang w:val="en-US"/>
        </w:rPr>
        <w:t>i</w:t>
      </w:r>
      <w:r w:rsidR="000F2BE9" w:rsidRPr="002F5246">
        <w:rPr>
          <w:rFonts w:asciiTheme="majorBidi" w:hAnsiTheme="majorBidi" w:cstheme="majorBidi"/>
          <w:szCs w:val="22"/>
          <w:lang w:val="en-US"/>
        </w:rPr>
        <w:t xml:space="preserve"> is a</w:t>
      </w:r>
      <w:r w:rsidR="005C398C" w:rsidRPr="002F5246">
        <w:rPr>
          <w:rFonts w:asciiTheme="majorBidi" w:hAnsiTheme="majorBidi" w:cstheme="majorBidi"/>
          <w:szCs w:val="22"/>
          <w:lang w:val="en-US"/>
        </w:rPr>
        <w:t xml:space="preserve"> dummy variable equal to 1 when</w:t>
      </w:r>
      <w:r w:rsidR="000F2BE9" w:rsidRPr="002F5246">
        <w:rPr>
          <w:rFonts w:asciiTheme="majorBidi" w:hAnsiTheme="majorBidi" w:cstheme="majorBidi"/>
          <w:szCs w:val="22"/>
          <w:lang w:val="en-US"/>
        </w:rPr>
        <w:t xml:space="preserve"> quote </w:t>
      </w:r>
      <w:r w:rsidR="000F2BE9" w:rsidRPr="002F5246">
        <w:rPr>
          <w:rFonts w:asciiTheme="majorBidi" w:hAnsiTheme="majorBidi" w:cstheme="majorBidi"/>
          <w:i/>
          <w:iCs/>
          <w:szCs w:val="22"/>
          <w:lang w:val="en-US"/>
        </w:rPr>
        <w:t>k</w:t>
      </w:r>
      <w:r w:rsidR="000F2BE9" w:rsidRPr="002F5246">
        <w:rPr>
          <w:rFonts w:asciiTheme="majorBidi" w:hAnsiTheme="majorBidi" w:cstheme="majorBidi"/>
          <w:szCs w:val="22"/>
          <w:lang w:val="en-US"/>
        </w:rPr>
        <w:t xml:space="preserve"> belong</w:t>
      </w:r>
      <w:r w:rsidR="005C398C" w:rsidRPr="002F5246">
        <w:rPr>
          <w:rFonts w:asciiTheme="majorBidi" w:hAnsiTheme="majorBidi" w:cstheme="majorBidi"/>
          <w:szCs w:val="22"/>
          <w:lang w:val="en-US"/>
        </w:rPr>
        <w:t>s</w:t>
      </w:r>
      <w:r w:rsidR="000F2BE9" w:rsidRPr="002F5246">
        <w:rPr>
          <w:rFonts w:asciiTheme="majorBidi" w:hAnsiTheme="majorBidi" w:cstheme="majorBidi"/>
          <w:szCs w:val="22"/>
          <w:lang w:val="en-US"/>
        </w:rPr>
        <w:t xml:space="preserve"> to dealer </w:t>
      </w:r>
      <w:r w:rsidR="000F2BE9" w:rsidRPr="002F5246">
        <w:rPr>
          <w:rFonts w:asciiTheme="majorBidi" w:hAnsiTheme="majorBidi" w:cstheme="majorBidi"/>
          <w:i/>
          <w:iCs/>
          <w:szCs w:val="22"/>
          <w:lang w:val="en-US"/>
        </w:rPr>
        <w:t>i</w:t>
      </w:r>
      <w:r w:rsidR="000F2BE9" w:rsidRPr="002F5246">
        <w:rPr>
          <w:rFonts w:asciiTheme="majorBidi" w:hAnsiTheme="majorBidi" w:cstheme="majorBidi"/>
          <w:szCs w:val="22"/>
          <w:lang w:val="en-US"/>
        </w:rPr>
        <w:t xml:space="preserve"> and </w:t>
      </w:r>
      <w:r w:rsidR="00665E89" w:rsidRPr="002F5246">
        <w:rPr>
          <w:rFonts w:asciiTheme="majorBidi" w:hAnsiTheme="majorBidi" w:cstheme="majorBidi"/>
          <w:szCs w:val="22"/>
          <w:lang w:val="en-US"/>
        </w:rPr>
        <w:t xml:space="preserve">0 </w:t>
      </w:r>
      <w:r w:rsidR="000F2BE9" w:rsidRPr="002F5246">
        <w:rPr>
          <w:rFonts w:asciiTheme="majorBidi" w:hAnsiTheme="majorBidi" w:cstheme="majorBidi"/>
          <w:szCs w:val="22"/>
          <w:lang w:val="en-US"/>
        </w:rPr>
        <w:t xml:space="preserve">otherwise. </w:t>
      </w:r>
    </w:p>
    <w:p w14:paraId="288FA84C" w14:textId="0728241E" w:rsidR="00D3334D" w:rsidRPr="002F5246" w:rsidRDefault="00215A42" w:rsidP="00AB0FCA">
      <w:pPr>
        <w:pStyle w:val="Heading2"/>
        <w:rPr>
          <w:lang w:val="en-US"/>
        </w:rPr>
      </w:pPr>
      <w:r w:rsidRPr="002F5246">
        <w:rPr>
          <w:lang w:val="en-US"/>
        </w:rPr>
        <w:t>3.2</w:t>
      </w:r>
      <w:r w:rsidR="00D3334D" w:rsidRPr="002F5246">
        <w:rPr>
          <w:lang w:val="en-US"/>
        </w:rPr>
        <w:t xml:space="preserve">. The </w:t>
      </w:r>
      <w:r w:rsidR="006C3E70" w:rsidRPr="002F5246">
        <w:rPr>
          <w:lang w:val="en-US"/>
        </w:rPr>
        <w:t xml:space="preserve">Statistical </w:t>
      </w:r>
      <w:r w:rsidR="00D3334D" w:rsidRPr="002F5246">
        <w:rPr>
          <w:lang w:val="en-US"/>
        </w:rPr>
        <w:t>Verification Phase</w:t>
      </w:r>
    </w:p>
    <w:p w14:paraId="45A74A64" w14:textId="7EF685FD" w:rsidR="00970148" w:rsidRPr="002F5246" w:rsidRDefault="00970148" w:rsidP="00CD3316">
      <w:pPr>
        <w:ind w:firstLine="720"/>
        <w:jc w:val="both"/>
        <w:rPr>
          <w:rFonts w:asciiTheme="majorBidi" w:hAnsiTheme="majorBidi" w:cstheme="majorBidi"/>
          <w:szCs w:val="22"/>
          <w:lang w:val="en-US"/>
        </w:rPr>
      </w:pPr>
      <w:r w:rsidRPr="002F5246">
        <w:rPr>
          <w:rFonts w:asciiTheme="majorBidi" w:hAnsiTheme="majorBidi" w:cstheme="majorBidi"/>
          <w:szCs w:val="22"/>
          <w:lang w:val="en-US" w:bidi="fa-IR"/>
        </w:rPr>
        <w:t xml:space="preserve">The aim of this research is to develop a framework and a methodology that can identify manipulative behaviors within the WMR fixing window. </w:t>
      </w:r>
      <w:r w:rsidRPr="002F5246">
        <w:rPr>
          <w:rFonts w:asciiTheme="majorBidi" w:hAnsiTheme="majorBidi" w:cstheme="majorBidi"/>
          <w:szCs w:val="22"/>
          <w:lang w:val="en-US"/>
        </w:rPr>
        <w:t xml:space="preserve">Our methodology, ManIx, identifies which quotes strategically contribute to the final </w:t>
      </w:r>
      <w:r w:rsidR="008B7D86" w:rsidRPr="002F5246">
        <w:rPr>
          <w:rFonts w:asciiTheme="majorBidi" w:hAnsiTheme="majorBidi" w:cstheme="majorBidi"/>
          <w:szCs w:val="22"/>
          <w:lang w:val="en-US"/>
        </w:rPr>
        <w:t>realization</w:t>
      </w:r>
      <w:r w:rsidRPr="002F5246">
        <w:rPr>
          <w:rFonts w:asciiTheme="majorBidi" w:hAnsiTheme="majorBidi" w:cstheme="majorBidi"/>
          <w:szCs w:val="22"/>
          <w:lang w:val="en-US"/>
        </w:rPr>
        <w:t xml:space="preserve"> of the Fix rate. Such behavior, per se, is not necessarily a sign of manipulative behavior since it could be just a coincidence that the quote </w:t>
      </w:r>
      <w:r w:rsidR="004616AD" w:rsidRPr="002F5246">
        <w:rPr>
          <w:rFonts w:asciiTheme="majorBidi" w:hAnsiTheme="majorBidi" w:cstheme="majorBidi"/>
          <w:szCs w:val="22"/>
          <w:lang w:val="en-US"/>
        </w:rPr>
        <w:t>meets our specified condition</w:t>
      </w:r>
      <w:r w:rsidR="00B850C7" w:rsidRPr="002F5246">
        <w:rPr>
          <w:rFonts w:asciiTheme="majorBidi" w:hAnsiTheme="majorBidi" w:cstheme="majorBidi"/>
          <w:szCs w:val="22"/>
          <w:lang w:val="en-US"/>
        </w:rPr>
        <w:t xml:space="preserve"> in the course of price discovery</w:t>
      </w:r>
      <w:r w:rsidR="004616AD" w:rsidRPr="002F5246">
        <w:rPr>
          <w:rFonts w:asciiTheme="majorBidi" w:hAnsiTheme="majorBidi" w:cstheme="majorBidi"/>
          <w:szCs w:val="22"/>
          <w:lang w:val="en-US"/>
        </w:rPr>
        <w:t>.</w:t>
      </w:r>
      <w:r w:rsidR="00F96E63" w:rsidRPr="002F5246">
        <w:rPr>
          <w:rFonts w:asciiTheme="majorBidi" w:hAnsiTheme="majorBidi" w:cstheme="majorBidi"/>
          <w:szCs w:val="22"/>
          <w:lang w:val="en-US"/>
        </w:rPr>
        <w:t xml:space="preserve"> </w:t>
      </w:r>
      <w:r w:rsidRPr="002F5246">
        <w:rPr>
          <w:rFonts w:asciiTheme="majorBidi" w:hAnsiTheme="majorBidi" w:cstheme="majorBidi"/>
          <w:szCs w:val="22"/>
          <w:lang w:val="en-US"/>
        </w:rPr>
        <w:t xml:space="preserve">Strategically placing quotes in order to move it in a dealer’s desired direction and successfully doing so is a manipulative behavior. The question </w:t>
      </w:r>
      <w:r w:rsidR="0002159A" w:rsidRPr="002F5246">
        <w:rPr>
          <w:rFonts w:asciiTheme="majorBidi" w:hAnsiTheme="majorBidi" w:cstheme="majorBidi"/>
          <w:szCs w:val="22"/>
          <w:lang w:val="en-US"/>
        </w:rPr>
        <w:t xml:space="preserve">that needs addressing </w:t>
      </w:r>
      <w:r w:rsidRPr="002F5246">
        <w:rPr>
          <w:rFonts w:asciiTheme="majorBidi" w:hAnsiTheme="majorBidi" w:cstheme="majorBidi"/>
          <w:szCs w:val="22"/>
          <w:lang w:val="en-US"/>
        </w:rPr>
        <w:t xml:space="preserve">is how to differentiate the random from </w:t>
      </w:r>
      <w:r w:rsidR="00986818" w:rsidRPr="002F5246">
        <w:rPr>
          <w:rFonts w:asciiTheme="majorBidi" w:hAnsiTheme="majorBidi" w:cstheme="majorBidi"/>
          <w:szCs w:val="22"/>
          <w:lang w:val="en-US"/>
        </w:rPr>
        <w:t xml:space="preserve">the </w:t>
      </w:r>
      <w:r w:rsidRPr="002F5246">
        <w:rPr>
          <w:rFonts w:asciiTheme="majorBidi" w:hAnsiTheme="majorBidi" w:cstheme="majorBidi"/>
          <w:szCs w:val="22"/>
          <w:lang w:val="en-US"/>
        </w:rPr>
        <w:t xml:space="preserve">systematic strategic behavior of a dealer. To this end, we design a bootstrap test for our ManIx </w:t>
      </w:r>
      <w:r w:rsidR="004616AD" w:rsidRPr="002F5246">
        <w:rPr>
          <w:rFonts w:asciiTheme="majorBidi" w:hAnsiTheme="majorBidi" w:cstheme="majorBidi"/>
          <w:szCs w:val="22"/>
          <w:lang w:val="en-US"/>
        </w:rPr>
        <w:t>statistics</w:t>
      </w:r>
      <w:r w:rsidR="00F97073" w:rsidRPr="002F5246">
        <w:rPr>
          <w:rFonts w:asciiTheme="majorBidi" w:hAnsiTheme="majorBidi" w:cstheme="majorBidi"/>
          <w:szCs w:val="22"/>
          <w:lang w:val="en-US"/>
        </w:rPr>
        <w:t xml:space="preserve"> that maintains the same process of price discovery while examining the strategic placement of quotes to mani</w:t>
      </w:r>
      <w:r w:rsidR="00262CF9" w:rsidRPr="002F5246">
        <w:rPr>
          <w:rFonts w:asciiTheme="majorBidi" w:hAnsiTheme="majorBidi" w:cstheme="majorBidi"/>
          <w:szCs w:val="22"/>
          <w:lang w:val="en-US"/>
        </w:rPr>
        <w:t>pulate the fix rate</w:t>
      </w:r>
      <w:r w:rsidRPr="002F5246">
        <w:rPr>
          <w:rFonts w:asciiTheme="majorBidi" w:hAnsiTheme="majorBidi" w:cstheme="majorBidi"/>
          <w:szCs w:val="22"/>
          <w:lang w:val="en-US"/>
        </w:rPr>
        <w:t xml:space="preserve">. </w:t>
      </w:r>
    </w:p>
    <w:p w14:paraId="03BBD759" w14:textId="77777777" w:rsidR="0023300F" w:rsidRPr="002F5246" w:rsidRDefault="00970148" w:rsidP="00CD3316">
      <w:pPr>
        <w:pStyle w:val="Para2"/>
        <w:spacing w:line="480" w:lineRule="auto"/>
      </w:pPr>
      <w:r w:rsidRPr="002F5246">
        <w:t>We run simulations that randomi</w:t>
      </w:r>
      <w:r w:rsidR="00986818" w:rsidRPr="002F5246">
        <w:t>z</w:t>
      </w:r>
      <w:r w:rsidRPr="002F5246">
        <w:t>e dealers’ quoting sequences while maintaining their quoting characteristics (size and direction of the tick movement).</w:t>
      </w:r>
      <w:r w:rsidR="00F96E63" w:rsidRPr="002F5246">
        <w:t xml:space="preserve"> </w:t>
      </w:r>
      <w:r w:rsidRPr="002F5246">
        <w:t xml:space="preserve">Maintaining the number of quotes and the size of tick movement in their quotes control for the potential size effect and information effect that may affect the calculation of </w:t>
      </w:r>
      <w:r w:rsidR="0017110C" w:rsidRPr="002F5246">
        <w:t>ManIx</w:t>
      </w:r>
      <w:r w:rsidRPr="002F5246">
        <w:t>.</w:t>
      </w:r>
      <w:r w:rsidR="00F96E63" w:rsidRPr="002F5246">
        <w:t xml:space="preserve"> </w:t>
      </w:r>
      <w:r w:rsidRPr="002F5246">
        <w:t xml:space="preserve">For example, </w:t>
      </w:r>
      <w:r w:rsidR="00986818" w:rsidRPr="002F5246">
        <w:t xml:space="preserve">for </w:t>
      </w:r>
      <w:r w:rsidRPr="002F5246">
        <w:t>a dealer who quotes more often,</w:t>
      </w:r>
      <w:r w:rsidR="00986818" w:rsidRPr="002F5246">
        <w:t xml:space="preserve"> </w:t>
      </w:r>
      <w:r w:rsidRPr="002F5246">
        <w:t>the</w:t>
      </w:r>
      <w:r w:rsidR="0005115C" w:rsidRPr="002F5246">
        <w:t xml:space="preserve">n </w:t>
      </w:r>
      <w:r w:rsidR="008B7D86" w:rsidRPr="002F5246">
        <w:t>it is</w:t>
      </w:r>
      <w:r w:rsidRPr="002F5246">
        <w:t xml:space="preserve"> more likely that they will have a false positive </w:t>
      </w:r>
      <w:r w:rsidR="0017110C" w:rsidRPr="002F5246">
        <w:t>ManIx</w:t>
      </w:r>
      <w:r w:rsidRPr="002F5246">
        <w:t xml:space="preserve"> by chance.</w:t>
      </w:r>
      <w:r w:rsidR="00F96E63" w:rsidRPr="002F5246">
        <w:t xml:space="preserve"> </w:t>
      </w:r>
      <w:r w:rsidRPr="002F5246">
        <w:t>Comparing the realized ManIx with a bootstrap simulation that maintain</w:t>
      </w:r>
      <w:r w:rsidR="00986818" w:rsidRPr="002F5246">
        <w:t>s</w:t>
      </w:r>
      <w:r w:rsidRPr="002F5246">
        <w:t xml:space="preserve"> such </w:t>
      </w:r>
      <w:r w:rsidR="00986818" w:rsidRPr="002F5246">
        <w:t xml:space="preserve">a </w:t>
      </w:r>
      <w:r w:rsidRPr="002F5246">
        <w:t xml:space="preserve">property will control for such </w:t>
      </w:r>
      <w:r w:rsidR="00986818" w:rsidRPr="002F5246">
        <w:t xml:space="preserve">a </w:t>
      </w:r>
      <w:r w:rsidRPr="002F5246">
        <w:t>potential bias.</w:t>
      </w:r>
      <w:r w:rsidR="00F96E63" w:rsidRPr="002F5246">
        <w:t xml:space="preserve"> </w:t>
      </w:r>
    </w:p>
    <w:p w14:paraId="50EF1F14" w14:textId="584131B2" w:rsidR="00852B60" w:rsidRPr="002F5246" w:rsidRDefault="00970148" w:rsidP="00CD3316">
      <w:pPr>
        <w:pStyle w:val="Para2"/>
        <w:spacing w:line="480" w:lineRule="auto"/>
      </w:pPr>
      <w:r w:rsidRPr="002F5246">
        <w:t>For each day, in each currency pair, we generate 1</w:t>
      </w:r>
      <w:r w:rsidR="004616AD" w:rsidRPr="002F5246">
        <w:t>0</w:t>
      </w:r>
      <w:r w:rsidRPr="002F5246">
        <w:t>,000 series of randomi</w:t>
      </w:r>
      <w:r w:rsidR="0005115C" w:rsidRPr="002F5246">
        <w:t>z</w:t>
      </w:r>
      <w:r w:rsidRPr="002F5246">
        <w:t>ed quotes. All of these randomi</w:t>
      </w:r>
      <w:r w:rsidR="0005115C" w:rsidRPr="002F5246">
        <w:t>z</w:t>
      </w:r>
      <w:r w:rsidRPr="002F5246">
        <w:t>ed sequences have the same total price movement</w:t>
      </w:r>
      <w:r w:rsidR="004616AD" w:rsidRPr="002F5246">
        <w:t>,</w:t>
      </w:r>
      <w:r w:rsidRPr="002F5246">
        <w:t xml:space="preserve"> and dealers maintain their number of quotes and the associated tick movements as the realized sequence in the fixing.</w:t>
      </w:r>
      <w:r w:rsidR="00F96E63" w:rsidRPr="002F5246">
        <w:t xml:space="preserve"> </w:t>
      </w:r>
      <w:r w:rsidRPr="002F5246">
        <w:t>The only thing that changes is the location of the dealers’ quotes in the overall sequence.</w:t>
      </w:r>
      <w:r w:rsidR="00F96E63" w:rsidRPr="002F5246">
        <w:t xml:space="preserve"> </w:t>
      </w:r>
      <w:r w:rsidR="00DA5E5E" w:rsidRPr="002F5246">
        <w:t xml:space="preserve">After </w:t>
      </w:r>
      <w:r w:rsidR="00DA5E5E" w:rsidRPr="002F5246">
        <w:lastRenderedPageBreak/>
        <w:t>generating these series, we calculate the simulated</w:t>
      </w:r>
      <w:r w:rsidR="00DA5E5E" w:rsidRPr="002F5246">
        <w:rPr>
          <w:i/>
          <w:iCs/>
        </w:rPr>
        <w:t xml:space="preserve"> PMQ</w:t>
      </w:r>
      <w:r w:rsidR="00DA5E5E" w:rsidRPr="002F5246">
        <w:t xml:space="preserve"> and </w:t>
      </w:r>
      <w:r w:rsidR="00DA5E5E" w:rsidRPr="002F5246">
        <w:rPr>
          <w:i/>
          <w:iCs/>
        </w:rPr>
        <w:t>ManIx</w:t>
      </w:r>
      <w:r w:rsidR="00DA5E5E" w:rsidRPr="002F5246">
        <w:t xml:space="preserve"> scores for each dealer in that day. </w:t>
      </w:r>
    </w:p>
    <w:p w14:paraId="194F496F" w14:textId="64BD728F" w:rsidR="00F72840" w:rsidRPr="002F5246" w:rsidRDefault="00F72840" w:rsidP="007826B3">
      <w:pPr>
        <w:pStyle w:val="Para2"/>
        <w:spacing w:line="480" w:lineRule="auto"/>
      </w:pPr>
      <w:bookmarkStart w:id="4" w:name="_Hlk513203410"/>
      <w:r w:rsidRPr="002F5246">
        <w:t xml:space="preserve">The design of this verification is to differentiate a dealer’s contribution to price discovery from manipulation. </w:t>
      </w:r>
      <w:bookmarkEnd w:id="4"/>
      <w:r w:rsidRPr="002F5246">
        <w:t xml:space="preserve">The simulated sequences will maintain the same level of contribution to price discovery (the total number of ticks that a dealer would have moved the price) while the timing of the contribution is different. In these simulated sequences, there will be quotes that have </w:t>
      </w:r>
      <w:r w:rsidR="007826B3" w:rsidRPr="002F5246">
        <w:t xml:space="preserve">PMQ </w:t>
      </w:r>
      <w:r w:rsidRPr="002F5246">
        <w:t xml:space="preserve">equal to 1 but are due to randomness. </w:t>
      </w:r>
      <w:bookmarkStart w:id="5" w:name="_Hlk513203489"/>
      <w:r w:rsidRPr="002F5246">
        <w:t>The assumption is that if a dealer is making quotes to time the market so that the median will move towards an intended direction, their realized ManIx for that fixing session will be at the right tail of the ManIx distribution generated from the 10,000 randomized quote sequences; otherwise, the realized ManIx will be indistinct from that of the randomized sequences.</w:t>
      </w:r>
      <w:bookmarkEnd w:id="5"/>
      <w:r w:rsidR="00CF1C74" w:rsidRPr="002F5246">
        <w:t xml:space="preserve"> The point that should be emphasized here is that each dealer’s original ManIx score is compared with its own simulated ManIx score</w:t>
      </w:r>
      <w:r w:rsidR="007D2B4A" w:rsidRPr="002F5246">
        <w:t xml:space="preserve"> generated from the 10,000 randomized sequences</w:t>
      </w:r>
      <w:r w:rsidR="00CF1C74" w:rsidRPr="002F5246">
        <w:t xml:space="preserve">. </w:t>
      </w:r>
      <w:r w:rsidR="002F2E28" w:rsidRPr="002F5246">
        <w:t>In other words, each dealer’s ManIx score is compare to its own simulated ManIx score, not other dealers.</w:t>
      </w:r>
      <w:r w:rsidR="00717787" w:rsidRPr="002F5246">
        <w:t xml:space="preserve"> This comparison in this manner</w:t>
      </w:r>
      <w:r w:rsidR="002F2E28" w:rsidRPr="002F5246">
        <w:t xml:space="preserve"> </w:t>
      </w:r>
      <w:r w:rsidR="00CF1C74" w:rsidRPr="002F5246">
        <w:t xml:space="preserve">controls for the number of quotes </w:t>
      </w:r>
      <w:r w:rsidR="00717787" w:rsidRPr="002F5246">
        <w:t>(</w:t>
      </w:r>
      <w:r w:rsidR="00CF1C74" w:rsidRPr="002F5246">
        <w:t>market share</w:t>
      </w:r>
      <w:r w:rsidR="00717787" w:rsidRPr="002F5246">
        <w:t>)</w:t>
      </w:r>
      <w:r w:rsidR="00CF1C74" w:rsidRPr="002F5246">
        <w:t xml:space="preserve"> </w:t>
      </w:r>
      <w:r w:rsidR="00717787" w:rsidRPr="002F5246">
        <w:t xml:space="preserve">of </w:t>
      </w:r>
      <w:r w:rsidR="00CF1C74" w:rsidRPr="002F5246">
        <w:t>the dealer</w:t>
      </w:r>
      <w:r w:rsidR="00717787" w:rsidRPr="002F5246">
        <w:t xml:space="preserve"> and size effect</w:t>
      </w:r>
      <w:r w:rsidR="00CF1C74" w:rsidRPr="002F5246">
        <w:t>.</w:t>
      </w:r>
      <w:r w:rsidR="00BA773C" w:rsidRPr="002F5246">
        <w:t xml:space="preserve"> </w:t>
      </w:r>
    </w:p>
    <w:p w14:paraId="124A412F" w14:textId="54E971CB" w:rsidR="004265F5" w:rsidRPr="002F5246" w:rsidRDefault="00F72840" w:rsidP="00C07A68">
      <w:pPr>
        <w:pStyle w:val="Para2"/>
        <w:spacing w:line="480" w:lineRule="auto"/>
      </w:pPr>
      <w:r w:rsidRPr="002F5246">
        <w:t xml:space="preserve"> To exemplify the process of the verification phase, consider the following example. Assume five quotes, Q1 to Q5, are disseminated by three dealers, A, B, and C and the sequence of the quotes is given in Table 2. Panel A, demonstrates the original quote series. The subscripts for a dealer demonstrate the sequence of price for that dealer. We start the randomized sequence by keeping the first quote the same as the original sequence, in order to maintain the start and finish prices for all the sequences to be the same as the original one. For instance, Panel B shows an illustration of our randomization.  Q1 to Q5 are randomized as Q1, Q5, Q2, Q3, and Q4.   In order to rebuild the price series after randomization, we apply the price change of the quote in the sequence.</w:t>
      </w:r>
      <w:r w:rsidR="00C07A68" w:rsidRPr="002F5246">
        <w:t xml:space="preserve"> </w:t>
      </w:r>
      <w:r w:rsidRPr="002F5246">
        <w:t xml:space="preserve">For example, the second quote in the randomized series is Q5, which was B2 in the original quote. The corresponding price change for B2 was “-0.1”. Therefore, </w:t>
      </w:r>
      <w:r w:rsidRPr="002F5246">
        <w:lastRenderedPageBreak/>
        <w:t>the price in the randomized series will be the previous price plus the corresponding change, which is equal to 1.8 + (-0.1) = 1.7.  Notice that the total contribution to price discovery of each dealer is maintained.  For example, for dealer B their total contribution to price discovery is zero in both panels (0.1</w:t>
      </w:r>
      <w:r w:rsidR="007518BF" w:rsidRPr="002F5246">
        <w:t xml:space="preserve"> </w:t>
      </w:r>
      <w:r w:rsidRPr="002F5246">
        <w:t>+</w:t>
      </w:r>
      <w:r w:rsidR="007518BF" w:rsidRPr="002F5246">
        <w:t xml:space="preserve"> </w:t>
      </w:r>
      <w:r w:rsidRPr="002F5246">
        <w:t>(-0.1)</w:t>
      </w:r>
      <w:r w:rsidR="007518BF" w:rsidRPr="002F5246">
        <w:t xml:space="preserve"> </w:t>
      </w:r>
      <w:r w:rsidRPr="002F5246">
        <w:t>=</w:t>
      </w:r>
      <w:r w:rsidR="007518BF" w:rsidRPr="002F5246">
        <w:t xml:space="preserve"> </w:t>
      </w:r>
      <w:r w:rsidRPr="002F5246">
        <w:t xml:space="preserve">0).  What is different is the timing of these contributions to the sequence.  If the timing is strategic to manipulate the fixing, a randomization will remove this effect and, therefore, reduce the possibility of generating a positive </w:t>
      </w:r>
      <w:r w:rsidR="005F774B" w:rsidRPr="002F5246">
        <w:t>ManIx</w:t>
      </w:r>
      <w:r w:rsidRPr="002F5246">
        <w:t xml:space="preserve"> signal in the randomization.</w:t>
      </w:r>
      <w:r w:rsidR="004265F5" w:rsidRPr="002F5246">
        <w:t xml:space="preserve"> </w:t>
      </w:r>
    </w:p>
    <w:p w14:paraId="623D7720" w14:textId="42AF980F" w:rsidR="00E65462" w:rsidRPr="002F5246" w:rsidRDefault="00852B60" w:rsidP="00705EB3">
      <w:pPr>
        <w:ind w:firstLine="720"/>
        <w:jc w:val="both"/>
        <w:rPr>
          <w:rFonts w:asciiTheme="majorBidi" w:hAnsiTheme="majorBidi" w:cstheme="majorBidi"/>
          <w:szCs w:val="22"/>
          <w:lang w:val="en-US"/>
        </w:rPr>
      </w:pPr>
      <w:r w:rsidRPr="002F5246">
        <w:rPr>
          <w:rFonts w:asciiTheme="majorBidi" w:hAnsiTheme="majorBidi" w:cstheme="majorBidi"/>
          <w:szCs w:val="22"/>
          <w:lang w:val="en-US"/>
        </w:rPr>
        <w:t xml:space="preserve">For each day, in each currency pair, we generate 10,000 series of </w:t>
      </w:r>
      <w:r w:rsidR="007518BF" w:rsidRPr="002F5246">
        <w:rPr>
          <w:rFonts w:asciiTheme="majorBidi" w:hAnsiTheme="majorBidi" w:cstheme="majorBidi"/>
          <w:szCs w:val="22"/>
          <w:lang w:val="en-US"/>
        </w:rPr>
        <w:t>randomized</w:t>
      </w:r>
      <w:r w:rsidRPr="002F5246">
        <w:rPr>
          <w:rFonts w:asciiTheme="majorBidi" w:hAnsiTheme="majorBidi" w:cstheme="majorBidi"/>
          <w:szCs w:val="22"/>
          <w:lang w:val="en-US"/>
        </w:rPr>
        <w:t xml:space="preserve"> quotes. After generating these series, we calculate the </w:t>
      </w:r>
      <w:r w:rsidRPr="002F5246">
        <w:rPr>
          <w:rFonts w:asciiTheme="majorBidi" w:hAnsiTheme="majorBidi" w:cstheme="majorBidi"/>
          <w:i/>
          <w:iCs/>
          <w:szCs w:val="22"/>
          <w:lang w:val="en-US"/>
        </w:rPr>
        <w:t>PMQ</w:t>
      </w:r>
      <w:r w:rsidRPr="002F5246">
        <w:rPr>
          <w:rFonts w:asciiTheme="majorBidi" w:hAnsiTheme="majorBidi" w:cstheme="majorBidi"/>
          <w:szCs w:val="22"/>
          <w:lang w:val="en-US"/>
        </w:rPr>
        <w:t xml:space="preserve"> and </w:t>
      </w:r>
      <w:r w:rsidRPr="002F5246">
        <w:rPr>
          <w:rFonts w:asciiTheme="majorBidi" w:hAnsiTheme="majorBidi" w:cstheme="majorBidi"/>
          <w:i/>
          <w:iCs/>
          <w:szCs w:val="22"/>
          <w:lang w:val="en-US"/>
        </w:rPr>
        <w:t>ManIx</w:t>
      </w:r>
      <w:r w:rsidRPr="002F5246">
        <w:rPr>
          <w:rFonts w:asciiTheme="majorBidi" w:hAnsiTheme="majorBidi" w:cstheme="majorBidi"/>
          <w:szCs w:val="22"/>
          <w:lang w:val="en-US"/>
        </w:rPr>
        <w:t xml:space="preserve"> score</w:t>
      </w:r>
      <w:r w:rsidR="00705EB3" w:rsidRPr="002F5246">
        <w:rPr>
          <w:rFonts w:asciiTheme="majorBidi" w:hAnsiTheme="majorBidi" w:cstheme="majorBidi"/>
          <w:szCs w:val="22"/>
          <w:lang w:val="en-US"/>
        </w:rPr>
        <w:t>s</w:t>
      </w:r>
      <w:r w:rsidRPr="002F5246">
        <w:rPr>
          <w:rFonts w:asciiTheme="majorBidi" w:hAnsiTheme="majorBidi" w:cstheme="majorBidi"/>
          <w:szCs w:val="22"/>
          <w:lang w:val="en-US"/>
        </w:rPr>
        <w:t xml:space="preserve"> for each of the dealers in that day. To determine whether a dealer’s quoting </w:t>
      </w:r>
      <w:r w:rsidR="007518BF" w:rsidRPr="002F5246">
        <w:rPr>
          <w:rFonts w:asciiTheme="majorBidi" w:hAnsiTheme="majorBidi" w:cstheme="majorBidi"/>
          <w:szCs w:val="22"/>
          <w:lang w:val="en-US"/>
        </w:rPr>
        <w:t>behavior</w:t>
      </w:r>
      <w:r w:rsidRPr="002F5246">
        <w:rPr>
          <w:rFonts w:asciiTheme="majorBidi" w:hAnsiTheme="majorBidi" w:cstheme="majorBidi"/>
          <w:szCs w:val="22"/>
          <w:lang w:val="en-US"/>
        </w:rPr>
        <w:t xml:space="preserve"> was a result of random or strategic quoting, we identify where the original ManIx score lies within the simulated ManIx scores distribution. If the original ManIx score lies within the first top 5% of the simulated ManIx score histogram, </w:t>
      </w:r>
      <w:r w:rsidR="00EE6700" w:rsidRPr="002F5246">
        <w:rPr>
          <w:rFonts w:asciiTheme="majorBidi" w:hAnsiTheme="majorBidi" w:cstheme="majorBidi"/>
          <w:szCs w:val="22"/>
          <w:lang w:val="en-US"/>
        </w:rPr>
        <w:t xml:space="preserve">the </w:t>
      </w:r>
      <w:r w:rsidR="009B4784" w:rsidRPr="002F5246">
        <w:rPr>
          <w:rFonts w:asciiTheme="majorBidi" w:hAnsiTheme="majorBidi" w:cstheme="majorBidi"/>
          <w:szCs w:val="22"/>
          <w:lang w:val="en-US"/>
        </w:rPr>
        <w:t>behavio</w:t>
      </w:r>
      <w:r w:rsidRPr="002F5246">
        <w:rPr>
          <w:rFonts w:asciiTheme="majorBidi" w:hAnsiTheme="majorBidi" w:cstheme="majorBidi"/>
          <w:szCs w:val="22"/>
          <w:lang w:val="en-US"/>
        </w:rPr>
        <w:t xml:space="preserve">r of the dealer </w:t>
      </w:r>
      <w:r w:rsidR="00EE6700" w:rsidRPr="002F5246">
        <w:rPr>
          <w:rFonts w:asciiTheme="majorBidi" w:hAnsiTheme="majorBidi" w:cstheme="majorBidi"/>
          <w:szCs w:val="22"/>
          <w:lang w:val="en-US"/>
        </w:rPr>
        <w:t>on</w:t>
      </w:r>
      <w:r w:rsidRPr="002F5246">
        <w:rPr>
          <w:rFonts w:asciiTheme="majorBidi" w:hAnsiTheme="majorBidi" w:cstheme="majorBidi"/>
          <w:szCs w:val="22"/>
          <w:lang w:val="en-US"/>
        </w:rPr>
        <w:t xml:space="preserve"> that day is classified as </w:t>
      </w:r>
      <w:r w:rsidRPr="002F5246">
        <w:rPr>
          <w:rFonts w:asciiTheme="majorBidi" w:hAnsiTheme="majorBidi"/>
          <w:i/>
          <w:lang w:val="en-US"/>
        </w:rPr>
        <w:t>manipulative</w:t>
      </w:r>
      <w:r w:rsidR="00EE6700" w:rsidRPr="002F5246">
        <w:rPr>
          <w:rFonts w:asciiTheme="majorBidi" w:hAnsiTheme="majorBidi" w:cstheme="majorBidi"/>
          <w:b/>
          <w:bCs/>
          <w:szCs w:val="22"/>
          <w:lang w:val="en-US"/>
        </w:rPr>
        <w:t>,</w:t>
      </w:r>
      <w:r w:rsidRPr="002F5246">
        <w:rPr>
          <w:rFonts w:asciiTheme="majorBidi" w:hAnsiTheme="majorBidi" w:cstheme="majorBidi"/>
          <w:szCs w:val="22"/>
          <w:lang w:val="en-US"/>
        </w:rPr>
        <w:t xml:space="preserve"> otherwise it is classified as random or </w:t>
      </w:r>
      <w:r w:rsidRPr="002F5246">
        <w:rPr>
          <w:rFonts w:asciiTheme="majorBidi" w:hAnsiTheme="majorBidi"/>
          <w:i/>
          <w:lang w:val="en-US"/>
        </w:rPr>
        <w:t>non-manipulative</w:t>
      </w:r>
      <w:r w:rsidRPr="002F5246">
        <w:rPr>
          <w:rFonts w:asciiTheme="majorBidi" w:hAnsiTheme="majorBidi" w:cstheme="majorBidi"/>
          <w:szCs w:val="22"/>
          <w:lang w:val="en-US"/>
        </w:rPr>
        <w:t>.</w:t>
      </w:r>
      <w:r w:rsidR="00631DDE" w:rsidRPr="002F5246">
        <w:rPr>
          <w:rFonts w:asciiTheme="majorBidi" w:hAnsiTheme="majorBidi" w:cstheme="majorBidi"/>
          <w:szCs w:val="22"/>
          <w:lang w:val="en-US"/>
        </w:rPr>
        <w:t xml:space="preserve"> </w:t>
      </w:r>
    </w:p>
    <w:p w14:paraId="453B3D61" w14:textId="77777777" w:rsidR="00067E74" w:rsidRPr="002F5246" w:rsidRDefault="00067E74" w:rsidP="00067E74">
      <w:pPr>
        <w:ind w:firstLine="720"/>
        <w:jc w:val="center"/>
        <w:rPr>
          <w:rFonts w:asciiTheme="majorBidi" w:hAnsiTheme="majorBidi" w:cstheme="majorBidi"/>
          <w:szCs w:val="22"/>
          <w:lang w:val="en-US"/>
        </w:rPr>
      </w:pPr>
    </w:p>
    <w:p w14:paraId="74E7F420" w14:textId="0FA4ED96" w:rsidR="00067E74" w:rsidRPr="002F5246" w:rsidRDefault="00067E74" w:rsidP="00067E74">
      <w:pPr>
        <w:ind w:firstLine="720"/>
        <w:jc w:val="center"/>
        <w:rPr>
          <w:rFonts w:asciiTheme="majorBidi" w:hAnsiTheme="majorBidi" w:cstheme="majorBidi"/>
          <w:szCs w:val="22"/>
          <w:lang w:val="en-US"/>
        </w:rPr>
      </w:pPr>
      <w:r w:rsidRPr="002F5246">
        <w:rPr>
          <w:rFonts w:asciiTheme="majorBidi" w:hAnsiTheme="majorBidi" w:cstheme="majorBidi"/>
          <w:szCs w:val="22"/>
          <w:lang w:val="en-US"/>
        </w:rPr>
        <w:t>[Table 2 Here]</w:t>
      </w:r>
    </w:p>
    <w:p w14:paraId="60B571BB" w14:textId="77777777" w:rsidR="00CD3316" w:rsidRPr="002F5246" w:rsidRDefault="00CD3316" w:rsidP="00275670">
      <w:pPr>
        <w:spacing w:line="360" w:lineRule="auto"/>
        <w:ind w:firstLine="720"/>
        <w:jc w:val="both"/>
        <w:rPr>
          <w:rFonts w:asciiTheme="majorBidi" w:hAnsiTheme="majorBidi" w:cstheme="majorBidi"/>
          <w:szCs w:val="22"/>
          <w:lang w:val="en-US"/>
        </w:rPr>
      </w:pPr>
    </w:p>
    <w:p w14:paraId="3DDDA97B" w14:textId="5A711E9A" w:rsidR="00970148" w:rsidRPr="002F5246" w:rsidRDefault="000F04DC" w:rsidP="00955CA9">
      <w:pPr>
        <w:ind w:firstLine="720"/>
        <w:jc w:val="both"/>
        <w:rPr>
          <w:rFonts w:asciiTheme="majorBidi" w:hAnsiTheme="majorBidi" w:cstheme="majorBidi"/>
          <w:szCs w:val="22"/>
          <w:lang w:val="en-US"/>
        </w:rPr>
      </w:pPr>
      <w:r w:rsidRPr="002F5246">
        <w:rPr>
          <w:rFonts w:asciiTheme="majorBidi" w:hAnsiTheme="majorBidi" w:cstheme="majorBidi"/>
          <w:szCs w:val="22"/>
          <w:lang w:val="en-US"/>
        </w:rPr>
        <w:t>Figure 1 illustrate</w:t>
      </w:r>
      <w:r w:rsidR="00A32369" w:rsidRPr="002F5246">
        <w:rPr>
          <w:rFonts w:asciiTheme="majorBidi" w:hAnsiTheme="majorBidi" w:cstheme="majorBidi"/>
          <w:szCs w:val="22"/>
          <w:lang w:val="en-US"/>
        </w:rPr>
        <w:t>s</w:t>
      </w:r>
      <w:r w:rsidRPr="002F5246">
        <w:rPr>
          <w:rFonts w:asciiTheme="majorBidi" w:hAnsiTheme="majorBidi" w:cstheme="majorBidi"/>
          <w:szCs w:val="22"/>
          <w:lang w:val="en-US"/>
        </w:rPr>
        <w:t xml:space="preserve"> a simulation distribution </w:t>
      </w:r>
      <w:r w:rsidR="00A256B2" w:rsidRPr="002F5246">
        <w:rPr>
          <w:rFonts w:asciiTheme="majorBidi" w:hAnsiTheme="majorBidi" w:cstheme="majorBidi"/>
          <w:szCs w:val="22"/>
          <w:lang w:val="en-US"/>
        </w:rPr>
        <w:t>for ask</w:t>
      </w:r>
      <w:r w:rsidR="00E65462" w:rsidRPr="002F5246">
        <w:rPr>
          <w:rFonts w:asciiTheme="majorBidi" w:hAnsiTheme="majorBidi" w:cstheme="majorBidi"/>
          <w:szCs w:val="22"/>
          <w:lang w:val="en-US"/>
        </w:rPr>
        <w:t xml:space="preserve"> price of</w:t>
      </w:r>
      <w:r w:rsidR="00EE6700" w:rsidRPr="002F5246">
        <w:rPr>
          <w:rFonts w:asciiTheme="majorBidi" w:hAnsiTheme="majorBidi" w:cstheme="majorBidi"/>
          <w:szCs w:val="22"/>
          <w:lang w:val="en-US"/>
        </w:rPr>
        <w:t xml:space="preserve"> </w:t>
      </w:r>
      <w:r w:rsidR="00DC3386" w:rsidRPr="002F5246">
        <w:rPr>
          <w:rFonts w:asciiTheme="majorBidi" w:hAnsiTheme="majorBidi" w:cstheme="majorBidi"/>
          <w:szCs w:val="22"/>
          <w:lang w:val="en-US"/>
        </w:rPr>
        <w:t>R</w:t>
      </w:r>
      <w:r w:rsidRPr="002F5246">
        <w:rPr>
          <w:rFonts w:asciiTheme="majorBidi" w:hAnsiTheme="majorBidi" w:cstheme="majorBidi"/>
          <w:szCs w:val="22"/>
          <w:lang w:val="en-US"/>
        </w:rPr>
        <w:t>BS</w:t>
      </w:r>
      <w:r w:rsidR="00EE6700" w:rsidRPr="002F5246">
        <w:rPr>
          <w:rFonts w:asciiTheme="majorBidi" w:hAnsiTheme="majorBidi" w:cstheme="majorBidi"/>
          <w:szCs w:val="22"/>
          <w:lang w:val="en-US"/>
        </w:rPr>
        <w:t xml:space="preserve"> (</w:t>
      </w:r>
      <w:r w:rsidR="0044464D" w:rsidRPr="002F5246">
        <w:rPr>
          <w:rFonts w:asciiTheme="majorBidi" w:hAnsiTheme="majorBidi" w:cstheme="majorBidi"/>
          <w:szCs w:val="22"/>
          <w:lang w:val="en-US"/>
        </w:rPr>
        <w:t>New York</w:t>
      </w:r>
      <w:r w:rsidR="00E65462" w:rsidRPr="002F5246">
        <w:rPr>
          <w:rFonts w:asciiTheme="majorBidi" w:hAnsiTheme="majorBidi" w:cstheme="majorBidi"/>
          <w:szCs w:val="22"/>
          <w:lang w:val="en-US"/>
        </w:rPr>
        <w:t xml:space="preserve"> branch</w:t>
      </w:r>
      <w:r w:rsidR="00EE6700" w:rsidRPr="002F5246">
        <w:rPr>
          <w:rFonts w:asciiTheme="majorBidi" w:hAnsiTheme="majorBidi" w:cstheme="majorBidi"/>
          <w:szCs w:val="22"/>
          <w:lang w:val="en-US"/>
        </w:rPr>
        <w:t>)</w:t>
      </w:r>
      <w:r w:rsidR="00E65462" w:rsidRPr="002F5246">
        <w:rPr>
          <w:rFonts w:asciiTheme="majorBidi" w:hAnsiTheme="majorBidi" w:cstheme="majorBidi"/>
          <w:szCs w:val="22"/>
          <w:lang w:val="en-US"/>
        </w:rPr>
        <w:t xml:space="preserve"> on </w:t>
      </w:r>
      <w:r w:rsidR="009B4784" w:rsidRPr="002F5246">
        <w:rPr>
          <w:rFonts w:asciiTheme="majorBidi" w:hAnsiTheme="majorBidi" w:cstheme="majorBidi"/>
          <w:szCs w:val="22"/>
          <w:lang w:val="en-US"/>
        </w:rPr>
        <w:t>21</w:t>
      </w:r>
      <w:r w:rsidR="009B4784" w:rsidRPr="002F5246">
        <w:rPr>
          <w:rFonts w:asciiTheme="majorBidi" w:hAnsiTheme="majorBidi" w:cstheme="majorBidi"/>
          <w:szCs w:val="22"/>
          <w:vertAlign w:val="superscript"/>
          <w:lang w:val="en-US"/>
        </w:rPr>
        <w:t>st</w:t>
      </w:r>
      <w:r w:rsidR="009B4784" w:rsidRPr="002F5246">
        <w:rPr>
          <w:rFonts w:asciiTheme="majorBidi" w:hAnsiTheme="majorBidi" w:cstheme="majorBidi"/>
          <w:szCs w:val="22"/>
          <w:lang w:val="en-US"/>
        </w:rPr>
        <w:t xml:space="preserve"> June</w:t>
      </w:r>
      <w:r w:rsidR="00E65462" w:rsidRPr="002F5246">
        <w:rPr>
          <w:rFonts w:asciiTheme="majorBidi" w:hAnsiTheme="majorBidi" w:cstheme="majorBidi"/>
          <w:szCs w:val="22"/>
          <w:lang w:val="en-US"/>
        </w:rPr>
        <w:t xml:space="preserve"> 2013 for </w:t>
      </w:r>
      <w:r w:rsidR="00EE6700" w:rsidRPr="002F5246">
        <w:rPr>
          <w:rFonts w:asciiTheme="majorBidi" w:hAnsiTheme="majorBidi" w:cstheme="majorBidi"/>
          <w:szCs w:val="22"/>
          <w:lang w:val="en-US"/>
        </w:rPr>
        <w:t xml:space="preserve">the </w:t>
      </w:r>
      <w:r w:rsidR="00E65462" w:rsidRPr="002F5246">
        <w:rPr>
          <w:rFonts w:asciiTheme="majorBidi" w:hAnsiTheme="majorBidi" w:cstheme="majorBidi"/>
          <w:szCs w:val="22"/>
          <w:lang w:val="en-US"/>
        </w:rPr>
        <w:t>GBP</w:t>
      </w:r>
      <w:r w:rsidR="00955CA9" w:rsidRPr="002F5246">
        <w:rPr>
          <w:rFonts w:asciiTheme="majorBidi" w:hAnsiTheme="majorBidi" w:cstheme="majorBidi"/>
          <w:szCs w:val="22"/>
          <w:lang w:val="en-US"/>
        </w:rPr>
        <w:t>:</w:t>
      </w:r>
      <w:r w:rsidR="00E65462" w:rsidRPr="002F5246">
        <w:rPr>
          <w:rFonts w:asciiTheme="majorBidi" w:hAnsiTheme="majorBidi" w:cstheme="majorBidi"/>
          <w:szCs w:val="22"/>
          <w:lang w:val="en-US"/>
        </w:rPr>
        <w:t>USD currency pair with the realized ManIx score of 17. Out of the 10,000 simulated ManIx score</w:t>
      </w:r>
      <w:r w:rsidR="00EE6700" w:rsidRPr="002F5246">
        <w:rPr>
          <w:rFonts w:asciiTheme="majorBidi" w:hAnsiTheme="majorBidi" w:cstheme="majorBidi"/>
          <w:szCs w:val="22"/>
          <w:lang w:val="en-US"/>
        </w:rPr>
        <w:t>s</w:t>
      </w:r>
      <w:r w:rsidR="00E65462" w:rsidRPr="002F5246">
        <w:rPr>
          <w:rFonts w:asciiTheme="majorBidi" w:hAnsiTheme="majorBidi" w:cstheme="majorBidi"/>
          <w:szCs w:val="22"/>
          <w:lang w:val="en-US"/>
        </w:rPr>
        <w:t xml:space="preserve">, </w:t>
      </w:r>
      <w:r w:rsidR="00EE6700" w:rsidRPr="002F5246">
        <w:rPr>
          <w:rFonts w:asciiTheme="majorBidi" w:hAnsiTheme="majorBidi" w:cstheme="majorBidi"/>
          <w:szCs w:val="22"/>
          <w:lang w:val="en-US"/>
        </w:rPr>
        <w:t>only</w:t>
      </w:r>
      <w:r w:rsidR="009B4784" w:rsidRPr="002F5246">
        <w:rPr>
          <w:rFonts w:asciiTheme="majorBidi" w:hAnsiTheme="majorBidi" w:cstheme="majorBidi"/>
          <w:szCs w:val="22"/>
          <w:lang w:val="en-US"/>
        </w:rPr>
        <w:t xml:space="preserve"> 0.92% of them are larger</w:t>
      </w:r>
      <w:r w:rsidR="00E65462" w:rsidRPr="002F5246">
        <w:rPr>
          <w:rFonts w:asciiTheme="majorBidi" w:hAnsiTheme="majorBidi" w:cstheme="majorBidi"/>
          <w:szCs w:val="22"/>
          <w:lang w:val="en-US"/>
        </w:rPr>
        <w:t xml:space="preserve"> or equal to the </w:t>
      </w:r>
      <w:r w:rsidR="00E65462" w:rsidRPr="002F5246">
        <w:rPr>
          <w:rFonts w:asciiTheme="majorBidi" w:hAnsiTheme="majorBidi"/>
          <w:lang w:val="en-US"/>
        </w:rPr>
        <w:t>realized ManIx score by the dealer</w:t>
      </w:r>
      <w:r w:rsidR="00E65462" w:rsidRPr="002F5246">
        <w:rPr>
          <w:rFonts w:asciiTheme="majorBidi" w:hAnsiTheme="majorBidi" w:cstheme="majorBidi"/>
          <w:szCs w:val="22"/>
          <w:lang w:val="en-US"/>
        </w:rPr>
        <w:t xml:space="preserve"> on the day. In other words, the original ManIx score, realized by the dealer, lies within the top 5% of the simulated ManIx distribution </w:t>
      </w:r>
      <w:r w:rsidR="00BA773C" w:rsidRPr="002F5246">
        <w:rPr>
          <w:rFonts w:asciiTheme="majorBidi" w:hAnsiTheme="majorBidi" w:cstheme="majorBidi"/>
          <w:szCs w:val="22"/>
          <w:lang w:val="en-US"/>
        </w:rPr>
        <w:t xml:space="preserve">of the dealer </w:t>
      </w:r>
      <w:r w:rsidR="00E65462" w:rsidRPr="002F5246">
        <w:rPr>
          <w:rFonts w:asciiTheme="majorBidi" w:hAnsiTheme="majorBidi" w:cstheme="majorBidi"/>
          <w:szCs w:val="22"/>
          <w:lang w:val="en-US"/>
        </w:rPr>
        <w:t>and</w:t>
      </w:r>
      <w:r w:rsidR="00EE6700" w:rsidRPr="002F5246">
        <w:rPr>
          <w:rFonts w:asciiTheme="majorBidi" w:hAnsiTheme="majorBidi" w:cstheme="majorBidi"/>
          <w:szCs w:val="22"/>
          <w:lang w:val="en-US"/>
        </w:rPr>
        <w:t>,</w:t>
      </w:r>
      <w:r w:rsidR="00E65462" w:rsidRPr="002F5246">
        <w:rPr>
          <w:rFonts w:asciiTheme="majorBidi" w:hAnsiTheme="majorBidi" w:cstheme="majorBidi"/>
          <w:szCs w:val="22"/>
          <w:lang w:val="en-US"/>
        </w:rPr>
        <w:t xml:space="preserve"> consequently</w:t>
      </w:r>
      <w:r w:rsidR="00EE6700" w:rsidRPr="002F5246">
        <w:rPr>
          <w:rFonts w:asciiTheme="majorBidi" w:hAnsiTheme="majorBidi" w:cstheme="majorBidi"/>
          <w:szCs w:val="22"/>
          <w:lang w:val="en-US"/>
        </w:rPr>
        <w:t>,</w:t>
      </w:r>
      <w:r w:rsidR="00E65462" w:rsidRPr="002F5246">
        <w:rPr>
          <w:rFonts w:asciiTheme="majorBidi" w:hAnsiTheme="majorBidi" w:cstheme="majorBidi"/>
          <w:szCs w:val="22"/>
          <w:lang w:val="en-US"/>
        </w:rPr>
        <w:t xml:space="preserve"> we identify the dealer’s ask quotes as manipulative. </w:t>
      </w:r>
    </w:p>
    <w:p w14:paraId="7825A011" w14:textId="77777777" w:rsidR="008D489A" w:rsidRPr="002F5246" w:rsidRDefault="008D489A" w:rsidP="00067E74">
      <w:pPr>
        <w:ind w:firstLine="720"/>
        <w:jc w:val="center"/>
        <w:rPr>
          <w:rFonts w:asciiTheme="majorBidi" w:hAnsiTheme="majorBidi" w:cstheme="majorBidi"/>
          <w:szCs w:val="22"/>
          <w:lang w:val="en-US"/>
        </w:rPr>
      </w:pPr>
    </w:p>
    <w:p w14:paraId="42E13F22" w14:textId="6A37C24B" w:rsidR="00067E74" w:rsidRPr="002F5246" w:rsidRDefault="00067E74" w:rsidP="00067E74">
      <w:pPr>
        <w:ind w:firstLine="720"/>
        <w:jc w:val="center"/>
        <w:rPr>
          <w:rFonts w:asciiTheme="majorBidi" w:hAnsiTheme="majorBidi" w:cstheme="majorBidi"/>
          <w:szCs w:val="22"/>
          <w:lang w:val="en-US"/>
        </w:rPr>
      </w:pPr>
      <w:r w:rsidRPr="002F5246">
        <w:rPr>
          <w:rFonts w:asciiTheme="majorBidi" w:hAnsiTheme="majorBidi" w:cstheme="majorBidi"/>
          <w:szCs w:val="22"/>
          <w:lang w:val="en-US"/>
        </w:rPr>
        <w:t>[Figure 1 Here]</w:t>
      </w:r>
    </w:p>
    <w:p w14:paraId="253972C0" w14:textId="3F333B10" w:rsidR="009055CF" w:rsidRPr="002F5246" w:rsidRDefault="00215A42" w:rsidP="00986175">
      <w:pPr>
        <w:pStyle w:val="Heading1"/>
        <w:rPr>
          <w:lang w:val="en-US"/>
        </w:rPr>
      </w:pPr>
      <w:r w:rsidRPr="002F5246">
        <w:rPr>
          <w:lang w:val="en-US"/>
        </w:rPr>
        <w:lastRenderedPageBreak/>
        <w:t>4</w:t>
      </w:r>
      <w:r w:rsidR="009055CF" w:rsidRPr="002F5246">
        <w:rPr>
          <w:lang w:val="en-US"/>
        </w:rPr>
        <w:t xml:space="preserve">. Results and Discussion </w:t>
      </w:r>
    </w:p>
    <w:p w14:paraId="27F3EB3F" w14:textId="0A09870E" w:rsidR="009055CF" w:rsidRPr="002F5246" w:rsidRDefault="00215A42" w:rsidP="00AB0FCA">
      <w:pPr>
        <w:pStyle w:val="Heading2"/>
        <w:rPr>
          <w:lang w:val="en-US"/>
        </w:rPr>
      </w:pPr>
      <w:r w:rsidRPr="002F5246">
        <w:rPr>
          <w:lang w:val="en-US"/>
        </w:rPr>
        <w:t>4.1</w:t>
      </w:r>
      <w:r w:rsidR="009055CF" w:rsidRPr="002F5246">
        <w:rPr>
          <w:lang w:val="en-US"/>
        </w:rPr>
        <w:t>. An Overview of Fix Rate Discovery</w:t>
      </w:r>
    </w:p>
    <w:p w14:paraId="19C48528" w14:textId="4D190C3D" w:rsidR="00443545" w:rsidRPr="002F5246" w:rsidRDefault="009055CF" w:rsidP="0005111B">
      <w:pPr>
        <w:pStyle w:val="para1"/>
        <w:ind w:firstLine="720"/>
        <w:rPr>
          <w:rFonts w:asciiTheme="majorBidi" w:hAnsiTheme="majorBidi" w:cstheme="majorBidi"/>
          <w:szCs w:val="22"/>
          <w:lang w:val="en-US"/>
        </w:rPr>
      </w:pPr>
      <w:r w:rsidRPr="002F5246">
        <w:rPr>
          <w:rFonts w:asciiTheme="majorBidi" w:hAnsiTheme="majorBidi" w:cstheme="majorBidi"/>
          <w:szCs w:val="22"/>
          <w:lang w:val="en-US"/>
        </w:rPr>
        <w:t xml:space="preserve">Table </w:t>
      </w:r>
      <w:r w:rsidR="00E65462" w:rsidRPr="002F5246">
        <w:rPr>
          <w:rFonts w:asciiTheme="majorBidi" w:hAnsiTheme="majorBidi" w:cstheme="majorBidi"/>
          <w:szCs w:val="22"/>
          <w:lang w:val="en-US"/>
        </w:rPr>
        <w:t>3</w:t>
      </w:r>
      <w:r w:rsidRPr="002F5246">
        <w:rPr>
          <w:rFonts w:asciiTheme="majorBidi" w:hAnsiTheme="majorBidi" w:cstheme="majorBidi"/>
          <w:szCs w:val="22"/>
          <w:lang w:val="en-US"/>
        </w:rPr>
        <w:t xml:space="preserve"> reports the daily distribution of the average </w:t>
      </w:r>
      <w:r w:rsidR="00883B7F" w:rsidRPr="002F5246">
        <w:rPr>
          <w:rFonts w:asciiTheme="majorBidi" w:hAnsiTheme="majorBidi" w:cstheme="majorBidi"/>
          <w:szCs w:val="22"/>
          <w:lang w:val="en-US"/>
        </w:rPr>
        <w:t xml:space="preserve">PMQ </w:t>
      </w:r>
      <w:r w:rsidRPr="002F5246">
        <w:rPr>
          <w:rFonts w:asciiTheme="majorBidi" w:hAnsiTheme="majorBidi" w:cstheme="majorBidi"/>
          <w:szCs w:val="22"/>
          <w:lang w:val="en-US"/>
        </w:rPr>
        <w:t xml:space="preserve">per quote. For each day, the average </w:t>
      </w:r>
      <w:r w:rsidR="00883B7F" w:rsidRPr="002F5246">
        <w:rPr>
          <w:rFonts w:asciiTheme="majorBidi" w:hAnsiTheme="majorBidi" w:cstheme="majorBidi"/>
          <w:szCs w:val="22"/>
          <w:lang w:val="en-US"/>
        </w:rPr>
        <w:t xml:space="preserve">PMQ </w:t>
      </w:r>
      <w:r w:rsidRPr="002F5246">
        <w:rPr>
          <w:rFonts w:asciiTheme="majorBidi" w:hAnsiTheme="majorBidi" w:cstheme="majorBidi"/>
          <w:szCs w:val="22"/>
          <w:lang w:val="en-US"/>
        </w:rPr>
        <w:t>is calculated for each currency pair using all quotes.</w:t>
      </w:r>
      <w:r w:rsidR="00F96E63" w:rsidRPr="002F5246">
        <w:rPr>
          <w:rFonts w:asciiTheme="majorBidi" w:hAnsiTheme="majorBidi" w:cstheme="majorBidi"/>
          <w:szCs w:val="22"/>
          <w:lang w:val="en-US"/>
        </w:rPr>
        <w:t xml:space="preserve"> </w:t>
      </w:r>
      <w:r w:rsidRPr="002F5246">
        <w:rPr>
          <w:rFonts w:asciiTheme="majorBidi" w:hAnsiTheme="majorBidi" w:cstheme="majorBidi"/>
          <w:szCs w:val="22"/>
          <w:lang w:val="en-US"/>
        </w:rPr>
        <w:t xml:space="preserve">Such per quote averages give an idea of the frequency of quotes that are captured as </w:t>
      </w:r>
      <w:r w:rsidR="00705EB3" w:rsidRPr="002F5246">
        <w:rPr>
          <w:rFonts w:asciiTheme="majorBidi" w:hAnsiTheme="majorBidi" w:cstheme="majorBidi"/>
          <w:szCs w:val="22"/>
          <w:lang w:val="en-US"/>
        </w:rPr>
        <w:t xml:space="preserve">potentially </w:t>
      </w:r>
      <w:r w:rsidRPr="002F5246">
        <w:rPr>
          <w:rFonts w:asciiTheme="majorBidi" w:hAnsiTheme="majorBidi" w:cstheme="majorBidi"/>
          <w:szCs w:val="22"/>
          <w:lang w:val="en-US"/>
        </w:rPr>
        <w:t xml:space="preserve">manipulative by the ManIx. Panel A shows that on average the number of quotes that are deemed to be </w:t>
      </w:r>
      <w:r w:rsidR="00705EB3" w:rsidRPr="002F5246">
        <w:rPr>
          <w:rFonts w:asciiTheme="majorBidi" w:hAnsiTheme="majorBidi" w:cstheme="majorBidi"/>
          <w:szCs w:val="22"/>
          <w:lang w:val="en-US"/>
        </w:rPr>
        <w:t xml:space="preserve">potentially </w:t>
      </w:r>
      <w:r w:rsidRPr="002F5246">
        <w:rPr>
          <w:rFonts w:asciiTheme="majorBidi" w:hAnsiTheme="majorBidi" w:cstheme="majorBidi"/>
          <w:szCs w:val="22"/>
          <w:lang w:val="en-US"/>
        </w:rPr>
        <w:t>manipulative range from 1</w:t>
      </w:r>
      <w:r w:rsidR="00A57115" w:rsidRPr="002F5246">
        <w:rPr>
          <w:rFonts w:asciiTheme="majorBidi" w:hAnsiTheme="majorBidi" w:cstheme="majorBidi"/>
          <w:szCs w:val="22"/>
          <w:lang w:val="en-US"/>
        </w:rPr>
        <w:t>3</w:t>
      </w:r>
      <w:r w:rsidRPr="002F5246">
        <w:rPr>
          <w:rFonts w:asciiTheme="majorBidi" w:hAnsiTheme="majorBidi" w:cstheme="majorBidi"/>
          <w:szCs w:val="22"/>
          <w:lang w:val="en-US"/>
        </w:rPr>
        <w:t xml:space="preserve"> (1</w:t>
      </w:r>
      <w:r w:rsidR="00A57115" w:rsidRPr="002F5246">
        <w:rPr>
          <w:rFonts w:asciiTheme="majorBidi" w:hAnsiTheme="majorBidi" w:cstheme="majorBidi"/>
          <w:szCs w:val="22"/>
          <w:lang w:val="en-US"/>
        </w:rPr>
        <w:t>1</w:t>
      </w:r>
      <w:r w:rsidRPr="002F5246">
        <w:rPr>
          <w:rFonts w:asciiTheme="majorBidi" w:hAnsiTheme="majorBidi" w:cstheme="majorBidi"/>
          <w:szCs w:val="22"/>
          <w:lang w:val="en-US"/>
        </w:rPr>
        <w:t>) to 22 (21) percent for the Ask (Bid) price.</w:t>
      </w:r>
      <w:r w:rsidR="00F96E63" w:rsidRPr="002F5246">
        <w:rPr>
          <w:rFonts w:asciiTheme="majorBidi" w:hAnsiTheme="majorBidi" w:cstheme="majorBidi"/>
          <w:szCs w:val="22"/>
          <w:lang w:val="en-US"/>
        </w:rPr>
        <w:t xml:space="preserve"> </w:t>
      </w:r>
      <w:r w:rsidRPr="002F5246">
        <w:rPr>
          <w:rFonts w:asciiTheme="majorBidi" w:hAnsiTheme="majorBidi" w:cstheme="majorBidi"/>
          <w:szCs w:val="22"/>
          <w:lang w:val="en-US"/>
        </w:rPr>
        <w:t xml:space="preserve">For instance, the daily mean of the average </w:t>
      </w:r>
      <w:r w:rsidR="00883B7F" w:rsidRPr="002F5246">
        <w:rPr>
          <w:rFonts w:asciiTheme="majorBidi" w:hAnsiTheme="majorBidi" w:cstheme="majorBidi"/>
          <w:szCs w:val="22"/>
          <w:lang w:val="en-US"/>
        </w:rPr>
        <w:t xml:space="preserve">PMQ </w:t>
      </w:r>
      <w:r w:rsidRPr="002F5246">
        <w:rPr>
          <w:rFonts w:asciiTheme="majorBidi" w:hAnsiTheme="majorBidi" w:cstheme="majorBidi"/>
          <w:szCs w:val="22"/>
          <w:lang w:val="en-US"/>
        </w:rPr>
        <w:t>per quote is 0.1334 for EUR</w:t>
      </w:r>
      <w:r w:rsidR="00955CA9" w:rsidRPr="002F5246">
        <w:rPr>
          <w:rFonts w:asciiTheme="majorBidi" w:hAnsiTheme="majorBidi" w:cstheme="majorBidi"/>
          <w:szCs w:val="22"/>
          <w:lang w:val="en-US"/>
        </w:rPr>
        <w:t>:</w:t>
      </w:r>
      <w:r w:rsidRPr="002F5246">
        <w:rPr>
          <w:rFonts w:asciiTheme="majorBidi" w:hAnsiTheme="majorBidi" w:cstheme="majorBidi"/>
          <w:szCs w:val="22"/>
          <w:lang w:val="en-US"/>
        </w:rPr>
        <w:t xml:space="preserve">GBP. This </w:t>
      </w:r>
      <w:r w:rsidR="003627BE" w:rsidRPr="002F5246">
        <w:rPr>
          <w:rFonts w:asciiTheme="majorBidi" w:hAnsiTheme="majorBidi" w:cstheme="majorBidi"/>
          <w:szCs w:val="22"/>
          <w:lang w:val="en-US"/>
        </w:rPr>
        <w:t>means that on average, almost, 1 out of 7.5</w:t>
      </w:r>
      <w:r w:rsidRPr="002F5246">
        <w:rPr>
          <w:rFonts w:asciiTheme="majorBidi" w:hAnsiTheme="majorBidi" w:cstheme="majorBidi"/>
          <w:szCs w:val="22"/>
          <w:lang w:val="en-US"/>
        </w:rPr>
        <w:t xml:space="preserve"> quotes coincide with our manipulation definition.</w:t>
      </w:r>
      <w:r w:rsidR="00FD606C" w:rsidRPr="002F5246">
        <w:rPr>
          <w:rStyle w:val="EndnoteReference"/>
          <w:rFonts w:asciiTheme="majorBidi" w:hAnsiTheme="majorBidi" w:cstheme="majorBidi"/>
          <w:szCs w:val="22"/>
          <w:lang w:val="en-US"/>
        </w:rPr>
        <w:endnoteReference w:id="17"/>
      </w:r>
      <w:r w:rsidRPr="002F5246">
        <w:rPr>
          <w:rFonts w:asciiTheme="majorBidi" w:hAnsiTheme="majorBidi" w:cstheme="majorBidi"/>
          <w:szCs w:val="22"/>
          <w:lang w:val="en-US"/>
        </w:rPr>
        <w:t xml:space="preserve"> </w:t>
      </w:r>
    </w:p>
    <w:p w14:paraId="125FC961" w14:textId="77777777" w:rsidR="00067E74" w:rsidRPr="002F5246" w:rsidRDefault="00067E74" w:rsidP="00CD3316">
      <w:pPr>
        <w:pStyle w:val="para1"/>
        <w:ind w:firstLine="720"/>
        <w:rPr>
          <w:rFonts w:asciiTheme="majorBidi" w:hAnsiTheme="majorBidi" w:cstheme="majorBidi"/>
          <w:szCs w:val="22"/>
          <w:lang w:val="en-US"/>
        </w:rPr>
      </w:pPr>
    </w:p>
    <w:p w14:paraId="4BC0B3EC" w14:textId="179A37EA" w:rsidR="00BD3628" w:rsidRPr="002F5246" w:rsidRDefault="00067E74" w:rsidP="00067E74">
      <w:pPr>
        <w:pStyle w:val="para1"/>
        <w:ind w:firstLine="720"/>
        <w:jc w:val="center"/>
        <w:rPr>
          <w:rFonts w:asciiTheme="majorBidi" w:hAnsiTheme="majorBidi" w:cstheme="majorBidi"/>
          <w:szCs w:val="22"/>
          <w:lang w:val="en-US"/>
        </w:rPr>
      </w:pPr>
      <w:r w:rsidRPr="002F5246">
        <w:rPr>
          <w:rFonts w:asciiTheme="majorBidi" w:hAnsiTheme="majorBidi" w:cstheme="majorBidi"/>
          <w:szCs w:val="22"/>
          <w:lang w:val="en-US"/>
        </w:rPr>
        <w:t>[Table 3 Here]</w:t>
      </w:r>
    </w:p>
    <w:p w14:paraId="1A3C0ABE" w14:textId="7D540D16" w:rsidR="007628EF" w:rsidRPr="002F5246" w:rsidRDefault="00215A42" w:rsidP="00AB0FCA">
      <w:pPr>
        <w:pStyle w:val="Heading2"/>
        <w:rPr>
          <w:lang w:val="en-US"/>
        </w:rPr>
      </w:pPr>
      <w:r w:rsidRPr="002F5246">
        <w:rPr>
          <w:lang w:val="en-US"/>
        </w:rPr>
        <w:t>4.2</w:t>
      </w:r>
      <w:r w:rsidR="00751A73" w:rsidRPr="002F5246">
        <w:rPr>
          <w:lang w:val="en-US"/>
        </w:rPr>
        <w:t xml:space="preserve">. </w:t>
      </w:r>
      <w:r w:rsidR="00160B74" w:rsidRPr="002F5246">
        <w:rPr>
          <w:lang w:val="en-US"/>
        </w:rPr>
        <w:t>ManIx and</w:t>
      </w:r>
      <w:r w:rsidR="00C967D3" w:rsidRPr="002F5246">
        <w:rPr>
          <w:lang w:val="en-US"/>
        </w:rPr>
        <w:t xml:space="preserve"> </w:t>
      </w:r>
      <w:r w:rsidR="00B16377" w:rsidRPr="002F5246">
        <w:rPr>
          <w:lang w:val="en-US"/>
        </w:rPr>
        <w:t xml:space="preserve">Regulatory </w:t>
      </w:r>
      <w:r w:rsidR="00BC0214" w:rsidRPr="002F5246">
        <w:rPr>
          <w:lang w:val="en-US"/>
        </w:rPr>
        <w:t>Investigations</w:t>
      </w:r>
    </w:p>
    <w:p w14:paraId="113414E7" w14:textId="70A43432" w:rsidR="00705EB3" w:rsidRPr="002F5246" w:rsidRDefault="00C33802" w:rsidP="00DA3B87">
      <w:pPr>
        <w:pStyle w:val="Para2"/>
        <w:spacing w:line="480" w:lineRule="auto"/>
        <w:rPr>
          <w:lang w:bidi="fa-IR"/>
        </w:rPr>
      </w:pPr>
      <w:r w:rsidRPr="002F5246">
        <w:rPr>
          <w:lang w:bidi="fa-IR"/>
        </w:rPr>
        <w:t>Table</w:t>
      </w:r>
      <w:r w:rsidR="00A8058B" w:rsidRPr="002F5246">
        <w:rPr>
          <w:lang w:bidi="fa-IR"/>
        </w:rPr>
        <w:t xml:space="preserve"> </w:t>
      </w:r>
      <w:r w:rsidR="00114E11" w:rsidRPr="002F5246">
        <w:rPr>
          <w:lang w:bidi="fa-IR"/>
        </w:rPr>
        <w:t>4</w:t>
      </w:r>
      <w:r w:rsidR="004C2E90" w:rsidRPr="002F5246">
        <w:rPr>
          <w:lang w:bidi="fa-IR"/>
        </w:rPr>
        <w:t>, panel A,</w:t>
      </w:r>
      <w:r w:rsidR="00BC0214" w:rsidRPr="002F5246">
        <w:rPr>
          <w:lang w:bidi="fa-IR"/>
        </w:rPr>
        <w:t xml:space="preserve"> </w:t>
      </w:r>
      <w:r w:rsidR="00DC1B9C" w:rsidRPr="002F5246">
        <w:rPr>
          <w:lang w:bidi="fa-IR"/>
        </w:rPr>
        <w:t>reports</w:t>
      </w:r>
      <w:r w:rsidRPr="002F5246">
        <w:rPr>
          <w:lang w:bidi="fa-IR"/>
        </w:rPr>
        <w:t xml:space="preserve"> the </w:t>
      </w:r>
      <w:r w:rsidR="00E7648F" w:rsidRPr="002F5246">
        <w:rPr>
          <w:lang w:bidi="fa-IR"/>
        </w:rPr>
        <w:t>dealers</w:t>
      </w:r>
      <w:r w:rsidR="00C967D3" w:rsidRPr="002F5246">
        <w:rPr>
          <w:lang w:bidi="fa-IR"/>
        </w:rPr>
        <w:t xml:space="preserve"> with significant ManIx</w:t>
      </w:r>
      <w:r w:rsidR="00FD5EFE" w:rsidRPr="002F5246">
        <w:rPr>
          <w:lang w:bidi="fa-IR"/>
        </w:rPr>
        <w:t xml:space="preserve"> that are identified as manipulator after verification phase</w:t>
      </w:r>
      <w:r w:rsidR="00C967D3" w:rsidRPr="002F5246">
        <w:rPr>
          <w:lang w:bidi="fa-IR"/>
        </w:rPr>
        <w:t>.</w:t>
      </w:r>
      <w:r w:rsidR="00E7648F" w:rsidRPr="002F5246">
        <w:rPr>
          <w:lang w:bidi="fa-IR"/>
        </w:rPr>
        <w:t xml:space="preserve"> </w:t>
      </w:r>
      <w:r w:rsidR="008B7D86" w:rsidRPr="002F5246">
        <w:t>If the realized ManIx score lies within the top 5% of the simulated ManIx score, the dealer’s behavior in that day is classified as manipulative, otherwise it is classified as random or non-manipulative.</w:t>
      </w:r>
      <w:r w:rsidR="005978B1" w:rsidRPr="002F5246">
        <w:t xml:space="preserve"> </w:t>
      </w:r>
      <w:r w:rsidR="005978B1" w:rsidRPr="002F5246">
        <w:rPr>
          <w:lang w:bidi="fa-IR"/>
        </w:rPr>
        <w:t>The highlighted dealers are the dealers that are also identified by regulatory investigations as manipulators.</w:t>
      </w:r>
      <w:r w:rsidR="008B7D86" w:rsidRPr="002F5246">
        <w:t xml:space="preserve"> </w:t>
      </w:r>
      <w:r w:rsidR="004471AB" w:rsidRPr="002F5246">
        <w:rPr>
          <w:lang w:bidi="fa-IR"/>
        </w:rPr>
        <w:t xml:space="preserve">In </w:t>
      </w:r>
      <w:r w:rsidR="009B3D85" w:rsidRPr="002F5246">
        <w:rPr>
          <w:lang w:bidi="fa-IR"/>
        </w:rPr>
        <w:t xml:space="preserve">terms of the </w:t>
      </w:r>
      <w:r w:rsidR="004471AB" w:rsidRPr="002F5246">
        <w:rPr>
          <w:lang w:bidi="fa-IR"/>
        </w:rPr>
        <w:t>EUR</w:t>
      </w:r>
      <w:r w:rsidR="00A57115" w:rsidRPr="002F5246">
        <w:rPr>
          <w:lang w:bidi="fa-IR"/>
        </w:rPr>
        <w:t>:</w:t>
      </w:r>
      <w:r w:rsidR="004471AB" w:rsidRPr="002F5246">
        <w:rPr>
          <w:lang w:bidi="fa-IR"/>
        </w:rPr>
        <w:t>GBP, EUR</w:t>
      </w:r>
      <w:r w:rsidR="00A57115" w:rsidRPr="002F5246">
        <w:rPr>
          <w:lang w:bidi="fa-IR"/>
        </w:rPr>
        <w:t>:</w:t>
      </w:r>
      <w:r w:rsidR="004471AB" w:rsidRPr="002F5246">
        <w:rPr>
          <w:lang w:bidi="fa-IR"/>
        </w:rPr>
        <w:t>JPY, EUR</w:t>
      </w:r>
      <w:r w:rsidR="00A57115" w:rsidRPr="002F5246">
        <w:rPr>
          <w:lang w:bidi="fa-IR"/>
        </w:rPr>
        <w:t>:</w:t>
      </w:r>
      <w:r w:rsidR="004471AB" w:rsidRPr="002F5246">
        <w:rPr>
          <w:lang w:bidi="fa-IR"/>
        </w:rPr>
        <w:t>USD</w:t>
      </w:r>
      <w:r w:rsidR="00A57115" w:rsidRPr="002F5246">
        <w:rPr>
          <w:lang w:bidi="fa-IR"/>
        </w:rPr>
        <w:t>, GBP:</w:t>
      </w:r>
      <w:r w:rsidR="004471AB" w:rsidRPr="002F5246">
        <w:rPr>
          <w:lang w:bidi="fa-IR"/>
        </w:rPr>
        <w:t>USD, and USD</w:t>
      </w:r>
      <w:r w:rsidR="00A57115" w:rsidRPr="002F5246">
        <w:rPr>
          <w:lang w:bidi="fa-IR"/>
        </w:rPr>
        <w:t>:</w:t>
      </w:r>
      <w:r w:rsidR="004471AB" w:rsidRPr="002F5246">
        <w:rPr>
          <w:lang w:bidi="fa-IR"/>
        </w:rPr>
        <w:t xml:space="preserve">JPY currency pairs we identify </w:t>
      </w:r>
      <w:r w:rsidR="00FB591E" w:rsidRPr="002F5246">
        <w:rPr>
          <w:lang w:bidi="fa-IR"/>
        </w:rPr>
        <w:t>7</w:t>
      </w:r>
      <w:r w:rsidR="004471AB" w:rsidRPr="002F5246">
        <w:rPr>
          <w:lang w:bidi="fa-IR"/>
        </w:rPr>
        <w:t xml:space="preserve">, </w:t>
      </w:r>
      <w:r w:rsidR="00FB591E" w:rsidRPr="002F5246">
        <w:rPr>
          <w:lang w:bidi="fa-IR"/>
        </w:rPr>
        <w:t>6</w:t>
      </w:r>
      <w:r w:rsidR="004471AB" w:rsidRPr="002F5246">
        <w:rPr>
          <w:lang w:bidi="fa-IR"/>
        </w:rPr>
        <w:t xml:space="preserve">, </w:t>
      </w:r>
      <w:r w:rsidR="00FB591E" w:rsidRPr="002F5246">
        <w:rPr>
          <w:lang w:bidi="fa-IR"/>
        </w:rPr>
        <w:t>5</w:t>
      </w:r>
      <w:r w:rsidR="004471AB" w:rsidRPr="002F5246">
        <w:rPr>
          <w:lang w:bidi="fa-IR"/>
        </w:rPr>
        <w:t xml:space="preserve">, </w:t>
      </w:r>
      <w:r w:rsidR="00FB591E" w:rsidRPr="002F5246">
        <w:rPr>
          <w:lang w:bidi="fa-IR"/>
        </w:rPr>
        <w:t>7</w:t>
      </w:r>
      <w:r w:rsidR="004471AB" w:rsidRPr="002F5246">
        <w:rPr>
          <w:lang w:bidi="fa-IR"/>
        </w:rPr>
        <w:t xml:space="preserve">, and </w:t>
      </w:r>
      <w:r w:rsidR="00FB591E" w:rsidRPr="002F5246">
        <w:rPr>
          <w:lang w:bidi="fa-IR"/>
        </w:rPr>
        <w:t xml:space="preserve">3 </w:t>
      </w:r>
      <w:r w:rsidR="004471AB" w:rsidRPr="002F5246">
        <w:rPr>
          <w:lang w:bidi="fa-IR"/>
        </w:rPr>
        <w:t>dealers</w:t>
      </w:r>
      <w:r w:rsidR="008C2AB5" w:rsidRPr="002F5246">
        <w:rPr>
          <w:lang w:bidi="fa-IR"/>
        </w:rPr>
        <w:t>, respectively,</w:t>
      </w:r>
      <w:r w:rsidR="004471AB" w:rsidRPr="002F5246">
        <w:rPr>
          <w:lang w:bidi="fa-IR"/>
        </w:rPr>
        <w:t xml:space="preserve"> who</w:t>
      </w:r>
      <w:r w:rsidR="005348B3" w:rsidRPr="002F5246">
        <w:rPr>
          <w:lang w:bidi="fa-IR"/>
        </w:rPr>
        <w:t xml:space="preserve"> exhibited manipulative </w:t>
      </w:r>
      <w:r w:rsidR="008A5291" w:rsidRPr="002F5246">
        <w:rPr>
          <w:lang w:bidi="fa-IR"/>
        </w:rPr>
        <w:t>behavio</w:t>
      </w:r>
      <w:r w:rsidR="00A46662" w:rsidRPr="002F5246">
        <w:rPr>
          <w:lang w:bidi="fa-IR"/>
        </w:rPr>
        <w:t>r</w:t>
      </w:r>
      <w:r w:rsidR="004471AB" w:rsidRPr="002F5246">
        <w:rPr>
          <w:lang w:bidi="fa-IR"/>
        </w:rPr>
        <w:t xml:space="preserve">. </w:t>
      </w:r>
      <w:r w:rsidR="002F41B1" w:rsidRPr="002F5246">
        <w:rPr>
          <w:lang w:bidi="fa-IR"/>
        </w:rPr>
        <w:t xml:space="preserve">The number of days that </w:t>
      </w:r>
      <w:r w:rsidR="007D3238" w:rsidRPr="002F5246">
        <w:rPr>
          <w:lang w:bidi="fa-IR"/>
        </w:rPr>
        <w:t xml:space="preserve">dealers </w:t>
      </w:r>
      <w:r w:rsidR="002F41B1" w:rsidRPr="002F5246">
        <w:rPr>
          <w:lang w:bidi="fa-IR"/>
        </w:rPr>
        <w:t>have manipulated the market varies amongst the dealers.</w:t>
      </w:r>
      <w:r w:rsidR="00D11A9E" w:rsidRPr="002F5246">
        <w:rPr>
          <w:rStyle w:val="EndnoteReference"/>
          <w:lang w:bidi="fa-IR"/>
        </w:rPr>
        <w:endnoteReference w:id="18"/>
      </w:r>
      <w:r w:rsidR="002F41B1" w:rsidRPr="002F5246">
        <w:rPr>
          <w:lang w:bidi="fa-IR"/>
        </w:rPr>
        <w:t xml:space="preserve"> In all the currency pairs, Barclays and the Royal Bank of Scotland, both London and New York branches, Rabobank, and Societe Generale demonstrate considerably greater manipulative behavior than other dealers.</w:t>
      </w:r>
      <w:r w:rsidR="005978B1" w:rsidRPr="002F5246">
        <w:rPr>
          <w:lang w:bidi="fa-IR"/>
        </w:rPr>
        <w:t xml:space="preserve"> </w:t>
      </w:r>
    </w:p>
    <w:p w14:paraId="5320C5D5" w14:textId="41F86938" w:rsidR="002D4415" w:rsidRPr="002F5246" w:rsidRDefault="00215D0B" w:rsidP="00A2088C">
      <w:pPr>
        <w:pStyle w:val="Para2"/>
        <w:spacing w:line="480" w:lineRule="auto"/>
        <w:rPr>
          <w:lang w:bidi="fa-IR"/>
        </w:rPr>
      </w:pPr>
      <w:r w:rsidRPr="002F5246">
        <w:rPr>
          <w:lang w:bidi="fa-IR"/>
        </w:rPr>
        <w:t xml:space="preserve">Table 4, </w:t>
      </w:r>
      <w:r w:rsidR="00B94577" w:rsidRPr="002F5246">
        <w:rPr>
          <w:lang w:bidi="fa-IR"/>
        </w:rPr>
        <w:t>panel</w:t>
      </w:r>
      <w:r w:rsidRPr="002F5246">
        <w:rPr>
          <w:lang w:bidi="fa-IR"/>
        </w:rPr>
        <w:t xml:space="preserve"> A, raises two question</w:t>
      </w:r>
      <w:r w:rsidR="00EC1B70" w:rsidRPr="002F5246">
        <w:rPr>
          <w:lang w:bidi="fa-IR"/>
        </w:rPr>
        <w:t>s</w:t>
      </w:r>
      <w:r w:rsidRPr="002F5246">
        <w:rPr>
          <w:lang w:bidi="fa-IR"/>
        </w:rPr>
        <w:t xml:space="preserve">. </w:t>
      </w:r>
      <w:r w:rsidR="00EC1B70" w:rsidRPr="002F5246">
        <w:rPr>
          <w:lang w:bidi="fa-IR"/>
        </w:rPr>
        <w:t>The f</w:t>
      </w:r>
      <w:r w:rsidRPr="002F5246">
        <w:rPr>
          <w:lang w:bidi="fa-IR"/>
        </w:rPr>
        <w:t>irs</w:t>
      </w:r>
      <w:r w:rsidR="00B94577" w:rsidRPr="002F5246">
        <w:rPr>
          <w:lang w:bidi="fa-IR"/>
        </w:rPr>
        <w:t xml:space="preserve">t question is that </w:t>
      </w:r>
      <w:r w:rsidRPr="002F5246">
        <w:rPr>
          <w:lang w:bidi="fa-IR"/>
        </w:rPr>
        <w:t xml:space="preserve">whether the identified </w:t>
      </w:r>
      <w:r w:rsidR="00B94577" w:rsidRPr="002F5246">
        <w:rPr>
          <w:lang w:bidi="fa-IR"/>
        </w:rPr>
        <w:t xml:space="preserve">dealers as </w:t>
      </w:r>
      <w:r w:rsidRPr="002F5246">
        <w:rPr>
          <w:lang w:bidi="fa-IR"/>
        </w:rPr>
        <w:t xml:space="preserve">manipulators are the dealers that </w:t>
      </w:r>
      <w:r w:rsidR="007B7792" w:rsidRPr="002F5246">
        <w:rPr>
          <w:lang w:bidi="fa-IR"/>
        </w:rPr>
        <w:t>have higher quote activity</w:t>
      </w:r>
      <w:r w:rsidR="00B94577" w:rsidRPr="002F5246">
        <w:rPr>
          <w:lang w:bidi="fa-IR"/>
        </w:rPr>
        <w:t xml:space="preserve">. Table 4, panel B, shows </w:t>
      </w:r>
      <w:r w:rsidR="007B7792" w:rsidRPr="002F5246">
        <w:rPr>
          <w:lang w:bidi="fa-IR"/>
        </w:rPr>
        <w:lastRenderedPageBreak/>
        <w:t xml:space="preserve">in general this the case. For example, </w:t>
      </w:r>
      <w:r w:rsidR="00447395" w:rsidRPr="002F5246">
        <w:rPr>
          <w:lang w:bidi="fa-IR"/>
        </w:rPr>
        <w:t>the most active dealer in these currency pairs (RBS-NYC) has the highest frequency of manipulative behavior</w:t>
      </w:r>
      <w:r w:rsidR="000127B3" w:rsidRPr="002F5246">
        <w:rPr>
          <w:lang w:bidi="fa-IR"/>
        </w:rPr>
        <w:t>.</w:t>
      </w:r>
      <w:r w:rsidR="00447395" w:rsidRPr="002F5246">
        <w:rPr>
          <w:lang w:bidi="fa-IR"/>
        </w:rPr>
        <w:t xml:space="preserve"> The second question is </w:t>
      </w:r>
      <w:r w:rsidR="00B34F85" w:rsidRPr="002F5246">
        <w:rPr>
          <w:lang w:bidi="fa-IR"/>
        </w:rPr>
        <w:t xml:space="preserve">whether </w:t>
      </w:r>
      <w:r w:rsidR="00447395" w:rsidRPr="002F5246">
        <w:rPr>
          <w:lang w:bidi="fa-IR"/>
        </w:rPr>
        <w:t xml:space="preserve">dealers’ quoting activity changes before and within the fixing period. To answer this </w:t>
      </w:r>
      <w:r w:rsidR="008B3821" w:rsidRPr="002F5246">
        <w:rPr>
          <w:lang w:bidi="fa-IR"/>
        </w:rPr>
        <w:t>question,</w:t>
      </w:r>
      <w:r w:rsidR="00B34F85" w:rsidRPr="002F5246">
        <w:rPr>
          <w:lang w:bidi="fa-IR"/>
        </w:rPr>
        <w:t xml:space="preserve"> we calculate the average number of quotes per minute for each dealer</w:t>
      </w:r>
      <w:r w:rsidR="001F721F" w:rsidRPr="002F5246">
        <w:rPr>
          <w:lang w:bidi="fa-IR"/>
        </w:rPr>
        <w:t xml:space="preserve"> and in total</w:t>
      </w:r>
      <w:r w:rsidR="00B34F85" w:rsidRPr="002F5246">
        <w:rPr>
          <w:lang w:bidi="fa-IR"/>
        </w:rPr>
        <w:t xml:space="preserve"> from15:30 to 15:58 </w:t>
      </w:r>
      <w:r w:rsidR="001B4571" w:rsidRPr="002F5246">
        <w:rPr>
          <w:szCs w:val="24"/>
        </w:rPr>
        <w:t>refereeing to as non-fix period</w:t>
      </w:r>
      <w:r w:rsidR="00A2088C" w:rsidRPr="002F5246">
        <w:rPr>
          <w:rStyle w:val="EndnoteReference"/>
          <w:lang w:bidi="fa-IR"/>
        </w:rPr>
        <w:endnoteReference w:id="19"/>
      </w:r>
      <w:r w:rsidR="001B4571" w:rsidRPr="002F5246">
        <w:rPr>
          <w:szCs w:val="24"/>
        </w:rPr>
        <w:t xml:space="preserve"> </w:t>
      </w:r>
      <w:r w:rsidR="00B34F85" w:rsidRPr="002F5246">
        <w:rPr>
          <w:lang w:bidi="fa-IR"/>
        </w:rPr>
        <w:t xml:space="preserve">and compare it with the average number of quotes in the fixing window. The highlighted cells in panel B show that a dealer’s </w:t>
      </w:r>
      <w:r w:rsidR="008F00B5" w:rsidRPr="002F5246">
        <w:rPr>
          <w:lang w:bidi="fa-IR"/>
        </w:rPr>
        <w:t xml:space="preserve">average </w:t>
      </w:r>
      <w:r w:rsidR="00B34F85" w:rsidRPr="002F5246">
        <w:rPr>
          <w:lang w:bidi="fa-IR"/>
        </w:rPr>
        <w:t xml:space="preserve">quoting frequency </w:t>
      </w:r>
      <w:r w:rsidR="008F00B5" w:rsidRPr="002F5246">
        <w:rPr>
          <w:lang w:bidi="fa-IR"/>
        </w:rPr>
        <w:t xml:space="preserve">statistically </w:t>
      </w:r>
      <w:r w:rsidR="00B34F85" w:rsidRPr="002F5246">
        <w:rPr>
          <w:lang w:bidi="fa-IR"/>
        </w:rPr>
        <w:t xml:space="preserve">significantly changes before and within the fixing window. This is </w:t>
      </w:r>
      <w:r w:rsidR="008F00B5" w:rsidRPr="002F5246">
        <w:rPr>
          <w:lang w:bidi="fa-IR"/>
        </w:rPr>
        <w:t xml:space="preserve">mainly </w:t>
      </w:r>
      <w:r w:rsidR="00B34F85" w:rsidRPr="002F5246">
        <w:rPr>
          <w:lang w:bidi="fa-IR"/>
        </w:rPr>
        <w:t>the case for the dealer</w:t>
      </w:r>
      <w:r w:rsidR="008F00B5" w:rsidRPr="002F5246">
        <w:rPr>
          <w:lang w:bidi="fa-IR"/>
        </w:rPr>
        <w:t>s who are identified as manipulators in panel A.</w:t>
      </w:r>
    </w:p>
    <w:p w14:paraId="73CCB217" w14:textId="052341F8" w:rsidR="00E565B6" w:rsidRPr="002F5246" w:rsidRDefault="008F00B5" w:rsidP="00725D9B">
      <w:pPr>
        <w:pStyle w:val="Para2"/>
        <w:spacing w:line="480" w:lineRule="auto"/>
        <w:rPr>
          <w:lang w:bidi="fa-IR"/>
        </w:rPr>
      </w:pPr>
      <w:r w:rsidRPr="002F5246">
        <w:rPr>
          <w:lang w:bidi="fa-IR"/>
        </w:rPr>
        <w:t xml:space="preserve"> </w:t>
      </w:r>
      <w:r w:rsidR="002D4415" w:rsidRPr="002F5246">
        <w:rPr>
          <w:lang w:bidi="fa-IR"/>
        </w:rPr>
        <w:t>Overall</w:t>
      </w:r>
      <w:r w:rsidR="008F2DD2" w:rsidRPr="002F5246">
        <w:rPr>
          <w:lang w:bidi="fa-IR"/>
        </w:rPr>
        <w:t xml:space="preserve">, out of 69 dealers in our dataset, 32 </w:t>
      </w:r>
      <w:r w:rsidR="008B3821" w:rsidRPr="002F5246">
        <w:rPr>
          <w:lang w:bidi="fa-IR"/>
        </w:rPr>
        <w:t>dealers</w:t>
      </w:r>
      <w:r w:rsidR="008F2DD2" w:rsidRPr="002F5246">
        <w:rPr>
          <w:lang w:bidi="fa-IR"/>
        </w:rPr>
        <w:t xml:space="preserve"> exhibit different quoting behavior before and within the fixing window. However, the behavior change is not always only increase in dealers’ quoting frequency. There are instances that some dealers reduce their quoting frequency within the fixing window relative to the period before it. </w:t>
      </w:r>
      <w:r w:rsidRPr="002F5246">
        <w:rPr>
          <w:lang w:bidi="fa-IR"/>
        </w:rPr>
        <w:t xml:space="preserve">This </w:t>
      </w:r>
      <w:r w:rsidR="003C4DE0" w:rsidRPr="002F5246">
        <w:rPr>
          <w:lang w:bidi="fa-IR"/>
        </w:rPr>
        <w:t xml:space="preserve">finding </w:t>
      </w:r>
      <w:r w:rsidRPr="002F5246">
        <w:rPr>
          <w:lang w:bidi="fa-IR"/>
        </w:rPr>
        <w:t xml:space="preserve">serves as some evidence of intent to manipulate the fix </w:t>
      </w:r>
      <w:r w:rsidR="008B3821" w:rsidRPr="002F5246">
        <w:rPr>
          <w:lang w:bidi="fa-IR"/>
        </w:rPr>
        <w:t>rate;</w:t>
      </w:r>
      <w:r w:rsidRPr="002F5246">
        <w:rPr>
          <w:lang w:bidi="fa-IR"/>
        </w:rPr>
        <w:t xml:space="preserve"> however, this is neither sufficient nor necessary. This evidence further demonstrates the need for development of ManIx </w:t>
      </w:r>
      <w:r w:rsidR="008F2DD2" w:rsidRPr="002F5246">
        <w:rPr>
          <w:lang w:bidi="fa-IR"/>
        </w:rPr>
        <w:t>algorithm</w:t>
      </w:r>
      <w:r w:rsidRPr="002F5246">
        <w:rPr>
          <w:lang w:bidi="fa-IR"/>
        </w:rPr>
        <w:t>.</w:t>
      </w:r>
      <w:r w:rsidR="008F2DD2" w:rsidRPr="002F5246">
        <w:rPr>
          <w:lang w:bidi="fa-IR"/>
        </w:rPr>
        <w:t xml:space="preserve"> </w:t>
      </w:r>
      <w:r w:rsidR="001F721F" w:rsidRPr="002F5246">
        <w:rPr>
          <w:lang w:bidi="fa-IR"/>
        </w:rPr>
        <w:t>Finally, the total row in panel B, demonstrates the average number of quotes per minute from15:30 to 15:58 and the fixing window. In line with Evans (2018) finding, for all currency pairs we observe a statistically significant increase in number of quotes in fixing window relative to the period before.</w:t>
      </w:r>
    </w:p>
    <w:p w14:paraId="4D8D1D53" w14:textId="51E5A73F" w:rsidR="00305F2C" w:rsidRPr="002F5246" w:rsidRDefault="00BC0214" w:rsidP="00CD3316">
      <w:pPr>
        <w:pStyle w:val="Para2"/>
        <w:spacing w:line="480" w:lineRule="auto"/>
        <w:rPr>
          <w:lang w:bidi="fa-IR"/>
        </w:rPr>
      </w:pPr>
      <w:r w:rsidRPr="002F5246">
        <w:rPr>
          <w:lang w:bidi="fa-IR"/>
        </w:rPr>
        <w:t xml:space="preserve">Table </w:t>
      </w:r>
      <w:r w:rsidR="002E59B4" w:rsidRPr="002F5246">
        <w:rPr>
          <w:lang w:bidi="fa-IR"/>
        </w:rPr>
        <w:t>4</w:t>
      </w:r>
      <w:r w:rsidR="004C2E90" w:rsidRPr="002F5246">
        <w:rPr>
          <w:lang w:bidi="fa-IR"/>
        </w:rPr>
        <w:t>, panel A,</w:t>
      </w:r>
      <w:r w:rsidRPr="002F5246">
        <w:rPr>
          <w:lang w:bidi="fa-IR"/>
        </w:rPr>
        <w:t xml:space="preserve"> provides a short list that can gui</w:t>
      </w:r>
      <w:r w:rsidR="00A32369" w:rsidRPr="002F5246">
        <w:rPr>
          <w:lang w:bidi="fa-IR"/>
        </w:rPr>
        <w:t xml:space="preserve">de </w:t>
      </w:r>
      <w:r w:rsidRPr="002F5246">
        <w:rPr>
          <w:lang w:bidi="fa-IR"/>
        </w:rPr>
        <w:t xml:space="preserve">regulators </w:t>
      </w:r>
      <w:r w:rsidR="00A32369" w:rsidRPr="002F5246">
        <w:rPr>
          <w:lang w:bidi="fa-IR"/>
        </w:rPr>
        <w:t xml:space="preserve">in </w:t>
      </w:r>
      <w:r w:rsidRPr="002F5246">
        <w:rPr>
          <w:lang w:bidi="fa-IR"/>
        </w:rPr>
        <w:t>their potential investigation</w:t>
      </w:r>
      <w:r w:rsidR="00A32369" w:rsidRPr="002F5246">
        <w:rPr>
          <w:lang w:bidi="fa-IR"/>
        </w:rPr>
        <w:t>s</w:t>
      </w:r>
      <w:r w:rsidRPr="002F5246">
        <w:rPr>
          <w:lang w:bidi="fa-IR"/>
        </w:rPr>
        <w:t xml:space="preserve"> </w:t>
      </w:r>
      <w:r w:rsidR="00A32369" w:rsidRPr="002F5246">
        <w:rPr>
          <w:lang w:bidi="fa-IR"/>
        </w:rPr>
        <w:t>of</w:t>
      </w:r>
      <w:r w:rsidRPr="002F5246">
        <w:rPr>
          <w:lang w:bidi="fa-IR"/>
        </w:rPr>
        <w:t xml:space="preserve"> manipulation.</w:t>
      </w:r>
      <w:r w:rsidR="00F96E63" w:rsidRPr="002F5246">
        <w:rPr>
          <w:lang w:bidi="fa-IR"/>
        </w:rPr>
        <w:t xml:space="preserve"> </w:t>
      </w:r>
      <w:r w:rsidRPr="002F5246">
        <w:rPr>
          <w:lang w:bidi="fa-IR"/>
        </w:rPr>
        <w:t>How can this list be verified and</w:t>
      </w:r>
      <w:r w:rsidR="00A32369" w:rsidRPr="002F5246">
        <w:rPr>
          <w:lang w:bidi="fa-IR"/>
        </w:rPr>
        <w:t>,</w:t>
      </w:r>
      <w:r w:rsidRPr="002F5246">
        <w:rPr>
          <w:lang w:bidi="fa-IR"/>
        </w:rPr>
        <w:t xml:space="preserve"> therefore</w:t>
      </w:r>
      <w:r w:rsidR="00A32369" w:rsidRPr="002F5246">
        <w:rPr>
          <w:lang w:bidi="fa-IR"/>
        </w:rPr>
        <w:t>,</w:t>
      </w:r>
      <w:r w:rsidRPr="002F5246">
        <w:rPr>
          <w:lang w:bidi="fa-IR"/>
        </w:rPr>
        <w:t xml:space="preserve"> provid</w:t>
      </w:r>
      <w:r w:rsidR="00A32369" w:rsidRPr="002F5246">
        <w:rPr>
          <w:lang w:bidi="fa-IR"/>
        </w:rPr>
        <w:t>e</w:t>
      </w:r>
      <w:r w:rsidRPr="002F5246">
        <w:rPr>
          <w:lang w:bidi="fa-IR"/>
        </w:rPr>
        <w:t xml:space="preserve"> evidence for the validity of our methodology?</w:t>
      </w:r>
      <w:r w:rsidR="00F96E63" w:rsidRPr="002F5246">
        <w:rPr>
          <w:lang w:bidi="fa-IR"/>
        </w:rPr>
        <w:t xml:space="preserve"> </w:t>
      </w:r>
      <w:r w:rsidRPr="002F5246">
        <w:rPr>
          <w:lang w:bidi="fa-IR"/>
        </w:rPr>
        <w:t>It is unlikely to be able to identify manipulation using p</w:t>
      </w:r>
      <w:r w:rsidR="003627BE" w:rsidRPr="002F5246">
        <w:rPr>
          <w:lang w:bidi="fa-IR"/>
        </w:rPr>
        <w:t>ublicly available data (even ex-</w:t>
      </w:r>
      <w:r w:rsidRPr="002F5246">
        <w:rPr>
          <w:lang w:bidi="fa-IR"/>
        </w:rPr>
        <w:t xml:space="preserve">post) as we discussed </w:t>
      </w:r>
      <w:r w:rsidR="008B3821" w:rsidRPr="002F5246">
        <w:rPr>
          <w:lang w:bidi="fa-IR"/>
        </w:rPr>
        <w:t>earlier,</w:t>
      </w:r>
      <w:r w:rsidRPr="002F5246">
        <w:rPr>
          <w:lang w:bidi="fa-IR"/>
        </w:rPr>
        <w:t xml:space="preserve"> and this is one of our motivation</w:t>
      </w:r>
      <w:r w:rsidR="00A32369" w:rsidRPr="002F5246">
        <w:rPr>
          <w:lang w:bidi="fa-IR"/>
        </w:rPr>
        <w:t>s</w:t>
      </w:r>
      <w:r w:rsidRPr="002F5246">
        <w:rPr>
          <w:lang w:bidi="fa-IR"/>
        </w:rPr>
        <w:t xml:space="preserve"> </w:t>
      </w:r>
      <w:r w:rsidR="00A32369" w:rsidRPr="002F5246">
        <w:rPr>
          <w:lang w:bidi="fa-IR"/>
        </w:rPr>
        <w:t xml:space="preserve">behind </w:t>
      </w:r>
      <w:r w:rsidRPr="002F5246">
        <w:rPr>
          <w:lang w:bidi="fa-IR"/>
        </w:rPr>
        <w:t>develop</w:t>
      </w:r>
      <w:r w:rsidR="00A32369" w:rsidRPr="002F5246">
        <w:rPr>
          <w:lang w:bidi="fa-IR"/>
        </w:rPr>
        <w:t>ing</w:t>
      </w:r>
      <w:r w:rsidRPr="002F5246">
        <w:rPr>
          <w:lang w:bidi="fa-IR"/>
        </w:rPr>
        <w:t xml:space="preserve"> ManIx.</w:t>
      </w:r>
      <w:r w:rsidR="00F96E63" w:rsidRPr="002F5246">
        <w:rPr>
          <w:lang w:bidi="fa-IR"/>
        </w:rPr>
        <w:t xml:space="preserve"> </w:t>
      </w:r>
      <w:r w:rsidRPr="002F5246">
        <w:rPr>
          <w:lang w:bidi="fa-IR"/>
        </w:rPr>
        <w:t>The manipulative behavior can only be identified and confirmed through detailed investigation with access to private trade and chat records.</w:t>
      </w:r>
      <w:r w:rsidR="00F96E63" w:rsidRPr="002F5246">
        <w:rPr>
          <w:lang w:bidi="fa-IR"/>
        </w:rPr>
        <w:t xml:space="preserve"> </w:t>
      </w:r>
      <w:r w:rsidRPr="002F5246">
        <w:rPr>
          <w:lang w:bidi="fa-IR"/>
        </w:rPr>
        <w:t>Such investigation</w:t>
      </w:r>
      <w:r w:rsidR="00A15EF6" w:rsidRPr="002F5246">
        <w:rPr>
          <w:lang w:bidi="fa-IR"/>
        </w:rPr>
        <w:t>s</w:t>
      </w:r>
      <w:r w:rsidRPr="002F5246">
        <w:rPr>
          <w:lang w:bidi="fa-IR"/>
        </w:rPr>
        <w:t xml:space="preserve"> </w:t>
      </w:r>
      <w:r w:rsidR="00A15EF6" w:rsidRPr="002F5246">
        <w:rPr>
          <w:lang w:bidi="fa-IR"/>
        </w:rPr>
        <w:t>are</w:t>
      </w:r>
      <w:r w:rsidRPr="002F5246">
        <w:rPr>
          <w:lang w:bidi="fa-IR"/>
        </w:rPr>
        <w:t xml:space="preserve"> costly to both regulator</w:t>
      </w:r>
      <w:r w:rsidR="00A32369" w:rsidRPr="002F5246">
        <w:rPr>
          <w:lang w:bidi="fa-IR"/>
        </w:rPr>
        <w:t>s</w:t>
      </w:r>
      <w:r w:rsidRPr="002F5246">
        <w:rPr>
          <w:lang w:bidi="fa-IR"/>
        </w:rPr>
        <w:t xml:space="preserve"> and bank</w:t>
      </w:r>
      <w:r w:rsidR="00A15EF6" w:rsidRPr="002F5246">
        <w:rPr>
          <w:lang w:bidi="fa-IR"/>
        </w:rPr>
        <w:t>s and</w:t>
      </w:r>
      <w:r w:rsidR="008B7D86" w:rsidRPr="002F5246">
        <w:rPr>
          <w:lang w:bidi="fa-IR"/>
        </w:rPr>
        <w:t>, therefore</w:t>
      </w:r>
      <w:r w:rsidR="00A15EF6" w:rsidRPr="002F5246">
        <w:rPr>
          <w:lang w:bidi="fa-IR"/>
        </w:rPr>
        <w:t>,</w:t>
      </w:r>
      <w:r w:rsidRPr="002F5246">
        <w:rPr>
          <w:lang w:bidi="fa-IR"/>
        </w:rPr>
        <w:t xml:space="preserve"> if ManIx can act as an effective </w:t>
      </w:r>
      <w:r w:rsidRPr="002F5246">
        <w:rPr>
          <w:lang w:bidi="fa-IR"/>
        </w:rPr>
        <w:lastRenderedPageBreak/>
        <w:t>monitoring system it will help direct the limited regulatory resource to more targeted investigation</w:t>
      </w:r>
      <w:r w:rsidR="00A15EF6" w:rsidRPr="002F5246">
        <w:rPr>
          <w:lang w:bidi="fa-IR"/>
        </w:rPr>
        <w:t>s</w:t>
      </w:r>
      <w:r w:rsidRPr="002F5246">
        <w:rPr>
          <w:lang w:bidi="fa-IR"/>
        </w:rPr>
        <w:t>.</w:t>
      </w:r>
      <w:r w:rsidR="00F96E63" w:rsidRPr="002F5246">
        <w:rPr>
          <w:lang w:bidi="fa-IR"/>
        </w:rPr>
        <w:t xml:space="preserve"> </w:t>
      </w:r>
      <w:r w:rsidRPr="002F5246">
        <w:rPr>
          <w:lang w:bidi="fa-IR"/>
        </w:rPr>
        <w:t>To validate our measure, we compile a table of banks that ha</w:t>
      </w:r>
      <w:r w:rsidR="000214AF" w:rsidRPr="002F5246">
        <w:rPr>
          <w:lang w:bidi="fa-IR"/>
        </w:rPr>
        <w:t>ve</w:t>
      </w:r>
      <w:r w:rsidRPr="002F5246">
        <w:rPr>
          <w:lang w:bidi="fa-IR"/>
        </w:rPr>
        <w:t xml:space="preserve"> been investigated and fine</w:t>
      </w:r>
      <w:r w:rsidR="00A15EF6" w:rsidRPr="002F5246">
        <w:rPr>
          <w:lang w:bidi="fa-IR"/>
        </w:rPr>
        <w:t>d</w:t>
      </w:r>
      <w:r w:rsidRPr="002F5246">
        <w:rPr>
          <w:lang w:bidi="fa-IR"/>
        </w:rPr>
        <w:t>.</w:t>
      </w:r>
      <w:r w:rsidR="00F96E63" w:rsidRPr="002F5246">
        <w:rPr>
          <w:lang w:bidi="fa-IR"/>
        </w:rPr>
        <w:t xml:space="preserve"> </w:t>
      </w:r>
    </w:p>
    <w:p w14:paraId="05B4F950" w14:textId="0D6FB052" w:rsidR="006445D2" w:rsidRPr="002F5246" w:rsidRDefault="006445D2" w:rsidP="00FA7135">
      <w:pPr>
        <w:pStyle w:val="Para2"/>
        <w:spacing w:line="480" w:lineRule="auto"/>
        <w:rPr>
          <w:lang w:bidi="fa-IR"/>
        </w:rPr>
      </w:pPr>
      <w:r w:rsidRPr="002F5246">
        <w:rPr>
          <w:lang w:bidi="fa-IR"/>
        </w:rPr>
        <w:t xml:space="preserve">Table 5 reports a collection of fines imposed on to the banks following the investigations and law suits around the globe. It shows that most of the investigations have happened in the UK and US. </w:t>
      </w:r>
      <w:r w:rsidR="001F437B" w:rsidRPr="002F5246">
        <w:rPr>
          <w:lang w:bidi="fa-IR"/>
        </w:rPr>
        <w:t>For example</w:t>
      </w:r>
      <w:r w:rsidR="001F437B" w:rsidRPr="002F5246">
        <w:t>, t</w:t>
      </w:r>
      <w:r w:rsidRPr="002F5246">
        <w:t>he</w:t>
      </w:r>
      <w:r w:rsidRPr="002F5246">
        <w:rPr>
          <w:lang w:bidi="fa-IR"/>
        </w:rPr>
        <w:t xml:space="preserve"> UK</w:t>
      </w:r>
      <w:r w:rsidR="00FA7135" w:rsidRPr="002F5246">
        <w:rPr>
          <w:lang w:bidi="fa-IR"/>
        </w:rPr>
        <w:t>’s</w:t>
      </w:r>
      <w:r w:rsidRPr="002F5246">
        <w:rPr>
          <w:lang w:bidi="fa-IR"/>
        </w:rPr>
        <w:t xml:space="preserve"> Financial Conduct Authority (FCA) fined </w:t>
      </w:r>
      <w:r w:rsidRPr="002F5246">
        <w:t xml:space="preserve">five banks $1.7 billion </w:t>
      </w:r>
      <w:r w:rsidRPr="002F5246">
        <w:rPr>
          <w:lang w:bidi="fa-IR"/>
        </w:rPr>
        <w:t>for manipulating the WMR benchmark</w:t>
      </w:r>
      <w:r w:rsidRPr="002F5246">
        <w:t xml:space="preserve"> in November 2014 and </w:t>
      </w:r>
      <w:r w:rsidR="00941690" w:rsidRPr="002F5246">
        <w:rPr>
          <w:lang w:bidi="fa-IR"/>
        </w:rPr>
        <w:t>Barclays $441 in May 2015 (FCA</w:t>
      </w:r>
      <w:r w:rsidRPr="002F5246">
        <w:rPr>
          <w:lang w:bidi="fa-IR"/>
        </w:rPr>
        <w:t xml:space="preserve"> 2014e; 2015)</w:t>
      </w:r>
      <w:r w:rsidR="00CC3DF7" w:rsidRPr="002F5246">
        <w:rPr>
          <w:rStyle w:val="FootnoteReference"/>
          <w:vertAlign w:val="baseline"/>
          <w:lang w:bidi="fa-IR"/>
        </w:rPr>
        <w:t>.</w:t>
      </w:r>
      <w:r w:rsidR="001D74DE" w:rsidRPr="002F5246">
        <w:rPr>
          <w:rStyle w:val="EndnoteReference"/>
          <w:lang w:bidi="fa-IR"/>
        </w:rPr>
        <w:endnoteReference w:id="20"/>
      </w:r>
      <w:r w:rsidR="00CC3DF7" w:rsidRPr="002F5246">
        <w:rPr>
          <w:rStyle w:val="FootnoteReference"/>
          <w:vertAlign w:val="baseline"/>
        </w:rPr>
        <w:t xml:space="preserve"> </w:t>
      </w:r>
      <w:r w:rsidRPr="002F5246">
        <w:rPr>
          <w:lang w:bidi="fa-IR"/>
        </w:rPr>
        <w:t>In the US, the Commodity and Future Trading Commission (CFTC) fined five banks: Citibank, HSBC, JPMorgan, RBS, and UBS a total of $1.4 billion in November 2014 and Barclays for</w:t>
      </w:r>
      <w:r w:rsidR="00B00DCD" w:rsidRPr="002F5246">
        <w:rPr>
          <w:lang w:bidi="fa-IR"/>
        </w:rPr>
        <w:t xml:space="preserve"> $400 million in May 2015 (CFTC</w:t>
      </w:r>
      <w:r w:rsidRPr="002F5246">
        <w:rPr>
          <w:lang w:bidi="fa-IR"/>
        </w:rPr>
        <w:t xml:space="preserve"> 2014; 2015). </w:t>
      </w:r>
    </w:p>
    <w:p w14:paraId="155C0192" w14:textId="5EDEE3E4" w:rsidR="006445D2" w:rsidRPr="002F5246" w:rsidRDefault="006445D2" w:rsidP="00CD3316">
      <w:pPr>
        <w:pStyle w:val="Para2"/>
        <w:spacing w:line="480" w:lineRule="auto"/>
        <w:ind w:firstLine="0"/>
        <w:rPr>
          <w:lang w:bidi="fa-IR"/>
        </w:rPr>
      </w:pPr>
    </w:p>
    <w:p w14:paraId="6A255692" w14:textId="5AA1E86C" w:rsidR="00E759E6" w:rsidRPr="002F5246" w:rsidRDefault="00E759E6" w:rsidP="00E759E6">
      <w:pPr>
        <w:pStyle w:val="Para2"/>
        <w:spacing w:line="480" w:lineRule="auto"/>
        <w:ind w:firstLine="0"/>
        <w:jc w:val="center"/>
        <w:rPr>
          <w:lang w:bidi="fa-IR"/>
        </w:rPr>
      </w:pPr>
      <w:r w:rsidRPr="002F5246">
        <w:rPr>
          <w:lang w:bidi="fa-IR"/>
        </w:rPr>
        <w:t>[Table 4 Here]</w:t>
      </w:r>
    </w:p>
    <w:p w14:paraId="4AAF33C6" w14:textId="1BEA25D7" w:rsidR="00CE74C2" w:rsidRPr="002F5246" w:rsidRDefault="00CE74C2" w:rsidP="00CE74C2">
      <w:pPr>
        <w:pStyle w:val="Para2"/>
        <w:spacing w:line="480" w:lineRule="auto"/>
        <w:ind w:firstLine="0"/>
        <w:jc w:val="center"/>
        <w:rPr>
          <w:lang w:bidi="fa-IR"/>
        </w:rPr>
      </w:pPr>
      <w:r w:rsidRPr="002F5246">
        <w:rPr>
          <w:lang w:bidi="fa-IR"/>
        </w:rPr>
        <w:t>[Table 5 Here]</w:t>
      </w:r>
    </w:p>
    <w:p w14:paraId="0CAC241F" w14:textId="3E5DBD61" w:rsidR="001C144C" w:rsidRPr="002F5246" w:rsidRDefault="00810E0B" w:rsidP="001C144C">
      <w:pPr>
        <w:pStyle w:val="Para2"/>
        <w:spacing w:line="480" w:lineRule="auto"/>
        <w:rPr>
          <w:lang w:bidi="fa-IR"/>
        </w:rPr>
      </w:pPr>
      <w:r w:rsidRPr="002F5246">
        <w:rPr>
          <w:lang w:bidi="fa-IR"/>
        </w:rPr>
        <w:t>The regulatory investigations are being followed by lawsuits from investors against involved banks in WMR</w:t>
      </w:r>
      <w:r w:rsidR="00E909E3" w:rsidRPr="002F5246">
        <w:rPr>
          <w:lang w:bidi="fa-IR"/>
        </w:rPr>
        <w:t xml:space="preserve"> </w:t>
      </w:r>
      <w:r w:rsidRPr="002F5246">
        <w:rPr>
          <w:lang w:bidi="fa-IR"/>
        </w:rPr>
        <w:t xml:space="preserve">fix rate manipulation. In a lawsuit brought by </w:t>
      </w:r>
      <w:r w:rsidR="00E909E3" w:rsidRPr="002F5246">
        <w:rPr>
          <w:lang w:bidi="fa-IR"/>
        </w:rPr>
        <w:t xml:space="preserve">the </w:t>
      </w:r>
      <w:r w:rsidRPr="002F5246">
        <w:rPr>
          <w:lang w:bidi="fa-IR"/>
        </w:rPr>
        <w:t>Scott and Scott law firm against involved banks: Barclays, RBS, and UBS settled with their investor</w:t>
      </w:r>
      <w:r w:rsidR="00C448D1" w:rsidRPr="002F5246">
        <w:rPr>
          <w:lang w:bidi="fa-IR"/>
        </w:rPr>
        <w:t>s</w:t>
      </w:r>
      <w:r w:rsidRPr="002F5246">
        <w:rPr>
          <w:lang w:bidi="fa-IR"/>
        </w:rPr>
        <w:t xml:space="preserve"> for $384 million, $255 million, and $135 </w:t>
      </w:r>
      <w:r w:rsidR="00B00DCD" w:rsidRPr="002F5246">
        <w:rPr>
          <w:lang w:bidi="fa-IR"/>
        </w:rPr>
        <w:t>million, respectively (Kleinman 2015; Kennedy</w:t>
      </w:r>
      <w:r w:rsidRPr="002F5246">
        <w:rPr>
          <w:lang w:bidi="fa-IR"/>
        </w:rPr>
        <w:t xml:space="preserve"> 2015). In addition, </w:t>
      </w:r>
      <w:r w:rsidR="00E95E3A" w:rsidRPr="002F5246">
        <w:rPr>
          <w:lang w:bidi="fa-IR"/>
        </w:rPr>
        <w:t xml:space="preserve">the </w:t>
      </w:r>
      <w:r w:rsidRPr="002F5246">
        <w:rPr>
          <w:lang w:bidi="fa-IR"/>
        </w:rPr>
        <w:t xml:space="preserve">Scott and Scott law firm brought a lawsuit against Societe Generale for its role in manipulating </w:t>
      </w:r>
      <w:r w:rsidR="00E95E3A" w:rsidRPr="002F5246">
        <w:rPr>
          <w:lang w:bidi="fa-IR"/>
        </w:rPr>
        <w:t xml:space="preserve">the </w:t>
      </w:r>
      <w:r w:rsidR="00B00DCD" w:rsidRPr="002F5246">
        <w:rPr>
          <w:lang w:bidi="fa-IR"/>
        </w:rPr>
        <w:t>WMR Fix rate (Voris</w:t>
      </w:r>
      <w:r w:rsidRPr="002F5246">
        <w:rPr>
          <w:lang w:bidi="fa-IR"/>
        </w:rPr>
        <w:t xml:space="preserve"> 2015). </w:t>
      </w:r>
      <w:r w:rsidR="001C144C" w:rsidRPr="002F5246">
        <w:t>In addition, more than 40 traders have been fired, suspended, put on leave, or resigned since the start of the investigations (McGeever 2014).</w:t>
      </w:r>
    </w:p>
    <w:p w14:paraId="3892DE10" w14:textId="2A53B12B" w:rsidR="00810E0B" w:rsidRPr="002F5246" w:rsidRDefault="00810E0B" w:rsidP="002571DA">
      <w:pPr>
        <w:pStyle w:val="Para2"/>
        <w:spacing w:line="480" w:lineRule="auto"/>
        <w:rPr>
          <w:lang w:bidi="fa-IR"/>
        </w:rPr>
      </w:pPr>
      <w:r w:rsidRPr="002F5246">
        <w:rPr>
          <w:lang w:bidi="fa-IR"/>
        </w:rPr>
        <w:t>Comparing the list of banks being fined by regulators to our identified list, we have two important observations.</w:t>
      </w:r>
      <w:r w:rsidR="00F96E63" w:rsidRPr="002F5246">
        <w:rPr>
          <w:lang w:bidi="fa-IR"/>
        </w:rPr>
        <w:t xml:space="preserve"> </w:t>
      </w:r>
      <w:r w:rsidRPr="002F5246">
        <w:rPr>
          <w:lang w:bidi="fa-IR"/>
        </w:rPr>
        <w:t xml:space="preserve">First, we identify four out of the top five banks that </w:t>
      </w:r>
      <w:r w:rsidR="00C90B67" w:rsidRPr="002F5246">
        <w:rPr>
          <w:lang w:bidi="fa-IR"/>
        </w:rPr>
        <w:t xml:space="preserve">have been </w:t>
      </w:r>
      <w:r w:rsidRPr="002F5246">
        <w:rPr>
          <w:lang w:bidi="fa-IR"/>
        </w:rPr>
        <w:t>heavily fined by regulator</w:t>
      </w:r>
      <w:r w:rsidR="00C90B67" w:rsidRPr="002F5246">
        <w:rPr>
          <w:lang w:bidi="fa-IR"/>
        </w:rPr>
        <w:t>s</w:t>
      </w:r>
      <w:r w:rsidRPr="002F5246">
        <w:rPr>
          <w:lang w:bidi="fa-IR"/>
        </w:rPr>
        <w:t>.</w:t>
      </w:r>
      <w:r w:rsidR="00F96E63" w:rsidRPr="002F5246">
        <w:rPr>
          <w:lang w:bidi="fa-IR"/>
        </w:rPr>
        <w:t xml:space="preserve"> </w:t>
      </w:r>
      <w:r w:rsidRPr="002F5246">
        <w:rPr>
          <w:lang w:bidi="fa-IR"/>
        </w:rPr>
        <w:t>The exception is JP Morgan who is more active on the EBS platform and not featured in our Thomson Reuter’s database.</w:t>
      </w:r>
      <w:r w:rsidR="00C477C6" w:rsidRPr="002F5246">
        <w:rPr>
          <w:rStyle w:val="EndnoteReference"/>
          <w:lang w:bidi="fa-IR"/>
        </w:rPr>
        <w:endnoteReference w:id="21"/>
      </w:r>
      <w:r w:rsidR="00F96E63" w:rsidRPr="002F5246">
        <w:rPr>
          <w:lang w:bidi="fa-IR"/>
        </w:rPr>
        <w:t xml:space="preserve"> </w:t>
      </w:r>
      <w:r w:rsidR="000C4C4A" w:rsidRPr="002F5246">
        <w:rPr>
          <w:lang w:bidi="fa-IR"/>
        </w:rPr>
        <w:t xml:space="preserve">Economically, 68% ($8 billion) of the </w:t>
      </w:r>
      <w:r w:rsidR="000C4C4A" w:rsidRPr="002F5246">
        <w:rPr>
          <w:lang w:bidi="fa-IR"/>
        </w:rPr>
        <w:lastRenderedPageBreak/>
        <w:t>regulator fines are from the top 8 banks that ha</w:t>
      </w:r>
      <w:r w:rsidR="00C90B67" w:rsidRPr="002F5246">
        <w:rPr>
          <w:lang w:bidi="fa-IR"/>
        </w:rPr>
        <w:t>ve</w:t>
      </w:r>
      <w:r w:rsidR="000C4C4A" w:rsidRPr="002F5246">
        <w:rPr>
          <w:lang w:bidi="fa-IR"/>
        </w:rPr>
        <w:t xml:space="preserve"> been identified by ManIx in Table </w:t>
      </w:r>
      <w:r w:rsidR="002E59B4" w:rsidRPr="002F5246">
        <w:rPr>
          <w:lang w:bidi="fa-IR"/>
        </w:rPr>
        <w:t>4</w:t>
      </w:r>
      <w:r w:rsidR="000C4C4A" w:rsidRPr="002F5246">
        <w:rPr>
          <w:lang w:bidi="fa-IR"/>
        </w:rPr>
        <w:t xml:space="preserve">. </w:t>
      </w:r>
      <w:r w:rsidR="00C90B67" w:rsidRPr="002F5246">
        <w:rPr>
          <w:lang w:bidi="fa-IR"/>
        </w:rPr>
        <w:t>If</w:t>
      </w:r>
      <w:r w:rsidRPr="002F5246">
        <w:rPr>
          <w:lang w:bidi="fa-IR"/>
        </w:rPr>
        <w:t xml:space="preserve"> the regulator</w:t>
      </w:r>
      <w:r w:rsidR="007C61FB" w:rsidRPr="002F5246">
        <w:rPr>
          <w:lang w:bidi="fa-IR"/>
        </w:rPr>
        <w:t>s</w:t>
      </w:r>
      <w:r w:rsidRPr="002F5246">
        <w:rPr>
          <w:lang w:bidi="fa-IR"/>
        </w:rPr>
        <w:t xml:space="preserve"> focus</w:t>
      </w:r>
      <w:r w:rsidR="00C90B67" w:rsidRPr="002F5246">
        <w:rPr>
          <w:lang w:bidi="fa-IR"/>
        </w:rPr>
        <w:t>ed</w:t>
      </w:r>
      <w:r w:rsidRPr="002F5246">
        <w:rPr>
          <w:lang w:bidi="fa-IR"/>
        </w:rPr>
        <w:t xml:space="preserve"> their investigation</w:t>
      </w:r>
      <w:r w:rsidR="00C90B67" w:rsidRPr="002F5246">
        <w:rPr>
          <w:lang w:bidi="fa-IR"/>
        </w:rPr>
        <w:t>s</w:t>
      </w:r>
      <w:r w:rsidRPr="002F5246">
        <w:rPr>
          <w:lang w:bidi="fa-IR"/>
        </w:rPr>
        <w:t xml:space="preserve"> on our identified list, they would have covered the major suspects.</w:t>
      </w:r>
      <w:r w:rsidR="00F96E63" w:rsidRPr="002F5246">
        <w:rPr>
          <w:lang w:bidi="fa-IR"/>
        </w:rPr>
        <w:t xml:space="preserve"> </w:t>
      </w:r>
      <w:r w:rsidR="000C4C4A" w:rsidRPr="002F5246">
        <w:rPr>
          <w:lang w:bidi="fa-IR"/>
        </w:rPr>
        <w:t xml:space="preserve">Importantly, having such </w:t>
      </w:r>
      <w:r w:rsidR="007C61FB" w:rsidRPr="002F5246">
        <w:rPr>
          <w:lang w:bidi="fa-IR"/>
        </w:rPr>
        <w:t xml:space="preserve">a </w:t>
      </w:r>
      <w:r w:rsidR="000C4C4A" w:rsidRPr="002F5246">
        <w:rPr>
          <w:lang w:bidi="fa-IR"/>
        </w:rPr>
        <w:t xml:space="preserve">monitoring system in place would speed up </w:t>
      </w:r>
      <w:r w:rsidR="007C61FB" w:rsidRPr="002F5246">
        <w:rPr>
          <w:lang w:bidi="fa-IR"/>
        </w:rPr>
        <w:t xml:space="preserve">the </w:t>
      </w:r>
      <w:r w:rsidR="000C4C4A" w:rsidRPr="002F5246">
        <w:rPr>
          <w:lang w:bidi="fa-IR"/>
        </w:rPr>
        <w:t>response</w:t>
      </w:r>
      <w:r w:rsidR="007C61FB" w:rsidRPr="002F5246">
        <w:rPr>
          <w:lang w:bidi="fa-IR"/>
        </w:rPr>
        <w:t xml:space="preserve"> of investigators</w:t>
      </w:r>
      <w:r w:rsidR="000C4C4A" w:rsidRPr="002F5246">
        <w:rPr>
          <w:lang w:bidi="fa-IR"/>
        </w:rPr>
        <w:t xml:space="preserve"> to potential manipulation as </w:t>
      </w:r>
      <w:r w:rsidR="007C61FB" w:rsidRPr="002F5246">
        <w:rPr>
          <w:lang w:bidi="fa-IR"/>
        </w:rPr>
        <w:t xml:space="preserve">a </w:t>
      </w:r>
      <w:r w:rsidR="000C4C4A" w:rsidRPr="002F5246">
        <w:rPr>
          <w:lang w:bidi="fa-IR"/>
        </w:rPr>
        <w:t xml:space="preserve">timely signal would </w:t>
      </w:r>
      <w:r w:rsidR="007C61FB" w:rsidRPr="002F5246">
        <w:rPr>
          <w:lang w:bidi="fa-IR"/>
        </w:rPr>
        <w:t xml:space="preserve">be </w:t>
      </w:r>
      <w:r w:rsidR="000C4C4A" w:rsidRPr="002F5246">
        <w:rPr>
          <w:lang w:bidi="fa-IR"/>
        </w:rPr>
        <w:t>generated by the ManIx.</w:t>
      </w:r>
      <w:r w:rsidR="00461BB9" w:rsidRPr="002F5246">
        <w:rPr>
          <w:lang w:bidi="fa-IR"/>
        </w:rPr>
        <w:t xml:space="preserve"> </w:t>
      </w:r>
      <w:r w:rsidRPr="002F5246">
        <w:rPr>
          <w:lang w:bidi="fa-IR"/>
        </w:rPr>
        <w:t xml:space="preserve">Second, although some banks were not investigated by regulators, they conducted their own internal investigations </w:t>
      </w:r>
      <w:r w:rsidR="007E28CA" w:rsidRPr="002F5246">
        <w:rPr>
          <w:lang w:bidi="fa-IR"/>
        </w:rPr>
        <w:t xml:space="preserve">into the </w:t>
      </w:r>
      <w:r w:rsidRPr="002F5246">
        <w:rPr>
          <w:lang w:bidi="fa-IR"/>
        </w:rPr>
        <w:t xml:space="preserve">attempted manipulation of </w:t>
      </w:r>
      <w:r w:rsidR="007E28CA" w:rsidRPr="002F5246">
        <w:rPr>
          <w:lang w:bidi="fa-IR"/>
        </w:rPr>
        <w:t xml:space="preserve">the </w:t>
      </w:r>
      <w:r w:rsidRPr="002F5246">
        <w:rPr>
          <w:lang w:bidi="fa-IR"/>
        </w:rPr>
        <w:t xml:space="preserve">WMR fix rates by their employees. In May 2014, Commerzbank AG, Germany’s second largest lender, fired one FX trader and suspended another one on suspicions of the attempted manipulation of </w:t>
      </w:r>
      <w:r w:rsidR="007E28CA" w:rsidRPr="002F5246">
        <w:rPr>
          <w:lang w:bidi="fa-IR"/>
        </w:rPr>
        <w:t xml:space="preserve">the </w:t>
      </w:r>
      <w:r w:rsidRPr="002F5246">
        <w:rPr>
          <w:lang w:bidi="fa-IR"/>
        </w:rPr>
        <w:t>Polish zloty's euro excha</w:t>
      </w:r>
      <w:r w:rsidR="00103B85" w:rsidRPr="002F5246">
        <w:rPr>
          <w:lang w:bidi="fa-IR"/>
        </w:rPr>
        <w:t>nge rate (Schuetze and McGeever</w:t>
      </w:r>
      <w:r w:rsidRPr="002F5246">
        <w:rPr>
          <w:lang w:bidi="fa-IR"/>
        </w:rPr>
        <w:t xml:space="preserve"> 2014). Rabobank that was fined $974 million </w:t>
      </w:r>
      <w:r w:rsidR="007E28CA" w:rsidRPr="002F5246">
        <w:rPr>
          <w:lang w:bidi="fa-IR"/>
        </w:rPr>
        <w:t xml:space="preserve">during 2014 </w:t>
      </w:r>
      <w:r w:rsidRPr="002F5246">
        <w:rPr>
          <w:lang w:bidi="fa-IR"/>
        </w:rPr>
        <w:t>for manipulating interest rates, suspended two senior FX traders, Gary Andrews and Chris Twort, employees of the bank since 2004 and 2010, respectively (</w:t>
      </w:r>
      <w:r w:rsidR="00FA7135" w:rsidRPr="002F5246">
        <w:rPr>
          <w:lang w:bidi="fa-IR"/>
        </w:rPr>
        <w:t xml:space="preserve">Van </w:t>
      </w:r>
      <w:r w:rsidRPr="002F5246">
        <w:rPr>
          <w:lang w:bidi="fa-IR"/>
        </w:rPr>
        <w:t>Gaal and Choudhury 2014). The New York State regulator, subpoenaed Societe Generale in December 2014</w:t>
      </w:r>
      <w:r w:rsidR="007E28CA" w:rsidRPr="002F5246">
        <w:rPr>
          <w:lang w:bidi="fa-IR"/>
        </w:rPr>
        <w:t>,</w:t>
      </w:r>
      <w:r w:rsidRPr="002F5246">
        <w:rPr>
          <w:lang w:bidi="fa-IR"/>
        </w:rPr>
        <w:t xml:space="preserve"> a month after US, UK and Swiss regulators concluded their probe into the rigging of the FX rate (Sa</w:t>
      </w:r>
      <w:r w:rsidR="00283199" w:rsidRPr="002F5246">
        <w:rPr>
          <w:lang w:bidi="fa-IR"/>
        </w:rPr>
        <w:t>ks-McLeod</w:t>
      </w:r>
      <w:r w:rsidRPr="002F5246">
        <w:rPr>
          <w:lang w:bidi="fa-IR"/>
        </w:rPr>
        <w:t xml:space="preserve"> 2015). </w:t>
      </w:r>
    </w:p>
    <w:p w14:paraId="25C21DD8" w14:textId="35BB9C84" w:rsidR="00810E0B" w:rsidRPr="002F5246" w:rsidRDefault="00810E0B" w:rsidP="00CD3316">
      <w:pPr>
        <w:pStyle w:val="Para2"/>
        <w:spacing w:line="480" w:lineRule="auto"/>
        <w:rPr>
          <w:lang w:bidi="fa-IR"/>
        </w:rPr>
      </w:pPr>
      <w:r w:rsidRPr="002F5246">
        <w:rPr>
          <w:lang w:bidi="fa-IR"/>
        </w:rPr>
        <w:t xml:space="preserve">Overall, the media reports and regulatory findings discussed above confirm that </w:t>
      </w:r>
      <w:r w:rsidR="007D6C9F" w:rsidRPr="002F5246">
        <w:rPr>
          <w:lang w:bidi="fa-IR"/>
        </w:rPr>
        <w:t xml:space="preserve">the banks </w:t>
      </w:r>
      <w:r w:rsidRPr="002F5246">
        <w:rPr>
          <w:lang w:bidi="fa-IR"/>
        </w:rPr>
        <w:t>highlighted by our monitoring methodology have been investigated by regulators.</w:t>
      </w:r>
      <w:r w:rsidR="00F96E63" w:rsidRPr="002F5246">
        <w:rPr>
          <w:lang w:bidi="fa-IR"/>
        </w:rPr>
        <w:t xml:space="preserve"> </w:t>
      </w:r>
      <w:r w:rsidRPr="002F5246">
        <w:rPr>
          <w:lang w:bidi="fa-IR"/>
        </w:rPr>
        <w:t xml:space="preserve">This supports the notion that our monitoring methodology aligns with the actions of regulators and should provide value because of its time and </w:t>
      </w:r>
      <w:r w:rsidR="008B3821" w:rsidRPr="002F5246">
        <w:rPr>
          <w:lang w:bidi="fa-IR"/>
        </w:rPr>
        <w:t>cost-effective</w:t>
      </w:r>
      <w:r w:rsidRPr="002F5246">
        <w:rPr>
          <w:lang w:bidi="fa-IR"/>
        </w:rPr>
        <w:t xml:space="preserve"> design.</w:t>
      </w:r>
      <w:r w:rsidR="00F96E63" w:rsidRPr="002F5246">
        <w:rPr>
          <w:lang w:bidi="fa-IR"/>
        </w:rPr>
        <w:t xml:space="preserve"> </w:t>
      </w:r>
      <w:r w:rsidRPr="002F5246">
        <w:rPr>
          <w:lang w:bidi="fa-IR"/>
        </w:rPr>
        <w:t xml:space="preserve">Our methodology, however, also signals potential manipulative </w:t>
      </w:r>
      <w:r w:rsidR="005B33BF" w:rsidRPr="002F5246">
        <w:rPr>
          <w:lang w:bidi="fa-IR"/>
        </w:rPr>
        <w:t>behavior</w:t>
      </w:r>
      <w:r w:rsidRPr="002F5246">
        <w:rPr>
          <w:lang w:bidi="fa-IR"/>
        </w:rPr>
        <w:t xml:space="preserve"> by banks that have not been investigated.</w:t>
      </w:r>
      <w:r w:rsidR="00F96E63" w:rsidRPr="002F5246">
        <w:rPr>
          <w:lang w:bidi="fa-IR"/>
        </w:rPr>
        <w:t xml:space="preserve"> </w:t>
      </w:r>
      <w:r w:rsidRPr="002F5246">
        <w:rPr>
          <w:lang w:bidi="fa-IR"/>
        </w:rPr>
        <w:t>Whether these are false positive</w:t>
      </w:r>
      <w:r w:rsidR="007E28CA" w:rsidRPr="002F5246">
        <w:rPr>
          <w:lang w:bidi="fa-IR"/>
        </w:rPr>
        <w:t>s</w:t>
      </w:r>
      <w:r w:rsidRPr="002F5246">
        <w:rPr>
          <w:lang w:bidi="fa-IR"/>
        </w:rPr>
        <w:t xml:space="preserve"> in our estimation or a lapse in regulatory activity is open to question and can only be clarified by further regulatory investigation in the future.</w:t>
      </w:r>
    </w:p>
    <w:p w14:paraId="0000C436" w14:textId="3253B0E6" w:rsidR="005340DD" w:rsidRPr="002F5246" w:rsidRDefault="00215A42" w:rsidP="00AB0FCA">
      <w:pPr>
        <w:pStyle w:val="Heading2"/>
        <w:rPr>
          <w:lang w:val="en-US"/>
        </w:rPr>
      </w:pPr>
      <w:r w:rsidRPr="002F5246">
        <w:rPr>
          <w:lang w:val="en-US"/>
        </w:rPr>
        <w:t>4.3</w:t>
      </w:r>
      <w:r w:rsidR="005340DD" w:rsidRPr="002F5246">
        <w:rPr>
          <w:lang w:val="en-US"/>
        </w:rPr>
        <w:t xml:space="preserve">. Out of </w:t>
      </w:r>
      <w:r w:rsidR="00D4424C" w:rsidRPr="002F5246">
        <w:rPr>
          <w:lang w:val="en-US"/>
        </w:rPr>
        <w:t>S</w:t>
      </w:r>
      <w:r w:rsidR="005340DD" w:rsidRPr="002F5246">
        <w:rPr>
          <w:lang w:val="en-US"/>
        </w:rPr>
        <w:t xml:space="preserve">ample </w:t>
      </w:r>
      <w:r w:rsidR="00D4424C" w:rsidRPr="002F5246">
        <w:rPr>
          <w:lang w:val="en-US"/>
        </w:rPr>
        <w:t>T</w:t>
      </w:r>
      <w:r w:rsidR="005340DD" w:rsidRPr="002F5246">
        <w:rPr>
          <w:lang w:val="en-US"/>
        </w:rPr>
        <w:t>est</w:t>
      </w:r>
    </w:p>
    <w:p w14:paraId="6172116B" w14:textId="06D1D233" w:rsidR="0070310A" w:rsidRPr="002F5246" w:rsidRDefault="00F72840" w:rsidP="00CD3316">
      <w:pPr>
        <w:pStyle w:val="Para2"/>
        <w:spacing w:line="480" w:lineRule="auto"/>
      </w:pPr>
      <w:r w:rsidRPr="002F5246">
        <w:t xml:space="preserve">One interesting question to ask is what has happened to the quotation behavior of dealers after the breakout of the scandal and especially the regulatory investigations.  Two main structural changes have taken place.  First, from February 2015, the fixing period has changed </w:t>
      </w:r>
      <w:r w:rsidRPr="002F5246">
        <w:lastRenderedPageBreak/>
        <w:t>from 60 seconds to 300 seconds. Second, there are more dealers involved in the fixing window in 2016 than was the case for 2013 and 2014. To demonstrate the application in this new environment, Table 6 reports the results of ManIx for the period from the 2nd March to 30th March 2016.</w:t>
      </w:r>
    </w:p>
    <w:p w14:paraId="3A799C76" w14:textId="3198AE3B" w:rsidR="00E97866" w:rsidRPr="002F5246" w:rsidRDefault="00E97866" w:rsidP="00E97866">
      <w:pPr>
        <w:pStyle w:val="Para2"/>
        <w:spacing w:line="480" w:lineRule="auto"/>
        <w:jc w:val="center"/>
      </w:pPr>
      <w:r w:rsidRPr="002F5246">
        <w:t>[Table 6 Here]</w:t>
      </w:r>
    </w:p>
    <w:p w14:paraId="00ADFF5D" w14:textId="77777777" w:rsidR="0093153F" w:rsidRPr="002F5246" w:rsidRDefault="0093153F" w:rsidP="00437DFD">
      <w:pPr>
        <w:pStyle w:val="Para2"/>
      </w:pPr>
    </w:p>
    <w:p w14:paraId="20D101F4" w14:textId="421323D8" w:rsidR="0070310A" w:rsidRPr="002F5246" w:rsidRDefault="00F72840" w:rsidP="00CD3316">
      <w:pPr>
        <w:pStyle w:val="Para2"/>
        <w:spacing w:line="480" w:lineRule="auto"/>
      </w:pPr>
      <w:r w:rsidRPr="002F5246">
        <w:t>Table 6 shows there are some significant results. Particularly, RBS and Rabobank have the highest number of significant days.  In order to compare these results with those of 2013-14, since there are different number of days and dealers in the two periods, we calculate the total number of dealer-days for each currency pair for each period. By dividing the total number of identified events (significant ManIx) in each currency by the total number of dealer-days, we can observe the occurrence of the frequency of manipulation. By comparing the columns event per dealer-day (E/DD) in Table 7 we can ascertain if the frequency has changed between the periods 2013-14 and March 2016.</w:t>
      </w:r>
    </w:p>
    <w:p w14:paraId="48BC4273" w14:textId="5442F59A" w:rsidR="00973D79" w:rsidRPr="002F5246" w:rsidRDefault="00973D79" w:rsidP="00CD3316">
      <w:pPr>
        <w:pStyle w:val="Para2"/>
        <w:spacing w:line="480" w:lineRule="auto"/>
        <w:rPr>
          <w:szCs w:val="24"/>
        </w:rPr>
      </w:pPr>
    </w:p>
    <w:p w14:paraId="27D4F920" w14:textId="60BD76B8" w:rsidR="00D811E1" w:rsidRPr="002F5246" w:rsidRDefault="00D811E1" w:rsidP="00CF0F63">
      <w:pPr>
        <w:pStyle w:val="Para2"/>
        <w:spacing w:line="480" w:lineRule="auto"/>
        <w:jc w:val="center"/>
        <w:rPr>
          <w:szCs w:val="24"/>
        </w:rPr>
      </w:pPr>
      <w:r w:rsidRPr="002F5246">
        <w:rPr>
          <w:szCs w:val="24"/>
        </w:rPr>
        <w:t>[Table 7 Here]</w:t>
      </w:r>
    </w:p>
    <w:p w14:paraId="1EA1C08A" w14:textId="77777777" w:rsidR="00CD3316" w:rsidRPr="002F5246" w:rsidRDefault="00CD3316" w:rsidP="0070310A">
      <w:pPr>
        <w:pStyle w:val="Para2"/>
        <w:rPr>
          <w:rFonts w:ascii="Times New Roman" w:hAnsi="Times New Roman" w:cs="Times New Roman"/>
        </w:rPr>
      </w:pPr>
    </w:p>
    <w:p w14:paraId="400B5E49" w14:textId="69ADA89F" w:rsidR="0070310A" w:rsidRPr="002F5246" w:rsidRDefault="00F72840" w:rsidP="00955CA9">
      <w:pPr>
        <w:pStyle w:val="Para2"/>
        <w:spacing w:line="480" w:lineRule="auto"/>
        <w:rPr>
          <w:rFonts w:ascii="Times New Roman" w:hAnsi="Times New Roman" w:cs="Times New Roman"/>
        </w:rPr>
      </w:pPr>
      <w:r w:rsidRPr="002F5246">
        <w:rPr>
          <w:rFonts w:ascii="Times New Roman" w:hAnsi="Times New Roman" w:cs="Times New Roman"/>
        </w:rPr>
        <w:t>Table 7 shows the results of comparing the frequency of manipulative behavior by dealers in 2013-14 and 2016 periods. With the exceptions of the EUR</w:t>
      </w:r>
      <w:r w:rsidR="00955CA9" w:rsidRPr="002F5246">
        <w:rPr>
          <w:rFonts w:ascii="Times New Roman" w:hAnsi="Times New Roman" w:cs="Times New Roman"/>
        </w:rPr>
        <w:t>:</w:t>
      </w:r>
      <w:r w:rsidRPr="002F5246">
        <w:rPr>
          <w:rFonts w:ascii="Times New Roman" w:hAnsi="Times New Roman" w:cs="Times New Roman"/>
        </w:rPr>
        <w:t>GBP and USD</w:t>
      </w:r>
      <w:r w:rsidR="00955CA9" w:rsidRPr="002F5246">
        <w:rPr>
          <w:rFonts w:ascii="Times New Roman" w:hAnsi="Times New Roman" w:cs="Times New Roman"/>
        </w:rPr>
        <w:t>:</w:t>
      </w:r>
      <w:r w:rsidRPr="002F5246">
        <w:rPr>
          <w:rFonts w:ascii="Times New Roman" w:hAnsi="Times New Roman" w:cs="Times New Roman"/>
        </w:rPr>
        <w:t>JPY currency pairs, there is a reduction in the frequency of</w:t>
      </w:r>
      <w:r w:rsidR="0078666E" w:rsidRPr="002F5246">
        <w:rPr>
          <w:rFonts w:ascii="Times New Roman" w:hAnsi="Times New Roman" w:cs="Times New Roman"/>
        </w:rPr>
        <w:t xml:space="preserve"> significant</w:t>
      </w:r>
      <w:r w:rsidRPr="002F5246">
        <w:rPr>
          <w:rFonts w:ascii="Times New Roman" w:hAnsi="Times New Roman" w:cs="Times New Roman"/>
        </w:rPr>
        <w:t xml:space="preserve"> ManIx occurrence. After the change in the fix rate calculation and the exhaustive investigations by regulators, ManIx shows a decrease in its frequency of occurrence on average. Nevertheless, there are still some signs of significant ManIx that may </w:t>
      </w:r>
      <w:r w:rsidR="00B914CD" w:rsidRPr="002F5246">
        <w:rPr>
          <w:rFonts w:ascii="Times New Roman" w:hAnsi="Times New Roman" w:cs="Times New Roman"/>
        </w:rPr>
        <w:t xml:space="preserve">be </w:t>
      </w:r>
      <w:r w:rsidRPr="002F5246">
        <w:rPr>
          <w:rFonts w:ascii="Times New Roman" w:hAnsi="Times New Roman" w:cs="Times New Roman"/>
        </w:rPr>
        <w:t>worth close monitoring by regulators.</w:t>
      </w:r>
    </w:p>
    <w:p w14:paraId="31B0883F" w14:textId="3BB2C562" w:rsidR="004835CB" w:rsidRPr="002F5246" w:rsidRDefault="00554957" w:rsidP="00505617">
      <w:pPr>
        <w:ind w:firstLine="720"/>
        <w:jc w:val="both"/>
        <w:rPr>
          <w:rFonts w:asciiTheme="majorBidi" w:hAnsiTheme="majorBidi" w:cstheme="majorBidi"/>
          <w:lang w:val="en-US"/>
        </w:rPr>
      </w:pPr>
      <w:r w:rsidRPr="002F5246">
        <w:rPr>
          <w:rFonts w:asciiTheme="majorBidi" w:hAnsiTheme="majorBidi" w:cstheme="majorBidi"/>
          <w:lang w:val="en-US"/>
        </w:rPr>
        <w:t>A</w:t>
      </w:r>
      <w:r w:rsidR="004835CB" w:rsidRPr="002F5246">
        <w:rPr>
          <w:rFonts w:asciiTheme="majorBidi" w:hAnsiTheme="majorBidi" w:cstheme="majorBidi"/>
          <w:lang w:val="en-US"/>
        </w:rPr>
        <w:t xml:space="preserve">fter February 2015 the increase in the length of fixing window from 60 seconds to 300 seconds may </w:t>
      </w:r>
      <w:r w:rsidRPr="002F5246">
        <w:rPr>
          <w:rFonts w:asciiTheme="majorBidi" w:hAnsiTheme="majorBidi" w:cstheme="majorBidi"/>
          <w:lang w:val="en-US"/>
        </w:rPr>
        <w:t xml:space="preserve">deter manipulation as it is more difficult to influence the ultimate benchmark fixed rate. There can be an argument that no new algorithm is required and the small number </w:t>
      </w:r>
      <w:r w:rsidRPr="002F5246">
        <w:rPr>
          <w:rFonts w:asciiTheme="majorBidi" w:hAnsiTheme="majorBidi" w:cstheme="majorBidi"/>
          <w:lang w:val="en-US"/>
        </w:rPr>
        <w:lastRenderedPageBreak/>
        <w:t xml:space="preserve">of identified dealers in table 6 might be false positive. </w:t>
      </w:r>
      <w:r w:rsidR="00505617" w:rsidRPr="002F5246">
        <w:rPr>
          <w:rFonts w:asciiTheme="majorBidi" w:hAnsiTheme="majorBidi" w:cstheme="majorBidi"/>
          <w:lang w:val="en-US"/>
        </w:rPr>
        <w:t>However</w:t>
      </w:r>
      <w:r w:rsidR="00DF5649" w:rsidRPr="002F5246">
        <w:rPr>
          <w:rFonts w:asciiTheme="majorBidi" w:hAnsiTheme="majorBidi" w:cstheme="majorBidi"/>
          <w:lang w:val="en-US"/>
        </w:rPr>
        <w:t>, there</w:t>
      </w:r>
      <w:r w:rsidR="004835CB" w:rsidRPr="002F5246">
        <w:rPr>
          <w:rFonts w:asciiTheme="majorBidi" w:hAnsiTheme="majorBidi" w:cstheme="majorBidi"/>
          <w:lang w:val="en-US"/>
        </w:rPr>
        <w:t xml:space="preserve"> is always a need for a monitoring algorithm such as ManIx, specifically with the growth of high frequency traders in the FX market. While the fix rate manipulation was done by human traders and identified by their communication, identification of algorithmic manipulation will be more difficult. </w:t>
      </w:r>
    </w:p>
    <w:p w14:paraId="24B5ECA2" w14:textId="123CB7A5" w:rsidR="004835CB" w:rsidRPr="002F5246" w:rsidRDefault="004835CB" w:rsidP="00955CA9">
      <w:pPr>
        <w:pStyle w:val="Para2"/>
        <w:spacing w:line="480" w:lineRule="auto"/>
        <w:rPr>
          <w:rFonts w:ascii="Times New Roman" w:hAnsi="Times New Roman" w:cs="Times New Roman"/>
        </w:rPr>
      </w:pPr>
    </w:p>
    <w:p w14:paraId="37F72AA2" w14:textId="47188311" w:rsidR="00BC5168" w:rsidRPr="002F5246" w:rsidRDefault="00215A42" w:rsidP="00AB0FCA">
      <w:pPr>
        <w:pStyle w:val="Heading2"/>
        <w:rPr>
          <w:lang w:val="en-US"/>
        </w:rPr>
      </w:pPr>
      <w:r w:rsidRPr="002F5246">
        <w:rPr>
          <w:lang w:val="en-US"/>
        </w:rPr>
        <w:t>4.4</w:t>
      </w:r>
      <w:r w:rsidR="0093153F" w:rsidRPr="002F5246">
        <w:rPr>
          <w:lang w:val="en-US"/>
        </w:rPr>
        <w:t>.</w:t>
      </w:r>
      <w:r w:rsidR="00BC5168" w:rsidRPr="002F5246">
        <w:rPr>
          <w:lang w:val="en-US"/>
        </w:rPr>
        <w:t xml:space="preserve"> Network Analyses</w:t>
      </w:r>
      <w:r w:rsidR="00A64FD8" w:rsidRPr="002F5246">
        <w:rPr>
          <w:lang w:val="en-US"/>
        </w:rPr>
        <w:t xml:space="preserve"> – </w:t>
      </w:r>
      <w:r w:rsidR="007E28CA" w:rsidRPr="002F5246">
        <w:rPr>
          <w:lang w:val="en-US"/>
        </w:rPr>
        <w:t>S</w:t>
      </w:r>
      <w:r w:rsidR="00A64FD8" w:rsidRPr="002F5246">
        <w:rPr>
          <w:lang w:val="en-US"/>
        </w:rPr>
        <w:t xml:space="preserve">igns of </w:t>
      </w:r>
      <w:r w:rsidR="007E28CA" w:rsidRPr="002F5246">
        <w:rPr>
          <w:lang w:val="en-US"/>
        </w:rPr>
        <w:t>C</w:t>
      </w:r>
      <w:r w:rsidR="00A64FD8" w:rsidRPr="002F5246">
        <w:rPr>
          <w:lang w:val="en-US"/>
        </w:rPr>
        <w:t>ollusion</w:t>
      </w:r>
    </w:p>
    <w:p w14:paraId="54356F9D" w14:textId="6618DC36" w:rsidR="003A1E68" w:rsidRPr="002F5246" w:rsidRDefault="003A1E68" w:rsidP="00CD3316">
      <w:pPr>
        <w:pStyle w:val="Para2"/>
        <w:spacing w:line="480" w:lineRule="auto"/>
      </w:pPr>
      <w:r w:rsidRPr="002F5246">
        <w:t>One of the arguments for not regulating the FX market is that given its size and competition, it is less than likely that any one bank can manipulate this market. Manipulating the fix rate requires a considerable amount of capital and coordination between colluding traders. For example, some traders disclosed to Bloomberg news that they would need more than €200 million to have a possibility of moving the fix rate (Vaughan</w:t>
      </w:r>
      <w:r w:rsidR="00B844A8" w:rsidRPr="002F5246">
        <w:t xml:space="preserve"> et al,</w:t>
      </w:r>
      <w:r w:rsidRPr="002F5246">
        <w:t xml:space="preserve"> 2013). Furthermore, the manipulation could “backfire” if another party enters the market with a large order in the opposite direction. Indeed, there is the suggestion that the manipulators are not acting alone and collude via the sharing of infor</w:t>
      </w:r>
      <w:r w:rsidR="00B844A8" w:rsidRPr="002F5246">
        <w:t>mation through chatrooms (Ahmed 2014; Finch and Vaughan</w:t>
      </w:r>
      <w:r w:rsidRPr="002F5246">
        <w:t xml:space="preserve"> 2014). However, directly detecting and investigating such networks requires special access to information that is deemed to be private and confidential.</w:t>
      </w:r>
    </w:p>
    <w:p w14:paraId="7922A5A4" w14:textId="66138204" w:rsidR="00D14754" w:rsidRPr="002F5246" w:rsidRDefault="00BC5168" w:rsidP="00CD3316">
      <w:pPr>
        <w:pStyle w:val="Para2"/>
        <w:spacing w:line="480" w:lineRule="auto"/>
      </w:pPr>
      <w:r w:rsidRPr="002F5246">
        <w:t>Three methods of collusion can be deduce</w:t>
      </w:r>
      <w:r w:rsidR="007D6C9F" w:rsidRPr="002F5246">
        <w:t xml:space="preserve">d from </w:t>
      </w:r>
      <w:r w:rsidRPr="002F5246">
        <w:t>the regulators</w:t>
      </w:r>
      <w:r w:rsidR="007D6C9F" w:rsidRPr="002F5246">
        <w:t>’</w:t>
      </w:r>
      <w:r w:rsidRPr="002F5246">
        <w:t xml:space="preserve"> findings (FCA 2014d). First, traders transfer </w:t>
      </w:r>
      <w:r w:rsidR="003B7843" w:rsidRPr="002F5246">
        <w:t>all</w:t>
      </w:r>
      <w:r w:rsidRPr="002F5246">
        <w:t xml:space="preserve"> the orders to one trader who executes the orders in the collective desired direction. Second, traders transfer their orders to two or more traders and these traders join forces and third, trading with dealers out of the network by giving them orders to trade in the desired direction. Since in the first case scenario the manipulation is conducted merely by one dealer, it is not possible to identify the network of dealers behind the manipulation with the existing data. The second and third methods suggest that the collusion will have a trail of coordination in the trading activity.</w:t>
      </w:r>
      <w:r w:rsidR="00F96E63" w:rsidRPr="002F5246">
        <w:t xml:space="preserve"> </w:t>
      </w:r>
      <w:r w:rsidRPr="002F5246">
        <w:t xml:space="preserve">While our ManIx measure is designed to capture manipulative intention on a quote by quote basis, examining all dealers’ quotes in the same </w:t>
      </w:r>
      <w:r w:rsidRPr="002F5246">
        <w:lastRenderedPageBreak/>
        <w:t>fixing window will flag up potential collusion networks.</w:t>
      </w:r>
      <w:r w:rsidR="00F96E63" w:rsidRPr="002F5246">
        <w:t xml:space="preserve"> </w:t>
      </w:r>
      <w:r w:rsidRPr="002F5246">
        <w:t>To this end, we draw network graphs of banks that have significant manipulative behavior in a same fixing window.</w:t>
      </w:r>
      <w:r w:rsidR="00F96E63" w:rsidRPr="002F5246">
        <w:t xml:space="preserve"> </w:t>
      </w:r>
    </w:p>
    <w:p w14:paraId="3CAF43E0" w14:textId="69B4215E" w:rsidR="00BC5168" w:rsidRPr="002F5246" w:rsidRDefault="00505490" w:rsidP="0062532F">
      <w:pPr>
        <w:pStyle w:val="Para2"/>
        <w:spacing w:line="480" w:lineRule="auto"/>
      </w:pPr>
      <w:bookmarkStart w:id="6" w:name="_Hlk515217465"/>
      <w:r w:rsidRPr="002F5246">
        <w:t xml:space="preserve">When </w:t>
      </w:r>
      <w:r w:rsidR="006554B2" w:rsidRPr="002F5246">
        <w:t>identifying the list of potential manipulative bank</w:t>
      </w:r>
      <w:r w:rsidR="007E28CA" w:rsidRPr="002F5246">
        <w:t>s</w:t>
      </w:r>
      <w:r w:rsidR="006554B2" w:rsidRPr="002F5246">
        <w:t>, we apply a strong statistical criteri</w:t>
      </w:r>
      <w:r w:rsidR="007E28CA" w:rsidRPr="002F5246">
        <w:t>on</w:t>
      </w:r>
      <w:r w:rsidR="006554B2" w:rsidRPr="002F5246">
        <w:t xml:space="preserve"> of 5% significance in identifying the significant </w:t>
      </w:r>
      <w:r w:rsidR="00461BB9" w:rsidRPr="002F5246">
        <w:t>ManIx</w:t>
      </w:r>
      <w:r w:rsidR="006554B2" w:rsidRPr="002F5246">
        <w:t>.</w:t>
      </w:r>
      <w:r w:rsidR="00F96E63" w:rsidRPr="002F5246">
        <w:t xml:space="preserve"> </w:t>
      </w:r>
      <w:r w:rsidR="006554B2" w:rsidRPr="002F5246">
        <w:t>This produce</w:t>
      </w:r>
      <w:r w:rsidR="007E28CA" w:rsidRPr="002F5246">
        <w:t>s</w:t>
      </w:r>
      <w:r w:rsidR="00282D20" w:rsidRPr="002F5246">
        <w:t xml:space="preserve"> the</w:t>
      </w:r>
      <w:r w:rsidR="006554B2" w:rsidRPr="002F5246">
        <w:t xml:space="preserve"> short and focus</w:t>
      </w:r>
      <w:r w:rsidR="007E28CA" w:rsidRPr="002F5246">
        <w:t>ed</w:t>
      </w:r>
      <w:r w:rsidR="006554B2" w:rsidRPr="002F5246">
        <w:t xml:space="preserve"> list of banks in Table </w:t>
      </w:r>
      <w:r w:rsidR="002E59B4" w:rsidRPr="002F5246">
        <w:t>4</w:t>
      </w:r>
      <w:r w:rsidR="006554B2" w:rsidRPr="002F5246">
        <w:t>.</w:t>
      </w:r>
      <w:r w:rsidR="00F96E63" w:rsidRPr="002F5246">
        <w:t xml:space="preserve"> </w:t>
      </w:r>
      <w:r w:rsidR="006554B2" w:rsidRPr="002F5246">
        <w:t>However, in order to identify potential collusion effect</w:t>
      </w:r>
      <w:r w:rsidR="007E28CA" w:rsidRPr="002F5246">
        <w:t>s</w:t>
      </w:r>
      <w:r w:rsidR="006554B2" w:rsidRPr="002F5246">
        <w:t>, we choose a more relax</w:t>
      </w:r>
      <w:r w:rsidR="007E28CA" w:rsidRPr="002F5246">
        <w:t>ed</w:t>
      </w:r>
      <w:r w:rsidR="006554B2" w:rsidRPr="002F5246">
        <w:t xml:space="preserve"> criteri</w:t>
      </w:r>
      <w:r w:rsidR="007E28CA" w:rsidRPr="002F5246">
        <w:t>on</w:t>
      </w:r>
      <w:r w:rsidR="006554B2" w:rsidRPr="002F5246">
        <w:t xml:space="preserve"> of 10% significance </w:t>
      </w:r>
      <w:r w:rsidRPr="002F5246">
        <w:t>when</w:t>
      </w:r>
      <w:r w:rsidR="006554B2" w:rsidRPr="002F5246">
        <w:t xml:space="preserve"> identifying individual significant ManIx.</w:t>
      </w:r>
      <w:r w:rsidR="00F96E63" w:rsidRPr="002F5246">
        <w:t xml:space="preserve"> </w:t>
      </w:r>
      <w:r w:rsidR="006554B2" w:rsidRPr="002F5246">
        <w:t xml:space="preserve">This follows the logic that when </w:t>
      </w:r>
      <w:r w:rsidR="009C23AF" w:rsidRPr="002F5246">
        <w:t>banks collude to achieve manipulation, the act of manipulation will be less obvious in each individual bank.</w:t>
      </w:r>
      <w:r w:rsidR="00F96E63" w:rsidRPr="002F5246">
        <w:t xml:space="preserve"> </w:t>
      </w:r>
      <w:r w:rsidR="00BC5168" w:rsidRPr="002F5246">
        <w:t xml:space="preserve">These </w:t>
      </w:r>
      <w:r w:rsidR="007E28CA" w:rsidRPr="002F5246">
        <w:t xml:space="preserve">network </w:t>
      </w:r>
      <w:r w:rsidR="00BC5168" w:rsidRPr="002F5246">
        <w:t>graphs are reported in Figure 2.</w:t>
      </w:r>
      <w:r w:rsidR="00282D20" w:rsidRPr="002F5246">
        <w:t xml:space="preserve"> </w:t>
      </w:r>
      <w:r w:rsidR="00BC5168" w:rsidRPr="002F5246">
        <w:t>Any two banks th</w:t>
      </w:r>
      <w:r w:rsidR="00282D20" w:rsidRPr="002F5246">
        <w:t>at have a significant ManIx on the</w:t>
      </w:r>
      <w:r w:rsidR="00BC5168" w:rsidRPr="002F5246">
        <w:t xml:space="preserve"> same day</w:t>
      </w:r>
      <w:r w:rsidR="00F82ECB" w:rsidRPr="002F5246">
        <w:rPr>
          <w:rStyle w:val="EndnoteReference"/>
        </w:rPr>
        <w:endnoteReference w:id="22"/>
      </w:r>
      <w:r w:rsidR="00BC5168" w:rsidRPr="002F5246">
        <w:t xml:space="preserve"> for a given pair of currency will have a connection value of one.</w:t>
      </w:r>
      <w:r w:rsidR="00F96E63" w:rsidRPr="002F5246">
        <w:t xml:space="preserve"> </w:t>
      </w:r>
      <w:r w:rsidR="00BC5168" w:rsidRPr="002F5246">
        <w:t>We count all these connections for all dealers in each fixing.</w:t>
      </w:r>
      <w:r w:rsidR="00F96E63" w:rsidRPr="002F5246">
        <w:t xml:space="preserve"> </w:t>
      </w:r>
      <w:r w:rsidR="00BC5168" w:rsidRPr="002F5246">
        <w:t xml:space="preserve">The lines </w:t>
      </w:r>
      <w:r w:rsidR="00C57A61" w:rsidRPr="002F5246">
        <w:t xml:space="preserve">and their colors </w:t>
      </w:r>
      <w:r w:rsidR="00BC5168" w:rsidRPr="002F5246">
        <w:t xml:space="preserve">show the connections </w:t>
      </w:r>
      <w:r w:rsidR="00C57A61" w:rsidRPr="002F5246">
        <w:t>and direction of manipulation,</w:t>
      </w:r>
      <w:r w:rsidR="00D56506" w:rsidRPr="002F5246">
        <w:t xml:space="preserve"> respectively,</w:t>
      </w:r>
      <w:r w:rsidR="00C57A61" w:rsidRPr="002F5246">
        <w:t xml:space="preserve"> </w:t>
      </w:r>
      <w:r w:rsidR="00BC5168" w:rsidRPr="002F5246">
        <w:t>while the size of each node shows its prominence in the network.</w:t>
      </w:r>
      <w:r w:rsidR="000B56BA" w:rsidRPr="002F5246">
        <w:t xml:space="preserve"> </w:t>
      </w:r>
    </w:p>
    <w:bookmarkEnd w:id="6"/>
    <w:p w14:paraId="67819728" w14:textId="7A2EF385" w:rsidR="00BC5168" w:rsidRPr="002F5246" w:rsidRDefault="00BC5168" w:rsidP="009F3C5C">
      <w:pPr>
        <w:pStyle w:val="Para2"/>
        <w:spacing w:line="480" w:lineRule="auto"/>
      </w:pPr>
      <w:r w:rsidRPr="002F5246">
        <w:t>The network analy</w:t>
      </w:r>
      <w:r w:rsidR="007E28CA" w:rsidRPr="002F5246">
        <w:t>z</w:t>
      </w:r>
      <w:r w:rsidRPr="002F5246">
        <w:t>es in Figure 2 demonstrate three features of such networks.</w:t>
      </w:r>
      <w:r w:rsidR="00F96E63" w:rsidRPr="002F5246">
        <w:t xml:space="preserve"> </w:t>
      </w:r>
      <w:r w:rsidRPr="002F5246">
        <w:t>First, there can be a large network of interconnected</w:t>
      </w:r>
      <w:r w:rsidR="007E28CA" w:rsidRPr="002F5246">
        <w:t xml:space="preserve"> banks</w:t>
      </w:r>
      <w:r w:rsidRPr="002F5246">
        <w:t>.</w:t>
      </w:r>
      <w:r w:rsidR="00F96E63" w:rsidRPr="002F5246">
        <w:t xml:space="preserve"> </w:t>
      </w:r>
      <w:r w:rsidRPr="002F5246">
        <w:t xml:space="preserve">For example, </w:t>
      </w:r>
      <w:r w:rsidR="009F3C5C" w:rsidRPr="002F5246">
        <w:t>this is illustrated in Panels A and</w:t>
      </w:r>
      <w:r w:rsidRPr="002F5246">
        <w:t xml:space="preserve"> C. </w:t>
      </w:r>
      <w:r w:rsidR="00E82339" w:rsidRPr="002F5246">
        <w:t xml:space="preserve">They </w:t>
      </w:r>
      <w:r w:rsidRPr="002F5246">
        <w:t xml:space="preserve">show that a large number of banks are interconnected by their manipulated </w:t>
      </w:r>
      <w:r w:rsidR="00B16377" w:rsidRPr="002F5246">
        <w:t>behaviors</w:t>
      </w:r>
      <w:r w:rsidRPr="002F5246">
        <w:t>.</w:t>
      </w:r>
      <w:r w:rsidR="00F96E63" w:rsidRPr="002F5246">
        <w:t xml:space="preserve"> </w:t>
      </w:r>
      <w:r w:rsidRPr="002F5246">
        <w:t xml:space="preserve">For </w:t>
      </w:r>
      <w:r w:rsidR="008B3821" w:rsidRPr="002F5246">
        <w:t>example,</w:t>
      </w:r>
      <w:r w:rsidRPr="002F5246">
        <w:t xml:space="preserve"> in Panel A for the EUR</w:t>
      </w:r>
      <w:r w:rsidR="009F3C5C" w:rsidRPr="002F5246">
        <w:t>:</w:t>
      </w:r>
      <w:r w:rsidRPr="002F5246">
        <w:t>GBP currency pair, there has been suspected collusion between four banks: Rabobank, Danske Bank, CIBC, and Barclays. Second, there can be more than one network identified.</w:t>
      </w:r>
      <w:r w:rsidR="00F96E63" w:rsidRPr="002F5246">
        <w:t xml:space="preserve"> </w:t>
      </w:r>
      <w:r w:rsidRPr="002F5246">
        <w:t xml:space="preserve">This is illustrated in Panels B, </w:t>
      </w:r>
      <w:r w:rsidR="009F3C5C" w:rsidRPr="002F5246">
        <w:t>D</w:t>
      </w:r>
      <w:r w:rsidRPr="002F5246">
        <w:t xml:space="preserve"> and </w:t>
      </w:r>
      <w:r w:rsidR="009F3C5C" w:rsidRPr="002F5246">
        <w:t>E</w:t>
      </w:r>
      <w:r w:rsidRPr="002F5246">
        <w:t>. This fragmentation demonstrates that not all the manipulators are connected.</w:t>
      </w:r>
      <w:r w:rsidR="00461BB9" w:rsidRPr="002F5246">
        <w:t xml:space="preserve"> </w:t>
      </w:r>
      <w:r w:rsidRPr="002F5246">
        <w:t>Finally, some banks are found to play a dominant role in the network.</w:t>
      </w:r>
      <w:r w:rsidR="00F96E63" w:rsidRPr="002F5246">
        <w:t xml:space="preserve"> </w:t>
      </w:r>
      <w:r w:rsidRPr="002F5246">
        <w:t>For example, Barclays has a centrality and a prominent role with the highest number of connecting banks in Panel A for the EUR:GBP currency pair. Similarly, RBS-NYC has played the central role in the EUR:JPY, EUR:USD and GBP:USD currency pairs</w:t>
      </w:r>
      <w:r w:rsidR="007E0EFF" w:rsidRPr="002F5246">
        <w:t>,</w:t>
      </w:r>
      <w:r w:rsidRPr="002F5246">
        <w:t xml:space="preserve"> while RBS-LON </w:t>
      </w:r>
      <w:r w:rsidR="007E0EFF" w:rsidRPr="002F5246">
        <w:t xml:space="preserve">plays the central role </w:t>
      </w:r>
      <w:r w:rsidRPr="002F5246">
        <w:t xml:space="preserve">in the USD:JPY </w:t>
      </w:r>
      <w:r w:rsidR="007E0EFF" w:rsidRPr="002F5246">
        <w:t>currency pair</w:t>
      </w:r>
      <w:r w:rsidRPr="002F5246">
        <w:t>.</w:t>
      </w:r>
    </w:p>
    <w:p w14:paraId="12E46071" w14:textId="72D74169" w:rsidR="00EF22F4" w:rsidRPr="002F5246" w:rsidRDefault="00CF0F63" w:rsidP="00CF0F63">
      <w:pPr>
        <w:spacing w:after="200"/>
        <w:jc w:val="center"/>
        <w:rPr>
          <w:rFonts w:asciiTheme="majorBidi" w:hAnsiTheme="majorBidi" w:cstheme="majorBidi"/>
          <w:szCs w:val="22"/>
          <w:lang w:val="en-US"/>
        </w:rPr>
      </w:pPr>
      <w:r w:rsidRPr="002F5246">
        <w:rPr>
          <w:rFonts w:asciiTheme="majorBidi" w:hAnsiTheme="majorBidi" w:cstheme="majorBidi"/>
          <w:szCs w:val="22"/>
          <w:lang w:val="en-US"/>
        </w:rPr>
        <w:t>[Figure 2 Here]</w:t>
      </w:r>
    </w:p>
    <w:p w14:paraId="5EB3C417" w14:textId="78D5E3A1" w:rsidR="008D1F94" w:rsidRPr="002F5246" w:rsidRDefault="00BC5168" w:rsidP="00CD3316">
      <w:pPr>
        <w:pStyle w:val="Para2"/>
        <w:spacing w:line="480" w:lineRule="auto"/>
      </w:pPr>
      <w:r w:rsidRPr="002F5246">
        <w:lastRenderedPageBreak/>
        <w:t>In the regulators’ investigative findings (</w:t>
      </w:r>
      <w:r w:rsidR="007E0EFF" w:rsidRPr="002F5246">
        <w:t>discussed in</w:t>
      </w:r>
      <w:r w:rsidR="00E44601" w:rsidRPr="002F5246">
        <w:t xml:space="preserve"> </w:t>
      </w:r>
      <w:r w:rsidR="002C4AE7" w:rsidRPr="002F5246">
        <w:t>S</w:t>
      </w:r>
      <w:r w:rsidR="007E0EFF" w:rsidRPr="002F5246">
        <w:t>ection</w:t>
      </w:r>
      <w:r w:rsidR="002C4AE7" w:rsidRPr="002F5246">
        <w:t xml:space="preserve"> 4</w:t>
      </w:r>
      <w:r w:rsidRPr="002F5246">
        <w:t>) the individual banks who manipulated the fix rate were identified. However, there was very little mention as to which banks colluded over which currencies. Therefore, verification of our findings in this section based on the regulators’ findings or media reports is not possible. The only chatroom members identified by regulators are “The Cartel” chatroom that consisted of traders from JP Morgan, UBS, and Citigroup (Finch and Vaughan 2014).</w:t>
      </w:r>
      <w:r w:rsidR="00F96E63" w:rsidRPr="002F5246">
        <w:t xml:space="preserve"> </w:t>
      </w:r>
      <w:r w:rsidRPr="002F5246">
        <w:t>However, this chatroom was not the only existing network of manipulators and there existed different chatrooms with names such as “The A Team”, “The 3 Musketeers”, and “The Players” (Ahmed, 2014). The network analysis presented here is</w:t>
      </w:r>
      <w:r w:rsidR="007E0EFF" w:rsidRPr="002F5246">
        <w:t>, however,</w:t>
      </w:r>
      <w:r w:rsidRPr="002F5246">
        <w:t xml:space="preserve"> a way to detect potential collusive </w:t>
      </w:r>
      <w:r w:rsidR="005B33BF" w:rsidRPr="002F5246">
        <w:t>behavior</w:t>
      </w:r>
      <w:r w:rsidRPr="002F5246">
        <w:t xml:space="preserve"> and it could be a toolkit for regulators and banks to further target the investigation of collusion.</w:t>
      </w:r>
    </w:p>
    <w:p w14:paraId="6000A490" w14:textId="20EBCF5A" w:rsidR="00F756E8" w:rsidRPr="002F5246" w:rsidRDefault="00215A42" w:rsidP="000E7B67">
      <w:pPr>
        <w:pStyle w:val="Heading1"/>
        <w:rPr>
          <w:lang w:val="en-US"/>
        </w:rPr>
      </w:pPr>
      <w:r w:rsidRPr="002F5246">
        <w:rPr>
          <w:lang w:val="en-US"/>
        </w:rPr>
        <w:t>5</w:t>
      </w:r>
      <w:r w:rsidR="000A7C5A" w:rsidRPr="002F5246">
        <w:rPr>
          <w:lang w:val="en-US"/>
        </w:rPr>
        <w:t>. Conclusion</w:t>
      </w:r>
    </w:p>
    <w:p w14:paraId="4B1B25B5" w14:textId="630C8B39" w:rsidR="00F756E8" w:rsidRPr="002F5246" w:rsidRDefault="00F756E8" w:rsidP="00CD3316">
      <w:pPr>
        <w:pStyle w:val="Para2"/>
        <w:spacing w:line="480" w:lineRule="auto"/>
        <w:rPr>
          <w:szCs w:val="24"/>
        </w:rPr>
      </w:pPr>
      <w:r w:rsidRPr="002F5246">
        <w:t>The WMR benchmark rate is important for a number of financial instruments and markets, and its seemingly extensive manipulation has given rise to a lot of regulatory ‘interest’. The problem facing regulators in tackling this issue in a timely and effective manner is having data and a methodology that identifies potential manipulation as it progresses. In response to this issue we construct a dataset based on quotes and develop an index (ManIx) that is able to capture the intended manipulation of the benchmark rate.</w:t>
      </w:r>
      <w:r w:rsidR="00F96E63" w:rsidRPr="002F5246">
        <w:t xml:space="preserve"> </w:t>
      </w:r>
      <w:r w:rsidRPr="002F5246">
        <w:t>We identify banks that are prone to pote</w:t>
      </w:r>
      <w:r w:rsidR="007E0EFF" w:rsidRPr="002F5246">
        <w:t>ntial manipulative behavior and use</w:t>
      </w:r>
      <w:r w:rsidRPr="002F5246">
        <w:t xml:space="preserve"> ex post regul</w:t>
      </w:r>
      <w:r w:rsidR="007E0EFF" w:rsidRPr="002F5246">
        <w:t xml:space="preserve">ator investigation data </w:t>
      </w:r>
      <w:r w:rsidRPr="002F5246">
        <w:t>to verify our finding</w:t>
      </w:r>
      <w:r w:rsidR="00E82339" w:rsidRPr="002F5246">
        <w:t>s</w:t>
      </w:r>
      <w:r w:rsidRPr="002F5246">
        <w:t>.</w:t>
      </w:r>
      <w:r w:rsidR="00F96E63" w:rsidRPr="002F5246">
        <w:t xml:space="preserve"> </w:t>
      </w:r>
      <w:r w:rsidR="00E03A04" w:rsidRPr="002F5246">
        <w:t xml:space="preserve">Essentially, we provide a </w:t>
      </w:r>
      <w:r w:rsidR="00E03A04" w:rsidRPr="002F5246">
        <w:rPr>
          <w:i/>
        </w:rPr>
        <w:t>warning</w:t>
      </w:r>
      <w:r w:rsidR="00E03A04" w:rsidRPr="002F5246">
        <w:t xml:space="preserve"> system that will help regulators and FX market participants to keep up with the speed and size of the FX market in order to conduct their monitoring and investigative activities.</w:t>
      </w:r>
      <w:r w:rsidR="00D17A3B" w:rsidRPr="002F5246">
        <w:t xml:space="preserve">  </w:t>
      </w:r>
    </w:p>
    <w:p w14:paraId="11849053" w14:textId="420BD1AE" w:rsidR="00710B7B" w:rsidRPr="002F5246" w:rsidRDefault="007E0EFF" w:rsidP="00CD3316">
      <w:pPr>
        <w:pStyle w:val="Para2"/>
        <w:spacing w:line="480" w:lineRule="auto"/>
      </w:pPr>
      <w:r w:rsidRPr="002F5246">
        <w:t>The exercis</w:t>
      </w:r>
      <w:r w:rsidR="00F756E8" w:rsidRPr="002F5246">
        <w:t xml:space="preserve">e of developing </w:t>
      </w:r>
      <w:r w:rsidR="00E82339" w:rsidRPr="002F5246">
        <w:t xml:space="preserve">an </w:t>
      </w:r>
      <w:r w:rsidR="00F756E8" w:rsidRPr="002F5246">
        <w:t>automatic monitoring system is of great importance to regulators given the rapid increase of speed in the financial market</w:t>
      </w:r>
      <w:r w:rsidRPr="002F5246">
        <w:t>s</w:t>
      </w:r>
      <w:r w:rsidR="00F756E8" w:rsidRPr="002F5246">
        <w:t>.</w:t>
      </w:r>
      <w:r w:rsidR="00F96E63" w:rsidRPr="002F5246">
        <w:t xml:space="preserve"> </w:t>
      </w:r>
      <w:r w:rsidR="00F756E8" w:rsidRPr="002F5246">
        <w:t>Having an automatic monitoring system will help regulators to allocate their limited resource</w:t>
      </w:r>
      <w:r w:rsidR="001878E4" w:rsidRPr="002F5246">
        <w:t>s</w:t>
      </w:r>
      <w:r w:rsidR="00F756E8" w:rsidRPr="002F5246">
        <w:t xml:space="preserve"> to timely investigations.</w:t>
      </w:r>
      <w:r w:rsidR="00F96E63" w:rsidRPr="002F5246">
        <w:t xml:space="preserve"> </w:t>
      </w:r>
      <w:r w:rsidR="00F756E8" w:rsidRPr="002F5246">
        <w:t xml:space="preserve">We demonstrate the feasibility of developing such </w:t>
      </w:r>
      <w:r w:rsidRPr="002F5246">
        <w:t xml:space="preserve">a </w:t>
      </w:r>
      <w:r w:rsidR="00F756E8" w:rsidRPr="002F5246">
        <w:t xml:space="preserve">regulation technology and </w:t>
      </w:r>
      <w:r w:rsidR="00F756E8" w:rsidRPr="002F5246">
        <w:lastRenderedPageBreak/>
        <w:t>test its effectiveness.</w:t>
      </w:r>
      <w:r w:rsidR="00F96E63" w:rsidRPr="002F5246">
        <w:t xml:space="preserve"> </w:t>
      </w:r>
      <w:r w:rsidR="00D17A3B" w:rsidRPr="002F5246">
        <w:t xml:space="preserve">Our out of sample </w:t>
      </w:r>
      <w:r w:rsidR="00455DC4" w:rsidRPr="002F5246">
        <w:t xml:space="preserve">analysis </w:t>
      </w:r>
      <w:r w:rsidR="00D17A3B" w:rsidRPr="002F5246">
        <w:t>provide</w:t>
      </w:r>
      <w:r w:rsidR="00455DC4" w:rsidRPr="002F5246">
        <w:t>s</w:t>
      </w:r>
      <w:r w:rsidR="00D17A3B" w:rsidRPr="002F5246">
        <w:t xml:space="preserve"> some evidence of improvement in the fixing quality after the regulators’ investigation and </w:t>
      </w:r>
      <w:r w:rsidR="00455DC4" w:rsidRPr="002F5246">
        <w:t xml:space="preserve">the </w:t>
      </w:r>
      <w:r w:rsidR="00D17A3B" w:rsidRPr="002F5246">
        <w:t xml:space="preserve">adjustment of </w:t>
      </w:r>
      <w:r w:rsidR="00455DC4" w:rsidRPr="002F5246">
        <w:t xml:space="preserve">the </w:t>
      </w:r>
      <w:r w:rsidR="00D17A3B" w:rsidRPr="002F5246">
        <w:t xml:space="preserve">fixing methodology. Nevertheless, there are still some signs of significant ManIx that may </w:t>
      </w:r>
      <w:r w:rsidR="003B0487" w:rsidRPr="002F5246">
        <w:t xml:space="preserve">be </w:t>
      </w:r>
      <w:r w:rsidR="00D17A3B" w:rsidRPr="002F5246">
        <w:t>worth close monitoring by regulators.</w:t>
      </w:r>
      <w:r w:rsidR="00D17A3B" w:rsidRPr="002F5246">
        <w:rPr>
          <w:szCs w:val="24"/>
        </w:rPr>
        <w:t xml:space="preserve">  </w:t>
      </w:r>
      <w:r w:rsidR="00077995" w:rsidRPr="002F5246">
        <w:t xml:space="preserve">The limitation of the current study is the unavailability of </w:t>
      </w:r>
      <w:r w:rsidR="00455DC4" w:rsidRPr="002F5246">
        <w:t>transaction data with identity; however, s</w:t>
      </w:r>
      <w:r w:rsidR="00077995" w:rsidRPr="002F5246">
        <w:t xml:space="preserve">uch data can only be </w:t>
      </w:r>
      <w:r w:rsidR="00455DC4" w:rsidRPr="002F5246">
        <w:t>made available via requests from regulators. Finally</w:t>
      </w:r>
      <w:r w:rsidR="00077995" w:rsidRPr="002F5246">
        <w:t>, t</w:t>
      </w:r>
      <w:r w:rsidR="00F756E8" w:rsidRPr="002F5246">
        <w:t>he application of this technology is not confined to foreign exchange rate fixing.</w:t>
      </w:r>
      <w:r w:rsidR="00F96E63" w:rsidRPr="002F5246">
        <w:t xml:space="preserve"> </w:t>
      </w:r>
      <w:r w:rsidR="00F756E8" w:rsidRPr="002F5246">
        <w:t>For example, it can be</w:t>
      </w:r>
      <w:r w:rsidR="00455DC4" w:rsidRPr="002F5246">
        <w:t xml:space="preserve"> applied to </w:t>
      </w:r>
      <w:r w:rsidR="00F756E8" w:rsidRPr="002F5246">
        <w:t xml:space="preserve">securities </w:t>
      </w:r>
      <w:r w:rsidR="00455DC4" w:rsidRPr="002F5246">
        <w:t xml:space="preserve">data </w:t>
      </w:r>
      <w:r w:rsidR="00F756E8" w:rsidRPr="002F5246">
        <w:t>to identify manipulation near the close of day trading.</w:t>
      </w:r>
      <w:r w:rsidR="00F96E63" w:rsidRPr="002F5246">
        <w:t xml:space="preserve"> </w:t>
      </w:r>
      <w:r w:rsidR="00F756E8" w:rsidRPr="002F5246">
        <w:t>This is potentially important in days when the closing price has important implications for other markets such as derivative settlement or index membership.</w:t>
      </w:r>
      <w:r w:rsidR="00F96E63" w:rsidRPr="002F5246">
        <w:t xml:space="preserve"> </w:t>
      </w:r>
    </w:p>
    <w:p w14:paraId="3EDAADC8" w14:textId="58F5810E" w:rsidR="00710B7B" w:rsidRPr="002F5246" w:rsidRDefault="00710B7B" w:rsidP="00CD3316">
      <w:pPr>
        <w:pStyle w:val="Para2"/>
        <w:spacing w:line="480" w:lineRule="auto"/>
      </w:pPr>
    </w:p>
    <w:p w14:paraId="1696DAD1" w14:textId="77777777" w:rsidR="007553DF" w:rsidRPr="002F5246" w:rsidRDefault="007553DF" w:rsidP="008D1D7D">
      <w:pPr>
        <w:pStyle w:val="Heading1"/>
        <w:rPr>
          <w:lang w:val="en-US"/>
        </w:rPr>
        <w:sectPr w:rsidR="007553DF" w:rsidRPr="002F5246" w:rsidSect="007D3238">
          <w:headerReference w:type="default" r:id="rId10"/>
          <w:footerReference w:type="default" r:id="rId11"/>
          <w:endnotePr>
            <w:numFmt w:val="decimal"/>
          </w:endnotePr>
          <w:pgSz w:w="11906" w:h="16838"/>
          <w:pgMar w:top="1440" w:right="1440" w:bottom="1440" w:left="1440" w:header="708" w:footer="708" w:gutter="0"/>
          <w:cols w:space="708"/>
          <w:docGrid w:linePitch="360"/>
        </w:sectPr>
      </w:pPr>
    </w:p>
    <w:p w14:paraId="34DFF181" w14:textId="71584A1C" w:rsidR="002A0AD1" w:rsidRPr="002F5246" w:rsidRDefault="00411767" w:rsidP="008D1D7D">
      <w:pPr>
        <w:pStyle w:val="Heading1"/>
        <w:rPr>
          <w:lang w:val="en-US"/>
        </w:rPr>
      </w:pPr>
      <w:r w:rsidRPr="002F5246">
        <w:rPr>
          <w:lang w:val="en-US"/>
        </w:rPr>
        <w:lastRenderedPageBreak/>
        <w:t xml:space="preserve">Appendix – </w:t>
      </w:r>
      <w:r w:rsidR="00CC2660" w:rsidRPr="002F5246">
        <w:rPr>
          <w:lang w:val="en-US"/>
        </w:rPr>
        <w:t>Active Dealers, Their Locations</w:t>
      </w:r>
      <w:r w:rsidRPr="002F5246">
        <w:rPr>
          <w:lang w:val="en-US"/>
        </w:rPr>
        <w:t xml:space="preserve"> and </w:t>
      </w:r>
      <w:r w:rsidR="00CC2660" w:rsidRPr="002F5246">
        <w:rPr>
          <w:lang w:val="en-US"/>
        </w:rPr>
        <w:t xml:space="preserve">the </w:t>
      </w:r>
      <w:r w:rsidR="00C07CB8" w:rsidRPr="002F5246">
        <w:rPr>
          <w:lang w:val="en-US"/>
        </w:rPr>
        <w:t>Number of Quotes during the Fix</w:t>
      </w:r>
    </w:p>
    <w:tbl>
      <w:tblPr>
        <w:tblpPr w:leftFromText="180" w:rightFromText="180" w:vertAnchor="text" w:tblpXSpec="center" w:tblpY="1"/>
        <w:tblOverlap w:val="never"/>
        <w:tblW w:w="9670" w:type="dxa"/>
        <w:tblLook w:val="04A0" w:firstRow="1" w:lastRow="0" w:firstColumn="1" w:lastColumn="0" w:noHBand="0" w:noVBand="1"/>
      </w:tblPr>
      <w:tblGrid>
        <w:gridCol w:w="3051"/>
        <w:gridCol w:w="1675"/>
        <w:gridCol w:w="1647"/>
        <w:gridCol w:w="621"/>
        <w:gridCol w:w="621"/>
        <w:gridCol w:w="687"/>
        <w:gridCol w:w="747"/>
        <w:gridCol w:w="621"/>
      </w:tblGrid>
      <w:tr w:rsidR="00C07CB8" w:rsidRPr="002F5246" w14:paraId="164A431D" w14:textId="77777777" w:rsidTr="00C07CB8">
        <w:trPr>
          <w:trHeight w:val="255"/>
        </w:trPr>
        <w:tc>
          <w:tcPr>
            <w:tcW w:w="9670" w:type="dxa"/>
            <w:gridSpan w:val="8"/>
            <w:tcBorders>
              <w:top w:val="single" w:sz="12" w:space="0" w:color="auto"/>
              <w:left w:val="nil"/>
              <w:bottom w:val="single" w:sz="4" w:space="0" w:color="auto"/>
              <w:right w:val="nil"/>
            </w:tcBorders>
            <w:shd w:val="clear" w:color="000000" w:fill="FFFFFF"/>
            <w:noWrap/>
            <w:vAlign w:val="center"/>
          </w:tcPr>
          <w:p w14:paraId="7AA7E6B2" w14:textId="383570D6" w:rsidR="00C07CB8" w:rsidRPr="002F5246" w:rsidRDefault="00C07CB8"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Panel A. Active Dealers in Africa</w:t>
            </w:r>
          </w:p>
        </w:tc>
      </w:tr>
      <w:tr w:rsidR="002A0AD1" w:rsidRPr="002F5246" w14:paraId="2E3B2F42" w14:textId="77777777" w:rsidTr="00C07CB8">
        <w:trPr>
          <w:trHeight w:val="255"/>
        </w:trPr>
        <w:tc>
          <w:tcPr>
            <w:tcW w:w="3051" w:type="dxa"/>
            <w:tcBorders>
              <w:top w:val="single" w:sz="12" w:space="0" w:color="auto"/>
              <w:left w:val="nil"/>
              <w:bottom w:val="single" w:sz="4" w:space="0" w:color="auto"/>
              <w:right w:val="nil"/>
            </w:tcBorders>
            <w:shd w:val="clear" w:color="000000" w:fill="FFFFFF"/>
            <w:noWrap/>
            <w:vAlign w:val="center"/>
            <w:hideMark/>
          </w:tcPr>
          <w:p w14:paraId="0CC4C5F3"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Name</w:t>
            </w:r>
          </w:p>
        </w:tc>
        <w:tc>
          <w:tcPr>
            <w:tcW w:w="1675" w:type="dxa"/>
            <w:tcBorders>
              <w:top w:val="single" w:sz="12" w:space="0" w:color="auto"/>
              <w:left w:val="nil"/>
              <w:bottom w:val="single" w:sz="4" w:space="0" w:color="auto"/>
              <w:right w:val="nil"/>
            </w:tcBorders>
            <w:shd w:val="clear" w:color="000000" w:fill="FFFFFF"/>
            <w:noWrap/>
            <w:vAlign w:val="center"/>
            <w:hideMark/>
          </w:tcPr>
          <w:p w14:paraId="73EAAB61"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Country</w:t>
            </w:r>
          </w:p>
        </w:tc>
        <w:tc>
          <w:tcPr>
            <w:tcW w:w="1647" w:type="dxa"/>
            <w:tcBorders>
              <w:top w:val="single" w:sz="12" w:space="0" w:color="auto"/>
              <w:left w:val="nil"/>
              <w:bottom w:val="single" w:sz="4" w:space="0" w:color="auto"/>
              <w:right w:val="nil"/>
            </w:tcBorders>
            <w:shd w:val="clear" w:color="000000" w:fill="FFFFFF"/>
            <w:noWrap/>
            <w:vAlign w:val="center"/>
            <w:hideMark/>
          </w:tcPr>
          <w:p w14:paraId="0CBD999C"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City</w:t>
            </w:r>
          </w:p>
        </w:tc>
        <w:tc>
          <w:tcPr>
            <w:tcW w:w="621" w:type="dxa"/>
            <w:tcBorders>
              <w:top w:val="single" w:sz="12" w:space="0" w:color="auto"/>
              <w:left w:val="nil"/>
              <w:bottom w:val="single" w:sz="4" w:space="0" w:color="auto"/>
              <w:right w:val="nil"/>
            </w:tcBorders>
            <w:shd w:val="clear" w:color="000000" w:fill="FFFFFF"/>
            <w:noWrap/>
            <w:vAlign w:val="center"/>
            <w:hideMark/>
          </w:tcPr>
          <w:p w14:paraId="60BAA267"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72F5341D"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87" w:type="dxa"/>
            <w:tcBorders>
              <w:top w:val="single" w:sz="12" w:space="0" w:color="auto"/>
              <w:left w:val="nil"/>
              <w:bottom w:val="single" w:sz="4" w:space="0" w:color="auto"/>
              <w:right w:val="nil"/>
            </w:tcBorders>
            <w:shd w:val="clear" w:color="000000" w:fill="FFFFFF"/>
            <w:noWrap/>
            <w:vAlign w:val="center"/>
            <w:hideMark/>
          </w:tcPr>
          <w:p w14:paraId="43DD2F8D"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747" w:type="dxa"/>
            <w:tcBorders>
              <w:top w:val="single" w:sz="12" w:space="0" w:color="auto"/>
              <w:left w:val="nil"/>
              <w:bottom w:val="single" w:sz="4" w:space="0" w:color="auto"/>
              <w:right w:val="nil"/>
            </w:tcBorders>
            <w:shd w:val="clear" w:color="000000" w:fill="FFFFFF"/>
            <w:noWrap/>
            <w:vAlign w:val="center"/>
            <w:hideMark/>
          </w:tcPr>
          <w:p w14:paraId="25FDD962"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16895980"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r>
      <w:tr w:rsidR="002A0AD1" w:rsidRPr="002F5246" w14:paraId="1CE355BF" w14:textId="77777777" w:rsidTr="00C07CB8">
        <w:trPr>
          <w:trHeight w:val="255"/>
        </w:trPr>
        <w:tc>
          <w:tcPr>
            <w:tcW w:w="3051" w:type="dxa"/>
            <w:tcBorders>
              <w:top w:val="nil"/>
              <w:left w:val="nil"/>
              <w:bottom w:val="nil"/>
              <w:right w:val="nil"/>
            </w:tcBorders>
            <w:shd w:val="clear" w:color="000000" w:fill="FFFFFF"/>
            <w:noWrap/>
            <w:vAlign w:val="center"/>
            <w:hideMark/>
          </w:tcPr>
          <w:p w14:paraId="2F90D3D0"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ABSA BANK</w:t>
            </w:r>
          </w:p>
        </w:tc>
        <w:tc>
          <w:tcPr>
            <w:tcW w:w="1675" w:type="dxa"/>
            <w:tcBorders>
              <w:top w:val="nil"/>
              <w:left w:val="nil"/>
              <w:bottom w:val="nil"/>
              <w:right w:val="nil"/>
            </w:tcBorders>
            <w:shd w:val="clear" w:color="000000" w:fill="FFFFFF"/>
            <w:noWrap/>
            <w:vAlign w:val="center"/>
            <w:hideMark/>
          </w:tcPr>
          <w:p w14:paraId="621AAE6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SOUTH AFRICA</w:t>
            </w:r>
          </w:p>
        </w:tc>
        <w:tc>
          <w:tcPr>
            <w:tcW w:w="1647" w:type="dxa"/>
            <w:tcBorders>
              <w:top w:val="nil"/>
              <w:left w:val="nil"/>
              <w:bottom w:val="nil"/>
              <w:right w:val="nil"/>
            </w:tcBorders>
            <w:shd w:val="clear" w:color="000000" w:fill="FFFFFF"/>
            <w:noWrap/>
            <w:vAlign w:val="center"/>
            <w:hideMark/>
          </w:tcPr>
          <w:p w14:paraId="34A2599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JOHANNESBURG</w:t>
            </w:r>
          </w:p>
        </w:tc>
        <w:tc>
          <w:tcPr>
            <w:tcW w:w="621" w:type="dxa"/>
            <w:tcBorders>
              <w:top w:val="nil"/>
              <w:left w:val="nil"/>
              <w:bottom w:val="nil"/>
              <w:right w:val="nil"/>
            </w:tcBorders>
            <w:shd w:val="clear" w:color="000000" w:fill="FFFFFF"/>
            <w:noWrap/>
            <w:vAlign w:val="center"/>
            <w:hideMark/>
          </w:tcPr>
          <w:p w14:paraId="53541FC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5D54871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0ECF36C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11</w:t>
            </w:r>
          </w:p>
        </w:tc>
        <w:tc>
          <w:tcPr>
            <w:tcW w:w="747" w:type="dxa"/>
            <w:tcBorders>
              <w:top w:val="nil"/>
              <w:left w:val="nil"/>
              <w:bottom w:val="nil"/>
              <w:right w:val="nil"/>
            </w:tcBorders>
            <w:shd w:val="clear" w:color="000000" w:fill="FFFFFF"/>
            <w:noWrap/>
            <w:vAlign w:val="center"/>
            <w:hideMark/>
          </w:tcPr>
          <w:p w14:paraId="0D34D27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3E7B57C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46F3F3DF" w14:textId="77777777" w:rsidTr="00C07CB8">
        <w:trPr>
          <w:trHeight w:val="255"/>
        </w:trPr>
        <w:tc>
          <w:tcPr>
            <w:tcW w:w="3051" w:type="dxa"/>
            <w:tcBorders>
              <w:top w:val="nil"/>
              <w:left w:val="nil"/>
              <w:bottom w:val="single" w:sz="12" w:space="0" w:color="auto"/>
              <w:right w:val="nil"/>
            </w:tcBorders>
            <w:shd w:val="clear" w:color="000000" w:fill="FFFFFF"/>
            <w:noWrap/>
            <w:vAlign w:val="bottom"/>
            <w:hideMark/>
          </w:tcPr>
          <w:p w14:paraId="585D3BCE" w14:textId="77777777" w:rsidR="002A0AD1" w:rsidRPr="002F5246" w:rsidRDefault="002A0AD1" w:rsidP="00B52D1A">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NEDBANK</w:t>
            </w:r>
          </w:p>
        </w:tc>
        <w:tc>
          <w:tcPr>
            <w:tcW w:w="1675" w:type="dxa"/>
            <w:tcBorders>
              <w:top w:val="nil"/>
              <w:left w:val="nil"/>
              <w:bottom w:val="single" w:sz="12" w:space="0" w:color="auto"/>
              <w:right w:val="nil"/>
            </w:tcBorders>
            <w:shd w:val="clear" w:color="000000" w:fill="FFFFFF"/>
            <w:noWrap/>
            <w:vAlign w:val="center"/>
            <w:hideMark/>
          </w:tcPr>
          <w:p w14:paraId="0BCC294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SOUTH AFRICA</w:t>
            </w:r>
          </w:p>
        </w:tc>
        <w:tc>
          <w:tcPr>
            <w:tcW w:w="1647" w:type="dxa"/>
            <w:tcBorders>
              <w:top w:val="nil"/>
              <w:left w:val="nil"/>
              <w:bottom w:val="single" w:sz="12" w:space="0" w:color="auto"/>
              <w:right w:val="nil"/>
            </w:tcBorders>
            <w:shd w:val="clear" w:color="000000" w:fill="FFFFFF"/>
            <w:noWrap/>
            <w:vAlign w:val="center"/>
            <w:hideMark/>
          </w:tcPr>
          <w:p w14:paraId="325746C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JOHANNESBURG</w:t>
            </w:r>
          </w:p>
        </w:tc>
        <w:tc>
          <w:tcPr>
            <w:tcW w:w="621" w:type="dxa"/>
            <w:tcBorders>
              <w:top w:val="nil"/>
              <w:left w:val="nil"/>
              <w:bottom w:val="single" w:sz="12" w:space="0" w:color="auto"/>
              <w:right w:val="nil"/>
            </w:tcBorders>
            <w:shd w:val="clear" w:color="000000" w:fill="FFFFFF"/>
            <w:noWrap/>
            <w:vAlign w:val="center"/>
            <w:hideMark/>
          </w:tcPr>
          <w:p w14:paraId="59441C6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single" w:sz="12" w:space="0" w:color="auto"/>
              <w:right w:val="nil"/>
            </w:tcBorders>
            <w:shd w:val="clear" w:color="000000" w:fill="FFFFFF"/>
            <w:noWrap/>
            <w:vAlign w:val="center"/>
            <w:hideMark/>
          </w:tcPr>
          <w:p w14:paraId="2502BE3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single" w:sz="12" w:space="0" w:color="auto"/>
              <w:right w:val="nil"/>
            </w:tcBorders>
            <w:shd w:val="clear" w:color="000000" w:fill="FFFFFF"/>
            <w:noWrap/>
            <w:vAlign w:val="center"/>
            <w:hideMark/>
          </w:tcPr>
          <w:p w14:paraId="7548F8A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47" w:type="dxa"/>
            <w:tcBorders>
              <w:top w:val="nil"/>
              <w:left w:val="nil"/>
              <w:bottom w:val="single" w:sz="12" w:space="0" w:color="auto"/>
              <w:right w:val="nil"/>
            </w:tcBorders>
            <w:shd w:val="clear" w:color="000000" w:fill="FFFFFF"/>
            <w:noWrap/>
            <w:vAlign w:val="center"/>
            <w:hideMark/>
          </w:tcPr>
          <w:p w14:paraId="44943B7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2,522</w:t>
            </w:r>
          </w:p>
        </w:tc>
        <w:tc>
          <w:tcPr>
            <w:tcW w:w="621" w:type="dxa"/>
            <w:tcBorders>
              <w:top w:val="nil"/>
              <w:left w:val="nil"/>
              <w:bottom w:val="single" w:sz="12" w:space="0" w:color="auto"/>
              <w:right w:val="nil"/>
            </w:tcBorders>
            <w:shd w:val="clear" w:color="000000" w:fill="FFFFFF"/>
            <w:noWrap/>
            <w:vAlign w:val="center"/>
            <w:hideMark/>
          </w:tcPr>
          <w:p w14:paraId="05B9E0D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C07CB8" w:rsidRPr="002F5246" w14:paraId="1E331621" w14:textId="77777777" w:rsidTr="00C07CB8">
        <w:trPr>
          <w:trHeight w:val="255"/>
        </w:trPr>
        <w:tc>
          <w:tcPr>
            <w:tcW w:w="9670" w:type="dxa"/>
            <w:gridSpan w:val="8"/>
            <w:tcBorders>
              <w:top w:val="single" w:sz="12" w:space="0" w:color="auto"/>
              <w:left w:val="nil"/>
              <w:bottom w:val="single" w:sz="4" w:space="0" w:color="auto"/>
              <w:right w:val="nil"/>
            </w:tcBorders>
            <w:shd w:val="clear" w:color="000000" w:fill="FFFFFF"/>
            <w:noWrap/>
            <w:vAlign w:val="center"/>
          </w:tcPr>
          <w:p w14:paraId="50F33B34" w14:textId="0CDBDA03" w:rsidR="00C07CB8" w:rsidRPr="002F5246" w:rsidRDefault="00C07CB8"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Panel B. Active Dealers in Asia</w:t>
            </w:r>
          </w:p>
        </w:tc>
      </w:tr>
      <w:tr w:rsidR="002A0AD1" w:rsidRPr="002F5246" w14:paraId="6D9FE326" w14:textId="77777777" w:rsidTr="00C07CB8">
        <w:trPr>
          <w:trHeight w:val="255"/>
        </w:trPr>
        <w:tc>
          <w:tcPr>
            <w:tcW w:w="3051" w:type="dxa"/>
            <w:tcBorders>
              <w:top w:val="single" w:sz="12" w:space="0" w:color="auto"/>
              <w:left w:val="nil"/>
              <w:bottom w:val="single" w:sz="4" w:space="0" w:color="auto"/>
              <w:right w:val="nil"/>
            </w:tcBorders>
            <w:shd w:val="clear" w:color="000000" w:fill="FFFFFF"/>
            <w:noWrap/>
            <w:vAlign w:val="center"/>
            <w:hideMark/>
          </w:tcPr>
          <w:p w14:paraId="0350C4ED"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Name</w:t>
            </w:r>
          </w:p>
        </w:tc>
        <w:tc>
          <w:tcPr>
            <w:tcW w:w="1675" w:type="dxa"/>
            <w:tcBorders>
              <w:top w:val="single" w:sz="12" w:space="0" w:color="auto"/>
              <w:left w:val="nil"/>
              <w:bottom w:val="single" w:sz="4" w:space="0" w:color="auto"/>
              <w:right w:val="nil"/>
            </w:tcBorders>
            <w:shd w:val="clear" w:color="000000" w:fill="FFFFFF"/>
            <w:noWrap/>
            <w:vAlign w:val="center"/>
            <w:hideMark/>
          </w:tcPr>
          <w:p w14:paraId="4C9F7D42"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Country</w:t>
            </w:r>
          </w:p>
        </w:tc>
        <w:tc>
          <w:tcPr>
            <w:tcW w:w="1647" w:type="dxa"/>
            <w:tcBorders>
              <w:top w:val="single" w:sz="12" w:space="0" w:color="auto"/>
              <w:left w:val="nil"/>
              <w:bottom w:val="single" w:sz="4" w:space="0" w:color="auto"/>
              <w:right w:val="nil"/>
            </w:tcBorders>
            <w:shd w:val="clear" w:color="000000" w:fill="FFFFFF"/>
            <w:noWrap/>
            <w:vAlign w:val="center"/>
            <w:hideMark/>
          </w:tcPr>
          <w:p w14:paraId="1D95198F"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City</w:t>
            </w:r>
          </w:p>
        </w:tc>
        <w:tc>
          <w:tcPr>
            <w:tcW w:w="621" w:type="dxa"/>
            <w:tcBorders>
              <w:top w:val="single" w:sz="12" w:space="0" w:color="auto"/>
              <w:left w:val="nil"/>
              <w:bottom w:val="single" w:sz="4" w:space="0" w:color="auto"/>
              <w:right w:val="nil"/>
            </w:tcBorders>
            <w:shd w:val="clear" w:color="000000" w:fill="FFFFFF"/>
            <w:noWrap/>
            <w:vAlign w:val="center"/>
            <w:hideMark/>
          </w:tcPr>
          <w:p w14:paraId="7C023F7D"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7D4A959E"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87" w:type="dxa"/>
            <w:tcBorders>
              <w:top w:val="single" w:sz="12" w:space="0" w:color="auto"/>
              <w:left w:val="nil"/>
              <w:bottom w:val="single" w:sz="4" w:space="0" w:color="auto"/>
              <w:right w:val="nil"/>
            </w:tcBorders>
            <w:shd w:val="clear" w:color="000000" w:fill="FFFFFF"/>
            <w:noWrap/>
            <w:vAlign w:val="center"/>
            <w:hideMark/>
          </w:tcPr>
          <w:p w14:paraId="315ACE4D"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747" w:type="dxa"/>
            <w:tcBorders>
              <w:top w:val="single" w:sz="12" w:space="0" w:color="auto"/>
              <w:left w:val="nil"/>
              <w:bottom w:val="single" w:sz="4" w:space="0" w:color="auto"/>
              <w:right w:val="nil"/>
            </w:tcBorders>
            <w:shd w:val="clear" w:color="000000" w:fill="FFFFFF"/>
            <w:noWrap/>
            <w:vAlign w:val="center"/>
            <w:hideMark/>
          </w:tcPr>
          <w:p w14:paraId="0E77AE19"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205EBDB1"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r>
      <w:tr w:rsidR="002A0AD1" w:rsidRPr="002F5246" w14:paraId="5AFFD649" w14:textId="77777777" w:rsidTr="00C07CB8">
        <w:trPr>
          <w:trHeight w:val="255"/>
        </w:trPr>
        <w:tc>
          <w:tcPr>
            <w:tcW w:w="3051" w:type="dxa"/>
            <w:tcBorders>
              <w:top w:val="nil"/>
              <w:left w:val="nil"/>
              <w:bottom w:val="nil"/>
              <w:right w:val="nil"/>
            </w:tcBorders>
            <w:shd w:val="clear" w:color="000000" w:fill="FFFFFF"/>
            <w:vAlign w:val="center"/>
            <w:hideMark/>
          </w:tcPr>
          <w:p w14:paraId="29DA1D52"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AL HILAL BANK</w:t>
            </w:r>
          </w:p>
        </w:tc>
        <w:tc>
          <w:tcPr>
            <w:tcW w:w="1675" w:type="dxa"/>
            <w:tcBorders>
              <w:top w:val="nil"/>
              <w:left w:val="nil"/>
              <w:bottom w:val="nil"/>
              <w:right w:val="nil"/>
            </w:tcBorders>
            <w:shd w:val="clear" w:color="000000" w:fill="FFFFFF"/>
            <w:noWrap/>
            <w:vAlign w:val="center"/>
            <w:hideMark/>
          </w:tcPr>
          <w:p w14:paraId="2FA397A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UAE</w:t>
            </w:r>
          </w:p>
        </w:tc>
        <w:tc>
          <w:tcPr>
            <w:tcW w:w="1647" w:type="dxa"/>
            <w:tcBorders>
              <w:top w:val="nil"/>
              <w:left w:val="nil"/>
              <w:bottom w:val="nil"/>
              <w:right w:val="nil"/>
            </w:tcBorders>
            <w:shd w:val="clear" w:color="000000" w:fill="FFFFFF"/>
            <w:noWrap/>
            <w:vAlign w:val="center"/>
            <w:hideMark/>
          </w:tcPr>
          <w:p w14:paraId="31FD925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ABU DHABI</w:t>
            </w:r>
          </w:p>
        </w:tc>
        <w:tc>
          <w:tcPr>
            <w:tcW w:w="621" w:type="dxa"/>
            <w:tcBorders>
              <w:top w:val="nil"/>
              <w:left w:val="nil"/>
              <w:bottom w:val="nil"/>
              <w:right w:val="nil"/>
            </w:tcBorders>
            <w:shd w:val="clear" w:color="000000" w:fill="FFFFFF"/>
            <w:noWrap/>
            <w:vAlign w:val="center"/>
            <w:hideMark/>
          </w:tcPr>
          <w:p w14:paraId="67E522E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5C78A9F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1C1D75D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w:t>
            </w:r>
          </w:p>
        </w:tc>
        <w:tc>
          <w:tcPr>
            <w:tcW w:w="747" w:type="dxa"/>
            <w:tcBorders>
              <w:top w:val="nil"/>
              <w:left w:val="nil"/>
              <w:bottom w:val="nil"/>
              <w:right w:val="nil"/>
            </w:tcBorders>
            <w:shd w:val="clear" w:color="000000" w:fill="FFFFFF"/>
            <w:noWrap/>
            <w:vAlign w:val="center"/>
            <w:hideMark/>
          </w:tcPr>
          <w:p w14:paraId="2C0488B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w:t>
            </w:r>
          </w:p>
        </w:tc>
        <w:tc>
          <w:tcPr>
            <w:tcW w:w="621" w:type="dxa"/>
            <w:tcBorders>
              <w:top w:val="nil"/>
              <w:left w:val="nil"/>
              <w:bottom w:val="nil"/>
              <w:right w:val="nil"/>
            </w:tcBorders>
            <w:shd w:val="clear" w:color="000000" w:fill="FFFFFF"/>
            <w:noWrap/>
            <w:vAlign w:val="center"/>
            <w:hideMark/>
          </w:tcPr>
          <w:p w14:paraId="44FDE32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10640BC0" w14:textId="77777777" w:rsidTr="00C07CB8">
        <w:trPr>
          <w:trHeight w:val="255"/>
        </w:trPr>
        <w:tc>
          <w:tcPr>
            <w:tcW w:w="3051" w:type="dxa"/>
            <w:tcBorders>
              <w:top w:val="nil"/>
              <w:left w:val="nil"/>
              <w:bottom w:val="nil"/>
              <w:right w:val="nil"/>
            </w:tcBorders>
            <w:shd w:val="clear" w:color="000000" w:fill="FFFFFF"/>
            <w:vAlign w:val="center"/>
            <w:hideMark/>
          </w:tcPr>
          <w:p w14:paraId="23CC922D"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ASYA KATILIM BANKASI A.S</w:t>
            </w:r>
          </w:p>
        </w:tc>
        <w:tc>
          <w:tcPr>
            <w:tcW w:w="1675" w:type="dxa"/>
            <w:tcBorders>
              <w:top w:val="nil"/>
              <w:left w:val="nil"/>
              <w:bottom w:val="nil"/>
              <w:right w:val="nil"/>
            </w:tcBorders>
            <w:shd w:val="clear" w:color="000000" w:fill="FFFFFF"/>
            <w:noWrap/>
            <w:vAlign w:val="center"/>
            <w:hideMark/>
          </w:tcPr>
          <w:p w14:paraId="7A10922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TURKEY</w:t>
            </w:r>
          </w:p>
        </w:tc>
        <w:tc>
          <w:tcPr>
            <w:tcW w:w="1647" w:type="dxa"/>
            <w:tcBorders>
              <w:top w:val="nil"/>
              <w:left w:val="nil"/>
              <w:bottom w:val="nil"/>
              <w:right w:val="nil"/>
            </w:tcBorders>
            <w:shd w:val="clear" w:color="000000" w:fill="FFFFFF"/>
            <w:noWrap/>
            <w:vAlign w:val="center"/>
            <w:hideMark/>
          </w:tcPr>
          <w:p w14:paraId="68C3B8C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ISTANBUL</w:t>
            </w:r>
          </w:p>
        </w:tc>
        <w:tc>
          <w:tcPr>
            <w:tcW w:w="621" w:type="dxa"/>
            <w:tcBorders>
              <w:top w:val="nil"/>
              <w:left w:val="nil"/>
              <w:bottom w:val="nil"/>
              <w:right w:val="nil"/>
            </w:tcBorders>
            <w:shd w:val="clear" w:color="000000" w:fill="FFFFFF"/>
            <w:noWrap/>
            <w:vAlign w:val="center"/>
            <w:hideMark/>
          </w:tcPr>
          <w:p w14:paraId="3794CFF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62FADB2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4CB5FEE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53</w:t>
            </w:r>
          </w:p>
        </w:tc>
        <w:tc>
          <w:tcPr>
            <w:tcW w:w="747" w:type="dxa"/>
            <w:tcBorders>
              <w:top w:val="nil"/>
              <w:left w:val="nil"/>
              <w:bottom w:val="nil"/>
              <w:right w:val="nil"/>
            </w:tcBorders>
            <w:shd w:val="clear" w:color="000000" w:fill="FFFFFF"/>
            <w:noWrap/>
            <w:vAlign w:val="center"/>
            <w:hideMark/>
          </w:tcPr>
          <w:p w14:paraId="3AD13DE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59</w:t>
            </w:r>
          </w:p>
        </w:tc>
        <w:tc>
          <w:tcPr>
            <w:tcW w:w="621" w:type="dxa"/>
            <w:tcBorders>
              <w:top w:val="nil"/>
              <w:left w:val="nil"/>
              <w:bottom w:val="nil"/>
              <w:right w:val="nil"/>
            </w:tcBorders>
            <w:shd w:val="clear" w:color="000000" w:fill="FFFFFF"/>
            <w:noWrap/>
            <w:vAlign w:val="center"/>
            <w:hideMark/>
          </w:tcPr>
          <w:p w14:paraId="083FBDE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18DD80B4" w14:textId="77777777" w:rsidTr="00C07CB8">
        <w:trPr>
          <w:trHeight w:val="255"/>
        </w:trPr>
        <w:tc>
          <w:tcPr>
            <w:tcW w:w="3051" w:type="dxa"/>
            <w:tcBorders>
              <w:top w:val="nil"/>
              <w:left w:val="nil"/>
              <w:bottom w:val="nil"/>
              <w:right w:val="nil"/>
            </w:tcBorders>
            <w:shd w:val="clear" w:color="000000" w:fill="FFFFFF"/>
            <w:vAlign w:val="center"/>
            <w:hideMark/>
          </w:tcPr>
          <w:p w14:paraId="69238244"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BANK MUSCAT</w:t>
            </w:r>
          </w:p>
        </w:tc>
        <w:tc>
          <w:tcPr>
            <w:tcW w:w="1675" w:type="dxa"/>
            <w:tcBorders>
              <w:top w:val="nil"/>
              <w:left w:val="nil"/>
              <w:bottom w:val="nil"/>
              <w:right w:val="nil"/>
            </w:tcBorders>
            <w:shd w:val="clear" w:color="000000" w:fill="FFFFFF"/>
            <w:noWrap/>
            <w:vAlign w:val="center"/>
            <w:hideMark/>
          </w:tcPr>
          <w:p w14:paraId="1249496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SAUDI ARABIA</w:t>
            </w:r>
          </w:p>
        </w:tc>
        <w:tc>
          <w:tcPr>
            <w:tcW w:w="1647" w:type="dxa"/>
            <w:tcBorders>
              <w:top w:val="nil"/>
              <w:left w:val="nil"/>
              <w:bottom w:val="nil"/>
              <w:right w:val="nil"/>
            </w:tcBorders>
            <w:shd w:val="clear" w:color="000000" w:fill="FFFFFF"/>
            <w:noWrap/>
            <w:vAlign w:val="center"/>
            <w:hideMark/>
          </w:tcPr>
          <w:p w14:paraId="209231C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RIYADH</w:t>
            </w:r>
          </w:p>
        </w:tc>
        <w:tc>
          <w:tcPr>
            <w:tcW w:w="621" w:type="dxa"/>
            <w:tcBorders>
              <w:top w:val="nil"/>
              <w:left w:val="nil"/>
              <w:bottom w:val="nil"/>
              <w:right w:val="nil"/>
            </w:tcBorders>
            <w:shd w:val="clear" w:color="000000" w:fill="FFFFFF"/>
            <w:noWrap/>
            <w:vAlign w:val="center"/>
            <w:hideMark/>
          </w:tcPr>
          <w:p w14:paraId="238BDFE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4819877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166FE02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w:t>
            </w:r>
          </w:p>
        </w:tc>
        <w:tc>
          <w:tcPr>
            <w:tcW w:w="747" w:type="dxa"/>
            <w:tcBorders>
              <w:top w:val="nil"/>
              <w:left w:val="nil"/>
              <w:bottom w:val="nil"/>
              <w:right w:val="nil"/>
            </w:tcBorders>
            <w:shd w:val="clear" w:color="000000" w:fill="FFFFFF"/>
            <w:noWrap/>
            <w:vAlign w:val="center"/>
            <w:hideMark/>
          </w:tcPr>
          <w:p w14:paraId="1D2773D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w:t>
            </w:r>
          </w:p>
        </w:tc>
        <w:tc>
          <w:tcPr>
            <w:tcW w:w="621" w:type="dxa"/>
            <w:tcBorders>
              <w:top w:val="nil"/>
              <w:left w:val="nil"/>
              <w:bottom w:val="nil"/>
              <w:right w:val="nil"/>
            </w:tcBorders>
            <w:shd w:val="clear" w:color="000000" w:fill="FFFFFF"/>
            <w:noWrap/>
            <w:vAlign w:val="center"/>
            <w:hideMark/>
          </w:tcPr>
          <w:p w14:paraId="0D9499D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0914B6EA" w14:textId="77777777" w:rsidTr="00C07CB8">
        <w:trPr>
          <w:trHeight w:val="255"/>
        </w:trPr>
        <w:tc>
          <w:tcPr>
            <w:tcW w:w="3051" w:type="dxa"/>
            <w:tcBorders>
              <w:top w:val="nil"/>
              <w:left w:val="nil"/>
              <w:bottom w:val="nil"/>
              <w:right w:val="nil"/>
            </w:tcBorders>
            <w:shd w:val="clear" w:color="000000" w:fill="FFFFFF"/>
            <w:vAlign w:val="center"/>
            <w:hideMark/>
          </w:tcPr>
          <w:p w14:paraId="049F3F74"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BANK OF COMMUNICATION</w:t>
            </w:r>
          </w:p>
        </w:tc>
        <w:tc>
          <w:tcPr>
            <w:tcW w:w="1675" w:type="dxa"/>
            <w:tcBorders>
              <w:top w:val="nil"/>
              <w:left w:val="nil"/>
              <w:bottom w:val="nil"/>
              <w:right w:val="nil"/>
            </w:tcBorders>
            <w:shd w:val="clear" w:color="000000" w:fill="FFFFFF"/>
            <w:noWrap/>
            <w:vAlign w:val="center"/>
            <w:hideMark/>
          </w:tcPr>
          <w:p w14:paraId="6C51F23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CHINA</w:t>
            </w:r>
          </w:p>
        </w:tc>
        <w:tc>
          <w:tcPr>
            <w:tcW w:w="1647" w:type="dxa"/>
            <w:tcBorders>
              <w:top w:val="nil"/>
              <w:left w:val="nil"/>
              <w:bottom w:val="nil"/>
              <w:right w:val="nil"/>
            </w:tcBorders>
            <w:shd w:val="clear" w:color="000000" w:fill="FFFFFF"/>
            <w:noWrap/>
            <w:vAlign w:val="center"/>
            <w:hideMark/>
          </w:tcPr>
          <w:p w14:paraId="1EC7421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SHANGHAI </w:t>
            </w:r>
          </w:p>
        </w:tc>
        <w:tc>
          <w:tcPr>
            <w:tcW w:w="621" w:type="dxa"/>
            <w:tcBorders>
              <w:top w:val="nil"/>
              <w:left w:val="nil"/>
              <w:bottom w:val="nil"/>
              <w:right w:val="nil"/>
            </w:tcBorders>
            <w:shd w:val="clear" w:color="000000" w:fill="FFFFFF"/>
            <w:noWrap/>
            <w:vAlign w:val="center"/>
            <w:hideMark/>
          </w:tcPr>
          <w:p w14:paraId="5D3E3E4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41</w:t>
            </w:r>
          </w:p>
        </w:tc>
        <w:tc>
          <w:tcPr>
            <w:tcW w:w="621" w:type="dxa"/>
            <w:tcBorders>
              <w:top w:val="nil"/>
              <w:left w:val="nil"/>
              <w:bottom w:val="nil"/>
              <w:right w:val="nil"/>
            </w:tcBorders>
            <w:shd w:val="clear" w:color="000000" w:fill="FFFFFF"/>
            <w:noWrap/>
            <w:vAlign w:val="center"/>
            <w:hideMark/>
          </w:tcPr>
          <w:p w14:paraId="37E8C55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44</w:t>
            </w:r>
          </w:p>
        </w:tc>
        <w:tc>
          <w:tcPr>
            <w:tcW w:w="687" w:type="dxa"/>
            <w:tcBorders>
              <w:top w:val="nil"/>
              <w:left w:val="nil"/>
              <w:bottom w:val="nil"/>
              <w:right w:val="nil"/>
            </w:tcBorders>
            <w:shd w:val="clear" w:color="000000" w:fill="FFFFFF"/>
            <w:noWrap/>
            <w:vAlign w:val="center"/>
            <w:hideMark/>
          </w:tcPr>
          <w:p w14:paraId="77E6C13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47" w:type="dxa"/>
            <w:tcBorders>
              <w:top w:val="nil"/>
              <w:left w:val="nil"/>
              <w:bottom w:val="nil"/>
              <w:right w:val="nil"/>
            </w:tcBorders>
            <w:shd w:val="clear" w:color="000000" w:fill="FFFFFF"/>
            <w:noWrap/>
            <w:vAlign w:val="center"/>
            <w:hideMark/>
          </w:tcPr>
          <w:p w14:paraId="14A7BA1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41</w:t>
            </w:r>
          </w:p>
        </w:tc>
        <w:tc>
          <w:tcPr>
            <w:tcW w:w="621" w:type="dxa"/>
            <w:tcBorders>
              <w:top w:val="nil"/>
              <w:left w:val="nil"/>
              <w:bottom w:val="nil"/>
              <w:right w:val="nil"/>
            </w:tcBorders>
            <w:shd w:val="clear" w:color="000000" w:fill="FFFFFF"/>
            <w:noWrap/>
            <w:vAlign w:val="center"/>
            <w:hideMark/>
          </w:tcPr>
          <w:p w14:paraId="0199EC8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43</w:t>
            </w:r>
          </w:p>
        </w:tc>
      </w:tr>
      <w:tr w:rsidR="002A0AD1" w:rsidRPr="002F5246" w14:paraId="5F50EB7A" w14:textId="77777777" w:rsidTr="00C07CB8">
        <w:trPr>
          <w:trHeight w:val="480"/>
        </w:trPr>
        <w:tc>
          <w:tcPr>
            <w:tcW w:w="3051" w:type="dxa"/>
            <w:tcBorders>
              <w:top w:val="nil"/>
              <w:left w:val="nil"/>
              <w:bottom w:val="nil"/>
              <w:right w:val="nil"/>
            </w:tcBorders>
            <w:shd w:val="clear" w:color="000000" w:fill="FFFFFF"/>
            <w:vAlign w:val="center"/>
            <w:hideMark/>
          </w:tcPr>
          <w:p w14:paraId="7AB9F2BE"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INDUSTRIAL AND COMMERCIAL BANK OF CHINA</w:t>
            </w:r>
          </w:p>
        </w:tc>
        <w:tc>
          <w:tcPr>
            <w:tcW w:w="1675" w:type="dxa"/>
            <w:tcBorders>
              <w:top w:val="nil"/>
              <w:left w:val="nil"/>
              <w:bottom w:val="nil"/>
              <w:right w:val="nil"/>
            </w:tcBorders>
            <w:shd w:val="clear" w:color="000000" w:fill="FFFFFF"/>
            <w:noWrap/>
            <w:vAlign w:val="center"/>
            <w:hideMark/>
          </w:tcPr>
          <w:p w14:paraId="4AA2502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HONG KONG</w:t>
            </w:r>
          </w:p>
        </w:tc>
        <w:tc>
          <w:tcPr>
            <w:tcW w:w="1647" w:type="dxa"/>
            <w:tcBorders>
              <w:top w:val="nil"/>
              <w:left w:val="nil"/>
              <w:bottom w:val="nil"/>
              <w:right w:val="nil"/>
            </w:tcBorders>
            <w:shd w:val="clear" w:color="000000" w:fill="FFFFFF"/>
            <w:noWrap/>
            <w:vAlign w:val="center"/>
            <w:hideMark/>
          </w:tcPr>
          <w:p w14:paraId="4FE9EAC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HONG KONG</w:t>
            </w:r>
          </w:p>
        </w:tc>
        <w:tc>
          <w:tcPr>
            <w:tcW w:w="621" w:type="dxa"/>
            <w:tcBorders>
              <w:top w:val="nil"/>
              <w:left w:val="nil"/>
              <w:bottom w:val="nil"/>
              <w:right w:val="nil"/>
            </w:tcBorders>
            <w:shd w:val="clear" w:color="000000" w:fill="FFFFFF"/>
            <w:noWrap/>
            <w:vAlign w:val="center"/>
            <w:hideMark/>
          </w:tcPr>
          <w:p w14:paraId="5BE0520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47B85EF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072003F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12</w:t>
            </w:r>
          </w:p>
        </w:tc>
        <w:tc>
          <w:tcPr>
            <w:tcW w:w="747" w:type="dxa"/>
            <w:tcBorders>
              <w:top w:val="nil"/>
              <w:left w:val="nil"/>
              <w:bottom w:val="nil"/>
              <w:right w:val="nil"/>
            </w:tcBorders>
            <w:shd w:val="clear" w:color="000000" w:fill="FFFFFF"/>
            <w:noWrap/>
            <w:vAlign w:val="center"/>
            <w:hideMark/>
          </w:tcPr>
          <w:p w14:paraId="3BE835F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w:t>
            </w:r>
          </w:p>
        </w:tc>
        <w:tc>
          <w:tcPr>
            <w:tcW w:w="621" w:type="dxa"/>
            <w:tcBorders>
              <w:top w:val="nil"/>
              <w:left w:val="nil"/>
              <w:bottom w:val="nil"/>
              <w:right w:val="nil"/>
            </w:tcBorders>
            <w:shd w:val="clear" w:color="000000" w:fill="FFFFFF"/>
            <w:noWrap/>
            <w:vAlign w:val="center"/>
            <w:hideMark/>
          </w:tcPr>
          <w:p w14:paraId="566AEE9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11</w:t>
            </w:r>
          </w:p>
        </w:tc>
      </w:tr>
      <w:tr w:rsidR="002A0AD1" w:rsidRPr="002F5246" w14:paraId="748799AE" w14:textId="77777777" w:rsidTr="00C07CB8">
        <w:trPr>
          <w:trHeight w:val="255"/>
        </w:trPr>
        <w:tc>
          <w:tcPr>
            <w:tcW w:w="3051" w:type="dxa"/>
            <w:tcBorders>
              <w:top w:val="nil"/>
              <w:left w:val="nil"/>
              <w:bottom w:val="nil"/>
              <w:right w:val="nil"/>
            </w:tcBorders>
            <w:shd w:val="clear" w:color="000000" w:fill="FFFFFF"/>
            <w:vAlign w:val="center"/>
            <w:hideMark/>
          </w:tcPr>
          <w:p w14:paraId="3E669D7C"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ING BANK</w:t>
            </w:r>
          </w:p>
        </w:tc>
        <w:tc>
          <w:tcPr>
            <w:tcW w:w="1675" w:type="dxa"/>
            <w:tcBorders>
              <w:top w:val="nil"/>
              <w:left w:val="nil"/>
              <w:bottom w:val="nil"/>
              <w:right w:val="nil"/>
            </w:tcBorders>
            <w:shd w:val="clear" w:color="000000" w:fill="FFFFFF"/>
            <w:noWrap/>
            <w:vAlign w:val="center"/>
            <w:hideMark/>
          </w:tcPr>
          <w:p w14:paraId="01B462A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TURKEY</w:t>
            </w:r>
          </w:p>
        </w:tc>
        <w:tc>
          <w:tcPr>
            <w:tcW w:w="1647" w:type="dxa"/>
            <w:tcBorders>
              <w:top w:val="nil"/>
              <w:left w:val="nil"/>
              <w:bottom w:val="nil"/>
              <w:right w:val="nil"/>
            </w:tcBorders>
            <w:shd w:val="clear" w:color="000000" w:fill="FFFFFF"/>
            <w:noWrap/>
            <w:vAlign w:val="center"/>
            <w:hideMark/>
          </w:tcPr>
          <w:p w14:paraId="003A95B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ISTANBUL</w:t>
            </w:r>
          </w:p>
        </w:tc>
        <w:tc>
          <w:tcPr>
            <w:tcW w:w="621" w:type="dxa"/>
            <w:tcBorders>
              <w:top w:val="nil"/>
              <w:left w:val="nil"/>
              <w:bottom w:val="nil"/>
              <w:right w:val="nil"/>
            </w:tcBorders>
            <w:shd w:val="clear" w:color="000000" w:fill="FFFFFF"/>
            <w:noWrap/>
            <w:vAlign w:val="center"/>
            <w:hideMark/>
          </w:tcPr>
          <w:p w14:paraId="628F360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2B1958A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066AB04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47" w:type="dxa"/>
            <w:tcBorders>
              <w:top w:val="nil"/>
              <w:left w:val="nil"/>
              <w:bottom w:val="nil"/>
              <w:right w:val="nil"/>
            </w:tcBorders>
            <w:shd w:val="clear" w:color="000000" w:fill="FFFFFF"/>
            <w:noWrap/>
            <w:vAlign w:val="center"/>
            <w:hideMark/>
          </w:tcPr>
          <w:p w14:paraId="02DA65A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811</w:t>
            </w:r>
          </w:p>
        </w:tc>
        <w:tc>
          <w:tcPr>
            <w:tcW w:w="621" w:type="dxa"/>
            <w:tcBorders>
              <w:top w:val="nil"/>
              <w:left w:val="nil"/>
              <w:bottom w:val="nil"/>
              <w:right w:val="nil"/>
            </w:tcBorders>
            <w:shd w:val="clear" w:color="000000" w:fill="FFFFFF"/>
            <w:noWrap/>
            <w:vAlign w:val="center"/>
            <w:hideMark/>
          </w:tcPr>
          <w:p w14:paraId="0F7AC94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655BBEEB" w14:textId="77777777" w:rsidTr="00C07CB8">
        <w:trPr>
          <w:trHeight w:val="255"/>
        </w:trPr>
        <w:tc>
          <w:tcPr>
            <w:tcW w:w="3051" w:type="dxa"/>
            <w:tcBorders>
              <w:top w:val="nil"/>
              <w:left w:val="nil"/>
              <w:bottom w:val="nil"/>
              <w:right w:val="nil"/>
            </w:tcBorders>
            <w:shd w:val="clear" w:color="000000" w:fill="FFFFFF"/>
            <w:vAlign w:val="center"/>
            <w:hideMark/>
          </w:tcPr>
          <w:p w14:paraId="111F9B9B"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KASPI BANK</w:t>
            </w:r>
          </w:p>
        </w:tc>
        <w:tc>
          <w:tcPr>
            <w:tcW w:w="1675" w:type="dxa"/>
            <w:tcBorders>
              <w:top w:val="nil"/>
              <w:left w:val="nil"/>
              <w:bottom w:val="nil"/>
              <w:right w:val="nil"/>
            </w:tcBorders>
            <w:shd w:val="clear" w:color="000000" w:fill="FFFFFF"/>
            <w:noWrap/>
            <w:vAlign w:val="center"/>
            <w:hideMark/>
          </w:tcPr>
          <w:p w14:paraId="04A1324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KAZAKHSTAN</w:t>
            </w:r>
          </w:p>
        </w:tc>
        <w:tc>
          <w:tcPr>
            <w:tcW w:w="1647" w:type="dxa"/>
            <w:tcBorders>
              <w:top w:val="nil"/>
              <w:left w:val="nil"/>
              <w:bottom w:val="nil"/>
              <w:right w:val="nil"/>
            </w:tcBorders>
            <w:shd w:val="clear" w:color="000000" w:fill="FFFFFF"/>
            <w:noWrap/>
            <w:vAlign w:val="center"/>
            <w:hideMark/>
          </w:tcPr>
          <w:p w14:paraId="37134EC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ALMATY</w:t>
            </w:r>
          </w:p>
        </w:tc>
        <w:tc>
          <w:tcPr>
            <w:tcW w:w="621" w:type="dxa"/>
            <w:tcBorders>
              <w:top w:val="nil"/>
              <w:left w:val="nil"/>
              <w:bottom w:val="nil"/>
              <w:right w:val="nil"/>
            </w:tcBorders>
            <w:shd w:val="clear" w:color="000000" w:fill="FFFFFF"/>
            <w:noWrap/>
            <w:vAlign w:val="center"/>
            <w:hideMark/>
          </w:tcPr>
          <w:p w14:paraId="7AC2C2F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1CBF972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7D16062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383</w:t>
            </w:r>
          </w:p>
        </w:tc>
        <w:tc>
          <w:tcPr>
            <w:tcW w:w="747" w:type="dxa"/>
            <w:tcBorders>
              <w:top w:val="nil"/>
              <w:left w:val="nil"/>
              <w:bottom w:val="nil"/>
              <w:right w:val="nil"/>
            </w:tcBorders>
            <w:shd w:val="clear" w:color="000000" w:fill="FFFFFF"/>
            <w:noWrap/>
            <w:vAlign w:val="center"/>
            <w:hideMark/>
          </w:tcPr>
          <w:p w14:paraId="1209326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388</w:t>
            </w:r>
          </w:p>
        </w:tc>
        <w:tc>
          <w:tcPr>
            <w:tcW w:w="621" w:type="dxa"/>
            <w:tcBorders>
              <w:top w:val="nil"/>
              <w:left w:val="nil"/>
              <w:bottom w:val="nil"/>
              <w:right w:val="nil"/>
            </w:tcBorders>
            <w:shd w:val="clear" w:color="000000" w:fill="FFFFFF"/>
            <w:noWrap/>
            <w:vAlign w:val="center"/>
            <w:hideMark/>
          </w:tcPr>
          <w:p w14:paraId="05DF5F6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353</w:t>
            </w:r>
          </w:p>
        </w:tc>
      </w:tr>
      <w:tr w:rsidR="002A0AD1" w:rsidRPr="002F5246" w14:paraId="45A8E051" w14:textId="77777777" w:rsidTr="00C07CB8">
        <w:trPr>
          <w:trHeight w:val="255"/>
        </w:trPr>
        <w:tc>
          <w:tcPr>
            <w:tcW w:w="3051" w:type="dxa"/>
            <w:tcBorders>
              <w:top w:val="nil"/>
              <w:left w:val="nil"/>
              <w:bottom w:val="nil"/>
              <w:right w:val="nil"/>
            </w:tcBorders>
            <w:shd w:val="clear" w:color="000000" w:fill="FFFFFF"/>
            <w:vAlign w:val="center"/>
            <w:hideMark/>
          </w:tcPr>
          <w:p w14:paraId="0BB828AC"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NATIONAL BANK OF OMAN</w:t>
            </w:r>
          </w:p>
        </w:tc>
        <w:tc>
          <w:tcPr>
            <w:tcW w:w="1675" w:type="dxa"/>
            <w:tcBorders>
              <w:top w:val="nil"/>
              <w:left w:val="nil"/>
              <w:bottom w:val="nil"/>
              <w:right w:val="nil"/>
            </w:tcBorders>
            <w:shd w:val="clear" w:color="000000" w:fill="FFFFFF"/>
            <w:noWrap/>
            <w:vAlign w:val="center"/>
            <w:hideMark/>
          </w:tcPr>
          <w:p w14:paraId="32FD062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OMAN</w:t>
            </w:r>
          </w:p>
        </w:tc>
        <w:tc>
          <w:tcPr>
            <w:tcW w:w="1647" w:type="dxa"/>
            <w:tcBorders>
              <w:top w:val="nil"/>
              <w:left w:val="nil"/>
              <w:bottom w:val="nil"/>
              <w:right w:val="nil"/>
            </w:tcBorders>
            <w:shd w:val="clear" w:color="000000" w:fill="FFFFFF"/>
            <w:noWrap/>
            <w:vAlign w:val="center"/>
            <w:hideMark/>
          </w:tcPr>
          <w:p w14:paraId="2FE204C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MUSCAT</w:t>
            </w:r>
          </w:p>
        </w:tc>
        <w:tc>
          <w:tcPr>
            <w:tcW w:w="621" w:type="dxa"/>
            <w:tcBorders>
              <w:top w:val="nil"/>
              <w:left w:val="nil"/>
              <w:bottom w:val="nil"/>
              <w:right w:val="nil"/>
            </w:tcBorders>
            <w:shd w:val="clear" w:color="000000" w:fill="FFFFFF"/>
            <w:noWrap/>
            <w:vAlign w:val="center"/>
            <w:hideMark/>
          </w:tcPr>
          <w:p w14:paraId="0CDEDEE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5D1A00C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499BFF3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w:t>
            </w:r>
          </w:p>
        </w:tc>
        <w:tc>
          <w:tcPr>
            <w:tcW w:w="747" w:type="dxa"/>
            <w:tcBorders>
              <w:top w:val="nil"/>
              <w:left w:val="nil"/>
              <w:bottom w:val="nil"/>
              <w:right w:val="nil"/>
            </w:tcBorders>
            <w:shd w:val="clear" w:color="000000" w:fill="FFFFFF"/>
            <w:noWrap/>
            <w:vAlign w:val="center"/>
            <w:hideMark/>
          </w:tcPr>
          <w:p w14:paraId="317821E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w:t>
            </w:r>
          </w:p>
        </w:tc>
        <w:tc>
          <w:tcPr>
            <w:tcW w:w="621" w:type="dxa"/>
            <w:tcBorders>
              <w:top w:val="nil"/>
              <w:left w:val="nil"/>
              <w:bottom w:val="nil"/>
              <w:right w:val="nil"/>
            </w:tcBorders>
            <w:shd w:val="clear" w:color="000000" w:fill="FFFFFF"/>
            <w:noWrap/>
            <w:vAlign w:val="center"/>
            <w:hideMark/>
          </w:tcPr>
          <w:p w14:paraId="68BA144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w:t>
            </w:r>
          </w:p>
        </w:tc>
      </w:tr>
      <w:tr w:rsidR="002A0AD1" w:rsidRPr="002F5246" w14:paraId="3D1BA6B3" w14:textId="77777777" w:rsidTr="00C07CB8">
        <w:trPr>
          <w:trHeight w:val="255"/>
        </w:trPr>
        <w:tc>
          <w:tcPr>
            <w:tcW w:w="3051" w:type="dxa"/>
            <w:tcBorders>
              <w:top w:val="nil"/>
              <w:left w:val="nil"/>
              <w:bottom w:val="nil"/>
              <w:right w:val="nil"/>
            </w:tcBorders>
            <w:shd w:val="clear" w:color="000000" w:fill="FFFFFF"/>
            <w:vAlign w:val="center"/>
            <w:hideMark/>
          </w:tcPr>
          <w:p w14:paraId="7AB25099"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OMAN ARAB BANK</w:t>
            </w:r>
          </w:p>
        </w:tc>
        <w:tc>
          <w:tcPr>
            <w:tcW w:w="1675" w:type="dxa"/>
            <w:tcBorders>
              <w:top w:val="nil"/>
              <w:left w:val="nil"/>
              <w:bottom w:val="nil"/>
              <w:right w:val="nil"/>
            </w:tcBorders>
            <w:shd w:val="clear" w:color="000000" w:fill="FFFFFF"/>
            <w:noWrap/>
            <w:vAlign w:val="center"/>
            <w:hideMark/>
          </w:tcPr>
          <w:p w14:paraId="25CB013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OMAN</w:t>
            </w:r>
          </w:p>
        </w:tc>
        <w:tc>
          <w:tcPr>
            <w:tcW w:w="1647" w:type="dxa"/>
            <w:tcBorders>
              <w:top w:val="nil"/>
              <w:left w:val="nil"/>
              <w:bottom w:val="nil"/>
              <w:right w:val="nil"/>
            </w:tcBorders>
            <w:shd w:val="clear" w:color="000000" w:fill="FFFFFF"/>
            <w:noWrap/>
            <w:vAlign w:val="center"/>
            <w:hideMark/>
          </w:tcPr>
          <w:p w14:paraId="77FB13D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MUSCAT</w:t>
            </w:r>
          </w:p>
        </w:tc>
        <w:tc>
          <w:tcPr>
            <w:tcW w:w="621" w:type="dxa"/>
            <w:tcBorders>
              <w:top w:val="nil"/>
              <w:left w:val="nil"/>
              <w:bottom w:val="nil"/>
              <w:right w:val="nil"/>
            </w:tcBorders>
            <w:shd w:val="clear" w:color="000000" w:fill="FFFFFF"/>
            <w:noWrap/>
            <w:vAlign w:val="center"/>
            <w:hideMark/>
          </w:tcPr>
          <w:p w14:paraId="76341B8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48110BB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50FC620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w:t>
            </w:r>
          </w:p>
        </w:tc>
        <w:tc>
          <w:tcPr>
            <w:tcW w:w="747" w:type="dxa"/>
            <w:tcBorders>
              <w:top w:val="nil"/>
              <w:left w:val="nil"/>
              <w:bottom w:val="nil"/>
              <w:right w:val="nil"/>
            </w:tcBorders>
            <w:shd w:val="clear" w:color="000000" w:fill="FFFFFF"/>
            <w:noWrap/>
            <w:vAlign w:val="center"/>
            <w:hideMark/>
          </w:tcPr>
          <w:p w14:paraId="24AD54C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289A28C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w:t>
            </w:r>
          </w:p>
        </w:tc>
      </w:tr>
      <w:tr w:rsidR="002A0AD1" w:rsidRPr="002F5246" w14:paraId="23268D2D" w14:textId="77777777" w:rsidTr="00C07CB8">
        <w:trPr>
          <w:trHeight w:val="255"/>
        </w:trPr>
        <w:tc>
          <w:tcPr>
            <w:tcW w:w="3051" w:type="dxa"/>
            <w:tcBorders>
              <w:top w:val="nil"/>
              <w:left w:val="nil"/>
              <w:bottom w:val="nil"/>
              <w:right w:val="nil"/>
            </w:tcBorders>
            <w:shd w:val="clear" w:color="000000" w:fill="FFFFFF"/>
            <w:vAlign w:val="center"/>
            <w:hideMark/>
          </w:tcPr>
          <w:p w14:paraId="68D6E848"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PROMSVYAZ BANK</w:t>
            </w:r>
          </w:p>
        </w:tc>
        <w:tc>
          <w:tcPr>
            <w:tcW w:w="1675" w:type="dxa"/>
            <w:tcBorders>
              <w:top w:val="nil"/>
              <w:left w:val="nil"/>
              <w:bottom w:val="nil"/>
              <w:right w:val="nil"/>
            </w:tcBorders>
            <w:shd w:val="clear" w:color="000000" w:fill="FFFFFF"/>
            <w:noWrap/>
            <w:vAlign w:val="center"/>
            <w:hideMark/>
          </w:tcPr>
          <w:p w14:paraId="179A086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RUSSIA</w:t>
            </w:r>
          </w:p>
        </w:tc>
        <w:tc>
          <w:tcPr>
            <w:tcW w:w="1647" w:type="dxa"/>
            <w:tcBorders>
              <w:top w:val="nil"/>
              <w:left w:val="nil"/>
              <w:bottom w:val="nil"/>
              <w:right w:val="nil"/>
            </w:tcBorders>
            <w:shd w:val="clear" w:color="000000" w:fill="FFFFFF"/>
            <w:noWrap/>
            <w:vAlign w:val="center"/>
            <w:hideMark/>
          </w:tcPr>
          <w:p w14:paraId="0B40D64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MOSCOW</w:t>
            </w:r>
          </w:p>
        </w:tc>
        <w:tc>
          <w:tcPr>
            <w:tcW w:w="621" w:type="dxa"/>
            <w:tcBorders>
              <w:top w:val="nil"/>
              <w:left w:val="nil"/>
              <w:bottom w:val="nil"/>
              <w:right w:val="nil"/>
            </w:tcBorders>
            <w:shd w:val="clear" w:color="000000" w:fill="FFFFFF"/>
            <w:noWrap/>
            <w:vAlign w:val="center"/>
            <w:hideMark/>
          </w:tcPr>
          <w:p w14:paraId="5169DFA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65B5CC6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0A706BB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14</w:t>
            </w:r>
          </w:p>
        </w:tc>
        <w:tc>
          <w:tcPr>
            <w:tcW w:w="747" w:type="dxa"/>
            <w:tcBorders>
              <w:top w:val="nil"/>
              <w:left w:val="nil"/>
              <w:bottom w:val="nil"/>
              <w:right w:val="nil"/>
            </w:tcBorders>
            <w:shd w:val="clear" w:color="000000" w:fill="FFFFFF"/>
            <w:noWrap/>
            <w:vAlign w:val="center"/>
            <w:hideMark/>
          </w:tcPr>
          <w:p w14:paraId="10CDBEB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40193C2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47B320E2" w14:textId="77777777" w:rsidTr="00C07CB8">
        <w:trPr>
          <w:trHeight w:val="255"/>
        </w:trPr>
        <w:tc>
          <w:tcPr>
            <w:tcW w:w="3051" w:type="dxa"/>
            <w:tcBorders>
              <w:top w:val="nil"/>
              <w:left w:val="nil"/>
              <w:right w:val="nil"/>
            </w:tcBorders>
            <w:shd w:val="clear" w:color="000000" w:fill="FFFFFF"/>
            <w:vAlign w:val="center"/>
            <w:hideMark/>
          </w:tcPr>
          <w:p w14:paraId="1902B05F"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QATAR ISLAMIC BANK</w:t>
            </w:r>
          </w:p>
        </w:tc>
        <w:tc>
          <w:tcPr>
            <w:tcW w:w="1675" w:type="dxa"/>
            <w:tcBorders>
              <w:top w:val="nil"/>
              <w:left w:val="nil"/>
              <w:right w:val="nil"/>
            </w:tcBorders>
            <w:shd w:val="clear" w:color="000000" w:fill="FFFFFF"/>
            <w:noWrap/>
            <w:vAlign w:val="center"/>
            <w:hideMark/>
          </w:tcPr>
          <w:p w14:paraId="1734E8C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QATAR</w:t>
            </w:r>
          </w:p>
        </w:tc>
        <w:tc>
          <w:tcPr>
            <w:tcW w:w="1647" w:type="dxa"/>
            <w:tcBorders>
              <w:top w:val="nil"/>
              <w:left w:val="nil"/>
              <w:right w:val="nil"/>
            </w:tcBorders>
            <w:shd w:val="clear" w:color="000000" w:fill="FFFFFF"/>
            <w:noWrap/>
            <w:vAlign w:val="center"/>
            <w:hideMark/>
          </w:tcPr>
          <w:p w14:paraId="63D20F7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DOHA</w:t>
            </w:r>
          </w:p>
        </w:tc>
        <w:tc>
          <w:tcPr>
            <w:tcW w:w="621" w:type="dxa"/>
            <w:tcBorders>
              <w:top w:val="nil"/>
              <w:left w:val="nil"/>
              <w:right w:val="nil"/>
            </w:tcBorders>
            <w:shd w:val="clear" w:color="000000" w:fill="FFFFFF"/>
            <w:noWrap/>
            <w:vAlign w:val="center"/>
            <w:hideMark/>
          </w:tcPr>
          <w:p w14:paraId="0CA798B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right w:val="nil"/>
            </w:tcBorders>
            <w:shd w:val="clear" w:color="000000" w:fill="FFFFFF"/>
            <w:noWrap/>
            <w:vAlign w:val="center"/>
            <w:hideMark/>
          </w:tcPr>
          <w:p w14:paraId="149AEB4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right w:val="nil"/>
            </w:tcBorders>
            <w:shd w:val="clear" w:color="000000" w:fill="FFFFFF"/>
            <w:noWrap/>
            <w:vAlign w:val="center"/>
            <w:hideMark/>
          </w:tcPr>
          <w:p w14:paraId="1640656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497</w:t>
            </w:r>
          </w:p>
        </w:tc>
        <w:tc>
          <w:tcPr>
            <w:tcW w:w="747" w:type="dxa"/>
            <w:tcBorders>
              <w:top w:val="nil"/>
              <w:left w:val="nil"/>
              <w:right w:val="nil"/>
            </w:tcBorders>
            <w:shd w:val="clear" w:color="000000" w:fill="FFFFFF"/>
            <w:noWrap/>
            <w:vAlign w:val="center"/>
            <w:hideMark/>
          </w:tcPr>
          <w:p w14:paraId="20E74A0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right w:val="nil"/>
            </w:tcBorders>
            <w:shd w:val="clear" w:color="000000" w:fill="FFFFFF"/>
            <w:noWrap/>
            <w:vAlign w:val="center"/>
            <w:hideMark/>
          </w:tcPr>
          <w:p w14:paraId="640FA82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0915D918" w14:textId="77777777" w:rsidTr="00C07CB8">
        <w:trPr>
          <w:trHeight w:val="255"/>
        </w:trPr>
        <w:tc>
          <w:tcPr>
            <w:tcW w:w="3051" w:type="dxa"/>
            <w:tcBorders>
              <w:top w:val="nil"/>
              <w:left w:val="nil"/>
              <w:bottom w:val="single" w:sz="12" w:space="0" w:color="auto"/>
              <w:right w:val="nil"/>
            </w:tcBorders>
            <w:shd w:val="clear" w:color="000000" w:fill="FFFFFF"/>
            <w:vAlign w:val="center"/>
            <w:hideMark/>
          </w:tcPr>
          <w:p w14:paraId="3E015ED6"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YAPI KREDI BANK</w:t>
            </w:r>
          </w:p>
        </w:tc>
        <w:tc>
          <w:tcPr>
            <w:tcW w:w="1675" w:type="dxa"/>
            <w:tcBorders>
              <w:top w:val="nil"/>
              <w:left w:val="nil"/>
              <w:bottom w:val="single" w:sz="12" w:space="0" w:color="auto"/>
              <w:right w:val="nil"/>
            </w:tcBorders>
            <w:shd w:val="clear" w:color="000000" w:fill="FFFFFF"/>
            <w:noWrap/>
            <w:vAlign w:val="center"/>
            <w:hideMark/>
          </w:tcPr>
          <w:p w14:paraId="559FFE5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TURKEY</w:t>
            </w:r>
          </w:p>
        </w:tc>
        <w:tc>
          <w:tcPr>
            <w:tcW w:w="1647" w:type="dxa"/>
            <w:tcBorders>
              <w:top w:val="nil"/>
              <w:left w:val="nil"/>
              <w:bottom w:val="single" w:sz="12" w:space="0" w:color="auto"/>
              <w:right w:val="nil"/>
            </w:tcBorders>
            <w:shd w:val="clear" w:color="000000" w:fill="FFFFFF"/>
            <w:noWrap/>
            <w:vAlign w:val="center"/>
            <w:hideMark/>
          </w:tcPr>
          <w:p w14:paraId="75EC940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ISTANBUL</w:t>
            </w:r>
          </w:p>
        </w:tc>
        <w:tc>
          <w:tcPr>
            <w:tcW w:w="621" w:type="dxa"/>
            <w:tcBorders>
              <w:top w:val="nil"/>
              <w:left w:val="nil"/>
              <w:bottom w:val="single" w:sz="12" w:space="0" w:color="auto"/>
              <w:right w:val="nil"/>
            </w:tcBorders>
            <w:shd w:val="clear" w:color="000000" w:fill="FFFFFF"/>
            <w:noWrap/>
            <w:vAlign w:val="center"/>
            <w:hideMark/>
          </w:tcPr>
          <w:p w14:paraId="0FF80DF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single" w:sz="12" w:space="0" w:color="auto"/>
              <w:right w:val="nil"/>
            </w:tcBorders>
            <w:shd w:val="clear" w:color="000000" w:fill="FFFFFF"/>
            <w:noWrap/>
            <w:vAlign w:val="center"/>
            <w:hideMark/>
          </w:tcPr>
          <w:p w14:paraId="3A3C776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single" w:sz="12" w:space="0" w:color="auto"/>
              <w:right w:val="nil"/>
            </w:tcBorders>
            <w:shd w:val="clear" w:color="000000" w:fill="FFFFFF"/>
            <w:noWrap/>
            <w:vAlign w:val="center"/>
            <w:hideMark/>
          </w:tcPr>
          <w:p w14:paraId="3CBD668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w:t>
            </w:r>
          </w:p>
        </w:tc>
        <w:tc>
          <w:tcPr>
            <w:tcW w:w="747" w:type="dxa"/>
            <w:tcBorders>
              <w:top w:val="nil"/>
              <w:left w:val="nil"/>
              <w:bottom w:val="single" w:sz="12" w:space="0" w:color="auto"/>
              <w:right w:val="nil"/>
            </w:tcBorders>
            <w:shd w:val="clear" w:color="000000" w:fill="FFFFFF"/>
            <w:noWrap/>
            <w:vAlign w:val="center"/>
            <w:hideMark/>
          </w:tcPr>
          <w:p w14:paraId="6551E81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210</w:t>
            </w:r>
          </w:p>
        </w:tc>
        <w:tc>
          <w:tcPr>
            <w:tcW w:w="621" w:type="dxa"/>
            <w:tcBorders>
              <w:top w:val="nil"/>
              <w:left w:val="nil"/>
              <w:bottom w:val="single" w:sz="12" w:space="0" w:color="auto"/>
              <w:right w:val="nil"/>
            </w:tcBorders>
            <w:shd w:val="clear" w:color="000000" w:fill="FFFFFF"/>
            <w:noWrap/>
            <w:vAlign w:val="center"/>
            <w:hideMark/>
          </w:tcPr>
          <w:p w14:paraId="1242006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411767" w:rsidRPr="002F5246" w14:paraId="04E69560" w14:textId="77777777" w:rsidTr="00C07CB8">
        <w:trPr>
          <w:trHeight w:val="255"/>
        </w:trPr>
        <w:tc>
          <w:tcPr>
            <w:tcW w:w="9670" w:type="dxa"/>
            <w:gridSpan w:val="8"/>
            <w:tcBorders>
              <w:top w:val="single" w:sz="12" w:space="0" w:color="auto"/>
              <w:left w:val="nil"/>
              <w:bottom w:val="single" w:sz="12" w:space="0" w:color="auto"/>
              <w:right w:val="nil"/>
            </w:tcBorders>
            <w:shd w:val="clear" w:color="000000" w:fill="FFFFFF"/>
            <w:noWrap/>
            <w:vAlign w:val="center"/>
            <w:hideMark/>
          </w:tcPr>
          <w:p w14:paraId="26361C40" w14:textId="77777777" w:rsidR="00411767" w:rsidRPr="002F5246" w:rsidRDefault="00411767"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Panel C. Active Dealers in Australia</w:t>
            </w:r>
          </w:p>
        </w:tc>
      </w:tr>
      <w:tr w:rsidR="002A0AD1" w:rsidRPr="002F5246" w14:paraId="259F0867" w14:textId="77777777" w:rsidTr="00C07CB8">
        <w:trPr>
          <w:trHeight w:val="255"/>
        </w:trPr>
        <w:tc>
          <w:tcPr>
            <w:tcW w:w="3051" w:type="dxa"/>
            <w:tcBorders>
              <w:top w:val="single" w:sz="12" w:space="0" w:color="auto"/>
              <w:left w:val="nil"/>
              <w:bottom w:val="single" w:sz="4" w:space="0" w:color="auto"/>
              <w:right w:val="nil"/>
            </w:tcBorders>
            <w:shd w:val="clear" w:color="000000" w:fill="FFFFFF"/>
            <w:noWrap/>
            <w:vAlign w:val="center"/>
            <w:hideMark/>
          </w:tcPr>
          <w:p w14:paraId="1CFD3A5A"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Name</w:t>
            </w:r>
          </w:p>
        </w:tc>
        <w:tc>
          <w:tcPr>
            <w:tcW w:w="1675" w:type="dxa"/>
            <w:tcBorders>
              <w:top w:val="single" w:sz="12" w:space="0" w:color="auto"/>
              <w:left w:val="nil"/>
              <w:bottom w:val="single" w:sz="4" w:space="0" w:color="auto"/>
              <w:right w:val="nil"/>
            </w:tcBorders>
            <w:shd w:val="clear" w:color="000000" w:fill="FFFFFF"/>
            <w:noWrap/>
            <w:vAlign w:val="center"/>
            <w:hideMark/>
          </w:tcPr>
          <w:p w14:paraId="39B44432"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Country</w:t>
            </w:r>
          </w:p>
        </w:tc>
        <w:tc>
          <w:tcPr>
            <w:tcW w:w="1647" w:type="dxa"/>
            <w:tcBorders>
              <w:top w:val="single" w:sz="12" w:space="0" w:color="auto"/>
              <w:left w:val="nil"/>
              <w:bottom w:val="single" w:sz="4" w:space="0" w:color="auto"/>
              <w:right w:val="nil"/>
            </w:tcBorders>
            <w:shd w:val="clear" w:color="000000" w:fill="FFFFFF"/>
            <w:noWrap/>
            <w:vAlign w:val="center"/>
            <w:hideMark/>
          </w:tcPr>
          <w:p w14:paraId="53A9002A"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City</w:t>
            </w:r>
          </w:p>
        </w:tc>
        <w:tc>
          <w:tcPr>
            <w:tcW w:w="621" w:type="dxa"/>
            <w:tcBorders>
              <w:top w:val="single" w:sz="12" w:space="0" w:color="auto"/>
              <w:left w:val="nil"/>
              <w:bottom w:val="single" w:sz="4" w:space="0" w:color="auto"/>
              <w:right w:val="nil"/>
            </w:tcBorders>
            <w:shd w:val="clear" w:color="000000" w:fill="FFFFFF"/>
            <w:noWrap/>
            <w:vAlign w:val="center"/>
            <w:hideMark/>
          </w:tcPr>
          <w:p w14:paraId="15782879"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3DB55BEF"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87" w:type="dxa"/>
            <w:tcBorders>
              <w:top w:val="single" w:sz="12" w:space="0" w:color="auto"/>
              <w:left w:val="nil"/>
              <w:bottom w:val="single" w:sz="4" w:space="0" w:color="auto"/>
              <w:right w:val="nil"/>
            </w:tcBorders>
            <w:shd w:val="clear" w:color="000000" w:fill="FFFFFF"/>
            <w:noWrap/>
            <w:vAlign w:val="center"/>
            <w:hideMark/>
          </w:tcPr>
          <w:p w14:paraId="7194BF94"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747" w:type="dxa"/>
            <w:tcBorders>
              <w:top w:val="single" w:sz="12" w:space="0" w:color="auto"/>
              <w:left w:val="nil"/>
              <w:bottom w:val="single" w:sz="4" w:space="0" w:color="auto"/>
              <w:right w:val="nil"/>
            </w:tcBorders>
            <w:shd w:val="clear" w:color="000000" w:fill="FFFFFF"/>
            <w:noWrap/>
            <w:vAlign w:val="center"/>
            <w:hideMark/>
          </w:tcPr>
          <w:p w14:paraId="303D82CA"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42CF4BE2"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r>
      <w:tr w:rsidR="002A0AD1" w:rsidRPr="002F5246" w14:paraId="43115931" w14:textId="77777777" w:rsidTr="00C07CB8">
        <w:trPr>
          <w:trHeight w:val="255"/>
        </w:trPr>
        <w:tc>
          <w:tcPr>
            <w:tcW w:w="3051" w:type="dxa"/>
            <w:tcBorders>
              <w:top w:val="nil"/>
              <w:left w:val="nil"/>
              <w:right w:val="nil"/>
            </w:tcBorders>
            <w:shd w:val="clear" w:color="000000" w:fill="FFFFFF"/>
            <w:noWrap/>
            <w:vAlign w:val="center"/>
            <w:hideMark/>
          </w:tcPr>
          <w:p w14:paraId="61120F17"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LLOYDS BANK</w:t>
            </w:r>
          </w:p>
        </w:tc>
        <w:tc>
          <w:tcPr>
            <w:tcW w:w="1675" w:type="dxa"/>
            <w:tcBorders>
              <w:top w:val="nil"/>
              <w:left w:val="nil"/>
              <w:right w:val="nil"/>
            </w:tcBorders>
            <w:shd w:val="clear" w:color="000000" w:fill="FFFFFF"/>
            <w:noWrap/>
            <w:vAlign w:val="center"/>
            <w:hideMark/>
          </w:tcPr>
          <w:p w14:paraId="0CD9BDA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AUSTRALIA</w:t>
            </w:r>
          </w:p>
        </w:tc>
        <w:tc>
          <w:tcPr>
            <w:tcW w:w="1647" w:type="dxa"/>
            <w:tcBorders>
              <w:top w:val="nil"/>
              <w:left w:val="nil"/>
              <w:right w:val="nil"/>
            </w:tcBorders>
            <w:shd w:val="clear" w:color="000000" w:fill="FFFFFF"/>
            <w:noWrap/>
            <w:vAlign w:val="center"/>
            <w:hideMark/>
          </w:tcPr>
          <w:p w14:paraId="184C558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SYDNEY</w:t>
            </w:r>
          </w:p>
        </w:tc>
        <w:tc>
          <w:tcPr>
            <w:tcW w:w="621" w:type="dxa"/>
            <w:tcBorders>
              <w:top w:val="nil"/>
              <w:left w:val="nil"/>
              <w:right w:val="nil"/>
            </w:tcBorders>
            <w:shd w:val="clear" w:color="000000" w:fill="FFFFFF"/>
            <w:noWrap/>
            <w:vAlign w:val="center"/>
            <w:hideMark/>
          </w:tcPr>
          <w:p w14:paraId="437AE56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45</w:t>
            </w:r>
          </w:p>
        </w:tc>
        <w:tc>
          <w:tcPr>
            <w:tcW w:w="621" w:type="dxa"/>
            <w:tcBorders>
              <w:top w:val="nil"/>
              <w:left w:val="nil"/>
              <w:right w:val="nil"/>
            </w:tcBorders>
            <w:shd w:val="clear" w:color="000000" w:fill="FFFFFF"/>
            <w:noWrap/>
            <w:vAlign w:val="center"/>
            <w:hideMark/>
          </w:tcPr>
          <w:p w14:paraId="5CC0735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right w:val="nil"/>
            </w:tcBorders>
            <w:shd w:val="clear" w:color="000000" w:fill="FFFFFF"/>
            <w:noWrap/>
            <w:vAlign w:val="center"/>
            <w:hideMark/>
          </w:tcPr>
          <w:p w14:paraId="5E14D9C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47" w:type="dxa"/>
            <w:tcBorders>
              <w:top w:val="nil"/>
              <w:left w:val="nil"/>
              <w:right w:val="nil"/>
            </w:tcBorders>
            <w:shd w:val="clear" w:color="000000" w:fill="FFFFFF"/>
            <w:noWrap/>
            <w:vAlign w:val="center"/>
            <w:hideMark/>
          </w:tcPr>
          <w:p w14:paraId="6CB590E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right w:val="nil"/>
            </w:tcBorders>
            <w:shd w:val="clear" w:color="000000" w:fill="FFFFFF"/>
            <w:noWrap/>
            <w:vAlign w:val="center"/>
            <w:hideMark/>
          </w:tcPr>
          <w:p w14:paraId="0C841B2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78402525" w14:textId="77777777" w:rsidTr="00C07CB8">
        <w:trPr>
          <w:trHeight w:val="255"/>
        </w:trPr>
        <w:tc>
          <w:tcPr>
            <w:tcW w:w="3051" w:type="dxa"/>
            <w:tcBorders>
              <w:top w:val="nil"/>
              <w:left w:val="nil"/>
              <w:bottom w:val="single" w:sz="12" w:space="0" w:color="auto"/>
              <w:right w:val="nil"/>
            </w:tcBorders>
            <w:shd w:val="clear" w:color="000000" w:fill="FFFFFF"/>
            <w:noWrap/>
            <w:vAlign w:val="center"/>
            <w:hideMark/>
          </w:tcPr>
          <w:p w14:paraId="0B9779FB"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WESTPAC BANK</w:t>
            </w:r>
          </w:p>
        </w:tc>
        <w:tc>
          <w:tcPr>
            <w:tcW w:w="1675" w:type="dxa"/>
            <w:tcBorders>
              <w:top w:val="nil"/>
              <w:left w:val="nil"/>
              <w:bottom w:val="single" w:sz="12" w:space="0" w:color="auto"/>
              <w:right w:val="nil"/>
            </w:tcBorders>
            <w:shd w:val="clear" w:color="000000" w:fill="FFFFFF"/>
            <w:noWrap/>
            <w:vAlign w:val="center"/>
            <w:hideMark/>
          </w:tcPr>
          <w:p w14:paraId="4D2F491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AUSTRALIA</w:t>
            </w:r>
          </w:p>
        </w:tc>
        <w:tc>
          <w:tcPr>
            <w:tcW w:w="1647" w:type="dxa"/>
            <w:tcBorders>
              <w:top w:val="nil"/>
              <w:left w:val="nil"/>
              <w:bottom w:val="single" w:sz="12" w:space="0" w:color="auto"/>
              <w:right w:val="nil"/>
            </w:tcBorders>
            <w:shd w:val="clear" w:color="000000" w:fill="FFFFFF"/>
            <w:noWrap/>
            <w:vAlign w:val="center"/>
            <w:hideMark/>
          </w:tcPr>
          <w:p w14:paraId="2A14701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SYDNEY</w:t>
            </w:r>
          </w:p>
        </w:tc>
        <w:tc>
          <w:tcPr>
            <w:tcW w:w="621" w:type="dxa"/>
            <w:tcBorders>
              <w:top w:val="nil"/>
              <w:left w:val="nil"/>
              <w:bottom w:val="single" w:sz="12" w:space="0" w:color="auto"/>
              <w:right w:val="nil"/>
            </w:tcBorders>
            <w:shd w:val="clear" w:color="000000" w:fill="FFFFFF"/>
            <w:noWrap/>
            <w:vAlign w:val="center"/>
            <w:hideMark/>
          </w:tcPr>
          <w:p w14:paraId="6D1E0A8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71</w:t>
            </w:r>
          </w:p>
        </w:tc>
        <w:tc>
          <w:tcPr>
            <w:tcW w:w="621" w:type="dxa"/>
            <w:tcBorders>
              <w:top w:val="nil"/>
              <w:left w:val="nil"/>
              <w:bottom w:val="single" w:sz="12" w:space="0" w:color="auto"/>
              <w:right w:val="nil"/>
            </w:tcBorders>
            <w:shd w:val="clear" w:color="000000" w:fill="FFFFFF"/>
            <w:noWrap/>
            <w:vAlign w:val="center"/>
            <w:hideMark/>
          </w:tcPr>
          <w:p w14:paraId="3487093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88</w:t>
            </w:r>
          </w:p>
        </w:tc>
        <w:tc>
          <w:tcPr>
            <w:tcW w:w="687" w:type="dxa"/>
            <w:tcBorders>
              <w:top w:val="nil"/>
              <w:left w:val="nil"/>
              <w:bottom w:val="single" w:sz="12" w:space="0" w:color="auto"/>
              <w:right w:val="nil"/>
            </w:tcBorders>
            <w:shd w:val="clear" w:color="000000" w:fill="FFFFFF"/>
            <w:noWrap/>
            <w:vAlign w:val="center"/>
            <w:hideMark/>
          </w:tcPr>
          <w:p w14:paraId="3B79DFC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59</w:t>
            </w:r>
          </w:p>
        </w:tc>
        <w:tc>
          <w:tcPr>
            <w:tcW w:w="747" w:type="dxa"/>
            <w:tcBorders>
              <w:top w:val="nil"/>
              <w:left w:val="nil"/>
              <w:bottom w:val="single" w:sz="12" w:space="0" w:color="auto"/>
              <w:right w:val="nil"/>
            </w:tcBorders>
            <w:shd w:val="clear" w:color="000000" w:fill="FFFFFF"/>
            <w:noWrap/>
            <w:vAlign w:val="center"/>
            <w:hideMark/>
          </w:tcPr>
          <w:p w14:paraId="751E80A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89</w:t>
            </w:r>
          </w:p>
        </w:tc>
        <w:tc>
          <w:tcPr>
            <w:tcW w:w="621" w:type="dxa"/>
            <w:tcBorders>
              <w:top w:val="nil"/>
              <w:left w:val="nil"/>
              <w:bottom w:val="single" w:sz="12" w:space="0" w:color="auto"/>
              <w:right w:val="nil"/>
            </w:tcBorders>
            <w:shd w:val="clear" w:color="000000" w:fill="FFFFFF"/>
            <w:noWrap/>
            <w:vAlign w:val="center"/>
            <w:hideMark/>
          </w:tcPr>
          <w:p w14:paraId="2E39BE2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72</w:t>
            </w:r>
          </w:p>
        </w:tc>
      </w:tr>
      <w:tr w:rsidR="00411767" w:rsidRPr="002F5246" w14:paraId="10E1C6E6" w14:textId="77777777" w:rsidTr="00C07CB8">
        <w:trPr>
          <w:trHeight w:val="255"/>
        </w:trPr>
        <w:tc>
          <w:tcPr>
            <w:tcW w:w="9670" w:type="dxa"/>
            <w:gridSpan w:val="8"/>
            <w:tcBorders>
              <w:top w:val="single" w:sz="12" w:space="0" w:color="auto"/>
              <w:left w:val="nil"/>
              <w:bottom w:val="single" w:sz="12" w:space="0" w:color="auto"/>
              <w:right w:val="nil"/>
            </w:tcBorders>
            <w:shd w:val="clear" w:color="000000" w:fill="FFFFFF"/>
            <w:noWrap/>
            <w:vAlign w:val="center"/>
            <w:hideMark/>
          </w:tcPr>
          <w:p w14:paraId="4FDDF3E0" w14:textId="77777777" w:rsidR="00411767" w:rsidRPr="002F5246" w:rsidRDefault="00411767"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Panel D. Active Dealers with Multiple Location</w:t>
            </w:r>
          </w:p>
        </w:tc>
      </w:tr>
      <w:tr w:rsidR="002A0AD1" w:rsidRPr="002F5246" w14:paraId="6A638E17" w14:textId="77777777" w:rsidTr="00C07CB8">
        <w:trPr>
          <w:trHeight w:val="255"/>
        </w:trPr>
        <w:tc>
          <w:tcPr>
            <w:tcW w:w="3051" w:type="dxa"/>
            <w:tcBorders>
              <w:top w:val="single" w:sz="12" w:space="0" w:color="auto"/>
              <w:left w:val="nil"/>
              <w:bottom w:val="single" w:sz="4" w:space="0" w:color="auto"/>
              <w:right w:val="nil"/>
            </w:tcBorders>
            <w:shd w:val="clear" w:color="000000" w:fill="FFFFFF"/>
            <w:noWrap/>
            <w:vAlign w:val="center"/>
            <w:hideMark/>
          </w:tcPr>
          <w:p w14:paraId="409815F5"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Name</w:t>
            </w:r>
          </w:p>
        </w:tc>
        <w:tc>
          <w:tcPr>
            <w:tcW w:w="1675" w:type="dxa"/>
            <w:tcBorders>
              <w:top w:val="single" w:sz="12" w:space="0" w:color="auto"/>
              <w:left w:val="nil"/>
              <w:bottom w:val="single" w:sz="4" w:space="0" w:color="auto"/>
              <w:right w:val="nil"/>
            </w:tcBorders>
            <w:shd w:val="clear" w:color="000000" w:fill="FFFFFF"/>
            <w:noWrap/>
            <w:vAlign w:val="center"/>
            <w:hideMark/>
          </w:tcPr>
          <w:p w14:paraId="258F3EE2"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Country</w:t>
            </w:r>
          </w:p>
        </w:tc>
        <w:tc>
          <w:tcPr>
            <w:tcW w:w="1647" w:type="dxa"/>
            <w:tcBorders>
              <w:top w:val="single" w:sz="12" w:space="0" w:color="auto"/>
              <w:left w:val="nil"/>
              <w:bottom w:val="single" w:sz="4" w:space="0" w:color="auto"/>
              <w:right w:val="nil"/>
            </w:tcBorders>
            <w:shd w:val="clear" w:color="000000" w:fill="FFFFFF"/>
            <w:noWrap/>
            <w:vAlign w:val="center"/>
            <w:hideMark/>
          </w:tcPr>
          <w:p w14:paraId="036C26A4"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City</w:t>
            </w:r>
          </w:p>
        </w:tc>
        <w:tc>
          <w:tcPr>
            <w:tcW w:w="621" w:type="dxa"/>
            <w:tcBorders>
              <w:top w:val="single" w:sz="12" w:space="0" w:color="auto"/>
              <w:left w:val="nil"/>
              <w:bottom w:val="single" w:sz="4" w:space="0" w:color="auto"/>
              <w:right w:val="nil"/>
            </w:tcBorders>
            <w:shd w:val="clear" w:color="000000" w:fill="FFFFFF"/>
            <w:noWrap/>
            <w:vAlign w:val="center"/>
            <w:hideMark/>
          </w:tcPr>
          <w:p w14:paraId="67132071"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63D07819"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87" w:type="dxa"/>
            <w:tcBorders>
              <w:top w:val="single" w:sz="12" w:space="0" w:color="auto"/>
              <w:left w:val="nil"/>
              <w:bottom w:val="single" w:sz="4" w:space="0" w:color="auto"/>
              <w:right w:val="nil"/>
            </w:tcBorders>
            <w:shd w:val="clear" w:color="000000" w:fill="FFFFFF"/>
            <w:noWrap/>
            <w:vAlign w:val="center"/>
            <w:hideMark/>
          </w:tcPr>
          <w:p w14:paraId="4F9C4A3F"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747" w:type="dxa"/>
            <w:tcBorders>
              <w:top w:val="single" w:sz="12" w:space="0" w:color="auto"/>
              <w:left w:val="nil"/>
              <w:bottom w:val="single" w:sz="4" w:space="0" w:color="auto"/>
              <w:right w:val="nil"/>
            </w:tcBorders>
            <w:shd w:val="clear" w:color="000000" w:fill="FFFFFF"/>
            <w:noWrap/>
            <w:vAlign w:val="center"/>
            <w:hideMark/>
          </w:tcPr>
          <w:p w14:paraId="5CA10137"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27B874BF"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r>
      <w:tr w:rsidR="002A0AD1" w:rsidRPr="002F5246" w14:paraId="38149D09" w14:textId="77777777" w:rsidTr="00C07CB8">
        <w:trPr>
          <w:trHeight w:val="480"/>
        </w:trPr>
        <w:tc>
          <w:tcPr>
            <w:tcW w:w="3051" w:type="dxa"/>
            <w:tcBorders>
              <w:top w:val="nil"/>
              <w:left w:val="nil"/>
              <w:bottom w:val="nil"/>
              <w:right w:val="nil"/>
            </w:tcBorders>
            <w:shd w:val="clear" w:color="000000" w:fill="FFFFFF"/>
            <w:vAlign w:val="center"/>
            <w:hideMark/>
          </w:tcPr>
          <w:p w14:paraId="084EE5DF"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AUSTRALIA AND NEW ZEALAND BANKING GROUP</w:t>
            </w:r>
          </w:p>
        </w:tc>
        <w:tc>
          <w:tcPr>
            <w:tcW w:w="1675" w:type="dxa"/>
            <w:tcBorders>
              <w:top w:val="nil"/>
              <w:left w:val="nil"/>
              <w:bottom w:val="nil"/>
              <w:right w:val="nil"/>
            </w:tcBorders>
            <w:shd w:val="clear" w:color="000000" w:fill="FFFFFF"/>
            <w:noWrap/>
            <w:vAlign w:val="center"/>
            <w:hideMark/>
          </w:tcPr>
          <w:p w14:paraId="55D5437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bottom w:val="nil"/>
              <w:right w:val="nil"/>
            </w:tcBorders>
            <w:shd w:val="clear" w:color="000000" w:fill="FFFFFF"/>
            <w:noWrap/>
            <w:vAlign w:val="center"/>
            <w:hideMark/>
          </w:tcPr>
          <w:p w14:paraId="718B54C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bottom w:val="nil"/>
              <w:right w:val="nil"/>
            </w:tcBorders>
            <w:shd w:val="clear" w:color="000000" w:fill="FFFFFF"/>
            <w:noWrap/>
            <w:vAlign w:val="center"/>
            <w:hideMark/>
          </w:tcPr>
          <w:p w14:paraId="0940108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w:t>
            </w:r>
          </w:p>
        </w:tc>
        <w:tc>
          <w:tcPr>
            <w:tcW w:w="621" w:type="dxa"/>
            <w:tcBorders>
              <w:top w:val="nil"/>
              <w:left w:val="nil"/>
              <w:bottom w:val="nil"/>
              <w:right w:val="nil"/>
            </w:tcBorders>
            <w:shd w:val="clear" w:color="000000" w:fill="FFFFFF"/>
            <w:noWrap/>
            <w:vAlign w:val="center"/>
            <w:hideMark/>
          </w:tcPr>
          <w:p w14:paraId="79C650A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4811C39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47" w:type="dxa"/>
            <w:tcBorders>
              <w:top w:val="nil"/>
              <w:left w:val="nil"/>
              <w:bottom w:val="nil"/>
              <w:right w:val="nil"/>
            </w:tcBorders>
            <w:shd w:val="clear" w:color="000000" w:fill="FFFFFF"/>
            <w:noWrap/>
            <w:vAlign w:val="center"/>
            <w:hideMark/>
          </w:tcPr>
          <w:p w14:paraId="5C8292F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184C097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637C8111" w14:textId="77777777" w:rsidTr="00C07CB8">
        <w:trPr>
          <w:trHeight w:val="480"/>
        </w:trPr>
        <w:tc>
          <w:tcPr>
            <w:tcW w:w="3051" w:type="dxa"/>
            <w:tcBorders>
              <w:top w:val="nil"/>
              <w:left w:val="nil"/>
              <w:bottom w:val="nil"/>
              <w:right w:val="nil"/>
            </w:tcBorders>
            <w:shd w:val="clear" w:color="000000" w:fill="FFFFFF"/>
            <w:vAlign w:val="center"/>
            <w:hideMark/>
          </w:tcPr>
          <w:p w14:paraId="09D92496"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BANQUE INTERNATIONALE A LUXEMBOURG</w:t>
            </w:r>
          </w:p>
        </w:tc>
        <w:tc>
          <w:tcPr>
            <w:tcW w:w="1675" w:type="dxa"/>
            <w:tcBorders>
              <w:top w:val="nil"/>
              <w:left w:val="nil"/>
              <w:bottom w:val="nil"/>
              <w:right w:val="nil"/>
            </w:tcBorders>
            <w:shd w:val="clear" w:color="000000" w:fill="FFFFFF"/>
            <w:noWrap/>
            <w:vAlign w:val="center"/>
            <w:hideMark/>
          </w:tcPr>
          <w:p w14:paraId="6A5D387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bottom w:val="nil"/>
              <w:right w:val="nil"/>
            </w:tcBorders>
            <w:shd w:val="clear" w:color="000000" w:fill="FFFFFF"/>
            <w:noWrap/>
            <w:vAlign w:val="center"/>
            <w:hideMark/>
          </w:tcPr>
          <w:p w14:paraId="154B893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bottom w:val="nil"/>
              <w:right w:val="nil"/>
            </w:tcBorders>
            <w:shd w:val="clear" w:color="000000" w:fill="FFFFFF"/>
            <w:noWrap/>
            <w:vAlign w:val="center"/>
            <w:hideMark/>
          </w:tcPr>
          <w:p w14:paraId="0DDAE87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w:t>
            </w:r>
          </w:p>
        </w:tc>
        <w:tc>
          <w:tcPr>
            <w:tcW w:w="621" w:type="dxa"/>
            <w:tcBorders>
              <w:top w:val="nil"/>
              <w:left w:val="nil"/>
              <w:bottom w:val="nil"/>
              <w:right w:val="nil"/>
            </w:tcBorders>
            <w:shd w:val="clear" w:color="000000" w:fill="FFFFFF"/>
            <w:noWrap/>
            <w:vAlign w:val="center"/>
            <w:hideMark/>
          </w:tcPr>
          <w:p w14:paraId="22157BB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w:t>
            </w:r>
          </w:p>
        </w:tc>
        <w:tc>
          <w:tcPr>
            <w:tcW w:w="687" w:type="dxa"/>
            <w:tcBorders>
              <w:top w:val="nil"/>
              <w:left w:val="nil"/>
              <w:bottom w:val="nil"/>
              <w:right w:val="nil"/>
            </w:tcBorders>
            <w:shd w:val="clear" w:color="000000" w:fill="FFFFFF"/>
            <w:noWrap/>
            <w:vAlign w:val="center"/>
            <w:hideMark/>
          </w:tcPr>
          <w:p w14:paraId="2D371A4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w:t>
            </w:r>
          </w:p>
        </w:tc>
        <w:tc>
          <w:tcPr>
            <w:tcW w:w="747" w:type="dxa"/>
            <w:tcBorders>
              <w:top w:val="nil"/>
              <w:left w:val="nil"/>
              <w:bottom w:val="nil"/>
              <w:right w:val="nil"/>
            </w:tcBorders>
            <w:shd w:val="clear" w:color="000000" w:fill="FFFFFF"/>
            <w:noWrap/>
            <w:vAlign w:val="center"/>
            <w:hideMark/>
          </w:tcPr>
          <w:p w14:paraId="2B14A5D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522B558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6D68DE3B" w14:textId="77777777" w:rsidTr="00C07CB8">
        <w:trPr>
          <w:trHeight w:val="255"/>
        </w:trPr>
        <w:tc>
          <w:tcPr>
            <w:tcW w:w="3051" w:type="dxa"/>
            <w:tcBorders>
              <w:top w:val="nil"/>
              <w:left w:val="nil"/>
              <w:bottom w:val="nil"/>
              <w:right w:val="nil"/>
            </w:tcBorders>
            <w:shd w:val="clear" w:color="000000" w:fill="FFFFFF"/>
            <w:vAlign w:val="center"/>
            <w:hideMark/>
          </w:tcPr>
          <w:p w14:paraId="3A705A65"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BARCLAYS</w:t>
            </w:r>
          </w:p>
        </w:tc>
        <w:tc>
          <w:tcPr>
            <w:tcW w:w="1675" w:type="dxa"/>
            <w:tcBorders>
              <w:top w:val="nil"/>
              <w:left w:val="nil"/>
              <w:bottom w:val="nil"/>
              <w:right w:val="nil"/>
            </w:tcBorders>
            <w:shd w:val="clear" w:color="000000" w:fill="FFFFFF"/>
            <w:noWrap/>
            <w:vAlign w:val="center"/>
            <w:hideMark/>
          </w:tcPr>
          <w:p w14:paraId="034899C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bottom w:val="nil"/>
              <w:right w:val="nil"/>
            </w:tcBorders>
            <w:shd w:val="clear" w:color="000000" w:fill="FFFFFF"/>
            <w:noWrap/>
            <w:vAlign w:val="center"/>
            <w:hideMark/>
          </w:tcPr>
          <w:p w14:paraId="13402CE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bottom w:val="nil"/>
              <w:right w:val="nil"/>
            </w:tcBorders>
            <w:shd w:val="clear" w:color="000000" w:fill="FFFFFF"/>
            <w:noWrap/>
            <w:vAlign w:val="center"/>
            <w:hideMark/>
          </w:tcPr>
          <w:p w14:paraId="200769F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1,336</w:t>
            </w:r>
          </w:p>
        </w:tc>
        <w:tc>
          <w:tcPr>
            <w:tcW w:w="621" w:type="dxa"/>
            <w:tcBorders>
              <w:top w:val="nil"/>
              <w:left w:val="nil"/>
              <w:bottom w:val="nil"/>
              <w:right w:val="nil"/>
            </w:tcBorders>
            <w:shd w:val="clear" w:color="000000" w:fill="FFFFFF"/>
            <w:noWrap/>
            <w:vAlign w:val="center"/>
            <w:hideMark/>
          </w:tcPr>
          <w:p w14:paraId="5778331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1,105</w:t>
            </w:r>
          </w:p>
        </w:tc>
        <w:tc>
          <w:tcPr>
            <w:tcW w:w="687" w:type="dxa"/>
            <w:tcBorders>
              <w:top w:val="nil"/>
              <w:left w:val="nil"/>
              <w:bottom w:val="nil"/>
              <w:right w:val="nil"/>
            </w:tcBorders>
            <w:shd w:val="clear" w:color="000000" w:fill="FFFFFF"/>
            <w:noWrap/>
            <w:vAlign w:val="center"/>
            <w:hideMark/>
          </w:tcPr>
          <w:p w14:paraId="394CF2D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47" w:type="dxa"/>
            <w:tcBorders>
              <w:top w:val="nil"/>
              <w:left w:val="nil"/>
              <w:bottom w:val="nil"/>
              <w:right w:val="nil"/>
            </w:tcBorders>
            <w:shd w:val="clear" w:color="000000" w:fill="FFFFFF"/>
            <w:noWrap/>
            <w:vAlign w:val="center"/>
            <w:hideMark/>
          </w:tcPr>
          <w:p w14:paraId="5F72D6F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799</w:t>
            </w:r>
          </w:p>
        </w:tc>
        <w:tc>
          <w:tcPr>
            <w:tcW w:w="621" w:type="dxa"/>
            <w:tcBorders>
              <w:top w:val="nil"/>
              <w:left w:val="nil"/>
              <w:bottom w:val="nil"/>
              <w:right w:val="nil"/>
            </w:tcBorders>
            <w:shd w:val="clear" w:color="000000" w:fill="FFFFFF"/>
            <w:noWrap/>
            <w:vAlign w:val="center"/>
            <w:hideMark/>
          </w:tcPr>
          <w:p w14:paraId="53AEA12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677</w:t>
            </w:r>
          </w:p>
        </w:tc>
      </w:tr>
      <w:tr w:rsidR="002A0AD1" w:rsidRPr="002F5246" w14:paraId="2E5A8088" w14:textId="77777777" w:rsidTr="00C07CB8">
        <w:trPr>
          <w:trHeight w:val="255"/>
        </w:trPr>
        <w:tc>
          <w:tcPr>
            <w:tcW w:w="3051" w:type="dxa"/>
            <w:tcBorders>
              <w:top w:val="nil"/>
              <w:left w:val="nil"/>
              <w:bottom w:val="nil"/>
              <w:right w:val="nil"/>
            </w:tcBorders>
            <w:shd w:val="clear" w:color="000000" w:fill="FFFFFF"/>
            <w:vAlign w:val="center"/>
            <w:hideMark/>
          </w:tcPr>
          <w:p w14:paraId="6B227CCF"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DEUTSCHE BANK AG LONDON</w:t>
            </w:r>
          </w:p>
        </w:tc>
        <w:tc>
          <w:tcPr>
            <w:tcW w:w="1675" w:type="dxa"/>
            <w:tcBorders>
              <w:top w:val="nil"/>
              <w:left w:val="nil"/>
              <w:bottom w:val="nil"/>
              <w:right w:val="nil"/>
            </w:tcBorders>
            <w:shd w:val="clear" w:color="000000" w:fill="FFFFFF"/>
            <w:noWrap/>
            <w:vAlign w:val="center"/>
            <w:hideMark/>
          </w:tcPr>
          <w:p w14:paraId="251B095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bottom w:val="nil"/>
              <w:right w:val="nil"/>
            </w:tcBorders>
            <w:shd w:val="clear" w:color="000000" w:fill="FFFFFF"/>
            <w:noWrap/>
            <w:vAlign w:val="center"/>
            <w:hideMark/>
          </w:tcPr>
          <w:p w14:paraId="1940FC2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bottom w:val="nil"/>
              <w:right w:val="nil"/>
            </w:tcBorders>
            <w:shd w:val="clear" w:color="000000" w:fill="FFFFFF"/>
            <w:noWrap/>
            <w:vAlign w:val="center"/>
            <w:hideMark/>
          </w:tcPr>
          <w:p w14:paraId="6D15756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149</w:t>
            </w:r>
          </w:p>
        </w:tc>
        <w:tc>
          <w:tcPr>
            <w:tcW w:w="621" w:type="dxa"/>
            <w:tcBorders>
              <w:top w:val="nil"/>
              <w:left w:val="nil"/>
              <w:bottom w:val="nil"/>
              <w:right w:val="nil"/>
            </w:tcBorders>
            <w:shd w:val="clear" w:color="000000" w:fill="FFFFFF"/>
            <w:noWrap/>
            <w:vAlign w:val="center"/>
            <w:hideMark/>
          </w:tcPr>
          <w:p w14:paraId="6B469E9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w:t>
            </w:r>
          </w:p>
        </w:tc>
        <w:tc>
          <w:tcPr>
            <w:tcW w:w="687" w:type="dxa"/>
            <w:tcBorders>
              <w:top w:val="nil"/>
              <w:left w:val="nil"/>
              <w:bottom w:val="nil"/>
              <w:right w:val="nil"/>
            </w:tcBorders>
            <w:shd w:val="clear" w:color="000000" w:fill="FFFFFF"/>
            <w:noWrap/>
            <w:vAlign w:val="center"/>
            <w:hideMark/>
          </w:tcPr>
          <w:p w14:paraId="0F3F693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82</w:t>
            </w:r>
          </w:p>
        </w:tc>
        <w:tc>
          <w:tcPr>
            <w:tcW w:w="747" w:type="dxa"/>
            <w:tcBorders>
              <w:top w:val="nil"/>
              <w:left w:val="nil"/>
              <w:bottom w:val="nil"/>
              <w:right w:val="nil"/>
            </w:tcBorders>
            <w:shd w:val="clear" w:color="000000" w:fill="FFFFFF"/>
            <w:noWrap/>
            <w:vAlign w:val="center"/>
            <w:hideMark/>
          </w:tcPr>
          <w:p w14:paraId="320CE74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w:t>
            </w:r>
          </w:p>
        </w:tc>
        <w:tc>
          <w:tcPr>
            <w:tcW w:w="621" w:type="dxa"/>
            <w:tcBorders>
              <w:top w:val="nil"/>
              <w:left w:val="nil"/>
              <w:bottom w:val="nil"/>
              <w:right w:val="nil"/>
            </w:tcBorders>
            <w:shd w:val="clear" w:color="000000" w:fill="FFFFFF"/>
            <w:noWrap/>
            <w:vAlign w:val="center"/>
            <w:hideMark/>
          </w:tcPr>
          <w:p w14:paraId="3411EA6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w:t>
            </w:r>
          </w:p>
        </w:tc>
      </w:tr>
      <w:tr w:rsidR="002A0AD1" w:rsidRPr="002F5246" w14:paraId="5888D9A4" w14:textId="77777777" w:rsidTr="00C07CB8">
        <w:trPr>
          <w:trHeight w:val="255"/>
        </w:trPr>
        <w:tc>
          <w:tcPr>
            <w:tcW w:w="3051" w:type="dxa"/>
            <w:tcBorders>
              <w:top w:val="nil"/>
              <w:left w:val="nil"/>
              <w:bottom w:val="nil"/>
              <w:right w:val="nil"/>
            </w:tcBorders>
            <w:shd w:val="clear" w:color="000000" w:fill="FFFFFF"/>
            <w:vAlign w:val="center"/>
            <w:hideMark/>
          </w:tcPr>
          <w:p w14:paraId="6101B8B2"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GOLDMAN SACHS INTERNATIONAL</w:t>
            </w:r>
          </w:p>
        </w:tc>
        <w:tc>
          <w:tcPr>
            <w:tcW w:w="1675" w:type="dxa"/>
            <w:tcBorders>
              <w:top w:val="nil"/>
              <w:left w:val="nil"/>
              <w:bottom w:val="nil"/>
              <w:right w:val="nil"/>
            </w:tcBorders>
            <w:shd w:val="clear" w:color="000000" w:fill="FFFFFF"/>
            <w:noWrap/>
            <w:vAlign w:val="center"/>
            <w:hideMark/>
          </w:tcPr>
          <w:p w14:paraId="1A1775F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bottom w:val="nil"/>
              <w:right w:val="nil"/>
            </w:tcBorders>
            <w:shd w:val="clear" w:color="000000" w:fill="FFFFFF"/>
            <w:noWrap/>
            <w:vAlign w:val="center"/>
            <w:hideMark/>
          </w:tcPr>
          <w:p w14:paraId="1115040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bottom w:val="nil"/>
              <w:right w:val="nil"/>
            </w:tcBorders>
            <w:shd w:val="clear" w:color="000000" w:fill="FFFFFF"/>
            <w:noWrap/>
            <w:vAlign w:val="center"/>
            <w:hideMark/>
          </w:tcPr>
          <w:p w14:paraId="6E4974E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15</w:t>
            </w:r>
          </w:p>
        </w:tc>
        <w:tc>
          <w:tcPr>
            <w:tcW w:w="621" w:type="dxa"/>
            <w:tcBorders>
              <w:top w:val="nil"/>
              <w:left w:val="nil"/>
              <w:bottom w:val="nil"/>
              <w:right w:val="nil"/>
            </w:tcBorders>
            <w:shd w:val="clear" w:color="000000" w:fill="FFFFFF"/>
            <w:noWrap/>
            <w:vAlign w:val="center"/>
            <w:hideMark/>
          </w:tcPr>
          <w:p w14:paraId="1317EB9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w:t>
            </w:r>
          </w:p>
        </w:tc>
        <w:tc>
          <w:tcPr>
            <w:tcW w:w="687" w:type="dxa"/>
            <w:tcBorders>
              <w:top w:val="nil"/>
              <w:left w:val="nil"/>
              <w:bottom w:val="nil"/>
              <w:right w:val="nil"/>
            </w:tcBorders>
            <w:shd w:val="clear" w:color="000000" w:fill="FFFFFF"/>
            <w:noWrap/>
            <w:vAlign w:val="center"/>
            <w:hideMark/>
          </w:tcPr>
          <w:p w14:paraId="17B5AF9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w:t>
            </w:r>
          </w:p>
        </w:tc>
        <w:tc>
          <w:tcPr>
            <w:tcW w:w="747" w:type="dxa"/>
            <w:tcBorders>
              <w:top w:val="nil"/>
              <w:left w:val="nil"/>
              <w:bottom w:val="nil"/>
              <w:right w:val="nil"/>
            </w:tcBorders>
            <w:shd w:val="clear" w:color="000000" w:fill="FFFFFF"/>
            <w:noWrap/>
            <w:vAlign w:val="center"/>
            <w:hideMark/>
          </w:tcPr>
          <w:p w14:paraId="048E6D1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w:t>
            </w:r>
          </w:p>
        </w:tc>
        <w:tc>
          <w:tcPr>
            <w:tcW w:w="621" w:type="dxa"/>
            <w:tcBorders>
              <w:top w:val="nil"/>
              <w:left w:val="nil"/>
              <w:bottom w:val="nil"/>
              <w:right w:val="nil"/>
            </w:tcBorders>
            <w:shd w:val="clear" w:color="000000" w:fill="FFFFFF"/>
            <w:noWrap/>
            <w:vAlign w:val="center"/>
            <w:hideMark/>
          </w:tcPr>
          <w:p w14:paraId="66FB7A1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w:t>
            </w:r>
          </w:p>
        </w:tc>
      </w:tr>
      <w:tr w:rsidR="002A0AD1" w:rsidRPr="002F5246" w14:paraId="7DD4CE7F" w14:textId="77777777" w:rsidTr="00C07CB8">
        <w:trPr>
          <w:trHeight w:val="255"/>
        </w:trPr>
        <w:tc>
          <w:tcPr>
            <w:tcW w:w="3051" w:type="dxa"/>
            <w:tcBorders>
              <w:top w:val="nil"/>
              <w:left w:val="nil"/>
              <w:bottom w:val="nil"/>
              <w:right w:val="nil"/>
            </w:tcBorders>
            <w:shd w:val="clear" w:color="000000" w:fill="FFFFFF"/>
            <w:vAlign w:val="center"/>
            <w:hideMark/>
          </w:tcPr>
          <w:p w14:paraId="15125560"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HSBC</w:t>
            </w:r>
          </w:p>
        </w:tc>
        <w:tc>
          <w:tcPr>
            <w:tcW w:w="1675" w:type="dxa"/>
            <w:tcBorders>
              <w:top w:val="nil"/>
              <w:left w:val="nil"/>
              <w:bottom w:val="nil"/>
              <w:right w:val="nil"/>
            </w:tcBorders>
            <w:shd w:val="clear" w:color="000000" w:fill="FFFFFF"/>
            <w:noWrap/>
            <w:vAlign w:val="center"/>
            <w:hideMark/>
          </w:tcPr>
          <w:p w14:paraId="7B6213D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bottom w:val="nil"/>
              <w:right w:val="nil"/>
            </w:tcBorders>
            <w:shd w:val="clear" w:color="000000" w:fill="FFFFFF"/>
            <w:noWrap/>
            <w:vAlign w:val="center"/>
            <w:hideMark/>
          </w:tcPr>
          <w:p w14:paraId="7C9F583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bottom w:val="nil"/>
              <w:right w:val="nil"/>
            </w:tcBorders>
            <w:shd w:val="clear" w:color="000000" w:fill="FFFFFF"/>
            <w:noWrap/>
            <w:vAlign w:val="center"/>
            <w:hideMark/>
          </w:tcPr>
          <w:p w14:paraId="0808632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24</w:t>
            </w:r>
          </w:p>
        </w:tc>
        <w:tc>
          <w:tcPr>
            <w:tcW w:w="621" w:type="dxa"/>
            <w:tcBorders>
              <w:top w:val="nil"/>
              <w:left w:val="nil"/>
              <w:bottom w:val="nil"/>
              <w:right w:val="nil"/>
            </w:tcBorders>
            <w:shd w:val="clear" w:color="000000" w:fill="FFFFFF"/>
            <w:noWrap/>
            <w:vAlign w:val="center"/>
            <w:hideMark/>
          </w:tcPr>
          <w:p w14:paraId="44D02D3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0163D90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w:t>
            </w:r>
          </w:p>
        </w:tc>
        <w:tc>
          <w:tcPr>
            <w:tcW w:w="747" w:type="dxa"/>
            <w:tcBorders>
              <w:top w:val="nil"/>
              <w:left w:val="nil"/>
              <w:bottom w:val="nil"/>
              <w:right w:val="nil"/>
            </w:tcBorders>
            <w:shd w:val="clear" w:color="000000" w:fill="FFFFFF"/>
            <w:noWrap/>
            <w:vAlign w:val="center"/>
            <w:hideMark/>
          </w:tcPr>
          <w:p w14:paraId="4E7A89A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w:t>
            </w:r>
          </w:p>
        </w:tc>
        <w:tc>
          <w:tcPr>
            <w:tcW w:w="621" w:type="dxa"/>
            <w:tcBorders>
              <w:top w:val="nil"/>
              <w:left w:val="nil"/>
              <w:bottom w:val="nil"/>
              <w:right w:val="nil"/>
            </w:tcBorders>
            <w:shd w:val="clear" w:color="000000" w:fill="FFFFFF"/>
            <w:noWrap/>
            <w:vAlign w:val="center"/>
            <w:hideMark/>
          </w:tcPr>
          <w:p w14:paraId="4E00554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4394DD40" w14:textId="77777777" w:rsidTr="00C07CB8">
        <w:trPr>
          <w:trHeight w:val="255"/>
        </w:trPr>
        <w:tc>
          <w:tcPr>
            <w:tcW w:w="3051" w:type="dxa"/>
            <w:tcBorders>
              <w:top w:val="nil"/>
              <w:left w:val="nil"/>
              <w:bottom w:val="nil"/>
              <w:right w:val="nil"/>
            </w:tcBorders>
            <w:shd w:val="clear" w:color="000000" w:fill="FFFFFF"/>
            <w:vAlign w:val="center"/>
            <w:hideMark/>
          </w:tcPr>
          <w:p w14:paraId="6802DD70"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HSBC BANK USA</w:t>
            </w:r>
          </w:p>
        </w:tc>
        <w:tc>
          <w:tcPr>
            <w:tcW w:w="1675" w:type="dxa"/>
            <w:tcBorders>
              <w:top w:val="nil"/>
              <w:left w:val="nil"/>
              <w:bottom w:val="nil"/>
              <w:right w:val="nil"/>
            </w:tcBorders>
            <w:shd w:val="clear" w:color="000000" w:fill="FFFFFF"/>
            <w:noWrap/>
            <w:vAlign w:val="center"/>
            <w:hideMark/>
          </w:tcPr>
          <w:p w14:paraId="50F602E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bottom w:val="nil"/>
              <w:right w:val="nil"/>
            </w:tcBorders>
            <w:shd w:val="clear" w:color="000000" w:fill="FFFFFF"/>
            <w:noWrap/>
            <w:vAlign w:val="center"/>
            <w:hideMark/>
          </w:tcPr>
          <w:p w14:paraId="08DA435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bottom w:val="nil"/>
              <w:right w:val="nil"/>
            </w:tcBorders>
            <w:shd w:val="clear" w:color="000000" w:fill="FFFFFF"/>
            <w:noWrap/>
            <w:vAlign w:val="center"/>
            <w:hideMark/>
          </w:tcPr>
          <w:p w14:paraId="385732C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11</w:t>
            </w:r>
          </w:p>
        </w:tc>
        <w:tc>
          <w:tcPr>
            <w:tcW w:w="621" w:type="dxa"/>
            <w:tcBorders>
              <w:top w:val="nil"/>
              <w:left w:val="nil"/>
              <w:bottom w:val="nil"/>
              <w:right w:val="nil"/>
            </w:tcBorders>
            <w:shd w:val="clear" w:color="000000" w:fill="FFFFFF"/>
            <w:noWrap/>
            <w:vAlign w:val="center"/>
            <w:hideMark/>
          </w:tcPr>
          <w:p w14:paraId="04430C8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1B43640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w:t>
            </w:r>
          </w:p>
        </w:tc>
        <w:tc>
          <w:tcPr>
            <w:tcW w:w="747" w:type="dxa"/>
            <w:tcBorders>
              <w:top w:val="nil"/>
              <w:left w:val="nil"/>
              <w:bottom w:val="nil"/>
              <w:right w:val="nil"/>
            </w:tcBorders>
            <w:shd w:val="clear" w:color="000000" w:fill="FFFFFF"/>
            <w:noWrap/>
            <w:vAlign w:val="center"/>
            <w:hideMark/>
          </w:tcPr>
          <w:p w14:paraId="55A1E89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w:t>
            </w:r>
          </w:p>
        </w:tc>
        <w:tc>
          <w:tcPr>
            <w:tcW w:w="621" w:type="dxa"/>
            <w:tcBorders>
              <w:top w:val="nil"/>
              <w:left w:val="nil"/>
              <w:bottom w:val="nil"/>
              <w:right w:val="nil"/>
            </w:tcBorders>
            <w:shd w:val="clear" w:color="000000" w:fill="FFFFFF"/>
            <w:noWrap/>
            <w:vAlign w:val="center"/>
            <w:hideMark/>
          </w:tcPr>
          <w:p w14:paraId="3F65E87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0DF778D4" w14:textId="77777777" w:rsidTr="00C07CB8">
        <w:trPr>
          <w:trHeight w:val="255"/>
        </w:trPr>
        <w:tc>
          <w:tcPr>
            <w:tcW w:w="3051" w:type="dxa"/>
            <w:tcBorders>
              <w:top w:val="nil"/>
              <w:left w:val="nil"/>
              <w:bottom w:val="nil"/>
              <w:right w:val="nil"/>
            </w:tcBorders>
            <w:shd w:val="clear" w:color="000000" w:fill="FFFFFF"/>
            <w:vAlign w:val="center"/>
            <w:hideMark/>
          </w:tcPr>
          <w:p w14:paraId="40F8B1EC"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KBC GROUP</w:t>
            </w:r>
          </w:p>
        </w:tc>
        <w:tc>
          <w:tcPr>
            <w:tcW w:w="1675" w:type="dxa"/>
            <w:tcBorders>
              <w:top w:val="nil"/>
              <w:left w:val="nil"/>
              <w:bottom w:val="nil"/>
              <w:right w:val="nil"/>
            </w:tcBorders>
            <w:shd w:val="clear" w:color="000000" w:fill="FFFFFF"/>
            <w:noWrap/>
            <w:vAlign w:val="center"/>
            <w:hideMark/>
          </w:tcPr>
          <w:p w14:paraId="1FCE842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bottom w:val="nil"/>
              <w:right w:val="nil"/>
            </w:tcBorders>
            <w:shd w:val="clear" w:color="000000" w:fill="FFFFFF"/>
            <w:noWrap/>
            <w:vAlign w:val="center"/>
            <w:hideMark/>
          </w:tcPr>
          <w:p w14:paraId="50AF8DD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bottom w:val="nil"/>
              <w:right w:val="nil"/>
            </w:tcBorders>
            <w:shd w:val="clear" w:color="000000" w:fill="FFFFFF"/>
            <w:noWrap/>
            <w:vAlign w:val="center"/>
            <w:hideMark/>
          </w:tcPr>
          <w:p w14:paraId="79E1AFF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w:t>
            </w:r>
          </w:p>
        </w:tc>
        <w:tc>
          <w:tcPr>
            <w:tcW w:w="621" w:type="dxa"/>
            <w:tcBorders>
              <w:top w:val="nil"/>
              <w:left w:val="nil"/>
              <w:bottom w:val="nil"/>
              <w:right w:val="nil"/>
            </w:tcBorders>
            <w:shd w:val="clear" w:color="000000" w:fill="FFFFFF"/>
            <w:noWrap/>
            <w:vAlign w:val="center"/>
            <w:hideMark/>
          </w:tcPr>
          <w:p w14:paraId="6227C94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686</w:t>
            </w:r>
          </w:p>
        </w:tc>
        <w:tc>
          <w:tcPr>
            <w:tcW w:w="687" w:type="dxa"/>
            <w:tcBorders>
              <w:top w:val="nil"/>
              <w:left w:val="nil"/>
              <w:bottom w:val="nil"/>
              <w:right w:val="nil"/>
            </w:tcBorders>
            <w:shd w:val="clear" w:color="000000" w:fill="FFFFFF"/>
            <w:noWrap/>
            <w:vAlign w:val="center"/>
            <w:hideMark/>
          </w:tcPr>
          <w:p w14:paraId="2B60A3A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47" w:type="dxa"/>
            <w:tcBorders>
              <w:top w:val="nil"/>
              <w:left w:val="nil"/>
              <w:bottom w:val="nil"/>
              <w:right w:val="nil"/>
            </w:tcBorders>
            <w:shd w:val="clear" w:color="000000" w:fill="FFFFFF"/>
            <w:noWrap/>
            <w:vAlign w:val="center"/>
            <w:hideMark/>
          </w:tcPr>
          <w:p w14:paraId="1124BD7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318</w:t>
            </w:r>
          </w:p>
        </w:tc>
        <w:tc>
          <w:tcPr>
            <w:tcW w:w="621" w:type="dxa"/>
            <w:tcBorders>
              <w:top w:val="nil"/>
              <w:left w:val="nil"/>
              <w:bottom w:val="nil"/>
              <w:right w:val="nil"/>
            </w:tcBorders>
            <w:shd w:val="clear" w:color="000000" w:fill="FFFFFF"/>
            <w:noWrap/>
            <w:vAlign w:val="center"/>
            <w:hideMark/>
          </w:tcPr>
          <w:p w14:paraId="4984FD5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601</w:t>
            </w:r>
          </w:p>
        </w:tc>
      </w:tr>
      <w:tr w:rsidR="002A0AD1" w:rsidRPr="002F5246" w14:paraId="4C2E58E4" w14:textId="77777777" w:rsidTr="00C07CB8">
        <w:trPr>
          <w:trHeight w:val="255"/>
        </w:trPr>
        <w:tc>
          <w:tcPr>
            <w:tcW w:w="3051" w:type="dxa"/>
            <w:tcBorders>
              <w:top w:val="nil"/>
              <w:left w:val="nil"/>
              <w:bottom w:val="nil"/>
              <w:right w:val="nil"/>
            </w:tcBorders>
            <w:shd w:val="clear" w:color="000000" w:fill="FFFFFF"/>
            <w:vAlign w:val="center"/>
            <w:hideMark/>
          </w:tcPr>
          <w:p w14:paraId="69E31369"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NATIONAL AUSTRALIA BANK</w:t>
            </w:r>
          </w:p>
        </w:tc>
        <w:tc>
          <w:tcPr>
            <w:tcW w:w="1675" w:type="dxa"/>
            <w:tcBorders>
              <w:top w:val="nil"/>
              <w:left w:val="nil"/>
              <w:bottom w:val="nil"/>
              <w:right w:val="nil"/>
            </w:tcBorders>
            <w:shd w:val="clear" w:color="000000" w:fill="FFFFFF"/>
            <w:noWrap/>
            <w:vAlign w:val="center"/>
            <w:hideMark/>
          </w:tcPr>
          <w:p w14:paraId="476C9E6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bottom w:val="nil"/>
              <w:right w:val="nil"/>
            </w:tcBorders>
            <w:shd w:val="clear" w:color="000000" w:fill="FFFFFF"/>
            <w:noWrap/>
            <w:vAlign w:val="center"/>
            <w:hideMark/>
          </w:tcPr>
          <w:p w14:paraId="2D05A78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bottom w:val="nil"/>
              <w:right w:val="nil"/>
            </w:tcBorders>
            <w:shd w:val="clear" w:color="000000" w:fill="FFFFFF"/>
            <w:noWrap/>
            <w:vAlign w:val="center"/>
            <w:hideMark/>
          </w:tcPr>
          <w:p w14:paraId="4CF935F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0F9846F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5FE6F30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w:t>
            </w:r>
          </w:p>
        </w:tc>
        <w:tc>
          <w:tcPr>
            <w:tcW w:w="747" w:type="dxa"/>
            <w:tcBorders>
              <w:top w:val="nil"/>
              <w:left w:val="nil"/>
              <w:bottom w:val="nil"/>
              <w:right w:val="nil"/>
            </w:tcBorders>
            <w:shd w:val="clear" w:color="000000" w:fill="FFFFFF"/>
            <w:noWrap/>
            <w:vAlign w:val="center"/>
            <w:hideMark/>
          </w:tcPr>
          <w:p w14:paraId="780AC1B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4FB775C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77BE1F5E" w14:textId="77777777" w:rsidTr="00C07CB8">
        <w:trPr>
          <w:trHeight w:val="255"/>
        </w:trPr>
        <w:tc>
          <w:tcPr>
            <w:tcW w:w="3051" w:type="dxa"/>
            <w:tcBorders>
              <w:top w:val="nil"/>
              <w:left w:val="nil"/>
              <w:bottom w:val="nil"/>
              <w:right w:val="nil"/>
            </w:tcBorders>
            <w:shd w:val="clear" w:color="000000" w:fill="FFFFFF"/>
            <w:vAlign w:val="center"/>
            <w:hideMark/>
          </w:tcPr>
          <w:p w14:paraId="2914F780"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NEDBANK</w:t>
            </w:r>
          </w:p>
        </w:tc>
        <w:tc>
          <w:tcPr>
            <w:tcW w:w="1675" w:type="dxa"/>
            <w:tcBorders>
              <w:top w:val="nil"/>
              <w:left w:val="nil"/>
              <w:bottom w:val="nil"/>
              <w:right w:val="nil"/>
            </w:tcBorders>
            <w:shd w:val="clear" w:color="000000" w:fill="FFFFFF"/>
            <w:noWrap/>
            <w:vAlign w:val="center"/>
            <w:hideMark/>
          </w:tcPr>
          <w:p w14:paraId="2467A6B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bottom w:val="nil"/>
              <w:right w:val="nil"/>
            </w:tcBorders>
            <w:shd w:val="clear" w:color="000000" w:fill="FFFFFF"/>
            <w:noWrap/>
            <w:vAlign w:val="center"/>
            <w:hideMark/>
          </w:tcPr>
          <w:p w14:paraId="3773A3A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bottom w:val="nil"/>
              <w:right w:val="nil"/>
            </w:tcBorders>
            <w:shd w:val="clear" w:color="000000" w:fill="FFFFFF"/>
            <w:noWrap/>
            <w:vAlign w:val="center"/>
            <w:hideMark/>
          </w:tcPr>
          <w:p w14:paraId="6A5B24F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45A556D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bottom w:val="nil"/>
              <w:right w:val="nil"/>
            </w:tcBorders>
            <w:shd w:val="clear" w:color="000000" w:fill="FFFFFF"/>
            <w:noWrap/>
            <w:vAlign w:val="center"/>
            <w:hideMark/>
          </w:tcPr>
          <w:p w14:paraId="73016AC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84</w:t>
            </w:r>
          </w:p>
        </w:tc>
        <w:tc>
          <w:tcPr>
            <w:tcW w:w="747" w:type="dxa"/>
            <w:tcBorders>
              <w:top w:val="nil"/>
              <w:left w:val="nil"/>
              <w:bottom w:val="nil"/>
              <w:right w:val="nil"/>
            </w:tcBorders>
            <w:shd w:val="clear" w:color="000000" w:fill="FFFFFF"/>
            <w:noWrap/>
            <w:vAlign w:val="center"/>
            <w:hideMark/>
          </w:tcPr>
          <w:p w14:paraId="2FE810B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156</w:t>
            </w:r>
          </w:p>
        </w:tc>
        <w:tc>
          <w:tcPr>
            <w:tcW w:w="621" w:type="dxa"/>
            <w:tcBorders>
              <w:top w:val="nil"/>
              <w:left w:val="nil"/>
              <w:bottom w:val="nil"/>
              <w:right w:val="nil"/>
            </w:tcBorders>
            <w:shd w:val="clear" w:color="000000" w:fill="FFFFFF"/>
            <w:noWrap/>
            <w:vAlign w:val="center"/>
            <w:hideMark/>
          </w:tcPr>
          <w:p w14:paraId="74D703E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w:t>
            </w:r>
          </w:p>
        </w:tc>
      </w:tr>
      <w:tr w:rsidR="002A0AD1" w:rsidRPr="002F5246" w14:paraId="2BAC6546" w14:textId="77777777" w:rsidTr="00C07CB8">
        <w:trPr>
          <w:trHeight w:val="255"/>
        </w:trPr>
        <w:tc>
          <w:tcPr>
            <w:tcW w:w="3051" w:type="dxa"/>
            <w:tcBorders>
              <w:top w:val="nil"/>
              <w:left w:val="nil"/>
              <w:right w:val="nil"/>
            </w:tcBorders>
            <w:shd w:val="clear" w:color="000000" w:fill="FFFFFF"/>
            <w:vAlign w:val="center"/>
            <w:hideMark/>
          </w:tcPr>
          <w:p w14:paraId="53C640A0"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SOCIETE GENERALE</w:t>
            </w:r>
          </w:p>
        </w:tc>
        <w:tc>
          <w:tcPr>
            <w:tcW w:w="1675" w:type="dxa"/>
            <w:tcBorders>
              <w:top w:val="nil"/>
              <w:left w:val="nil"/>
              <w:right w:val="nil"/>
            </w:tcBorders>
            <w:shd w:val="clear" w:color="000000" w:fill="FFFFFF"/>
            <w:noWrap/>
            <w:vAlign w:val="center"/>
            <w:hideMark/>
          </w:tcPr>
          <w:p w14:paraId="77AA0E1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1647" w:type="dxa"/>
            <w:tcBorders>
              <w:top w:val="nil"/>
              <w:left w:val="nil"/>
              <w:right w:val="nil"/>
            </w:tcBorders>
            <w:shd w:val="clear" w:color="000000" w:fill="FFFFFF"/>
            <w:noWrap/>
            <w:vAlign w:val="center"/>
            <w:hideMark/>
          </w:tcPr>
          <w:p w14:paraId="51EC867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GLOBAL FOREX</w:t>
            </w:r>
          </w:p>
        </w:tc>
        <w:tc>
          <w:tcPr>
            <w:tcW w:w="621" w:type="dxa"/>
            <w:tcBorders>
              <w:top w:val="nil"/>
              <w:left w:val="nil"/>
              <w:right w:val="nil"/>
            </w:tcBorders>
            <w:shd w:val="clear" w:color="000000" w:fill="FFFFFF"/>
            <w:noWrap/>
            <w:vAlign w:val="center"/>
            <w:hideMark/>
          </w:tcPr>
          <w:p w14:paraId="79F0515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69</w:t>
            </w:r>
          </w:p>
        </w:tc>
        <w:tc>
          <w:tcPr>
            <w:tcW w:w="621" w:type="dxa"/>
            <w:tcBorders>
              <w:top w:val="nil"/>
              <w:left w:val="nil"/>
              <w:right w:val="nil"/>
            </w:tcBorders>
            <w:shd w:val="clear" w:color="000000" w:fill="FFFFFF"/>
            <w:noWrap/>
            <w:vAlign w:val="center"/>
            <w:hideMark/>
          </w:tcPr>
          <w:p w14:paraId="136D279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87" w:type="dxa"/>
            <w:tcBorders>
              <w:top w:val="nil"/>
              <w:left w:val="nil"/>
              <w:right w:val="nil"/>
            </w:tcBorders>
            <w:shd w:val="clear" w:color="000000" w:fill="FFFFFF"/>
            <w:noWrap/>
            <w:vAlign w:val="center"/>
            <w:hideMark/>
          </w:tcPr>
          <w:p w14:paraId="5D955DB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383</w:t>
            </w:r>
          </w:p>
        </w:tc>
        <w:tc>
          <w:tcPr>
            <w:tcW w:w="747" w:type="dxa"/>
            <w:tcBorders>
              <w:top w:val="nil"/>
              <w:left w:val="nil"/>
              <w:right w:val="nil"/>
            </w:tcBorders>
            <w:shd w:val="clear" w:color="000000" w:fill="FFFFFF"/>
            <w:noWrap/>
            <w:vAlign w:val="center"/>
            <w:hideMark/>
          </w:tcPr>
          <w:p w14:paraId="1B34F31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192</w:t>
            </w:r>
          </w:p>
        </w:tc>
        <w:tc>
          <w:tcPr>
            <w:tcW w:w="621" w:type="dxa"/>
            <w:tcBorders>
              <w:top w:val="nil"/>
              <w:left w:val="nil"/>
              <w:right w:val="nil"/>
            </w:tcBorders>
            <w:shd w:val="clear" w:color="000000" w:fill="FFFFFF"/>
            <w:noWrap/>
            <w:vAlign w:val="center"/>
            <w:hideMark/>
          </w:tcPr>
          <w:p w14:paraId="595EFA1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12</w:t>
            </w:r>
          </w:p>
        </w:tc>
      </w:tr>
      <w:tr w:rsidR="002A0AD1" w:rsidRPr="002F5246" w14:paraId="20BC6058" w14:textId="77777777" w:rsidTr="00C07CB8">
        <w:trPr>
          <w:trHeight w:val="255"/>
        </w:trPr>
        <w:tc>
          <w:tcPr>
            <w:tcW w:w="3051" w:type="dxa"/>
            <w:tcBorders>
              <w:left w:val="nil"/>
              <w:bottom w:val="single" w:sz="12" w:space="0" w:color="auto"/>
              <w:right w:val="nil"/>
            </w:tcBorders>
            <w:shd w:val="clear" w:color="000000" w:fill="FFFFFF"/>
            <w:vAlign w:val="center"/>
          </w:tcPr>
          <w:p w14:paraId="7991D38E" w14:textId="77777777" w:rsidR="002A0AD1" w:rsidRPr="002F5246" w:rsidRDefault="002A0AD1" w:rsidP="00411767">
            <w:pPr>
              <w:spacing w:line="360" w:lineRule="auto"/>
              <w:rPr>
                <w:rFonts w:asciiTheme="majorBidi" w:hAnsiTheme="majorBidi" w:cstheme="majorBidi"/>
                <w:color w:val="000000"/>
                <w:sz w:val="18"/>
                <w:szCs w:val="18"/>
                <w:lang w:val="en-US"/>
              </w:rPr>
            </w:pPr>
          </w:p>
        </w:tc>
        <w:tc>
          <w:tcPr>
            <w:tcW w:w="1675" w:type="dxa"/>
            <w:tcBorders>
              <w:left w:val="nil"/>
              <w:bottom w:val="single" w:sz="12" w:space="0" w:color="auto"/>
              <w:right w:val="nil"/>
            </w:tcBorders>
            <w:shd w:val="clear" w:color="000000" w:fill="FFFFFF"/>
            <w:noWrap/>
            <w:vAlign w:val="center"/>
          </w:tcPr>
          <w:p w14:paraId="6A6DF1C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p>
        </w:tc>
        <w:tc>
          <w:tcPr>
            <w:tcW w:w="1647" w:type="dxa"/>
            <w:tcBorders>
              <w:left w:val="nil"/>
              <w:bottom w:val="single" w:sz="12" w:space="0" w:color="auto"/>
              <w:right w:val="nil"/>
            </w:tcBorders>
            <w:shd w:val="clear" w:color="000000" w:fill="FFFFFF"/>
            <w:noWrap/>
            <w:vAlign w:val="center"/>
          </w:tcPr>
          <w:p w14:paraId="16E187F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p>
        </w:tc>
        <w:tc>
          <w:tcPr>
            <w:tcW w:w="621" w:type="dxa"/>
            <w:tcBorders>
              <w:left w:val="nil"/>
              <w:bottom w:val="single" w:sz="12" w:space="0" w:color="auto"/>
              <w:right w:val="nil"/>
            </w:tcBorders>
            <w:shd w:val="clear" w:color="000000" w:fill="FFFFFF"/>
            <w:noWrap/>
            <w:vAlign w:val="center"/>
          </w:tcPr>
          <w:p w14:paraId="652996F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p>
        </w:tc>
        <w:tc>
          <w:tcPr>
            <w:tcW w:w="621" w:type="dxa"/>
            <w:tcBorders>
              <w:left w:val="nil"/>
              <w:bottom w:val="single" w:sz="12" w:space="0" w:color="auto"/>
              <w:right w:val="nil"/>
            </w:tcBorders>
            <w:shd w:val="clear" w:color="000000" w:fill="FFFFFF"/>
            <w:noWrap/>
            <w:vAlign w:val="center"/>
          </w:tcPr>
          <w:p w14:paraId="0791A78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p>
        </w:tc>
        <w:tc>
          <w:tcPr>
            <w:tcW w:w="687" w:type="dxa"/>
            <w:tcBorders>
              <w:left w:val="nil"/>
              <w:bottom w:val="single" w:sz="12" w:space="0" w:color="auto"/>
              <w:right w:val="nil"/>
            </w:tcBorders>
            <w:shd w:val="clear" w:color="000000" w:fill="FFFFFF"/>
            <w:noWrap/>
            <w:vAlign w:val="center"/>
          </w:tcPr>
          <w:p w14:paraId="79D57E9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p>
        </w:tc>
        <w:tc>
          <w:tcPr>
            <w:tcW w:w="747" w:type="dxa"/>
            <w:tcBorders>
              <w:left w:val="nil"/>
              <w:bottom w:val="single" w:sz="12" w:space="0" w:color="auto"/>
              <w:right w:val="nil"/>
            </w:tcBorders>
            <w:shd w:val="clear" w:color="000000" w:fill="FFFFFF"/>
            <w:noWrap/>
            <w:vAlign w:val="center"/>
          </w:tcPr>
          <w:p w14:paraId="6D29C32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p>
        </w:tc>
        <w:tc>
          <w:tcPr>
            <w:tcW w:w="621" w:type="dxa"/>
            <w:tcBorders>
              <w:left w:val="nil"/>
              <w:bottom w:val="single" w:sz="12" w:space="0" w:color="auto"/>
              <w:right w:val="nil"/>
            </w:tcBorders>
            <w:shd w:val="clear" w:color="000000" w:fill="FFFFFF"/>
            <w:noWrap/>
            <w:vAlign w:val="center"/>
          </w:tcPr>
          <w:p w14:paraId="762FBEE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p>
        </w:tc>
      </w:tr>
    </w:tbl>
    <w:p w14:paraId="58C72E03" w14:textId="75BF0218" w:rsidR="00C07CB8" w:rsidRPr="002F5246" w:rsidRDefault="00C07CB8" w:rsidP="00C07CB8">
      <w:pPr>
        <w:tabs>
          <w:tab w:val="left" w:pos="1571"/>
        </w:tabs>
        <w:rPr>
          <w:lang w:val="en-US"/>
        </w:rPr>
      </w:pPr>
      <w:r w:rsidRPr="002F5246">
        <w:rPr>
          <w:lang w:val="en-US"/>
        </w:rPr>
        <w:tab/>
      </w:r>
    </w:p>
    <w:tbl>
      <w:tblPr>
        <w:tblpPr w:leftFromText="180" w:rightFromText="180" w:vertAnchor="text" w:tblpXSpec="center" w:tblpY="1"/>
        <w:tblOverlap w:val="never"/>
        <w:tblW w:w="9684" w:type="dxa"/>
        <w:tblLook w:val="04A0" w:firstRow="1" w:lastRow="0" w:firstColumn="1" w:lastColumn="0" w:noHBand="0" w:noVBand="1"/>
      </w:tblPr>
      <w:tblGrid>
        <w:gridCol w:w="2997"/>
        <w:gridCol w:w="54"/>
        <w:gridCol w:w="1675"/>
        <w:gridCol w:w="1647"/>
        <w:gridCol w:w="621"/>
        <w:gridCol w:w="621"/>
        <w:gridCol w:w="621"/>
        <w:gridCol w:w="80"/>
        <w:gridCol w:w="747"/>
        <w:gridCol w:w="621"/>
      </w:tblGrid>
      <w:tr w:rsidR="00411767" w:rsidRPr="002F5246" w14:paraId="3266396E" w14:textId="77777777" w:rsidTr="00C07CB8">
        <w:trPr>
          <w:trHeight w:val="255"/>
        </w:trPr>
        <w:tc>
          <w:tcPr>
            <w:tcW w:w="9684" w:type="dxa"/>
            <w:gridSpan w:val="10"/>
            <w:tcBorders>
              <w:top w:val="single" w:sz="12" w:space="0" w:color="auto"/>
              <w:left w:val="nil"/>
              <w:bottom w:val="single" w:sz="12" w:space="0" w:color="auto"/>
              <w:right w:val="nil"/>
            </w:tcBorders>
            <w:shd w:val="clear" w:color="000000" w:fill="FFFFFF"/>
            <w:noWrap/>
            <w:vAlign w:val="center"/>
            <w:hideMark/>
          </w:tcPr>
          <w:p w14:paraId="75C8C624" w14:textId="3E09EC74" w:rsidR="00411767" w:rsidRPr="002F5246" w:rsidRDefault="00411767"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lastRenderedPageBreak/>
              <w:t>Panel E. Active Dealers in</w:t>
            </w:r>
            <w:r w:rsidR="00F96E63" w:rsidRPr="002F5246">
              <w:rPr>
                <w:rFonts w:asciiTheme="majorBidi" w:hAnsiTheme="majorBidi" w:cstheme="majorBidi"/>
                <w:b/>
                <w:bCs/>
                <w:color w:val="000000"/>
                <w:sz w:val="18"/>
                <w:szCs w:val="18"/>
                <w:lang w:val="en-US"/>
              </w:rPr>
              <w:t xml:space="preserve"> </w:t>
            </w:r>
            <w:r w:rsidRPr="002F5246">
              <w:rPr>
                <w:rFonts w:asciiTheme="majorBidi" w:hAnsiTheme="majorBidi" w:cstheme="majorBidi"/>
                <w:b/>
                <w:bCs/>
                <w:color w:val="000000"/>
                <w:sz w:val="18"/>
                <w:szCs w:val="18"/>
                <w:lang w:val="en-US"/>
              </w:rPr>
              <w:t>America</w:t>
            </w:r>
          </w:p>
        </w:tc>
      </w:tr>
      <w:tr w:rsidR="002A0AD1" w:rsidRPr="002F5246" w14:paraId="07ED7134" w14:textId="77777777" w:rsidTr="00C07CB8">
        <w:trPr>
          <w:trHeight w:val="255"/>
        </w:trPr>
        <w:tc>
          <w:tcPr>
            <w:tcW w:w="3051" w:type="dxa"/>
            <w:gridSpan w:val="2"/>
            <w:tcBorders>
              <w:top w:val="single" w:sz="12" w:space="0" w:color="auto"/>
              <w:left w:val="nil"/>
              <w:bottom w:val="single" w:sz="4" w:space="0" w:color="auto"/>
              <w:right w:val="nil"/>
            </w:tcBorders>
            <w:shd w:val="clear" w:color="000000" w:fill="FFFFFF"/>
            <w:noWrap/>
            <w:vAlign w:val="center"/>
            <w:hideMark/>
          </w:tcPr>
          <w:p w14:paraId="16B60F99"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Name</w:t>
            </w:r>
          </w:p>
        </w:tc>
        <w:tc>
          <w:tcPr>
            <w:tcW w:w="1675" w:type="dxa"/>
            <w:tcBorders>
              <w:top w:val="single" w:sz="12" w:space="0" w:color="auto"/>
              <w:left w:val="nil"/>
              <w:bottom w:val="single" w:sz="4" w:space="0" w:color="auto"/>
              <w:right w:val="nil"/>
            </w:tcBorders>
            <w:shd w:val="clear" w:color="000000" w:fill="FFFFFF"/>
            <w:noWrap/>
            <w:vAlign w:val="center"/>
            <w:hideMark/>
          </w:tcPr>
          <w:p w14:paraId="618123DE"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Country</w:t>
            </w:r>
          </w:p>
        </w:tc>
        <w:tc>
          <w:tcPr>
            <w:tcW w:w="1647" w:type="dxa"/>
            <w:tcBorders>
              <w:top w:val="single" w:sz="12" w:space="0" w:color="auto"/>
              <w:left w:val="nil"/>
              <w:bottom w:val="single" w:sz="4" w:space="0" w:color="auto"/>
              <w:right w:val="nil"/>
            </w:tcBorders>
            <w:shd w:val="clear" w:color="000000" w:fill="FFFFFF"/>
            <w:noWrap/>
            <w:vAlign w:val="center"/>
            <w:hideMark/>
          </w:tcPr>
          <w:p w14:paraId="3249D9D6"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City</w:t>
            </w:r>
          </w:p>
        </w:tc>
        <w:tc>
          <w:tcPr>
            <w:tcW w:w="621" w:type="dxa"/>
            <w:tcBorders>
              <w:top w:val="single" w:sz="12" w:space="0" w:color="auto"/>
              <w:left w:val="nil"/>
              <w:bottom w:val="single" w:sz="4" w:space="0" w:color="auto"/>
              <w:right w:val="nil"/>
            </w:tcBorders>
            <w:shd w:val="clear" w:color="000000" w:fill="FFFFFF"/>
            <w:noWrap/>
            <w:vAlign w:val="center"/>
            <w:hideMark/>
          </w:tcPr>
          <w:p w14:paraId="5636A694"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09A172AE"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701" w:type="dxa"/>
            <w:gridSpan w:val="2"/>
            <w:tcBorders>
              <w:top w:val="single" w:sz="12" w:space="0" w:color="auto"/>
              <w:left w:val="nil"/>
              <w:bottom w:val="single" w:sz="4" w:space="0" w:color="auto"/>
              <w:right w:val="nil"/>
            </w:tcBorders>
            <w:shd w:val="clear" w:color="000000" w:fill="FFFFFF"/>
            <w:noWrap/>
            <w:vAlign w:val="center"/>
            <w:hideMark/>
          </w:tcPr>
          <w:p w14:paraId="11B93ACE"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747" w:type="dxa"/>
            <w:tcBorders>
              <w:top w:val="single" w:sz="12" w:space="0" w:color="auto"/>
              <w:left w:val="nil"/>
              <w:bottom w:val="single" w:sz="4" w:space="0" w:color="auto"/>
              <w:right w:val="nil"/>
            </w:tcBorders>
            <w:shd w:val="clear" w:color="000000" w:fill="FFFFFF"/>
            <w:noWrap/>
            <w:vAlign w:val="center"/>
            <w:hideMark/>
          </w:tcPr>
          <w:p w14:paraId="639F8E4D"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7B22FA68"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r>
      <w:tr w:rsidR="002A0AD1" w:rsidRPr="002F5246" w14:paraId="7C5B5945" w14:textId="77777777" w:rsidTr="00C07CB8">
        <w:trPr>
          <w:trHeight w:val="480"/>
        </w:trPr>
        <w:tc>
          <w:tcPr>
            <w:tcW w:w="3051" w:type="dxa"/>
            <w:gridSpan w:val="2"/>
            <w:tcBorders>
              <w:top w:val="nil"/>
              <w:left w:val="nil"/>
              <w:bottom w:val="nil"/>
              <w:right w:val="nil"/>
            </w:tcBorders>
            <w:shd w:val="clear" w:color="000000" w:fill="FFFFFF"/>
            <w:vAlign w:val="center"/>
            <w:hideMark/>
          </w:tcPr>
          <w:p w14:paraId="3B1C9076"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BANK OF MONTREAL-BANQUE DE MONTREAL</w:t>
            </w:r>
          </w:p>
        </w:tc>
        <w:tc>
          <w:tcPr>
            <w:tcW w:w="1675" w:type="dxa"/>
            <w:tcBorders>
              <w:top w:val="nil"/>
              <w:left w:val="nil"/>
              <w:bottom w:val="nil"/>
              <w:right w:val="nil"/>
            </w:tcBorders>
            <w:shd w:val="clear" w:color="000000" w:fill="FFFFFF"/>
            <w:noWrap/>
            <w:vAlign w:val="center"/>
            <w:hideMark/>
          </w:tcPr>
          <w:p w14:paraId="51DEDE0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CANADA</w:t>
            </w:r>
          </w:p>
        </w:tc>
        <w:tc>
          <w:tcPr>
            <w:tcW w:w="1647" w:type="dxa"/>
            <w:tcBorders>
              <w:top w:val="nil"/>
              <w:left w:val="nil"/>
              <w:bottom w:val="nil"/>
              <w:right w:val="nil"/>
            </w:tcBorders>
            <w:shd w:val="clear" w:color="000000" w:fill="FFFFFF"/>
            <w:noWrap/>
            <w:vAlign w:val="center"/>
            <w:hideMark/>
          </w:tcPr>
          <w:p w14:paraId="6DF8803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MONTREAL</w:t>
            </w:r>
          </w:p>
        </w:tc>
        <w:tc>
          <w:tcPr>
            <w:tcW w:w="621" w:type="dxa"/>
            <w:tcBorders>
              <w:top w:val="nil"/>
              <w:left w:val="nil"/>
              <w:bottom w:val="nil"/>
              <w:right w:val="nil"/>
            </w:tcBorders>
            <w:shd w:val="clear" w:color="000000" w:fill="FFFFFF"/>
            <w:noWrap/>
            <w:vAlign w:val="center"/>
            <w:hideMark/>
          </w:tcPr>
          <w:p w14:paraId="715CB23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0C2E1D8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01" w:type="dxa"/>
            <w:gridSpan w:val="2"/>
            <w:tcBorders>
              <w:top w:val="nil"/>
              <w:left w:val="nil"/>
              <w:bottom w:val="nil"/>
              <w:right w:val="nil"/>
            </w:tcBorders>
            <w:shd w:val="clear" w:color="000000" w:fill="FFFFFF"/>
            <w:noWrap/>
            <w:vAlign w:val="center"/>
            <w:hideMark/>
          </w:tcPr>
          <w:p w14:paraId="602FC8B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54</w:t>
            </w:r>
          </w:p>
        </w:tc>
        <w:tc>
          <w:tcPr>
            <w:tcW w:w="747" w:type="dxa"/>
            <w:tcBorders>
              <w:top w:val="nil"/>
              <w:left w:val="nil"/>
              <w:bottom w:val="nil"/>
              <w:right w:val="nil"/>
            </w:tcBorders>
            <w:shd w:val="clear" w:color="000000" w:fill="FFFFFF"/>
            <w:noWrap/>
            <w:vAlign w:val="center"/>
            <w:hideMark/>
          </w:tcPr>
          <w:p w14:paraId="1DB9F6C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107</w:t>
            </w:r>
          </w:p>
        </w:tc>
        <w:tc>
          <w:tcPr>
            <w:tcW w:w="621" w:type="dxa"/>
            <w:tcBorders>
              <w:top w:val="nil"/>
              <w:left w:val="nil"/>
              <w:bottom w:val="nil"/>
              <w:right w:val="nil"/>
            </w:tcBorders>
            <w:shd w:val="clear" w:color="000000" w:fill="FFFFFF"/>
            <w:noWrap/>
            <w:vAlign w:val="center"/>
            <w:hideMark/>
          </w:tcPr>
          <w:p w14:paraId="023D150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56</w:t>
            </w:r>
          </w:p>
        </w:tc>
      </w:tr>
      <w:tr w:rsidR="002A0AD1" w:rsidRPr="002F5246" w14:paraId="179527BE" w14:textId="77777777" w:rsidTr="00C07CB8">
        <w:trPr>
          <w:trHeight w:val="255"/>
        </w:trPr>
        <w:tc>
          <w:tcPr>
            <w:tcW w:w="3051" w:type="dxa"/>
            <w:gridSpan w:val="2"/>
            <w:tcBorders>
              <w:top w:val="nil"/>
              <w:left w:val="nil"/>
              <w:bottom w:val="nil"/>
              <w:right w:val="nil"/>
            </w:tcBorders>
            <w:shd w:val="clear" w:color="000000" w:fill="FFFFFF"/>
            <w:vAlign w:val="center"/>
            <w:hideMark/>
          </w:tcPr>
          <w:p w14:paraId="577C95B7"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Brown Brothers Harriman &amp; Co</w:t>
            </w:r>
          </w:p>
        </w:tc>
        <w:tc>
          <w:tcPr>
            <w:tcW w:w="1675" w:type="dxa"/>
            <w:tcBorders>
              <w:top w:val="nil"/>
              <w:left w:val="nil"/>
              <w:bottom w:val="nil"/>
              <w:right w:val="nil"/>
            </w:tcBorders>
            <w:shd w:val="clear" w:color="000000" w:fill="FFFFFF"/>
            <w:noWrap/>
            <w:vAlign w:val="center"/>
            <w:hideMark/>
          </w:tcPr>
          <w:p w14:paraId="618882B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U.S.A</w:t>
            </w:r>
          </w:p>
        </w:tc>
        <w:tc>
          <w:tcPr>
            <w:tcW w:w="1647" w:type="dxa"/>
            <w:tcBorders>
              <w:top w:val="nil"/>
              <w:left w:val="nil"/>
              <w:bottom w:val="nil"/>
              <w:right w:val="nil"/>
            </w:tcBorders>
            <w:shd w:val="clear" w:color="000000" w:fill="FFFFFF"/>
            <w:noWrap/>
            <w:vAlign w:val="center"/>
            <w:hideMark/>
          </w:tcPr>
          <w:p w14:paraId="4D0C972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NEW YORK</w:t>
            </w:r>
          </w:p>
        </w:tc>
        <w:tc>
          <w:tcPr>
            <w:tcW w:w="621" w:type="dxa"/>
            <w:tcBorders>
              <w:top w:val="nil"/>
              <w:left w:val="nil"/>
              <w:bottom w:val="nil"/>
              <w:right w:val="nil"/>
            </w:tcBorders>
            <w:shd w:val="clear" w:color="000000" w:fill="FFFFFF"/>
            <w:noWrap/>
            <w:vAlign w:val="center"/>
            <w:hideMark/>
          </w:tcPr>
          <w:p w14:paraId="770E9A3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063FFA6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311</w:t>
            </w:r>
          </w:p>
        </w:tc>
        <w:tc>
          <w:tcPr>
            <w:tcW w:w="701" w:type="dxa"/>
            <w:gridSpan w:val="2"/>
            <w:tcBorders>
              <w:top w:val="nil"/>
              <w:left w:val="nil"/>
              <w:bottom w:val="nil"/>
              <w:right w:val="nil"/>
            </w:tcBorders>
            <w:shd w:val="clear" w:color="000000" w:fill="FFFFFF"/>
            <w:noWrap/>
            <w:vAlign w:val="center"/>
            <w:hideMark/>
          </w:tcPr>
          <w:p w14:paraId="5F768FD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291</w:t>
            </w:r>
          </w:p>
        </w:tc>
        <w:tc>
          <w:tcPr>
            <w:tcW w:w="747" w:type="dxa"/>
            <w:tcBorders>
              <w:top w:val="nil"/>
              <w:left w:val="nil"/>
              <w:bottom w:val="nil"/>
              <w:right w:val="nil"/>
            </w:tcBorders>
            <w:shd w:val="clear" w:color="000000" w:fill="FFFFFF"/>
            <w:noWrap/>
            <w:vAlign w:val="center"/>
            <w:hideMark/>
          </w:tcPr>
          <w:p w14:paraId="5FE94B9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289</w:t>
            </w:r>
          </w:p>
        </w:tc>
        <w:tc>
          <w:tcPr>
            <w:tcW w:w="621" w:type="dxa"/>
            <w:tcBorders>
              <w:top w:val="nil"/>
              <w:left w:val="nil"/>
              <w:bottom w:val="nil"/>
              <w:right w:val="nil"/>
            </w:tcBorders>
            <w:shd w:val="clear" w:color="000000" w:fill="FFFFFF"/>
            <w:noWrap/>
            <w:vAlign w:val="center"/>
            <w:hideMark/>
          </w:tcPr>
          <w:p w14:paraId="1404CF6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288</w:t>
            </w:r>
          </w:p>
        </w:tc>
      </w:tr>
      <w:tr w:rsidR="002A0AD1" w:rsidRPr="002F5246" w14:paraId="28D5B8FB" w14:textId="77777777" w:rsidTr="00C07CB8">
        <w:trPr>
          <w:trHeight w:val="255"/>
        </w:trPr>
        <w:tc>
          <w:tcPr>
            <w:tcW w:w="3051" w:type="dxa"/>
            <w:gridSpan w:val="2"/>
            <w:tcBorders>
              <w:top w:val="nil"/>
              <w:left w:val="nil"/>
              <w:bottom w:val="nil"/>
              <w:right w:val="nil"/>
            </w:tcBorders>
            <w:shd w:val="clear" w:color="000000" w:fill="FFFFFF"/>
            <w:vAlign w:val="center"/>
            <w:hideMark/>
          </w:tcPr>
          <w:p w14:paraId="50225387"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RADA FOREX</w:t>
            </w:r>
          </w:p>
        </w:tc>
        <w:tc>
          <w:tcPr>
            <w:tcW w:w="1675" w:type="dxa"/>
            <w:tcBorders>
              <w:top w:val="nil"/>
              <w:left w:val="nil"/>
              <w:bottom w:val="nil"/>
              <w:right w:val="nil"/>
            </w:tcBorders>
            <w:shd w:val="clear" w:color="000000" w:fill="FFFFFF"/>
            <w:noWrap/>
            <w:vAlign w:val="center"/>
            <w:hideMark/>
          </w:tcPr>
          <w:p w14:paraId="4FEB420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U.S.A</w:t>
            </w:r>
          </w:p>
        </w:tc>
        <w:tc>
          <w:tcPr>
            <w:tcW w:w="1647" w:type="dxa"/>
            <w:tcBorders>
              <w:top w:val="nil"/>
              <w:left w:val="nil"/>
              <w:bottom w:val="nil"/>
              <w:right w:val="nil"/>
            </w:tcBorders>
            <w:shd w:val="clear" w:color="000000" w:fill="FFFFFF"/>
            <w:noWrap/>
            <w:vAlign w:val="center"/>
            <w:hideMark/>
          </w:tcPr>
          <w:p w14:paraId="0F50D42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NEW YORK</w:t>
            </w:r>
          </w:p>
        </w:tc>
        <w:tc>
          <w:tcPr>
            <w:tcW w:w="621" w:type="dxa"/>
            <w:tcBorders>
              <w:top w:val="nil"/>
              <w:left w:val="nil"/>
              <w:bottom w:val="nil"/>
              <w:right w:val="nil"/>
            </w:tcBorders>
            <w:shd w:val="clear" w:color="000000" w:fill="FFFFFF"/>
            <w:noWrap/>
            <w:vAlign w:val="center"/>
            <w:hideMark/>
          </w:tcPr>
          <w:p w14:paraId="2AE8565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2E45A7A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w:t>
            </w:r>
          </w:p>
        </w:tc>
        <w:tc>
          <w:tcPr>
            <w:tcW w:w="701" w:type="dxa"/>
            <w:gridSpan w:val="2"/>
            <w:tcBorders>
              <w:top w:val="nil"/>
              <w:left w:val="nil"/>
              <w:bottom w:val="nil"/>
              <w:right w:val="nil"/>
            </w:tcBorders>
            <w:shd w:val="clear" w:color="000000" w:fill="FFFFFF"/>
            <w:noWrap/>
            <w:vAlign w:val="center"/>
            <w:hideMark/>
          </w:tcPr>
          <w:p w14:paraId="413D1C7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47" w:type="dxa"/>
            <w:tcBorders>
              <w:top w:val="nil"/>
              <w:left w:val="nil"/>
              <w:bottom w:val="nil"/>
              <w:right w:val="nil"/>
            </w:tcBorders>
            <w:shd w:val="clear" w:color="000000" w:fill="FFFFFF"/>
            <w:noWrap/>
            <w:vAlign w:val="center"/>
            <w:hideMark/>
          </w:tcPr>
          <w:p w14:paraId="3B830DF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w:t>
            </w:r>
          </w:p>
        </w:tc>
        <w:tc>
          <w:tcPr>
            <w:tcW w:w="621" w:type="dxa"/>
            <w:tcBorders>
              <w:top w:val="nil"/>
              <w:left w:val="nil"/>
              <w:bottom w:val="nil"/>
              <w:right w:val="nil"/>
            </w:tcBorders>
            <w:shd w:val="clear" w:color="000000" w:fill="FFFFFF"/>
            <w:noWrap/>
            <w:vAlign w:val="center"/>
            <w:hideMark/>
          </w:tcPr>
          <w:p w14:paraId="2DBC38A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w:t>
            </w:r>
          </w:p>
        </w:tc>
      </w:tr>
      <w:tr w:rsidR="002A0AD1" w:rsidRPr="002F5246" w14:paraId="4FF21DB4" w14:textId="77777777" w:rsidTr="00C07CB8">
        <w:trPr>
          <w:trHeight w:val="255"/>
        </w:trPr>
        <w:tc>
          <w:tcPr>
            <w:tcW w:w="3051" w:type="dxa"/>
            <w:gridSpan w:val="2"/>
            <w:tcBorders>
              <w:top w:val="nil"/>
              <w:left w:val="nil"/>
              <w:bottom w:val="nil"/>
              <w:right w:val="nil"/>
            </w:tcBorders>
            <w:shd w:val="clear" w:color="000000" w:fill="FFFFFF"/>
            <w:vAlign w:val="center"/>
            <w:hideMark/>
          </w:tcPr>
          <w:p w14:paraId="2A264103"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RBS</w:t>
            </w:r>
          </w:p>
        </w:tc>
        <w:tc>
          <w:tcPr>
            <w:tcW w:w="1675" w:type="dxa"/>
            <w:tcBorders>
              <w:top w:val="nil"/>
              <w:left w:val="nil"/>
              <w:bottom w:val="nil"/>
              <w:right w:val="nil"/>
            </w:tcBorders>
            <w:shd w:val="clear" w:color="000000" w:fill="FFFFFF"/>
            <w:noWrap/>
            <w:vAlign w:val="center"/>
            <w:hideMark/>
          </w:tcPr>
          <w:p w14:paraId="1898E30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U.S.A</w:t>
            </w:r>
          </w:p>
        </w:tc>
        <w:tc>
          <w:tcPr>
            <w:tcW w:w="1647" w:type="dxa"/>
            <w:tcBorders>
              <w:top w:val="nil"/>
              <w:left w:val="nil"/>
              <w:bottom w:val="nil"/>
              <w:right w:val="nil"/>
            </w:tcBorders>
            <w:shd w:val="clear" w:color="000000" w:fill="FFFFFF"/>
            <w:noWrap/>
            <w:vAlign w:val="center"/>
            <w:hideMark/>
          </w:tcPr>
          <w:p w14:paraId="3C4AAD0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NEW YORK</w:t>
            </w:r>
          </w:p>
        </w:tc>
        <w:tc>
          <w:tcPr>
            <w:tcW w:w="621" w:type="dxa"/>
            <w:tcBorders>
              <w:top w:val="nil"/>
              <w:left w:val="nil"/>
              <w:bottom w:val="nil"/>
              <w:right w:val="nil"/>
            </w:tcBorders>
            <w:shd w:val="clear" w:color="000000" w:fill="FFFFFF"/>
            <w:noWrap/>
            <w:vAlign w:val="center"/>
            <w:hideMark/>
          </w:tcPr>
          <w:p w14:paraId="17DCE0C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4,045</w:t>
            </w:r>
          </w:p>
        </w:tc>
        <w:tc>
          <w:tcPr>
            <w:tcW w:w="621" w:type="dxa"/>
            <w:tcBorders>
              <w:top w:val="nil"/>
              <w:left w:val="nil"/>
              <w:bottom w:val="nil"/>
              <w:right w:val="nil"/>
            </w:tcBorders>
            <w:shd w:val="clear" w:color="000000" w:fill="FFFFFF"/>
            <w:noWrap/>
            <w:vAlign w:val="center"/>
            <w:hideMark/>
          </w:tcPr>
          <w:p w14:paraId="0FA8EA9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4,244</w:t>
            </w:r>
          </w:p>
        </w:tc>
        <w:tc>
          <w:tcPr>
            <w:tcW w:w="701" w:type="dxa"/>
            <w:gridSpan w:val="2"/>
            <w:tcBorders>
              <w:top w:val="nil"/>
              <w:left w:val="nil"/>
              <w:bottom w:val="nil"/>
              <w:right w:val="nil"/>
            </w:tcBorders>
            <w:shd w:val="clear" w:color="000000" w:fill="FFFFFF"/>
            <w:noWrap/>
            <w:vAlign w:val="center"/>
            <w:hideMark/>
          </w:tcPr>
          <w:p w14:paraId="5E3CA60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4,426</w:t>
            </w:r>
          </w:p>
        </w:tc>
        <w:tc>
          <w:tcPr>
            <w:tcW w:w="747" w:type="dxa"/>
            <w:tcBorders>
              <w:top w:val="nil"/>
              <w:left w:val="nil"/>
              <w:bottom w:val="nil"/>
              <w:right w:val="nil"/>
            </w:tcBorders>
            <w:shd w:val="clear" w:color="000000" w:fill="FFFFFF"/>
            <w:noWrap/>
            <w:vAlign w:val="center"/>
            <w:hideMark/>
          </w:tcPr>
          <w:p w14:paraId="4604324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4,460</w:t>
            </w:r>
          </w:p>
        </w:tc>
        <w:tc>
          <w:tcPr>
            <w:tcW w:w="621" w:type="dxa"/>
            <w:tcBorders>
              <w:top w:val="nil"/>
              <w:left w:val="nil"/>
              <w:bottom w:val="nil"/>
              <w:right w:val="nil"/>
            </w:tcBorders>
            <w:shd w:val="clear" w:color="000000" w:fill="FFFFFF"/>
            <w:noWrap/>
            <w:vAlign w:val="center"/>
            <w:hideMark/>
          </w:tcPr>
          <w:p w14:paraId="2A09AB0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4,144</w:t>
            </w:r>
          </w:p>
        </w:tc>
      </w:tr>
      <w:tr w:rsidR="002A0AD1" w:rsidRPr="002F5246" w14:paraId="6C6C625A" w14:textId="77777777" w:rsidTr="00C07CB8">
        <w:trPr>
          <w:trHeight w:val="255"/>
        </w:trPr>
        <w:tc>
          <w:tcPr>
            <w:tcW w:w="3051" w:type="dxa"/>
            <w:gridSpan w:val="2"/>
            <w:tcBorders>
              <w:top w:val="nil"/>
              <w:left w:val="nil"/>
              <w:bottom w:val="nil"/>
              <w:right w:val="nil"/>
            </w:tcBorders>
            <w:shd w:val="clear" w:color="000000" w:fill="FFFFFF"/>
            <w:vAlign w:val="center"/>
            <w:hideMark/>
          </w:tcPr>
          <w:p w14:paraId="166A6227"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SKANDINAVISKA ENSKILDA BANK</w:t>
            </w:r>
          </w:p>
        </w:tc>
        <w:tc>
          <w:tcPr>
            <w:tcW w:w="1675" w:type="dxa"/>
            <w:tcBorders>
              <w:top w:val="nil"/>
              <w:left w:val="nil"/>
              <w:bottom w:val="nil"/>
              <w:right w:val="nil"/>
            </w:tcBorders>
            <w:shd w:val="clear" w:color="000000" w:fill="FFFFFF"/>
            <w:noWrap/>
            <w:vAlign w:val="center"/>
            <w:hideMark/>
          </w:tcPr>
          <w:p w14:paraId="0A442AE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U.S.A</w:t>
            </w:r>
          </w:p>
        </w:tc>
        <w:tc>
          <w:tcPr>
            <w:tcW w:w="1647" w:type="dxa"/>
            <w:tcBorders>
              <w:top w:val="nil"/>
              <w:left w:val="nil"/>
              <w:bottom w:val="nil"/>
              <w:right w:val="nil"/>
            </w:tcBorders>
            <w:shd w:val="clear" w:color="000000" w:fill="FFFFFF"/>
            <w:noWrap/>
            <w:vAlign w:val="center"/>
            <w:hideMark/>
          </w:tcPr>
          <w:p w14:paraId="742E338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NEW YORK</w:t>
            </w:r>
          </w:p>
        </w:tc>
        <w:tc>
          <w:tcPr>
            <w:tcW w:w="621" w:type="dxa"/>
            <w:tcBorders>
              <w:top w:val="nil"/>
              <w:left w:val="nil"/>
              <w:bottom w:val="nil"/>
              <w:right w:val="nil"/>
            </w:tcBorders>
            <w:shd w:val="clear" w:color="000000" w:fill="FFFFFF"/>
            <w:noWrap/>
            <w:vAlign w:val="center"/>
            <w:hideMark/>
          </w:tcPr>
          <w:p w14:paraId="2B7CE0C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286</w:t>
            </w:r>
          </w:p>
        </w:tc>
        <w:tc>
          <w:tcPr>
            <w:tcW w:w="621" w:type="dxa"/>
            <w:tcBorders>
              <w:top w:val="nil"/>
              <w:left w:val="nil"/>
              <w:bottom w:val="nil"/>
              <w:right w:val="nil"/>
            </w:tcBorders>
            <w:shd w:val="clear" w:color="000000" w:fill="FFFFFF"/>
            <w:noWrap/>
            <w:vAlign w:val="center"/>
            <w:hideMark/>
          </w:tcPr>
          <w:p w14:paraId="70C7CE1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01" w:type="dxa"/>
            <w:gridSpan w:val="2"/>
            <w:tcBorders>
              <w:top w:val="nil"/>
              <w:left w:val="nil"/>
              <w:bottom w:val="nil"/>
              <w:right w:val="nil"/>
            </w:tcBorders>
            <w:shd w:val="clear" w:color="000000" w:fill="FFFFFF"/>
            <w:noWrap/>
            <w:vAlign w:val="center"/>
            <w:hideMark/>
          </w:tcPr>
          <w:p w14:paraId="3C3A311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47" w:type="dxa"/>
            <w:tcBorders>
              <w:top w:val="nil"/>
              <w:left w:val="nil"/>
              <w:bottom w:val="nil"/>
              <w:right w:val="nil"/>
            </w:tcBorders>
            <w:shd w:val="clear" w:color="000000" w:fill="FFFFFF"/>
            <w:noWrap/>
            <w:vAlign w:val="center"/>
            <w:hideMark/>
          </w:tcPr>
          <w:p w14:paraId="40C8601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386</w:t>
            </w:r>
          </w:p>
        </w:tc>
        <w:tc>
          <w:tcPr>
            <w:tcW w:w="621" w:type="dxa"/>
            <w:tcBorders>
              <w:top w:val="nil"/>
              <w:left w:val="nil"/>
              <w:bottom w:val="nil"/>
              <w:right w:val="nil"/>
            </w:tcBorders>
            <w:shd w:val="clear" w:color="000000" w:fill="FFFFFF"/>
            <w:noWrap/>
            <w:vAlign w:val="center"/>
            <w:hideMark/>
          </w:tcPr>
          <w:p w14:paraId="621C22B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38D79064" w14:textId="77777777" w:rsidTr="00C07CB8">
        <w:trPr>
          <w:trHeight w:val="255"/>
        </w:trPr>
        <w:tc>
          <w:tcPr>
            <w:tcW w:w="3051" w:type="dxa"/>
            <w:gridSpan w:val="2"/>
            <w:tcBorders>
              <w:top w:val="nil"/>
              <w:left w:val="nil"/>
              <w:bottom w:val="nil"/>
              <w:right w:val="nil"/>
            </w:tcBorders>
            <w:shd w:val="clear" w:color="000000" w:fill="FFFFFF"/>
            <w:vAlign w:val="center"/>
            <w:hideMark/>
          </w:tcPr>
          <w:p w14:paraId="1506066B"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THE BANK OF NEW YORK MELLON</w:t>
            </w:r>
          </w:p>
        </w:tc>
        <w:tc>
          <w:tcPr>
            <w:tcW w:w="1675" w:type="dxa"/>
            <w:tcBorders>
              <w:top w:val="nil"/>
              <w:left w:val="nil"/>
              <w:bottom w:val="nil"/>
              <w:right w:val="nil"/>
            </w:tcBorders>
            <w:shd w:val="clear" w:color="000000" w:fill="FFFFFF"/>
            <w:noWrap/>
            <w:vAlign w:val="center"/>
            <w:hideMark/>
          </w:tcPr>
          <w:p w14:paraId="2330E3C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U.S.A</w:t>
            </w:r>
          </w:p>
        </w:tc>
        <w:tc>
          <w:tcPr>
            <w:tcW w:w="1647" w:type="dxa"/>
            <w:tcBorders>
              <w:top w:val="nil"/>
              <w:left w:val="nil"/>
              <w:bottom w:val="nil"/>
              <w:right w:val="nil"/>
            </w:tcBorders>
            <w:shd w:val="clear" w:color="000000" w:fill="FFFFFF"/>
            <w:noWrap/>
            <w:vAlign w:val="center"/>
            <w:hideMark/>
          </w:tcPr>
          <w:p w14:paraId="259E356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NEW YORK</w:t>
            </w:r>
          </w:p>
        </w:tc>
        <w:tc>
          <w:tcPr>
            <w:tcW w:w="621" w:type="dxa"/>
            <w:tcBorders>
              <w:top w:val="nil"/>
              <w:left w:val="nil"/>
              <w:bottom w:val="nil"/>
              <w:right w:val="nil"/>
            </w:tcBorders>
            <w:shd w:val="clear" w:color="000000" w:fill="FFFFFF"/>
            <w:noWrap/>
            <w:vAlign w:val="center"/>
            <w:hideMark/>
          </w:tcPr>
          <w:p w14:paraId="4172DB6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6E56C57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01" w:type="dxa"/>
            <w:gridSpan w:val="2"/>
            <w:tcBorders>
              <w:top w:val="nil"/>
              <w:left w:val="nil"/>
              <w:bottom w:val="nil"/>
              <w:right w:val="nil"/>
            </w:tcBorders>
            <w:shd w:val="clear" w:color="000000" w:fill="FFFFFF"/>
            <w:noWrap/>
            <w:vAlign w:val="center"/>
            <w:hideMark/>
          </w:tcPr>
          <w:p w14:paraId="11E367E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546</w:t>
            </w:r>
          </w:p>
        </w:tc>
        <w:tc>
          <w:tcPr>
            <w:tcW w:w="747" w:type="dxa"/>
            <w:tcBorders>
              <w:top w:val="nil"/>
              <w:left w:val="nil"/>
              <w:bottom w:val="nil"/>
              <w:right w:val="nil"/>
            </w:tcBorders>
            <w:shd w:val="clear" w:color="000000" w:fill="FFFFFF"/>
            <w:noWrap/>
            <w:vAlign w:val="center"/>
            <w:hideMark/>
          </w:tcPr>
          <w:p w14:paraId="37200D3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755</w:t>
            </w:r>
          </w:p>
        </w:tc>
        <w:tc>
          <w:tcPr>
            <w:tcW w:w="621" w:type="dxa"/>
            <w:tcBorders>
              <w:top w:val="nil"/>
              <w:left w:val="nil"/>
              <w:bottom w:val="nil"/>
              <w:right w:val="nil"/>
            </w:tcBorders>
            <w:shd w:val="clear" w:color="000000" w:fill="FFFFFF"/>
            <w:noWrap/>
            <w:vAlign w:val="center"/>
            <w:hideMark/>
          </w:tcPr>
          <w:p w14:paraId="63A7D65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564</w:t>
            </w:r>
          </w:p>
        </w:tc>
      </w:tr>
      <w:tr w:rsidR="002A0AD1" w:rsidRPr="002F5246" w14:paraId="143E792F" w14:textId="77777777" w:rsidTr="00C07CB8">
        <w:trPr>
          <w:trHeight w:val="270"/>
        </w:trPr>
        <w:tc>
          <w:tcPr>
            <w:tcW w:w="3051" w:type="dxa"/>
            <w:gridSpan w:val="2"/>
            <w:tcBorders>
              <w:top w:val="nil"/>
              <w:left w:val="nil"/>
              <w:bottom w:val="single" w:sz="8" w:space="0" w:color="auto"/>
              <w:right w:val="nil"/>
            </w:tcBorders>
            <w:shd w:val="clear" w:color="000000" w:fill="FFFFFF"/>
            <w:vAlign w:val="center"/>
            <w:hideMark/>
          </w:tcPr>
          <w:p w14:paraId="40CB27AA"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INTERCAM BANK</w:t>
            </w:r>
          </w:p>
        </w:tc>
        <w:tc>
          <w:tcPr>
            <w:tcW w:w="1675" w:type="dxa"/>
            <w:tcBorders>
              <w:top w:val="nil"/>
              <w:left w:val="nil"/>
              <w:bottom w:val="single" w:sz="8" w:space="0" w:color="auto"/>
              <w:right w:val="nil"/>
            </w:tcBorders>
            <w:shd w:val="clear" w:color="000000" w:fill="FFFFFF"/>
            <w:noWrap/>
            <w:vAlign w:val="center"/>
            <w:hideMark/>
          </w:tcPr>
          <w:p w14:paraId="4CBD8EB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MEXICO</w:t>
            </w:r>
          </w:p>
        </w:tc>
        <w:tc>
          <w:tcPr>
            <w:tcW w:w="1647" w:type="dxa"/>
            <w:tcBorders>
              <w:top w:val="nil"/>
              <w:left w:val="nil"/>
              <w:bottom w:val="single" w:sz="8" w:space="0" w:color="auto"/>
              <w:right w:val="nil"/>
            </w:tcBorders>
            <w:shd w:val="clear" w:color="000000" w:fill="FFFFFF"/>
            <w:noWrap/>
            <w:vAlign w:val="center"/>
            <w:hideMark/>
          </w:tcPr>
          <w:p w14:paraId="1F18897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MEXICO CITY</w:t>
            </w:r>
          </w:p>
        </w:tc>
        <w:tc>
          <w:tcPr>
            <w:tcW w:w="621" w:type="dxa"/>
            <w:tcBorders>
              <w:top w:val="nil"/>
              <w:left w:val="nil"/>
              <w:bottom w:val="single" w:sz="8" w:space="0" w:color="auto"/>
              <w:right w:val="nil"/>
            </w:tcBorders>
            <w:shd w:val="clear" w:color="000000" w:fill="FFFFFF"/>
            <w:noWrap/>
            <w:vAlign w:val="center"/>
            <w:hideMark/>
          </w:tcPr>
          <w:p w14:paraId="0B5DD68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single" w:sz="8" w:space="0" w:color="auto"/>
              <w:right w:val="nil"/>
            </w:tcBorders>
            <w:shd w:val="clear" w:color="000000" w:fill="FFFFFF"/>
            <w:noWrap/>
            <w:vAlign w:val="center"/>
            <w:hideMark/>
          </w:tcPr>
          <w:p w14:paraId="29FA982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701" w:type="dxa"/>
            <w:gridSpan w:val="2"/>
            <w:tcBorders>
              <w:top w:val="nil"/>
              <w:left w:val="nil"/>
              <w:bottom w:val="single" w:sz="8" w:space="0" w:color="auto"/>
              <w:right w:val="nil"/>
            </w:tcBorders>
            <w:shd w:val="clear" w:color="000000" w:fill="FFFFFF"/>
            <w:noWrap/>
            <w:vAlign w:val="center"/>
            <w:hideMark/>
          </w:tcPr>
          <w:p w14:paraId="0DAD18F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w:t>
            </w:r>
          </w:p>
        </w:tc>
        <w:tc>
          <w:tcPr>
            <w:tcW w:w="747" w:type="dxa"/>
            <w:tcBorders>
              <w:top w:val="nil"/>
              <w:left w:val="nil"/>
              <w:bottom w:val="single" w:sz="8" w:space="0" w:color="auto"/>
              <w:right w:val="nil"/>
            </w:tcBorders>
            <w:shd w:val="clear" w:color="000000" w:fill="FFFFFF"/>
            <w:noWrap/>
            <w:vAlign w:val="center"/>
            <w:hideMark/>
          </w:tcPr>
          <w:p w14:paraId="311B166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236</w:t>
            </w:r>
          </w:p>
        </w:tc>
        <w:tc>
          <w:tcPr>
            <w:tcW w:w="621" w:type="dxa"/>
            <w:tcBorders>
              <w:top w:val="nil"/>
              <w:left w:val="nil"/>
              <w:bottom w:val="single" w:sz="8" w:space="0" w:color="auto"/>
              <w:right w:val="nil"/>
            </w:tcBorders>
            <w:shd w:val="clear" w:color="000000" w:fill="FFFFFF"/>
            <w:noWrap/>
            <w:vAlign w:val="center"/>
            <w:hideMark/>
          </w:tcPr>
          <w:p w14:paraId="7737016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411767" w:rsidRPr="002F5246" w14:paraId="2B84F2A7" w14:textId="77777777" w:rsidTr="00C07CB8">
        <w:trPr>
          <w:trHeight w:val="255"/>
        </w:trPr>
        <w:tc>
          <w:tcPr>
            <w:tcW w:w="9684" w:type="dxa"/>
            <w:gridSpan w:val="10"/>
            <w:tcBorders>
              <w:top w:val="single" w:sz="12" w:space="0" w:color="auto"/>
              <w:left w:val="nil"/>
              <w:bottom w:val="single" w:sz="12" w:space="0" w:color="auto"/>
              <w:right w:val="nil"/>
            </w:tcBorders>
            <w:shd w:val="clear" w:color="000000" w:fill="FFFFFF"/>
            <w:noWrap/>
            <w:vAlign w:val="center"/>
            <w:hideMark/>
          </w:tcPr>
          <w:p w14:paraId="3BBBB7BF" w14:textId="77777777" w:rsidR="00411767" w:rsidRPr="002F5246" w:rsidRDefault="00411767"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Panel F. Active Dealers in Europe</w:t>
            </w:r>
          </w:p>
        </w:tc>
      </w:tr>
      <w:tr w:rsidR="002A0AD1" w:rsidRPr="002F5246" w14:paraId="264CF7CE" w14:textId="77777777" w:rsidTr="00C07CB8">
        <w:trPr>
          <w:trHeight w:val="255"/>
        </w:trPr>
        <w:tc>
          <w:tcPr>
            <w:tcW w:w="2997" w:type="dxa"/>
            <w:tcBorders>
              <w:top w:val="single" w:sz="12" w:space="0" w:color="auto"/>
              <w:left w:val="nil"/>
              <w:bottom w:val="single" w:sz="4" w:space="0" w:color="auto"/>
              <w:right w:val="nil"/>
            </w:tcBorders>
            <w:shd w:val="clear" w:color="000000" w:fill="FFFFFF"/>
            <w:noWrap/>
            <w:vAlign w:val="center"/>
            <w:hideMark/>
          </w:tcPr>
          <w:p w14:paraId="265DC976"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Name</w:t>
            </w:r>
          </w:p>
        </w:tc>
        <w:tc>
          <w:tcPr>
            <w:tcW w:w="1729" w:type="dxa"/>
            <w:gridSpan w:val="2"/>
            <w:tcBorders>
              <w:top w:val="single" w:sz="12" w:space="0" w:color="auto"/>
              <w:left w:val="nil"/>
              <w:bottom w:val="single" w:sz="4" w:space="0" w:color="auto"/>
              <w:right w:val="nil"/>
            </w:tcBorders>
            <w:shd w:val="clear" w:color="000000" w:fill="FFFFFF"/>
            <w:noWrap/>
            <w:vAlign w:val="center"/>
            <w:hideMark/>
          </w:tcPr>
          <w:p w14:paraId="770670B5"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Country</w:t>
            </w:r>
          </w:p>
        </w:tc>
        <w:tc>
          <w:tcPr>
            <w:tcW w:w="1647" w:type="dxa"/>
            <w:tcBorders>
              <w:top w:val="single" w:sz="12" w:space="0" w:color="auto"/>
              <w:left w:val="nil"/>
              <w:bottom w:val="single" w:sz="4" w:space="0" w:color="auto"/>
              <w:right w:val="nil"/>
            </w:tcBorders>
            <w:shd w:val="clear" w:color="000000" w:fill="FFFFFF"/>
            <w:noWrap/>
            <w:vAlign w:val="center"/>
            <w:hideMark/>
          </w:tcPr>
          <w:p w14:paraId="4D1EBC79"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City</w:t>
            </w:r>
          </w:p>
        </w:tc>
        <w:tc>
          <w:tcPr>
            <w:tcW w:w="621" w:type="dxa"/>
            <w:tcBorders>
              <w:top w:val="single" w:sz="12" w:space="0" w:color="auto"/>
              <w:left w:val="nil"/>
              <w:bottom w:val="single" w:sz="4" w:space="0" w:color="auto"/>
              <w:right w:val="nil"/>
            </w:tcBorders>
            <w:shd w:val="clear" w:color="000000" w:fill="FFFFFF"/>
            <w:noWrap/>
            <w:vAlign w:val="center"/>
            <w:hideMark/>
          </w:tcPr>
          <w:p w14:paraId="2F315D60"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13D8098A"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61F2A88E"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827" w:type="dxa"/>
            <w:gridSpan w:val="2"/>
            <w:tcBorders>
              <w:top w:val="single" w:sz="12" w:space="0" w:color="auto"/>
              <w:left w:val="nil"/>
              <w:bottom w:val="single" w:sz="4" w:space="0" w:color="auto"/>
              <w:right w:val="nil"/>
            </w:tcBorders>
            <w:shd w:val="clear" w:color="000000" w:fill="FFFFFF"/>
            <w:noWrap/>
            <w:vAlign w:val="center"/>
            <w:hideMark/>
          </w:tcPr>
          <w:p w14:paraId="6FE54A83"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c>
          <w:tcPr>
            <w:tcW w:w="621" w:type="dxa"/>
            <w:tcBorders>
              <w:top w:val="single" w:sz="12" w:space="0" w:color="auto"/>
              <w:left w:val="nil"/>
              <w:bottom w:val="single" w:sz="4" w:space="0" w:color="auto"/>
              <w:right w:val="nil"/>
            </w:tcBorders>
            <w:shd w:val="clear" w:color="000000" w:fill="FFFFFF"/>
            <w:noWrap/>
            <w:vAlign w:val="center"/>
            <w:hideMark/>
          </w:tcPr>
          <w:p w14:paraId="4A6881EB" w14:textId="77777777" w:rsidR="002A0AD1" w:rsidRPr="002F5246" w:rsidRDefault="002A0AD1" w:rsidP="00411767">
            <w:pPr>
              <w:spacing w:line="360" w:lineRule="auto"/>
              <w:jc w:val="center"/>
              <w:rPr>
                <w:rFonts w:asciiTheme="majorBidi" w:hAnsiTheme="majorBidi" w:cstheme="majorBidi"/>
                <w:b/>
                <w:bCs/>
                <w:color w:val="000000"/>
                <w:sz w:val="18"/>
                <w:szCs w:val="18"/>
                <w:lang w:val="en-US"/>
              </w:rPr>
            </w:pPr>
            <w:r w:rsidRPr="002F5246">
              <w:rPr>
                <w:rFonts w:asciiTheme="majorBidi" w:hAnsiTheme="majorBidi" w:cstheme="majorBidi"/>
                <w:b/>
                <w:bCs/>
                <w:color w:val="000000"/>
                <w:sz w:val="18"/>
                <w:szCs w:val="18"/>
                <w:lang w:val="en-US"/>
              </w:rPr>
              <w:t>$:¥</w:t>
            </w:r>
          </w:p>
        </w:tc>
      </w:tr>
      <w:tr w:rsidR="002A0AD1" w:rsidRPr="002F5246" w14:paraId="071A6EB3" w14:textId="77777777" w:rsidTr="00C07CB8">
        <w:trPr>
          <w:trHeight w:val="255"/>
        </w:trPr>
        <w:tc>
          <w:tcPr>
            <w:tcW w:w="2997" w:type="dxa"/>
            <w:tcBorders>
              <w:top w:val="nil"/>
              <w:left w:val="nil"/>
              <w:bottom w:val="nil"/>
              <w:right w:val="nil"/>
            </w:tcBorders>
            <w:shd w:val="clear" w:color="000000" w:fill="FFFFFF"/>
            <w:vAlign w:val="center"/>
            <w:hideMark/>
          </w:tcPr>
          <w:p w14:paraId="71CB4EBC"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ALLIED IRISH</w:t>
            </w:r>
          </w:p>
        </w:tc>
        <w:tc>
          <w:tcPr>
            <w:tcW w:w="1729" w:type="dxa"/>
            <w:gridSpan w:val="2"/>
            <w:tcBorders>
              <w:top w:val="nil"/>
              <w:left w:val="nil"/>
              <w:bottom w:val="nil"/>
              <w:right w:val="nil"/>
            </w:tcBorders>
            <w:shd w:val="clear" w:color="000000" w:fill="FFFFFF"/>
            <w:noWrap/>
            <w:vAlign w:val="center"/>
            <w:hideMark/>
          </w:tcPr>
          <w:p w14:paraId="1F98654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IRELAND</w:t>
            </w:r>
          </w:p>
        </w:tc>
        <w:tc>
          <w:tcPr>
            <w:tcW w:w="1647" w:type="dxa"/>
            <w:tcBorders>
              <w:top w:val="nil"/>
              <w:left w:val="nil"/>
              <w:bottom w:val="nil"/>
              <w:right w:val="nil"/>
            </w:tcBorders>
            <w:shd w:val="clear" w:color="000000" w:fill="FFFFFF"/>
            <w:noWrap/>
            <w:vAlign w:val="center"/>
            <w:hideMark/>
          </w:tcPr>
          <w:p w14:paraId="34722CA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DUBLIN </w:t>
            </w:r>
          </w:p>
        </w:tc>
        <w:tc>
          <w:tcPr>
            <w:tcW w:w="621" w:type="dxa"/>
            <w:tcBorders>
              <w:top w:val="nil"/>
              <w:left w:val="nil"/>
              <w:bottom w:val="nil"/>
              <w:right w:val="nil"/>
            </w:tcBorders>
            <w:shd w:val="clear" w:color="000000" w:fill="FFFFFF"/>
            <w:noWrap/>
            <w:vAlign w:val="center"/>
            <w:hideMark/>
          </w:tcPr>
          <w:p w14:paraId="1B2911E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427</w:t>
            </w:r>
          </w:p>
        </w:tc>
        <w:tc>
          <w:tcPr>
            <w:tcW w:w="621" w:type="dxa"/>
            <w:tcBorders>
              <w:top w:val="nil"/>
              <w:left w:val="nil"/>
              <w:bottom w:val="nil"/>
              <w:right w:val="nil"/>
            </w:tcBorders>
            <w:shd w:val="clear" w:color="000000" w:fill="FFFFFF"/>
            <w:noWrap/>
            <w:vAlign w:val="center"/>
            <w:hideMark/>
          </w:tcPr>
          <w:p w14:paraId="11A002E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513</w:t>
            </w:r>
          </w:p>
        </w:tc>
        <w:tc>
          <w:tcPr>
            <w:tcW w:w="621" w:type="dxa"/>
            <w:tcBorders>
              <w:top w:val="nil"/>
              <w:left w:val="nil"/>
              <w:bottom w:val="nil"/>
              <w:right w:val="nil"/>
            </w:tcBorders>
            <w:shd w:val="clear" w:color="000000" w:fill="FFFFFF"/>
            <w:noWrap/>
            <w:vAlign w:val="center"/>
            <w:hideMark/>
          </w:tcPr>
          <w:p w14:paraId="429C8F7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342</w:t>
            </w:r>
          </w:p>
        </w:tc>
        <w:tc>
          <w:tcPr>
            <w:tcW w:w="827" w:type="dxa"/>
            <w:gridSpan w:val="2"/>
            <w:tcBorders>
              <w:top w:val="nil"/>
              <w:left w:val="nil"/>
              <w:bottom w:val="nil"/>
              <w:right w:val="nil"/>
            </w:tcBorders>
            <w:shd w:val="clear" w:color="000000" w:fill="FFFFFF"/>
            <w:noWrap/>
            <w:vAlign w:val="center"/>
            <w:hideMark/>
          </w:tcPr>
          <w:p w14:paraId="3F094D6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498</w:t>
            </w:r>
          </w:p>
        </w:tc>
        <w:tc>
          <w:tcPr>
            <w:tcW w:w="621" w:type="dxa"/>
            <w:tcBorders>
              <w:top w:val="nil"/>
              <w:left w:val="nil"/>
              <w:bottom w:val="nil"/>
              <w:right w:val="nil"/>
            </w:tcBorders>
            <w:shd w:val="clear" w:color="000000" w:fill="FFFFFF"/>
            <w:noWrap/>
            <w:vAlign w:val="center"/>
            <w:hideMark/>
          </w:tcPr>
          <w:p w14:paraId="62EBB20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330</w:t>
            </w:r>
          </w:p>
        </w:tc>
      </w:tr>
      <w:tr w:rsidR="002A0AD1" w:rsidRPr="002F5246" w14:paraId="2ECF8926" w14:textId="77777777" w:rsidTr="00C07CB8">
        <w:trPr>
          <w:trHeight w:val="255"/>
        </w:trPr>
        <w:tc>
          <w:tcPr>
            <w:tcW w:w="2997" w:type="dxa"/>
            <w:tcBorders>
              <w:top w:val="nil"/>
              <w:left w:val="nil"/>
              <w:bottom w:val="nil"/>
              <w:right w:val="nil"/>
            </w:tcBorders>
            <w:shd w:val="clear" w:color="000000" w:fill="FFFFFF"/>
            <w:vAlign w:val="center"/>
            <w:hideMark/>
          </w:tcPr>
          <w:p w14:paraId="1C157191"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BANCA AKROS</w:t>
            </w:r>
          </w:p>
        </w:tc>
        <w:tc>
          <w:tcPr>
            <w:tcW w:w="1729" w:type="dxa"/>
            <w:gridSpan w:val="2"/>
            <w:tcBorders>
              <w:top w:val="nil"/>
              <w:left w:val="nil"/>
              <w:bottom w:val="nil"/>
              <w:right w:val="nil"/>
            </w:tcBorders>
            <w:shd w:val="clear" w:color="000000" w:fill="FFFFFF"/>
            <w:noWrap/>
            <w:vAlign w:val="center"/>
            <w:hideMark/>
          </w:tcPr>
          <w:p w14:paraId="7DB2856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ITALY</w:t>
            </w:r>
          </w:p>
        </w:tc>
        <w:tc>
          <w:tcPr>
            <w:tcW w:w="1647" w:type="dxa"/>
            <w:tcBorders>
              <w:top w:val="nil"/>
              <w:left w:val="nil"/>
              <w:bottom w:val="nil"/>
              <w:right w:val="nil"/>
            </w:tcBorders>
            <w:shd w:val="clear" w:color="000000" w:fill="FFFFFF"/>
            <w:noWrap/>
            <w:vAlign w:val="center"/>
            <w:hideMark/>
          </w:tcPr>
          <w:p w14:paraId="44B5271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MILAN</w:t>
            </w:r>
          </w:p>
        </w:tc>
        <w:tc>
          <w:tcPr>
            <w:tcW w:w="621" w:type="dxa"/>
            <w:tcBorders>
              <w:top w:val="nil"/>
              <w:left w:val="nil"/>
              <w:bottom w:val="nil"/>
              <w:right w:val="nil"/>
            </w:tcBorders>
            <w:shd w:val="clear" w:color="000000" w:fill="FFFFFF"/>
            <w:noWrap/>
            <w:vAlign w:val="center"/>
            <w:hideMark/>
          </w:tcPr>
          <w:p w14:paraId="74AAB49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217</w:t>
            </w:r>
          </w:p>
        </w:tc>
        <w:tc>
          <w:tcPr>
            <w:tcW w:w="621" w:type="dxa"/>
            <w:tcBorders>
              <w:top w:val="nil"/>
              <w:left w:val="nil"/>
              <w:bottom w:val="nil"/>
              <w:right w:val="nil"/>
            </w:tcBorders>
            <w:shd w:val="clear" w:color="000000" w:fill="FFFFFF"/>
            <w:noWrap/>
            <w:vAlign w:val="center"/>
            <w:hideMark/>
          </w:tcPr>
          <w:p w14:paraId="53DEE70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224</w:t>
            </w:r>
          </w:p>
        </w:tc>
        <w:tc>
          <w:tcPr>
            <w:tcW w:w="621" w:type="dxa"/>
            <w:tcBorders>
              <w:top w:val="nil"/>
              <w:left w:val="nil"/>
              <w:bottom w:val="nil"/>
              <w:right w:val="nil"/>
            </w:tcBorders>
            <w:shd w:val="clear" w:color="000000" w:fill="FFFFFF"/>
            <w:noWrap/>
            <w:vAlign w:val="center"/>
            <w:hideMark/>
          </w:tcPr>
          <w:p w14:paraId="2951362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116</w:t>
            </w:r>
          </w:p>
        </w:tc>
        <w:tc>
          <w:tcPr>
            <w:tcW w:w="827" w:type="dxa"/>
            <w:gridSpan w:val="2"/>
            <w:tcBorders>
              <w:top w:val="nil"/>
              <w:left w:val="nil"/>
              <w:bottom w:val="nil"/>
              <w:right w:val="nil"/>
            </w:tcBorders>
            <w:shd w:val="clear" w:color="000000" w:fill="FFFFFF"/>
            <w:noWrap/>
            <w:vAlign w:val="center"/>
            <w:hideMark/>
          </w:tcPr>
          <w:p w14:paraId="46DC3F5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265</w:t>
            </w:r>
          </w:p>
        </w:tc>
        <w:tc>
          <w:tcPr>
            <w:tcW w:w="621" w:type="dxa"/>
            <w:tcBorders>
              <w:top w:val="nil"/>
              <w:left w:val="nil"/>
              <w:bottom w:val="nil"/>
              <w:right w:val="nil"/>
            </w:tcBorders>
            <w:shd w:val="clear" w:color="000000" w:fill="FFFFFF"/>
            <w:noWrap/>
            <w:vAlign w:val="center"/>
            <w:hideMark/>
          </w:tcPr>
          <w:p w14:paraId="0A77BE6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259</w:t>
            </w:r>
          </w:p>
        </w:tc>
      </w:tr>
      <w:tr w:rsidR="002A0AD1" w:rsidRPr="002F5246" w14:paraId="7F2EC2E7" w14:textId="77777777" w:rsidTr="00C07CB8">
        <w:trPr>
          <w:trHeight w:val="255"/>
        </w:trPr>
        <w:tc>
          <w:tcPr>
            <w:tcW w:w="2997" w:type="dxa"/>
            <w:tcBorders>
              <w:top w:val="nil"/>
              <w:left w:val="nil"/>
              <w:bottom w:val="nil"/>
              <w:right w:val="nil"/>
            </w:tcBorders>
            <w:shd w:val="clear" w:color="000000" w:fill="FFFFFF"/>
            <w:vAlign w:val="center"/>
            <w:hideMark/>
          </w:tcPr>
          <w:p w14:paraId="6ACD3E95"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BANCA MONTE DEI PASCHI DI SIENA</w:t>
            </w:r>
          </w:p>
        </w:tc>
        <w:tc>
          <w:tcPr>
            <w:tcW w:w="1729" w:type="dxa"/>
            <w:gridSpan w:val="2"/>
            <w:tcBorders>
              <w:top w:val="nil"/>
              <w:left w:val="nil"/>
              <w:bottom w:val="nil"/>
              <w:right w:val="nil"/>
            </w:tcBorders>
            <w:shd w:val="clear" w:color="000000" w:fill="FFFFFF"/>
            <w:noWrap/>
            <w:vAlign w:val="center"/>
            <w:hideMark/>
          </w:tcPr>
          <w:p w14:paraId="5EE6DAC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ITALY</w:t>
            </w:r>
          </w:p>
        </w:tc>
        <w:tc>
          <w:tcPr>
            <w:tcW w:w="1647" w:type="dxa"/>
            <w:tcBorders>
              <w:top w:val="nil"/>
              <w:left w:val="nil"/>
              <w:bottom w:val="nil"/>
              <w:right w:val="nil"/>
            </w:tcBorders>
            <w:shd w:val="clear" w:color="000000" w:fill="FFFFFF"/>
            <w:noWrap/>
            <w:vAlign w:val="center"/>
            <w:hideMark/>
          </w:tcPr>
          <w:p w14:paraId="5963FFD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MILAN</w:t>
            </w:r>
          </w:p>
        </w:tc>
        <w:tc>
          <w:tcPr>
            <w:tcW w:w="621" w:type="dxa"/>
            <w:tcBorders>
              <w:top w:val="nil"/>
              <w:left w:val="nil"/>
              <w:bottom w:val="nil"/>
              <w:right w:val="nil"/>
            </w:tcBorders>
            <w:shd w:val="clear" w:color="000000" w:fill="FFFFFF"/>
            <w:noWrap/>
            <w:vAlign w:val="center"/>
            <w:hideMark/>
          </w:tcPr>
          <w:p w14:paraId="6C5B15D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32</w:t>
            </w:r>
          </w:p>
        </w:tc>
        <w:tc>
          <w:tcPr>
            <w:tcW w:w="621" w:type="dxa"/>
            <w:tcBorders>
              <w:top w:val="nil"/>
              <w:left w:val="nil"/>
              <w:bottom w:val="nil"/>
              <w:right w:val="nil"/>
            </w:tcBorders>
            <w:shd w:val="clear" w:color="000000" w:fill="FFFFFF"/>
            <w:noWrap/>
            <w:vAlign w:val="center"/>
            <w:hideMark/>
          </w:tcPr>
          <w:p w14:paraId="7D61325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34</w:t>
            </w:r>
          </w:p>
        </w:tc>
        <w:tc>
          <w:tcPr>
            <w:tcW w:w="621" w:type="dxa"/>
            <w:tcBorders>
              <w:top w:val="nil"/>
              <w:left w:val="nil"/>
              <w:bottom w:val="nil"/>
              <w:right w:val="nil"/>
            </w:tcBorders>
            <w:shd w:val="clear" w:color="000000" w:fill="FFFFFF"/>
            <w:noWrap/>
            <w:vAlign w:val="center"/>
            <w:hideMark/>
          </w:tcPr>
          <w:p w14:paraId="14D61D9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22</w:t>
            </w:r>
          </w:p>
        </w:tc>
        <w:tc>
          <w:tcPr>
            <w:tcW w:w="827" w:type="dxa"/>
            <w:gridSpan w:val="2"/>
            <w:tcBorders>
              <w:top w:val="nil"/>
              <w:left w:val="nil"/>
              <w:bottom w:val="nil"/>
              <w:right w:val="nil"/>
            </w:tcBorders>
            <w:shd w:val="clear" w:color="000000" w:fill="FFFFFF"/>
            <w:noWrap/>
            <w:vAlign w:val="center"/>
            <w:hideMark/>
          </w:tcPr>
          <w:p w14:paraId="4518782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56C5D95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210F9424" w14:textId="77777777" w:rsidTr="00C07CB8">
        <w:trPr>
          <w:trHeight w:val="255"/>
        </w:trPr>
        <w:tc>
          <w:tcPr>
            <w:tcW w:w="2997" w:type="dxa"/>
            <w:tcBorders>
              <w:top w:val="nil"/>
              <w:left w:val="nil"/>
              <w:bottom w:val="nil"/>
              <w:right w:val="nil"/>
            </w:tcBorders>
            <w:shd w:val="clear" w:color="000000" w:fill="FFFFFF"/>
            <w:vAlign w:val="center"/>
            <w:hideMark/>
          </w:tcPr>
          <w:p w14:paraId="3FF806E3"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BANCO COMMERCIAL PORTUGUES SA</w:t>
            </w:r>
          </w:p>
        </w:tc>
        <w:tc>
          <w:tcPr>
            <w:tcW w:w="1729" w:type="dxa"/>
            <w:gridSpan w:val="2"/>
            <w:tcBorders>
              <w:top w:val="nil"/>
              <w:left w:val="nil"/>
              <w:bottom w:val="nil"/>
              <w:right w:val="nil"/>
            </w:tcBorders>
            <w:shd w:val="clear" w:color="000000" w:fill="FFFFFF"/>
            <w:noWrap/>
            <w:vAlign w:val="center"/>
            <w:hideMark/>
          </w:tcPr>
          <w:p w14:paraId="292D0CC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PORTUGAL</w:t>
            </w:r>
          </w:p>
        </w:tc>
        <w:tc>
          <w:tcPr>
            <w:tcW w:w="1647" w:type="dxa"/>
            <w:tcBorders>
              <w:top w:val="nil"/>
              <w:left w:val="nil"/>
              <w:bottom w:val="nil"/>
              <w:right w:val="nil"/>
            </w:tcBorders>
            <w:shd w:val="clear" w:color="000000" w:fill="FFFFFF"/>
            <w:noWrap/>
            <w:vAlign w:val="center"/>
            <w:hideMark/>
          </w:tcPr>
          <w:p w14:paraId="404F1D3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LISBON</w:t>
            </w:r>
          </w:p>
        </w:tc>
        <w:tc>
          <w:tcPr>
            <w:tcW w:w="621" w:type="dxa"/>
            <w:tcBorders>
              <w:top w:val="nil"/>
              <w:left w:val="nil"/>
              <w:bottom w:val="nil"/>
              <w:right w:val="nil"/>
            </w:tcBorders>
            <w:shd w:val="clear" w:color="000000" w:fill="FFFFFF"/>
            <w:noWrap/>
            <w:vAlign w:val="center"/>
            <w:hideMark/>
          </w:tcPr>
          <w:p w14:paraId="3621477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35BF4A5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1,517</w:t>
            </w:r>
          </w:p>
        </w:tc>
        <w:tc>
          <w:tcPr>
            <w:tcW w:w="621" w:type="dxa"/>
            <w:tcBorders>
              <w:top w:val="nil"/>
              <w:left w:val="nil"/>
              <w:bottom w:val="nil"/>
              <w:right w:val="nil"/>
            </w:tcBorders>
            <w:shd w:val="clear" w:color="000000" w:fill="FFFFFF"/>
            <w:noWrap/>
            <w:vAlign w:val="center"/>
            <w:hideMark/>
          </w:tcPr>
          <w:p w14:paraId="0693C89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827" w:type="dxa"/>
            <w:gridSpan w:val="2"/>
            <w:tcBorders>
              <w:top w:val="nil"/>
              <w:left w:val="nil"/>
              <w:bottom w:val="nil"/>
              <w:right w:val="nil"/>
            </w:tcBorders>
            <w:shd w:val="clear" w:color="000000" w:fill="FFFFFF"/>
            <w:noWrap/>
            <w:vAlign w:val="center"/>
            <w:hideMark/>
          </w:tcPr>
          <w:p w14:paraId="3A3B1CC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08CC4F6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53A922FB" w14:textId="77777777" w:rsidTr="00C07CB8">
        <w:trPr>
          <w:trHeight w:val="255"/>
        </w:trPr>
        <w:tc>
          <w:tcPr>
            <w:tcW w:w="2997" w:type="dxa"/>
            <w:tcBorders>
              <w:top w:val="nil"/>
              <w:left w:val="nil"/>
              <w:bottom w:val="nil"/>
              <w:right w:val="nil"/>
            </w:tcBorders>
            <w:shd w:val="clear" w:color="000000" w:fill="FFFFFF"/>
            <w:vAlign w:val="center"/>
            <w:hideMark/>
          </w:tcPr>
          <w:p w14:paraId="6DB2DB81"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BANCO DE SABADELL</w:t>
            </w:r>
          </w:p>
        </w:tc>
        <w:tc>
          <w:tcPr>
            <w:tcW w:w="1729" w:type="dxa"/>
            <w:gridSpan w:val="2"/>
            <w:tcBorders>
              <w:top w:val="nil"/>
              <w:left w:val="nil"/>
              <w:bottom w:val="nil"/>
              <w:right w:val="nil"/>
            </w:tcBorders>
            <w:shd w:val="clear" w:color="000000" w:fill="FFFFFF"/>
            <w:noWrap/>
            <w:vAlign w:val="center"/>
            <w:hideMark/>
          </w:tcPr>
          <w:p w14:paraId="019BC71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SPAIN</w:t>
            </w:r>
          </w:p>
        </w:tc>
        <w:tc>
          <w:tcPr>
            <w:tcW w:w="1647" w:type="dxa"/>
            <w:tcBorders>
              <w:top w:val="nil"/>
              <w:left w:val="nil"/>
              <w:bottom w:val="nil"/>
              <w:right w:val="nil"/>
            </w:tcBorders>
            <w:shd w:val="clear" w:color="000000" w:fill="FFFFFF"/>
            <w:noWrap/>
            <w:vAlign w:val="center"/>
            <w:hideMark/>
          </w:tcPr>
          <w:p w14:paraId="5030C3E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SABADELL</w:t>
            </w:r>
          </w:p>
        </w:tc>
        <w:tc>
          <w:tcPr>
            <w:tcW w:w="621" w:type="dxa"/>
            <w:tcBorders>
              <w:top w:val="nil"/>
              <w:left w:val="nil"/>
              <w:bottom w:val="nil"/>
              <w:right w:val="nil"/>
            </w:tcBorders>
            <w:shd w:val="clear" w:color="000000" w:fill="FFFFFF"/>
            <w:noWrap/>
            <w:vAlign w:val="center"/>
            <w:hideMark/>
          </w:tcPr>
          <w:p w14:paraId="79D8178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244</w:t>
            </w:r>
          </w:p>
        </w:tc>
        <w:tc>
          <w:tcPr>
            <w:tcW w:w="621" w:type="dxa"/>
            <w:tcBorders>
              <w:top w:val="nil"/>
              <w:left w:val="nil"/>
              <w:bottom w:val="nil"/>
              <w:right w:val="nil"/>
            </w:tcBorders>
            <w:shd w:val="clear" w:color="000000" w:fill="FFFFFF"/>
            <w:noWrap/>
            <w:vAlign w:val="center"/>
            <w:hideMark/>
          </w:tcPr>
          <w:p w14:paraId="720BC4E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257</w:t>
            </w:r>
          </w:p>
        </w:tc>
        <w:tc>
          <w:tcPr>
            <w:tcW w:w="621" w:type="dxa"/>
            <w:tcBorders>
              <w:top w:val="nil"/>
              <w:left w:val="nil"/>
              <w:bottom w:val="nil"/>
              <w:right w:val="nil"/>
            </w:tcBorders>
            <w:shd w:val="clear" w:color="000000" w:fill="FFFFFF"/>
            <w:noWrap/>
            <w:vAlign w:val="center"/>
            <w:hideMark/>
          </w:tcPr>
          <w:p w14:paraId="488E902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172</w:t>
            </w:r>
          </w:p>
        </w:tc>
        <w:tc>
          <w:tcPr>
            <w:tcW w:w="827" w:type="dxa"/>
            <w:gridSpan w:val="2"/>
            <w:tcBorders>
              <w:top w:val="nil"/>
              <w:left w:val="nil"/>
              <w:bottom w:val="nil"/>
              <w:right w:val="nil"/>
            </w:tcBorders>
            <w:shd w:val="clear" w:color="000000" w:fill="FFFFFF"/>
            <w:noWrap/>
            <w:vAlign w:val="center"/>
            <w:hideMark/>
          </w:tcPr>
          <w:p w14:paraId="4AFC44C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4AE87A5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1027DF2D" w14:textId="77777777" w:rsidTr="00C07CB8">
        <w:trPr>
          <w:trHeight w:val="255"/>
        </w:trPr>
        <w:tc>
          <w:tcPr>
            <w:tcW w:w="2997" w:type="dxa"/>
            <w:tcBorders>
              <w:top w:val="nil"/>
              <w:left w:val="nil"/>
              <w:bottom w:val="nil"/>
              <w:right w:val="nil"/>
            </w:tcBorders>
            <w:shd w:val="clear" w:color="000000" w:fill="FFFFFF"/>
            <w:vAlign w:val="center"/>
            <w:hideMark/>
          </w:tcPr>
          <w:p w14:paraId="1AAFE1CF"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BANCO POPOLARE</w:t>
            </w:r>
          </w:p>
        </w:tc>
        <w:tc>
          <w:tcPr>
            <w:tcW w:w="1729" w:type="dxa"/>
            <w:gridSpan w:val="2"/>
            <w:tcBorders>
              <w:top w:val="nil"/>
              <w:left w:val="nil"/>
              <w:bottom w:val="nil"/>
              <w:right w:val="nil"/>
            </w:tcBorders>
            <w:shd w:val="clear" w:color="000000" w:fill="FFFFFF"/>
            <w:noWrap/>
            <w:vAlign w:val="center"/>
            <w:hideMark/>
          </w:tcPr>
          <w:p w14:paraId="687687E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ITALY</w:t>
            </w:r>
          </w:p>
        </w:tc>
        <w:tc>
          <w:tcPr>
            <w:tcW w:w="1647" w:type="dxa"/>
            <w:tcBorders>
              <w:top w:val="nil"/>
              <w:left w:val="nil"/>
              <w:bottom w:val="nil"/>
              <w:right w:val="nil"/>
            </w:tcBorders>
            <w:shd w:val="clear" w:color="000000" w:fill="FFFFFF"/>
            <w:noWrap/>
            <w:vAlign w:val="center"/>
            <w:hideMark/>
          </w:tcPr>
          <w:p w14:paraId="2647C01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BERGAMO</w:t>
            </w:r>
          </w:p>
        </w:tc>
        <w:tc>
          <w:tcPr>
            <w:tcW w:w="621" w:type="dxa"/>
            <w:tcBorders>
              <w:top w:val="nil"/>
              <w:left w:val="nil"/>
              <w:bottom w:val="nil"/>
              <w:right w:val="nil"/>
            </w:tcBorders>
            <w:shd w:val="clear" w:color="000000" w:fill="FFFFFF"/>
            <w:noWrap/>
            <w:vAlign w:val="center"/>
            <w:hideMark/>
          </w:tcPr>
          <w:p w14:paraId="29A12E2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252</w:t>
            </w:r>
          </w:p>
        </w:tc>
        <w:tc>
          <w:tcPr>
            <w:tcW w:w="621" w:type="dxa"/>
            <w:tcBorders>
              <w:top w:val="nil"/>
              <w:left w:val="nil"/>
              <w:bottom w:val="nil"/>
              <w:right w:val="nil"/>
            </w:tcBorders>
            <w:shd w:val="clear" w:color="000000" w:fill="FFFFFF"/>
            <w:noWrap/>
            <w:vAlign w:val="center"/>
            <w:hideMark/>
          </w:tcPr>
          <w:p w14:paraId="2773D14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259</w:t>
            </w:r>
          </w:p>
        </w:tc>
        <w:tc>
          <w:tcPr>
            <w:tcW w:w="621" w:type="dxa"/>
            <w:tcBorders>
              <w:top w:val="nil"/>
              <w:left w:val="nil"/>
              <w:bottom w:val="nil"/>
              <w:right w:val="nil"/>
            </w:tcBorders>
            <w:shd w:val="clear" w:color="000000" w:fill="FFFFFF"/>
            <w:noWrap/>
            <w:vAlign w:val="center"/>
            <w:hideMark/>
          </w:tcPr>
          <w:p w14:paraId="212F6A9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148</w:t>
            </w:r>
          </w:p>
        </w:tc>
        <w:tc>
          <w:tcPr>
            <w:tcW w:w="827" w:type="dxa"/>
            <w:gridSpan w:val="2"/>
            <w:tcBorders>
              <w:top w:val="nil"/>
              <w:left w:val="nil"/>
              <w:bottom w:val="nil"/>
              <w:right w:val="nil"/>
            </w:tcBorders>
            <w:shd w:val="clear" w:color="000000" w:fill="FFFFFF"/>
            <w:noWrap/>
            <w:vAlign w:val="center"/>
            <w:hideMark/>
          </w:tcPr>
          <w:p w14:paraId="72947BA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210</w:t>
            </w:r>
          </w:p>
        </w:tc>
        <w:tc>
          <w:tcPr>
            <w:tcW w:w="621" w:type="dxa"/>
            <w:tcBorders>
              <w:top w:val="nil"/>
              <w:left w:val="nil"/>
              <w:bottom w:val="nil"/>
              <w:right w:val="nil"/>
            </w:tcBorders>
            <w:shd w:val="clear" w:color="000000" w:fill="FFFFFF"/>
            <w:noWrap/>
            <w:vAlign w:val="center"/>
            <w:hideMark/>
          </w:tcPr>
          <w:p w14:paraId="45595BE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63A1F9A7" w14:textId="77777777" w:rsidTr="00C07CB8">
        <w:trPr>
          <w:trHeight w:val="255"/>
        </w:trPr>
        <w:tc>
          <w:tcPr>
            <w:tcW w:w="2997" w:type="dxa"/>
            <w:tcBorders>
              <w:top w:val="nil"/>
              <w:left w:val="nil"/>
              <w:bottom w:val="nil"/>
              <w:right w:val="nil"/>
            </w:tcBorders>
            <w:shd w:val="clear" w:color="000000" w:fill="FFFFFF"/>
            <w:vAlign w:val="center"/>
            <w:hideMark/>
          </w:tcPr>
          <w:p w14:paraId="64A9798B"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BANCPOST SA</w:t>
            </w:r>
          </w:p>
        </w:tc>
        <w:tc>
          <w:tcPr>
            <w:tcW w:w="1729" w:type="dxa"/>
            <w:gridSpan w:val="2"/>
            <w:tcBorders>
              <w:top w:val="nil"/>
              <w:left w:val="nil"/>
              <w:bottom w:val="nil"/>
              <w:right w:val="nil"/>
            </w:tcBorders>
            <w:shd w:val="clear" w:color="000000" w:fill="FFFFFF"/>
            <w:noWrap/>
            <w:vAlign w:val="center"/>
            <w:hideMark/>
          </w:tcPr>
          <w:p w14:paraId="54A8AC2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ROMANIA</w:t>
            </w:r>
          </w:p>
        </w:tc>
        <w:tc>
          <w:tcPr>
            <w:tcW w:w="1647" w:type="dxa"/>
            <w:tcBorders>
              <w:top w:val="nil"/>
              <w:left w:val="nil"/>
              <w:bottom w:val="nil"/>
              <w:right w:val="nil"/>
            </w:tcBorders>
            <w:shd w:val="clear" w:color="000000" w:fill="FFFFFF"/>
            <w:noWrap/>
            <w:vAlign w:val="center"/>
            <w:hideMark/>
          </w:tcPr>
          <w:p w14:paraId="65E21CA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BUCHAREST</w:t>
            </w:r>
          </w:p>
        </w:tc>
        <w:tc>
          <w:tcPr>
            <w:tcW w:w="621" w:type="dxa"/>
            <w:tcBorders>
              <w:top w:val="nil"/>
              <w:left w:val="nil"/>
              <w:bottom w:val="nil"/>
              <w:right w:val="nil"/>
            </w:tcBorders>
            <w:shd w:val="clear" w:color="000000" w:fill="FFFFFF"/>
            <w:noWrap/>
            <w:vAlign w:val="center"/>
            <w:hideMark/>
          </w:tcPr>
          <w:p w14:paraId="2E72187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6A22943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4B9C877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827" w:type="dxa"/>
            <w:gridSpan w:val="2"/>
            <w:tcBorders>
              <w:top w:val="nil"/>
              <w:left w:val="nil"/>
              <w:bottom w:val="nil"/>
              <w:right w:val="nil"/>
            </w:tcBorders>
            <w:shd w:val="clear" w:color="000000" w:fill="FFFFFF"/>
            <w:noWrap/>
            <w:vAlign w:val="center"/>
            <w:hideMark/>
          </w:tcPr>
          <w:p w14:paraId="143F6DD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125</w:t>
            </w:r>
          </w:p>
        </w:tc>
        <w:tc>
          <w:tcPr>
            <w:tcW w:w="621" w:type="dxa"/>
            <w:tcBorders>
              <w:top w:val="nil"/>
              <w:left w:val="nil"/>
              <w:bottom w:val="nil"/>
              <w:right w:val="nil"/>
            </w:tcBorders>
            <w:shd w:val="clear" w:color="000000" w:fill="FFFFFF"/>
            <w:noWrap/>
            <w:vAlign w:val="center"/>
            <w:hideMark/>
          </w:tcPr>
          <w:p w14:paraId="6066D26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1CA76C1A" w14:textId="77777777" w:rsidTr="00C07CB8">
        <w:trPr>
          <w:trHeight w:val="255"/>
        </w:trPr>
        <w:tc>
          <w:tcPr>
            <w:tcW w:w="2997" w:type="dxa"/>
            <w:tcBorders>
              <w:top w:val="nil"/>
              <w:left w:val="nil"/>
              <w:bottom w:val="nil"/>
              <w:right w:val="nil"/>
            </w:tcBorders>
            <w:shd w:val="clear" w:color="000000" w:fill="FFFFFF"/>
            <w:vAlign w:val="center"/>
            <w:hideMark/>
          </w:tcPr>
          <w:p w14:paraId="57F365C4"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BANK BPH SA</w:t>
            </w:r>
          </w:p>
        </w:tc>
        <w:tc>
          <w:tcPr>
            <w:tcW w:w="1729" w:type="dxa"/>
            <w:gridSpan w:val="2"/>
            <w:tcBorders>
              <w:top w:val="nil"/>
              <w:left w:val="nil"/>
              <w:bottom w:val="nil"/>
              <w:right w:val="nil"/>
            </w:tcBorders>
            <w:shd w:val="clear" w:color="000000" w:fill="FFFFFF"/>
            <w:noWrap/>
            <w:vAlign w:val="center"/>
            <w:hideMark/>
          </w:tcPr>
          <w:p w14:paraId="2F93F1D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POLAND</w:t>
            </w:r>
          </w:p>
        </w:tc>
        <w:tc>
          <w:tcPr>
            <w:tcW w:w="1647" w:type="dxa"/>
            <w:tcBorders>
              <w:top w:val="nil"/>
              <w:left w:val="nil"/>
              <w:bottom w:val="nil"/>
              <w:right w:val="nil"/>
            </w:tcBorders>
            <w:shd w:val="clear" w:color="000000" w:fill="FFFFFF"/>
            <w:noWrap/>
            <w:vAlign w:val="center"/>
            <w:hideMark/>
          </w:tcPr>
          <w:p w14:paraId="59B16C3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WARSAW</w:t>
            </w:r>
          </w:p>
        </w:tc>
        <w:tc>
          <w:tcPr>
            <w:tcW w:w="621" w:type="dxa"/>
            <w:tcBorders>
              <w:top w:val="nil"/>
              <w:left w:val="nil"/>
              <w:bottom w:val="nil"/>
              <w:right w:val="nil"/>
            </w:tcBorders>
            <w:shd w:val="clear" w:color="000000" w:fill="FFFFFF"/>
            <w:noWrap/>
            <w:vAlign w:val="center"/>
            <w:hideMark/>
          </w:tcPr>
          <w:p w14:paraId="0691732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58</w:t>
            </w:r>
          </w:p>
        </w:tc>
        <w:tc>
          <w:tcPr>
            <w:tcW w:w="621" w:type="dxa"/>
            <w:tcBorders>
              <w:top w:val="nil"/>
              <w:left w:val="nil"/>
              <w:bottom w:val="nil"/>
              <w:right w:val="nil"/>
            </w:tcBorders>
            <w:shd w:val="clear" w:color="000000" w:fill="FFFFFF"/>
            <w:noWrap/>
            <w:vAlign w:val="center"/>
            <w:hideMark/>
          </w:tcPr>
          <w:p w14:paraId="14FAFAE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7B784D0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61</w:t>
            </w:r>
          </w:p>
        </w:tc>
        <w:tc>
          <w:tcPr>
            <w:tcW w:w="827" w:type="dxa"/>
            <w:gridSpan w:val="2"/>
            <w:tcBorders>
              <w:top w:val="nil"/>
              <w:left w:val="nil"/>
              <w:bottom w:val="nil"/>
              <w:right w:val="nil"/>
            </w:tcBorders>
            <w:shd w:val="clear" w:color="000000" w:fill="FFFFFF"/>
            <w:noWrap/>
            <w:vAlign w:val="center"/>
            <w:hideMark/>
          </w:tcPr>
          <w:p w14:paraId="5B92E38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74</w:t>
            </w:r>
          </w:p>
        </w:tc>
        <w:tc>
          <w:tcPr>
            <w:tcW w:w="621" w:type="dxa"/>
            <w:tcBorders>
              <w:top w:val="nil"/>
              <w:left w:val="nil"/>
              <w:bottom w:val="nil"/>
              <w:right w:val="nil"/>
            </w:tcBorders>
            <w:shd w:val="clear" w:color="000000" w:fill="FFFFFF"/>
            <w:noWrap/>
            <w:vAlign w:val="center"/>
            <w:hideMark/>
          </w:tcPr>
          <w:p w14:paraId="2D2FC50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63</w:t>
            </w:r>
          </w:p>
        </w:tc>
      </w:tr>
      <w:tr w:rsidR="002A0AD1" w:rsidRPr="002F5246" w14:paraId="2D81CE18" w14:textId="77777777" w:rsidTr="00C07CB8">
        <w:trPr>
          <w:trHeight w:val="255"/>
        </w:trPr>
        <w:tc>
          <w:tcPr>
            <w:tcW w:w="2997" w:type="dxa"/>
            <w:tcBorders>
              <w:top w:val="nil"/>
              <w:left w:val="nil"/>
              <w:bottom w:val="nil"/>
              <w:right w:val="nil"/>
            </w:tcBorders>
            <w:shd w:val="clear" w:color="000000" w:fill="FFFFFF"/>
            <w:vAlign w:val="center"/>
            <w:hideMark/>
          </w:tcPr>
          <w:p w14:paraId="5DEAD5E5"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CAIXA GERAL DE DEPOSITOS</w:t>
            </w:r>
          </w:p>
        </w:tc>
        <w:tc>
          <w:tcPr>
            <w:tcW w:w="1729" w:type="dxa"/>
            <w:gridSpan w:val="2"/>
            <w:tcBorders>
              <w:top w:val="nil"/>
              <w:left w:val="nil"/>
              <w:bottom w:val="nil"/>
              <w:right w:val="nil"/>
            </w:tcBorders>
            <w:shd w:val="clear" w:color="000000" w:fill="FFFFFF"/>
            <w:noWrap/>
            <w:vAlign w:val="center"/>
            <w:hideMark/>
          </w:tcPr>
          <w:p w14:paraId="151C91B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PORTUGAL</w:t>
            </w:r>
          </w:p>
        </w:tc>
        <w:tc>
          <w:tcPr>
            <w:tcW w:w="1647" w:type="dxa"/>
            <w:tcBorders>
              <w:top w:val="nil"/>
              <w:left w:val="nil"/>
              <w:bottom w:val="nil"/>
              <w:right w:val="nil"/>
            </w:tcBorders>
            <w:shd w:val="clear" w:color="000000" w:fill="FFFFFF"/>
            <w:noWrap/>
            <w:vAlign w:val="center"/>
            <w:hideMark/>
          </w:tcPr>
          <w:p w14:paraId="040F56C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LISBON</w:t>
            </w:r>
          </w:p>
        </w:tc>
        <w:tc>
          <w:tcPr>
            <w:tcW w:w="621" w:type="dxa"/>
            <w:tcBorders>
              <w:top w:val="nil"/>
              <w:left w:val="nil"/>
              <w:bottom w:val="nil"/>
              <w:right w:val="nil"/>
            </w:tcBorders>
            <w:shd w:val="clear" w:color="000000" w:fill="FFFFFF"/>
            <w:noWrap/>
            <w:vAlign w:val="center"/>
            <w:hideMark/>
          </w:tcPr>
          <w:p w14:paraId="5B7FD6D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69</w:t>
            </w:r>
          </w:p>
        </w:tc>
        <w:tc>
          <w:tcPr>
            <w:tcW w:w="621" w:type="dxa"/>
            <w:tcBorders>
              <w:top w:val="nil"/>
              <w:left w:val="nil"/>
              <w:bottom w:val="nil"/>
              <w:right w:val="nil"/>
            </w:tcBorders>
            <w:shd w:val="clear" w:color="000000" w:fill="FFFFFF"/>
            <w:noWrap/>
            <w:vAlign w:val="center"/>
            <w:hideMark/>
          </w:tcPr>
          <w:p w14:paraId="5262072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72</w:t>
            </w:r>
          </w:p>
        </w:tc>
        <w:tc>
          <w:tcPr>
            <w:tcW w:w="621" w:type="dxa"/>
            <w:tcBorders>
              <w:top w:val="nil"/>
              <w:left w:val="nil"/>
              <w:bottom w:val="nil"/>
              <w:right w:val="nil"/>
            </w:tcBorders>
            <w:shd w:val="clear" w:color="000000" w:fill="FFFFFF"/>
            <w:noWrap/>
            <w:vAlign w:val="center"/>
            <w:hideMark/>
          </w:tcPr>
          <w:p w14:paraId="15B9C94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827" w:type="dxa"/>
            <w:gridSpan w:val="2"/>
            <w:tcBorders>
              <w:top w:val="nil"/>
              <w:left w:val="nil"/>
              <w:bottom w:val="nil"/>
              <w:right w:val="nil"/>
            </w:tcBorders>
            <w:shd w:val="clear" w:color="000000" w:fill="FFFFFF"/>
            <w:noWrap/>
            <w:vAlign w:val="center"/>
            <w:hideMark/>
          </w:tcPr>
          <w:p w14:paraId="17B440C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w:t>
            </w:r>
          </w:p>
        </w:tc>
        <w:tc>
          <w:tcPr>
            <w:tcW w:w="621" w:type="dxa"/>
            <w:tcBorders>
              <w:top w:val="nil"/>
              <w:left w:val="nil"/>
              <w:bottom w:val="nil"/>
              <w:right w:val="nil"/>
            </w:tcBorders>
            <w:shd w:val="clear" w:color="000000" w:fill="FFFFFF"/>
            <w:noWrap/>
            <w:vAlign w:val="center"/>
            <w:hideMark/>
          </w:tcPr>
          <w:p w14:paraId="7925783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1CE8EFF4" w14:textId="77777777" w:rsidTr="00C07CB8">
        <w:trPr>
          <w:trHeight w:val="480"/>
        </w:trPr>
        <w:tc>
          <w:tcPr>
            <w:tcW w:w="2997" w:type="dxa"/>
            <w:tcBorders>
              <w:top w:val="nil"/>
              <w:left w:val="nil"/>
              <w:bottom w:val="nil"/>
              <w:right w:val="nil"/>
            </w:tcBorders>
            <w:shd w:val="clear" w:color="000000" w:fill="FFFFFF"/>
            <w:vAlign w:val="center"/>
            <w:hideMark/>
          </w:tcPr>
          <w:p w14:paraId="67CC28C9"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CANADIAN IMPERIAL BANK OF COMMERCE CIBC</w:t>
            </w:r>
          </w:p>
        </w:tc>
        <w:tc>
          <w:tcPr>
            <w:tcW w:w="1729" w:type="dxa"/>
            <w:gridSpan w:val="2"/>
            <w:tcBorders>
              <w:top w:val="nil"/>
              <w:left w:val="nil"/>
              <w:bottom w:val="nil"/>
              <w:right w:val="nil"/>
            </w:tcBorders>
            <w:shd w:val="clear" w:color="000000" w:fill="FFFFFF"/>
            <w:noWrap/>
            <w:vAlign w:val="center"/>
            <w:hideMark/>
          </w:tcPr>
          <w:p w14:paraId="1E459E7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CANADA</w:t>
            </w:r>
          </w:p>
        </w:tc>
        <w:tc>
          <w:tcPr>
            <w:tcW w:w="1647" w:type="dxa"/>
            <w:tcBorders>
              <w:top w:val="nil"/>
              <w:left w:val="nil"/>
              <w:bottom w:val="nil"/>
              <w:right w:val="nil"/>
            </w:tcBorders>
            <w:shd w:val="clear" w:color="000000" w:fill="FFFFFF"/>
            <w:noWrap/>
            <w:vAlign w:val="center"/>
            <w:hideMark/>
          </w:tcPr>
          <w:p w14:paraId="6FDCB68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TORONTO</w:t>
            </w:r>
          </w:p>
        </w:tc>
        <w:tc>
          <w:tcPr>
            <w:tcW w:w="621" w:type="dxa"/>
            <w:tcBorders>
              <w:top w:val="nil"/>
              <w:left w:val="nil"/>
              <w:bottom w:val="nil"/>
              <w:right w:val="nil"/>
            </w:tcBorders>
            <w:shd w:val="clear" w:color="000000" w:fill="FFFFFF"/>
            <w:noWrap/>
            <w:vAlign w:val="center"/>
            <w:hideMark/>
          </w:tcPr>
          <w:p w14:paraId="0152886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402</w:t>
            </w:r>
          </w:p>
        </w:tc>
        <w:tc>
          <w:tcPr>
            <w:tcW w:w="621" w:type="dxa"/>
            <w:tcBorders>
              <w:top w:val="nil"/>
              <w:left w:val="nil"/>
              <w:bottom w:val="nil"/>
              <w:right w:val="nil"/>
            </w:tcBorders>
            <w:shd w:val="clear" w:color="000000" w:fill="FFFFFF"/>
            <w:noWrap/>
            <w:vAlign w:val="center"/>
            <w:hideMark/>
          </w:tcPr>
          <w:p w14:paraId="56485FF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501</w:t>
            </w:r>
          </w:p>
        </w:tc>
        <w:tc>
          <w:tcPr>
            <w:tcW w:w="621" w:type="dxa"/>
            <w:tcBorders>
              <w:top w:val="nil"/>
              <w:left w:val="nil"/>
              <w:bottom w:val="nil"/>
              <w:right w:val="nil"/>
            </w:tcBorders>
            <w:shd w:val="clear" w:color="000000" w:fill="FFFFFF"/>
            <w:noWrap/>
            <w:vAlign w:val="center"/>
            <w:hideMark/>
          </w:tcPr>
          <w:p w14:paraId="3197551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827" w:type="dxa"/>
            <w:gridSpan w:val="2"/>
            <w:tcBorders>
              <w:top w:val="nil"/>
              <w:left w:val="nil"/>
              <w:bottom w:val="nil"/>
              <w:right w:val="nil"/>
            </w:tcBorders>
            <w:shd w:val="clear" w:color="000000" w:fill="FFFFFF"/>
            <w:noWrap/>
            <w:vAlign w:val="center"/>
            <w:hideMark/>
          </w:tcPr>
          <w:p w14:paraId="4657A6F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572</w:t>
            </w:r>
          </w:p>
        </w:tc>
        <w:tc>
          <w:tcPr>
            <w:tcW w:w="621" w:type="dxa"/>
            <w:tcBorders>
              <w:top w:val="nil"/>
              <w:left w:val="nil"/>
              <w:bottom w:val="nil"/>
              <w:right w:val="nil"/>
            </w:tcBorders>
            <w:shd w:val="clear" w:color="000000" w:fill="FFFFFF"/>
            <w:noWrap/>
            <w:vAlign w:val="center"/>
            <w:hideMark/>
          </w:tcPr>
          <w:p w14:paraId="2BACBD5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3162D3C0" w14:textId="77777777" w:rsidTr="00C07CB8">
        <w:trPr>
          <w:trHeight w:val="255"/>
        </w:trPr>
        <w:tc>
          <w:tcPr>
            <w:tcW w:w="2997" w:type="dxa"/>
            <w:tcBorders>
              <w:top w:val="nil"/>
              <w:left w:val="nil"/>
              <w:bottom w:val="nil"/>
              <w:right w:val="nil"/>
            </w:tcBorders>
            <w:shd w:val="clear" w:color="000000" w:fill="FFFFFF"/>
            <w:vAlign w:val="center"/>
            <w:hideMark/>
          </w:tcPr>
          <w:p w14:paraId="2F4A1758"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CITIBANK</w:t>
            </w:r>
          </w:p>
        </w:tc>
        <w:tc>
          <w:tcPr>
            <w:tcW w:w="1729" w:type="dxa"/>
            <w:gridSpan w:val="2"/>
            <w:tcBorders>
              <w:top w:val="nil"/>
              <w:left w:val="nil"/>
              <w:bottom w:val="nil"/>
              <w:right w:val="nil"/>
            </w:tcBorders>
            <w:shd w:val="clear" w:color="000000" w:fill="FFFFFF"/>
            <w:noWrap/>
            <w:vAlign w:val="center"/>
            <w:hideMark/>
          </w:tcPr>
          <w:p w14:paraId="486E4B2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CZECH REPUBLIC</w:t>
            </w:r>
          </w:p>
        </w:tc>
        <w:tc>
          <w:tcPr>
            <w:tcW w:w="1647" w:type="dxa"/>
            <w:tcBorders>
              <w:top w:val="nil"/>
              <w:left w:val="nil"/>
              <w:bottom w:val="nil"/>
              <w:right w:val="nil"/>
            </w:tcBorders>
            <w:shd w:val="clear" w:color="000000" w:fill="FFFFFF"/>
            <w:noWrap/>
            <w:vAlign w:val="center"/>
            <w:hideMark/>
          </w:tcPr>
          <w:p w14:paraId="4A47171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PRAGUE</w:t>
            </w:r>
          </w:p>
        </w:tc>
        <w:tc>
          <w:tcPr>
            <w:tcW w:w="621" w:type="dxa"/>
            <w:tcBorders>
              <w:top w:val="nil"/>
              <w:left w:val="nil"/>
              <w:bottom w:val="nil"/>
              <w:right w:val="nil"/>
            </w:tcBorders>
            <w:shd w:val="clear" w:color="000000" w:fill="FFFFFF"/>
            <w:noWrap/>
            <w:vAlign w:val="center"/>
            <w:hideMark/>
          </w:tcPr>
          <w:p w14:paraId="244E0FC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61C0C64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3B842C7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1,768</w:t>
            </w:r>
          </w:p>
        </w:tc>
        <w:tc>
          <w:tcPr>
            <w:tcW w:w="827" w:type="dxa"/>
            <w:gridSpan w:val="2"/>
            <w:tcBorders>
              <w:top w:val="nil"/>
              <w:left w:val="nil"/>
              <w:bottom w:val="nil"/>
              <w:right w:val="nil"/>
            </w:tcBorders>
            <w:shd w:val="clear" w:color="000000" w:fill="FFFFFF"/>
            <w:noWrap/>
            <w:vAlign w:val="center"/>
            <w:hideMark/>
          </w:tcPr>
          <w:p w14:paraId="56555BA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23A94FB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37212D68" w14:textId="77777777" w:rsidTr="00C07CB8">
        <w:trPr>
          <w:trHeight w:val="255"/>
        </w:trPr>
        <w:tc>
          <w:tcPr>
            <w:tcW w:w="2997" w:type="dxa"/>
            <w:tcBorders>
              <w:top w:val="nil"/>
              <w:left w:val="nil"/>
              <w:bottom w:val="nil"/>
              <w:right w:val="nil"/>
            </w:tcBorders>
            <w:shd w:val="clear" w:color="000000" w:fill="FFFFFF"/>
            <w:vAlign w:val="center"/>
            <w:hideMark/>
          </w:tcPr>
          <w:p w14:paraId="37624B29"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COMMERZBANK</w:t>
            </w:r>
          </w:p>
        </w:tc>
        <w:tc>
          <w:tcPr>
            <w:tcW w:w="1729" w:type="dxa"/>
            <w:gridSpan w:val="2"/>
            <w:tcBorders>
              <w:top w:val="nil"/>
              <w:left w:val="nil"/>
              <w:bottom w:val="nil"/>
              <w:right w:val="nil"/>
            </w:tcBorders>
            <w:shd w:val="clear" w:color="000000" w:fill="FFFFFF"/>
            <w:noWrap/>
            <w:vAlign w:val="center"/>
            <w:hideMark/>
          </w:tcPr>
          <w:p w14:paraId="50EA38A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GERMANY</w:t>
            </w:r>
          </w:p>
        </w:tc>
        <w:tc>
          <w:tcPr>
            <w:tcW w:w="1647" w:type="dxa"/>
            <w:tcBorders>
              <w:top w:val="nil"/>
              <w:left w:val="nil"/>
              <w:bottom w:val="nil"/>
              <w:right w:val="nil"/>
            </w:tcBorders>
            <w:shd w:val="clear" w:color="000000" w:fill="FFFFFF"/>
            <w:noWrap/>
            <w:vAlign w:val="center"/>
            <w:hideMark/>
          </w:tcPr>
          <w:p w14:paraId="448BAFC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FRANKFURT</w:t>
            </w:r>
          </w:p>
        </w:tc>
        <w:tc>
          <w:tcPr>
            <w:tcW w:w="621" w:type="dxa"/>
            <w:tcBorders>
              <w:top w:val="nil"/>
              <w:left w:val="nil"/>
              <w:bottom w:val="nil"/>
              <w:right w:val="nil"/>
            </w:tcBorders>
            <w:shd w:val="clear" w:color="000000" w:fill="FFFFFF"/>
            <w:noWrap/>
            <w:vAlign w:val="center"/>
            <w:hideMark/>
          </w:tcPr>
          <w:p w14:paraId="3DE2B0E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946</w:t>
            </w:r>
          </w:p>
        </w:tc>
        <w:tc>
          <w:tcPr>
            <w:tcW w:w="621" w:type="dxa"/>
            <w:tcBorders>
              <w:top w:val="nil"/>
              <w:left w:val="nil"/>
              <w:bottom w:val="nil"/>
              <w:right w:val="nil"/>
            </w:tcBorders>
            <w:shd w:val="clear" w:color="000000" w:fill="FFFFFF"/>
            <w:noWrap/>
            <w:vAlign w:val="center"/>
            <w:hideMark/>
          </w:tcPr>
          <w:p w14:paraId="3CAA027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860</w:t>
            </w:r>
          </w:p>
        </w:tc>
        <w:tc>
          <w:tcPr>
            <w:tcW w:w="621" w:type="dxa"/>
            <w:tcBorders>
              <w:top w:val="nil"/>
              <w:left w:val="nil"/>
              <w:bottom w:val="nil"/>
              <w:right w:val="nil"/>
            </w:tcBorders>
            <w:shd w:val="clear" w:color="000000" w:fill="FFFFFF"/>
            <w:noWrap/>
            <w:vAlign w:val="center"/>
            <w:hideMark/>
          </w:tcPr>
          <w:p w14:paraId="612E241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979</w:t>
            </w:r>
          </w:p>
        </w:tc>
        <w:tc>
          <w:tcPr>
            <w:tcW w:w="827" w:type="dxa"/>
            <w:gridSpan w:val="2"/>
            <w:tcBorders>
              <w:top w:val="nil"/>
              <w:left w:val="nil"/>
              <w:bottom w:val="nil"/>
              <w:right w:val="nil"/>
            </w:tcBorders>
            <w:shd w:val="clear" w:color="000000" w:fill="FFFFFF"/>
            <w:noWrap/>
            <w:vAlign w:val="center"/>
            <w:hideMark/>
          </w:tcPr>
          <w:p w14:paraId="1604C51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1,058</w:t>
            </w:r>
          </w:p>
        </w:tc>
        <w:tc>
          <w:tcPr>
            <w:tcW w:w="621" w:type="dxa"/>
            <w:tcBorders>
              <w:top w:val="nil"/>
              <w:left w:val="nil"/>
              <w:bottom w:val="nil"/>
              <w:right w:val="nil"/>
            </w:tcBorders>
            <w:shd w:val="clear" w:color="000000" w:fill="FFFFFF"/>
            <w:noWrap/>
            <w:vAlign w:val="center"/>
            <w:hideMark/>
          </w:tcPr>
          <w:p w14:paraId="500A530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695</w:t>
            </w:r>
          </w:p>
        </w:tc>
      </w:tr>
      <w:tr w:rsidR="002A0AD1" w:rsidRPr="002F5246" w14:paraId="04B149CB" w14:textId="77777777" w:rsidTr="00C07CB8">
        <w:trPr>
          <w:trHeight w:val="480"/>
        </w:trPr>
        <w:tc>
          <w:tcPr>
            <w:tcW w:w="2997" w:type="dxa"/>
            <w:tcBorders>
              <w:top w:val="nil"/>
              <w:left w:val="nil"/>
              <w:bottom w:val="nil"/>
              <w:right w:val="nil"/>
            </w:tcBorders>
            <w:shd w:val="clear" w:color="000000" w:fill="FFFFFF"/>
            <w:vAlign w:val="center"/>
            <w:hideMark/>
          </w:tcPr>
          <w:p w14:paraId="0ED7C926"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COMMONWEALTH BANK OF AUSTRALIA</w:t>
            </w:r>
          </w:p>
        </w:tc>
        <w:tc>
          <w:tcPr>
            <w:tcW w:w="1729" w:type="dxa"/>
            <w:gridSpan w:val="2"/>
            <w:tcBorders>
              <w:top w:val="nil"/>
              <w:left w:val="nil"/>
              <w:bottom w:val="nil"/>
              <w:right w:val="nil"/>
            </w:tcBorders>
            <w:shd w:val="clear" w:color="000000" w:fill="FFFFFF"/>
            <w:noWrap/>
            <w:vAlign w:val="center"/>
            <w:hideMark/>
          </w:tcPr>
          <w:p w14:paraId="074C6C8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UNITED KINGDOM</w:t>
            </w:r>
          </w:p>
        </w:tc>
        <w:tc>
          <w:tcPr>
            <w:tcW w:w="1647" w:type="dxa"/>
            <w:tcBorders>
              <w:top w:val="nil"/>
              <w:left w:val="nil"/>
              <w:bottom w:val="nil"/>
              <w:right w:val="nil"/>
            </w:tcBorders>
            <w:shd w:val="clear" w:color="000000" w:fill="FFFFFF"/>
            <w:noWrap/>
            <w:vAlign w:val="center"/>
            <w:hideMark/>
          </w:tcPr>
          <w:p w14:paraId="19EC59F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LONDON</w:t>
            </w:r>
          </w:p>
        </w:tc>
        <w:tc>
          <w:tcPr>
            <w:tcW w:w="621" w:type="dxa"/>
            <w:tcBorders>
              <w:top w:val="nil"/>
              <w:left w:val="nil"/>
              <w:bottom w:val="nil"/>
              <w:right w:val="nil"/>
            </w:tcBorders>
            <w:shd w:val="clear" w:color="000000" w:fill="FFFFFF"/>
            <w:noWrap/>
            <w:vAlign w:val="center"/>
            <w:hideMark/>
          </w:tcPr>
          <w:p w14:paraId="1B43902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09FCF51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4853488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827" w:type="dxa"/>
            <w:gridSpan w:val="2"/>
            <w:tcBorders>
              <w:top w:val="nil"/>
              <w:left w:val="nil"/>
              <w:bottom w:val="nil"/>
              <w:right w:val="nil"/>
            </w:tcBorders>
            <w:shd w:val="clear" w:color="000000" w:fill="FFFFFF"/>
            <w:noWrap/>
            <w:vAlign w:val="center"/>
            <w:hideMark/>
          </w:tcPr>
          <w:p w14:paraId="7C7A6DE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7FD7610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1,491</w:t>
            </w:r>
          </w:p>
        </w:tc>
      </w:tr>
      <w:tr w:rsidR="002A0AD1" w:rsidRPr="002F5246" w14:paraId="61F0B6D3" w14:textId="77777777" w:rsidTr="00C07CB8">
        <w:trPr>
          <w:trHeight w:val="255"/>
        </w:trPr>
        <w:tc>
          <w:tcPr>
            <w:tcW w:w="2997" w:type="dxa"/>
            <w:tcBorders>
              <w:top w:val="nil"/>
              <w:left w:val="nil"/>
              <w:bottom w:val="nil"/>
              <w:right w:val="nil"/>
            </w:tcBorders>
            <w:shd w:val="clear" w:color="000000" w:fill="FFFFFF"/>
            <w:vAlign w:val="center"/>
            <w:hideMark/>
          </w:tcPr>
          <w:p w14:paraId="2068AFEA"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DANSKE BANK</w:t>
            </w:r>
          </w:p>
        </w:tc>
        <w:tc>
          <w:tcPr>
            <w:tcW w:w="1729" w:type="dxa"/>
            <w:gridSpan w:val="2"/>
            <w:tcBorders>
              <w:top w:val="nil"/>
              <w:left w:val="nil"/>
              <w:bottom w:val="nil"/>
              <w:right w:val="nil"/>
            </w:tcBorders>
            <w:shd w:val="clear" w:color="000000" w:fill="FFFFFF"/>
            <w:noWrap/>
            <w:vAlign w:val="center"/>
            <w:hideMark/>
          </w:tcPr>
          <w:p w14:paraId="6B315C3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DENMARK</w:t>
            </w:r>
          </w:p>
        </w:tc>
        <w:tc>
          <w:tcPr>
            <w:tcW w:w="1647" w:type="dxa"/>
            <w:tcBorders>
              <w:top w:val="nil"/>
              <w:left w:val="nil"/>
              <w:bottom w:val="nil"/>
              <w:right w:val="nil"/>
            </w:tcBorders>
            <w:shd w:val="clear" w:color="000000" w:fill="FFFFFF"/>
            <w:noWrap/>
            <w:vAlign w:val="center"/>
            <w:hideMark/>
          </w:tcPr>
          <w:p w14:paraId="5FAB199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xml:space="preserve">COPENHAGEN </w:t>
            </w:r>
          </w:p>
        </w:tc>
        <w:tc>
          <w:tcPr>
            <w:tcW w:w="621" w:type="dxa"/>
            <w:tcBorders>
              <w:top w:val="nil"/>
              <w:left w:val="nil"/>
              <w:bottom w:val="nil"/>
              <w:right w:val="nil"/>
            </w:tcBorders>
            <w:shd w:val="clear" w:color="000000" w:fill="FFFFFF"/>
            <w:noWrap/>
            <w:vAlign w:val="center"/>
            <w:hideMark/>
          </w:tcPr>
          <w:p w14:paraId="4200D86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781</w:t>
            </w:r>
          </w:p>
        </w:tc>
        <w:tc>
          <w:tcPr>
            <w:tcW w:w="621" w:type="dxa"/>
            <w:tcBorders>
              <w:top w:val="nil"/>
              <w:left w:val="nil"/>
              <w:bottom w:val="nil"/>
              <w:right w:val="nil"/>
            </w:tcBorders>
            <w:shd w:val="clear" w:color="000000" w:fill="FFFFFF"/>
            <w:noWrap/>
            <w:vAlign w:val="center"/>
            <w:hideMark/>
          </w:tcPr>
          <w:p w14:paraId="357B6DA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696</w:t>
            </w:r>
          </w:p>
        </w:tc>
        <w:tc>
          <w:tcPr>
            <w:tcW w:w="621" w:type="dxa"/>
            <w:tcBorders>
              <w:top w:val="nil"/>
              <w:left w:val="nil"/>
              <w:bottom w:val="nil"/>
              <w:right w:val="nil"/>
            </w:tcBorders>
            <w:shd w:val="clear" w:color="000000" w:fill="FFFFFF"/>
            <w:noWrap/>
            <w:vAlign w:val="center"/>
            <w:hideMark/>
          </w:tcPr>
          <w:p w14:paraId="5B2B091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328</w:t>
            </w:r>
          </w:p>
        </w:tc>
        <w:tc>
          <w:tcPr>
            <w:tcW w:w="827" w:type="dxa"/>
            <w:gridSpan w:val="2"/>
            <w:tcBorders>
              <w:top w:val="nil"/>
              <w:left w:val="nil"/>
              <w:bottom w:val="nil"/>
              <w:right w:val="nil"/>
            </w:tcBorders>
            <w:shd w:val="clear" w:color="000000" w:fill="FFFFFF"/>
            <w:noWrap/>
            <w:vAlign w:val="center"/>
            <w:hideMark/>
          </w:tcPr>
          <w:p w14:paraId="4EE1747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347</w:t>
            </w:r>
          </w:p>
        </w:tc>
        <w:tc>
          <w:tcPr>
            <w:tcW w:w="621" w:type="dxa"/>
            <w:tcBorders>
              <w:top w:val="nil"/>
              <w:left w:val="nil"/>
              <w:bottom w:val="nil"/>
              <w:right w:val="nil"/>
            </w:tcBorders>
            <w:shd w:val="clear" w:color="000000" w:fill="FFFFFF"/>
            <w:noWrap/>
            <w:vAlign w:val="center"/>
            <w:hideMark/>
          </w:tcPr>
          <w:p w14:paraId="3A3D6FA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268</w:t>
            </w:r>
          </w:p>
        </w:tc>
      </w:tr>
      <w:tr w:rsidR="002A0AD1" w:rsidRPr="002F5246" w14:paraId="3F27D58C" w14:textId="77777777" w:rsidTr="00C07CB8">
        <w:trPr>
          <w:trHeight w:val="255"/>
        </w:trPr>
        <w:tc>
          <w:tcPr>
            <w:tcW w:w="2997" w:type="dxa"/>
            <w:tcBorders>
              <w:top w:val="nil"/>
              <w:left w:val="nil"/>
              <w:bottom w:val="nil"/>
              <w:right w:val="nil"/>
            </w:tcBorders>
            <w:shd w:val="clear" w:color="000000" w:fill="FFFFFF"/>
            <w:vAlign w:val="center"/>
            <w:hideMark/>
          </w:tcPr>
          <w:p w14:paraId="6AA2AB18"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DBS BANK</w:t>
            </w:r>
          </w:p>
        </w:tc>
        <w:tc>
          <w:tcPr>
            <w:tcW w:w="1729" w:type="dxa"/>
            <w:gridSpan w:val="2"/>
            <w:tcBorders>
              <w:top w:val="nil"/>
              <w:left w:val="nil"/>
              <w:bottom w:val="nil"/>
              <w:right w:val="nil"/>
            </w:tcBorders>
            <w:shd w:val="clear" w:color="000000" w:fill="FFFFFF"/>
            <w:noWrap/>
            <w:vAlign w:val="center"/>
            <w:hideMark/>
          </w:tcPr>
          <w:p w14:paraId="7D8AADE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HONG KONG</w:t>
            </w:r>
          </w:p>
        </w:tc>
        <w:tc>
          <w:tcPr>
            <w:tcW w:w="1647" w:type="dxa"/>
            <w:tcBorders>
              <w:top w:val="nil"/>
              <w:left w:val="nil"/>
              <w:bottom w:val="nil"/>
              <w:right w:val="nil"/>
            </w:tcBorders>
            <w:shd w:val="clear" w:color="000000" w:fill="FFFFFF"/>
            <w:noWrap/>
            <w:vAlign w:val="center"/>
            <w:hideMark/>
          </w:tcPr>
          <w:p w14:paraId="4C3D7BB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HONG KONG</w:t>
            </w:r>
          </w:p>
        </w:tc>
        <w:tc>
          <w:tcPr>
            <w:tcW w:w="621" w:type="dxa"/>
            <w:tcBorders>
              <w:top w:val="nil"/>
              <w:left w:val="nil"/>
              <w:bottom w:val="nil"/>
              <w:right w:val="nil"/>
            </w:tcBorders>
            <w:shd w:val="clear" w:color="000000" w:fill="FFFFFF"/>
            <w:noWrap/>
            <w:vAlign w:val="center"/>
            <w:hideMark/>
          </w:tcPr>
          <w:p w14:paraId="6DC0C3D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1725380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09E3AF1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761</w:t>
            </w:r>
          </w:p>
        </w:tc>
        <w:tc>
          <w:tcPr>
            <w:tcW w:w="827" w:type="dxa"/>
            <w:gridSpan w:val="2"/>
            <w:tcBorders>
              <w:top w:val="nil"/>
              <w:left w:val="nil"/>
              <w:bottom w:val="nil"/>
              <w:right w:val="nil"/>
            </w:tcBorders>
            <w:shd w:val="clear" w:color="000000" w:fill="FFFFFF"/>
            <w:noWrap/>
            <w:vAlign w:val="center"/>
            <w:hideMark/>
          </w:tcPr>
          <w:p w14:paraId="311AFD6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7377348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850</w:t>
            </w:r>
          </w:p>
        </w:tc>
      </w:tr>
      <w:tr w:rsidR="002A0AD1" w:rsidRPr="002F5246" w14:paraId="21E02A78" w14:textId="77777777" w:rsidTr="00C07CB8">
        <w:trPr>
          <w:trHeight w:val="255"/>
        </w:trPr>
        <w:tc>
          <w:tcPr>
            <w:tcW w:w="2997" w:type="dxa"/>
            <w:tcBorders>
              <w:top w:val="nil"/>
              <w:left w:val="nil"/>
              <w:bottom w:val="nil"/>
              <w:right w:val="nil"/>
            </w:tcBorders>
            <w:shd w:val="clear" w:color="000000" w:fill="FFFFFF"/>
            <w:vAlign w:val="center"/>
            <w:hideMark/>
          </w:tcPr>
          <w:p w14:paraId="76382AE8"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DEN NORSKE BANK</w:t>
            </w:r>
          </w:p>
        </w:tc>
        <w:tc>
          <w:tcPr>
            <w:tcW w:w="1729" w:type="dxa"/>
            <w:gridSpan w:val="2"/>
            <w:tcBorders>
              <w:top w:val="nil"/>
              <w:left w:val="nil"/>
              <w:bottom w:val="nil"/>
              <w:right w:val="nil"/>
            </w:tcBorders>
            <w:shd w:val="clear" w:color="000000" w:fill="FFFFFF"/>
            <w:noWrap/>
            <w:vAlign w:val="center"/>
            <w:hideMark/>
          </w:tcPr>
          <w:p w14:paraId="63D2F85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NORWAY</w:t>
            </w:r>
          </w:p>
        </w:tc>
        <w:tc>
          <w:tcPr>
            <w:tcW w:w="1647" w:type="dxa"/>
            <w:tcBorders>
              <w:top w:val="nil"/>
              <w:left w:val="nil"/>
              <w:bottom w:val="nil"/>
              <w:right w:val="nil"/>
            </w:tcBorders>
            <w:shd w:val="clear" w:color="000000" w:fill="FFFFFF"/>
            <w:noWrap/>
            <w:vAlign w:val="center"/>
            <w:hideMark/>
          </w:tcPr>
          <w:p w14:paraId="2F8D4D5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OSLO</w:t>
            </w:r>
          </w:p>
        </w:tc>
        <w:tc>
          <w:tcPr>
            <w:tcW w:w="621" w:type="dxa"/>
            <w:tcBorders>
              <w:top w:val="nil"/>
              <w:left w:val="nil"/>
              <w:bottom w:val="nil"/>
              <w:right w:val="nil"/>
            </w:tcBorders>
            <w:shd w:val="clear" w:color="000000" w:fill="FFFFFF"/>
            <w:noWrap/>
            <w:vAlign w:val="center"/>
            <w:hideMark/>
          </w:tcPr>
          <w:p w14:paraId="5ADBC2A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3BC6D97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56921D9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w:t>
            </w:r>
          </w:p>
        </w:tc>
        <w:tc>
          <w:tcPr>
            <w:tcW w:w="827" w:type="dxa"/>
            <w:gridSpan w:val="2"/>
            <w:tcBorders>
              <w:top w:val="nil"/>
              <w:left w:val="nil"/>
              <w:bottom w:val="nil"/>
              <w:right w:val="nil"/>
            </w:tcBorders>
            <w:shd w:val="clear" w:color="000000" w:fill="FFFFFF"/>
            <w:noWrap/>
            <w:vAlign w:val="center"/>
            <w:hideMark/>
          </w:tcPr>
          <w:p w14:paraId="419A12F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w:t>
            </w:r>
          </w:p>
        </w:tc>
        <w:tc>
          <w:tcPr>
            <w:tcW w:w="621" w:type="dxa"/>
            <w:tcBorders>
              <w:top w:val="nil"/>
              <w:left w:val="nil"/>
              <w:bottom w:val="nil"/>
              <w:right w:val="nil"/>
            </w:tcBorders>
            <w:shd w:val="clear" w:color="000000" w:fill="FFFFFF"/>
            <w:noWrap/>
            <w:vAlign w:val="center"/>
            <w:hideMark/>
          </w:tcPr>
          <w:p w14:paraId="4ED6CF6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13</w:t>
            </w:r>
          </w:p>
        </w:tc>
      </w:tr>
      <w:tr w:rsidR="002A0AD1" w:rsidRPr="002F5246" w14:paraId="3668D71F" w14:textId="77777777" w:rsidTr="00C07CB8">
        <w:trPr>
          <w:trHeight w:val="480"/>
        </w:trPr>
        <w:tc>
          <w:tcPr>
            <w:tcW w:w="2997" w:type="dxa"/>
            <w:tcBorders>
              <w:top w:val="nil"/>
              <w:left w:val="nil"/>
              <w:bottom w:val="nil"/>
              <w:right w:val="nil"/>
            </w:tcBorders>
            <w:shd w:val="clear" w:color="000000" w:fill="FFFFFF"/>
            <w:vAlign w:val="center"/>
            <w:hideMark/>
          </w:tcPr>
          <w:p w14:paraId="2FC9F4F8"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DIE ERSTE OESTERR. SPAR-CASSE BANK</w:t>
            </w:r>
          </w:p>
        </w:tc>
        <w:tc>
          <w:tcPr>
            <w:tcW w:w="1729" w:type="dxa"/>
            <w:gridSpan w:val="2"/>
            <w:tcBorders>
              <w:top w:val="nil"/>
              <w:left w:val="nil"/>
              <w:bottom w:val="nil"/>
              <w:right w:val="nil"/>
            </w:tcBorders>
            <w:shd w:val="clear" w:color="000000" w:fill="FFFFFF"/>
            <w:noWrap/>
            <w:vAlign w:val="center"/>
            <w:hideMark/>
          </w:tcPr>
          <w:p w14:paraId="71C78A7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AUSTRIA</w:t>
            </w:r>
          </w:p>
        </w:tc>
        <w:tc>
          <w:tcPr>
            <w:tcW w:w="1647" w:type="dxa"/>
            <w:tcBorders>
              <w:top w:val="nil"/>
              <w:left w:val="nil"/>
              <w:bottom w:val="nil"/>
              <w:right w:val="nil"/>
            </w:tcBorders>
            <w:shd w:val="clear" w:color="000000" w:fill="FFFFFF"/>
            <w:noWrap/>
            <w:vAlign w:val="center"/>
            <w:hideMark/>
          </w:tcPr>
          <w:p w14:paraId="0F18A05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VIENNA</w:t>
            </w:r>
          </w:p>
        </w:tc>
        <w:tc>
          <w:tcPr>
            <w:tcW w:w="621" w:type="dxa"/>
            <w:tcBorders>
              <w:top w:val="nil"/>
              <w:left w:val="nil"/>
              <w:bottom w:val="nil"/>
              <w:right w:val="nil"/>
            </w:tcBorders>
            <w:shd w:val="clear" w:color="000000" w:fill="FFFFFF"/>
            <w:noWrap/>
            <w:vAlign w:val="center"/>
            <w:hideMark/>
          </w:tcPr>
          <w:p w14:paraId="3ECB4B9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181EFB7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77A15BB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97</w:t>
            </w:r>
          </w:p>
        </w:tc>
        <w:tc>
          <w:tcPr>
            <w:tcW w:w="827" w:type="dxa"/>
            <w:gridSpan w:val="2"/>
            <w:tcBorders>
              <w:top w:val="nil"/>
              <w:left w:val="nil"/>
              <w:bottom w:val="nil"/>
              <w:right w:val="nil"/>
            </w:tcBorders>
            <w:shd w:val="clear" w:color="000000" w:fill="FFFFFF"/>
            <w:noWrap/>
            <w:vAlign w:val="center"/>
            <w:hideMark/>
          </w:tcPr>
          <w:p w14:paraId="47B5796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17FF40E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103</w:t>
            </w:r>
          </w:p>
        </w:tc>
      </w:tr>
      <w:tr w:rsidR="002A0AD1" w:rsidRPr="002F5246" w14:paraId="1FC5811A" w14:textId="77777777" w:rsidTr="00C07CB8">
        <w:trPr>
          <w:trHeight w:val="255"/>
        </w:trPr>
        <w:tc>
          <w:tcPr>
            <w:tcW w:w="2997" w:type="dxa"/>
            <w:tcBorders>
              <w:top w:val="nil"/>
              <w:left w:val="nil"/>
              <w:bottom w:val="nil"/>
              <w:right w:val="nil"/>
            </w:tcBorders>
            <w:shd w:val="clear" w:color="000000" w:fill="FFFFFF"/>
            <w:vAlign w:val="center"/>
            <w:hideMark/>
          </w:tcPr>
          <w:p w14:paraId="6F11A2DD"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HSBC</w:t>
            </w:r>
          </w:p>
        </w:tc>
        <w:tc>
          <w:tcPr>
            <w:tcW w:w="1729" w:type="dxa"/>
            <w:gridSpan w:val="2"/>
            <w:tcBorders>
              <w:top w:val="nil"/>
              <w:left w:val="nil"/>
              <w:bottom w:val="nil"/>
              <w:right w:val="nil"/>
            </w:tcBorders>
            <w:shd w:val="clear" w:color="000000" w:fill="FFFFFF"/>
            <w:noWrap/>
            <w:vAlign w:val="center"/>
            <w:hideMark/>
          </w:tcPr>
          <w:p w14:paraId="12A1F9F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UNITED KINGDOM</w:t>
            </w:r>
          </w:p>
        </w:tc>
        <w:tc>
          <w:tcPr>
            <w:tcW w:w="1647" w:type="dxa"/>
            <w:tcBorders>
              <w:top w:val="nil"/>
              <w:left w:val="nil"/>
              <w:bottom w:val="nil"/>
              <w:right w:val="nil"/>
            </w:tcBorders>
            <w:shd w:val="clear" w:color="000000" w:fill="FFFFFF"/>
            <w:noWrap/>
            <w:vAlign w:val="center"/>
            <w:hideMark/>
          </w:tcPr>
          <w:p w14:paraId="6B00229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LONDON</w:t>
            </w:r>
          </w:p>
        </w:tc>
        <w:tc>
          <w:tcPr>
            <w:tcW w:w="621" w:type="dxa"/>
            <w:tcBorders>
              <w:top w:val="nil"/>
              <w:left w:val="nil"/>
              <w:bottom w:val="nil"/>
              <w:right w:val="nil"/>
            </w:tcBorders>
            <w:shd w:val="clear" w:color="000000" w:fill="FFFFFF"/>
            <w:noWrap/>
            <w:vAlign w:val="center"/>
            <w:hideMark/>
          </w:tcPr>
          <w:p w14:paraId="7F3B15B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18BC6C2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0F8D5B2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313</w:t>
            </w:r>
          </w:p>
        </w:tc>
        <w:tc>
          <w:tcPr>
            <w:tcW w:w="827" w:type="dxa"/>
            <w:gridSpan w:val="2"/>
            <w:tcBorders>
              <w:top w:val="nil"/>
              <w:left w:val="nil"/>
              <w:bottom w:val="nil"/>
              <w:right w:val="nil"/>
            </w:tcBorders>
            <w:shd w:val="clear" w:color="000000" w:fill="FFFFFF"/>
            <w:noWrap/>
            <w:vAlign w:val="center"/>
            <w:hideMark/>
          </w:tcPr>
          <w:p w14:paraId="275F2CB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50</w:t>
            </w:r>
          </w:p>
        </w:tc>
        <w:tc>
          <w:tcPr>
            <w:tcW w:w="621" w:type="dxa"/>
            <w:tcBorders>
              <w:top w:val="nil"/>
              <w:left w:val="nil"/>
              <w:bottom w:val="nil"/>
              <w:right w:val="nil"/>
            </w:tcBorders>
            <w:shd w:val="clear" w:color="000000" w:fill="FFFFFF"/>
            <w:noWrap/>
            <w:vAlign w:val="center"/>
            <w:hideMark/>
          </w:tcPr>
          <w:p w14:paraId="0944643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3B4C1C02" w14:textId="77777777" w:rsidTr="00C07CB8">
        <w:trPr>
          <w:trHeight w:val="255"/>
        </w:trPr>
        <w:tc>
          <w:tcPr>
            <w:tcW w:w="2997" w:type="dxa"/>
            <w:tcBorders>
              <w:top w:val="nil"/>
              <w:left w:val="nil"/>
              <w:bottom w:val="nil"/>
              <w:right w:val="nil"/>
            </w:tcBorders>
            <w:shd w:val="clear" w:color="000000" w:fill="FFFFFF"/>
            <w:vAlign w:val="center"/>
            <w:hideMark/>
          </w:tcPr>
          <w:p w14:paraId="76F6843B"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I.C.M. INVESTMENTBANK AG</w:t>
            </w:r>
          </w:p>
        </w:tc>
        <w:tc>
          <w:tcPr>
            <w:tcW w:w="1729" w:type="dxa"/>
            <w:gridSpan w:val="2"/>
            <w:tcBorders>
              <w:top w:val="nil"/>
              <w:left w:val="nil"/>
              <w:bottom w:val="nil"/>
              <w:right w:val="nil"/>
            </w:tcBorders>
            <w:shd w:val="clear" w:color="000000" w:fill="FFFFFF"/>
            <w:noWrap/>
            <w:vAlign w:val="center"/>
            <w:hideMark/>
          </w:tcPr>
          <w:p w14:paraId="6A3BB7B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ITALY</w:t>
            </w:r>
          </w:p>
        </w:tc>
        <w:tc>
          <w:tcPr>
            <w:tcW w:w="1647" w:type="dxa"/>
            <w:tcBorders>
              <w:top w:val="nil"/>
              <w:left w:val="nil"/>
              <w:bottom w:val="nil"/>
              <w:right w:val="nil"/>
            </w:tcBorders>
            <w:shd w:val="clear" w:color="000000" w:fill="FFFFFF"/>
            <w:noWrap/>
            <w:vAlign w:val="center"/>
            <w:hideMark/>
          </w:tcPr>
          <w:p w14:paraId="1003605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MILAN</w:t>
            </w:r>
          </w:p>
        </w:tc>
        <w:tc>
          <w:tcPr>
            <w:tcW w:w="621" w:type="dxa"/>
            <w:tcBorders>
              <w:top w:val="nil"/>
              <w:left w:val="nil"/>
              <w:bottom w:val="nil"/>
              <w:right w:val="nil"/>
            </w:tcBorders>
            <w:shd w:val="clear" w:color="000000" w:fill="FFFFFF"/>
            <w:noWrap/>
            <w:vAlign w:val="center"/>
            <w:hideMark/>
          </w:tcPr>
          <w:p w14:paraId="6C949FC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1CC3A1B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1820ABE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140</w:t>
            </w:r>
          </w:p>
        </w:tc>
        <w:tc>
          <w:tcPr>
            <w:tcW w:w="827" w:type="dxa"/>
            <w:gridSpan w:val="2"/>
            <w:tcBorders>
              <w:top w:val="nil"/>
              <w:left w:val="nil"/>
              <w:bottom w:val="nil"/>
              <w:right w:val="nil"/>
            </w:tcBorders>
            <w:shd w:val="clear" w:color="000000" w:fill="FFFFFF"/>
            <w:noWrap/>
            <w:vAlign w:val="center"/>
            <w:hideMark/>
          </w:tcPr>
          <w:p w14:paraId="23EA5EE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7146919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39F6F164" w14:textId="77777777" w:rsidTr="00C07CB8">
        <w:trPr>
          <w:trHeight w:val="480"/>
        </w:trPr>
        <w:tc>
          <w:tcPr>
            <w:tcW w:w="2997" w:type="dxa"/>
            <w:tcBorders>
              <w:top w:val="nil"/>
              <w:left w:val="nil"/>
              <w:bottom w:val="nil"/>
              <w:right w:val="nil"/>
            </w:tcBorders>
            <w:shd w:val="clear" w:color="000000" w:fill="FFFFFF"/>
            <w:vAlign w:val="center"/>
            <w:hideMark/>
          </w:tcPr>
          <w:p w14:paraId="71DB3D95"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INDUSTRIAL AND COMMERCIAL BANK OF CHINA</w:t>
            </w:r>
          </w:p>
        </w:tc>
        <w:tc>
          <w:tcPr>
            <w:tcW w:w="1729" w:type="dxa"/>
            <w:gridSpan w:val="2"/>
            <w:tcBorders>
              <w:top w:val="nil"/>
              <w:left w:val="nil"/>
              <w:bottom w:val="nil"/>
              <w:right w:val="nil"/>
            </w:tcBorders>
            <w:shd w:val="clear" w:color="000000" w:fill="FFFFFF"/>
            <w:noWrap/>
            <w:vAlign w:val="center"/>
            <w:hideMark/>
          </w:tcPr>
          <w:p w14:paraId="02D67A9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UNITED KINGDOM</w:t>
            </w:r>
          </w:p>
        </w:tc>
        <w:tc>
          <w:tcPr>
            <w:tcW w:w="1647" w:type="dxa"/>
            <w:tcBorders>
              <w:top w:val="nil"/>
              <w:left w:val="nil"/>
              <w:bottom w:val="nil"/>
              <w:right w:val="nil"/>
            </w:tcBorders>
            <w:shd w:val="clear" w:color="000000" w:fill="FFFFFF"/>
            <w:noWrap/>
            <w:vAlign w:val="center"/>
            <w:hideMark/>
          </w:tcPr>
          <w:p w14:paraId="79289C7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LONDON</w:t>
            </w:r>
          </w:p>
        </w:tc>
        <w:tc>
          <w:tcPr>
            <w:tcW w:w="621" w:type="dxa"/>
            <w:tcBorders>
              <w:top w:val="nil"/>
              <w:left w:val="nil"/>
              <w:bottom w:val="nil"/>
              <w:right w:val="nil"/>
            </w:tcBorders>
            <w:shd w:val="clear" w:color="000000" w:fill="FFFFFF"/>
            <w:noWrap/>
            <w:vAlign w:val="center"/>
            <w:hideMark/>
          </w:tcPr>
          <w:p w14:paraId="2608276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21DC699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1FCCAC0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261</w:t>
            </w:r>
          </w:p>
        </w:tc>
        <w:tc>
          <w:tcPr>
            <w:tcW w:w="827" w:type="dxa"/>
            <w:gridSpan w:val="2"/>
            <w:tcBorders>
              <w:top w:val="nil"/>
              <w:left w:val="nil"/>
              <w:bottom w:val="nil"/>
              <w:right w:val="nil"/>
            </w:tcBorders>
            <w:shd w:val="clear" w:color="000000" w:fill="FFFFFF"/>
            <w:noWrap/>
            <w:vAlign w:val="center"/>
            <w:hideMark/>
          </w:tcPr>
          <w:p w14:paraId="5060941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241E502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1288E5AD" w14:textId="77777777" w:rsidTr="00C07CB8">
        <w:trPr>
          <w:trHeight w:val="255"/>
        </w:trPr>
        <w:tc>
          <w:tcPr>
            <w:tcW w:w="2997" w:type="dxa"/>
            <w:tcBorders>
              <w:top w:val="nil"/>
              <w:left w:val="nil"/>
              <w:bottom w:val="nil"/>
              <w:right w:val="nil"/>
            </w:tcBorders>
            <w:shd w:val="clear" w:color="000000" w:fill="FFFFFF"/>
            <w:vAlign w:val="center"/>
            <w:hideMark/>
          </w:tcPr>
          <w:p w14:paraId="51976CC2"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INTESA SANPAOLO BANK</w:t>
            </w:r>
          </w:p>
        </w:tc>
        <w:tc>
          <w:tcPr>
            <w:tcW w:w="1729" w:type="dxa"/>
            <w:gridSpan w:val="2"/>
            <w:tcBorders>
              <w:top w:val="nil"/>
              <w:left w:val="nil"/>
              <w:bottom w:val="nil"/>
              <w:right w:val="nil"/>
            </w:tcBorders>
            <w:shd w:val="clear" w:color="000000" w:fill="FFFFFF"/>
            <w:noWrap/>
            <w:vAlign w:val="center"/>
            <w:hideMark/>
          </w:tcPr>
          <w:p w14:paraId="393429B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ITALY</w:t>
            </w:r>
          </w:p>
        </w:tc>
        <w:tc>
          <w:tcPr>
            <w:tcW w:w="1647" w:type="dxa"/>
            <w:tcBorders>
              <w:top w:val="nil"/>
              <w:left w:val="nil"/>
              <w:bottom w:val="nil"/>
              <w:right w:val="nil"/>
            </w:tcBorders>
            <w:shd w:val="clear" w:color="000000" w:fill="FFFFFF"/>
            <w:noWrap/>
            <w:vAlign w:val="center"/>
            <w:hideMark/>
          </w:tcPr>
          <w:p w14:paraId="21321AA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MILAN</w:t>
            </w:r>
          </w:p>
        </w:tc>
        <w:tc>
          <w:tcPr>
            <w:tcW w:w="621" w:type="dxa"/>
            <w:tcBorders>
              <w:top w:val="nil"/>
              <w:left w:val="nil"/>
              <w:bottom w:val="nil"/>
              <w:right w:val="nil"/>
            </w:tcBorders>
            <w:shd w:val="clear" w:color="000000" w:fill="FFFFFF"/>
            <w:noWrap/>
            <w:vAlign w:val="center"/>
            <w:hideMark/>
          </w:tcPr>
          <w:p w14:paraId="1A34DD6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347</w:t>
            </w:r>
          </w:p>
        </w:tc>
        <w:tc>
          <w:tcPr>
            <w:tcW w:w="621" w:type="dxa"/>
            <w:tcBorders>
              <w:top w:val="nil"/>
              <w:left w:val="nil"/>
              <w:bottom w:val="nil"/>
              <w:right w:val="nil"/>
            </w:tcBorders>
            <w:shd w:val="clear" w:color="000000" w:fill="FFFFFF"/>
            <w:noWrap/>
            <w:vAlign w:val="center"/>
            <w:hideMark/>
          </w:tcPr>
          <w:p w14:paraId="791E410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342</w:t>
            </w:r>
          </w:p>
        </w:tc>
        <w:tc>
          <w:tcPr>
            <w:tcW w:w="621" w:type="dxa"/>
            <w:tcBorders>
              <w:top w:val="nil"/>
              <w:left w:val="nil"/>
              <w:bottom w:val="nil"/>
              <w:right w:val="nil"/>
            </w:tcBorders>
            <w:shd w:val="clear" w:color="000000" w:fill="FFFFFF"/>
            <w:noWrap/>
            <w:vAlign w:val="center"/>
            <w:hideMark/>
          </w:tcPr>
          <w:p w14:paraId="18B1CBD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324</w:t>
            </w:r>
          </w:p>
        </w:tc>
        <w:tc>
          <w:tcPr>
            <w:tcW w:w="827" w:type="dxa"/>
            <w:gridSpan w:val="2"/>
            <w:tcBorders>
              <w:top w:val="nil"/>
              <w:left w:val="nil"/>
              <w:bottom w:val="nil"/>
              <w:right w:val="nil"/>
            </w:tcBorders>
            <w:shd w:val="clear" w:color="000000" w:fill="FFFFFF"/>
            <w:noWrap/>
            <w:vAlign w:val="center"/>
            <w:hideMark/>
          </w:tcPr>
          <w:p w14:paraId="4351CAD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340</w:t>
            </w:r>
          </w:p>
        </w:tc>
        <w:tc>
          <w:tcPr>
            <w:tcW w:w="621" w:type="dxa"/>
            <w:tcBorders>
              <w:top w:val="nil"/>
              <w:left w:val="nil"/>
              <w:bottom w:val="nil"/>
              <w:right w:val="nil"/>
            </w:tcBorders>
            <w:shd w:val="clear" w:color="000000" w:fill="FFFFFF"/>
            <w:noWrap/>
            <w:vAlign w:val="center"/>
            <w:hideMark/>
          </w:tcPr>
          <w:p w14:paraId="33DF248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28998E8B" w14:textId="77777777" w:rsidTr="00C07CB8">
        <w:trPr>
          <w:trHeight w:val="480"/>
        </w:trPr>
        <w:tc>
          <w:tcPr>
            <w:tcW w:w="2997" w:type="dxa"/>
            <w:tcBorders>
              <w:top w:val="nil"/>
              <w:left w:val="nil"/>
              <w:bottom w:val="nil"/>
              <w:right w:val="nil"/>
            </w:tcBorders>
            <w:shd w:val="clear" w:color="000000" w:fill="FFFFFF"/>
            <w:vAlign w:val="center"/>
            <w:hideMark/>
          </w:tcPr>
          <w:p w14:paraId="28DFCBC8"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LANDESBANK BADEN-WÜRTTEMBERG</w:t>
            </w:r>
          </w:p>
        </w:tc>
        <w:tc>
          <w:tcPr>
            <w:tcW w:w="1729" w:type="dxa"/>
            <w:gridSpan w:val="2"/>
            <w:tcBorders>
              <w:top w:val="nil"/>
              <w:left w:val="nil"/>
              <w:bottom w:val="nil"/>
              <w:right w:val="nil"/>
            </w:tcBorders>
            <w:shd w:val="clear" w:color="000000" w:fill="FFFFFF"/>
            <w:noWrap/>
            <w:vAlign w:val="center"/>
            <w:hideMark/>
          </w:tcPr>
          <w:p w14:paraId="2C99786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GERMANY</w:t>
            </w:r>
          </w:p>
        </w:tc>
        <w:tc>
          <w:tcPr>
            <w:tcW w:w="1647" w:type="dxa"/>
            <w:tcBorders>
              <w:top w:val="nil"/>
              <w:left w:val="nil"/>
              <w:bottom w:val="nil"/>
              <w:right w:val="nil"/>
            </w:tcBorders>
            <w:shd w:val="clear" w:color="000000" w:fill="FFFFFF"/>
            <w:noWrap/>
            <w:vAlign w:val="center"/>
            <w:hideMark/>
          </w:tcPr>
          <w:p w14:paraId="16AC922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STUTTGART</w:t>
            </w:r>
          </w:p>
        </w:tc>
        <w:tc>
          <w:tcPr>
            <w:tcW w:w="621" w:type="dxa"/>
            <w:tcBorders>
              <w:top w:val="nil"/>
              <w:left w:val="nil"/>
              <w:bottom w:val="nil"/>
              <w:right w:val="nil"/>
            </w:tcBorders>
            <w:shd w:val="clear" w:color="000000" w:fill="FFFFFF"/>
            <w:noWrap/>
            <w:vAlign w:val="center"/>
            <w:hideMark/>
          </w:tcPr>
          <w:p w14:paraId="756EFB3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101</w:t>
            </w:r>
          </w:p>
        </w:tc>
        <w:tc>
          <w:tcPr>
            <w:tcW w:w="621" w:type="dxa"/>
            <w:tcBorders>
              <w:top w:val="nil"/>
              <w:left w:val="nil"/>
              <w:bottom w:val="nil"/>
              <w:right w:val="nil"/>
            </w:tcBorders>
            <w:shd w:val="clear" w:color="000000" w:fill="FFFFFF"/>
            <w:noWrap/>
            <w:vAlign w:val="center"/>
            <w:hideMark/>
          </w:tcPr>
          <w:p w14:paraId="3DA8572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107</w:t>
            </w:r>
          </w:p>
        </w:tc>
        <w:tc>
          <w:tcPr>
            <w:tcW w:w="621" w:type="dxa"/>
            <w:tcBorders>
              <w:top w:val="nil"/>
              <w:left w:val="nil"/>
              <w:bottom w:val="nil"/>
              <w:right w:val="nil"/>
            </w:tcBorders>
            <w:shd w:val="clear" w:color="000000" w:fill="FFFFFF"/>
            <w:noWrap/>
            <w:vAlign w:val="center"/>
            <w:hideMark/>
          </w:tcPr>
          <w:p w14:paraId="7E245BD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95</w:t>
            </w:r>
          </w:p>
        </w:tc>
        <w:tc>
          <w:tcPr>
            <w:tcW w:w="827" w:type="dxa"/>
            <w:gridSpan w:val="2"/>
            <w:tcBorders>
              <w:top w:val="nil"/>
              <w:left w:val="nil"/>
              <w:bottom w:val="nil"/>
              <w:right w:val="nil"/>
            </w:tcBorders>
            <w:shd w:val="clear" w:color="000000" w:fill="FFFFFF"/>
            <w:noWrap/>
            <w:vAlign w:val="center"/>
            <w:hideMark/>
          </w:tcPr>
          <w:p w14:paraId="762363C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106</w:t>
            </w:r>
          </w:p>
        </w:tc>
        <w:tc>
          <w:tcPr>
            <w:tcW w:w="621" w:type="dxa"/>
            <w:tcBorders>
              <w:top w:val="nil"/>
              <w:left w:val="nil"/>
              <w:bottom w:val="nil"/>
              <w:right w:val="nil"/>
            </w:tcBorders>
            <w:shd w:val="clear" w:color="000000" w:fill="FFFFFF"/>
            <w:noWrap/>
            <w:vAlign w:val="center"/>
            <w:hideMark/>
          </w:tcPr>
          <w:p w14:paraId="46B854C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3F1262AC" w14:textId="77777777" w:rsidTr="00C07CB8">
        <w:trPr>
          <w:trHeight w:val="255"/>
        </w:trPr>
        <w:tc>
          <w:tcPr>
            <w:tcW w:w="2997" w:type="dxa"/>
            <w:tcBorders>
              <w:top w:val="nil"/>
              <w:left w:val="nil"/>
              <w:bottom w:val="nil"/>
              <w:right w:val="nil"/>
            </w:tcBorders>
            <w:shd w:val="clear" w:color="000000" w:fill="FFFFFF"/>
            <w:vAlign w:val="center"/>
            <w:hideMark/>
          </w:tcPr>
          <w:p w14:paraId="25FE3713"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lastRenderedPageBreak/>
              <w:t>NORDEA BANK</w:t>
            </w:r>
          </w:p>
        </w:tc>
        <w:tc>
          <w:tcPr>
            <w:tcW w:w="1729" w:type="dxa"/>
            <w:gridSpan w:val="2"/>
            <w:tcBorders>
              <w:top w:val="nil"/>
              <w:left w:val="nil"/>
              <w:bottom w:val="nil"/>
              <w:right w:val="nil"/>
            </w:tcBorders>
            <w:shd w:val="clear" w:color="000000" w:fill="FFFFFF"/>
            <w:noWrap/>
            <w:vAlign w:val="center"/>
            <w:hideMark/>
          </w:tcPr>
          <w:p w14:paraId="24939FC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DENMARK</w:t>
            </w:r>
          </w:p>
        </w:tc>
        <w:tc>
          <w:tcPr>
            <w:tcW w:w="1647" w:type="dxa"/>
            <w:tcBorders>
              <w:top w:val="nil"/>
              <w:left w:val="nil"/>
              <w:bottom w:val="nil"/>
              <w:right w:val="nil"/>
            </w:tcBorders>
            <w:shd w:val="clear" w:color="000000" w:fill="FFFFFF"/>
            <w:noWrap/>
            <w:vAlign w:val="center"/>
            <w:hideMark/>
          </w:tcPr>
          <w:p w14:paraId="4E667BC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xml:space="preserve">COPENHAGEN </w:t>
            </w:r>
          </w:p>
        </w:tc>
        <w:tc>
          <w:tcPr>
            <w:tcW w:w="621" w:type="dxa"/>
            <w:tcBorders>
              <w:top w:val="nil"/>
              <w:left w:val="nil"/>
              <w:bottom w:val="nil"/>
              <w:right w:val="nil"/>
            </w:tcBorders>
            <w:shd w:val="clear" w:color="000000" w:fill="FFFFFF"/>
            <w:noWrap/>
            <w:vAlign w:val="center"/>
            <w:hideMark/>
          </w:tcPr>
          <w:p w14:paraId="4CA64D6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245</w:t>
            </w:r>
          </w:p>
        </w:tc>
        <w:tc>
          <w:tcPr>
            <w:tcW w:w="621" w:type="dxa"/>
            <w:tcBorders>
              <w:top w:val="nil"/>
              <w:left w:val="nil"/>
              <w:bottom w:val="nil"/>
              <w:right w:val="nil"/>
            </w:tcBorders>
            <w:shd w:val="clear" w:color="000000" w:fill="FFFFFF"/>
            <w:noWrap/>
            <w:vAlign w:val="center"/>
            <w:hideMark/>
          </w:tcPr>
          <w:p w14:paraId="22F3CA9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316</w:t>
            </w:r>
          </w:p>
        </w:tc>
        <w:tc>
          <w:tcPr>
            <w:tcW w:w="621" w:type="dxa"/>
            <w:tcBorders>
              <w:top w:val="nil"/>
              <w:left w:val="nil"/>
              <w:bottom w:val="nil"/>
              <w:right w:val="nil"/>
            </w:tcBorders>
            <w:shd w:val="clear" w:color="000000" w:fill="FFFFFF"/>
            <w:noWrap/>
            <w:vAlign w:val="center"/>
            <w:hideMark/>
          </w:tcPr>
          <w:p w14:paraId="7DB01E2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284</w:t>
            </w:r>
          </w:p>
        </w:tc>
        <w:tc>
          <w:tcPr>
            <w:tcW w:w="827" w:type="dxa"/>
            <w:gridSpan w:val="2"/>
            <w:tcBorders>
              <w:top w:val="nil"/>
              <w:left w:val="nil"/>
              <w:bottom w:val="nil"/>
              <w:right w:val="nil"/>
            </w:tcBorders>
            <w:shd w:val="clear" w:color="000000" w:fill="FFFFFF"/>
            <w:noWrap/>
            <w:vAlign w:val="center"/>
            <w:hideMark/>
          </w:tcPr>
          <w:p w14:paraId="7A0BC31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318</w:t>
            </w:r>
          </w:p>
        </w:tc>
        <w:tc>
          <w:tcPr>
            <w:tcW w:w="621" w:type="dxa"/>
            <w:tcBorders>
              <w:top w:val="nil"/>
              <w:left w:val="nil"/>
              <w:bottom w:val="nil"/>
              <w:right w:val="nil"/>
            </w:tcBorders>
            <w:shd w:val="clear" w:color="000000" w:fill="FFFFFF"/>
            <w:noWrap/>
            <w:vAlign w:val="center"/>
            <w:hideMark/>
          </w:tcPr>
          <w:p w14:paraId="30476C4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303</w:t>
            </w:r>
          </w:p>
        </w:tc>
      </w:tr>
      <w:tr w:rsidR="002A0AD1" w:rsidRPr="002F5246" w14:paraId="08CD9224" w14:textId="77777777" w:rsidTr="00C07CB8">
        <w:trPr>
          <w:trHeight w:val="255"/>
        </w:trPr>
        <w:tc>
          <w:tcPr>
            <w:tcW w:w="2997" w:type="dxa"/>
            <w:tcBorders>
              <w:top w:val="nil"/>
              <w:left w:val="nil"/>
              <w:bottom w:val="nil"/>
              <w:right w:val="nil"/>
            </w:tcBorders>
            <w:shd w:val="clear" w:color="000000" w:fill="FFFFFF"/>
            <w:vAlign w:val="center"/>
            <w:hideMark/>
          </w:tcPr>
          <w:p w14:paraId="3F6029C4"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PALATINE BANK AND TRUST</w:t>
            </w:r>
          </w:p>
        </w:tc>
        <w:tc>
          <w:tcPr>
            <w:tcW w:w="1729" w:type="dxa"/>
            <w:gridSpan w:val="2"/>
            <w:tcBorders>
              <w:top w:val="nil"/>
              <w:left w:val="nil"/>
              <w:bottom w:val="nil"/>
              <w:right w:val="nil"/>
            </w:tcBorders>
            <w:shd w:val="clear" w:color="000000" w:fill="FFFFFF"/>
            <w:noWrap/>
            <w:vAlign w:val="center"/>
            <w:hideMark/>
          </w:tcPr>
          <w:p w14:paraId="672F106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FRANCE</w:t>
            </w:r>
          </w:p>
        </w:tc>
        <w:tc>
          <w:tcPr>
            <w:tcW w:w="1647" w:type="dxa"/>
            <w:tcBorders>
              <w:top w:val="nil"/>
              <w:left w:val="nil"/>
              <w:bottom w:val="nil"/>
              <w:right w:val="nil"/>
            </w:tcBorders>
            <w:shd w:val="clear" w:color="000000" w:fill="FFFFFF"/>
            <w:noWrap/>
            <w:vAlign w:val="center"/>
            <w:hideMark/>
          </w:tcPr>
          <w:p w14:paraId="1395353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PARIS</w:t>
            </w:r>
          </w:p>
        </w:tc>
        <w:tc>
          <w:tcPr>
            <w:tcW w:w="621" w:type="dxa"/>
            <w:tcBorders>
              <w:top w:val="nil"/>
              <w:left w:val="nil"/>
              <w:bottom w:val="nil"/>
              <w:right w:val="nil"/>
            </w:tcBorders>
            <w:shd w:val="clear" w:color="000000" w:fill="FFFFFF"/>
            <w:noWrap/>
            <w:vAlign w:val="center"/>
            <w:hideMark/>
          </w:tcPr>
          <w:p w14:paraId="5E26FA6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w:t>
            </w:r>
          </w:p>
        </w:tc>
        <w:tc>
          <w:tcPr>
            <w:tcW w:w="621" w:type="dxa"/>
            <w:tcBorders>
              <w:top w:val="nil"/>
              <w:left w:val="nil"/>
              <w:bottom w:val="nil"/>
              <w:right w:val="nil"/>
            </w:tcBorders>
            <w:shd w:val="clear" w:color="000000" w:fill="FFFFFF"/>
            <w:noWrap/>
            <w:vAlign w:val="center"/>
            <w:hideMark/>
          </w:tcPr>
          <w:p w14:paraId="186164E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14</w:t>
            </w:r>
          </w:p>
        </w:tc>
        <w:tc>
          <w:tcPr>
            <w:tcW w:w="621" w:type="dxa"/>
            <w:tcBorders>
              <w:top w:val="nil"/>
              <w:left w:val="nil"/>
              <w:bottom w:val="nil"/>
              <w:right w:val="nil"/>
            </w:tcBorders>
            <w:shd w:val="clear" w:color="000000" w:fill="FFFFFF"/>
            <w:noWrap/>
            <w:vAlign w:val="center"/>
            <w:hideMark/>
          </w:tcPr>
          <w:p w14:paraId="6B69258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12</w:t>
            </w:r>
          </w:p>
        </w:tc>
        <w:tc>
          <w:tcPr>
            <w:tcW w:w="827" w:type="dxa"/>
            <w:gridSpan w:val="2"/>
            <w:tcBorders>
              <w:top w:val="nil"/>
              <w:left w:val="nil"/>
              <w:bottom w:val="nil"/>
              <w:right w:val="nil"/>
            </w:tcBorders>
            <w:shd w:val="clear" w:color="000000" w:fill="FFFFFF"/>
            <w:noWrap/>
            <w:vAlign w:val="center"/>
            <w:hideMark/>
          </w:tcPr>
          <w:p w14:paraId="66CC4B3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11</w:t>
            </w:r>
          </w:p>
        </w:tc>
        <w:tc>
          <w:tcPr>
            <w:tcW w:w="621" w:type="dxa"/>
            <w:tcBorders>
              <w:top w:val="nil"/>
              <w:left w:val="nil"/>
              <w:bottom w:val="nil"/>
              <w:right w:val="nil"/>
            </w:tcBorders>
            <w:shd w:val="clear" w:color="000000" w:fill="FFFFFF"/>
            <w:noWrap/>
            <w:vAlign w:val="center"/>
            <w:hideMark/>
          </w:tcPr>
          <w:p w14:paraId="466E194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10</w:t>
            </w:r>
          </w:p>
        </w:tc>
      </w:tr>
      <w:tr w:rsidR="002A0AD1" w:rsidRPr="002F5246" w14:paraId="21758652" w14:textId="77777777" w:rsidTr="00C07CB8">
        <w:trPr>
          <w:trHeight w:val="255"/>
        </w:trPr>
        <w:tc>
          <w:tcPr>
            <w:tcW w:w="2997" w:type="dxa"/>
            <w:tcBorders>
              <w:top w:val="nil"/>
              <w:left w:val="nil"/>
              <w:bottom w:val="nil"/>
              <w:right w:val="nil"/>
            </w:tcBorders>
            <w:shd w:val="clear" w:color="000000" w:fill="FFFFFF"/>
            <w:vAlign w:val="center"/>
            <w:hideMark/>
          </w:tcPr>
          <w:p w14:paraId="516C2985"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PIRAEUS BANK</w:t>
            </w:r>
          </w:p>
        </w:tc>
        <w:tc>
          <w:tcPr>
            <w:tcW w:w="1729" w:type="dxa"/>
            <w:gridSpan w:val="2"/>
            <w:tcBorders>
              <w:top w:val="nil"/>
              <w:left w:val="nil"/>
              <w:bottom w:val="nil"/>
              <w:right w:val="nil"/>
            </w:tcBorders>
            <w:shd w:val="clear" w:color="000000" w:fill="FFFFFF"/>
            <w:noWrap/>
            <w:vAlign w:val="center"/>
            <w:hideMark/>
          </w:tcPr>
          <w:p w14:paraId="3D81C73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GREECE</w:t>
            </w:r>
          </w:p>
        </w:tc>
        <w:tc>
          <w:tcPr>
            <w:tcW w:w="1647" w:type="dxa"/>
            <w:tcBorders>
              <w:top w:val="nil"/>
              <w:left w:val="nil"/>
              <w:bottom w:val="nil"/>
              <w:right w:val="nil"/>
            </w:tcBorders>
            <w:shd w:val="clear" w:color="000000" w:fill="FFFFFF"/>
            <w:noWrap/>
            <w:vAlign w:val="center"/>
            <w:hideMark/>
          </w:tcPr>
          <w:p w14:paraId="36C4FC3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ATHENS</w:t>
            </w:r>
          </w:p>
        </w:tc>
        <w:tc>
          <w:tcPr>
            <w:tcW w:w="621" w:type="dxa"/>
            <w:tcBorders>
              <w:top w:val="nil"/>
              <w:left w:val="nil"/>
              <w:bottom w:val="nil"/>
              <w:right w:val="nil"/>
            </w:tcBorders>
            <w:shd w:val="clear" w:color="000000" w:fill="FFFFFF"/>
            <w:noWrap/>
            <w:vAlign w:val="center"/>
            <w:hideMark/>
          </w:tcPr>
          <w:p w14:paraId="3E0BFB3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72</w:t>
            </w:r>
          </w:p>
        </w:tc>
        <w:tc>
          <w:tcPr>
            <w:tcW w:w="621" w:type="dxa"/>
            <w:tcBorders>
              <w:top w:val="nil"/>
              <w:left w:val="nil"/>
              <w:bottom w:val="nil"/>
              <w:right w:val="nil"/>
            </w:tcBorders>
            <w:shd w:val="clear" w:color="000000" w:fill="FFFFFF"/>
            <w:noWrap/>
            <w:vAlign w:val="center"/>
            <w:hideMark/>
          </w:tcPr>
          <w:p w14:paraId="6CB1E3F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76</w:t>
            </w:r>
          </w:p>
        </w:tc>
        <w:tc>
          <w:tcPr>
            <w:tcW w:w="621" w:type="dxa"/>
            <w:tcBorders>
              <w:top w:val="nil"/>
              <w:left w:val="nil"/>
              <w:bottom w:val="nil"/>
              <w:right w:val="nil"/>
            </w:tcBorders>
            <w:shd w:val="clear" w:color="000000" w:fill="FFFFFF"/>
            <w:noWrap/>
            <w:vAlign w:val="center"/>
            <w:hideMark/>
          </w:tcPr>
          <w:p w14:paraId="7F8288C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49</w:t>
            </w:r>
          </w:p>
        </w:tc>
        <w:tc>
          <w:tcPr>
            <w:tcW w:w="827" w:type="dxa"/>
            <w:gridSpan w:val="2"/>
            <w:tcBorders>
              <w:top w:val="nil"/>
              <w:left w:val="nil"/>
              <w:bottom w:val="nil"/>
              <w:right w:val="nil"/>
            </w:tcBorders>
            <w:shd w:val="clear" w:color="000000" w:fill="FFFFFF"/>
            <w:noWrap/>
            <w:vAlign w:val="center"/>
            <w:hideMark/>
          </w:tcPr>
          <w:p w14:paraId="302D86D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5D9B14B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003D6929" w14:textId="77777777" w:rsidTr="00C07CB8">
        <w:trPr>
          <w:trHeight w:val="480"/>
        </w:trPr>
        <w:tc>
          <w:tcPr>
            <w:tcW w:w="2997" w:type="dxa"/>
            <w:tcBorders>
              <w:top w:val="nil"/>
              <w:left w:val="nil"/>
              <w:bottom w:val="nil"/>
              <w:right w:val="nil"/>
            </w:tcBorders>
            <w:shd w:val="clear" w:color="000000" w:fill="FFFFFF"/>
            <w:vAlign w:val="center"/>
            <w:hideMark/>
          </w:tcPr>
          <w:p w14:paraId="34AEBE39"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RABO BANK FINANCIAL GLOBAL MARKET</w:t>
            </w:r>
          </w:p>
        </w:tc>
        <w:tc>
          <w:tcPr>
            <w:tcW w:w="1729" w:type="dxa"/>
            <w:gridSpan w:val="2"/>
            <w:tcBorders>
              <w:top w:val="nil"/>
              <w:left w:val="nil"/>
              <w:bottom w:val="nil"/>
              <w:right w:val="nil"/>
            </w:tcBorders>
            <w:shd w:val="clear" w:color="000000" w:fill="FFFFFF"/>
            <w:noWrap/>
            <w:vAlign w:val="center"/>
            <w:hideMark/>
          </w:tcPr>
          <w:p w14:paraId="2EC460A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UNITED KINGDOM</w:t>
            </w:r>
          </w:p>
        </w:tc>
        <w:tc>
          <w:tcPr>
            <w:tcW w:w="1647" w:type="dxa"/>
            <w:tcBorders>
              <w:top w:val="nil"/>
              <w:left w:val="nil"/>
              <w:bottom w:val="nil"/>
              <w:right w:val="nil"/>
            </w:tcBorders>
            <w:shd w:val="clear" w:color="000000" w:fill="FFFFFF"/>
            <w:noWrap/>
            <w:vAlign w:val="center"/>
            <w:hideMark/>
          </w:tcPr>
          <w:p w14:paraId="3EBCDF9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LONDON</w:t>
            </w:r>
          </w:p>
        </w:tc>
        <w:tc>
          <w:tcPr>
            <w:tcW w:w="621" w:type="dxa"/>
            <w:tcBorders>
              <w:top w:val="nil"/>
              <w:left w:val="nil"/>
              <w:bottom w:val="nil"/>
              <w:right w:val="nil"/>
            </w:tcBorders>
            <w:shd w:val="clear" w:color="000000" w:fill="FFFFFF"/>
            <w:noWrap/>
            <w:vAlign w:val="center"/>
            <w:hideMark/>
          </w:tcPr>
          <w:p w14:paraId="6EDAF73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816</w:t>
            </w:r>
          </w:p>
        </w:tc>
        <w:tc>
          <w:tcPr>
            <w:tcW w:w="621" w:type="dxa"/>
            <w:tcBorders>
              <w:top w:val="nil"/>
              <w:left w:val="nil"/>
              <w:bottom w:val="nil"/>
              <w:right w:val="nil"/>
            </w:tcBorders>
            <w:shd w:val="clear" w:color="000000" w:fill="FFFFFF"/>
            <w:noWrap/>
            <w:vAlign w:val="center"/>
            <w:hideMark/>
          </w:tcPr>
          <w:p w14:paraId="614B559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133</w:t>
            </w:r>
          </w:p>
        </w:tc>
        <w:tc>
          <w:tcPr>
            <w:tcW w:w="621" w:type="dxa"/>
            <w:tcBorders>
              <w:top w:val="nil"/>
              <w:left w:val="nil"/>
              <w:bottom w:val="nil"/>
              <w:right w:val="nil"/>
            </w:tcBorders>
            <w:shd w:val="clear" w:color="000000" w:fill="FFFFFF"/>
            <w:noWrap/>
            <w:vAlign w:val="center"/>
            <w:hideMark/>
          </w:tcPr>
          <w:p w14:paraId="221E924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562</w:t>
            </w:r>
          </w:p>
        </w:tc>
        <w:tc>
          <w:tcPr>
            <w:tcW w:w="827" w:type="dxa"/>
            <w:gridSpan w:val="2"/>
            <w:tcBorders>
              <w:top w:val="nil"/>
              <w:left w:val="nil"/>
              <w:bottom w:val="nil"/>
              <w:right w:val="nil"/>
            </w:tcBorders>
            <w:shd w:val="clear" w:color="000000" w:fill="FFFFFF"/>
            <w:noWrap/>
            <w:vAlign w:val="center"/>
            <w:hideMark/>
          </w:tcPr>
          <w:p w14:paraId="479C1B8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587</w:t>
            </w:r>
          </w:p>
        </w:tc>
        <w:tc>
          <w:tcPr>
            <w:tcW w:w="621" w:type="dxa"/>
            <w:tcBorders>
              <w:top w:val="nil"/>
              <w:left w:val="nil"/>
              <w:bottom w:val="nil"/>
              <w:right w:val="nil"/>
            </w:tcBorders>
            <w:shd w:val="clear" w:color="000000" w:fill="FFFFFF"/>
            <w:noWrap/>
            <w:vAlign w:val="center"/>
            <w:hideMark/>
          </w:tcPr>
          <w:p w14:paraId="4AD8F50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603</w:t>
            </w:r>
          </w:p>
        </w:tc>
      </w:tr>
      <w:tr w:rsidR="002A0AD1" w:rsidRPr="002F5246" w14:paraId="492616D8" w14:textId="77777777" w:rsidTr="00C07CB8">
        <w:trPr>
          <w:trHeight w:val="255"/>
        </w:trPr>
        <w:tc>
          <w:tcPr>
            <w:tcW w:w="2997" w:type="dxa"/>
            <w:tcBorders>
              <w:top w:val="nil"/>
              <w:left w:val="nil"/>
              <w:bottom w:val="nil"/>
              <w:right w:val="nil"/>
            </w:tcBorders>
            <w:shd w:val="clear" w:color="000000" w:fill="FFFFFF"/>
            <w:vAlign w:val="center"/>
            <w:hideMark/>
          </w:tcPr>
          <w:p w14:paraId="4EF80C48"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RAIFFEISEN BANK</w:t>
            </w:r>
          </w:p>
        </w:tc>
        <w:tc>
          <w:tcPr>
            <w:tcW w:w="1729" w:type="dxa"/>
            <w:gridSpan w:val="2"/>
            <w:tcBorders>
              <w:top w:val="nil"/>
              <w:left w:val="nil"/>
              <w:bottom w:val="nil"/>
              <w:right w:val="nil"/>
            </w:tcBorders>
            <w:shd w:val="clear" w:color="000000" w:fill="FFFFFF"/>
            <w:noWrap/>
            <w:vAlign w:val="center"/>
            <w:hideMark/>
          </w:tcPr>
          <w:p w14:paraId="1CFBFD7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ALBANIA</w:t>
            </w:r>
          </w:p>
        </w:tc>
        <w:tc>
          <w:tcPr>
            <w:tcW w:w="1647" w:type="dxa"/>
            <w:tcBorders>
              <w:top w:val="nil"/>
              <w:left w:val="nil"/>
              <w:bottom w:val="nil"/>
              <w:right w:val="nil"/>
            </w:tcBorders>
            <w:shd w:val="clear" w:color="000000" w:fill="FFFFFF"/>
            <w:noWrap/>
            <w:vAlign w:val="center"/>
            <w:hideMark/>
          </w:tcPr>
          <w:p w14:paraId="0A36FE1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TIRANA</w:t>
            </w:r>
          </w:p>
        </w:tc>
        <w:tc>
          <w:tcPr>
            <w:tcW w:w="621" w:type="dxa"/>
            <w:tcBorders>
              <w:top w:val="nil"/>
              <w:left w:val="nil"/>
              <w:bottom w:val="nil"/>
              <w:right w:val="nil"/>
            </w:tcBorders>
            <w:shd w:val="clear" w:color="000000" w:fill="FFFFFF"/>
            <w:noWrap/>
            <w:vAlign w:val="center"/>
            <w:hideMark/>
          </w:tcPr>
          <w:p w14:paraId="7ABEA5F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7EF237B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2D4F736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24</w:t>
            </w:r>
          </w:p>
        </w:tc>
        <w:tc>
          <w:tcPr>
            <w:tcW w:w="827" w:type="dxa"/>
            <w:gridSpan w:val="2"/>
            <w:tcBorders>
              <w:top w:val="nil"/>
              <w:left w:val="nil"/>
              <w:bottom w:val="nil"/>
              <w:right w:val="nil"/>
            </w:tcBorders>
            <w:shd w:val="clear" w:color="000000" w:fill="FFFFFF"/>
            <w:noWrap/>
            <w:vAlign w:val="center"/>
            <w:hideMark/>
          </w:tcPr>
          <w:p w14:paraId="4469949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21760EE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4BE1D0A9" w14:textId="77777777" w:rsidTr="00C07CB8">
        <w:trPr>
          <w:trHeight w:val="255"/>
        </w:trPr>
        <w:tc>
          <w:tcPr>
            <w:tcW w:w="2997" w:type="dxa"/>
            <w:tcBorders>
              <w:top w:val="nil"/>
              <w:left w:val="nil"/>
              <w:bottom w:val="nil"/>
              <w:right w:val="nil"/>
            </w:tcBorders>
            <w:shd w:val="clear" w:color="000000" w:fill="FFFFFF"/>
            <w:vAlign w:val="center"/>
            <w:hideMark/>
          </w:tcPr>
          <w:p w14:paraId="55474A63"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RBS</w:t>
            </w:r>
          </w:p>
        </w:tc>
        <w:tc>
          <w:tcPr>
            <w:tcW w:w="1729" w:type="dxa"/>
            <w:gridSpan w:val="2"/>
            <w:tcBorders>
              <w:top w:val="nil"/>
              <w:left w:val="nil"/>
              <w:bottom w:val="nil"/>
              <w:right w:val="nil"/>
            </w:tcBorders>
            <w:shd w:val="clear" w:color="000000" w:fill="FFFFFF"/>
            <w:noWrap/>
            <w:vAlign w:val="center"/>
            <w:hideMark/>
          </w:tcPr>
          <w:p w14:paraId="2AFDA3B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UNITED KINGDOM</w:t>
            </w:r>
          </w:p>
        </w:tc>
        <w:tc>
          <w:tcPr>
            <w:tcW w:w="1647" w:type="dxa"/>
            <w:tcBorders>
              <w:top w:val="nil"/>
              <w:left w:val="nil"/>
              <w:bottom w:val="nil"/>
              <w:right w:val="nil"/>
            </w:tcBorders>
            <w:shd w:val="clear" w:color="000000" w:fill="FFFFFF"/>
            <w:noWrap/>
            <w:vAlign w:val="center"/>
            <w:hideMark/>
          </w:tcPr>
          <w:p w14:paraId="5F7E5E9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LONDON</w:t>
            </w:r>
          </w:p>
        </w:tc>
        <w:tc>
          <w:tcPr>
            <w:tcW w:w="621" w:type="dxa"/>
            <w:tcBorders>
              <w:top w:val="nil"/>
              <w:left w:val="nil"/>
              <w:bottom w:val="nil"/>
              <w:right w:val="nil"/>
            </w:tcBorders>
            <w:shd w:val="clear" w:color="000000" w:fill="FFFFFF"/>
            <w:noWrap/>
            <w:vAlign w:val="center"/>
            <w:hideMark/>
          </w:tcPr>
          <w:p w14:paraId="0DFFF97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2,070</w:t>
            </w:r>
          </w:p>
        </w:tc>
        <w:tc>
          <w:tcPr>
            <w:tcW w:w="621" w:type="dxa"/>
            <w:tcBorders>
              <w:top w:val="nil"/>
              <w:left w:val="nil"/>
              <w:bottom w:val="nil"/>
              <w:right w:val="nil"/>
            </w:tcBorders>
            <w:shd w:val="clear" w:color="000000" w:fill="FFFFFF"/>
            <w:noWrap/>
            <w:vAlign w:val="center"/>
            <w:hideMark/>
          </w:tcPr>
          <w:p w14:paraId="3012E51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1,624</w:t>
            </w:r>
          </w:p>
        </w:tc>
        <w:tc>
          <w:tcPr>
            <w:tcW w:w="621" w:type="dxa"/>
            <w:tcBorders>
              <w:top w:val="nil"/>
              <w:left w:val="nil"/>
              <w:bottom w:val="nil"/>
              <w:right w:val="nil"/>
            </w:tcBorders>
            <w:shd w:val="clear" w:color="000000" w:fill="FFFFFF"/>
            <w:noWrap/>
            <w:vAlign w:val="center"/>
            <w:hideMark/>
          </w:tcPr>
          <w:p w14:paraId="5FEB4B11"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2,765</w:t>
            </w:r>
          </w:p>
        </w:tc>
        <w:tc>
          <w:tcPr>
            <w:tcW w:w="827" w:type="dxa"/>
            <w:gridSpan w:val="2"/>
            <w:tcBorders>
              <w:top w:val="nil"/>
              <w:left w:val="nil"/>
              <w:bottom w:val="nil"/>
              <w:right w:val="nil"/>
            </w:tcBorders>
            <w:shd w:val="clear" w:color="000000" w:fill="FFFFFF"/>
            <w:noWrap/>
            <w:vAlign w:val="center"/>
            <w:hideMark/>
          </w:tcPr>
          <w:p w14:paraId="35730A4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2,552</w:t>
            </w:r>
          </w:p>
        </w:tc>
        <w:tc>
          <w:tcPr>
            <w:tcW w:w="621" w:type="dxa"/>
            <w:tcBorders>
              <w:top w:val="nil"/>
              <w:left w:val="nil"/>
              <w:bottom w:val="nil"/>
              <w:right w:val="nil"/>
            </w:tcBorders>
            <w:shd w:val="clear" w:color="000000" w:fill="FFFFFF"/>
            <w:noWrap/>
            <w:vAlign w:val="center"/>
            <w:hideMark/>
          </w:tcPr>
          <w:p w14:paraId="195E25E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1,983</w:t>
            </w:r>
          </w:p>
        </w:tc>
      </w:tr>
      <w:tr w:rsidR="002A0AD1" w:rsidRPr="002F5246" w14:paraId="47CBFA6A" w14:textId="77777777" w:rsidTr="00C07CB8">
        <w:trPr>
          <w:trHeight w:val="255"/>
        </w:trPr>
        <w:tc>
          <w:tcPr>
            <w:tcW w:w="2997" w:type="dxa"/>
            <w:tcBorders>
              <w:top w:val="nil"/>
              <w:left w:val="nil"/>
              <w:bottom w:val="nil"/>
              <w:right w:val="nil"/>
            </w:tcBorders>
            <w:shd w:val="clear" w:color="000000" w:fill="FFFFFF"/>
            <w:vAlign w:val="center"/>
            <w:hideMark/>
          </w:tcPr>
          <w:p w14:paraId="310EBBE3"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SANTANDER</w:t>
            </w:r>
          </w:p>
        </w:tc>
        <w:tc>
          <w:tcPr>
            <w:tcW w:w="1729" w:type="dxa"/>
            <w:gridSpan w:val="2"/>
            <w:tcBorders>
              <w:top w:val="nil"/>
              <w:left w:val="nil"/>
              <w:bottom w:val="nil"/>
              <w:right w:val="nil"/>
            </w:tcBorders>
            <w:shd w:val="clear" w:color="000000" w:fill="FFFFFF"/>
            <w:noWrap/>
            <w:vAlign w:val="center"/>
            <w:hideMark/>
          </w:tcPr>
          <w:p w14:paraId="1D4ABAC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SPAIN</w:t>
            </w:r>
          </w:p>
        </w:tc>
        <w:tc>
          <w:tcPr>
            <w:tcW w:w="1647" w:type="dxa"/>
            <w:tcBorders>
              <w:top w:val="nil"/>
              <w:left w:val="nil"/>
              <w:bottom w:val="nil"/>
              <w:right w:val="nil"/>
            </w:tcBorders>
            <w:shd w:val="clear" w:color="000000" w:fill="FFFFFF"/>
            <w:noWrap/>
            <w:vAlign w:val="center"/>
            <w:hideMark/>
          </w:tcPr>
          <w:p w14:paraId="56ECFAF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MADRID</w:t>
            </w:r>
          </w:p>
        </w:tc>
        <w:tc>
          <w:tcPr>
            <w:tcW w:w="621" w:type="dxa"/>
            <w:tcBorders>
              <w:top w:val="nil"/>
              <w:left w:val="nil"/>
              <w:bottom w:val="nil"/>
              <w:right w:val="nil"/>
            </w:tcBorders>
            <w:shd w:val="clear" w:color="000000" w:fill="FFFFFF"/>
            <w:noWrap/>
            <w:vAlign w:val="center"/>
            <w:hideMark/>
          </w:tcPr>
          <w:p w14:paraId="5C642A1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224</w:t>
            </w:r>
          </w:p>
        </w:tc>
        <w:tc>
          <w:tcPr>
            <w:tcW w:w="621" w:type="dxa"/>
            <w:tcBorders>
              <w:top w:val="nil"/>
              <w:left w:val="nil"/>
              <w:bottom w:val="nil"/>
              <w:right w:val="nil"/>
            </w:tcBorders>
            <w:shd w:val="clear" w:color="000000" w:fill="FFFFFF"/>
            <w:noWrap/>
            <w:vAlign w:val="center"/>
            <w:hideMark/>
          </w:tcPr>
          <w:p w14:paraId="09B0CC0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w:t>
            </w:r>
          </w:p>
        </w:tc>
        <w:tc>
          <w:tcPr>
            <w:tcW w:w="621" w:type="dxa"/>
            <w:tcBorders>
              <w:top w:val="nil"/>
              <w:left w:val="nil"/>
              <w:bottom w:val="nil"/>
              <w:right w:val="nil"/>
            </w:tcBorders>
            <w:shd w:val="clear" w:color="000000" w:fill="FFFFFF"/>
            <w:noWrap/>
            <w:vAlign w:val="center"/>
            <w:hideMark/>
          </w:tcPr>
          <w:p w14:paraId="5E90813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827" w:type="dxa"/>
            <w:gridSpan w:val="2"/>
            <w:tcBorders>
              <w:top w:val="nil"/>
              <w:left w:val="nil"/>
              <w:bottom w:val="nil"/>
              <w:right w:val="nil"/>
            </w:tcBorders>
            <w:shd w:val="clear" w:color="000000" w:fill="FFFFFF"/>
            <w:noWrap/>
            <w:vAlign w:val="center"/>
            <w:hideMark/>
          </w:tcPr>
          <w:p w14:paraId="5F710EB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209</w:t>
            </w:r>
          </w:p>
        </w:tc>
        <w:tc>
          <w:tcPr>
            <w:tcW w:w="621" w:type="dxa"/>
            <w:tcBorders>
              <w:top w:val="nil"/>
              <w:left w:val="nil"/>
              <w:bottom w:val="nil"/>
              <w:right w:val="nil"/>
            </w:tcBorders>
            <w:shd w:val="clear" w:color="000000" w:fill="FFFFFF"/>
            <w:noWrap/>
            <w:vAlign w:val="center"/>
            <w:hideMark/>
          </w:tcPr>
          <w:p w14:paraId="0F4E3EC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2704D40C" w14:textId="77777777" w:rsidTr="00C07CB8">
        <w:trPr>
          <w:trHeight w:val="255"/>
        </w:trPr>
        <w:tc>
          <w:tcPr>
            <w:tcW w:w="2997" w:type="dxa"/>
            <w:tcBorders>
              <w:top w:val="nil"/>
              <w:left w:val="nil"/>
              <w:bottom w:val="nil"/>
              <w:right w:val="nil"/>
            </w:tcBorders>
            <w:shd w:val="clear" w:color="000000" w:fill="FFFFFF"/>
            <w:vAlign w:val="center"/>
            <w:hideMark/>
          </w:tcPr>
          <w:p w14:paraId="77529A55"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SKANDINAVISKA ENSKILDA BANK</w:t>
            </w:r>
          </w:p>
        </w:tc>
        <w:tc>
          <w:tcPr>
            <w:tcW w:w="1729" w:type="dxa"/>
            <w:gridSpan w:val="2"/>
            <w:tcBorders>
              <w:top w:val="nil"/>
              <w:left w:val="nil"/>
              <w:bottom w:val="nil"/>
              <w:right w:val="nil"/>
            </w:tcBorders>
            <w:shd w:val="clear" w:color="000000" w:fill="FFFFFF"/>
            <w:noWrap/>
            <w:vAlign w:val="center"/>
            <w:hideMark/>
          </w:tcPr>
          <w:p w14:paraId="36F7A95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SWEDEN</w:t>
            </w:r>
          </w:p>
        </w:tc>
        <w:tc>
          <w:tcPr>
            <w:tcW w:w="1647" w:type="dxa"/>
            <w:tcBorders>
              <w:top w:val="nil"/>
              <w:left w:val="nil"/>
              <w:bottom w:val="nil"/>
              <w:right w:val="nil"/>
            </w:tcBorders>
            <w:shd w:val="clear" w:color="000000" w:fill="FFFFFF"/>
            <w:noWrap/>
            <w:vAlign w:val="center"/>
            <w:hideMark/>
          </w:tcPr>
          <w:p w14:paraId="5627346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STOCKHOLM</w:t>
            </w:r>
          </w:p>
        </w:tc>
        <w:tc>
          <w:tcPr>
            <w:tcW w:w="621" w:type="dxa"/>
            <w:tcBorders>
              <w:top w:val="nil"/>
              <w:left w:val="nil"/>
              <w:bottom w:val="nil"/>
              <w:right w:val="nil"/>
            </w:tcBorders>
            <w:shd w:val="clear" w:color="000000" w:fill="FFFFFF"/>
            <w:noWrap/>
            <w:vAlign w:val="center"/>
            <w:hideMark/>
          </w:tcPr>
          <w:p w14:paraId="39126B8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756</w:t>
            </w:r>
          </w:p>
        </w:tc>
        <w:tc>
          <w:tcPr>
            <w:tcW w:w="621" w:type="dxa"/>
            <w:tcBorders>
              <w:top w:val="nil"/>
              <w:left w:val="nil"/>
              <w:bottom w:val="nil"/>
              <w:right w:val="nil"/>
            </w:tcBorders>
            <w:shd w:val="clear" w:color="000000" w:fill="FFFFFF"/>
            <w:noWrap/>
            <w:vAlign w:val="center"/>
            <w:hideMark/>
          </w:tcPr>
          <w:p w14:paraId="12B3C32F"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413</w:t>
            </w:r>
          </w:p>
        </w:tc>
        <w:tc>
          <w:tcPr>
            <w:tcW w:w="621" w:type="dxa"/>
            <w:tcBorders>
              <w:top w:val="nil"/>
              <w:left w:val="nil"/>
              <w:bottom w:val="nil"/>
              <w:right w:val="nil"/>
            </w:tcBorders>
            <w:shd w:val="clear" w:color="000000" w:fill="FFFFFF"/>
            <w:noWrap/>
            <w:vAlign w:val="center"/>
            <w:hideMark/>
          </w:tcPr>
          <w:p w14:paraId="15538AD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827" w:type="dxa"/>
            <w:gridSpan w:val="2"/>
            <w:tcBorders>
              <w:top w:val="nil"/>
              <w:left w:val="nil"/>
              <w:bottom w:val="nil"/>
              <w:right w:val="nil"/>
            </w:tcBorders>
            <w:shd w:val="clear" w:color="000000" w:fill="FFFFFF"/>
            <w:noWrap/>
            <w:vAlign w:val="center"/>
            <w:hideMark/>
          </w:tcPr>
          <w:p w14:paraId="05BBEB3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153B825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738</w:t>
            </w:r>
          </w:p>
        </w:tc>
      </w:tr>
      <w:tr w:rsidR="002A0AD1" w:rsidRPr="002F5246" w14:paraId="7BF8FAB5" w14:textId="77777777" w:rsidTr="00C07CB8">
        <w:trPr>
          <w:trHeight w:val="255"/>
        </w:trPr>
        <w:tc>
          <w:tcPr>
            <w:tcW w:w="2997" w:type="dxa"/>
            <w:tcBorders>
              <w:top w:val="nil"/>
              <w:left w:val="nil"/>
              <w:bottom w:val="nil"/>
              <w:right w:val="nil"/>
            </w:tcBorders>
            <w:shd w:val="clear" w:color="000000" w:fill="FFFFFF"/>
            <w:vAlign w:val="center"/>
            <w:hideMark/>
          </w:tcPr>
          <w:p w14:paraId="7F4794EA"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SOCIETE GENERALE</w:t>
            </w:r>
          </w:p>
        </w:tc>
        <w:tc>
          <w:tcPr>
            <w:tcW w:w="1729" w:type="dxa"/>
            <w:gridSpan w:val="2"/>
            <w:tcBorders>
              <w:top w:val="nil"/>
              <w:left w:val="nil"/>
              <w:bottom w:val="nil"/>
              <w:right w:val="nil"/>
            </w:tcBorders>
            <w:shd w:val="clear" w:color="000000" w:fill="FFFFFF"/>
            <w:noWrap/>
            <w:vAlign w:val="center"/>
            <w:hideMark/>
          </w:tcPr>
          <w:p w14:paraId="7828DCED"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FRANCE</w:t>
            </w:r>
          </w:p>
        </w:tc>
        <w:tc>
          <w:tcPr>
            <w:tcW w:w="1647" w:type="dxa"/>
            <w:tcBorders>
              <w:top w:val="nil"/>
              <w:left w:val="nil"/>
              <w:bottom w:val="nil"/>
              <w:right w:val="nil"/>
            </w:tcBorders>
            <w:shd w:val="clear" w:color="000000" w:fill="FFFFFF"/>
            <w:noWrap/>
            <w:vAlign w:val="center"/>
            <w:hideMark/>
          </w:tcPr>
          <w:p w14:paraId="52B05D1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PARIS</w:t>
            </w:r>
          </w:p>
        </w:tc>
        <w:tc>
          <w:tcPr>
            <w:tcW w:w="621" w:type="dxa"/>
            <w:tcBorders>
              <w:top w:val="nil"/>
              <w:left w:val="nil"/>
              <w:bottom w:val="nil"/>
              <w:right w:val="nil"/>
            </w:tcBorders>
            <w:shd w:val="clear" w:color="000000" w:fill="FFFFFF"/>
            <w:noWrap/>
            <w:vAlign w:val="center"/>
            <w:hideMark/>
          </w:tcPr>
          <w:p w14:paraId="52F12CD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576</w:t>
            </w:r>
          </w:p>
        </w:tc>
        <w:tc>
          <w:tcPr>
            <w:tcW w:w="621" w:type="dxa"/>
            <w:tcBorders>
              <w:top w:val="nil"/>
              <w:left w:val="nil"/>
              <w:bottom w:val="nil"/>
              <w:right w:val="nil"/>
            </w:tcBorders>
            <w:shd w:val="clear" w:color="000000" w:fill="FFFFFF"/>
            <w:noWrap/>
            <w:vAlign w:val="center"/>
            <w:hideMark/>
          </w:tcPr>
          <w:p w14:paraId="09518E3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857</w:t>
            </w:r>
          </w:p>
        </w:tc>
        <w:tc>
          <w:tcPr>
            <w:tcW w:w="621" w:type="dxa"/>
            <w:tcBorders>
              <w:top w:val="nil"/>
              <w:left w:val="nil"/>
              <w:bottom w:val="nil"/>
              <w:right w:val="nil"/>
            </w:tcBorders>
            <w:shd w:val="clear" w:color="000000" w:fill="FFFFFF"/>
            <w:noWrap/>
            <w:vAlign w:val="center"/>
            <w:hideMark/>
          </w:tcPr>
          <w:p w14:paraId="18C8CB1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677</w:t>
            </w:r>
          </w:p>
        </w:tc>
        <w:tc>
          <w:tcPr>
            <w:tcW w:w="827" w:type="dxa"/>
            <w:gridSpan w:val="2"/>
            <w:tcBorders>
              <w:top w:val="nil"/>
              <w:left w:val="nil"/>
              <w:bottom w:val="nil"/>
              <w:right w:val="nil"/>
            </w:tcBorders>
            <w:shd w:val="clear" w:color="000000" w:fill="FFFFFF"/>
            <w:noWrap/>
            <w:vAlign w:val="center"/>
            <w:hideMark/>
          </w:tcPr>
          <w:p w14:paraId="7EE0679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c>
          <w:tcPr>
            <w:tcW w:w="621" w:type="dxa"/>
            <w:tcBorders>
              <w:top w:val="nil"/>
              <w:left w:val="nil"/>
              <w:bottom w:val="nil"/>
              <w:right w:val="nil"/>
            </w:tcBorders>
            <w:shd w:val="clear" w:color="000000" w:fill="FFFFFF"/>
            <w:noWrap/>
            <w:vAlign w:val="center"/>
            <w:hideMark/>
          </w:tcPr>
          <w:p w14:paraId="01F3AB22"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264</w:t>
            </w:r>
          </w:p>
        </w:tc>
      </w:tr>
      <w:tr w:rsidR="002A0AD1" w:rsidRPr="002F5246" w14:paraId="053349BC" w14:textId="77777777" w:rsidTr="00C07CB8">
        <w:trPr>
          <w:trHeight w:val="255"/>
        </w:trPr>
        <w:tc>
          <w:tcPr>
            <w:tcW w:w="2997" w:type="dxa"/>
            <w:tcBorders>
              <w:top w:val="nil"/>
              <w:left w:val="nil"/>
              <w:bottom w:val="nil"/>
              <w:right w:val="nil"/>
            </w:tcBorders>
            <w:shd w:val="clear" w:color="000000" w:fill="FFFFFF"/>
            <w:vAlign w:val="center"/>
            <w:hideMark/>
          </w:tcPr>
          <w:p w14:paraId="19B6FD47"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UBS</w:t>
            </w:r>
          </w:p>
        </w:tc>
        <w:tc>
          <w:tcPr>
            <w:tcW w:w="1729" w:type="dxa"/>
            <w:gridSpan w:val="2"/>
            <w:tcBorders>
              <w:top w:val="nil"/>
              <w:left w:val="nil"/>
              <w:bottom w:val="nil"/>
              <w:right w:val="nil"/>
            </w:tcBorders>
            <w:shd w:val="clear" w:color="000000" w:fill="FFFFFF"/>
            <w:noWrap/>
            <w:vAlign w:val="center"/>
            <w:hideMark/>
          </w:tcPr>
          <w:p w14:paraId="1C1F393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SWITZERLAND</w:t>
            </w:r>
          </w:p>
        </w:tc>
        <w:tc>
          <w:tcPr>
            <w:tcW w:w="1647" w:type="dxa"/>
            <w:tcBorders>
              <w:top w:val="nil"/>
              <w:left w:val="nil"/>
              <w:bottom w:val="nil"/>
              <w:right w:val="nil"/>
            </w:tcBorders>
            <w:shd w:val="clear" w:color="000000" w:fill="FFFFFF"/>
            <w:noWrap/>
            <w:vAlign w:val="center"/>
            <w:hideMark/>
          </w:tcPr>
          <w:p w14:paraId="74E334E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ZURICH</w:t>
            </w:r>
          </w:p>
        </w:tc>
        <w:tc>
          <w:tcPr>
            <w:tcW w:w="621" w:type="dxa"/>
            <w:tcBorders>
              <w:top w:val="nil"/>
              <w:left w:val="nil"/>
              <w:bottom w:val="nil"/>
              <w:right w:val="nil"/>
            </w:tcBorders>
            <w:shd w:val="clear" w:color="000000" w:fill="FFFFFF"/>
            <w:noWrap/>
            <w:vAlign w:val="center"/>
            <w:hideMark/>
          </w:tcPr>
          <w:p w14:paraId="4B711254"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368</w:t>
            </w:r>
          </w:p>
        </w:tc>
        <w:tc>
          <w:tcPr>
            <w:tcW w:w="621" w:type="dxa"/>
            <w:tcBorders>
              <w:top w:val="nil"/>
              <w:left w:val="nil"/>
              <w:bottom w:val="nil"/>
              <w:right w:val="nil"/>
            </w:tcBorders>
            <w:shd w:val="clear" w:color="000000" w:fill="FFFFFF"/>
            <w:noWrap/>
            <w:vAlign w:val="center"/>
            <w:hideMark/>
          </w:tcPr>
          <w:p w14:paraId="4BD8F1F6"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385</w:t>
            </w:r>
          </w:p>
        </w:tc>
        <w:tc>
          <w:tcPr>
            <w:tcW w:w="621" w:type="dxa"/>
            <w:tcBorders>
              <w:top w:val="nil"/>
              <w:left w:val="nil"/>
              <w:bottom w:val="nil"/>
              <w:right w:val="nil"/>
            </w:tcBorders>
            <w:shd w:val="clear" w:color="000000" w:fill="FFFFFF"/>
            <w:noWrap/>
            <w:vAlign w:val="center"/>
            <w:hideMark/>
          </w:tcPr>
          <w:p w14:paraId="5CC75537"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378</w:t>
            </w:r>
          </w:p>
        </w:tc>
        <w:tc>
          <w:tcPr>
            <w:tcW w:w="827" w:type="dxa"/>
            <w:gridSpan w:val="2"/>
            <w:tcBorders>
              <w:top w:val="nil"/>
              <w:left w:val="nil"/>
              <w:bottom w:val="nil"/>
              <w:right w:val="nil"/>
            </w:tcBorders>
            <w:shd w:val="clear" w:color="000000" w:fill="FFFFFF"/>
            <w:noWrap/>
            <w:vAlign w:val="center"/>
            <w:hideMark/>
          </w:tcPr>
          <w:p w14:paraId="009F20AC"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375</w:t>
            </w:r>
          </w:p>
        </w:tc>
        <w:tc>
          <w:tcPr>
            <w:tcW w:w="621" w:type="dxa"/>
            <w:tcBorders>
              <w:top w:val="nil"/>
              <w:left w:val="nil"/>
              <w:bottom w:val="nil"/>
              <w:right w:val="nil"/>
            </w:tcBorders>
            <w:shd w:val="clear" w:color="000000" w:fill="FFFFFF"/>
            <w:noWrap/>
            <w:vAlign w:val="center"/>
            <w:hideMark/>
          </w:tcPr>
          <w:p w14:paraId="73B516A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306</w:t>
            </w:r>
          </w:p>
        </w:tc>
      </w:tr>
      <w:tr w:rsidR="002A0AD1" w:rsidRPr="002F5246" w14:paraId="48A08038" w14:textId="77777777" w:rsidTr="00C07CB8">
        <w:trPr>
          <w:trHeight w:val="255"/>
        </w:trPr>
        <w:tc>
          <w:tcPr>
            <w:tcW w:w="2997" w:type="dxa"/>
            <w:tcBorders>
              <w:top w:val="nil"/>
              <w:left w:val="nil"/>
              <w:bottom w:val="nil"/>
              <w:right w:val="nil"/>
            </w:tcBorders>
            <w:shd w:val="clear" w:color="000000" w:fill="FFFFFF"/>
            <w:vAlign w:val="center"/>
            <w:hideMark/>
          </w:tcPr>
          <w:p w14:paraId="1BA06560"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WGZ BANK</w:t>
            </w:r>
          </w:p>
        </w:tc>
        <w:tc>
          <w:tcPr>
            <w:tcW w:w="1729" w:type="dxa"/>
            <w:gridSpan w:val="2"/>
            <w:tcBorders>
              <w:top w:val="nil"/>
              <w:left w:val="nil"/>
              <w:bottom w:val="nil"/>
              <w:right w:val="nil"/>
            </w:tcBorders>
            <w:shd w:val="clear" w:color="000000" w:fill="FFFFFF"/>
            <w:noWrap/>
            <w:vAlign w:val="center"/>
            <w:hideMark/>
          </w:tcPr>
          <w:p w14:paraId="735DD090"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GERMANY</w:t>
            </w:r>
          </w:p>
        </w:tc>
        <w:tc>
          <w:tcPr>
            <w:tcW w:w="1647" w:type="dxa"/>
            <w:tcBorders>
              <w:top w:val="nil"/>
              <w:left w:val="nil"/>
              <w:bottom w:val="nil"/>
              <w:right w:val="nil"/>
            </w:tcBorders>
            <w:shd w:val="clear" w:color="000000" w:fill="FFFFFF"/>
            <w:noWrap/>
            <w:vAlign w:val="center"/>
            <w:hideMark/>
          </w:tcPr>
          <w:p w14:paraId="71172975"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DÜSSELDORF</w:t>
            </w:r>
          </w:p>
        </w:tc>
        <w:tc>
          <w:tcPr>
            <w:tcW w:w="621" w:type="dxa"/>
            <w:tcBorders>
              <w:top w:val="nil"/>
              <w:left w:val="nil"/>
              <w:bottom w:val="nil"/>
              <w:right w:val="nil"/>
            </w:tcBorders>
            <w:shd w:val="clear" w:color="000000" w:fill="FFFFFF"/>
            <w:noWrap/>
            <w:vAlign w:val="center"/>
            <w:hideMark/>
          </w:tcPr>
          <w:p w14:paraId="209E652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912</w:t>
            </w:r>
          </w:p>
        </w:tc>
        <w:tc>
          <w:tcPr>
            <w:tcW w:w="621" w:type="dxa"/>
            <w:tcBorders>
              <w:top w:val="nil"/>
              <w:left w:val="nil"/>
              <w:bottom w:val="nil"/>
              <w:right w:val="nil"/>
            </w:tcBorders>
            <w:shd w:val="clear" w:color="000000" w:fill="FFFFFF"/>
            <w:noWrap/>
            <w:vAlign w:val="center"/>
            <w:hideMark/>
          </w:tcPr>
          <w:p w14:paraId="779BD93E"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925</w:t>
            </w:r>
          </w:p>
        </w:tc>
        <w:tc>
          <w:tcPr>
            <w:tcW w:w="621" w:type="dxa"/>
            <w:tcBorders>
              <w:top w:val="nil"/>
              <w:left w:val="nil"/>
              <w:bottom w:val="nil"/>
              <w:right w:val="nil"/>
            </w:tcBorders>
            <w:shd w:val="clear" w:color="000000" w:fill="FFFFFF"/>
            <w:noWrap/>
            <w:vAlign w:val="center"/>
            <w:hideMark/>
          </w:tcPr>
          <w:p w14:paraId="30EA0953"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815</w:t>
            </w:r>
          </w:p>
        </w:tc>
        <w:tc>
          <w:tcPr>
            <w:tcW w:w="827" w:type="dxa"/>
            <w:gridSpan w:val="2"/>
            <w:tcBorders>
              <w:top w:val="nil"/>
              <w:left w:val="nil"/>
              <w:bottom w:val="nil"/>
              <w:right w:val="nil"/>
            </w:tcBorders>
            <w:shd w:val="clear" w:color="000000" w:fill="FFFFFF"/>
            <w:noWrap/>
            <w:vAlign w:val="center"/>
            <w:hideMark/>
          </w:tcPr>
          <w:p w14:paraId="189C1A9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927</w:t>
            </w:r>
          </w:p>
        </w:tc>
        <w:tc>
          <w:tcPr>
            <w:tcW w:w="621" w:type="dxa"/>
            <w:tcBorders>
              <w:top w:val="nil"/>
              <w:left w:val="nil"/>
              <w:bottom w:val="nil"/>
              <w:right w:val="nil"/>
            </w:tcBorders>
            <w:shd w:val="clear" w:color="000000" w:fill="FFFFFF"/>
            <w:noWrap/>
            <w:vAlign w:val="center"/>
            <w:hideMark/>
          </w:tcPr>
          <w:p w14:paraId="37B57D9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 </w:t>
            </w:r>
          </w:p>
        </w:tc>
      </w:tr>
      <w:tr w:rsidR="002A0AD1" w:rsidRPr="002F5246" w14:paraId="3D0AF2AD" w14:textId="77777777" w:rsidTr="00C07CB8">
        <w:trPr>
          <w:trHeight w:val="255"/>
        </w:trPr>
        <w:tc>
          <w:tcPr>
            <w:tcW w:w="2997" w:type="dxa"/>
            <w:tcBorders>
              <w:top w:val="nil"/>
              <w:left w:val="nil"/>
              <w:bottom w:val="single" w:sz="12" w:space="0" w:color="auto"/>
              <w:right w:val="nil"/>
            </w:tcBorders>
            <w:shd w:val="clear" w:color="000000" w:fill="FFFFFF"/>
            <w:vAlign w:val="center"/>
            <w:hideMark/>
          </w:tcPr>
          <w:p w14:paraId="5063C72C" w14:textId="77777777" w:rsidR="002A0AD1" w:rsidRPr="002F5246" w:rsidRDefault="002A0AD1" w:rsidP="00411767">
            <w:pPr>
              <w:spacing w:line="360" w:lineRule="auto"/>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ZUERCHER KANTONALBANK</w:t>
            </w:r>
          </w:p>
        </w:tc>
        <w:tc>
          <w:tcPr>
            <w:tcW w:w="1729" w:type="dxa"/>
            <w:gridSpan w:val="2"/>
            <w:tcBorders>
              <w:top w:val="nil"/>
              <w:left w:val="nil"/>
              <w:bottom w:val="single" w:sz="12" w:space="0" w:color="auto"/>
              <w:right w:val="nil"/>
            </w:tcBorders>
            <w:shd w:val="clear" w:color="000000" w:fill="FFFFFF"/>
            <w:noWrap/>
            <w:vAlign w:val="center"/>
            <w:hideMark/>
          </w:tcPr>
          <w:p w14:paraId="1EDCD33B"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SWITZERLAND</w:t>
            </w:r>
          </w:p>
        </w:tc>
        <w:tc>
          <w:tcPr>
            <w:tcW w:w="1647" w:type="dxa"/>
            <w:tcBorders>
              <w:top w:val="nil"/>
              <w:left w:val="nil"/>
              <w:bottom w:val="single" w:sz="12" w:space="0" w:color="auto"/>
              <w:right w:val="nil"/>
            </w:tcBorders>
            <w:shd w:val="clear" w:color="000000" w:fill="FFFFFF"/>
            <w:noWrap/>
            <w:vAlign w:val="center"/>
            <w:hideMark/>
          </w:tcPr>
          <w:p w14:paraId="18A035A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ZURICH</w:t>
            </w:r>
          </w:p>
        </w:tc>
        <w:tc>
          <w:tcPr>
            <w:tcW w:w="621" w:type="dxa"/>
            <w:tcBorders>
              <w:top w:val="nil"/>
              <w:left w:val="nil"/>
              <w:bottom w:val="single" w:sz="12" w:space="0" w:color="auto"/>
              <w:right w:val="nil"/>
            </w:tcBorders>
            <w:shd w:val="clear" w:color="000000" w:fill="FFFFFF"/>
            <w:noWrap/>
            <w:vAlign w:val="center"/>
            <w:hideMark/>
          </w:tcPr>
          <w:p w14:paraId="553742D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123</w:t>
            </w:r>
          </w:p>
        </w:tc>
        <w:tc>
          <w:tcPr>
            <w:tcW w:w="621" w:type="dxa"/>
            <w:tcBorders>
              <w:top w:val="nil"/>
              <w:left w:val="nil"/>
              <w:bottom w:val="single" w:sz="12" w:space="0" w:color="auto"/>
              <w:right w:val="nil"/>
            </w:tcBorders>
            <w:shd w:val="clear" w:color="000000" w:fill="FFFFFF"/>
            <w:noWrap/>
            <w:vAlign w:val="center"/>
            <w:hideMark/>
          </w:tcPr>
          <w:p w14:paraId="440C7059"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171</w:t>
            </w:r>
          </w:p>
        </w:tc>
        <w:tc>
          <w:tcPr>
            <w:tcW w:w="621" w:type="dxa"/>
            <w:tcBorders>
              <w:top w:val="nil"/>
              <w:left w:val="nil"/>
              <w:bottom w:val="single" w:sz="12" w:space="0" w:color="auto"/>
              <w:right w:val="nil"/>
            </w:tcBorders>
            <w:shd w:val="clear" w:color="000000" w:fill="FFFFFF"/>
            <w:noWrap/>
            <w:vAlign w:val="center"/>
            <w:hideMark/>
          </w:tcPr>
          <w:p w14:paraId="2C3EE74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128</w:t>
            </w:r>
          </w:p>
        </w:tc>
        <w:tc>
          <w:tcPr>
            <w:tcW w:w="827" w:type="dxa"/>
            <w:gridSpan w:val="2"/>
            <w:tcBorders>
              <w:top w:val="nil"/>
              <w:left w:val="nil"/>
              <w:bottom w:val="single" w:sz="12" w:space="0" w:color="auto"/>
              <w:right w:val="nil"/>
            </w:tcBorders>
            <w:shd w:val="clear" w:color="000000" w:fill="FFFFFF"/>
            <w:noWrap/>
            <w:vAlign w:val="center"/>
            <w:hideMark/>
          </w:tcPr>
          <w:p w14:paraId="07A8570A"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179</w:t>
            </w:r>
          </w:p>
        </w:tc>
        <w:tc>
          <w:tcPr>
            <w:tcW w:w="621" w:type="dxa"/>
            <w:tcBorders>
              <w:top w:val="nil"/>
              <w:left w:val="nil"/>
              <w:bottom w:val="single" w:sz="12" w:space="0" w:color="auto"/>
              <w:right w:val="nil"/>
            </w:tcBorders>
            <w:shd w:val="clear" w:color="000000" w:fill="FFFFFF"/>
            <w:noWrap/>
            <w:vAlign w:val="center"/>
            <w:hideMark/>
          </w:tcPr>
          <w:p w14:paraId="601FBFB8" w14:textId="77777777" w:rsidR="002A0AD1" w:rsidRPr="002F5246" w:rsidRDefault="002A0AD1" w:rsidP="00411767">
            <w:pPr>
              <w:spacing w:line="360" w:lineRule="auto"/>
              <w:jc w:val="center"/>
              <w:rPr>
                <w:rFonts w:asciiTheme="majorBidi" w:hAnsiTheme="majorBidi" w:cstheme="majorBidi"/>
                <w:color w:val="000000"/>
                <w:sz w:val="18"/>
                <w:szCs w:val="18"/>
                <w:lang w:val="en-US"/>
              </w:rPr>
            </w:pPr>
            <w:r w:rsidRPr="002F5246">
              <w:rPr>
                <w:rFonts w:asciiTheme="majorBidi" w:hAnsiTheme="majorBidi" w:cstheme="majorBidi"/>
                <w:color w:val="000000"/>
                <w:sz w:val="18"/>
                <w:szCs w:val="18"/>
                <w:lang w:val="en-US"/>
              </w:rPr>
              <w:t>100</w:t>
            </w:r>
          </w:p>
        </w:tc>
      </w:tr>
    </w:tbl>
    <w:p w14:paraId="680CA1D9" w14:textId="77777777" w:rsidR="00411767" w:rsidRPr="002F5246" w:rsidRDefault="00411767" w:rsidP="00411767">
      <w:pPr>
        <w:spacing w:line="360" w:lineRule="auto"/>
        <w:rPr>
          <w:rFonts w:asciiTheme="majorBidi" w:hAnsiTheme="majorBidi" w:cstheme="majorBidi"/>
          <w:lang w:val="en-US"/>
        </w:rPr>
      </w:pPr>
    </w:p>
    <w:p w14:paraId="47A9FB37" w14:textId="77777777" w:rsidR="00411767" w:rsidRPr="002F5246" w:rsidRDefault="00411767" w:rsidP="00411767">
      <w:pPr>
        <w:rPr>
          <w:lang w:val="en-US"/>
        </w:rPr>
      </w:pPr>
    </w:p>
    <w:p w14:paraId="5F1750B5" w14:textId="77777777" w:rsidR="00411767" w:rsidRPr="002F5246" w:rsidRDefault="00411767" w:rsidP="00411767">
      <w:pPr>
        <w:spacing w:line="360" w:lineRule="auto"/>
        <w:rPr>
          <w:rFonts w:asciiTheme="majorBidi" w:hAnsiTheme="majorBidi" w:cstheme="majorBidi"/>
          <w:lang w:val="en-US"/>
        </w:rPr>
      </w:pPr>
    </w:p>
    <w:p w14:paraId="1C8026E4" w14:textId="77777777" w:rsidR="00411767" w:rsidRPr="002F5246" w:rsidRDefault="00411767" w:rsidP="00411767">
      <w:pPr>
        <w:spacing w:line="360" w:lineRule="auto"/>
        <w:rPr>
          <w:rFonts w:asciiTheme="majorBidi" w:hAnsiTheme="majorBidi" w:cstheme="majorBidi"/>
          <w:lang w:val="en-US"/>
        </w:rPr>
      </w:pPr>
    </w:p>
    <w:p w14:paraId="7B60CB52" w14:textId="77777777" w:rsidR="00411767" w:rsidRPr="002F5246" w:rsidRDefault="00411767" w:rsidP="00411767">
      <w:pPr>
        <w:spacing w:line="360" w:lineRule="auto"/>
        <w:rPr>
          <w:rFonts w:asciiTheme="majorBidi" w:hAnsiTheme="majorBidi" w:cstheme="majorBidi"/>
          <w:lang w:val="en-US"/>
        </w:rPr>
      </w:pPr>
    </w:p>
    <w:p w14:paraId="4B650877" w14:textId="77777777" w:rsidR="00411767" w:rsidRPr="002F5246" w:rsidRDefault="00411767" w:rsidP="00411767">
      <w:pPr>
        <w:spacing w:line="360" w:lineRule="auto"/>
        <w:rPr>
          <w:rFonts w:asciiTheme="majorBidi" w:hAnsiTheme="majorBidi" w:cstheme="majorBidi"/>
          <w:lang w:val="en-US"/>
        </w:rPr>
      </w:pPr>
    </w:p>
    <w:p w14:paraId="7E02AAD9" w14:textId="77777777" w:rsidR="00411767" w:rsidRPr="002F5246" w:rsidRDefault="00411767" w:rsidP="00411767">
      <w:pPr>
        <w:spacing w:line="360" w:lineRule="auto"/>
        <w:rPr>
          <w:rFonts w:asciiTheme="majorBidi" w:hAnsiTheme="majorBidi" w:cstheme="majorBidi"/>
          <w:lang w:val="en-US"/>
        </w:rPr>
      </w:pPr>
    </w:p>
    <w:p w14:paraId="47613D12" w14:textId="77777777" w:rsidR="00411767" w:rsidRPr="002F5246" w:rsidRDefault="00411767" w:rsidP="00411767">
      <w:pPr>
        <w:spacing w:line="360" w:lineRule="auto"/>
        <w:rPr>
          <w:rFonts w:asciiTheme="majorBidi" w:hAnsiTheme="majorBidi" w:cstheme="majorBidi"/>
          <w:lang w:val="en-US"/>
        </w:rPr>
      </w:pPr>
    </w:p>
    <w:p w14:paraId="7870A74A" w14:textId="6835350E" w:rsidR="00411767" w:rsidRPr="002F5246" w:rsidRDefault="00411767" w:rsidP="00411767">
      <w:pPr>
        <w:spacing w:after="200"/>
        <w:rPr>
          <w:rFonts w:asciiTheme="majorBidi" w:hAnsiTheme="majorBidi" w:cstheme="majorBidi"/>
          <w:lang w:val="en-US"/>
        </w:rPr>
      </w:pPr>
    </w:p>
    <w:p w14:paraId="5C413DF7" w14:textId="4CC672E7" w:rsidR="00EA3849" w:rsidRPr="002F5246" w:rsidRDefault="00EA3849" w:rsidP="00411767">
      <w:pPr>
        <w:spacing w:after="200"/>
        <w:rPr>
          <w:rFonts w:asciiTheme="majorBidi" w:hAnsiTheme="majorBidi" w:cstheme="majorBidi"/>
          <w:lang w:val="en-US"/>
        </w:rPr>
      </w:pPr>
    </w:p>
    <w:p w14:paraId="7432EECB" w14:textId="0D6F18F1" w:rsidR="00EA3849" w:rsidRPr="002F5246" w:rsidRDefault="00EA3849" w:rsidP="00411767">
      <w:pPr>
        <w:spacing w:after="200"/>
        <w:rPr>
          <w:rFonts w:asciiTheme="majorBidi" w:hAnsiTheme="majorBidi" w:cstheme="majorBidi"/>
          <w:lang w:val="en-US"/>
        </w:rPr>
      </w:pPr>
    </w:p>
    <w:p w14:paraId="7A1CA040" w14:textId="72A0DB87" w:rsidR="00EA3849" w:rsidRPr="002F5246" w:rsidRDefault="00EA3849" w:rsidP="00411767">
      <w:pPr>
        <w:spacing w:after="200"/>
        <w:rPr>
          <w:rFonts w:asciiTheme="majorBidi" w:hAnsiTheme="majorBidi" w:cstheme="majorBidi"/>
          <w:lang w:val="en-US"/>
        </w:rPr>
      </w:pPr>
    </w:p>
    <w:p w14:paraId="2012D21D" w14:textId="61536D60" w:rsidR="00EA3849" w:rsidRPr="002F5246" w:rsidRDefault="00EA3849" w:rsidP="00411767">
      <w:pPr>
        <w:spacing w:after="200"/>
        <w:rPr>
          <w:rFonts w:asciiTheme="majorBidi" w:hAnsiTheme="majorBidi" w:cstheme="majorBidi"/>
          <w:lang w:val="en-US"/>
        </w:rPr>
      </w:pPr>
    </w:p>
    <w:p w14:paraId="5897EB71" w14:textId="4BCB5773" w:rsidR="00EA3849" w:rsidRPr="002F5246" w:rsidRDefault="00EA3849" w:rsidP="00411767">
      <w:pPr>
        <w:spacing w:after="200"/>
        <w:rPr>
          <w:rFonts w:asciiTheme="majorBidi" w:hAnsiTheme="majorBidi" w:cstheme="majorBidi"/>
          <w:lang w:val="en-US"/>
        </w:rPr>
      </w:pPr>
    </w:p>
    <w:p w14:paraId="52E6A30E" w14:textId="77777777" w:rsidR="00EA3849" w:rsidRPr="002F5246" w:rsidRDefault="00EA3849" w:rsidP="00411767">
      <w:pPr>
        <w:spacing w:after="200"/>
        <w:rPr>
          <w:rFonts w:asciiTheme="majorBidi" w:hAnsiTheme="majorBidi" w:cstheme="majorBidi"/>
          <w:lang w:val="en-US"/>
        </w:rPr>
      </w:pPr>
    </w:p>
    <w:p w14:paraId="14CEB43A" w14:textId="77777777" w:rsidR="00411767" w:rsidRPr="002F5246" w:rsidRDefault="00411767" w:rsidP="00704B59">
      <w:pPr>
        <w:spacing w:after="200"/>
        <w:rPr>
          <w:rFonts w:asciiTheme="majorBidi" w:hAnsiTheme="majorBidi" w:cstheme="majorBidi"/>
          <w:lang w:val="en-US"/>
        </w:rPr>
      </w:pPr>
    </w:p>
    <w:p w14:paraId="2F888CD5" w14:textId="23BA4ABC" w:rsidR="00831430" w:rsidRPr="002F5246" w:rsidRDefault="002B392F" w:rsidP="00704B59">
      <w:pPr>
        <w:pStyle w:val="Heading1"/>
        <w:rPr>
          <w:lang w:val="en-US"/>
        </w:rPr>
      </w:pPr>
      <w:r w:rsidRPr="002F5246">
        <w:rPr>
          <w:lang w:val="en-US"/>
        </w:rPr>
        <w:lastRenderedPageBreak/>
        <w:t>References</w:t>
      </w:r>
    </w:p>
    <w:sdt>
      <w:sdtPr>
        <w:rPr>
          <w:rFonts w:asciiTheme="majorBidi" w:hAnsiTheme="majorBidi" w:cs="Arial"/>
          <w:b/>
          <w:bCs/>
          <w:kern w:val="32"/>
          <w:szCs w:val="32"/>
          <w:lang w:val="en-US"/>
        </w:rPr>
        <w:id w:val="-1617129147"/>
        <w:bibliography/>
      </w:sdtPr>
      <w:sdtEndPr>
        <w:rPr>
          <w:rFonts w:cstheme="majorBidi"/>
          <w:b w:val="0"/>
          <w:bCs w:val="0"/>
          <w:kern w:val="0"/>
          <w:szCs w:val="22"/>
        </w:rPr>
      </w:sdtEndPr>
      <w:sdtContent>
        <w:sdt>
          <w:sdtPr>
            <w:rPr>
              <w:rFonts w:asciiTheme="majorBidi" w:hAnsiTheme="majorBidi" w:cstheme="majorBidi"/>
              <w:szCs w:val="22"/>
              <w:lang w:val="en-US"/>
            </w:rPr>
            <w:id w:val="333344623"/>
            <w:bibliography/>
          </w:sdtPr>
          <w:sdtEndPr/>
          <w:sdtContent>
            <w:p w14:paraId="2C1AA654" w14:textId="73D8FDF3" w:rsidR="00BF4FCF" w:rsidRPr="002F5246" w:rsidRDefault="00BF4FCF" w:rsidP="00294834">
              <w:pPr>
                <w:pStyle w:val="References"/>
                <w:rPr>
                  <w:rFonts w:asciiTheme="majorBidi" w:hAnsiTheme="majorBidi" w:cstheme="majorBidi"/>
                  <w:szCs w:val="22"/>
                  <w:lang w:val="en-US"/>
                </w:rPr>
              </w:pPr>
              <w:r w:rsidRPr="002F5246">
                <w:rPr>
                  <w:lang w:val="en-US"/>
                </w:rPr>
                <w:fldChar w:fldCharType="begin"/>
              </w:r>
              <w:r w:rsidRPr="002F5246">
                <w:rPr>
                  <w:lang w:val="en-US"/>
                </w:rPr>
                <w:instrText xml:space="preserve"> BIBLIOGRAPHY </w:instrText>
              </w:r>
              <w:r w:rsidRPr="002F5246">
                <w:rPr>
                  <w:lang w:val="en-US"/>
                </w:rPr>
                <w:fldChar w:fldCharType="separate"/>
              </w:r>
              <w:r w:rsidRPr="002F5246">
                <w:rPr>
                  <w:rFonts w:asciiTheme="majorBidi" w:hAnsiTheme="majorBidi" w:cstheme="majorBidi"/>
                  <w:szCs w:val="22"/>
                  <w:lang w:val="en-US"/>
                </w:rPr>
                <w:t>Ahmed, K.</w:t>
              </w:r>
              <w:r w:rsidR="00B15FCC" w:rsidRPr="002F5246">
                <w:rPr>
                  <w:rFonts w:asciiTheme="majorBidi" w:hAnsiTheme="majorBidi" w:cstheme="majorBidi"/>
                  <w:szCs w:val="22"/>
                  <w:lang w:val="en-US"/>
                </w:rPr>
                <w:t>2014</w:t>
              </w:r>
              <w:r w:rsidRPr="002F5246">
                <w:rPr>
                  <w:rFonts w:asciiTheme="majorBidi" w:hAnsiTheme="majorBidi" w:cstheme="majorBidi"/>
                  <w:szCs w:val="22"/>
                  <w:lang w:val="en-US"/>
                </w:rPr>
                <w:t>. “RBS boss admits – I cringed when I read forex chat room messages”.</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 xml:space="preserve">[Online] </w:t>
              </w:r>
              <w:r w:rsidRPr="002F5246">
                <w:rPr>
                  <w:rFonts w:asciiTheme="majorBidi" w:hAnsiTheme="majorBidi" w:cstheme="majorBidi"/>
                  <w:szCs w:val="22"/>
                  <w:lang w:val="en-US"/>
                </w:rPr>
                <w:br/>
                <w:t xml:space="preserve">Available at: </w:t>
              </w:r>
              <w:r w:rsidRPr="002F5246">
                <w:rPr>
                  <w:rFonts w:asciiTheme="majorBidi" w:hAnsiTheme="majorBidi" w:cstheme="majorBidi"/>
                  <w:szCs w:val="22"/>
                  <w:u w:val="single"/>
                  <w:lang w:val="en-US"/>
                </w:rPr>
                <w:t>http://www.bbc.co.uk/news/business-30027544</w:t>
              </w:r>
              <w:r w:rsidR="00B15FCC" w:rsidRPr="002F5246">
                <w:rPr>
                  <w:rFonts w:asciiTheme="majorBidi" w:hAnsiTheme="majorBidi" w:cstheme="majorBidi"/>
                  <w:szCs w:val="22"/>
                  <w:u w:val="single"/>
                  <w:lang w:val="en-US"/>
                </w:rPr>
                <w:t>.</w:t>
              </w:r>
            </w:p>
            <w:p w14:paraId="156BB30B" w14:textId="1EB58C74"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Bank For International Settlements</w:t>
              </w:r>
              <w:r w:rsidR="005B743A" w:rsidRPr="002F5246">
                <w:rPr>
                  <w:rFonts w:asciiTheme="majorBidi" w:hAnsiTheme="majorBidi" w:cstheme="majorBidi"/>
                  <w:szCs w:val="22"/>
                  <w:lang w:val="en-US"/>
                </w:rPr>
                <w:t>.</w:t>
              </w:r>
              <w:r w:rsidRPr="002F5246">
                <w:rPr>
                  <w:rFonts w:asciiTheme="majorBidi" w:hAnsiTheme="majorBidi" w:cstheme="majorBidi"/>
                  <w:szCs w:val="22"/>
                  <w:lang w:val="en-US"/>
                </w:rPr>
                <w:t xml:space="preserve"> 2011. “High-frequency trading in the foreign exchange market.”.</w:t>
              </w:r>
            </w:p>
            <w:p w14:paraId="5FC06E42" w14:textId="3EC4D712"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Bank For International Settlements.</w:t>
              </w:r>
              <w:r w:rsidR="005B743A" w:rsidRPr="002F5246">
                <w:rPr>
                  <w:rFonts w:asciiTheme="majorBidi" w:hAnsiTheme="majorBidi" w:cstheme="majorBidi"/>
                  <w:szCs w:val="22"/>
                  <w:lang w:val="en-US"/>
                </w:rPr>
                <w:t xml:space="preserve"> 2013.</w:t>
              </w:r>
              <w:r w:rsidRPr="002F5246">
                <w:rPr>
                  <w:rFonts w:asciiTheme="majorBidi" w:hAnsiTheme="majorBidi" w:cstheme="majorBidi"/>
                  <w:szCs w:val="22"/>
                  <w:lang w:val="en-US"/>
                </w:rPr>
                <w:t xml:space="preserve"> “Triennial Central Bank Survey Foreign exchange turnover in April 2013: preliminary global results.” Bank For International Settlements.</w:t>
              </w:r>
            </w:p>
            <w:p w14:paraId="7452BBD4" w14:textId="1BBB7D40"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Bloomberg</w:t>
              </w:r>
              <w:r w:rsidR="00B51ACB" w:rsidRPr="002F5246">
                <w:rPr>
                  <w:rFonts w:asciiTheme="majorBidi" w:hAnsiTheme="majorBidi" w:cstheme="majorBidi"/>
                  <w:szCs w:val="22"/>
                  <w:lang w:val="en-US"/>
                </w:rPr>
                <w:t xml:space="preserve"> Visual Data</w:t>
              </w:r>
              <w:r w:rsidR="00872E0D" w:rsidRPr="002F5246">
                <w:rPr>
                  <w:rFonts w:asciiTheme="majorBidi" w:hAnsiTheme="majorBidi" w:cstheme="majorBidi"/>
                  <w:szCs w:val="22"/>
                  <w:lang w:val="en-US"/>
                </w:rPr>
                <w:t>. 2015.</w:t>
              </w:r>
              <w:r w:rsidRPr="002F5246">
                <w:rPr>
                  <w:rFonts w:asciiTheme="majorBidi" w:hAnsiTheme="majorBidi" w:cstheme="majorBidi"/>
                  <w:szCs w:val="22"/>
                  <w:lang w:val="en-US"/>
                </w:rPr>
                <w:t xml:space="preserve"> “Forex Investigation a Global Affair.” [Online] </w:t>
              </w:r>
              <w:r w:rsidRPr="002F5246">
                <w:rPr>
                  <w:rFonts w:asciiTheme="majorBidi" w:hAnsiTheme="majorBidi" w:cstheme="majorBidi"/>
                  <w:szCs w:val="22"/>
                  <w:lang w:val="en-US"/>
                </w:rPr>
                <w:br/>
                <w:t xml:space="preserve">Available at: </w:t>
              </w:r>
              <w:r w:rsidRPr="002F5246">
                <w:rPr>
                  <w:rFonts w:asciiTheme="majorBidi" w:hAnsiTheme="majorBidi" w:cstheme="majorBidi"/>
                  <w:szCs w:val="22"/>
                  <w:u w:val="single"/>
                  <w:lang w:val="en-US"/>
                </w:rPr>
                <w:t>http://www.bloomberg.com/infographics/2014-08-13/forex-investigation-a-global-affair.html</w:t>
              </w:r>
              <w:r w:rsidRPr="002F5246">
                <w:rPr>
                  <w:rFonts w:asciiTheme="majorBidi" w:hAnsiTheme="majorBidi" w:cstheme="majorBidi"/>
                  <w:szCs w:val="22"/>
                  <w:lang w:val="en-US"/>
                </w:rPr>
                <w:t>.</w:t>
              </w:r>
            </w:p>
            <w:p w14:paraId="24FCBCC3" w14:textId="02286F87"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Cabrera, J., Wang, T. &amp; Yang, J.</w:t>
              </w:r>
              <w:r w:rsidR="00BF5565" w:rsidRPr="002F5246">
                <w:rPr>
                  <w:rFonts w:asciiTheme="majorBidi" w:hAnsiTheme="majorBidi" w:cstheme="majorBidi"/>
                  <w:szCs w:val="22"/>
                  <w:lang w:val="en-US"/>
                </w:rPr>
                <w:t>2009.</w:t>
              </w:r>
              <w:r w:rsidRPr="002F5246">
                <w:rPr>
                  <w:rFonts w:asciiTheme="majorBidi" w:hAnsiTheme="majorBidi" w:cstheme="majorBidi"/>
                  <w:szCs w:val="22"/>
                  <w:lang w:val="en-US"/>
                </w:rPr>
                <w:t xml:space="preserve"> “Do futures lead price discovery in electronic foreign exchange markets?” </w:t>
              </w:r>
              <w:r w:rsidR="00246DD9" w:rsidRPr="002F5246">
                <w:rPr>
                  <w:rFonts w:asciiTheme="majorBidi" w:hAnsiTheme="majorBidi" w:cstheme="majorBidi"/>
                  <w:i/>
                  <w:iCs/>
                  <w:szCs w:val="22"/>
                  <w:lang w:val="en-US"/>
                </w:rPr>
                <w:t>Journal of Futures Markets</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29</w:t>
              </w:r>
              <w:r w:rsidR="00246DD9" w:rsidRPr="002F5246">
                <w:rPr>
                  <w:rFonts w:asciiTheme="majorBidi" w:hAnsiTheme="majorBidi" w:cstheme="majorBidi"/>
                  <w:szCs w:val="22"/>
                  <w:lang w:val="en-US"/>
                </w:rPr>
                <w:t xml:space="preserve"> (2):</w:t>
              </w:r>
              <w:r w:rsidRPr="002F5246">
                <w:rPr>
                  <w:rFonts w:asciiTheme="majorBidi" w:hAnsiTheme="majorBidi" w:cstheme="majorBidi"/>
                  <w:szCs w:val="22"/>
                  <w:lang w:val="en-US"/>
                </w:rPr>
                <w:t xml:space="preserve"> 137-156.</w:t>
              </w:r>
            </w:p>
            <w:p w14:paraId="0EE24B5A" w14:textId="064CFF8A"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CFTC: U.S. Commodity Futures Trading Commission. </w:t>
              </w:r>
              <w:r w:rsidR="00EE3D17" w:rsidRPr="002F5246">
                <w:rPr>
                  <w:rFonts w:asciiTheme="majorBidi" w:hAnsiTheme="majorBidi" w:cstheme="majorBidi"/>
                  <w:szCs w:val="22"/>
                  <w:lang w:val="en-US"/>
                </w:rPr>
                <w:t xml:space="preserve">2014. </w:t>
              </w:r>
              <w:r w:rsidRPr="002F5246">
                <w:rPr>
                  <w:rFonts w:asciiTheme="majorBidi" w:hAnsiTheme="majorBidi" w:cstheme="majorBidi"/>
                  <w:szCs w:val="22"/>
                  <w:lang w:val="en-US"/>
                </w:rPr>
                <w:t>“CFTC Orders Five Banks to Pay over $1.4 Billion in Penalties for Attempted Manipulation of Foreign Exchange Benchmark Rates”. [Online] available at http://www.cftc.gov/PressRoom/PressReleases/pr7056-14.</w:t>
              </w:r>
            </w:p>
            <w:p w14:paraId="1A716C40" w14:textId="4880EFAC"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CFTC: Commodity Futures Trading Commission.</w:t>
              </w:r>
              <w:r w:rsidR="00E81FA7" w:rsidRPr="002F5246">
                <w:rPr>
                  <w:rFonts w:asciiTheme="majorBidi" w:hAnsiTheme="majorBidi" w:cstheme="majorBidi"/>
                  <w:szCs w:val="22"/>
                  <w:lang w:val="en-US"/>
                </w:rPr>
                <w:t xml:space="preserve"> 2015.</w:t>
              </w:r>
              <w:r w:rsidRPr="002F5246">
                <w:rPr>
                  <w:rFonts w:asciiTheme="majorBidi" w:hAnsiTheme="majorBidi" w:cstheme="majorBidi"/>
                  <w:szCs w:val="22"/>
                  <w:lang w:val="en-US"/>
                </w:rPr>
                <w:t xml:space="preserve"> “Barclays to Pay $400 Million Penalty to Settle CFTC Charges of Attempted Manipulation and False Reporting of Foreign Exchange Benchmark Rates.” [Online] available athttp://www.cftc.gov/PressRoom/PressReleases/pr7181-15.</w:t>
              </w:r>
            </w:p>
            <w:p w14:paraId="591230AF" w14:textId="03338178"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DOJ: Department of Justice.</w:t>
              </w:r>
              <w:r w:rsidR="002F0282" w:rsidRPr="002F5246">
                <w:rPr>
                  <w:rFonts w:asciiTheme="majorBidi" w:hAnsiTheme="majorBidi" w:cstheme="majorBidi"/>
                  <w:szCs w:val="22"/>
                  <w:lang w:val="en-US"/>
                </w:rPr>
                <w:t xml:space="preserve"> 2015.</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“Five Major Banks Agree to Parent-Level Guilty Pleas.” [Online] available at http://www.justice.gov/opa/pr/five-major-banks-agree-parent-level-guilty-pleas.</w:t>
              </w:r>
            </w:p>
            <w:p w14:paraId="69FA8087" w14:textId="3168CE1B" w:rsidR="00547FBA" w:rsidRPr="002F5246" w:rsidRDefault="00547FBA" w:rsidP="000C776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Evans, M. 2018. </w:t>
              </w:r>
              <w:r w:rsidR="00057F96" w:rsidRPr="002F5246">
                <w:rPr>
                  <w:rFonts w:asciiTheme="majorBidi" w:hAnsiTheme="majorBidi" w:cstheme="majorBidi"/>
                  <w:szCs w:val="22"/>
                  <w:lang w:val="en-US"/>
                </w:rPr>
                <w:t>“Forex</w:t>
              </w:r>
              <w:r w:rsidRPr="002F5246">
                <w:rPr>
                  <w:rFonts w:asciiTheme="majorBidi" w:hAnsiTheme="majorBidi" w:cstheme="majorBidi"/>
                  <w:szCs w:val="22"/>
                  <w:lang w:val="en-US"/>
                </w:rPr>
                <w:t xml:space="preserve"> trading and the WMR Fix”. </w:t>
              </w:r>
              <w:r w:rsidRPr="002F5246">
                <w:rPr>
                  <w:rFonts w:asciiTheme="majorBidi" w:hAnsiTheme="majorBidi" w:cstheme="majorBidi"/>
                  <w:i/>
                  <w:iCs/>
                  <w:szCs w:val="22"/>
                  <w:lang w:val="en-US"/>
                </w:rPr>
                <w:t>Journal of Banking &amp; Finance</w:t>
              </w:r>
              <w:r w:rsidRPr="002F5246">
                <w:rPr>
                  <w:rFonts w:asciiTheme="majorBidi" w:hAnsiTheme="majorBidi" w:cstheme="majorBidi"/>
                  <w:szCs w:val="22"/>
                  <w:lang w:val="en-US"/>
                </w:rPr>
                <w:t xml:space="preserve"> 87: 233-247.</w:t>
              </w:r>
            </w:p>
            <w:p w14:paraId="29E28F8E" w14:textId="2D69C6E3"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Fed: Federal Reserve. “Press Release”.</w:t>
              </w:r>
              <w:r w:rsidR="00492C5E" w:rsidRPr="002F5246">
                <w:rPr>
                  <w:rFonts w:asciiTheme="majorBidi" w:hAnsiTheme="majorBidi" w:cstheme="majorBidi"/>
                  <w:szCs w:val="22"/>
                  <w:lang w:val="en-US"/>
                </w:rPr>
                <w:t xml:space="preserve"> 2015.</w:t>
              </w:r>
              <w:r w:rsidRPr="002F5246">
                <w:rPr>
                  <w:rFonts w:asciiTheme="majorBidi" w:hAnsiTheme="majorBidi" w:cstheme="majorBidi"/>
                  <w:szCs w:val="22"/>
                  <w:lang w:val="en-US"/>
                </w:rPr>
                <w:t xml:space="preserve"> [Online] available at http://www.federalreserve.gov/newsevents/</w:t>
              </w:r>
              <w:r w:rsidR="00492C5E" w:rsidRPr="002F5246">
                <w:rPr>
                  <w:rFonts w:asciiTheme="majorBidi" w:hAnsiTheme="majorBidi" w:cstheme="majorBidi"/>
                  <w:szCs w:val="22"/>
                  <w:lang w:val="en-US"/>
                </w:rPr>
                <w:t>press/enforcement/20150520a.htm</w:t>
              </w:r>
              <w:r w:rsidRPr="002F5246">
                <w:rPr>
                  <w:rFonts w:asciiTheme="majorBidi" w:hAnsiTheme="majorBidi" w:cstheme="majorBidi"/>
                  <w:szCs w:val="22"/>
                  <w:lang w:val="en-US"/>
                </w:rPr>
                <w:t>.</w:t>
              </w:r>
            </w:p>
            <w:p w14:paraId="73A9F63A" w14:textId="258AC940" w:rsidR="00BF4FCF" w:rsidRPr="002F5246" w:rsidRDefault="00FA7135"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FCA: </w:t>
              </w:r>
              <w:r w:rsidR="00BF4FCF" w:rsidRPr="002F5246">
                <w:rPr>
                  <w:rFonts w:asciiTheme="majorBidi" w:hAnsiTheme="majorBidi" w:cstheme="majorBidi"/>
                  <w:szCs w:val="22"/>
                  <w:lang w:val="en-US"/>
                </w:rPr>
                <w:t xml:space="preserve">Financial Conduct Authority. </w:t>
              </w:r>
              <w:r w:rsidR="00492C5E" w:rsidRPr="002F5246">
                <w:rPr>
                  <w:rFonts w:asciiTheme="majorBidi" w:hAnsiTheme="majorBidi" w:cstheme="majorBidi"/>
                  <w:szCs w:val="22"/>
                  <w:lang w:val="en-US"/>
                </w:rPr>
                <w:t>2014a.</w:t>
              </w:r>
              <w:r w:rsidR="00BF4FCF" w:rsidRPr="002F5246">
                <w:rPr>
                  <w:rFonts w:asciiTheme="majorBidi" w:hAnsiTheme="majorBidi" w:cstheme="majorBidi"/>
                  <w:szCs w:val="22"/>
                  <w:lang w:val="en-US"/>
                </w:rPr>
                <w:t>“Citibank Final Notice.”</w:t>
              </w:r>
            </w:p>
            <w:p w14:paraId="5A57FF63" w14:textId="53E6525B" w:rsidR="00BF4FCF" w:rsidRPr="002F5246" w:rsidRDefault="00FA7135"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FCA: </w:t>
              </w:r>
              <w:r w:rsidR="00BF4FCF" w:rsidRPr="002F5246">
                <w:rPr>
                  <w:rFonts w:asciiTheme="majorBidi" w:hAnsiTheme="majorBidi" w:cstheme="majorBidi"/>
                  <w:szCs w:val="22"/>
                  <w:lang w:val="en-US"/>
                </w:rPr>
                <w:t xml:space="preserve">Financial Conduct Authority. </w:t>
              </w:r>
              <w:r w:rsidR="00A345EF" w:rsidRPr="002F5246">
                <w:rPr>
                  <w:rFonts w:asciiTheme="majorBidi" w:hAnsiTheme="majorBidi" w:cstheme="majorBidi"/>
                  <w:szCs w:val="22"/>
                  <w:lang w:val="en-US"/>
                </w:rPr>
                <w:t xml:space="preserve">2014b. </w:t>
              </w:r>
              <w:r w:rsidR="00BF4FCF" w:rsidRPr="002F5246">
                <w:rPr>
                  <w:rFonts w:asciiTheme="majorBidi" w:hAnsiTheme="majorBidi" w:cstheme="majorBidi"/>
                  <w:szCs w:val="22"/>
                  <w:lang w:val="en-US"/>
                </w:rPr>
                <w:t>“HSBS Final Notice.”</w:t>
              </w:r>
            </w:p>
            <w:p w14:paraId="7CED5D97" w14:textId="70811123" w:rsidR="00BF4FCF" w:rsidRPr="002F5246" w:rsidRDefault="00FA7135"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FCA: </w:t>
              </w:r>
              <w:r w:rsidR="00BF4FCF" w:rsidRPr="002F5246">
                <w:rPr>
                  <w:rFonts w:asciiTheme="majorBidi" w:hAnsiTheme="majorBidi" w:cstheme="majorBidi"/>
                  <w:szCs w:val="22"/>
                  <w:lang w:val="en-US"/>
                </w:rPr>
                <w:t>Financial Conduct Authority.</w:t>
              </w:r>
              <w:r w:rsidR="00DF2C14" w:rsidRPr="002F5246">
                <w:rPr>
                  <w:rFonts w:asciiTheme="majorBidi" w:hAnsiTheme="majorBidi" w:cstheme="majorBidi"/>
                  <w:szCs w:val="22"/>
                  <w:lang w:val="en-US"/>
                </w:rPr>
                <w:t xml:space="preserve"> 2014c.</w:t>
              </w:r>
              <w:r w:rsidR="00BF4FCF" w:rsidRPr="002F5246">
                <w:rPr>
                  <w:rFonts w:asciiTheme="majorBidi" w:hAnsiTheme="majorBidi" w:cstheme="majorBidi"/>
                  <w:szCs w:val="22"/>
                  <w:lang w:val="en-US"/>
                </w:rPr>
                <w:t xml:space="preserve"> “Royal Bank of Scotland Plc Final Notice.”</w:t>
              </w:r>
            </w:p>
            <w:p w14:paraId="392C67E3" w14:textId="291C1F1B" w:rsidR="00BF4FCF" w:rsidRPr="002F5246" w:rsidRDefault="00FA7135"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FCA: </w:t>
              </w:r>
              <w:r w:rsidR="00BF4FCF" w:rsidRPr="002F5246">
                <w:rPr>
                  <w:rFonts w:asciiTheme="majorBidi" w:hAnsiTheme="majorBidi" w:cstheme="majorBidi"/>
                  <w:szCs w:val="22"/>
                  <w:lang w:val="en-US"/>
                </w:rPr>
                <w:t>Financial Conduct Authority.</w:t>
              </w:r>
              <w:r w:rsidR="00714A11" w:rsidRPr="002F5246">
                <w:rPr>
                  <w:rFonts w:asciiTheme="majorBidi" w:hAnsiTheme="majorBidi" w:cstheme="majorBidi"/>
                  <w:szCs w:val="22"/>
                  <w:lang w:val="en-US"/>
                </w:rPr>
                <w:t xml:space="preserve"> 2014d.</w:t>
              </w:r>
              <w:r w:rsidR="00BF4FCF" w:rsidRPr="002F5246">
                <w:rPr>
                  <w:rFonts w:asciiTheme="majorBidi" w:hAnsiTheme="majorBidi" w:cstheme="majorBidi"/>
                  <w:szCs w:val="22"/>
                  <w:lang w:val="en-US"/>
                </w:rPr>
                <w:t xml:space="preserve"> “UBS AG Final Notice.” </w:t>
              </w:r>
            </w:p>
            <w:p w14:paraId="779A3705" w14:textId="529F7A5B" w:rsidR="00BF4FCF" w:rsidRPr="002F5246" w:rsidRDefault="00FA7135"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lastRenderedPageBreak/>
                <w:t xml:space="preserve">FCA: </w:t>
              </w:r>
              <w:r w:rsidR="00BF4FCF" w:rsidRPr="002F5246">
                <w:rPr>
                  <w:rFonts w:asciiTheme="majorBidi" w:hAnsiTheme="majorBidi" w:cstheme="majorBidi"/>
                  <w:szCs w:val="22"/>
                  <w:lang w:val="en-US"/>
                </w:rPr>
                <w:t>Financial Conduct Authority.</w:t>
              </w:r>
              <w:r w:rsidR="002A7E94" w:rsidRPr="002F5246">
                <w:rPr>
                  <w:rFonts w:asciiTheme="majorBidi" w:hAnsiTheme="majorBidi" w:cstheme="majorBidi"/>
                  <w:szCs w:val="22"/>
                  <w:lang w:val="en-US"/>
                </w:rPr>
                <w:t xml:space="preserve"> 2014e.</w:t>
              </w:r>
              <w:r w:rsidR="00BF4FCF" w:rsidRPr="002F5246">
                <w:rPr>
                  <w:rFonts w:asciiTheme="majorBidi" w:hAnsiTheme="majorBidi" w:cstheme="majorBidi"/>
                  <w:szCs w:val="22"/>
                  <w:lang w:val="en-US"/>
                </w:rPr>
                <w:t xml:space="preserve"> “FCA fines five banks £1.1 billion for FX failings and announces industry-wide remediation programme.” [Online] available at http://www.fca.org.uk/news/fca-fines-five-banks-for-fx-failings.</w:t>
              </w:r>
            </w:p>
            <w:p w14:paraId="723DA690" w14:textId="7E950419"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Financial Conduct Authority. </w:t>
              </w:r>
              <w:r w:rsidR="00B46E4F" w:rsidRPr="002F5246">
                <w:rPr>
                  <w:rFonts w:asciiTheme="majorBidi" w:hAnsiTheme="majorBidi" w:cstheme="majorBidi"/>
                  <w:szCs w:val="22"/>
                  <w:lang w:val="en-US"/>
                </w:rPr>
                <w:t xml:space="preserve">2015. </w:t>
              </w:r>
              <w:r w:rsidRPr="002F5246">
                <w:rPr>
                  <w:rFonts w:asciiTheme="majorBidi" w:hAnsiTheme="majorBidi" w:cstheme="majorBidi"/>
                  <w:szCs w:val="22"/>
                  <w:lang w:val="en-US"/>
                </w:rPr>
                <w:t>“Barclays Bank PLC Final Notice.”</w:t>
              </w:r>
            </w:p>
            <w:p w14:paraId="422BC3F2" w14:textId="614B1CC3"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FSB: Financial Stability Board. </w:t>
              </w:r>
              <w:r w:rsidR="00B46E4F" w:rsidRPr="002F5246">
                <w:rPr>
                  <w:rFonts w:asciiTheme="majorBidi" w:hAnsiTheme="majorBidi" w:cstheme="majorBidi"/>
                  <w:szCs w:val="22"/>
                  <w:lang w:val="en-US"/>
                </w:rPr>
                <w:t xml:space="preserve">2014. </w:t>
              </w:r>
              <w:r w:rsidRPr="002F5246">
                <w:rPr>
                  <w:rFonts w:asciiTheme="majorBidi" w:hAnsiTheme="majorBidi" w:cstheme="majorBidi"/>
                  <w:szCs w:val="22"/>
                  <w:lang w:val="en-US"/>
                </w:rPr>
                <w:t>“Foreign Exchange Benchmarks.</w:t>
              </w:r>
              <w:r w:rsidR="00B46E4F" w:rsidRPr="002F5246">
                <w:rPr>
                  <w:rFonts w:asciiTheme="majorBidi" w:hAnsiTheme="majorBidi" w:cstheme="majorBidi"/>
                  <w:szCs w:val="22"/>
                  <w:lang w:val="en-US"/>
                </w:rPr>
                <w:t xml:space="preserve">” </w:t>
              </w:r>
            </w:p>
            <w:p w14:paraId="2408E878" w14:textId="10C7F9E4"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Finch, G. &amp; Vaughan, L.</w:t>
              </w:r>
              <w:r w:rsidR="00B46E4F" w:rsidRPr="002F5246">
                <w:rPr>
                  <w:rFonts w:asciiTheme="majorBidi" w:hAnsiTheme="majorBidi" w:cstheme="majorBidi"/>
                  <w:szCs w:val="22"/>
                  <w:lang w:val="en-US"/>
                </w:rPr>
                <w:t>2014</w:t>
              </w:r>
              <w:r w:rsidRPr="002F5246">
                <w:rPr>
                  <w:rFonts w:asciiTheme="majorBidi" w:hAnsiTheme="majorBidi" w:cstheme="majorBidi"/>
                  <w:szCs w:val="22"/>
                  <w:lang w:val="en-US"/>
                </w:rPr>
                <w:t>. “Traders Boasted of Whacking FX Market.”</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 xml:space="preserve">[Online] </w:t>
              </w:r>
              <w:r w:rsidRPr="002F5246">
                <w:rPr>
                  <w:rFonts w:asciiTheme="majorBidi" w:hAnsiTheme="majorBidi" w:cstheme="majorBidi"/>
                  <w:szCs w:val="22"/>
                  <w:lang w:val="en-US"/>
                </w:rPr>
                <w:br/>
                <w:t xml:space="preserve">Available at: </w:t>
              </w:r>
              <w:r w:rsidRPr="002F5246">
                <w:rPr>
                  <w:rFonts w:asciiTheme="majorBidi" w:hAnsiTheme="majorBidi" w:cstheme="majorBidi"/>
                  <w:szCs w:val="22"/>
                  <w:u w:val="single"/>
                  <w:lang w:val="en-US"/>
                </w:rPr>
                <w:t>http://www.bloomberg.com/news/articles/2014-11-13/-cartell-chat-room-traders-boasted-of-whacking-fx-market.</w:t>
              </w:r>
            </w:p>
            <w:p w14:paraId="04CAF700" w14:textId="62662677"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FINMA: “FINMA sanctions foreign exchange manipulation at UBS.”</w:t>
              </w:r>
              <w:r w:rsidR="00062675" w:rsidRPr="002F5246">
                <w:rPr>
                  <w:rFonts w:asciiTheme="majorBidi" w:hAnsiTheme="majorBidi" w:cstheme="majorBidi"/>
                  <w:szCs w:val="22"/>
                  <w:lang w:val="en-US"/>
                </w:rPr>
                <w:t xml:space="preserve"> 2014.</w:t>
              </w:r>
              <w:r w:rsidRPr="002F5246">
                <w:rPr>
                  <w:rFonts w:asciiTheme="majorBidi" w:hAnsiTheme="majorBidi" w:cstheme="majorBidi"/>
                  <w:szCs w:val="22"/>
                  <w:lang w:val="en-US"/>
                </w:rPr>
                <w:t xml:space="preserve"> [Online] available at https://www.finma.ch/en/news/2014/11/mm-ubs-devisenhandel-20141112/.</w:t>
              </w:r>
            </w:p>
            <w:p w14:paraId="5BB6E9E5" w14:textId="250CBBF3" w:rsidR="007F7B78" w:rsidRPr="002F5246" w:rsidRDefault="006804B8"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Glosten, L. R. &amp; Milgrom P. R. 1985. “Bid, ask and transaction prices in a specialist market with heterogeneously informed traders”. Journal of Financial Economics 14 (1): 71-100.</w:t>
              </w:r>
            </w:p>
            <w:p w14:paraId="33C06A1E" w14:textId="0E11CB74"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Goodhart, C. A. &amp; O'Hara, M. </w:t>
              </w:r>
              <w:r w:rsidR="00636772" w:rsidRPr="002F5246">
                <w:rPr>
                  <w:rFonts w:asciiTheme="majorBidi" w:hAnsiTheme="majorBidi" w:cstheme="majorBidi"/>
                  <w:szCs w:val="22"/>
                  <w:lang w:val="en-US"/>
                </w:rPr>
                <w:t xml:space="preserve">1997. </w:t>
              </w:r>
              <w:r w:rsidRPr="002F5246">
                <w:rPr>
                  <w:rFonts w:asciiTheme="majorBidi" w:hAnsiTheme="majorBidi" w:cstheme="majorBidi"/>
                  <w:szCs w:val="22"/>
                  <w:lang w:val="en-US"/>
                </w:rPr>
                <w:t xml:space="preserve">“High frequency data in financial markets: Issues and applications”. </w:t>
              </w:r>
              <w:r w:rsidR="00636772" w:rsidRPr="002F5246">
                <w:rPr>
                  <w:rFonts w:asciiTheme="majorBidi" w:hAnsiTheme="majorBidi" w:cstheme="majorBidi"/>
                  <w:i/>
                  <w:iCs/>
                  <w:szCs w:val="22"/>
                  <w:lang w:val="en-US"/>
                </w:rPr>
                <w:t>Journal of Empirical Finance</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4 (</w:t>
              </w:r>
              <w:r w:rsidR="00636772" w:rsidRPr="002F5246">
                <w:rPr>
                  <w:rFonts w:asciiTheme="majorBidi" w:hAnsiTheme="majorBidi" w:cstheme="majorBidi"/>
                  <w:szCs w:val="22"/>
                  <w:lang w:val="en-US"/>
                </w:rPr>
                <w:t>2-3</w:t>
              </w:r>
              <w:r w:rsidRPr="002F5246">
                <w:rPr>
                  <w:rFonts w:asciiTheme="majorBidi" w:hAnsiTheme="majorBidi" w:cstheme="majorBidi"/>
                  <w:szCs w:val="22"/>
                  <w:lang w:val="en-US"/>
                </w:rPr>
                <w:t>)</w:t>
              </w:r>
              <w:r w:rsidR="00636772" w:rsidRPr="002F5246">
                <w:rPr>
                  <w:rFonts w:asciiTheme="majorBidi" w:hAnsiTheme="majorBidi" w:cstheme="majorBidi"/>
                  <w:szCs w:val="22"/>
                  <w:lang w:val="en-US"/>
                </w:rPr>
                <w:t>:</w:t>
              </w:r>
              <w:r w:rsidRPr="002F5246">
                <w:rPr>
                  <w:rFonts w:asciiTheme="majorBidi" w:hAnsiTheme="majorBidi" w:cstheme="majorBidi"/>
                  <w:szCs w:val="22"/>
                  <w:lang w:val="en-US"/>
                </w:rPr>
                <w:t xml:space="preserve"> 73-114.</w:t>
              </w:r>
            </w:p>
            <w:p w14:paraId="77B3CEBF" w14:textId="728C37B0"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Government Office for Science. </w:t>
              </w:r>
              <w:r w:rsidR="00BC78A1" w:rsidRPr="002F5246">
                <w:rPr>
                  <w:rFonts w:asciiTheme="majorBidi" w:hAnsiTheme="majorBidi" w:cstheme="majorBidi"/>
                  <w:szCs w:val="22"/>
                  <w:lang w:val="en-US"/>
                </w:rPr>
                <w:t xml:space="preserve">2015. </w:t>
              </w:r>
              <w:r w:rsidRPr="002F5246">
                <w:rPr>
                  <w:rFonts w:asciiTheme="majorBidi" w:hAnsiTheme="majorBidi" w:cstheme="majorBidi"/>
                  <w:szCs w:val="22"/>
                  <w:lang w:val="en-US"/>
                </w:rPr>
                <w:t>“Fin Tech Futures The UK as a World Leader in Financial Technologies.”</w:t>
              </w:r>
            </w:p>
            <w:p w14:paraId="480F6B06" w14:textId="1A7C1E8B"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HM Treasury. </w:t>
              </w:r>
              <w:r w:rsidR="00E07D5F" w:rsidRPr="002F5246">
                <w:rPr>
                  <w:rFonts w:asciiTheme="majorBidi" w:hAnsiTheme="majorBidi" w:cstheme="majorBidi"/>
                  <w:szCs w:val="22"/>
                  <w:lang w:val="en-US"/>
                </w:rPr>
                <w:t xml:space="preserve">2015. </w:t>
              </w:r>
              <w:r w:rsidRPr="002F5246">
                <w:rPr>
                  <w:rFonts w:asciiTheme="majorBidi" w:hAnsiTheme="majorBidi" w:cstheme="majorBidi"/>
                  <w:szCs w:val="22"/>
                  <w:lang w:val="en-US"/>
                </w:rPr>
                <w:t xml:space="preserve">[Online] Available at: </w:t>
              </w:r>
              <w:r w:rsidRPr="002F5246">
                <w:rPr>
                  <w:rFonts w:asciiTheme="majorBidi" w:hAnsiTheme="majorBidi" w:cstheme="majorBidi"/>
                  <w:szCs w:val="22"/>
                  <w:u w:val="single"/>
                  <w:lang w:val="en-US"/>
                </w:rPr>
                <w:t>http://www.legislation.gov.uk/ukdsi/2015/9780111127629/pdfs/ukdsiem_9780111127629_en.pdf</w:t>
              </w:r>
              <w:r w:rsidRPr="002F5246">
                <w:rPr>
                  <w:rFonts w:asciiTheme="majorBidi" w:hAnsiTheme="majorBidi" w:cstheme="majorBidi"/>
                  <w:szCs w:val="22"/>
                  <w:lang w:val="en-US"/>
                </w:rPr>
                <w:t>.</w:t>
              </w:r>
            </w:p>
            <w:p w14:paraId="1289A5EA" w14:textId="18F27BE6" w:rsidR="00BF4FCF" w:rsidRPr="002F5246" w:rsidRDefault="00BF4FCF" w:rsidP="007E0BF7">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Kennedy J. </w:t>
              </w:r>
              <w:r w:rsidR="007E0BF7" w:rsidRPr="002F5246">
                <w:rPr>
                  <w:rFonts w:asciiTheme="majorBidi" w:hAnsiTheme="majorBidi" w:cstheme="majorBidi"/>
                  <w:szCs w:val="22"/>
                  <w:lang w:val="en-US"/>
                </w:rPr>
                <w:t xml:space="preserve">2015. </w:t>
              </w:r>
              <w:r w:rsidRPr="002F5246">
                <w:rPr>
                  <w:rFonts w:asciiTheme="majorBidi" w:hAnsiTheme="majorBidi" w:cstheme="majorBidi"/>
                  <w:szCs w:val="22"/>
                  <w:lang w:val="en-US"/>
                </w:rPr>
                <w:t xml:space="preserve">“Forex Suit Adds Japanese, Canadian, French, UK Banks.” [Online] available at http://www.law360.com/articles/686131/forex-suit-adds-japanese-canadian-french-uk-banks. </w:t>
              </w:r>
            </w:p>
            <w:p w14:paraId="45AEC897" w14:textId="483F9D55"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Kleinman M. </w:t>
              </w:r>
              <w:r w:rsidR="008167C0" w:rsidRPr="002F5246">
                <w:rPr>
                  <w:rFonts w:asciiTheme="majorBidi" w:hAnsiTheme="majorBidi" w:cstheme="majorBidi"/>
                  <w:szCs w:val="22"/>
                  <w:lang w:val="en-US"/>
                </w:rPr>
                <w:t>2015.</w:t>
              </w:r>
              <w:r w:rsidRPr="002F5246">
                <w:rPr>
                  <w:rFonts w:asciiTheme="majorBidi" w:hAnsiTheme="majorBidi" w:cstheme="majorBidi"/>
                  <w:szCs w:val="22"/>
                  <w:lang w:val="en-US"/>
                </w:rPr>
                <w:t>“UK Bank Trio Agree $924m Forex-Rigging Bill.</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 [Online] available at http://news.sky.com/story/1574604/uk-bank-trio-agree-924m-forex-rigging-bill</w:t>
              </w:r>
              <w:r w:rsidR="008167C0" w:rsidRPr="002F5246">
                <w:rPr>
                  <w:rFonts w:asciiTheme="majorBidi" w:hAnsiTheme="majorBidi" w:cstheme="majorBidi"/>
                  <w:szCs w:val="22"/>
                  <w:lang w:val="en-US"/>
                </w:rPr>
                <w:t xml:space="preserve"> </w:t>
              </w:r>
              <w:r w:rsidRPr="002F5246">
                <w:rPr>
                  <w:rFonts w:asciiTheme="majorBidi" w:hAnsiTheme="majorBidi" w:cstheme="majorBidi"/>
                  <w:szCs w:val="22"/>
                  <w:lang w:val="en-US"/>
                </w:rPr>
                <w:t>.</w:t>
              </w:r>
            </w:p>
            <w:p w14:paraId="4B83AAA8" w14:textId="7B748E2A" w:rsidR="00D37CDA" w:rsidRPr="002F5246" w:rsidRDefault="00D37CDA" w:rsidP="0060613E">
              <w:pPr>
                <w:pStyle w:val="References"/>
                <w:rPr>
                  <w:rFonts w:asciiTheme="majorBidi" w:hAnsiTheme="majorBidi" w:cstheme="majorBidi"/>
                  <w:szCs w:val="22"/>
                  <w:lang w:val="en-US"/>
                </w:rPr>
              </w:pPr>
              <w:r w:rsidRPr="002F5246">
                <w:rPr>
                  <w:rFonts w:asciiTheme="majorBidi" w:hAnsiTheme="majorBidi" w:cstheme="majorBidi"/>
                  <w:szCs w:val="22"/>
                  <w:lang w:val="en-US"/>
                </w:rPr>
                <w:t>Kyle</w:t>
              </w:r>
              <w:r w:rsidR="0060613E" w:rsidRPr="002F5246">
                <w:rPr>
                  <w:rFonts w:asciiTheme="majorBidi" w:hAnsiTheme="majorBidi" w:cstheme="majorBidi"/>
                  <w:szCs w:val="22"/>
                  <w:lang w:val="en-US"/>
                </w:rPr>
                <w:t>, A.</w:t>
              </w:r>
              <w:r w:rsidRPr="002F5246">
                <w:rPr>
                  <w:rFonts w:asciiTheme="majorBidi" w:hAnsiTheme="majorBidi" w:cstheme="majorBidi"/>
                  <w:szCs w:val="22"/>
                  <w:lang w:val="en-US"/>
                </w:rPr>
                <w:t xml:space="preserve"> 1985. “Continuous Auctions and Insider Trading”. </w:t>
              </w:r>
              <w:r w:rsidRPr="002F5246">
                <w:rPr>
                  <w:i/>
                  <w:iCs/>
                </w:rPr>
                <w:t>Econometrica</w:t>
              </w:r>
              <w:r w:rsidRPr="002F5246">
                <w:rPr>
                  <w:rFonts w:asciiTheme="majorBidi" w:hAnsiTheme="majorBidi" w:cstheme="majorBidi"/>
                  <w:szCs w:val="22"/>
                  <w:lang w:val="en-US"/>
                </w:rPr>
                <w:t>, 53 (6): 1315-1335.</w:t>
              </w:r>
            </w:p>
            <w:p w14:paraId="5D5226BD" w14:textId="34BFB1F9"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Martens, M. &amp; Kofman, P.</w:t>
              </w:r>
              <w:r w:rsidR="00950656" w:rsidRPr="002F5246">
                <w:rPr>
                  <w:rFonts w:asciiTheme="majorBidi" w:hAnsiTheme="majorBidi" w:cstheme="majorBidi"/>
                  <w:szCs w:val="22"/>
                  <w:lang w:val="en-US"/>
                </w:rPr>
                <w:t xml:space="preserve"> 1998</w:t>
              </w:r>
              <w:r w:rsidRPr="002F5246">
                <w:rPr>
                  <w:rFonts w:asciiTheme="majorBidi" w:hAnsiTheme="majorBidi" w:cstheme="majorBidi"/>
                  <w:szCs w:val="22"/>
                  <w:lang w:val="en-US"/>
                </w:rPr>
                <w:t xml:space="preserve">. “The inefficiency of Reuters foreign exchange quotes”. </w:t>
              </w:r>
              <w:r w:rsidRPr="002F5246">
                <w:rPr>
                  <w:rFonts w:asciiTheme="majorBidi" w:hAnsiTheme="majorBidi" w:cstheme="majorBidi"/>
                  <w:i/>
                  <w:iCs/>
                  <w:szCs w:val="22"/>
                  <w:lang w:val="en-US"/>
                </w:rPr>
                <w:t xml:space="preserve">Journal of Banking and Finance, </w:t>
              </w:r>
              <w:r w:rsidRPr="002F5246">
                <w:rPr>
                  <w:rFonts w:asciiTheme="majorBidi" w:hAnsiTheme="majorBidi" w:cstheme="majorBidi"/>
                  <w:szCs w:val="22"/>
                  <w:lang w:val="en-US"/>
                </w:rPr>
                <w:t>22 (</w:t>
              </w:r>
              <w:r w:rsidR="00950656" w:rsidRPr="002F5246">
                <w:rPr>
                  <w:rFonts w:asciiTheme="majorBidi" w:hAnsiTheme="majorBidi" w:cstheme="majorBidi"/>
                  <w:szCs w:val="22"/>
                  <w:lang w:val="en-US"/>
                </w:rPr>
                <w:t>3</w:t>
              </w:r>
              <w:r w:rsidRPr="002F5246">
                <w:rPr>
                  <w:rFonts w:asciiTheme="majorBidi" w:hAnsiTheme="majorBidi" w:cstheme="majorBidi"/>
                  <w:szCs w:val="22"/>
                  <w:lang w:val="en-US"/>
                </w:rPr>
                <w:t>)</w:t>
              </w:r>
              <w:r w:rsidR="00950656" w:rsidRPr="002F5246">
                <w:rPr>
                  <w:rFonts w:asciiTheme="majorBidi" w:hAnsiTheme="majorBidi" w:cstheme="majorBidi"/>
                  <w:szCs w:val="22"/>
                  <w:lang w:val="en-US"/>
                </w:rPr>
                <w:t xml:space="preserve">: </w:t>
              </w:r>
              <w:r w:rsidRPr="002F5246">
                <w:rPr>
                  <w:rFonts w:asciiTheme="majorBidi" w:hAnsiTheme="majorBidi" w:cstheme="majorBidi"/>
                  <w:szCs w:val="22"/>
                  <w:lang w:val="en-US"/>
                </w:rPr>
                <w:t>347-366.</w:t>
              </w:r>
            </w:p>
            <w:p w14:paraId="33A5115A" w14:textId="1AAF3495"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McGeever, J. </w:t>
              </w:r>
              <w:r w:rsidR="00F44892" w:rsidRPr="002F5246">
                <w:rPr>
                  <w:rFonts w:asciiTheme="majorBidi" w:hAnsiTheme="majorBidi" w:cstheme="majorBidi"/>
                  <w:szCs w:val="22"/>
                  <w:lang w:val="en-US"/>
                </w:rPr>
                <w:t xml:space="preserve">2014. </w:t>
              </w:r>
              <w:r w:rsidRPr="002F5246">
                <w:rPr>
                  <w:rFonts w:asciiTheme="majorBidi" w:hAnsiTheme="majorBidi" w:cstheme="majorBidi"/>
                  <w:szCs w:val="22"/>
                  <w:lang w:val="en-US"/>
                </w:rPr>
                <w:t>“</w:t>
              </w:r>
              <w:r w:rsidRPr="002F5246">
                <w:rPr>
                  <w:rFonts w:asciiTheme="majorBidi" w:hAnsiTheme="majorBidi" w:cstheme="majorBidi"/>
                  <w:i/>
                  <w:iCs/>
                  <w:szCs w:val="22"/>
                  <w:lang w:val="en-US"/>
                </w:rPr>
                <w:t>Exclusive - FX chatrooms show traders shared order, price details</w:t>
              </w:r>
              <w:r w:rsidRPr="002F5246">
                <w:rPr>
                  <w:rFonts w:asciiTheme="majorBidi" w:hAnsiTheme="majorBidi" w:cstheme="majorBidi"/>
                  <w:szCs w:val="22"/>
                  <w:lang w:val="en-US"/>
                </w:rPr>
                <w:t>”</w:t>
              </w:r>
              <w:r w:rsidRPr="002F5246">
                <w:rPr>
                  <w:rFonts w:asciiTheme="majorBidi" w:hAnsiTheme="majorBidi" w:cstheme="majorBidi"/>
                  <w:i/>
                  <w:iCs/>
                  <w:szCs w:val="22"/>
                  <w:lang w:val="en-US"/>
                </w:rPr>
                <w:t xml:space="preserve">: sources. </w:t>
              </w:r>
              <w:r w:rsidRPr="002F5246">
                <w:rPr>
                  <w:rFonts w:asciiTheme="majorBidi" w:hAnsiTheme="majorBidi" w:cstheme="majorBidi"/>
                  <w:szCs w:val="22"/>
                  <w:lang w:val="en-US"/>
                </w:rPr>
                <w:t xml:space="preserve">[Online] </w:t>
              </w:r>
              <w:r w:rsidRPr="002F5246">
                <w:rPr>
                  <w:rFonts w:asciiTheme="majorBidi" w:hAnsiTheme="majorBidi" w:cstheme="majorBidi"/>
                  <w:szCs w:val="22"/>
                  <w:lang w:val="en-US"/>
                </w:rPr>
                <w:br/>
              </w:r>
              <w:r w:rsidRPr="002F5246">
                <w:rPr>
                  <w:rFonts w:asciiTheme="majorBidi" w:hAnsiTheme="majorBidi" w:cstheme="majorBidi"/>
                  <w:szCs w:val="22"/>
                  <w:lang w:val="en-US"/>
                </w:rPr>
                <w:lastRenderedPageBreak/>
                <w:t xml:space="preserve">Available at: </w:t>
              </w:r>
              <w:r w:rsidRPr="002F5246">
                <w:rPr>
                  <w:rFonts w:asciiTheme="majorBidi" w:hAnsiTheme="majorBidi" w:cstheme="majorBidi"/>
                  <w:szCs w:val="22"/>
                  <w:u w:val="single"/>
                  <w:lang w:val="en-US"/>
                </w:rPr>
                <w:t>http://uk.reuters.com/article/2014/06/19/uk-fx-investigation-idUKKBN0EU1GH20140619</w:t>
              </w:r>
              <w:r w:rsidRPr="002F5246">
                <w:rPr>
                  <w:rFonts w:asciiTheme="majorBidi" w:hAnsiTheme="majorBidi" w:cstheme="majorBidi"/>
                  <w:szCs w:val="22"/>
                  <w:lang w:val="en-US"/>
                </w:rPr>
                <w:t>.</w:t>
              </w:r>
            </w:p>
            <w:p w14:paraId="5E978ABA" w14:textId="6A7927DC"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NYDFS: New York Department of Financial Services. </w:t>
              </w:r>
              <w:r w:rsidR="00BB53D6" w:rsidRPr="002F5246">
                <w:rPr>
                  <w:rFonts w:asciiTheme="majorBidi" w:hAnsiTheme="majorBidi" w:cstheme="majorBidi"/>
                  <w:szCs w:val="22"/>
                  <w:lang w:val="en-US"/>
                </w:rPr>
                <w:t xml:space="preserve">2015. </w:t>
              </w:r>
              <w:r w:rsidRPr="002F5246">
                <w:rPr>
                  <w:rFonts w:asciiTheme="majorBidi" w:hAnsiTheme="majorBidi" w:cstheme="majorBidi"/>
                  <w:szCs w:val="22"/>
                  <w:lang w:val="en-US"/>
                </w:rPr>
                <w:t>“Press Release.” [Online] available at http://www.dfs.ny.gov/about/press/pr1505201.htm.</w:t>
              </w:r>
            </w:p>
            <w:p w14:paraId="76B1E406" w14:textId="6BDF78E7"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OCC: Office of the Comptroller of the Currency. </w:t>
              </w:r>
              <w:r w:rsidR="00425FE4" w:rsidRPr="002F5246">
                <w:rPr>
                  <w:rFonts w:asciiTheme="majorBidi" w:hAnsiTheme="majorBidi" w:cstheme="majorBidi"/>
                  <w:szCs w:val="22"/>
                  <w:lang w:val="en-US"/>
                </w:rPr>
                <w:t xml:space="preserve">2014. </w:t>
              </w:r>
              <w:r w:rsidRPr="002F5246">
                <w:rPr>
                  <w:rFonts w:asciiTheme="majorBidi" w:hAnsiTheme="majorBidi" w:cstheme="majorBidi"/>
                  <w:szCs w:val="22"/>
                  <w:lang w:val="en-US"/>
                </w:rPr>
                <w:t>“OCC Fines Three Banks $950 Million for FX Trading Improprieties.” [Online] available at http://www.occ.treas.gov/news-issuances/news-rel</w:t>
              </w:r>
              <w:r w:rsidR="00425FE4" w:rsidRPr="002F5246">
                <w:rPr>
                  <w:rFonts w:asciiTheme="majorBidi" w:hAnsiTheme="majorBidi" w:cstheme="majorBidi"/>
                  <w:szCs w:val="22"/>
                  <w:lang w:val="en-US"/>
                </w:rPr>
                <w:t>eases/2014/nr-occ-2014-157.html</w:t>
              </w:r>
              <w:r w:rsidRPr="002F5246">
                <w:rPr>
                  <w:rFonts w:asciiTheme="majorBidi" w:hAnsiTheme="majorBidi" w:cstheme="majorBidi"/>
                  <w:szCs w:val="22"/>
                  <w:lang w:val="en-US"/>
                </w:rPr>
                <w:t>.</w:t>
              </w:r>
            </w:p>
            <w:p w14:paraId="2185ADF2" w14:textId="50412BF4"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RBS., 2014a. “RBS Market Place.” [Online] </w:t>
              </w:r>
              <w:r w:rsidRPr="002F5246">
                <w:rPr>
                  <w:rFonts w:asciiTheme="majorBidi" w:hAnsiTheme="majorBidi" w:cstheme="majorBidi"/>
                  <w:szCs w:val="22"/>
                  <w:lang w:val="en-US"/>
                </w:rPr>
                <w:br/>
                <w:t xml:space="preserve">Available at: </w:t>
              </w:r>
              <w:r w:rsidRPr="002F5246">
                <w:rPr>
                  <w:rFonts w:asciiTheme="majorBidi" w:hAnsiTheme="majorBidi" w:cstheme="majorBidi"/>
                  <w:szCs w:val="22"/>
                  <w:u w:val="single"/>
                  <w:lang w:val="en-US"/>
                </w:rPr>
                <w:t>https://www.rbsm.com/psp/public/pagebuilder.aspx?page=rp8000&amp;video=fx-quote</w:t>
              </w:r>
              <w:r w:rsidRPr="002F5246">
                <w:rPr>
                  <w:rFonts w:asciiTheme="majorBidi" w:hAnsiTheme="majorBidi" w:cstheme="majorBidi"/>
                  <w:szCs w:val="22"/>
                  <w:lang w:val="en-US"/>
                </w:rPr>
                <w:t>.</w:t>
              </w:r>
            </w:p>
            <w:p w14:paraId="206EE8D2" w14:textId="3C869A55"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RBS., 2014b. “RBS Market Place.”</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 xml:space="preserve">[Online] </w:t>
              </w:r>
              <w:r w:rsidRPr="002F5246">
                <w:rPr>
                  <w:rFonts w:asciiTheme="majorBidi" w:hAnsiTheme="majorBidi" w:cstheme="majorBidi"/>
                  <w:szCs w:val="22"/>
                  <w:lang w:val="en-US"/>
                </w:rPr>
                <w:br/>
                <w:t xml:space="preserve">Available at: </w:t>
              </w:r>
              <w:r w:rsidRPr="002F5246">
                <w:rPr>
                  <w:rFonts w:asciiTheme="majorBidi" w:hAnsiTheme="majorBidi" w:cstheme="majorBidi"/>
                  <w:szCs w:val="22"/>
                  <w:u w:val="single"/>
                  <w:lang w:val="en-US"/>
                </w:rPr>
                <w:t>https://www.rbsm.com/psp/public/pagebuilder.aspx?page=rp8000&amp;video=fx-stream</w:t>
              </w:r>
              <w:r w:rsidRPr="002F5246">
                <w:rPr>
                  <w:rFonts w:asciiTheme="majorBidi" w:hAnsiTheme="majorBidi" w:cstheme="majorBidi"/>
                  <w:szCs w:val="22"/>
                  <w:lang w:val="en-US"/>
                </w:rPr>
                <w:t>.</w:t>
              </w:r>
            </w:p>
            <w:p w14:paraId="59E673D7" w14:textId="45FF39DA"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Rime, D. &amp; Schrimpf, A.</w:t>
              </w:r>
              <w:r w:rsidR="00762910" w:rsidRPr="002F5246">
                <w:rPr>
                  <w:rFonts w:asciiTheme="majorBidi" w:hAnsiTheme="majorBidi" w:cstheme="majorBidi"/>
                  <w:szCs w:val="22"/>
                  <w:lang w:val="en-US"/>
                </w:rPr>
                <w:t xml:space="preserve"> 2013</w:t>
              </w:r>
              <w:r w:rsidRPr="002F5246">
                <w:rPr>
                  <w:rFonts w:asciiTheme="majorBidi" w:hAnsiTheme="majorBidi" w:cstheme="majorBidi"/>
                  <w:szCs w:val="22"/>
                  <w:lang w:val="en-US"/>
                </w:rPr>
                <w:t>.</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 The anatomy of the global FX market through the lens of the 2013 Triennial Survey.” Ban</w:t>
              </w:r>
              <w:r w:rsidR="00304BE8" w:rsidRPr="002F5246">
                <w:rPr>
                  <w:rFonts w:asciiTheme="majorBidi" w:hAnsiTheme="majorBidi" w:cstheme="majorBidi"/>
                  <w:szCs w:val="22"/>
                  <w:lang w:val="en-US"/>
                </w:rPr>
                <w:t>k for International Settlement</w:t>
              </w:r>
              <w:r w:rsidRPr="002F5246">
                <w:rPr>
                  <w:rFonts w:asciiTheme="majorBidi" w:hAnsiTheme="majorBidi" w:cstheme="majorBidi"/>
                  <w:szCs w:val="22"/>
                  <w:lang w:val="en-US"/>
                </w:rPr>
                <w:t>.</w:t>
              </w:r>
            </w:p>
            <w:p w14:paraId="78F6D7BE" w14:textId="5E1B11A6"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Ring, S. &amp; Vaughan, L. </w:t>
              </w:r>
              <w:r w:rsidR="00304BE8" w:rsidRPr="002F5246">
                <w:rPr>
                  <w:rFonts w:asciiTheme="majorBidi" w:hAnsiTheme="majorBidi" w:cstheme="majorBidi"/>
                  <w:szCs w:val="22"/>
                  <w:lang w:val="en-US"/>
                </w:rPr>
                <w:t xml:space="preserve">2014. </w:t>
              </w:r>
              <w:r w:rsidRPr="002F5246">
                <w:rPr>
                  <w:rFonts w:asciiTheme="majorBidi" w:hAnsiTheme="majorBidi" w:cstheme="majorBidi"/>
                  <w:szCs w:val="22"/>
                  <w:lang w:val="en-US"/>
                </w:rPr>
                <w:t xml:space="preserve">“Citigroup, JPMorgan Pay Most in $4.3 Billion FX Rig Cases” [Online] </w:t>
              </w:r>
              <w:r w:rsidRPr="002F5246">
                <w:rPr>
                  <w:rFonts w:asciiTheme="majorBidi" w:hAnsiTheme="majorBidi" w:cstheme="majorBidi"/>
                  <w:szCs w:val="22"/>
                  <w:lang w:val="en-US"/>
                </w:rPr>
                <w:br/>
                <w:t xml:space="preserve">Available at: </w:t>
              </w:r>
              <w:r w:rsidRPr="002F5246">
                <w:rPr>
                  <w:rFonts w:asciiTheme="majorBidi" w:hAnsiTheme="majorBidi" w:cstheme="majorBidi"/>
                  <w:szCs w:val="22"/>
                  <w:u w:val="single"/>
                  <w:lang w:val="en-US"/>
                </w:rPr>
                <w:t>http://www.bloomberg.com/news/articles/2014-11-12/banks-to-pay-3-3-billion-in-fx-manipulation-probe</w:t>
              </w:r>
              <w:r w:rsidRPr="002F5246">
                <w:rPr>
                  <w:rFonts w:asciiTheme="majorBidi" w:hAnsiTheme="majorBidi" w:cstheme="majorBidi"/>
                  <w:szCs w:val="22"/>
                  <w:lang w:val="en-US"/>
                </w:rPr>
                <w:t>.</w:t>
              </w:r>
            </w:p>
            <w:p w14:paraId="30BF8FA8" w14:textId="424F2263"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Risk, H.</w:t>
              </w:r>
              <w:r w:rsidR="00AB326E" w:rsidRPr="002F5246">
                <w:rPr>
                  <w:rFonts w:asciiTheme="majorBidi" w:hAnsiTheme="majorBidi" w:cstheme="majorBidi"/>
                  <w:szCs w:val="22"/>
                  <w:lang w:val="en-US"/>
                </w:rPr>
                <w:t xml:space="preserve"> 2011.</w:t>
              </w:r>
              <w:r w:rsidRPr="002F5246">
                <w:rPr>
                  <w:rFonts w:asciiTheme="majorBidi" w:hAnsiTheme="majorBidi" w:cstheme="majorBidi"/>
                  <w:szCs w:val="22"/>
                  <w:lang w:val="en-US"/>
                </w:rPr>
                <w:t xml:space="preserve"> </w:t>
              </w:r>
              <w:r w:rsidRPr="002F5246">
                <w:rPr>
                  <w:rFonts w:asciiTheme="majorBidi" w:hAnsiTheme="majorBidi" w:cstheme="majorBidi"/>
                  <w:i/>
                  <w:iCs/>
                  <w:szCs w:val="22"/>
                  <w:lang w:val="en-US"/>
                </w:rPr>
                <w:t xml:space="preserve">Euromoney. </w:t>
              </w:r>
              <w:r w:rsidRPr="002F5246">
                <w:rPr>
                  <w:rFonts w:asciiTheme="majorBidi" w:hAnsiTheme="majorBidi" w:cstheme="majorBidi"/>
                  <w:szCs w:val="22"/>
                  <w:lang w:val="en-US"/>
                </w:rPr>
                <w:t xml:space="preserve">[Online] </w:t>
              </w:r>
              <w:r w:rsidRPr="002F5246">
                <w:rPr>
                  <w:rFonts w:asciiTheme="majorBidi" w:hAnsiTheme="majorBidi" w:cstheme="majorBidi"/>
                  <w:szCs w:val="22"/>
                  <w:lang w:val="en-US"/>
                </w:rPr>
                <w:br/>
                <w:t xml:space="preserve">Available at: </w:t>
              </w:r>
              <w:r w:rsidRPr="002F5246">
                <w:rPr>
                  <w:rFonts w:asciiTheme="majorBidi" w:hAnsiTheme="majorBidi" w:cstheme="majorBidi"/>
                  <w:szCs w:val="22"/>
                  <w:u w:val="single"/>
                  <w:lang w:val="en-US"/>
                </w:rPr>
                <w:t>http://www.euromoney.com/Article/2913198/Bloomberg-challenges-FX-multi-dealer-incumbents.html</w:t>
              </w:r>
              <w:r w:rsidRPr="002F5246">
                <w:rPr>
                  <w:rFonts w:asciiTheme="majorBidi" w:hAnsiTheme="majorBidi" w:cstheme="majorBidi"/>
                  <w:szCs w:val="22"/>
                  <w:lang w:val="en-US"/>
                </w:rPr>
                <w:t>.</w:t>
              </w:r>
            </w:p>
            <w:p w14:paraId="3FF6EEC8" w14:textId="4C4277B4"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Saks-McLeod, A. </w:t>
              </w:r>
              <w:r w:rsidR="00C44064" w:rsidRPr="002F5246">
                <w:rPr>
                  <w:rFonts w:asciiTheme="majorBidi" w:hAnsiTheme="majorBidi" w:cstheme="majorBidi"/>
                  <w:szCs w:val="22"/>
                  <w:lang w:val="en-US"/>
                </w:rPr>
                <w:t xml:space="preserve">2015. </w:t>
              </w:r>
              <w:r w:rsidRPr="002F5246">
                <w:rPr>
                  <w:rFonts w:asciiTheme="majorBidi" w:hAnsiTheme="majorBidi" w:cstheme="majorBidi"/>
                  <w:szCs w:val="22"/>
                  <w:lang w:val="en-US"/>
                </w:rPr>
                <w:t>“New York State regulator investigates major banks for FX rigging.”</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 xml:space="preserve">[Online] </w:t>
              </w:r>
              <w:r w:rsidRPr="002F5246">
                <w:rPr>
                  <w:rFonts w:asciiTheme="majorBidi" w:hAnsiTheme="majorBidi" w:cstheme="majorBidi"/>
                  <w:szCs w:val="22"/>
                  <w:lang w:val="en-US"/>
                </w:rPr>
                <w:br/>
                <w:t xml:space="preserve">Available at: </w:t>
              </w:r>
              <w:r w:rsidRPr="002F5246">
                <w:rPr>
                  <w:rFonts w:asciiTheme="majorBidi" w:hAnsiTheme="majorBidi" w:cstheme="majorBidi"/>
                  <w:szCs w:val="22"/>
                  <w:u w:val="single"/>
                  <w:lang w:val="en-US"/>
                </w:rPr>
                <w:t>http://leaprate.com/2015/03/new-york-state-regulator-investigates-major-banks-for-fx-rigging/</w:t>
              </w:r>
              <w:r w:rsidRPr="002F5246">
                <w:rPr>
                  <w:rFonts w:asciiTheme="majorBidi" w:hAnsiTheme="majorBidi" w:cstheme="majorBidi"/>
                  <w:szCs w:val="22"/>
                  <w:lang w:val="en-US"/>
                </w:rPr>
                <w:t>.</w:t>
              </w:r>
            </w:p>
            <w:p w14:paraId="6CE42825" w14:textId="44BA93D4"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Schuetze, A. &amp; McGeever, J. </w:t>
              </w:r>
              <w:r w:rsidR="00882605" w:rsidRPr="002F5246">
                <w:rPr>
                  <w:rFonts w:asciiTheme="majorBidi" w:hAnsiTheme="majorBidi" w:cstheme="majorBidi"/>
                  <w:szCs w:val="22"/>
                  <w:lang w:val="en-US"/>
                </w:rPr>
                <w:t xml:space="preserve">2014. </w:t>
              </w:r>
              <w:r w:rsidRPr="002F5246">
                <w:rPr>
                  <w:rFonts w:asciiTheme="majorBidi" w:hAnsiTheme="majorBidi" w:cstheme="majorBidi"/>
                  <w:szCs w:val="22"/>
                  <w:lang w:val="en-US"/>
                </w:rPr>
                <w:t>“</w:t>
              </w:r>
              <w:r w:rsidRPr="002F5246">
                <w:rPr>
                  <w:rFonts w:asciiTheme="majorBidi" w:hAnsiTheme="majorBidi" w:cstheme="majorBidi"/>
                  <w:i/>
                  <w:iCs/>
                  <w:szCs w:val="22"/>
                  <w:lang w:val="en-US"/>
                </w:rPr>
                <w:t xml:space="preserve">Commerzbank fires one forex trader and suspends another - sources. </w:t>
              </w:r>
              <w:r w:rsidRPr="002F5246">
                <w:rPr>
                  <w:rFonts w:asciiTheme="majorBidi" w:hAnsiTheme="majorBidi" w:cstheme="majorBidi"/>
                  <w:szCs w:val="22"/>
                  <w:lang w:val="en-US"/>
                </w:rPr>
                <w:t>“</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 xml:space="preserve">[Online]  Available at: </w:t>
              </w:r>
              <w:r w:rsidRPr="002F5246">
                <w:rPr>
                  <w:rFonts w:asciiTheme="majorBidi" w:hAnsiTheme="majorBidi" w:cstheme="majorBidi"/>
                  <w:szCs w:val="22"/>
                  <w:u w:val="single"/>
                  <w:lang w:val="en-US"/>
                </w:rPr>
                <w:t>http://uk.reuters.com/article/2014/05/21/uk-commerzbank-forex-idUKKBN0E111720140521</w:t>
              </w:r>
              <w:r w:rsidRPr="002F5246">
                <w:rPr>
                  <w:rFonts w:asciiTheme="majorBidi" w:hAnsiTheme="majorBidi" w:cstheme="majorBidi"/>
                  <w:szCs w:val="22"/>
                  <w:lang w:val="en-US"/>
                </w:rPr>
                <w:t>.</w:t>
              </w:r>
            </w:p>
            <w:p w14:paraId="07E4F706" w14:textId="35A84620"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Scott and Scott</w:t>
              </w:r>
              <w:r w:rsidR="00B8254A" w:rsidRPr="002F5246">
                <w:rPr>
                  <w:rFonts w:asciiTheme="majorBidi" w:hAnsiTheme="majorBidi" w:cstheme="majorBidi"/>
                  <w:szCs w:val="22"/>
                  <w:lang w:val="en-US"/>
                </w:rPr>
                <w:t>. 2015.</w:t>
              </w:r>
              <w:r w:rsidRPr="002F5246">
                <w:rPr>
                  <w:rFonts w:asciiTheme="majorBidi" w:hAnsiTheme="majorBidi" w:cstheme="majorBidi"/>
                  <w:szCs w:val="22"/>
                  <w:lang w:val="en-US"/>
                </w:rPr>
                <w:t xml:space="preserve"> “Scott and Scott 2015 In re foreign exchange benchmark rates antitrust litigation.” [Online] available at https://www.scott-</w:t>
              </w:r>
              <w:r w:rsidR="00C70BD8" w:rsidRPr="002F5246">
                <w:rPr>
                  <w:rFonts w:asciiTheme="majorBidi" w:hAnsiTheme="majorBidi" w:cstheme="majorBidi"/>
                  <w:szCs w:val="22"/>
                  <w:lang w:val="en-US"/>
                </w:rPr>
                <w:t>scott.com/73115redcomplaint.pdf</w:t>
              </w:r>
              <w:r w:rsidRPr="002F5246">
                <w:rPr>
                  <w:rFonts w:asciiTheme="majorBidi" w:hAnsiTheme="majorBidi" w:cstheme="majorBidi"/>
                  <w:szCs w:val="22"/>
                  <w:lang w:val="en-US"/>
                </w:rPr>
                <w:t>.</w:t>
              </w:r>
            </w:p>
            <w:p w14:paraId="75E56416" w14:textId="5449F6E7" w:rsidR="00BF4FCF" w:rsidRPr="002F5246" w:rsidRDefault="00BF4FCF" w:rsidP="00420387">
              <w:pPr>
                <w:pStyle w:val="References"/>
                <w:rPr>
                  <w:rFonts w:asciiTheme="majorBidi" w:hAnsiTheme="majorBidi" w:cstheme="majorBidi"/>
                  <w:szCs w:val="22"/>
                  <w:lang w:val="en-US"/>
                </w:rPr>
              </w:pPr>
            </w:p>
            <w:p w14:paraId="7C3DA80F" w14:textId="6B506048"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lastRenderedPageBreak/>
                <w:t xml:space="preserve">Thomson Reuters. </w:t>
              </w:r>
              <w:r w:rsidR="00007B9D" w:rsidRPr="002F5246">
                <w:rPr>
                  <w:rFonts w:asciiTheme="majorBidi" w:hAnsiTheme="majorBidi" w:cstheme="majorBidi"/>
                  <w:szCs w:val="22"/>
                  <w:lang w:val="en-US"/>
                </w:rPr>
                <w:t xml:space="preserve">2014. </w:t>
              </w:r>
              <w:r w:rsidRPr="002F5246">
                <w:rPr>
                  <w:rFonts w:asciiTheme="majorBidi" w:hAnsiTheme="majorBidi" w:cstheme="majorBidi"/>
                  <w:szCs w:val="22"/>
                  <w:lang w:val="en-US"/>
                </w:rPr>
                <w:t>“Thomson Reuters Eikon For Foreign Exchange Professionals Who Seek More.”</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 xml:space="preserve">[Online] Available at: </w:t>
              </w:r>
              <w:r w:rsidRPr="002F5246">
                <w:rPr>
                  <w:rFonts w:asciiTheme="majorBidi" w:hAnsiTheme="majorBidi" w:cstheme="majorBidi"/>
                  <w:szCs w:val="22"/>
                  <w:u w:val="single"/>
                  <w:lang w:val="en-US"/>
                </w:rPr>
                <w:t>http://financial.thomsonreuters.com/content/dam/openweb/documents/pdf/financial/eikon-foreign-exchange.pdf</w:t>
              </w:r>
              <w:r w:rsidRPr="002F5246">
                <w:rPr>
                  <w:rFonts w:asciiTheme="majorBidi" w:hAnsiTheme="majorBidi" w:cstheme="majorBidi"/>
                  <w:szCs w:val="22"/>
                  <w:lang w:val="en-US"/>
                </w:rPr>
                <w:t>.</w:t>
              </w:r>
            </w:p>
            <w:p w14:paraId="64654241" w14:textId="38DABC86"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Van Gaal, M. &amp; Choudhury, A. </w:t>
              </w:r>
              <w:r w:rsidR="004F1826" w:rsidRPr="002F5246">
                <w:rPr>
                  <w:rFonts w:asciiTheme="majorBidi" w:hAnsiTheme="majorBidi" w:cstheme="majorBidi"/>
                  <w:szCs w:val="22"/>
                  <w:lang w:val="en-US"/>
                </w:rPr>
                <w:t xml:space="preserve">2014. </w:t>
              </w:r>
              <w:r w:rsidRPr="002F5246">
                <w:rPr>
                  <w:rFonts w:asciiTheme="majorBidi" w:hAnsiTheme="majorBidi" w:cstheme="majorBidi"/>
                  <w:szCs w:val="22"/>
                  <w:lang w:val="en-US"/>
                </w:rPr>
                <w:t xml:space="preserve">“Rabobank Suspends Two London Currency Traders After Probe.” [Online] Available at: </w:t>
              </w:r>
              <w:r w:rsidRPr="002F5246">
                <w:rPr>
                  <w:rFonts w:asciiTheme="majorBidi" w:hAnsiTheme="majorBidi" w:cstheme="majorBidi"/>
                  <w:szCs w:val="22"/>
                  <w:u w:val="single"/>
                  <w:lang w:val="en-US"/>
                </w:rPr>
                <w:t>http://www.bloomberg.com/news/articles/2014-10-07/rabobank-suspends-two-london-currency-traders-after-probe</w:t>
              </w:r>
              <w:r w:rsidRPr="002F5246">
                <w:rPr>
                  <w:rFonts w:asciiTheme="majorBidi" w:hAnsiTheme="majorBidi" w:cstheme="majorBidi"/>
                  <w:szCs w:val="22"/>
                  <w:lang w:val="en-US"/>
                </w:rPr>
                <w:t>.</w:t>
              </w:r>
            </w:p>
            <w:p w14:paraId="1BABACBB" w14:textId="3772CCA7"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Vaughan, L., Finch, G. &amp; Choudhury, A. </w:t>
              </w:r>
              <w:r w:rsidR="00F3445F" w:rsidRPr="002F5246">
                <w:rPr>
                  <w:rFonts w:asciiTheme="majorBidi" w:hAnsiTheme="majorBidi" w:cstheme="majorBidi"/>
                  <w:szCs w:val="22"/>
                  <w:lang w:val="en-US"/>
                </w:rPr>
                <w:t xml:space="preserve">2013. </w:t>
              </w:r>
              <w:r w:rsidRPr="002F5246">
                <w:rPr>
                  <w:rFonts w:asciiTheme="majorBidi" w:hAnsiTheme="majorBidi" w:cstheme="majorBidi"/>
                  <w:szCs w:val="22"/>
                  <w:lang w:val="en-US"/>
                </w:rPr>
                <w:t>“</w:t>
              </w:r>
              <w:r w:rsidRPr="002F5246">
                <w:rPr>
                  <w:rFonts w:asciiTheme="majorBidi" w:hAnsiTheme="majorBidi" w:cstheme="majorBidi"/>
                  <w:i/>
                  <w:iCs/>
                  <w:szCs w:val="22"/>
                  <w:lang w:val="en-US"/>
                </w:rPr>
                <w:t>Traders Said to Rig Currency Rates to Profit Off Clients.</w:t>
              </w:r>
              <w:r w:rsidRPr="002F5246">
                <w:rPr>
                  <w:rFonts w:asciiTheme="majorBidi" w:hAnsiTheme="majorBidi" w:cstheme="majorBidi"/>
                  <w:szCs w:val="22"/>
                  <w:lang w:val="en-US"/>
                </w:rPr>
                <w:t>”</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 xml:space="preserve">[Online] Available at: </w:t>
              </w:r>
              <w:r w:rsidRPr="002F5246">
                <w:rPr>
                  <w:rFonts w:asciiTheme="majorBidi" w:hAnsiTheme="majorBidi" w:cstheme="majorBidi"/>
                  <w:szCs w:val="22"/>
                  <w:u w:val="single"/>
                  <w:lang w:val="en-US"/>
                </w:rPr>
                <w:t>http://www.bloomberg.com/news/articles/2013-06-11/traders-said-to-rig-currency-rates-to-profit-off-clients</w:t>
              </w:r>
              <w:r w:rsidRPr="002F5246">
                <w:rPr>
                  <w:rFonts w:asciiTheme="majorBidi" w:hAnsiTheme="majorBidi" w:cstheme="majorBidi"/>
                  <w:szCs w:val="22"/>
                  <w:lang w:val="en-US"/>
                </w:rPr>
                <w:t>.</w:t>
              </w:r>
            </w:p>
            <w:p w14:paraId="240E31BD" w14:textId="45A7C7D7"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Vaughan, L. &amp; Hamilton, S. </w:t>
              </w:r>
              <w:r w:rsidR="00140A80" w:rsidRPr="002F5246">
                <w:rPr>
                  <w:rFonts w:asciiTheme="majorBidi" w:hAnsiTheme="majorBidi" w:cstheme="majorBidi"/>
                  <w:szCs w:val="22"/>
                  <w:lang w:val="en-US"/>
                </w:rPr>
                <w:t xml:space="preserve">2014. </w:t>
              </w:r>
              <w:r w:rsidRPr="002F5246">
                <w:rPr>
                  <w:rFonts w:asciiTheme="majorBidi" w:hAnsiTheme="majorBidi" w:cstheme="majorBidi"/>
                  <w:szCs w:val="22"/>
                  <w:lang w:val="en-US"/>
                </w:rPr>
                <w:t xml:space="preserve">“BOE Chief FX Dealer Fired as Probe Faults Non-Escalation.” [Online] </w:t>
              </w:r>
              <w:r w:rsidRPr="002F5246">
                <w:rPr>
                  <w:rFonts w:asciiTheme="majorBidi" w:hAnsiTheme="majorBidi" w:cstheme="majorBidi"/>
                  <w:szCs w:val="22"/>
                  <w:lang w:val="en-US"/>
                </w:rPr>
                <w:br/>
                <w:t xml:space="preserve">Available at: </w:t>
              </w:r>
              <w:r w:rsidRPr="002F5246">
                <w:rPr>
                  <w:rFonts w:asciiTheme="majorBidi" w:hAnsiTheme="majorBidi" w:cstheme="majorBidi"/>
                  <w:szCs w:val="22"/>
                  <w:u w:val="single"/>
                  <w:lang w:val="en-US"/>
                </w:rPr>
                <w:t>http://www.bloomberg.com/news/articles/2014-11-12/boe-chief-currency-dealer-fired-after-not-reporting-risks</w:t>
              </w:r>
              <w:r w:rsidRPr="002F5246">
                <w:rPr>
                  <w:rFonts w:asciiTheme="majorBidi" w:hAnsiTheme="majorBidi" w:cstheme="majorBidi"/>
                  <w:szCs w:val="22"/>
                  <w:lang w:val="en-US"/>
                </w:rPr>
                <w:t>.</w:t>
              </w:r>
            </w:p>
            <w:p w14:paraId="4F96F527" w14:textId="411E84DA" w:rsidR="00BF4FCF" w:rsidRPr="002F5246" w:rsidRDefault="00BF4FCF" w:rsidP="00294834">
              <w:pPr>
                <w:pStyle w:val="References"/>
                <w:rPr>
                  <w:lang w:val="en-US"/>
                </w:rPr>
              </w:pPr>
              <w:r w:rsidRPr="002F5246">
                <w:rPr>
                  <w:lang w:val="en-US"/>
                </w:rPr>
                <w:t xml:space="preserve">Voris, B. V. </w:t>
              </w:r>
              <w:r w:rsidR="00CE770E" w:rsidRPr="002F5246">
                <w:rPr>
                  <w:lang w:val="en-US"/>
                </w:rPr>
                <w:t xml:space="preserve">2015. </w:t>
              </w:r>
              <w:r w:rsidRPr="002F5246">
                <w:rPr>
                  <w:lang w:val="en-US"/>
                </w:rPr>
                <w:t>“Standard Chartered, Societe Generale Added to Forex Lawsuit.”</w:t>
              </w:r>
              <w:r w:rsidRPr="002F5246">
                <w:rPr>
                  <w:i/>
                  <w:lang w:val="en-US"/>
                </w:rPr>
                <w:t xml:space="preserve"> </w:t>
              </w:r>
              <w:r w:rsidRPr="002F5246">
                <w:rPr>
                  <w:lang w:val="en-US"/>
                </w:rPr>
                <w:t xml:space="preserve">[Online] </w:t>
              </w:r>
              <w:r w:rsidRPr="002F5246">
                <w:rPr>
                  <w:lang w:val="en-US"/>
                </w:rPr>
                <w:br/>
                <w:t xml:space="preserve">Available at: </w:t>
              </w:r>
              <w:r w:rsidRPr="002F5246">
                <w:rPr>
                  <w:u w:val="single"/>
                  <w:lang w:val="en-US"/>
                </w:rPr>
                <w:t>http://www.bloomberg.com/news/articles/2015-08-01/standard-chartered-societe-generale-added-to-forex-lawsuit.</w:t>
              </w:r>
            </w:p>
            <w:p w14:paraId="6D47BCAC" w14:textId="62A0DF21" w:rsidR="00BF4FCF" w:rsidRPr="002F5246" w:rsidRDefault="00BF4FCF" w:rsidP="00294834">
              <w:pPr>
                <w:pStyle w:val="References"/>
                <w:rPr>
                  <w:rFonts w:asciiTheme="majorBidi" w:hAnsiTheme="majorBidi" w:cstheme="majorBidi"/>
                  <w:szCs w:val="22"/>
                  <w:lang w:val="en-US"/>
                </w:rPr>
              </w:pPr>
              <w:r w:rsidRPr="002F5246">
                <w:rPr>
                  <w:rFonts w:asciiTheme="majorBidi" w:hAnsiTheme="majorBidi" w:cstheme="majorBidi"/>
                  <w:szCs w:val="22"/>
                  <w:lang w:val="en-US"/>
                </w:rPr>
                <w:t xml:space="preserve">Willson-Taylor, S. </w:t>
              </w:r>
              <w:r w:rsidR="00E45DD0" w:rsidRPr="002F5246">
                <w:rPr>
                  <w:rFonts w:asciiTheme="majorBidi" w:hAnsiTheme="majorBidi" w:cstheme="majorBidi"/>
                  <w:szCs w:val="22"/>
                  <w:lang w:val="en-US"/>
                </w:rPr>
                <w:t xml:space="preserve">2013. </w:t>
              </w:r>
              <w:r w:rsidRPr="002F5246">
                <w:rPr>
                  <w:rFonts w:asciiTheme="majorBidi" w:hAnsiTheme="majorBidi" w:cstheme="majorBidi"/>
                  <w:szCs w:val="22"/>
                  <w:lang w:val="en-US"/>
                </w:rPr>
                <w:t>“The story of the Fix. How we got here, how to fix the fix, and how not to have to use it (for trading) in the first place.” Molton Markets Inc.</w:t>
              </w:r>
            </w:p>
            <w:p w14:paraId="6AA78BB0" w14:textId="3A5AB9F3" w:rsidR="00400827" w:rsidRDefault="00BF4FCF" w:rsidP="003769E0">
              <w:pPr>
                <w:pStyle w:val="Bibliography"/>
                <w:rPr>
                  <w:b/>
                  <w:bCs/>
                  <w:lang w:val="en-US"/>
                </w:rPr>
              </w:pPr>
              <w:r w:rsidRPr="002F5246">
                <w:rPr>
                  <w:rFonts w:asciiTheme="majorBidi" w:hAnsiTheme="majorBidi" w:cstheme="majorBidi"/>
                  <w:szCs w:val="22"/>
                  <w:lang w:val="en-US"/>
                </w:rPr>
                <w:t>The WM Company.</w:t>
              </w:r>
              <w:r w:rsidR="009A15F7" w:rsidRPr="002F5246">
                <w:rPr>
                  <w:rFonts w:asciiTheme="majorBidi" w:hAnsiTheme="majorBidi" w:cstheme="majorBidi"/>
                  <w:szCs w:val="22"/>
                  <w:lang w:val="en-US"/>
                </w:rPr>
                <w:t xml:space="preserve"> 2015.</w:t>
              </w:r>
              <w:r w:rsidRPr="002F5246">
                <w:rPr>
                  <w:rFonts w:asciiTheme="majorBidi" w:hAnsiTheme="majorBidi" w:cstheme="majorBidi"/>
                  <w:szCs w:val="22"/>
                  <w:lang w:val="en-US"/>
                </w:rPr>
                <w:t xml:space="preserve"> “WM/Reuters Spot and Forward Rates Methodology Guide.”</w:t>
              </w:r>
              <w:r w:rsidRPr="002F5246">
                <w:rPr>
                  <w:rFonts w:asciiTheme="majorBidi" w:hAnsiTheme="majorBidi" w:cstheme="majorBidi"/>
                  <w:i/>
                  <w:iCs/>
                  <w:szCs w:val="22"/>
                  <w:lang w:val="en-US"/>
                </w:rPr>
                <w:t xml:space="preserve"> </w:t>
              </w:r>
              <w:r w:rsidRPr="002F5246">
                <w:rPr>
                  <w:rFonts w:asciiTheme="majorBidi" w:hAnsiTheme="majorBidi" w:cstheme="majorBidi"/>
                  <w:szCs w:val="22"/>
                  <w:lang w:val="en-US"/>
                </w:rPr>
                <w:t xml:space="preserve">[Online] </w:t>
              </w:r>
              <w:r w:rsidRPr="002F5246">
                <w:rPr>
                  <w:rFonts w:asciiTheme="majorBidi" w:hAnsiTheme="majorBidi" w:cstheme="majorBidi"/>
                  <w:szCs w:val="22"/>
                  <w:lang w:val="en-US"/>
                </w:rPr>
                <w:br/>
                <w:t xml:space="preserve">Available at: </w:t>
              </w:r>
              <w:r w:rsidRPr="002F5246">
                <w:rPr>
                  <w:rFonts w:asciiTheme="majorBidi" w:hAnsiTheme="majorBidi" w:cstheme="majorBidi"/>
                  <w:szCs w:val="22"/>
                  <w:u w:val="single"/>
                  <w:lang w:val="en-US"/>
                </w:rPr>
                <w:t>http://www.wmcompany.com/pdfs/WMReutersMethodology.pdf</w:t>
              </w:r>
              <w:r w:rsidRPr="002F5246">
                <w:rPr>
                  <w:rFonts w:asciiTheme="majorBidi" w:hAnsiTheme="majorBidi" w:cstheme="majorBidi"/>
                  <w:szCs w:val="22"/>
                  <w:lang w:val="en-US"/>
                </w:rPr>
                <w:t>.</w:t>
              </w:r>
              <w:r w:rsidRPr="002F5246">
                <w:rPr>
                  <w:rFonts w:asciiTheme="majorBidi" w:hAnsiTheme="majorBidi" w:cstheme="majorBidi"/>
                  <w:szCs w:val="22"/>
                  <w:lang w:val="en-US"/>
                </w:rPr>
                <w:br/>
              </w:r>
              <w:r w:rsidRPr="002F5246">
                <w:rPr>
                  <w:b/>
                  <w:bCs/>
                  <w:lang w:val="en-US"/>
                </w:rPr>
                <w:fldChar w:fldCharType="end"/>
              </w:r>
            </w:p>
            <w:p w14:paraId="459C7B84" w14:textId="1F3B416F" w:rsidR="002F5246" w:rsidRDefault="002F5246" w:rsidP="002F5246">
              <w:pPr>
                <w:rPr>
                  <w:lang w:val="en-US"/>
                </w:rPr>
              </w:pPr>
            </w:p>
            <w:p w14:paraId="3F4A07EE" w14:textId="161F0FAD" w:rsidR="002F5246" w:rsidRDefault="002F5246" w:rsidP="002F5246">
              <w:pPr>
                <w:rPr>
                  <w:lang w:val="en-US"/>
                </w:rPr>
              </w:pPr>
            </w:p>
            <w:p w14:paraId="40A92E00" w14:textId="35567AC9" w:rsidR="002F5246" w:rsidRDefault="002F5246" w:rsidP="002F5246">
              <w:pPr>
                <w:rPr>
                  <w:lang w:val="en-US"/>
                </w:rPr>
              </w:pPr>
            </w:p>
            <w:p w14:paraId="51B1411E" w14:textId="181BFC69" w:rsidR="002F5246" w:rsidRDefault="002F5246" w:rsidP="002F5246">
              <w:pPr>
                <w:rPr>
                  <w:lang w:val="en-US"/>
                </w:rPr>
              </w:pPr>
            </w:p>
            <w:p w14:paraId="04AEF9D3" w14:textId="77777777" w:rsidR="002F5246" w:rsidRPr="002F5246" w:rsidRDefault="002F5246" w:rsidP="002F5246">
              <w:pPr>
                <w:rPr>
                  <w:lang w:val="en-US"/>
                </w:rPr>
              </w:pPr>
            </w:p>
            <w:p w14:paraId="2B11D8D7" w14:textId="4CBA840D" w:rsidR="002F5246" w:rsidRDefault="002F5246" w:rsidP="002F5246">
              <w:pPr>
                <w:pStyle w:val="Heading1"/>
                <w:rPr>
                  <w:lang w:val="en-US"/>
                </w:rPr>
              </w:pPr>
              <w:r>
                <w:rPr>
                  <w:lang w:val="en-US"/>
                </w:rPr>
                <w:lastRenderedPageBreak/>
                <w:t>Tables and Figures</w:t>
              </w:r>
            </w:p>
            <w:p w14:paraId="533E4C87" w14:textId="77777777" w:rsidR="002F5246" w:rsidRPr="00DA41C9" w:rsidRDefault="002F5246" w:rsidP="002F5246">
              <w:pPr>
                <w:pStyle w:val="Tabletitle"/>
                <w:rPr>
                  <w:lang w:val="en-US"/>
                </w:rPr>
              </w:pPr>
              <w:r w:rsidRPr="00DA41C9">
                <w:rPr>
                  <w:lang w:val="en-US"/>
                </w:rPr>
                <w:t xml:space="preserve">Table 1- Dataset Summary Statistics </w:t>
              </w:r>
            </w:p>
            <w:p w14:paraId="180ABFDF" w14:textId="77777777" w:rsidR="002F5246" w:rsidRPr="00DA41C9" w:rsidRDefault="002F5246" w:rsidP="002F5246">
              <w:pPr>
                <w:spacing w:line="360" w:lineRule="auto"/>
                <w:ind w:firstLine="720"/>
                <w:jc w:val="center"/>
                <w:rPr>
                  <w:rFonts w:asciiTheme="majorBidi" w:hAnsiTheme="majorBidi" w:cstheme="majorBidi"/>
                  <w:b/>
                  <w:bCs/>
                  <w:sz w:val="20"/>
                  <w:szCs w:val="20"/>
                  <w:lang w:val="en-US"/>
                </w:rPr>
              </w:pPr>
            </w:p>
            <w:tbl>
              <w:tblPr>
                <w:tblW w:w="10335" w:type="dxa"/>
                <w:jc w:val="center"/>
                <w:tblLook w:val="04A0" w:firstRow="1" w:lastRow="0" w:firstColumn="1" w:lastColumn="0" w:noHBand="0" w:noVBand="1"/>
              </w:tblPr>
              <w:tblGrid>
                <w:gridCol w:w="1243"/>
                <w:gridCol w:w="723"/>
                <w:gridCol w:w="931"/>
                <w:gridCol w:w="876"/>
                <w:gridCol w:w="723"/>
                <w:gridCol w:w="821"/>
                <w:gridCol w:w="756"/>
                <w:gridCol w:w="989"/>
                <w:gridCol w:w="1217"/>
                <w:gridCol w:w="2056"/>
              </w:tblGrid>
              <w:tr w:rsidR="002F5246" w:rsidRPr="00DA41C9" w14:paraId="7E60240F" w14:textId="77777777" w:rsidTr="00E23288">
                <w:trPr>
                  <w:trHeight w:val="285"/>
                  <w:jc w:val="center"/>
                </w:trPr>
                <w:tc>
                  <w:tcPr>
                    <w:tcW w:w="1243" w:type="dxa"/>
                    <w:tcBorders>
                      <w:top w:val="single" w:sz="12" w:space="0" w:color="auto"/>
                      <w:left w:val="nil"/>
                      <w:bottom w:val="single" w:sz="8" w:space="0" w:color="auto"/>
                      <w:right w:val="nil"/>
                    </w:tcBorders>
                    <w:shd w:val="clear" w:color="000000" w:fill="FFFFFF"/>
                    <w:noWrap/>
                    <w:vAlign w:val="center"/>
                    <w:hideMark/>
                  </w:tcPr>
                  <w:p w14:paraId="6F6F85E8"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Currency</w:t>
                    </w:r>
                  </w:p>
                </w:tc>
                <w:tc>
                  <w:tcPr>
                    <w:tcW w:w="723" w:type="dxa"/>
                    <w:tcBorders>
                      <w:top w:val="single" w:sz="12" w:space="0" w:color="auto"/>
                      <w:left w:val="nil"/>
                      <w:bottom w:val="single" w:sz="8" w:space="0" w:color="auto"/>
                      <w:right w:val="nil"/>
                    </w:tcBorders>
                    <w:shd w:val="clear" w:color="000000" w:fill="FFFFFF"/>
                    <w:vAlign w:val="center"/>
                  </w:tcPr>
                  <w:p w14:paraId="24710274"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Days</w:t>
                    </w:r>
                  </w:p>
                </w:tc>
                <w:tc>
                  <w:tcPr>
                    <w:tcW w:w="931" w:type="dxa"/>
                    <w:tcBorders>
                      <w:top w:val="single" w:sz="12" w:space="0" w:color="auto"/>
                      <w:left w:val="nil"/>
                      <w:bottom w:val="single" w:sz="8" w:space="0" w:color="auto"/>
                      <w:right w:val="nil"/>
                    </w:tcBorders>
                    <w:shd w:val="clear" w:color="000000" w:fill="FFFFFF"/>
                    <w:noWrap/>
                    <w:vAlign w:val="center"/>
                    <w:hideMark/>
                  </w:tcPr>
                  <w:p w14:paraId="1E77E8A5"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Sum</w:t>
                    </w:r>
                  </w:p>
                </w:tc>
                <w:tc>
                  <w:tcPr>
                    <w:tcW w:w="876" w:type="dxa"/>
                    <w:tcBorders>
                      <w:top w:val="single" w:sz="12" w:space="0" w:color="auto"/>
                      <w:left w:val="nil"/>
                      <w:bottom w:val="single" w:sz="8" w:space="0" w:color="auto"/>
                      <w:right w:val="nil"/>
                    </w:tcBorders>
                    <w:shd w:val="clear" w:color="000000" w:fill="FFFFFF"/>
                    <w:vAlign w:val="center"/>
                  </w:tcPr>
                  <w:p w14:paraId="7924C6DF"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Mean</w:t>
                    </w:r>
                  </w:p>
                </w:tc>
                <w:tc>
                  <w:tcPr>
                    <w:tcW w:w="723" w:type="dxa"/>
                    <w:tcBorders>
                      <w:top w:val="single" w:sz="12" w:space="0" w:color="auto"/>
                      <w:left w:val="nil"/>
                      <w:bottom w:val="single" w:sz="8" w:space="0" w:color="auto"/>
                      <w:right w:val="nil"/>
                    </w:tcBorders>
                    <w:shd w:val="clear" w:color="000000" w:fill="FFFFFF"/>
                    <w:noWrap/>
                    <w:vAlign w:val="center"/>
                    <w:hideMark/>
                  </w:tcPr>
                  <w:p w14:paraId="12EE5D6A"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Min</w:t>
                    </w:r>
                  </w:p>
                </w:tc>
                <w:tc>
                  <w:tcPr>
                    <w:tcW w:w="821" w:type="dxa"/>
                    <w:tcBorders>
                      <w:top w:val="single" w:sz="12" w:space="0" w:color="auto"/>
                      <w:left w:val="nil"/>
                      <w:bottom w:val="single" w:sz="8" w:space="0" w:color="auto"/>
                      <w:right w:val="nil"/>
                    </w:tcBorders>
                    <w:shd w:val="clear" w:color="000000" w:fill="FFFFFF"/>
                    <w:noWrap/>
                    <w:vAlign w:val="center"/>
                    <w:hideMark/>
                  </w:tcPr>
                  <w:p w14:paraId="5D825D7C"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Max</w:t>
                    </w:r>
                  </w:p>
                </w:tc>
                <w:tc>
                  <w:tcPr>
                    <w:tcW w:w="756" w:type="dxa"/>
                    <w:tcBorders>
                      <w:top w:val="single" w:sz="12" w:space="0" w:color="auto"/>
                      <w:left w:val="nil"/>
                      <w:bottom w:val="single" w:sz="8" w:space="0" w:color="auto"/>
                      <w:right w:val="nil"/>
                    </w:tcBorders>
                    <w:shd w:val="clear" w:color="000000" w:fill="FFFFFF"/>
                    <w:noWrap/>
                    <w:vAlign w:val="center"/>
                    <w:hideMark/>
                  </w:tcPr>
                  <w:p w14:paraId="6D493DCE"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STD</w:t>
                    </w:r>
                  </w:p>
                </w:tc>
                <w:tc>
                  <w:tcPr>
                    <w:tcW w:w="989" w:type="dxa"/>
                    <w:tcBorders>
                      <w:top w:val="single" w:sz="12" w:space="0" w:color="auto"/>
                      <w:left w:val="nil"/>
                      <w:bottom w:val="single" w:sz="8" w:space="0" w:color="auto"/>
                      <w:right w:val="nil"/>
                    </w:tcBorders>
                    <w:shd w:val="clear" w:color="000000" w:fill="FFFFFF"/>
                    <w:noWrap/>
                    <w:vAlign w:val="center"/>
                    <w:hideMark/>
                  </w:tcPr>
                  <w:p w14:paraId="2DD4E6EC"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Dealers</w:t>
                    </w:r>
                  </w:p>
                </w:tc>
                <w:tc>
                  <w:tcPr>
                    <w:tcW w:w="1217" w:type="dxa"/>
                    <w:tcBorders>
                      <w:top w:val="single" w:sz="12" w:space="0" w:color="auto"/>
                      <w:left w:val="nil"/>
                      <w:bottom w:val="single" w:sz="8" w:space="0" w:color="auto"/>
                      <w:right w:val="nil"/>
                    </w:tcBorders>
                    <w:shd w:val="clear" w:color="000000" w:fill="FFFFFF"/>
                    <w:noWrap/>
                    <w:vAlign w:val="center"/>
                    <w:hideMark/>
                  </w:tcPr>
                  <w:p w14:paraId="5BABB28A"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Locations</w:t>
                    </w:r>
                  </w:p>
                </w:tc>
                <w:tc>
                  <w:tcPr>
                    <w:tcW w:w="2056" w:type="dxa"/>
                    <w:tcBorders>
                      <w:top w:val="single" w:sz="12" w:space="0" w:color="auto"/>
                      <w:left w:val="nil"/>
                      <w:bottom w:val="single" w:sz="8" w:space="0" w:color="auto"/>
                      <w:right w:val="nil"/>
                    </w:tcBorders>
                    <w:shd w:val="clear" w:color="000000" w:fill="FFFFFF"/>
                    <w:noWrap/>
                    <w:vAlign w:val="center"/>
                    <w:hideMark/>
                  </w:tcPr>
                  <w:p w14:paraId="64ED4AEC"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Dealers/Locations</w:t>
                    </w:r>
                  </w:p>
                </w:tc>
              </w:tr>
              <w:tr w:rsidR="002F5246" w:rsidRPr="00DA41C9" w14:paraId="4EC44FF7" w14:textId="77777777" w:rsidTr="00E23288">
                <w:trPr>
                  <w:trHeight w:val="255"/>
                  <w:jc w:val="center"/>
                </w:trPr>
                <w:tc>
                  <w:tcPr>
                    <w:tcW w:w="1243" w:type="dxa"/>
                    <w:tcBorders>
                      <w:top w:val="nil"/>
                      <w:left w:val="nil"/>
                      <w:bottom w:val="nil"/>
                      <w:right w:val="nil"/>
                    </w:tcBorders>
                    <w:shd w:val="clear" w:color="000000" w:fill="FFFFFF"/>
                    <w:noWrap/>
                    <w:vAlign w:val="center"/>
                    <w:hideMark/>
                  </w:tcPr>
                  <w:p w14:paraId="49545BF8"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EUR:GBP</w:t>
                    </w:r>
                  </w:p>
                </w:tc>
                <w:tc>
                  <w:tcPr>
                    <w:tcW w:w="723" w:type="dxa"/>
                    <w:tcBorders>
                      <w:top w:val="nil"/>
                      <w:left w:val="nil"/>
                      <w:bottom w:val="nil"/>
                      <w:right w:val="nil"/>
                    </w:tcBorders>
                    <w:shd w:val="clear" w:color="000000" w:fill="FFFFFF"/>
                    <w:vAlign w:val="center"/>
                  </w:tcPr>
                  <w:p w14:paraId="44591122"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212</w:t>
                    </w:r>
                  </w:p>
                </w:tc>
                <w:tc>
                  <w:tcPr>
                    <w:tcW w:w="931" w:type="dxa"/>
                    <w:tcBorders>
                      <w:top w:val="nil"/>
                      <w:left w:val="nil"/>
                      <w:bottom w:val="nil"/>
                      <w:right w:val="nil"/>
                    </w:tcBorders>
                    <w:shd w:val="clear" w:color="000000" w:fill="FFFFFF"/>
                    <w:noWrap/>
                    <w:vAlign w:val="center"/>
                    <w:hideMark/>
                  </w:tcPr>
                  <w:p w14:paraId="27F32F9A"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16,156</w:t>
                    </w:r>
                  </w:p>
                </w:tc>
                <w:tc>
                  <w:tcPr>
                    <w:tcW w:w="876" w:type="dxa"/>
                    <w:tcBorders>
                      <w:top w:val="nil"/>
                      <w:left w:val="nil"/>
                      <w:bottom w:val="nil"/>
                      <w:right w:val="nil"/>
                    </w:tcBorders>
                    <w:shd w:val="clear" w:color="000000" w:fill="FFFFFF"/>
                    <w:vAlign w:val="center"/>
                  </w:tcPr>
                  <w:p w14:paraId="3775F027"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76.21</w:t>
                    </w:r>
                  </w:p>
                </w:tc>
                <w:tc>
                  <w:tcPr>
                    <w:tcW w:w="723" w:type="dxa"/>
                    <w:tcBorders>
                      <w:top w:val="nil"/>
                      <w:left w:val="nil"/>
                      <w:bottom w:val="nil"/>
                      <w:right w:val="nil"/>
                    </w:tcBorders>
                    <w:shd w:val="clear" w:color="000000" w:fill="FFFFFF"/>
                    <w:noWrap/>
                    <w:vAlign w:val="center"/>
                    <w:hideMark/>
                  </w:tcPr>
                  <w:p w14:paraId="428ACD67"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48</w:t>
                    </w:r>
                  </w:p>
                </w:tc>
                <w:tc>
                  <w:tcPr>
                    <w:tcW w:w="821" w:type="dxa"/>
                    <w:tcBorders>
                      <w:top w:val="nil"/>
                      <w:left w:val="nil"/>
                      <w:bottom w:val="nil"/>
                      <w:right w:val="nil"/>
                    </w:tcBorders>
                    <w:shd w:val="clear" w:color="000000" w:fill="FFFFFF"/>
                    <w:noWrap/>
                    <w:vAlign w:val="center"/>
                    <w:hideMark/>
                  </w:tcPr>
                  <w:p w14:paraId="61F6BBF6"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122</w:t>
                    </w:r>
                  </w:p>
                </w:tc>
                <w:tc>
                  <w:tcPr>
                    <w:tcW w:w="756" w:type="dxa"/>
                    <w:tcBorders>
                      <w:top w:val="nil"/>
                      <w:left w:val="nil"/>
                      <w:bottom w:val="nil"/>
                      <w:right w:val="nil"/>
                    </w:tcBorders>
                    <w:shd w:val="clear" w:color="000000" w:fill="FFFFFF"/>
                    <w:noWrap/>
                    <w:vAlign w:val="center"/>
                    <w:hideMark/>
                  </w:tcPr>
                  <w:p w14:paraId="5195BA83"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13.28</w:t>
                    </w:r>
                  </w:p>
                </w:tc>
                <w:tc>
                  <w:tcPr>
                    <w:tcW w:w="989" w:type="dxa"/>
                    <w:tcBorders>
                      <w:top w:val="nil"/>
                      <w:left w:val="nil"/>
                      <w:bottom w:val="nil"/>
                      <w:right w:val="nil"/>
                    </w:tcBorders>
                    <w:shd w:val="clear" w:color="000000" w:fill="FFFFFF"/>
                    <w:noWrap/>
                    <w:vAlign w:val="center"/>
                    <w:hideMark/>
                  </w:tcPr>
                  <w:p w14:paraId="78210DE0"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36</w:t>
                    </w:r>
                  </w:p>
                </w:tc>
                <w:tc>
                  <w:tcPr>
                    <w:tcW w:w="1217" w:type="dxa"/>
                    <w:tcBorders>
                      <w:top w:val="nil"/>
                      <w:left w:val="nil"/>
                      <w:bottom w:val="nil"/>
                      <w:right w:val="nil"/>
                    </w:tcBorders>
                    <w:shd w:val="clear" w:color="000000" w:fill="FFFFFF"/>
                    <w:noWrap/>
                    <w:vAlign w:val="center"/>
                    <w:hideMark/>
                  </w:tcPr>
                  <w:p w14:paraId="271E45DC"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22</w:t>
                    </w:r>
                  </w:p>
                </w:tc>
                <w:tc>
                  <w:tcPr>
                    <w:tcW w:w="2056" w:type="dxa"/>
                    <w:tcBorders>
                      <w:top w:val="nil"/>
                      <w:left w:val="nil"/>
                      <w:bottom w:val="nil"/>
                      <w:right w:val="nil"/>
                    </w:tcBorders>
                    <w:shd w:val="clear" w:color="000000" w:fill="FFFFFF"/>
                    <w:noWrap/>
                    <w:vAlign w:val="center"/>
                    <w:hideMark/>
                  </w:tcPr>
                  <w:p w14:paraId="4F6AC996"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38</w:t>
                    </w:r>
                  </w:p>
                </w:tc>
              </w:tr>
              <w:tr w:rsidR="002F5246" w:rsidRPr="00DA41C9" w14:paraId="24253188" w14:textId="77777777" w:rsidTr="00E23288">
                <w:trPr>
                  <w:trHeight w:val="255"/>
                  <w:jc w:val="center"/>
                </w:trPr>
                <w:tc>
                  <w:tcPr>
                    <w:tcW w:w="1243" w:type="dxa"/>
                    <w:tcBorders>
                      <w:top w:val="nil"/>
                      <w:left w:val="nil"/>
                      <w:bottom w:val="nil"/>
                      <w:right w:val="nil"/>
                    </w:tcBorders>
                    <w:shd w:val="clear" w:color="000000" w:fill="FFFFFF"/>
                    <w:noWrap/>
                    <w:vAlign w:val="center"/>
                    <w:hideMark/>
                  </w:tcPr>
                  <w:p w14:paraId="5C3C93B7"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EUR:JPY</w:t>
                    </w:r>
                  </w:p>
                </w:tc>
                <w:tc>
                  <w:tcPr>
                    <w:tcW w:w="723" w:type="dxa"/>
                    <w:tcBorders>
                      <w:top w:val="nil"/>
                      <w:left w:val="nil"/>
                      <w:bottom w:val="nil"/>
                      <w:right w:val="nil"/>
                    </w:tcBorders>
                    <w:shd w:val="clear" w:color="000000" w:fill="FFFFFF"/>
                    <w:vAlign w:val="center"/>
                  </w:tcPr>
                  <w:p w14:paraId="1AFBBD48"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216</w:t>
                    </w:r>
                  </w:p>
                </w:tc>
                <w:tc>
                  <w:tcPr>
                    <w:tcW w:w="931" w:type="dxa"/>
                    <w:tcBorders>
                      <w:top w:val="nil"/>
                      <w:left w:val="nil"/>
                      <w:bottom w:val="nil"/>
                      <w:right w:val="nil"/>
                    </w:tcBorders>
                    <w:shd w:val="clear" w:color="000000" w:fill="FFFFFF"/>
                    <w:noWrap/>
                    <w:vAlign w:val="center"/>
                    <w:hideMark/>
                  </w:tcPr>
                  <w:p w14:paraId="469938EA"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16,825</w:t>
                    </w:r>
                  </w:p>
                </w:tc>
                <w:tc>
                  <w:tcPr>
                    <w:tcW w:w="876" w:type="dxa"/>
                    <w:tcBorders>
                      <w:top w:val="nil"/>
                      <w:left w:val="nil"/>
                      <w:bottom w:val="nil"/>
                      <w:right w:val="nil"/>
                    </w:tcBorders>
                    <w:shd w:val="clear" w:color="000000" w:fill="FFFFFF"/>
                    <w:vAlign w:val="center"/>
                  </w:tcPr>
                  <w:p w14:paraId="7F2946F7"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77.89</w:t>
                    </w:r>
                  </w:p>
                </w:tc>
                <w:tc>
                  <w:tcPr>
                    <w:tcW w:w="723" w:type="dxa"/>
                    <w:tcBorders>
                      <w:top w:val="nil"/>
                      <w:left w:val="nil"/>
                      <w:bottom w:val="nil"/>
                      <w:right w:val="nil"/>
                    </w:tcBorders>
                    <w:shd w:val="clear" w:color="000000" w:fill="FFFFFF"/>
                    <w:noWrap/>
                    <w:vAlign w:val="center"/>
                    <w:hideMark/>
                  </w:tcPr>
                  <w:p w14:paraId="6D946963"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55</w:t>
                    </w:r>
                  </w:p>
                </w:tc>
                <w:tc>
                  <w:tcPr>
                    <w:tcW w:w="821" w:type="dxa"/>
                    <w:tcBorders>
                      <w:top w:val="nil"/>
                      <w:left w:val="nil"/>
                      <w:bottom w:val="nil"/>
                      <w:right w:val="nil"/>
                    </w:tcBorders>
                    <w:shd w:val="clear" w:color="000000" w:fill="FFFFFF"/>
                    <w:noWrap/>
                    <w:vAlign w:val="center"/>
                    <w:hideMark/>
                  </w:tcPr>
                  <w:p w14:paraId="719BFE50"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color w:val="000000"/>
                        <w:szCs w:val="22"/>
                        <w:lang w:val="en-US"/>
                      </w:rPr>
                      <w:t>108</w:t>
                    </w:r>
                  </w:p>
                </w:tc>
                <w:tc>
                  <w:tcPr>
                    <w:tcW w:w="756" w:type="dxa"/>
                    <w:tcBorders>
                      <w:top w:val="nil"/>
                      <w:left w:val="nil"/>
                      <w:bottom w:val="nil"/>
                      <w:right w:val="nil"/>
                    </w:tcBorders>
                    <w:shd w:val="clear" w:color="000000" w:fill="FFFFFF"/>
                    <w:noWrap/>
                    <w:vAlign w:val="center"/>
                    <w:hideMark/>
                  </w:tcPr>
                  <w:p w14:paraId="08782CF1"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10.76</w:t>
                    </w:r>
                  </w:p>
                </w:tc>
                <w:tc>
                  <w:tcPr>
                    <w:tcW w:w="989" w:type="dxa"/>
                    <w:tcBorders>
                      <w:top w:val="nil"/>
                      <w:left w:val="nil"/>
                      <w:bottom w:val="nil"/>
                      <w:right w:val="nil"/>
                    </w:tcBorders>
                    <w:shd w:val="clear" w:color="000000" w:fill="FFFFFF"/>
                    <w:noWrap/>
                    <w:vAlign w:val="center"/>
                    <w:hideMark/>
                  </w:tcPr>
                  <w:p w14:paraId="0560BFFE"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33</w:t>
                    </w:r>
                  </w:p>
                </w:tc>
                <w:tc>
                  <w:tcPr>
                    <w:tcW w:w="1217" w:type="dxa"/>
                    <w:tcBorders>
                      <w:top w:val="nil"/>
                      <w:left w:val="nil"/>
                      <w:bottom w:val="nil"/>
                      <w:right w:val="nil"/>
                    </w:tcBorders>
                    <w:shd w:val="clear" w:color="000000" w:fill="FFFFFF"/>
                    <w:noWrap/>
                    <w:vAlign w:val="center"/>
                    <w:hideMark/>
                  </w:tcPr>
                  <w:p w14:paraId="6BB22DB7"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21</w:t>
                    </w:r>
                  </w:p>
                </w:tc>
                <w:tc>
                  <w:tcPr>
                    <w:tcW w:w="2056" w:type="dxa"/>
                    <w:tcBorders>
                      <w:top w:val="nil"/>
                      <w:left w:val="nil"/>
                      <w:bottom w:val="nil"/>
                      <w:right w:val="nil"/>
                    </w:tcBorders>
                    <w:shd w:val="clear" w:color="000000" w:fill="FFFFFF"/>
                    <w:noWrap/>
                    <w:vAlign w:val="center"/>
                    <w:hideMark/>
                  </w:tcPr>
                  <w:p w14:paraId="2D90B965"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34</w:t>
                    </w:r>
                  </w:p>
                </w:tc>
              </w:tr>
              <w:tr w:rsidR="002F5246" w:rsidRPr="00DA41C9" w14:paraId="48FF9415" w14:textId="77777777" w:rsidTr="00E23288">
                <w:trPr>
                  <w:trHeight w:val="255"/>
                  <w:jc w:val="center"/>
                </w:trPr>
                <w:tc>
                  <w:tcPr>
                    <w:tcW w:w="1243" w:type="dxa"/>
                    <w:tcBorders>
                      <w:top w:val="nil"/>
                      <w:left w:val="nil"/>
                      <w:bottom w:val="nil"/>
                      <w:right w:val="nil"/>
                    </w:tcBorders>
                    <w:shd w:val="clear" w:color="000000" w:fill="FFFFFF"/>
                    <w:noWrap/>
                    <w:vAlign w:val="center"/>
                    <w:hideMark/>
                  </w:tcPr>
                  <w:p w14:paraId="41EA0014"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EUR:USD</w:t>
                    </w:r>
                  </w:p>
                </w:tc>
                <w:tc>
                  <w:tcPr>
                    <w:tcW w:w="723" w:type="dxa"/>
                    <w:tcBorders>
                      <w:top w:val="nil"/>
                      <w:left w:val="nil"/>
                      <w:bottom w:val="nil"/>
                      <w:right w:val="nil"/>
                    </w:tcBorders>
                    <w:shd w:val="clear" w:color="000000" w:fill="FFFFFF"/>
                    <w:vAlign w:val="center"/>
                  </w:tcPr>
                  <w:p w14:paraId="4911D8A8"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215</w:t>
                    </w:r>
                  </w:p>
                </w:tc>
                <w:tc>
                  <w:tcPr>
                    <w:tcW w:w="931" w:type="dxa"/>
                    <w:tcBorders>
                      <w:top w:val="nil"/>
                      <w:left w:val="nil"/>
                      <w:bottom w:val="nil"/>
                      <w:right w:val="nil"/>
                    </w:tcBorders>
                    <w:shd w:val="clear" w:color="000000" w:fill="FFFFFF"/>
                    <w:noWrap/>
                    <w:vAlign w:val="center"/>
                    <w:hideMark/>
                  </w:tcPr>
                  <w:p w14:paraId="4CB17342"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18,571</w:t>
                    </w:r>
                  </w:p>
                </w:tc>
                <w:tc>
                  <w:tcPr>
                    <w:tcW w:w="876" w:type="dxa"/>
                    <w:tcBorders>
                      <w:top w:val="nil"/>
                      <w:left w:val="nil"/>
                      <w:bottom w:val="nil"/>
                      <w:right w:val="nil"/>
                    </w:tcBorders>
                    <w:shd w:val="clear" w:color="000000" w:fill="FFFFFF"/>
                    <w:vAlign w:val="center"/>
                  </w:tcPr>
                  <w:p w14:paraId="4E9F76BA"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86.38</w:t>
                    </w:r>
                  </w:p>
                </w:tc>
                <w:tc>
                  <w:tcPr>
                    <w:tcW w:w="723" w:type="dxa"/>
                    <w:tcBorders>
                      <w:top w:val="nil"/>
                      <w:left w:val="nil"/>
                      <w:bottom w:val="nil"/>
                      <w:right w:val="nil"/>
                    </w:tcBorders>
                    <w:shd w:val="clear" w:color="000000" w:fill="FFFFFF"/>
                    <w:noWrap/>
                    <w:vAlign w:val="center"/>
                    <w:hideMark/>
                  </w:tcPr>
                  <w:p w14:paraId="569AAFE9"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48</w:t>
                    </w:r>
                  </w:p>
                </w:tc>
                <w:tc>
                  <w:tcPr>
                    <w:tcW w:w="821" w:type="dxa"/>
                    <w:tcBorders>
                      <w:top w:val="nil"/>
                      <w:left w:val="nil"/>
                      <w:bottom w:val="nil"/>
                      <w:right w:val="nil"/>
                    </w:tcBorders>
                    <w:shd w:val="clear" w:color="000000" w:fill="FFFFFF"/>
                    <w:noWrap/>
                    <w:vAlign w:val="center"/>
                    <w:hideMark/>
                  </w:tcPr>
                  <w:p w14:paraId="075B5E88"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127</w:t>
                    </w:r>
                  </w:p>
                </w:tc>
                <w:tc>
                  <w:tcPr>
                    <w:tcW w:w="756" w:type="dxa"/>
                    <w:tcBorders>
                      <w:top w:val="nil"/>
                      <w:left w:val="nil"/>
                      <w:bottom w:val="nil"/>
                      <w:right w:val="nil"/>
                    </w:tcBorders>
                    <w:shd w:val="clear" w:color="000000" w:fill="FFFFFF"/>
                    <w:noWrap/>
                    <w:vAlign w:val="center"/>
                    <w:hideMark/>
                  </w:tcPr>
                  <w:p w14:paraId="57463590"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14.42</w:t>
                    </w:r>
                  </w:p>
                </w:tc>
                <w:tc>
                  <w:tcPr>
                    <w:tcW w:w="989" w:type="dxa"/>
                    <w:tcBorders>
                      <w:top w:val="nil"/>
                      <w:left w:val="nil"/>
                      <w:bottom w:val="nil"/>
                      <w:right w:val="nil"/>
                    </w:tcBorders>
                    <w:shd w:val="clear" w:color="000000" w:fill="FFFFFF"/>
                    <w:noWrap/>
                    <w:vAlign w:val="center"/>
                    <w:hideMark/>
                  </w:tcPr>
                  <w:p w14:paraId="3B81AAF5"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49</w:t>
                    </w:r>
                  </w:p>
                </w:tc>
                <w:tc>
                  <w:tcPr>
                    <w:tcW w:w="1217" w:type="dxa"/>
                    <w:tcBorders>
                      <w:top w:val="nil"/>
                      <w:left w:val="nil"/>
                      <w:bottom w:val="nil"/>
                      <w:right w:val="nil"/>
                    </w:tcBorders>
                    <w:shd w:val="clear" w:color="000000" w:fill="FFFFFF"/>
                    <w:noWrap/>
                    <w:vAlign w:val="center"/>
                    <w:hideMark/>
                  </w:tcPr>
                  <w:p w14:paraId="78884414"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31</w:t>
                    </w:r>
                  </w:p>
                </w:tc>
                <w:tc>
                  <w:tcPr>
                    <w:tcW w:w="2056" w:type="dxa"/>
                    <w:tcBorders>
                      <w:top w:val="nil"/>
                      <w:left w:val="nil"/>
                      <w:bottom w:val="nil"/>
                      <w:right w:val="nil"/>
                    </w:tcBorders>
                    <w:shd w:val="clear" w:color="000000" w:fill="FFFFFF"/>
                    <w:noWrap/>
                    <w:vAlign w:val="center"/>
                    <w:hideMark/>
                  </w:tcPr>
                  <w:p w14:paraId="1EA8B39F"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52</w:t>
                    </w:r>
                  </w:p>
                </w:tc>
              </w:tr>
              <w:tr w:rsidR="002F5246" w:rsidRPr="00DA41C9" w14:paraId="7FE06A35" w14:textId="77777777" w:rsidTr="00E23288">
                <w:trPr>
                  <w:trHeight w:val="255"/>
                  <w:jc w:val="center"/>
                </w:trPr>
                <w:tc>
                  <w:tcPr>
                    <w:tcW w:w="1243" w:type="dxa"/>
                    <w:tcBorders>
                      <w:top w:val="nil"/>
                      <w:left w:val="nil"/>
                      <w:bottom w:val="nil"/>
                      <w:right w:val="nil"/>
                    </w:tcBorders>
                    <w:shd w:val="clear" w:color="000000" w:fill="FFFFFF"/>
                    <w:noWrap/>
                    <w:vAlign w:val="center"/>
                    <w:hideMark/>
                  </w:tcPr>
                  <w:p w14:paraId="0FE0C1BF"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GBP:USD</w:t>
                    </w:r>
                  </w:p>
                </w:tc>
                <w:tc>
                  <w:tcPr>
                    <w:tcW w:w="723" w:type="dxa"/>
                    <w:tcBorders>
                      <w:top w:val="nil"/>
                      <w:left w:val="nil"/>
                      <w:bottom w:val="nil"/>
                      <w:right w:val="nil"/>
                    </w:tcBorders>
                    <w:shd w:val="clear" w:color="000000" w:fill="FFFFFF"/>
                    <w:vAlign w:val="center"/>
                  </w:tcPr>
                  <w:p w14:paraId="3C75873E"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224</w:t>
                    </w:r>
                  </w:p>
                </w:tc>
                <w:tc>
                  <w:tcPr>
                    <w:tcW w:w="931" w:type="dxa"/>
                    <w:tcBorders>
                      <w:top w:val="nil"/>
                      <w:left w:val="nil"/>
                      <w:bottom w:val="nil"/>
                      <w:right w:val="nil"/>
                    </w:tcBorders>
                    <w:shd w:val="clear" w:color="000000" w:fill="FFFFFF"/>
                    <w:noWrap/>
                    <w:vAlign w:val="center"/>
                    <w:hideMark/>
                  </w:tcPr>
                  <w:p w14:paraId="03D21A9C"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20,672</w:t>
                    </w:r>
                  </w:p>
                </w:tc>
                <w:tc>
                  <w:tcPr>
                    <w:tcW w:w="876" w:type="dxa"/>
                    <w:tcBorders>
                      <w:top w:val="nil"/>
                      <w:left w:val="nil"/>
                      <w:bottom w:val="nil"/>
                      <w:right w:val="nil"/>
                    </w:tcBorders>
                    <w:shd w:val="clear" w:color="000000" w:fill="FFFFFF"/>
                    <w:vAlign w:val="center"/>
                  </w:tcPr>
                  <w:p w14:paraId="2E539848"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92.29</w:t>
                    </w:r>
                  </w:p>
                </w:tc>
                <w:tc>
                  <w:tcPr>
                    <w:tcW w:w="723" w:type="dxa"/>
                    <w:tcBorders>
                      <w:top w:val="nil"/>
                      <w:left w:val="nil"/>
                      <w:bottom w:val="nil"/>
                      <w:right w:val="nil"/>
                    </w:tcBorders>
                    <w:shd w:val="clear" w:color="000000" w:fill="FFFFFF"/>
                    <w:noWrap/>
                    <w:vAlign w:val="center"/>
                    <w:hideMark/>
                  </w:tcPr>
                  <w:p w14:paraId="5805D22E"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44</w:t>
                    </w:r>
                  </w:p>
                </w:tc>
                <w:tc>
                  <w:tcPr>
                    <w:tcW w:w="821" w:type="dxa"/>
                    <w:tcBorders>
                      <w:top w:val="nil"/>
                      <w:left w:val="nil"/>
                      <w:bottom w:val="nil"/>
                      <w:right w:val="nil"/>
                    </w:tcBorders>
                    <w:shd w:val="clear" w:color="000000" w:fill="FFFFFF"/>
                    <w:noWrap/>
                    <w:vAlign w:val="center"/>
                    <w:hideMark/>
                  </w:tcPr>
                  <w:p w14:paraId="725D083F"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144</w:t>
                    </w:r>
                  </w:p>
                </w:tc>
                <w:tc>
                  <w:tcPr>
                    <w:tcW w:w="756" w:type="dxa"/>
                    <w:tcBorders>
                      <w:top w:val="nil"/>
                      <w:left w:val="nil"/>
                      <w:bottom w:val="nil"/>
                      <w:right w:val="nil"/>
                    </w:tcBorders>
                    <w:shd w:val="clear" w:color="000000" w:fill="FFFFFF"/>
                    <w:noWrap/>
                    <w:vAlign w:val="center"/>
                    <w:hideMark/>
                  </w:tcPr>
                  <w:p w14:paraId="76125B69"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16.14</w:t>
                    </w:r>
                  </w:p>
                </w:tc>
                <w:tc>
                  <w:tcPr>
                    <w:tcW w:w="989" w:type="dxa"/>
                    <w:tcBorders>
                      <w:top w:val="nil"/>
                      <w:left w:val="nil"/>
                      <w:bottom w:val="nil"/>
                      <w:right w:val="nil"/>
                    </w:tcBorders>
                    <w:shd w:val="clear" w:color="000000" w:fill="FFFFFF"/>
                    <w:noWrap/>
                    <w:vAlign w:val="center"/>
                    <w:hideMark/>
                  </w:tcPr>
                  <w:p w14:paraId="3949B52B"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44</w:t>
                    </w:r>
                  </w:p>
                </w:tc>
                <w:tc>
                  <w:tcPr>
                    <w:tcW w:w="1217" w:type="dxa"/>
                    <w:tcBorders>
                      <w:top w:val="nil"/>
                      <w:left w:val="nil"/>
                      <w:bottom w:val="nil"/>
                      <w:right w:val="nil"/>
                    </w:tcBorders>
                    <w:shd w:val="clear" w:color="000000" w:fill="FFFFFF"/>
                    <w:noWrap/>
                    <w:vAlign w:val="center"/>
                    <w:hideMark/>
                  </w:tcPr>
                  <w:p w14:paraId="5BB80D5C"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28</w:t>
                    </w:r>
                  </w:p>
                </w:tc>
                <w:tc>
                  <w:tcPr>
                    <w:tcW w:w="2056" w:type="dxa"/>
                    <w:tcBorders>
                      <w:top w:val="nil"/>
                      <w:left w:val="nil"/>
                      <w:bottom w:val="nil"/>
                      <w:right w:val="nil"/>
                    </w:tcBorders>
                    <w:shd w:val="clear" w:color="000000" w:fill="FFFFFF"/>
                    <w:noWrap/>
                    <w:vAlign w:val="center"/>
                    <w:hideMark/>
                  </w:tcPr>
                  <w:p w14:paraId="3EE55AFD"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47</w:t>
                    </w:r>
                  </w:p>
                </w:tc>
              </w:tr>
              <w:tr w:rsidR="002F5246" w:rsidRPr="00DA41C9" w14:paraId="1E83AD52" w14:textId="77777777" w:rsidTr="00E23288">
                <w:trPr>
                  <w:trHeight w:val="270"/>
                  <w:jc w:val="center"/>
                </w:trPr>
                <w:tc>
                  <w:tcPr>
                    <w:tcW w:w="1243" w:type="dxa"/>
                    <w:tcBorders>
                      <w:top w:val="nil"/>
                      <w:left w:val="nil"/>
                      <w:bottom w:val="single" w:sz="8" w:space="0" w:color="auto"/>
                      <w:right w:val="nil"/>
                    </w:tcBorders>
                    <w:shd w:val="clear" w:color="000000" w:fill="FFFFFF"/>
                    <w:noWrap/>
                    <w:vAlign w:val="center"/>
                    <w:hideMark/>
                  </w:tcPr>
                  <w:p w14:paraId="5F576C56"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USD:JPY</w:t>
                    </w:r>
                  </w:p>
                </w:tc>
                <w:tc>
                  <w:tcPr>
                    <w:tcW w:w="723" w:type="dxa"/>
                    <w:tcBorders>
                      <w:top w:val="nil"/>
                      <w:left w:val="nil"/>
                      <w:bottom w:val="single" w:sz="8" w:space="0" w:color="auto"/>
                      <w:right w:val="nil"/>
                    </w:tcBorders>
                    <w:shd w:val="clear" w:color="000000" w:fill="FFFFFF"/>
                    <w:vAlign w:val="center"/>
                  </w:tcPr>
                  <w:p w14:paraId="37E40D76"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210</w:t>
                    </w:r>
                  </w:p>
                </w:tc>
                <w:tc>
                  <w:tcPr>
                    <w:tcW w:w="931" w:type="dxa"/>
                    <w:tcBorders>
                      <w:top w:val="nil"/>
                      <w:left w:val="nil"/>
                      <w:bottom w:val="single" w:sz="8" w:space="0" w:color="auto"/>
                      <w:right w:val="nil"/>
                    </w:tcBorders>
                    <w:shd w:val="clear" w:color="000000" w:fill="FFFFFF"/>
                    <w:noWrap/>
                    <w:vAlign w:val="center"/>
                    <w:hideMark/>
                  </w:tcPr>
                  <w:p w14:paraId="42E54920"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15,223</w:t>
                    </w:r>
                  </w:p>
                </w:tc>
                <w:tc>
                  <w:tcPr>
                    <w:tcW w:w="876" w:type="dxa"/>
                    <w:tcBorders>
                      <w:top w:val="nil"/>
                      <w:left w:val="nil"/>
                      <w:bottom w:val="single" w:sz="8" w:space="0" w:color="auto"/>
                      <w:right w:val="nil"/>
                    </w:tcBorders>
                    <w:shd w:val="clear" w:color="000000" w:fill="FFFFFF"/>
                    <w:vAlign w:val="center"/>
                  </w:tcPr>
                  <w:p w14:paraId="7133219F"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72.49</w:t>
                    </w:r>
                  </w:p>
                </w:tc>
                <w:tc>
                  <w:tcPr>
                    <w:tcW w:w="723" w:type="dxa"/>
                    <w:tcBorders>
                      <w:top w:val="nil"/>
                      <w:left w:val="nil"/>
                      <w:bottom w:val="single" w:sz="8" w:space="0" w:color="auto"/>
                      <w:right w:val="nil"/>
                    </w:tcBorders>
                    <w:shd w:val="clear" w:color="000000" w:fill="FFFFFF"/>
                    <w:noWrap/>
                    <w:vAlign w:val="center"/>
                    <w:hideMark/>
                  </w:tcPr>
                  <w:p w14:paraId="519DB829"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36</w:t>
                    </w:r>
                  </w:p>
                </w:tc>
                <w:tc>
                  <w:tcPr>
                    <w:tcW w:w="821" w:type="dxa"/>
                    <w:tcBorders>
                      <w:top w:val="nil"/>
                      <w:left w:val="nil"/>
                      <w:bottom w:val="single" w:sz="8" w:space="0" w:color="auto"/>
                      <w:right w:val="nil"/>
                    </w:tcBorders>
                    <w:shd w:val="clear" w:color="000000" w:fill="FFFFFF"/>
                    <w:noWrap/>
                    <w:vAlign w:val="center"/>
                    <w:hideMark/>
                  </w:tcPr>
                  <w:p w14:paraId="2AAEF036"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118</w:t>
                    </w:r>
                  </w:p>
                </w:tc>
                <w:tc>
                  <w:tcPr>
                    <w:tcW w:w="756" w:type="dxa"/>
                    <w:tcBorders>
                      <w:top w:val="nil"/>
                      <w:left w:val="nil"/>
                      <w:bottom w:val="single" w:sz="8" w:space="0" w:color="auto"/>
                      <w:right w:val="nil"/>
                    </w:tcBorders>
                    <w:shd w:val="clear" w:color="000000" w:fill="FFFFFF"/>
                    <w:noWrap/>
                    <w:vAlign w:val="center"/>
                    <w:hideMark/>
                  </w:tcPr>
                  <w:p w14:paraId="14421000"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13.35</w:t>
                    </w:r>
                  </w:p>
                </w:tc>
                <w:tc>
                  <w:tcPr>
                    <w:tcW w:w="989" w:type="dxa"/>
                    <w:tcBorders>
                      <w:top w:val="nil"/>
                      <w:left w:val="nil"/>
                      <w:bottom w:val="single" w:sz="8" w:space="0" w:color="auto"/>
                      <w:right w:val="nil"/>
                    </w:tcBorders>
                    <w:shd w:val="clear" w:color="000000" w:fill="FFFFFF"/>
                    <w:noWrap/>
                    <w:vAlign w:val="center"/>
                    <w:hideMark/>
                  </w:tcPr>
                  <w:p w14:paraId="456C954F"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33</w:t>
                    </w:r>
                  </w:p>
                </w:tc>
                <w:tc>
                  <w:tcPr>
                    <w:tcW w:w="1217" w:type="dxa"/>
                    <w:tcBorders>
                      <w:top w:val="nil"/>
                      <w:left w:val="nil"/>
                      <w:bottom w:val="single" w:sz="8" w:space="0" w:color="auto"/>
                      <w:right w:val="nil"/>
                    </w:tcBorders>
                    <w:shd w:val="clear" w:color="000000" w:fill="FFFFFF"/>
                    <w:noWrap/>
                    <w:vAlign w:val="center"/>
                    <w:hideMark/>
                  </w:tcPr>
                  <w:p w14:paraId="71A8D236"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18</w:t>
                    </w:r>
                  </w:p>
                </w:tc>
                <w:tc>
                  <w:tcPr>
                    <w:tcW w:w="2056" w:type="dxa"/>
                    <w:tcBorders>
                      <w:top w:val="nil"/>
                      <w:left w:val="nil"/>
                      <w:bottom w:val="single" w:sz="8" w:space="0" w:color="auto"/>
                      <w:right w:val="nil"/>
                    </w:tcBorders>
                    <w:shd w:val="clear" w:color="000000" w:fill="FFFFFF"/>
                    <w:noWrap/>
                    <w:vAlign w:val="center"/>
                    <w:hideMark/>
                  </w:tcPr>
                  <w:p w14:paraId="74954BA3" w14:textId="77777777" w:rsidR="002F5246" w:rsidRPr="00DA41C9" w:rsidRDefault="002F5246" w:rsidP="00E23288">
                    <w:pPr>
                      <w:spacing w:line="360" w:lineRule="auto"/>
                      <w:jc w:val="center"/>
                      <w:rPr>
                        <w:rFonts w:asciiTheme="majorBidi" w:hAnsiTheme="majorBidi" w:cstheme="majorBidi"/>
                        <w:color w:val="000000"/>
                        <w:szCs w:val="22"/>
                        <w:lang w:val="en-US"/>
                      </w:rPr>
                    </w:pPr>
                    <w:r w:rsidRPr="00DA41C9">
                      <w:rPr>
                        <w:rFonts w:asciiTheme="majorBidi" w:hAnsiTheme="majorBidi" w:cstheme="majorBidi"/>
                        <w:color w:val="000000"/>
                        <w:szCs w:val="22"/>
                        <w:lang w:val="en-US"/>
                      </w:rPr>
                      <w:t>34</w:t>
                    </w:r>
                  </w:p>
                </w:tc>
              </w:tr>
              <w:tr w:rsidR="002F5246" w:rsidRPr="00DA41C9" w14:paraId="798428A0" w14:textId="77777777" w:rsidTr="00E23288">
                <w:trPr>
                  <w:trHeight w:val="270"/>
                  <w:jc w:val="center"/>
                </w:trPr>
                <w:tc>
                  <w:tcPr>
                    <w:tcW w:w="1243" w:type="dxa"/>
                    <w:tcBorders>
                      <w:top w:val="nil"/>
                      <w:left w:val="nil"/>
                      <w:bottom w:val="single" w:sz="12" w:space="0" w:color="auto"/>
                      <w:right w:val="nil"/>
                    </w:tcBorders>
                    <w:shd w:val="clear" w:color="auto" w:fill="auto"/>
                    <w:noWrap/>
                    <w:vAlign w:val="center"/>
                    <w:hideMark/>
                  </w:tcPr>
                  <w:p w14:paraId="3C9CD511"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Total</w:t>
                    </w:r>
                  </w:p>
                </w:tc>
                <w:tc>
                  <w:tcPr>
                    <w:tcW w:w="723" w:type="dxa"/>
                    <w:tcBorders>
                      <w:top w:val="nil"/>
                      <w:left w:val="nil"/>
                      <w:bottom w:val="single" w:sz="12" w:space="0" w:color="auto"/>
                      <w:right w:val="nil"/>
                    </w:tcBorders>
                    <w:vAlign w:val="center"/>
                  </w:tcPr>
                  <w:p w14:paraId="67A6C271"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225</w:t>
                    </w:r>
                  </w:p>
                </w:tc>
                <w:tc>
                  <w:tcPr>
                    <w:tcW w:w="931" w:type="dxa"/>
                    <w:tcBorders>
                      <w:top w:val="nil"/>
                      <w:left w:val="nil"/>
                      <w:bottom w:val="single" w:sz="12" w:space="0" w:color="auto"/>
                      <w:right w:val="nil"/>
                    </w:tcBorders>
                    <w:shd w:val="clear" w:color="auto" w:fill="auto"/>
                    <w:noWrap/>
                    <w:vAlign w:val="center"/>
                    <w:hideMark/>
                  </w:tcPr>
                  <w:p w14:paraId="037E5E05"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87,447</w:t>
                    </w:r>
                  </w:p>
                </w:tc>
                <w:tc>
                  <w:tcPr>
                    <w:tcW w:w="876" w:type="dxa"/>
                    <w:tcBorders>
                      <w:top w:val="nil"/>
                      <w:left w:val="nil"/>
                      <w:bottom w:val="single" w:sz="12" w:space="0" w:color="auto"/>
                      <w:right w:val="nil"/>
                    </w:tcBorders>
                    <w:vAlign w:val="center"/>
                  </w:tcPr>
                  <w:p w14:paraId="21E987B0"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388.65</w:t>
                    </w:r>
                  </w:p>
                </w:tc>
                <w:tc>
                  <w:tcPr>
                    <w:tcW w:w="723" w:type="dxa"/>
                    <w:tcBorders>
                      <w:top w:val="nil"/>
                      <w:left w:val="nil"/>
                      <w:bottom w:val="single" w:sz="12" w:space="0" w:color="auto"/>
                      <w:right w:val="nil"/>
                    </w:tcBorders>
                    <w:shd w:val="clear" w:color="auto" w:fill="auto"/>
                    <w:noWrap/>
                    <w:vAlign w:val="center"/>
                    <w:hideMark/>
                  </w:tcPr>
                  <w:p w14:paraId="17072250" w14:textId="77777777" w:rsidR="002F5246" w:rsidRPr="00DA41C9" w:rsidRDefault="002F5246" w:rsidP="00E23288">
                    <w:pPr>
                      <w:spacing w:line="360" w:lineRule="auto"/>
                      <w:jc w:val="center"/>
                      <w:rPr>
                        <w:rFonts w:asciiTheme="majorBidi" w:hAnsiTheme="majorBidi" w:cstheme="majorBidi"/>
                        <w:b/>
                        <w:bCs/>
                        <w:color w:val="000000"/>
                        <w:szCs w:val="22"/>
                        <w:lang w:val="en-US"/>
                      </w:rPr>
                    </w:pPr>
                  </w:p>
                </w:tc>
                <w:tc>
                  <w:tcPr>
                    <w:tcW w:w="821" w:type="dxa"/>
                    <w:tcBorders>
                      <w:top w:val="nil"/>
                      <w:left w:val="nil"/>
                      <w:bottom w:val="single" w:sz="12" w:space="0" w:color="auto"/>
                      <w:right w:val="nil"/>
                    </w:tcBorders>
                    <w:shd w:val="clear" w:color="auto" w:fill="auto"/>
                    <w:noWrap/>
                    <w:vAlign w:val="center"/>
                    <w:hideMark/>
                  </w:tcPr>
                  <w:p w14:paraId="07BC1375" w14:textId="77777777" w:rsidR="002F5246" w:rsidRPr="00DA41C9" w:rsidRDefault="002F5246" w:rsidP="00E23288">
                    <w:pPr>
                      <w:spacing w:line="360" w:lineRule="auto"/>
                      <w:jc w:val="center"/>
                      <w:rPr>
                        <w:rFonts w:asciiTheme="majorBidi" w:hAnsiTheme="majorBidi" w:cstheme="majorBidi"/>
                        <w:b/>
                        <w:bCs/>
                        <w:color w:val="000000"/>
                        <w:szCs w:val="22"/>
                        <w:lang w:val="en-US"/>
                      </w:rPr>
                    </w:pPr>
                  </w:p>
                </w:tc>
                <w:tc>
                  <w:tcPr>
                    <w:tcW w:w="756" w:type="dxa"/>
                    <w:tcBorders>
                      <w:top w:val="nil"/>
                      <w:left w:val="nil"/>
                      <w:bottom w:val="single" w:sz="12" w:space="0" w:color="auto"/>
                      <w:right w:val="nil"/>
                    </w:tcBorders>
                    <w:shd w:val="clear" w:color="auto" w:fill="auto"/>
                    <w:noWrap/>
                    <w:vAlign w:val="center"/>
                    <w:hideMark/>
                  </w:tcPr>
                  <w:p w14:paraId="5543326A" w14:textId="77777777" w:rsidR="002F5246" w:rsidRPr="00DA41C9" w:rsidRDefault="002F5246" w:rsidP="00E23288">
                    <w:pPr>
                      <w:spacing w:line="360" w:lineRule="auto"/>
                      <w:jc w:val="center"/>
                      <w:rPr>
                        <w:rFonts w:asciiTheme="majorBidi" w:hAnsiTheme="majorBidi" w:cstheme="majorBidi"/>
                        <w:b/>
                        <w:bCs/>
                        <w:color w:val="000000"/>
                        <w:szCs w:val="22"/>
                        <w:lang w:val="en-US"/>
                      </w:rPr>
                    </w:pPr>
                  </w:p>
                </w:tc>
                <w:tc>
                  <w:tcPr>
                    <w:tcW w:w="989" w:type="dxa"/>
                    <w:tcBorders>
                      <w:top w:val="nil"/>
                      <w:left w:val="nil"/>
                      <w:bottom w:val="single" w:sz="12" w:space="0" w:color="auto"/>
                      <w:right w:val="nil"/>
                    </w:tcBorders>
                    <w:shd w:val="clear" w:color="000000" w:fill="FFFFFF"/>
                    <w:noWrap/>
                    <w:vAlign w:val="center"/>
                    <w:hideMark/>
                  </w:tcPr>
                  <w:p w14:paraId="0DF1EE38"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64</w:t>
                    </w:r>
                  </w:p>
                </w:tc>
                <w:tc>
                  <w:tcPr>
                    <w:tcW w:w="1217" w:type="dxa"/>
                    <w:tcBorders>
                      <w:top w:val="nil"/>
                      <w:left w:val="nil"/>
                      <w:bottom w:val="single" w:sz="12" w:space="0" w:color="auto"/>
                      <w:right w:val="nil"/>
                    </w:tcBorders>
                    <w:shd w:val="clear" w:color="000000" w:fill="FFFFFF"/>
                    <w:noWrap/>
                    <w:vAlign w:val="center"/>
                    <w:hideMark/>
                  </w:tcPr>
                  <w:p w14:paraId="154C886D"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37</w:t>
                    </w:r>
                  </w:p>
                </w:tc>
                <w:tc>
                  <w:tcPr>
                    <w:tcW w:w="2056" w:type="dxa"/>
                    <w:tcBorders>
                      <w:top w:val="nil"/>
                      <w:left w:val="nil"/>
                      <w:bottom w:val="single" w:sz="12" w:space="0" w:color="auto"/>
                      <w:right w:val="nil"/>
                    </w:tcBorders>
                    <w:shd w:val="clear" w:color="000000" w:fill="FFFFFF"/>
                    <w:noWrap/>
                    <w:vAlign w:val="center"/>
                    <w:hideMark/>
                  </w:tcPr>
                  <w:p w14:paraId="341A8C46" w14:textId="77777777" w:rsidR="002F5246" w:rsidRPr="00DA41C9" w:rsidRDefault="002F5246" w:rsidP="00E23288">
                    <w:pPr>
                      <w:spacing w:line="360" w:lineRule="auto"/>
                      <w:jc w:val="center"/>
                      <w:rPr>
                        <w:rFonts w:asciiTheme="majorBidi" w:hAnsiTheme="majorBidi" w:cstheme="majorBidi"/>
                        <w:b/>
                        <w:bCs/>
                        <w:color w:val="000000"/>
                        <w:szCs w:val="22"/>
                        <w:lang w:val="en-US"/>
                      </w:rPr>
                    </w:pPr>
                    <w:r w:rsidRPr="00DA41C9">
                      <w:rPr>
                        <w:rFonts w:asciiTheme="majorBidi" w:hAnsiTheme="majorBidi" w:cstheme="majorBidi"/>
                        <w:b/>
                        <w:bCs/>
                        <w:color w:val="000000"/>
                        <w:szCs w:val="22"/>
                        <w:lang w:val="en-US"/>
                      </w:rPr>
                      <w:t>69</w:t>
                    </w:r>
                  </w:p>
                </w:tc>
              </w:tr>
            </w:tbl>
            <w:p w14:paraId="5E17821A" w14:textId="77777777" w:rsidR="002F5246" w:rsidRPr="00DA41C9" w:rsidRDefault="002F5246" w:rsidP="002F5246">
              <w:pPr>
                <w:pStyle w:val="TableNotes"/>
                <w:rPr>
                  <w:sz w:val="22"/>
                </w:rPr>
              </w:pPr>
            </w:p>
            <w:p w14:paraId="46E70293" w14:textId="77777777" w:rsidR="002F5246" w:rsidRPr="00F72840" w:rsidRDefault="002F5246" w:rsidP="002F5246">
              <w:pPr>
                <w:pStyle w:val="TableNotes"/>
                <w:rPr>
                  <w:sz w:val="22"/>
                </w:rPr>
              </w:pPr>
              <w:r w:rsidRPr="00DA41C9">
                <w:rPr>
                  <w:sz w:val="22"/>
                </w:rPr>
                <w:t xml:space="preserve">This table reports the descriptive statistics of our dataset of the </w:t>
              </w:r>
              <w:proofErr w:type="gramStart"/>
              <w:r w:rsidRPr="00DA41C9">
                <w:rPr>
                  <w:sz w:val="22"/>
                </w:rPr>
                <w:t>one minute</w:t>
              </w:r>
              <w:proofErr w:type="gramEnd"/>
              <w:r w:rsidRPr="00DA41C9">
                <w:rPr>
                  <w:sz w:val="22"/>
                </w:rPr>
                <w:t xml:space="preserve"> fixing window: from 15:59:30.000 to 16:00:30.000 between </w:t>
              </w:r>
              <w:r w:rsidRPr="00DA41C9">
                <w:t>April 2</w:t>
              </w:r>
              <w:r w:rsidRPr="00DA41C9">
                <w:rPr>
                  <w:vertAlign w:val="superscript"/>
                </w:rPr>
                <w:t>nd</w:t>
              </w:r>
              <w:r w:rsidRPr="00DA41C9">
                <w:t>, 2013 to March 27</w:t>
              </w:r>
              <w:r w:rsidRPr="00DA41C9">
                <w:rPr>
                  <w:vertAlign w:val="superscript"/>
                </w:rPr>
                <w:t>th</w:t>
              </w:r>
              <w:r w:rsidRPr="00DA41C9">
                <w:t xml:space="preserve"> 2014</w:t>
              </w:r>
              <w:r w:rsidRPr="00DA41C9">
                <w:rPr>
                  <w:sz w:val="22"/>
                </w:rPr>
                <w:t xml:space="preserve">. </w:t>
              </w:r>
              <w:r w:rsidRPr="00DA41C9">
                <w:t>We collected our dataset from the Thomson Reuters platform.</w:t>
              </w:r>
              <w:r w:rsidRPr="00DA41C9">
                <w:rPr>
                  <w:sz w:val="22"/>
                </w:rPr>
                <w:t xml:space="preserve"> The Days column shows the number of days that we were able to capture the data without any interruption. The Sum, Mean, Min, Max, and STD columns report the total, average, minimum, maximum and standard deviation of the number of quotes in the </w:t>
              </w:r>
              <w:proofErr w:type="gramStart"/>
              <w:r w:rsidRPr="00DA41C9">
                <w:rPr>
                  <w:sz w:val="22"/>
                </w:rPr>
                <w:t>one minute</w:t>
              </w:r>
              <w:proofErr w:type="gramEnd"/>
              <w:r w:rsidRPr="00DA41C9">
                <w:rPr>
                  <w:sz w:val="22"/>
                </w:rPr>
                <w:t xml:space="preserve"> fixing window, respectively. The Dealers and Locations columns depict the total number of distinct dealers and locations that are active within the fixing window in our dataset, respectively. The Dealers/Locations column depicts the total number of unique </w:t>
              </w:r>
              <w:proofErr w:type="gramStart"/>
              <w:r w:rsidRPr="00DA41C9">
                <w:rPr>
                  <w:sz w:val="22"/>
                </w:rPr>
                <w:t>dealers/location</w:t>
              </w:r>
              <w:proofErr w:type="gramEnd"/>
              <w:r w:rsidRPr="00DA41C9">
                <w:rPr>
                  <w:sz w:val="22"/>
                </w:rPr>
                <w:t xml:space="preserve"> in our dataset.</w:t>
              </w:r>
            </w:p>
            <w:p w14:paraId="275AA728" w14:textId="77777777" w:rsidR="002F5246" w:rsidRDefault="002F5246" w:rsidP="002F5246"/>
            <w:p w14:paraId="3AE8F284" w14:textId="77777777" w:rsidR="002F5246" w:rsidRDefault="002F5246" w:rsidP="002F5246">
              <w:pPr>
                <w:pStyle w:val="Tabletitle"/>
                <w:rPr>
                  <w:lang w:val="en-US"/>
                </w:rPr>
              </w:pPr>
              <w:r w:rsidRPr="00F72840">
                <w:rPr>
                  <w:lang w:val="en-US"/>
                </w:rPr>
                <w:t>Table 2 – Randomization process</w:t>
              </w:r>
            </w:p>
            <w:p w14:paraId="15AC794A" w14:textId="77777777" w:rsidR="002F5246" w:rsidRPr="00294834" w:rsidRDefault="002F5246" w:rsidP="002F5246">
              <w:pPr>
                <w:spacing w:line="240" w:lineRule="auto"/>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767"/>
                <w:gridCol w:w="709"/>
                <w:gridCol w:w="709"/>
                <w:gridCol w:w="708"/>
                <w:gridCol w:w="709"/>
              </w:tblGrid>
              <w:tr w:rsidR="002F5246" w:rsidRPr="00F72840" w14:paraId="1B080345" w14:textId="77777777" w:rsidTr="00E23288">
                <w:trPr>
                  <w:trHeight w:hRule="exact" w:val="346"/>
                  <w:jc w:val="center"/>
                </w:trPr>
                <w:tc>
                  <w:tcPr>
                    <w:tcW w:w="4811" w:type="dxa"/>
                    <w:gridSpan w:val="6"/>
                    <w:tcBorders>
                      <w:top w:val="single" w:sz="12" w:space="0" w:color="auto"/>
                      <w:left w:val="nil"/>
                      <w:bottom w:val="single" w:sz="8" w:space="0" w:color="auto"/>
                      <w:right w:val="nil"/>
                    </w:tcBorders>
                    <w:vAlign w:val="center"/>
                    <w:hideMark/>
                  </w:tcPr>
                  <w:p w14:paraId="14B5BC5D" w14:textId="77777777" w:rsidR="002F5246" w:rsidRPr="00F72840" w:rsidRDefault="002F5246" w:rsidP="00E23288">
                    <w:pPr>
                      <w:jc w:val="center"/>
                      <w:rPr>
                        <w:szCs w:val="22"/>
                        <w:lang w:val="en-US"/>
                      </w:rPr>
                    </w:pPr>
                    <w:r w:rsidRPr="00F72840">
                      <w:rPr>
                        <w:szCs w:val="22"/>
                        <w:lang w:val="en-US"/>
                      </w:rPr>
                      <w:t>Panel A – Original Price Series</w:t>
                    </w:r>
                  </w:p>
                </w:tc>
              </w:tr>
              <w:tr w:rsidR="002F5246" w:rsidRPr="00F72840" w14:paraId="2A45D55F" w14:textId="77777777" w:rsidTr="00E23288">
                <w:trPr>
                  <w:trHeight w:hRule="exact" w:val="346"/>
                  <w:jc w:val="center"/>
                </w:trPr>
                <w:tc>
                  <w:tcPr>
                    <w:tcW w:w="1209" w:type="dxa"/>
                    <w:tcBorders>
                      <w:top w:val="single" w:sz="8" w:space="0" w:color="auto"/>
                      <w:left w:val="nil"/>
                      <w:bottom w:val="nil"/>
                      <w:right w:val="nil"/>
                    </w:tcBorders>
                    <w:vAlign w:val="center"/>
                    <w:hideMark/>
                  </w:tcPr>
                  <w:p w14:paraId="1D722C7C" w14:textId="77777777" w:rsidR="002F5246" w:rsidRPr="00F72840" w:rsidRDefault="002F5246" w:rsidP="00E23288">
                    <w:pPr>
                      <w:jc w:val="center"/>
                      <w:rPr>
                        <w:szCs w:val="22"/>
                        <w:lang w:val="en-US"/>
                      </w:rPr>
                    </w:pPr>
                    <w:r w:rsidRPr="00F72840">
                      <w:rPr>
                        <w:szCs w:val="22"/>
                        <w:lang w:val="en-US"/>
                      </w:rPr>
                      <w:t>Quote</w:t>
                    </w:r>
                  </w:p>
                </w:tc>
                <w:tc>
                  <w:tcPr>
                    <w:tcW w:w="767" w:type="dxa"/>
                    <w:tcBorders>
                      <w:top w:val="single" w:sz="8" w:space="0" w:color="auto"/>
                      <w:left w:val="nil"/>
                      <w:bottom w:val="nil"/>
                      <w:right w:val="nil"/>
                    </w:tcBorders>
                    <w:vAlign w:val="center"/>
                    <w:hideMark/>
                  </w:tcPr>
                  <w:p w14:paraId="40215049" w14:textId="77777777" w:rsidR="002F5246" w:rsidRPr="00F72840" w:rsidRDefault="002F5246" w:rsidP="00E23288">
                    <w:pPr>
                      <w:jc w:val="center"/>
                      <w:rPr>
                        <w:szCs w:val="22"/>
                        <w:lang w:val="en-US"/>
                      </w:rPr>
                    </w:pPr>
                    <w:r w:rsidRPr="00F72840">
                      <w:rPr>
                        <w:szCs w:val="22"/>
                        <w:lang w:val="en-US"/>
                      </w:rPr>
                      <w:t>Q</w:t>
                    </w:r>
                    <w:r w:rsidRPr="00F72840">
                      <w:rPr>
                        <w:szCs w:val="22"/>
                        <w:vertAlign w:val="subscript"/>
                        <w:lang w:val="en-US"/>
                      </w:rPr>
                      <w:t>1</w:t>
                    </w:r>
                  </w:p>
                </w:tc>
                <w:tc>
                  <w:tcPr>
                    <w:tcW w:w="709" w:type="dxa"/>
                    <w:tcBorders>
                      <w:top w:val="single" w:sz="8" w:space="0" w:color="auto"/>
                      <w:left w:val="nil"/>
                      <w:bottom w:val="nil"/>
                      <w:right w:val="nil"/>
                    </w:tcBorders>
                    <w:vAlign w:val="center"/>
                    <w:hideMark/>
                  </w:tcPr>
                  <w:p w14:paraId="5911E60C" w14:textId="77777777" w:rsidR="002F5246" w:rsidRPr="00F72840" w:rsidRDefault="002F5246" w:rsidP="00E23288">
                    <w:pPr>
                      <w:jc w:val="center"/>
                      <w:rPr>
                        <w:szCs w:val="22"/>
                        <w:lang w:val="en-US"/>
                      </w:rPr>
                    </w:pPr>
                    <w:r w:rsidRPr="00F72840">
                      <w:rPr>
                        <w:szCs w:val="22"/>
                        <w:lang w:val="en-US"/>
                      </w:rPr>
                      <w:t>Q</w:t>
                    </w:r>
                    <w:r w:rsidRPr="00F72840">
                      <w:rPr>
                        <w:szCs w:val="22"/>
                        <w:vertAlign w:val="subscript"/>
                        <w:lang w:val="en-US"/>
                      </w:rPr>
                      <w:t>2</w:t>
                    </w:r>
                  </w:p>
                </w:tc>
                <w:tc>
                  <w:tcPr>
                    <w:tcW w:w="709" w:type="dxa"/>
                    <w:tcBorders>
                      <w:top w:val="single" w:sz="8" w:space="0" w:color="auto"/>
                      <w:left w:val="nil"/>
                      <w:bottom w:val="nil"/>
                      <w:right w:val="nil"/>
                    </w:tcBorders>
                    <w:vAlign w:val="center"/>
                    <w:hideMark/>
                  </w:tcPr>
                  <w:p w14:paraId="1EB338EC" w14:textId="77777777" w:rsidR="002F5246" w:rsidRPr="00F72840" w:rsidRDefault="002F5246" w:rsidP="00E23288">
                    <w:pPr>
                      <w:jc w:val="center"/>
                      <w:rPr>
                        <w:szCs w:val="22"/>
                        <w:lang w:val="en-US"/>
                      </w:rPr>
                    </w:pPr>
                    <w:r w:rsidRPr="00F72840">
                      <w:rPr>
                        <w:szCs w:val="22"/>
                        <w:lang w:val="en-US"/>
                      </w:rPr>
                      <w:t>Q</w:t>
                    </w:r>
                    <w:r w:rsidRPr="00F72840">
                      <w:rPr>
                        <w:szCs w:val="22"/>
                        <w:vertAlign w:val="subscript"/>
                        <w:lang w:val="en-US"/>
                      </w:rPr>
                      <w:t>3</w:t>
                    </w:r>
                  </w:p>
                </w:tc>
                <w:tc>
                  <w:tcPr>
                    <w:tcW w:w="708" w:type="dxa"/>
                    <w:tcBorders>
                      <w:top w:val="single" w:sz="8" w:space="0" w:color="auto"/>
                      <w:left w:val="nil"/>
                      <w:bottom w:val="nil"/>
                      <w:right w:val="nil"/>
                    </w:tcBorders>
                    <w:vAlign w:val="center"/>
                    <w:hideMark/>
                  </w:tcPr>
                  <w:p w14:paraId="5C9B720D" w14:textId="77777777" w:rsidR="002F5246" w:rsidRPr="00F72840" w:rsidRDefault="002F5246" w:rsidP="00E23288">
                    <w:pPr>
                      <w:jc w:val="center"/>
                      <w:rPr>
                        <w:szCs w:val="22"/>
                        <w:lang w:val="en-US"/>
                      </w:rPr>
                    </w:pPr>
                    <w:r w:rsidRPr="00F72840">
                      <w:rPr>
                        <w:szCs w:val="22"/>
                        <w:lang w:val="en-US"/>
                      </w:rPr>
                      <w:t>Q</w:t>
                    </w:r>
                    <w:r w:rsidRPr="00F72840">
                      <w:rPr>
                        <w:szCs w:val="22"/>
                        <w:vertAlign w:val="subscript"/>
                        <w:lang w:val="en-US"/>
                      </w:rPr>
                      <w:t>4</w:t>
                    </w:r>
                  </w:p>
                </w:tc>
                <w:tc>
                  <w:tcPr>
                    <w:tcW w:w="709" w:type="dxa"/>
                    <w:tcBorders>
                      <w:top w:val="single" w:sz="8" w:space="0" w:color="auto"/>
                      <w:left w:val="nil"/>
                      <w:bottom w:val="nil"/>
                      <w:right w:val="nil"/>
                    </w:tcBorders>
                    <w:vAlign w:val="center"/>
                    <w:hideMark/>
                  </w:tcPr>
                  <w:p w14:paraId="52733F07" w14:textId="77777777" w:rsidR="002F5246" w:rsidRPr="00F72840" w:rsidRDefault="002F5246" w:rsidP="00E23288">
                    <w:pPr>
                      <w:jc w:val="center"/>
                      <w:rPr>
                        <w:szCs w:val="22"/>
                        <w:lang w:val="en-US"/>
                      </w:rPr>
                    </w:pPr>
                    <w:r w:rsidRPr="00F72840">
                      <w:rPr>
                        <w:szCs w:val="22"/>
                        <w:lang w:val="en-US"/>
                      </w:rPr>
                      <w:t>Q</w:t>
                    </w:r>
                    <w:r w:rsidRPr="00F72840">
                      <w:rPr>
                        <w:szCs w:val="22"/>
                        <w:vertAlign w:val="subscript"/>
                        <w:lang w:val="en-US"/>
                      </w:rPr>
                      <w:t>5</w:t>
                    </w:r>
                  </w:p>
                </w:tc>
              </w:tr>
              <w:tr w:rsidR="002F5246" w:rsidRPr="00F72840" w14:paraId="279B0425" w14:textId="77777777" w:rsidTr="00E23288">
                <w:trPr>
                  <w:trHeight w:hRule="exact" w:val="346"/>
                  <w:jc w:val="center"/>
                </w:trPr>
                <w:tc>
                  <w:tcPr>
                    <w:tcW w:w="1209" w:type="dxa"/>
                    <w:vAlign w:val="center"/>
                    <w:hideMark/>
                  </w:tcPr>
                  <w:p w14:paraId="54177195" w14:textId="77777777" w:rsidR="002F5246" w:rsidRPr="00F72840" w:rsidRDefault="002F5246" w:rsidP="00E23288">
                    <w:pPr>
                      <w:jc w:val="center"/>
                      <w:rPr>
                        <w:szCs w:val="22"/>
                        <w:lang w:val="en-US"/>
                      </w:rPr>
                    </w:pPr>
                    <w:r w:rsidRPr="00F72840">
                      <w:rPr>
                        <w:szCs w:val="22"/>
                        <w:lang w:val="en-US"/>
                      </w:rPr>
                      <w:t>Price</w:t>
                    </w:r>
                  </w:p>
                </w:tc>
                <w:tc>
                  <w:tcPr>
                    <w:tcW w:w="767" w:type="dxa"/>
                    <w:vAlign w:val="center"/>
                    <w:hideMark/>
                  </w:tcPr>
                  <w:p w14:paraId="226D3354" w14:textId="77777777" w:rsidR="002F5246" w:rsidRPr="00F72840" w:rsidRDefault="002F5246" w:rsidP="00E23288">
                    <w:pPr>
                      <w:jc w:val="center"/>
                      <w:rPr>
                        <w:szCs w:val="22"/>
                        <w:lang w:val="en-US"/>
                      </w:rPr>
                    </w:pPr>
                    <w:r w:rsidRPr="00F72840">
                      <w:rPr>
                        <w:szCs w:val="22"/>
                        <w:lang w:val="en-US"/>
                      </w:rPr>
                      <w:t>1.8</w:t>
                    </w:r>
                  </w:p>
                </w:tc>
                <w:tc>
                  <w:tcPr>
                    <w:tcW w:w="709" w:type="dxa"/>
                    <w:vAlign w:val="center"/>
                    <w:hideMark/>
                  </w:tcPr>
                  <w:p w14:paraId="5256DAF5" w14:textId="77777777" w:rsidR="002F5246" w:rsidRPr="00F72840" w:rsidRDefault="002F5246" w:rsidP="00E23288">
                    <w:pPr>
                      <w:jc w:val="center"/>
                      <w:rPr>
                        <w:szCs w:val="22"/>
                        <w:lang w:val="en-US"/>
                      </w:rPr>
                    </w:pPr>
                    <w:r w:rsidRPr="00F72840">
                      <w:rPr>
                        <w:szCs w:val="22"/>
                        <w:lang w:val="en-US"/>
                      </w:rPr>
                      <w:t>1.9</w:t>
                    </w:r>
                  </w:p>
                </w:tc>
                <w:tc>
                  <w:tcPr>
                    <w:tcW w:w="709" w:type="dxa"/>
                    <w:vAlign w:val="center"/>
                    <w:hideMark/>
                  </w:tcPr>
                  <w:p w14:paraId="691AC0BE" w14:textId="77777777" w:rsidR="002F5246" w:rsidRPr="00F72840" w:rsidRDefault="002F5246" w:rsidP="00E23288">
                    <w:pPr>
                      <w:jc w:val="center"/>
                      <w:rPr>
                        <w:szCs w:val="22"/>
                        <w:lang w:val="en-US"/>
                      </w:rPr>
                    </w:pPr>
                    <w:r w:rsidRPr="00F72840">
                      <w:rPr>
                        <w:szCs w:val="22"/>
                        <w:lang w:val="en-US"/>
                      </w:rPr>
                      <w:t>2.1</w:t>
                    </w:r>
                  </w:p>
                </w:tc>
                <w:tc>
                  <w:tcPr>
                    <w:tcW w:w="708" w:type="dxa"/>
                    <w:vAlign w:val="center"/>
                    <w:hideMark/>
                  </w:tcPr>
                  <w:p w14:paraId="42612DC3" w14:textId="77777777" w:rsidR="002F5246" w:rsidRPr="00F72840" w:rsidRDefault="002F5246" w:rsidP="00E23288">
                    <w:pPr>
                      <w:jc w:val="center"/>
                      <w:rPr>
                        <w:szCs w:val="22"/>
                        <w:lang w:val="en-US"/>
                      </w:rPr>
                    </w:pPr>
                    <w:r w:rsidRPr="00F72840">
                      <w:rPr>
                        <w:szCs w:val="22"/>
                        <w:lang w:val="en-US"/>
                      </w:rPr>
                      <w:t>1.7</w:t>
                    </w:r>
                  </w:p>
                </w:tc>
                <w:tc>
                  <w:tcPr>
                    <w:tcW w:w="709" w:type="dxa"/>
                    <w:vAlign w:val="center"/>
                    <w:hideMark/>
                  </w:tcPr>
                  <w:p w14:paraId="25256B88" w14:textId="77777777" w:rsidR="002F5246" w:rsidRPr="00F72840" w:rsidRDefault="002F5246" w:rsidP="00E23288">
                    <w:pPr>
                      <w:jc w:val="center"/>
                      <w:rPr>
                        <w:szCs w:val="22"/>
                        <w:lang w:val="en-US"/>
                      </w:rPr>
                    </w:pPr>
                    <w:r w:rsidRPr="00F72840">
                      <w:rPr>
                        <w:szCs w:val="22"/>
                        <w:lang w:val="en-US"/>
                      </w:rPr>
                      <w:t>1.6</w:t>
                    </w:r>
                  </w:p>
                </w:tc>
              </w:tr>
              <w:tr w:rsidR="002F5246" w:rsidRPr="00F72840" w14:paraId="68749858" w14:textId="77777777" w:rsidTr="00E23288">
                <w:trPr>
                  <w:trHeight w:hRule="exact" w:val="346"/>
                  <w:jc w:val="center"/>
                </w:trPr>
                <w:tc>
                  <w:tcPr>
                    <w:tcW w:w="1209" w:type="dxa"/>
                    <w:vAlign w:val="center"/>
                    <w:hideMark/>
                  </w:tcPr>
                  <w:p w14:paraId="00FABAB7" w14:textId="77777777" w:rsidR="002F5246" w:rsidRPr="00F72840" w:rsidRDefault="002F5246" w:rsidP="00E23288">
                    <w:pPr>
                      <w:jc w:val="center"/>
                      <w:rPr>
                        <w:szCs w:val="22"/>
                        <w:lang w:val="en-US"/>
                      </w:rPr>
                    </w:pPr>
                    <w:r w:rsidRPr="00F72840">
                      <w:rPr>
                        <w:szCs w:val="22"/>
                        <w:lang w:val="en-US"/>
                      </w:rPr>
                      <w:t>Dealer</w:t>
                    </w:r>
                  </w:p>
                </w:tc>
                <w:tc>
                  <w:tcPr>
                    <w:tcW w:w="767" w:type="dxa"/>
                    <w:vAlign w:val="center"/>
                    <w:hideMark/>
                  </w:tcPr>
                  <w:p w14:paraId="2DD9A598" w14:textId="77777777" w:rsidR="002F5246" w:rsidRPr="00F72840" w:rsidRDefault="002F5246" w:rsidP="00E23288">
                    <w:pPr>
                      <w:jc w:val="center"/>
                      <w:rPr>
                        <w:szCs w:val="22"/>
                        <w:lang w:val="en-US"/>
                      </w:rPr>
                    </w:pPr>
                    <w:r w:rsidRPr="00F72840">
                      <w:rPr>
                        <w:szCs w:val="22"/>
                        <w:lang w:val="en-US"/>
                      </w:rPr>
                      <w:t>A</w:t>
                    </w:r>
                    <w:r w:rsidRPr="00F72840">
                      <w:rPr>
                        <w:szCs w:val="22"/>
                        <w:vertAlign w:val="subscript"/>
                        <w:lang w:val="en-US"/>
                      </w:rPr>
                      <w:t>1</w:t>
                    </w:r>
                  </w:p>
                </w:tc>
                <w:tc>
                  <w:tcPr>
                    <w:tcW w:w="709" w:type="dxa"/>
                    <w:vAlign w:val="center"/>
                    <w:hideMark/>
                  </w:tcPr>
                  <w:p w14:paraId="11B28B05" w14:textId="77777777" w:rsidR="002F5246" w:rsidRPr="00F72840" w:rsidRDefault="002F5246" w:rsidP="00E23288">
                    <w:pPr>
                      <w:jc w:val="center"/>
                      <w:rPr>
                        <w:szCs w:val="22"/>
                        <w:lang w:val="en-US"/>
                      </w:rPr>
                    </w:pPr>
                    <w:r w:rsidRPr="00F72840">
                      <w:rPr>
                        <w:szCs w:val="22"/>
                        <w:lang w:val="en-US"/>
                      </w:rPr>
                      <w:t>B</w:t>
                    </w:r>
                    <w:r w:rsidRPr="00F72840">
                      <w:rPr>
                        <w:szCs w:val="22"/>
                        <w:vertAlign w:val="subscript"/>
                        <w:lang w:val="en-US"/>
                      </w:rPr>
                      <w:t>1</w:t>
                    </w:r>
                  </w:p>
                </w:tc>
                <w:tc>
                  <w:tcPr>
                    <w:tcW w:w="709" w:type="dxa"/>
                    <w:vAlign w:val="center"/>
                    <w:hideMark/>
                  </w:tcPr>
                  <w:p w14:paraId="098BF2C8" w14:textId="77777777" w:rsidR="002F5246" w:rsidRPr="00F72840" w:rsidRDefault="002F5246" w:rsidP="00E23288">
                    <w:pPr>
                      <w:jc w:val="center"/>
                      <w:rPr>
                        <w:szCs w:val="22"/>
                        <w:lang w:val="en-US"/>
                      </w:rPr>
                    </w:pPr>
                    <w:r w:rsidRPr="00F72840">
                      <w:rPr>
                        <w:szCs w:val="22"/>
                        <w:lang w:val="en-US"/>
                      </w:rPr>
                      <w:t>A</w:t>
                    </w:r>
                    <w:r w:rsidRPr="00F72840">
                      <w:rPr>
                        <w:szCs w:val="22"/>
                        <w:vertAlign w:val="subscript"/>
                        <w:lang w:val="en-US"/>
                      </w:rPr>
                      <w:t>2</w:t>
                    </w:r>
                  </w:p>
                </w:tc>
                <w:tc>
                  <w:tcPr>
                    <w:tcW w:w="708" w:type="dxa"/>
                    <w:vAlign w:val="center"/>
                    <w:hideMark/>
                  </w:tcPr>
                  <w:p w14:paraId="58EDA813" w14:textId="77777777" w:rsidR="002F5246" w:rsidRPr="00F72840" w:rsidRDefault="002F5246" w:rsidP="00E23288">
                    <w:pPr>
                      <w:jc w:val="center"/>
                      <w:rPr>
                        <w:szCs w:val="22"/>
                        <w:lang w:val="en-US"/>
                      </w:rPr>
                    </w:pPr>
                    <w:r w:rsidRPr="00F72840">
                      <w:rPr>
                        <w:szCs w:val="22"/>
                        <w:lang w:val="en-US"/>
                      </w:rPr>
                      <w:t>C</w:t>
                    </w:r>
                    <w:r w:rsidRPr="00F72840">
                      <w:rPr>
                        <w:szCs w:val="22"/>
                        <w:vertAlign w:val="subscript"/>
                        <w:lang w:val="en-US"/>
                      </w:rPr>
                      <w:t>1</w:t>
                    </w:r>
                  </w:p>
                </w:tc>
                <w:tc>
                  <w:tcPr>
                    <w:tcW w:w="709" w:type="dxa"/>
                    <w:vAlign w:val="center"/>
                    <w:hideMark/>
                  </w:tcPr>
                  <w:p w14:paraId="3055D90D" w14:textId="77777777" w:rsidR="002F5246" w:rsidRPr="00F72840" w:rsidRDefault="002F5246" w:rsidP="00E23288">
                    <w:pPr>
                      <w:jc w:val="center"/>
                      <w:rPr>
                        <w:szCs w:val="22"/>
                        <w:lang w:val="en-US"/>
                      </w:rPr>
                    </w:pPr>
                    <w:r w:rsidRPr="00F72840">
                      <w:rPr>
                        <w:szCs w:val="22"/>
                        <w:lang w:val="en-US"/>
                      </w:rPr>
                      <w:t>B</w:t>
                    </w:r>
                    <w:r w:rsidRPr="00F72840">
                      <w:rPr>
                        <w:szCs w:val="22"/>
                        <w:vertAlign w:val="subscript"/>
                        <w:lang w:val="en-US"/>
                      </w:rPr>
                      <w:t>2</w:t>
                    </w:r>
                  </w:p>
                </w:tc>
              </w:tr>
              <w:tr w:rsidR="002F5246" w:rsidRPr="00F72840" w14:paraId="30D4C8AE" w14:textId="77777777" w:rsidTr="00E23288">
                <w:trPr>
                  <w:trHeight w:hRule="exact" w:val="346"/>
                  <w:jc w:val="center"/>
                </w:trPr>
                <w:tc>
                  <w:tcPr>
                    <w:tcW w:w="1209" w:type="dxa"/>
                    <w:tcBorders>
                      <w:top w:val="nil"/>
                      <w:left w:val="nil"/>
                      <w:bottom w:val="single" w:sz="12" w:space="0" w:color="auto"/>
                      <w:right w:val="nil"/>
                    </w:tcBorders>
                    <w:vAlign w:val="center"/>
                    <w:hideMark/>
                  </w:tcPr>
                  <w:p w14:paraId="5C0552E4" w14:textId="77777777" w:rsidR="002F5246" w:rsidRPr="00F72840" w:rsidRDefault="002F5246" w:rsidP="00E23288">
                    <w:pPr>
                      <w:jc w:val="center"/>
                      <w:rPr>
                        <w:szCs w:val="22"/>
                        <w:lang w:val="en-US"/>
                      </w:rPr>
                    </w:pPr>
                    <w:r w:rsidRPr="00F72840">
                      <w:rPr>
                        <w:szCs w:val="22"/>
                        <w:lang w:val="en-US"/>
                      </w:rPr>
                      <w:t>Change</w:t>
                    </w:r>
                  </w:p>
                </w:tc>
                <w:tc>
                  <w:tcPr>
                    <w:tcW w:w="767" w:type="dxa"/>
                    <w:tcBorders>
                      <w:top w:val="nil"/>
                      <w:left w:val="nil"/>
                      <w:bottom w:val="single" w:sz="12" w:space="0" w:color="auto"/>
                      <w:right w:val="nil"/>
                    </w:tcBorders>
                    <w:vAlign w:val="center"/>
                    <w:hideMark/>
                  </w:tcPr>
                  <w:p w14:paraId="5349D662" w14:textId="77777777" w:rsidR="002F5246" w:rsidRPr="00F72840" w:rsidRDefault="002F5246" w:rsidP="00E23288">
                    <w:pPr>
                      <w:jc w:val="center"/>
                      <w:rPr>
                        <w:szCs w:val="22"/>
                        <w:lang w:val="en-US"/>
                      </w:rPr>
                    </w:pPr>
                    <w:r w:rsidRPr="00F72840">
                      <w:rPr>
                        <w:szCs w:val="22"/>
                        <w:lang w:val="en-US"/>
                      </w:rPr>
                      <w:t>0</w:t>
                    </w:r>
                  </w:p>
                </w:tc>
                <w:tc>
                  <w:tcPr>
                    <w:tcW w:w="709" w:type="dxa"/>
                    <w:tcBorders>
                      <w:top w:val="nil"/>
                      <w:left w:val="nil"/>
                      <w:bottom w:val="single" w:sz="12" w:space="0" w:color="auto"/>
                      <w:right w:val="nil"/>
                    </w:tcBorders>
                    <w:vAlign w:val="center"/>
                    <w:hideMark/>
                  </w:tcPr>
                  <w:p w14:paraId="52B25A79" w14:textId="77777777" w:rsidR="002F5246" w:rsidRPr="00F72840" w:rsidRDefault="002F5246" w:rsidP="00E23288">
                    <w:pPr>
                      <w:jc w:val="center"/>
                      <w:rPr>
                        <w:szCs w:val="22"/>
                        <w:lang w:val="en-US"/>
                      </w:rPr>
                    </w:pPr>
                    <w:r w:rsidRPr="00F72840">
                      <w:rPr>
                        <w:szCs w:val="22"/>
                        <w:lang w:val="en-US"/>
                      </w:rPr>
                      <w:t>0.1</w:t>
                    </w:r>
                  </w:p>
                </w:tc>
                <w:tc>
                  <w:tcPr>
                    <w:tcW w:w="709" w:type="dxa"/>
                    <w:tcBorders>
                      <w:top w:val="nil"/>
                      <w:left w:val="nil"/>
                      <w:bottom w:val="single" w:sz="12" w:space="0" w:color="auto"/>
                      <w:right w:val="nil"/>
                    </w:tcBorders>
                    <w:vAlign w:val="center"/>
                    <w:hideMark/>
                  </w:tcPr>
                  <w:p w14:paraId="1F45AAE0" w14:textId="77777777" w:rsidR="002F5246" w:rsidRPr="00F72840" w:rsidRDefault="002F5246" w:rsidP="00E23288">
                    <w:pPr>
                      <w:jc w:val="center"/>
                      <w:rPr>
                        <w:szCs w:val="22"/>
                        <w:lang w:val="en-US"/>
                      </w:rPr>
                    </w:pPr>
                    <w:r w:rsidRPr="00F72840">
                      <w:rPr>
                        <w:szCs w:val="22"/>
                        <w:lang w:val="en-US"/>
                      </w:rPr>
                      <w:t>0.2</w:t>
                    </w:r>
                  </w:p>
                </w:tc>
                <w:tc>
                  <w:tcPr>
                    <w:tcW w:w="708" w:type="dxa"/>
                    <w:tcBorders>
                      <w:top w:val="nil"/>
                      <w:left w:val="nil"/>
                      <w:bottom w:val="single" w:sz="12" w:space="0" w:color="auto"/>
                      <w:right w:val="nil"/>
                    </w:tcBorders>
                    <w:vAlign w:val="center"/>
                    <w:hideMark/>
                  </w:tcPr>
                  <w:p w14:paraId="4EB921D3" w14:textId="77777777" w:rsidR="002F5246" w:rsidRPr="00F72840" w:rsidRDefault="002F5246" w:rsidP="00E23288">
                    <w:pPr>
                      <w:jc w:val="center"/>
                      <w:rPr>
                        <w:szCs w:val="22"/>
                        <w:lang w:val="en-US"/>
                      </w:rPr>
                    </w:pPr>
                    <w:r w:rsidRPr="00F72840">
                      <w:rPr>
                        <w:szCs w:val="22"/>
                        <w:lang w:val="en-US"/>
                      </w:rPr>
                      <w:t>-0.4</w:t>
                    </w:r>
                  </w:p>
                </w:tc>
                <w:tc>
                  <w:tcPr>
                    <w:tcW w:w="709" w:type="dxa"/>
                    <w:tcBorders>
                      <w:top w:val="nil"/>
                      <w:left w:val="nil"/>
                      <w:bottom w:val="single" w:sz="12" w:space="0" w:color="auto"/>
                      <w:right w:val="nil"/>
                    </w:tcBorders>
                    <w:vAlign w:val="center"/>
                    <w:hideMark/>
                  </w:tcPr>
                  <w:p w14:paraId="2F537C50" w14:textId="77777777" w:rsidR="002F5246" w:rsidRPr="00F72840" w:rsidRDefault="002F5246" w:rsidP="00E23288">
                    <w:pPr>
                      <w:jc w:val="center"/>
                      <w:rPr>
                        <w:szCs w:val="22"/>
                        <w:lang w:val="en-US"/>
                      </w:rPr>
                    </w:pPr>
                    <w:r w:rsidRPr="00F72840">
                      <w:rPr>
                        <w:szCs w:val="22"/>
                        <w:lang w:val="en-US"/>
                      </w:rPr>
                      <w:t>-0.1</w:t>
                    </w:r>
                  </w:p>
                </w:tc>
              </w:tr>
              <w:tr w:rsidR="002F5246" w:rsidRPr="00F72840" w14:paraId="61937983" w14:textId="77777777" w:rsidTr="00E23288">
                <w:trPr>
                  <w:trHeight w:hRule="exact" w:val="346"/>
                  <w:jc w:val="center"/>
                </w:trPr>
                <w:tc>
                  <w:tcPr>
                    <w:tcW w:w="4811" w:type="dxa"/>
                    <w:gridSpan w:val="6"/>
                    <w:tcBorders>
                      <w:top w:val="single" w:sz="12" w:space="0" w:color="auto"/>
                      <w:left w:val="nil"/>
                      <w:bottom w:val="single" w:sz="8" w:space="0" w:color="auto"/>
                      <w:right w:val="nil"/>
                    </w:tcBorders>
                    <w:vAlign w:val="center"/>
                    <w:hideMark/>
                  </w:tcPr>
                  <w:p w14:paraId="6E2376DA" w14:textId="77777777" w:rsidR="002F5246" w:rsidRPr="00F72840" w:rsidRDefault="002F5246" w:rsidP="00E23288">
                    <w:pPr>
                      <w:jc w:val="center"/>
                      <w:rPr>
                        <w:szCs w:val="22"/>
                        <w:lang w:val="en-US"/>
                      </w:rPr>
                    </w:pPr>
                    <w:r w:rsidRPr="00F72840">
                      <w:rPr>
                        <w:szCs w:val="22"/>
                        <w:lang w:val="en-US"/>
                      </w:rPr>
                      <w:t>Panel B – Randomized Price Series</w:t>
                    </w:r>
                  </w:p>
                </w:tc>
              </w:tr>
              <w:tr w:rsidR="002F5246" w:rsidRPr="00F72840" w14:paraId="4ACC27F8" w14:textId="77777777" w:rsidTr="00E23288">
                <w:trPr>
                  <w:trHeight w:hRule="exact" w:val="346"/>
                  <w:jc w:val="center"/>
                </w:trPr>
                <w:tc>
                  <w:tcPr>
                    <w:tcW w:w="1209" w:type="dxa"/>
                    <w:tcBorders>
                      <w:top w:val="single" w:sz="8" w:space="0" w:color="auto"/>
                      <w:left w:val="nil"/>
                      <w:bottom w:val="nil"/>
                      <w:right w:val="nil"/>
                    </w:tcBorders>
                    <w:vAlign w:val="center"/>
                    <w:hideMark/>
                  </w:tcPr>
                  <w:p w14:paraId="71A97B37" w14:textId="77777777" w:rsidR="002F5246" w:rsidRPr="00F72840" w:rsidRDefault="002F5246" w:rsidP="00E23288">
                    <w:pPr>
                      <w:jc w:val="center"/>
                      <w:rPr>
                        <w:szCs w:val="22"/>
                        <w:lang w:val="en-US"/>
                      </w:rPr>
                    </w:pPr>
                    <w:r w:rsidRPr="00F72840">
                      <w:rPr>
                        <w:szCs w:val="22"/>
                        <w:lang w:val="en-US"/>
                      </w:rPr>
                      <w:t>Quote</w:t>
                    </w:r>
                  </w:p>
                </w:tc>
                <w:tc>
                  <w:tcPr>
                    <w:tcW w:w="767" w:type="dxa"/>
                    <w:tcBorders>
                      <w:top w:val="single" w:sz="8" w:space="0" w:color="auto"/>
                      <w:left w:val="nil"/>
                      <w:bottom w:val="nil"/>
                      <w:right w:val="nil"/>
                    </w:tcBorders>
                    <w:vAlign w:val="center"/>
                    <w:hideMark/>
                  </w:tcPr>
                  <w:p w14:paraId="0DE8EB03" w14:textId="77777777" w:rsidR="002F5246" w:rsidRPr="00F72840" w:rsidRDefault="002F5246" w:rsidP="00E23288">
                    <w:pPr>
                      <w:jc w:val="center"/>
                      <w:rPr>
                        <w:szCs w:val="22"/>
                        <w:lang w:val="en-US"/>
                      </w:rPr>
                    </w:pPr>
                    <w:r w:rsidRPr="00F72840">
                      <w:rPr>
                        <w:szCs w:val="22"/>
                        <w:lang w:val="en-US"/>
                      </w:rPr>
                      <w:t>Q</w:t>
                    </w:r>
                    <w:r w:rsidRPr="00F72840">
                      <w:rPr>
                        <w:szCs w:val="22"/>
                        <w:vertAlign w:val="subscript"/>
                        <w:lang w:val="en-US"/>
                      </w:rPr>
                      <w:t>1</w:t>
                    </w:r>
                  </w:p>
                </w:tc>
                <w:tc>
                  <w:tcPr>
                    <w:tcW w:w="709" w:type="dxa"/>
                    <w:tcBorders>
                      <w:top w:val="single" w:sz="8" w:space="0" w:color="auto"/>
                      <w:left w:val="nil"/>
                      <w:bottom w:val="nil"/>
                      <w:right w:val="nil"/>
                    </w:tcBorders>
                    <w:vAlign w:val="center"/>
                    <w:hideMark/>
                  </w:tcPr>
                  <w:p w14:paraId="3B8C99A6" w14:textId="77777777" w:rsidR="002F5246" w:rsidRPr="00F72840" w:rsidRDefault="002F5246" w:rsidP="00E23288">
                    <w:pPr>
                      <w:jc w:val="center"/>
                      <w:rPr>
                        <w:szCs w:val="22"/>
                        <w:lang w:val="en-US"/>
                      </w:rPr>
                    </w:pPr>
                    <w:r w:rsidRPr="00F72840">
                      <w:rPr>
                        <w:szCs w:val="22"/>
                        <w:lang w:val="en-US"/>
                      </w:rPr>
                      <w:t>Q</w:t>
                    </w:r>
                    <w:r w:rsidRPr="00F72840">
                      <w:rPr>
                        <w:szCs w:val="22"/>
                        <w:vertAlign w:val="subscript"/>
                        <w:lang w:val="en-US"/>
                      </w:rPr>
                      <w:t>5</w:t>
                    </w:r>
                  </w:p>
                </w:tc>
                <w:tc>
                  <w:tcPr>
                    <w:tcW w:w="709" w:type="dxa"/>
                    <w:tcBorders>
                      <w:top w:val="single" w:sz="8" w:space="0" w:color="auto"/>
                      <w:left w:val="nil"/>
                      <w:bottom w:val="nil"/>
                      <w:right w:val="nil"/>
                    </w:tcBorders>
                    <w:vAlign w:val="center"/>
                    <w:hideMark/>
                  </w:tcPr>
                  <w:p w14:paraId="1BEF3AB1" w14:textId="77777777" w:rsidR="002F5246" w:rsidRPr="00F72840" w:rsidRDefault="002F5246" w:rsidP="00E23288">
                    <w:pPr>
                      <w:jc w:val="center"/>
                      <w:rPr>
                        <w:szCs w:val="22"/>
                        <w:lang w:val="en-US"/>
                      </w:rPr>
                    </w:pPr>
                    <w:r w:rsidRPr="00F72840">
                      <w:rPr>
                        <w:szCs w:val="22"/>
                        <w:lang w:val="en-US"/>
                      </w:rPr>
                      <w:t>Q</w:t>
                    </w:r>
                    <w:r w:rsidRPr="00F72840">
                      <w:rPr>
                        <w:szCs w:val="22"/>
                        <w:vertAlign w:val="subscript"/>
                        <w:lang w:val="en-US"/>
                      </w:rPr>
                      <w:t>2</w:t>
                    </w:r>
                  </w:p>
                </w:tc>
                <w:tc>
                  <w:tcPr>
                    <w:tcW w:w="708" w:type="dxa"/>
                    <w:tcBorders>
                      <w:top w:val="single" w:sz="8" w:space="0" w:color="auto"/>
                      <w:left w:val="nil"/>
                      <w:bottom w:val="nil"/>
                      <w:right w:val="nil"/>
                    </w:tcBorders>
                    <w:vAlign w:val="center"/>
                    <w:hideMark/>
                  </w:tcPr>
                  <w:p w14:paraId="43AB536B" w14:textId="77777777" w:rsidR="002F5246" w:rsidRPr="00F72840" w:rsidRDefault="002F5246" w:rsidP="00E23288">
                    <w:pPr>
                      <w:jc w:val="center"/>
                      <w:rPr>
                        <w:szCs w:val="22"/>
                        <w:lang w:val="en-US"/>
                      </w:rPr>
                    </w:pPr>
                    <w:r w:rsidRPr="00F72840">
                      <w:rPr>
                        <w:szCs w:val="22"/>
                        <w:lang w:val="en-US"/>
                      </w:rPr>
                      <w:t>Q</w:t>
                    </w:r>
                    <w:r w:rsidRPr="00F72840">
                      <w:rPr>
                        <w:szCs w:val="22"/>
                        <w:vertAlign w:val="subscript"/>
                        <w:lang w:val="en-US"/>
                      </w:rPr>
                      <w:t>3</w:t>
                    </w:r>
                  </w:p>
                </w:tc>
                <w:tc>
                  <w:tcPr>
                    <w:tcW w:w="709" w:type="dxa"/>
                    <w:tcBorders>
                      <w:top w:val="single" w:sz="8" w:space="0" w:color="auto"/>
                      <w:left w:val="nil"/>
                      <w:bottom w:val="nil"/>
                      <w:right w:val="nil"/>
                    </w:tcBorders>
                    <w:vAlign w:val="center"/>
                    <w:hideMark/>
                  </w:tcPr>
                  <w:p w14:paraId="1EAC15C7" w14:textId="77777777" w:rsidR="002F5246" w:rsidRPr="00F72840" w:rsidRDefault="002F5246" w:rsidP="00E23288">
                    <w:pPr>
                      <w:jc w:val="center"/>
                      <w:rPr>
                        <w:szCs w:val="22"/>
                        <w:lang w:val="en-US"/>
                      </w:rPr>
                    </w:pPr>
                    <w:r w:rsidRPr="00F72840">
                      <w:rPr>
                        <w:szCs w:val="22"/>
                        <w:lang w:val="en-US"/>
                      </w:rPr>
                      <w:t>Q</w:t>
                    </w:r>
                    <w:r w:rsidRPr="00F72840">
                      <w:rPr>
                        <w:szCs w:val="22"/>
                        <w:vertAlign w:val="subscript"/>
                        <w:lang w:val="en-US"/>
                      </w:rPr>
                      <w:t>4</w:t>
                    </w:r>
                  </w:p>
                </w:tc>
              </w:tr>
              <w:tr w:rsidR="002F5246" w:rsidRPr="00F72840" w14:paraId="1D26B528" w14:textId="77777777" w:rsidTr="00E23288">
                <w:trPr>
                  <w:trHeight w:hRule="exact" w:val="346"/>
                  <w:jc w:val="center"/>
                </w:trPr>
                <w:tc>
                  <w:tcPr>
                    <w:tcW w:w="1209" w:type="dxa"/>
                    <w:vAlign w:val="center"/>
                    <w:hideMark/>
                  </w:tcPr>
                  <w:p w14:paraId="1526232C" w14:textId="77777777" w:rsidR="002F5246" w:rsidRPr="00F72840" w:rsidRDefault="002F5246" w:rsidP="00E23288">
                    <w:pPr>
                      <w:jc w:val="center"/>
                      <w:rPr>
                        <w:szCs w:val="22"/>
                        <w:lang w:val="en-US"/>
                      </w:rPr>
                    </w:pPr>
                    <w:r w:rsidRPr="00F72840">
                      <w:rPr>
                        <w:szCs w:val="22"/>
                        <w:lang w:val="en-US"/>
                      </w:rPr>
                      <w:t>Price</w:t>
                    </w:r>
                  </w:p>
                </w:tc>
                <w:tc>
                  <w:tcPr>
                    <w:tcW w:w="767" w:type="dxa"/>
                    <w:vAlign w:val="center"/>
                    <w:hideMark/>
                  </w:tcPr>
                  <w:p w14:paraId="73200CCC" w14:textId="77777777" w:rsidR="002F5246" w:rsidRPr="00F72840" w:rsidRDefault="002F5246" w:rsidP="00E23288">
                    <w:pPr>
                      <w:jc w:val="center"/>
                      <w:rPr>
                        <w:szCs w:val="22"/>
                        <w:lang w:val="en-US"/>
                      </w:rPr>
                    </w:pPr>
                    <w:r w:rsidRPr="00F72840">
                      <w:rPr>
                        <w:szCs w:val="22"/>
                        <w:lang w:val="en-US"/>
                      </w:rPr>
                      <w:t>1.8</w:t>
                    </w:r>
                  </w:p>
                </w:tc>
                <w:tc>
                  <w:tcPr>
                    <w:tcW w:w="709" w:type="dxa"/>
                    <w:vAlign w:val="center"/>
                    <w:hideMark/>
                  </w:tcPr>
                  <w:p w14:paraId="2F97E8B2" w14:textId="77777777" w:rsidR="002F5246" w:rsidRPr="00F72840" w:rsidRDefault="002F5246" w:rsidP="00E23288">
                    <w:pPr>
                      <w:jc w:val="center"/>
                      <w:rPr>
                        <w:szCs w:val="22"/>
                        <w:lang w:val="en-US"/>
                      </w:rPr>
                    </w:pPr>
                    <w:r w:rsidRPr="00F72840">
                      <w:rPr>
                        <w:szCs w:val="22"/>
                        <w:lang w:val="en-US"/>
                      </w:rPr>
                      <w:t>1.7</w:t>
                    </w:r>
                  </w:p>
                </w:tc>
                <w:tc>
                  <w:tcPr>
                    <w:tcW w:w="709" w:type="dxa"/>
                    <w:vAlign w:val="center"/>
                    <w:hideMark/>
                  </w:tcPr>
                  <w:p w14:paraId="71C6AE6E" w14:textId="77777777" w:rsidR="002F5246" w:rsidRPr="00F72840" w:rsidRDefault="002F5246" w:rsidP="00E23288">
                    <w:pPr>
                      <w:jc w:val="center"/>
                      <w:rPr>
                        <w:szCs w:val="22"/>
                        <w:lang w:val="en-US"/>
                      </w:rPr>
                    </w:pPr>
                    <w:r w:rsidRPr="00F72840">
                      <w:rPr>
                        <w:szCs w:val="22"/>
                        <w:lang w:val="en-US"/>
                      </w:rPr>
                      <w:t>1.8</w:t>
                    </w:r>
                  </w:p>
                </w:tc>
                <w:tc>
                  <w:tcPr>
                    <w:tcW w:w="708" w:type="dxa"/>
                    <w:vAlign w:val="center"/>
                    <w:hideMark/>
                  </w:tcPr>
                  <w:p w14:paraId="6E1EB3E2" w14:textId="77777777" w:rsidR="002F5246" w:rsidRPr="00F72840" w:rsidRDefault="002F5246" w:rsidP="00E23288">
                    <w:pPr>
                      <w:jc w:val="center"/>
                      <w:rPr>
                        <w:szCs w:val="22"/>
                        <w:lang w:val="en-US"/>
                      </w:rPr>
                    </w:pPr>
                    <w:r w:rsidRPr="00F72840">
                      <w:rPr>
                        <w:szCs w:val="22"/>
                        <w:lang w:val="en-US"/>
                      </w:rPr>
                      <w:t>2.0</w:t>
                    </w:r>
                  </w:p>
                </w:tc>
                <w:tc>
                  <w:tcPr>
                    <w:tcW w:w="709" w:type="dxa"/>
                    <w:vAlign w:val="center"/>
                    <w:hideMark/>
                  </w:tcPr>
                  <w:p w14:paraId="2AE7E41B" w14:textId="77777777" w:rsidR="002F5246" w:rsidRPr="00F72840" w:rsidRDefault="002F5246" w:rsidP="00E23288">
                    <w:pPr>
                      <w:jc w:val="center"/>
                      <w:rPr>
                        <w:szCs w:val="22"/>
                        <w:lang w:val="en-US"/>
                      </w:rPr>
                    </w:pPr>
                    <w:r w:rsidRPr="00F72840">
                      <w:rPr>
                        <w:szCs w:val="22"/>
                        <w:lang w:val="en-US"/>
                      </w:rPr>
                      <w:t>1.6</w:t>
                    </w:r>
                  </w:p>
                </w:tc>
              </w:tr>
              <w:tr w:rsidR="002F5246" w:rsidRPr="00F72840" w14:paraId="095BF202" w14:textId="77777777" w:rsidTr="00E23288">
                <w:trPr>
                  <w:trHeight w:hRule="exact" w:val="346"/>
                  <w:jc w:val="center"/>
                </w:trPr>
                <w:tc>
                  <w:tcPr>
                    <w:tcW w:w="1209" w:type="dxa"/>
                    <w:vAlign w:val="center"/>
                    <w:hideMark/>
                  </w:tcPr>
                  <w:p w14:paraId="71006EBC" w14:textId="77777777" w:rsidR="002F5246" w:rsidRPr="00F72840" w:rsidRDefault="002F5246" w:rsidP="00E23288">
                    <w:pPr>
                      <w:jc w:val="center"/>
                      <w:rPr>
                        <w:szCs w:val="22"/>
                        <w:lang w:val="en-US"/>
                      </w:rPr>
                    </w:pPr>
                    <w:r w:rsidRPr="00F72840">
                      <w:rPr>
                        <w:szCs w:val="22"/>
                        <w:lang w:val="en-US"/>
                      </w:rPr>
                      <w:t>Dealer</w:t>
                    </w:r>
                  </w:p>
                </w:tc>
                <w:tc>
                  <w:tcPr>
                    <w:tcW w:w="767" w:type="dxa"/>
                    <w:vAlign w:val="center"/>
                    <w:hideMark/>
                  </w:tcPr>
                  <w:p w14:paraId="38A50CC5" w14:textId="77777777" w:rsidR="002F5246" w:rsidRPr="00F72840" w:rsidRDefault="002F5246" w:rsidP="00E23288">
                    <w:pPr>
                      <w:jc w:val="center"/>
                      <w:rPr>
                        <w:szCs w:val="22"/>
                        <w:lang w:val="en-US"/>
                      </w:rPr>
                    </w:pPr>
                    <w:r w:rsidRPr="00F72840">
                      <w:rPr>
                        <w:szCs w:val="22"/>
                        <w:lang w:val="en-US"/>
                      </w:rPr>
                      <w:t>A</w:t>
                    </w:r>
                    <w:r w:rsidRPr="00F72840">
                      <w:rPr>
                        <w:szCs w:val="22"/>
                        <w:vertAlign w:val="subscript"/>
                        <w:lang w:val="en-US"/>
                      </w:rPr>
                      <w:t>1</w:t>
                    </w:r>
                  </w:p>
                </w:tc>
                <w:tc>
                  <w:tcPr>
                    <w:tcW w:w="709" w:type="dxa"/>
                    <w:vAlign w:val="center"/>
                    <w:hideMark/>
                  </w:tcPr>
                  <w:p w14:paraId="2EE7BFC1" w14:textId="77777777" w:rsidR="002F5246" w:rsidRPr="00F72840" w:rsidRDefault="002F5246" w:rsidP="00E23288">
                    <w:pPr>
                      <w:jc w:val="center"/>
                      <w:rPr>
                        <w:szCs w:val="22"/>
                        <w:lang w:val="en-US"/>
                      </w:rPr>
                    </w:pPr>
                    <w:r w:rsidRPr="00F72840">
                      <w:rPr>
                        <w:szCs w:val="22"/>
                        <w:lang w:val="en-US"/>
                      </w:rPr>
                      <w:t>B</w:t>
                    </w:r>
                    <w:r w:rsidRPr="00F72840">
                      <w:rPr>
                        <w:szCs w:val="22"/>
                        <w:vertAlign w:val="subscript"/>
                        <w:lang w:val="en-US"/>
                      </w:rPr>
                      <w:t>2</w:t>
                    </w:r>
                  </w:p>
                </w:tc>
                <w:tc>
                  <w:tcPr>
                    <w:tcW w:w="709" w:type="dxa"/>
                    <w:vAlign w:val="center"/>
                    <w:hideMark/>
                  </w:tcPr>
                  <w:p w14:paraId="0BB40EF5" w14:textId="77777777" w:rsidR="002F5246" w:rsidRPr="00F72840" w:rsidRDefault="002F5246" w:rsidP="00E23288">
                    <w:pPr>
                      <w:jc w:val="center"/>
                      <w:rPr>
                        <w:szCs w:val="22"/>
                        <w:lang w:val="en-US"/>
                      </w:rPr>
                    </w:pPr>
                    <w:r w:rsidRPr="00F72840">
                      <w:rPr>
                        <w:szCs w:val="22"/>
                        <w:lang w:val="en-US"/>
                      </w:rPr>
                      <w:t>B</w:t>
                    </w:r>
                    <w:r w:rsidRPr="00F72840">
                      <w:rPr>
                        <w:szCs w:val="22"/>
                        <w:vertAlign w:val="subscript"/>
                        <w:lang w:val="en-US"/>
                      </w:rPr>
                      <w:t>1</w:t>
                    </w:r>
                  </w:p>
                </w:tc>
                <w:tc>
                  <w:tcPr>
                    <w:tcW w:w="708" w:type="dxa"/>
                    <w:vAlign w:val="center"/>
                    <w:hideMark/>
                  </w:tcPr>
                  <w:p w14:paraId="15AE7731" w14:textId="77777777" w:rsidR="002F5246" w:rsidRPr="00F72840" w:rsidRDefault="002F5246" w:rsidP="00E23288">
                    <w:pPr>
                      <w:jc w:val="center"/>
                      <w:rPr>
                        <w:szCs w:val="22"/>
                        <w:lang w:val="en-US"/>
                      </w:rPr>
                    </w:pPr>
                    <w:r w:rsidRPr="00F72840">
                      <w:rPr>
                        <w:szCs w:val="22"/>
                        <w:lang w:val="en-US"/>
                      </w:rPr>
                      <w:t>A</w:t>
                    </w:r>
                    <w:r w:rsidRPr="00F72840">
                      <w:rPr>
                        <w:szCs w:val="22"/>
                        <w:vertAlign w:val="subscript"/>
                        <w:lang w:val="en-US"/>
                      </w:rPr>
                      <w:t>2</w:t>
                    </w:r>
                  </w:p>
                </w:tc>
                <w:tc>
                  <w:tcPr>
                    <w:tcW w:w="709" w:type="dxa"/>
                    <w:vAlign w:val="center"/>
                    <w:hideMark/>
                  </w:tcPr>
                  <w:p w14:paraId="611F5064" w14:textId="77777777" w:rsidR="002F5246" w:rsidRPr="00F72840" w:rsidRDefault="002F5246" w:rsidP="00E23288">
                    <w:pPr>
                      <w:jc w:val="center"/>
                      <w:rPr>
                        <w:szCs w:val="22"/>
                        <w:lang w:val="en-US"/>
                      </w:rPr>
                    </w:pPr>
                    <w:r w:rsidRPr="00F72840">
                      <w:rPr>
                        <w:szCs w:val="22"/>
                        <w:lang w:val="en-US"/>
                      </w:rPr>
                      <w:t>C</w:t>
                    </w:r>
                    <w:r w:rsidRPr="00F72840">
                      <w:rPr>
                        <w:szCs w:val="22"/>
                        <w:vertAlign w:val="subscript"/>
                        <w:lang w:val="en-US"/>
                      </w:rPr>
                      <w:t>1</w:t>
                    </w:r>
                  </w:p>
                </w:tc>
              </w:tr>
              <w:tr w:rsidR="002F5246" w:rsidRPr="00F72840" w14:paraId="46AE0DC9" w14:textId="77777777" w:rsidTr="00E23288">
                <w:trPr>
                  <w:trHeight w:hRule="exact" w:val="346"/>
                  <w:jc w:val="center"/>
                </w:trPr>
                <w:tc>
                  <w:tcPr>
                    <w:tcW w:w="1209" w:type="dxa"/>
                    <w:tcBorders>
                      <w:top w:val="nil"/>
                      <w:left w:val="nil"/>
                      <w:bottom w:val="single" w:sz="12" w:space="0" w:color="auto"/>
                      <w:right w:val="nil"/>
                    </w:tcBorders>
                    <w:vAlign w:val="center"/>
                    <w:hideMark/>
                  </w:tcPr>
                  <w:p w14:paraId="275FFCDC" w14:textId="77777777" w:rsidR="002F5246" w:rsidRPr="00F72840" w:rsidRDefault="002F5246" w:rsidP="00E23288">
                    <w:pPr>
                      <w:jc w:val="center"/>
                      <w:rPr>
                        <w:szCs w:val="22"/>
                        <w:lang w:val="en-US"/>
                      </w:rPr>
                    </w:pPr>
                    <w:r w:rsidRPr="00F72840">
                      <w:rPr>
                        <w:szCs w:val="22"/>
                        <w:lang w:val="en-US"/>
                      </w:rPr>
                      <w:t>Change</w:t>
                    </w:r>
                  </w:p>
                </w:tc>
                <w:tc>
                  <w:tcPr>
                    <w:tcW w:w="767" w:type="dxa"/>
                    <w:tcBorders>
                      <w:top w:val="nil"/>
                      <w:left w:val="nil"/>
                      <w:bottom w:val="single" w:sz="12" w:space="0" w:color="auto"/>
                      <w:right w:val="nil"/>
                    </w:tcBorders>
                    <w:vAlign w:val="center"/>
                    <w:hideMark/>
                  </w:tcPr>
                  <w:p w14:paraId="28745E5D" w14:textId="77777777" w:rsidR="002F5246" w:rsidRPr="00F72840" w:rsidRDefault="002F5246" w:rsidP="00E23288">
                    <w:pPr>
                      <w:jc w:val="center"/>
                      <w:rPr>
                        <w:szCs w:val="22"/>
                        <w:lang w:val="en-US"/>
                      </w:rPr>
                    </w:pPr>
                    <w:r w:rsidRPr="00F72840">
                      <w:rPr>
                        <w:szCs w:val="22"/>
                        <w:lang w:val="en-US"/>
                      </w:rPr>
                      <w:t>0</w:t>
                    </w:r>
                  </w:p>
                </w:tc>
                <w:tc>
                  <w:tcPr>
                    <w:tcW w:w="709" w:type="dxa"/>
                    <w:tcBorders>
                      <w:top w:val="nil"/>
                      <w:left w:val="nil"/>
                      <w:bottom w:val="single" w:sz="12" w:space="0" w:color="auto"/>
                      <w:right w:val="nil"/>
                    </w:tcBorders>
                    <w:vAlign w:val="center"/>
                    <w:hideMark/>
                  </w:tcPr>
                  <w:p w14:paraId="1354D27B" w14:textId="77777777" w:rsidR="002F5246" w:rsidRPr="00F72840" w:rsidRDefault="002F5246" w:rsidP="00E23288">
                    <w:pPr>
                      <w:jc w:val="center"/>
                      <w:rPr>
                        <w:szCs w:val="22"/>
                        <w:lang w:val="en-US"/>
                      </w:rPr>
                    </w:pPr>
                    <w:r w:rsidRPr="00F72840">
                      <w:rPr>
                        <w:szCs w:val="22"/>
                        <w:lang w:val="en-US"/>
                      </w:rPr>
                      <w:t>-0.1</w:t>
                    </w:r>
                  </w:p>
                </w:tc>
                <w:tc>
                  <w:tcPr>
                    <w:tcW w:w="709" w:type="dxa"/>
                    <w:tcBorders>
                      <w:top w:val="nil"/>
                      <w:left w:val="nil"/>
                      <w:bottom w:val="single" w:sz="12" w:space="0" w:color="auto"/>
                      <w:right w:val="nil"/>
                    </w:tcBorders>
                    <w:vAlign w:val="center"/>
                    <w:hideMark/>
                  </w:tcPr>
                  <w:p w14:paraId="381B711B" w14:textId="77777777" w:rsidR="002F5246" w:rsidRPr="00F72840" w:rsidRDefault="002F5246" w:rsidP="00E23288">
                    <w:pPr>
                      <w:jc w:val="center"/>
                      <w:rPr>
                        <w:szCs w:val="22"/>
                        <w:lang w:val="en-US"/>
                      </w:rPr>
                    </w:pPr>
                    <w:r w:rsidRPr="00F72840">
                      <w:rPr>
                        <w:szCs w:val="22"/>
                        <w:lang w:val="en-US"/>
                      </w:rPr>
                      <w:t>0.1</w:t>
                    </w:r>
                  </w:p>
                </w:tc>
                <w:tc>
                  <w:tcPr>
                    <w:tcW w:w="708" w:type="dxa"/>
                    <w:tcBorders>
                      <w:top w:val="nil"/>
                      <w:left w:val="nil"/>
                      <w:bottom w:val="single" w:sz="12" w:space="0" w:color="auto"/>
                      <w:right w:val="nil"/>
                    </w:tcBorders>
                    <w:vAlign w:val="center"/>
                    <w:hideMark/>
                  </w:tcPr>
                  <w:p w14:paraId="0FCEEA09" w14:textId="77777777" w:rsidR="002F5246" w:rsidRPr="00F72840" w:rsidRDefault="002F5246" w:rsidP="00E23288">
                    <w:pPr>
                      <w:jc w:val="center"/>
                      <w:rPr>
                        <w:szCs w:val="22"/>
                        <w:lang w:val="en-US"/>
                      </w:rPr>
                    </w:pPr>
                    <w:r w:rsidRPr="00F72840">
                      <w:rPr>
                        <w:szCs w:val="22"/>
                        <w:lang w:val="en-US"/>
                      </w:rPr>
                      <w:t>0.2</w:t>
                    </w:r>
                  </w:p>
                </w:tc>
                <w:tc>
                  <w:tcPr>
                    <w:tcW w:w="709" w:type="dxa"/>
                    <w:tcBorders>
                      <w:top w:val="nil"/>
                      <w:left w:val="nil"/>
                      <w:bottom w:val="single" w:sz="12" w:space="0" w:color="auto"/>
                      <w:right w:val="nil"/>
                    </w:tcBorders>
                    <w:vAlign w:val="center"/>
                    <w:hideMark/>
                  </w:tcPr>
                  <w:p w14:paraId="0FF50ADA" w14:textId="77777777" w:rsidR="002F5246" w:rsidRPr="00F72840" w:rsidRDefault="002F5246" w:rsidP="00E23288">
                    <w:pPr>
                      <w:jc w:val="center"/>
                      <w:rPr>
                        <w:szCs w:val="22"/>
                        <w:lang w:val="en-US"/>
                      </w:rPr>
                    </w:pPr>
                    <w:r w:rsidRPr="00F72840">
                      <w:rPr>
                        <w:szCs w:val="22"/>
                        <w:lang w:val="en-US"/>
                      </w:rPr>
                      <w:t>-0.4</w:t>
                    </w:r>
                  </w:p>
                </w:tc>
              </w:tr>
            </w:tbl>
            <w:p w14:paraId="1E53A187" w14:textId="77777777" w:rsidR="002F5246" w:rsidRDefault="002F5246" w:rsidP="002F5246">
              <w:pPr>
                <w:spacing w:line="240" w:lineRule="auto"/>
                <w:jc w:val="both"/>
                <w:rPr>
                  <w:lang w:val="en-US"/>
                </w:rPr>
              </w:pPr>
            </w:p>
            <w:p w14:paraId="096872CA" w14:textId="77777777" w:rsidR="002F5246" w:rsidRPr="00E034A4" w:rsidRDefault="002F5246" w:rsidP="002F5246">
              <w:pPr>
                <w:spacing w:line="240" w:lineRule="auto"/>
                <w:jc w:val="both"/>
                <w:rPr>
                  <w:sz w:val="22"/>
                  <w:szCs w:val="22"/>
                  <w:lang w:val="en-US"/>
                </w:rPr>
              </w:pPr>
              <w:r w:rsidRPr="00E034A4">
                <w:rPr>
                  <w:sz w:val="22"/>
                  <w:szCs w:val="22"/>
                  <w:lang w:val="en-US"/>
                </w:rPr>
                <w:t>This table exemplifies the process of the verification phase and how the randomized sequence of prices is generated while maintaining the same price discovery process. Panel A shows the original price series and panel B shows the randomized price series.</w:t>
              </w:r>
            </w:p>
            <w:p w14:paraId="07087273" w14:textId="55ECB42D" w:rsidR="002F5246" w:rsidRDefault="002F5246" w:rsidP="002F5246"/>
            <w:p w14:paraId="74C8F704" w14:textId="77777777" w:rsidR="002F5246" w:rsidRDefault="002F5246" w:rsidP="002F5246"/>
            <w:p w14:paraId="548D3E98" w14:textId="77777777" w:rsidR="002F5246" w:rsidRPr="00F96745" w:rsidRDefault="002F5246" w:rsidP="002F5246">
              <w:pPr>
                <w:pStyle w:val="Tabletitle"/>
                <w:rPr>
                  <w:lang w:val="en-US"/>
                </w:rPr>
              </w:pPr>
              <w:r w:rsidRPr="00F96745">
                <w:rPr>
                  <w:lang w:val="en-US"/>
                </w:rPr>
                <w:lastRenderedPageBreak/>
                <w:t>Table 3 – PMQ Summary Statistics</w:t>
              </w:r>
            </w:p>
            <w:p w14:paraId="49A72915" w14:textId="77777777" w:rsidR="002F5246" w:rsidRPr="00F96745" w:rsidRDefault="002F5246" w:rsidP="002F5246">
              <w:pPr>
                <w:pStyle w:val="TableNotes"/>
              </w:pPr>
            </w:p>
            <w:tbl>
              <w:tblPr>
                <w:tblW w:w="10216" w:type="dxa"/>
                <w:jc w:val="center"/>
                <w:tblLook w:val="04A0" w:firstRow="1" w:lastRow="0" w:firstColumn="1" w:lastColumn="0" w:noHBand="0" w:noVBand="1"/>
              </w:tblPr>
              <w:tblGrid>
                <w:gridCol w:w="1243"/>
                <w:gridCol w:w="592"/>
                <w:gridCol w:w="876"/>
                <w:gridCol w:w="950"/>
                <w:gridCol w:w="989"/>
                <w:gridCol w:w="617"/>
                <w:gridCol w:w="876"/>
                <w:gridCol w:w="222"/>
                <w:gridCol w:w="876"/>
                <w:gridCol w:w="950"/>
                <w:gridCol w:w="989"/>
                <w:gridCol w:w="621"/>
                <w:gridCol w:w="876"/>
              </w:tblGrid>
              <w:tr w:rsidR="002F5246" w:rsidRPr="00F96745" w14:paraId="66DD4CE1" w14:textId="77777777" w:rsidTr="00E23288">
                <w:trPr>
                  <w:trHeight w:val="255"/>
                  <w:jc w:val="center"/>
                </w:trPr>
                <w:tc>
                  <w:tcPr>
                    <w:tcW w:w="1158" w:type="dxa"/>
                    <w:tcBorders>
                      <w:top w:val="single" w:sz="12" w:space="0" w:color="auto"/>
                      <w:left w:val="nil"/>
                      <w:bottom w:val="nil"/>
                      <w:right w:val="nil"/>
                    </w:tcBorders>
                    <w:shd w:val="clear" w:color="auto" w:fill="auto"/>
                    <w:noWrap/>
                    <w:vAlign w:val="center"/>
                    <w:hideMark/>
                  </w:tcPr>
                  <w:p w14:paraId="2CDFD8A1"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 </w:t>
                    </w:r>
                  </w:p>
                </w:tc>
                <w:tc>
                  <w:tcPr>
                    <w:tcW w:w="592" w:type="dxa"/>
                    <w:tcBorders>
                      <w:top w:val="single" w:sz="12" w:space="0" w:color="auto"/>
                      <w:left w:val="nil"/>
                      <w:bottom w:val="nil"/>
                      <w:right w:val="nil"/>
                    </w:tcBorders>
                    <w:shd w:val="clear" w:color="auto" w:fill="auto"/>
                    <w:noWrap/>
                    <w:vAlign w:val="center"/>
                    <w:hideMark/>
                  </w:tcPr>
                  <w:p w14:paraId="228675B4"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 </w:t>
                    </w:r>
                  </w:p>
                </w:tc>
                <w:tc>
                  <w:tcPr>
                    <w:tcW w:w="4103" w:type="dxa"/>
                    <w:gridSpan w:val="5"/>
                    <w:tcBorders>
                      <w:top w:val="single" w:sz="12" w:space="0" w:color="auto"/>
                      <w:left w:val="nil"/>
                      <w:bottom w:val="single" w:sz="4" w:space="0" w:color="auto"/>
                      <w:right w:val="nil"/>
                    </w:tcBorders>
                    <w:shd w:val="clear" w:color="auto" w:fill="auto"/>
                    <w:noWrap/>
                    <w:vAlign w:val="center"/>
                    <w:hideMark/>
                  </w:tcPr>
                  <w:p w14:paraId="1B5E2C5F"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Average PMQ Ask</w:t>
                    </w:r>
                  </w:p>
                </w:tc>
                <w:tc>
                  <w:tcPr>
                    <w:tcW w:w="222" w:type="dxa"/>
                    <w:tcBorders>
                      <w:top w:val="single" w:sz="12" w:space="0" w:color="auto"/>
                      <w:left w:val="nil"/>
                      <w:right w:val="nil"/>
                    </w:tcBorders>
                  </w:tcPr>
                  <w:p w14:paraId="06D8F1E9" w14:textId="77777777" w:rsidR="002F5246" w:rsidRPr="00F96745" w:rsidRDefault="002F5246" w:rsidP="00E23288">
                    <w:pPr>
                      <w:spacing w:line="360" w:lineRule="auto"/>
                      <w:jc w:val="center"/>
                      <w:rPr>
                        <w:rFonts w:asciiTheme="majorBidi" w:hAnsiTheme="majorBidi" w:cstheme="majorBidi"/>
                        <w:color w:val="000000"/>
                        <w:szCs w:val="22"/>
                        <w:lang w:val="en-US"/>
                      </w:rPr>
                    </w:pPr>
                  </w:p>
                </w:tc>
                <w:tc>
                  <w:tcPr>
                    <w:tcW w:w="4141" w:type="dxa"/>
                    <w:gridSpan w:val="5"/>
                    <w:tcBorders>
                      <w:top w:val="single" w:sz="12" w:space="0" w:color="auto"/>
                      <w:left w:val="nil"/>
                      <w:bottom w:val="single" w:sz="4" w:space="0" w:color="auto"/>
                      <w:right w:val="nil"/>
                    </w:tcBorders>
                    <w:shd w:val="clear" w:color="auto" w:fill="auto"/>
                    <w:noWrap/>
                    <w:vAlign w:val="center"/>
                    <w:hideMark/>
                  </w:tcPr>
                  <w:p w14:paraId="4BC5305D"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Average PMQ Bid</w:t>
                    </w:r>
                  </w:p>
                </w:tc>
              </w:tr>
              <w:tr w:rsidR="002F5246" w:rsidRPr="00F96745" w14:paraId="14BB7604" w14:textId="77777777" w:rsidTr="00E23288">
                <w:trPr>
                  <w:trHeight w:val="255"/>
                  <w:jc w:val="center"/>
                </w:trPr>
                <w:tc>
                  <w:tcPr>
                    <w:tcW w:w="1158" w:type="dxa"/>
                    <w:tcBorders>
                      <w:top w:val="nil"/>
                      <w:left w:val="nil"/>
                      <w:bottom w:val="nil"/>
                      <w:right w:val="nil"/>
                    </w:tcBorders>
                    <w:shd w:val="clear" w:color="auto" w:fill="auto"/>
                    <w:noWrap/>
                    <w:vAlign w:val="center"/>
                    <w:hideMark/>
                  </w:tcPr>
                  <w:p w14:paraId="52DB3F8F"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Currency</w:t>
                    </w:r>
                  </w:p>
                </w:tc>
                <w:tc>
                  <w:tcPr>
                    <w:tcW w:w="592" w:type="dxa"/>
                    <w:tcBorders>
                      <w:top w:val="nil"/>
                      <w:left w:val="nil"/>
                      <w:bottom w:val="nil"/>
                      <w:right w:val="nil"/>
                    </w:tcBorders>
                    <w:shd w:val="clear" w:color="auto" w:fill="auto"/>
                    <w:noWrap/>
                    <w:vAlign w:val="center"/>
                    <w:hideMark/>
                  </w:tcPr>
                  <w:p w14:paraId="40223966"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N</w:t>
                    </w:r>
                  </w:p>
                </w:tc>
                <w:tc>
                  <w:tcPr>
                    <w:tcW w:w="821" w:type="dxa"/>
                    <w:tcBorders>
                      <w:top w:val="nil"/>
                      <w:left w:val="nil"/>
                      <w:bottom w:val="nil"/>
                      <w:right w:val="nil"/>
                    </w:tcBorders>
                    <w:shd w:val="clear" w:color="auto" w:fill="auto"/>
                    <w:noWrap/>
                    <w:vAlign w:val="center"/>
                    <w:hideMark/>
                  </w:tcPr>
                  <w:p w14:paraId="7C00DFD5"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Mean</w:t>
                    </w:r>
                  </w:p>
                </w:tc>
                <w:tc>
                  <w:tcPr>
                    <w:tcW w:w="889" w:type="dxa"/>
                    <w:tcBorders>
                      <w:top w:val="nil"/>
                      <w:left w:val="nil"/>
                      <w:bottom w:val="nil"/>
                      <w:right w:val="nil"/>
                    </w:tcBorders>
                    <w:shd w:val="clear" w:color="auto" w:fill="auto"/>
                    <w:noWrap/>
                    <w:vAlign w:val="center"/>
                    <w:hideMark/>
                  </w:tcPr>
                  <w:p w14:paraId="4897F028"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Median</w:t>
                    </w:r>
                  </w:p>
                </w:tc>
                <w:tc>
                  <w:tcPr>
                    <w:tcW w:w="989" w:type="dxa"/>
                    <w:tcBorders>
                      <w:top w:val="nil"/>
                      <w:left w:val="nil"/>
                      <w:bottom w:val="nil"/>
                      <w:right w:val="nil"/>
                    </w:tcBorders>
                    <w:shd w:val="clear" w:color="auto" w:fill="auto"/>
                    <w:noWrap/>
                    <w:vAlign w:val="center"/>
                    <w:hideMark/>
                  </w:tcPr>
                  <w:p w14:paraId="07E4F917"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Std Dev</w:t>
                    </w:r>
                  </w:p>
                </w:tc>
                <w:tc>
                  <w:tcPr>
                    <w:tcW w:w="583" w:type="dxa"/>
                    <w:tcBorders>
                      <w:top w:val="nil"/>
                      <w:left w:val="nil"/>
                      <w:bottom w:val="nil"/>
                      <w:right w:val="nil"/>
                    </w:tcBorders>
                    <w:shd w:val="clear" w:color="auto" w:fill="auto"/>
                    <w:noWrap/>
                    <w:vAlign w:val="center"/>
                    <w:hideMark/>
                  </w:tcPr>
                  <w:p w14:paraId="76349090"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Min</w:t>
                    </w:r>
                  </w:p>
                </w:tc>
                <w:tc>
                  <w:tcPr>
                    <w:tcW w:w="821" w:type="dxa"/>
                    <w:tcBorders>
                      <w:top w:val="nil"/>
                      <w:left w:val="nil"/>
                      <w:bottom w:val="nil"/>
                      <w:right w:val="nil"/>
                    </w:tcBorders>
                    <w:shd w:val="clear" w:color="auto" w:fill="auto"/>
                    <w:noWrap/>
                    <w:vAlign w:val="center"/>
                    <w:hideMark/>
                  </w:tcPr>
                  <w:p w14:paraId="599AE0C4"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Max</w:t>
                    </w:r>
                  </w:p>
                </w:tc>
                <w:tc>
                  <w:tcPr>
                    <w:tcW w:w="222" w:type="dxa"/>
                    <w:tcBorders>
                      <w:top w:val="nil"/>
                      <w:left w:val="nil"/>
                      <w:bottom w:val="nil"/>
                      <w:right w:val="nil"/>
                    </w:tcBorders>
                  </w:tcPr>
                  <w:p w14:paraId="25ADB42B" w14:textId="77777777" w:rsidR="002F5246" w:rsidRPr="00F96745" w:rsidRDefault="002F5246" w:rsidP="00E23288">
                    <w:pPr>
                      <w:spacing w:line="360" w:lineRule="auto"/>
                      <w:jc w:val="center"/>
                      <w:rPr>
                        <w:rFonts w:asciiTheme="majorBidi" w:hAnsiTheme="majorBidi" w:cstheme="majorBidi"/>
                        <w:color w:val="000000"/>
                        <w:szCs w:val="22"/>
                        <w:lang w:val="en-US"/>
                      </w:rPr>
                    </w:pPr>
                  </w:p>
                </w:tc>
                <w:tc>
                  <w:tcPr>
                    <w:tcW w:w="821" w:type="dxa"/>
                    <w:tcBorders>
                      <w:top w:val="nil"/>
                      <w:left w:val="nil"/>
                      <w:bottom w:val="nil"/>
                      <w:right w:val="nil"/>
                    </w:tcBorders>
                    <w:shd w:val="clear" w:color="auto" w:fill="auto"/>
                    <w:noWrap/>
                    <w:vAlign w:val="center"/>
                    <w:hideMark/>
                  </w:tcPr>
                  <w:p w14:paraId="13E59DDB"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Mean</w:t>
                    </w:r>
                  </w:p>
                </w:tc>
                <w:tc>
                  <w:tcPr>
                    <w:tcW w:w="889" w:type="dxa"/>
                    <w:tcBorders>
                      <w:top w:val="nil"/>
                      <w:left w:val="nil"/>
                      <w:bottom w:val="nil"/>
                      <w:right w:val="nil"/>
                    </w:tcBorders>
                    <w:shd w:val="clear" w:color="auto" w:fill="auto"/>
                    <w:noWrap/>
                    <w:vAlign w:val="center"/>
                    <w:hideMark/>
                  </w:tcPr>
                  <w:p w14:paraId="6AE591EE"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Median</w:t>
                    </w:r>
                  </w:p>
                </w:tc>
                <w:tc>
                  <w:tcPr>
                    <w:tcW w:w="989" w:type="dxa"/>
                    <w:tcBorders>
                      <w:top w:val="nil"/>
                      <w:left w:val="nil"/>
                      <w:bottom w:val="nil"/>
                      <w:right w:val="nil"/>
                    </w:tcBorders>
                    <w:shd w:val="clear" w:color="auto" w:fill="auto"/>
                    <w:noWrap/>
                    <w:vAlign w:val="center"/>
                    <w:hideMark/>
                  </w:tcPr>
                  <w:p w14:paraId="041C3A38"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Std Dev</w:t>
                    </w:r>
                  </w:p>
                </w:tc>
                <w:tc>
                  <w:tcPr>
                    <w:tcW w:w="621" w:type="dxa"/>
                    <w:tcBorders>
                      <w:top w:val="nil"/>
                      <w:left w:val="nil"/>
                      <w:bottom w:val="nil"/>
                      <w:right w:val="nil"/>
                    </w:tcBorders>
                    <w:shd w:val="clear" w:color="auto" w:fill="auto"/>
                    <w:noWrap/>
                    <w:vAlign w:val="center"/>
                    <w:hideMark/>
                  </w:tcPr>
                  <w:p w14:paraId="49F23967"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Min</w:t>
                    </w:r>
                  </w:p>
                </w:tc>
                <w:tc>
                  <w:tcPr>
                    <w:tcW w:w="821" w:type="dxa"/>
                    <w:tcBorders>
                      <w:top w:val="nil"/>
                      <w:left w:val="nil"/>
                      <w:bottom w:val="nil"/>
                      <w:right w:val="nil"/>
                    </w:tcBorders>
                    <w:shd w:val="clear" w:color="auto" w:fill="auto"/>
                    <w:noWrap/>
                    <w:vAlign w:val="center"/>
                    <w:hideMark/>
                  </w:tcPr>
                  <w:p w14:paraId="6C91140F"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Max</w:t>
                    </w:r>
                  </w:p>
                </w:tc>
              </w:tr>
              <w:tr w:rsidR="002F5246" w:rsidRPr="00F96745" w14:paraId="6761317B" w14:textId="77777777" w:rsidTr="00E23288">
                <w:trPr>
                  <w:trHeight w:val="255"/>
                  <w:jc w:val="center"/>
                </w:trPr>
                <w:tc>
                  <w:tcPr>
                    <w:tcW w:w="1158" w:type="dxa"/>
                    <w:tcBorders>
                      <w:top w:val="nil"/>
                      <w:left w:val="nil"/>
                      <w:bottom w:val="nil"/>
                      <w:right w:val="nil"/>
                    </w:tcBorders>
                    <w:shd w:val="clear" w:color="auto" w:fill="auto"/>
                    <w:noWrap/>
                    <w:vAlign w:val="center"/>
                    <w:hideMark/>
                  </w:tcPr>
                  <w:p w14:paraId="76AB46F3"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EUR:GBP</w:t>
                    </w:r>
                  </w:p>
                </w:tc>
                <w:tc>
                  <w:tcPr>
                    <w:tcW w:w="592" w:type="dxa"/>
                    <w:tcBorders>
                      <w:top w:val="nil"/>
                      <w:left w:val="nil"/>
                      <w:bottom w:val="nil"/>
                      <w:right w:val="nil"/>
                    </w:tcBorders>
                    <w:shd w:val="clear" w:color="auto" w:fill="auto"/>
                    <w:noWrap/>
                    <w:vAlign w:val="center"/>
                    <w:hideMark/>
                  </w:tcPr>
                  <w:p w14:paraId="23CDCDC4"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212</w:t>
                    </w:r>
                  </w:p>
                </w:tc>
                <w:tc>
                  <w:tcPr>
                    <w:tcW w:w="821" w:type="dxa"/>
                    <w:tcBorders>
                      <w:top w:val="nil"/>
                      <w:left w:val="nil"/>
                      <w:bottom w:val="nil"/>
                      <w:right w:val="nil"/>
                    </w:tcBorders>
                    <w:shd w:val="clear" w:color="auto" w:fill="auto"/>
                    <w:noWrap/>
                    <w:vAlign w:val="center"/>
                    <w:hideMark/>
                  </w:tcPr>
                  <w:p w14:paraId="295BAADA"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0.1334</w:t>
                    </w:r>
                  </w:p>
                </w:tc>
                <w:tc>
                  <w:tcPr>
                    <w:tcW w:w="889" w:type="dxa"/>
                    <w:tcBorders>
                      <w:top w:val="nil"/>
                      <w:left w:val="nil"/>
                      <w:bottom w:val="nil"/>
                      <w:right w:val="nil"/>
                    </w:tcBorders>
                    <w:shd w:val="clear" w:color="auto" w:fill="auto"/>
                    <w:noWrap/>
                    <w:vAlign w:val="center"/>
                    <w:hideMark/>
                  </w:tcPr>
                  <w:p w14:paraId="3CB62E15"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0.1343</w:t>
                    </w:r>
                  </w:p>
                </w:tc>
                <w:tc>
                  <w:tcPr>
                    <w:tcW w:w="989" w:type="dxa"/>
                    <w:tcBorders>
                      <w:top w:val="nil"/>
                      <w:left w:val="nil"/>
                      <w:bottom w:val="nil"/>
                      <w:right w:val="nil"/>
                    </w:tcBorders>
                    <w:shd w:val="clear" w:color="auto" w:fill="auto"/>
                    <w:noWrap/>
                    <w:vAlign w:val="center"/>
                    <w:hideMark/>
                  </w:tcPr>
                  <w:p w14:paraId="3412C102"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0.1014</w:t>
                    </w:r>
                  </w:p>
                </w:tc>
                <w:tc>
                  <w:tcPr>
                    <w:tcW w:w="583" w:type="dxa"/>
                    <w:tcBorders>
                      <w:top w:val="nil"/>
                      <w:left w:val="nil"/>
                      <w:bottom w:val="nil"/>
                      <w:right w:val="nil"/>
                    </w:tcBorders>
                    <w:shd w:val="clear" w:color="auto" w:fill="auto"/>
                    <w:noWrap/>
                    <w:vAlign w:val="center"/>
                    <w:hideMark/>
                  </w:tcPr>
                  <w:p w14:paraId="4E833A59"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w:t>
                    </w:r>
                  </w:p>
                </w:tc>
                <w:tc>
                  <w:tcPr>
                    <w:tcW w:w="821" w:type="dxa"/>
                    <w:tcBorders>
                      <w:top w:val="nil"/>
                      <w:left w:val="nil"/>
                      <w:bottom w:val="nil"/>
                      <w:right w:val="nil"/>
                    </w:tcBorders>
                    <w:shd w:val="clear" w:color="auto" w:fill="auto"/>
                    <w:noWrap/>
                    <w:vAlign w:val="center"/>
                    <w:hideMark/>
                  </w:tcPr>
                  <w:p w14:paraId="1B625342"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0.4111</w:t>
                    </w:r>
                  </w:p>
                </w:tc>
                <w:tc>
                  <w:tcPr>
                    <w:tcW w:w="222" w:type="dxa"/>
                    <w:tcBorders>
                      <w:top w:val="nil"/>
                      <w:left w:val="nil"/>
                      <w:bottom w:val="nil"/>
                      <w:right w:val="nil"/>
                    </w:tcBorders>
                  </w:tcPr>
                  <w:p w14:paraId="2620C62C" w14:textId="77777777" w:rsidR="002F5246" w:rsidRPr="00F96745" w:rsidRDefault="002F5246" w:rsidP="00E23288">
                    <w:pPr>
                      <w:spacing w:line="360" w:lineRule="auto"/>
                      <w:jc w:val="center"/>
                      <w:rPr>
                        <w:rFonts w:asciiTheme="majorBidi" w:hAnsiTheme="majorBidi" w:cstheme="majorBidi"/>
                        <w:color w:val="000000"/>
                        <w:szCs w:val="22"/>
                        <w:lang w:val="en-US"/>
                      </w:rPr>
                    </w:pPr>
                  </w:p>
                </w:tc>
                <w:tc>
                  <w:tcPr>
                    <w:tcW w:w="821" w:type="dxa"/>
                    <w:tcBorders>
                      <w:top w:val="nil"/>
                      <w:left w:val="nil"/>
                      <w:bottom w:val="nil"/>
                      <w:right w:val="nil"/>
                    </w:tcBorders>
                    <w:shd w:val="clear" w:color="auto" w:fill="auto"/>
                    <w:noWrap/>
                    <w:vAlign w:val="center"/>
                    <w:hideMark/>
                  </w:tcPr>
                  <w:p w14:paraId="525F4C7E"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0.1314</w:t>
                    </w:r>
                  </w:p>
                </w:tc>
                <w:tc>
                  <w:tcPr>
                    <w:tcW w:w="889" w:type="dxa"/>
                    <w:tcBorders>
                      <w:top w:val="nil"/>
                      <w:left w:val="nil"/>
                      <w:bottom w:val="nil"/>
                      <w:right w:val="nil"/>
                    </w:tcBorders>
                    <w:shd w:val="clear" w:color="auto" w:fill="auto"/>
                    <w:noWrap/>
                    <w:vAlign w:val="center"/>
                    <w:hideMark/>
                  </w:tcPr>
                  <w:p w14:paraId="2D0654B1"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0.1149</w:t>
                    </w:r>
                  </w:p>
                </w:tc>
                <w:tc>
                  <w:tcPr>
                    <w:tcW w:w="989" w:type="dxa"/>
                    <w:tcBorders>
                      <w:top w:val="nil"/>
                      <w:left w:val="nil"/>
                      <w:bottom w:val="nil"/>
                      <w:right w:val="nil"/>
                    </w:tcBorders>
                    <w:shd w:val="clear" w:color="auto" w:fill="auto"/>
                    <w:noWrap/>
                    <w:vAlign w:val="center"/>
                    <w:hideMark/>
                  </w:tcPr>
                  <w:p w14:paraId="66EBD8C0"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0.0920</w:t>
                    </w:r>
                  </w:p>
                </w:tc>
                <w:tc>
                  <w:tcPr>
                    <w:tcW w:w="621" w:type="dxa"/>
                    <w:tcBorders>
                      <w:top w:val="nil"/>
                      <w:left w:val="nil"/>
                      <w:bottom w:val="nil"/>
                      <w:right w:val="nil"/>
                    </w:tcBorders>
                    <w:shd w:val="clear" w:color="auto" w:fill="auto"/>
                    <w:noWrap/>
                    <w:vAlign w:val="center"/>
                    <w:hideMark/>
                  </w:tcPr>
                  <w:p w14:paraId="00E71E69"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w:t>
                    </w:r>
                  </w:p>
                </w:tc>
                <w:tc>
                  <w:tcPr>
                    <w:tcW w:w="821" w:type="dxa"/>
                    <w:tcBorders>
                      <w:top w:val="nil"/>
                      <w:left w:val="nil"/>
                      <w:bottom w:val="nil"/>
                      <w:right w:val="nil"/>
                    </w:tcBorders>
                    <w:shd w:val="clear" w:color="auto" w:fill="auto"/>
                    <w:noWrap/>
                    <w:vAlign w:val="center"/>
                    <w:hideMark/>
                  </w:tcPr>
                  <w:p w14:paraId="3D8661C2"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0.3623</w:t>
                    </w:r>
                  </w:p>
                </w:tc>
              </w:tr>
              <w:tr w:rsidR="002F5246" w:rsidRPr="00F96745" w14:paraId="293EFF81" w14:textId="77777777" w:rsidTr="00E23288">
                <w:trPr>
                  <w:trHeight w:val="255"/>
                  <w:jc w:val="center"/>
                </w:trPr>
                <w:tc>
                  <w:tcPr>
                    <w:tcW w:w="1158" w:type="dxa"/>
                    <w:tcBorders>
                      <w:top w:val="nil"/>
                      <w:left w:val="nil"/>
                      <w:bottom w:val="nil"/>
                      <w:right w:val="nil"/>
                    </w:tcBorders>
                    <w:shd w:val="clear" w:color="auto" w:fill="auto"/>
                    <w:noWrap/>
                    <w:vAlign w:val="center"/>
                    <w:hideMark/>
                  </w:tcPr>
                  <w:p w14:paraId="16B43778"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EUR:JPY</w:t>
                    </w:r>
                  </w:p>
                </w:tc>
                <w:tc>
                  <w:tcPr>
                    <w:tcW w:w="592" w:type="dxa"/>
                    <w:tcBorders>
                      <w:top w:val="nil"/>
                      <w:left w:val="nil"/>
                      <w:bottom w:val="nil"/>
                      <w:right w:val="nil"/>
                    </w:tcBorders>
                    <w:shd w:val="clear" w:color="auto" w:fill="auto"/>
                    <w:noWrap/>
                    <w:vAlign w:val="center"/>
                    <w:hideMark/>
                  </w:tcPr>
                  <w:p w14:paraId="1AC0ACC5"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216</w:t>
                    </w:r>
                  </w:p>
                </w:tc>
                <w:tc>
                  <w:tcPr>
                    <w:tcW w:w="821" w:type="dxa"/>
                    <w:tcBorders>
                      <w:top w:val="nil"/>
                      <w:left w:val="nil"/>
                      <w:bottom w:val="nil"/>
                      <w:right w:val="nil"/>
                    </w:tcBorders>
                    <w:shd w:val="clear" w:color="auto" w:fill="auto"/>
                    <w:noWrap/>
                    <w:vAlign w:val="center"/>
                    <w:hideMark/>
                  </w:tcPr>
                  <w:p w14:paraId="6CB0C18E"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0.2194</w:t>
                    </w:r>
                  </w:p>
                </w:tc>
                <w:tc>
                  <w:tcPr>
                    <w:tcW w:w="889" w:type="dxa"/>
                    <w:tcBorders>
                      <w:top w:val="nil"/>
                      <w:left w:val="nil"/>
                      <w:bottom w:val="nil"/>
                      <w:right w:val="nil"/>
                    </w:tcBorders>
                    <w:shd w:val="clear" w:color="auto" w:fill="auto"/>
                    <w:noWrap/>
                    <w:vAlign w:val="center"/>
                    <w:hideMark/>
                  </w:tcPr>
                  <w:p w14:paraId="53FE4312"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0.2298</w:t>
                    </w:r>
                  </w:p>
                </w:tc>
                <w:tc>
                  <w:tcPr>
                    <w:tcW w:w="989" w:type="dxa"/>
                    <w:tcBorders>
                      <w:top w:val="nil"/>
                      <w:left w:val="nil"/>
                      <w:bottom w:val="nil"/>
                      <w:right w:val="nil"/>
                    </w:tcBorders>
                    <w:shd w:val="clear" w:color="auto" w:fill="auto"/>
                    <w:noWrap/>
                    <w:vAlign w:val="center"/>
                    <w:hideMark/>
                  </w:tcPr>
                  <w:p w14:paraId="5C5FE553"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0.1035</w:t>
                    </w:r>
                  </w:p>
                </w:tc>
                <w:tc>
                  <w:tcPr>
                    <w:tcW w:w="583" w:type="dxa"/>
                    <w:tcBorders>
                      <w:top w:val="nil"/>
                      <w:left w:val="nil"/>
                      <w:bottom w:val="nil"/>
                      <w:right w:val="nil"/>
                    </w:tcBorders>
                    <w:shd w:val="clear" w:color="auto" w:fill="auto"/>
                    <w:noWrap/>
                    <w:vAlign w:val="center"/>
                    <w:hideMark/>
                  </w:tcPr>
                  <w:p w14:paraId="65ED8E8C"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w:t>
                    </w:r>
                  </w:p>
                </w:tc>
                <w:tc>
                  <w:tcPr>
                    <w:tcW w:w="821" w:type="dxa"/>
                    <w:tcBorders>
                      <w:top w:val="nil"/>
                      <w:left w:val="nil"/>
                      <w:bottom w:val="nil"/>
                      <w:right w:val="nil"/>
                    </w:tcBorders>
                    <w:shd w:val="clear" w:color="auto" w:fill="auto"/>
                    <w:noWrap/>
                    <w:vAlign w:val="center"/>
                    <w:hideMark/>
                  </w:tcPr>
                  <w:p w14:paraId="65827230"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0.4247</w:t>
                    </w:r>
                  </w:p>
                </w:tc>
                <w:tc>
                  <w:tcPr>
                    <w:tcW w:w="222" w:type="dxa"/>
                    <w:tcBorders>
                      <w:top w:val="nil"/>
                      <w:left w:val="nil"/>
                      <w:bottom w:val="nil"/>
                      <w:right w:val="nil"/>
                    </w:tcBorders>
                  </w:tcPr>
                  <w:p w14:paraId="586399C4" w14:textId="77777777" w:rsidR="002F5246" w:rsidRPr="00F96745" w:rsidRDefault="002F5246" w:rsidP="00E23288">
                    <w:pPr>
                      <w:spacing w:line="360" w:lineRule="auto"/>
                      <w:jc w:val="center"/>
                      <w:rPr>
                        <w:rFonts w:asciiTheme="majorBidi" w:hAnsiTheme="majorBidi" w:cstheme="majorBidi"/>
                        <w:color w:val="000000"/>
                        <w:szCs w:val="22"/>
                        <w:lang w:val="en-US"/>
                      </w:rPr>
                    </w:pPr>
                  </w:p>
                </w:tc>
                <w:tc>
                  <w:tcPr>
                    <w:tcW w:w="821" w:type="dxa"/>
                    <w:tcBorders>
                      <w:top w:val="nil"/>
                      <w:left w:val="nil"/>
                      <w:bottom w:val="nil"/>
                      <w:right w:val="nil"/>
                    </w:tcBorders>
                    <w:shd w:val="clear" w:color="auto" w:fill="auto"/>
                    <w:noWrap/>
                    <w:vAlign w:val="center"/>
                    <w:hideMark/>
                  </w:tcPr>
                  <w:p w14:paraId="000ED77D"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0.2042</w:t>
                    </w:r>
                  </w:p>
                </w:tc>
                <w:tc>
                  <w:tcPr>
                    <w:tcW w:w="889" w:type="dxa"/>
                    <w:tcBorders>
                      <w:top w:val="nil"/>
                      <w:left w:val="nil"/>
                      <w:bottom w:val="nil"/>
                      <w:right w:val="nil"/>
                    </w:tcBorders>
                    <w:shd w:val="clear" w:color="auto" w:fill="auto"/>
                    <w:noWrap/>
                    <w:vAlign w:val="center"/>
                    <w:hideMark/>
                  </w:tcPr>
                  <w:p w14:paraId="546D7D5F"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0.2051</w:t>
                    </w:r>
                  </w:p>
                </w:tc>
                <w:tc>
                  <w:tcPr>
                    <w:tcW w:w="989" w:type="dxa"/>
                    <w:tcBorders>
                      <w:top w:val="nil"/>
                      <w:left w:val="nil"/>
                      <w:bottom w:val="nil"/>
                      <w:right w:val="nil"/>
                    </w:tcBorders>
                    <w:shd w:val="clear" w:color="auto" w:fill="auto"/>
                    <w:noWrap/>
                    <w:vAlign w:val="center"/>
                    <w:hideMark/>
                  </w:tcPr>
                  <w:p w14:paraId="076F90BD"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0.0990</w:t>
                    </w:r>
                  </w:p>
                </w:tc>
                <w:tc>
                  <w:tcPr>
                    <w:tcW w:w="621" w:type="dxa"/>
                    <w:tcBorders>
                      <w:top w:val="nil"/>
                      <w:left w:val="nil"/>
                      <w:bottom w:val="nil"/>
                      <w:right w:val="nil"/>
                    </w:tcBorders>
                    <w:shd w:val="clear" w:color="auto" w:fill="auto"/>
                    <w:noWrap/>
                    <w:vAlign w:val="center"/>
                    <w:hideMark/>
                  </w:tcPr>
                  <w:p w14:paraId="5E106100"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w:t>
                    </w:r>
                  </w:p>
                </w:tc>
                <w:tc>
                  <w:tcPr>
                    <w:tcW w:w="821" w:type="dxa"/>
                    <w:tcBorders>
                      <w:top w:val="nil"/>
                      <w:left w:val="nil"/>
                      <w:bottom w:val="nil"/>
                      <w:right w:val="nil"/>
                    </w:tcBorders>
                    <w:shd w:val="clear" w:color="auto" w:fill="auto"/>
                    <w:noWrap/>
                    <w:vAlign w:val="center"/>
                    <w:hideMark/>
                  </w:tcPr>
                  <w:p w14:paraId="35661BA3"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0.4267</w:t>
                    </w:r>
                  </w:p>
                </w:tc>
              </w:tr>
              <w:tr w:rsidR="002F5246" w:rsidRPr="00F96745" w14:paraId="20D72EB9" w14:textId="77777777" w:rsidTr="00E23288">
                <w:trPr>
                  <w:trHeight w:val="255"/>
                  <w:jc w:val="center"/>
                </w:trPr>
                <w:tc>
                  <w:tcPr>
                    <w:tcW w:w="1158" w:type="dxa"/>
                    <w:tcBorders>
                      <w:top w:val="nil"/>
                      <w:left w:val="nil"/>
                      <w:bottom w:val="nil"/>
                      <w:right w:val="nil"/>
                    </w:tcBorders>
                    <w:shd w:val="clear" w:color="auto" w:fill="auto"/>
                    <w:noWrap/>
                    <w:vAlign w:val="center"/>
                    <w:hideMark/>
                  </w:tcPr>
                  <w:p w14:paraId="70DCAFAF"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EUR:USD</w:t>
                    </w:r>
                  </w:p>
                </w:tc>
                <w:tc>
                  <w:tcPr>
                    <w:tcW w:w="592" w:type="dxa"/>
                    <w:tcBorders>
                      <w:top w:val="nil"/>
                      <w:left w:val="nil"/>
                      <w:bottom w:val="nil"/>
                      <w:right w:val="nil"/>
                    </w:tcBorders>
                    <w:shd w:val="clear" w:color="auto" w:fill="auto"/>
                    <w:noWrap/>
                    <w:vAlign w:val="center"/>
                    <w:hideMark/>
                  </w:tcPr>
                  <w:p w14:paraId="5D4CB2C6"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215</w:t>
                    </w:r>
                  </w:p>
                </w:tc>
                <w:tc>
                  <w:tcPr>
                    <w:tcW w:w="821" w:type="dxa"/>
                    <w:tcBorders>
                      <w:top w:val="nil"/>
                      <w:left w:val="nil"/>
                      <w:bottom w:val="nil"/>
                      <w:right w:val="nil"/>
                    </w:tcBorders>
                    <w:shd w:val="clear" w:color="auto" w:fill="auto"/>
                    <w:noWrap/>
                    <w:vAlign w:val="center"/>
                    <w:hideMark/>
                  </w:tcPr>
                  <w:p w14:paraId="62734CD7"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0.1499</w:t>
                    </w:r>
                  </w:p>
                </w:tc>
                <w:tc>
                  <w:tcPr>
                    <w:tcW w:w="889" w:type="dxa"/>
                    <w:tcBorders>
                      <w:top w:val="nil"/>
                      <w:left w:val="nil"/>
                      <w:bottom w:val="nil"/>
                      <w:right w:val="nil"/>
                    </w:tcBorders>
                    <w:shd w:val="clear" w:color="auto" w:fill="auto"/>
                    <w:noWrap/>
                    <w:vAlign w:val="center"/>
                    <w:hideMark/>
                  </w:tcPr>
                  <w:p w14:paraId="7C57B80E"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0.1429</w:t>
                    </w:r>
                  </w:p>
                </w:tc>
                <w:tc>
                  <w:tcPr>
                    <w:tcW w:w="989" w:type="dxa"/>
                    <w:tcBorders>
                      <w:top w:val="nil"/>
                      <w:left w:val="nil"/>
                      <w:bottom w:val="nil"/>
                      <w:right w:val="nil"/>
                    </w:tcBorders>
                    <w:shd w:val="clear" w:color="auto" w:fill="auto"/>
                    <w:noWrap/>
                    <w:vAlign w:val="center"/>
                    <w:hideMark/>
                  </w:tcPr>
                  <w:p w14:paraId="4C3CFD20"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0.0905</w:t>
                    </w:r>
                  </w:p>
                </w:tc>
                <w:tc>
                  <w:tcPr>
                    <w:tcW w:w="583" w:type="dxa"/>
                    <w:tcBorders>
                      <w:top w:val="nil"/>
                      <w:left w:val="nil"/>
                      <w:bottom w:val="nil"/>
                      <w:right w:val="nil"/>
                    </w:tcBorders>
                    <w:shd w:val="clear" w:color="auto" w:fill="auto"/>
                    <w:noWrap/>
                    <w:vAlign w:val="center"/>
                    <w:hideMark/>
                  </w:tcPr>
                  <w:p w14:paraId="5AC7A132"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w:t>
                    </w:r>
                  </w:p>
                </w:tc>
                <w:tc>
                  <w:tcPr>
                    <w:tcW w:w="821" w:type="dxa"/>
                    <w:tcBorders>
                      <w:top w:val="nil"/>
                      <w:left w:val="nil"/>
                      <w:bottom w:val="nil"/>
                      <w:right w:val="nil"/>
                    </w:tcBorders>
                    <w:shd w:val="clear" w:color="auto" w:fill="auto"/>
                    <w:noWrap/>
                    <w:vAlign w:val="center"/>
                    <w:hideMark/>
                  </w:tcPr>
                  <w:p w14:paraId="377FDC92"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0.3697</w:t>
                    </w:r>
                  </w:p>
                </w:tc>
                <w:tc>
                  <w:tcPr>
                    <w:tcW w:w="222" w:type="dxa"/>
                    <w:tcBorders>
                      <w:top w:val="nil"/>
                      <w:left w:val="nil"/>
                      <w:bottom w:val="nil"/>
                      <w:right w:val="nil"/>
                    </w:tcBorders>
                  </w:tcPr>
                  <w:p w14:paraId="3F3DABF9" w14:textId="77777777" w:rsidR="002F5246" w:rsidRPr="00F96745" w:rsidRDefault="002F5246" w:rsidP="00E23288">
                    <w:pPr>
                      <w:spacing w:line="360" w:lineRule="auto"/>
                      <w:jc w:val="center"/>
                      <w:rPr>
                        <w:rFonts w:asciiTheme="majorBidi" w:hAnsiTheme="majorBidi" w:cstheme="majorBidi"/>
                        <w:color w:val="000000"/>
                        <w:szCs w:val="22"/>
                        <w:lang w:val="en-US"/>
                      </w:rPr>
                    </w:pPr>
                  </w:p>
                </w:tc>
                <w:tc>
                  <w:tcPr>
                    <w:tcW w:w="821" w:type="dxa"/>
                    <w:tcBorders>
                      <w:top w:val="nil"/>
                      <w:left w:val="nil"/>
                      <w:bottom w:val="nil"/>
                      <w:right w:val="nil"/>
                    </w:tcBorders>
                    <w:shd w:val="clear" w:color="auto" w:fill="auto"/>
                    <w:noWrap/>
                    <w:vAlign w:val="center"/>
                    <w:hideMark/>
                  </w:tcPr>
                  <w:p w14:paraId="3BFB4E9E"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0.1481</w:t>
                    </w:r>
                  </w:p>
                </w:tc>
                <w:tc>
                  <w:tcPr>
                    <w:tcW w:w="889" w:type="dxa"/>
                    <w:tcBorders>
                      <w:top w:val="nil"/>
                      <w:left w:val="nil"/>
                      <w:bottom w:val="nil"/>
                      <w:right w:val="nil"/>
                    </w:tcBorders>
                    <w:shd w:val="clear" w:color="auto" w:fill="auto"/>
                    <w:noWrap/>
                    <w:vAlign w:val="center"/>
                    <w:hideMark/>
                  </w:tcPr>
                  <w:p w14:paraId="3303D11A"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0.1481</w:t>
                    </w:r>
                  </w:p>
                </w:tc>
                <w:tc>
                  <w:tcPr>
                    <w:tcW w:w="989" w:type="dxa"/>
                    <w:tcBorders>
                      <w:top w:val="nil"/>
                      <w:left w:val="nil"/>
                      <w:bottom w:val="nil"/>
                      <w:right w:val="nil"/>
                    </w:tcBorders>
                    <w:shd w:val="clear" w:color="auto" w:fill="auto"/>
                    <w:noWrap/>
                    <w:vAlign w:val="center"/>
                    <w:hideMark/>
                  </w:tcPr>
                  <w:p w14:paraId="347993C9"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0.0887</w:t>
                    </w:r>
                  </w:p>
                </w:tc>
                <w:tc>
                  <w:tcPr>
                    <w:tcW w:w="621" w:type="dxa"/>
                    <w:tcBorders>
                      <w:top w:val="nil"/>
                      <w:left w:val="nil"/>
                      <w:bottom w:val="nil"/>
                      <w:right w:val="nil"/>
                    </w:tcBorders>
                    <w:shd w:val="clear" w:color="auto" w:fill="auto"/>
                    <w:noWrap/>
                    <w:vAlign w:val="center"/>
                    <w:hideMark/>
                  </w:tcPr>
                  <w:p w14:paraId="3727487B"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w:t>
                    </w:r>
                  </w:p>
                </w:tc>
                <w:tc>
                  <w:tcPr>
                    <w:tcW w:w="821" w:type="dxa"/>
                    <w:tcBorders>
                      <w:top w:val="nil"/>
                      <w:left w:val="nil"/>
                      <w:bottom w:val="nil"/>
                      <w:right w:val="nil"/>
                    </w:tcBorders>
                    <w:shd w:val="clear" w:color="auto" w:fill="auto"/>
                    <w:noWrap/>
                    <w:vAlign w:val="center"/>
                    <w:hideMark/>
                  </w:tcPr>
                  <w:p w14:paraId="791474F1"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0.4118</w:t>
                    </w:r>
                  </w:p>
                </w:tc>
              </w:tr>
              <w:tr w:rsidR="002F5246" w:rsidRPr="00F96745" w14:paraId="0B1C6125" w14:textId="77777777" w:rsidTr="00E23288">
                <w:trPr>
                  <w:trHeight w:val="255"/>
                  <w:jc w:val="center"/>
                </w:trPr>
                <w:tc>
                  <w:tcPr>
                    <w:tcW w:w="1158" w:type="dxa"/>
                    <w:tcBorders>
                      <w:top w:val="nil"/>
                      <w:left w:val="nil"/>
                      <w:right w:val="nil"/>
                    </w:tcBorders>
                    <w:shd w:val="clear" w:color="auto" w:fill="auto"/>
                    <w:noWrap/>
                    <w:vAlign w:val="center"/>
                    <w:hideMark/>
                  </w:tcPr>
                  <w:p w14:paraId="7A283BB5"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GBP:USD</w:t>
                    </w:r>
                  </w:p>
                </w:tc>
                <w:tc>
                  <w:tcPr>
                    <w:tcW w:w="592" w:type="dxa"/>
                    <w:tcBorders>
                      <w:top w:val="nil"/>
                      <w:left w:val="nil"/>
                      <w:right w:val="nil"/>
                    </w:tcBorders>
                    <w:shd w:val="clear" w:color="auto" w:fill="auto"/>
                    <w:noWrap/>
                    <w:vAlign w:val="center"/>
                    <w:hideMark/>
                  </w:tcPr>
                  <w:p w14:paraId="74877A0C"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224</w:t>
                    </w:r>
                  </w:p>
                </w:tc>
                <w:tc>
                  <w:tcPr>
                    <w:tcW w:w="821" w:type="dxa"/>
                    <w:tcBorders>
                      <w:top w:val="nil"/>
                      <w:left w:val="nil"/>
                      <w:right w:val="nil"/>
                    </w:tcBorders>
                    <w:shd w:val="clear" w:color="auto" w:fill="auto"/>
                    <w:noWrap/>
                    <w:vAlign w:val="center"/>
                    <w:hideMark/>
                  </w:tcPr>
                  <w:p w14:paraId="0C6222C3"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0.2099</w:t>
                    </w:r>
                  </w:p>
                </w:tc>
                <w:tc>
                  <w:tcPr>
                    <w:tcW w:w="889" w:type="dxa"/>
                    <w:tcBorders>
                      <w:top w:val="nil"/>
                      <w:left w:val="nil"/>
                      <w:right w:val="nil"/>
                    </w:tcBorders>
                    <w:shd w:val="clear" w:color="auto" w:fill="auto"/>
                    <w:noWrap/>
                    <w:vAlign w:val="center"/>
                    <w:hideMark/>
                  </w:tcPr>
                  <w:p w14:paraId="2BDC44D2"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0.2215</w:t>
                    </w:r>
                  </w:p>
                </w:tc>
                <w:tc>
                  <w:tcPr>
                    <w:tcW w:w="989" w:type="dxa"/>
                    <w:tcBorders>
                      <w:top w:val="nil"/>
                      <w:left w:val="nil"/>
                      <w:right w:val="nil"/>
                    </w:tcBorders>
                    <w:shd w:val="clear" w:color="auto" w:fill="auto"/>
                    <w:noWrap/>
                    <w:vAlign w:val="center"/>
                    <w:hideMark/>
                  </w:tcPr>
                  <w:p w14:paraId="3C48E5AF"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0.0956</w:t>
                    </w:r>
                  </w:p>
                </w:tc>
                <w:tc>
                  <w:tcPr>
                    <w:tcW w:w="583" w:type="dxa"/>
                    <w:tcBorders>
                      <w:top w:val="nil"/>
                      <w:left w:val="nil"/>
                      <w:right w:val="nil"/>
                    </w:tcBorders>
                    <w:shd w:val="clear" w:color="auto" w:fill="auto"/>
                    <w:noWrap/>
                    <w:vAlign w:val="center"/>
                    <w:hideMark/>
                  </w:tcPr>
                  <w:p w14:paraId="53A049A8"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w:t>
                    </w:r>
                  </w:p>
                </w:tc>
                <w:tc>
                  <w:tcPr>
                    <w:tcW w:w="821" w:type="dxa"/>
                    <w:tcBorders>
                      <w:top w:val="nil"/>
                      <w:left w:val="nil"/>
                      <w:right w:val="nil"/>
                    </w:tcBorders>
                    <w:shd w:val="clear" w:color="auto" w:fill="auto"/>
                    <w:noWrap/>
                    <w:vAlign w:val="center"/>
                    <w:hideMark/>
                  </w:tcPr>
                  <w:p w14:paraId="47369F20"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0.3910</w:t>
                    </w:r>
                  </w:p>
                </w:tc>
                <w:tc>
                  <w:tcPr>
                    <w:tcW w:w="222" w:type="dxa"/>
                    <w:tcBorders>
                      <w:top w:val="nil"/>
                      <w:left w:val="nil"/>
                      <w:right w:val="nil"/>
                    </w:tcBorders>
                  </w:tcPr>
                  <w:p w14:paraId="15837A73" w14:textId="77777777" w:rsidR="002F5246" w:rsidRPr="00F96745" w:rsidRDefault="002F5246" w:rsidP="00E23288">
                    <w:pPr>
                      <w:spacing w:line="360" w:lineRule="auto"/>
                      <w:jc w:val="center"/>
                      <w:rPr>
                        <w:rFonts w:asciiTheme="majorBidi" w:hAnsiTheme="majorBidi" w:cstheme="majorBidi"/>
                        <w:color w:val="000000"/>
                        <w:szCs w:val="22"/>
                        <w:lang w:val="en-US"/>
                      </w:rPr>
                    </w:pPr>
                  </w:p>
                </w:tc>
                <w:tc>
                  <w:tcPr>
                    <w:tcW w:w="821" w:type="dxa"/>
                    <w:tcBorders>
                      <w:top w:val="nil"/>
                      <w:left w:val="nil"/>
                      <w:right w:val="nil"/>
                    </w:tcBorders>
                    <w:shd w:val="clear" w:color="auto" w:fill="auto"/>
                    <w:noWrap/>
                    <w:vAlign w:val="center"/>
                    <w:hideMark/>
                  </w:tcPr>
                  <w:p w14:paraId="6FFD4FDD"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0.1903</w:t>
                    </w:r>
                  </w:p>
                </w:tc>
                <w:tc>
                  <w:tcPr>
                    <w:tcW w:w="889" w:type="dxa"/>
                    <w:tcBorders>
                      <w:top w:val="nil"/>
                      <w:left w:val="nil"/>
                      <w:right w:val="nil"/>
                    </w:tcBorders>
                    <w:shd w:val="clear" w:color="auto" w:fill="auto"/>
                    <w:noWrap/>
                    <w:vAlign w:val="center"/>
                    <w:hideMark/>
                  </w:tcPr>
                  <w:p w14:paraId="63EDB311"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0.1971</w:t>
                    </w:r>
                  </w:p>
                </w:tc>
                <w:tc>
                  <w:tcPr>
                    <w:tcW w:w="989" w:type="dxa"/>
                    <w:tcBorders>
                      <w:top w:val="nil"/>
                      <w:left w:val="nil"/>
                      <w:right w:val="nil"/>
                    </w:tcBorders>
                    <w:shd w:val="clear" w:color="auto" w:fill="auto"/>
                    <w:noWrap/>
                    <w:vAlign w:val="center"/>
                    <w:hideMark/>
                  </w:tcPr>
                  <w:p w14:paraId="30FB6EAA"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0.0988</w:t>
                    </w:r>
                  </w:p>
                </w:tc>
                <w:tc>
                  <w:tcPr>
                    <w:tcW w:w="621" w:type="dxa"/>
                    <w:tcBorders>
                      <w:top w:val="nil"/>
                      <w:left w:val="nil"/>
                      <w:right w:val="nil"/>
                    </w:tcBorders>
                    <w:shd w:val="clear" w:color="auto" w:fill="auto"/>
                    <w:noWrap/>
                    <w:vAlign w:val="center"/>
                    <w:hideMark/>
                  </w:tcPr>
                  <w:p w14:paraId="38D14148"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w:t>
                    </w:r>
                  </w:p>
                </w:tc>
                <w:tc>
                  <w:tcPr>
                    <w:tcW w:w="821" w:type="dxa"/>
                    <w:tcBorders>
                      <w:top w:val="nil"/>
                      <w:left w:val="nil"/>
                      <w:right w:val="nil"/>
                    </w:tcBorders>
                    <w:shd w:val="clear" w:color="auto" w:fill="auto"/>
                    <w:noWrap/>
                    <w:vAlign w:val="center"/>
                    <w:hideMark/>
                  </w:tcPr>
                  <w:p w14:paraId="4EC2329C"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0.4235</w:t>
                    </w:r>
                  </w:p>
                </w:tc>
              </w:tr>
              <w:tr w:rsidR="002F5246" w:rsidRPr="00F96745" w14:paraId="75C818A6" w14:textId="77777777" w:rsidTr="00E23288">
                <w:trPr>
                  <w:trHeight w:val="255"/>
                  <w:jc w:val="center"/>
                </w:trPr>
                <w:tc>
                  <w:tcPr>
                    <w:tcW w:w="1158" w:type="dxa"/>
                    <w:tcBorders>
                      <w:top w:val="nil"/>
                      <w:left w:val="nil"/>
                      <w:bottom w:val="single" w:sz="12" w:space="0" w:color="auto"/>
                      <w:right w:val="nil"/>
                    </w:tcBorders>
                    <w:shd w:val="clear" w:color="auto" w:fill="auto"/>
                    <w:noWrap/>
                    <w:vAlign w:val="center"/>
                    <w:hideMark/>
                  </w:tcPr>
                  <w:p w14:paraId="5AC76D14"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USD:JPY</w:t>
                    </w:r>
                  </w:p>
                </w:tc>
                <w:tc>
                  <w:tcPr>
                    <w:tcW w:w="592" w:type="dxa"/>
                    <w:tcBorders>
                      <w:top w:val="nil"/>
                      <w:left w:val="nil"/>
                      <w:bottom w:val="single" w:sz="12" w:space="0" w:color="auto"/>
                      <w:right w:val="nil"/>
                    </w:tcBorders>
                    <w:shd w:val="clear" w:color="auto" w:fill="auto"/>
                    <w:noWrap/>
                    <w:vAlign w:val="center"/>
                    <w:hideMark/>
                  </w:tcPr>
                  <w:p w14:paraId="2FB091A7"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210</w:t>
                    </w:r>
                  </w:p>
                </w:tc>
                <w:tc>
                  <w:tcPr>
                    <w:tcW w:w="821" w:type="dxa"/>
                    <w:tcBorders>
                      <w:top w:val="nil"/>
                      <w:left w:val="nil"/>
                      <w:bottom w:val="single" w:sz="12" w:space="0" w:color="auto"/>
                      <w:right w:val="nil"/>
                    </w:tcBorders>
                    <w:shd w:val="clear" w:color="auto" w:fill="auto"/>
                    <w:noWrap/>
                    <w:vAlign w:val="center"/>
                    <w:hideMark/>
                  </w:tcPr>
                  <w:p w14:paraId="23D07109"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0.1456</w:t>
                    </w:r>
                  </w:p>
                </w:tc>
                <w:tc>
                  <w:tcPr>
                    <w:tcW w:w="889" w:type="dxa"/>
                    <w:tcBorders>
                      <w:top w:val="nil"/>
                      <w:left w:val="nil"/>
                      <w:bottom w:val="single" w:sz="12" w:space="0" w:color="auto"/>
                      <w:right w:val="nil"/>
                    </w:tcBorders>
                    <w:shd w:val="clear" w:color="auto" w:fill="auto"/>
                    <w:noWrap/>
                    <w:vAlign w:val="center"/>
                    <w:hideMark/>
                  </w:tcPr>
                  <w:p w14:paraId="0E8D370C"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0.1419</w:t>
                    </w:r>
                  </w:p>
                </w:tc>
                <w:tc>
                  <w:tcPr>
                    <w:tcW w:w="989" w:type="dxa"/>
                    <w:tcBorders>
                      <w:top w:val="nil"/>
                      <w:left w:val="nil"/>
                      <w:bottom w:val="single" w:sz="12" w:space="0" w:color="auto"/>
                      <w:right w:val="nil"/>
                    </w:tcBorders>
                    <w:shd w:val="clear" w:color="auto" w:fill="auto"/>
                    <w:noWrap/>
                    <w:vAlign w:val="center"/>
                    <w:hideMark/>
                  </w:tcPr>
                  <w:p w14:paraId="5A85737E"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0.0808</w:t>
                    </w:r>
                  </w:p>
                </w:tc>
                <w:tc>
                  <w:tcPr>
                    <w:tcW w:w="583" w:type="dxa"/>
                    <w:tcBorders>
                      <w:top w:val="nil"/>
                      <w:left w:val="nil"/>
                      <w:bottom w:val="single" w:sz="12" w:space="0" w:color="auto"/>
                      <w:right w:val="nil"/>
                    </w:tcBorders>
                    <w:shd w:val="clear" w:color="auto" w:fill="auto"/>
                    <w:noWrap/>
                    <w:vAlign w:val="center"/>
                    <w:hideMark/>
                  </w:tcPr>
                  <w:p w14:paraId="4CAC8216"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w:t>
                    </w:r>
                  </w:p>
                </w:tc>
                <w:tc>
                  <w:tcPr>
                    <w:tcW w:w="821" w:type="dxa"/>
                    <w:tcBorders>
                      <w:top w:val="nil"/>
                      <w:left w:val="nil"/>
                      <w:bottom w:val="single" w:sz="12" w:space="0" w:color="auto"/>
                      <w:right w:val="nil"/>
                    </w:tcBorders>
                    <w:shd w:val="clear" w:color="auto" w:fill="auto"/>
                    <w:noWrap/>
                    <w:vAlign w:val="center"/>
                    <w:hideMark/>
                  </w:tcPr>
                  <w:p w14:paraId="1107739E"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0.3614</w:t>
                    </w:r>
                  </w:p>
                </w:tc>
                <w:tc>
                  <w:tcPr>
                    <w:tcW w:w="222" w:type="dxa"/>
                    <w:tcBorders>
                      <w:top w:val="nil"/>
                      <w:left w:val="nil"/>
                      <w:bottom w:val="single" w:sz="12" w:space="0" w:color="auto"/>
                      <w:right w:val="nil"/>
                    </w:tcBorders>
                  </w:tcPr>
                  <w:p w14:paraId="65EB1DE8" w14:textId="77777777" w:rsidR="002F5246" w:rsidRPr="00F96745" w:rsidRDefault="002F5246" w:rsidP="00E23288">
                    <w:pPr>
                      <w:spacing w:line="360" w:lineRule="auto"/>
                      <w:jc w:val="center"/>
                      <w:rPr>
                        <w:rFonts w:asciiTheme="majorBidi" w:hAnsiTheme="majorBidi" w:cstheme="majorBidi"/>
                        <w:color w:val="000000"/>
                        <w:szCs w:val="22"/>
                        <w:lang w:val="en-US"/>
                      </w:rPr>
                    </w:pPr>
                  </w:p>
                </w:tc>
                <w:tc>
                  <w:tcPr>
                    <w:tcW w:w="821" w:type="dxa"/>
                    <w:tcBorders>
                      <w:top w:val="nil"/>
                      <w:left w:val="nil"/>
                      <w:bottom w:val="single" w:sz="12" w:space="0" w:color="auto"/>
                      <w:right w:val="nil"/>
                    </w:tcBorders>
                    <w:shd w:val="clear" w:color="auto" w:fill="auto"/>
                    <w:noWrap/>
                    <w:vAlign w:val="center"/>
                    <w:hideMark/>
                  </w:tcPr>
                  <w:p w14:paraId="07E73F40"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0.1479</w:t>
                    </w:r>
                  </w:p>
                </w:tc>
                <w:tc>
                  <w:tcPr>
                    <w:tcW w:w="889" w:type="dxa"/>
                    <w:tcBorders>
                      <w:top w:val="nil"/>
                      <w:left w:val="nil"/>
                      <w:bottom w:val="single" w:sz="12" w:space="0" w:color="auto"/>
                      <w:right w:val="nil"/>
                    </w:tcBorders>
                    <w:shd w:val="clear" w:color="auto" w:fill="auto"/>
                    <w:noWrap/>
                    <w:vAlign w:val="center"/>
                    <w:hideMark/>
                  </w:tcPr>
                  <w:p w14:paraId="4D72384A"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0.1421</w:t>
                    </w:r>
                  </w:p>
                </w:tc>
                <w:tc>
                  <w:tcPr>
                    <w:tcW w:w="989" w:type="dxa"/>
                    <w:tcBorders>
                      <w:top w:val="nil"/>
                      <w:left w:val="nil"/>
                      <w:bottom w:val="single" w:sz="12" w:space="0" w:color="auto"/>
                      <w:right w:val="nil"/>
                    </w:tcBorders>
                    <w:shd w:val="clear" w:color="auto" w:fill="auto"/>
                    <w:noWrap/>
                    <w:vAlign w:val="center"/>
                    <w:hideMark/>
                  </w:tcPr>
                  <w:p w14:paraId="31E65802"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0.0894</w:t>
                    </w:r>
                  </w:p>
                </w:tc>
                <w:tc>
                  <w:tcPr>
                    <w:tcW w:w="621" w:type="dxa"/>
                    <w:tcBorders>
                      <w:top w:val="nil"/>
                      <w:left w:val="nil"/>
                      <w:bottom w:val="single" w:sz="12" w:space="0" w:color="auto"/>
                      <w:right w:val="nil"/>
                    </w:tcBorders>
                    <w:shd w:val="clear" w:color="auto" w:fill="auto"/>
                    <w:noWrap/>
                    <w:vAlign w:val="center"/>
                    <w:hideMark/>
                  </w:tcPr>
                  <w:p w14:paraId="6CCB187E"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w:t>
                    </w:r>
                  </w:p>
                </w:tc>
                <w:tc>
                  <w:tcPr>
                    <w:tcW w:w="821" w:type="dxa"/>
                    <w:tcBorders>
                      <w:top w:val="nil"/>
                      <w:left w:val="nil"/>
                      <w:bottom w:val="single" w:sz="12" w:space="0" w:color="auto"/>
                      <w:right w:val="nil"/>
                    </w:tcBorders>
                    <w:shd w:val="clear" w:color="auto" w:fill="auto"/>
                    <w:noWrap/>
                    <w:vAlign w:val="center"/>
                    <w:hideMark/>
                  </w:tcPr>
                  <w:p w14:paraId="46779CD3" w14:textId="77777777" w:rsidR="002F5246" w:rsidRPr="00F96745" w:rsidRDefault="002F5246" w:rsidP="00E23288">
                    <w:pPr>
                      <w:spacing w:line="360" w:lineRule="auto"/>
                      <w:jc w:val="center"/>
                      <w:rPr>
                        <w:rFonts w:asciiTheme="majorBidi" w:hAnsiTheme="majorBidi" w:cstheme="majorBidi"/>
                        <w:color w:val="000000"/>
                        <w:szCs w:val="22"/>
                        <w:lang w:val="en-US"/>
                      </w:rPr>
                    </w:pPr>
                    <w:r w:rsidRPr="00F96745">
                      <w:rPr>
                        <w:rFonts w:asciiTheme="majorBidi" w:hAnsiTheme="majorBidi" w:cstheme="majorBidi"/>
                        <w:color w:val="000000"/>
                        <w:szCs w:val="22"/>
                        <w:lang w:val="en-US"/>
                      </w:rPr>
                      <w:t>0.3500</w:t>
                    </w:r>
                  </w:p>
                </w:tc>
              </w:tr>
            </w:tbl>
            <w:p w14:paraId="18669BE2" w14:textId="77777777" w:rsidR="002F5246" w:rsidRPr="00F96745" w:rsidRDefault="002F5246" w:rsidP="002F5246">
              <w:pPr>
                <w:pStyle w:val="TableNotes"/>
                <w:rPr>
                  <w:sz w:val="22"/>
                  <w:szCs w:val="24"/>
                </w:rPr>
              </w:pPr>
            </w:p>
            <w:p w14:paraId="3376DF14" w14:textId="77777777" w:rsidR="002F5246" w:rsidRPr="00F25196" w:rsidRDefault="002F5246" w:rsidP="002F5246">
              <w:pPr>
                <w:pStyle w:val="TableNotes"/>
                <w:rPr>
                  <w:sz w:val="22"/>
                  <w:szCs w:val="24"/>
                </w:rPr>
              </w:pPr>
              <w:r w:rsidRPr="00F96745">
                <w:rPr>
                  <w:sz w:val="22"/>
                  <w:szCs w:val="24"/>
                </w:rPr>
                <w:t>This table reports the average portion of quotes in day that have obtained PMQ equal to 1. Column N represents the number of days available in our dataset for a currency pair. Mean, Median, Std Dev, Min, and Max represent the summary statistics.</w:t>
              </w:r>
              <w:r w:rsidRPr="00F25196">
                <w:rPr>
                  <w:sz w:val="22"/>
                  <w:szCs w:val="24"/>
                </w:rPr>
                <w:t xml:space="preserve"> </w:t>
              </w:r>
            </w:p>
            <w:p w14:paraId="7258E205" w14:textId="5CB93808" w:rsidR="002F5246" w:rsidRDefault="002F5246" w:rsidP="002F5246"/>
            <w:p w14:paraId="48A7742E" w14:textId="5B20EA6B" w:rsidR="002F5246" w:rsidRDefault="002F5246" w:rsidP="002F5246"/>
            <w:p w14:paraId="18CDDF51" w14:textId="2CFCF51A" w:rsidR="002F5246" w:rsidRDefault="002F5246" w:rsidP="002F5246"/>
            <w:p w14:paraId="7F53B5A4" w14:textId="496C548E" w:rsidR="002F5246" w:rsidRDefault="002F5246" w:rsidP="002F5246"/>
            <w:p w14:paraId="5BF4AEB7" w14:textId="54DF883B" w:rsidR="002F5246" w:rsidRDefault="002F5246" w:rsidP="002F5246"/>
            <w:p w14:paraId="1E7A32E7" w14:textId="50FF77DF" w:rsidR="002F5246" w:rsidRDefault="002F5246" w:rsidP="002F5246"/>
            <w:p w14:paraId="73A68970" w14:textId="56F38F50" w:rsidR="002F5246" w:rsidRDefault="002F5246" w:rsidP="002F5246"/>
            <w:p w14:paraId="58CDD331" w14:textId="6B2BE48D" w:rsidR="002F5246" w:rsidRDefault="002F5246" w:rsidP="002F5246"/>
            <w:p w14:paraId="5373015D" w14:textId="77777777" w:rsidR="002F5246" w:rsidRDefault="002F5246" w:rsidP="002F5246">
              <w:pPr>
                <w:sectPr w:rsidR="002F5246" w:rsidSect="00704B59">
                  <w:endnotePr>
                    <w:numFmt w:val="decimal"/>
                  </w:endnotePr>
                  <w:pgSz w:w="11906" w:h="16838"/>
                  <w:pgMar w:top="1440" w:right="1440" w:bottom="1440" w:left="1440" w:header="708" w:footer="708" w:gutter="0"/>
                  <w:cols w:space="708"/>
                  <w:docGrid w:linePitch="360"/>
                </w:sectPr>
              </w:pPr>
            </w:p>
            <w:p w14:paraId="1C8D30E4" w14:textId="77777777" w:rsidR="002F5246" w:rsidRPr="00FF56AB" w:rsidRDefault="002F5246" w:rsidP="002F5246">
              <w:pPr>
                <w:pStyle w:val="Tabletitle"/>
                <w:rPr>
                  <w:lang w:val="en-US"/>
                </w:rPr>
              </w:pPr>
              <w:r>
                <w:lastRenderedPageBreak/>
                <w:tab/>
              </w:r>
              <w:r w:rsidRPr="00FF56AB">
                <w:rPr>
                  <w:lang w:val="en-US"/>
                </w:rPr>
                <w:t>Table 4 – Dealers with Manipulative (Significant Abnormal) Activities during Fixing and Their Quoting Behavior</w:t>
              </w:r>
            </w:p>
            <w:tbl>
              <w:tblPr>
                <w:tblW w:w="11904" w:type="dxa"/>
                <w:jc w:val="center"/>
                <w:tblLayout w:type="fixed"/>
                <w:tblLook w:val="04A0" w:firstRow="1" w:lastRow="0" w:firstColumn="1" w:lastColumn="0" w:noHBand="0" w:noVBand="1"/>
              </w:tblPr>
              <w:tblGrid>
                <w:gridCol w:w="409"/>
                <w:gridCol w:w="1559"/>
                <w:gridCol w:w="836"/>
                <w:gridCol w:w="607"/>
                <w:gridCol w:w="271"/>
                <w:gridCol w:w="292"/>
                <w:gridCol w:w="515"/>
                <w:gridCol w:w="32"/>
                <w:gridCol w:w="611"/>
                <w:gridCol w:w="219"/>
                <w:gridCol w:w="342"/>
                <w:gridCol w:w="467"/>
                <w:gridCol w:w="32"/>
                <w:gridCol w:w="658"/>
                <w:gridCol w:w="202"/>
                <w:gridCol w:w="359"/>
                <w:gridCol w:w="442"/>
                <w:gridCol w:w="32"/>
                <w:gridCol w:w="636"/>
                <w:gridCol w:w="232"/>
                <w:gridCol w:w="329"/>
                <w:gridCol w:w="464"/>
                <w:gridCol w:w="32"/>
                <w:gridCol w:w="661"/>
                <w:gridCol w:w="215"/>
                <w:gridCol w:w="346"/>
                <w:gridCol w:w="439"/>
                <w:gridCol w:w="32"/>
                <w:gridCol w:w="633"/>
              </w:tblGrid>
              <w:tr w:rsidR="002F5246" w:rsidRPr="00FF56AB" w14:paraId="682CCEB2" w14:textId="77777777" w:rsidTr="00E23288">
                <w:trPr>
                  <w:trHeight w:hRule="exact" w:val="227"/>
                  <w:jc w:val="center"/>
                </w:trPr>
                <w:tc>
                  <w:tcPr>
                    <w:tcW w:w="11904" w:type="dxa"/>
                    <w:gridSpan w:val="29"/>
                    <w:tcBorders>
                      <w:top w:val="single" w:sz="12" w:space="0" w:color="auto"/>
                      <w:left w:val="single" w:sz="12" w:space="0" w:color="auto"/>
                      <w:bottom w:val="nil"/>
                      <w:right w:val="single" w:sz="12" w:space="0" w:color="auto"/>
                    </w:tcBorders>
                    <w:shd w:val="clear" w:color="000000" w:fill="FFFFFF"/>
                    <w:vAlign w:val="center"/>
                  </w:tcPr>
                  <w:p w14:paraId="6F9953B2" w14:textId="77777777" w:rsidR="002F5246" w:rsidRPr="00FF56AB" w:rsidRDefault="002F5246" w:rsidP="00E23288">
                    <w:pPr>
                      <w:spacing w:line="240" w:lineRule="auto"/>
                      <w:jc w:val="center"/>
                      <w:rPr>
                        <w:rFonts w:ascii="Garamond" w:hAnsi="Garamond"/>
                        <w:b/>
                        <w:bCs/>
                        <w:color w:val="000000"/>
                        <w:sz w:val="16"/>
                        <w:szCs w:val="16"/>
                        <w:lang w:val="en-US"/>
                      </w:rPr>
                    </w:pPr>
                    <w:r w:rsidRPr="00FF56AB">
                      <w:rPr>
                        <w:rFonts w:ascii="Garamond" w:hAnsi="Garamond"/>
                        <w:b/>
                        <w:bCs/>
                        <w:color w:val="000000"/>
                        <w:sz w:val="16"/>
                        <w:szCs w:val="16"/>
                        <w:lang w:val="en-US"/>
                      </w:rPr>
                      <w:t xml:space="preserve">Panel A. Identified Dealers </w:t>
                    </w:r>
                    <w:proofErr w:type="gramStart"/>
                    <w:r w:rsidRPr="00FF56AB">
                      <w:rPr>
                        <w:rFonts w:ascii="Garamond" w:hAnsi="Garamond"/>
                        <w:b/>
                        <w:bCs/>
                        <w:color w:val="000000"/>
                        <w:sz w:val="16"/>
                        <w:szCs w:val="16"/>
                        <w:lang w:val="en-US"/>
                      </w:rPr>
                      <w:t>With</w:t>
                    </w:r>
                    <w:proofErr w:type="gramEnd"/>
                    <w:r w:rsidRPr="00FF56AB">
                      <w:rPr>
                        <w:rFonts w:ascii="Garamond" w:hAnsi="Garamond"/>
                        <w:b/>
                        <w:bCs/>
                        <w:color w:val="000000"/>
                        <w:sz w:val="16"/>
                        <w:szCs w:val="16"/>
                        <w:lang w:val="en-US"/>
                      </w:rPr>
                      <w:t xml:space="preserve"> Manipulative Behavior </w:t>
                    </w:r>
                  </w:p>
                </w:tc>
              </w:tr>
              <w:tr w:rsidR="002F5246" w:rsidRPr="00FF56AB" w14:paraId="5442BCD6" w14:textId="77777777" w:rsidTr="00E23288">
                <w:trPr>
                  <w:trHeight w:hRule="exact" w:val="227"/>
                  <w:jc w:val="center"/>
                </w:trPr>
                <w:tc>
                  <w:tcPr>
                    <w:tcW w:w="2804" w:type="dxa"/>
                    <w:gridSpan w:val="3"/>
                    <w:tcBorders>
                      <w:top w:val="single" w:sz="8" w:space="0" w:color="auto"/>
                      <w:left w:val="single" w:sz="12" w:space="0" w:color="auto"/>
                      <w:bottom w:val="nil"/>
                      <w:right w:val="nil"/>
                    </w:tcBorders>
                    <w:shd w:val="clear" w:color="000000" w:fill="FFFFFF"/>
                    <w:vAlign w:val="center"/>
                  </w:tcPr>
                  <w:p w14:paraId="1A026665" w14:textId="77777777" w:rsidR="002F5246" w:rsidRPr="00FF56AB" w:rsidRDefault="002F5246" w:rsidP="00E23288">
                    <w:pPr>
                      <w:spacing w:line="240" w:lineRule="auto"/>
                      <w:jc w:val="center"/>
                      <w:rPr>
                        <w:rFonts w:ascii="Garamond" w:hAnsi="Garamond"/>
                        <w:color w:val="000000"/>
                        <w:sz w:val="16"/>
                        <w:szCs w:val="16"/>
                        <w:lang w:val="en-US"/>
                      </w:rPr>
                    </w:pPr>
                  </w:p>
                </w:tc>
                <w:tc>
                  <w:tcPr>
                    <w:tcW w:w="1717" w:type="dxa"/>
                    <w:gridSpan w:val="5"/>
                    <w:tcBorders>
                      <w:top w:val="single" w:sz="8" w:space="0" w:color="auto"/>
                      <w:left w:val="single" w:sz="8" w:space="0" w:color="auto"/>
                      <w:bottom w:val="nil"/>
                      <w:right w:val="single" w:sz="8" w:space="0" w:color="000000"/>
                    </w:tcBorders>
                    <w:shd w:val="clear" w:color="000000" w:fill="FFFFFF"/>
                    <w:vAlign w:val="center"/>
                  </w:tcPr>
                  <w:p w14:paraId="691F017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EUR:GBP</w:t>
                    </w:r>
                  </w:p>
                </w:tc>
                <w:tc>
                  <w:tcPr>
                    <w:tcW w:w="1671" w:type="dxa"/>
                    <w:gridSpan w:val="5"/>
                    <w:tcBorders>
                      <w:top w:val="single" w:sz="8" w:space="0" w:color="auto"/>
                      <w:left w:val="nil"/>
                      <w:bottom w:val="nil"/>
                      <w:right w:val="single" w:sz="8" w:space="0" w:color="000000"/>
                    </w:tcBorders>
                    <w:shd w:val="clear" w:color="000000" w:fill="FFFFFF"/>
                    <w:vAlign w:val="center"/>
                  </w:tcPr>
                  <w:p w14:paraId="658804B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EUR:JPY</w:t>
                    </w:r>
                  </w:p>
                </w:tc>
                <w:tc>
                  <w:tcPr>
                    <w:tcW w:w="1693" w:type="dxa"/>
                    <w:gridSpan w:val="5"/>
                    <w:tcBorders>
                      <w:top w:val="single" w:sz="8" w:space="0" w:color="auto"/>
                      <w:left w:val="nil"/>
                      <w:bottom w:val="nil"/>
                      <w:right w:val="single" w:sz="8" w:space="0" w:color="000000"/>
                    </w:tcBorders>
                    <w:shd w:val="clear" w:color="000000" w:fill="FFFFFF"/>
                    <w:vAlign w:val="center"/>
                  </w:tcPr>
                  <w:p w14:paraId="2E2A2CE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EUR:USD</w:t>
                    </w:r>
                  </w:p>
                </w:tc>
                <w:tc>
                  <w:tcPr>
                    <w:tcW w:w="1693" w:type="dxa"/>
                    <w:gridSpan w:val="5"/>
                    <w:tcBorders>
                      <w:top w:val="single" w:sz="8" w:space="0" w:color="auto"/>
                      <w:left w:val="nil"/>
                      <w:bottom w:val="nil"/>
                      <w:right w:val="single" w:sz="8" w:space="0" w:color="000000"/>
                    </w:tcBorders>
                    <w:shd w:val="clear" w:color="000000" w:fill="FFFFFF"/>
                    <w:vAlign w:val="center"/>
                  </w:tcPr>
                  <w:p w14:paraId="2308C7B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GBP:USD</w:t>
                    </w:r>
                  </w:p>
                </w:tc>
                <w:tc>
                  <w:tcPr>
                    <w:tcW w:w="1693" w:type="dxa"/>
                    <w:gridSpan w:val="5"/>
                    <w:tcBorders>
                      <w:top w:val="single" w:sz="8" w:space="0" w:color="auto"/>
                      <w:left w:val="nil"/>
                      <w:bottom w:val="nil"/>
                      <w:right w:val="single" w:sz="8" w:space="0" w:color="000000"/>
                    </w:tcBorders>
                    <w:shd w:val="clear" w:color="000000" w:fill="FFFFFF"/>
                    <w:vAlign w:val="center"/>
                  </w:tcPr>
                  <w:p w14:paraId="22E2D41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USD:JPY</w:t>
                    </w:r>
                  </w:p>
                </w:tc>
                <w:tc>
                  <w:tcPr>
                    <w:tcW w:w="633" w:type="dxa"/>
                    <w:tcBorders>
                      <w:top w:val="single" w:sz="8" w:space="0" w:color="auto"/>
                      <w:left w:val="nil"/>
                      <w:bottom w:val="nil"/>
                      <w:right w:val="single" w:sz="12" w:space="0" w:color="auto"/>
                    </w:tcBorders>
                    <w:shd w:val="clear" w:color="000000" w:fill="FFFFFF"/>
                    <w:noWrap/>
                    <w:vAlign w:val="center"/>
                    <w:hideMark/>
                  </w:tcPr>
                  <w:p w14:paraId="72EEF53B" w14:textId="77777777" w:rsidR="002F5246" w:rsidRPr="00FF56AB" w:rsidRDefault="002F5246" w:rsidP="00E23288">
                    <w:pPr>
                      <w:spacing w:line="240" w:lineRule="auto"/>
                      <w:jc w:val="center"/>
                      <w:rPr>
                        <w:rFonts w:ascii="Garamond" w:hAnsi="Garamond"/>
                        <w:b/>
                        <w:bCs/>
                        <w:color w:val="000000"/>
                        <w:sz w:val="16"/>
                        <w:szCs w:val="16"/>
                        <w:lang w:val="en-US"/>
                      </w:rPr>
                    </w:pPr>
                    <w:r w:rsidRPr="00FF56AB">
                      <w:rPr>
                        <w:rFonts w:ascii="Garamond" w:hAnsi="Garamond"/>
                        <w:b/>
                        <w:bCs/>
                        <w:color w:val="000000"/>
                        <w:sz w:val="16"/>
                        <w:szCs w:val="16"/>
                        <w:lang w:val="en-US"/>
                      </w:rPr>
                      <w:t>Sum</w:t>
                    </w:r>
                  </w:p>
                </w:tc>
              </w:tr>
              <w:tr w:rsidR="002F5246" w:rsidRPr="00FF56AB" w14:paraId="541391F9" w14:textId="77777777" w:rsidTr="00E23288">
                <w:trPr>
                  <w:trHeight w:hRule="exact" w:val="227"/>
                  <w:jc w:val="center"/>
                </w:trPr>
                <w:tc>
                  <w:tcPr>
                    <w:tcW w:w="1968" w:type="dxa"/>
                    <w:gridSpan w:val="2"/>
                    <w:tcBorders>
                      <w:top w:val="nil"/>
                      <w:left w:val="single" w:sz="12" w:space="0" w:color="auto"/>
                      <w:bottom w:val="single" w:sz="8" w:space="0" w:color="auto"/>
                      <w:right w:val="nil"/>
                    </w:tcBorders>
                    <w:shd w:val="clear" w:color="000000" w:fill="FFFFFF"/>
                    <w:vAlign w:val="center"/>
                  </w:tcPr>
                  <w:p w14:paraId="1F5346D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Dealer</w:t>
                    </w:r>
                  </w:p>
                </w:tc>
                <w:tc>
                  <w:tcPr>
                    <w:tcW w:w="836" w:type="dxa"/>
                    <w:tcBorders>
                      <w:top w:val="nil"/>
                      <w:left w:val="nil"/>
                      <w:bottom w:val="single" w:sz="4" w:space="0" w:color="auto"/>
                      <w:right w:val="nil"/>
                    </w:tcBorders>
                    <w:shd w:val="clear" w:color="000000" w:fill="FFFFFF"/>
                    <w:noWrap/>
                    <w:vAlign w:val="center"/>
                    <w:hideMark/>
                  </w:tcPr>
                  <w:p w14:paraId="58D2866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Location</w:t>
                    </w:r>
                  </w:p>
                </w:tc>
                <w:tc>
                  <w:tcPr>
                    <w:tcW w:w="607" w:type="dxa"/>
                    <w:tcBorders>
                      <w:top w:val="nil"/>
                      <w:left w:val="single" w:sz="8" w:space="0" w:color="auto"/>
                      <w:bottom w:val="single" w:sz="8" w:space="0" w:color="auto"/>
                      <w:right w:val="nil"/>
                    </w:tcBorders>
                    <w:shd w:val="clear" w:color="000000" w:fill="FFFFFF"/>
                    <w:noWrap/>
                    <w:vAlign w:val="center"/>
                    <w:hideMark/>
                  </w:tcPr>
                  <w:p w14:paraId="1F7B938F"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Total</w:t>
                    </w:r>
                    <w:proofErr w:type="spellEnd"/>
                  </w:p>
                </w:tc>
                <w:tc>
                  <w:tcPr>
                    <w:tcW w:w="563" w:type="dxa"/>
                    <w:gridSpan w:val="2"/>
                    <w:tcBorders>
                      <w:top w:val="nil"/>
                      <w:left w:val="nil"/>
                      <w:bottom w:val="single" w:sz="8" w:space="0" w:color="auto"/>
                      <w:right w:val="nil"/>
                    </w:tcBorders>
                    <w:shd w:val="clear" w:color="000000" w:fill="FFFFFF"/>
                    <w:noWrap/>
                    <w:vAlign w:val="center"/>
                    <w:hideMark/>
                  </w:tcPr>
                  <w:p w14:paraId="62D8A2DF"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Ask</w:t>
                    </w:r>
                    <w:proofErr w:type="spellEnd"/>
                  </w:p>
                </w:tc>
                <w:tc>
                  <w:tcPr>
                    <w:tcW w:w="547" w:type="dxa"/>
                    <w:gridSpan w:val="2"/>
                    <w:tcBorders>
                      <w:top w:val="nil"/>
                      <w:left w:val="nil"/>
                      <w:bottom w:val="single" w:sz="8" w:space="0" w:color="auto"/>
                      <w:right w:val="single" w:sz="8" w:space="0" w:color="auto"/>
                    </w:tcBorders>
                    <w:shd w:val="clear" w:color="000000" w:fill="FFFFFF"/>
                    <w:noWrap/>
                    <w:vAlign w:val="center"/>
                    <w:hideMark/>
                  </w:tcPr>
                  <w:p w14:paraId="2BED419E"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Bid</w:t>
                    </w:r>
                    <w:proofErr w:type="spellEnd"/>
                  </w:p>
                </w:tc>
                <w:tc>
                  <w:tcPr>
                    <w:tcW w:w="611" w:type="dxa"/>
                    <w:tcBorders>
                      <w:top w:val="nil"/>
                      <w:left w:val="nil"/>
                      <w:bottom w:val="single" w:sz="8" w:space="0" w:color="auto"/>
                      <w:right w:val="nil"/>
                    </w:tcBorders>
                    <w:shd w:val="clear" w:color="000000" w:fill="FFFFFF"/>
                    <w:noWrap/>
                    <w:vAlign w:val="center"/>
                    <w:hideMark/>
                  </w:tcPr>
                  <w:p w14:paraId="47FB26DC"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Total</w:t>
                    </w:r>
                    <w:proofErr w:type="spellEnd"/>
                  </w:p>
                </w:tc>
                <w:tc>
                  <w:tcPr>
                    <w:tcW w:w="561" w:type="dxa"/>
                    <w:gridSpan w:val="2"/>
                    <w:tcBorders>
                      <w:top w:val="nil"/>
                      <w:left w:val="nil"/>
                      <w:bottom w:val="single" w:sz="8" w:space="0" w:color="auto"/>
                      <w:right w:val="nil"/>
                    </w:tcBorders>
                    <w:shd w:val="clear" w:color="000000" w:fill="FFFFFF"/>
                    <w:noWrap/>
                    <w:vAlign w:val="center"/>
                    <w:hideMark/>
                  </w:tcPr>
                  <w:p w14:paraId="090EA54F"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Ask</w:t>
                    </w:r>
                    <w:proofErr w:type="spellEnd"/>
                  </w:p>
                </w:tc>
                <w:tc>
                  <w:tcPr>
                    <w:tcW w:w="499" w:type="dxa"/>
                    <w:gridSpan w:val="2"/>
                    <w:tcBorders>
                      <w:top w:val="nil"/>
                      <w:left w:val="nil"/>
                      <w:bottom w:val="single" w:sz="8" w:space="0" w:color="auto"/>
                      <w:right w:val="single" w:sz="8" w:space="0" w:color="auto"/>
                    </w:tcBorders>
                    <w:shd w:val="clear" w:color="000000" w:fill="FFFFFF"/>
                    <w:noWrap/>
                    <w:vAlign w:val="center"/>
                    <w:hideMark/>
                  </w:tcPr>
                  <w:p w14:paraId="11E883F2"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Bid</w:t>
                    </w:r>
                    <w:proofErr w:type="spellEnd"/>
                  </w:p>
                </w:tc>
                <w:tc>
                  <w:tcPr>
                    <w:tcW w:w="658" w:type="dxa"/>
                    <w:tcBorders>
                      <w:top w:val="nil"/>
                      <w:left w:val="nil"/>
                      <w:bottom w:val="single" w:sz="8" w:space="0" w:color="auto"/>
                      <w:right w:val="nil"/>
                    </w:tcBorders>
                    <w:shd w:val="clear" w:color="000000" w:fill="FFFFFF"/>
                    <w:noWrap/>
                    <w:vAlign w:val="center"/>
                    <w:hideMark/>
                  </w:tcPr>
                  <w:p w14:paraId="201A8FE4"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Total</w:t>
                    </w:r>
                    <w:proofErr w:type="spellEnd"/>
                  </w:p>
                </w:tc>
                <w:tc>
                  <w:tcPr>
                    <w:tcW w:w="561" w:type="dxa"/>
                    <w:gridSpan w:val="2"/>
                    <w:tcBorders>
                      <w:top w:val="nil"/>
                      <w:left w:val="nil"/>
                      <w:bottom w:val="single" w:sz="8" w:space="0" w:color="auto"/>
                      <w:right w:val="nil"/>
                    </w:tcBorders>
                    <w:shd w:val="clear" w:color="000000" w:fill="FFFFFF"/>
                    <w:noWrap/>
                    <w:vAlign w:val="center"/>
                    <w:hideMark/>
                  </w:tcPr>
                  <w:p w14:paraId="360EE16A"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Ask</w:t>
                    </w:r>
                    <w:proofErr w:type="spellEnd"/>
                  </w:p>
                </w:tc>
                <w:tc>
                  <w:tcPr>
                    <w:tcW w:w="474" w:type="dxa"/>
                    <w:gridSpan w:val="2"/>
                    <w:tcBorders>
                      <w:top w:val="nil"/>
                      <w:left w:val="nil"/>
                      <w:bottom w:val="single" w:sz="8" w:space="0" w:color="auto"/>
                      <w:right w:val="single" w:sz="8" w:space="0" w:color="auto"/>
                    </w:tcBorders>
                    <w:shd w:val="clear" w:color="000000" w:fill="FFFFFF"/>
                    <w:noWrap/>
                    <w:vAlign w:val="center"/>
                    <w:hideMark/>
                  </w:tcPr>
                  <w:p w14:paraId="73EA7333"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Bid</w:t>
                    </w:r>
                    <w:proofErr w:type="spellEnd"/>
                  </w:p>
                </w:tc>
                <w:tc>
                  <w:tcPr>
                    <w:tcW w:w="636" w:type="dxa"/>
                    <w:tcBorders>
                      <w:top w:val="nil"/>
                      <w:left w:val="nil"/>
                      <w:bottom w:val="single" w:sz="8" w:space="0" w:color="auto"/>
                      <w:right w:val="nil"/>
                    </w:tcBorders>
                    <w:shd w:val="clear" w:color="000000" w:fill="FFFFFF"/>
                    <w:noWrap/>
                    <w:vAlign w:val="center"/>
                    <w:hideMark/>
                  </w:tcPr>
                  <w:p w14:paraId="0452679D"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Total</w:t>
                    </w:r>
                    <w:proofErr w:type="spellEnd"/>
                  </w:p>
                </w:tc>
                <w:tc>
                  <w:tcPr>
                    <w:tcW w:w="561" w:type="dxa"/>
                    <w:gridSpan w:val="2"/>
                    <w:tcBorders>
                      <w:top w:val="nil"/>
                      <w:left w:val="nil"/>
                      <w:bottom w:val="single" w:sz="8" w:space="0" w:color="auto"/>
                      <w:right w:val="nil"/>
                    </w:tcBorders>
                    <w:shd w:val="clear" w:color="000000" w:fill="FFFFFF"/>
                    <w:noWrap/>
                    <w:vAlign w:val="center"/>
                    <w:hideMark/>
                  </w:tcPr>
                  <w:p w14:paraId="685D9DB7"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Ask</w:t>
                    </w:r>
                    <w:proofErr w:type="spellEnd"/>
                  </w:p>
                </w:tc>
                <w:tc>
                  <w:tcPr>
                    <w:tcW w:w="496" w:type="dxa"/>
                    <w:gridSpan w:val="2"/>
                    <w:tcBorders>
                      <w:top w:val="nil"/>
                      <w:left w:val="nil"/>
                      <w:bottom w:val="single" w:sz="8" w:space="0" w:color="auto"/>
                      <w:right w:val="single" w:sz="8" w:space="0" w:color="auto"/>
                    </w:tcBorders>
                    <w:shd w:val="clear" w:color="000000" w:fill="FFFFFF"/>
                    <w:noWrap/>
                    <w:vAlign w:val="center"/>
                    <w:hideMark/>
                  </w:tcPr>
                  <w:p w14:paraId="6A7871B6"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Bid</w:t>
                    </w:r>
                    <w:proofErr w:type="spellEnd"/>
                  </w:p>
                </w:tc>
                <w:tc>
                  <w:tcPr>
                    <w:tcW w:w="661" w:type="dxa"/>
                    <w:tcBorders>
                      <w:top w:val="nil"/>
                      <w:left w:val="nil"/>
                      <w:bottom w:val="single" w:sz="8" w:space="0" w:color="auto"/>
                      <w:right w:val="nil"/>
                    </w:tcBorders>
                    <w:shd w:val="clear" w:color="000000" w:fill="FFFFFF"/>
                    <w:noWrap/>
                    <w:vAlign w:val="center"/>
                    <w:hideMark/>
                  </w:tcPr>
                  <w:p w14:paraId="29AF331A"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Total</w:t>
                    </w:r>
                    <w:proofErr w:type="spellEnd"/>
                  </w:p>
                </w:tc>
                <w:tc>
                  <w:tcPr>
                    <w:tcW w:w="561" w:type="dxa"/>
                    <w:gridSpan w:val="2"/>
                    <w:tcBorders>
                      <w:top w:val="nil"/>
                      <w:left w:val="nil"/>
                      <w:bottom w:val="single" w:sz="8" w:space="0" w:color="auto"/>
                      <w:right w:val="nil"/>
                    </w:tcBorders>
                    <w:shd w:val="clear" w:color="000000" w:fill="FFFFFF"/>
                    <w:noWrap/>
                    <w:vAlign w:val="center"/>
                    <w:hideMark/>
                  </w:tcPr>
                  <w:p w14:paraId="41483A12"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Ask</w:t>
                    </w:r>
                    <w:proofErr w:type="spellEnd"/>
                  </w:p>
                </w:tc>
                <w:tc>
                  <w:tcPr>
                    <w:tcW w:w="471" w:type="dxa"/>
                    <w:gridSpan w:val="2"/>
                    <w:tcBorders>
                      <w:top w:val="nil"/>
                      <w:left w:val="nil"/>
                      <w:bottom w:val="single" w:sz="8" w:space="0" w:color="auto"/>
                      <w:right w:val="single" w:sz="8" w:space="0" w:color="auto"/>
                    </w:tcBorders>
                    <w:shd w:val="clear" w:color="000000" w:fill="FFFFFF"/>
                    <w:noWrap/>
                    <w:vAlign w:val="center"/>
                    <w:hideMark/>
                  </w:tcPr>
                  <w:p w14:paraId="0AE8A546" w14:textId="77777777" w:rsidR="002F5246" w:rsidRPr="00FF56AB" w:rsidRDefault="002F5246" w:rsidP="00E23288">
                    <w:pPr>
                      <w:spacing w:line="240" w:lineRule="auto"/>
                      <w:jc w:val="center"/>
                      <w:rPr>
                        <w:rFonts w:ascii="Garamond" w:hAnsi="Garamond"/>
                        <w:color w:val="000000"/>
                        <w:sz w:val="16"/>
                        <w:szCs w:val="16"/>
                        <w:lang w:val="en-US"/>
                      </w:rPr>
                    </w:pPr>
                    <w:proofErr w:type="spellStart"/>
                    <w:r w:rsidRPr="00FF56AB">
                      <w:rPr>
                        <w:rFonts w:ascii="Garamond" w:hAnsi="Garamond"/>
                        <w:color w:val="000000"/>
                        <w:sz w:val="16"/>
                        <w:szCs w:val="16"/>
                        <w:lang w:val="en-US"/>
                      </w:rPr>
                      <w:t>C</w:t>
                    </w:r>
                    <w:r w:rsidRPr="00FF56AB">
                      <w:rPr>
                        <w:rFonts w:ascii="Garamond" w:hAnsi="Garamond"/>
                        <w:color w:val="000000"/>
                        <w:sz w:val="16"/>
                        <w:szCs w:val="16"/>
                        <w:vertAlign w:val="subscript"/>
                        <w:lang w:val="en-US"/>
                      </w:rPr>
                      <w:t>Bid</w:t>
                    </w:r>
                    <w:proofErr w:type="spellEnd"/>
                  </w:p>
                </w:tc>
                <w:tc>
                  <w:tcPr>
                    <w:tcW w:w="633" w:type="dxa"/>
                    <w:tcBorders>
                      <w:top w:val="nil"/>
                      <w:left w:val="nil"/>
                      <w:bottom w:val="single" w:sz="8" w:space="0" w:color="auto"/>
                      <w:right w:val="single" w:sz="12" w:space="0" w:color="auto"/>
                    </w:tcBorders>
                    <w:shd w:val="clear" w:color="auto" w:fill="auto"/>
                    <w:noWrap/>
                    <w:vAlign w:val="center"/>
                    <w:hideMark/>
                  </w:tcPr>
                  <w:p w14:paraId="1A193504" w14:textId="77777777" w:rsidR="002F5246" w:rsidRPr="00FF56AB" w:rsidRDefault="002F5246" w:rsidP="00E23288">
                    <w:pPr>
                      <w:spacing w:line="240" w:lineRule="auto"/>
                      <w:jc w:val="center"/>
                      <w:rPr>
                        <w:rFonts w:ascii="Garamond" w:hAnsi="Garamond"/>
                        <w:color w:val="000000"/>
                        <w:sz w:val="16"/>
                        <w:szCs w:val="16"/>
                        <w:lang w:val="en-US"/>
                      </w:rPr>
                    </w:pPr>
                  </w:p>
                </w:tc>
              </w:tr>
              <w:tr w:rsidR="002F5246" w:rsidRPr="00FF56AB" w14:paraId="2E0D0813" w14:textId="77777777" w:rsidTr="00E23288">
                <w:trPr>
                  <w:trHeight w:hRule="exact" w:val="227"/>
                  <w:jc w:val="center"/>
                </w:trPr>
                <w:tc>
                  <w:tcPr>
                    <w:tcW w:w="409" w:type="dxa"/>
                    <w:tcBorders>
                      <w:top w:val="nil"/>
                      <w:left w:val="single" w:sz="12" w:space="0" w:color="auto"/>
                      <w:bottom w:val="nil"/>
                      <w:right w:val="nil"/>
                    </w:tcBorders>
                    <w:shd w:val="clear" w:color="auto" w:fill="D9D9D9" w:themeFill="background1" w:themeFillShade="D9"/>
                    <w:vAlign w:val="center"/>
                  </w:tcPr>
                  <w:p w14:paraId="0DD3EE2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1559" w:type="dxa"/>
                    <w:tcBorders>
                      <w:top w:val="nil"/>
                      <w:left w:val="single" w:sz="8" w:space="0" w:color="auto"/>
                      <w:bottom w:val="nil"/>
                      <w:right w:val="single" w:sz="4" w:space="0" w:color="auto"/>
                    </w:tcBorders>
                    <w:shd w:val="clear" w:color="auto" w:fill="D9D9D9" w:themeFill="background1" w:themeFillShade="D9"/>
                    <w:noWrap/>
                    <w:vAlign w:val="center"/>
                    <w:hideMark/>
                  </w:tcPr>
                  <w:p w14:paraId="166408D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RBS</w:t>
                    </w:r>
                  </w:p>
                </w:tc>
                <w:tc>
                  <w:tcPr>
                    <w:tcW w:w="836" w:type="dxa"/>
                    <w:tcBorders>
                      <w:top w:val="nil"/>
                      <w:left w:val="single" w:sz="4" w:space="0" w:color="auto"/>
                      <w:bottom w:val="nil"/>
                      <w:right w:val="nil"/>
                    </w:tcBorders>
                    <w:shd w:val="clear" w:color="auto" w:fill="D9D9D9" w:themeFill="background1" w:themeFillShade="D9"/>
                    <w:noWrap/>
                    <w:vAlign w:val="center"/>
                    <w:hideMark/>
                  </w:tcPr>
                  <w:p w14:paraId="16B3DC3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NYC</w:t>
                    </w:r>
                  </w:p>
                </w:tc>
                <w:tc>
                  <w:tcPr>
                    <w:tcW w:w="607" w:type="dxa"/>
                    <w:tcBorders>
                      <w:top w:val="nil"/>
                      <w:left w:val="single" w:sz="8" w:space="0" w:color="auto"/>
                      <w:bottom w:val="nil"/>
                      <w:right w:val="nil"/>
                    </w:tcBorders>
                    <w:shd w:val="clear" w:color="auto" w:fill="D9D9D9" w:themeFill="background1" w:themeFillShade="D9"/>
                    <w:noWrap/>
                    <w:vAlign w:val="center"/>
                    <w:hideMark/>
                  </w:tcPr>
                  <w:p w14:paraId="0D135DE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207</w:t>
                    </w:r>
                  </w:p>
                </w:tc>
                <w:tc>
                  <w:tcPr>
                    <w:tcW w:w="563" w:type="dxa"/>
                    <w:gridSpan w:val="2"/>
                    <w:tcBorders>
                      <w:top w:val="nil"/>
                      <w:left w:val="nil"/>
                      <w:bottom w:val="nil"/>
                      <w:right w:val="nil"/>
                    </w:tcBorders>
                    <w:shd w:val="clear" w:color="auto" w:fill="D9D9D9" w:themeFill="background1" w:themeFillShade="D9"/>
                    <w:noWrap/>
                    <w:vAlign w:val="center"/>
                    <w:hideMark/>
                  </w:tcPr>
                  <w:p w14:paraId="3B073F4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w:t>
                    </w:r>
                  </w:p>
                </w:tc>
                <w:tc>
                  <w:tcPr>
                    <w:tcW w:w="547" w:type="dxa"/>
                    <w:gridSpan w:val="2"/>
                    <w:tcBorders>
                      <w:top w:val="single" w:sz="8" w:space="0" w:color="auto"/>
                      <w:left w:val="nil"/>
                      <w:bottom w:val="nil"/>
                      <w:right w:val="single" w:sz="8" w:space="0" w:color="auto"/>
                    </w:tcBorders>
                    <w:shd w:val="clear" w:color="auto" w:fill="D9D9D9" w:themeFill="background1" w:themeFillShade="D9"/>
                    <w:noWrap/>
                    <w:vAlign w:val="center"/>
                    <w:hideMark/>
                  </w:tcPr>
                  <w:p w14:paraId="2013CCD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w:t>
                    </w:r>
                  </w:p>
                </w:tc>
                <w:tc>
                  <w:tcPr>
                    <w:tcW w:w="611" w:type="dxa"/>
                    <w:tcBorders>
                      <w:top w:val="nil"/>
                      <w:left w:val="single" w:sz="8" w:space="0" w:color="auto"/>
                      <w:bottom w:val="nil"/>
                      <w:right w:val="nil"/>
                    </w:tcBorders>
                    <w:shd w:val="clear" w:color="auto" w:fill="D9D9D9" w:themeFill="background1" w:themeFillShade="D9"/>
                    <w:noWrap/>
                    <w:vAlign w:val="center"/>
                    <w:hideMark/>
                  </w:tcPr>
                  <w:p w14:paraId="32A5BDC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211</w:t>
                    </w:r>
                  </w:p>
                </w:tc>
                <w:tc>
                  <w:tcPr>
                    <w:tcW w:w="561" w:type="dxa"/>
                    <w:gridSpan w:val="2"/>
                    <w:tcBorders>
                      <w:top w:val="nil"/>
                      <w:left w:val="nil"/>
                      <w:bottom w:val="nil"/>
                      <w:right w:val="nil"/>
                    </w:tcBorders>
                    <w:shd w:val="clear" w:color="auto" w:fill="D9D9D9" w:themeFill="background1" w:themeFillShade="D9"/>
                    <w:noWrap/>
                    <w:vAlign w:val="center"/>
                    <w:hideMark/>
                  </w:tcPr>
                  <w:p w14:paraId="1B6E503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6</w:t>
                    </w:r>
                  </w:p>
                </w:tc>
                <w:tc>
                  <w:tcPr>
                    <w:tcW w:w="499" w:type="dxa"/>
                    <w:gridSpan w:val="2"/>
                    <w:tcBorders>
                      <w:top w:val="nil"/>
                      <w:left w:val="nil"/>
                      <w:bottom w:val="nil"/>
                      <w:right w:val="single" w:sz="8" w:space="0" w:color="auto"/>
                    </w:tcBorders>
                    <w:shd w:val="clear" w:color="auto" w:fill="D9D9D9" w:themeFill="background1" w:themeFillShade="D9"/>
                    <w:noWrap/>
                    <w:vAlign w:val="center"/>
                    <w:hideMark/>
                  </w:tcPr>
                  <w:p w14:paraId="7207138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w:t>
                    </w:r>
                  </w:p>
                </w:tc>
                <w:tc>
                  <w:tcPr>
                    <w:tcW w:w="658" w:type="dxa"/>
                    <w:tcBorders>
                      <w:top w:val="nil"/>
                      <w:left w:val="nil"/>
                      <w:bottom w:val="nil"/>
                      <w:right w:val="nil"/>
                    </w:tcBorders>
                    <w:shd w:val="clear" w:color="auto" w:fill="D9D9D9" w:themeFill="background1" w:themeFillShade="D9"/>
                    <w:noWrap/>
                    <w:vAlign w:val="center"/>
                    <w:hideMark/>
                  </w:tcPr>
                  <w:p w14:paraId="148631C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211</w:t>
                    </w:r>
                  </w:p>
                </w:tc>
                <w:tc>
                  <w:tcPr>
                    <w:tcW w:w="561" w:type="dxa"/>
                    <w:gridSpan w:val="2"/>
                    <w:tcBorders>
                      <w:top w:val="nil"/>
                      <w:left w:val="nil"/>
                      <w:bottom w:val="nil"/>
                      <w:right w:val="nil"/>
                    </w:tcBorders>
                    <w:shd w:val="clear" w:color="auto" w:fill="D9D9D9" w:themeFill="background1" w:themeFillShade="D9"/>
                    <w:noWrap/>
                    <w:vAlign w:val="center"/>
                    <w:hideMark/>
                  </w:tcPr>
                  <w:p w14:paraId="7B30C7F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6</w:t>
                    </w:r>
                  </w:p>
                </w:tc>
                <w:tc>
                  <w:tcPr>
                    <w:tcW w:w="474" w:type="dxa"/>
                    <w:gridSpan w:val="2"/>
                    <w:tcBorders>
                      <w:top w:val="nil"/>
                      <w:left w:val="nil"/>
                      <w:bottom w:val="nil"/>
                      <w:right w:val="single" w:sz="8" w:space="0" w:color="auto"/>
                    </w:tcBorders>
                    <w:shd w:val="clear" w:color="auto" w:fill="D9D9D9" w:themeFill="background1" w:themeFillShade="D9"/>
                    <w:noWrap/>
                    <w:vAlign w:val="center"/>
                    <w:hideMark/>
                  </w:tcPr>
                  <w:p w14:paraId="1973D6F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w:t>
                    </w:r>
                  </w:p>
                </w:tc>
                <w:tc>
                  <w:tcPr>
                    <w:tcW w:w="636" w:type="dxa"/>
                    <w:tcBorders>
                      <w:top w:val="nil"/>
                      <w:left w:val="nil"/>
                      <w:bottom w:val="nil"/>
                      <w:right w:val="nil"/>
                    </w:tcBorders>
                    <w:shd w:val="clear" w:color="auto" w:fill="D9D9D9" w:themeFill="background1" w:themeFillShade="D9"/>
                    <w:noWrap/>
                    <w:vAlign w:val="center"/>
                    <w:hideMark/>
                  </w:tcPr>
                  <w:p w14:paraId="0C0AE7B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219</w:t>
                    </w:r>
                  </w:p>
                </w:tc>
                <w:tc>
                  <w:tcPr>
                    <w:tcW w:w="561" w:type="dxa"/>
                    <w:gridSpan w:val="2"/>
                    <w:tcBorders>
                      <w:top w:val="nil"/>
                      <w:left w:val="nil"/>
                      <w:bottom w:val="nil"/>
                      <w:right w:val="nil"/>
                    </w:tcBorders>
                    <w:shd w:val="clear" w:color="auto" w:fill="D9D9D9" w:themeFill="background1" w:themeFillShade="D9"/>
                    <w:noWrap/>
                    <w:vAlign w:val="center"/>
                    <w:hideMark/>
                  </w:tcPr>
                  <w:p w14:paraId="19677E5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13</w:t>
                    </w:r>
                  </w:p>
                </w:tc>
                <w:tc>
                  <w:tcPr>
                    <w:tcW w:w="496" w:type="dxa"/>
                    <w:gridSpan w:val="2"/>
                    <w:tcBorders>
                      <w:top w:val="nil"/>
                      <w:left w:val="nil"/>
                      <w:bottom w:val="nil"/>
                      <w:right w:val="single" w:sz="8" w:space="0" w:color="auto"/>
                    </w:tcBorders>
                    <w:shd w:val="clear" w:color="auto" w:fill="D9D9D9" w:themeFill="background1" w:themeFillShade="D9"/>
                    <w:noWrap/>
                    <w:vAlign w:val="center"/>
                    <w:hideMark/>
                  </w:tcPr>
                  <w:p w14:paraId="3265BD6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8</w:t>
                    </w:r>
                  </w:p>
                </w:tc>
                <w:tc>
                  <w:tcPr>
                    <w:tcW w:w="661" w:type="dxa"/>
                    <w:tcBorders>
                      <w:top w:val="nil"/>
                      <w:left w:val="nil"/>
                      <w:bottom w:val="nil"/>
                      <w:right w:val="nil"/>
                    </w:tcBorders>
                    <w:shd w:val="clear" w:color="auto" w:fill="D9D9D9" w:themeFill="background1" w:themeFillShade="D9"/>
                    <w:noWrap/>
                    <w:vAlign w:val="center"/>
                    <w:hideMark/>
                  </w:tcPr>
                  <w:p w14:paraId="0420A37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205</w:t>
                    </w:r>
                  </w:p>
                </w:tc>
                <w:tc>
                  <w:tcPr>
                    <w:tcW w:w="561" w:type="dxa"/>
                    <w:gridSpan w:val="2"/>
                    <w:tcBorders>
                      <w:top w:val="nil"/>
                      <w:left w:val="nil"/>
                      <w:bottom w:val="nil"/>
                      <w:right w:val="nil"/>
                    </w:tcBorders>
                    <w:shd w:val="clear" w:color="auto" w:fill="D9D9D9" w:themeFill="background1" w:themeFillShade="D9"/>
                    <w:noWrap/>
                    <w:vAlign w:val="center"/>
                    <w:hideMark/>
                  </w:tcPr>
                  <w:p w14:paraId="732BCDC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w:t>
                    </w:r>
                  </w:p>
                </w:tc>
                <w:tc>
                  <w:tcPr>
                    <w:tcW w:w="471" w:type="dxa"/>
                    <w:gridSpan w:val="2"/>
                    <w:tcBorders>
                      <w:top w:val="nil"/>
                      <w:left w:val="nil"/>
                      <w:bottom w:val="nil"/>
                      <w:right w:val="single" w:sz="8" w:space="0" w:color="auto"/>
                    </w:tcBorders>
                    <w:shd w:val="clear" w:color="auto" w:fill="D9D9D9" w:themeFill="background1" w:themeFillShade="D9"/>
                    <w:noWrap/>
                    <w:vAlign w:val="center"/>
                    <w:hideMark/>
                  </w:tcPr>
                  <w:p w14:paraId="7282BC1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w:t>
                    </w:r>
                  </w:p>
                </w:tc>
                <w:tc>
                  <w:tcPr>
                    <w:tcW w:w="633" w:type="dxa"/>
                    <w:tcBorders>
                      <w:top w:val="nil"/>
                      <w:left w:val="nil"/>
                      <w:bottom w:val="nil"/>
                      <w:right w:val="single" w:sz="12" w:space="0" w:color="auto"/>
                    </w:tcBorders>
                    <w:shd w:val="clear" w:color="auto" w:fill="D9D9D9" w:themeFill="background1" w:themeFillShade="D9"/>
                    <w:noWrap/>
                    <w:vAlign w:val="center"/>
                    <w:hideMark/>
                  </w:tcPr>
                  <w:p w14:paraId="1C77769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58</w:t>
                    </w:r>
                  </w:p>
                </w:tc>
              </w:tr>
              <w:tr w:rsidR="002F5246" w:rsidRPr="00FF56AB" w14:paraId="1A0665FE" w14:textId="77777777" w:rsidTr="00E23288">
                <w:trPr>
                  <w:trHeight w:hRule="exact" w:val="227"/>
                  <w:jc w:val="center"/>
                </w:trPr>
                <w:tc>
                  <w:tcPr>
                    <w:tcW w:w="409" w:type="dxa"/>
                    <w:tcBorders>
                      <w:top w:val="nil"/>
                      <w:left w:val="single" w:sz="12" w:space="0" w:color="auto"/>
                      <w:bottom w:val="nil"/>
                      <w:right w:val="nil"/>
                    </w:tcBorders>
                    <w:shd w:val="clear" w:color="auto" w:fill="D9D9D9" w:themeFill="background1" w:themeFillShade="D9"/>
                    <w:vAlign w:val="center"/>
                  </w:tcPr>
                  <w:p w14:paraId="44FB817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c>
                  <w:tcPr>
                    <w:tcW w:w="1559" w:type="dxa"/>
                    <w:tcBorders>
                      <w:top w:val="nil"/>
                      <w:left w:val="single" w:sz="8" w:space="0" w:color="auto"/>
                      <w:bottom w:val="nil"/>
                      <w:right w:val="single" w:sz="4" w:space="0" w:color="auto"/>
                    </w:tcBorders>
                    <w:shd w:val="clear" w:color="auto" w:fill="D9D9D9" w:themeFill="background1" w:themeFillShade="D9"/>
                    <w:noWrap/>
                    <w:vAlign w:val="center"/>
                    <w:hideMark/>
                  </w:tcPr>
                  <w:p w14:paraId="7FA3884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RBS</w:t>
                    </w:r>
                  </w:p>
                </w:tc>
                <w:tc>
                  <w:tcPr>
                    <w:tcW w:w="836" w:type="dxa"/>
                    <w:tcBorders>
                      <w:top w:val="nil"/>
                      <w:left w:val="single" w:sz="4" w:space="0" w:color="auto"/>
                      <w:bottom w:val="nil"/>
                      <w:right w:val="nil"/>
                    </w:tcBorders>
                    <w:shd w:val="clear" w:color="auto" w:fill="D9D9D9" w:themeFill="background1" w:themeFillShade="D9"/>
                    <w:noWrap/>
                    <w:vAlign w:val="center"/>
                    <w:hideMark/>
                  </w:tcPr>
                  <w:p w14:paraId="3FAFECE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LON</w:t>
                    </w:r>
                  </w:p>
                </w:tc>
                <w:tc>
                  <w:tcPr>
                    <w:tcW w:w="607" w:type="dxa"/>
                    <w:tcBorders>
                      <w:top w:val="nil"/>
                      <w:left w:val="single" w:sz="8" w:space="0" w:color="auto"/>
                      <w:bottom w:val="nil"/>
                      <w:right w:val="nil"/>
                    </w:tcBorders>
                    <w:shd w:val="clear" w:color="auto" w:fill="D9D9D9" w:themeFill="background1" w:themeFillShade="D9"/>
                    <w:noWrap/>
                    <w:vAlign w:val="center"/>
                    <w:hideMark/>
                  </w:tcPr>
                  <w:p w14:paraId="5B201CF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196</w:t>
                    </w:r>
                  </w:p>
                </w:tc>
                <w:tc>
                  <w:tcPr>
                    <w:tcW w:w="563" w:type="dxa"/>
                    <w:gridSpan w:val="2"/>
                    <w:tcBorders>
                      <w:top w:val="nil"/>
                      <w:left w:val="nil"/>
                      <w:bottom w:val="nil"/>
                      <w:right w:val="nil"/>
                    </w:tcBorders>
                    <w:shd w:val="clear" w:color="auto" w:fill="D9D9D9" w:themeFill="background1" w:themeFillShade="D9"/>
                    <w:noWrap/>
                    <w:vAlign w:val="center"/>
                    <w:hideMark/>
                  </w:tcPr>
                  <w:p w14:paraId="7A04927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w:t>
                    </w:r>
                  </w:p>
                </w:tc>
                <w:tc>
                  <w:tcPr>
                    <w:tcW w:w="547" w:type="dxa"/>
                    <w:gridSpan w:val="2"/>
                    <w:tcBorders>
                      <w:top w:val="nil"/>
                      <w:left w:val="nil"/>
                      <w:bottom w:val="nil"/>
                      <w:right w:val="single" w:sz="8" w:space="0" w:color="auto"/>
                    </w:tcBorders>
                    <w:shd w:val="clear" w:color="auto" w:fill="D9D9D9" w:themeFill="background1" w:themeFillShade="D9"/>
                    <w:noWrap/>
                    <w:vAlign w:val="center"/>
                    <w:hideMark/>
                  </w:tcPr>
                  <w:p w14:paraId="1C73AB6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w:t>
                    </w:r>
                  </w:p>
                </w:tc>
                <w:tc>
                  <w:tcPr>
                    <w:tcW w:w="611" w:type="dxa"/>
                    <w:tcBorders>
                      <w:top w:val="nil"/>
                      <w:left w:val="single" w:sz="8" w:space="0" w:color="auto"/>
                      <w:bottom w:val="nil"/>
                      <w:right w:val="nil"/>
                    </w:tcBorders>
                    <w:shd w:val="clear" w:color="auto" w:fill="D9D9D9" w:themeFill="background1" w:themeFillShade="D9"/>
                    <w:noWrap/>
                    <w:vAlign w:val="center"/>
                    <w:hideMark/>
                  </w:tcPr>
                  <w:p w14:paraId="1C8490D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198</w:t>
                    </w:r>
                  </w:p>
                </w:tc>
                <w:tc>
                  <w:tcPr>
                    <w:tcW w:w="561" w:type="dxa"/>
                    <w:gridSpan w:val="2"/>
                    <w:tcBorders>
                      <w:top w:val="nil"/>
                      <w:left w:val="nil"/>
                      <w:bottom w:val="nil"/>
                      <w:right w:val="nil"/>
                    </w:tcBorders>
                    <w:shd w:val="clear" w:color="auto" w:fill="D9D9D9" w:themeFill="background1" w:themeFillShade="D9"/>
                    <w:noWrap/>
                    <w:vAlign w:val="center"/>
                    <w:hideMark/>
                  </w:tcPr>
                  <w:p w14:paraId="24B4BDC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w:t>
                    </w:r>
                  </w:p>
                </w:tc>
                <w:tc>
                  <w:tcPr>
                    <w:tcW w:w="499" w:type="dxa"/>
                    <w:gridSpan w:val="2"/>
                    <w:tcBorders>
                      <w:top w:val="nil"/>
                      <w:left w:val="nil"/>
                      <w:bottom w:val="nil"/>
                      <w:right w:val="single" w:sz="8" w:space="0" w:color="auto"/>
                    </w:tcBorders>
                    <w:shd w:val="clear" w:color="auto" w:fill="D9D9D9" w:themeFill="background1" w:themeFillShade="D9"/>
                    <w:noWrap/>
                    <w:vAlign w:val="center"/>
                    <w:hideMark/>
                  </w:tcPr>
                  <w:p w14:paraId="44E14DF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w:t>
                    </w:r>
                  </w:p>
                </w:tc>
                <w:tc>
                  <w:tcPr>
                    <w:tcW w:w="658" w:type="dxa"/>
                    <w:tcBorders>
                      <w:top w:val="nil"/>
                      <w:left w:val="nil"/>
                      <w:bottom w:val="nil"/>
                      <w:right w:val="nil"/>
                    </w:tcBorders>
                    <w:shd w:val="clear" w:color="auto" w:fill="D9D9D9" w:themeFill="background1" w:themeFillShade="D9"/>
                    <w:noWrap/>
                    <w:vAlign w:val="center"/>
                    <w:hideMark/>
                  </w:tcPr>
                  <w:p w14:paraId="1277D77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198</w:t>
                    </w:r>
                  </w:p>
                </w:tc>
                <w:tc>
                  <w:tcPr>
                    <w:tcW w:w="561" w:type="dxa"/>
                    <w:gridSpan w:val="2"/>
                    <w:tcBorders>
                      <w:top w:val="nil"/>
                      <w:left w:val="nil"/>
                      <w:bottom w:val="nil"/>
                      <w:right w:val="nil"/>
                    </w:tcBorders>
                    <w:shd w:val="clear" w:color="auto" w:fill="D9D9D9" w:themeFill="background1" w:themeFillShade="D9"/>
                    <w:noWrap/>
                    <w:vAlign w:val="center"/>
                    <w:hideMark/>
                  </w:tcPr>
                  <w:p w14:paraId="1A90C91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474" w:type="dxa"/>
                    <w:gridSpan w:val="2"/>
                    <w:tcBorders>
                      <w:top w:val="nil"/>
                      <w:left w:val="nil"/>
                      <w:bottom w:val="nil"/>
                      <w:right w:val="single" w:sz="8" w:space="0" w:color="auto"/>
                    </w:tcBorders>
                    <w:shd w:val="clear" w:color="auto" w:fill="D9D9D9" w:themeFill="background1" w:themeFillShade="D9"/>
                    <w:noWrap/>
                    <w:vAlign w:val="center"/>
                    <w:hideMark/>
                  </w:tcPr>
                  <w:p w14:paraId="3F7E61C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9</w:t>
                    </w:r>
                  </w:p>
                </w:tc>
                <w:tc>
                  <w:tcPr>
                    <w:tcW w:w="636" w:type="dxa"/>
                    <w:tcBorders>
                      <w:top w:val="nil"/>
                      <w:left w:val="nil"/>
                      <w:bottom w:val="nil"/>
                      <w:right w:val="nil"/>
                    </w:tcBorders>
                    <w:shd w:val="clear" w:color="auto" w:fill="D9D9D9" w:themeFill="background1" w:themeFillShade="D9"/>
                    <w:noWrap/>
                    <w:vAlign w:val="center"/>
                    <w:hideMark/>
                  </w:tcPr>
                  <w:p w14:paraId="6E7ABA0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203</w:t>
                    </w:r>
                  </w:p>
                </w:tc>
                <w:tc>
                  <w:tcPr>
                    <w:tcW w:w="561" w:type="dxa"/>
                    <w:gridSpan w:val="2"/>
                    <w:tcBorders>
                      <w:top w:val="nil"/>
                      <w:left w:val="nil"/>
                      <w:bottom w:val="nil"/>
                      <w:right w:val="nil"/>
                    </w:tcBorders>
                    <w:shd w:val="clear" w:color="auto" w:fill="D9D9D9" w:themeFill="background1" w:themeFillShade="D9"/>
                    <w:noWrap/>
                    <w:vAlign w:val="center"/>
                    <w:hideMark/>
                  </w:tcPr>
                  <w:p w14:paraId="753FA67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11</w:t>
                    </w:r>
                  </w:p>
                </w:tc>
                <w:tc>
                  <w:tcPr>
                    <w:tcW w:w="496" w:type="dxa"/>
                    <w:gridSpan w:val="2"/>
                    <w:tcBorders>
                      <w:top w:val="nil"/>
                      <w:left w:val="nil"/>
                      <w:bottom w:val="nil"/>
                      <w:right w:val="single" w:sz="8" w:space="0" w:color="auto"/>
                    </w:tcBorders>
                    <w:shd w:val="clear" w:color="auto" w:fill="D9D9D9" w:themeFill="background1" w:themeFillShade="D9"/>
                    <w:noWrap/>
                    <w:vAlign w:val="center"/>
                    <w:hideMark/>
                  </w:tcPr>
                  <w:p w14:paraId="25E1E9E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10</w:t>
                    </w:r>
                  </w:p>
                </w:tc>
                <w:tc>
                  <w:tcPr>
                    <w:tcW w:w="661" w:type="dxa"/>
                    <w:tcBorders>
                      <w:top w:val="nil"/>
                      <w:left w:val="nil"/>
                      <w:bottom w:val="nil"/>
                      <w:right w:val="nil"/>
                    </w:tcBorders>
                    <w:shd w:val="clear" w:color="auto" w:fill="D9D9D9" w:themeFill="background1" w:themeFillShade="D9"/>
                    <w:noWrap/>
                    <w:vAlign w:val="center"/>
                    <w:hideMark/>
                  </w:tcPr>
                  <w:p w14:paraId="66D68E6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197</w:t>
                    </w:r>
                  </w:p>
                </w:tc>
                <w:tc>
                  <w:tcPr>
                    <w:tcW w:w="561" w:type="dxa"/>
                    <w:gridSpan w:val="2"/>
                    <w:tcBorders>
                      <w:top w:val="nil"/>
                      <w:left w:val="nil"/>
                      <w:bottom w:val="nil"/>
                      <w:right w:val="nil"/>
                    </w:tcBorders>
                    <w:shd w:val="clear" w:color="auto" w:fill="D9D9D9" w:themeFill="background1" w:themeFillShade="D9"/>
                    <w:noWrap/>
                    <w:vAlign w:val="center"/>
                    <w:hideMark/>
                  </w:tcPr>
                  <w:p w14:paraId="502185D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c>
                  <w:tcPr>
                    <w:tcW w:w="471" w:type="dxa"/>
                    <w:gridSpan w:val="2"/>
                    <w:tcBorders>
                      <w:top w:val="nil"/>
                      <w:left w:val="nil"/>
                      <w:bottom w:val="nil"/>
                      <w:right w:val="single" w:sz="8" w:space="0" w:color="auto"/>
                    </w:tcBorders>
                    <w:shd w:val="clear" w:color="auto" w:fill="D9D9D9" w:themeFill="background1" w:themeFillShade="D9"/>
                    <w:noWrap/>
                    <w:vAlign w:val="center"/>
                    <w:hideMark/>
                  </w:tcPr>
                  <w:p w14:paraId="311972E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w:t>
                    </w:r>
                  </w:p>
                </w:tc>
                <w:tc>
                  <w:tcPr>
                    <w:tcW w:w="633" w:type="dxa"/>
                    <w:tcBorders>
                      <w:top w:val="nil"/>
                      <w:left w:val="nil"/>
                      <w:bottom w:val="nil"/>
                      <w:right w:val="single" w:sz="12" w:space="0" w:color="auto"/>
                    </w:tcBorders>
                    <w:shd w:val="clear" w:color="auto" w:fill="D9D9D9" w:themeFill="background1" w:themeFillShade="D9"/>
                    <w:noWrap/>
                    <w:vAlign w:val="center"/>
                    <w:hideMark/>
                  </w:tcPr>
                  <w:p w14:paraId="385B1A2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55</w:t>
                    </w:r>
                  </w:p>
                </w:tc>
              </w:tr>
              <w:tr w:rsidR="002F5246" w:rsidRPr="00FF56AB" w14:paraId="04A6EB4C" w14:textId="77777777" w:rsidTr="00E23288">
                <w:trPr>
                  <w:trHeight w:hRule="exact" w:val="227"/>
                  <w:jc w:val="center"/>
                </w:trPr>
                <w:tc>
                  <w:tcPr>
                    <w:tcW w:w="409" w:type="dxa"/>
                    <w:tcBorders>
                      <w:top w:val="nil"/>
                      <w:left w:val="single" w:sz="12" w:space="0" w:color="auto"/>
                      <w:bottom w:val="nil"/>
                      <w:right w:val="nil"/>
                    </w:tcBorders>
                    <w:shd w:val="clear" w:color="auto" w:fill="D9D9D9" w:themeFill="background1" w:themeFillShade="D9"/>
                    <w:vAlign w:val="center"/>
                  </w:tcPr>
                  <w:p w14:paraId="02837A5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w:t>
                    </w:r>
                  </w:p>
                </w:tc>
                <w:tc>
                  <w:tcPr>
                    <w:tcW w:w="1559" w:type="dxa"/>
                    <w:tcBorders>
                      <w:top w:val="nil"/>
                      <w:left w:val="single" w:sz="8" w:space="0" w:color="auto"/>
                      <w:bottom w:val="nil"/>
                      <w:right w:val="single" w:sz="4" w:space="0" w:color="auto"/>
                    </w:tcBorders>
                    <w:shd w:val="clear" w:color="auto" w:fill="D9D9D9" w:themeFill="background1" w:themeFillShade="D9"/>
                    <w:noWrap/>
                    <w:vAlign w:val="center"/>
                    <w:hideMark/>
                  </w:tcPr>
                  <w:p w14:paraId="08FA51B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BARCLAYS</w:t>
                    </w:r>
                  </w:p>
                </w:tc>
                <w:tc>
                  <w:tcPr>
                    <w:tcW w:w="836" w:type="dxa"/>
                    <w:tcBorders>
                      <w:top w:val="nil"/>
                      <w:left w:val="single" w:sz="4" w:space="0" w:color="auto"/>
                      <w:bottom w:val="nil"/>
                      <w:right w:val="nil"/>
                    </w:tcBorders>
                    <w:shd w:val="clear" w:color="auto" w:fill="D9D9D9" w:themeFill="background1" w:themeFillShade="D9"/>
                    <w:noWrap/>
                    <w:vAlign w:val="center"/>
                    <w:hideMark/>
                  </w:tcPr>
                  <w:p w14:paraId="061DFD6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GFX</w:t>
                    </w:r>
                  </w:p>
                </w:tc>
                <w:tc>
                  <w:tcPr>
                    <w:tcW w:w="607" w:type="dxa"/>
                    <w:tcBorders>
                      <w:top w:val="nil"/>
                      <w:left w:val="single" w:sz="8" w:space="0" w:color="auto"/>
                      <w:bottom w:val="nil"/>
                      <w:right w:val="nil"/>
                    </w:tcBorders>
                    <w:shd w:val="clear" w:color="auto" w:fill="D9D9D9" w:themeFill="background1" w:themeFillShade="D9"/>
                    <w:noWrap/>
                    <w:vAlign w:val="center"/>
                    <w:hideMark/>
                  </w:tcPr>
                  <w:p w14:paraId="4790198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212</w:t>
                    </w:r>
                  </w:p>
                </w:tc>
                <w:tc>
                  <w:tcPr>
                    <w:tcW w:w="563" w:type="dxa"/>
                    <w:gridSpan w:val="2"/>
                    <w:tcBorders>
                      <w:top w:val="nil"/>
                      <w:left w:val="nil"/>
                      <w:bottom w:val="nil"/>
                      <w:right w:val="nil"/>
                    </w:tcBorders>
                    <w:shd w:val="clear" w:color="auto" w:fill="D9D9D9" w:themeFill="background1" w:themeFillShade="D9"/>
                    <w:noWrap/>
                    <w:vAlign w:val="center"/>
                    <w:hideMark/>
                  </w:tcPr>
                  <w:p w14:paraId="7E31146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547" w:type="dxa"/>
                    <w:gridSpan w:val="2"/>
                    <w:tcBorders>
                      <w:top w:val="nil"/>
                      <w:left w:val="nil"/>
                      <w:bottom w:val="nil"/>
                      <w:right w:val="single" w:sz="8" w:space="0" w:color="auto"/>
                    </w:tcBorders>
                    <w:shd w:val="clear" w:color="auto" w:fill="D9D9D9" w:themeFill="background1" w:themeFillShade="D9"/>
                    <w:noWrap/>
                    <w:vAlign w:val="center"/>
                    <w:hideMark/>
                  </w:tcPr>
                  <w:p w14:paraId="3BE9D3F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c>
                  <w:tcPr>
                    <w:tcW w:w="611" w:type="dxa"/>
                    <w:tcBorders>
                      <w:top w:val="nil"/>
                      <w:left w:val="single" w:sz="8" w:space="0" w:color="auto"/>
                      <w:bottom w:val="nil"/>
                      <w:right w:val="nil"/>
                    </w:tcBorders>
                    <w:shd w:val="clear" w:color="auto" w:fill="D9D9D9" w:themeFill="background1" w:themeFillShade="D9"/>
                    <w:noWrap/>
                    <w:vAlign w:val="center"/>
                    <w:hideMark/>
                  </w:tcPr>
                  <w:p w14:paraId="1474BAD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194</w:t>
                    </w:r>
                  </w:p>
                </w:tc>
                <w:tc>
                  <w:tcPr>
                    <w:tcW w:w="561" w:type="dxa"/>
                    <w:gridSpan w:val="2"/>
                    <w:tcBorders>
                      <w:top w:val="nil"/>
                      <w:left w:val="nil"/>
                      <w:bottom w:val="nil"/>
                      <w:right w:val="nil"/>
                    </w:tcBorders>
                    <w:shd w:val="clear" w:color="auto" w:fill="D9D9D9" w:themeFill="background1" w:themeFillShade="D9"/>
                    <w:noWrap/>
                    <w:vAlign w:val="center"/>
                    <w:hideMark/>
                  </w:tcPr>
                  <w:p w14:paraId="5D3182D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c>
                  <w:tcPr>
                    <w:tcW w:w="499" w:type="dxa"/>
                    <w:gridSpan w:val="2"/>
                    <w:tcBorders>
                      <w:top w:val="nil"/>
                      <w:left w:val="nil"/>
                      <w:bottom w:val="nil"/>
                      <w:right w:val="single" w:sz="8" w:space="0" w:color="auto"/>
                    </w:tcBorders>
                    <w:shd w:val="clear" w:color="auto" w:fill="D9D9D9" w:themeFill="background1" w:themeFillShade="D9"/>
                    <w:noWrap/>
                    <w:vAlign w:val="center"/>
                    <w:hideMark/>
                  </w:tcPr>
                  <w:p w14:paraId="4F75EBD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c>
                  <w:tcPr>
                    <w:tcW w:w="658" w:type="dxa"/>
                    <w:tcBorders>
                      <w:top w:val="nil"/>
                      <w:left w:val="nil"/>
                      <w:bottom w:val="nil"/>
                      <w:right w:val="nil"/>
                    </w:tcBorders>
                    <w:shd w:val="clear" w:color="auto" w:fill="D9D9D9" w:themeFill="background1" w:themeFillShade="D9"/>
                    <w:noWrap/>
                    <w:vAlign w:val="center"/>
                    <w:hideMark/>
                  </w:tcPr>
                  <w:p w14:paraId="79E5809A"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74838A8E" w14:textId="77777777" w:rsidR="002F5246" w:rsidRPr="00FF56AB" w:rsidRDefault="002F5246" w:rsidP="00E23288">
                    <w:pPr>
                      <w:spacing w:line="240" w:lineRule="auto"/>
                      <w:jc w:val="center"/>
                      <w:rPr>
                        <w:rFonts w:ascii="Garamond" w:hAnsi="Garamond"/>
                        <w:color w:val="000000"/>
                        <w:sz w:val="16"/>
                        <w:szCs w:val="16"/>
                        <w:lang w:val="en-US"/>
                      </w:rPr>
                    </w:pPr>
                  </w:p>
                </w:tc>
                <w:tc>
                  <w:tcPr>
                    <w:tcW w:w="474" w:type="dxa"/>
                    <w:gridSpan w:val="2"/>
                    <w:tcBorders>
                      <w:top w:val="nil"/>
                      <w:left w:val="nil"/>
                      <w:bottom w:val="nil"/>
                      <w:right w:val="single" w:sz="8" w:space="0" w:color="auto"/>
                    </w:tcBorders>
                    <w:shd w:val="clear" w:color="auto" w:fill="D9D9D9" w:themeFill="background1" w:themeFillShade="D9"/>
                    <w:noWrap/>
                    <w:vAlign w:val="center"/>
                  </w:tcPr>
                  <w:p w14:paraId="7567581A" w14:textId="77777777" w:rsidR="002F5246" w:rsidRPr="00FF56AB" w:rsidRDefault="002F5246" w:rsidP="00E23288">
                    <w:pPr>
                      <w:spacing w:line="240" w:lineRule="auto"/>
                      <w:jc w:val="center"/>
                      <w:rPr>
                        <w:rFonts w:ascii="Garamond" w:hAnsi="Garamond"/>
                        <w:color w:val="000000"/>
                        <w:sz w:val="16"/>
                        <w:szCs w:val="16"/>
                        <w:lang w:val="en-US"/>
                      </w:rPr>
                    </w:pPr>
                  </w:p>
                </w:tc>
                <w:tc>
                  <w:tcPr>
                    <w:tcW w:w="636" w:type="dxa"/>
                    <w:tcBorders>
                      <w:top w:val="nil"/>
                      <w:left w:val="nil"/>
                      <w:bottom w:val="nil"/>
                      <w:right w:val="nil"/>
                    </w:tcBorders>
                    <w:shd w:val="clear" w:color="auto" w:fill="D9D9D9" w:themeFill="background1" w:themeFillShade="D9"/>
                    <w:noWrap/>
                    <w:vAlign w:val="center"/>
                    <w:hideMark/>
                  </w:tcPr>
                  <w:p w14:paraId="18ABDAA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223</w:t>
                    </w:r>
                  </w:p>
                </w:tc>
                <w:tc>
                  <w:tcPr>
                    <w:tcW w:w="561" w:type="dxa"/>
                    <w:gridSpan w:val="2"/>
                    <w:tcBorders>
                      <w:top w:val="nil"/>
                      <w:left w:val="nil"/>
                      <w:bottom w:val="nil"/>
                      <w:right w:val="nil"/>
                    </w:tcBorders>
                    <w:shd w:val="clear" w:color="auto" w:fill="D9D9D9" w:themeFill="background1" w:themeFillShade="D9"/>
                    <w:noWrap/>
                    <w:vAlign w:val="center"/>
                    <w:hideMark/>
                  </w:tcPr>
                  <w:p w14:paraId="13F0003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496" w:type="dxa"/>
                    <w:gridSpan w:val="2"/>
                    <w:tcBorders>
                      <w:top w:val="nil"/>
                      <w:left w:val="nil"/>
                      <w:bottom w:val="nil"/>
                      <w:right w:val="single" w:sz="8" w:space="0" w:color="auto"/>
                    </w:tcBorders>
                    <w:shd w:val="clear" w:color="auto" w:fill="D9D9D9" w:themeFill="background1" w:themeFillShade="D9"/>
                    <w:noWrap/>
                    <w:vAlign w:val="center"/>
                    <w:hideMark/>
                  </w:tcPr>
                  <w:p w14:paraId="7945767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661" w:type="dxa"/>
                    <w:tcBorders>
                      <w:top w:val="nil"/>
                      <w:left w:val="nil"/>
                      <w:bottom w:val="nil"/>
                      <w:right w:val="nil"/>
                    </w:tcBorders>
                    <w:shd w:val="clear" w:color="auto" w:fill="D9D9D9" w:themeFill="background1" w:themeFillShade="D9"/>
                    <w:noWrap/>
                    <w:vAlign w:val="center"/>
                    <w:hideMark/>
                  </w:tcPr>
                  <w:p w14:paraId="78DE219F"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7CBCB6BC" w14:textId="77777777" w:rsidR="002F5246" w:rsidRPr="00FF56AB" w:rsidRDefault="002F5246" w:rsidP="00E23288">
                    <w:pPr>
                      <w:spacing w:line="240" w:lineRule="auto"/>
                      <w:jc w:val="center"/>
                      <w:rPr>
                        <w:rFonts w:ascii="Garamond" w:hAnsi="Garamond"/>
                        <w:color w:val="000000"/>
                        <w:sz w:val="16"/>
                        <w:szCs w:val="16"/>
                        <w:lang w:val="en-US"/>
                      </w:rPr>
                    </w:pPr>
                  </w:p>
                </w:tc>
                <w:tc>
                  <w:tcPr>
                    <w:tcW w:w="471" w:type="dxa"/>
                    <w:gridSpan w:val="2"/>
                    <w:tcBorders>
                      <w:top w:val="nil"/>
                      <w:left w:val="nil"/>
                      <w:bottom w:val="nil"/>
                      <w:right w:val="single" w:sz="8" w:space="0" w:color="auto"/>
                    </w:tcBorders>
                    <w:shd w:val="clear" w:color="auto" w:fill="D9D9D9" w:themeFill="background1" w:themeFillShade="D9"/>
                    <w:noWrap/>
                    <w:vAlign w:val="center"/>
                  </w:tcPr>
                  <w:p w14:paraId="6EBB52BD" w14:textId="77777777" w:rsidR="002F5246" w:rsidRPr="00FF56AB" w:rsidRDefault="002F5246" w:rsidP="00E23288">
                    <w:pPr>
                      <w:spacing w:line="240" w:lineRule="auto"/>
                      <w:jc w:val="center"/>
                      <w:rPr>
                        <w:rFonts w:ascii="Garamond" w:hAnsi="Garamond"/>
                        <w:color w:val="000000"/>
                        <w:sz w:val="16"/>
                        <w:szCs w:val="16"/>
                        <w:lang w:val="en-US"/>
                      </w:rPr>
                    </w:pPr>
                  </w:p>
                </w:tc>
                <w:tc>
                  <w:tcPr>
                    <w:tcW w:w="633" w:type="dxa"/>
                    <w:tcBorders>
                      <w:top w:val="nil"/>
                      <w:left w:val="nil"/>
                      <w:bottom w:val="nil"/>
                      <w:right w:val="single" w:sz="12" w:space="0" w:color="auto"/>
                    </w:tcBorders>
                    <w:shd w:val="clear" w:color="auto" w:fill="D9D9D9" w:themeFill="background1" w:themeFillShade="D9"/>
                    <w:noWrap/>
                    <w:vAlign w:val="center"/>
                    <w:hideMark/>
                  </w:tcPr>
                  <w:p w14:paraId="2362140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w:t>
                    </w:r>
                  </w:p>
                </w:tc>
              </w:tr>
              <w:tr w:rsidR="002F5246" w:rsidRPr="00FF56AB" w14:paraId="4E72B890" w14:textId="77777777" w:rsidTr="00E23288">
                <w:trPr>
                  <w:trHeight w:hRule="exact" w:val="227"/>
                  <w:jc w:val="center"/>
                </w:trPr>
                <w:tc>
                  <w:tcPr>
                    <w:tcW w:w="409" w:type="dxa"/>
                    <w:tcBorders>
                      <w:top w:val="nil"/>
                      <w:left w:val="single" w:sz="12" w:space="0" w:color="auto"/>
                      <w:bottom w:val="nil"/>
                      <w:right w:val="nil"/>
                    </w:tcBorders>
                    <w:shd w:val="clear" w:color="auto" w:fill="D9D9D9" w:themeFill="background1" w:themeFillShade="D9"/>
                    <w:vAlign w:val="center"/>
                  </w:tcPr>
                  <w:p w14:paraId="129D702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w:t>
                    </w:r>
                  </w:p>
                </w:tc>
                <w:tc>
                  <w:tcPr>
                    <w:tcW w:w="1559" w:type="dxa"/>
                    <w:tcBorders>
                      <w:top w:val="nil"/>
                      <w:left w:val="single" w:sz="8" w:space="0" w:color="auto"/>
                      <w:bottom w:val="nil"/>
                      <w:right w:val="single" w:sz="4" w:space="0" w:color="auto"/>
                    </w:tcBorders>
                    <w:shd w:val="clear" w:color="auto" w:fill="D9D9D9" w:themeFill="background1" w:themeFillShade="D9"/>
                    <w:noWrap/>
                    <w:vAlign w:val="center"/>
                    <w:hideMark/>
                  </w:tcPr>
                  <w:p w14:paraId="3CE4E5E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RABOBANKGFM</w:t>
                    </w:r>
                  </w:p>
                </w:tc>
                <w:tc>
                  <w:tcPr>
                    <w:tcW w:w="836" w:type="dxa"/>
                    <w:tcBorders>
                      <w:top w:val="nil"/>
                      <w:left w:val="single" w:sz="4" w:space="0" w:color="auto"/>
                      <w:bottom w:val="nil"/>
                      <w:right w:val="nil"/>
                    </w:tcBorders>
                    <w:shd w:val="clear" w:color="auto" w:fill="D9D9D9" w:themeFill="background1" w:themeFillShade="D9"/>
                    <w:noWrap/>
                    <w:vAlign w:val="center"/>
                    <w:hideMark/>
                  </w:tcPr>
                  <w:p w14:paraId="3453D4C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LON</w:t>
                    </w:r>
                  </w:p>
                </w:tc>
                <w:tc>
                  <w:tcPr>
                    <w:tcW w:w="607" w:type="dxa"/>
                    <w:tcBorders>
                      <w:top w:val="nil"/>
                      <w:left w:val="single" w:sz="8" w:space="0" w:color="auto"/>
                      <w:bottom w:val="nil"/>
                      <w:right w:val="nil"/>
                    </w:tcBorders>
                    <w:shd w:val="clear" w:color="auto" w:fill="D9D9D9" w:themeFill="background1" w:themeFillShade="D9"/>
                    <w:noWrap/>
                    <w:vAlign w:val="center"/>
                    <w:hideMark/>
                  </w:tcPr>
                  <w:p w14:paraId="0F16FA0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162</w:t>
                    </w:r>
                  </w:p>
                </w:tc>
                <w:tc>
                  <w:tcPr>
                    <w:tcW w:w="563" w:type="dxa"/>
                    <w:gridSpan w:val="2"/>
                    <w:tcBorders>
                      <w:top w:val="nil"/>
                      <w:left w:val="nil"/>
                      <w:bottom w:val="nil"/>
                      <w:right w:val="nil"/>
                    </w:tcBorders>
                    <w:shd w:val="clear" w:color="auto" w:fill="D9D9D9" w:themeFill="background1" w:themeFillShade="D9"/>
                    <w:noWrap/>
                    <w:vAlign w:val="center"/>
                    <w:hideMark/>
                  </w:tcPr>
                  <w:p w14:paraId="7F821A8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547" w:type="dxa"/>
                    <w:gridSpan w:val="2"/>
                    <w:tcBorders>
                      <w:top w:val="nil"/>
                      <w:left w:val="nil"/>
                      <w:bottom w:val="nil"/>
                      <w:right w:val="single" w:sz="8" w:space="0" w:color="auto"/>
                    </w:tcBorders>
                    <w:shd w:val="clear" w:color="auto" w:fill="D9D9D9" w:themeFill="background1" w:themeFillShade="D9"/>
                    <w:noWrap/>
                    <w:vAlign w:val="center"/>
                    <w:hideMark/>
                  </w:tcPr>
                  <w:p w14:paraId="3D3FC9C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611" w:type="dxa"/>
                    <w:tcBorders>
                      <w:top w:val="nil"/>
                      <w:left w:val="single" w:sz="8" w:space="0" w:color="auto"/>
                      <w:bottom w:val="nil"/>
                      <w:right w:val="nil"/>
                    </w:tcBorders>
                    <w:shd w:val="clear" w:color="auto" w:fill="D9D9D9" w:themeFill="background1" w:themeFillShade="D9"/>
                    <w:noWrap/>
                    <w:vAlign w:val="center"/>
                    <w:hideMark/>
                  </w:tcPr>
                  <w:p w14:paraId="532C244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44</w:t>
                    </w:r>
                  </w:p>
                </w:tc>
                <w:tc>
                  <w:tcPr>
                    <w:tcW w:w="561" w:type="dxa"/>
                    <w:gridSpan w:val="2"/>
                    <w:tcBorders>
                      <w:top w:val="nil"/>
                      <w:left w:val="nil"/>
                      <w:bottom w:val="nil"/>
                      <w:right w:val="nil"/>
                    </w:tcBorders>
                    <w:shd w:val="clear" w:color="auto" w:fill="D9D9D9" w:themeFill="background1" w:themeFillShade="D9"/>
                    <w:noWrap/>
                    <w:vAlign w:val="center"/>
                    <w:hideMark/>
                  </w:tcPr>
                  <w:p w14:paraId="5F782A2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499" w:type="dxa"/>
                    <w:gridSpan w:val="2"/>
                    <w:tcBorders>
                      <w:top w:val="nil"/>
                      <w:left w:val="nil"/>
                      <w:bottom w:val="nil"/>
                      <w:right w:val="single" w:sz="8" w:space="0" w:color="auto"/>
                    </w:tcBorders>
                    <w:shd w:val="clear" w:color="auto" w:fill="D9D9D9" w:themeFill="background1" w:themeFillShade="D9"/>
                    <w:noWrap/>
                    <w:vAlign w:val="center"/>
                    <w:hideMark/>
                  </w:tcPr>
                  <w:p w14:paraId="1FF6182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658" w:type="dxa"/>
                    <w:tcBorders>
                      <w:top w:val="nil"/>
                      <w:left w:val="nil"/>
                      <w:bottom w:val="nil"/>
                      <w:right w:val="nil"/>
                    </w:tcBorders>
                    <w:shd w:val="clear" w:color="auto" w:fill="D9D9D9" w:themeFill="background1" w:themeFillShade="D9"/>
                    <w:noWrap/>
                    <w:vAlign w:val="center"/>
                    <w:hideMark/>
                  </w:tcPr>
                  <w:p w14:paraId="3F084410"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3B27FBBF" w14:textId="77777777" w:rsidR="002F5246" w:rsidRPr="00FF56AB" w:rsidRDefault="002F5246" w:rsidP="00E23288">
                    <w:pPr>
                      <w:spacing w:line="240" w:lineRule="auto"/>
                      <w:jc w:val="center"/>
                      <w:rPr>
                        <w:rFonts w:ascii="Garamond" w:hAnsi="Garamond"/>
                        <w:color w:val="000000"/>
                        <w:sz w:val="16"/>
                        <w:szCs w:val="16"/>
                        <w:lang w:val="en-US"/>
                      </w:rPr>
                    </w:pPr>
                  </w:p>
                </w:tc>
                <w:tc>
                  <w:tcPr>
                    <w:tcW w:w="474" w:type="dxa"/>
                    <w:gridSpan w:val="2"/>
                    <w:tcBorders>
                      <w:top w:val="nil"/>
                      <w:left w:val="nil"/>
                      <w:bottom w:val="nil"/>
                      <w:right w:val="single" w:sz="8" w:space="0" w:color="auto"/>
                    </w:tcBorders>
                    <w:shd w:val="clear" w:color="auto" w:fill="D9D9D9" w:themeFill="background1" w:themeFillShade="D9"/>
                    <w:noWrap/>
                    <w:vAlign w:val="center"/>
                  </w:tcPr>
                  <w:p w14:paraId="07F19160" w14:textId="77777777" w:rsidR="002F5246" w:rsidRPr="00FF56AB" w:rsidRDefault="002F5246" w:rsidP="00E23288">
                    <w:pPr>
                      <w:spacing w:line="240" w:lineRule="auto"/>
                      <w:jc w:val="center"/>
                      <w:rPr>
                        <w:rFonts w:ascii="Garamond" w:hAnsi="Garamond"/>
                        <w:color w:val="000000"/>
                        <w:sz w:val="16"/>
                        <w:szCs w:val="16"/>
                        <w:lang w:val="en-US"/>
                      </w:rPr>
                    </w:pPr>
                  </w:p>
                </w:tc>
                <w:tc>
                  <w:tcPr>
                    <w:tcW w:w="636" w:type="dxa"/>
                    <w:tcBorders>
                      <w:top w:val="nil"/>
                      <w:left w:val="nil"/>
                      <w:bottom w:val="nil"/>
                      <w:right w:val="nil"/>
                    </w:tcBorders>
                    <w:shd w:val="clear" w:color="auto" w:fill="D9D9D9" w:themeFill="background1" w:themeFillShade="D9"/>
                    <w:noWrap/>
                    <w:vAlign w:val="center"/>
                    <w:hideMark/>
                  </w:tcPr>
                  <w:p w14:paraId="5962D22F"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3F264BC3" w14:textId="77777777" w:rsidR="002F5246" w:rsidRPr="00FF56AB" w:rsidRDefault="002F5246" w:rsidP="00E23288">
                    <w:pPr>
                      <w:spacing w:line="240" w:lineRule="auto"/>
                      <w:jc w:val="center"/>
                      <w:rPr>
                        <w:rFonts w:ascii="Garamond" w:hAnsi="Garamond"/>
                        <w:color w:val="000000"/>
                        <w:sz w:val="16"/>
                        <w:szCs w:val="16"/>
                        <w:lang w:val="en-US"/>
                      </w:rPr>
                    </w:pPr>
                  </w:p>
                </w:tc>
                <w:tc>
                  <w:tcPr>
                    <w:tcW w:w="496" w:type="dxa"/>
                    <w:gridSpan w:val="2"/>
                    <w:tcBorders>
                      <w:top w:val="nil"/>
                      <w:left w:val="nil"/>
                      <w:bottom w:val="nil"/>
                      <w:right w:val="single" w:sz="8" w:space="0" w:color="auto"/>
                    </w:tcBorders>
                    <w:shd w:val="clear" w:color="auto" w:fill="D9D9D9" w:themeFill="background1" w:themeFillShade="D9"/>
                    <w:noWrap/>
                    <w:vAlign w:val="center"/>
                  </w:tcPr>
                  <w:p w14:paraId="3B3546E4" w14:textId="77777777" w:rsidR="002F5246" w:rsidRPr="00FF56AB" w:rsidRDefault="002F5246" w:rsidP="00E23288">
                    <w:pPr>
                      <w:spacing w:line="240" w:lineRule="auto"/>
                      <w:jc w:val="center"/>
                      <w:rPr>
                        <w:rFonts w:ascii="Garamond" w:hAnsi="Garamond"/>
                        <w:color w:val="000000"/>
                        <w:sz w:val="16"/>
                        <w:szCs w:val="16"/>
                        <w:lang w:val="en-US"/>
                      </w:rPr>
                    </w:pPr>
                  </w:p>
                </w:tc>
                <w:tc>
                  <w:tcPr>
                    <w:tcW w:w="661" w:type="dxa"/>
                    <w:tcBorders>
                      <w:top w:val="nil"/>
                      <w:left w:val="nil"/>
                      <w:bottom w:val="nil"/>
                      <w:right w:val="nil"/>
                    </w:tcBorders>
                    <w:shd w:val="clear" w:color="auto" w:fill="D9D9D9" w:themeFill="background1" w:themeFillShade="D9"/>
                    <w:noWrap/>
                    <w:vAlign w:val="center"/>
                    <w:hideMark/>
                  </w:tcPr>
                  <w:p w14:paraId="05ED648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162</w:t>
                    </w:r>
                  </w:p>
                </w:tc>
                <w:tc>
                  <w:tcPr>
                    <w:tcW w:w="561" w:type="dxa"/>
                    <w:gridSpan w:val="2"/>
                    <w:tcBorders>
                      <w:top w:val="nil"/>
                      <w:left w:val="nil"/>
                      <w:bottom w:val="nil"/>
                      <w:right w:val="nil"/>
                    </w:tcBorders>
                    <w:shd w:val="clear" w:color="auto" w:fill="D9D9D9" w:themeFill="background1" w:themeFillShade="D9"/>
                    <w:noWrap/>
                    <w:vAlign w:val="center"/>
                    <w:hideMark/>
                  </w:tcPr>
                  <w:p w14:paraId="7F35943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471" w:type="dxa"/>
                    <w:gridSpan w:val="2"/>
                    <w:tcBorders>
                      <w:top w:val="nil"/>
                      <w:left w:val="nil"/>
                      <w:bottom w:val="nil"/>
                      <w:right w:val="single" w:sz="8" w:space="0" w:color="auto"/>
                    </w:tcBorders>
                    <w:shd w:val="clear" w:color="auto" w:fill="D9D9D9" w:themeFill="background1" w:themeFillShade="D9"/>
                    <w:noWrap/>
                    <w:vAlign w:val="center"/>
                    <w:hideMark/>
                  </w:tcPr>
                  <w:p w14:paraId="4584A6C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633" w:type="dxa"/>
                    <w:tcBorders>
                      <w:top w:val="nil"/>
                      <w:left w:val="nil"/>
                      <w:bottom w:val="nil"/>
                      <w:right w:val="single" w:sz="12" w:space="0" w:color="auto"/>
                    </w:tcBorders>
                    <w:shd w:val="clear" w:color="auto" w:fill="D9D9D9" w:themeFill="background1" w:themeFillShade="D9"/>
                    <w:noWrap/>
                    <w:vAlign w:val="center"/>
                    <w:hideMark/>
                  </w:tcPr>
                  <w:p w14:paraId="0CFFDA9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w:t>
                    </w:r>
                  </w:p>
                </w:tc>
              </w:tr>
              <w:tr w:rsidR="002F5246" w:rsidRPr="00FF56AB" w14:paraId="6094DB61" w14:textId="77777777" w:rsidTr="00E23288">
                <w:trPr>
                  <w:trHeight w:hRule="exact" w:val="227"/>
                  <w:jc w:val="center"/>
                </w:trPr>
                <w:tc>
                  <w:tcPr>
                    <w:tcW w:w="409" w:type="dxa"/>
                    <w:tcBorders>
                      <w:top w:val="nil"/>
                      <w:left w:val="single" w:sz="12" w:space="0" w:color="auto"/>
                      <w:bottom w:val="nil"/>
                      <w:right w:val="nil"/>
                    </w:tcBorders>
                    <w:shd w:val="clear" w:color="auto" w:fill="D9D9D9" w:themeFill="background1" w:themeFillShade="D9"/>
                    <w:vAlign w:val="center"/>
                  </w:tcPr>
                  <w:p w14:paraId="221F4C0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w:t>
                    </w:r>
                  </w:p>
                </w:tc>
                <w:tc>
                  <w:tcPr>
                    <w:tcW w:w="1559" w:type="dxa"/>
                    <w:tcBorders>
                      <w:top w:val="nil"/>
                      <w:left w:val="single" w:sz="8" w:space="0" w:color="auto"/>
                      <w:bottom w:val="nil"/>
                      <w:right w:val="single" w:sz="4" w:space="0" w:color="auto"/>
                    </w:tcBorders>
                    <w:shd w:val="clear" w:color="auto" w:fill="D9D9D9" w:themeFill="background1" w:themeFillShade="D9"/>
                    <w:noWrap/>
                    <w:vAlign w:val="center"/>
                    <w:hideMark/>
                  </w:tcPr>
                  <w:p w14:paraId="25B34DC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SOC GENERALE</w:t>
                    </w:r>
                  </w:p>
                </w:tc>
                <w:tc>
                  <w:tcPr>
                    <w:tcW w:w="836" w:type="dxa"/>
                    <w:tcBorders>
                      <w:top w:val="nil"/>
                      <w:left w:val="single" w:sz="4" w:space="0" w:color="auto"/>
                      <w:bottom w:val="nil"/>
                      <w:right w:val="nil"/>
                    </w:tcBorders>
                    <w:shd w:val="clear" w:color="auto" w:fill="D9D9D9" w:themeFill="background1" w:themeFillShade="D9"/>
                    <w:noWrap/>
                    <w:vAlign w:val="center"/>
                    <w:hideMark/>
                  </w:tcPr>
                  <w:p w14:paraId="6ABAAFF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PAR</w:t>
                    </w:r>
                  </w:p>
                </w:tc>
                <w:tc>
                  <w:tcPr>
                    <w:tcW w:w="607" w:type="dxa"/>
                    <w:tcBorders>
                      <w:top w:val="nil"/>
                      <w:left w:val="single" w:sz="8" w:space="0" w:color="auto"/>
                      <w:bottom w:val="nil"/>
                      <w:right w:val="nil"/>
                    </w:tcBorders>
                    <w:shd w:val="clear" w:color="auto" w:fill="D9D9D9" w:themeFill="background1" w:themeFillShade="D9"/>
                    <w:noWrap/>
                    <w:vAlign w:val="center"/>
                    <w:hideMark/>
                  </w:tcPr>
                  <w:p w14:paraId="16FD822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200</w:t>
                    </w:r>
                  </w:p>
                </w:tc>
                <w:tc>
                  <w:tcPr>
                    <w:tcW w:w="563" w:type="dxa"/>
                    <w:gridSpan w:val="2"/>
                    <w:tcBorders>
                      <w:top w:val="nil"/>
                      <w:left w:val="nil"/>
                      <w:bottom w:val="nil"/>
                      <w:right w:val="nil"/>
                    </w:tcBorders>
                    <w:shd w:val="clear" w:color="auto" w:fill="D9D9D9" w:themeFill="background1" w:themeFillShade="D9"/>
                    <w:noWrap/>
                    <w:vAlign w:val="center"/>
                    <w:hideMark/>
                  </w:tcPr>
                  <w:p w14:paraId="1677E45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547" w:type="dxa"/>
                    <w:gridSpan w:val="2"/>
                    <w:tcBorders>
                      <w:top w:val="nil"/>
                      <w:left w:val="nil"/>
                      <w:bottom w:val="nil"/>
                      <w:right w:val="single" w:sz="8" w:space="0" w:color="auto"/>
                    </w:tcBorders>
                    <w:shd w:val="clear" w:color="auto" w:fill="D9D9D9" w:themeFill="background1" w:themeFillShade="D9"/>
                    <w:noWrap/>
                    <w:vAlign w:val="center"/>
                    <w:hideMark/>
                  </w:tcPr>
                  <w:p w14:paraId="107EEDD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611" w:type="dxa"/>
                    <w:tcBorders>
                      <w:top w:val="nil"/>
                      <w:left w:val="single" w:sz="8" w:space="0" w:color="auto"/>
                      <w:bottom w:val="nil"/>
                      <w:right w:val="nil"/>
                    </w:tcBorders>
                    <w:shd w:val="clear" w:color="auto" w:fill="D9D9D9" w:themeFill="background1" w:themeFillShade="D9"/>
                    <w:noWrap/>
                    <w:vAlign w:val="center"/>
                    <w:hideMark/>
                  </w:tcPr>
                  <w:p w14:paraId="70761E1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215</w:t>
                    </w:r>
                  </w:p>
                </w:tc>
                <w:tc>
                  <w:tcPr>
                    <w:tcW w:w="561" w:type="dxa"/>
                    <w:gridSpan w:val="2"/>
                    <w:tcBorders>
                      <w:top w:val="nil"/>
                      <w:left w:val="nil"/>
                      <w:bottom w:val="nil"/>
                      <w:right w:val="nil"/>
                    </w:tcBorders>
                    <w:shd w:val="clear" w:color="auto" w:fill="D9D9D9" w:themeFill="background1" w:themeFillShade="D9"/>
                    <w:noWrap/>
                    <w:vAlign w:val="center"/>
                    <w:hideMark/>
                  </w:tcPr>
                  <w:p w14:paraId="7E6DA79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499" w:type="dxa"/>
                    <w:gridSpan w:val="2"/>
                    <w:tcBorders>
                      <w:top w:val="nil"/>
                      <w:left w:val="nil"/>
                      <w:bottom w:val="nil"/>
                      <w:right w:val="single" w:sz="8" w:space="0" w:color="auto"/>
                    </w:tcBorders>
                    <w:shd w:val="clear" w:color="auto" w:fill="D9D9D9" w:themeFill="background1" w:themeFillShade="D9"/>
                    <w:noWrap/>
                    <w:vAlign w:val="center"/>
                    <w:hideMark/>
                  </w:tcPr>
                  <w:p w14:paraId="4FC3CF5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c>
                  <w:tcPr>
                    <w:tcW w:w="658" w:type="dxa"/>
                    <w:tcBorders>
                      <w:top w:val="nil"/>
                      <w:left w:val="nil"/>
                      <w:bottom w:val="nil"/>
                      <w:right w:val="nil"/>
                    </w:tcBorders>
                    <w:shd w:val="clear" w:color="auto" w:fill="D9D9D9" w:themeFill="background1" w:themeFillShade="D9"/>
                    <w:noWrap/>
                    <w:vAlign w:val="center"/>
                    <w:hideMark/>
                  </w:tcPr>
                  <w:p w14:paraId="25F5CA9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211</w:t>
                    </w:r>
                  </w:p>
                </w:tc>
                <w:tc>
                  <w:tcPr>
                    <w:tcW w:w="561" w:type="dxa"/>
                    <w:gridSpan w:val="2"/>
                    <w:tcBorders>
                      <w:top w:val="nil"/>
                      <w:left w:val="nil"/>
                      <w:bottom w:val="nil"/>
                      <w:right w:val="nil"/>
                    </w:tcBorders>
                    <w:shd w:val="clear" w:color="auto" w:fill="D9D9D9" w:themeFill="background1" w:themeFillShade="D9"/>
                    <w:noWrap/>
                    <w:vAlign w:val="center"/>
                    <w:hideMark/>
                  </w:tcPr>
                  <w:p w14:paraId="616AE7F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474" w:type="dxa"/>
                    <w:gridSpan w:val="2"/>
                    <w:tcBorders>
                      <w:top w:val="nil"/>
                      <w:left w:val="nil"/>
                      <w:bottom w:val="nil"/>
                      <w:right w:val="single" w:sz="8" w:space="0" w:color="auto"/>
                    </w:tcBorders>
                    <w:shd w:val="clear" w:color="auto" w:fill="D9D9D9" w:themeFill="background1" w:themeFillShade="D9"/>
                    <w:noWrap/>
                    <w:vAlign w:val="center"/>
                    <w:hideMark/>
                  </w:tcPr>
                  <w:p w14:paraId="5D51BD0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636" w:type="dxa"/>
                    <w:tcBorders>
                      <w:top w:val="nil"/>
                      <w:left w:val="nil"/>
                      <w:bottom w:val="nil"/>
                      <w:right w:val="nil"/>
                    </w:tcBorders>
                    <w:shd w:val="clear" w:color="auto" w:fill="D9D9D9" w:themeFill="background1" w:themeFillShade="D9"/>
                    <w:noWrap/>
                    <w:vAlign w:val="center"/>
                    <w:hideMark/>
                  </w:tcPr>
                  <w:p w14:paraId="23CDAEA1"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24B11E59" w14:textId="77777777" w:rsidR="002F5246" w:rsidRPr="00FF56AB" w:rsidRDefault="002F5246" w:rsidP="00E23288">
                    <w:pPr>
                      <w:spacing w:line="240" w:lineRule="auto"/>
                      <w:jc w:val="center"/>
                      <w:rPr>
                        <w:rFonts w:ascii="Garamond" w:hAnsi="Garamond"/>
                        <w:color w:val="000000"/>
                        <w:sz w:val="16"/>
                        <w:szCs w:val="16"/>
                        <w:lang w:val="en-US"/>
                      </w:rPr>
                    </w:pPr>
                  </w:p>
                </w:tc>
                <w:tc>
                  <w:tcPr>
                    <w:tcW w:w="496" w:type="dxa"/>
                    <w:gridSpan w:val="2"/>
                    <w:tcBorders>
                      <w:top w:val="nil"/>
                      <w:left w:val="nil"/>
                      <w:bottom w:val="nil"/>
                      <w:right w:val="single" w:sz="8" w:space="0" w:color="auto"/>
                    </w:tcBorders>
                    <w:shd w:val="clear" w:color="auto" w:fill="D9D9D9" w:themeFill="background1" w:themeFillShade="D9"/>
                    <w:noWrap/>
                    <w:vAlign w:val="center"/>
                  </w:tcPr>
                  <w:p w14:paraId="39E5F73A" w14:textId="77777777" w:rsidR="002F5246" w:rsidRPr="00FF56AB" w:rsidRDefault="002F5246" w:rsidP="00E23288">
                    <w:pPr>
                      <w:spacing w:line="240" w:lineRule="auto"/>
                      <w:jc w:val="center"/>
                      <w:rPr>
                        <w:rFonts w:ascii="Garamond" w:hAnsi="Garamond"/>
                        <w:color w:val="000000"/>
                        <w:sz w:val="16"/>
                        <w:szCs w:val="16"/>
                        <w:lang w:val="en-US"/>
                      </w:rPr>
                    </w:pPr>
                  </w:p>
                </w:tc>
                <w:tc>
                  <w:tcPr>
                    <w:tcW w:w="661" w:type="dxa"/>
                    <w:tcBorders>
                      <w:top w:val="nil"/>
                      <w:left w:val="nil"/>
                      <w:bottom w:val="nil"/>
                      <w:right w:val="nil"/>
                    </w:tcBorders>
                    <w:shd w:val="clear" w:color="auto" w:fill="D9D9D9" w:themeFill="background1" w:themeFillShade="D9"/>
                    <w:noWrap/>
                    <w:vAlign w:val="center"/>
                    <w:hideMark/>
                  </w:tcPr>
                  <w:p w14:paraId="464A3D11"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29159C94" w14:textId="77777777" w:rsidR="002F5246" w:rsidRPr="00FF56AB" w:rsidRDefault="002F5246" w:rsidP="00E23288">
                    <w:pPr>
                      <w:spacing w:line="240" w:lineRule="auto"/>
                      <w:jc w:val="center"/>
                      <w:rPr>
                        <w:rFonts w:ascii="Garamond" w:hAnsi="Garamond"/>
                        <w:color w:val="000000"/>
                        <w:sz w:val="16"/>
                        <w:szCs w:val="16"/>
                        <w:lang w:val="en-US"/>
                      </w:rPr>
                    </w:pPr>
                  </w:p>
                </w:tc>
                <w:tc>
                  <w:tcPr>
                    <w:tcW w:w="471" w:type="dxa"/>
                    <w:gridSpan w:val="2"/>
                    <w:tcBorders>
                      <w:top w:val="nil"/>
                      <w:left w:val="nil"/>
                      <w:bottom w:val="nil"/>
                      <w:right w:val="single" w:sz="8" w:space="0" w:color="auto"/>
                    </w:tcBorders>
                    <w:shd w:val="clear" w:color="auto" w:fill="D9D9D9" w:themeFill="background1" w:themeFillShade="D9"/>
                    <w:noWrap/>
                    <w:vAlign w:val="center"/>
                  </w:tcPr>
                  <w:p w14:paraId="3D24A6B8" w14:textId="77777777" w:rsidR="002F5246" w:rsidRPr="00FF56AB" w:rsidRDefault="002F5246" w:rsidP="00E23288">
                    <w:pPr>
                      <w:spacing w:line="240" w:lineRule="auto"/>
                      <w:jc w:val="center"/>
                      <w:rPr>
                        <w:rFonts w:ascii="Garamond" w:hAnsi="Garamond"/>
                        <w:color w:val="000000"/>
                        <w:sz w:val="16"/>
                        <w:szCs w:val="16"/>
                        <w:lang w:val="en-US"/>
                      </w:rPr>
                    </w:pPr>
                  </w:p>
                </w:tc>
                <w:tc>
                  <w:tcPr>
                    <w:tcW w:w="633" w:type="dxa"/>
                    <w:tcBorders>
                      <w:top w:val="nil"/>
                      <w:left w:val="nil"/>
                      <w:bottom w:val="nil"/>
                      <w:right w:val="single" w:sz="12" w:space="0" w:color="auto"/>
                    </w:tcBorders>
                    <w:shd w:val="clear" w:color="auto" w:fill="D9D9D9" w:themeFill="background1" w:themeFillShade="D9"/>
                    <w:noWrap/>
                    <w:vAlign w:val="center"/>
                    <w:hideMark/>
                  </w:tcPr>
                  <w:p w14:paraId="421CA93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w:t>
                    </w:r>
                  </w:p>
                </w:tc>
              </w:tr>
              <w:tr w:rsidR="002F5246" w:rsidRPr="00FF56AB" w14:paraId="188C333C" w14:textId="77777777" w:rsidTr="00E23288">
                <w:trPr>
                  <w:trHeight w:hRule="exact" w:val="227"/>
                  <w:jc w:val="center"/>
                </w:trPr>
                <w:tc>
                  <w:tcPr>
                    <w:tcW w:w="409" w:type="dxa"/>
                    <w:tcBorders>
                      <w:top w:val="nil"/>
                      <w:left w:val="single" w:sz="12" w:space="0" w:color="auto"/>
                      <w:bottom w:val="nil"/>
                      <w:right w:val="nil"/>
                    </w:tcBorders>
                    <w:shd w:val="clear" w:color="auto" w:fill="D9D9D9" w:themeFill="background1" w:themeFillShade="D9"/>
                    <w:vAlign w:val="center"/>
                  </w:tcPr>
                  <w:p w14:paraId="49B0F2C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6</w:t>
                    </w:r>
                  </w:p>
                </w:tc>
                <w:tc>
                  <w:tcPr>
                    <w:tcW w:w="1559" w:type="dxa"/>
                    <w:tcBorders>
                      <w:top w:val="nil"/>
                      <w:left w:val="single" w:sz="8" w:space="0" w:color="auto"/>
                      <w:bottom w:val="nil"/>
                      <w:right w:val="single" w:sz="4" w:space="0" w:color="auto"/>
                    </w:tcBorders>
                    <w:shd w:val="clear" w:color="auto" w:fill="D9D9D9" w:themeFill="background1" w:themeFillShade="D9"/>
                    <w:noWrap/>
                    <w:vAlign w:val="center"/>
                  </w:tcPr>
                  <w:p w14:paraId="245D99C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UBS</w:t>
                    </w:r>
                  </w:p>
                </w:tc>
                <w:tc>
                  <w:tcPr>
                    <w:tcW w:w="836" w:type="dxa"/>
                    <w:tcBorders>
                      <w:top w:val="nil"/>
                      <w:left w:val="single" w:sz="4" w:space="0" w:color="auto"/>
                      <w:bottom w:val="nil"/>
                      <w:right w:val="nil"/>
                    </w:tcBorders>
                    <w:shd w:val="clear" w:color="auto" w:fill="D9D9D9" w:themeFill="background1" w:themeFillShade="D9"/>
                    <w:noWrap/>
                    <w:vAlign w:val="center"/>
                  </w:tcPr>
                  <w:p w14:paraId="35E11B9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ZUR</w:t>
                    </w:r>
                  </w:p>
                </w:tc>
                <w:tc>
                  <w:tcPr>
                    <w:tcW w:w="607" w:type="dxa"/>
                    <w:tcBorders>
                      <w:top w:val="nil"/>
                      <w:left w:val="single" w:sz="8" w:space="0" w:color="auto"/>
                      <w:bottom w:val="nil"/>
                      <w:right w:val="nil"/>
                    </w:tcBorders>
                    <w:shd w:val="clear" w:color="auto" w:fill="D9D9D9" w:themeFill="background1" w:themeFillShade="D9"/>
                    <w:noWrap/>
                    <w:vAlign w:val="center"/>
                  </w:tcPr>
                  <w:p w14:paraId="17EC67D2" w14:textId="77777777" w:rsidR="002F5246" w:rsidRPr="00FF56AB" w:rsidRDefault="002F5246" w:rsidP="00E23288">
                    <w:pPr>
                      <w:spacing w:line="240" w:lineRule="auto"/>
                      <w:jc w:val="center"/>
                      <w:rPr>
                        <w:rFonts w:ascii="Garamond" w:hAnsi="Garamond"/>
                        <w:color w:val="000000"/>
                        <w:sz w:val="16"/>
                        <w:szCs w:val="16"/>
                        <w:lang w:val="en-US"/>
                      </w:rPr>
                    </w:pPr>
                  </w:p>
                </w:tc>
                <w:tc>
                  <w:tcPr>
                    <w:tcW w:w="563" w:type="dxa"/>
                    <w:gridSpan w:val="2"/>
                    <w:tcBorders>
                      <w:top w:val="nil"/>
                      <w:left w:val="nil"/>
                      <w:bottom w:val="nil"/>
                      <w:right w:val="nil"/>
                    </w:tcBorders>
                    <w:shd w:val="clear" w:color="auto" w:fill="D9D9D9" w:themeFill="background1" w:themeFillShade="D9"/>
                    <w:noWrap/>
                    <w:vAlign w:val="center"/>
                  </w:tcPr>
                  <w:p w14:paraId="63578F58" w14:textId="77777777" w:rsidR="002F5246" w:rsidRPr="00FF56AB" w:rsidRDefault="002F5246" w:rsidP="00E23288">
                    <w:pPr>
                      <w:spacing w:line="240" w:lineRule="auto"/>
                      <w:jc w:val="center"/>
                      <w:rPr>
                        <w:rFonts w:ascii="Garamond" w:hAnsi="Garamond"/>
                        <w:color w:val="000000"/>
                        <w:sz w:val="16"/>
                        <w:szCs w:val="16"/>
                        <w:lang w:val="en-US"/>
                      </w:rPr>
                    </w:pPr>
                  </w:p>
                </w:tc>
                <w:tc>
                  <w:tcPr>
                    <w:tcW w:w="547" w:type="dxa"/>
                    <w:gridSpan w:val="2"/>
                    <w:tcBorders>
                      <w:top w:val="nil"/>
                      <w:left w:val="nil"/>
                      <w:bottom w:val="nil"/>
                      <w:right w:val="single" w:sz="8" w:space="0" w:color="auto"/>
                    </w:tcBorders>
                    <w:shd w:val="clear" w:color="auto" w:fill="D9D9D9" w:themeFill="background1" w:themeFillShade="D9"/>
                    <w:noWrap/>
                    <w:vAlign w:val="center"/>
                  </w:tcPr>
                  <w:p w14:paraId="31231BAE" w14:textId="77777777" w:rsidR="002F5246" w:rsidRPr="00FF56AB" w:rsidRDefault="002F5246" w:rsidP="00E23288">
                    <w:pPr>
                      <w:spacing w:line="240" w:lineRule="auto"/>
                      <w:jc w:val="center"/>
                      <w:rPr>
                        <w:rFonts w:ascii="Garamond" w:hAnsi="Garamond"/>
                        <w:color w:val="000000"/>
                        <w:sz w:val="16"/>
                        <w:szCs w:val="16"/>
                        <w:lang w:val="en-US"/>
                      </w:rPr>
                    </w:pPr>
                  </w:p>
                </w:tc>
                <w:tc>
                  <w:tcPr>
                    <w:tcW w:w="611" w:type="dxa"/>
                    <w:tcBorders>
                      <w:top w:val="nil"/>
                      <w:left w:val="single" w:sz="8" w:space="0" w:color="auto"/>
                      <w:bottom w:val="nil"/>
                      <w:right w:val="nil"/>
                    </w:tcBorders>
                    <w:shd w:val="clear" w:color="auto" w:fill="D9D9D9" w:themeFill="background1" w:themeFillShade="D9"/>
                    <w:noWrap/>
                    <w:vAlign w:val="center"/>
                  </w:tcPr>
                  <w:p w14:paraId="2AE9AD97"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61B5495A" w14:textId="77777777" w:rsidR="002F5246" w:rsidRPr="00FF56AB" w:rsidRDefault="002F5246" w:rsidP="00E23288">
                    <w:pPr>
                      <w:spacing w:line="240" w:lineRule="auto"/>
                      <w:jc w:val="center"/>
                      <w:rPr>
                        <w:rFonts w:ascii="Garamond" w:hAnsi="Garamond"/>
                        <w:color w:val="000000"/>
                        <w:sz w:val="16"/>
                        <w:szCs w:val="16"/>
                        <w:lang w:val="en-US"/>
                      </w:rPr>
                    </w:pPr>
                  </w:p>
                </w:tc>
                <w:tc>
                  <w:tcPr>
                    <w:tcW w:w="499" w:type="dxa"/>
                    <w:gridSpan w:val="2"/>
                    <w:tcBorders>
                      <w:top w:val="nil"/>
                      <w:left w:val="nil"/>
                      <w:bottom w:val="nil"/>
                      <w:right w:val="single" w:sz="8" w:space="0" w:color="auto"/>
                    </w:tcBorders>
                    <w:shd w:val="clear" w:color="auto" w:fill="D9D9D9" w:themeFill="background1" w:themeFillShade="D9"/>
                    <w:noWrap/>
                    <w:vAlign w:val="center"/>
                  </w:tcPr>
                  <w:p w14:paraId="02CBF730" w14:textId="77777777" w:rsidR="002F5246" w:rsidRPr="00FF56AB" w:rsidRDefault="002F5246" w:rsidP="00E23288">
                    <w:pPr>
                      <w:spacing w:line="240" w:lineRule="auto"/>
                      <w:jc w:val="center"/>
                      <w:rPr>
                        <w:rFonts w:ascii="Garamond" w:hAnsi="Garamond"/>
                        <w:color w:val="000000"/>
                        <w:sz w:val="16"/>
                        <w:szCs w:val="16"/>
                        <w:lang w:val="en-US"/>
                      </w:rPr>
                    </w:pPr>
                  </w:p>
                </w:tc>
                <w:tc>
                  <w:tcPr>
                    <w:tcW w:w="658" w:type="dxa"/>
                    <w:tcBorders>
                      <w:top w:val="nil"/>
                      <w:left w:val="nil"/>
                      <w:bottom w:val="nil"/>
                      <w:right w:val="nil"/>
                    </w:tcBorders>
                    <w:shd w:val="clear" w:color="auto" w:fill="D9D9D9" w:themeFill="background1" w:themeFillShade="D9"/>
                    <w:noWrap/>
                    <w:vAlign w:val="center"/>
                  </w:tcPr>
                  <w:p w14:paraId="65D698B8"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74ADB218" w14:textId="77777777" w:rsidR="002F5246" w:rsidRPr="00FF56AB" w:rsidRDefault="002F5246" w:rsidP="00E23288">
                    <w:pPr>
                      <w:spacing w:line="240" w:lineRule="auto"/>
                      <w:jc w:val="center"/>
                      <w:rPr>
                        <w:rFonts w:ascii="Garamond" w:hAnsi="Garamond"/>
                        <w:color w:val="000000"/>
                        <w:sz w:val="16"/>
                        <w:szCs w:val="16"/>
                        <w:lang w:val="en-US"/>
                      </w:rPr>
                    </w:pPr>
                  </w:p>
                </w:tc>
                <w:tc>
                  <w:tcPr>
                    <w:tcW w:w="474" w:type="dxa"/>
                    <w:gridSpan w:val="2"/>
                    <w:tcBorders>
                      <w:top w:val="nil"/>
                      <w:left w:val="nil"/>
                      <w:bottom w:val="nil"/>
                      <w:right w:val="single" w:sz="8" w:space="0" w:color="auto"/>
                    </w:tcBorders>
                    <w:shd w:val="clear" w:color="auto" w:fill="D9D9D9" w:themeFill="background1" w:themeFillShade="D9"/>
                    <w:noWrap/>
                    <w:vAlign w:val="center"/>
                  </w:tcPr>
                  <w:p w14:paraId="46963F1A" w14:textId="77777777" w:rsidR="002F5246" w:rsidRPr="00FF56AB" w:rsidRDefault="002F5246" w:rsidP="00E23288">
                    <w:pPr>
                      <w:spacing w:line="240" w:lineRule="auto"/>
                      <w:jc w:val="center"/>
                      <w:rPr>
                        <w:rFonts w:ascii="Garamond" w:hAnsi="Garamond"/>
                        <w:color w:val="000000"/>
                        <w:sz w:val="16"/>
                        <w:szCs w:val="16"/>
                        <w:lang w:val="en-US"/>
                      </w:rPr>
                    </w:pPr>
                  </w:p>
                </w:tc>
                <w:tc>
                  <w:tcPr>
                    <w:tcW w:w="636" w:type="dxa"/>
                    <w:tcBorders>
                      <w:top w:val="nil"/>
                      <w:left w:val="nil"/>
                      <w:bottom w:val="nil"/>
                      <w:right w:val="nil"/>
                    </w:tcBorders>
                    <w:shd w:val="clear" w:color="auto" w:fill="D9D9D9" w:themeFill="background1" w:themeFillShade="D9"/>
                    <w:noWrap/>
                    <w:vAlign w:val="center"/>
                  </w:tcPr>
                  <w:p w14:paraId="0CFF900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212</w:t>
                    </w:r>
                  </w:p>
                </w:tc>
                <w:tc>
                  <w:tcPr>
                    <w:tcW w:w="561" w:type="dxa"/>
                    <w:gridSpan w:val="2"/>
                    <w:tcBorders>
                      <w:top w:val="nil"/>
                      <w:left w:val="nil"/>
                      <w:bottom w:val="nil"/>
                      <w:right w:val="nil"/>
                    </w:tcBorders>
                    <w:shd w:val="clear" w:color="auto" w:fill="D9D9D9" w:themeFill="background1" w:themeFillShade="D9"/>
                    <w:noWrap/>
                    <w:vAlign w:val="center"/>
                  </w:tcPr>
                  <w:p w14:paraId="43443BB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496" w:type="dxa"/>
                    <w:gridSpan w:val="2"/>
                    <w:tcBorders>
                      <w:top w:val="nil"/>
                      <w:left w:val="nil"/>
                      <w:bottom w:val="nil"/>
                      <w:right w:val="single" w:sz="8" w:space="0" w:color="auto"/>
                    </w:tcBorders>
                    <w:shd w:val="clear" w:color="auto" w:fill="D9D9D9" w:themeFill="background1" w:themeFillShade="D9"/>
                    <w:noWrap/>
                    <w:vAlign w:val="center"/>
                  </w:tcPr>
                  <w:p w14:paraId="2BB4EFD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661" w:type="dxa"/>
                    <w:tcBorders>
                      <w:top w:val="nil"/>
                      <w:left w:val="nil"/>
                      <w:bottom w:val="nil"/>
                      <w:right w:val="nil"/>
                    </w:tcBorders>
                    <w:shd w:val="clear" w:color="auto" w:fill="D9D9D9" w:themeFill="background1" w:themeFillShade="D9"/>
                    <w:noWrap/>
                    <w:vAlign w:val="center"/>
                  </w:tcPr>
                  <w:p w14:paraId="5762FD8D"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0BA5E544" w14:textId="77777777" w:rsidR="002F5246" w:rsidRPr="00FF56AB" w:rsidRDefault="002F5246" w:rsidP="00E23288">
                    <w:pPr>
                      <w:spacing w:line="240" w:lineRule="auto"/>
                      <w:jc w:val="center"/>
                      <w:rPr>
                        <w:rFonts w:ascii="Garamond" w:hAnsi="Garamond"/>
                        <w:color w:val="000000"/>
                        <w:sz w:val="16"/>
                        <w:szCs w:val="16"/>
                        <w:lang w:val="en-US"/>
                      </w:rPr>
                    </w:pPr>
                  </w:p>
                </w:tc>
                <w:tc>
                  <w:tcPr>
                    <w:tcW w:w="471" w:type="dxa"/>
                    <w:gridSpan w:val="2"/>
                    <w:tcBorders>
                      <w:top w:val="nil"/>
                      <w:left w:val="nil"/>
                      <w:bottom w:val="nil"/>
                      <w:right w:val="single" w:sz="8" w:space="0" w:color="auto"/>
                    </w:tcBorders>
                    <w:shd w:val="clear" w:color="auto" w:fill="D9D9D9" w:themeFill="background1" w:themeFillShade="D9"/>
                    <w:noWrap/>
                    <w:vAlign w:val="center"/>
                  </w:tcPr>
                  <w:p w14:paraId="7659096A" w14:textId="77777777" w:rsidR="002F5246" w:rsidRPr="00FF56AB" w:rsidRDefault="002F5246" w:rsidP="00E23288">
                    <w:pPr>
                      <w:spacing w:line="240" w:lineRule="auto"/>
                      <w:jc w:val="center"/>
                      <w:rPr>
                        <w:rFonts w:ascii="Garamond" w:hAnsi="Garamond"/>
                        <w:color w:val="000000"/>
                        <w:sz w:val="16"/>
                        <w:szCs w:val="16"/>
                        <w:lang w:val="en-US"/>
                      </w:rPr>
                    </w:pPr>
                  </w:p>
                </w:tc>
                <w:tc>
                  <w:tcPr>
                    <w:tcW w:w="633" w:type="dxa"/>
                    <w:tcBorders>
                      <w:top w:val="nil"/>
                      <w:left w:val="nil"/>
                      <w:bottom w:val="nil"/>
                      <w:right w:val="single" w:sz="12" w:space="0" w:color="auto"/>
                    </w:tcBorders>
                    <w:shd w:val="clear" w:color="auto" w:fill="D9D9D9" w:themeFill="background1" w:themeFillShade="D9"/>
                    <w:noWrap/>
                    <w:vAlign w:val="center"/>
                  </w:tcPr>
                  <w:p w14:paraId="50CB0BB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r>
              <w:tr w:rsidR="002F5246" w:rsidRPr="00FF56AB" w14:paraId="29EF9768" w14:textId="77777777" w:rsidTr="00E23288">
                <w:trPr>
                  <w:trHeight w:hRule="exact" w:val="227"/>
                  <w:jc w:val="center"/>
                </w:trPr>
                <w:tc>
                  <w:tcPr>
                    <w:tcW w:w="409" w:type="dxa"/>
                    <w:tcBorders>
                      <w:top w:val="nil"/>
                      <w:left w:val="single" w:sz="12" w:space="0" w:color="auto"/>
                      <w:bottom w:val="nil"/>
                      <w:right w:val="nil"/>
                    </w:tcBorders>
                    <w:shd w:val="clear" w:color="auto" w:fill="D9D9D9" w:themeFill="background1" w:themeFillShade="D9"/>
                    <w:vAlign w:val="center"/>
                  </w:tcPr>
                  <w:p w14:paraId="5596458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w:t>
                    </w:r>
                  </w:p>
                </w:tc>
                <w:tc>
                  <w:tcPr>
                    <w:tcW w:w="1559" w:type="dxa"/>
                    <w:tcBorders>
                      <w:top w:val="nil"/>
                      <w:left w:val="single" w:sz="8" w:space="0" w:color="auto"/>
                      <w:bottom w:val="nil"/>
                      <w:right w:val="single" w:sz="4" w:space="0" w:color="auto"/>
                    </w:tcBorders>
                    <w:shd w:val="clear" w:color="auto" w:fill="D9D9D9" w:themeFill="background1" w:themeFillShade="D9"/>
                    <w:noWrap/>
                    <w:vAlign w:val="center"/>
                  </w:tcPr>
                  <w:p w14:paraId="00F6703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CITIBANK</w:t>
                    </w:r>
                  </w:p>
                </w:tc>
                <w:tc>
                  <w:tcPr>
                    <w:tcW w:w="836" w:type="dxa"/>
                    <w:tcBorders>
                      <w:top w:val="nil"/>
                      <w:left w:val="single" w:sz="4" w:space="0" w:color="auto"/>
                      <w:bottom w:val="nil"/>
                      <w:right w:val="nil"/>
                    </w:tcBorders>
                    <w:shd w:val="clear" w:color="auto" w:fill="D9D9D9" w:themeFill="background1" w:themeFillShade="D9"/>
                    <w:noWrap/>
                    <w:vAlign w:val="center"/>
                  </w:tcPr>
                  <w:p w14:paraId="093BA07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PRG</w:t>
                    </w:r>
                  </w:p>
                </w:tc>
                <w:tc>
                  <w:tcPr>
                    <w:tcW w:w="607" w:type="dxa"/>
                    <w:tcBorders>
                      <w:top w:val="nil"/>
                      <w:left w:val="single" w:sz="8" w:space="0" w:color="auto"/>
                      <w:bottom w:val="nil"/>
                      <w:right w:val="nil"/>
                    </w:tcBorders>
                    <w:shd w:val="clear" w:color="auto" w:fill="D9D9D9" w:themeFill="background1" w:themeFillShade="D9"/>
                    <w:noWrap/>
                    <w:vAlign w:val="center"/>
                  </w:tcPr>
                  <w:p w14:paraId="4F8878DC" w14:textId="77777777" w:rsidR="002F5246" w:rsidRPr="00FF56AB" w:rsidRDefault="002F5246" w:rsidP="00E23288">
                    <w:pPr>
                      <w:spacing w:line="240" w:lineRule="auto"/>
                      <w:jc w:val="center"/>
                      <w:rPr>
                        <w:rFonts w:ascii="Garamond" w:hAnsi="Garamond"/>
                        <w:color w:val="000000"/>
                        <w:sz w:val="16"/>
                        <w:szCs w:val="16"/>
                        <w:lang w:val="en-US"/>
                      </w:rPr>
                    </w:pPr>
                  </w:p>
                </w:tc>
                <w:tc>
                  <w:tcPr>
                    <w:tcW w:w="563" w:type="dxa"/>
                    <w:gridSpan w:val="2"/>
                    <w:tcBorders>
                      <w:top w:val="nil"/>
                      <w:left w:val="nil"/>
                      <w:bottom w:val="nil"/>
                      <w:right w:val="nil"/>
                    </w:tcBorders>
                    <w:shd w:val="clear" w:color="auto" w:fill="D9D9D9" w:themeFill="background1" w:themeFillShade="D9"/>
                    <w:noWrap/>
                    <w:vAlign w:val="center"/>
                  </w:tcPr>
                  <w:p w14:paraId="41915DA9" w14:textId="77777777" w:rsidR="002F5246" w:rsidRPr="00FF56AB" w:rsidRDefault="002F5246" w:rsidP="00E23288">
                    <w:pPr>
                      <w:spacing w:line="240" w:lineRule="auto"/>
                      <w:jc w:val="center"/>
                      <w:rPr>
                        <w:rFonts w:ascii="Garamond" w:hAnsi="Garamond"/>
                        <w:color w:val="000000"/>
                        <w:sz w:val="16"/>
                        <w:szCs w:val="16"/>
                        <w:lang w:val="en-US"/>
                      </w:rPr>
                    </w:pPr>
                  </w:p>
                </w:tc>
                <w:tc>
                  <w:tcPr>
                    <w:tcW w:w="547" w:type="dxa"/>
                    <w:gridSpan w:val="2"/>
                    <w:tcBorders>
                      <w:top w:val="nil"/>
                      <w:left w:val="nil"/>
                      <w:bottom w:val="nil"/>
                      <w:right w:val="single" w:sz="8" w:space="0" w:color="auto"/>
                    </w:tcBorders>
                    <w:shd w:val="clear" w:color="auto" w:fill="D9D9D9" w:themeFill="background1" w:themeFillShade="D9"/>
                    <w:noWrap/>
                    <w:vAlign w:val="center"/>
                  </w:tcPr>
                  <w:p w14:paraId="00C2F45D" w14:textId="77777777" w:rsidR="002F5246" w:rsidRPr="00FF56AB" w:rsidRDefault="002F5246" w:rsidP="00E23288">
                    <w:pPr>
                      <w:spacing w:line="240" w:lineRule="auto"/>
                      <w:jc w:val="center"/>
                      <w:rPr>
                        <w:rFonts w:ascii="Garamond" w:hAnsi="Garamond"/>
                        <w:color w:val="000000"/>
                        <w:sz w:val="16"/>
                        <w:szCs w:val="16"/>
                        <w:lang w:val="en-US"/>
                      </w:rPr>
                    </w:pPr>
                  </w:p>
                </w:tc>
                <w:tc>
                  <w:tcPr>
                    <w:tcW w:w="611" w:type="dxa"/>
                    <w:tcBorders>
                      <w:top w:val="nil"/>
                      <w:left w:val="single" w:sz="8" w:space="0" w:color="auto"/>
                      <w:bottom w:val="nil"/>
                      <w:right w:val="nil"/>
                    </w:tcBorders>
                    <w:shd w:val="clear" w:color="auto" w:fill="D9D9D9" w:themeFill="background1" w:themeFillShade="D9"/>
                    <w:noWrap/>
                    <w:vAlign w:val="center"/>
                  </w:tcPr>
                  <w:p w14:paraId="522550B3"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7C95D6B7" w14:textId="77777777" w:rsidR="002F5246" w:rsidRPr="00FF56AB" w:rsidRDefault="002F5246" w:rsidP="00E23288">
                    <w:pPr>
                      <w:spacing w:line="240" w:lineRule="auto"/>
                      <w:jc w:val="center"/>
                      <w:rPr>
                        <w:rFonts w:ascii="Garamond" w:hAnsi="Garamond"/>
                        <w:color w:val="000000"/>
                        <w:sz w:val="16"/>
                        <w:szCs w:val="16"/>
                        <w:lang w:val="en-US"/>
                      </w:rPr>
                    </w:pPr>
                  </w:p>
                </w:tc>
                <w:tc>
                  <w:tcPr>
                    <w:tcW w:w="499" w:type="dxa"/>
                    <w:gridSpan w:val="2"/>
                    <w:tcBorders>
                      <w:top w:val="nil"/>
                      <w:left w:val="nil"/>
                      <w:bottom w:val="nil"/>
                      <w:right w:val="single" w:sz="8" w:space="0" w:color="auto"/>
                    </w:tcBorders>
                    <w:shd w:val="clear" w:color="auto" w:fill="D9D9D9" w:themeFill="background1" w:themeFillShade="D9"/>
                    <w:noWrap/>
                    <w:vAlign w:val="center"/>
                  </w:tcPr>
                  <w:p w14:paraId="1B5B212B" w14:textId="77777777" w:rsidR="002F5246" w:rsidRPr="00FF56AB" w:rsidRDefault="002F5246" w:rsidP="00E23288">
                    <w:pPr>
                      <w:spacing w:line="240" w:lineRule="auto"/>
                      <w:jc w:val="center"/>
                      <w:rPr>
                        <w:rFonts w:ascii="Garamond" w:hAnsi="Garamond"/>
                        <w:color w:val="000000"/>
                        <w:sz w:val="16"/>
                        <w:szCs w:val="16"/>
                        <w:lang w:val="en-US"/>
                      </w:rPr>
                    </w:pPr>
                  </w:p>
                </w:tc>
                <w:tc>
                  <w:tcPr>
                    <w:tcW w:w="658" w:type="dxa"/>
                    <w:tcBorders>
                      <w:top w:val="nil"/>
                      <w:left w:val="nil"/>
                      <w:bottom w:val="nil"/>
                      <w:right w:val="nil"/>
                    </w:tcBorders>
                    <w:shd w:val="clear" w:color="auto" w:fill="D9D9D9" w:themeFill="background1" w:themeFillShade="D9"/>
                    <w:noWrap/>
                    <w:vAlign w:val="center"/>
                  </w:tcPr>
                  <w:p w14:paraId="12143DA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209</w:t>
                    </w:r>
                  </w:p>
                </w:tc>
                <w:tc>
                  <w:tcPr>
                    <w:tcW w:w="561" w:type="dxa"/>
                    <w:gridSpan w:val="2"/>
                    <w:tcBorders>
                      <w:top w:val="nil"/>
                      <w:left w:val="nil"/>
                      <w:bottom w:val="nil"/>
                      <w:right w:val="nil"/>
                    </w:tcBorders>
                    <w:shd w:val="clear" w:color="auto" w:fill="D9D9D9" w:themeFill="background1" w:themeFillShade="D9"/>
                    <w:noWrap/>
                    <w:vAlign w:val="center"/>
                  </w:tcPr>
                  <w:p w14:paraId="2D8EBB2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474" w:type="dxa"/>
                    <w:gridSpan w:val="2"/>
                    <w:tcBorders>
                      <w:top w:val="nil"/>
                      <w:left w:val="nil"/>
                      <w:bottom w:val="nil"/>
                      <w:right w:val="single" w:sz="8" w:space="0" w:color="auto"/>
                    </w:tcBorders>
                    <w:shd w:val="clear" w:color="auto" w:fill="D9D9D9" w:themeFill="background1" w:themeFillShade="D9"/>
                    <w:noWrap/>
                    <w:vAlign w:val="center"/>
                  </w:tcPr>
                  <w:p w14:paraId="57AEFF4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c>
                  <w:tcPr>
                    <w:tcW w:w="636" w:type="dxa"/>
                    <w:tcBorders>
                      <w:top w:val="nil"/>
                      <w:left w:val="nil"/>
                      <w:bottom w:val="nil"/>
                      <w:right w:val="nil"/>
                    </w:tcBorders>
                    <w:shd w:val="clear" w:color="auto" w:fill="D9D9D9" w:themeFill="background1" w:themeFillShade="D9"/>
                    <w:noWrap/>
                    <w:vAlign w:val="center"/>
                  </w:tcPr>
                  <w:p w14:paraId="6F83B8B4"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2B51CBE6" w14:textId="77777777" w:rsidR="002F5246" w:rsidRPr="00FF56AB" w:rsidRDefault="002F5246" w:rsidP="00E23288">
                    <w:pPr>
                      <w:spacing w:line="240" w:lineRule="auto"/>
                      <w:jc w:val="center"/>
                      <w:rPr>
                        <w:rFonts w:ascii="Garamond" w:hAnsi="Garamond"/>
                        <w:color w:val="000000"/>
                        <w:sz w:val="16"/>
                        <w:szCs w:val="16"/>
                        <w:lang w:val="en-US"/>
                      </w:rPr>
                    </w:pPr>
                  </w:p>
                </w:tc>
                <w:tc>
                  <w:tcPr>
                    <w:tcW w:w="496" w:type="dxa"/>
                    <w:gridSpan w:val="2"/>
                    <w:tcBorders>
                      <w:top w:val="nil"/>
                      <w:left w:val="nil"/>
                      <w:bottom w:val="nil"/>
                      <w:right w:val="single" w:sz="8" w:space="0" w:color="auto"/>
                    </w:tcBorders>
                    <w:shd w:val="clear" w:color="auto" w:fill="D9D9D9" w:themeFill="background1" w:themeFillShade="D9"/>
                    <w:noWrap/>
                    <w:vAlign w:val="center"/>
                  </w:tcPr>
                  <w:p w14:paraId="7C080FCA" w14:textId="77777777" w:rsidR="002F5246" w:rsidRPr="00FF56AB" w:rsidRDefault="002F5246" w:rsidP="00E23288">
                    <w:pPr>
                      <w:spacing w:line="240" w:lineRule="auto"/>
                      <w:jc w:val="center"/>
                      <w:rPr>
                        <w:rFonts w:ascii="Garamond" w:hAnsi="Garamond"/>
                        <w:color w:val="000000"/>
                        <w:sz w:val="16"/>
                        <w:szCs w:val="16"/>
                        <w:lang w:val="en-US"/>
                      </w:rPr>
                    </w:pPr>
                  </w:p>
                </w:tc>
                <w:tc>
                  <w:tcPr>
                    <w:tcW w:w="661" w:type="dxa"/>
                    <w:tcBorders>
                      <w:top w:val="nil"/>
                      <w:left w:val="nil"/>
                      <w:bottom w:val="nil"/>
                      <w:right w:val="nil"/>
                    </w:tcBorders>
                    <w:shd w:val="clear" w:color="auto" w:fill="D9D9D9" w:themeFill="background1" w:themeFillShade="D9"/>
                    <w:noWrap/>
                    <w:vAlign w:val="center"/>
                  </w:tcPr>
                  <w:p w14:paraId="5C52C565"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6E6BAE32" w14:textId="77777777" w:rsidR="002F5246" w:rsidRPr="00FF56AB" w:rsidRDefault="002F5246" w:rsidP="00E23288">
                    <w:pPr>
                      <w:spacing w:line="240" w:lineRule="auto"/>
                      <w:jc w:val="center"/>
                      <w:rPr>
                        <w:rFonts w:ascii="Garamond" w:hAnsi="Garamond"/>
                        <w:color w:val="000000"/>
                        <w:sz w:val="16"/>
                        <w:szCs w:val="16"/>
                        <w:lang w:val="en-US"/>
                      </w:rPr>
                    </w:pPr>
                  </w:p>
                </w:tc>
                <w:tc>
                  <w:tcPr>
                    <w:tcW w:w="471" w:type="dxa"/>
                    <w:gridSpan w:val="2"/>
                    <w:tcBorders>
                      <w:top w:val="nil"/>
                      <w:left w:val="nil"/>
                      <w:bottom w:val="nil"/>
                      <w:right w:val="single" w:sz="8" w:space="0" w:color="auto"/>
                    </w:tcBorders>
                    <w:shd w:val="clear" w:color="auto" w:fill="D9D9D9" w:themeFill="background1" w:themeFillShade="D9"/>
                    <w:noWrap/>
                    <w:vAlign w:val="center"/>
                  </w:tcPr>
                  <w:p w14:paraId="3406B3B1" w14:textId="77777777" w:rsidR="002F5246" w:rsidRPr="00FF56AB" w:rsidRDefault="002F5246" w:rsidP="00E23288">
                    <w:pPr>
                      <w:spacing w:line="240" w:lineRule="auto"/>
                      <w:jc w:val="center"/>
                      <w:rPr>
                        <w:rFonts w:ascii="Garamond" w:hAnsi="Garamond"/>
                        <w:color w:val="000000"/>
                        <w:sz w:val="16"/>
                        <w:szCs w:val="16"/>
                        <w:lang w:val="en-US"/>
                      </w:rPr>
                    </w:pPr>
                  </w:p>
                </w:tc>
                <w:tc>
                  <w:tcPr>
                    <w:tcW w:w="633" w:type="dxa"/>
                    <w:tcBorders>
                      <w:top w:val="nil"/>
                      <w:left w:val="nil"/>
                      <w:bottom w:val="nil"/>
                      <w:right w:val="single" w:sz="12" w:space="0" w:color="auto"/>
                    </w:tcBorders>
                    <w:shd w:val="clear" w:color="auto" w:fill="D9D9D9" w:themeFill="background1" w:themeFillShade="D9"/>
                    <w:noWrap/>
                    <w:vAlign w:val="center"/>
                  </w:tcPr>
                  <w:p w14:paraId="00286D2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r>
              <w:tr w:rsidR="002F5246" w:rsidRPr="00FF56AB" w14:paraId="2882C791" w14:textId="77777777" w:rsidTr="00E23288">
                <w:trPr>
                  <w:trHeight w:hRule="exact" w:val="227"/>
                  <w:jc w:val="center"/>
                </w:trPr>
                <w:tc>
                  <w:tcPr>
                    <w:tcW w:w="409" w:type="dxa"/>
                    <w:tcBorders>
                      <w:top w:val="nil"/>
                      <w:left w:val="single" w:sz="12" w:space="0" w:color="auto"/>
                      <w:bottom w:val="nil"/>
                      <w:right w:val="nil"/>
                    </w:tcBorders>
                    <w:shd w:val="clear" w:color="auto" w:fill="D9D9D9" w:themeFill="background1" w:themeFillShade="D9"/>
                    <w:vAlign w:val="center"/>
                  </w:tcPr>
                  <w:p w14:paraId="6790336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8</w:t>
                    </w:r>
                  </w:p>
                </w:tc>
                <w:tc>
                  <w:tcPr>
                    <w:tcW w:w="1559" w:type="dxa"/>
                    <w:tcBorders>
                      <w:top w:val="nil"/>
                      <w:left w:val="single" w:sz="8" w:space="0" w:color="auto"/>
                      <w:bottom w:val="nil"/>
                      <w:right w:val="single" w:sz="4" w:space="0" w:color="auto"/>
                    </w:tcBorders>
                    <w:shd w:val="clear" w:color="auto" w:fill="D9D9D9" w:themeFill="background1" w:themeFillShade="D9"/>
                    <w:noWrap/>
                    <w:vAlign w:val="center"/>
                  </w:tcPr>
                  <w:p w14:paraId="22107DE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COMMERZ BANK</w:t>
                    </w:r>
                  </w:p>
                </w:tc>
                <w:tc>
                  <w:tcPr>
                    <w:tcW w:w="836" w:type="dxa"/>
                    <w:tcBorders>
                      <w:top w:val="nil"/>
                      <w:left w:val="single" w:sz="4" w:space="0" w:color="auto"/>
                      <w:bottom w:val="nil"/>
                      <w:right w:val="nil"/>
                    </w:tcBorders>
                    <w:shd w:val="clear" w:color="auto" w:fill="D9D9D9" w:themeFill="background1" w:themeFillShade="D9"/>
                    <w:noWrap/>
                    <w:vAlign w:val="center"/>
                  </w:tcPr>
                  <w:p w14:paraId="6DBB33C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FFT</w:t>
                    </w:r>
                  </w:p>
                </w:tc>
                <w:tc>
                  <w:tcPr>
                    <w:tcW w:w="607" w:type="dxa"/>
                    <w:tcBorders>
                      <w:top w:val="nil"/>
                      <w:left w:val="single" w:sz="8" w:space="0" w:color="auto"/>
                      <w:bottom w:val="nil"/>
                      <w:right w:val="nil"/>
                    </w:tcBorders>
                    <w:shd w:val="clear" w:color="auto" w:fill="D9D9D9" w:themeFill="background1" w:themeFillShade="D9"/>
                    <w:noWrap/>
                    <w:vAlign w:val="center"/>
                  </w:tcPr>
                  <w:p w14:paraId="41BE34D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211</w:t>
                    </w:r>
                  </w:p>
                </w:tc>
                <w:tc>
                  <w:tcPr>
                    <w:tcW w:w="563" w:type="dxa"/>
                    <w:gridSpan w:val="2"/>
                    <w:tcBorders>
                      <w:top w:val="nil"/>
                      <w:left w:val="nil"/>
                      <w:bottom w:val="nil"/>
                      <w:right w:val="nil"/>
                    </w:tcBorders>
                    <w:shd w:val="clear" w:color="auto" w:fill="D9D9D9" w:themeFill="background1" w:themeFillShade="D9"/>
                    <w:noWrap/>
                    <w:vAlign w:val="center"/>
                  </w:tcPr>
                  <w:p w14:paraId="38FE8E3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547" w:type="dxa"/>
                    <w:gridSpan w:val="2"/>
                    <w:tcBorders>
                      <w:top w:val="nil"/>
                      <w:left w:val="nil"/>
                      <w:bottom w:val="nil"/>
                      <w:right w:val="single" w:sz="8" w:space="0" w:color="auto"/>
                    </w:tcBorders>
                    <w:shd w:val="clear" w:color="auto" w:fill="D9D9D9" w:themeFill="background1" w:themeFillShade="D9"/>
                    <w:noWrap/>
                    <w:vAlign w:val="center"/>
                  </w:tcPr>
                  <w:p w14:paraId="18A20FC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611" w:type="dxa"/>
                    <w:tcBorders>
                      <w:top w:val="nil"/>
                      <w:left w:val="single" w:sz="8" w:space="0" w:color="auto"/>
                      <w:bottom w:val="nil"/>
                      <w:right w:val="nil"/>
                    </w:tcBorders>
                    <w:shd w:val="clear" w:color="auto" w:fill="D9D9D9" w:themeFill="background1" w:themeFillShade="D9"/>
                    <w:noWrap/>
                    <w:vAlign w:val="center"/>
                  </w:tcPr>
                  <w:p w14:paraId="1C44D3B6"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177AB55A" w14:textId="77777777" w:rsidR="002F5246" w:rsidRPr="00FF56AB" w:rsidRDefault="002F5246" w:rsidP="00E23288">
                    <w:pPr>
                      <w:spacing w:line="240" w:lineRule="auto"/>
                      <w:jc w:val="center"/>
                      <w:rPr>
                        <w:rFonts w:ascii="Garamond" w:hAnsi="Garamond"/>
                        <w:color w:val="000000"/>
                        <w:sz w:val="16"/>
                        <w:szCs w:val="16"/>
                        <w:lang w:val="en-US"/>
                      </w:rPr>
                    </w:pPr>
                  </w:p>
                </w:tc>
                <w:tc>
                  <w:tcPr>
                    <w:tcW w:w="499" w:type="dxa"/>
                    <w:gridSpan w:val="2"/>
                    <w:tcBorders>
                      <w:top w:val="nil"/>
                      <w:left w:val="nil"/>
                      <w:bottom w:val="nil"/>
                      <w:right w:val="single" w:sz="8" w:space="0" w:color="auto"/>
                    </w:tcBorders>
                    <w:shd w:val="clear" w:color="auto" w:fill="D9D9D9" w:themeFill="background1" w:themeFillShade="D9"/>
                    <w:noWrap/>
                    <w:vAlign w:val="center"/>
                  </w:tcPr>
                  <w:p w14:paraId="598BF511" w14:textId="77777777" w:rsidR="002F5246" w:rsidRPr="00FF56AB" w:rsidRDefault="002F5246" w:rsidP="00E23288">
                    <w:pPr>
                      <w:spacing w:line="240" w:lineRule="auto"/>
                      <w:jc w:val="center"/>
                      <w:rPr>
                        <w:rFonts w:ascii="Garamond" w:hAnsi="Garamond"/>
                        <w:color w:val="000000"/>
                        <w:sz w:val="16"/>
                        <w:szCs w:val="16"/>
                        <w:lang w:val="en-US"/>
                      </w:rPr>
                    </w:pPr>
                  </w:p>
                </w:tc>
                <w:tc>
                  <w:tcPr>
                    <w:tcW w:w="658" w:type="dxa"/>
                    <w:tcBorders>
                      <w:top w:val="nil"/>
                      <w:left w:val="nil"/>
                      <w:bottom w:val="nil"/>
                      <w:right w:val="nil"/>
                    </w:tcBorders>
                    <w:shd w:val="clear" w:color="auto" w:fill="D9D9D9" w:themeFill="background1" w:themeFillShade="D9"/>
                    <w:noWrap/>
                    <w:vAlign w:val="center"/>
                  </w:tcPr>
                  <w:p w14:paraId="69456FEE"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27E3E6BD" w14:textId="77777777" w:rsidR="002F5246" w:rsidRPr="00FF56AB" w:rsidRDefault="002F5246" w:rsidP="00E23288">
                    <w:pPr>
                      <w:spacing w:line="240" w:lineRule="auto"/>
                      <w:jc w:val="center"/>
                      <w:rPr>
                        <w:rFonts w:ascii="Garamond" w:hAnsi="Garamond"/>
                        <w:color w:val="000000"/>
                        <w:sz w:val="16"/>
                        <w:szCs w:val="16"/>
                        <w:lang w:val="en-US"/>
                      </w:rPr>
                    </w:pPr>
                  </w:p>
                </w:tc>
                <w:tc>
                  <w:tcPr>
                    <w:tcW w:w="474" w:type="dxa"/>
                    <w:gridSpan w:val="2"/>
                    <w:tcBorders>
                      <w:top w:val="nil"/>
                      <w:left w:val="nil"/>
                      <w:bottom w:val="nil"/>
                      <w:right w:val="single" w:sz="8" w:space="0" w:color="auto"/>
                    </w:tcBorders>
                    <w:shd w:val="clear" w:color="auto" w:fill="D9D9D9" w:themeFill="background1" w:themeFillShade="D9"/>
                    <w:noWrap/>
                    <w:vAlign w:val="center"/>
                  </w:tcPr>
                  <w:p w14:paraId="6D179C00" w14:textId="77777777" w:rsidR="002F5246" w:rsidRPr="00FF56AB" w:rsidRDefault="002F5246" w:rsidP="00E23288">
                    <w:pPr>
                      <w:spacing w:line="240" w:lineRule="auto"/>
                      <w:jc w:val="center"/>
                      <w:rPr>
                        <w:rFonts w:ascii="Garamond" w:hAnsi="Garamond"/>
                        <w:color w:val="000000"/>
                        <w:sz w:val="16"/>
                        <w:szCs w:val="16"/>
                        <w:lang w:val="en-US"/>
                      </w:rPr>
                    </w:pPr>
                  </w:p>
                </w:tc>
                <w:tc>
                  <w:tcPr>
                    <w:tcW w:w="636" w:type="dxa"/>
                    <w:tcBorders>
                      <w:top w:val="nil"/>
                      <w:left w:val="nil"/>
                      <w:bottom w:val="nil"/>
                      <w:right w:val="nil"/>
                    </w:tcBorders>
                    <w:shd w:val="clear" w:color="auto" w:fill="D9D9D9" w:themeFill="background1" w:themeFillShade="D9"/>
                    <w:noWrap/>
                    <w:vAlign w:val="center"/>
                  </w:tcPr>
                  <w:p w14:paraId="3DC8A6C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223</w:t>
                    </w:r>
                  </w:p>
                </w:tc>
                <w:tc>
                  <w:tcPr>
                    <w:tcW w:w="561" w:type="dxa"/>
                    <w:gridSpan w:val="2"/>
                    <w:tcBorders>
                      <w:top w:val="nil"/>
                      <w:left w:val="nil"/>
                      <w:bottom w:val="nil"/>
                      <w:right w:val="nil"/>
                    </w:tcBorders>
                    <w:shd w:val="clear" w:color="auto" w:fill="D9D9D9" w:themeFill="background1" w:themeFillShade="D9"/>
                    <w:noWrap/>
                    <w:vAlign w:val="center"/>
                  </w:tcPr>
                  <w:p w14:paraId="55B421F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496" w:type="dxa"/>
                    <w:gridSpan w:val="2"/>
                    <w:tcBorders>
                      <w:top w:val="nil"/>
                      <w:left w:val="nil"/>
                      <w:bottom w:val="nil"/>
                      <w:right w:val="single" w:sz="8" w:space="0" w:color="auto"/>
                    </w:tcBorders>
                    <w:shd w:val="clear" w:color="auto" w:fill="D9D9D9" w:themeFill="background1" w:themeFillShade="D9"/>
                    <w:noWrap/>
                    <w:vAlign w:val="center"/>
                  </w:tcPr>
                  <w:p w14:paraId="7A873D7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661" w:type="dxa"/>
                    <w:tcBorders>
                      <w:top w:val="nil"/>
                      <w:left w:val="nil"/>
                      <w:bottom w:val="nil"/>
                      <w:right w:val="nil"/>
                    </w:tcBorders>
                    <w:shd w:val="clear" w:color="auto" w:fill="D9D9D9" w:themeFill="background1" w:themeFillShade="D9"/>
                    <w:noWrap/>
                    <w:vAlign w:val="center"/>
                  </w:tcPr>
                  <w:p w14:paraId="314D13E9"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D9D9D9" w:themeFill="background1" w:themeFillShade="D9"/>
                    <w:noWrap/>
                    <w:vAlign w:val="center"/>
                  </w:tcPr>
                  <w:p w14:paraId="75018EDC" w14:textId="77777777" w:rsidR="002F5246" w:rsidRPr="00FF56AB" w:rsidRDefault="002F5246" w:rsidP="00E23288">
                    <w:pPr>
                      <w:spacing w:line="240" w:lineRule="auto"/>
                      <w:jc w:val="center"/>
                      <w:rPr>
                        <w:rFonts w:ascii="Garamond" w:hAnsi="Garamond"/>
                        <w:color w:val="000000"/>
                        <w:sz w:val="16"/>
                        <w:szCs w:val="16"/>
                        <w:lang w:val="en-US"/>
                      </w:rPr>
                    </w:pPr>
                  </w:p>
                </w:tc>
                <w:tc>
                  <w:tcPr>
                    <w:tcW w:w="471" w:type="dxa"/>
                    <w:gridSpan w:val="2"/>
                    <w:tcBorders>
                      <w:top w:val="nil"/>
                      <w:left w:val="nil"/>
                      <w:bottom w:val="nil"/>
                      <w:right w:val="single" w:sz="8" w:space="0" w:color="auto"/>
                    </w:tcBorders>
                    <w:shd w:val="clear" w:color="auto" w:fill="D9D9D9" w:themeFill="background1" w:themeFillShade="D9"/>
                    <w:noWrap/>
                    <w:vAlign w:val="center"/>
                  </w:tcPr>
                  <w:p w14:paraId="57D2771F" w14:textId="77777777" w:rsidR="002F5246" w:rsidRPr="00FF56AB" w:rsidRDefault="002F5246" w:rsidP="00E23288">
                    <w:pPr>
                      <w:spacing w:line="240" w:lineRule="auto"/>
                      <w:jc w:val="center"/>
                      <w:rPr>
                        <w:rFonts w:ascii="Garamond" w:hAnsi="Garamond"/>
                        <w:color w:val="000000"/>
                        <w:sz w:val="16"/>
                        <w:szCs w:val="16"/>
                        <w:lang w:val="en-US"/>
                      </w:rPr>
                    </w:pPr>
                  </w:p>
                </w:tc>
                <w:tc>
                  <w:tcPr>
                    <w:tcW w:w="633" w:type="dxa"/>
                    <w:tcBorders>
                      <w:top w:val="nil"/>
                      <w:left w:val="nil"/>
                      <w:bottom w:val="nil"/>
                      <w:right w:val="single" w:sz="12" w:space="0" w:color="auto"/>
                    </w:tcBorders>
                    <w:shd w:val="clear" w:color="auto" w:fill="D9D9D9" w:themeFill="background1" w:themeFillShade="D9"/>
                    <w:noWrap/>
                    <w:vAlign w:val="center"/>
                  </w:tcPr>
                  <w:p w14:paraId="4030BB0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r>
              <w:tr w:rsidR="002F5246" w:rsidRPr="00FF56AB" w14:paraId="653DBA50" w14:textId="77777777" w:rsidTr="00E23288">
                <w:trPr>
                  <w:trHeight w:hRule="exact" w:val="227"/>
                  <w:jc w:val="center"/>
                </w:trPr>
                <w:tc>
                  <w:tcPr>
                    <w:tcW w:w="409" w:type="dxa"/>
                    <w:tcBorders>
                      <w:top w:val="nil"/>
                      <w:left w:val="single" w:sz="12" w:space="0" w:color="auto"/>
                      <w:bottom w:val="nil"/>
                      <w:right w:val="nil"/>
                    </w:tcBorders>
                    <w:vAlign w:val="center"/>
                  </w:tcPr>
                  <w:p w14:paraId="3C2ED3F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9</w:t>
                    </w:r>
                  </w:p>
                </w:tc>
                <w:tc>
                  <w:tcPr>
                    <w:tcW w:w="1559" w:type="dxa"/>
                    <w:tcBorders>
                      <w:top w:val="nil"/>
                      <w:left w:val="single" w:sz="8" w:space="0" w:color="auto"/>
                      <w:bottom w:val="nil"/>
                      <w:right w:val="single" w:sz="4" w:space="0" w:color="auto"/>
                    </w:tcBorders>
                    <w:shd w:val="clear" w:color="auto" w:fill="auto"/>
                    <w:noWrap/>
                    <w:vAlign w:val="center"/>
                    <w:hideMark/>
                  </w:tcPr>
                  <w:p w14:paraId="6B86F08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KBC</w:t>
                    </w:r>
                  </w:p>
                </w:tc>
                <w:tc>
                  <w:tcPr>
                    <w:tcW w:w="836" w:type="dxa"/>
                    <w:tcBorders>
                      <w:top w:val="nil"/>
                      <w:left w:val="single" w:sz="4" w:space="0" w:color="auto"/>
                      <w:bottom w:val="nil"/>
                      <w:right w:val="nil"/>
                    </w:tcBorders>
                    <w:shd w:val="clear" w:color="000000" w:fill="FFFFFF"/>
                    <w:noWrap/>
                    <w:vAlign w:val="center"/>
                    <w:hideMark/>
                  </w:tcPr>
                  <w:p w14:paraId="32C6CC5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GFX</w:t>
                    </w:r>
                  </w:p>
                </w:tc>
                <w:tc>
                  <w:tcPr>
                    <w:tcW w:w="607" w:type="dxa"/>
                    <w:tcBorders>
                      <w:top w:val="nil"/>
                      <w:left w:val="single" w:sz="8" w:space="0" w:color="auto"/>
                      <w:bottom w:val="nil"/>
                      <w:right w:val="nil"/>
                    </w:tcBorders>
                    <w:shd w:val="clear" w:color="auto" w:fill="auto"/>
                    <w:noWrap/>
                    <w:vAlign w:val="center"/>
                  </w:tcPr>
                  <w:p w14:paraId="0F9A7A08" w14:textId="77777777" w:rsidR="002F5246" w:rsidRPr="00FF56AB" w:rsidRDefault="002F5246" w:rsidP="00E23288">
                    <w:pPr>
                      <w:spacing w:line="240" w:lineRule="auto"/>
                      <w:jc w:val="center"/>
                      <w:rPr>
                        <w:rFonts w:ascii="Garamond" w:hAnsi="Garamond"/>
                        <w:color w:val="000000"/>
                        <w:sz w:val="16"/>
                        <w:szCs w:val="16"/>
                        <w:lang w:val="en-US"/>
                      </w:rPr>
                    </w:pPr>
                  </w:p>
                </w:tc>
                <w:tc>
                  <w:tcPr>
                    <w:tcW w:w="563" w:type="dxa"/>
                    <w:gridSpan w:val="2"/>
                    <w:tcBorders>
                      <w:top w:val="nil"/>
                      <w:left w:val="nil"/>
                      <w:bottom w:val="nil"/>
                      <w:right w:val="nil"/>
                    </w:tcBorders>
                    <w:shd w:val="clear" w:color="auto" w:fill="auto"/>
                    <w:noWrap/>
                    <w:vAlign w:val="center"/>
                  </w:tcPr>
                  <w:p w14:paraId="34483683" w14:textId="77777777" w:rsidR="002F5246" w:rsidRPr="00FF56AB" w:rsidRDefault="002F5246" w:rsidP="00E23288">
                    <w:pPr>
                      <w:spacing w:line="240" w:lineRule="auto"/>
                      <w:jc w:val="center"/>
                      <w:rPr>
                        <w:rFonts w:ascii="Garamond" w:hAnsi="Garamond"/>
                        <w:color w:val="000000"/>
                        <w:sz w:val="16"/>
                        <w:szCs w:val="16"/>
                        <w:lang w:val="en-US"/>
                      </w:rPr>
                    </w:pPr>
                  </w:p>
                </w:tc>
                <w:tc>
                  <w:tcPr>
                    <w:tcW w:w="547" w:type="dxa"/>
                    <w:gridSpan w:val="2"/>
                    <w:tcBorders>
                      <w:top w:val="nil"/>
                      <w:left w:val="nil"/>
                      <w:bottom w:val="nil"/>
                      <w:right w:val="single" w:sz="8" w:space="0" w:color="auto"/>
                    </w:tcBorders>
                    <w:shd w:val="clear" w:color="auto" w:fill="auto"/>
                    <w:noWrap/>
                    <w:vAlign w:val="center"/>
                  </w:tcPr>
                  <w:p w14:paraId="515FFC81" w14:textId="77777777" w:rsidR="002F5246" w:rsidRPr="00FF56AB" w:rsidRDefault="002F5246" w:rsidP="00E23288">
                    <w:pPr>
                      <w:spacing w:line="240" w:lineRule="auto"/>
                      <w:jc w:val="center"/>
                      <w:rPr>
                        <w:rFonts w:ascii="Garamond" w:hAnsi="Garamond"/>
                        <w:color w:val="000000"/>
                        <w:sz w:val="16"/>
                        <w:szCs w:val="16"/>
                        <w:lang w:val="en-US"/>
                      </w:rPr>
                    </w:pPr>
                  </w:p>
                </w:tc>
                <w:tc>
                  <w:tcPr>
                    <w:tcW w:w="611" w:type="dxa"/>
                    <w:tcBorders>
                      <w:top w:val="nil"/>
                      <w:left w:val="single" w:sz="8" w:space="0" w:color="auto"/>
                      <w:bottom w:val="nil"/>
                      <w:right w:val="nil"/>
                    </w:tcBorders>
                    <w:shd w:val="clear" w:color="auto" w:fill="auto"/>
                    <w:noWrap/>
                    <w:vAlign w:val="center"/>
                    <w:hideMark/>
                  </w:tcPr>
                  <w:p w14:paraId="6A66D48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159</w:t>
                    </w:r>
                  </w:p>
                </w:tc>
                <w:tc>
                  <w:tcPr>
                    <w:tcW w:w="561" w:type="dxa"/>
                    <w:gridSpan w:val="2"/>
                    <w:tcBorders>
                      <w:top w:val="nil"/>
                      <w:left w:val="nil"/>
                      <w:bottom w:val="nil"/>
                      <w:right w:val="nil"/>
                    </w:tcBorders>
                    <w:shd w:val="clear" w:color="auto" w:fill="auto"/>
                    <w:noWrap/>
                    <w:vAlign w:val="center"/>
                    <w:hideMark/>
                  </w:tcPr>
                  <w:p w14:paraId="05F5107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c>
                  <w:tcPr>
                    <w:tcW w:w="499" w:type="dxa"/>
                    <w:gridSpan w:val="2"/>
                    <w:tcBorders>
                      <w:top w:val="nil"/>
                      <w:left w:val="nil"/>
                      <w:bottom w:val="nil"/>
                      <w:right w:val="single" w:sz="8" w:space="0" w:color="auto"/>
                    </w:tcBorders>
                    <w:shd w:val="clear" w:color="auto" w:fill="auto"/>
                    <w:noWrap/>
                    <w:vAlign w:val="center"/>
                    <w:hideMark/>
                  </w:tcPr>
                  <w:p w14:paraId="2584BC7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658" w:type="dxa"/>
                    <w:tcBorders>
                      <w:top w:val="nil"/>
                      <w:left w:val="nil"/>
                      <w:bottom w:val="nil"/>
                      <w:right w:val="nil"/>
                    </w:tcBorders>
                    <w:shd w:val="clear" w:color="auto" w:fill="auto"/>
                    <w:noWrap/>
                    <w:vAlign w:val="center"/>
                    <w:hideMark/>
                  </w:tcPr>
                  <w:p w14:paraId="703F9711"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auto"/>
                    <w:noWrap/>
                    <w:vAlign w:val="center"/>
                  </w:tcPr>
                  <w:p w14:paraId="529365F4" w14:textId="77777777" w:rsidR="002F5246" w:rsidRPr="00FF56AB" w:rsidRDefault="002F5246" w:rsidP="00E23288">
                    <w:pPr>
                      <w:spacing w:line="240" w:lineRule="auto"/>
                      <w:jc w:val="center"/>
                      <w:rPr>
                        <w:rFonts w:ascii="Garamond" w:hAnsi="Garamond"/>
                        <w:color w:val="000000"/>
                        <w:sz w:val="16"/>
                        <w:szCs w:val="16"/>
                        <w:lang w:val="en-US"/>
                      </w:rPr>
                    </w:pPr>
                  </w:p>
                </w:tc>
                <w:tc>
                  <w:tcPr>
                    <w:tcW w:w="474" w:type="dxa"/>
                    <w:gridSpan w:val="2"/>
                    <w:tcBorders>
                      <w:top w:val="nil"/>
                      <w:left w:val="nil"/>
                      <w:bottom w:val="nil"/>
                      <w:right w:val="single" w:sz="8" w:space="0" w:color="auto"/>
                    </w:tcBorders>
                    <w:shd w:val="clear" w:color="auto" w:fill="auto"/>
                    <w:noWrap/>
                    <w:vAlign w:val="center"/>
                  </w:tcPr>
                  <w:p w14:paraId="7BBB285D" w14:textId="77777777" w:rsidR="002F5246" w:rsidRPr="00FF56AB" w:rsidRDefault="002F5246" w:rsidP="00E23288">
                    <w:pPr>
                      <w:spacing w:line="240" w:lineRule="auto"/>
                      <w:jc w:val="center"/>
                      <w:rPr>
                        <w:rFonts w:ascii="Garamond" w:hAnsi="Garamond"/>
                        <w:color w:val="000000"/>
                        <w:sz w:val="16"/>
                        <w:szCs w:val="16"/>
                        <w:lang w:val="en-US"/>
                      </w:rPr>
                    </w:pPr>
                  </w:p>
                </w:tc>
                <w:tc>
                  <w:tcPr>
                    <w:tcW w:w="636" w:type="dxa"/>
                    <w:tcBorders>
                      <w:top w:val="nil"/>
                      <w:left w:val="nil"/>
                      <w:bottom w:val="nil"/>
                      <w:right w:val="nil"/>
                    </w:tcBorders>
                    <w:shd w:val="clear" w:color="auto" w:fill="auto"/>
                    <w:noWrap/>
                    <w:vAlign w:val="center"/>
                    <w:hideMark/>
                  </w:tcPr>
                  <w:p w14:paraId="5608791C"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auto"/>
                    <w:noWrap/>
                    <w:vAlign w:val="center"/>
                  </w:tcPr>
                  <w:p w14:paraId="1E1B14CB" w14:textId="77777777" w:rsidR="002F5246" w:rsidRPr="00FF56AB" w:rsidRDefault="002F5246" w:rsidP="00E23288">
                    <w:pPr>
                      <w:spacing w:line="240" w:lineRule="auto"/>
                      <w:jc w:val="center"/>
                      <w:rPr>
                        <w:rFonts w:ascii="Garamond" w:hAnsi="Garamond"/>
                        <w:color w:val="000000"/>
                        <w:sz w:val="16"/>
                        <w:szCs w:val="16"/>
                        <w:lang w:val="en-US"/>
                      </w:rPr>
                    </w:pPr>
                  </w:p>
                </w:tc>
                <w:tc>
                  <w:tcPr>
                    <w:tcW w:w="496" w:type="dxa"/>
                    <w:gridSpan w:val="2"/>
                    <w:tcBorders>
                      <w:top w:val="nil"/>
                      <w:left w:val="nil"/>
                      <w:bottom w:val="nil"/>
                      <w:right w:val="single" w:sz="8" w:space="0" w:color="auto"/>
                    </w:tcBorders>
                    <w:shd w:val="clear" w:color="auto" w:fill="auto"/>
                    <w:noWrap/>
                    <w:vAlign w:val="center"/>
                  </w:tcPr>
                  <w:p w14:paraId="0FF97F9F" w14:textId="77777777" w:rsidR="002F5246" w:rsidRPr="00FF56AB" w:rsidRDefault="002F5246" w:rsidP="00E23288">
                    <w:pPr>
                      <w:spacing w:line="240" w:lineRule="auto"/>
                      <w:jc w:val="center"/>
                      <w:rPr>
                        <w:rFonts w:ascii="Garamond" w:hAnsi="Garamond"/>
                        <w:color w:val="000000"/>
                        <w:sz w:val="16"/>
                        <w:szCs w:val="16"/>
                        <w:lang w:val="en-US"/>
                      </w:rPr>
                    </w:pPr>
                  </w:p>
                </w:tc>
                <w:tc>
                  <w:tcPr>
                    <w:tcW w:w="661" w:type="dxa"/>
                    <w:tcBorders>
                      <w:top w:val="nil"/>
                      <w:left w:val="nil"/>
                      <w:bottom w:val="nil"/>
                      <w:right w:val="nil"/>
                    </w:tcBorders>
                    <w:shd w:val="clear" w:color="auto" w:fill="auto"/>
                    <w:noWrap/>
                    <w:vAlign w:val="center"/>
                    <w:hideMark/>
                  </w:tcPr>
                  <w:p w14:paraId="71A1C25D"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auto"/>
                    <w:noWrap/>
                    <w:vAlign w:val="center"/>
                  </w:tcPr>
                  <w:p w14:paraId="65AA4E30" w14:textId="77777777" w:rsidR="002F5246" w:rsidRPr="00FF56AB" w:rsidRDefault="002F5246" w:rsidP="00E23288">
                    <w:pPr>
                      <w:spacing w:line="240" w:lineRule="auto"/>
                      <w:jc w:val="center"/>
                      <w:rPr>
                        <w:rFonts w:ascii="Garamond" w:hAnsi="Garamond"/>
                        <w:color w:val="000000"/>
                        <w:sz w:val="16"/>
                        <w:szCs w:val="16"/>
                        <w:lang w:val="en-US"/>
                      </w:rPr>
                    </w:pPr>
                  </w:p>
                </w:tc>
                <w:tc>
                  <w:tcPr>
                    <w:tcW w:w="471" w:type="dxa"/>
                    <w:gridSpan w:val="2"/>
                    <w:tcBorders>
                      <w:top w:val="nil"/>
                      <w:left w:val="nil"/>
                      <w:bottom w:val="nil"/>
                      <w:right w:val="single" w:sz="8" w:space="0" w:color="auto"/>
                    </w:tcBorders>
                    <w:shd w:val="clear" w:color="auto" w:fill="auto"/>
                    <w:noWrap/>
                    <w:vAlign w:val="center"/>
                  </w:tcPr>
                  <w:p w14:paraId="51867090" w14:textId="77777777" w:rsidR="002F5246" w:rsidRPr="00FF56AB" w:rsidRDefault="002F5246" w:rsidP="00E23288">
                    <w:pPr>
                      <w:spacing w:line="240" w:lineRule="auto"/>
                      <w:jc w:val="center"/>
                      <w:rPr>
                        <w:rFonts w:ascii="Garamond" w:hAnsi="Garamond"/>
                        <w:color w:val="000000"/>
                        <w:sz w:val="16"/>
                        <w:szCs w:val="16"/>
                        <w:lang w:val="en-US"/>
                      </w:rPr>
                    </w:pPr>
                  </w:p>
                </w:tc>
                <w:tc>
                  <w:tcPr>
                    <w:tcW w:w="633" w:type="dxa"/>
                    <w:tcBorders>
                      <w:top w:val="nil"/>
                      <w:left w:val="nil"/>
                      <w:bottom w:val="nil"/>
                      <w:right w:val="single" w:sz="12" w:space="0" w:color="auto"/>
                    </w:tcBorders>
                    <w:shd w:val="clear" w:color="auto" w:fill="auto"/>
                    <w:noWrap/>
                    <w:vAlign w:val="center"/>
                    <w:hideMark/>
                  </w:tcPr>
                  <w:p w14:paraId="2D99181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r>
              <w:tr w:rsidR="002F5246" w:rsidRPr="00FF56AB" w14:paraId="6687DC2E" w14:textId="77777777" w:rsidTr="00E23288">
                <w:trPr>
                  <w:trHeight w:hRule="exact" w:val="227"/>
                  <w:jc w:val="center"/>
                </w:trPr>
                <w:tc>
                  <w:tcPr>
                    <w:tcW w:w="409" w:type="dxa"/>
                    <w:tcBorders>
                      <w:top w:val="nil"/>
                      <w:left w:val="single" w:sz="12" w:space="0" w:color="auto"/>
                      <w:bottom w:val="nil"/>
                      <w:right w:val="nil"/>
                    </w:tcBorders>
                    <w:vAlign w:val="center"/>
                  </w:tcPr>
                  <w:p w14:paraId="0C21835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10</w:t>
                    </w:r>
                  </w:p>
                </w:tc>
                <w:tc>
                  <w:tcPr>
                    <w:tcW w:w="1559" w:type="dxa"/>
                    <w:tcBorders>
                      <w:top w:val="nil"/>
                      <w:left w:val="single" w:sz="8" w:space="0" w:color="auto"/>
                      <w:bottom w:val="nil"/>
                      <w:right w:val="single" w:sz="4" w:space="0" w:color="auto"/>
                    </w:tcBorders>
                    <w:shd w:val="clear" w:color="auto" w:fill="auto"/>
                    <w:noWrap/>
                    <w:vAlign w:val="center"/>
                  </w:tcPr>
                  <w:p w14:paraId="7CB8E9E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BK MONTREAL</w:t>
                    </w:r>
                  </w:p>
                </w:tc>
                <w:tc>
                  <w:tcPr>
                    <w:tcW w:w="836" w:type="dxa"/>
                    <w:tcBorders>
                      <w:top w:val="nil"/>
                      <w:left w:val="single" w:sz="4" w:space="0" w:color="auto"/>
                      <w:bottom w:val="nil"/>
                      <w:right w:val="nil"/>
                    </w:tcBorders>
                    <w:shd w:val="clear" w:color="000000" w:fill="FFFFFF"/>
                    <w:noWrap/>
                    <w:vAlign w:val="center"/>
                  </w:tcPr>
                  <w:p w14:paraId="5CF378A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MON</w:t>
                    </w:r>
                  </w:p>
                </w:tc>
                <w:tc>
                  <w:tcPr>
                    <w:tcW w:w="607" w:type="dxa"/>
                    <w:tcBorders>
                      <w:top w:val="nil"/>
                      <w:left w:val="single" w:sz="8" w:space="0" w:color="auto"/>
                      <w:bottom w:val="nil"/>
                      <w:right w:val="nil"/>
                    </w:tcBorders>
                    <w:shd w:val="clear" w:color="auto" w:fill="auto"/>
                    <w:noWrap/>
                    <w:vAlign w:val="center"/>
                  </w:tcPr>
                  <w:p w14:paraId="036857D8" w14:textId="77777777" w:rsidR="002F5246" w:rsidRPr="00FF56AB" w:rsidRDefault="002F5246" w:rsidP="00E23288">
                    <w:pPr>
                      <w:spacing w:line="240" w:lineRule="auto"/>
                      <w:jc w:val="center"/>
                      <w:rPr>
                        <w:rFonts w:ascii="Garamond" w:hAnsi="Garamond"/>
                        <w:color w:val="000000"/>
                        <w:sz w:val="16"/>
                        <w:szCs w:val="16"/>
                        <w:lang w:val="en-US"/>
                      </w:rPr>
                    </w:pPr>
                  </w:p>
                </w:tc>
                <w:tc>
                  <w:tcPr>
                    <w:tcW w:w="563" w:type="dxa"/>
                    <w:gridSpan w:val="2"/>
                    <w:tcBorders>
                      <w:top w:val="nil"/>
                      <w:left w:val="nil"/>
                      <w:bottom w:val="nil"/>
                      <w:right w:val="nil"/>
                    </w:tcBorders>
                    <w:shd w:val="clear" w:color="auto" w:fill="auto"/>
                    <w:noWrap/>
                    <w:vAlign w:val="center"/>
                  </w:tcPr>
                  <w:p w14:paraId="54FE9D49" w14:textId="77777777" w:rsidR="002F5246" w:rsidRPr="00FF56AB" w:rsidRDefault="002F5246" w:rsidP="00E23288">
                    <w:pPr>
                      <w:spacing w:line="240" w:lineRule="auto"/>
                      <w:jc w:val="center"/>
                      <w:rPr>
                        <w:rFonts w:ascii="Garamond" w:hAnsi="Garamond"/>
                        <w:color w:val="000000"/>
                        <w:sz w:val="16"/>
                        <w:szCs w:val="16"/>
                        <w:lang w:val="en-US"/>
                      </w:rPr>
                    </w:pPr>
                  </w:p>
                </w:tc>
                <w:tc>
                  <w:tcPr>
                    <w:tcW w:w="547" w:type="dxa"/>
                    <w:gridSpan w:val="2"/>
                    <w:tcBorders>
                      <w:top w:val="nil"/>
                      <w:left w:val="nil"/>
                      <w:bottom w:val="nil"/>
                      <w:right w:val="single" w:sz="8" w:space="0" w:color="auto"/>
                    </w:tcBorders>
                    <w:shd w:val="clear" w:color="auto" w:fill="auto"/>
                    <w:noWrap/>
                    <w:vAlign w:val="center"/>
                  </w:tcPr>
                  <w:p w14:paraId="46E4CC9D" w14:textId="77777777" w:rsidR="002F5246" w:rsidRPr="00FF56AB" w:rsidRDefault="002F5246" w:rsidP="00E23288">
                    <w:pPr>
                      <w:spacing w:line="240" w:lineRule="auto"/>
                      <w:jc w:val="center"/>
                      <w:rPr>
                        <w:rFonts w:ascii="Garamond" w:hAnsi="Garamond"/>
                        <w:color w:val="000000"/>
                        <w:sz w:val="16"/>
                        <w:szCs w:val="16"/>
                        <w:lang w:val="en-US"/>
                      </w:rPr>
                    </w:pPr>
                  </w:p>
                </w:tc>
                <w:tc>
                  <w:tcPr>
                    <w:tcW w:w="611" w:type="dxa"/>
                    <w:tcBorders>
                      <w:top w:val="nil"/>
                      <w:left w:val="single" w:sz="8" w:space="0" w:color="auto"/>
                      <w:bottom w:val="nil"/>
                      <w:right w:val="nil"/>
                    </w:tcBorders>
                    <w:shd w:val="clear" w:color="auto" w:fill="auto"/>
                    <w:noWrap/>
                    <w:vAlign w:val="center"/>
                  </w:tcPr>
                  <w:p w14:paraId="528A8DBB"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auto"/>
                    <w:noWrap/>
                    <w:vAlign w:val="center"/>
                  </w:tcPr>
                  <w:p w14:paraId="286C31F3" w14:textId="77777777" w:rsidR="002F5246" w:rsidRPr="00FF56AB" w:rsidRDefault="002F5246" w:rsidP="00E23288">
                    <w:pPr>
                      <w:spacing w:line="240" w:lineRule="auto"/>
                      <w:jc w:val="center"/>
                      <w:rPr>
                        <w:rFonts w:ascii="Garamond" w:hAnsi="Garamond"/>
                        <w:color w:val="000000"/>
                        <w:sz w:val="16"/>
                        <w:szCs w:val="16"/>
                        <w:lang w:val="en-US"/>
                      </w:rPr>
                    </w:pPr>
                  </w:p>
                </w:tc>
                <w:tc>
                  <w:tcPr>
                    <w:tcW w:w="499" w:type="dxa"/>
                    <w:gridSpan w:val="2"/>
                    <w:tcBorders>
                      <w:top w:val="nil"/>
                      <w:left w:val="nil"/>
                      <w:bottom w:val="nil"/>
                      <w:right w:val="single" w:sz="8" w:space="0" w:color="auto"/>
                    </w:tcBorders>
                    <w:shd w:val="clear" w:color="auto" w:fill="auto"/>
                    <w:noWrap/>
                    <w:vAlign w:val="center"/>
                  </w:tcPr>
                  <w:p w14:paraId="59C50A26" w14:textId="77777777" w:rsidR="002F5246" w:rsidRPr="00FF56AB" w:rsidRDefault="002F5246" w:rsidP="00E23288">
                    <w:pPr>
                      <w:spacing w:line="240" w:lineRule="auto"/>
                      <w:jc w:val="center"/>
                      <w:rPr>
                        <w:rFonts w:ascii="Garamond" w:hAnsi="Garamond"/>
                        <w:color w:val="000000"/>
                        <w:sz w:val="16"/>
                        <w:szCs w:val="16"/>
                        <w:lang w:val="en-US"/>
                      </w:rPr>
                    </w:pPr>
                  </w:p>
                </w:tc>
                <w:tc>
                  <w:tcPr>
                    <w:tcW w:w="658" w:type="dxa"/>
                    <w:tcBorders>
                      <w:top w:val="nil"/>
                      <w:left w:val="nil"/>
                      <w:bottom w:val="nil"/>
                      <w:right w:val="nil"/>
                    </w:tcBorders>
                    <w:shd w:val="clear" w:color="auto" w:fill="auto"/>
                    <w:noWrap/>
                    <w:vAlign w:val="center"/>
                  </w:tcPr>
                  <w:p w14:paraId="77232998"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auto"/>
                    <w:noWrap/>
                    <w:vAlign w:val="center"/>
                  </w:tcPr>
                  <w:p w14:paraId="1AFFAB99" w14:textId="77777777" w:rsidR="002F5246" w:rsidRPr="00FF56AB" w:rsidRDefault="002F5246" w:rsidP="00E23288">
                    <w:pPr>
                      <w:spacing w:line="240" w:lineRule="auto"/>
                      <w:jc w:val="center"/>
                      <w:rPr>
                        <w:rFonts w:ascii="Garamond" w:hAnsi="Garamond"/>
                        <w:color w:val="000000"/>
                        <w:sz w:val="16"/>
                        <w:szCs w:val="16"/>
                        <w:lang w:val="en-US"/>
                      </w:rPr>
                    </w:pPr>
                  </w:p>
                </w:tc>
                <w:tc>
                  <w:tcPr>
                    <w:tcW w:w="474" w:type="dxa"/>
                    <w:gridSpan w:val="2"/>
                    <w:tcBorders>
                      <w:top w:val="nil"/>
                      <w:left w:val="nil"/>
                      <w:bottom w:val="nil"/>
                      <w:right w:val="single" w:sz="8" w:space="0" w:color="auto"/>
                    </w:tcBorders>
                    <w:shd w:val="clear" w:color="auto" w:fill="auto"/>
                    <w:noWrap/>
                    <w:vAlign w:val="center"/>
                  </w:tcPr>
                  <w:p w14:paraId="5D66DE54" w14:textId="77777777" w:rsidR="002F5246" w:rsidRPr="00FF56AB" w:rsidRDefault="002F5246" w:rsidP="00E23288">
                    <w:pPr>
                      <w:spacing w:line="240" w:lineRule="auto"/>
                      <w:jc w:val="center"/>
                      <w:rPr>
                        <w:rFonts w:ascii="Garamond" w:hAnsi="Garamond"/>
                        <w:color w:val="000000"/>
                        <w:sz w:val="16"/>
                        <w:szCs w:val="16"/>
                        <w:lang w:val="en-US"/>
                      </w:rPr>
                    </w:pPr>
                  </w:p>
                </w:tc>
                <w:tc>
                  <w:tcPr>
                    <w:tcW w:w="636" w:type="dxa"/>
                    <w:tcBorders>
                      <w:top w:val="nil"/>
                      <w:left w:val="nil"/>
                      <w:bottom w:val="nil"/>
                      <w:right w:val="nil"/>
                    </w:tcBorders>
                    <w:shd w:val="clear" w:color="auto" w:fill="auto"/>
                    <w:noWrap/>
                    <w:vAlign w:val="center"/>
                  </w:tcPr>
                  <w:p w14:paraId="4E6C1CD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29</w:t>
                    </w:r>
                  </w:p>
                </w:tc>
                <w:tc>
                  <w:tcPr>
                    <w:tcW w:w="561" w:type="dxa"/>
                    <w:gridSpan w:val="2"/>
                    <w:tcBorders>
                      <w:top w:val="nil"/>
                      <w:left w:val="nil"/>
                      <w:bottom w:val="nil"/>
                      <w:right w:val="nil"/>
                    </w:tcBorders>
                    <w:shd w:val="clear" w:color="auto" w:fill="auto"/>
                    <w:noWrap/>
                    <w:vAlign w:val="center"/>
                  </w:tcPr>
                  <w:p w14:paraId="249C877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496" w:type="dxa"/>
                    <w:gridSpan w:val="2"/>
                    <w:tcBorders>
                      <w:top w:val="nil"/>
                      <w:left w:val="nil"/>
                      <w:bottom w:val="nil"/>
                      <w:right w:val="single" w:sz="8" w:space="0" w:color="auto"/>
                    </w:tcBorders>
                    <w:shd w:val="clear" w:color="auto" w:fill="auto"/>
                    <w:noWrap/>
                    <w:vAlign w:val="center"/>
                  </w:tcPr>
                  <w:p w14:paraId="240645D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661" w:type="dxa"/>
                    <w:tcBorders>
                      <w:top w:val="nil"/>
                      <w:left w:val="nil"/>
                      <w:bottom w:val="nil"/>
                      <w:right w:val="nil"/>
                    </w:tcBorders>
                    <w:shd w:val="clear" w:color="auto" w:fill="auto"/>
                    <w:noWrap/>
                    <w:vAlign w:val="center"/>
                  </w:tcPr>
                  <w:p w14:paraId="1FB10505"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bottom w:val="nil"/>
                      <w:right w:val="nil"/>
                    </w:tcBorders>
                    <w:shd w:val="clear" w:color="auto" w:fill="auto"/>
                    <w:noWrap/>
                    <w:vAlign w:val="center"/>
                  </w:tcPr>
                  <w:p w14:paraId="651A5D17" w14:textId="77777777" w:rsidR="002F5246" w:rsidRPr="00FF56AB" w:rsidRDefault="002F5246" w:rsidP="00E23288">
                    <w:pPr>
                      <w:spacing w:line="240" w:lineRule="auto"/>
                      <w:jc w:val="center"/>
                      <w:rPr>
                        <w:rFonts w:ascii="Garamond" w:hAnsi="Garamond"/>
                        <w:color w:val="000000"/>
                        <w:sz w:val="16"/>
                        <w:szCs w:val="16"/>
                        <w:lang w:val="en-US"/>
                      </w:rPr>
                    </w:pPr>
                  </w:p>
                </w:tc>
                <w:tc>
                  <w:tcPr>
                    <w:tcW w:w="471" w:type="dxa"/>
                    <w:gridSpan w:val="2"/>
                    <w:tcBorders>
                      <w:top w:val="nil"/>
                      <w:left w:val="nil"/>
                      <w:bottom w:val="nil"/>
                      <w:right w:val="single" w:sz="8" w:space="0" w:color="auto"/>
                    </w:tcBorders>
                    <w:shd w:val="clear" w:color="auto" w:fill="auto"/>
                    <w:noWrap/>
                    <w:vAlign w:val="center"/>
                  </w:tcPr>
                  <w:p w14:paraId="3F72381D" w14:textId="77777777" w:rsidR="002F5246" w:rsidRPr="00FF56AB" w:rsidRDefault="002F5246" w:rsidP="00E23288">
                    <w:pPr>
                      <w:spacing w:line="240" w:lineRule="auto"/>
                      <w:jc w:val="center"/>
                      <w:rPr>
                        <w:rFonts w:ascii="Garamond" w:hAnsi="Garamond"/>
                        <w:color w:val="000000"/>
                        <w:sz w:val="16"/>
                        <w:szCs w:val="16"/>
                        <w:lang w:val="en-US"/>
                      </w:rPr>
                    </w:pPr>
                  </w:p>
                </w:tc>
                <w:tc>
                  <w:tcPr>
                    <w:tcW w:w="633" w:type="dxa"/>
                    <w:tcBorders>
                      <w:top w:val="nil"/>
                      <w:left w:val="nil"/>
                      <w:bottom w:val="nil"/>
                      <w:right w:val="single" w:sz="12" w:space="0" w:color="auto"/>
                    </w:tcBorders>
                    <w:shd w:val="clear" w:color="auto" w:fill="auto"/>
                    <w:noWrap/>
                    <w:vAlign w:val="center"/>
                  </w:tcPr>
                  <w:p w14:paraId="1BDF749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r>
              <w:tr w:rsidR="002F5246" w:rsidRPr="00FF56AB" w14:paraId="06EDB4BE" w14:textId="77777777" w:rsidTr="00E23288">
                <w:trPr>
                  <w:trHeight w:hRule="exact" w:val="227"/>
                  <w:jc w:val="center"/>
                </w:trPr>
                <w:tc>
                  <w:tcPr>
                    <w:tcW w:w="409" w:type="dxa"/>
                    <w:tcBorders>
                      <w:top w:val="nil"/>
                      <w:left w:val="single" w:sz="12" w:space="0" w:color="auto"/>
                      <w:bottom w:val="nil"/>
                      <w:right w:val="nil"/>
                    </w:tcBorders>
                    <w:vAlign w:val="center"/>
                  </w:tcPr>
                  <w:p w14:paraId="0516B41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11</w:t>
                    </w:r>
                  </w:p>
                </w:tc>
                <w:tc>
                  <w:tcPr>
                    <w:tcW w:w="1559" w:type="dxa"/>
                    <w:tcBorders>
                      <w:top w:val="nil"/>
                      <w:left w:val="single" w:sz="8" w:space="0" w:color="auto"/>
                      <w:bottom w:val="nil"/>
                      <w:right w:val="single" w:sz="4" w:space="0" w:color="auto"/>
                    </w:tcBorders>
                    <w:shd w:val="clear" w:color="auto" w:fill="auto"/>
                    <w:noWrap/>
                    <w:vAlign w:val="center"/>
                  </w:tcPr>
                  <w:p w14:paraId="5306C47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BANCA AKROS</w:t>
                    </w:r>
                  </w:p>
                </w:tc>
                <w:tc>
                  <w:tcPr>
                    <w:tcW w:w="836" w:type="dxa"/>
                    <w:tcBorders>
                      <w:top w:val="nil"/>
                      <w:left w:val="single" w:sz="4" w:space="0" w:color="auto"/>
                      <w:bottom w:val="nil"/>
                      <w:right w:val="nil"/>
                    </w:tcBorders>
                    <w:shd w:val="clear" w:color="000000" w:fill="FFFFFF"/>
                    <w:noWrap/>
                    <w:vAlign w:val="center"/>
                  </w:tcPr>
                  <w:p w14:paraId="45AC16B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MIL</w:t>
                    </w:r>
                  </w:p>
                </w:tc>
                <w:tc>
                  <w:tcPr>
                    <w:tcW w:w="607" w:type="dxa"/>
                    <w:tcBorders>
                      <w:top w:val="nil"/>
                      <w:left w:val="single" w:sz="8" w:space="0" w:color="auto"/>
                      <w:bottom w:val="nil"/>
                      <w:right w:val="nil"/>
                    </w:tcBorders>
                    <w:shd w:val="clear" w:color="auto" w:fill="auto"/>
                    <w:noWrap/>
                    <w:vAlign w:val="center"/>
                  </w:tcPr>
                  <w:p w14:paraId="75EF821A" w14:textId="77777777" w:rsidR="002F5246" w:rsidRPr="00FF56AB" w:rsidRDefault="002F5246" w:rsidP="00E23288">
                    <w:pPr>
                      <w:spacing w:line="240" w:lineRule="auto"/>
                      <w:jc w:val="center"/>
                      <w:rPr>
                        <w:rFonts w:ascii="Garamond" w:hAnsi="Garamond"/>
                        <w:color w:val="000000"/>
                        <w:sz w:val="16"/>
                        <w:szCs w:val="16"/>
                        <w:lang w:val="en-US"/>
                      </w:rPr>
                    </w:pPr>
                  </w:p>
                </w:tc>
                <w:tc>
                  <w:tcPr>
                    <w:tcW w:w="563" w:type="dxa"/>
                    <w:gridSpan w:val="2"/>
                    <w:tcBorders>
                      <w:top w:val="nil"/>
                      <w:left w:val="nil"/>
                      <w:right w:val="nil"/>
                    </w:tcBorders>
                    <w:shd w:val="clear" w:color="auto" w:fill="auto"/>
                    <w:noWrap/>
                    <w:vAlign w:val="center"/>
                  </w:tcPr>
                  <w:p w14:paraId="005F1EAE" w14:textId="77777777" w:rsidR="002F5246" w:rsidRPr="00FF56AB" w:rsidRDefault="002F5246" w:rsidP="00E23288">
                    <w:pPr>
                      <w:spacing w:line="240" w:lineRule="auto"/>
                      <w:jc w:val="center"/>
                      <w:rPr>
                        <w:rFonts w:ascii="Garamond" w:hAnsi="Garamond"/>
                        <w:color w:val="000000"/>
                        <w:sz w:val="16"/>
                        <w:szCs w:val="16"/>
                        <w:lang w:val="en-US"/>
                      </w:rPr>
                    </w:pPr>
                  </w:p>
                </w:tc>
                <w:tc>
                  <w:tcPr>
                    <w:tcW w:w="547" w:type="dxa"/>
                    <w:gridSpan w:val="2"/>
                    <w:tcBorders>
                      <w:top w:val="nil"/>
                      <w:left w:val="nil"/>
                      <w:bottom w:val="nil"/>
                      <w:right w:val="single" w:sz="8" w:space="0" w:color="auto"/>
                    </w:tcBorders>
                    <w:shd w:val="clear" w:color="auto" w:fill="auto"/>
                    <w:noWrap/>
                    <w:vAlign w:val="center"/>
                  </w:tcPr>
                  <w:p w14:paraId="5C2896CE" w14:textId="77777777" w:rsidR="002F5246" w:rsidRPr="00FF56AB" w:rsidRDefault="002F5246" w:rsidP="00E23288">
                    <w:pPr>
                      <w:spacing w:line="240" w:lineRule="auto"/>
                      <w:jc w:val="center"/>
                      <w:rPr>
                        <w:rFonts w:ascii="Garamond" w:hAnsi="Garamond"/>
                        <w:color w:val="000000"/>
                        <w:sz w:val="16"/>
                        <w:szCs w:val="16"/>
                        <w:lang w:val="en-US"/>
                      </w:rPr>
                    </w:pPr>
                  </w:p>
                </w:tc>
                <w:tc>
                  <w:tcPr>
                    <w:tcW w:w="611" w:type="dxa"/>
                    <w:tcBorders>
                      <w:top w:val="nil"/>
                      <w:left w:val="single" w:sz="8" w:space="0" w:color="auto"/>
                      <w:bottom w:val="nil"/>
                      <w:right w:val="nil"/>
                    </w:tcBorders>
                    <w:shd w:val="clear" w:color="auto" w:fill="auto"/>
                    <w:noWrap/>
                    <w:vAlign w:val="center"/>
                  </w:tcPr>
                  <w:p w14:paraId="1C2E5360"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right w:val="nil"/>
                    </w:tcBorders>
                    <w:shd w:val="clear" w:color="auto" w:fill="auto"/>
                    <w:noWrap/>
                    <w:vAlign w:val="center"/>
                  </w:tcPr>
                  <w:p w14:paraId="38415960" w14:textId="77777777" w:rsidR="002F5246" w:rsidRPr="00FF56AB" w:rsidRDefault="002F5246" w:rsidP="00E23288">
                    <w:pPr>
                      <w:spacing w:line="240" w:lineRule="auto"/>
                      <w:jc w:val="center"/>
                      <w:rPr>
                        <w:rFonts w:ascii="Garamond" w:hAnsi="Garamond"/>
                        <w:color w:val="000000"/>
                        <w:sz w:val="16"/>
                        <w:szCs w:val="16"/>
                        <w:lang w:val="en-US"/>
                      </w:rPr>
                    </w:pPr>
                  </w:p>
                </w:tc>
                <w:tc>
                  <w:tcPr>
                    <w:tcW w:w="499" w:type="dxa"/>
                    <w:gridSpan w:val="2"/>
                    <w:tcBorders>
                      <w:top w:val="nil"/>
                      <w:left w:val="nil"/>
                      <w:right w:val="single" w:sz="8" w:space="0" w:color="auto"/>
                    </w:tcBorders>
                    <w:shd w:val="clear" w:color="auto" w:fill="auto"/>
                    <w:noWrap/>
                    <w:vAlign w:val="center"/>
                  </w:tcPr>
                  <w:p w14:paraId="3E0E8700" w14:textId="77777777" w:rsidR="002F5246" w:rsidRPr="00FF56AB" w:rsidRDefault="002F5246" w:rsidP="00E23288">
                    <w:pPr>
                      <w:spacing w:line="240" w:lineRule="auto"/>
                      <w:jc w:val="center"/>
                      <w:rPr>
                        <w:rFonts w:ascii="Garamond" w:hAnsi="Garamond"/>
                        <w:color w:val="000000"/>
                        <w:sz w:val="16"/>
                        <w:szCs w:val="16"/>
                        <w:lang w:val="en-US"/>
                      </w:rPr>
                    </w:pPr>
                  </w:p>
                </w:tc>
                <w:tc>
                  <w:tcPr>
                    <w:tcW w:w="658" w:type="dxa"/>
                    <w:tcBorders>
                      <w:top w:val="nil"/>
                      <w:left w:val="nil"/>
                      <w:right w:val="nil"/>
                    </w:tcBorders>
                    <w:shd w:val="clear" w:color="auto" w:fill="auto"/>
                    <w:noWrap/>
                    <w:vAlign w:val="center"/>
                  </w:tcPr>
                  <w:p w14:paraId="4E5DDDA5"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right w:val="nil"/>
                    </w:tcBorders>
                    <w:shd w:val="clear" w:color="auto" w:fill="auto"/>
                    <w:noWrap/>
                    <w:vAlign w:val="center"/>
                  </w:tcPr>
                  <w:p w14:paraId="020CEA32" w14:textId="77777777" w:rsidR="002F5246" w:rsidRPr="00FF56AB" w:rsidRDefault="002F5246" w:rsidP="00E23288">
                    <w:pPr>
                      <w:spacing w:line="240" w:lineRule="auto"/>
                      <w:jc w:val="center"/>
                      <w:rPr>
                        <w:rFonts w:ascii="Garamond" w:hAnsi="Garamond"/>
                        <w:color w:val="000000"/>
                        <w:sz w:val="16"/>
                        <w:szCs w:val="16"/>
                        <w:lang w:val="en-US"/>
                      </w:rPr>
                    </w:pPr>
                  </w:p>
                </w:tc>
                <w:tc>
                  <w:tcPr>
                    <w:tcW w:w="474" w:type="dxa"/>
                    <w:gridSpan w:val="2"/>
                    <w:tcBorders>
                      <w:top w:val="nil"/>
                      <w:left w:val="nil"/>
                      <w:right w:val="single" w:sz="8" w:space="0" w:color="auto"/>
                    </w:tcBorders>
                    <w:shd w:val="clear" w:color="auto" w:fill="auto"/>
                    <w:noWrap/>
                    <w:vAlign w:val="center"/>
                  </w:tcPr>
                  <w:p w14:paraId="44813F2E" w14:textId="77777777" w:rsidR="002F5246" w:rsidRPr="00FF56AB" w:rsidRDefault="002F5246" w:rsidP="00E23288">
                    <w:pPr>
                      <w:spacing w:line="240" w:lineRule="auto"/>
                      <w:jc w:val="center"/>
                      <w:rPr>
                        <w:rFonts w:ascii="Garamond" w:hAnsi="Garamond"/>
                        <w:color w:val="000000"/>
                        <w:sz w:val="16"/>
                        <w:szCs w:val="16"/>
                        <w:lang w:val="en-US"/>
                      </w:rPr>
                    </w:pPr>
                  </w:p>
                </w:tc>
                <w:tc>
                  <w:tcPr>
                    <w:tcW w:w="636" w:type="dxa"/>
                    <w:tcBorders>
                      <w:top w:val="nil"/>
                      <w:left w:val="nil"/>
                      <w:right w:val="nil"/>
                    </w:tcBorders>
                    <w:shd w:val="clear" w:color="auto" w:fill="auto"/>
                    <w:noWrap/>
                    <w:vAlign w:val="center"/>
                  </w:tcPr>
                  <w:p w14:paraId="2D61985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150</w:t>
                    </w:r>
                  </w:p>
                </w:tc>
                <w:tc>
                  <w:tcPr>
                    <w:tcW w:w="561" w:type="dxa"/>
                    <w:gridSpan w:val="2"/>
                    <w:tcBorders>
                      <w:top w:val="nil"/>
                      <w:left w:val="nil"/>
                      <w:right w:val="nil"/>
                    </w:tcBorders>
                    <w:shd w:val="clear" w:color="auto" w:fill="auto"/>
                    <w:noWrap/>
                    <w:vAlign w:val="center"/>
                  </w:tcPr>
                  <w:p w14:paraId="141DF6C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496" w:type="dxa"/>
                    <w:gridSpan w:val="2"/>
                    <w:tcBorders>
                      <w:top w:val="nil"/>
                      <w:left w:val="nil"/>
                      <w:right w:val="single" w:sz="8" w:space="0" w:color="auto"/>
                    </w:tcBorders>
                    <w:shd w:val="clear" w:color="auto" w:fill="auto"/>
                    <w:noWrap/>
                    <w:vAlign w:val="center"/>
                  </w:tcPr>
                  <w:p w14:paraId="5C92155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661" w:type="dxa"/>
                    <w:tcBorders>
                      <w:top w:val="nil"/>
                      <w:left w:val="nil"/>
                      <w:right w:val="nil"/>
                    </w:tcBorders>
                    <w:shd w:val="clear" w:color="auto" w:fill="auto"/>
                    <w:noWrap/>
                    <w:vAlign w:val="center"/>
                  </w:tcPr>
                  <w:p w14:paraId="6B48FED8"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right w:val="nil"/>
                    </w:tcBorders>
                    <w:shd w:val="clear" w:color="auto" w:fill="auto"/>
                    <w:noWrap/>
                    <w:vAlign w:val="center"/>
                  </w:tcPr>
                  <w:p w14:paraId="6A65A1AC" w14:textId="77777777" w:rsidR="002F5246" w:rsidRPr="00FF56AB" w:rsidRDefault="002F5246" w:rsidP="00E23288">
                    <w:pPr>
                      <w:spacing w:line="240" w:lineRule="auto"/>
                      <w:jc w:val="center"/>
                      <w:rPr>
                        <w:rFonts w:ascii="Garamond" w:hAnsi="Garamond"/>
                        <w:color w:val="000000"/>
                        <w:sz w:val="16"/>
                        <w:szCs w:val="16"/>
                        <w:lang w:val="en-US"/>
                      </w:rPr>
                    </w:pPr>
                  </w:p>
                </w:tc>
                <w:tc>
                  <w:tcPr>
                    <w:tcW w:w="471" w:type="dxa"/>
                    <w:gridSpan w:val="2"/>
                    <w:tcBorders>
                      <w:top w:val="nil"/>
                      <w:left w:val="nil"/>
                      <w:right w:val="single" w:sz="8" w:space="0" w:color="auto"/>
                    </w:tcBorders>
                    <w:shd w:val="clear" w:color="auto" w:fill="auto"/>
                    <w:noWrap/>
                    <w:vAlign w:val="center"/>
                  </w:tcPr>
                  <w:p w14:paraId="57F83167" w14:textId="77777777" w:rsidR="002F5246" w:rsidRPr="00FF56AB" w:rsidRDefault="002F5246" w:rsidP="00E23288">
                    <w:pPr>
                      <w:spacing w:line="240" w:lineRule="auto"/>
                      <w:jc w:val="center"/>
                      <w:rPr>
                        <w:rFonts w:ascii="Garamond" w:hAnsi="Garamond"/>
                        <w:color w:val="000000"/>
                        <w:sz w:val="16"/>
                        <w:szCs w:val="16"/>
                        <w:lang w:val="en-US"/>
                      </w:rPr>
                    </w:pPr>
                  </w:p>
                </w:tc>
                <w:tc>
                  <w:tcPr>
                    <w:tcW w:w="633" w:type="dxa"/>
                    <w:tcBorders>
                      <w:top w:val="nil"/>
                      <w:left w:val="nil"/>
                      <w:right w:val="single" w:sz="12" w:space="0" w:color="auto"/>
                    </w:tcBorders>
                    <w:shd w:val="clear" w:color="auto" w:fill="auto"/>
                    <w:noWrap/>
                    <w:vAlign w:val="center"/>
                  </w:tcPr>
                  <w:p w14:paraId="678C282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r>
              <w:tr w:rsidR="002F5246" w:rsidRPr="00FF56AB" w14:paraId="68B5BF63" w14:textId="77777777" w:rsidTr="00E23288">
                <w:trPr>
                  <w:trHeight w:hRule="exact" w:val="227"/>
                  <w:jc w:val="center"/>
                </w:trPr>
                <w:tc>
                  <w:tcPr>
                    <w:tcW w:w="409" w:type="dxa"/>
                    <w:tcBorders>
                      <w:top w:val="nil"/>
                      <w:left w:val="single" w:sz="12" w:space="0" w:color="auto"/>
                      <w:bottom w:val="nil"/>
                      <w:right w:val="nil"/>
                    </w:tcBorders>
                    <w:vAlign w:val="center"/>
                  </w:tcPr>
                  <w:p w14:paraId="683B9C8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12</w:t>
                    </w:r>
                  </w:p>
                </w:tc>
                <w:tc>
                  <w:tcPr>
                    <w:tcW w:w="1559" w:type="dxa"/>
                    <w:tcBorders>
                      <w:top w:val="nil"/>
                      <w:left w:val="single" w:sz="8" w:space="0" w:color="auto"/>
                      <w:bottom w:val="nil"/>
                      <w:right w:val="single" w:sz="4" w:space="0" w:color="auto"/>
                    </w:tcBorders>
                    <w:shd w:val="clear" w:color="auto" w:fill="auto"/>
                    <w:noWrap/>
                    <w:vAlign w:val="center"/>
                  </w:tcPr>
                  <w:p w14:paraId="51F21B5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ICBC</w:t>
                    </w:r>
                  </w:p>
                </w:tc>
                <w:tc>
                  <w:tcPr>
                    <w:tcW w:w="836" w:type="dxa"/>
                    <w:tcBorders>
                      <w:top w:val="nil"/>
                      <w:left w:val="single" w:sz="4" w:space="0" w:color="auto"/>
                      <w:bottom w:val="nil"/>
                      <w:right w:val="nil"/>
                    </w:tcBorders>
                    <w:shd w:val="clear" w:color="000000" w:fill="FFFFFF"/>
                    <w:noWrap/>
                    <w:vAlign w:val="center"/>
                  </w:tcPr>
                  <w:p w14:paraId="501019C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LON</w:t>
                    </w:r>
                  </w:p>
                </w:tc>
                <w:tc>
                  <w:tcPr>
                    <w:tcW w:w="607" w:type="dxa"/>
                    <w:tcBorders>
                      <w:top w:val="nil"/>
                      <w:left w:val="single" w:sz="8" w:space="0" w:color="auto"/>
                      <w:bottom w:val="nil"/>
                      <w:right w:val="nil"/>
                    </w:tcBorders>
                    <w:shd w:val="clear" w:color="auto" w:fill="auto"/>
                    <w:noWrap/>
                    <w:vAlign w:val="center"/>
                  </w:tcPr>
                  <w:p w14:paraId="14B97EC0" w14:textId="77777777" w:rsidR="002F5246" w:rsidRPr="00FF56AB" w:rsidRDefault="002F5246" w:rsidP="00E23288">
                    <w:pPr>
                      <w:spacing w:line="240" w:lineRule="auto"/>
                      <w:jc w:val="center"/>
                      <w:rPr>
                        <w:rFonts w:ascii="Garamond" w:hAnsi="Garamond"/>
                        <w:color w:val="000000"/>
                        <w:sz w:val="16"/>
                        <w:szCs w:val="16"/>
                        <w:lang w:val="en-US"/>
                      </w:rPr>
                    </w:pPr>
                  </w:p>
                </w:tc>
                <w:tc>
                  <w:tcPr>
                    <w:tcW w:w="563" w:type="dxa"/>
                    <w:gridSpan w:val="2"/>
                    <w:tcBorders>
                      <w:top w:val="nil"/>
                      <w:left w:val="nil"/>
                      <w:right w:val="nil"/>
                    </w:tcBorders>
                    <w:shd w:val="clear" w:color="auto" w:fill="auto"/>
                    <w:noWrap/>
                    <w:vAlign w:val="center"/>
                  </w:tcPr>
                  <w:p w14:paraId="2B40399C" w14:textId="77777777" w:rsidR="002F5246" w:rsidRPr="00FF56AB" w:rsidRDefault="002F5246" w:rsidP="00E23288">
                    <w:pPr>
                      <w:spacing w:line="240" w:lineRule="auto"/>
                      <w:jc w:val="center"/>
                      <w:rPr>
                        <w:rFonts w:ascii="Garamond" w:hAnsi="Garamond"/>
                        <w:color w:val="000000"/>
                        <w:sz w:val="16"/>
                        <w:szCs w:val="16"/>
                        <w:lang w:val="en-US"/>
                      </w:rPr>
                    </w:pPr>
                  </w:p>
                </w:tc>
                <w:tc>
                  <w:tcPr>
                    <w:tcW w:w="547" w:type="dxa"/>
                    <w:gridSpan w:val="2"/>
                    <w:tcBorders>
                      <w:top w:val="nil"/>
                      <w:left w:val="nil"/>
                      <w:bottom w:val="nil"/>
                      <w:right w:val="single" w:sz="8" w:space="0" w:color="auto"/>
                    </w:tcBorders>
                    <w:shd w:val="clear" w:color="auto" w:fill="auto"/>
                    <w:noWrap/>
                    <w:vAlign w:val="center"/>
                  </w:tcPr>
                  <w:p w14:paraId="59EECF71" w14:textId="77777777" w:rsidR="002F5246" w:rsidRPr="00FF56AB" w:rsidRDefault="002F5246" w:rsidP="00E23288">
                    <w:pPr>
                      <w:spacing w:line="240" w:lineRule="auto"/>
                      <w:jc w:val="center"/>
                      <w:rPr>
                        <w:rFonts w:ascii="Garamond" w:hAnsi="Garamond"/>
                        <w:color w:val="000000"/>
                        <w:sz w:val="16"/>
                        <w:szCs w:val="16"/>
                        <w:lang w:val="en-US"/>
                      </w:rPr>
                    </w:pPr>
                  </w:p>
                </w:tc>
                <w:tc>
                  <w:tcPr>
                    <w:tcW w:w="611" w:type="dxa"/>
                    <w:tcBorders>
                      <w:top w:val="nil"/>
                      <w:left w:val="single" w:sz="8" w:space="0" w:color="auto"/>
                      <w:bottom w:val="nil"/>
                      <w:right w:val="nil"/>
                    </w:tcBorders>
                    <w:shd w:val="clear" w:color="auto" w:fill="auto"/>
                    <w:noWrap/>
                    <w:vAlign w:val="center"/>
                  </w:tcPr>
                  <w:p w14:paraId="3998FD9D"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right w:val="nil"/>
                    </w:tcBorders>
                    <w:shd w:val="clear" w:color="auto" w:fill="auto"/>
                    <w:noWrap/>
                    <w:vAlign w:val="center"/>
                  </w:tcPr>
                  <w:p w14:paraId="3D464887" w14:textId="77777777" w:rsidR="002F5246" w:rsidRPr="00FF56AB" w:rsidRDefault="002F5246" w:rsidP="00E23288">
                    <w:pPr>
                      <w:spacing w:line="240" w:lineRule="auto"/>
                      <w:jc w:val="center"/>
                      <w:rPr>
                        <w:rFonts w:ascii="Garamond" w:hAnsi="Garamond"/>
                        <w:color w:val="000000"/>
                        <w:sz w:val="16"/>
                        <w:szCs w:val="16"/>
                        <w:lang w:val="en-US"/>
                      </w:rPr>
                    </w:pPr>
                  </w:p>
                </w:tc>
                <w:tc>
                  <w:tcPr>
                    <w:tcW w:w="499" w:type="dxa"/>
                    <w:gridSpan w:val="2"/>
                    <w:tcBorders>
                      <w:top w:val="nil"/>
                      <w:left w:val="nil"/>
                      <w:right w:val="single" w:sz="8" w:space="0" w:color="auto"/>
                    </w:tcBorders>
                    <w:shd w:val="clear" w:color="auto" w:fill="auto"/>
                    <w:noWrap/>
                    <w:vAlign w:val="center"/>
                  </w:tcPr>
                  <w:p w14:paraId="4C592A60" w14:textId="77777777" w:rsidR="002F5246" w:rsidRPr="00FF56AB" w:rsidRDefault="002F5246" w:rsidP="00E23288">
                    <w:pPr>
                      <w:spacing w:line="240" w:lineRule="auto"/>
                      <w:jc w:val="center"/>
                      <w:rPr>
                        <w:rFonts w:ascii="Garamond" w:hAnsi="Garamond"/>
                        <w:color w:val="000000"/>
                        <w:sz w:val="16"/>
                        <w:szCs w:val="16"/>
                        <w:lang w:val="en-US"/>
                      </w:rPr>
                    </w:pPr>
                  </w:p>
                </w:tc>
                <w:tc>
                  <w:tcPr>
                    <w:tcW w:w="658" w:type="dxa"/>
                    <w:tcBorders>
                      <w:top w:val="nil"/>
                      <w:left w:val="nil"/>
                      <w:right w:val="nil"/>
                    </w:tcBorders>
                    <w:shd w:val="clear" w:color="auto" w:fill="auto"/>
                    <w:noWrap/>
                    <w:vAlign w:val="center"/>
                  </w:tcPr>
                  <w:p w14:paraId="13BB7BB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73</w:t>
                    </w:r>
                  </w:p>
                </w:tc>
                <w:tc>
                  <w:tcPr>
                    <w:tcW w:w="561" w:type="dxa"/>
                    <w:gridSpan w:val="2"/>
                    <w:tcBorders>
                      <w:top w:val="nil"/>
                      <w:left w:val="nil"/>
                      <w:right w:val="nil"/>
                    </w:tcBorders>
                    <w:shd w:val="clear" w:color="auto" w:fill="auto"/>
                    <w:noWrap/>
                    <w:vAlign w:val="center"/>
                  </w:tcPr>
                  <w:p w14:paraId="1A86095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474" w:type="dxa"/>
                    <w:gridSpan w:val="2"/>
                    <w:tcBorders>
                      <w:top w:val="nil"/>
                      <w:left w:val="nil"/>
                      <w:right w:val="single" w:sz="8" w:space="0" w:color="auto"/>
                    </w:tcBorders>
                    <w:shd w:val="clear" w:color="auto" w:fill="auto"/>
                    <w:noWrap/>
                    <w:vAlign w:val="center"/>
                  </w:tcPr>
                  <w:p w14:paraId="232099E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636" w:type="dxa"/>
                    <w:tcBorders>
                      <w:top w:val="nil"/>
                      <w:left w:val="nil"/>
                      <w:right w:val="nil"/>
                    </w:tcBorders>
                    <w:shd w:val="clear" w:color="auto" w:fill="auto"/>
                    <w:noWrap/>
                    <w:vAlign w:val="center"/>
                  </w:tcPr>
                  <w:p w14:paraId="34BE2511"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right w:val="nil"/>
                    </w:tcBorders>
                    <w:shd w:val="clear" w:color="auto" w:fill="auto"/>
                    <w:noWrap/>
                    <w:vAlign w:val="center"/>
                  </w:tcPr>
                  <w:p w14:paraId="7DA0BC56" w14:textId="77777777" w:rsidR="002F5246" w:rsidRPr="00FF56AB" w:rsidRDefault="002F5246" w:rsidP="00E23288">
                    <w:pPr>
                      <w:spacing w:line="240" w:lineRule="auto"/>
                      <w:jc w:val="center"/>
                      <w:rPr>
                        <w:rFonts w:ascii="Garamond" w:hAnsi="Garamond"/>
                        <w:color w:val="000000"/>
                        <w:sz w:val="16"/>
                        <w:szCs w:val="16"/>
                        <w:lang w:val="en-US"/>
                      </w:rPr>
                    </w:pPr>
                  </w:p>
                </w:tc>
                <w:tc>
                  <w:tcPr>
                    <w:tcW w:w="496" w:type="dxa"/>
                    <w:gridSpan w:val="2"/>
                    <w:tcBorders>
                      <w:top w:val="nil"/>
                      <w:left w:val="nil"/>
                      <w:right w:val="single" w:sz="8" w:space="0" w:color="auto"/>
                    </w:tcBorders>
                    <w:shd w:val="clear" w:color="auto" w:fill="auto"/>
                    <w:noWrap/>
                    <w:vAlign w:val="center"/>
                  </w:tcPr>
                  <w:p w14:paraId="1A66342B" w14:textId="77777777" w:rsidR="002F5246" w:rsidRPr="00FF56AB" w:rsidRDefault="002F5246" w:rsidP="00E23288">
                    <w:pPr>
                      <w:spacing w:line="240" w:lineRule="auto"/>
                      <w:jc w:val="center"/>
                      <w:rPr>
                        <w:rFonts w:ascii="Garamond" w:hAnsi="Garamond"/>
                        <w:color w:val="000000"/>
                        <w:sz w:val="16"/>
                        <w:szCs w:val="16"/>
                        <w:lang w:val="en-US"/>
                      </w:rPr>
                    </w:pPr>
                  </w:p>
                </w:tc>
                <w:tc>
                  <w:tcPr>
                    <w:tcW w:w="661" w:type="dxa"/>
                    <w:tcBorders>
                      <w:top w:val="nil"/>
                      <w:left w:val="nil"/>
                      <w:right w:val="nil"/>
                    </w:tcBorders>
                    <w:shd w:val="clear" w:color="auto" w:fill="auto"/>
                    <w:noWrap/>
                    <w:vAlign w:val="center"/>
                  </w:tcPr>
                  <w:p w14:paraId="5DEC1216"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right w:val="nil"/>
                    </w:tcBorders>
                    <w:shd w:val="clear" w:color="auto" w:fill="auto"/>
                    <w:noWrap/>
                    <w:vAlign w:val="center"/>
                  </w:tcPr>
                  <w:p w14:paraId="447EC63C" w14:textId="77777777" w:rsidR="002F5246" w:rsidRPr="00FF56AB" w:rsidRDefault="002F5246" w:rsidP="00E23288">
                    <w:pPr>
                      <w:spacing w:line="240" w:lineRule="auto"/>
                      <w:jc w:val="center"/>
                      <w:rPr>
                        <w:rFonts w:ascii="Garamond" w:hAnsi="Garamond"/>
                        <w:color w:val="000000"/>
                        <w:sz w:val="16"/>
                        <w:szCs w:val="16"/>
                        <w:lang w:val="en-US"/>
                      </w:rPr>
                    </w:pPr>
                  </w:p>
                </w:tc>
                <w:tc>
                  <w:tcPr>
                    <w:tcW w:w="471" w:type="dxa"/>
                    <w:gridSpan w:val="2"/>
                    <w:tcBorders>
                      <w:top w:val="nil"/>
                      <w:left w:val="nil"/>
                      <w:right w:val="single" w:sz="8" w:space="0" w:color="auto"/>
                    </w:tcBorders>
                    <w:shd w:val="clear" w:color="auto" w:fill="auto"/>
                    <w:noWrap/>
                    <w:vAlign w:val="center"/>
                  </w:tcPr>
                  <w:p w14:paraId="4E87C962" w14:textId="77777777" w:rsidR="002F5246" w:rsidRPr="00FF56AB" w:rsidRDefault="002F5246" w:rsidP="00E23288">
                    <w:pPr>
                      <w:spacing w:line="240" w:lineRule="auto"/>
                      <w:jc w:val="center"/>
                      <w:rPr>
                        <w:rFonts w:ascii="Garamond" w:hAnsi="Garamond"/>
                        <w:color w:val="000000"/>
                        <w:sz w:val="16"/>
                        <w:szCs w:val="16"/>
                        <w:lang w:val="en-US"/>
                      </w:rPr>
                    </w:pPr>
                  </w:p>
                </w:tc>
                <w:tc>
                  <w:tcPr>
                    <w:tcW w:w="633" w:type="dxa"/>
                    <w:tcBorders>
                      <w:top w:val="nil"/>
                      <w:left w:val="nil"/>
                      <w:right w:val="single" w:sz="12" w:space="0" w:color="auto"/>
                    </w:tcBorders>
                    <w:shd w:val="clear" w:color="auto" w:fill="auto"/>
                    <w:noWrap/>
                    <w:vAlign w:val="center"/>
                  </w:tcPr>
                  <w:p w14:paraId="4A45896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r>
              <w:tr w:rsidR="002F5246" w:rsidRPr="00FF56AB" w14:paraId="72DB79AD" w14:textId="77777777" w:rsidTr="00E23288">
                <w:trPr>
                  <w:trHeight w:hRule="exact" w:val="227"/>
                  <w:jc w:val="center"/>
                </w:trPr>
                <w:tc>
                  <w:tcPr>
                    <w:tcW w:w="409" w:type="dxa"/>
                    <w:tcBorders>
                      <w:top w:val="nil"/>
                      <w:left w:val="single" w:sz="12" w:space="0" w:color="auto"/>
                      <w:bottom w:val="nil"/>
                      <w:right w:val="nil"/>
                    </w:tcBorders>
                    <w:vAlign w:val="center"/>
                  </w:tcPr>
                  <w:p w14:paraId="1F7C19E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13</w:t>
                    </w:r>
                  </w:p>
                </w:tc>
                <w:tc>
                  <w:tcPr>
                    <w:tcW w:w="1559" w:type="dxa"/>
                    <w:tcBorders>
                      <w:top w:val="nil"/>
                      <w:left w:val="single" w:sz="8" w:space="0" w:color="auto"/>
                      <w:bottom w:val="nil"/>
                      <w:right w:val="single" w:sz="4" w:space="0" w:color="auto"/>
                    </w:tcBorders>
                    <w:shd w:val="clear" w:color="auto" w:fill="auto"/>
                    <w:noWrap/>
                    <w:vAlign w:val="center"/>
                  </w:tcPr>
                  <w:p w14:paraId="76FB4E3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WGZ BANK</w:t>
                    </w:r>
                  </w:p>
                </w:tc>
                <w:tc>
                  <w:tcPr>
                    <w:tcW w:w="836" w:type="dxa"/>
                    <w:tcBorders>
                      <w:top w:val="nil"/>
                      <w:left w:val="single" w:sz="4" w:space="0" w:color="auto"/>
                      <w:bottom w:val="single" w:sz="4" w:space="0" w:color="auto"/>
                      <w:right w:val="nil"/>
                    </w:tcBorders>
                    <w:shd w:val="clear" w:color="000000" w:fill="FFFFFF"/>
                    <w:noWrap/>
                    <w:vAlign w:val="center"/>
                  </w:tcPr>
                  <w:p w14:paraId="21F4B23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DUS</w:t>
                    </w:r>
                  </w:p>
                </w:tc>
                <w:tc>
                  <w:tcPr>
                    <w:tcW w:w="607" w:type="dxa"/>
                    <w:tcBorders>
                      <w:top w:val="nil"/>
                      <w:left w:val="single" w:sz="8" w:space="0" w:color="auto"/>
                      <w:bottom w:val="nil"/>
                      <w:right w:val="nil"/>
                    </w:tcBorders>
                    <w:shd w:val="clear" w:color="auto" w:fill="auto"/>
                    <w:noWrap/>
                    <w:vAlign w:val="center"/>
                  </w:tcPr>
                  <w:p w14:paraId="43664CE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115</w:t>
                    </w:r>
                  </w:p>
                </w:tc>
                <w:tc>
                  <w:tcPr>
                    <w:tcW w:w="563" w:type="dxa"/>
                    <w:gridSpan w:val="2"/>
                    <w:tcBorders>
                      <w:top w:val="nil"/>
                      <w:left w:val="nil"/>
                      <w:right w:val="nil"/>
                    </w:tcBorders>
                    <w:shd w:val="clear" w:color="auto" w:fill="auto"/>
                    <w:noWrap/>
                    <w:vAlign w:val="center"/>
                  </w:tcPr>
                  <w:p w14:paraId="46A076E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0</w:t>
                    </w:r>
                  </w:p>
                </w:tc>
                <w:tc>
                  <w:tcPr>
                    <w:tcW w:w="547" w:type="dxa"/>
                    <w:gridSpan w:val="2"/>
                    <w:tcBorders>
                      <w:top w:val="nil"/>
                      <w:left w:val="nil"/>
                      <w:bottom w:val="nil"/>
                      <w:right w:val="single" w:sz="8" w:space="0" w:color="auto"/>
                    </w:tcBorders>
                    <w:shd w:val="clear" w:color="auto" w:fill="auto"/>
                    <w:noWrap/>
                    <w:vAlign w:val="center"/>
                  </w:tcPr>
                  <w:p w14:paraId="14FF79D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611" w:type="dxa"/>
                    <w:tcBorders>
                      <w:top w:val="nil"/>
                      <w:left w:val="single" w:sz="8" w:space="0" w:color="auto"/>
                      <w:bottom w:val="nil"/>
                      <w:right w:val="nil"/>
                    </w:tcBorders>
                    <w:shd w:val="clear" w:color="auto" w:fill="auto"/>
                    <w:noWrap/>
                    <w:vAlign w:val="center"/>
                  </w:tcPr>
                  <w:p w14:paraId="27F18D0A"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right w:val="nil"/>
                    </w:tcBorders>
                    <w:shd w:val="clear" w:color="auto" w:fill="auto"/>
                    <w:noWrap/>
                    <w:vAlign w:val="center"/>
                  </w:tcPr>
                  <w:p w14:paraId="78BC75FF" w14:textId="77777777" w:rsidR="002F5246" w:rsidRPr="00FF56AB" w:rsidRDefault="002F5246" w:rsidP="00E23288">
                    <w:pPr>
                      <w:spacing w:line="240" w:lineRule="auto"/>
                      <w:jc w:val="center"/>
                      <w:rPr>
                        <w:rFonts w:ascii="Garamond" w:hAnsi="Garamond"/>
                        <w:color w:val="000000"/>
                        <w:sz w:val="16"/>
                        <w:szCs w:val="16"/>
                        <w:lang w:val="en-US"/>
                      </w:rPr>
                    </w:pPr>
                  </w:p>
                </w:tc>
                <w:tc>
                  <w:tcPr>
                    <w:tcW w:w="499" w:type="dxa"/>
                    <w:gridSpan w:val="2"/>
                    <w:tcBorders>
                      <w:top w:val="nil"/>
                      <w:left w:val="nil"/>
                      <w:right w:val="single" w:sz="8" w:space="0" w:color="auto"/>
                    </w:tcBorders>
                    <w:shd w:val="clear" w:color="auto" w:fill="auto"/>
                    <w:noWrap/>
                    <w:vAlign w:val="center"/>
                  </w:tcPr>
                  <w:p w14:paraId="7107AEC5" w14:textId="77777777" w:rsidR="002F5246" w:rsidRPr="00FF56AB" w:rsidRDefault="002F5246" w:rsidP="00E23288">
                    <w:pPr>
                      <w:spacing w:line="240" w:lineRule="auto"/>
                      <w:jc w:val="center"/>
                      <w:rPr>
                        <w:rFonts w:ascii="Garamond" w:hAnsi="Garamond"/>
                        <w:color w:val="000000"/>
                        <w:sz w:val="16"/>
                        <w:szCs w:val="16"/>
                        <w:lang w:val="en-US"/>
                      </w:rPr>
                    </w:pPr>
                  </w:p>
                </w:tc>
                <w:tc>
                  <w:tcPr>
                    <w:tcW w:w="658" w:type="dxa"/>
                    <w:tcBorders>
                      <w:top w:val="nil"/>
                      <w:left w:val="nil"/>
                      <w:right w:val="nil"/>
                    </w:tcBorders>
                    <w:shd w:val="clear" w:color="auto" w:fill="auto"/>
                    <w:noWrap/>
                    <w:vAlign w:val="center"/>
                  </w:tcPr>
                  <w:p w14:paraId="4EC8B493"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right w:val="nil"/>
                    </w:tcBorders>
                    <w:shd w:val="clear" w:color="auto" w:fill="auto"/>
                    <w:noWrap/>
                    <w:vAlign w:val="center"/>
                  </w:tcPr>
                  <w:p w14:paraId="04C452BB" w14:textId="77777777" w:rsidR="002F5246" w:rsidRPr="00FF56AB" w:rsidRDefault="002F5246" w:rsidP="00E23288">
                    <w:pPr>
                      <w:spacing w:line="240" w:lineRule="auto"/>
                      <w:jc w:val="center"/>
                      <w:rPr>
                        <w:rFonts w:ascii="Garamond" w:hAnsi="Garamond"/>
                        <w:color w:val="000000"/>
                        <w:sz w:val="16"/>
                        <w:szCs w:val="16"/>
                        <w:lang w:val="en-US"/>
                      </w:rPr>
                    </w:pPr>
                  </w:p>
                </w:tc>
                <w:tc>
                  <w:tcPr>
                    <w:tcW w:w="474" w:type="dxa"/>
                    <w:gridSpan w:val="2"/>
                    <w:tcBorders>
                      <w:top w:val="nil"/>
                      <w:left w:val="nil"/>
                      <w:right w:val="single" w:sz="8" w:space="0" w:color="auto"/>
                    </w:tcBorders>
                    <w:shd w:val="clear" w:color="auto" w:fill="auto"/>
                    <w:noWrap/>
                    <w:vAlign w:val="center"/>
                  </w:tcPr>
                  <w:p w14:paraId="7AA695EA" w14:textId="77777777" w:rsidR="002F5246" w:rsidRPr="00FF56AB" w:rsidRDefault="002F5246" w:rsidP="00E23288">
                    <w:pPr>
                      <w:spacing w:line="240" w:lineRule="auto"/>
                      <w:jc w:val="center"/>
                      <w:rPr>
                        <w:rFonts w:ascii="Garamond" w:hAnsi="Garamond"/>
                        <w:color w:val="000000"/>
                        <w:sz w:val="16"/>
                        <w:szCs w:val="16"/>
                        <w:lang w:val="en-US"/>
                      </w:rPr>
                    </w:pPr>
                  </w:p>
                </w:tc>
                <w:tc>
                  <w:tcPr>
                    <w:tcW w:w="636" w:type="dxa"/>
                    <w:tcBorders>
                      <w:top w:val="nil"/>
                      <w:left w:val="nil"/>
                      <w:right w:val="nil"/>
                    </w:tcBorders>
                    <w:shd w:val="clear" w:color="auto" w:fill="auto"/>
                    <w:noWrap/>
                    <w:vAlign w:val="center"/>
                  </w:tcPr>
                  <w:p w14:paraId="63D224DF"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right w:val="nil"/>
                    </w:tcBorders>
                    <w:shd w:val="clear" w:color="auto" w:fill="auto"/>
                    <w:noWrap/>
                    <w:vAlign w:val="center"/>
                  </w:tcPr>
                  <w:p w14:paraId="0FDD6A63" w14:textId="77777777" w:rsidR="002F5246" w:rsidRPr="00FF56AB" w:rsidRDefault="002F5246" w:rsidP="00E23288">
                    <w:pPr>
                      <w:spacing w:line="240" w:lineRule="auto"/>
                      <w:jc w:val="center"/>
                      <w:rPr>
                        <w:rFonts w:ascii="Garamond" w:hAnsi="Garamond"/>
                        <w:color w:val="000000"/>
                        <w:sz w:val="16"/>
                        <w:szCs w:val="16"/>
                        <w:lang w:val="en-US"/>
                      </w:rPr>
                    </w:pPr>
                  </w:p>
                </w:tc>
                <w:tc>
                  <w:tcPr>
                    <w:tcW w:w="496" w:type="dxa"/>
                    <w:gridSpan w:val="2"/>
                    <w:tcBorders>
                      <w:top w:val="nil"/>
                      <w:left w:val="nil"/>
                      <w:right w:val="single" w:sz="8" w:space="0" w:color="auto"/>
                    </w:tcBorders>
                    <w:shd w:val="clear" w:color="auto" w:fill="auto"/>
                    <w:noWrap/>
                    <w:vAlign w:val="center"/>
                  </w:tcPr>
                  <w:p w14:paraId="3C47169B" w14:textId="77777777" w:rsidR="002F5246" w:rsidRPr="00FF56AB" w:rsidRDefault="002F5246" w:rsidP="00E23288">
                    <w:pPr>
                      <w:spacing w:line="240" w:lineRule="auto"/>
                      <w:jc w:val="center"/>
                      <w:rPr>
                        <w:rFonts w:ascii="Garamond" w:hAnsi="Garamond"/>
                        <w:color w:val="000000"/>
                        <w:sz w:val="16"/>
                        <w:szCs w:val="16"/>
                        <w:lang w:val="en-US"/>
                      </w:rPr>
                    </w:pPr>
                  </w:p>
                </w:tc>
                <w:tc>
                  <w:tcPr>
                    <w:tcW w:w="661" w:type="dxa"/>
                    <w:tcBorders>
                      <w:top w:val="nil"/>
                      <w:left w:val="nil"/>
                      <w:right w:val="nil"/>
                    </w:tcBorders>
                    <w:shd w:val="clear" w:color="auto" w:fill="auto"/>
                    <w:noWrap/>
                    <w:vAlign w:val="center"/>
                  </w:tcPr>
                  <w:p w14:paraId="0E3B0C75"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nil"/>
                      <w:left w:val="nil"/>
                      <w:right w:val="nil"/>
                    </w:tcBorders>
                    <w:shd w:val="clear" w:color="auto" w:fill="auto"/>
                    <w:noWrap/>
                    <w:vAlign w:val="center"/>
                  </w:tcPr>
                  <w:p w14:paraId="0A59974F" w14:textId="77777777" w:rsidR="002F5246" w:rsidRPr="00FF56AB" w:rsidRDefault="002F5246" w:rsidP="00E23288">
                    <w:pPr>
                      <w:spacing w:line="240" w:lineRule="auto"/>
                      <w:jc w:val="center"/>
                      <w:rPr>
                        <w:rFonts w:ascii="Garamond" w:hAnsi="Garamond"/>
                        <w:color w:val="000000"/>
                        <w:sz w:val="16"/>
                        <w:szCs w:val="16"/>
                        <w:lang w:val="en-US"/>
                      </w:rPr>
                    </w:pPr>
                  </w:p>
                </w:tc>
                <w:tc>
                  <w:tcPr>
                    <w:tcW w:w="471" w:type="dxa"/>
                    <w:gridSpan w:val="2"/>
                    <w:tcBorders>
                      <w:top w:val="nil"/>
                      <w:left w:val="nil"/>
                      <w:right w:val="single" w:sz="8" w:space="0" w:color="auto"/>
                    </w:tcBorders>
                    <w:shd w:val="clear" w:color="auto" w:fill="auto"/>
                    <w:noWrap/>
                    <w:vAlign w:val="center"/>
                  </w:tcPr>
                  <w:p w14:paraId="2A0E6B05" w14:textId="77777777" w:rsidR="002F5246" w:rsidRPr="00FF56AB" w:rsidRDefault="002F5246" w:rsidP="00E23288">
                    <w:pPr>
                      <w:spacing w:line="240" w:lineRule="auto"/>
                      <w:jc w:val="center"/>
                      <w:rPr>
                        <w:rFonts w:ascii="Garamond" w:hAnsi="Garamond"/>
                        <w:color w:val="000000"/>
                        <w:sz w:val="16"/>
                        <w:szCs w:val="16"/>
                        <w:lang w:val="en-US"/>
                      </w:rPr>
                    </w:pPr>
                  </w:p>
                </w:tc>
                <w:tc>
                  <w:tcPr>
                    <w:tcW w:w="633" w:type="dxa"/>
                    <w:tcBorders>
                      <w:top w:val="nil"/>
                      <w:left w:val="nil"/>
                      <w:right w:val="single" w:sz="12" w:space="0" w:color="auto"/>
                    </w:tcBorders>
                    <w:shd w:val="clear" w:color="auto" w:fill="auto"/>
                    <w:noWrap/>
                    <w:vAlign w:val="center"/>
                  </w:tcPr>
                  <w:p w14:paraId="062C76F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r>
              <w:tr w:rsidR="002F5246" w:rsidRPr="00FF56AB" w14:paraId="61F1F639" w14:textId="77777777" w:rsidTr="00E23288">
                <w:trPr>
                  <w:trHeight w:hRule="exact" w:val="227"/>
                  <w:jc w:val="center"/>
                </w:trPr>
                <w:tc>
                  <w:tcPr>
                    <w:tcW w:w="409" w:type="dxa"/>
                    <w:tcBorders>
                      <w:top w:val="single" w:sz="4" w:space="0" w:color="auto"/>
                      <w:left w:val="single" w:sz="12" w:space="0" w:color="auto"/>
                      <w:bottom w:val="single" w:sz="8" w:space="0" w:color="auto"/>
                      <w:right w:val="nil"/>
                    </w:tcBorders>
                    <w:vAlign w:val="center"/>
                  </w:tcPr>
                  <w:p w14:paraId="68D7CD4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ab/>
                    </w:r>
                    <w:r w:rsidRPr="00FF56AB">
                      <w:rPr>
                        <w:rFonts w:ascii="Garamond" w:hAnsi="Garamond"/>
                        <w:color w:val="000000"/>
                        <w:sz w:val="16"/>
                        <w:szCs w:val="16"/>
                        <w:lang w:val="en-US"/>
                      </w:rPr>
                      <w:tab/>
                    </w:r>
                  </w:p>
                </w:tc>
                <w:tc>
                  <w:tcPr>
                    <w:tcW w:w="2395" w:type="dxa"/>
                    <w:gridSpan w:val="2"/>
                    <w:tcBorders>
                      <w:top w:val="single" w:sz="4" w:space="0" w:color="auto"/>
                      <w:left w:val="single" w:sz="8" w:space="0" w:color="auto"/>
                      <w:bottom w:val="single" w:sz="8" w:space="0" w:color="auto"/>
                      <w:right w:val="nil"/>
                    </w:tcBorders>
                    <w:shd w:val="clear" w:color="auto" w:fill="auto"/>
                    <w:noWrap/>
                    <w:vAlign w:val="center"/>
                  </w:tcPr>
                  <w:p w14:paraId="39EBA25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Total</w:t>
                    </w:r>
                  </w:p>
                </w:tc>
                <w:tc>
                  <w:tcPr>
                    <w:tcW w:w="607" w:type="dxa"/>
                    <w:tcBorders>
                      <w:top w:val="single" w:sz="4" w:space="0" w:color="auto"/>
                      <w:left w:val="single" w:sz="8" w:space="0" w:color="auto"/>
                      <w:bottom w:val="single" w:sz="8" w:space="0" w:color="auto"/>
                      <w:right w:val="nil"/>
                    </w:tcBorders>
                    <w:shd w:val="clear" w:color="auto" w:fill="auto"/>
                    <w:noWrap/>
                    <w:vAlign w:val="center"/>
                  </w:tcPr>
                  <w:p w14:paraId="1FC0CE1C" w14:textId="77777777" w:rsidR="002F5246" w:rsidRPr="00FF56AB" w:rsidRDefault="002F5246" w:rsidP="00E23288">
                    <w:pPr>
                      <w:spacing w:line="240" w:lineRule="auto"/>
                      <w:jc w:val="center"/>
                      <w:rPr>
                        <w:rFonts w:ascii="Garamond" w:hAnsi="Garamond"/>
                        <w:color w:val="000000"/>
                        <w:sz w:val="16"/>
                        <w:szCs w:val="16"/>
                        <w:lang w:val="en-US"/>
                      </w:rPr>
                    </w:pPr>
                  </w:p>
                </w:tc>
                <w:tc>
                  <w:tcPr>
                    <w:tcW w:w="563" w:type="dxa"/>
                    <w:gridSpan w:val="2"/>
                    <w:tcBorders>
                      <w:top w:val="single" w:sz="4" w:space="0" w:color="auto"/>
                      <w:left w:val="nil"/>
                      <w:bottom w:val="single" w:sz="8" w:space="0" w:color="auto"/>
                      <w:right w:val="nil"/>
                    </w:tcBorders>
                    <w:shd w:val="clear" w:color="auto" w:fill="auto"/>
                    <w:noWrap/>
                    <w:vAlign w:val="center"/>
                  </w:tcPr>
                  <w:p w14:paraId="42AFD97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11</w:t>
                    </w:r>
                  </w:p>
                </w:tc>
                <w:tc>
                  <w:tcPr>
                    <w:tcW w:w="547" w:type="dxa"/>
                    <w:gridSpan w:val="2"/>
                    <w:tcBorders>
                      <w:top w:val="single" w:sz="4" w:space="0" w:color="auto"/>
                      <w:left w:val="nil"/>
                      <w:bottom w:val="single" w:sz="8" w:space="0" w:color="auto"/>
                      <w:right w:val="single" w:sz="8" w:space="0" w:color="auto"/>
                    </w:tcBorders>
                    <w:shd w:val="clear" w:color="auto" w:fill="auto"/>
                    <w:noWrap/>
                    <w:vAlign w:val="center"/>
                  </w:tcPr>
                  <w:p w14:paraId="6F36AD8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12</w:t>
                    </w:r>
                  </w:p>
                </w:tc>
                <w:tc>
                  <w:tcPr>
                    <w:tcW w:w="611" w:type="dxa"/>
                    <w:tcBorders>
                      <w:top w:val="single" w:sz="4" w:space="0" w:color="auto"/>
                      <w:left w:val="single" w:sz="8" w:space="0" w:color="auto"/>
                      <w:bottom w:val="single" w:sz="8" w:space="0" w:color="auto"/>
                      <w:right w:val="nil"/>
                    </w:tcBorders>
                    <w:shd w:val="clear" w:color="auto" w:fill="auto"/>
                    <w:noWrap/>
                    <w:vAlign w:val="center"/>
                  </w:tcPr>
                  <w:p w14:paraId="1FAB10B2"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single" w:sz="4" w:space="0" w:color="auto"/>
                      <w:left w:val="nil"/>
                      <w:bottom w:val="single" w:sz="8" w:space="0" w:color="auto"/>
                      <w:right w:val="nil"/>
                    </w:tcBorders>
                    <w:shd w:val="clear" w:color="auto" w:fill="auto"/>
                    <w:noWrap/>
                    <w:vAlign w:val="center"/>
                  </w:tcPr>
                  <w:p w14:paraId="00AC469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15</w:t>
                    </w:r>
                  </w:p>
                </w:tc>
                <w:tc>
                  <w:tcPr>
                    <w:tcW w:w="499" w:type="dxa"/>
                    <w:gridSpan w:val="2"/>
                    <w:tcBorders>
                      <w:top w:val="single" w:sz="4" w:space="0" w:color="auto"/>
                      <w:left w:val="nil"/>
                      <w:bottom w:val="single" w:sz="8" w:space="0" w:color="auto"/>
                      <w:right w:val="single" w:sz="8" w:space="0" w:color="auto"/>
                    </w:tcBorders>
                    <w:shd w:val="clear" w:color="auto" w:fill="auto"/>
                    <w:noWrap/>
                    <w:vAlign w:val="center"/>
                  </w:tcPr>
                  <w:p w14:paraId="6C1DFFF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15</w:t>
                    </w:r>
                  </w:p>
                </w:tc>
                <w:tc>
                  <w:tcPr>
                    <w:tcW w:w="658" w:type="dxa"/>
                    <w:tcBorders>
                      <w:top w:val="single" w:sz="4" w:space="0" w:color="auto"/>
                      <w:left w:val="nil"/>
                      <w:bottom w:val="single" w:sz="8" w:space="0" w:color="auto"/>
                      <w:right w:val="nil"/>
                    </w:tcBorders>
                    <w:shd w:val="clear" w:color="auto" w:fill="auto"/>
                    <w:noWrap/>
                    <w:vAlign w:val="center"/>
                  </w:tcPr>
                  <w:p w14:paraId="55F10457"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single" w:sz="4" w:space="0" w:color="auto"/>
                      <w:left w:val="nil"/>
                      <w:bottom w:val="single" w:sz="8" w:space="0" w:color="auto"/>
                      <w:right w:val="nil"/>
                    </w:tcBorders>
                    <w:shd w:val="clear" w:color="auto" w:fill="auto"/>
                    <w:noWrap/>
                    <w:vAlign w:val="center"/>
                  </w:tcPr>
                  <w:p w14:paraId="1A4054C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8</w:t>
                    </w:r>
                  </w:p>
                </w:tc>
                <w:tc>
                  <w:tcPr>
                    <w:tcW w:w="474" w:type="dxa"/>
                    <w:gridSpan w:val="2"/>
                    <w:tcBorders>
                      <w:top w:val="single" w:sz="4" w:space="0" w:color="auto"/>
                      <w:left w:val="nil"/>
                      <w:bottom w:val="single" w:sz="8" w:space="0" w:color="auto"/>
                      <w:right w:val="single" w:sz="8" w:space="0" w:color="auto"/>
                    </w:tcBorders>
                    <w:shd w:val="clear" w:color="auto" w:fill="auto"/>
                    <w:noWrap/>
                    <w:vAlign w:val="center"/>
                  </w:tcPr>
                  <w:p w14:paraId="310006B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15</w:t>
                    </w:r>
                  </w:p>
                </w:tc>
                <w:tc>
                  <w:tcPr>
                    <w:tcW w:w="636" w:type="dxa"/>
                    <w:tcBorders>
                      <w:top w:val="single" w:sz="4" w:space="0" w:color="auto"/>
                      <w:left w:val="nil"/>
                      <w:bottom w:val="single" w:sz="8" w:space="0" w:color="auto"/>
                      <w:right w:val="nil"/>
                    </w:tcBorders>
                    <w:shd w:val="clear" w:color="auto" w:fill="auto"/>
                    <w:noWrap/>
                    <w:vAlign w:val="center"/>
                  </w:tcPr>
                  <w:p w14:paraId="690F7B51"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single" w:sz="4" w:space="0" w:color="auto"/>
                      <w:left w:val="nil"/>
                      <w:bottom w:val="single" w:sz="8" w:space="0" w:color="auto"/>
                      <w:right w:val="nil"/>
                    </w:tcBorders>
                    <w:shd w:val="clear" w:color="auto" w:fill="auto"/>
                    <w:noWrap/>
                    <w:vAlign w:val="center"/>
                  </w:tcPr>
                  <w:p w14:paraId="11FAB98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28</w:t>
                    </w:r>
                  </w:p>
                </w:tc>
                <w:tc>
                  <w:tcPr>
                    <w:tcW w:w="496" w:type="dxa"/>
                    <w:gridSpan w:val="2"/>
                    <w:tcBorders>
                      <w:top w:val="single" w:sz="4" w:space="0" w:color="auto"/>
                      <w:left w:val="nil"/>
                      <w:bottom w:val="single" w:sz="8" w:space="0" w:color="auto"/>
                      <w:right w:val="single" w:sz="8" w:space="0" w:color="auto"/>
                    </w:tcBorders>
                    <w:shd w:val="clear" w:color="auto" w:fill="auto"/>
                    <w:noWrap/>
                    <w:vAlign w:val="center"/>
                  </w:tcPr>
                  <w:p w14:paraId="5AAC477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21</w:t>
                    </w:r>
                  </w:p>
                </w:tc>
                <w:tc>
                  <w:tcPr>
                    <w:tcW w:w="661" w:type="dxa"/>
                    <w:tcBorders>
                      <w:top w:val="single" w:sz="4" w:space="0" w:color="auto"/>
                      <w:left w:val="nil"/>
                      <w:bottom w:val="single" w:sz="8" w:space="0" w:color="auto"/>
                      <w:right w:val="nil"/>
                    </w:tcBorders>
                    <w:shd w:val="clear" w:color="auto" w:fill="auto"/>
                    <w:noWrap/>
                    <w:vAlign w:val="center"/>
                  </w:tcPr>
                  <w:p w14:paraId="1E3F38EA" w14:textId="77777777" w:rsidR="002F5246" w:rsidRPr="00FF56AB" w:rsidRDefault="002F5246" w:rsidP="00E23288">
                    <w:pPr>
                      <w:spacing w:line="240" w:lineRule="auto"/>
                      <w:jc w:val="center"/>
                      <w:rPr>
                        <w:rFonts w:ascii="Garamond" w:hAnsi="Garamond"/>
                        <w:color w:val="000000"/>
                        <w:sz w:val="16"/>
                        <w:szCs w:val="16"/>
                        <w:lang w:val="en-US"/>
                      </w:rPr>
                    </w:pPr>
                  </w:p>
                </w:tc>
                <w:tc>
                  <w:tcPr>
                    <w:tcW w:w="561" w:type="dxa"/>
                    <w:gridSpan w:val="2"/>
                    <w:tcBorders>
                      <w:top w:val="single" w:sz="4" w:space="0" w:color="auto"/>
                      <w:left w:val="nil"/>
                      <w:bottom w:val="single" w:sz="8" w:space="0" w:color="auto"/>
                      <w:right w:val="nil"/>
                    </w:tcBorders>
                    <w:shd w:val="clear" w:color="auto" w:fill="auto"/>
                    <w:noWrap/>
                    <w:vAlign w:val="center"/>
                  </w:tcPr>
                  <w:p w14:paraId="7A772CD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6</w:t>
                    </w:r>
                  </w:p>
                </w:tc>
                <w:tc>
                  <w:tcPr>
                    <w:tcW w:w="471" w:type="dxa"/>
                    <w:gridSpan w:val="2"/>
                    <w:tcBorders>
                      <w:top w:val="single" w:sz="4" w:space="0" w:color="auto"/>
                      <w:left w:val="nil"/>
                      <w:bottom w:val="single" w:sz="8" w:space="0" w:color="auto"/>
                      <w:right w:val="single" w:sz="8" w:space="0" w:color="auto"/>
                    </w:tcBorders>
                    <w:shd w:val="clear" w:color="auto" w:fill="auto"/>
                    <w:noWrap/>
                    <w:vAlign w:val="center"/>
                  </w:tcPr>
                  <w:p w14:paraId="48FF368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10</w:t>
                    </w:r>
                  </w:p>
                </w:tc>
                <w:tc>
                  <w:tcPr>
                    <w:tcW w:w="633" w:type="dxa"/>
                    <w:tcBorders>
                      <w:top w:val="single" w:sz="4" w:space="0" w:color="auto"/>
                      <w:left w:val="nil"/>
                      <w:bottom w:val="single" w:sz="8" w:space="0" w:color="auto"/>
                      <w:right w:val="single" w:sz="12" w:space="0" w:color="auto"/>
                    </w:tcBorders>
                    <w:shd w:val="clear" w:color="auto" w:fill="auto"/>
                    <w:noWrap/>
                    <w:vAlign w:val="center"/>
                  </w:tcPr>
                  <w:p w14:paraId="01DBA267" w14:textId="77777777" w:rsidR="002F5246" w:rsidRPr="00FF56AB" w:rsidRDefault="002F5246" w:rsidP="00E23288">
                    <w:pPr>
                      <w:spacing w:line="240" w:lineRule="auto"/>
                      <w:jc w:val="center"/>
                      <w:rPr>
                        <w:rFonts w:ascii="Garamond" w:hAnsi="Garamond"/>
                        <w:b/>
                        <w:bCs/>
                        <w:color w:val="000000"/>
                        <w:sz w:val="16"/>
                        <w:szCs w:val="16"/>
                        <w:lang w:val="en-US"/>
                      </w:rPr>
                    </w:pPr>
                    <w:r w:rsidRPr="00FF56AB">
                      <w:rPr>
                        <w:rFonts w:ascii="Garamond" w:hAnsi="Garamond"/>
                        <w:b/>
                        <w:bCs/>
                        <w:color w:val="000000"/>
                        <w:sz w:val="16"/>
                        <w:szCs w:val="16"/>
                        <w:lang w:val="en-US"/>
                      </w:rPr>
                      <w:t>141</w:t>
                    </w:r>
                  </w:p>
                </w:tc>
              </w:tr>
              <w:tr w:rsidR="002F5246" w:rsidRPr="00FF56AB" w14:paraId="35E97469" w14:textId="77777777" w:rsidTr="00E23288">
                <w:trPr>
                  <w:trHeight w:hRule="exact" w:val="227"/>
                  <w:jc w:val="center"/>
                </w:trPr>
                <w:tc>
                  <w:tcPr>
                    <w:tcW w:w="11904" w:type="dxa"/>
                    <w:gridSpan w:val="29"/>
                    <w:tcBorders>
                      <w:top w:val="single" w:sz="4" w:space="0" w:color="auto"/>
                      <w:left w:val="single" w:sz="12" w:space="0" w:color="auto"/>
                      <w:bottom w:val="single" w:sz="8" w:space="0" w:color="auto"/>
                      <w:right w:val="single" w:sz="12" w:space="0" w:color="auto"/>
                    </w:tcBorders>
                    <w:vAlign w:val="center"/>
                  </w:tcPr>
                  <w:p w14:paraId="1A7FDA61" w14:textId="77777777" w:rsidR="002F5246" w:rsidRPr="00FF56AB" w:rsidRDefault="002F5246" w:rsidP="00E23288">
                    <w:pPr>
                      <w:spacing w:line="240" w:lineRule="auto"/>
                      <w:jc w:val="center"/>
                      <w:rPr>
                        <w:rFonts w:ascii="Garamond" w:hAnsi="Garamond"/>
                        <w:b/>
                        <w:bCs/>
                        <w:color w:val="000000"/>
                        <w:sz w:val="16"/>
                        <w:szCs w:val="16"/>
                        <w:lang w:val="en-US"/>
                      </w:rPr>
                    </w:pPr>
                    <w:r w:rsidRPr="00FF56AB">
                      <w:rPr>
                        <w:rFonts w:ascii="Garamond" w:hAnsi="Garamond"/>
                        <w:b/>
                        <w:bCs/>
                        <w:color w:val="000000"/>
                        <w:sz w:val="16"/>
                        <w:szCs w:val="16"/>
                        <w:lang w:val="en-US"/>
                      </w:rPr>
                      <w:t>Panel B. Identified Dealers Average Quoting Frequency per Minute Within and Before Fixing Window</w:t>
                    </w:r>
                  </w:p>
                </w:tc>
              </w:tr>
              <w:tr w:rsidR="002F5246" w:rsidRPr="00FF56AB" w14:paraId="2D770627" w14:textId="77777777" w:rsidTr="00E23288">
                <w:trPr>
                  <w:trHeight w:hRule="exact" w:val="227"/>
                  <w:jc w:val="center"/>
                </w:trPr>
                <w:tc>
                  <w:tcPr>
                    <w:tcW w:w="2804" w:type="dxa"/>
                    <w:gridSpan w:val="3"/>
                    <w:tcBorders>
                      <w:left w:val="single" w:sz="12" w:space="0" w:color="auto"/>
                      <w:bottom w:val="single" w:sz="8" w:space="0" w:color="auto"/>
                      <w:right w:val="single" w:sz="8" w:space="0" w:color="auto"/>
                    </w:tcBorders>
                    <w:vAlign w:val="center"/>
                  </w:tcPr>
                  <w:p w14:paraId="5823AA53" w14:textId="77777777" w:rsidR="002F5246" w:rsidRPr="00FF56AB" w:rsidRDefault="002F5246" w:rsidP="00E23288">
                    <w:pPr>
                      <w:spacing w:line="240" w:lineRule="auto"/>
                      <w:jc w:val="center"/>
                      <w:rPr>
                        <w:rFonts w:ascii="Garamond" w:hAnsi="Garamond"/>
                        <w:color w:val="000000"/>
                        <w:sz w:val="16"/>
                        <w:szCs w:val="16"/>
                        <w:lang w:val="en-US"/>
                      </w:rPr>
                    </w:pPr>
                  </w:p>
                </w:tc>
                <w:tc>
                  <w:tcPr>
                    <w:tcW w:w="1685" w:type="dxa"/>
                    <w:gridSpan w:val="4"/>
                    <w:tcBorders>
                      <w:top w:val="single" w:sz="4" w:space="0" w:color="auto"/>
                      <w:left w:val="single" w:sz="8" w:space="0" w:color="auto"/>
                      <w:bottom w:val="single" w:sz="8" w:space="0" w:color="auto"/>
                      <w:right w:val="single" w:sz="8" w:space="0" w:color="auto"/>
                    </w:tcBorders>
                    <w:shd w:val="clear" w:color="auto" w:fill="auto"/>
                    <w:noWrap/>
                    <w:vAlign w:val="center"/>
                  </w:tcPr>
                  <w:p w14:paraId="6B4A053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EUR:GBP</w:t>
                    </w:r>
                  </w:p>
                </w:tc>
                <w:tc>
                  <w:tcPr>
                    <w:tcW w:w="1671" w:type="dxa"/>
                    <w:gridSpan w:val="5"/>
                    <w:tcBorders>
                      <w:top w:val="single" w:sz="4" w:space="0" w:color="auto"/>
                      <w:left w:val="single" w:sz="8" w:space="0" w:color="auto"/>
                      <w:bottom w:val="single" w:sz="8" w:space="0" w:color="auto"/>
                      <w:right w:val="single" w:sz="8" w:space="0" w:color="auto"/>
                    </w:tcBorders>
                    <w:shd w:val="clear" w:color="auto" w:fill="auto"/>
                    <w:noWrap/>
                    <w:vAlign w:val="center"/>
                  </w:tcPr>
                  <w:p w14:paraId="11B82C9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EUR:JPY</w:t>
                    </w:r>
                  </w:p>
                </w:tc>
                <w:tc>
                  <w:tcPr>
                    <w:tcW w:w="1693" w:type="dxa"/>
                    <w:gridSpan w:val="5"/>
                    <w:tcBorders>
                      <w:top w:val="single" w:sz="4" w:space="0" w:color="auto"/>
                      <w:left w:val="nil"/>
                      <w:bottom w:val="single" w:sz="8" w:space="0" w:color="auto"/>
                      <w:right w:val="single" w:sz="8" w:space="0" w:color="auto"/>
                    </w:tcBorders>
                    <w:shd w:val="clear" w:color="auto" w:fill="auto"/>
                    <w:noWrap/>
                    <w:vAlign w:val="center"/>
                  </w:tcPr>
                  <w:p w14:paraId="6193432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EUR:USD</w:t>
                    </w:r>
                  </w:p>
                </w:tc>
                <w:tc>
                  <w:tcPr>
                    <w:tcW w:w="1693" w:type="dxa"/>
                    <w:gridSpan w:val="5"/>
                    <w:tcBorders>
                      <w:top w:val="single" w:sz="4" w:space="0" w:color="auto"/>
                      <w:left w:val="nil"/>
                      <w:bottom w:val="single" w:sz="8" w:space="0" w:color="auto"/>
                      <w:right w:val="single" w:sz="8" w:space="0" w:color="auto"/>
                    </w:tcBorders>
                    <w:shd w:val="clear" w:color="auto" w:fill="auto"/>
                    <w:noWrap/>
                    <w:vAlign w:val="center"/>
                  </w:tcPr>
                  <w:p w14:paraId="6983B54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GBP:USD</w:t>
                    </w:r>
                  </w:p>
                </w:tc>
                <w:tc>
                  <w:tcPr>
                    <w:tcW w:w="1693" w:type="dxa"/>
                    <w:gridSpan w:val="5"/>
                    <w:tcBorders>
                      <w:top w:val="single" w:sz="4" w:space="0" w:color="auto"/>
                      <w:left w:val="nil"/>
                      <w:bottom w:val="single" w:sz="8" w:space="0" w:color="auto"/>
                      <w:right w:val="single" w:sz="8" w:space="0" w:color="auto"/>
                    </w:tcBorders>
                    <w:shd w:val="clear" w:color="auto" w:fill="auto"/>
                    <w:noWrap/>
                    <w:vAlign w:val="center"/>
                  </w:tcPr>
                  <w:p w14:paraId="7CCF93D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USD:JPY</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42681193"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6486C7E4" w14:textId="77777777" w:rsidTr="00E23288">
                <w:trPr>
                  <w:trHeight w:hRule="exact" w:val="227"/>
                  <w:jc w:val="center"/>
                </w:trPr>
                <w:tc>
                  <w:tcPr>
                    <w:tcW w:w="1968" w:type="dxa"/>
                    <w:gridSpan w:val="2"/>
                    <w:tcBorders>
                      <w:top w:val="single" w:sz="8" w:space="0" w:color="auto"/>
                      <w:left w:val="single" w:sz="12" w:space="0" w:color="auto"/>
                    </w:tcBorders>
                    <w:vAlign w:val="center"/>
                  </w:tcPr>
                  <w:p w14:paraId="4A33C02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Dealer</w:t>
                    </w:r>
                  </w:p>
                </w:tc>
                <w:tc>
                  <w:tcPr>
                    <w:tcW w:w="836" w:type="dxa"/>
                    <w:tcBorders>
                      <w:top w:val="single" w:sz="8" w:space="0" w:color="auto"/>
                      <w:right w:val="single" w:sz="8" w:space="0" w:color="auto"/>
                    </w:tcBorders>
                    <w:shd w:val="clear" w:color="auto" w:fill="auto"/>
                    <w:vAlign w:val="center"/>
                  </w:tcPr>
                  <w:p w14:paraId="3E5FD55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Location</w:t>
                    </w:r>
                  </w:p>
                </w:tc>
                <w:tc>
                  <w:tcPr>
                    <w:tcW w:w="878" w:type="dxa"/>
                    <w:gridSpan w:val="2"/>
                    <w:tcBorders>
                      <w:top w:val="single" w:sz="8" w:space="0" w:color="auto"/>
                      <w:left w:val="single" w:sz="8" w:space="0" w:color="auto"/>
                    </w:tcBorders>
                    <w:shd w:val="clear" w:color="auto" w:fill="auto"/>
                    <w:noWrap/>
                    <w:vAlign w:val="center"/>
                  </w:tcPr>
                  <w:p w14:paraId="7D891CE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Fix</w:t>
                    </w:r>
                  </w:p>
                </w:tc>
                <w:tc>
                  <w:tcPr>
                    <w:tcW w:w="807" w:type="dxa"/>
                    <w:gridSpan w:val="2"/>
                    <w:tcBorders>
                      <w:top w:val="single" w:sz="8" w:space="0" w:color="auto"/>
                      <w:right w:val="single" w:sz="8" w:space="0" w:color="auto"/>
                    </w:tcBorders>
                    <w:shd w:val="clear" w:color="auto" w:fill="auto"/>
                    <w:noWrap/>
                    <w:vAlign w:val="center"/>
                  </w:tcPr>
                  <w:p w14:paraId="1027057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Non-Fix</w:t>
                    </w:r>
                  </w:p>
                </w:tc>
                <w:tc>
                  <w:tcPr>
                    <w:tcW w:w="862" w:type="dxa"/>
                    <w:gridSpan w:val="3"/>
                    <w:tcBorders>
                      <w:top w:val="single" w:sz="8" w:space="0" w:color="auto"/>
                      <w:left w:val="single" w:sz="8" w:space="0" w:color="auto"/>
                    </w:tcBorders>
                    <w:shd w:val="clear" w:color="auto" w:fill="auto"/>
                    <w:noWrap/>
                    <w:vAlign w:val="center"/>
                  </w:tcPr>
                  <w:p w14:paraId="4409729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Fix</w:t>
                    </w:r>
                  </w:p>
                </w:tc>
                <w:tc>
                  <w:tcPr>
                    <w:tcW w:w="809" w:type="dxa"/>
                    <w:gridSpan w:val="2"/>
                    <w:tcBorders>
                      <w:top w:val="single" w:sz="8" w:space="0" w:color="auto"/>
                      <w:right w:val="single" w:sz="8" w:space="0" w:color="auto"/>
                    </w:tcBorders>
                    <w:shd w:val="clear" w:color="auto" w:fill="auto"/>
                    <w:noWrap/>
                    <w:vAlign w:val="center"/>
                  </w:tcPr>
                  <w:p w14:paraId="397D9B7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Non-Fix</w:t>
                    </w:r>
                  </w:p>
                </w:tc>
                <w:tc>
                  <w:tcPr>
                    <w:tcW w:w="892" w:type="dxa"/>
                    <w:gridSpan w:val="3"/>
                    <w:tcBorders>
                      <w:top w:val="single" w:sz="8" w:space="0" w:color="auto"/>
                      <w:left w:val="single" w:sz="8" w:space="0" w:color="auto"/>
                    </w:tcBorders>
                    <w:shd w:val="clear" w:color="auto" w:fill="auto"/>
                    <w:noWrap/>
                    <w:vAlign w:val="center"/>
                  </w:tcPr>
                  <w:p w14:paraId="22C2F0B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Fix</w:t>
                    </w:r>
                  </w:p>
                </w:tc>
                <w:tc>
                  <w:tcPr>
                    <w:tcW w:w="801" w:type="dxa"/>
                    <w:gridSpan w:val="2"/>
                    <w:tcBorders>
                      <w:top w:val="single" w:sz="8" w:space="0" w:color="auto"/>
                      <w:right w:val="single" w:sz="8" w:space="0" w:color="auto"/>
                    </w:tcBorders>
                    <w:shd w:val="clear" w:color="auto" w:fill="auto"/>
                    <w:noWrap/>
                    <w:vAlign w:val="center"/>
                  </w:tcPr>
                  <w:p w14:paraId="2B98677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Non-Fix</w:t>
                    </w:r>
                  </w:p>
                </w:tc>
                <w:tc>
                  <w:tcPr>
                    <w:tcW w:w="900" w:type="dxa"/>
                    <w:gridSpan w:val="3"/>
                    <w:tcBorders>
                      <w:top w:val="single" w:sz="8" w:space="0" w:color="auto"/>
                      <w:left w:val="single" w:sz="8" w:space="0" w:color="auto"/>
                    </w:tcBorders>
                    <w:shd w:val="clear" w:color="auto" w:fill="auto"/>
                    <w:noWrap/>
                    <w:vAlign w:val="center"/>
                  </w:tcPr>
                  <w:p w14:paraId="10C5ACF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Fix</w:t>
                    </w:r>
                  </w:p>
                </w:tc>
                <w:tc>
                  <w:tcPr>
                    <w:tcW w:w="793" w:type="dxa"/>
                    <w:gridSpan w:val="2"/>
                    <w:tcBorders>
                      <w:top w:val="single" w:sz="8" w:space="0" w:color="auto"/>
                      <w:right w:val="single" w:sz="8" w:space="0" w:color="auto"/>
                    </w:tcBorders>
                    <w:shd w:val="clear" w:color="auto" w:fill="auto"/>
                    <w:noWrap/>
                    <w:vAlign w:val="center"/>
                  </w:tcPr>
                  <w:p w14:paraId="0A89B28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Non-Fix</w:t>
                    </w:r>
                  </w:p>
                </w:tc>
                <w:tc>
                  <w:tcPr>
                    <w:tcW w:w="908" w:type="dxa"/>
                    <w:gridSpan w:val="3"/>
                    <w:tcBorders>
                      <w:top w:val="single" w:sz="8" w:space="0" w:color="auto"/>
                      <w:left w:val="single" w:sz="8" w:space="0" w:color="auto"/>
                    </w:tcBorders>
                    <w:shd w:val="clear" w:color="auto" w:fill="auto"/>
                    <w:noWrap/>
                    <w:vAlign w:val="center"/>
                  </w:tcPr>
                  <w:p w14:paraId="5F920E3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Fix</w:t>
                    </w:r>
                  </w:p>
                </w:tc>
                <w:tc>
                  <w:tcPr>
                    <w:tcW w:w="785" w:type="dxa"/>
                    <w:gridSpan w:val="2"/>
                    <w:tcBorders>
                      <w:top w:val="single" w:sz="8" w:space="0" w:color="auto"/>
                    </w:tcBorders>
                    <w:shd w:val="clear" w:color="auto" w:fill="auto"/>
                    <w:noWrap/>
                    <w:vAlign w:val="center"/>
                  </w:tcPr>
                  <w:p w14:paraId="0137A6B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Non-Fix</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4F03EC23"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095987DE" w14:textId="77777777" w:rsidTr="00E23288">
                <w:trPr>
                  <w:trHeight w:hRule="exact" w:val="227"/>
                  <w:jc w:val="center"/>
                </w:trPr>
                <w:tc>
                  <w:tcPr>
                    <w:tcW w:w="409" w:type="dxa"/>
                    <w:tcBorders>
                      <w:left w:val="single" w:sz="12" w:space="0" w:color="auto"/>
                    </w:tcBorders>
                    <w:vAlign w:val="center"/>
                  </w:tcPr>
                  <w:p w14:paraId="21AF5E9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w:t>
                    </w:r>
                  </w:p>
                </w:tc>
                <w:tc>
                  <w:tcPr>
                    <w:tcW w:w="1559" w:type="dxa"/>
                    <w:shd w:val="clear" w:color="auto" w:fill="auto"/>
                    <w:noWrap/>
                    <w:vAlign w:val="center"/>
                  </w:tcPr>
                  <w:p w14:paraId="5FCC2B0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RBS</w:t>
                    </w:r>
                  </w:p>
                </w:tc>
                <w:tc>
                  <w:tcPr>
                    <w:tcW w:w="836" w:type="dxa"/>
                    <w:tcBorders>
                      <w:right w:val="single" w:sz="8" w:space="0" w:color="auto"/>
                    </w:tcBorders>
                    <w:shd w:val="clear" w:color="auto" w:fill="auto"/>
                    <w:vAlign w:val="center"/>
                  </w:tcPr>
                  <w:p w14:paraId="369CA96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NYC</w:t>
                    </w:r>
                  </w:p>
                </w:tc>
                <w:tc>
                  <w:tcPr>
                    <w:tcW w:w="878" w:type="dxa"/>
                    <w:gridSpan w:val="2"/>
                    <w:tcBorders>
                      <w:left w:val="single" w:sz="8" w:space="0" w:color="auto"/>
                    </w:tcBorders>
                    <w:shd w:val="clear" w:color="auto" w:fill="D9D9D9" w:themeFill="background1" w:themeFillShade="D9"/>
                    <w:noWrap/>
                    <w:vAlign w:val="center"/>
                  </w:tcPr>
                  <w:p w14:paraId="331ABA4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19.54</w:t>
                    </w:r>
                  </w:p>
                </w:tc>
                <w:tc>
                  <w:tcPr>
                    <w:tcW w:w="807" w:type="dxa"/>
                    <w:gridSpan w:val="2"/>
                    <w:tcBorders>
                      <w:right w:val="single" w:sz="8" w:space="0" w:color="auto"/>
                    </w:tcBorders>
                    <w:shd w:val="clear" w:color="auto" w:fill="D9D9D9" w:themeFill="background1" w:themeFillShade="D9"/>
                    <w:noWrap/>
                    <w:vAlign w:val="center"/>
                  </w:tcPr>
                  <w:p w14:paraId="236990B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11.59</w:t>
                    </w:r>
                  </w:p>
                </w:tc>
                <w:tc>
                  <w:tcPr>
                    <w:tcW w:w="862" w:type="dxa"/>
                    <w:gridSpan w:val="3"/>
                    <w:tcBorders>
                      <w:left w:val="single" w:sz="8" w:space="0" w:color="auto"/>
                    </w:tcBorders>
                    <w:shd w:val="clear" w:color="auto" w:fill="D9D9D9" w:themeFill="background1" w:themeFillShade="D9"/>
                    <w:noWrap/>
                    <w:vAlign w:val="center"/>
                  </w:tcPr>
                  <w:p w14:paraId="23E24CB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20.11</w:t>
                    </w:r>
                  </w:p>
                </w:tc>
                <w:tc>
                  <w:tcPr>
                    <w:tcW w:w="809" w:type="dxa"/>
                    <w:gridSpan w:val="2"/>
                    <w:tcBorders>
                      <w:right w:val="single" w:sz="8" w:space="0" w:color="auto"/>
                    </w:tcBorders>
                    <w:shd w:val="clear" w:color="auto" w:fill="D9D9D9" w:themeFill="background1" w:themeFillShade="D9"/>
                    <w:vAlign w:val="center"/>
                  </w:tcPr>
                  <w:p w14:paraId="3BA51EA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16.81</w:t>
                    </w:r>
                  </w:p>
                </w:tc>
                <w:tc>
                  <w:tcPr>
                    <w:tcW w:w="892" w:type="dxa"/>
                    <w:gridSpan w:val="3"/>
                    <w:tcBorders>
                      <w:left w:val="single" w:sz="8" w:space="0" w:color="auto"/>
                    </w:tcBorders>
                    <w:shd w:val="clear" w:color="auto" w:fill="D9D9D9" w:themeFill="background1" w:themeFillShade="D9"/>
                    <w:noWrap/>
                    <w:vAlign w:val="center"/>
                  </w:tcPr>
                  <w:p w14:paraId="4896E72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20.98</w:t>
                    </w:r>
                  </w:p>
                </w:tc>
                <w:tc>
                  <w:tcPr>
                    <w:tcW w:w="801" w:type="dxa"/>
                    <w:gridSpan w:val="2"/>
                    <w:tcBorders>
                      <w:right w:val="single" w:sz="8" w:space="0" w:color="auto"/>
                    </w:tcBorders>
                    <w:shd w:val="clear" w:color="auto" w:fill="D9D9D9" w:themeFill="background1" w:themeFillShade="D9"/>
                    <w:vAlign w:val="center"/>
                  </w:tcPr>
                  <w:p w14:paraId="602DC8B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14.63</w:t>
                    </w:r>
                  </w:p>
                </w:tc>
                <w:tc>
                  <w:tcPr>
                    <w:tcW w:w="900" w:type="dxa"/>
                    <w:gridSpan w:val="3"/>
                    <w:tcBorders>
                      <w:left w:val="single" w:sz="8" w:space="0" w:color="auto"/>
                    </w:tcBorders>
                    <w:shd w:val="clear" w:color="auto" w:fill="D9D9D9" w:themeFill="background1" w:themeFillShade="D9"/>
                    <w:noWrap/>
                    <w:vAlign w:val="center"/>
                  </w:tcPr>
                  <w:p w14:paraId="577AB5C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20.37</w:t>
                    </w:r>
                  </w:p>
                </w:tc>
                <w:tc>
                  <w:tcPr>
                    <w:tcW w:w="793" w:type="dxa"/>
                    <w:gridSpan w:val="2"/>
                    <w:tcBorders>
                      <w:right w:val="single" w:sz="8" w:space="0" w:color="auto"/>
                    </w:tcBorders>
                    <w:shd w:val="clear" w:color="auto" w:fill="D9D9D9" w:themeFill="background1" w:themeFillShade="D9"/>
                    <w:vAlign w:val="center"/>
                  </w:tcPr>
                  <w:p w14:paraId="199C793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14.23</w:t>
                    </w:r>
                  </w:p>
                </w:tc>
                <w:tc>
                  <w:tcPr>
                    <w:tcW w:w="908" w:type="dxa"/>
                    <w:gridSpan w:val="3"/>
                    <w:tcBorders>
                      <w:left w:val="single" w:sz="8" w:space="0" w:color="auto"/>
                    </w:tcBorders>
                    <w:shd w:val="clear" w:color="auto" w:fill="D9D9D9" w:themeFill="background1" w:themeFillShade="D9"/>
                    <w:noWrap/>
                    <w:vAlign w:val="center"/>
                  </w:tcPr>
                  <w:p w14:paraId="22E24E3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20.21</w:t>
                    </w:r>
                  </w:p>
                </w:tc>
                <w:tc>
                  <w:tcPr>
                    <w:tcW w:w="785" w:type="dxa"/>
                    <w:gridSpan w:val="2"/>
                    <w:shd w:val="clear" w:color="auto" w:fill="D9D9D9" w:themeFill="background1" w:themeFillShade="D9"/>
                    <w:vAlign w:val="center"/>
                  </w:tcPr>
                  <w:p w14:paraId="5EDEEEF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14.41</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29825DE9"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640E599E" w14:textId="77777777" w:rsidTr="00E23288">
                <w:trPr>
                  <w:trHeight w:hRule="exact" w:val="227"/>
                  <w:jc w:val="center"/>
                </w:trPr>
                <w:tc>
                  <w:tcPr>
                    <w:tcW w:w="409" w:type="dxa"/>
                    <w:tcBorders>
                      <w:left w:val="single" w:sz="12" w:space="0" w:color="auto"/>
                    </w:tcBorders>
                    <w:vAlign w:val="center"/>
                  </w:tcPr>
                  <w:p w14:paraId="4ABE096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w:t>
                    </w:r>
                  </w:p>
                </w:tc>
                <w:tc>
                  <w:tcPr>
                    <w:tcW w:w="1559" w:type="dxa"/>
                    <w:shd w:val="clear" w:color="auto" w:fill="auto"/>
                    <w:noWrap/>
                    <w:vAlign w:val="center"/>
                  </w:tcPr>
                  <w:p w14:paraId="777C296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RBS</w:t>
                    </w:r>
                  </w:p>
                </w:tc>
                <w:tc>
                  <w:tcPr>
                    <w:tcW w:w="836" w:type="dxa"/>
                    <w:tcBorders>
                      <w:right w:val="single" w:sz="8" w:space="0" w:color="auto"/>
                    </w:tcBorders>
                    <w:shd w:val="clear" w:color="auto" w:fill="auto"/>
                    <w:vAlign w:val="center"/>
                  </w:tcPr>
                  <w:p w14:paraId="714E5FD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LON</w:t>
                    </w:r>
                  </w:p>
                </w:tc>
                <w:tc>
                  <w:tcPr>
                    <w:tcW w:w="878" w:type="dxa"/>
                    <w:gridSpan w:val="2"/>
                    <w:tcBorders>
                      <w:left w:val="single" w:sz="8" w:space="0" w:color="auto"/>
                    </w:tcBorders>
                    <w:shd w:val="clear" w:color="auto" w:fill="D9D9D9" w:themeFill="background1" w:themeFillShade="D9"/>
                    <w:noWrap/>
                    <w:vAlign w:val="center"/>
                  </w:tcPr>
                  <w:p w14:paraId="66BE9C5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10.56</w:t>
                    </w:r>
                  </w:p>
                </w:tc>
                <w:tc>
                  <w:tcPr>
                    <w:tcW w:w="807" w:type="dxa"/>
                    <w:gridSpan w:val="2"/>
                    <w:tcBorders>
                      <w:right w:val="single" w:sz="8" w:space="0" w:color="auto"/>
                    </w:tcBorders>
                    <w:shd w:val="clear" w:color="auto" w:fill="D9D9D9" w:themeFill="background1" w:themeFillShade="D9"/>
                    <w:noWrap/>
                    <w:vAlign w:val="center"/>
                  </w:tcPr>
                  <w:p w14:paraId="398046C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4.05</w:t>
                    </w:r>
                  </w:p>
                </w:tc>
                <w:tc>
                  <w:tcPr>
                    <w:tcW w:w="862" w:type="dxa"/>
                    <w:gridSpan w:val="3"/>
                    <w:tcBorders>
                      <w:left w:val="single" w:sz="8" w:space="0" w:color="auto"/>
                    </w:tcBorders>
                    <w:shd w:val="clear" w:color="auto" w:fill="D9D9D9" w:themeFill="background1" w:themeFillShade="D9"/>
                    <w:noWrap/>
                    <w:vAlign w:val="center"/>
                  </w:tcPr>
                  <w:p w14:paraId="0927978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8.20</w:t>
                    </w:r>
                  </w:p>
                </w:tc>
                <w:tc>
                  <w:tcPr>
                    <w:tcW w:w="809" w:type="dxa"/>
                    <w:gridSpan w:val="2"/>
                    <w:tcBorders>
                      <w:right w:val="single" w:sz="8" w:space="0" w:color="auto"/>
                    </w:tcBorders>
                    <w:shd w:val="clear" w:color="auto" w:fill="D9D9D9" w:themeFill="background1" w:themeFillShade="D9"/>
                    <w:vAlign w:val="center"/>
                  </w:tcPr>
                  <w:p w14:paraId="4EED1D7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5.80</w:t>
                    </w:r>
                  </w:p>
                </w:tc>
                <w:tc>
                  <w:tcPr>
                    <w:tcW w:w="892" w:type="dxa"/>
                    <w:gridSpan w:val="3"/>
                    <w:tcBorders>
                      <w:left w:val="single" w:sz="8" w:space="0" w:color="auto"/>
                    </w:tcBorders>
                    <w:shd w:val="clear" w:color="auto" w:fill="D9D9D9" w:themeFill="background1" w:themeFillShade="D9"/>
                    <w:noWrap/>
                    <w:vAlign w:val="center"/>
                  </w:tcPr>
                  <w:p w14:paraId="798F342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13.96</w:t>
                    </w:r>
                  </w:p>
                </w:tc>
                <w:tc>
                  <w:tcPr>
                    <w:tcW w:w="801" w:type="dxa"/>
                    <w:gridSpan w:val="2"/>
                    <w:tcBorders>
                      <w:right w:val="single" w:sz="8" w:space="0" w:color="auto"/>
                    </w:tcBorders>
                    <w:shd w:val="clear" w:color="auto" w:fill="D9D9D9" w:themeFill="background1" w:themeFillShade="D9"/>
                    <w:vAlign w:val="center"/>
                  </w:tcPr>
                  <w:p w14:paraId="05D03CD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6.96</w:t>
                    </w:r>
                  </w:p>
                </w:tc>
                <w:tc>
                  <w:tcPr>
                    <w:tcW w:w="900" w:type="dxa"/>
                    <w:gridSpan w:val="3"/>
                    <w:tcBorders>
                      <w:left w:val="single" w:sz="8" w:space="0" w:color="auto"/>
                    </w:tcBorders>
                    <w:shd w:val="clear" w:color="auto" w:fill="D9D9D9" w:themeFill="background1" w:themeFillShade="D9"/>
                    <w:noWrap/>
                    <w:vAlign w:val="center"/>
                  </w:tcPr>
                  <w:p w14:paraId="20BAF66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12.57</w:t>
                    </w:r>
                  </w:p>
                </w:tc>
                <w:tc>
                  <w:tcPr>
                    <w:tcW w:w="793" w:type="dxa"/>
                    <w:gridSpan w:val="2"/>
                    <w:tcBorders>
                      <w:right w:val="single" w:sz="8" w:space="0" w:color="auto"/>
                    </w:tcBorders>
                    <w:shd w:val="clear" w:color="auto" w:fill="D9D9D9" w:themeFill="background1" w:themeFillShade="D9"/>
                    <w:vAlign w:val="center"/>
                  </w:tcPr>
                  <w:p w14:paraId="3F8A746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4.89</w:t>
                    </w:r>
                  </w:p>
                </w:tc>
                <w:tc>
                  <w:tcPr>
                    <w:tcW w:w="908" w:type="dxa"/>
                    <w:gridSpan w:val="3"/>
                    <w:tcBorders>
                      <w:left w:val="single" w:sz="8" w:space="0" w:color="auto"/>
                    </w:tcBorders>
                    <w:shd w:val="clear" w:color="auto" w:fill="D9D9D9" w:themeFill="background1" w:themeFillShade="D9"/>
                    <w:noWrap/>
                    <w:vAlign w:val="center"/>
                  </w:tcPr>
                  <w:p w14:paraId="3DA1523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10.07</w:t>
                    </w:r>
                  </w:p>
                </w:tc>
                <w:tc>
                  <w:tcPr>
                    <w:tcW w:w="785" w:type="dxa"/>
                    <w:gridSpan w:val="2"/>
                    <w:shd w:val="clear" w:color="auto" w:fill="D9D9D9" w:themeFill="background1" w:themeFillShade="D9"/>
                    <w:vAlign w:val="center"/>
                  </w:tcPr>
                  <w:p w14:paraId="70DCC36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6.42</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6042218F"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2223A9C1" w14:textId="77777777" w:rsidTr="00E23288">
                <w:trPr>
                  <w:trHeight w:hRule="exact" w:val="227"/>
                  <w:jc w:val="center"/>
                </w:trPr>
                <w:tc>
                  <w:tcPr>
                    <w:tcW w:w="409" w:type="dxa"/>
                    <w:tcBorders>
                      <w:left w:val="single" w:sz="12" w:space="0" w:color="auto"/>
                    </w:tcBorders>
                    <w:vAlign w:val="center"/>
                  </w:tcPr>
                  <w:p w14:paraId="1590E71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w:t>
                    </w:r>
                  </w:p>
                </w:tc>
                <w:tc>
                  <w:tcPr>
                    <w:tcW w:w="1559" w:type="dxa"/>
                    <w:shd w:val="clear" w:color="auto" w:fill="auto"/>
                    <w:noWrap/>
                    <w:vAlign w:val="center"/>
                  </w:tcPr>
                  <w:p w14:paraId="72FEAF1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BARCLAYS</w:t>
                    </w:r>
                  </w:p>
                </w:tc>
                <w:tc>
                  <w:tcPr>
                    <w:tcW w:w="836" w:type="dxa"/>
                    <w:tcBorders>
                      <w:right w:val="single" w:sz="8" w:space="0" w:color="auto"/>
                    </w:tcBorders>
                    <w:shd w:val="clear" w:color="auto" w:fill="auto"/>
                    <w:vAlign w:val="center"/>
                  </w:tcPr>
                  <w:p w14:paraId="2F8F7BE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GFX</w:t>
                    </w:r>
                  </w:p>
                </w:tc>
                <w:tc>
                  <w:tcPr>
                    <w:tcW w:w="878" w:type="dxa"/>
                    <w:gridSpan w:val="2"/>
                    <w:tcBorders>
                      <w:left w:val="single" w:sz="8" w:space="0" w:color="auto"/>
                    </w:tcBorders>
                    <w:shd w:val="clear" w:color="auto" w:fill="D9D9D9" w:themeFill="background1" w:themeFillShade="D9"/>
                    <w:noWrap/>
                    <w:vAlign w:val="center"/>
                  </w:tcPr>
                  <w:p w14:paraId="2E919E5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6.30</w:t>
                    </w:r>
                  </w:p>
                </w:tc>
                <w:tc>
                  <w:tcPr>
                    <w:tcW w:w="807" w:type="dxa"/>
                    <w:gridSpan w:val="2"/>
                    <w:tcBorders>
                      <w:right w:val="single" w:sz="8" w:space="0" w:color="auto"/>
                    </w:tcBorders>
                    <w:shd w:val="clear" w:color="auto" w:fill="D9D9D9" w:themeFill="background1" w:themeFillShade="D9"/>
                    <w:noWrap/>
                    <w:vAlign w:val="center"/>
                  </w:tcPr>
                  <w:p w14:paraId="237463B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4.98</w:t>
                    </w:r>
                  </w:p>
                </w:tc>
                <w:tc>
                  <w:tcPr>
                    <w:tcW w:w="862" w:type="dxa"/>
                    <w:gridSpan w:val="3"/>
                    <w:tcBorders>
                      <w:left w:val="single" w:sz="8" w:space="0" w:color="auto"/>
                    </w:tcBorders>
                    <w:shd w:val="clear" w:color="auto" w:fill="D9D9D9" w:themeFill="background1" w:themeFillShade="D9"/>
                    <w:noWrap/>
                    <w:vAlign w:val="center"/>
                  </w:tcPr>
                  <w:p w14:paraId="43235EB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5.70</w:t>
                    </w:r>
                  </w:p>
                </w:tc>
                <w:tc>
                  <w:tcPr>
                    <w:tcW w:w="809" w:type="dxa"/>
                    <w:gridSpan w:val="2"/>
                    <w:tcBorders>
                      <w:right w:val="single" w:sz="8" w:space="0" w:color="auto"/>
                    </w:tcBorders>
                    <w:shd w:val="clear" w:color="auto" w:fill="D9D9D9" w:themeFill="background1" w:themeFillShade="D9"/>
                    <w:vAlign w:val="center"/>
                  </w:tcPr>
                  <w:p w14:paraId="3EF4910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4.66</w:t>
                    </w:r>
                  </w:p>
                </w:tc>
                <w:tc>
                  <w:tcPr>
                    <w:tcW w:w="892" w:type="dxa"/>
                    <w:gridSpan w:val="3"/>
                    <w:tcBorders>
                      <w:left w:val="single" w:sz="8" w:space="0" w:color="auto"/>
                    </w:tcBorders>
                    <w:shd w:val="clear" w:color="auto" w:fill="auto"/>
                    <w:noWrap/>
                    <w:vAlign w:val="center"/>
                  </w:tcPr>
                  <w:p w14:paraId="476BB1FF" w14:textId="77777777" w:rsidR="002F5246" w:rsidRPr="00FF56AB" w:rsidRDefault="002F5246" w:rsidP="00E23288">
                    <w:pPr>
                      <w:spacing w:line="240" w:lineRule="auto"/>
                      <w:jc w:val="center"/>
                      <w:rPr>
                        <w:rFonts w:ascii="Garamond" w:hAnsi="Garamond"/>
                        <w:color w:val="000000"/>
                        <w:sz w:val="16"/>
                        <w:szCs w:val="16"/>
                        <w:lang w:val="en-US"/>
                      </w:rPr>
                    </w:pPr>
                  </w:p>
                </w:tc>
                <w:tc>
                  <w:tcPr>
                    <w:tcW w:w="801" w:type="dxa"/>
                    <w:gridSpan w:val="2"/>
                    <w:tcBorders>
                      <w:right w:val="single" w:sz="8" w:space="0" w:color="auto"/>
                    </w:tcBorders>
                    <w:shd w:val="clear" w:color="auto" w:fill="auto"/>
                    <w:vAlign w:val="center"/>
                  </w:tcPr>
                  <w:p w14:paraId="09986D4A" w14:textId="77777777" w:rsidR="002F5246" w:rsidRPr="00FF56AB" w:rsidRDefault="002F5246" w:rsidP="00E23288">
                    <w:pPr>
                      <w:spacing w:line="240" w:lineRule="auto"/>
                      <w:jc w:val="center"/>
                      <w:rPr>
                        <w:rFonts w:ascii="Garamond" w:hAnsi="Garamond"/>
                        <w:color w:val="000000"/>
                        <w:sz w:val="16"/>
                        <w:szCs w:val="16"/>
                        <w:lang w:val="en-US"/>
                      </w:rPr>
                    </w:pPr>
                  </w:p>
                </w:tc>
                <w:tc>
                  <w:tcPr>
                    <w:tcW w:w="900" w:type="dxa"/>
                    <w:gridSpan w:val="3"/>
                    <w:tcBorders>
                      <w:left w:val="single" w:sz="8" w:space="0" w:color="auto"/>
                    </w:tcBorders>
                    <w:shd w:val="clear" w:color="auto" w:fill="D9D9D9" w:themeFill="background1" w:themeFillShade="D9"/>
                    <w:noWrap/>
                    <w:vAlign w:val="center"/>
                  </w:tcPr>
                  <w:p w14:paraId="37A567B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3.58</w:t>
                    </w:r>
                  </w:p>
                </w:tc>
                <w:tc>
                  <w:tcPr>
                    <w:tcW w:w="793" w:type="dxa"/>
                    <w:gridSpan w:val="2"/>
                    <w:tcBorders>
                      <w:right w:val="single" w:sz="8" w:space="0" w:color="auto"/>
                    </w:tcBorders>
                    <w:shd w:val="clear" w:color="auto" w:fill="D9D9D9" w:themeFill="background1" w:themeFillShade="D9"/>
                    <w:vAlign w:val="center"/>
                  </w:tcPr>
                  <w:p w14:paraId="5F884A9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2.90</w:t>
                    </w:r>
                  </w:p>
                </w:tc>
                <w:tc>
                  <w:tcPr>
                    <w:tcW w:w="908" w:type="dxa"/>
                    <w:gridSpan w:val="3"/>
                    <w:tcBorders>
                      <w:left w:val="single" w:sz="8" w:space="0" w:color="auto"/>
                    </w:tcBorders>
                    <w:shd w:val="clear" w:color="auto" w:fill="D9D9D9" w:themeFill="background1" w:themeFillShade="D9"/>
                    <w:noWrap/>
                    <w:vAlign w:val="center"/>
                  </w:tcPr>
                  <w:p w14:paraId="0AA279C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3.25</w:t>
                    </w:r>
                  </w:p>
                </w:tc>
                <w:tc>
                  <w:tcPr>
                    <w:tcW w:w="785" w:type="dxa"/>
                    <w:gridSpan w:val="2"/>
                    <w:shd w:val="clear" w:color="auto" w:fill="D9D9D9" w:themeFill="background1" w:themeFillShade="D9"/>
                    <w:vAlign w:val="center"/>
                  </w:tcPr>
                  <w:p w14:paraId="1626382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2.78</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53453C35"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49B58300" w14:textId="77777777" w:rsidTr="00E23288">
                <w:trPr>
                  <w:trHeight w:hRule="exact" w:val="227"/>
                  <w:jc w:val="center"/>
                </w:trPr>
                <w:tc>
                  <w:tcPr>
                    <w:tcW w:w="409" w:type="dxa"/>
                    <w:tcBorders>
                      <w:left w:val="single" w:sz="12" w:space="0" w:color="auto"/>
                    </w:tcBorders>
                    <w:vAlign w:val="center"/>
                  </w:tcPr>
                  <w:p w14:paraId="4D34053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w:t>
                    </w:r>
                  </w:p>
                </w:tc>
                <w:tc>
                  <w:tcPr>
                    <w:tcW w:w="1559" w:type="dxa"/>
                    <w:shd w:val="clear" w:color="auto" w:fill="auto"/>
                    <w:noWrap/>
                    <w:vAlign w:val="center"/>
                  </w:tcPr>
                  <w:p w14:paraId="5FB7E57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RABOBANK</w:t>
                    </w:r>
                  </w:p>
                </w:tc>
                <w:tc>
                  <w:tcPr>
                    <w:tcW w:w="836" w:type="dxa"/>
                    <w:tcBorders>
                      <w:right w:val="single" w:sz="8" w:space="0" w:color="auto"/>
                    </w:tcBorders>
                    <w:shd w:val="clear" w:color="auto" w:fill="auto"/>
                    <w:vAlign w:val="center"/>
                  </w:tcPr>
                  <w:p w14:paraId="2CEBF18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LON</w:t>
                    </w:r>
                  </w:p>
                </w:tc>
                <w:tc>
                  <w:tcPr>
                    <w:tcW w:w="878" w:type="dxa"/>
                    <w:gridSpan w:val="2"/>
                    <w:tcBorders>
                      <w:left w:val="single" w:sz="8" w:space="0" w:color="auto"/>
                    </w:tcBorders>
                    <w:shd w:val="clear" w:color="auto" w:fill="D9D9D9" w:themeFill="background1" w:themeFillShade="D9"/>
                    <w:noWrap/>
                    <w:vAlign w:val="center"/>
                  </w:tcPr>
                  <w:p w14:paraId="729ECC2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5.04</w:t>
                    </w:r>
                  </w:p>
                </w:tc>
                <w:tc>
                  <w:tcPr>
                    <w:tcW w:w="807" w:type="dxa"/>
                    <w:gridSpan w:val="2"/>
                    <w:tcBorders>
                      <w:right w:val="single" w:sz="8" w:space="0" w:color="auto"/>
                    </w:tcBorders>
                    <w:shd w:val="clear" w:color="auto" w:fill="D9D9D9" w:themeFill="background1" w:themeFillShade="D9"/>
                    <w:noWrap/>
                    <w:vAlign w:val="center"/>
                  </w:tcPr>
                  <w:p w14:paraId="510B89E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3.34</w:t>
                    </w:r>
                  </w:p>
                </w:tc>
                <w:tc>
                  <w:tcPr>
                    <w:tcW w:w="862" w:type="dxa"/>
                    <w:gridSpan w:val="3"/>
                    <w:tcBorders>
                      <w:left w:val="single" w:sz="8" w:space="0" w:color="auto"/>
                    </w:tcBorders>
                    <w:shd w:val="clear" w:color="auto" w:fill="auto"/>
                    <w:noWrap/>
                    <w:vAlign w:val="center"/>
                  </w:tcPr>
                  <w:p w14:paraId="42B7302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3.02</w:t>
                    </w:r>
                  </w:p>
                </w:tc>
                <w:tc>
                  <w:tcPr>
                    <w:tcW w:w="809" w:type="dxa"/>
                    <w:gridSpan w:val="2"/>
                    <w:tcBorders>
                      <w:right w:val="single" w:sz="8" w:space="0" w:color="auto"/>
                    </w:tcBorders>
                    <w:shd w:val="clear" w:color="auto" w:fill="auto"/>
                    <w:vAlign w:val="center"/>
                  </w:tcPr>
                  <w:p w14:paraId="08BE0C1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3.10</w:t>
                    </w:r>
                  </w:p>
                </w:tc>
                <w:tc>
                  <w:tcPr>
                    <w:tcW w:w="892" w:type="dxa"/>
                    <w:gridSpan w:val="3"/>
                    <w:tcBorders>
                      <w:left w:val="single" w:sz="8" w:space="0" w:color="auto"/>
                    </w:tcBorders>
                    <w:shd w:val="clear" w:color="auto" w:fill="D9D9D9" w:themeFill="background1" w:themeFillShade="D9"/>
                    <w:noWrap/>
                    <w:vAlign w:val="center"/>
                  </w:tcPr>
                  <w:p w14:paraId="7DE2F81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3.41</w:t>
                    </w:r>
                  </w:p>
                </w:tc>
                <w:tc>
                  <w:tcPr>
                    <w:tcW w:w="801" w:type="dxa"/>
                    <w:gridSpan w:val="2"/>
                    <w:tcBorders>
                      <w:right w:val="single" w:sz="8" w:space="0" w:color="auto"/>
                    </w:tcBorders>
                    <w:shd w:val="clear" w:color="auto" w:fill="D9D9D9" w:themeFill="background1" w:themeFillShade="D9"/>
                    <w:vAlign w:val="center"/>
                  </w:tcPr>
                  <w:p w14:paraId="07538DF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3.18</w:t>
                    </w:r>
                  </w:p>
                </w:tc>
                <w:tc>
                  <w:tcPr>
                    <w:tcW w:w="900" w:type="dxa"/>
                    <w:gridSpan w:val="3"/>
                    <w:tcBorders>
                      <w:left w:val="single" w:sz="8" w:space="0" w:color="auto"/>
                    </w:tcBorders>
                    <w:shd w:val="clear" w:color="auto" w:fill="D9D9D9" w:themeFill="background1" w:themeFillShade="D9"/>
                    <w:noWrap/>
                    <w:vAlign w:val="center"/>
                  </w:tcPr>
                  <w:p w14:paraId="2B7A759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3.35</w:t>
                    </w:r>
                  </w:p>
                </w:tc>
                <w:tc>
                  <w:tcPr>
                    <w:tcW w:w="793" w:type="dxa"/>
                    <w:gridSpan w:val="2"/>
                    <w:tcBorders>
                      <w:right w:val="single" w:sz="8" w:space="0" w:color="auto"/>
                    </w:tcBorders>
                    <w:shd w:val="clear" w:color="auto" w:fill="D9D9D9" w:themeFill="background1" w:themeFillShade="D9"/>
                    <w:vAlign w:val="center"/>
                  </w:tcPr>
                  <w:p w14:paraId="13FD8CB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3.14</w:t>
                    </w:r>
                  </w:p>
                </w:tc>
                <w:tc>
                  <w:tcPr>
                    <w:tcW w:w="908" w:type="dxa"/>
                    <w:gridSpan w:val="3"/>
                    <w:tcBorders>
                      <w:left w:val="single" w:sz="8" w:space="0" w:color="auto"/>
                    </w:tcBorders>
                    <w:shd w:val="clear" w:color="auto" w:fill="D9D9D9" w:themeFill="background1" w:themeFillShade="D9"/>
                    <w:noWrap/>
                    <w:vAlign w:val="center"/>
                  </w:tcPr>
                  <w:p w14:paraId="010C8CD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3.72</w:t>
                    </w:r>
                  </w:p>
                </w:tc>
                <w:tc>
                  <w:tcPr>
                    <w:tcW w:w="785" w:type="dxa"/>
                    <w:gridSpan w:val="2"/>
                    <w:shd w:val="clear" w:color="auto" w:fill="D9D9D9" w:themeFill="background1" w:themeFillShade="D9"/>
                    <w:vAlign w:val="center"/>
                  </w:tcPr>
                  <w:p w14:paraId="5984FD8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3.24</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5E0039C7"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254613B7" w14:textId="77777777" w:rsidTr="00E23288">
                <w:trPr>
                  <w:trHeight w:hRule="exact" w:val="227"/>
                  <w:jc w:val="center"/>
                </w:trPr>
                <w:tc>
                  <w:tcPr>
                    <w:tcW w:w="409" w:type="dxa"/>
                    <w:tcBorders>
                      <w:left w:val="single" w:sz="12" w:space="0" w:color="auto"/>
                    </w:tcBorders>
                    <w:vAlign w:val="center"/>
                  </w:tcPr>
                  <w:p w14:paraId="536F6C9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w:t>
                    </w:r>
                  </w:p>
                </w:tc>
                <w:tc>
                  <w:tcPr>
                    <w:tcW w:w="1559" w:type="dxa"/>
                    <w:shd w:val="clear" w:color="auto" w:fill="auto"/>
                    <w:noWrap/>
                    <w:vAlign w:val="center"/>
                  </w:tcPr>
                  <w:p w14:paraId="74A4E12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SOC GENERALE</w:t>
                    </w:r>
                  </w:p>
                </w:tc>
                <w:tc>
                  <w:tcPr>
                    <w:tcW w:w="836" w:type="dxa"/>
                    <w:tcBorders>
                      <w:right w:val="single" w:sz="8" w:space="0" w:color="auto"/>
                    </w:tcBorders>
                    <w:shd w:val="clear" w:color="auto" w:fill="auto"/>
                    <w:vAlign w:val="center"/>
                  </w:tcPr>
                  <w:p w14:paraId="745E4CE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PAR</w:t>
                    </w:r>
                  </w:p>
                </w:tc>
                <w:tc>
                  <w:tcPr>
                    <w:tcW w:w="878" w:type="dxa"/>
                    <w:gridSpan w:val="2"/>
                    <w:tcBorders>
                      <w:left w:val="single" w:sz="8" w:space="0" w:color="auto"/>
                    </w:tcBorders>
                    <w:shd w:val="clear" w:color="auto" w:fill="D9D9D9" w:themeFill="background1" w:themeFillShade="D9"/>
                    <w:noWrap/>
                    <w:vAlign w:val="center"/>
                  </w:tcPr>
                  <w:p w14:paraId="60B98C3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2.88</w:t>
                    </w:r>
                  </w:p>
                </w:tc>
                <w:tc>
                  <w:tcPr>
                    <w:tcW w:w="807" w:type="dxa"/>
                    <w:gridSpan w:val="2"/>
                    <w:tcBorders>
                      <w:right w:val="single" w:sz="8" w:space="0" w:color="auto"/>
                    </w:tcBorders>
                    <w:shd w:val="clear" w:color="auto" w:fill="D9D9D9" w:themeFill="background1" w:themeFillShade="D9"/>
                    <w:noWrap/>
                    <w:vAlign w:val="center"/>
                  </w:tcPr>
                  <w:p w14:paraId="4945FB4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2.10</w:t>
                    </w:r>
                  </w:p>
                </w:tc>
                <w:tc>
                  <w:tcPr>
                    <w:tcW w:w="862" w:type="dxa"/>
                    <w:gridSpan w:val="3"/>
                    <w:tcBorders>
                      <w:left w:val="single" w:sz="8" w:space="0" w:color="auto"/>
                    </w:tcBorders>
                    <w:shd w:val="clear" w:color="auto" w:fill="D9D9D9" w:themeFill="background1" w:themeFillShade="D9"/>
                    <w:noWrap/>
                    <w:vAlign w:val="center"/>
                  </w:tcPr>
                  <w:p w14:paraId="1CC54A4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3.99</w:t>
                    </w:r>
                  </w:p>
                </w:tc>
                <w:tc>
                  <w:tcPr>
                    <w:tcW w:w="809" w:type="dxa"/>
                    <w:gridSpan w:val="2"/>
                    <w:tcBorders>
                      <w:right w:val="single" w:sz="8" w:space="0" w:color="auto"/>
                    </w:tcBorders>
                    <w:shd w:val="clear" w:color="auto" w:fill="D9D9D9" w:themeFill="background1" w:themeFillShade="D9"/>
                    <w:vAlign w:val="center"/>
                  </w:tcPr>
                  <w:p w14:paraId="57BE5E5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3.21</w:t>
                    </w:r>
                  </w:p>
                </w:tc>
                <w:tc>
                  <w:tcPr>
                    <w:tcW w:w="892" w:type="dxa"/>
                    <w:gridSpan w:val="3"/>
                    <w:tcBorders>
                      <w:left w:val="single" w:sz="8" w:space="0" w:color="auto"/>
                    </w:tcBorders>
                    <w:shd w:val="clear" w:color="auto" w:fill="D9D9D9" w:themeFill="background1" w:themeFillShade="D9"/>
                    <w:noWrap/>
                    <w:vAlign w:val="center"/>
                  </w:tcPr>
                  <w:p w14:paraId="3D3597A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3.21</w:t>
                    </w:r>
                  </w:p>
                </w:tc>
                <w:tc>
                  <w:tcPr>
                    <w:tcW w:w="801" w:type="dxa"/>
                    <w:gridSpan w:val="2"/>
                    <w:tcBorders>
                      <w:right w:val="single" w:sz="8" w:space="0" w:color="auto"/>
                    </w:tcBorders>
                    <w:shd w:val="clear" w:color="auto" w:fill="D9D9D9" w:themeFill="background1" w:themeFillShade="D9"/>
                    <w:vAlign w:val="center"/>
                  </w:tcPr>
                  <w:p w14:paraId="4C06D08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2.70</w:t>
                    </w:r>
                  </w:p>
                </w:tc>
                <w:tc>
                  <w:tcPr>
                    <w:tcW w:w="900" w:type="dxa"/>
                    <w:gridSpan w:val="3"/>
                    <w:tcBorders>
                      <w:left w:val="single" w:sz="8" w:space="0" w:color="auto"/>
                    </w:tcBorders>
                    <w:shd w:val="clear" w:color="auto" w:fill="auto"/>
                    <w:noWrap/>
                    <w:vAlign w:val="center"/>
                  </w:tcPr>
                  <w:p w14:paraId="3C7AD177" w14:textId="77777777" w:rsidR="002F5246" w:rsidRPr="00FF56AB" w:rsidRDefault="002F5246" w:rsidP="00E23288">
                    <w:pPr>
                      <w:spacing w:line="240" w:lineRule="auto"/>
                      <w:jc w:val="center"/>
                      <w:rPr>
                        <w:rFonts w:ascii="Garamond" w:hAnsi="Garamond"/>
                        <w:color w:val="000000"/>
                        <w:sz w:val="16"/>
                        <w:szCs w:val="16"/>
                        <w:lang w:val="en-US"/>
                      </w:rPr>
                    </w:pPr>
                  </w:p>
                </w:tc>
                <w:tc>
                  <w:tcPr>
                    <w:tcW w:w="793" w:type="dxa"/>
                    <w:gridSpan w:val="2"/>
                    <w:tcBorders>
                      <w:right w:val="single" w:sz="8" w:space="0" w:color="auto"/>
                    </w:tcBorders>
                    <w:shd w:val="clear" w:color="auto" w:fill="auto"/>
                    <w:vAlign w:val="center"/>
                  </w:tcPr>
                  <w:p w14:paraId="4EC296D3" w14:textId="77777777" w:rsidR="002F5246" w:rsidRPr="00FF56AB" w:rsidRDefault="002F5246" w:rsidP="00E23288">
                    <w:pPr>
                      <w:spacing w:line="240" w:lineRule="auto"/>
                      <w:jc w:val="center"/>
                      <w:rPr>
                        <w:rFonts w:ascii="Garamond" w:hAnsi="Garamond"/>
                        <w:color w:val="000000"/>
                        <w:sz w:val="16"/>
                        <w:szCs w:val="16"/>
                        <w:lang w:val="en-US"/>
                      </w:rPr>
                    </w:pPr>
                  </w:p>
                </w:tc>
                <w:tc>
                  <w:tcPr>
                    <w:tcW w:w="908" w:type="dxa"/>
                    <w:gridSpan w:val="3"/>
                    <w:tcBorders>
                      <w:left w:val="single" w:sz="8" w:space="0" w:color="auto"/>
                    </w:tcBorders>
                    <w:shd w:val="clear" w:color="auto" w:fill="D9D9D9" w:themeFill="background1" w:themeFillShade="D9"/>
                    <w:noWrap/>
                    <w:vAlign w:val="center"/>
                  </w:tcPr>
                  <w:p w14:paraId="1A20F94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2.84</w:t>
                    </w:r>
                  </w:p>
                </w:tc>
                <w:tc>
                  <w:tcPr>
                    <w:tcW w:w="785" w:type="dxa"/>
                    <w:gridSpan w:val="2"/>
                    <w:shd w:val="clear" w:color="auto" w:fill="D9D9D9" w:themeFill="background1" w:themeFillShade="D9"/>
                    <w:vAlign w:val="center"/>
                  </w:tcPr>
                  <w:p w14:paraId="7E076CA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2.56</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7DE069C1"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720BD811" w14:textId="77777777" w:rsidTr="00E23288">
                <w:trPr>
                  <w:trHeight w:hRule="exact" w:val="227"/>
                  <w:jc w:val="center"/>
                </w:trPr>
                <w:tc>
                  <w:tcPr>
                    <w:tcW w:w="409" w:type="dxa"/>
                    <w:tcBorders>
                      <w:left w:val="single" w:sz="12" w:space="0" w:color="auto"/>
                    </w:tcBorders>
                    <w:vAlign w:val="center"/>
                  </w:tcPr>
                  <w:p w14:paraId="0C6F1E0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6</w:t>
                    </w:r>
                  </w:p>
                </w:tc>
                <w:tc>
                  <w:tcPr>
                    <w:tcW w:w="1559" w:type="dxa"/>
                    <w:shd w:val="clear" w:color="auto" w:fill="auto"/>
                    <w:noWrap/>
                    <w:vAlign w:val="center"/>
                  </w:tcPr>
                  <w:p w14:paraId="1DE00ED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UBS</w:t>
                    </w:r>
                  </w:p>
                </w:tc>
                <w:tc>
                  <w:tcPr>
                    <w:tcW w:w="836" w:type="dxa"/>
                    <w:tcBorders>
                      <w:right w:val="single" w:sz="8" w:space="0" w:color="auto"/>
                    </w:tcBorders>
                    <w:shd w:val="clear" w:color="auto" w:fill="auto"/>
                    <w:vAlign w:val="center"/>
                  </w:tcPr>
                  <w:p w14:paraId="37A64A9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ZUR</w:t>
                    </w:r>
                  </w:p>
                </w:tc>
                <w:tc>
                  <w:tcPr>
                    <w:tcW w:w="878" w:type="dxa"/>
                    <w:gridSpan w:val="2"/>
                    <w:tcBorders>
                      <w:left w:val="single" w:sz="8" w:space="0" w:color="auto"/>
                    </w:tcBorders>
                    <w:shd w:val="clear" w:color="auto" w:fill="auto"/>
                    <w:noWrap/>
                    <w:vAlign w:val="center"/>
                  </w:tcPr>
                  <w:p w14:paraId="018744D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1.77</w:t>
                    </w:r>
                  </w:p>
                </w:tc>
                <w:tc>
                  <w:tcPr>
                    <w:tcW w:w="807" w:type="dxa"/>
                    <w:gridSpan w:val="2"/>
                    <w:tcBorders>
                      <w:right w:val="single" w:sz="8" w:space="0" w:color="auto"/>
                    </w:tcBorders>
                    <w:shd w:val="clear" w:color="auto" w:fill="auto"/>
                    <w:noWrap/>
                    <w:vAlign w:val="center"/>
                  </w:tcPr>
                  <w:p w14:paraId="3D68AD5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1.70</w:t>
                    </w:r>
                  </w:p>
                </w:tc>
                <w:tc>
                  <w:tcPr>
                    <w:tcW w:w="862" w:type="dxa"/>
                    <w:gridSpan w:val="3"/>
                    <w:tcBorders>
                      <w:left w:val="single" w:sz="8" w:space="0" w:color="auto"/>
                    </w:tcBorders>
                    <w:shd w:val="clear" w:color="auto" w:fill="auto"/>
                    <w:noWrap/>
                    <w:vAlign w:val="center"/>
                  </w:tcPr>
                  <w:p w14:paraId="73CFD10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1.80</w:t>
                    </w:r>
                  </w:p>
                </w:tc>
                <w:tc>
                  <w:tcPr>
                    <w:tcW w:w="809" w:type="dxa"/>
                    <w:gridSpan w:val="2"/>
                    <w:tcBorders>
                      <w:right w:val="single" w:sz="8" w:space="0" w:color="auto"/>
                    </w:tcBorders>
                    <w:shd w:val="clear" w:color="auto" w:fill="auto"/>
                    <w:vAlign w:val="center"/>
                  </w:tcPr>
                  <w:p w14:paraId="0692013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1.81</w:t>
                    </w:r>
                  </w:p>
                </w:tc>
                <w:tc>
                  <w:tcPr>
                    <w:tcW w:w="892" w:type="dxa"/>
                    <w:gridSpan w:val="3"/>
                    <w:tcBorders>
                      <w:left w:val="single" w:sz="8" w:space="0" w:color="auto"/>
                    </w:tcBorders>
                    <w:shd w:val="clear" w:color="auto" w:fill="auto"/>
                    <w:noWrap/>
                    <w:vAlign w:val="center"/>
                  </w:tcPr>
                  <w:p w14:paraId="2A45332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1.80</w:t>
                    </w:r>
                  </w:p>
                </w:tc>
                <w:tc>
                  <w:tcPr>
                    <w:tcW w:w="801" w:type="dxa"/>
                    <w:gridSpan w:val="2"/>
                    <w:tcBorders>
                      <w:right w:val="single" w:sz="8" w:space="0" w:color="auto"/>
                    </w:tcBorders>
                    <w:shd w:val="clear" w:color="auto" w:fill="auto"/>
                    <w:vAlign w:val="center"/>
                  </w:tcPr>
                  <w:p w14:paraId="3BC95F4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1.78</w:t>
                    </w:r>
                  </w:p>
                </w:tc>
                <w:tc>
                  <w:tcPr>
                    <w:tcW w:w="900" w:type="dxa"/>
                    <w:gridSpan w:val="3"/>
                    <w:tcBorders>
                      <w:left w:val="single" w:sz="8" w:space="0" w:color="auto"/>
                    </w:tcBorders>
                    <w:shd w:val="clear" w:color="auto" w:fill="auto"/>
                    <w:noWrap/>
                    <w:vAlign w:val="center"/>
                  </w:tcPr>
                  <w:p w14:paraId="3757F78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1.77</w:t>
                    </w:r>
                  </w:p>
                </w:tc>
                <w:tc>
                  <w:tcPr>
                    <w:tcW w:w="793" w:type="dxa"/>
                    <w:gridSpan w:val="2"/>
                    <w:tcBorders>
                      <w:right w:val="single" w:sz="8" w:space="0" w:color="auto"/>
                    </w:tcBorders>
                    <w:shd w:val="clear" w:color="auto" w:fill="auto"/>
                    <w:vAlign w:val="center"/>
                  </w:tcPr>
                  <w:p w14:paraId="44C0221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1.74</w:t>
                    </w:r>
                  </w:p>
                </w:tc>
                <w:tc>
                  <w:tcPr>
                    <w:tcW w:w="908" w:type="dxa"/>
                    <w:gridSpan w:val="3"/>
                    <w:tcBorders>
                      <w:left w:val="single" w:sz="8" w:space="0" w:color="auto"/>
                    </w:tcBorders>
                    <w:shd w:val="clear" w:color="auto" w:fill="auto"/>
                    <w:noWrap/>
                    <w:vAlign w:val="center"/>
                  </w:tcPr>
                  <w:p w14:paraId="19E834E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1.59</w:t>
                    </w:r>
                  </w:p>
                </w:tc>
                <w:tc>
                  <w:tcPr>
                    <w:tcW w:w="785" w:type="dxa"/>
                    <w:gridSpan w:val="2"/>
                    <w:shd w:val="clear" w:color="auto" w:fill="auto"/>
                    <w:vAlign w:val="center"/>
                  </w:tcPr>
                  <w:p w14:paraId="7C42616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1.61</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199E8974"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3F953EBD" w14:textId="77777777" w:rsidTr="00E23288">
                <w:trPr>
                  <w:trHeight w:hRule="exact" w:val="227"/>
                  <w:jc w:val="center"/>
                </w:trPr>
                <w:tc>
                  <w:tcPr>
                    <w:tcW w:w="409" w:type="dxa"/>
                    <w:tcBorders>
                      <w:left w:val="single" w:sz="12" w:space="0" w:color="auto"/>
                    </w:tcBorders>
                    <w:vAlign w:val="center"/>
                  </w:tcPr>
                  <w:p w14:paraId="4B6CF57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w:t>
                    </w:r>
                  </w:p>
                </w:tc>
                <w:tc>
                  <w:tcPr>
                    <w:tcW w:w="1559" w:type="dxa"/>
                    <w:shd w:val="clear" w:color="auto" w:fill="auto"/>
                    <w:noWrap/>
                    <w:vAlign w:val="center"/>
                  </w:tcPr>
                  <w:p w14:paraId="2E11C8A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CITIBANK</w:t>
                    </w:r>
                  </w:p>
                </w:tc>
                <w:tc>
                  <w:tcPr>
                    <w:tcW w:w="836" w:type="dxa"/>
                    <w:tcBorders>
                      <w:right w:val="single" w:sz="8" w:space="0" w:color="auto"/>
                    </w:tcBorders>
                    <w:shd w:val="clear" w:color="auto" w:fill="auto"/>
                    <w:vAlign w:val="center"/>
                  </w:tcPr>
                  <w:p w14:paraId="7B4B49C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PRG</w:t>
                    </w:r>
                  </w:p>
                </w:tc>
                <w:tc>
                  <w:tcPr>
                    <w:tcW w:w="878" w:type="dxa"/>
                    <w:gridSpan w:val="2"/>
                    <w:tcBorders>
                      <w:left w:val="single" w:sz="8" w:space="0" w:color="auto"/>
                    </w:tcBorders>
                    <w:shd w:val="clear" w:color="auto" w:fill="auto"/>
                    <w:noWrap/>
                    <w:vAlign w:val="center"/>
                  </w:tcPr>
                  <w:p w14:paraId="125AC126" w14:textId="77777777" w:rsidR="002F5246" w:rsidRPr="00FF56AB" w:rsidRDefault="002F5246" w:rsidP="00E23288">
                    <w:pPr>
                      <w:spacing w:line="240" w:lineRule="auto"/>
                      <w:jc w:val="center"/>
                      <w:rPr>
                        <w:rFonts w:ascii="Garamond" w:hAnsi="Garamond"/>
                        <w:color w:val="000000"/>
                        <w:sz w:val="16"/>
                        <w:szCs w:val="16"/>
                        <w:lang w:val="en-US"/>
                      </w:rPr>
                    </w:pPr>
                  </w:p>
                </w:tc>
                <w:tc>
                  <w:tcPr>
                    <w:tcW w:w="807" w:type="dxa"/>
                    <w:gridSpan w:val="2"/>
                    <w:tcBorders>
                      <w:right w:val="single" w:sz="8" w:space="0" w:color="auto"/>
                    </w:tcBorders>
                    <w:shd w:val="clear" w:color="auto" w:fill="auto"/>
                    <w:noWrap/>
                    <w:vAlign w:val="center"/>
                  </w:tcPr>
                  <w:p w14:paraId="3EB07E89" w14:textId="77777777" w:rsidR="002F5246" w:rsidRPr="00FF56AB" w:rsidRDefault="002F5246" w:rsidP="00E23288">
                    <w:pPr>
                      <w:spacing w:line="240" w:lineRule="auto"/>
                      <w:jc w:val="center"/>
                      <w:rPr>
                        <w:rFonts w:ascii="Garamond" w:hAnsi="Garamond"/>
                        <w:color w:val="000000"/>
                        <w:sz w:val="16"/>
                        <w:szCs w:val="16"/>
                        <w:lang w:val="en-US"/>
                      </w:rPr>
                    </w:pPr>
                  </w:p>
                </w:tc>
                <w:tc>
                  <w:tcPr>
                    <w:tcW w:w="862" w:type="dxa"/>
                    <w:gridSpan w:val="3"/>
                    <w:tcBorders>
                      <w:left w:val="single" w:sz="8" w:space="0" w:color="auto"/>
                    </w:tcBorders>
                    <w:shd w:val="clear" w:color="auto" w:fill="auto"/>
                    <w:noWrap/>
                    <w:vAlign w:val="center"/>
                  </w:tcPr>
                  <w:p w14:paraId="13F31C4C" w14:textId="77777777" w:rsidR="002F5246" w:rsidRPr="00FF56AB" w:rsidRDefault="002F5246" w:rsidP="00E23288">
                    <w:pPr>
                      <w:spacing w:line="240" w:lineRule="auto"/>
                      <w:jc w:val="center"/>
                      <w:rPr>
                        <w:rFonts w:ascii="Garamond" w:hAnsi="Garamond"/>
                        <w:color w:val="000000"/>
                        <w:sz w:val="16"/>
                        <w:szCs w:val="16"/>
                        <w:lang w:val="en-US"/>
                      </w:rPr>
                    </w:pPr>
                  </w:p>
                </w:tc>
                <w:tc>
                  <w:tcPr>
                    <w:tcW w:w="809" w:type="dxa"/>
                    <w:gridSpan w:val="2"/>
                    <w:tcBorders>
                      <w:right w:val="single" w:sz="8" w:space="0" w:color="auto"/>
                    </w:tcBorders>
                    <w:shd w:val="clear" w:color="auto" w:fill="auto"/>
                    <w:vAlign w:val="center"/>
                  </w:tcPr>
                  <w:p w14:paraId="709150DF" w14:textId="77777777" w:rsidR="002F5246" w:rsidRPr="00FF56AB" w:rsidRDefault="002F5246" w:rsidP="00E23288">
                    <w:pPr>
                      <w:spacing w:line="240" w:lineRule="auto"/>
                      <w:jc w:val="center"/>
                      <w:rPr>
                        <w:rFonts w:ascii="Garamond" w:hAnsi="Garamond"/>
                        <w:color w:val="000000"/>
                        <w:sz w:val="16"/>
                        <w:szCs w:val="16"/>
                        <w:lang w:val="en-US"/>
                      </w:rPr>
                    </w:pPr>
                  </w:p>
                </w:tc>
                <w:tc>
                  <w:tcPr>
                    <w:tcW w:w="892" w:type="dxa"/>
                    <w:gridSpan w:val="3"/>
                    <w:tcBorders>
                      <w:left w:val="single" w:sz="8" w:space="0" w:color="auto"/>
                    </w:tcBorders>
                    <w:shd w:val="clear" w:color="auto" w:fill="D9D9D9" w:themeFill="background1" w:themeFillShade="D9"/>
                    <w:noWrap/>
                    <w:vAlign w:val="center"/>
                  </w:tcPr>
                  <w:p w14:paraId="11D85CD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8.46</w:t>
                    </w:r>
                  </w:p>
                </w:tc>
                <w:tc>
                  <w:tcPr>
                    <w:tcW w:w="801" w:type="dxa"/>
                    <w:gridSpan w:val="2"/>
                    <w:tcBorders>
                      <w:right w:val="single" w:sz="8" w:space="0" w:color="auto"/>
                    </w:tcBorders>
                    <w:shd w:val="clear" w:color="auto" w:fill="D9D9D9" w:themeFill="background1" w:themeFillShade="D9"/>
                    <w:vAlign w:val="center"/>
                  </w:tcPr>
                  <w:p w14:paraId="346F932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5.91</w:t>
                    </w:r>
                  </w:p>
                </w:tc>
                <w:tc>
                  <w:tcPr>
                    <w:tcW w:w="900" w:type="dxa"/>
                    <w:gridSpan w:val="3"/>
                    <w:tcBorders>
                      <w:left w:val="single" w:sz="8" w:space="0" w:color="auto"/>
                    </w:tcBorders>
                    <w:shd w:val="clear" w:color="auto" w:fill="auto"/>
                    <w:noWrap/>
                    <w:vAlign w:val="center"/>
                  </w:tcPr>
                  <w:p w14:paraId="376E2015" w14:textId="77777777" w:rsidR="002F5246" w:rsidRPr="00FF56AB" w:rsidRDefault="002F5246" w:rsidP="00E23288">
                    <w:pPr>
                      <w:spacing w:line="240" w:lineRule="auto"/>
                      <w:jc w:val="center"/>
                      <w:rPr>
                        <w:rFonts w:ascii="Garamond" w:hAnsi="Garamond"/>
                        <w:color w:val="000000"/>
                        <w:sz w:val="16"/>
                        <w:szCs w:val="16"/>
                        <w:lang w:val="en-US"/>
                      </w:rPr>
                    </w:pPr>
                  </w:p>
                </w:tc>
                <w:tc>
                  <w:tcPr>
                    <w:tcW w:w="793" w:type="dxa"/>
                    <w:gridSpan w:val="2"/>
                    <w:tcBorders>
                      <w:right w:val="single" w:sz="8" w:space="0" w:color="auto"/>
                    </w:tcBorders>
                    <w:shd w:val="clear" w:color="auto" w:fill="auto"/>
                    <w:vAlign w:val="center"/>
                  </w:tcPr>
                  <w:p w14:paraId="16D18D57" w14:textId="77777777" w:rsidR="002F5246" w:rsidRPr="00FF56AB" w:rsidRDefault="002F5246" w:rsidP="00E23288">
                    <w:pPr>
                      <w:spacing w:line="240" w:lineRule="auto"/>
                      <w:jc w:val="center"/>
                      <w:rPr>
                        <w:rFonts w:ascii="Garamond" w:hAnsi="Garamond"/>
                        <w:color w:val="000000"/>
                        <w:sz w:val="16"/>
                        <w:szCs w:val="16"/>
                        <w:lang w:val="en-US"/>
                      </w:rPr>
                    </w:pPr>
                  </w:p>
                </w:tc>
                <w:tc>
                  <w:tcPr>
                    <w:tcW w:w="908" w:type="dxa"/>
                    <w:gridSpan w:val="3"/>
                    <w:tcBorders>
                      <w:left w:val="single" w:sz="8" w:space="0" w:color="auto"/>
                    </w:tcBorders>
                    <w:shd w:val="clear" w:color="auto" w:fill="auto"/>
                    <w:noWrap/>
                    <w:vAlign w:val="center"/>
                  </w:tcPr>
                  <w:p w14:paraId="0027EF91" w14:textId="77777777" w:rsidR="002F5246" w:rsidRPr="00FF56AB" w:rsidRDefault="002F5246" w:rsidP="00E23288">
                    <w:pPr>
                      <w:spacing w:line="240" w:lineRule="auto"/>
                      <w:jc w:val="center"/>
                      <w:rPr>
                        <w:rFonts w:ascii="Garamond" w:hAnsi="Garamond"/>
                        <w:color w:val="000000"/>
                        <w:sz w:val="16"/>
                        <w:szCs w:val="16"/>
                        <w:lang w:val="en-US"/>
                      </w:rPr>
                    </w:pPr>
                  </w:p>
                </w:tc>
                <w:tc>
                  <w:tcPr>
                    <w:tcW w:w="785" w:type="dxa"/>
                    <w:gridSpan w:val="2"/>
                    <w:shd w:val="clear" w:color="auto" w:fill="auto"/>
                    <w:vAlign w:val="center"/>
                  </w:tcPr>
                  <w:p w14:paraId="171E408E" w14:textId="77777777" w:rsidR="002F5246" w:rsidRPr="00FF56AB" w:rsidRDefault="002F5246" w:rsidP="00E23288">
                    <w:pPr>
                      <w:spacing w:line="240" w:lineRule="auto"/>
                      <w:jc w:val="center"/>
                      <w:rPr>
                        <w:rFonts w:ascii="Garamond" w:hAnsi="Garamond"/>
                        <w:color w:val="000000"/>
                        <w:sz w:val="16"/>
                        <w:szCs w:val="16"/>
                        <w:lang w:val="en-US"/>
                      </w:rPr>
                    </w:pP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7E9F47DF"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001DF4F1" w14:textId="77777777" w:rsidTr="00E23288">
                <w:trPr>
                  <w:trHeight w:hRule="exact" w:val="227"/>
                  <w:jc w:val="center"/>
                </w:trPr>
                <w:tc>
                  <w:tcPr>
                    <w:tcW w:w="409" w:type="dxa"/>
                    <w:tcBorders>
                      <w:left w:val="single" w:sz="12" w:space="0" w:color="auto"/>
                    </w:tcBorders>
                    <w:vAlign w:val="center"/>
                  </w:tcPr>
                  <w:p w14:paraId="5B94A6F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8</w:t>
                    </w:r>
                  </w:p>
                </w:tc>
                <w:tc>
                  <w:tcPr>
                    <w:tcW w:w="1559" w:type="dxa"/>
                    <w:shd w:val="clear" w:color="auto" w:fill="auto"/>
                    <w:noWrap/>
                    <w:vAlign w:val="center"/>
                  </w:tcPr>
                  <w:p w14:paraId="70D5FE1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COMMERZ BANK</w:t>
                    </w:r>
                  </w:p>
                </w:tc>
                <w:tc>
                  <w:tcPr>
                    <w:tcW w:w="836" w:type="dxa"/>
                    <w:tcBorders>
                      <w:right w:val="single" w:sz="8" w:space="0" w:color="auto"/>
                    </w:tcBorders>
                    <w:shd w:val="clear" w:color="auto" w:fill="auto"/>
                    <w:vAlign w:val="center"/>
                  </w:tcPr>
                  <w:p w14:paraId="5C81803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FFT</w:t>
                    </w:r>
                  </w:p>
                </w:tc>
                <w:tc>
                  <w:tcPr>
                    <w:tcW w:w="878" w:type="dxa"/>
                    <w:gridSpan w:val="2"/>
                    <w:tcBorders>
                      <w:left w:val="single" w:sz="8" w:space="0" w:color="auto"/>
                    </w:tcBorders>
                    <w:shd w:val="clear" w:color="auto" w:fill="D9D9D9" w:themeFill="background1" w:themeFillShade="D9"/>
                    <w:noWrap/>
                    <w:vAlign w:val="center"/>
                  </w:tcPr>
                  <w:p w14:paraId="6F2078F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4.48</w:t>
                    </w:r>
                  </w:p>
                </w:tc>
                <w:tc>
                  <w:tcPr>
                    <w:tcW w:w="807" w:type="dxa"/>
                    <w:gridSpan w:val="2"/>
                    <w:tcBorders>
                      <w:right w:val="single" w:sz="8" w:space="0" w:color="auto"/>
                    </w:tcBorders>
                    <w:shd w:val="clear" w:color="auto" w:fill="D9D9D9" w:themeFill="background1" w:themeFillShade="D9"/>
                    <w:noWrap/>
                    <w:vAlign w:val="center"/>
                  </w:tcPr>
                  <w:p w14:paraId="4BCCDA3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4.16</w:t>
                    </w:r>
                  </w:p>
                </w:tc>
                <w:tc>
                  <w:tcPr>
                    <w:tcW w:w="862" w:type="dxa"/>
                    <w:gridSpan w:val="3"/>
                    <w:tcBorders>
                      <w:left w:val="single" w:sz="8" w:space="0" w:color="auto"/>
                    </w:tcBorders>
                    <w:shd w:val="clear" w:color="auto" w:fill="D9D9D9" w:themeFill="background1" w:themeFillShade="D9"/>
                    <w:noWrap/>
                    <w:vAlign w:val="center"/>
                  </w:tcPr>
                  <w:p w14:paraId="0CDD5FF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4.02</w:t>
                    </w:r>
                  </w:p>
                </w:tc>
                <w:tc>
                  <w:tcPr>
                    <w:tcW w:w="809" w:type="dxa"/>
                    <w:gridSpan w:val="2"/>
                    <w:tcBorders>
                      <w:right w:val="single" w:sz="8" w:space="0" w:color="auto"/>
                    </w:tcBorders>
                    <w:shd w:val="clear" w:color="auto" w:fill="D9D9D9" w:themeFill="background1" w:themeFillShade="D9"/>
                    <w:vAlign w:val="center"/>
                  </w:tcPr>
                  <w:p w14:paraId="23B6EEE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3.44</w:t>
                    </w:r>
                  </w:p>
                </w:tc>
                <w:tc>
                  <w:tcPr>
                    <w:tcW w:w="892" w:type="dxa"/>
                    <w:gridSpan w:val="3"/>
                    <w:tcBorders>
                      <w:left w:val="single" w:sz="8" w:space="0" w:color="auto"/>
                    </w:tcBorders>
                    <w:shd w:val="clear" w:color="auto" w:fill="auto"/>
                    <w:noWrap/>
                    <w:vAlign w:val="center"/>
                  </w:tcPr>
                  <w:p w14:paraId="3BF7F6E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4.57</w:t>
                    </w:r>
                  </w:p>
                </w:tc>
                <w:tc>
                  <w:tcPr>
                    <w:tcW w:w="801" w:type="dxa"/>
                    <w:gridSpan w:val="2"/>
                    <w:tcBorders>
                      <w:right w:val="single" w:sz="8" w:space="0" w:color="auto"/>
                    </w:tcBorders>
                    <w:shd w:val="clear" w:color="auto" w:fill="auto"/>
                    <w:vAlign w:val="center"/>
                  </w:tcPr>
                  <w:p w14:paraId="32C7AD5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4.65</w:t>
                    </w:r>
                  </w:p>
                </w:tc>
                <w:tc>
                  <w:tcPr>
                    <w:tcW w:w="900" w:type="dxa"/>
                    <w:gridSpan w:val="3"/>
                    <w:tcBorders>
                      <w:left w:val="single" w:sz="8" w:space="0" w:color="auto"/>
                    </w:tcBorders>
                    <w:shd w:val="clear" w:color="auto" w:fill="D9D9D9" w:themeFill="background1" w:themeFillShade="D9"/>
                    <w:noWrap/>
                    <w:vAlign w:val="center"/>
                  </w:tcPr>
                  <w:p w14:paraId="3152EAD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4.74</w:t>
                    </w:r>
                  </w:p>
                </w:tc>
                <w:tc>
                  <w:tcPr>
                    <w:tcW w:w="793" w:type="dxa"/>
                    <w:gridSpan w:val="2"/>
                    <w:tcBorders>
                      <w:right w:val="single" w:sz="8" w:space="0" w:color="auto"/>
                    </w:tcBorders>
                    <w:shd w:val="clear" w:color="auto" w:fill="D9D9D9" w:themeFill="background1" w:themeFillShade="D9"/>
                    <w:vAlign w:val="center"/>
                  </w:tcPr>
                  <w:p w14:paraId="5508A92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4.26</w:t>
                    </w:r>
                  </w:p>
                </w:tc>
                <w:tc>
                  <w:tcPr>
                    <w:tcW w:w="908" w:type="dxa"/>
                    <w:gridSpan w:val="3"/>
                    <w:tcBorders>
                      <w:left w:val="single" w:sz="8" w:space="0" w:color="auto"/>
                    </w:tcBorders>
                    <w:shd w:val="clear" w:color="auto" w:fill="D9D9D9" w:themeFill="background1" w:themeFillShade="D9"/>
                    <w:noWrap/>
                    <w:vAlign w:val="center"/>
                  </w:tcPr>
                  <w:p w14:paraId="484D1B1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3.33</w:t>
                    </w:r>
                  </w:p>
                </w:tc>
                <w:tc>
                  <w:tcPr>
                    <w:tcW w:w="785" w:type="dxa"/>
                    <w:gridSpan w:val="2"/>
                    <w:shd w:val="clear" w:color="auto" w:fill="D9D9D9" w:themeFill="background1" w:themeFillShade="D9"/>
                    <w:vAlign w:val="center"/>
                  </w:tcPr>
                  <w:p w14:paraId="51156C3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3.12</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3DE47309"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2DEB5974" w14:textId="77777777" w:rsidTr="00E23288">
                <w:trPr>
                  <w:trHeight w:hRule="exact" w:val="227"/>
                  <w:jc w:val="center"/>
                </w:trPr>
                <w:tc>
                  <w:tcPr>
                    <w:tcW w:w="409" w:type="dxa"/>
                    <w:tcBorders>
                      <w:left w:val="single" w:sz="12" w:space="0" w:color="auto"/>
                    </w:tcBorders>
                    <w:vAlign w:val="center"/>
                  </w:tcPr>
                  <w:p w14:paraId="184A7EC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9</w:t>
                    </w:r>
                  </w:p>
                </w:tc>
                <w:tc>
                  <w:tcPr>
                    <w:tcW w:w="1559" w:type="dxa"/>
                    <w:shd w:val="clear" w:color="auto" w:fill="auto"/>
                    <w:noWrap/>
                    <w:vAlign w:val="center"/>
                  </w:tcPr>
                  <w:p w14:paraId="7CEE0E6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KBC</w:t>
                    </w:r>
                  </w:p>
                </w:tc>
                <w:tc>
                  <w:tcPr>
                    <w:tcW w:w="836" w:type="dxa"/>
                    <w:tcBorders>
                      <w:right w:val="single" w:sz="8" w:space="0" w:color="auto"/>
                    </w:tcBorders>
                    <w:shd w:val="clear" w:color="auto" w:fill="auto"/>
                    <w:vAlign w:val="center"/>
                  </w:tcPr>
                  <w:p w14:paraId="53AB6E8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GFX</w:t>
                    </w:r>
                  </w:p>
                </w:tc>
                <w:tc>
                  <w:tcPr>
                    <w:tcW w:w="878" w:type="dxa"/>
                    <w:gridSpan w:val="2"/>
                    <w:tcBorders>
                      <w:left w:val="single" w:sz="8" w:space="0" w:color="auto"/>
                    </w:tcBorders>
                    <w:shd w:val="clear" w:color="auto" w:fill="auto"/>
                    <w:noWrap/>
                    <w:vAlign w:val="center"/>
                  </w:tcPr>
                  <w:p w14:paraId="72BBE65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1.00</w:t>
                    </w:r>
                  </w:p>
                </w:tc>
                <w:tc>
                  <w:tcPr>
                    <w:tcW w:w="807" w:type="dxa"/>
                    <w:gridSpan w:val="2"/>
                    <w:tcBorders>
                      <w:right w:val="single" w:sz="8" w:space="0" w:color="auto"/>
                    </w:tcBorders>
                    <w:shd w:val="clear" w:color="auto" w:fill="auto"/>
                    <w:noWrap/>
                    <w:vAlign w:val="center"/>
                  </w:tcPr>
                  <w:p w14:paraId="2D7F90E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1.62</w:t>
                    </w:r>
                  </w:p>
                </w:tc>
                <w:tc>
                  <w:tcPr>
                    <w:tcW w:w="862" w:type="dxa"/>
                    <w:gridSpan w:val="3"/>
                    <w:tcBorders>
                      <w:left w:val="single" w:sz="8" w:space="0" w:color="auto"/>
                    </w:tcBorders>
                    <w:shd w:val="clear" w:color="auto" w:fill="D9D9D9" w:themeFill="background1" w:themeFillShade="D9"/>
                    <w:noWrap/>
                    <w:vAlign w:val="center"/>
                  </w:tcPr>
                  <w:p w14:paraId="11E617D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4.31</w:t>
                    </w:r>
                  </w:p>
                </w:tc>
                <w:tc>
                  <w:tcPr>
                    <w:tcW w:w="809" w:type="dxa"/>
                    <w:gridSpan w:val="2"/>
                    <w:tcBorders>
                      <w:right w:val="single" w:sz="8" w:space="0" w:color="auto"/>
                    </w:tcBorders>
                    <w:shd w:val="clear" w:color="auto" w:fill="D9D9D9" w:themeFill="background1" w:themeFillShade="D9"/>
                    <w:vAlign w:val="center"/>
                  </w:tcPr>
                  <w:p w14:paraId="432CDEC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3.64</w:t>
                    </w:r>
                  </w:p>
                </w:tc>
                <w:tc>
                  <w:tcPr>
                    <w:tcW w:w="892" w:type="dxa"/>
                    <w:gridSpan w:val="3"/>
                    <w:tcBorders>
                      <w:left w:val="single" w:sz="8" w:space="0" w:color="auto"/>
                    </w:tcBorders>
                    <w:shd w:val="clear" w:color="auto" w:fill="auto"/>
                    <w:noWrap/>
                    <w:vAlign w:val="center"/>
                  </w:tcPr>
                  <w:p w14:paraId="2B6C66EB" w14:textId="77777777" w:rsidR="002F5246" w:rsidRPr="00FF56AB" w:rsidRDefault="002F5246" w:rsidP="00E23288">
                    <w:pPr>
                      <w:spacing w:line="240" w:lineRule="auto"/>
                      <w:jc w:val="center"/>
                      <w:rPr>
                        <w:rFonts w:ascii="Garamond" w:hAnsi="Garamond"/>
                        <w:color w:val="000000"/>
                        <w:sz w:val="16"/>
                        <w:szCs w:val="16"/>
                        <w:lang w:val="en-US"/>
                      </w:rPr>
                    </w:pPr>
                  </w:p>
                </w:tc>
                <w:tc>
                  <w:tcPr>
                    <w:tcW w:w="801" w:type="dxa"/>
                    <w:gridSpan w:val="2"/>
                    <w:tcBorders>
                      <w:right w:val="single" w:sz="8" w:space="0" w:color="auto"/>
                    </w:tcBorders>
                    <w:shd w:val="clear" w:color="auto" w:fill="auto"/>
                    <w:vAlign w:val="center"/>
                  </w:tcPr>
                  <w:p w14:paraId="78B5164A" w14:textId="77777777" w:rsidR="002F5246" w:rsidRPr="00FF56AB" w:rsidRDefault="002F5246" w:rsidP="00E23288">
                    <w:pPr>
                      <w:spacing w:line="240" w:lineRule="auto"/>
                      <w:jc w:val="center"/>
                      <w:rPr>
                        <w:rFonts w:ascii="Garamond" w:hAnsi="Garamond"/>
                        <w:color w:val="000000"/>
                        <w:sz w:val="16"/>
                        <w:szCs w:val="16"/>
                        <w:lang w:val="en-US"/>
                      </w:rPr>
                    </w:pPr>
                  </w:p>
                </w:tc>
                <w:tc>
                  <w:tcPr>
                    <w:tcW w:w="900" w:type="dxa"/>
                    <w:gridSpan w:val="3"/>
                    <w:tcBorders>
                      <w:left w:val="single" w:sz="8" w:space="0" w:color="auto"/>
                    </w:tcBorders>
                    <w:shd w:val="clear" w:color="auto" w:fill="auto"/>
                    <w:noWrap/>
                    <w:vAlign w:val="center"/>
                  </w:tcPr>
                  <w:p w14:paraId="56251BA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2.47</w:t>
                    </w:r>
                  </w:p>
                </w:tc>
                <w:tc>
                  <w:tcPr>
                    <w:tcW w:w="793" w:type="dxa"/>
                    <w:gridSpan w:val="2"/>
                    <w:tcBorders>
                      <w:right w:val="single" w:sz="8" w:space="0" w:color="auto"/>
                    </w:tcBorders>
                    <w:shd w:val="clear" w:color="auto" w:fill="auto"/>
                    <w:vAlign w:val="center"/>
                  </w:tcPr>
                  <w:p w14:paraId="68A3B35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2.31</w:t>
                    </w:r>
                  </w:p>
                </w:tc>
                <w:tc>
                  <w:tcPr>
                    <w:tcW w:w="908" w:type="dxa"/>
                    <w:gridSpan w:val="3"/>
                    <w:tcBorders>
                      <w:left w:val="single" w:sz="8" w:space="0" w:color="auto"/>
                    </w:tcBorders>
                    <w:shd w:val="clear" w:color="auto" w:fill="D9D9D9" w:themeFill="background1" w:themeFillShade="D9"/>
                    <w:noWrap/>
                    <w:vAlign w:val="center"/>
                  </w:tcPr>
                  <w:p w14:paraId="6B249F6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3.80</w:t>
                    </w:r>
                  </w:p>
                </w:tc>
                <w:tc>
                  <w:tcPr>
                    <w:tcW w:w="785" w:type="dxa"/>
                    <w:gridSpan w:val="2"/>
                    <w:shd w:val="clear" w:color="auto" w:fill="D9D9D9" w:themeFill="background1" w:themeFillShade="D9"/>
                    <w:vAlign w:val="center"/>
                  </w:tcPr>
                  <w:p w14:paraId="7703D0C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3.06</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686CB868"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07E1778E" w14:textId="77777777" w:rsidTr="00E23288">
                <w:trPr>
                  <w:trHeight w:hRule="exact" w:val="227"/>
                  <w:jc w:val="center"/>
                </w:trPr>
                <w:tc>
                  <w:tcPr>
                    <w:tcW w:w="409" w:type="dxa"/>
                    <w:tcBorders>
                      <w:left w:val="single" w:sz="12" w:space="0" w:color="auto"/>
                    </w:tcBorders>
                    <w:vAlign w:val="center"/>
                  </w:tcPr>
                  <w:p w14:paraId="38D391A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10</w:t>
                    </w:r>
                  </w:p>
                </w:tc>
                <w:tc>
                  <w:tcPr>
                    <w:tcW w:w="1559" w:type="dxa"/>
                    <w:shd w:val="clear" w:color="auto" w:fill="auto"/>
                    <w:noWrap/>
                    <w:vAlign w:val="center"/>
                  </w:tcPr>
                  <w:p w14:paraId="27879DB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BK MONTREAL</w:t>
                    </w:r>
                  </w:p>
                </w:tc>
                <w:tc>
                  <w:tcPr>
                    <w:tcW w:w="836" w:type="dxa"/>
                    <w:tcBorders>
                      <w:right w:val="single" w:sz="8" w:space="0" w:color="auto"/>
                    </w:tcBorders>
                    <w:shd w:val="clear" w:color="auto" w:fill="auto"/>
                    <w:vAlign w:val="center"/>
                  </w:tcPr>
                  <w:p w14:paraId="18B969F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MON</w:t>
                    </w:r>
                  </w:p>
                </w:tc>
                <w:tc>
                  <w:tcPr>
                    <w:tcW w:w="878" w:type="dxa"/>
                    <w:gridSpan w:val="2"/>
                    <w:tcBorders>
                      <w:left w:val="single" w:sz="8" w:space="0" w:color="auto"/>
                    </w:tcBorders>
                    <w:shd w:val="clear" w:color="auto" w:fill="auto"/>
                    <w:noWrap/>
                    <w:vAlign w:val="center"/>
                  </w:tcPr>
                  <w:p w14:paraId="1C22FA54" w14:textId="77777777" w:rsidR="002F5246" w:rsidRPr="00FF56AB" w:rsidRDefault="002F5246" w:rsidP="00E23288">
                    <w:pPr>
                      <w:spacing w:line="240" w:lineRule="auto"/>
                      <w:jc w:val="center"/>
                      <w:rPr>
                        <w:rFonts w:ascii="Garamond" w:hAnsi="Garamond"/>
                        <w:color w:val="000000"/>
                        <w:sz w:val="16"/>
                        <w:szCs w:val="16"/>
                        <w:lang w:val="en-US"/>
                      </w:rPr>
                    </w:pPr>
                  </w:p>
                </w:tc>
                <w:tc>
                  <w:tcPr>
                    <w:tcW w:w="807" w:type="dxa"/>
                    <w:gridSpan w:val="2"/>
                    <w:tcBorders>
                      <w:right w:val="single" w:sz="8" w:space="0" w:color="auto"/>
                    </w:tcBorders>
                    <w:shd w:val="clear" w:color="auto" w:fill="auto"/>
                    <w:noWrap/>
                    <w:vAlign w:val="center"/>
                  </w:tcPr>
                  <w:p w14:paraId="04EA3AF1" w14:textId="77777777" w:rsidR="002F5246" w:rsidRPr="00FF56AB" w:rsidRDefault="002F5246" w:rsidP="00E23288">
                    <w:pPr>
                      <w:spacing w:line="240" w:lineRule="auto"/>
                      <w:jc w:val="center"/>
                      <w:rPr>
                        <w:rFonts w:ascii="Garamond" w:hAnsi="Garamond"/>
                        <w:color w:val="000000"/>
                        <w:sz w:val="16"/>
                        <w:szCs w:val="16"/>
                        <w:lang w:val="en-US"/>
                      </w:rPr>
                    </w:pPr>
                  </w:p>
                </w:tc>
                <w:tc>
                  <w:tcPr>
                    <w:tcW w:w="862" w:type="dxa"/>
                    <w:gridSpan w:val="3"/>
                    <w:tcBorders>
                      <w:left w:val="single" w:sz="8" w:space="0" w:color="auto"/>
                    </w:tcBorders>
                    <w:shd w:val="clear" w:color="auto" w:fill="auto"/>
                    <w:noWrap/>
                    <w:vAlign w:val="center"/>
                  </w:tcPr>
                  <w:p w14:paraId="28E3DB89" w14:textId="77777777" w:rsidR="002F5246" w:rsidRPr="00FF56AB" w:rsidRDefault="002F5246" w:rsidP="00E23288">
                    <w:pPr>
                      <w:spacing w:line="240" w:lineRule="auto"/>
                      <w:jc w:val="center"/>
                      <w:rPr>
                        <w:rFonts w:ascii="Garamond" w:hAnsi="Garamond"/>
                        <w:color w:val="000000"/>
                        <w:sz w:val="16"/>
                        <w:szCs w:val="16"/>
                        <w:lang w:val="en-US"/>
                      </w:rPr>
                    </w:pPr>
                  </w:p>
                </w:tc>
                <w:tc>
                  <w:tcPr>
                    <w:tcW w:w="809" w:type="dxa"/>
                    <w:gridSpan w:val="2"/>
                    <w:tcBorders>
                      <w:right w:val="single" w:sz="8" w:space="0" w:color="auto"/>
                    </w:tcBorders>
                    <w:shd w:val="clear" w:color="auto" w:fill="auto"/>
                    <w:vAlign w:val="center"/>
                  </w:tcPr>
                  <w:p w14:paraId="4869E226" w14:textId="77777777" w:rsidR="002F5246" w:rsidRPr="00FF56AB" w:rsidRDefault="002F5246" w:rsidP="00E23288">
                    <w:pPr>
                      <w:spacing w:line="240" w:lineRule="auto"/>
                      <w:jc w:val="center"/>
                      <w:rPr>
                        <w:rFonts w:ascii="Garamond" w:hAnsi="Garamond"/>
                        <w:color w:val="000000"/>
                        <w:sz w:val="16"/>
                        <w:szCs w:val="16"/>
                        <w:lang w:val="en-US"/>
                      </w:rPr>
                    </w:pPr>
                  </w:p>
                </w:tc>
                <w:tc>
                  <w:tcPr>
                    <w:tcW w:w="892" w:type="dxa"/>
                    <w:gridSpan w:val="3"/>
                    <w:tcBorders>
                      <w:left w:val="single" w:sz="8" w:space="0" w:color="auto"/>
                    </w:tcBorders>
                    <w:shd w:val="clear" w:color="auto" w:fill="D9D9D9" w:themeFill="background1" w:themeFillShade="D9"/>
                    <w:noWrap/>
                    <w:vAlign w:val="center"/>
                  </w:tcPr>
                  <w:p w14:paraId="21159B4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2.08</w:t>
                    </w:r>
                  </w:p>
                </w:tc>
                <w:tc>
                  <w:tcPr>
                    <w:tcW w:w="801" w:type="dxa"/>
                    <w:gridSpan w:val="2"/>
                    <w:tcBorders>
                      <w:right w:val="single" w:sz="8" w:space="0" w:color="auto"/>
                    </w:tcBorders>
                    <w:shd w:val="clear" w:color="auto" w:fill="D9D9D9" w:themeFill="background1" w:themeFillShade="D9"/>
                    <w:vAlign w:val="center"/>
                  </w:tcPr>
                  <w:p w14:paraId="54F3CE7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2.84</w:t>
                    </w:r>
                  </w:p>
                </w:tc>
                <w:tc>
                  <w:tcPr>
                    <w:tcW w:w="900" w:type="dxa"/>
                    <w:gridSpan w:val="3"/>
                    <w:tcBorders>
                      <w:left w:val="single" w:sz="8" w:space="0" w:color="auto"/>
                    </w:tcBorders>
                    <w:shd w:val="clear" w:color="auto" w:fill="auto"/>
                    <w:noWrap/>
                    <w:vAlign w:val="center"/>
                  </w:tcPr>
                  <w:p w14:paraId="2844578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3.69</w:t>
                    </w:r>
                  </w:p>
                </w:tc>
                <w:tc>
                  <w:tcPr>
                    <w:tcW w:w="793" w:type="dxa"/>
                    <w:gridSpan w:val="2"/>
                    <w:tcBorders>
                      <w:right w:val="single" w:sz="8" w:space="0" w:color="auto"/>
                    </w:tcBorders>
                    <w:shd w:val="clear" w:color="auto" w:fill="auto"/>
                    <w:vAlign w:val="center"/>
                  </w:tcPr>
                  <w:p w14:paraId="60DE23D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4.19</w:t>
                    </w:r>
                  </w:p>
                </w:tc>
                <w:tc>
                  <w:tcPr>
                    <w:tcW w:w="908" w:type="dxa"/>
                    <w:gridSpan w:val="3"/>
                    <w:tcBorders>
                      <w:left w:val="single" w:sz="8" w:space="0" w:color="auto"/>
                    </w:tcBorders>
                    <w:shd w:val="clear" w:color="auto" w:fill="auto"/>
                    <w:noWrap/>
                    <w:vAlign w:val="center"/>
                  </w:tcPr>
                  <w:p w14:paraId="4511D47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2.07</w:t>
                    </w:r>
                  </w:p>
                </w:tc>
                <w:tc>
                  <w:tcPr>
                    <w:tcW w:w="785" w:type="dxa"/>
                    <w:gridSpan w:val="2"/>
                    <w:shd w:val="clear" w:color="auto" w:fill="auto"/>
                    <w:vAlign w:val="center"/>
                  </w:tcPr>
                  <w:p w14:paraId="581169A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2.85</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2F0FB00C"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04D4AA6B" w14:textId="77777777" w:rsidTr="00E23288">
                <w:trPr>
                  <w:trHeight w:hRule="exact" w:val="227"/>
                  <w:jc w:val="center"/>
                </w:trPr>
                <w:tc>
                  <w:tcPr>
                    <w:tcW w:w="409" w:type="dxa"/>
                    <w:tcBorders>
                      <w:left w:val="single" w:sz="12" w:space="0" w:color="auto"/>
                    </w:tcBorders>
                    <w:vAlign w:val="center"/>
                  </w:tcPr>
                  <w:p w14:paraId="6FB4491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11</w:t>
                    </w:r>
                  </w:p>
                </w:tc>
                <w:tc>
                  <w:tcPr>
                    <w:tcW w:w="1559" w:type="dxa"/>
                    <w:shd w:val="clear" w:color="auto" w:fill="auto"/>
                    <w:noWrap/>
                    <w:vAlign w:val="center"/>
                  </w:tcPr>
                  <w:p w14:paraId="7264F4A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BANCA AKROS</w:t>
                    </w:r>
                  </w:p>
                </w:tc>
                <w:tc>
                  <w:tcPr>
                    <w:tcW w:w="836" w:type="dxa"/>
                    <w:tcBorders>
                      <w:right w:val="single" w:sz="8" w:space="0" w:color="auto"/>
                    </w:tcBorders>
                    <w:shd w:val="clear" w:color="auto" w:fill="auto"/>
                    <w:vAlign w:val="center"/>
                  </w:tcPr>
                  <w:p w14:paraId="2609DFA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MIL</w:t>
                    </w:r>
                  </w:p>
                </w:tc>
                <w:tc>
                  <w:tcPr>
                    <w:tcW w:w="878" w:type="dxa"/>
                    <w:gridSpan w:val="2"/>
                    <w:tcBorders>
                      <w:left w:val="single" w:sz="8" w:space="0" w:color="auto"/>
                    </w:tcBorders>
                    <w:shd w:val="clear" w:color="auto" w:fill="D9D9D9" w:themeFill="background1" w:themeFillShade="D9"/>
                    <w:noWrap/>
                    <w:vAlign w:val="center"/>
                  </w:tcPr>
                  <w:p w14:paraId="63D65D7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1.55</w:t>
                    </w:r>
                  </w:p>
                </w:tc>
                <w:tc>
                  <w:tcPr>
                    <w:tcW w:w="807" w:type="dxa"/>
                    <w:gridSpan w:val="2"/>
                    <w:tcBorders>
                      <w:right w:val="single" w:sz="8" w:space="0" w:color="auto"/>
                    </w:tcBorders>
                    <w:shd w:val="clear" w:color="auto" w:fill="D9D9D9" w:themeFill="background1" w:themeFillShade="D9"/>
                    <w:noWrap/>
                    <w:vAlign w:val="center"/>
                  </w:tcPr>
                  <w:p w14:paraId="31CD715B"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1.32</w:t>
                    </w:r>
                  </w:p>
                </w:tc>
                <w:tc>
                  <w:tcPr>
                    <w:tcW w:w="862" w:type="dxa"/>
                    <w:gridSpan w:val="3"/>
                    <w:tcBorders>
                      <w:left w:val="single" w:sz="8" w:space="0" w:color="auto"/>
                    </w:tcBorders>
                    <w:shd w:val="clear" w:color="auto" w:fill="auto"/>
                    <w:noWrap/>
                    <w:vAlign w:val="center"/>
                  </w:tcPr>
                  <w:p w14:paraId="31828DF2"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1.64</w:t>
                    </w:r>
                  </w:p>
                </w:tc>
                <w:tc>
                  <w:tcPr>
                    <w:tcW w:w="809" w:type="dxa"/>
                    <w:gridSpan w:val="2"/>
                    <w:tcBorders>
                      <w:right w:val="single" w:sz="8" w:space="0" w:color="auto"/>
                    </w:tcBorders>
                    <w:shd w:val="clear" w:color="auto" w:fill="auto"/>
                    <w:vAlign w:val="center"/>
                  </w:tcPr>
                  <w:p w14:paraId="788C473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1.68</w:t>
                    </w:r>
                  </w:p>
                </w:tc>
                <w:tc>
                  <w:tcPr>
                    <w:tcW w:w="892" w:type="dxa"/>
                    <w:gridSpan w:val="3"/>
                    <w:tcBorders>
                      <w:left w:val="single" w:sz="8" w:space="0" w:color="auto"/>
                    </w:tcBorders>
                    <w:shd w:val="clear" w:color="auto" w:fill="D9D9D9" w:themeFill="background1" w:themeFillShade="D9"/>
                    <w:noWrap/>
                    <w:vAlign w:val="center"/>
                  </w:tcPr>
                  <w:p w14:paraId="3895F68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1.33</w:t>
                    </w:r>
                  </w:p>
                </w:tc>
                <w:tc>
                  <w:tcPr>
                    <w:tcW w:w="801" w:type="dxa"/>
                    <w:gridSpan w:val="2"/>
                    <w:tcBorders>
                      <w:right w:val="single" w:sz="8" w:space="0" w:color="auto"/>
                    </w:tcBorders>
                    <w:shd w:val="clear" w:color="auto" w:fill="D9D9D9" w:themeFill="background1" w:themeFillShade="D9"/>
                    <w:vAlign w:val="center"/>
                  </w:tcPr>
                  <w:p w14:paraId="6C20881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1.17</w:t>
                    </w:r>
                  </w:p>
                </w:tc>
                <w:tc>
                  <w:tcPr>
                    <w:tcW w:w="900" w:type="dxa"/>
                    <w:gridSpan w:val="3"/>
                    <w:tcBorders>
                      <w:left w:val="single" w:sz="8" w:space="0" w:color="auto"/>
                    </w:tcBorders>
                    <w:shd w:val="clear" w:color="auto" w:fill="D9D9D9" w:themeFill="background1" w:themeFillShade="D9"/>
                    <w:noWrap/>
                    <w:vAlign w:val="center"/>
                  </w:tcPr>
                  <w:p w14:paraId="3712BB4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1.77</w:t>
                    </w:r>
                  </w:p>
                </w:tc>
                <w:tc>
                  <w:tcPr>
                    <w:tcW w:w="793" w:type="dxa"/>
                    <w:gridSpan w:val="2"/>
                    <w:tcBorders>
                      <w:right w:val="single" w:sz="8" w:space="0" w:color="auto"/>
                    </w:tcBorders>
                    <w:shd w:val="clear" w:color="auto" w:fill="D9D9D9" w:themeFill="background1" w:themeFillShade="D9"/>
                    <w:vAlign w:val="center"/>
                  </w:tcPr>
                  <w:p w14:paraId="64A70DEC"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1.53</w:t>
                    </w:r>
                  </w:p>
                </w:tc>
                <w:tc>
                  <w:tcPr>
                    <w:tcW w:w="908" w:type="dxa"/>
                    <w:gridSpan w:val="3"/>
                    <w:tcBorders>
                      <w:left w:val="single" w:sz="8" w:space="0" w:color="auto"/>
                    </w:tcBorders>
                    <w:shd w:val="clear" w:color="auto" w:fill="auto"/>
                    <w:noWrap/>
                    <w:vAlign w:val="center"/>
                  </w:tcPr>
                  <w:p w14:paraId="77CDF7FD"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1.79</w:t>
                    </w:r>
                  </w:p>
                </w:tc>
                <w:tc>
                  <w:tcPr>
                    <w:tcW w:w="785" w:type="dxa"/>
                    <w:gridSpan w:val="2"/>
                    <w:shd w:val="clear" w:color="auto" w:fill="auto"/>
                    <w:vAlign w:val="center"/>
                  </w:tcPr>
                  <w:p w14:paraId="33AF9C4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1.77</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730AEA8A"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3DB85B48" w14:textId="77777777" w:rsidTr="00E23288">
                <w:trPr>
                  <w:trHeight w:hRule="exact" w:val="227"/>
                  <w:jc w:val="center"/>
                </w:trPr>
                <w:tc>
                  <w:tcPr>
                    <w:tcW w:w="409" w:type="dxa"/>
                    <w:tcBorders>
                      <w:left w:val="single" w:sz="12" w:space="0" w:color="auto"/>
                    </w:tcBorders>
                    <w:vAlign w:val="center"/>
                  </w:tcPr>
                  <w:p w14:paraId="6D9A8F2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12</w:t>
                    </w:r>
                  </w:p>
                </w:tc>
                <w:tc>
                  <w:tcPr>
                    <w:tcW w:w="1559" w:type="dxa"/>
                    <w:shd w:val="clear" w:color="auto" w:fill="auto"/>
                    <w:noWrap/>
                    <w:vAlign w:val="center"/>
                  </w:tcPr>
                  <w:p w14:paraId="5D71D10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ICBC</w:t>
                    </w:r>
                  </w:p>
                </w:tc>
                <w:tc>
                  <w:tcPr>
                    <w:tcW w:w="836" w:type="dxa"/>
                    <w:tcBorders>
                      <w:right w:val="single" w:sz="8" w:space="0" w:color="auto"/>
                    </w:tcBorders>
                    <w:shd w:val="clear" w:color="auto" w:fill="auto"/>
                    <w:vAlign w:val="center"/>
                  </w:tcPr>
                  <w:p w14:paraId="726D1D6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LON</w:t>
                    </w:r>
                  </w:p>
                </w:tc>
                <w:tc>
                  <w:tcPr>
                    <w:tcW w:w="878" w:type="dxa"/>
                    <w:gridSpan w:val="2"/>
                    <w:tcBorders>
                      <w:left w:val="single" w:sz="8" w:space="0" w:color="auto"/>
                    </w:tcBorders>
                    <w:shd w:val="clear" w:color="auto" w:fill="auto"/>
                    <w:noWrap/>
                    <w:vAlign w:val="center"/>
                  </w:tcPr>
                  <w:p w14:paraId="5F0E287F" w14:textId="77777777" w:rsidR="002F5246" w:rsidRPr="00FF56AB" w:rsidRDefault="002F5246" w:rsidP="00E23288">
                    <w:pPr>
                      <w:spacing w:line="240" w:lineRule="auto"/>
                      <w:jc w:val="center"/>
                      <w:rPr>
                        <w:rFonts w:ascii="Garamond" w:hAnsi="Garamond"/>
                        <w:color w:val="000000"/>
                        <w:sz w:val="16"/>
                        <w:szCs w:val="16"/>
                        <w:lang w:val="en-US"/>
                      </w:rPr>
                    </w:pPr>
                  </w:p>
                </w:tc>
                <w:tc>
                  <w:tcPr>
                    <w:tcW w:w="807" w:type="dxa"/>
                    <w:gridSpan w:val="2"/>
                    <w:tcBorders>
                      <w:right w:val="single" w:sz="8" w:space="0" w:color="auto"/>
                    </w:tcBorders>
                    <w:shd w:val="clear" w:color="auto" w:fill="auto"/>
                    <w:noWrap/>
                    <w:vAlign w:val="center"/>
                  </w:tcPr>
                  <w:p w14:paraId="3D348AF2" w14:textId="77777777" w:rsidR="002F5246" w:rsidRPr="00FF56AB" w:rsidRDefault="002F5246" w:rsidP="00E23288">
                    <w:pPr>
                      <w:spacing w:line="240" w:lineRule="auto"/>
                      <w:jc w:val="center"/>
                      <w:rPr>
                        <w:rFonts w:ascii="Garamond" w:hAnsi="Garamond"/>
                        <w:color w:val="000000"/>
                        <w:sz w:val="16"/>
                        <w:szCs w:val="16"/>
                        <w:lang w:val="en-US"/>
                      </w:rPr>
                    </w:pPr>
                  </w:p>
                </w:tc>
                <w:tc>
                  <w:tcPr>
                    <w:tcW w:w="862" w:type="dxa"/>
                    <w:gridSpan w:val="3"/>
                    <w:tcBorders>
                      <w:left w:val="single" w:sz="8" w:space="0" w:color="auto"/>
                    </w:tcBorders>
                    <w:shd w:val="clear" w:color="auto" w:fill="auto"/>
                    <w:noWrap/>
                    <w:vAlign w:val="center"/>
                  </w:tcPr>
                  <w:p w14:paraId="23C33497" w14:textId="77777777" w:rsidR="002F5246" w:rsidRPr="00FF56AB" w:rsidRDefault="002F5246" w:rsidP="00E23288">
                    <w:pPr>
                      <w:spacing w:line="240" w:lineRule="auto"/>
                      <w:jc w:val="center"/>
                      <w:rPr>
                        <w:rFonts w:ascii="Garamond" w:hAnsi="Garamond"/>
                        <w:color w:val="000000"/>
                        <w:sz w:val="16"/>
                        <w:szCs w:val="16"/>
                        <w:lang w:val="en-US"/>
                      </w:rPr>
                    </w:pPr>
                  </w:p>
                </w:tc>
                <w:tc>
                  <w:tcPr>
                    <w:tcW w:w="809" w:type="dxa"/>
                    <w:gridSpan w:val="2"/>
                    <w:tcBorders>
                      <w:right w:val="single" w:sz="8" w:space="0" w:color="auto"/>
                    </w:tcBorders>
                    <w:shd w:val="clear" w:color="auto" w:fill="auto"/>
                    <w:vAlign w:val="center"/>
                  </w:tcPr>
                  <w:p w14:paraId="12C5540F" w14:textId="77777777" w:rsidR="002F5246" w:rsidRPr="00FF56AB" w:rsidRDefault="002F5246" w:rsidP="00E23288">
                    <w:pPr>
                      <w:spacing w:line="240" w:lineRule="auto"/>
                      <w:jc w:val="center"/>
                      <w:rPr>
                        <w:rFonts w:ascii="Garamond" w:hAnsi="Garamond"/>
                        <w:color w:val="000000"/>
                        <w:sz w:val="16"/>
                        <w:szCs w:val="16"/>
                        <w:lang w:val="en-US"/>
                      </w:rPr>
                    </w:pPr>
                  </w:p>
                </w:tc>
                <w:tc>
                  <w:tcPr>
                    <w:tcW w:w="892" w:type="dxa"/>
                    <w:gridSpan w:val="3"/>
                    <w:tcBorders>
                      <w:left w:val="single" w:sz="8" w:space="0" w:color="auto"/>
                    </w:tcBorders>
                    <w:shd w:val="clear" w:color="auto" w:fill="auto"/>
                    <w:noWrap/>
                    <w:vAlign w:val="center"/>
                  </w:tcPr>
                  <w:p w14:paraId="373676B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3.58</w:t>
                    </w:r>
                  </w:p>
                </w:tc>
                <w:tc>
                  <w:tcPr>
                    <w:tcW w:w="801" w:type="dxa"/>
                    <w:gridSpan w:val="2"/>
                    <w:tcBorders>
                      <w:right w:val="single" w:sz="8" w:space="0" w:color="auto"/>
                    </w:tcBorders>
                    <w:shd w:val="clear" w:color="auto" w:fill="auto"/>
                    <w:vAlign w:val="center"/>
                  </w:tcPr>
                  <w:p w14:paraId="3F74942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3.64</w:t>
                    </w:r>
                  </w:p>
                </w:tc>
                <w:tc>
                  <w:tcPr>
                    <w:tcW w:w="900" w:type="dxa"/>
                    <w:gridSpan w:val="3"/>
                    <w:tcBorders>
                      <w:left w:val="single" w:sz="8" w:space="0" w:color="auto"/>
                    </w:tcBorders>
                    <w:shd w:val="clear" w:color="auto" w:fill="auto"/>
                    <w:noWrap/>
                    <w:vAlign w:val="center"/>
                  </w:tcPr>
                  <w:p w14:paraId="7664A848" w14:textId="77777777" w:rsidR="002F5246" w:rsidRPr="00FF56AB" w:rsidRDefault="002F5246" w:rsidP="00E23288">
                    <w:pPr>
                      <w:spacing w:line="240" w:lineRule="auto"/>
                      <w:jc w:val="center"/>
                      <w:rPr>
                        <w:rFonts w:ascii="Garamond" w:hAnsi="Garamond"/>
                        <w:color w:val="000000"/>
                        <w:sz w:val="16"/>
                        <w:szCs w:val="16"/>
                        <w:lang w:val="en-US"/>
                      </w:rPr>
                    </w:pPr>
                  </w:p>
                </w:tc>
                <w:tc>
                  <w:tcPr>
                    <w:tcW w:w="793" w:type="dxa"/>
                    <w:gridSpan w:val="2"/>
                    <w:tcBorders>
                      <w:right w:val="single" w:sz="8" w:space="0" w:color="auto"/>
                    </w:tcBorders>
                    <w:shd w:val="clear" w:color="auto" w:fill="auto"/>
                    <w:vAlign w:val="center"/>
                  </w:tcPr>
                  <w:p w14:paraId="0E98C5A0" w14:textId="77777777" w:rsidR="002F5246" w:rsidRPr="00FF56AB" w:rsidRDefault="002F5246" w:rsidP="00E23288">
                    <w:pPr>
                      <w:spacing w:line="240" w:lineRule="auto"/>
                      <w:jc w:val="center"/>
                      <w:rPr>
                        <w:rFonts w:ascii="Garamond" w:hAnsi="Garamond"/>
                        <w:color w:val="000000"/>
                        <w:sz w:val="16"/>
                        <w:szCs w:val="16"/>
                        <w:lang w:val="en-US"/>
                      </w:rPr>
                    </w:pPr>
                  </w:p>
                </w:tc>
                <w:tc>
                  <w:tcPr>
                    <w:tcW w:w="908" w:type="dxa"/>
                    <w:gridSpan w:val="3"/>
                    <w:tcBorders>
                      <w:left w:val="single" w:sz="8" w:space="0" w:color="auto"/>
                    </w:tcBorders>
                    <w:shd w:val="clear" w:color="auto" w:fill="auto"/>
                    <w:noWrap/>
                    <w:vAlign w:val="center"/>
                  </w:tcPr>
                  <w:p w14:paraId="15E23B28" w14:textId="77777777" w:rsidR="002F5246" w:rsidRPr="00FF56AB" w:rsidRDefault="002F5246" w:rsidP="00E23288">
                    <w:pPr>
                      <w:spacing w:line="240" w:lineRule="auto"/>
                      <w:jc w:val="center"/>
                      <w:rPr>
                        <w:rFonts w:ascii="Garamond" w:hAnsi="Garamond"/>
                        <w:color w:val="000000"/>
                        <w:sz w:val="16"/>
                        <w:szCs w:val="16"/>
                        <w:lang w:val="en-US"/>
                      </w:rPr>
                    </w:pPr>
                  </w:p>
                </w:tc>
                <w:tc>
                  <w:tcPr>
                    <w:tcW w:w="785" w:type="dxa"/>
                    <w:gridSpan w:val="2"/>
                    <w:shd w:val="clear" w:color="auto" w:fill="auto"/>
                    <w:vAlign w:val="center"/>
                  </w:tcPr>
                  <w:p w14:paraId="23043191" w14:textId="77777777" w:rsidR="002F5246" w:rsidRPr="00FF56AB" w:rsidRDefault="002F5246" w:rsidP="00E23288">
                    <w:pPr>
                      <w:spacing w:line="240" w:lineRule="auto"/>
                      <w:jc w:val="center"/>
                      <w:rPr>
                        <w:rFonts w:ascii="Garamond" w:hAnsi="Garamond"/>
                        <w:color w:val="000000"/>
                        <w:sz w:val="16"/>
                        <w:szCs w:val="16"/>
                        <w:lang w:val="en-US"/>
                      </w:rPr>
                    </w:pP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72EE5ED1"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69CB0688" w14:textId="77777777" w:rsidTr="00E23288">
                <w:trPr>
                  <w:trHeight w:hRule="exact" w:val="227"/>
                  <w:jc w:val="center"/>
                </w:trPr>
                <w:tc>
                  <w:tcPr>
                    <w:tcW w:w="409" w:type="dxa"/>
                    <w:tcBorders>
                      <w:left w:val="single" w:sz="12" w:space="0" w:color="auto"/>
                      <w:bottom w:val="single" w:sz="4" w:space="0" w:color="auto"/>
                    </w:tcBorders>
                    <w:vAlign w:val="center"/>
                  </w:tcPr>
                  <w:p w14:paraId="6492AD9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13</w:t>
                    </w:r>
                  </w:p>
                </w:tc>
                <w:tc>
                  <w:tcPr>
                    <w:tcW w:w="1559" w:type="dxa"/>
                    <w:tcBorders>
                      <w:bottom w:val="single" w:sz="4" w:space="0" w:color="auto"/>
                    </w:tcBorders>
                    <w:shd w:val="clear" w:color="auto" w:fill="auto"/>
                    <w:noWrap/>
                    <w:vAlign w:val="center"/>
                  </w:tcPr>
                  <w:p w14:paraId="6A1ABB9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WGZ BANK</w:t>
                    </w:r>
                  </w:p>
                </w:tc>
                <w:tc>
                  <w:tcPr>
                    <w:tcW w:w="836" w:type="dxa"/>
                    <w:tcBorders>
                      <w:bottom w:val="single" w:sz="4" w:space="0" w:color="auto"/>
                      <w:right w:val="single" w:sz="8" w:space="0" w:color="auto"/>
                    </w:tcBorders>
                    <w:shd w:val="clear" w:color="auto" w:fill="auto"/>
                    <w:vAlign w:val="center"/>
                  </w:tcPr>
                  <w:p w14:paraId="1E9C91F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DUS</w:t>
                    </w:r>
                  </w:p>
                </w:tc>
                <w:tc>
                  <w:tcPr>
                    <w:tcW w:w="878" w:type="dxa"/>
                    <w:gridSpan w:val="2"/>
                    <w:tcBorders>
                      <w:left w:val="single" w:sz="8" w:space="0" w:color="auto"/>
                      <w:bottom w:val="single" w:sz="4" w:space="0" w:color="auto"/>
                    </w:tcBorders>
                    <w:shd w:val="clear" w:color="auto" w:fill="D9D9D9" w:themeFill="background1" w:themeFillShade="D9"/>
                    <w:noWrap/>
                    <w:vAlign w:val="center"/>
                  </w:tcPr>
                  <w:p w14:paraId="779863FA"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7.93</w:t>
                    </w:r>
                  </w:p>
                </w:tc>
                <w:tc>
                  <w:tcPr>
                    <w:tcW w:w="807" w:type="dxa"/>
                    <w:gridSpan w:val="2"/>
                    <w:tcBorders>
                      <w:bottom w:val="single" w:sz="4" w:space="0" w:color="auto"/>
                      <w:right w:val="single" w:sz="8" w:space="0" w:color="auto"/>
                    </w:tcBorders>
                    <w:shd w:val="clear" w:color="auto" w:fill="D9D9D9" w:themeFill="background1" w:themeFillShade="D9"/>
                    <w:noWrap/>
                    <w:vAlign w:val="center"/>
                  </w:tcPr>
                  <w:p w14:paraId="2C40775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7.49</w:t>
                    </w:r>
                  </w:p>
                </w:tc>
                <w:tc>
                  <w:tcPr>
                    <w:tcW w:w="862" w:type="dxa"/>
                    <w:gridSpan w:val="3"/>
                    <w:tcBorders>
                      <w:left w:val="single" w:sz="8" w:space="0" w:color="auto"/>
                      <w:bottom w:val="single" w:sz="4" w:space="0" w:color="auto"/>
                    </w:tcBorders>
                    <w:shd w:val="clear" w:color="auto" w:fill="auto"/>
                    <w:noWrap/>
                    <w:vAlign w:val="center"/>
                  </w:tcPr>
                  <w:p w14:paraId="402E1DE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7.91</w:t>
                    </w:r>
                  </w:p>
                </w:tc>
                <w:tc>
                  <w:tcPr>
                    <w:tcW w:w="809" w:type="dxa"/>
                    <w:gridSpan w:val="2"/>
                    <w:tcBorders>
                      <w:bottom w:val="single" w:sz="4" w:space="0" w:color="auto"/>
                      <w:right w:val="single" w:sz="8" w:space="0" w:color="auto"/>
                    </w:tcBorders>
                    <w:shd w:val="clear" w:color="auto" w:fill="auto"/>
                    <w:vAlign w:val="center"/>
                  </w:tcPr>
                  <w:p w14:paraId="443D87E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7.74</w:t>
                    </w:r>
                  </w:p>
                </w:tc>
                <w:tc>
                  <w:tcPr>
                    <w:tcW w:w="892" w:type="dxa"/>
                    <w:gridSpan w:val="3"/>
                    <w:tcBorders>
                      <w:left w:val="single" w:sz="8" w:space="0" w:color="auto"/>
                      <w:bottom w:val="single" w:sz="4" w:space="0" w:color="auto"/>
                    </w:tcBorders>
                    <w:shd w:val="clear" w:color="auto" w:fill="auto"/>
                    <w:noWrap/>
                    <w:vAlign w:val="center"/>
                  </w:tcPr>
                  <w:p w14:paraId="079354C1"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7.09</w:t>
                    </w:r>
                  </w:p>
                </w:tc>
                <w:tc>
                  <w:tcPr>
                    <w:tcW w:w="801" w:type="dxa"/>
                    <w:gridSpan w:val="2"/>
                    <w:tcBorders>
                      <w:bottom w:val="single" w:sz="4" w:space="0" w:color="auto"/>
                      <w:right w:val="single" w:sz="8" w:space="0" w:color="auto"/>
                    </w:tcBorders>
                    <w:shd w:val="clear" w:color="auto" w:fill="auto"/>
                    <w:vAlign w:val="center"/>
                  </w:tcPr>
                  <w:p w14:paraId="3A272D8E"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7.02</w:t>
                    </w:r>
                  </w:p>
                </w:tc>
                <w:tc>
                  <w:tcPr>
                    <w:tcW w:w="900" w:type="dxa"/>
                    <w:gridSpan w:val="3"/>
                    <w:tcBorders>
                      <w:left w:val="single" w:sz="8" w:space="0" w:color="auto"/>
                      <w:bottom w:val="single" w:sz="4" w:space="0" w:color="auto"/>
                    </w:tcBorders>
                    <w:shd w:val="clear" w:color="auto" w:fill="D9D9D9" w:themeFill="background1" w:themeFillShade="D9"/>
                    <w:noWrap/>
                    <w:vAlign w:val="center"/>
                  </w:tcPr>
                  <w:p w14:paraId="0C0B7855"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7.66</w:t>
                    </w:r>
                  </w:p>
                </w:tc>
                <w:tc>
                  <w:tcPr>
                    <w:tcW w:w="793" w:type="dxa"/>
                    <w:gridSpan w:val="2"/>
                    <w:tcBorders>
                      <w:bottom w:val="single" w:sz="4" w:space="0" w:color="auto"/>
                      <w:right w:val="single" w:sz="8" w:space="0" w:color="auto"/>
                    </w:tcBorders>
                    <w:shd w:val="clear" w:color="auto" w:fill="D9D9D9" w:themeFill="background1" w:themeFillShade="D9"/>
                    <w:vAlign w:val="center"/>
                  </w:tcPr>
                  <w:p w14:paraId="2F13FCE4"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7.07</w:t>
                    </w:r>
                  </w:p>
                </w:tc>
                <w:tc>
                  <w:tcPr>
                    <w:tcW w:w="908" w:type="dxa"/>
                    <w:gridSpan w:val="3"/>
                    <w:tcBorders>
                      <w:left w:val="single" w:sz="8" w:space="0" w:color="auto"/>
                      <w:bottom w:val="single" w:sz="4" w:space="0" w:color="auto"/>
                    </w:tcBorders>
                    <w:shd w:val="clear" w:color="auto" w:fill="auto"/>
                    <w:noWrap/>
                    <w:vAlign w:val="center"/>
                  </w:tcPr>
                  <w:p w14:paraId="2CD99085" w14:textId="77777777" w:rsidR="002F5246" w:rsidRPr="00FF56AB" w:rsidRDefault="002F5246" w:rsidP="00E23288">
                    <w:pPr>
                      <w:spacing w:line="240" w:lineRule="auto"/>
                      <w:jc w:val="center"/>
                      <w:rPr>
                        <w:rFonts w:ascii="Garamond" w:hAnsi="Garamond"/>
                        <w:color w:val="000000"/>
                        <w:sz w:val="16"/>
                        <w:szCs w:val="16"/>
                        <w:lang w:val="en-US"/>
                      </w:rPr>
                    </w:pPr>
                  </w:p>
                </w:tc>
                <w:tc>
                  <w:tcPr>
                    <w:tcW w:w="785" w:type="dxa"/>
                    <w:gridSpan w:val="2"/>
                    <w:tcBorders>
                      <w:bottom w:val="single" w:sz="4" w:space="0" w:color="auto"/>
                    </w:tcBorders>
                    <w:shd w:val="clear" w:color="auto" w:fill="auto"/>
                    <w:vAlign w:val="center"/>
                  </w:tcPr>
                  <w:p w14:paraId="318A020E" w14:textId="77777777" w:rsidR="002F5246" w:rsidRPr="00FF56AB" w:rsidRDefault="002F5246" w:rsidP="00E23288">
                    <w:pPr>
                      <w:spacing w:line="240" w:lineRule="auto"/>
                      <w:jc w:val="center"/>
                      <w:rPr>
                        <w:rFonts w:ascii="Garamond" w:hAnsi="Garamond"/>
                        <w:color w:val="000000"/>
                        <w:sz w:val="16"/>
                        <w:szCs w:val="16"/>
                        <w:lang w:val="en-US"/>
                      </w:rPr>
                    </w:pPr>
                  </w:p>
                </w:tc>
                <w:tc>
                  <w:tcPr>
                    <w:tcW w:w="665" w:type="dxa"/>
                    <w:gridSpan w:val="2"/>
                    <w:tcBorders>
                      <w:top w:val="single" w:sz="4" w:space="0" w:color="auto"/>
                      <w:left w:val="nil"/>
                      <w:bottom w:val="single" w:sz="4" w:space="0" w:color="auto"/>
                      <w:right w:val="single" w:sz="12" w:space="0" w:color="auto"/>
                    </w:tcBorders>
                    <w:shd w:val="clear" w:color="auto" w:fill="000000" w:themeFill="text1"/>
                    <w:noWrap/>
                    <w:vAlign w:val="center"/>
                  </w:tcPr>
                  <w:p w14:paraId="167D8E5B" w14:textId="77777777" w:rsidR="002F5246" w:rsidRPr="00FF56AB" w:rsidRDefault="002F5246" w:rsidP="00E23288">
                    <w:pPr>
                      <w:spacing w:line="240" w:lineRule="auto"/>
                      <w:jc w:val="center"/>
                      <w:rPr>
                        <w:rFonts w:ascii="Garamond" w:hAnsi="Garamond"/>
                        <w:b/>
                        <w:bCs/>
                        <w:color w:val="000000"/>
                        <w:sz w:val="16"/>
                        <w:szCs w:val="16"/>
                        <w:lang w:val="en-US"/>
                      </w:rPr>
                    </w:pPr>
                  </w:p>
                </w:tc>
              </w:tr>
              <w:tr w:rsidR="002F5246" w:rsidRPr="00FF56AB" w14:paraId="6D9567E2" w14:textId="77777777" w:rsidTr="00E23288">
                <w:trPr>
                  <w:trHeight w:hRule="exact" w:val="227"/>
                  <w:jc w:val="center"/>
                </w:trPr>
                <w:tc>
                  <w:tcPr>
                    <w:tcW w:w="409" w:type="dxa"/>
                    <w:tcBorders>
                      <w:top w:val="single" w:sz="4" w:space="0" w:color="auto"/>
                      <w:left w:val="single" w:sz="12" w:space="0" w:color="auto"/>
                      <w:bottom w:val="single" w:sz="8" w:space="0" w:color="auto"/>
                    </w:tcBorders>
                    <w:vAlign w:val="center"/>
                  </w:tcPr>
                  <w:p w14:paraId="2CC68891" w14:textId="77777777" w:rsidR="002F5246" w:rsidRPr="00FF56AB" w:rsidRDefault="002F5246" w:rsidP="00E23288">
                    <w:pPr>
                      <w:spacing w:line="240" w:lineRule="auto"/>
                      <w:jc w:val="center"/>
                      <w:rPr>
                        <w:rFonts w:ascii="Garamond" w:hAnsi="Garamond"/>
                        <w:color w:val="000000"/>
                        <w:sz w:val="16"/>
                        <w:szCs w:val="16"/>
                        <w:lang w:val="en-US"/>
                      </w:rPr>
                    </w:pPr>
                  </w:p>
                </w:tc>
                <w:tc>
                  <w:tcPr>
                    <w:tcW w:w="2395" w:type="dxa"/>
                    <w:gridSpan w:val="2"/>
                    <w:tcBorders>
                      <w:top w:val="single" w:sz="4" w:space="0" w:color="auto"/>
                      <w:bottom w:val="single" w:sz="8" w:space="0" w:color="auto"/>
                      <w:right w:val="single" w:sz="8" w:space="0" w:color="auto"/>
                    </w:tcBorders>
                    <w:shd w:val="clear" w:color="auto" w:fill="auto"/>
                    <w:noWrap/>
                    <w:vAlign w:val="center"/>
                  </w:tcPr>
                  <w:p w14:paraId="5771F18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Total</w:t>
                    </w:r>
                  </w:p>
                </w:tc>
                <w:tc>
                  <w:tcPr>
                    <w:tcW w:w="878" w:type="dxa"/>
                    <w:gridSpan w:val="2"/>
                    <w:tcBorders>
                      <w:top w:val="single" w:sz="4" w:space="0" w:color="auto"/>
                      <w:left w:val="single" w:sz="8" w:space="0" w:color="auto"/>
                      <w:bottom w:val="single" w:sz="8" w:space="0" w:color="auto"/>
                    </w:tcBorders>
                    <w:shd w:val="clear" w:color="auto" w:fill="D9D9D9" w:themeFill="background1" w:themeFillShade="D9"/>
                    <w:noWrap/>
                    <w:vAlign w:val="center"/>
                  </w:tcPr>
                  <w:p w14:paraId="494A98A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76.21</w:t>
                    </w:r>
                  </w:p>
                </w:tc>
                <w:tc>
                  <w:tcPr>
                    <w:tcW w:w="807" w:type="dxa"/>
                    <w:gridSpan w:val="2"/>
                    <w:tcBorders>
                      <w:top w:val="single" w:sz="4" w:space="0" w:color="auto"/>
                      <w:bottom w:val="single" w:sz="8" w:space="0" w:color="auto"/>
                      <w:right w:val="single" w:sz="8" w:space="0" w:color="auto"/>
                    </w:tcBorders>
                    <w:shd w:val="clear" w:color="auto" w:fill="D9D9D9" w:themeFill="background1" w:themeFillShade="D9"/>
                    <w:noWrap/>
                    <w:vAlign w:val="center"/>
                  </w:tcPr>
                  <w:p w14:paraId="4DCE7696"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54.90</w:t>
                    </w:r>
                  </w:p>
                </w:tc>
                <w:tc>
                  <w:tcPr>
                    <w:tcW w:w="862" w:type="dxa"/>
                    <w:gridSpan w:val="3"/>
                    <w:tcBorders>
                      <w:top w:val="single" w:sz="4" w:space="0" w:color="auto"/>
                      <w:left w:val="single" w:sz="8" w:space="0" w:color="auto"/>
                      <w:bottom w:val="single" w:sz="8" w:space="0" w:color="auto"/>
                    </w:tcBorders>
                    <w:shd w:val="clear" w:color="auto" w:fill="D9D9D9" w:themeFill="background1" w:themeFillShade="D9"/>
                    <w:noWrap/>
                    <w:vAlign w:val="center"/>
                  </w:tcPr>
                  <w:p w14:paraId="04A83C60"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77.89</w:t>
                    </w:r>
                  </w:p>
                </w:tc>
                <w:tc>
                  <w:tcPr>
                    <w:tcW w:w="809" w:type="dxa"/>
                    <w:gridSpan w:val="2"/>
                    <w:tcBorders>
                      <w:top w:val="single" w:sz="4" w:space="0" w:color="auto"/>
                      <w:bottom w:val="single" w:sz="8" w:space="0" w:color="auto"/>
                      <w:right w:val="single" w:sz="8" w:space="0" w:color="auto"/>
                    </w:tcBorders>
                    <w:shd w:val="clear" w:color="auto" w:fill="D9D9D9" w:themeFill="background1" w:themeFillShade="D9"/>
                    <w:vAlign w:val="center"/>
                  </w:tcPr>
                  <w:p w14:paraId="4520E73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69.29</w:t>
                    </w:r>
                  </w:p>
                </w:tc>
                <w:tc>
                  <w:tcPr>
                    <w:tcW w:w="892" w:type="dxa"/>
                    <w:gridSpan w:val="3"/>
                    <w:tcBorders>
                      <w:top w:val="single" w:sz="4" w:space="0" w:color="auto"/>
                      <w:left w:val="single" w:sz="8" w:space="0" w:color="auto"/>
                      <w:bottom w:val="single" w:sz="8" w:space="0" w:color="auto"/>
                    </w:tcBorders>
                    <w:shd w:val="clear" w:color="auto" w:fill="D9D9D9" w:themeFill="background1" w:themeFillShade="D9"/>
                    <w:noWrap/>
                    <w:vAlign w:val="center"/>
                  </w:tcPr>
                  <w:p w14:paraId="1A533FF7"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86.38</w:t>
                    </w:r>
                  </w:p>
                </w:tc>
                <w:tc>
                  <w:tcPr>
                    <w:tcW w:w="801" w:type="dxa"/>
                    <w:gridSpan w:val="2"/>
                    <w:tcBorders>
                      <w:top w:val="single" w:sz="4" w:space="0" w:color="auto"/>
                      <w:bottom w:val="single" w:sz="8" w:space="0" w:color="auto"/>
                      <w:right w:val="single" w:sz="8" w:space="0" w:color="auto"/>
                    </w:tcBorders>
                    <w:shd w:val="clear" w:color="auto" w:fill="D9D9D9" w:themeFill="background1" w:themeFillShade="D9"/>
                    <w:vAlign w:val="center"/>
                  </w:tcPr>
                  <w:p w14:paraId="06C99A6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70.25</w:t>
                    </w:r>
                  </w:p>
                </w:tc>
                <w:tc>
                  <w:tcPr>
                    <w:tcW w:w="900" w:type="dxa"/>
                    <w:gridSpan w:val="3"/>
                    <w:tcBorders>
                      <w:top w:val="single" w:sz="4" w:space="0" w:color="auto"/>
                      <w:left w:val="single" w:sz="8" w:space="0" w:color="auto"/>
                      <w:bottom w:val="single" w:sz="8" w:space="0" w:color="auto"/>
                    </w:tcBorders>
                    <w:shd w:val="clear" w:color="auto" w:fill="D9D9D9" w:themeFill="background1" w:themeFillShade="D9"/>
                    <w:noWrap/>
                    <w:vAlign w:val="center"/>
                  </w:tcPr>
                  <w:p w14:paraId="7F365489"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92.29</w:t>
                    </w:r>
                  </w:p>
                </w:tc>
                <w:tc>
                  <w:tcPr>
                    <w:tcW w:w="793" w:type="dxa"/>
                    <w:gridSpan w:val="2"/>
                    <w:tcBorders>
                      <w:top w:val="single" w:sz="4" w:space="0" w:color="auto"/>
                      <w:bottom w:val="single" w:sz="8" w:space="0" w:color="auto"/>
                      <w:right w:val="single" w:sz="8" w:space="0" w:color="auto"/>
                    </w:tcBorders>
                    <w:shd w:val="clear" w:color="auto" w:fill="D9D9D9" w:themeFill="background1" w:themeFillShade="D9"/>
                    <w:vAlign w:val="center"/>
                  </w:tcPr>
                  <w:p w14:paraId="6255FF28"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76.67</w:t>
                    </w:r>
                  </w:p>
                </w:tc>
                <w:tc>
                  <w:tcPr>
                    <w:tcW w:w="908" w:type="dxa"/>
                    <w:gridSpan w:val="3"/>
                    <w:tcBorders>
                      <w:top w:val="single" w:sz="4" w:space="0" w:color="auto"/>
                      <w:left w:val="single" w:sz="8" w:space="0" w:color="auto"/>
                      <w:bottom w:val="single" w:sz="8" w:space="0" w:color="auto"/>
                    </w:tcBorders>
                    <w:shd w:val="clear" w:color="auto" w:fill="D9D9D9" w:themeFill="background1" w:themeFillShade="D9"/>
                    <w:noWrap/>
                    <w:vAlign w:val="center"/>
                  </w:tcPr>
                  <w:p w14:paraId="182A973F"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72.49</w:t>
                    </w:r>
                  </w:p>
                </w:tc>
                <w:tc>
                  <w:tcPr>
                    <w:tcW w:w="785" w:type="dxa"/>
                    <w:gridSpan w:val="2"/>
                    <w:tcBorders>
                      <w:top w:val="single" w:sz="4" w:space="0" w:color="auto"/>
                      <w:bottom w:val="single" w:sz="8" w:space="0" w:color="auto"/>
                    </w:tcBorders>
                    <w:shd w:val="clear" w:color="auto" w:fill="D9D9D9" w:themeFill="background1" w:themeFillShade="D9"/>
                    <w:vAlign w:val="center"/>
                  </w:tcPr>
                  <w:p w14:paraId="34F90D13" w14:textId="77777777" w:rsidR="002F5246" w:rsidRPr="00FF56AB" w:rsidRDefault="002F5246" w:rsidP="00E23288">
                    <w:pPr>
                      <w:spacing w:line="240" w:lineRule="auto"/>
                      <w:jc w:val="center"/>
                      <w:rPr>
                        <w:rFonts w:ascii="Garamond" w:hAnsi="Garamond"/>
                        <w:color w:val="000000"/>
                        <w:sz w:val="16"/>
                        <w:szCs w:val="16"/>
                        <w:lang w:val="en-US"/>
                      </w:rPr>
                    </w:pPr>
                    <w:r w:rsidRPr="00FF56AB">
                      <w:rPr>
                        <w:rFonts w:ascii="Garamond" w:hAnsi="Garamond"/>
                        <w:color w:val="000000"/>
                        <w:sz w:val="16"/>
                        <w:szCs w:val="16"/>
                        <w:lang w:val="en-US"/>
                      </w:rPr>
                      <w:t>59.05</w:t>
                    </w:r>
                  </w:p>
                </w:tc>
                <w:tc>
                  <w:tcPr>
                    <w:tcW w:w="665" w:type="dxa"/>
                    <w:gridSpan w:val="2"/>
                    <w:tcBorders>
                      <w:top w:val="single" w:sz="4" w:space="0" w:color="auto"/>
                      <w:left w:val="nil"/>
                      <w:bottom w:val="single" w:sz="8" w:space="0" w:color="auto"/>
                      <w:right w:val="single" w:sz="12" w:space="0" w:color="auto"/>
                    </w:tcBorders>
                    <w:shd w:val="clear" w:color="auto" w:fill="000000" w:themeFill="text1"/>
                    <w:noWrap/>
                    <w:vAlign w:val="center"/>
                  </w:tcPr>
                  <w:p w14:paraId="51776CCA" w14:textId="77777777" w:rsidR="002F5246" w:rsidRPr="00FF56AB" w:rsidRDefault="002F5246" w:rsidP="00E23288">
                    <w:pPr>
                      <w:spacing w:line="240" w:lineRule="auto"/>
                      <w:jc w:val="center"/>
                      <w:rPr>
                        <w:rFonts w:ascii="Garamond" w:hAnsi="Garamond"/>
                        <w:b/>
                        <w:bCs/>
                        <w:color w:val="000000"/>
                        <w:sz w:val="16"/>
                        <w:szCs w:val="16"/>
                        <w:lang w:val="en-US"/>
                      </w:rPr>
                    </w:pPr>
                  </w:p>
                </w:tc>
              </w:tr>
            </w:tbl>
            <w:p w14:paraId="17BF3587" w14:textId="77777777" w:rsidR="002F5246" w:rsidRDefault="002F5246" w:rsidP="002F5246">
              <w:pPr>
                <w:pStyle w:val="Para2"/>
                <w:spacing w:line="240" w:lineRule="auto"/>
                <w:ind w:firstLine="0"/>
              </w:pPr>
              <w:bookmarkStart w:id="7" w:name="_Hlk516313030"/>
              <w:r w:rsidRPr="00FF56AB">
                <w:rPr>
                  <w:rFonts w:ascii="Garamond" w:hAnsi="Garamond"/>
                  <w:b/>
                  <w:bCs/>
                  <w:sz w:val="16"/>
                  <w:szCs w:val="16"/>
                </w:rPr>
                <w:t>Panel A</w:t>
              </w:r>
              <w:r w:rsidRPr="00FF56AB">
                <w:rPr>
                  <w:rFonts w:ascii="Garamond" w:hAnsi="Garamond"/>
                  <w:sz w:val="16"/>
                  <w:szCs w:val="16"/>
                </w:rPr>
                <w:t xml:space="preserve"> reports a list of </w:t>
              </w:r>
              <w:r w:rsidRPr="00FF56AB">
                <w:rPr>
                  <w:rFonts w:ascii="Garamond" w:hAnsi="Garamond"/>
                  <w:sz w:val="16"/>
                  <w:szCs w:val="16"/>
                  <w:lang w:bidi="fa-IR"/>
                </w:rPr>
                <w:t>dealer-locations that are identified by the verification process to have a significant ManIx score at 5% level.</w:t>
              </w:r>
              <w:bookmarkEnd w:id="7"/>
              <w:r w:rsidRPr="00FF56AB">
                <w:t xml:space="preserve"> </w:t>
              </w:r>
              <w:r w:rsidRPr="00FF56AB">
                <w:rPr>
                  <w:rFonts w:ascii="Garamond" w:hAnsi="Garamond"/>
                  <w:sz w:val="16"/>
                  <w:szCs w:val="16"/>
                  <w:lang w:bidi="fa-IR"/>
                </w:rPr>
                <w:t xml:space="preserve"> </w:t>
              </w:r>
              <w:bookmarkStart w:id="8" w:name="_Hlk516313174"/>
              <w:r w:rsidRPr="00FF56AB">
                <w:rPr>
                  <w:rFonts w:ascii="Garamond" w:hAnsi="Garamond"/>
                  <w:sz w:val="16"/>
                  <w:szCs w:val="16"/>
                  <w:lang w:bidi="fa-IR"/>
                </w:rPr>
                <w:t xml:space="preserve">Columns </w:t>
              </w:r>
              <w:proofErr w:type="spellStart"/>
              <w:r w:rsidRPr="00FF56AB">
                <w:rPr>
                  <w:rFonts w:ascii="Garamond" w:hAnsi="Garamond"/>
                  <w:sz w:val="16"/>
                  <w:szCs w:val="16"/>
                  <w:lang w:bidi="fa-IR"/>
                </w:rPr>
                <w:t>C</w:t>
              </w:r>
              <w:r w:rsidRPr="00FF56AB">
                <w:rPr>
                  <w:rFonts w:ascii="Garamond" w:hAnsi="Garamond"/>
                  <w:sz w:val="16"/>
                  <w:szCs w:val="16"/>
                  <w:vertAlign w:val="subscript"/>
                  <w:lang w:bidi="fa-IR"/>
                </w:rPr>
                <w:t>Bid</w:t>
              </w:r>
              <w:proofErr w:type="spellEnd"/>
              <w:r w:rsidRPr="00FF56AB">
                <w:rPr>
                  <w:rFonts w:ascii="Garamond" w:hAnsi="Garamond"/>
                  <w:sz w:val="16"/>
                  <w:szCs w:val="16"/>
                  <w:lang w:bidi="fa-IR"/>
                </w:rPr>
                <w:t xml:space="preserve"> and </w:t>
              </w:r>
              <w:proofErr w:type="spellStart"/>
              <w:r w:rsidRPr="00FF56AB">
                <w:rPr>
                  <w:rFonts w:ascii="Garamond" w:hAnsi="Garamond"/>
                  <w:sz w:val="16"/>
                  <w:szCs w:val="16"/>
                  <w:lang w:bidi="fa-IR"/>
                </w:rPr>
                <w:t>C</w:t>
              </w:r>
              <w:r w:rsidRPr="00FF56AB">
                <w:rPr>
                  <w:rFonts w:ascii="Garamond" w:hAnsi="Garamond"/>
                  <w:sz w:val="16"/>
                  <w:szCs w:val="16"/>
                  <w:vertAlign w:val="subscript"/>
                  <w:lang w:bidi="fa-IR"/>
                </w:rPr>
                <w:t>Ask</w:t>
              </w:r>
              <w:proofErr w:type="spellEnd"/>
              <w:r w:rsidRPr="00FF56AB">
                <w:rPr>
                  <w:rFonts w:ascii="Garamond" w:hAnsi="Garamond"/>
                  <w:sz w:val="16"/>
                  <w:szCs w:val="16"/>
                  <w:lang w:bidi="fa-IR"/>
                </w:rPr>
                <w:t xml:space="preserve"> report the number of days a dealer’s ManIx measures are significant for the Bid and Ask prices, respectively.</w:t>
              </w:r>
              <w:bookmarkEnd w:id="8"/>
              <w:r w:rsidRPr="00FF56AB">
                <w:rPr>
                  <w:rFonts w:ascii="Garamond" w:hAnsi="Garamond"/>
                  <w:sz w:val="16"/>
                  <w:szCs w:val="16"/>
                  <w:lang w:bidi="fa-IR"/>
                </w:rPr>
                <w:t xml:space="preserve"> The shaded rows indicate banks that are featured in regulatory investigations, summarized in Table 5. </w:t>
              </w:r>
              <w:bookmarkStart w:id="9" w:name="_Hlk515264422"/>
              <w:proofErr w:type="spellStart"/>
              <w:r w:rsidRPr="00FF56AB">
                <w:rPr>
                  <w:rFonts w:ascii="Garamond" w:hAnsi="Garamond"/>
                  <w:sz w:val="16"/>
                  <w:szCs w:val="16"/>
                  <w:lang w:bidi="fa-IR"/>
                </w:rPr>
                <w:t>C</w:t>
              </w:r>
              <w:r w:rsidRPr="00FF56AB">
                <w:rPr>
                  <w:rFonts w:ascii="Garamond" w:hAnsi="Garamond"/>
                  <w:sz w:val="16"/>
                  <w:szCs w:val="16"/>
                  <w:vertAlign w:val="subscript"/>
                  <w:lang w:bidi="fa-IR"/>
                </w:rPr>
                <w:t>Ask</w:t>
              </w:r>
              <w:proofErr w:type="spellEnd"/>
              <w:r w:rsidRPr="00FF56AB">
                <w:rPr>
                  <w:rFonts w:ascii="Garamond" w:hAnsi="Garamond"/>
                  <w:sz w:val="16"/>
                  <w:szCs w:val="16"/>
                  <w:lang w:bidi="fa-IR"/>
                </w:rPr>
                <w:t xml:space="preserve">, and </w:t>
              </w:r>
              <w:proofErr w:type="spellStart"/>
              <w:r w:rsidRPr="00FF56AB">
                <w:rPr>
                  <w:rFonts w:ascii="Garamond" w:hAnsi="Garamond"/>
                  <w:sz w:val="16"/>
                  <w:szCs w:val="16"/>
                  <w:lang w:bidi="fa-IR"/>
                </w:rPr>
                <w:t>C</w:t>
              </w:r>
              <w:r w:rsidRPr="00FF56AB">
                <w:rPr>
                  <w:rFonts w:ascii="Garamond" w:hAnsi="Garamond"/>
                  <w:sz w:val="16"/>
                  <w:szCs w:val="16"/>
                  <w:vertAlign w:val="subscript"/>
                  <w:lang w:bidi="fa-IR"/>
                </w:rPr>
                <w:t>Bid</w:t>
              </w:r>
              <w:proofErr w:type="spellEnd"/>
              <w:r w:rsidRPr="00FF56AB">
                <w:rPr>
                  <w:rFonts w:ascii="Garamond" w:hAnsi="Garamond"/>
                  <w:sz w:val="16"/>
                  <w:szCs w:val="16"/>
                  <w:lang w:bidi="fa-IR"/>
                </w:rPr>
                <w:t xml:space="preserve"> columns, in the total row, at the bottom of the table, show the total number of times that ask and bid price have been manipulated, respectively</w:t>
              </w:r>
              <w:bookmarkEnd w:id="9"/>
              <w:r w:rsidRPr="00FF56AB">
                <w:rPr>
                  <w:rFonts w:ascii="Garamond" w:hAnsi="Garamond"/>
                  <w:sz w:val="16"/>
                  <w:szCs w:val="16"/>
                  <w:lang w:bidi="fa-IR"/>
                </w:rPr>
                <w:t xml:space="preserve">. </w:t>
              </w:r>
              <w:bookmarkStart w:id="10" w:name="_Hlk516313089"/>
              <w:r w:rsidRPr="00FF56AB">
                <w:rPr>
                  <w:rFonts w:ascii="Garamond" w:hAnsi="Garamond"/>
                  <w:b/>
                  <w:bCs/>
                  <w:sz w:val="16"/>
                  <w:szCs w:val="16"/>
                  <w:lang w:bidi="fa-IR"/>
                </w:rPr>
                <w:t>Panel B</w:t>
              </w:r>
              <w:r w:rsidRPr="00FF56AB">
                <w:rPr>
                  <w:rFonts w:ascii="Garamond" w:hAnsi="Garamond"/>
                  <w:sz w:val="16"/>
                  <w:szCs w:val="16"/>
                  <w:lang w:bidi="fa-IR"/>
                </w:rPr>
                <w:t xml:space="preserve"> reports the daily average number of </w:t>
              </w:r>
              <w:proofErr w:type="gramStart"/>
              <w:r w:rsidRPr="00FF56AB">
                <w:rPr>
                  <w:rFonts w:ascii="Garamond" w:hAnsi="Garamond"/>
                  <w:sz w:val="16"/>
                  <w:szCs w:val="16"/>
                  <w:lang w:bidi="fa-IR"/>
                </w:rPr>
                <w:t>quote</w:t>
              </w:r>
              <w:proofErr w:type="gramEnd"/>
              <w:r w:rsidRPr="00FF56AB">
                <w:rPr>
                  <w:rFonts w:ascii="Garamond" w:hAnsi="Garamond"/>
                  <w:sz w:val="16"/>
                  <w:szCs w:val="16"/>
                  <w:lang w:bidi="fa-IR"/>
                </w:rPr>
                <w:t xml:space="preserve"> for each dealer within and before the fixing window, from 15:30:00.000 to 15:58:59.999. The </w:t>
              </w:r>
              <w:r w:rsidRPr="00FF56AB">
                <w:rPr>
                  <w:rFonts w:ascii="Garamond" w:hAnsi="Garamond"/>
                  <w:sz w:val="16"/>
                  <w:szCs w:val="16"/>
                  <w:lang w:bidi="fa-IR"/>
                </w:rPr>
                <w:lastRenderedPageBreak/>
                <w:t xml:space="preserve">highlighted cells in gray shows that a dealer’s averages number of quotes is significantly different within and before the fixing window. The data, for panel B, is obtained from Thomson Reuters Eikon and spans from </w:t>
              </w:r>
              <w:r w:rsidRPr="00FF56AB">
                <w:rPr>
                  <w:rFonts w:ascii="Garamond" w:hAnsi="Garamond"/>
                  <w:sz w:val="16"/>
                  <w:szCs w:val="16"/>
                </w:rPr>
                <w:t>April 2</w:t>
              </w:r>
              <w:r w:rsidRPr="00FF56AB">
                <w:rPr>
                  <w:rFonts w:ascii="Garamond" w:hAnsi="Garamond"/>
                  <w:sz w:val="16"/>
                  <w:szCs w:val="16"/>
                  <w:vertAlign w:val="superscript"/>
                </w:rPr>
                <w:t>nd</w:t>
              </w:r>
              <w:r w:rsidRPr="00FF56AB">
                <w:rPr>
                  <w:rFonts w:ascii="Garamond" w:hAnsi="Garamond"/>
                  <w:sz w:val="16"/>
                  <w:szCs w:val="16"/>
                </w:rPr>
                <w:t>, 2013 to March 27</w:t>
              </w:r>
              <w:r w:rsidRPr="00FF56AB">
                <w:rPr>
                  <w:rFonts w:ascii="Garamond" w:hAnsi="Garamond"/>
                  <w:sz w:val="16"/>
                  <w:szCs w:val="16"/>
                  <w:vertAlign w:val="superscript"/>
                </w:rPr>
                <w:t>th</w:t>
              </w:r>
              <w:r w:rsidRPr="00FF56AB">
                <w:rPr>
                  <w:rFonts w:ascii="Garamond" w:hAnsi="Garamond"/>
                  <w:sz w:val="16"/>
                  <w:szCs w:val="16"/>
                </w:rPr>
                <w:t xml:space="preserve">, 2014. The total row depicts the average number of quotes per minute before the fixing window (from </w:t>
              </w:r>
              <w:r w:rsidRPr="00FF56AB">
                <w:rPr>
                  <w:rFonts w:ascii="Garamond" w:hAnsi="Garamond"/>
                  <w:sz w:val="16"/>
                  <w:szCs w:val="16"/>
                  <w:lang w:bidi="fa-IR"/>
                </w:rPr>
                <w:t>15:30:00.000 to 15:58:59.999</w:t>
              </w:r>
              <w:r w:rsidRPr="00FF56AB">
                <w:rPr>
                  <w:rFonts w:ascii="Garamond" w:hAnsi="Garamond"/>
                  <w:sz w:val="16"/>
                  <w:szCs w:val="16"/>
                </w:rPr>
                <w:t>) and within the fixing window.</w:t>
              </w:r>
              <w:bookmarkEnd w:id="10"/>
            </w:p>
            <w:p w14:paraId="377445E4" w14:textId="51E014DD" w:rsidR="002F5246" w:rsidRDefault="002F5246" w:rsidP="002F5246">
              <w:pPr>
                <w:tabs>
                  <w:tab w:val="left" w:pos="1279"/>
                </w:tabs>
              </w:pPr>
            </w:p>
            <w:p w14:paraId="6FEB0F37" w14:textId="02AA1479" w:rsidR="002F5246" w:rsidRPr="002F5246" w:rsidRDefault="002F5246" w:rsidP="002F5246">
              <w:pPr>
                <w:tabs>
                  <w:tab w:val="left" w:pos="1279"/>
                </w:tabs>
                <w:sectPr w:rsidR="002F5246" w:rsidRPr="002F5246" w:rsidSect="002F5246">
                  <w:endnotePr>
                    <w:numFmt w:val="decimal"/>
                  </w:endnotePr>
                  <w:pgSz w:w="16838" w:h="11906" w:orient="landscape"/>
                  <w:pgMar w:top="1440" w:right="1440" w:bottom="1440" w:left="1440" w:header="708" w:footer="708" w:gutter="0"/>
                  <w:cols w:space="708"/>
                  <w:docGrid w:linePitch="360"/>
                </w:sectPr>
              </w:pPr>
              <w:r>
                <w:tab/>
              </w:r>
            </w:p>
            <w:p w14:paraId="5F98FFDC" w14:textId="77777777" w:rsidR="002F5246" w:rsidRPr="00221C3D" w:rsidRDefault="002F5246" w:rsidP="002F5246">
              <w:pPr>
                <w:pStyle w:val="Tabletitle"/>
                <w:rPr>
                  <w:lang w:val="en-US" w:bidi="fa-IR"/>
                </w:rPr>
              </w:pPr>
              <w:r w:rsidRPr="00221C3D">
                <w:rPr>
                  <w:lang w:val="en-US" w:bidi="fa-IR"/>
                </w:rPr>
                <w:lastRenderedPageBreak/>
                <w:t xml:space="preserve">Table 5 </w:t>
              </w:r>
              <w:r w:rsidRPr="00221C3D">
                <w:rPr>
                  <w:lang w:val="en-US"/>
                </w:rPr>
                <w:t xml:space="preserve">– </w:t>
              </w:r>
              <w:r w:rsidRPr="00221C3D">
                <w:rPr>
                  <w:lang w:val="en-US" w:bidi="fa-IR"/>
                </w:rPr>
                <w:t>Investigations, Law Suits and Fines</w:t>
              </w:r>
            </w:p>
            <w:p w14:paraId="0B9C8E8A" w14:textId="77777777" w:rsidR="002F5246" w:rsidRPr="00221C3D" w:rsidRDefault="002F5246" w:rsidP="002F5246">
              <w:pPr>
                <w:pStyle w:val="Para2"/>
                <w:rPr>
                  <w:lang w:bidi="fa-IR"/>
                </w:rPr>
              </w:pPr>
            </w:p>
            <w:tbl>
              <w:tblPr>
                <w:tblW w:w="8880" w:type="dxa"/>
                <w:jc w:val="center"/>
                <w:tblLook w:val="04A0" w:firstRow="1" w:lastRow="0" w:firstColumn="1" w:lastColumn="0" w:noHBand="0" w:noVBand="1"/>
              </w:tblPr>
              <w:tblGrid>
                <w:gridCol w:w="1540"/>
                <w:gridCol w:w="666"/>
                <w:gridCol w:w="894"/>
                <w:gridCol w:w="761"/>
                <w:gridCol w:w="709"/>
                <w:gridCol w:w="709"/>
                <w:gridCol w:w="709"/>
                <w:gridCol w:w="1134"/>
                <w:gridCol w:w="992"/>
                <w:gridCol w:w="766"/>
              </w:tblGrid>
              <w:tr w:rsidR="002F5246" w:rsidRPr="00221C3D" w14:paraId="5E2A146C" w14:textId="77777777" w:rsidTr="00E23288">
                <w:trPr>
                  <w:trHeight w:val="315"/>
                  <w:jc w:val="center"/>
                </w:trPr>
                <w:tc>
                  <w:tcPr>
                    <w:tcW w:w="1540" w:type="dxa"/>
                    <w:tcBorders>
                      <w:top w:val="single" w:sz="4" w:space="0" w:color="auto"/>
                      <w:left w:val="nil"/>
                      <w:bottom w:val="nil"/>
                      <w:right w:val="nil"/>
                    </w:tcBorders>
                    <w:shd w:val="clear" w:color="auto" w:fill="auto"/>
                    <w:vAlign w:val="center"/>
                    <w:hideMark/>
                  </w:tcPr>
                  <w:p w14:paraId="10150207" w14:textId="77777777" w:rsidR="002F5246" w:rsidRPr="00221C3D" w:rsidRDefault="002F5246" w:rsidP="00E23288">
                    <w:pPr>
                      <w:spacing w:line="240" w:lineRule="auto"/>
                      <w:jc w:val="right"/>
                      <w:rPr>
                        <w:b/>
                        <w:bCs/>
                        <w:color w:val="000000"/>
                        <w:sz w:val="20"/>
                        <w:szCs w:val="20"/>
                        <w:lang w:val="en-US"/>
                      </w:rPr>
                    </w:pPr>
                    <w:r w:rsidRPr="00221C3D">
                      <w:rPr>
                        <w:b/>
                        <w:bCs/>
                        <w:color w:val="000000"/>
                        <w:sz w:val="20"/>
                        <w:szCs w:val="20"/>
                        <w:lang w:val="en-US"/>
                      </w:rPr>
                      <w:t xml:space="preserve">Country </w:t>
                    </w:r>
                  </w:p>
                </w:tc>
                <w:tc>
                  <w:tcPr>
                    <w:tcW w:w="666" w:type="dxa"/>
                    <w:tcBorders>
                      <w:top w:val="single" w:sz="4" w:space="0" w:color="auto"/>
                      <w:left w:val="nil"/>
                      <w:bottom w:val="single" w:sz="8" w:space="0" w:color="auto"/>
                      <w:right w:val="single" w:sz="4" w:space="0" w:color="auto"/>
                    </w:tcBorders>
                    <w:shd w:val="clear" w:color="auto" w:fill="auto"/>
                    <w:vAlign w:val="center"/>
                    <w:hideMark/>
                  </w:tcPr>
                  <w:p w14:paraId="10FB7B5F"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U.K.</w:t>
                    </w:r>
                  </w:p>
                </w:tc>
                <w:tc>
                  <w:tcPr>
                    <w:tcW w:w="89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AB8A12A"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Swiss</w:t>
                    </w:r>
                  </w:p>
                </w:tc>
                <w:tc>
                  <w:tcPr>
                    <w:tcW w:w="5014" w:type="dxa"/>
                    <w:gridSpan w:val="6"/>
                    <w:tcBorders>
                      <w:top w:val="single" w:sz="4" w:space="0" w:color="auto"/>
                      <w:left w:val="single" w:sz="4" w:space="0" w:color="auto"/>
                      <w:bottom w:val="single" w:sz="8" w:space="0" w:color="auto"/>
                      <w:right w:val="single" w:sz="4" w:space="0" w:color="auto"/>
                    </w:tcBorders>
                    <w:shd w:val="clear" w:color="auto" w:fill="auto"/>
                    <w:vAlign w:val="center"/>
                    <w:hideMark/>
                  </w:tcPr>
                  <w:p w14:paraId="380B7DD5"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United States of America</w:t>
                    </w:r>
                  </w:p>
                </w:tc>
                <w:tc>
                  <w:tcPr>
                    <w:tcW w:w="766" w:type="dxa"/>
                    <w:tcBorders>
                      <w:top w:val="single" w:sz="4" w:space="0" w:color="auto"/>
                      <w:left w:val="single" w:sz="4" w:space="0" w:color="auto"/>
                      <w:bottom w:val="single" w:sz="8" w:space="0" w:color="auto"/>
                      <w:right w:val="nil"/>
                    </w:tcBorders>
                    <w:shd w:val="clear" w:color="auto" w:fill="auto"/>
                    <w:vAlign w:val="center"/>
                    <w:hideMark/>
                  </w:tcPr>
                  <w:p w14:paraId="2BE72959"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Total</w:t>
                    </w:r>
                  </w:p>
                </w:tc>
              </w:tr>
              <w:tr w:rsidR="002F5246" w:rsidRPr="00221C3D" w14:paraId="34D479B1" w14:textId="77777777" w:rsidTr="00E23288">
                <w:trPr>
                  <w:trHeight w:val="300"/>
                  <w:jc w:val="center"/>
                </w:trPr>
                <w:tc>
                  <w:tcPr>
                    <w:tcW w:w="1540" w:type="dxa"/>
                    <w:tcBorders>
                      <w:top w:val="nil"/>
                      <w:left w:val="nil"/>
                      <w:bottom w:val="nil"/>
                      <w:right w:val="nil"/>
                    </w:tcBorders>
                    <w:shd w:val="clear" w:color="auto" w:fill="auto"/>
                    <w:vAlign w:val="center"/>
                    <w:hideMark/>
                  </w:tcPr>
                  <w:p w14:paraId="0F5E4BF4" w14:textId="77777777" w:rsidR="002F5246" w:rsidRPr="00221C3D" w:rsidRDefault="002F5246" w:rsidP="00E23288">
                    <w:pPr>
                      <w:spacing w:line="240" w:lineRule="auto"/>
                      <w:jc w:val="right"/>
                      <w:rPr>
                        <w:b/>
                        <w:bCs/>
                        <w:color w:val="000000"/>
                        <w:sz w:val="20"/>
                        <w:szCs w:val="20"/>
                        <w:lang w:val="en-US"/>
                      </w:rPr>
                    </w:pPr>
                    <w:r w:rsidRPr="00221C3D">
                      <w:rPr>
                        <w:b/>
                        <w:bCs/>
                        <w:color w:val="000000"/>
                        <w:sz w:val="20"/>
                        <w:szCs w:val="20"/>
                        <w:lang w:val="en-US"/>
                      </w:rPr>
                      <w:t>Sources</w:t>
                    </w:r>
                  </w:p>
                </w:tc>
                <w:tc>
                  <w:tcPr>
                    <w:tcW w:w="666" w:type="dxa"/>
                    <w:tcBorders>
                      <w:top w:val="nil"/>
                      <w:left w:val="nil"/>
                      <w:bottom w:val="nil"/>
                      <w:right w:val="nil"/>
                    </w:tcBorders>
                    <w:shd w:val="clear" w:color="auto" w:fill="auto"/>
                    <w:vAlign w:val="center"/>
                    <w:hideMark/>
                  </w:tcPr>
                  <w:p w14:paraId="2F948584"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1</w:t>
                    </w:r>
                  </w:p>
                </w:tc>
                <w:tc>
                  <w:tcPr>
                    <w:tcW w:w="894" w:type="dxa"/>
                    <w:tcBorders>
                      <w:top w:val="nil"/>
                      <w:left w:val="nil"/>
                      <w:bottom w:val="nil"/>
                      <w:right w:val="nil"/>
                    </w:tcBorders>
                    <w:shd w:val="clear" w:color="auto" w:fill="auto"/>
                    <w:noWrap/>
                    <w:vAlign w:val="center"/>
                    <w:hideMark/>
                  </w:tcPr>
                  <w:p w14:paraId="6FD2E36E"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2</w:t>
                    </w:r>
                  </w:p>
                </w:tc>
                <w:tc>
                  <w:tcPr>
                    <w:tcW w:w="761" w:type="dxa"/>
                    <w:tcBorders>
                      <w:top w:val="nil"/>
                      <w:left w:val="nil"/>
                      <w:bottom w:val="nil"/>
                      <w:right w:val="nil"/>
                    </w:tcBorders>
                    <w:shd w:val="clear" w:color="auto" w:fill="auto"/>
                    <w:vAlign w:val="center"/>
                    <w:hideMark/>
                  </w:tcPr>
                  <w:p w14:paraId="086BE1EF"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3</w:t>
                    </w:r>
                  </w:p>
                </w:tc>
                <w:tc>
                  <w:tcPr>
                    <w:tcW w:w="709" w:type="dxa"/>
                    <w:tcBorders>
                      <w:top w:val="nil"/>
                      <w:left w:val="nil"/>
                      <w:bottom w:val="nil"/>
                      <w:right w:val="nil"/>
                    </w:tcBorders>
                    <w:shd w:val="clear" w:color="auto" w:fill="auto"/>
                    <w:vAlign w:val="center"/>
                    <w:hideMark/>
                  </w:tcPr>
                  <w:p w14:paraId="2DC741C0"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4</w:t>
                    </w:r>
                  </w:p>
                </w:tc>
                <w:tc>
                  <w:tcPr>
                    <w:tcW w:w="709" w:type="dxa"/>
                    <w:tcBorders>
                      <w:top w:val="nil"/>
                      <w:left w:val="nil"/>
                      <w:bottom w:val="nil"/>
                      <w:right w:val="nil"/>
                    </w:tcBorders>
                    <w:shd w:val="clear" w:color="auto" w:fill="auto"/>
                    <w:vAlign w:val="center"/>
                    <w:hideMark/>
                  </w:tcPr>
                  <w:p w14:paraId="503237DE"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5</w:t>
                    </w:r>
                  </w:p>
                </w:tc>
                <w:tc>
                  <w:tcPr>
                    <w:tcW w:w="709" w:type="dxa"/>
                    <w:tcBorders>
                      <w:top w:val="nil"/>
                      <w:left w:val="nil"/>
                      <w:bottom w:val="nil"/>
                      <w:right w:val="nil"/>
                    </w:tcBorders>
                    <w:shd w:val="clear" w:color="auto" w:fill="auto"/>
                    <w:vAlign w:val="center"/>
                    <w:hideMark/>
                  </w:tcPr>
                  <w:p w14:paraId="319626AD"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6</w:t>
                    </w:r>
                  </w:p>
                </w:tc>
                <w:tc>
                  <w:tcPr>
                    <w:tcW w:w="1134" w:type="dxa"/>
                    <w:tcBorders>
                      <w:top w:val="nil"/>
                      <w:left w:val="nil"/>
                      <w:bottom w:val="nil"/>
                      <w:right w:val="nil"/>
                    </w:tcBorders>
                    <w:shd w:val="clear" w:color="auto" w:fill="auto"/>
                    <w:vAlign w:val="center"/>
                    <w:hideMark/>
                  </w:tcPr>
                  <w:p w14:paraId="68568B52"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7</w:t>
                    </w:r>
                  </w:p>
                </w:tc>
                <w:tc>
                  <w:tcPr>
                    <w:tcW w:w="992" w:type="dxa"/>
                    <w:tcBorders>
                      <w:top w:val="nil"/>
                      <w:left w:val="nil"/>
                      <w:bottom w:val="nil"/>
                      <w:right w:val="nil"/>
                    </w:tcBorders>
                    <w:shd w:val="clear" w:color="auto" w:fill="auto"/>
                    <w:vAlign w:val="center"/>
                    <w:hideMark/>
                  </w:tcPr>
                  <w:p w14:paraId="5B2BA5C6"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8</w:t>
                    </w:r>
                  </w:p>
                </w:tc>
                <w:tc>
                  <w:tcPr>
                    <w:tcW w:w="766" w:type="dxa"/>
                    <w:tcBorders>
                      <w:top w:val="nil"/>
                      <w:left w:val="nil"/>
                      <w:bottom w:val="nil"/>
                      <w:right w:val="nil"/>
                    </w:tcBorders>
                    <w:shd w:val="clear" w:color="auto" w:fill="auto"/>
                    <w:vAlign w:val="center"/>
                    <w:hideMark/>
                  </w:tcPr>
                  <w:p w14:paraId="348386BB" w14:textId="77777777" w:rsidR="002F5246" w:rsidRPr="00221C3D" w:rsidRDefault="002F5246" w:rsidP="00E23288">
                    <w:pPr>
                      <w:spacing w:line="240" w:lineRule="auto"/>
                      <w:jc w:val="center"/>
                      <w:rPr>
                        <w:b/>
                        <w:bCs/>
                        <w:color w:val="000000"/>
                        <w:sz w:val="20"/>
                        <w:szCs w:val="20"/>
                        <w:lang w:val="en-US"/>
                      </w:rPr>
                    </w:pPr>
                  </w:p>
                </w:tc>
              </w:tr>
              <w:tr w:rsidR="002F5246" w:rsidRPr="00221C3D" w14:paraId="5276C839" w14:textId="77777777" w:rsidTr="00E23288">
                <w:trPr>
                  <w:trHeight w:val="300"/>
                  <w:jc w:val="center"/>
                </w:trPr>
                <w:tc>
                  <w:tcPr>
                    <w:tcW w:w="1540" w:type="dxa"/>
                    <w:tcBorders>
                      <w:top w:val="nil"/>
                      <w:left w:val="nil"/>
                      <w:bottom w:val="nil"/>
                      <w:right w:val="nil"/>
                    </w:tcBorders>
                    <w:shd w:val="clear" w:color="auto" w:fill="auto"/>
                    <w:vAlign w:val="center"/>
                    <w:hideMark/>
                  </w:tcPr>
                  <w:p w14:paraId="564D5943" w14:textId="77777777" w:rsidR="002F5246" w:rsidRPr="00221C3D" w:rsidRDefault="002F5246" w:rsidP="00E23288">
                    <w:pPr>
                      <w:spacing w:line="240" w:lineRule="auto"/>
                      <w:jc w:val="right"/>
                      <w:rPr>
                        <w:b/>
                        <w:bCs/>
                        <w:color w:val="000000"/>
                        <w:sz w:val="20"/>
                        <w:szCs w:val="20"/>
                        <w:lang w:val="en-US"/>
                      </w:rPr>
                    </w:pPr>
                    <w:r w:rsidRPr="00221C3D">
                      <w:rPr>
                        <w:b/>
                        <w:bCs/>
                        <w:color w:val="000000"/>
                        <w:sz w:val="20"/>
                        <w:szCs w:val="20"/>
                        <w:lang w:val="en-US"/>
                      </w:rPr>
                      <w:t>Investigation</w:t>
                    </w:r>
                  </w:p>
                </w:tc>
                <w:tc>
                  <w:tcPr>
                    <w:tcW w:w="666" w:type="dxa"/>
                    <w:tcBorders>
                      <w:top w:val="nil"/>
                      <w:left w:val="nil"/>
                      <w:bottom w:val="nil"/>
                      <w:right w:val="nil"/>
                    </w:tcBorders>
                    <w:shd w:val="clear" w:color="auto" w:fill="auto"/>
                    <w:vAlign w:val="center"/>
                    <w:hideMark/>
                  </w:tcPr>
                  <w:p w14:paraId="706630A2"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FCA</w:t>
                    </w:r>
                  </w:p>
                </w:tc>
                <w:tc>
                  <w:tcPr>
                    <w:tcW w:w="894" w:type="dxa"/>
                    <w:tcBorders>
                      <w:top w:val="nil"/>
                      <w:left w:val="nil"/>
                      <w:bottom w:val="nil"/>
                      <w:right w:val="nil"/>
                    </w:tcBorders>
                    <w:shd w:val="clear" w:color="auto" w:fill="auto"/>
                    <w:noWrap/>
                    <w:vAlign w:val="center"/>
                    <w:hideMark/>
                  </w:tcPr>
                  <w:p w14:paraId="1B64BA21"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FINMA</w:t>
                    </w:r>
                  </w:p>
                </w:tc>
                <w:tc>
                  <w:tcPr>
                    <w:tcW w:w="761" w:type="dxa"/>
                    <w:tcBorders>
                      <w:top w:val="nil"/>
                      <w:left w:val="nil"/>
                      <w:bottom w:val="nil"/>
                      <w:right w:val="nil"/>
                    </w:tcBorders>
                    <w:shd w:val="clear" w:color="auto" w:fill="auto"/>
                    <w:vAlign w:val="center"/>
                    <w:hideMark/>
                  </w:tcPr>
                  <w:p w14:paraId="02454076"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CFTC</w:t>
                    </w:r>
                  </w:p>
                </w:tc>
                <w:tc>
                  <w:tcPr>
                    <w:tcW w:w="709" w:type="dxa"/>
                    <w:tcBorders>
                      <w:top w:val="nil"/>
                      <w:left w:val="nil"/>
                      <w:bottom w:val="nil"/>
                      <w:right w:val="nil"/>
                    </w:tcBorders>
                    <w:shd w:val="clear" w:color="auto" w:fill="auto"/>
                    <w:vAlign w:val="center"/>
                    <w:hideMark/>
                  </w:tcPr>
                  <w:p w14:paraId="35C69262"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OCC</w:t>
                    </w:r>
                  </w:p>
                </w:tc>
                <w:tc>
                  <w:tcPr>
                    <w:tcW w:w="709" w:type="dxa"/>
                    <w:tcBorders>
                      <w:top w:val="nil"/>
                      <w:left w:val="nil"/>
                      <w:bottom w:val="nil"/>
                      <w:right w:val="nil"/>
                    </w:tcBorders>
                    <w:shd w:val="clear" w:color="auto" w:fill="auto"/>
                    <w:vAlign w:val="center"/>
                    <w:hideMark/>
                  </w:tcPr>
                  <w:p w14:paraId="1DEA9731"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DOJ</w:t>
                    </w:r>
                  </w:p>
                </w:tc>
                <w:tc>
                  <w:tcPr>
                    <w:tcW w:w="709" w:type="dxa"/>
                    <w:tcBorders>
                      <w:top w:val="nil"/>
                      <w:left w:val="nil"/>
                      <w:bottom w:val="nil"/>
                      <w:right w:val="nil"/>
                    </w:tcBorders>
                    <w:shd w:val="clear" w:color="auto" w:fill="auto"/>
                    <w:vAlign w:val="center"/>
                    <w:hideMark/>
                  </w:tcPr>
                  <w:p w14:paraId="4BB6F842"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Fed</w:t>
                    </w:r>
                  </w:p>
                </w:tc>
                <w:tc>
                  <w:tcPr>
                    <w:tcW w:w="1134" w:type="dxa"/>
                    <w:tcBorders>
                      <w:top w:val="nil"/>
                      <w:left w:val="nil"/>
                      <w:bottom w:val="nil"/>
                      <w:right w:val="nil"/>
                    </w:tcBorders>
                    <w:shd w:val="clear" w:color="auto" w:fill="auto"/>
                    <w:vAlign w:val="center"/>
                    <w:hideMark/>
                  </w:tcPr>
                  <w:p w14:paraId="455EE46D"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N.Y.D.F.S</w:t>
                    </w:r>
                  </w:p>
                </w:tc>
                <w:tc>
                  <w:tcPr>
                    <w:tcW w:w="992" w:type="dxa"/>
                    <w:tcBorders>
                      <w:top w:val="nil"/>
                      <w:left w:val="nil"/>
                      <w:bottom w:val="nil"/>
                      <w:right w:val="nil"/>
                    </w:tcBorders>
                    <w:shd w:val="clear" w:color="auto" w:fill="auto"/>
                    <w:vAlign w:val="center"/>
                    <w:hideMark/>
                  </w:tcPr>
                  <w:p w14:paraId="646E0B61" w14:textId="77777777" w:rsidR="002F5246" w:rsidRPr="00221C3D" w:rsidRDefault="002F5246" w:rsidP="00E23288">
                    <w:pPr>
                      <w:spacing w:line="240" w:lineRule="auto"/>
                      <w:jc w:val="center"/>
                      <w:rPr>
                        <w:b/>
                        <w:bCs/>
                        <w:color w:val="000000"/>
                        <w:sz w:val="20"/>
                        <w:szCs w:val="20"/>
                        <w:lang w:val="en-US"/>
                      </w:rPr>
                    </w:pPr>
                    <w:r w:rsidRPr="00221C3D">
                      <w:rPr>
                        <w:b/>
                        <w:bCs/>
                        <w:color w:val="000000"/>
                        <w:sz w:val="20"/>
                        <w:szCs w:val="20"/>
                        <w:lang w:val="en-US"/>
                      </w:rPr>
                      <w:t>Scott + Scott</w:t>
                    </w:r>
                  </w:p>
                </w:tc>
                <w:tc>
                  <w:tcPr>
                    <w:tcW w:w="766" w:type="dxa"/>
                    <w:tcBorders>
                      <w:top w:val="nil"/>
                      <w:left w:val="nil"/>
                      <w:bottom w:val="nil"/>
                      <w:right w:val="nil"/>
                    </w:tcBorders>
                    <w:shd w:val="clear" w:color="auto" w:fill="auto"/>
                    <w:vAlign w:val="center"/>
                    <w:hideMark/>
                  </w:tcPr>
                  <w:p w14:paraId="6CB763A6" w14:textId="77777777" w:rsidR="002F5246" w:rsidRPr="00221C3D" w:rsidRDefault="002F5246" w:rsidP="00E23288">
                    <w:pPr>
                      <w:spacing w:line="240" w:lineRule="auto"/>
                      <w:jc w:val="center"/>
                      <w:rPr>
                        <w:sz w:val="20"/>
                        <w:szCs w:val="20"/>
                        <w:lang w:val="en-US"/>
                      </w:rPr>
                    </w:pPr>
                  </w:p>
                </w:tc>
              </w:tr>
              <w:tr w:rsidR="002F5246" w:rsidRPr="00221C3D" w14:paraId="1A360B6D" w14:textId="77777777" w:rsidTr="00E23288">
                <w:trPr>
                  <w:trHeight w:val="300"/>
                  <w:jc w:val="center"/>
                </w:trPr>
                <w:tc>
                  <w:tcPr>
                    <w:tcW w:w="1540" w:type="dxa"/>
                    <w:tcBorders>
                      <w:top w:val="nil"/>
                      <w:left w:val="nil"/>
                      <w:bottom w:val="nil"/>
                      <w:right w:val="nil"/>
                    </w:tcBorders>
                    <w:shd w:val="clear" w:color="auto" w:fill="auto"/>
                    <w:vAlign w:val="center"/>
                    <w:hideMark/>
                  </w:tcPr>
                  <w:p w14:paraId="31EC025B" w14:textId="77777777" w:rsidR="002F5246" w:rsidRPr="00221C3D" w:rsidRDefault="002F5246" w:rsidP="00E23288">
                    <w:pPr>
                      <w:spacing w:line="240" w:lineRule="auto"/>
                      <w:rPr>
                        <w:b/>
                        <w:bCs/>
                        <w:color w:val="000000"/>
                        <w:sz w:val="20"/>
                        <w:szCs w:val="20"/>
                        <w:lang w:val="en-US"/>
                      </w:rPr>
                    </w:pPr>
                    <w:r w:rsidRPr="00221C3D">
                      <w:rPr>
                        <w:b/>
                        <w:bCs/>
                        <w:color w:val="000000"/>
                        <w:sz w:val="20"/>
                        <w:szCs w:val="20"/>
                        <w:lang w:val="en-US"/>
                      </w:rPr>
                      <w:t>Banks</w:t>
                    </w:r>
                  </w:p>
                </w:tc>
                <w:tc>
                  <w:tcPr>
                    <w:tcW w:w="666" w:type="dxa"/>
                    <w:tcBorders>
                      <w:top w:val="nil"/>
                      <w:left w:val="nil"/>
                      <w:bottom w:val="nil"/>
                      <w:right w:val="nil"/>
                    </w:tcBorders>
                    <w:shd w:val="clear" w:color="auto" w:fill="auto"/>
                    <w:vAlign w:val="center"/>
                    <w:hideMark/>
                  </w:tcPr>
                  <w:p w14:paraId="46233A1F" w14:textId="77777777" w:rsidR="002F5246" w:rsidRPr="00221C3D" w:rsidRDefault="002F5246" w:rsidP="00E23288">
                    <w:pPr>
                      <w:spacing w:line="240" w:lineRule="auto"/>
                      <w:jc w:val="center"/>
                      <w:rPr>
                        <w:b/>
                        <w:bCs/>
                        <w:color w:val="000000"/>
                        <w:sz w:val="20"/>
                        <w:szCs w:val="20"/>
                        <w:lang w:val="en-US"/>
                      </w:rPr>
                    </w:pPr>
                  </w:p>
                </w:tc>
                <w:tc>
                  <w:tcPr>
                    <w:tcW w:w="894" w:type="dxa"/>
                    <w:tcBorders>
                      <w:top w:val="nil"/>
                      <w:left w:val="nil"/>
                      <w:bottom w:val="nil"/>
                      <w:right w:val="nil"/>
                    </w:tcBorders>
                    <w:shd w:val="clear" w:color="auto" w:fill="auto"/>
                    <w:noWrap/>
                    <w:vAlign w:val="center"/>
                    <w:hideMark/>
                  </w:tcPr>
                  <w:p w14:paraId="507981AA" w14:textId="77777777" w:rsidR="002F5246" w:rsidRPr="00221C3D" w:rsidRDefault="002F5246" w:rsidP="00E23288">
                    <w:pPr>
                      <w:spacing w:line="240" w:lineRule="auto"/>
                      <w:jc w:val="center"/>
                      <w:rPr>
                        <w:sz w:val="20"/>
                        <w:szCs w:val="20"/>
                        <w:lang w:val="en-US"/>
                      </w:rPr>
                    </w:pPr>
                  </w:p>
                </w:tc>
                <w:tc>
                  <w:tcPr>
                    <w:tcW w:w="761" w:type="dxa"/>
                    <w:tcBorders>
                      <w:top w:val="nil"/>
                      <w:left w:val="nil"/>
                      <w:bottom w:val="nil"/>
                      <w:right w:val="nil"/>
                    </w:tcBorders>
                    <w:shd w:val="clear" w:color="auto" w:fill="auto"/>
                    <w:vAlign w:val="center"/>
                    <w:hideMark/>
                  </w:tcPr>
                  <w:p w14:paraId="60703EC2"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vAlign w:val="center"/>
                    <w:hideMark/>
                  </w:tcPr>
                  <w:p w14:paraId="4D2476D0"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vAlign w:val="center"/>
                    <w:hideMark/>
                  </w:tcPr>
                  <w:p w14:paraId="0AEED757"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vAlign w:val="center"/>
                    <w:hideMark/>
                  </w:tcPr>
                  <w:p w14:paraId="07C7ECEA" w14:textId="77777777" w:rsidR="002F5246" w:rsidRPr="00221C3D" w:rsidRDefault="002F5246" w:rsidP="00E23288">
                    <w:pPr>
                      <w:spacing w:line="240" w:lineRule="auto"/>
                      <w:jc w:val="center"/>
                      <w:rPr>
                        <w:sz w:val="20"/>
                        <w:szCs w:val="20"/>
                        <w:lang w:val="en-US"/>
                      </w:rPr>
                    </w:pPr>
                  </w:p>
                </w:tc>
                <w:tc>
                  <w:tcPr>
                    <w:tcW w:w="1134" w:type="dxa"/>
                    <w:tcBorders>
                      <w:top w:val="nil"/>
                      <w:left w:val="nil"/>
                      <w:bottom w:val="nil"/>
                      <w:right w:val="nil"/>
                    </w:tcBorders>
                    <w:shd w:val="clear" w:color="auto" w:fill="auto"/>
                    <w:vAlign w:val="center"/>
                    <w:hideMark/>
                  </w:tcPr>
                  <w:p w14:paraId="1BD88B5A" w14:textId="77777777" w:rsidR="002F5246" w:rsidRPr="00221C3D" w:rsidRDefault="002F5246" w:rsidP="00E23288">
                    <w:pPr>
                      <w:spacing w:line="240" w:lineRule="auto"/>
                      <w:jc w:val="center"/>
                      <w:rPr>
                        <w:sz w:val="20"/>
                        <w:szCs w:val="20"/>
                        <w:lang w:val="en-US"/>
                      </w:rPr>
                    </w:pPr>
                  </w:p>
                </w:tc>
                <w:tc>
                  <w:tcPr>
                    <w:tcW w:w="992" w:type="dxa"/>
                    <w:tcBorders>
                      <w:top w:val="nil"/>
                      <w:left w:val="nil"/>
                      <w:bottom w:val="nil"/>
                      <w:right w:val="nil"/>
                    </w:tcBorders>
                    <w:shd w:val="clear" w:color="auto" w:fill="auto"/>
                    <w:vAlign w:val="center"/>
                    <w:hideMark/>
                  </w:tcPr>
                  <w:p w14:paraId="5D66B3F7" w14:textId="77777777" w:rsidR="002F5246" w:rsidRPr="00221C3D" w:rsidRDefault="002F5246" w:rsidP="00E23288">
                    <w:pPr>
                      <w:spacing w:line="240" w:lineRule="auto"/>
                      <w:jc w:val="center"/>
                      <w:rPr>
                        <w:sz w:val="20"/>
                        <w:szCs w:val="20"/>
                        <w:lang w:val="en-US"/>
                      </w:rPr>
                    </w:pPr>
                  </w:p>
                </w:tc>
                <w:tc>
                  <w:tcPr>
                    <w:tcW w:w="766" w:type="dxa"/>
                    <w:tcBorders>
                      <w:top w:val="nil"/>
                      <w:left w:val="nil"/>
                      <w:bottom w:val="nil"/>
                      <w:right w:val="nil"/>
                    </w:tcBorders>
                    <w:shd w:val="clear" w:color="auto" w:fill="auto"/>
                    <w:vAlign w:val="center"/>
                    <w:hideMark/>
                  </w:tcPr>
                  <w:p w14:paraId="4812F461" w14:textId="77777777" w:rsidR="002F5246" w:rsidRPr="00221C3D" w:rsidRDefault="002F5246" w:rsidP="00E23288">
                    <w:pPr>
                      <w:spacing w:line="240" w:lineRule="auto"/>
                      <w:jc w:val="center"/>
                      <w:rPr>
                        <w:sz w:val="20"/>
                        <w:szCs w:val="20"/>
                        <w:lang w:val="en-US"/>
                      </w:rPr>
                    </w:pPr>
                  </w:p>
                </w:tc>
              </w:tr>
              <w:tr w:rsidR="002F5246" w:rsidRPr="00221C3D" w14:paraId="5DE2A540" w14:textId="77777777" w:rsidTr="00E23288">
                <w:trPr>
                  <w:trHeight w:val="300"/>
                  <w:jc w:val="center"/>
                </w:trPr>
                <w:tc>
                  <w:tcPr>
                    <w:tcW w:w="1540" w:type="dxa"/>
                    <w:tcBorders>
                      <w:top w:val="nil"/>
                      <w:left w:val="nil"/>
                      <w:bottom w:val="nil"/>
                      <w:right w:val="nil"/>
                    </w:tcBorders>
                    <w:shd w:val="clear" w:color="000000" w:fill="D9D9D9"/>
                    <w:vAlign w:val="center"/>
                    <w:hideMark/>
                  </w:tcPr>
                  <w:p w14:paraId="26611470" w14:textId="77777777" w:rsidR="002F5246" w:rsidRPr="00221C3D" w:rsidRDefault="002F5246" w:rsidP="00E23288">
                    <w:pPr>
                      <w:spacing w:line="240" w:lineRule="auto"/>
                      <w:rPr>
                        <w:color w:val="000000"/>
                        <w:sz w:val="20"/>
                        <w:szCs w:val="20"/>
                        <w:lang w:val="en-US"/>
                      </w:rPr>
                    </w:pPr>
                    <w:r w:rsidRPr="00221C3D">
                      <w:rPr>
                        <w:color w:val="000000"/>
                        <w:sz w:val="20"/>
                        <w:szCs w:val="20"/>
                        <w:lang w:val="en-US"/>
                      </w:rPr>
                      <w:t>BARCLAYS</w:t>
                    </w:r>
                  </w:p>
                </w:tc>
                <w:tc>
                  <w:tcPr>
                    <w:tcW w:w="666" w:type="dxa"/>
                    <w:tcBorders>
                      <w:top w:val="nil"/>
                      <w:left w:val="nil"/>
                      <w:bottom w:val="nil"/>
                      <w:right w:val="nil"/>
                    </w:tcBorders>
                    <w:shd w:val="clear" w:color="000000" w:fill="D9D9D9"/>
                    <w:vAlign w:val="center"/>
                    <w:hideMark/>
                  </w:tcPr>
                  <w:p w14:paraId="7559DD3C"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441</w:t>
                    </w:r>
                  </w:p>
                </w:tc>
                <w:tc>
                  <w:tcPr>
                    <w:tcW w:w="894" w:type="dxa"/>
                    <w:tcBorders>
                      <w:top w:val="nil"/>
                      <w:left w:val="nil"/>
                      <w:bottom w:val="nil"/>
                      <w:right w:val="nil"/>
                    </w:tcBorders>
                    <w:shd w:val="clear" w:color="000000" w:fill="D9D9D9"/>
                    <w:noWrap/>
                    <w:vAlign w:val="center"/>
                    <w:hideMark/>
                  </w:tcPr>
                  <w:p w14:paraId="13892AC1" w14:textId="77777777" w:rsidR="002F5246" w:rsidRPr="00221C3D" w:rsidRDefault="002F5246" w:rsidP="00E23288">
                    <w:pPr>
                      <w:spacing w:line="240" w:lineRule="auto"/>
                      <w:jc w:val="center"/>
                      <w:rPr>
                        <w:rFonts w:ascii="Arial" w:hAnsi="Arial"/>
                        <w:color w:val="000000"/>
                        <w:lang w:val="en-US"/>
                      </w:rPr>
                    </w:pPr>
                  </w:p>
                </w:tc>
                <w:tc>
                  <w:tcPr>
                    <w:tcW w:w="761" w:type="dxa"/>
                    <w:tcBorders>
                      <w:top w:val="nil"/>
                      <w:left w:val="nil"/>
                      <w:bottom w:val="nil"/>
                      <w:right w:val="nil"/>
                    </w:tcBorders>
                    <w:shd w:val="clear" w:color="000000" w:fill="D9D9D9"/>
                    <w:vAlign w:val="center"/>
                    <w:hideMark/>
                  </w:tcPr>
                  <w:p w14:paraId="1039ED95"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400</w:t>
                    </w:r>
                  </w:p>
                </w:tc>
                <w:tc>
                  <w:tcPr>
                    <w:tcW w:w="709" w:type="dxa"/>
                    <w:tcBorders>
                      <w:top w:val="nil"/>
                      <w:left w:val="nil"/>
                      <w:bottom w:val="nil"/>
                      <w:right w:val="nil"/>
                    </w:tcBorders>
                    <w:shd w:val="clear" w:color="000000" w:fill="D9D9D9"/>
                    <w:vAlign w:val="center"/>
                    <w:hideMark/>
                  </w:tcPr>
                  <w:p w14:paraId="195C1AD6" w14:textId="77777777" w:rsidR="002F5246" w:rsidRPr="00221C3D" w:rsidRDefault="002F5246" w:rsidP="00E23288">
                    <w:pPr>
                      <w:spacing w:line="240" w:lineRule="auto"/>
                      <w:jc w:val="center"/>
                      <w:rPr>
                        <w:rFonts w:ascii="Arial" w:hAnsi="Arial"/>
                        <w:color w:val="000000"/>
                        <w:lang w:val="en-US"/>
                      </w:rPr>
                    </w:pPr>
                  </w:p>
                </w:tc>
                <w:tc>
                  <w:tcPr>
                    <w:tcW w:w="709" w:type="dxa"/>
                    <w:tcBorders>
                      <w:top w:val="nil"/>
                      <w:left w:val="nil"/>
                      <w:bottom w:val="nil"/>
                      <w:right w:val="nil"/>
                    </w:tcBorders>
                    <w:shd w:val="clear" w:color="000000" w:fill="D9D9D9"/>
                    <w:vAlign w:val="center"/>
                    <w:hideMark/>
                  </w:tcPr>
                  <w:p w14:paraId="7D7E55EF"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650</w:t>
                    </w:r>
                  </w:p>
                </w:tc>
                <w:tc>
                  <w:tcPr>
                    <w:tcW w:w="709" w:type="dxa"/>
                    <w:tcBorders>
                      <w:top w:val="nil"/>
                      <w:left w:val="nil"/>
                      <w:bottom w:val="nil"/>
                      <w:right w:val="nil"/>
                    </w:tcBorders>
                    <w:shd w:val="clear" w:color="000000" w:fill="D9D9D9"/>
                    <w:vAlign w:val="center"/>
                    <w:hideMark/>
                  </w:tcPr>
                  <w:p w14:paraId="72B3BBFD"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342</w:t>
                    </w:r>
                  </w:p>
                </w:tc>
                <w:tc>
                  <w:tcPr>
                    <w:tcW w:w="1134" w:type="dxa"/>
                    <w:tcBorders>
                      <w:top w:val="nil"/>
                      <w:left w:val="nil"/>
                      <w:bottom w:val="nil"/>
                      <w:right w:val="nil"/>
                    </w:tcBorders>
                    <w:shd w:val="clear" w:color="000000" w:fill="D9D9D9"/>
                    <w:vAlign w:val="center"/>
                    <w:hideMark/>
                  </w:tcPr>
                  <w:p w14:paraId="743FD703"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485</w:t>
                    </w:r>
                  </w:p>
                </w:tc>
                <w:tc>
                  <w:tcPr>
                    <w:tcW w:w="992" w:type="dxa"/>
                    <w:tcBorders>
                      <w:top w:val="nil"/>
                      <w:left w:val="nil"/>
                      <w:bottom w:val="nil"/>
                      <w:right w:val="nil"/>
                    </w:tcBorders>
                    <w:shd w:val="clear" w:color="000000" w:fill="D9D9D9"/>
                    <w:vAlign w:val="center"/>
                    <w:hideMark/>
                  </w:tcPr>
                  <w:p w14:paraId="502882E7"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384</w:t>
                    </w:r>
                  </w:p>
                </w:tc>
                <w:tc>
                  <w:tcPr>
                    <w:tcW w:w="766" w:type="dxa"/>
                    <w:tcBorders>
                      <w:top w:val="nil"/>
                      <w:left w:val="nil"/>
                      <w:bottom w:val="nil"/>
                      <w:right w:val="nil"/>
                    </w:tcBorders>
                    <w:shd w:val="clear" w:color="000000" w:fill="D9D9D9"/>
                    <w:vAlign w:val="center"/>
                    <w:hideMark/>
                  </w:tcPr>
                  <w:p w14:paraId="3D32B8A7"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2,702</w:t>
                    </w:r>
                  </w:p>
                </w:tc>
              </w:tr>
              <w:tr w:rsidR="002F5246" w:rsidRPr="00221C3D" w14:paraId="606DCE86" w14:textId="77777777" w:rsidTr="00E23288">
                <w:trPr>
                  <w:trHeight w:val="300"/>
                  <w:jc w:val="center"/>
                </w:trPr>
                <w:tc>
                  <w:tcPr>
                    <w:tcW w:w="1540" w:type="dxa"/>
                    <w:tcBorders>
                      <w:top w:val="nil"/>
                      <w:left w:val="nil"/>
                      <w:bottom w:val="nil"/>
                      <w:right w:val="nil"/>
                    </w:tcBorders>
                    <w:shd w:val="clear" w:color="000000" w:fill="D9D9D9"/>
                    <w:vAlign w:val="center"/>
                    <w:hideMark/>
                  </w:tcPr>
                  <w:p w14:paraId="5AEA6622" w14:textId="77777777" w:rsidR="002F5246" w:rsidRPr="00221C3D" w:rsidRDefault="002F5246" w:rsidP="00E23288">
                    <w:pPr>
                      <w:spacing w:line="240" w:lineRule="auto"/>
                      <w:rPr>
                        <w:color w:val="000000"/>
                        <w:sz w:val="20"/>
                        <w:szCs w:val="20"/>
                        <w:lang w:val="en-US"/>
                      </w:rPr>
                    </w:pPr>
                    <w:r w:rsidRPr="00221C3D">
                      <w:rPr>
                        <w:color w:val="000000"/>
                        <w:sz w:val="20"/>
                        <w:szCs w:val="20"/>
                        <w:lang w:val="en-US"/>
                      </w:rPr>
                      <w:t>CITI</w:t>
                    </w:r>
                  </w:p>
                </w:tc>
                <w:tc>
                  <w:tcPr>
                    <w:tcW w:w="666" w:type="dxa"/>
                    <w:tcBorders>
                      <w:top w:val="nil"/>
                      <w:left w:val="nil"/>
                      <w:bottom w:val="nil"/>
                      <w:right w:val="nil"/>
                    </w:tcBorders>
                    <w:shd w:val="clear" w:color="000000" w:fill="D9D9D9"/>
                    <w:vAlign w:val="center"/>
                    <w:hideMark/>
                  </w:tcPr>
                  <w:p w14:paraId="6D5D170B"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358</w:t>
                    </w:r>
                  </w:p>
                </w:tc>
                <w:tc>
                  <w:tcPr>
                    <w:tcW w:w="894" w:type="dxa"/>
                    <w:tcBorders>
                      <w:top w:val="nil"/>
                      <w:left w:val="nil"/>
                      <w:bottom w:val="nil"/>
                      <w:right w:val="nil"/>
                    </w:tcBorders>
                    <w:shd w:val="clear" w:color="000000" w:fill="D9D9D9"/>
                    <w:noWrap/>
                    <w:vAlign w:val="center"/>
                    <w:hideMark/>
                  </w:tcPr>
                  <w:p w14:paraId="2749E208" w14:textId="77777777" w:rsidR="002F5246" w:rsidRPr="00221C3D" w:rsidRDefault="002F5246" w:rsidP="00E23288">
                    <w:pPr>
                      <w:spacing w:line="240" w:lineRule="auto"/>
                      <w:jc w:val="center"/>
                      <w:rPr>
                        <w:rFonts w:ascii="Arial" w:hAnsi="Arial"/>
                        <w:color w:val="000000"/>
                        <w:lang w:val="en-US"/>
                      </w:rPr>
                    </w:pPr>
                  </w:p>
                </w:tc>
                <w:tc>
                  <w:tcPr>
                    <w:tcW w:w="761" w:type="dxa"/>
                    <w:tcBorders>
                      <w:top w:val="nil"/>
                      <w:left w:val="nil"/>
                      <w:bottom w:val="nil"/>
                      <w:right w:val="nil"/>
                    </w:tcBorders>
                    <w:shd w:val="clear" w:color="000000" w:fill="D9D9D9"/>
                    <w:vAlign w:val="center"/>
                    <w:hideMark/>
                  </w:tcPr>
                  <w:p w14:paraId="58710913" w14:textId="77777777" w:rsidR="002F5246" w:rsidRPr="00221C3D" w:rsidRDefault="002F5246" w:rsidP="00E23288">
                    <w:pPr>
                      <w:spacing w:line="240" w:lineRule="auto"/>
                      <w:jc w:val="center"/>
                      <w:rPr>
                        <w:color w:val="333333"/>
                        <w:sz w:val="20"/>
                        <w:szCs w:val="20"/>
                        <w:lang w:val="en-US"/>
                      </w:rPr>
                    </w:pPr>
                    <w:r w:rsidRPr="00221C3D">
                      <w:rPr>
                        <w:color w:val="333333"/>
                        <w:sz w:val="20"/>
                        <w:szCs w:val="20"/>
                        <w:lang w:val="en-US"/>
                      </w:rPr>
                      <w:t>310</w:t>
                    </w:r>
                  </w:p>
                </w:tc>
                <w:tc>
                  <w:tcPr>
                    <w:tcW w:w="709" w:type="dxa"/>
                    <w:tcBorders>
                      <w:top w:val="nil"/>
                      <w:left w:val="nil"/>
                      <w:bottom w:val="nil"/>
                      <w:right w:val="nil"/>
                    </w:tcBorders>
                    <w:shd w:val="clear" w:color="000000" w:fill="D9D9D9"/>
                    <w:vAlign w:val="center"/>
                    <w:hideMark/>
                  </w:tcPr>
                  <w:p w14:paraId="0375F247"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350</w:t>
                    </w:r>
                  </w:p>
                </w:tc>
                <w:tc>
                  <w:tcPr>
                    <w:tcW w:w="709" w:type="dxa"/>
                    <w:tcBorders>
                      <w:top w:val="nil"/>
                      <w:left w:val="nil"/>
                      <w:bottom w:val="nil"/>
                      <w:right w:val="nil"/>
                    </w:tcBorders>
                    <w:shd w:val="clear" w:color="000000" w:fill="D9D9D9"/>
                    <w:vAlign w:val="center"/>
                    <w:hideMark/>
                  </w:tcPr>
                  <w:p w14:paraId="5EDC2F22"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925</w:t>
                    </w:r>
                  </w:p>
                </w:tc>
                <w:tc>
                  <w:tcPr>
                    <w:tcW w:w="709" w:type="dxa"/>
                    <w:tcBorders>
                      <w:top w:val="nil"/>
                      <w:left w:val="nil"/>
                      <w:bottom w:val="nil"/>
                      <w:right w:val="nil"/>
                    </w:tcBorders>
                    <w:shd w:val="clear" w:color="000000" w:fill="D9D9D9"/>
                    <w:vAlign w:val="center"/>
                    <w:hideMark/>
                  </w:tcPr>
                  <w:p w14:paraId="40092509"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342</w:t>
                    </w:r>
                  </w:p>
                </w:tc>
                <w:tc>
                  <w:tcPr>
                    <w:tcW w:w="1134" w:type="dxa"/>
                    <w:tcBorders>
                      <w:top w:val="nil"/>
                      <w:left w:val="nil"/>
                      <w:bottom w:val="nil"/>
                      <w:right w:val="nil"/>
                    </w:tcBorders>
                    <w:shd w:val="clear" w:color="000000" w:fill="D9D9D9"/>
                    <w:vAlign w:val="center"/>
                    <w:hideMark/>
                  </w:tcPr>
                  <w:p w14:paraId="39DEA383" w14:textId="77777777" w:rsidR="002F5246" w:rsidRPr="00221C3D" w:rsidRDefault="002F5246" w:rsidP="00E23288">
                    <w:pPr>
                      <w:spacing w:line="240" w:lineRule="auto"/>
                      <w:jc w:val="center"/>
                      <w:rPr>
                        <w:color w:val="000000"/>
                        <w:sz w:val="20"/>
                        <w:szCs w:val="20"/>
                        <w:lang w:val="en-US"/>
                      </w:rPr>
                    </w:pPr>
                  </w:p>
                </w:tc>
                <w:tc>
                  <w:tcPr>
                    <w:tcW w:w="992" w:type="dxa"/>
                    <w:tcBorders>
                      <w:top w:val="nil"/>
                      <w:left w:val="nil"/>
                      <w:bottom w:val="nil"/>
                      <w:right w:val="nil"/>
                    </w:tcBorders>
                    <w:shd w:val="clear" w:color="000000" w:fill="D9D9D9"/>
                    <w:vAlign w:val="center"/>
                    <w:hideMark/>
                  </w:tcPr>
                  <w:p w14:paraId="2D3398E1" w14:textId="77777777" w:rsidR="002F5246" w:rsidRPr="00221C3D" w:rsidRDefault="002F5246" w:rsidP="00E23288">
                    <w:pPr>
                      <w:spacing w:line="240" w:lineRule="auto"/>
                      <w:jc w:val="center"/>
                      <w:rPr>
                        <w:color w:val="000000"/>
                        <w:sz w:val="20"/>
                        <w:szCs w:val="20"/>
                        <w:lang w:val="en-US"/>
                      </w:rPr>
                    </w:pPr>
                  </w:p>
                </w:tc>
                <w:tc>
                  <w:tcPr>
                    <w:tcW w:w="766" w:type="dxa"/>
                    <w:tcBorders>
                      <w:top w:val="nil"/>
                      <w:left w:val="nil"/>
                      <w:bottom w:val="nil"/>
                      <w:right w:val="nil"/>
                    </w:tcBorders>
                    <w:shd w:val="clear" w:color="000000" w:fill="D9D9D9"/>
                    <w:vAlign w:val="center"/>
                    <w:hideMark/>
                  </w:tcPr>
                  <w:p w14:paraId="2F7CC3BC"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2,285</w:t>
                    </w:r>
                  </w:p>
                </w:tc>
              </w:tr>
              <w:tr w:rsidR="002F5246" w:rsidRPr="00221C3D" w14:paraId="1FCD105B" w14:textId="77777777" w:rsidTr="00E23288">
                <w:trPr>
                  <w:trHeight w:val="300"/>
                  <w:jc w:val="center"/>
                </w:trPr>
                <w:tc>
                  <w:tcPr>
                    <w:tcW w:w="1540" w:type="dxa"/>
                    <w:tcBorders>
                      <w:top w:val="nil"/>
                      <w:left w:val="nil"/>
                      <w:bottom w:val="nil"/>
                      <w:right w:val="nil"/>
                    </w:tcBorders>
                    <w:shd w:val="clear" w:color="000000" w:fill="FFFFFF"/>
                    <w:vAlign w:val="center"/>
                    <w:hideMark/>
                  </w:tcPr>
                  <w:p w14:paraId="6F98D29A" w14:textId="77777777" w:rsidR="002F5246" w:rsidRPr="00221C3D" w:rsidRDefault="002F5246" w:rsidP="00E23288">
                    <w:pPr>
                      <w:spacing w:line="240" w:lineRule="auto"/>
                      <w:rPr>
                        <w:color w:val="000000"/>
                        <w:sz w:val="20"/>
                        <w:szCs w:val="20"/>
                        <w:lang w:val="en-US"/>
                      </w:rPr>
                    </w:pPr>
                    <w:r w:rsidRPr="00221C3D">
                      <w:rPr>
                        <w:color w:val="000000"/>
                        <w:sz w:val="20"/>
                        <w:szCs w:val="20"/>
                        <w:lang w:val="en-US"/>
                      </w:rPr>
                      <w:t>JP MORGAN</w:t>
                    </w:r>
                  </w:p>
                </w:tc>
                <w:tc>
                  <w:tcPr>
                    <w:tcW w:w="666" w:type="dxa"/>
                    <w:tcBorders>
                      <w:top w:val="nil"/>
                      <w:left w:val="nil"/>
                      <w:bottom w:val="nil"/>
                      <w:right w:val="nil"/>
                    </w:tcBorders>
                    <w:shd w:val="clear" w:color="000000" w:fill="FFFFFF"/>
                    <w:vAlign w:val="center"/>
                    <w:hideMark/>
                  </w:tcPr>
                  <w:p w14:paraId="54D45BAD"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352</w:t>
                    </w:r>
                  </w:p>
                </w:tc>
                <w:tc>
                  <w:tcPr>
                    <w:tcW w:w="894" w:type="dxa"/>
                    <w:tcBorders>
                      <w:top w:val="nil"/>
                      <w:left w:val="nil"/>
                      <w:bottom w:val="nil"/>
                      <w:right w:val="nil"/>
                    </w:tcBorders>
                    <w:shd w:val="clear" w:color="000000" w:fill="FFFFFF"/>
                    <w:noWrap/>
                    <w:vAlign w:val="center"/>
                    <w:hideMark/>
                  </w:tcPr>
                  <w:p w14:paraId="71CDCDE4" w14:textId="77777777" w:rsidR="002F5246" w:rsidRPr="00221C3D" w:rsidRDefault="002F5246" w:rsidP="00E23288">
                    <w:pPr>
                      <w:spacing w:line="240" w:lineRule="auto"/>
                      <w:jc w:val="center"/>
                      <w:rPr>
                        <w:rFonts w:ascii="Arial" w:hAnsi="Arial"/>
                        <w:color w:val="000000"/>
                        <w:lang w:val="en-US"/>
                      </w:rPr>
                    </w:pPr>
                  </w:p>
                </w:tc>
                <w:tc>
                  <w:tcPr>
                    <w:tcW w:w="761" w:type="dxa"/>
                    <w:tcBorders>
                      <w:top w:val="nil"/>
                      <w:left w:val="nil"/>
                      <w:bottom w:val="nil"/>
                      <w:right w:val="nil"/>
                    </w:tcBorders>
                    <w:shd w:val="clear" w:color="000000" w:fill="FFFFFF"/>
                    <w:vAlign w:val="center"/>
                    <w:hideMark/>
                  </w:tcPr>
                  <w:p w14:paraId="7F60A00E"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310</w:t>
                    </w:r>
                  </w:p>
                </w:tc>
                <w:tc>
                  <w:tcPr>
                    <w:tcW w:w="709" w:type="dxa"/>
                    <w:tcBorders>
                      <w:top w:val="nil"/>
                      <w:left w:val="nil"/>
                      <w:bottom w:val="nil"/>
                      <w:right w:val="nil"/>
                    </w:tcBorders>
                    <w:shd w:val="clear" w:color="000000" w:fill="FFFFFF"/>
                    <w:vAlign w:val="center"/>
                    <w:hideMark/>
                  </w:tcPr>
                  <w:p w14:paraId="38E93F95"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350</w:t>
                    </w:r>
                  </w:p>
                </w:tc>
                <w:tc>
                  <w:tcPr>
                    <w:tcW w:w="709" w:type="dxa"/>
                    <w:tcBorders>
                      <w:top w:val="nil"/>
                      <w:left w:val="nil"/>
                      <w:bottom w:val="nil"/>
                      <w:right w:val="nil"/>
                    </w:tcBorders>
                    <w:shd w:val="clear" w:color="000000" w:fill="FFFFFF"/>
                    <w:vAlign w:val="center"/>
                    <w:hideMark/>
                  </w:tcPr>
                  <w:p w14:paraId="673912C4"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550</w:t>
                    </w:r>
                  </w:p>
                </w:tc>
                <w:tc>
                  <w:tcPr>
                    <w:tcW w:w="709" w:type="dxa"/>
                    <w:tcBorders>
                      <w:top w:val="nil"/>
                      <w:left w:val="nil"/>
                      <w:bottom w:val="nil"/>
                      <w:right w:val="nil"/>
                    </w:tcBorders>
                    <w:shd w:val="clear" w:color="000000" w:fill="FFFFFF"/>
                    <w:vAlign w:val="center"/>
                    <w:hideMark/>
                  </w:tcPr>
                  <w:p w14:paraId="1391C8AA"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342</w:t>
                    </w:r>
                  </w:p>
                </w:tc>
                <w:tc>
                  <w:tcPr>
                    <w:tcW w:w="1134" w:type="dxa"/>
                    <w:tcBorders>
                      <w:top w:val="nil"/>
                      <w:left w:val="nil"/>
                      <w:bottom w:val="nil"/>
                      <w:right w:val="nil"/>
                    </w:tcBorders>
                    <w:shd w:val="clear" w:color="000000" w:fill="FFFFFF"/>
                    <w:vAlign w:val="center"/>
                    <w:hideMark/>
                  </w:tcPr>
                  <w:p w14:paraId="5ACBE4F8" w14:textId="77777777" w:rsidR="002F5246" w:rsidRPr="00221C3D" w:rsidRDefault="002F5246" w:rsidP="00E23288">
                    <w:pPr>
                      <w:spacing w:line="240" w:lineRule="auto"/>
                      <w:jc w:val="center"/>
                      <w:rPr>
                        <w:color w:val="000000"/>
                        <w:sz w:val="20"/>
                        <w:szCs w:val="20"/>
                        <w:lang w:val="en-US"/>
                      </w:rPr>
                    </w:pPr>
                  </w:p>
                </w:tc>
                <w:tc>
                  <w:tcPr>
                    <w:tcW w:w="992" w:type="dxa"/>
                    <w:tcBorders>
                      <w:top w:val="nil"/>
                      <w:left w:val="nil"/>
                      <w:bottom w:val="nil"/>
                      <w:right w:val="nil"/>
                    </w:tcBorders>
                    <w:shd w:val="clear" w:color="000000" w:fill="FFFFFF"/>
                    <w:vAlign w:val="center"/>
                    <w:hideMark/>
                  </w:tcPr>
                  <w:p w14:paraId="5B1BD54F"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99.5</w:t>
                    </w:r>
                  </w:p>
                </w:tc>
                <w:tc>
                  <w:tcPr>
                    <w:tcW w:w="766" w:type="dxa"/>
                    <w:tcBorders>
                      <w:top w:val="nil"/>
                      <w:left w:val="nil"/>
                      <w:bottom w:val="nil"/>
                      <w:right w:val="nil"/>
                    </w:tcBorders>
                    <w:shd w:val="clear" w:color="000000" w:fill="FFFFFF"/>
                    <w:vAlign w:val="center"/>
                    <w:hideMark/>
                  </w:tcPr>
                  <w:p w14:paraId="55D32205"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2,004</w:t>
                    </w:r>
                  </w:p>
                </w:tc>
              </w:tr>
              <w:tr w:rsidR="002F5246" w:rsidRPr="00221C3D" w14:paraId="41E2F1FE" w14:textId="77777777" w:rsidTr="00E23288">
                <w:trPr>
                  <w:trHeight w:val="300"/>
                  <w:jc w:val="center"/>
                </w:trPr>
                <w:tc>
                  <w:tcPr>
                    <w:tcW w:w="1540" w:type="dxa"/>
                    <w:tcBorders>
                      <w:top w:val="nil"/>
                      <w:left w:val="nil"/>
                      <w:bottom w:val="nil"/>
                      <w:right w:val="nil"/>
                    </w:tcBorders>
                    <w:shd w:val="clear" w:color="000000" w:fill="D9D9D9"/>
                    <w:vAlign w:val="center"/>
                    <w:hideMark/>
                  </w:tcPr>
                  <w:p w14:paraId="18F9342D" w14:textId="77777777" w:rsidR="002F5246" w:rsidRPr="00221C3D" w:rsidRDefault="002F5246" w:rsidP="00E23288">
                    <w:pPr>
                      <w:spacing w:line="240" w:lineRule="auto"/>
                      <w:rPr>
                        <w:color w:val="000000"/>
                        <w:sz w:val="20"/>
                        <w:szCs w:val="20"/>
                        <w:lang w:val="en-US"/>
                      </w:rPr>
                    </w:pPr>
                    <w:r w:rsidRPr="00221C3D">
                      <w:rPr>
                        <w:color w:val="000000"/>
                        <w:sz w:val="20"/>
                        <w:szCs w:val="20"/>
                        <w:lang w:val="en-US"/>
                      </w:rPr>
                      <w:t>RBS</w:t>
                    </w:r>
                  </w:p>
                </w:tc>
                <w:tc>
                  <w:tcPr>
                    <w:tcW w:w="666" w:type="dxa"/>
                    <w:tcBorders>
                      <w:top w:val="nil"/>
                      <w:left w:val="nil"/>
                      <w:bottom w:val="nil"/>
                      <w:right w:val="nil"/>
                    </w:tcBorders>
                    <w:shd w:val="clear" w:color="000000" w:fill="D9D9D9"/>
                    <w:vAlign w:val="center"/>
                    <w:hideMark/>
                  </w:tcPr>
                  <w:p w14:paraId="2B534FE8"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344</w:t>
                    </w:r>
                  </w:p>
                </w:tc>
                <w:tc>
                  <w:tcPr>
                    <w:tcW w:w="894" w:type="dxa"/>
                    <w:tcBorders>
                      <w:top w:val="nil"/>
                      <w:left w:val="nil"/>
                      <w:bottom w:val="nil"/>
                      <w:right w:val="nil"/>
                    </w:tcBorders>
                    <w:shd w:val="clear" w:color="000000" w:fill="D9D9D9"/>
                    <w:noWrap/>
                    <w:vAlign w:val="center"/>
                    <w:hideMark/>
                  </w:tcPr>
                  <w:p w14:paraId="362D3B8B" w14:textId="77777777" w:rsidR="002F5246" w:rsidRPr="00221C3D" w:rsidRDefault="002F5246" w:rsidP="00E23288">
                    <w:pPr>
                      <w:spacing w:line="240" w:lineRule="auto"/>
                      <w:jc w:val="center"/>
                      <w:rPr>
                        <w:rFonts w:ascii="Arial" w:hAnsi="Arial"/>
                        <w:color w:val="000000"/>
                        <w:lang w:val="en-US"/>
                      </w:rPr>
                    </w:pPr>
                  </w:p>
                </w:tc>
                <w:tc>
                  <w:tcPr>
                    <w:tcW w:w="761" w:type="dxa"/>
                    <w:tcBorders>
                      <w:top w:val="nil"/>
                      <w:left w:val="nil"/>
                      <w:bottom w:val="nil"/>
                      <w:right w:val="nil"/>
                    </w:tcBorders>
                    <w:shd w:val="clear" w:color="000000" w:fill="D9D9D9"/>
                    <w:vAlign w:val="center"/>
                    <w:hideMark/>
                  </w:tcPr>
                  <w:p w14:paraId="0052092F"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290</w:t>
                    </w:r>
                  </w:p>
                </w:tc>
                <w:tc>
                  <w:tcPr>
                    <w:tcW w:w="709" w:type="dxa"/>
                    <w:tcBorders>
                      <w:top w:val="nil"/>
                      <w:left w:val="nil"/>
                      <w:bottom w:val="nil"/>
                      <w:right w:val="nil"/>
                    </w:tcBorders>
                    <w:shd w:val="clear" w:color="000000" w:fill="D9D9D9"/>
                    <w:vAlign w:val="center"/>
                    <w:hideMark/>
                  </w:tcPr>
                  <w:p w14:paraId="663700B3" w14:textId="77777777" w:rsidR="002F5246" w:rsidRPr="00221C3D" w:rsidRDefault="002F5246" w:rsidP="00E23288">
                    <w:pPr>
                      <w:spacing w:line="240" w:lineRule="auto"/>
                      <w:jc w:val="center"/>
                      <w:rPr>
                        <w:rFonts w:ascii="Arial" w:hAnsi="Arial"/>
                        <w:color w:val="000000"/>
                        <w:lang w:val="en-US"/>
                      </w:rPr>
                    </w:pPr>
                  </w:p>
                </w:tc>
                <w:tc>
                  <w:tcPr>
                    <w:tcW w:w="709" w:type="dxa"/>
                    <w:tcBorders>
                      <w:top w:val="nil"/>
                      <w:left w:val="nil"/>
                      <w:bottom w:val="nil"/>
                      <w:right w:val="nil"/>
                    </w:tcBorders>
                    <w:shd w:val="clear" w:color="000000" w:fill="D9D9D9"/>
                    <w:vAlign w:val="center"/>
                    <w:hideMark/>
                  </w:tcPr>
                  <w:p w14:paraId="6722CECF"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395</w:t>
                    </w:r>
                  </w:p>
                </w:tc>
                <w:tc>
                  <w:tcPr>
                    <w:tcW w:w="709" w:type="dxa"/>
                    <w:tcBorders>
                      <w:top w:val="nil"/>
                      <w:left w:val="nil"/>
                      <w:bottom w:val="nil"/>
                      <w:right w:val="nil"/>
                    </w:tcBorders>
                    <w:shd w:val="clear" w:color="000000" w:fill="D9D9D9"/>
                    <w:vAlign w:val="center"/>
                    <w:hideMark/>
                  </w:tcPr>
                  <w:p w14:paraId="3D64C61F"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274</w:t>
                    </w:r>
                  </w:p>
                </w:tc>
                <w:tc>
                  <w:tcPr>
                    <w:tcW w:w="1134" w:type="dxa"/>
                    <w:tcBorders>
                      <w:top w:val="nil"/>
                      <w:left w:val="nil"/>
                      <w:bottom w:val="nil"/>
                      <w:right w:val="nil"/>
                    </w:tcBorders>
                    <w:shd w:val="clear" w:color="000000" w:fill="D9D9D9"/>
                    <w:vAlign w:val="center"/>
                    <w:hideMark/>
                  </w:tcPr>
                  <w:p w14:paraId="5E1174D1" w14:textId="77777777" w:rsidR="002F5246" w:rsidRPr="00221C3D" w:rsidRDefault="002F5246" w:rsidP="00E23288">
                    <w:pPr>
                      <w:spacing w:line="240" w:lineRule="auto"/>
                      <w:jc w:val="center"/>
                      <w:rPr>
                        <w:color w:val="000000"/>
                        <w:sz w:val="20"/>
                        <w:szCs w:val="20"/>
                        <w:lang w:val="en-US"/>
                      </w:rPr>
                    </w:pPr>
                  </w:p>
                </w:tc>
                <w:tc>
                  <w:tcPr>
                    <w:tcW w:w="992" w:type="dxa"/>
                    <w:tcBorders>
                      <w:top w:val="nil"/>
                      <w:left w:val="nil"/>
                      <w:bottom w:val="nil"/>
                      <w:right w:val="nil"/>
                    </w:tcBorders>
                    <w:shd w:val="clear" w:color="000000" w:fill="D9D9D9"/>
                    <w:vAlign w:val="center"/>
                    <w:hideMark/>
                  </w:tcPr>
                  <w:p w14:paraId="5EBB62CC"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255</w:t>
                    </w:r>
                  </w:p>
                </w:tc>
                <w:tc>
                  <w:tcPr>
                    <w:tcW w:w="766" w:type="dxa"/>
                    <w:tcBorders>
                      <w:top w:val="nil"/>
                      <w:left w:val="nil"/>
                      <w:bottom w:val="nil"/>
                      <w:right w:val="nil"/>
                    </w:tcBorders>
                    <w:shd w:val="clear" w:color="000000" w:fill="D9D9D9"/>
                    <w:vAlign w:val="center"/>
                    <w:hideMark/>
                  </w:tcPr>
                  <w:p w14:paraId="55CA0306"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1,558</w:t>
                    </w:r>
                  </w:p>
                </w:tc>
              </w:tr>
              <w:tr w:rsidR="002F5246" w:rsidRPr="00221C3D" w14:paraId="3FEC1072" w14:textId="77777777" w:rsidTr="00E23288">
                <w:trPr>
                  <w:trHeight w:val="300"/>
                  <w:jc w:val="center"/>
                </w:trPr>
                <w:tc>
                  <w:tcPr>
                    <w:tcW w:w="1540" w:type="dxa"/>
                    <w:tcBorders>
                      <w:top w:val="nil"/>
                      <w:left w:val="nil"/>
                      <w:bottom w:val="nil"/>
                      <w:right w:val="nil"/>
                    </w:tcBorders>
                    <w:shd w:val="clear" w:color="000000" w:fill="D9D9D9"/>
                    <w:vAlign w:val="center"/>
                    <w:hideMark/>
                  </w:tcPr>
                  <w:p w14:paraId="3A6A7DEE" w14:textId="77777777" w:rsidR="002F5246" w:rsidRPr="00221C3D" w:rsidRDefault="002F5246" w:rsidP="00E23288">
                    <w:pPr>
                      <w:spacing w:line="240" w:lineRule="auto"/>
                      <w:rPr>
                        <w:color w:val="000000"/>
                        <w:sz w:val="20"/>
                        <w:szCs w:val="20"/>
                        <w:lang w:val="en-US"/>
                      </w:rPr>
                    </w:pPr>
                    <w:r w:rsidRPr="00221C3D">
                      <w:rPr>
                        <w:color w:val="000000"/>
                        <w:sz w:val="20"/>
                        <w:szCs w:val="20"/>
                        <w:lang w:val="en-US"/>
                      </w:rPr>
                      <w:t>UBS</w:t>
                    </w:r>
                  </w:p>
                </w:tc>
                <w:tc>
                  <w:tcPr>
                    <w:tcW w:w="666" w:type="dxa"/>
                    <w:tcBorders>
                      <w:top w:val="nil"/>
                      <w:left w:val="nil"/>
                      <w:bottom w:val="nil"/>
                      <w:right w:val="nil"/>
                    </w:tcBorders>
                    <w:shd w:val="clear" w:color="000000" w:fill="D9D9D9"/>
                    <w:vAlign w:val="center"/>
                    <w:hideMark/>
                  </w:tcPr>
                  <w:p w14:paraId="226DF971"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371</w:t>
                    </w:r>
                  </w:p>
                </w:tc>
                <w:tc>
                  <w:tcPr>
                    <w:tcW w:w="894" w:type="dxa"/>
                    <w:tcBorders>
                      <w:top w:val="nil"/>
                      <w:left w:val="nil"/>
                      <w:bottom w:val="nil"/>
                      <w:right w:val="nil"/>
                    </w:tcBorders>
                    <w:shd w:val="clear" w:color="000000" w:fill="D9D9D9"/>
                    <w:noWrap/>
                    <w:vAlign w:val="center"/>
                    <w:hideMark/>
                  </w:tcPr>
                  <w:p w14:paraId="70071FB1"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139</w:t>
                    </w:r>
                  </w:p>
                </w:tc>
                <w:tc>
                  <w:tcPr>
                    <w:tcW w:w="761" w:type="dxa"/>
                    <w:tcBorders>
                      <w:top w:val="nil"/>
                      <w:left w:val="nil"/>
                      <w:bottom w:val="nil"/>
                      <w:right w:val="nil"/>
                    </w:tcBorders>
                    <w:shd w:val="clear" w:color="000000" w:fill="D9D9D9"/>
                    <w:vAlign w:val="center"/>
                    <w:hideMark/>
                  </w:tcPr>
                  <w:p w14:paraId="5C57B99E"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290</w:t>
                    </w:r>
                  </w:p>
                </w:tc>
                <w:tc>
                  <w:tcPr>
                    <w:tcW w:w="709" w:type="dxa"/>
                    <w:tcBorders>
                      <w:top w:val="nil"/>
                      <w:left w:val="nil"/>
                      <w:bottom w:val="nil"/>
                      <w:right w:val="nil"/>
                    </w:tcBorders>
                    <w:shd w:val="clear" w:color="000000" w:fill="D9D9D9"/>
                    <w:vAlign w:val="center"/>
                    <w:hideMark/>
                  </w:tcPr>
                  <w:p w14:paraId="2C78C707" w14:textId="77777777" w:rsidR="002F5246" w:rsidRPr="00221C3D" w:rsidRDefault="002F5246" w:rsidP="00E23288">
                    <w:pPr>
                      <w:spacing w:line="240" w:lineRule="auto"/>
                      <w:jc w:val="center"/>
                      <w:rPr>
                        <w:rFonts w:ascii="Arial" w:hAnsi="Arial"/>
                        <w:color w:val="000000"/>
                        <w:lang w:val="en-US"/>
                      </w:rPr>
                    </w:pPr>
                  </w:p>
                </w:tc>
                <w:tc>
                  <w:tcPr>
                    <w:tcW w:w="709" w:type="dxa"/>
                    <w:tcBorders>
                      <w:top w:val="nil"/>
                      <w:left w:val="nil"/>
                      <w:bottom w:val="nil"/>
                      <w:right w:val="nil"/>
                    </w:tcBorders>
                    <w:shd w:val="clear" w:color="000000" w:fill="D9D9D9"/>
                    <w:vAlign w:val="center"/>
                    <w:hideMark/>
                  </w:tcPr>
                  <w:p w14:paraId="30782F36"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203</w:t>
                    </w:r>
                  </w:p>
                </w:tc>
                <w:tc>
                  <w:tcPr>
                    <w:tcW w:w="709" w:type="dxa"/>
                    <w:tcBorders>
                      <w:top w:val="nil"/>
                      <w:left w:val="nil"/>
                      <w:bottom w:val="nil"/>
                      <w:right w:val="nil"/>
                    </w:tcBorders>
                    <w:shd w:val="clear" w:color="000000" w:fill="D9D9D9"/>
                    <w:vAlign w:val="center"/>
                    <w:hideMark/>
                  </w:tcPr>
                  <w:p w14:paraId="0DB7F207"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342</w:t>
                    </w:r>
                  </w:p>
                </w:tc>
                <w:tc>
                  <w:tcPr>
                    <w:tcW w:w="1134" w:type="dxa"/>
                    <w:tcBorders>
                      <w:top w:val="nil"/>
                      <w:left w:val="nil"/>
                      <w:bottom w:val="nil"/>
                      <w:right w:val="nil"/>
                    </w:tcBorders>
                    <w:shd w:val="clear" w:color="000000" w:fill="D9D9D9"/>
                    <w:vAlign w:val="center"/>
                    <w:hideMark/>
                  </w:tcPr>
                  <w:p w14:paraId="64CCADFD" w14:textId="77777777" w:rsidR="002F5246" w:rsidRPr="00221C3D" w:rsidRDefault="002F5246" w:rsidP="00E23288">
                    <w:pPr>
                      <w:spacing w:line="240" w:lineRule="auto"/>
                      <w:jc w:val="center"/>
                      <w:rPr>
                        <w:color w:val="000000"/>
                        <w:sz w:val="20"/>
                        <w:szCs w:val="20"/>
                        <w:lang w:val="en-US"/>
                      </w:rPr>
                    </w:pPr>
                  </w:p>
                </w:tc>
                <w:tc>
                  <w:tcPr>
                    <w:tcW w:w="992" w:type="dxa"/>
                    <w:tcBorders>
                      <w:top w:val="nil"/>
                      <w:left w:val="nil"/>
                      <w:bottom w:val="nil"/>
                      <w:right w:val="nil"/>
                    </w:tcBorders>
                    <w:shd w:val="clear" w:color="000000" w:fill="D9D9D9"/>
                    <w:vAlign w:val="center"/>
                    <w:hideMark/>
                  </w:tcPr>
                  <w:p w14:paraId="1B3BACA3"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135</w:t>
                    </w:r>
                  </w:p>
                </w:tc>
                <w:tc>
                  <w:tcPr>
                    <w:tcW w:w="766" w:type="dxa"/>
                    <w:tcBorders>
                      <w:top w:val="nil"/>
                      <w:left w:val="nil"/>
                      <w:bottom w:val="nil"/>
                      <w:right w:val="nil"/>
                    </w:tcBorders>
                    <w:shd w:val="clear" w:color="000000" w:fill="D9D9D9"/>
                    <w:vAlign w:val="center"/>
                    <w:hideMark/>
                  </w:tcPr>
                  <w:p w14:paraId="5B5AA801"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1,480</w:t>
                    </w:r>
                  </w:p>
                </w:tc>
              </w:tr>
              <w:tr w:rsidR="002F5246" w:rsidRPr="00221C3D" w14:paraId="540D0FC4" w14:textId="77777777" w:rsidTr="00E23288">
                <w:trPr>
                  <w:trHeight w:val="300"/>
                  <w:jc w:val="center"/>
                </w:trPr>
                <w:tc>
                  <w:tcPr>
                    <w:tcW w:w="1540" w:type="dxa"/>
                    <w:tcBorders>
                      <w:top w:val="nil"/>
                      <w:left w:val="nil"/>
                      <w:bottom w:val="nil"/>
                      <w:right w:val="nil"/>
                    </w:tcBorders>
                    <w:shd w:val="clear" w:color="auto" w:fill="auto"/>
                    <w:noWrap/>
                    <w:vAlign w:val="center"/>
                    <w:hideMark/>
                  </w:tcPr>
                  <w:p w14:paraId="5E3FB656" w14:textId="77777777" w:rsidR="002F5246" w:rsidRPr="00221C3D" w:rsidRDefault="002F5246" w:rsidP="00E23288">
                    <w:pPr>
                      <w:spacing w:line="240" w:lineRule="auto"/>
                      <w:rPr>
                        <w:color w:val="000000"/>
                        <w:sz w:val="20"/>
                        <w:szCs w:val="20"/>
                        <w:lang w:val="en-US"/>
                      </w:rPr>
                    </w:pPr>
                    <w:r w:rsidRPr="00221C3D">
                      <w:rPr>
                        <w:color w:val="000000"/>
                        <w:sz w:val="20"/>
                        <w:szCs w:val="20"/>
                        <w:lang w:val="en-US"/>
                      </w:rPr>
                      <w:t>HSBC</w:t>
                    </w:r>
                  </w:p>
                </w:tc>
                <w:tc>
                  <w:tcPr>
                    <w:tcW w:w="666" w:type="dxa"/>
                    <w:tcBorders>
                      <w:top w:val="nil"/>
                      <w:left w:val="nil"/>
                      <w:bottom w:val="nil"/>
                      <w:right w:val="nil"/>
                    </w:tcBorders>
                    <w:shd w:val="clear" w:color="auto" w:fill="auto"/>
                    <w:vAlign w:val="center"/>
                    <w:hideMark/>
                  </w:tcPr>
                  <w:p w14:paraId="4D42E1AD"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343</w:t>
                    </w:r>
                  </w:p>
                </w:tc>
                <w:tc>
                  <w:tcPr>
                    <w:tcW w:w="894" w:type="dxa"/>
                    <w:tcBorders>
                      <w:top w:val="nil"/>
                      <w:left w:val="nil"/>
                      <w:bottom w:val="nil"/>
                      <w:right w:val="nil"/>
                    </w:tcBorders>
                    <w:shd w:val="clear" w:color="auto" w:fill="auto"/>
                    <w:noWrap/>
                    <w:vAlign w:val="center"/>
                    <w:hideMark/>
                  </w:tcPr>
                  <w:p w14:paraId="19D87AEC" w14:textId="77777777" w:rsidR="002F5246" w:rsidRPr="00221C3D" w:rsidRDefault="002F5246" w:rsidP="00E23288">
                    <w:pPr>
                      <w:spacing w:line="240" w:lineRule="auto"/>
                      <w:jc w:val="center"/>
                      <w:rPr>
                        <w:sz w:val="20"/>
                        <w:szCs w:val="20"/>
                        <w:lang w:val="en-US"/>
                      </w:rPr>
                    </w:pPr>
                  </w:p>
                </w:tc>
                <w:tc>
                  <w:tcPr>
                    <w:tcW w:w="761" w:type="dxa"/>
                    <w:tcBorders>
                      <w:top w:val="nil"/>
                      <w:left w:val="nil"/>
                      <w:bottom w:val="nil"/>
                      <w:right w:val="nil"/>
                    </w:tcBorders>
                    <w:shd w:val="clear" w:color="auto" w:fill="auto"/>
                    <w:noWrap/>
                    <w:vAlign w:val="center"/>
                    <w:hideMark/>
                  </w:tcPr>
                  <w:p w14:paraId="20F077BE"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275</w:t>
                    </w:r>
                  </w:p>
                </w:tc>
                <w:tc>
                  <w:tcPr>
                    <w:tcW w:w="709" w:type="dxa"/>
                    <w:tcBorders>
                      <w:top w:val="nil"/>
                      <w:left w:val="nil"/>
                      <w:bottom w:val="nil"/>
                      <w:right w:val="nil"/>
                    </w:tcBorders>
                    <w:shd w:val="clear" w:color="auto" w:fill="auto"/>
                    <w:noWrap/>
                    <w:vAlign w:val="center"/>
                    <w:hideMark/>
                  </w:tcPr>
                  <w:p w14:paraId="442E7CDB" w14:textId="77777777" w:rsidR="002F5246" w:rsidRPr="00221C3D" w:rsidRDefault="002F5246" w:rsidP="00E23288">
                    <w:pPr>
                      <w:spacing w:line="240" w:lineRule="auto"/>
                      <w:jc w:val="center"/>
                      <w:rPr>
                        <w:color w:val="000000"/>
                        <w:sz w:val="20"/>
                        <w:szCs w:val="20"/>
                        <w:lang w:val="en-US"/>
                      </w:rPr>
                    </w:pPr>
                  </w:p>
                </w:tc>
                <w:tc>
                  <w:tcPr>
                    <w:tcW w:w="709" w:type="dxa"/>
                    <w:tcBorders>
                      <w:top w:val="nil"/>
                      <w:left w:val="nil"/>
                      <w:bottom w:val="nil"/>
                      <w:right w:val="nil"/>
                    </w:tcBorders>
                    <w:shd w:val="clear" w:color="auto" w:fill="auto"/>
                    <w:noWrap/>
                    <w:vAlign w:val="center"/>
                    <w:hideMark/>
                  </w:tcPr>
                  <w:p w14:paraId="4678A650"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noWrap/>
                    <w:vAlign w:val="center"/>
                    <w:hideMark/>
                  </w:tcPr>
                  <w:p w14:paraId="1D913337" w14:textId="77777777" w:rsidR="002F5246" w:rsidRPr="00221C3D" w:rsidRDefault="002F5246" w:rsidP="00E23288">
                    <w:pPr>
                      <w:spacing w:line="240" w:lineRule="auto"/>
                      <w:jc w:val="center"/>
                      <w:rPr>
                        <w:sz w:val="20"/>
                        <w:szCs w:val="20"/>
                        <w:lang w:val="en-US"/>
                      </w:rPr>
                    </w:pPr>
                  </w:p>
                </w:tc>
                <w:tc>
                  <w:tcPr>
                    <w:tcW w:w="1134" w:type="dxa"/>
                    <w:tcBorders>
                      <w:top w:val="nil"/>
                      <w:left w:val="nil"/>
                      <w:bottom w:val="nil"/>
                      <w:right w:val="nil"/>
                    </w:tcBorders>
                    <w:shd w:val="clear" w:color="auto" w:fill="auto"/>
                    <w:vAlign w:val="center"/>
                    <w:hideMark/>
                  </w:tcPr>
                  <w:p w14:paraId="66668AE3" w14:textId="77777777" w:rsidR="002F5246" w:rsidRPr="00221C3D" w:rsidRDefault="002F5246" w:rsidP="00E23288">
                    <w:pPr>
                      <w:spacing w:line="240" w:lineRule="auto"/>
                      <w:jc w:val="center"/>
                      <w:rPr>
                        <w:sz w:val="20"/>
                        <w:szCs w:val="20"/>
                        <w:lang w:val="en-US"/>
                      </w:rPr>
                    </w:pPr>
                  </w:p>
                </w:tc>
                <w:tc>
                  <w:tcPr>
                    <w:tcW w:w="992" w:type="dxa"/>
                    <w:tcBorders>
                      <w:top w:val="nil"/>
                      <w:left w:val="nil"/>
                      <w:bottom w:val="nil"/>
                      <w:right w:val="nil"/>
                    </w:tcBorders>
                    <w:shd w:val="clear" w:color="auto" w:fill="auto"/>
                    <w:vAlign w:val="center"/>
                    <w:hideMark/>
                  </w:tcPr>
                  <w:p w14:paraId="06EB125E"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285</w:t>
                    </w:r>
                  </w:p>
                </w:tc>
                <w:tc>
                  <w:tcPr>
                    <w:tcW w:w="766" w:type="dxa"/>
                    <w:tcBorders>
                      <w:top w:val="nil"/>
                      <w:left w:val="nil"/>
                      <w:bottom w:val="nil"/>
                      <w:right w:val="nil"/>
                    </w:tcBorders>
                    <w:shd w:val="clear" w:color="auto" w:fill="auto"/>
                    <w:vAlign w:val="center"/>
                    <w:hideMark/>
                  </w:tcPr>
                  <w:p w14:paraId="032C42D8"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903</w:t>
                    </w:r>
                  </w:p>
                </w:tc>
              </w:tr>
              <w:tr w:rsidR="002F5246" w:rsidRPr="00221C3D" w14:paraId="0E182CF1" w14:textId="77777777" w:rsidTr="00E23288">
                <w:trPr>
                  <w:trHeight w:val="300"/>
                  <w:jc w:val="center"/>
                </w:trPr>
                <w:tc>
                  <w:tcPr>
                    <w:tcW w:w="1540" w:type="dxa"/>
                    <w:tcBorders>
                      <w:top w:val="nil"/>
                      <w:left w:val="nil"/>
                      <w:bottom w:val="nil"/>
                      <w:right w:val="nil"/>
                    </w:tcBorders>
                    <w:shd w:val="clear" w:color="auto" w:fill="auto"/>
                    <w:vAlign w:val="center"/>
                    <w:hideMark/>
                  </w:tcPr>
                  <w:p w14:paraId="1422ADFF" w14:textId="77777777" w:rsidR="002F5246" w:rsidRPr="00221C3D" w:rsidRDefault="002F5246" w:rsidP="00E23288">
                    <w:pPr>
                      <w:spacing w:line="240" w:lineRule="auto"/>
                      <w:rPr>
                        <w:color w:val="000000"/>
                        <w:sz w:val="20"/>
                        <w:szCs w:val="20"/>
                        <w:lang w:val="en-US"/>
                      </w:rPr>
                    </w:pPr>
                    <w:r w:rsidRPr="00221C3D">
                      <w:rPr>
                        <w:color w:val="000000"/>
                        <w:sz w:val="20"/>
                        <w:szCs w:val="20"/>
                        <w:lang w:val="en-US"/>
                      </w:rPr>
                      <w:t>BOA</w:t>
                    </w:r>
                  </w:p>
                </w:tc>
                <w:tc>
                  <w:tcPr>
                    <w:tcW w:w="666" w:type="dxa"/>
                    <w:tcBorders>
                      <w:top w:val="nil"/>
                      <w:left w:val="nil"/>
                      <w:bottom w:val="nil"/>
                      <w:right w:val="nil"/>
                    </w:tcBorders>
                    <w:shd w:val="clear" w:color="auto" w:fill="auto"/>
                    <w:vAlign w:val="center"/>
                    <w:hideMark/>
                  </w:tcPr>
                  <w:p w14:paraId="1179C750" w14:textId="77777777" w:rsidR="002F5246" w:rsidRPr="00221C3D" w:rsidRDefault="002F5246" w:rsidP="00E23288">
                    <w:pPr>
                      <w:spacing w:line="240" w:lineRule="auto"/>
                      <w:jc w:val="center"/>
                      <w:rPr>
                        <w:color w:val="000000"/>
                        <w:sz w:val="20"/>
                        <w:szCs w:val="20"/>
                        <w:lang w:val="en-US"/>
                      </w:rPr>
                    </w:pPr>
                  </w:p>
                </w:tc>
                <w:tc>
                  <w:tcPr>
                    <w:tcW w:w="894" w:type="dxa"/>
                    <w:tcBorders>
                      <w:top w:val="nil"/>
                      <w:left w:val="nil"/>
                      <w:bottom w:val="nil"/>
                      <w:right w:val="nil"/>
                    </w:tcBorders>
                    <w:shd w:val="clear" w:color="auto" w:fill="auto"/>
                    <w:noWrap/>
                    <w:vAlign w:val="center"/>
                    <w:hideMark/>
                  </w:tcPr>
                  <w:p w14:paraId="07DFF9F8" w14:textId="77777777" w:rsidR="002F5246" w:rsidRPr="00221C3D" w:rsidRDefault="002F5246" w:rsidP="00E23288">
                    <w:pPr>
                      <w:spacing w:line="240" w:lineRule="auto"/>
                      <w:jc w:val="center"/>
                      <w:rPr>
                        <w:sz w:val="20"/>
                        <w:szCs w:val="20"/>
                        <w:lang w:val="en-US"/>
                      </w:rPr>
                    </w:pPr>
                  </w:p>
                </w:tc>
                <w:tc>
                  <w:tcPr>
                    <w:tcW w:w="761" w:type="dxa"/>
                    <w:tcBorders>
                      <w:top w:val="nil"/>
                      <w:left w:val="nil"/>
                      <w:bottom w:val="nil"/>
                      <w:right w:val="nil"/>
                    </w:tcBorders>
                    <w:shd w:val="clear" w:color="auto" w:fill="auto"/>
                    <w:vAlign w:val="center"/>
                    <w:hideMark/>
                  </w:tcPr>
                  <w:p w14:paraId="36855185"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vAlign w:val="center"/>
                    <w:hideMark/>
                  </w:tcPr>
                  <w:p w14:paraId="33953E86"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250</w:t>
                    </w:r>
                  </w:p>
                </w:tc>
                <w:tc>
                  <w:tcPr>
                    <w:tcW w:w="709" w:type="dxa"/>
                    <w:tcBorders>
                      <w:top w:val="nil"/>
                      <w:left w:val="nil"/>
                      <w:bottom w:val="nil"/>
                      <w:right w:val="nil"/>
                    </w:tcBorders>
                    <w:shd w:val="clear" w:color="auto" w:fill="auto"/>
                    <w:vAlign w:val="center"/>
                    <w:hideMark/>
                  </w:tcPr>
                  <w:p w14:paraId="7F8C6109" w14:textId="77777777" w:rsidR="002F5246" w:rsidRPr="00221C3D" w:rsidRDefault="002F5246" w:rsidP="00E23288">
                    <w:pPr>
                      <w:spacing w:line="240" w:lineRule="auto"/>
                      <w:jc w:val="center"/>
                      <w:rPr>
                        <w:color w:val="000000"/>
                        <w:sz w:val="20"/>
                        <w:szCs w:val="20"/>
                        <w:lang w:val="en-US"/>
                      </w:rPr>
                    </w:pPr>
                  </w:p>
                </w:tc>
                <w:tc>
                  <w:tcPr>
                    <w:tcW w:w="709" w:type="dxa"/>
                    <w:tcBorders>
                      <w:top w:val="nil"/>
                      <w:left w:val="nil"/>
                      <w:bottom w:val="nil"/>
                      <w:right w:val="nil"/>
                    </w:tcBorders>
                    <w:shd w:val="clear" w:color="auto" w:fill="auto"/>
                    <w:vAlign w:val="center"/>
                    <w:hideMark/>
                  </w:tcPr>
                  <w:p w14:paraId="4773859D"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205</w:t>
                    </w:r>
                  </w:p>
                </w:tc>
                <w:tc>
                  <w:tcPr>
                    <w:tcW w:w="1134" w:type="dxa"/>
                    <w:tcBorders>
                      <w:top w:val="nil"/>
                      <w:left w:val="nil"/>
                      <w:bottom w:val="nil"/>
                      <w:right w:val="nil"/>
                    </w:tcBorders>
                    <w:shd w:val="clear" w:color="auto" w:fill="auto"/>
                    <w:vAlign w:val="center"/>
                    <w:hideMark/>
                  </w:tcPr>
                  <w:p w14:paraId="35D9AEE1" w14:textId="77777777" w:rsidR="002F5246" w:rsidRPr="00221C3D" w:rsidRDefault="002F5246" w:rsidP="00E23288">
                    <w:pPr>
                      <w:spacing w:line="240" w:lineRule="auto"/>
                      <w:jc w:val="center"/>
                      <w:rPr>
                        <w:color w:val="000000"/>
                        <w:sz w:val="20"/>
                        <w:szCs w:val="20"/>
                        <w:lang w:val="en-US"/>
                      </w:rPr>
                    </w:pPr>
                  </w:p>
                </w:tc>
                <w:tc>
                  <w:tcPr>
                    <w:tcW w:w="992" w:type="dxa"/>
                    <w:tcBorders>
                      <w:top w:val="nil"/>
                      <w:left w:val="nil"/>
                      <w:bottom w:val="nil"/>
                      <w:right w:val="nil"/>
                    </w:tcBorders>
                    <w:shd w:val="clear" w:color="auto" w:fill="auto"/>
                    <w:vAlign w:val="center"/>
                    <w:hideMark/>
                  </w:tcPr>
                  <w:p w14:paraId="7B16B537"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180</w:t>
                    </w:r>
                  </w:p>
                </w:tc>
                <w:tc>
                  <w:tcPr>
                    <w:tcW w:w="766" w:type="dxa"/>
                    <w:tcBorders>
                      <w:top w:val="nil"/>
                      <w:left w:val="nil"/>
                      <w:bottom w:val="nil"/>
                      <w:right w:val="nil"/>
                    </w:tcBorders>
                    <w:shd w:val="clear" w:color="auto" w:fill="auto"/>
                    <w:vAlign w:val="center"/>
                    <w:hideMark/>
                  </w:tcPr>
                  <w:p w14:paraId="31330A20"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635</w:t>
                    </w:r>
                  </w:p>
                </w:tc>
              </w:tr>
              <w:tr w:rsidR="002F5246" w:rsidRPr="00221C3D" w14:paraId="2EB48EAE" w14:textId="77777777" w:rsidTr="00E23288">
                <w:trPr>
                  <w:trHeight w:val="300"/>
                  <w:jc w:val="center"/>
                </w:trPr>
                <w:tc>
                  <w:tcPr>
                    <w:tcW w:w="1540" w:type="dxa"/>
                    <w:tcBorders>
                      <w:top w:val="nil"/>
                      <w:left w:val="nil"/>
                      <w:bottom w:val="nil"/>
                      <w:right w:val="nil"/>
                    </w:tcBorders>
                    <w:shd w:val="clear" w:color="auto" w:fill="auto"/>
                    <w:vAlign w:val="center"/>
                    <w:hideMark/>
                  </w:tcPr>
                  <w:p w14:paraId="5080DFAF" w14:textId="77777777" w:rsidR="002F5246" w:rsidRPr="00221C3D" w:rsidRDefault="002F5246" w:rsidP="00E23288">
                    <w:pPr>
                      <w:spacing w:line="240" w:lineRule="auto"/>
                      <w:rPr>
                        <w:color w:val="000000"/>
                        <w:sz w:val="20"/>
                        <w:szCs w:val="20"/>
                        <w:lang w:val="en-US"/>
                      </w:rPr>
                    </w:pPr>
                    <w:r w:rsidRPr="00221C3D">
                      <w:rPr>
                        <w:color w:val="000000"/>
                        <w:sz w:val="20"/>
                        <w:szCs w:val="20"/>
                        <w:lang w:val="en-US"/>
                      </w:rPr>
                      <w:t>BNP PARIBAS</w:t>
                    </w:r>
                  </w:p>
                </w:tc>
                <w:tc>
                  <w:tcPr>
                    <w:tcW w:w="666" w:type="dxa"/>
                    <w:tcBorders>
                      <w:top w:val="nil"/>
                      <w:left w:val="nil"/>
                      <w:bottom w:val="nil"/>
                      <w:right w:val="nil"/>
                    </w:tcBorders>
                    <w:shd w:val="clear" w:color="auto" w:fill="auto"/>
                    <w:vAlign w:val="center"/>
                    <w:hideMark/>
                  </w:tcPr>
                  <w:p w14:paraId="7B121702" w14:textId="77777777" w:rsidR="002F5246" w:rsidRPr="00221C3D" w:rsidRDefault="002F5246" w:rsidP="00E23288">
                    <w:pPr>
                      <w:spacing w:line="240" w:lineRule="auto"/>
                      <w:jc w:val="center"/>
                      <w:rPr>
                        <w:color w:val="000000"/>
                        <w:sz w:val="20"/>
                        <w:szCs w:val="20"/>
                        <w:lang w:val="en-US"/>
                      </w:rPr>
                    </w:pPr>
                  </w:p>
                </w:tc>
                <w:tc>
                  <w:tcPr>
                    <w:tcW w:w="894" w:type="dxa"/>
                    <w:tcBorders>
                      <w:top w:val="nil"/>
                      <w:left w:val="nil"/>
                      <w:bottom w:val="nil"/>
                      <w:right w:val="nil"/>
                    </w:tcBorders>
                    <w:shd w:val="clear" w:color="auto" w:fill="auto"/>
                    <w:noWrap/>
                    <w:vAlign w:val="center"/>
                    <w:hideMark/>
                  </w:tcPr>
                  <w:p w14:paraId="0009B126" w14:textId="77777777" w:rsidR="002F5246" w:rsidRPr="00221C3D" w:rsidRDefault="002F5246" w:rsidP="00E23288">
                    <w:pPr>
                      <w:spacing w:line="240" w:lineRule="auto"/>
                      <w:jc w:val="center"/>
                      <w:rPr>
                        <w:sz w:val="20"/>
                        <w:szCs w:val="20"/>
                        <w:lang w:val="en-US"/>
                      </w:rPr>
                    </w:pPr>
                  </w:p>
                </w:tc>
                <w:tc>
                  <w:tcPr>
                    <w:tcW w:w="761" w:type="dxa"/>
                    <w:tcBorders>
                      <w:top w:val="nil"/>
                      <w:left w:val="nil"/>
                      <w:bottom w:val="nil"/>
                      <w:right w:val="nil"/>
                    </w:tcBorders>
                    <w:shd w:val="clear" w:color="auto" w:fill="auto"/>
                    <w:vAlign w:val="center"/>
                    <w:hideMark/>
                  </w:tcPr>
                  <w:p w14:paraId="0EDDB761"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vAlign w:val="center"/>
                    <w:hideMark/>
                  </w:tcPr>
                  <w:p w14:paraId="6AD0BD08"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vAlign w:val="center"/>
                    <w:hideMark/>
                  </w:tcPr>
                  <w:p w14:paraId="64F0DDA0"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vAlign w:val="center"/>
                    <w:hideMark/>
                  </w:tcPr>
                  <w:p w14:paraId="0773255C" w14:textId="77777777" w:rsidR="002F5246" w:rsidRPr="00221C3D" w:rsidRDefault="002F5246" w:rsidP="00E23288">
                    <w:pPr>
                      <w:spacing w:line="240" w:lineRule="auto"/>
                      <w:jc w:val="center"/>
                      <w:rPr>
                        <w:sz w:val="20"/>
                        <w:szCs w:val="20"/>
                        <w:lang w:val="en-US"/>
                      </w:rPr>
                    </w:pPr>
                  </w:p>
                </w:tc>
                <w:tc>
                  <w:tcPr>
                    <w:tcW w:w="1134" w:type="dxa"/>
                    <w:tcBorders>
                      <w:top w:val="nil"/>
                      <w:left w:val="nil"/>
                      <w:bottom w:val="nil"/>
                      <w:right w:val="nil"/>
                    </w:tcBorders>
                    <w:shd w:val="clear" w:color="auto" w:fill="auto"/>
                    <w:vAlign w:val="center"/>
                    <w:hideMark/>
                  </w:tcPr>
                  <w:p w14:paraId="676CF2EA" w14:textId="77777777" w:rsidR="002F5246" w:rsidRPr="00221C3D" w:rsidRDefault="002F5246" w:rsidP="00E23288">
                    <w:pPr>
                      <w:spacing w:line="240" w:lineRule="auto"/>
                      <w:jc w:val="center"/>
                      <w:rPr>
                        <w:sz w:val="20"/>
                        <w:szCs w:val="20"/>
                        <w:lang w:val="en-US"/>
                      </w:rPr>
                    </w:pPr>
                  </w:p>
                </w:tc>
                <w:tc>
                  <w:tcPr>
                    <w:tcW w:w="992" w:type="dxa"/>
                    <w:vMerge w:val="restart"/>
                    <w:tcBorders>
                      <w:top w:val="nil"/>
                      <w:left w:val="nil"/>
                      <w:bottom w:val="single" w:sz="4" w:space="0" w:color="000000"/>
                      <w:right w:val="nil"/>
                    </w:tcBorders>
                    <w:shd w:val="clear" w:color="auto" w:fill="auto"/>
                    <w:vAlign w:val="center"/>
                    <w:hideMark/>
                  </w:tcPr>
                  <w:p w14:paraId="59AFF98F"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249</w:t>
                    </w:r>
                  </w:p>
                </w:tc>
                <w:tc>
                  <w:tcPr>
                    <w:tcW w:w="766" w:type="dxa"/>
                    <w:vMerge w:val="restart"/>
                    <w:tcBorders>
                      <w:top w:val="nil"/>
                      <w:left w:val="nil"/>
                      <w:bottom w:val="single" w:sz="4" w:space="0" w:color="000000"/>
                      <w:right w:val="nil"/>
                    </w:tcBorders>
                    <w:shd w:val="clear" w:color="auto" w:fill="auto"/>
                    <w:vAlign w:val="center"/>
                    <w:hideMark/>
                  </w:tcPr>
                  <w:p w14:paraId="4F05DB22"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249</w:t>
                    </w:r>
                  </w:p>
                </w:tc>
              </w:tr>
              <w:tr w:rsidR="002F5246" w:rsidRPr="00221C3D" w14:paraId="02F13F8C" w14:textId="77777777" w:rsidTr="00E23288">
                <w:trPr>
                  <w:trHeight w:val="300"/>
                  <w:jc w:val="center"/>
                </w:trPr>
                <w:tc>
                  <w:tcPr>
                    <w:tcW w:w="1540" w:type="dxa"/>
                    <w:tcBorders>
                      <w:top w:val="nil"/>
                      <w:left w:val="nil"/>
                      <w:bottom w:val="nil"/>
                      <w:right w:val="nil"/>
                    </w:tcBorders>
                    <w:shd w:val="clear" w:color="auto" w:fill="auto"/>
                    <w:noWrap/>
                    <w:vAlign w:val="bottom"/>
                    <w:hideMark/>
                  </w:tcPr>
                  <w:p w14:paraId="5FD26F31" w14:textId="77777777" w:rsidR="002F5246" w:rsidRPr="00221C3D" w:rsidRDefault="002F5246" w:rsidP="00E23288">
                    <w:pPr>
                      <w:spacing w:line="240" w:lineRule="auto"/>
                      <w:rPr>
                        <w:color w:val="000000"/>
                        <w:sz w:val="20"/>
                        <w:szCs w:val="20"/>
                        <w:lang w:val="en-US"/>
                      </w:rPr>
                    </w:pPr>
                    <w:r w:rsidRPr="00221C3D">
                      <w:rPr>
                        <w:color w:val="000000"/>
                        <w:sz w:val="20"/>
                        <w:szCs w:val="20"/>
                        <w:lang w:val="en-US"/>
                      </w:rPr>
                      <w:t>GOLDMAN SACHS</w:t>
                    </w:r>
                  </w:p>
                </w:tc>
                <w:tc>
                  <w:tcPr>
                    <w:tcW w:w="666" w:type="dxa"/>
                    <w:tcBorders>
                      <w:top w:val="nil"/>
                      <w:left w:val="nil"/>
                      <w:bottom w:val="nil"/>
                      <w:right w:val="nil"/>
                    </w:tcBorders>
                    <w:shd w:val="clear" w:color="auto" w:fill="auto"/>
                    <w:vAlign w:val="center"/>
                    <w:hideMark/>
                  </w:tcPr>
                  <w:p w14:paraId="27009DAB" w14:textId="77777777" w:rsidR="002F5246" w:rsidRPr="00221C3D" w:rsidRDefault="002F5246" w:rsidP="00E23288">
                    <w:pPr>
                      <w:spacing w:line="240" w:lineRule="auto"/>
                      <w:jc w:val="center"/>
                      <w:rPr>
                        <w:color w:val="000000"/>
                        <w:sz w:val="20"/>
                        <w:szCs w:val="20"/>
                        <w:lang w:val="en-US"/>
                      </w:rPr>
                    </w:pPr>
                  </w:p>
                </w:tc>
                <w:tc>
                  <w:tcPr>
                    <w:tcW w:w="894" w:type="dxa"/>
                    <w:tcBorders>
                      <w:top w:val="nil"/>
                      <w:left w:val="nil"/>
                      <w:bottom w:val="nil"/>
                      <w:right w:val="nil"/>
                    </w:tcBorders>
                    <w:shd w:val="clear" w:color="auto" w:fill="auto"/>
                    <w:noWrap/>
                    <w:vAlign w:val="center"/>
                    <w:hideMark/>
                  </w:tcPr>
                  <w:p w14:paraId="5DAD6E0E" w14:textId="77777777" w:rsidR="002F5246" w:rsidRPr="00221C3D" w:rsidRDefault="002F5246" w:rsidP="00E23288">
                    <w:pPr>
                      <w:spacing w:line="240" w:lineRule="auto"/>
                      <w:jc w:val="center"/>
                      <w:rPr>
                        <w:sz w:val="20"/>
                        <w:szCs w:val="20"/>
                        <w:lang w:val="en-US"/>
                      </w:rPr>
                    </w:pPr>
                  </w:p>
                </w:tc>
                <w:tc>
                  <w:tcPr>
                    <w:tcW w:w="761" w:type="dxa"/>
                    <w:tcBorders>
                      <w:top w:val="nil"/>
                      <w:left w:val="nil"/>
                      <w:bottom w:val="nil"/>
                      <w:right w:val="nil"/>
                    </w:tcBorders>
                    <w:shd w:val="clear" w:color="auto" w:fill="auto"/>
                    <w:vAlign w:val="center"/>
                    <w:hideMark/>
                  </w:tcPr>
                  <w:p w14:paraId="6163ED1F"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vAlign w:val="center"/>
                    <w:hideMark/>
                  </w:tcPr>
                  <w:p w14:paraId="518C9687"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vAlign w:val="center"/>
                    <w:hideMark/>
                  </w:tcPr>
                  <w:p w14:paraId="197791D6" w14:textId="77777777" w:rsidR="002F5246" w:rsidRPr="00221C3D" w:rsidRDefault="002F5246" w:rsidP="00E23288">
                    <w:pPr>
                      <w:spacing w:line="240" w:lineRule="auto"/>
                      <w:jc w:val="center"/>
                      <w:rPr>
                        <w:sz w:val="20"/>
                        <w:szCs w:val="20"/>
                        <w:lang w:val="en-US"/>
                      </w:rPr>
                    </w:pPr>
                  </w:p>
                </w:tc>
                <w:tc>
                  <w:tcPr>
                    <w:tcW w:w="709" w:type="dxa"/>
                    <w:tcBorders>
                      <w:top w:val="nil"/>
                      <w:left w:val="nil"/>
                      <w:bottom w:val="nil"/>
                      <w:right w:val="nil"/>
                    </w:tcBorders>
                    <w:shd w:val="clear" w:color="auto" w:fill="auto"/>
                    <w:vAlign w:val="center"/>
                    <w:hideMark/>
                  </w:tcPr>
                  <w:p w14:paraId="1B227B96" w14:textId="77777777" w:rsidR="002F5246" w:rsidRPr="00221C3D" w:rsidRDefault="002F5246" w:rsidP="00E23288">
                    <w:pPr>
                      <w:spacing w:line="240" w:lineRule="auto"/>
                      <w:jc w:val="center"/>
                      <w:rPr>
                        <w:sz w:val="20"/>
                        <w:szCs w:val="20"/>
                        <w:lang w:val="en-US"/>
                      </w:rPr>
                    </w:pPr>
                  </w:p>
                </w:tc>
                <w:tc>
                  <w:tcPr>
                    <w:tcW w:w="1134" w:type="dxa"/>
                    <w:tcBorders>
                      <w:top w:val="nil"/>
                      <w:left w:val="nil"/>
                      <w:bottom w:val="nil"/>
                      <w:right w:val="nil"/>
                    </w:tcBorders>
                    <w:shd w:val="clear" w:color="auto" w:fill="auto"/>
                    <w:vAlign w:val="center"/>
                    <w:hideMark/>
                  </w:tcPr>
                  <w:p w14:paraId="14EBEFDA" w14:textId="77777777" w:rsidR="002F5246" w:rsidRPr="00221C3D" w:rsidRDefault="002F5246" w:rsidP="00E23288">
                    <w:pPr>
                      <w:spacing w:line="240" w:lineRule="auto"/>
                      <w:jc w:val="center"/>
                      <w:rPr>
                        <w:sz w:val="20"/>
                        <w:szCs w:val="20"/>
                        <w:lang w:val="en-US"/>
                      </w:rPr>
                    </w:pPr>
                  </w:p>
                </w:tc>
                <w:tc>
                  <w:tcPr>
                    <w:tcW w:w="992" w:type="dxa"/>
                    <w:vMerge/>
                    <w:tcBorders>
                      <w:top w:val="nil"/>
                      <w:left w:val="nil"/>
                      <w:bottom w:val="single" w:sz="4" w:space="0" w:color="000000"/>
                      <w:right w:val="nil"/>
                    </w:tcBorders>
                    <w:vAlign w:val="center"/>
                    <w:hideMark/>
                  </w:tcPr>
                  <w:p w14:paraId="3A5D472D" w14:textId="77777777" w:rsidR="002F5246" w:rsidRPr="00221C3D" w:rsidRDefault="002F5246" w:rsidP="00E23288">
                    <w:pPr>
                      <w:spacing w:line="240" w:lineRule="auto"/>
                      <w:jc w:val="center"/>
                      <w:rPr>
                        <w:color w:val="000000"/>
                        <w:sz w:val="20"/>
                        <w:szCs w:val="20"/>
                        <w:lang w:val="en-US"/>
                      </w:rPr>
                    </w:pPr>
                  </w:p>
                </w:tc>
                <w:tc>
                  <w:tcPr>
                    <w:tcW w:w="766" w:type="dxa"/>
                    <w:vMerge/>
                    <w:tcBorders>
                      <w:top w:val="nil"/>
                      <w:left w:val="nil"/>
                      <w:bottom w:val="single" w:sz="4" w:space="0" w:color="000000"/>
                      <w:right w:val="nil"/>
                    </w:tcBorders>
                    <w:vAlign w:val="center"/>
                    <w:hideMark/>
                  </w:tcPr>
                  <w:p w14:paraId="2780600B" w14:textId="77777777" w:rsidR="002F5246" w:rsidRPr="00221C3D" w:rsidRDefault="002F5246" w:rsidP="00E23288">
                    <w:pPr>
                      <w:spacing w:line="240" w:lineRule="auto"/>
                      <w:jc w:val="center"/>
                      <w:rPr>
                        <w:color w:val="000000"/>
                        <w:sz w:val="20"/>
                        <w:szCs w:val="20"/>
                        <w:lang w:val="en-US"/>
                      </w:rPr>
                    </w:pPr>
                  </w:p>
                </w:tc>
              </w:tr>
              <w:tr w:rsidR="002F5246" w:rsidRPr="00221C3D" w14:paraId="666C442C" w14:textId="77777777" w:rsidTr="00E23288">
                <w:trPr>
                  <w:trHeight w:val="255"/>
                  <w:jc w:val="center"/>
                </w:trPr>
                <w:tc>
                  <w:tcPr>
                    <w:tcW w:w="1540" w:type="dxa"/>
                    <w:tcBorders>
                      <w:top w:val="single" w:sz="4" w:space="0" w:color="auto"/>
                      <w:left w:val="nil"/>
                      <w:bottom w:val="single" w:sz="4" w:space="0" w:color="auto"/>
                      <w:right w:val="nil"/>
                    </w:tcBorders>
                    <w:shd w:val="clear" w:color="auto" w:fill="auto"/>
                    <w:vAlign w:val="center"/>
                    <w:hideMark/>
                  </w:tcPr>
                  <w:p w14:paraId="7C1F7E26" w14:textId="77777777" w:rsidR="002F5246" w:rsidRPr="00221C3D" w:rsidRDefault="002F5246" w:rsidP="00E23288">
                    <w:pPr>
                      <w:spacing w:line="240" w:lineRule="auto"/>
                      <w:rPr>
                        <w:color w:val="000000"/>
                        <w:sz w:val="20"/>
                        <w:szCs w:val="20"/>
                        <w:lang w:val="en-US"/>
                      </w:rPr>
                    </w:pPr>
                    <w:r w:rsidRPr="00221C3D">
                      <w:rPr>
                        <w:color w:val="000000"/>
                        <w:sz w:val="20"/>
                        <w:szCs w:val="20"/>
                        <w:lang w:val="en-US"/>
                      </w:rPr>
                      <w:t>Total</w:t>
                    </w:r>
                  </w:p>
                </w:tc>
                <w:tc>
                  <w:tcPr>
                    <w:tcW w:w="666" w:type="dxa"/>
                    <w:tcBorders>
                      <w:top w:val="single" w:sz="4" w:space="0" w:color="auto"/>
                      <w:left w:val="nil"/>
                      <w:bottom w:val="single" w:sz="4" w:space="0" w:color="auto"/>
                      <w:right w:val="nil"/>
                    </w:tcBorders>
                    <w:shd w:val="clear" w:color="auto" w:fill="auto"/>
                    <w:vAlign w:val="center"/>
                    <w:hideMark/>
                  </w:tcPr>
                  <w:p w14:paraId="5F378306"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2,209</w:t>
                    </w:r>
                  </w:p>
                </w:tc>
                <w:tc>
                  <w:tcPr>
                    <w:tcW w:w="894" w:type="dxa"/>
                    <w:tcBorders>
                      <w:top w:val="single" w:sz="4" w:space="0" w:color="auto"/>
                      <w:left w:val="nil"/>
                      <w:bottom w:val="single" w:sz="4" w:space="0" w:color="auto"/>
                      <w:right w:val="nil"/>
                    </w:tcBorders>
                    <w:shd w:val="clear" w:color="auto" w:fill="auto"/>
                    <w:noWrap/>
                    <w:vAlign w:val="center"/>
                    <w:hideMark/>
                  </w:tcPr>
                  <w:p w14:paraId="6FAA5A76"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139</w:t>
                    </w:r>
                  </w:p>
                </w:tc>
                <w:tc>
                  <w:tcPr>
                    <w:tcW w:w="761" w:type="dxa"/>
                    <w:tcBorders>
                      <w:top w:val="single" w:sz="4" w:space="0" w:color="auto"/>
                      <w:left w:val="nil"/>
                      <w:bottom w:val="single" w:sz="4" w:space="0" w:color="auto"/>
                      <w:right w:val="nil"/>
                    </w:tcBorders>
                    <w:shd w:val="clear" w:color="auto" w:fill="auto"/>
                    <w:vAlign w:val="center"/>
                    <w:hideMark/>
                  </w:tcPr>
                  <w:p w14:paraId="755D6689"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1,875</w:t>
                    </w:r>
                  </w:p>
                </w:tc>
                <w:tc>
                  <w:tcPr>
                    <w:tcW w:w="709" w:type="dxa"/>
                    <w:tcBorders>
                      <w:top w:val="single" w:sz="4" w:space="0" w:color="auto"/>
                      <w:left w:val="nil"/>
                      <w:bottom w:val="single" w:sz="4" w:space="0" w:color="auto"/>
                      <w:right w:val="nil"/>
                    </w:tcBorders>
                    <w:shd w:val="clear" w:color="auto" w:fill="auto"/>
                    <w:vAlign w:val="center"/>
                    <w:hideMark/>
                  </w:tcPr>
                  <w:p w14:paraId="1B3397C6"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950</w:t>
                    </w:r>
                  </w:p>
                </w:tc>
                <w:tc>
                  <w:tcPr>
                    <w:tcW w:w="709" w:type="dxa"/>
                    <w:tcBorders>
                      <w:top w:val="single" w:sz="4" w:space="0" w:color="auto"/>
                      <w:left w:val="nil"/>
                      <w:bottom w:val="single" w:sz="4" w:space="0" w:color="auto"/>
                      <w:right w:val="nil"/>
                    </w:tcBorders>
                    <w:shd w:val="clear" w:color="auto" w:fill="auto"/>
                    <w:vAlign w:val="center"/>
                    <w:hideMark/>
                  </w:tcPr>
                  <w:p w14:paraId="2552401A"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2,723</w:t>
                    </w:r>
                  </w:p>
                </w:tc>
                <w:tc>
                  <w:tcPr>
                    <w:tcW w:w="709" w:type="dxa"/>
                    <w:tcBorders>
                      <w:top w:val="single" w:sz="4" w:space="0" w:color="auto"/>
                      <w:left w:val="nil"/>
                      <w:bottom w:val="single" w:sz="4" w:space="0" w:color="auto"/>
                      <w:right w:val="nil"/>
                    </w:tcBorders>
                    <w:shd w:val="clear" w:color="auto" w:fill="auto"/>
                    <w:vAlign w:val="center"/>
                    <w:hideMark/>
                  </w:tcPr>
                  <w:p w14:paraId="5F71EF9F"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1,847</w:t>
                    </w:r>
                  </w:p>
                </w:tc>
                <w:tc>
                  <w:tcPr>
                    <w:tcW w:w="1134" w:type="dxa"/>
                    <w:tcBorders>
                      <w:top w:val="single" w:sz="4" w:space="0" w:color="auto"/>
                      <w:left w:val="nil"/>
                      <w:bottom w:val="single" w:sz="4" w:space="0" w:color="auto"/>
                      <w:right w:val="nil"/>
                    </w:tcBorders>
                    <w:shd w:val="clear" w:color="auto" w:fill="auto"/>
                    <w:vAlign w:val="center"/>
                    <w:hideMark/>
                  </w:tcPr>
                  <w:p w14:paraId="3102A039"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485</w:t>
                    </w:r>
                  </w:p>
                </w:tc>
                <w:tc>
                  <w:tcPr>
                    <w:tcW w:w="992" w:type="dxa"/>
                    <w:tcBorders>
                      <w:top w:val="nil"/>
                      <w:left w:val="nil"/>
                      <w:bottom w:val="single" w:sz="4" w:space="0" w:color="auto"/>
                      <w:right w:val="nil"/>
                    </w:tcBorders>
                    <w:shd w:val="clear" w:color="auto" w:fill="auto"/>
                    <w:vAlign w:val="center"/>
                    <w:hideMark/>
                  </w:tcPr>
                  <w:p w14:paraId="4CC96F0B"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1,588</w:t>
                    </w:r>
                  </w:p>
                </w:tc>
                <w:tc>
                  <w:tcPr>
                    <w:tcW w:w="766" w:type="dxa"/>
                    <w:tcBorders>
                      <w:top w:val="nil"/>
                      <w:left w:val="nil"/>
                      <w:bottom w:val="single" w:sz="4" w:space="0" w:color="auto"/>
                      <w:right w:val="nil"/>
                    </w:tcBorders>
                    <w:shd w:val="clear" w:color="auto" w:fill="auto"/>
                    <w:vAlign w:val="center"/>
                    <w:hideMark/>
                  </w:tcPr>
                  <w:p w14:paraId="66B5C5A5" w14:textId="77777777" w:rsidR="002F5246" w:rsidRPr="00221C3D" w:rsidRDefault="002F5246" w:rsidP="00E23288">
                    <w:pPr>
                      <w:spacing w:line="240" w:lineRule="auto"/>
                      <w:jc w:val="center"/>
                      <w:rPr>
                        <w:color w:val="000000"/>
                        <w:sz w:val="20"/>
                        <w:szCs w:val="20"/>
                        <w:lang w:val="en-US"/>
                      </w:rPr>
                    </w:pPr>
                    <w:r w:rsidRPr="00221C3D">
                      <w:rPr>
                        <w:color w:val="000000"/>
                        <w:sz w:val="20"/>
                        <w:szCs w:val="20"/>
                        <w:lang w:val="en-US"/>
                      </w:rPr>
                      <w:t>11,816</w:t>
                    </w:r>
                  </w:p>
                </w:tc>
              </w:tr>
            </w:tbl>
            <w:p w14:paraId="62804824" w14:textId="77777777" w:rsidR="002F5246" w:rsidRPr="00221C3D" w:rsidRDefault="002F5246" w:rsidP="002F5246">
              <w:pPr>
                <w:pStyle w:val="Para2"/>
                <w:spacing w:line="240" w:lineRule="auto"/>
                <w:ind w:firstLine="0"/>
                <w:rPr>
                  <w:sz w:val="22"/>
                  <w:szCs w:val="20"/>
                  <w:lang w:bidi="fa-IR"/>
                </w:rPr>
              </w:pPr>
            </w:p>
            <w:p w14:paraId="6E5C6617" w14:textId="77777777" w:rsidR="002F5246" w:rsidRPr="001100F2" w:rsidRDefault="002F5246" w:rsidP="002F5246">
              <w:pPr>
                <w:pStyle w:val="Para2"/>
                <w:spacing w:line="240" w:lineRule="auto"/>
                <w:ind w:firstLine="0"/>
                <w:rPr>
                  <w:sz w:val="22"/>
                  <w:szCs w:val="20"/>
                  <w:lang w:bidi="fa-IR"/>
                </w:rPr>
              </w:pPr>
              <w:r w:rsidRPr="00221C3D">
                <w:rPr>
                  <w:sz w:val="22"/>
                  <w:szCs w:val="20"/>
                  <w:lang w:bidi="fa-IR"/>
                </w:rPr>
                <w:t>This table reports a collection of fines imposed on the banks following the investigations and law suits. The data are collected from various regulatory press releases and news disclosures. Since some investigations are still on going, this table covers all announcements up to December 2015. The fines are reported in millions of dollars. FCA: Financial Conduct Authority, FINMA: Swiss Financial Market Supervisory Authority, CFTC: Commodity Futures Trading Commission, OCC: office of the comptroller of the currency, DOJ: Department of Justice, Fed: Federal Reserve, N.Y.D.F.S: New York State Department of Financial Services, Scott + Scott: Scott and Scott LLP Law Firm. The shaded rows indicate banks that are identified in Table 4. Sources of the fines are FINMA (2015), OCC (2014), FCA (2014 e; 2015), CFTC (2014; 2015), DOJ (2015), Fed (2015), NYDFS (2015), Scott and Scott (2015).</w:t>
              </w:r>
            </w:p>
            <w:p w14:paraId="62A84C52" w14:textId="77777777" w:rsidR="002F5246" w:rsidRPr="00F72840" w:rsidRDefault="002F5246" w:rsidP="002F5246">
              <w:pPr>
                <w:pStyle w:val="Tabletitle"/>
                <w:rPr>
                  <w:lang w:val="en-US" w:bidi="fa-IR"/>
                </w:rPr>
              </w:pPr>
              <w:r>
                <w:rPr>
                  <w:lang w:val="en-US" w:bidi="fa-IR"/>
                </w:rPr>
                <w:t xml:space="preserve">Table 6 </w:t>
              </w:r>
              <w:r w:rsidRPr="00F72840">
                <w:rPr>
                  <w:lang w:val="en-US"/>
                </w:rPr>
                <w:t xml:space="preserve">– </w:t>
              </w:r>
              <w:r w:rsidRPr="00F72840">
                <w:rPr>
                  <w:lang w:val="en-US" w:bidi="fa-IR"/>
                </w:rPr>
                <w:t>Dealers with Manipulative Activities during Fixing</w:t>
              </w:r>
            </w:p>
            <w:p w14:paraId="6D84D042" w14:textId="77777777" w:rsidR="002F5246" w:rsidRPr="00F72840" w:rsidRDefault="002F5246" w:rsidP="002F5246">
              <w:pPr>
                <w:pStyle w:val="Para2"/>
                <w:spacing w:line="240" w:lineRule="auto"/>
                <w:ind w:firstLine="0"/>
                <w:rPr>
                  <w:rFonts w:ascii="Times New Roman" w:hAnsi="Times New Roman" w:cs="Times New Roman"/>
                  <w:lang w:bidi="fa-IR"/>
                </w:rPr>
              </w:pPr>
            </w:p>
            <w:tbl>
              <w:tblPr>
                <w:tblW w:w="8932" w:type="dxa"/>
                <w:jc w:val="center"/>
                <w:tblLayout w:type="fixed"/>
                <w:tblLook w:val="04A0" w:firstRow="1" w:lastRow="0" w:firstColumn="1" w:lastColumn="0" w:noHBand="0" w:noVBand="1"/>
              </w:tblPr>
              <w:tblGrid>
                <w:gridCol w:w="1136"/>
                <w:gridCol w:w="865"/>
                <w:gridCol w:w="397"/>
                <w:gridCol w:w="397"/>
                <w:gridCol w:w="456"/>
                <w:gridCol w:w="397"/>
                <w:gridCol w:w="397"/>
                <w:gridCol w:w="481"/>
                <w:gridCol w:w="397"/>
                <w:gridCol w:w="397"/>
                <w:gridCol w:w="482"/>
                <w:gridCol w:w="397"/>
                <w:gridCol w:w="397"/>
                <w:gridCol w:w="470"/>
                <w:gridCol w:w="397"/>
                <w:gridCol w:w="397"/>
                <w:gridCol w:w="505"/>
                <w:gridCol w:w="567"/>
              </w:tblGrid>
              <w:tr w:rsidR="002F5246" w:rsidRPr="00F72840" w14:paraId="5FFDCFE7" w14:textId="77777777" w:rsidTr="00E23288">
                <w:trPr>
                  <w:trHeight w:val="300"/>
                  <w:jc w:val="center"/>
                </w:trPr>
                <w:tc>
                  <w:tcPr>
                    <w:tcW w:w="1136" w:type="dxa"/>
                    <w:tcBorders>
                      <w:top w:val="single" w:sz="12" w:space="0" w:color="auto"/>
                      <w:left w:val="single" w:sz="8" w:space="0" w:color="auto"/>
                      <w:bottom w:val="nil"/>
                      <w:right w:val="nil"/>
                    </w:tcBorders>
                    <w:shd w:val="clear" w:color="000000" w:fill="FFFFFF"/>
                    <w:noWrap/>
                    <w:vAlign w:val="center"/>
                    <w:hideMark/>
                  </w:tcPr>
                  <w:p w14:paraId="1B367874"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865" w:type="dxa"/>
                    <w:tcBorders>
                      <w:top w:val="single" w:sz="12" w:space="0" w:color="auto"/>
                      <w:left w:val="nil"/>
                      <w:bottom w:val="nil"/>
                      <w:right w:val="nil"/>
                    </w:tcBorders>
                    <w:shd w:val="clear" w:color="000000" w:fill="FFFFFF"/>
                    <w:noWrap/>
                    <w:vAlign w:val="center"/>
                    <w:hideMark/>
                  </w:tcPr>
                  <w:p w14:paraId="13B7B304"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1250" w:type="dxa"/>
                    <w:gridSpan w:val="3"/>
                    <w:tcBorders>
                      <w:top w:val="single" w:sz="12" w:space="0" w:color="auto"/>
                      <w:left w:val="single" w:sz="8" w:space="0" w:color="auto"/>
                      <w:bottom w:val="nil"/>
                      <w:right w:val="single" w:sz="8" w:space="0" w:color="000000"/>
                    </w:tcBorders>
                    <w:shd w:val="clear" w:color="000000" w:fill="FFFFFF"/>
                    <w:noWrap/>
                    <w:vAlign w:val="center"/>
                    <w:hideMark/>
                  </w:tcPr>
                  <w:p w14:paraId="095B4EC3"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EUR:GBP</w:t>
                    </w:r>
                  </w:p>
                </w:tc>
                <w:tc>
                  <w:tcPr>
                    <w:tcW w:w="1275" w:type="dxa"/>
                    <w:gridSpan w:val="3"/>
                    <w:tcBorders>
                      <w:top w:val="single" w:sz="12" w:space="0" w:color="auto"/>
                      <w:left w:val="nil"/>
                      <w:bottom w:val="nil"/>
                      <w:right w:val="single" w:sz="8" w:space="0" w:color="000000"/>
                    </w:tcBorders>
                    <w:shd w:val="clear" w:color="000000" w:fill="FFFFFF"/>
                    <w:noWrap/>
                    <w:vAlign w:val="center"/>
                    <w:hideMark/>
                  </w:tcPr>
                  <w:p w14:paraId="0EE94C0F"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EUR:JPY</w:t>
                    </w:r>
                  </w:p>
                </w:tc>
                <w:tc>
                  <w:tcPr>
                    <w:tcW w:w="1276" w:type="dxa"/>
                    <w:gridSpan w:val="3"/>
                    <w:tcBorders>
                      <w:top w:val="single" w:sz="12" w:space="0" w:color="auto"/>
                      <w:left w:val="nil"/>
                      <w:bottom w:val="nil"/>
                      <w:right w:val="single" w:sz="8" w:space="0" w:color="000000"/>
                    </w:tcBorders>
                    <w:shd w:val="clear" w:color="000000" w:fill="FFFFFF"/>
                    <w:noWrap/>
                    <w:vAlign w:val="center"/>
                    <w:hideMark/>
                  </w:tcPr>
                  <w:p w14:paraId="27179E4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EUR:USD</w:t>
                    </w:r>
                  </w:p>
                </w:tc>
                <w:tc>
                  <w:tcPr>
                    <w:tcW w:w="1264" w:type="dxa"/>
                    <w:gridSpan w:val="3"/>
                    <w:tcBorders>
                      <w:top w:val="single" w:sz="12" w:space="0" w:color="auto"/>
                      <w:left w:val="nil"/>
                      <w:bottom w:val="nil"/>
                      <w:right w:val="single" w:sz="8" w:space="0" w:color="000000"/>
                    </w:tcBorders>
                    <w:shd w:val="clear" w:color="000000" w:fill="FFFFFF"/>
                    <w:noWrap/>
                    <w:vAlign w:val="center"/>
                    <w:hideMark/>
                  </w:tcPr>
                  <w:p w14:paraId="50203142"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GBP:USD</w:t>
                    </w:r>
                  </w:p>
                </w:tc>
                <w:tc>
                  <w:tcPr>
                    <w:tcW w:w="1299" w:type="dxa"/>
                    <w:gridSpan w:val="3"/>
                    <w:tcBorders>
                      <w:top w:val="single" w:sz="12" w:space="0" w:color="auto"/>
                      <w:left w:val="nil"/>
                      <w:bottom w:val="nil"/>
                      <w:right w:val="single" w:sz="8" w:space="0" w:color="000000"/>
                    </w:tcBorders>
                    <w:shd w:val="clear" w:color="000000" w:fill="FFFFFF"/>
                    <w:noWrap/>
                    <w:vAlign w:val="center"/>
                    <w:hideMark/>
                  </w:tcPr>
                  <w:p w14:paraId="7E0E898A"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USD:JPY</w:t>
                    </w:r>
                  </w:p>
                </w:tc>
                <w:tc>
                  <w:tcPr>
                    <w:tcW w:w="567" w:type="dxa"/>
                    <w:tcBorders>
                      <w:top w:val="single" w:sz="12" w:space="0" w:color="auto"/>
                      <w:left w:val="nil"/>
                      <w:bottom w:val="nil"/>
                      <w:right w:val="single" w:sz="12" w:space="0" w:color="auto"/>
                    </w:tcBorders>
                    <w:shd w:val="clear" w:color="000000" w:fill="FFFFFF"/>
                    <w:noWrap/>
                    <w:vAlign w:val="center"/>
                    <w:hideMark/>
                  </w:tcPr>
                  <w:p w14:paraId="0EBF67CD" w14:textId="77777777" w:rsidR="002F5246" w:rsidRPr="00F72840" w:rsidRDefault="002F5246" w:rsidP="00E23288">
                    <w:pPr>
                      <w:spacing w:line="240" w:lineRule="auto"/>
                      <w:jc w:val="center"/>
                      <w:rPr>
                        <w:b/>
                        <w:bCs/>
                        <w:color w:val="000000"/>
                        <w:sz w:val="16"/>
                        <w:szCs w:val="16"/>
                        <w:lang w:val="en-US"/>
                      </w:rPr>
                    </w:pPr>
                    <w:r w:rsidRPr="00F72840">
                      <w:rPr>
                        <w:b/>
                        <w:bCs/>
                        <w:color w:val="000000"/>
                        <w:sz w:val="16"/>
                        <w:szCs w:val="16"/>
                        <w:lang w:val="en-US"/>
                      </w:rPr>
                      <w:t>Sum</w:t>
                    </w:r>
                  </w:p>
                </w:tc>
              </w:tr>
              <w:tr w:rsidR="002F5246" w:rsidRPr="00F72840" w14:paraId="4274535D" w14:textId="77777777" w:rsidTr="00E23288">
                <w:trPr>
                  <w:trHeight w:val="315"/>
                  <w:jc w:val="center"/>
                </w:trPr>
                <w:tc>
                  <w:tcPr>
                    <w:tcW w:w="1136" w:type="dxa"/>
                    <w:tcBorders>
                      <w:top w:val="nil"/>
                      <w:left w:val="single" w:sz="8" w:space="0" w:color="auto"/>
                      <w:bottom w:val="single" w:sz="8" w:space="0" w:color="auto"/>
                      <w:right w:val="nil"/>
                    </w:tcBorders>
                    <w:shd w:val="clear" w:color="000000" w:fill="FFFFFF"/>
                    <w:noWrap/>
                    <w:vAlign w:val="center"/>
                    <w:hideMark/>
                  </w:tcPr>
                  <w:p w14:paraId="271DC61C"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Dealer</w:t>
                    </w:r>
                  </w:p>
                </w:tc>
                <w:tc>
                  <w:tcPr>
                    <w:tcW w:w="865" w:type="dxa"/>
                    <w:tcBorders>
                      <w:top w:val="nil"/>
                      <w:left w:val="nil"/>
                      <w:bottom w:val="single" w:sz="8" w:space="0" w:color="auto"/>
                      <w:right w:val="nil"/>
                    </w:tcBorders>
                    <w:shd w:val="clear" w:color="000000" w:fill="FFFFFF"/>
                    <w:noWrap/>
                    <w:vAlign w:val="center"/>
                    <w:hideMark/>
                  </w:tcPr>
                  <w:p w14:paraId="3C45D6F2"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Location</w:t>
                    </w:r>
                  </w:p>
                </w:tc>
                <w:tc>
                  <w:tcPr>
                    <w:tcW w:w="397" w:type="dxa"/>
                    <w:tcBorders>
                      <w:top w:val="nil"/>
                      <w:left w:val="single" w:sz="8" w:space="0" w:color="auto"/>
                      <w:bottom w:val="single" w:sz="8" w:space="0" w:color="auto"/>
                      <w:right w:val="nil"/>
                    </w:tcBorders>
                    <w:shd w:val="clear" w:color="000000" w:fill="FFFFFF"/>
                    <w:noWrap/>
                    <w:vAlign w:val="center"/>
                    <w:hideMark/>
                  </w:tcPr>
                  <w:p w14:paraId="5E53D34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T</w:t>
                    </w:r>
                  </w:p>
                </w:tc>
                <w:tc>
                  <w:tcPr>
                    <w:tcW w:w="397" w:type="dxa"/>
                    <w:tcBorders>
                      <w:top w:val="nil"/>
                      <w:left w:val="nil"/>
                      <w:bottom w:val="single" w:sz="8" w:space="0" w:color="auto"/>
                      <w:right w:val="nil"/>
                    </w:tcBorders>
                    <w:shd w:val="clear" w:color="000000" w:fill="FFFFFF"/>
                    <w:noWrap/>
                    <w:vAlign w:val="center"/>
                    <w:hideMark/>
                  </w:tcPr>
                  <w:p w14:paraId="50DD7B66"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A</w:t>
                    </w:r>
                  </w:p>
                </w:tc>
                <w:tc>
                  <w:tcPr>
                    <w:tcW w:w="456" w:type="dxa"/>
                    <w:tcBorders>
                      <w:top w:val="nil"/>
                      <w:left w:val="nil"/>
                      <w:bottom w:val="single" w:sz="8" w:space="0" w:color="auto"/>
                      <w:right w:val="single" w:sz="8" w:space="0" w:color="auto"/>
                    </w:tcBorders>
                    <w:shd w:val="clear" w:color="000000" w:fill="FFFFFF"/>
                    <w:noWrap/>
                    <w:vAlign w:val="center"/>
                    <w:hideMark/>
                  </w:tcPr>
                  <w:p w14:paraId="5BD3D6C3"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B</w:t>
                    </w:r>
                  </w:p>
                </w:tc>
                <w:tc>
                  <w:tcPr>
                    <w:tcW w:w="397" w:type="dxa"/>
                    <w:tcBorders>
                      <w:top w:val="nil"/>
                      <w:left w:val="nil"/>
                      <w:bottom w:val="single" w:sz="8" w:space="0" w:color="auto"/>
                      <w:right w:val="nil"/>
                    </w:tcBorders>
                    <w:shd w:val="clear" w:color="000000" w:fill="FFFFFF"/>
                    <w:noWrap/>
                    <w:vAlign w:val="center"/>
                    <w:hideMark/>
                  </w:tcPr>
                  <w:p w14:paraId="68E2E774"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T</w:t>
                    </w:r>
                  </w:p>
                </w:tc>
                <w:tc>
                  <w:tcPr>
                    <w:tcW w:w="397" w:type="dxa"/>
                    <w:tcBorders>
                      <w:top w:val="nil"/>
                      <w:left w:val="nil"/>
                      <w:bottom w:val="single" w:sz="8" w:space="0" w:color="auto"/>
                      <w:right w:val="nil"/>
                    </w:tcBorders>
                    <w:shd w:val="clear" w:color="000000" w:fill="FFFFFF"/>
                    <w:noWrap/>
                    <w:vAlign w:val="center"/>
                    <w:hideMark/>
                  </w:tcPr>
                  <w:p w14:paraId="63D64D91"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A</w:t>
                    </w:r>
                  </w:p>
                </w:tc>
                <w:tc>
                  <w:tcPr>
                    <w:tcW w:w="481" w:type="dxa"/>
                    <w:tcBorders>
                      <w:top w:val="nil"/>
                      <w:left w:val="nil"/>
                      <w:bottom w:val="single" w:sz="8" w:space="0" w:color="auto"/>
                      <w:right w:val="single" w:sz="8" w:space="0" w:color="auto"/>
                    </w:tcBorders>
                    <w:shd w:val="clear" w:color="000000" w:fill="FFFFFF"/>
                    <w:noWrap/>
                    <w:vAlign w:val="center"/>
                    <w:hideMark/>
                  </w:tcPr>
                  <w:p w14:paraId="2F6A9A41"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B</w:t>
                    </w:r>
                  </w:p>
                </w:tc>
                <w:tc>
                  <w:tcPr>
                    <w:tcW w:w="397" w:type="dxa"/>
                    <w:tcBorders>
                      <w:top w:val="nil"/>
                      <w:left w:val="nil"/>
                      <w:bottom w:val="single" w:sz="8" w:space="0" w:color="auto"/>
                      <w:right w:val="nil"/>
                    </w:tcBorders>
                    <w:shd w:val="clear" w:color="000000" w:fill="FFFFFF"/>
                    <w:noWrap/>
                    <w:vAlign w:val="center"/>
                    <w:hideMark/>
                  </w:tcPr>
                  <w:p w14:paraId="27AC7CA4"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T</w:t>
                    </w:r>
                  </w:p>
                </w:tc>
                <w:tc>
                  <w:tcPr>
                    <w:tcW w:w="397" w:type="dxa"/>
                    <w:tcBorders>
                      <w:top w:val="nil"/>
                      <w:left w:val="nil"/>
                      <w:bottom w:val="single" w:sz="8" w:space="0" w:color="auto"/>
                      <w:right w:val="nil"/>
                    </w:tcBorders>
                    <w:shd w:val="clear" w:color="000000" w:fill="FFFFFF"/>
                    <w:noWrap/>
                    <w:vAlign w:val="center"/>
                    <w:hideMark/>
                  </w:tcPr>
                  <w:p w14:paraId="1F366EEE"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A</w:t>
                    </w:r>
                  </w:p>
                </w:tc>
                <w:tc>
                  <w:tcPr>
                    <w:tcW w:w="482" w:type="dxa"/>
                    <w:tcBorders>
                      <w:top w:val="nil"/>
                      <w:left w:val="nil"/>
                      <w:bottom w:val="single" w:sz="8" w:space="0" w:color="auto"/>
                      <w:right w:val="single" w:sz="8" w:space="0" w:color="auto"/>
                    </w:tcBorders>
                    <w:shd w:val="clear" w:color="000000" w:fill="FFFFFF"/>
                    <w:noWrap/>
                    <w:vAlign w:val="center"/>
                    <w:hideMark/>
                  </w:tcPr>
                  <w:p w14:paraId="064A61A7"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B</w:t>
                    </w:r>
                  </w:p>
                </w:tc>
                <w:tc>
                  <w:tcPr>
                    <w:tcW w:w="397" w:type="dxa"/>
                    <w:tcBorders>
                      <w:top w:val="nil"/>
                      <w:left w:val="nil"/>
                      <w:bottom w:val="single" w:sz="8" w:space="0" w:color="auto"/>
                      <w:right w:val="nil"/>
                    </w:tcBorders>
                    <w:shd w:val="clear" w:color="000000" w:fill="FFFFFF"/>
                    <w:noWrap/>
                    <w:vAlign w:val="center"/>
                    <w:hideMark/>
                  </w:tcPr>
                  <w:p w14:paraId="6E90F831"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T</w:t>
                    </w:r>
                  </w:p>
                </w:tc>
                <w:tc>
                  <w:tcPr>
                    <w:tcW w:w="397" w:type="dxa"/>
                    <w:tcBorders>
                      <w:top w:val="nil"/>
                      <w:left w:val="nil"/>
                      <w:bottom w:val="single" w:sz="8" w:space="0" w:color="auto"/>
                      <w:right w:val="nil"/>
                    </w:tcBorders>
                    <w:shd w:val="clear" w:color="000000" w:fill="FFFFFF"/>
                    <w:noWrap/>
                    <w:vAlign w:val="center"/>
                    <w:hideMark/>
                  </w:tcPr>
                  <w:p w14:paraId="4A8E564D"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A</w:t>
                    </w:r>
                  </w:p>
                </w:tc>
                <w:tc>
                  <w:tcPr>
                    <w:tcW w:w="470" w:type="dxa"/>
                    <w:tcBorders>
                      <w:top w:val="nil"/>
                      <w:left w:val="nil"/>
                      <w:bottom w:val="single" w:sz="8" w:space="0" w:color="auto"/>
                      <w:right w:val="single" w:sz="8" w:space="0" w:color="auto"/>
                    </w:tcBorders>
                    <w:shd w:val="clear" w:color="000000" w:fill="FFFFFF"/>
                    <w:noWrap/>
                    <w:vAlign w:val="center"/>
                    <w:hideMark/>
                  </w:tcPr>
                  <w:p w14:paraId="5191B465"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B</w:t>
                    </w:r>
                  </w:p>
                </w:tc>
                <w:tc>
                  <w:tcPr>
                    <w:tcW w:w="397" w:type="dxa"/>
                    <w:tcBorders>
                      <w:top w:val="nil"/>
                      <w:left w:val="nil"/>
                      <w:bottom w:val="single" w:sz="8" w:space="0" w:color="auto"/>
                      <w:right w:val="nil"/>
                    </w:tcBorders>
                    <w:shd w:val="clear" w:color="000000" w:fill="FFFFFF"/>
                    <w:noWrap/>
                    <w:vAlign w:val="center"/>
                    <w:hideMark/>
                  </w:tcPr>
                  <w:p w14:paraId="5DC25A2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T</w:t>
                    </w:r>
                  </w:p>
                </w:tc>
                <w:tc>
                  <w:tcPr>
                    <w:tcW w:w="397" w:type="dxa"/>
                    <w:tcBorders>
                      <w:top w:val="nil"/>
                      <w:left w:val="nil"/>
                      <w:bottom w:val="single" w:sz="8" w:space="0" w:color="auto"/>
                      <w:right w:val="nil"/>
                    </w:tcBorders>
                    <w:shd w:val="clear" w:color="000000" w:fill="FFFFFF"/>
                    <w:noWrap/>
                    <w:vAlign w:val="center"/>
                    <w:hideMark/>
                  </w:tcPr>
                  <w:p w14:paraId="0409BE13"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A</w:t>
                    </w:r>
                  </w:p>
                </w:tc>
                <w:tc>
                  <w:tcPr>
                    <w:tcW w:w="505" w:type="dxa"/>
                    <w:tcBorders>
                      <w:top w:val="nil"/>
                      <w:left w:val="nil"/>
                      <w:bottom w:val="single" w:sz="8" w:space="0" w:color="auto"/>
                      <w:right w:val="single" w:sz="8" w:space="0" w:color="auto"/>
                    </w:tcBorders>
                    <w:shd w:val="clear" w:color="000000" w:fill="FFFFFF"/>
                    <w:noWrap/>
                    <w:vAlign w:val="center"/>
                    <w:hideMark/>
                  </w:tcPr>
                  <w:p w14:paraId="04CD96F4"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C</w:t>
                    </w:r>
                    <w:r w:rsidRPr="00F72840">
                      <w:rPr>
                        <w:color w:val="000000"/>
                        <w:sz w:val="16"/>
                        <w:szCs w:val="16"/>
                        <w:vertAlign w:val="subscript"/>
                        <w:lang w:val="en-US"/>
                      </w:rPr>
                      <w:t>B</w:t>
                    </w:r>
                  </w:p>
                </w:tc>
                <w:tc>
                  <w:tcPr>
                    <w:tcW w:w="567" w:type="dxa"/>
                    <w:tcBorders>
                      <w:top w:val="nil"/>
                      <w:left w:val="nil"/>
                      <w:bottom w:val="single" w:sz="8" w:space="0" w:color="auto"/>
                      <w:right w:val="single" w:sz="12" w:space="0" w:color="auto"/>
                    </w:tcBorders>
                    <w:shd w:val="clear" w:color="auto" w:fill="auto"/>
                    <w:noWrap/>
                    <w:vAlign w:val="center"/>
                    <w:hideMark/>
                  </w:tcPr>
                  <w:p w14:paraId="5E24BD05"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r>
              <w:tr w:rsidR="002F5246" w:rsidRPr="00F72840" w14:paraId="4DCDAC1A" w14:textId="77777777" w:rsidTr="00E23288">
                <w:trPr>
                  <w:trHeight w:val="300"/>
                  <w:jc w:val="center"/>
                </w:trPr>
                <w:tc>
                  <w:tcPr>
                    <w:tcW w:w="1136" w:type="dxa"/>
                    <w:tcBorders>
                      <w:top w:val="nil"/>
                      <w:left w:val="single" w:sz="8" w:space="0" w:color="auto"/>
                      <w:bottom w:val="nil"/>
                      <w:right w:val="nil"/>
                    </w:tcBorders>
                    <w:shd w:val="clear" w:color="auto" w:fill="auto"/>
                    <w:noWrap/>
                    <w:vAlign w:val="center"/>
                    <w:hideMark/>
                  </w:tcPr>
                  <w:p w14:paraId="03AEFBDE" w14:textId="77777777" w:rsidR="002F5246" w:rsidRPr="00F72840" w:rsidRDefault="002F5246" w:rsidP="00E23288">
                    <w:pPr>
                      <w:spacing w:line="240" w:lineRule="auto"/>
                      <w:rPr>
                        <w:color w:val="000000"/>
                        <w:sz w:val="16"/>
                        <w:szCs w:val="16"/>
                        <w:lang w:val="en-US"/>
                      </w:rPr>
                    </w:pPr>
                    <w:r w:rsidRPr="00F72840">
                      <w:rPr>
                        <w:color w:val="000000"/>
                        <w:sz w:val="16"/>
                        <w:szCs w:val="16"/>
                        <w:lang w:val="en-US"/>
                      </w:rPr>
                      <w:t>RBS</w:t>
                    </w:r>
                  </w:p>
                </w:tc>
                <w:tc>
                  <w:tcPr>
                    <w:tcW w:w="865" w:type="dxa"/>
                    <w:tcBorders>
                      <w:top w:val="nil"/>
                      <w:left w:val="nil"/>
                      <w:bottom w:val="nil"/>
                      <w:right w:val="nil"/>
                    </w:tcBorders>
                    <w:shd w:val="clear" w:color="auto" w:fill="auto"/>
                    <w:noWrap/>
                    <w:vAlign w:val="center"/>
                    <w:hideMark/>
                  </w:tcPr>
                  <w:p w14:paraId="6B012865"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LON</w:t>
                    </w:r>
                  </w:p>
                </w:tc>
                <w:tc>
                  <w:tcPr>
                    <w:tcW w:w="397" w:type="dxa"/>
                    <w:tcBorders>
                      <w:top w:val="nil"/>
                      <w:left w:val="single" w:sz="8" w:space="0" w:color="auto"/>
                      <w:bottom w:val="nil"/>
                      <w:right w:val="nil"/>
                    </w:tcBorders>
                    <w:shd w:val="clear" w:color="auto" w:fill="auto"/>
                    <w:noWrap/>
                    <w:vAlign w:val="center"/>
                    <w:hideMark/>
                  </w:tcPr>
                  <w:p w14:paraId="2677A61A"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19</w:t>
                    </w:r>
                  </w:p>
                </w:tc>
                <w:tc>
                  <w:tcPr>
                    <w:tcW w:w="397" w:type="dxa"/>
                    <w:tcBorders>
                      <w:top w:val="nil"/>
                      <w:left w:val="nil"/>
                      <w:bottom w:val="nil"/>
                      <w:right w:val="nil"/>
                    </w:tcBorders>
                    <w:shd w:val="clear" w:color="auto" w:fill="auto"/>
                    <w:noWrap/>
                    <w:vAlign w:val="center"/>
                    <w:hideMark/>
                  </w:tcPr>
                  <w:p w14:paraId="572BED37"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456" w:type="dxa"/>
                    <w:tcBorders>
                      <w:top w:val="nil"/>
                      <w:left w:val="nil"/>
                      <w:bottom w:val="nil"/>
                      <w:right w:val="single" w:sz="8" w:space="0" w:color="auto"/>
                    </w:tcBorders>
                    <w:shd w:val="clear" w:color="auto" w:fill="auto"/>
                    <w:noWrap/>
                    <w:vAlign w:val="center"/>
                    <w:hideMark/>
                  </w:tcPr>
                  <w:p w14:paraId="4B38328B"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397" w:type="dxa"/>
                    <w:tcBorders>
                      <w:top w:val="nil"/>
                      <w:left w:val="nil"/>
                      <w:bottom w:val="nil"/>
                      <w:right w:val="nil"/>
                    </w:tcBorders>
                    <w:shd w:val="clear" w:color="auto" w:fill="auto"/>
                    <w:noWrap/>
                    <w:vAlign w:val="center"/>
                    <w:hideMark/>
                  </w:tcPr>
                  <w:p w14:paraId="45F7D6FD"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19</w:t>
                    </w:r>
                  </w:p>
                </w:tc>
                <w:tc>
                  <w:tcPr>
                    <w:tcW w:w="397" w:type="dxa"/>
                    <w:tcBorders>
                      <w:top w:val="nil"/>
                      <w:left w:val="nil"/>
                      <w:bottom w:val="nil"/>
                      <w:right w:val="nil"/>
                    </w:tcBorders>
                    <w:shd w:val="clear" w:color="auto" w:fill="auto"/>
                    <w:noWrap/>
                    <w:vAlign w:val="center"/>
                    <w:hideMark/>
                  </w:tcPr>
                  <w:p w14:paraId="4FFF6F3E"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0</w:t>
                    </w:r>
                  </w:p>
                </w:tc>
                <w:tc>
                  <w:tcPr>
                    <w:tcW w:w="481" w:type="dxa"/>
                    <w:tcBorders>
                      <w:top w:val="nil"/>
                      <w:left w:val="nil"/>
                      <w:bottom w:val="nil"/>
                      <w:right w:val="single" w:sz="8" w:space="0" w:color="auto"/>
                    </w:tcBorders>
                    <w:shd w:val="clear" w:color="auto" w:fill="auto"/>
                    <w:noWrap/>
                    <w:vAlign w:val="center"/>
                    <w:hideMark/>
                  </w:tcPr>
                  <w:p w14:paraId="155B745E"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397" w:type="dxa"/>
                    <w:tcBorders>
                      <w:top w:val="nil"/>
                      <w:left w:val="nil"/>
                      <w:bottom w:val="nil"/>
                      <w:right w:val="nil"/>
                    </w:tcBorders>
                    <w:shd w:val="clear" w:color="auto" w:fill="auto"/>
                    <w:noWrap/>
                    <w:vAlign w:val="center"/>
                    <w:hideMark/>
                  </w:tcPr>
                  <w:p w14:paraId="708C01A1" w14:textId="77777777" w:rsidR="002F5246" w:rsidRPr="00F72840" w:rsidRDefault="002F5246" w:rsidP="00E23288">
                    <w:pPr>
                      <w:spacing w:line="240" w:lineRule="auto"/>
                      <w:jc w:val="center"/>
                      <w:rPr>
                        <w:color w:val="000000"/>
                        <w:sz w:val="16"/>
                        <w:szCs w:val="16"/>
                        <w:lang w:val="en-US"/>
                      </w:rPr>
                    </w:pPr>
                  </w:p>
                </w:tc>
                <w:tc>
                  <w:tcPr>
                    <w:tcW w:w="397" w:type="dxa"/>
                    <w:tcBorders>
                      <w:top w:val="nil"/>
                      <w:left w:val="nil"/>
                      <w:bottom w:val="nil"/>
                      <w:right w:val="nil"/>
                    </w:tcBorders>
                    <w:shd w:val="clear" w:color="auto" w:fill="auto"/>
                    <w:noWrap/>
                    <w:vAlign w:val="center"/>
                    <w:hideMark/>
                  </w:tcPr>
                  <w:p w14:paraId="46276244" w14:textId="77777777" w:rsidR="002F5246" w:rsidRPr="00F72840" w:rsidRDefault="002F5246" w:rsidP="00E23288">
                    <w:pPr>
                      <w:spacing w:line="240" w:lineRule="auto"/>
                      <w:jc w:val="center"/>
                      <w:rPr>
                        <w:sz w:val="16"/>
                        <w:szCs w:val="16"/>
                        <w:lang w:val="en-US"/>
                      </w:rPr>
                    </w:pPr>
                  </w:p>
                </w:tc>
                <w:tc>
                  <w:tcPr>
                    <w:tcW w:w="482" w:type="dxa"/>
                    <w:tcBorders>
                      <w:top w:val="nil"/>
                      <w:left w:val="nil"/>
                      <w:bottom w:val="nil"/>
                      <w:right w:val="single" w:sz="8" w:space="0" w:color="auto"/>
                    </w:tcBorders>
                    <w:shd w:val="clear" w:color="auto" w:fill="auto"/>
                    <w:noWrap/>
                    <w:vAlign w:val="center"/>
                    <w:hideMark/>
                  </w:tcPr>
                  <w:p w14:paraId="6FF1B061"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nil"/>
                      <w:left w:val="nil"/>
                      <w:bottom w:val="nil"/>
                      <w:right w:val="nil"/>
                    </w:tcBorders>
                    <w:shd w:val="clear" w:color="auto" w:fill="auto"/>
                    <w:noWrap/>
                    <w:vAlign w:val="center"/>
                    <w:hideMark/>
                  </w:tcPr>
                  <w:p w14:paraId="260865BD" w14:textId="77777777" w:rsidR="002F5246" w:rsidRPr="00F72840" w:rsidRDefault="002F5246" w:rsidP="00E23288">
                    <w:pPr>
                      <w:spacing w:line="240" w:lineRule="auto"/>
                      <w:jc w:val="center"/>
                      <w:rPr>
                        <w:color w:val="000000"/>
                        <w:sz w:val="16"/>
                        <w:szCs w:val="16"/>
                        <w:lang w:val="en-US"/>
                      </w:rPr>
                    </w:pPr>
                  </w:p>
                </w:tc>
                <w:tc>
                  <w:tcPr>
                    <w:tcW w:w="397" w:type="dxa"/>
                    <w:tcBorders>
                      <w:top w:val="nil"/>
                      <w:left w:val="nil"/>
                      <w:bottom w:val="nil"/>
                      <w:right w:val="nil"/>
                    </w:tcBorders>
                    <w:shd w:val="clear" w:color="auto" w:fill="auto"/>
                    <w:noWrap/>
                    <w:vAlign w:val="center"/>
                    <w:hideMark/>
                  </w:tcPr>
                  <w:p w14:paraId="2B33B7BD" w14:textId="77777777" w:rsidR="002F5246" w:rsidRPr="00F72840" w:rsidRDefault="002F5246" w:rsidP="00E23288">
                    <w:pPr>
                      <w:spacing w:line="240" w:lineRule="auto"/>
                      <w:jc w:val="center"/>
                      <w:rPr>
                        <w:sz w:val="16"/>
                        <w:szCs w:val="16"/>
                        <w:lang w:val="en-US"/>
                      </w:rPr>
                    </w:pPr>
                  </w:p>
                </w:tc>
                <w:tc>
                  <w:tcPr>
                    <w:tcW w:w="470" w:type="dxa"/>
                    <w:tcBorders>
                      <w:top w:val="nil"/>
                      <w:left w:val="nil"/>
                      <w:bottom w:val="nil"/>
                      <w:right w:val="single" w:sz="8" w:space="0" w:color="auto"/>
                    </w:tcBorders>
                    <w:shd w:val="clear" w:color="auto" w:fill="auto"/>
                    <w:noWrap/>
                    <w:vAlign w:val="center"/>
                    <w:hideMark/>
                  </w:tcPr>
                  <w:p w14:paraId="7A1C8A5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nil"/>
                      <w:left w:val="nil"/>
                      <w:bottom w:val="nil"/>
                      <w:right w:val="nil"/>
                    </w:tcBorders>
                    <w:shd w:val="clear" w:color="auto" w:fill="auto"/>
                    <w:noWrap/>
                    <w:vAlign w:val="center"/>
                    <w:hideMark/>
                  </w:tcPr>
                  <w:p w14:paraId="33F47D7B"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19</w:t>
                    </w:r>
                  </w:p>
                </w:tc>
                <w:tc>
                  <w:tcPr>
                    <w:tcW w:w="397" w:type="dxa"/>
                    <w:tcBorders>
                      <w:top w:val="nil"/>
                      <w:left w:val="nil"/>
                      <w:bottom w:val="nil"/>
                      <w:right w:val="nil"/>
                    </w:tcBorders>
                    <w:shd w:val="clear" w:color="auto" w:fill="auto"/>
                    <w:noWrap/>
                    <w:vAlign w:val="center"/>
                    <w:hideMark/>
                  </w:tcPr>
                  <w:p w14:paraId="457EA8FB"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0</w:t>
                    </w:r>
                  </w:p>
                </w:tc>
                <w:tc>
                  <w:tcPr>
                    <w:tcW w:w="505" w:type="dxa"/>
                    <w:tcBorders>
                      <w:top w:val="nil"/>
                      <w:left w:val="nil"/>
                      <w:bottom w:val="nil"/>
                      <w:right w:val="single" w:sz="8" w:space="0" w:color="auto"/>
                    </w:tcBorders>
                    <w:shd w:val="clear" w:color="auto" w:fill="auto"/>
                    <w:noWrap/>
                    <w:vAlign w:val="center"/>
                    <w:hideMark/>
                  </w:tcPr>
                  <w:p w14:paraId="2725821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567" w:type="dxa"/>
                    <w:tcBorders>
                      <w:top w:val="nil"/>
                      <w:left w:val="nil"/>
                      <w:bottom w:val="nil"/>
                      <w:right w:val="single" w:sz="12" w:space="0" w:color="auto"/>
                    </w:tcBorders>
                    <w:shd w:val="clear" w:color="auto" w:fill="auto"/>
                    <w:noWrap/>
                    <w:vAlign w:val="center"/>
                    <w:hideMark/>
                  </w:tcPr>
                  <w:p w14:paraId="64FCB58C"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4</w:t>
                    </w:r>
                  </w:p>
                </w:tc>
              </w:tr>
              <w:tr w:rsidR="002F5246" w:rsidRPr="00F72840" w14:paraId="3E49801E" w14:textId="77777777" w:rsidTr="00E23288">
                <w:trPr>
                  <w:trHeight w:val="300"/>
                  <w:jc w:val="center"/>
                </w:trPr>
                <w:tc>
                  <w:tcPr>
                    <w:tcW w:w="1136" w:type="dxa"/>
                    <w:tcBorders>
                      <w:top w:val="nil"/>
                      <w:left w:val="single" w:sz="8" w:space="0" w:color="auto"/>
                      <w:bottom w:val="nil"/>
                      <w:right w:val="nil"/>
                    </w:tcBorders>
                    <w:shd w:val="clear" w:color="auto" w:fill="auto"/>
                    <w:noWrap/>
                    <w:vAlign w:val="center"/>
                    <w:hideMark/>
                  </w:tcPr>
                  <w:p w14:paraId="66503F07" w14:textId="77777777" w:rsidR="002F5246" w:rsidRPr="00F72840" w:rsidRDefault="002F5246" w:rsidP="00E23288">
                    <w:pPr>
                      <w:spacing w:line="240" w:lineRule="auto"/>
                      <w:rPr>
                        <w:color w:val="000000"/>
                        <w:sz w:val="16"/>
                        <w:szCs w:val="16"/>
                        <w:lang w:val="en-US"/>
                      </w:rPr>
                    </w:pPr>
                    <w:r w:rsidRPr="00F72840">
                      <w:rPr>
                        <w:color w:val="000000"/>
                        <w:sz w:val="16"/>
                        <w:szCs w:val="16"/>
                        <w:lang w:val="en-US"/>
                      </w:rPr>
                      <w:t>Rabobank</w:t>
                    </w:r>
                  </w:p>
                </w:tc>
                <w:tc>
                  <w:tcPr>
                    <w:tcW w:w="865" w:type="dxa"/>
                    <w:tcBorders>
                      <w:top w:val="nil"/>
                      <w:left w:val="nil"/>
                      <w:bottom w:val="nil"/>
                      <w:right w:val="nil"/>
                    </w:tcBorders>
                    <w:shd w:val="clear" w:color="auto" w:fill="auto"/>
                    <w:noWrap/>
                    <w:vAlign w:val="center"/>
                    <w:hideMark/>
                  </w:tcPr>
                  <w:p w14:paraId="2F8EEABA"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LON</w:t>
                    </w:r>
                  </w:p>
                </w:tc>
                <w:tc>
                  <w:tcPr>
                    <w:tcW w:w="397" w:type="dxa"/>
                    <w:tcBorders>
                      <w:top w:val="nil"/>
                      <w:left w:val="single" w:sz="8" w:space="0" w:color="auto"/>
                      <w:bottom w:val="nil"/>
                      <w:right w:val="nil"/>
                    </w:tcBorders>
                    <w:shd w:val="clear" w:color="auto" w:fill="auto"/>
                    <w:noWrap/>
                    <w:vAlign w:val="center"/>
                    <w:hideMark/>
                  </w:tcPr>
                  <w:p w14:paraId="18CFACBA"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18</w:t>
                    </w:r>
                  </w:p>
                </w:tc>
                <w:tc>
                  <w:tcPr>
                    <w:tcW w:w="397" w:type="dxa"/>
                    <w:tcBorders>
                      <w:top w:val="nil"/>
                      <w:left w:val="nil"/>
                      <w:bottom w:val="nil"/>
                      <w:right w:val="nil"/>
                    </w:tcBorders>
                    <w:shd w:val="clear" w:color="auto" w:fill="auto"/>
                    <w:noWrap/>
                    <w:vAlign w:val="center"/>
                    <w:hideMark/>
                  </w:tcPr>
                  <w:p w14:paraId="7222162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0</w:t>
                    </w:r>
                  </w:p>
                </w:tc>
                <w:tc>
                  <w:tcPr>
                    <w:tcW w:w="456" w:type="dxa"/>
                    <w:tcBorders>
                      <w:top w:val="nil"/>
                      <w:left w:val="nil"/>
                      <w:bottom w:val="nil"/>
                      <w:right w:val="single" w:sz="8" w:space="0" w:color="auto"/>
                    </w:tcBorders>
                    <w:shd w:val="clear" w:color="auto" w:fill="auto"/>
                    <w:noWrap/>
                    <w:vAlign w:val="center"/>
                    <w:hideMark/>
                  </w:tcPr>
                  <w:p w14:paraId="20B924BF"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2</w:t>
                    </w:r>
                  </w:p>
                </w:tc>
                <w:tc>
                  <w:tcPr>
                    <w:tcW w:w="397" w:type="dxa"/>
                    <w:tcBorders>
                      <w:top w:val="nil"/>
                      <w:left w:val="nil"/>
                      <w:bottom w:val="nil"/>
                      <w:right w:val="nil"/>
                    </w:tcBorders>
                    <w:shd w:val="clear" w:color="auto" w:fill="auto"/>
                    <w:noWrap/>
                    <w:vAlign w:val="center"/>
                    <w:hideMark/>
                  </w:tcPr>
                  <w:p w14:paraId="79C384FB" w14:textId="77777777" w:rsidR="002F5246" w:rsidRPr="00F72840" w:rsidRDefault="002F5246" w:rsidP="00E23288">
                    <w:pPr>
                      <w:spacing w:line="240" w:lineRule="auto"/>
                      <w:jc w:val="center"/>
                      <w:rPr>
                        <w:color w:val="000000"/>
                        <w:sz w:val="16"/>
                        <w:szCs w:val="16"/>
                        <w:lang w:val="en-US"/>
                      </w:rPr>
                    </w:pPr>
                  </w:p>
                </w:tc>
                <w:tc>
                  <w:tcPr>
                    <w:tcW w:w="397" w:type="dxa"/>
                    <w:tcBorders>
                      <w:top w:val="nil"/>
                      <w:left w:val="nil"/>
                      <w:bottom w:val="nil"/>
                      <w:right w:val="nil"/>
                    </w:tcBorders>
                    <w:shd w:val="clear" w:color="auto" w:fill="auto"/>
                    <w:noWrap/>
                    <w:vAlign w:val="center"/>
                    <w:hideMark/>
                  </w:tcPr>
                  <w:p w14:paraId="5CD189F7" w14:textId="77777777" w:rsidR="002F5246" w:rsidRPr="00F72840" w:rsidRDefault="002F5246" w:rsidP="00E23288">
                    <w:pPr>
                      <w:spacing w:line="240" w:lineRule="auto"/>
                      <w:jc w:val="center"/>
                      <w:rPr>
                        <w:sz w:val="16"/>
                        <w:szCs w:val="16"/>
                        <w:lang w:val="en-US"/>
                      </w:rPr>
                    </w:pPr>
                  </w:p>
                </w:tc>
                <w:tc>
                  <w:tcPr>
                    <w:tcW w:w="481" w:type="dxa"/>
                    <w:tcBorders>
                      <w:top w:val="nil"/>
                      <w:left w:val="nil"/>
                      <w:bottom w:val="nil"/>
                      <w:right w:val="single" w:sz="8" w:space="0" w:color="auto"/>
                    </w:tcBorders>
                    <w:shd w:val="clear" w:color="auto" w:fill="auto"/>
                    <w:noWrap/>
                    <w:vAlign w:val="center"/>
                    <w:hideMark/>
                  </w:tcPr>
                  <w:p w14:paraId="6DA6C170"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nil"/>
                      <w:left w:val="nil"/>
                      <w:bottom w:val="nil"/>
                      <w:right w:val="nil"/>
                    </w:tcBorders>
                    <w:shd w:val="clear" w:color="auto" w:fill="auto"/>
                    <w:noWrap/>
                    <w:vAlign w:val="center"/>
                    <w:hideMark/>
                  </w:tcPr>
                  <w:p w14:paraId="3157D76E"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19</w:t>
                    </w:r>
                  </w:p>
                </w:tc>
                <w:tc>
                  <w:tcPr>
                    <w:tcW w:w="397" w:type="dxa"/>
                    <w:tcBorders>
                      <w:top w:val="nil"/>
                      <w:left w:val="nil"/>
                      <w:bottom w:val="nil"/>
                      <w:right w:val="nil"/>
                    </w:tcBorders>
                    <w:shd w:val="clear" w:color="auto" w:fill="auto"/>
                    <w:noWrap/>
                    <w:vAlign w:val="center"/>
                    <w:hideMark/>
                  </w:tcPr>
                  <w:p w14:paraId="11F0669D"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0</w:t>
                    </w:r>
                  </w:p>
                </w:tc>
                <w:tc>
                  <w:tcPr>
                    <w:tcW w:w="482" w:type="dxa"/>
                    <w:tcBorders>
                      <w:top w:val="nil"/>
                      <w:left w:val="nil"/>
                      <w:bottom w:val="nil"/>
                      <w:right w:val="single" w:sz="8" w:space="0" w:color="auto"/>
                    </w:tcBorders>
                    <w:shd w:val="clear" w:color="auto" w:fill="auto"/>
                    <w:noWrap/>
                    <w:vAlign w:val="center"/>
                    <w:hideMark/>
                  </w:tcPr>
                  <w:p w14:paraId="4E9D4BBB"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397" w:type="dxa"/>
                    <w:tcBorders>
                      <w:top w:val="nil"/>
                      <w:left w:val="nil"/>
                      <w:bottom w:val="nil"/>
                      <w:right w:val="nil"/>
                    </w:tcBorders>
                    <w:shd w:val="clear" w:color="auto" w:fill="auto"/>
                    <w:noWrap/>
                    <w:vAlign w:val="center"/>
                    <w:hideMark/>
                  </w:tcPr>
                  <w:p w14:paraId="036F35B4"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18</w:t>
                    </w:r>
                  </w:p>
                </w:tc>
                <w:tc>
                  <w:tcPr>
                    <w:tcW w:w="397" w:type="dxa"/>
                    <w:tcBorders>
                      <w:top w:val="nil"/>
                      <w:left w:val="nil"/>
                      <w:bottom w:val="nil"/>
                      <w:right w:val="nil"/>
                    </w:tcBorders>
                    <w:shd w:val="clear" w:color="auto" w:fill="auto"/>
                    <w:noWrap/>
                    <w:vAlign w:val="center"/>
                    <w:hideMark/>
                  </w:tcPr>
                  <w:p w14:paraId="5C6BFC07"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0</w:t>
                    </w:r>
                  </w:p>
                </w:tc>
                <w:tc>
                  <w:tcPr>
                    <w:tcW w:w="470" w:type="dxa"/>
                    <w:tcBorders>
                      <w:top w:val="nil"/>
                      <w:left w:val="nil"/>
                      <w:bottom w:val="nil"/>
                      <w:right w:val="single" w:sz="8" w:space="0" w:color="auto"/>
                    </w:tcBorders>
                    <w:shd w:val="clear" w:color="auto" w:fill="auto"/>
                    <w:noWrap/>
                    <w:vAlign w:val="center"/>
                    <w:hideMark/>
                  </w:tcPr>
                  <w:p w14:paraId="35B076E1"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397" w:type="dxa"/>
                    <w:tcBorders>
                      <w:top w:val="nil"/>
                      <w:left w:val="nil"/>
                      <w:bottom w:val="nil"/>
                      <w:right w:val="nil"/>
                    </w:tcBorders>
                    <w:shd w:val="clear" w:color="auto" w:fill="auto"/>
                    <w:noWrap/>
                    <w:vAlign w:val="center"/>
                    <w:hideMark/>
                  </w:tcPr>
                  <w:p w14:paraId="4DCD6383" w14:textId="77777777" w:rsidR="002F5246" w:rsidRPr="00F72840" w:rsidRDefault="002F5246" w:rsidP="00E23288">
                    <w:pPr>
                      <w:spacing w:line="240" w:lineRule="auto"/>
                      <w:jc w:val="center"/>
                      <w:rPr>
                        <w:color w:val="000000"/>
                        <w:sz w:val="16"/>
                        <w:szCs w:val="16"/>
                        <w:lang w:val="en-US"/>
                      </w:rPr>
                    </w:pPr>
                  </w:p>
                </w:tc>
                <w:tc>
                  <w:tcPr>
                    <w:tcW w:w="397" w:type="dxa"/>
                    <w:tcBorders>
                      <w:top w:val="nil"/>
                      <w:left w:val="nil"/>
                      <w:bottom w:val="nil"/>
                      <w:right w:val="nil"/>
                    </w:tcBorders>
                    <w:shd w:val="clear" w:color="auto" w:fill="auto"/>
                    <w:noWrap/>
                    <w:vAlign w:val="center"/>
                    <w:hideMark/>
                  </w:tcPr>
                  <w:p w14:paraId="5B6F8742" w14:textId="77777777" w:rsidR="002F5246" w:rsidRPr="00F72840" w:rsidRDefault="002F5246" w:rsidP="00E23288">
                    <w:pPr>
                      <w:spacing w:line="240" w:lineRule="auto"/>
                      <w:jc w:val="center"/>
                      <w:rPr>
                        <w:sz w:val="16"/>
                        <w:szCs w:val="16"/>
                        <w:lang w:val="en-US"/>
                      </w:rPr>
                    </w:pPr>
                  </w:p>
                </w:tc>
                <w:tc>
                  <w:tcPr>
                    <w:tcW w:w="505" w:type="dxa"/>
                    <w:tcBorders>
                      <w:top w:val="nil"/>
                      <w:left w:val="nil"/>
                      <w:bottom w:val="nil"/>
                      <w:right w:val="single" w:sz="8" w:space="0" w:color="auto"/>
                    </w:tcBorders>
                    <w:shd w:val="clear" w:color="auto" w:fill="auto"/>
                    <w:noWrap/>
                    <w:vAlign w:val="center"/>
                    <w:hideMark/>
                  </w:tcPr>
                  <w:p w14:paraId="60A4D3AE"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567" w:type="dxa"/>
                    <w:tcBorders>
                      <w:top w:val="nil"/>
                      <w:left w:val="nil"/>
                      <w:bottom w:val="nil"/>
                      <w:right w:val="single" w:sz="12" w:space="0" w:color="auto"/>
                    </w:tcBorders>
                    <w:shd w:val="clear" w:color="auto" w:fill="auto"/>
                    <w:noWrap/>
                    <w:vAlign w:val="center"/>
                    <w:hideMark/>
                  </w:tcPr>
                  <w:p w14:paraId="2E5998D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4</w:t>
                    </w:r>
                  </w:p>
                </w:tc>
              </w:tr>
              <w:tr w:rsidR="002F5246" w:rsidRPr="00F72840" w14:paraId="58DE7E5B" w14:textId="77777777" w:rsidTr="00E23288">
                <w:trPr>
                  <w:trHeight w:val="300"/>
                  <w:jc w:val="center"/>
                </w:trPr>
                <w:tc>
                  <w:tcPr>
                    <w:tcW w:w="1136" w:type="dxa"/>
                    <w:tcBorders>
                      <w:top w:val="nil"/>
                      <w:left w:val="single" w:sz="8" w:space="0" w:color="auto"/>
                      <w:bottom w:val="nil"/>
                      <w:right w:val="nil"/>
                    </w:tcBorders>
                    <w:shd w:val="clear" w:color="auto" w:fill="auto"/>
                    <w:noWrap/>
                    <w:vAlign w:val="center"/>
                    <w:hideMark/>
                  </w:tcPr>
                  <w:p w14:paraId="24C4DD16" w14:textId="77777777" w:rsidR="002F5246" w:rsidRPr="00F72840" w:rsidRDefault="002F5246" w:rsidP="00E23288">
                    <w:pPr>
                      <w:spacing w:line="240" w:lineRule="auto"/>
                      <w:rPr>
                        <w:color w:val="000000"/>
                        <w:sz w:val="16"/>
                        <w:szCs w:val="16"/>
                        <w:lang w:val="en-US"/>
                      </w:rPr>
                    </w:pPr>
                    <w:r w:rsidRPr="00F72840">
                      <w:rPr>
                        <w:color w:val="000000"/>
                        <w:sz w:val="16"/>
                        <w:szCs w:val="16"/>
                        <w:lang w:val="en-US"/>
                      </w:rPr>
                      <w:t>Barclays</w:t>
                    </w:r>
                  </w:p>
                </w:tc>
                <w:tc>
                  <w:tcPr>
                    <w:tcW w:w="865" w:type="dxa"/>
                    <w:tcBorders>
                      <w:top w:val="nil"/>
                      <w:left w:val="nil"/>
                      <w:bottom w:val="nil"/>
                      <w:right w:val="nil"/>
                    </w:tcBorders>
                    <w:shd w:val="clear" w:color="auto" w:fill="auto"/>
                    <w:noWrap/>
                    <w:vAlign w:val="center"/>
                    <w:hideMark/>
                  </w:tcPr>
                  <w:p w14:paraId="2F6254D5"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LON</w:t>
                    </w:r>
                  </w:p>
                </w:tc>
                <w:tc>
                  <w:tcPr>
                    <w:tcW w:w="397" w:type="dxa"/>
                    <w:tcBorders>
                      <w:top w:val="nil"/>
                      <w:left w:val="single" w:sz="8" w:space="0" w:color="auto"/>
                      <w:bottom w:val="nil"/>
                      <w:right w:val="nil"/>
                    </w:tcBorders>
                    <w:shd w:val="clear" w:color="auto" w:fill="auto"/>
                    <w:noWrap/>
                    <w:vAlign w:val="center"/>
                    <w:hideMark/>
                  </w:tcPr>
                  <w:p w14:paraId="6A5D3FED"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20</w:t>
                    </w:r>
                  </w:p>
                </w:tc>
                <w:tc>
                  <w:tcPr>
                    <w:tcW w:w="397" w:type="dxa"/>
                    <w:tcBorders>
                      <w:top w:val="nil"/>
                      <w:left w:val="nil"/>
                      <w:bottom w:val="nil"/>
                      <w:right w:val="nil"/>
                    </w:tcBorders>
                    <w:shd w:val="clear" w:color="auto" w:fill="auto"/>
                    <w:noWrap/>
                    <w:vAlign w:val="center"/>
                    <w:hideMark/>
                  </w:tcPr>
                  <w:p w14:paraId="166A4B0E"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0</w:t>
                    </w:r>
                  </w:p>
                </w:tc>
                <w:tc>
                  <w:tcPr>
                    <w:tcW w:w="456" w:type="dxa"/>
                    <w:tcBorders>
                      <w:top w:val="nil"/>
                      <w:left w:val="nil"/>
                      <w:bottom w:val="nil"/>
                      <w:right w:val="single" w:sz="8" w:space="0" w:color="auto"/>
                    </w:tcBorders>
                    <w:shd w:val="clear" w:color="auto" w:fill="auto"/>
                    <w:noWrap/>
                    <w:vAlign w:val="center"/>
                    <w:hideMark/>
                  </w:tcPr>
                  <w:p w14:paraId="06CE1767"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397" w:type="dxa"/>
                    <w:tcBorders>
                      <w:top w:val="nil"/>
                      <w:left w:val="nil"/>
                      <w:bottom w:val="nil"/>
                      <w:right w:val="nil"/>
                    </w:tcBorders>
                    <w:shd w:val="clear" w:color="auto" w:fill="auto"/>
                    <w:noWrap/>
                    <w:vAlign w:val="center"/>
                    <w:hideMark/>
                  </w:tcPr>
                  <w:p w14:paraId="2B64908D"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20</w:t>
                    </w:r>
                  </w:p>
                </w:tc>
                <w:tc>
                  <w:tcPr>
                    <w:tcW w:w="397" w:type="dxa"/>
                    <w:tcBorders>
                      <w:top w:val="nil"/>
                      <w:left w:val="nil"/>
                      <w:bottom w:val="nil"/>
                      <w:right w:val="nil"/>
                    </w:tcBorders>
                    <w:shd w:val="clear" w:color="auto" w:fill="auto"/>
                    <w:noWrap/>
                    <w:vAlign w:val="center"/>
                    <w:hideMark/>
                  </w:tcPr>
                  <w:p w14:paraId="4C0A4BA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481" w:type="dxa"/>
                    <w:tcBorders>
                      <w:top w:val="nil"/>
                      <w:left w:val="nil"/>
                      <w:bottom w:val="nil"/>
                      <w:right w:val="single" w:sz="8" w:space="0" w:color="auto"/>
                    </w:tcBorders>
                    <w:shd w:val="clear" w:color="auto" w:fill="auto"/>
                    <w:noWrap/>
                    <w:vAlign w:val="center"/>
                    <w:hideMark/>
                  </w:tcPr>
                  <w:p w14:paraId="42057573"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0 </w:t>
                    </w:r>
                  </w:p>
                </w:tc>
                <w:tc>
                  <w:tcPr>
                    <w:tcW w:w="397" w:type="dxa"/>
                    <w:tcBorders>
                      <w:top w:val="nil"/>
                      <w:left w:val="nil"/>
                      <w:bottom w:val="nil"/>
                      <w:right w:val="nil"/>
                    </w:tcBorders>
                    <w:shd w:val="clear" w:color="auto" w:fill="auto"/>
                    <w:noWrap/>
                    <w:vAlign w:val="center"/>
                    <w:hideMark/>
                  </w:tcPr>
                  <w:p w14:paraId="66779B8F" w14:textId="77777777" w:rsidR="002F5246" w:rsidRPr="00F72840" w:rsidRDefault="002F5246" w:rsidP="00E23288">
                    <w:pPr>
                      <w:spacing w:line="240" w:lineRule="auto"/>
                      <w:jc w:val="center"/>
                      <w:rPr>
                        <w:color w:val="000000"/>
                        <w:sz w:val="16"/>
                        <w:szCs w:val="16"/>
                        <w:lang w:val="en-US"/>
                      </w:rPr>
                    </w:pPr>
                  </w:p>
                </w:tc>
                <w:tc>
                  <w:tcPr>
                    <w:tcW w:w="397" w:type="dxa"/>
                    <w:tcBorders>
                      <w:top w:val="nil"/>
                      <w:left w:val="nil"/>
                      <w:bottom w:val="nil"/>
                      <w:right w:val="nil"/>
                    </w:tcBorders>
                    <w:shd w:val="clear" w:color="auto" w:fill="auto"/>
                    <w:noWrap/>
                    <w:vAlign w:val="center"/>
                    <w:hideMark/>
                  </w:tcPr>
                  <w:p w14:paraId="1597B48A" w14:textId="77777777" w:rsidR="002F5246" w:rsidRPr="00F72840" w:rsidRDefault="002F5246" w:rsidP="00E23288">
                    <w:pPr>
                      <w:spacing w:line="240" w:lineRule="auto"/>
                      <w:jc w:val="center"/>
                      <w:rPr>
                        <w:sz w:val="16"/>
                        <w:szCs w:val="16"/>
                        <w:lang w:val="en-US"/>
                      </w:rPr>
                    </w:pPr>
                  </w:p>
                </w:tc>
                <w:tc>
                  <w:tcPr>
                    <w:tcW w:w="482" w:type="dxa"/>
                    <w:tcBorders>
                      <w:top w:val="nil"/>
                      <w:left w:val="nil"/>
                      <w:bottom w:val="nil"/>
                      <w:right w:val="single" w:sz="8" w:space="0" w:color="auto"/>
                    </w:tcBorders>
                    <w:shd w:val="clear" w:color="auto" w:fill="auto"/>
                    <w:noWrap/>
                    <w:vAlign w:val="center"/>
                    <w:hideMark/>
                  </w:tcPr>
                  <w:p w14:paraId="77F5C1B6"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nil"/>
                      <w:left w:val="nil"/>
                      <w:bottom w:val="nil"/>
                      <w:right w:val="nil"/>
                    </w:tcBorders>
                    <w:shd w:val="clear" w:color="auto" w:fill="auto"/>
                    <w:noWrap/>
                    <w:vAlign w:val="center"/>
                    <w:hideMark/>
                  </w:tcPr>
                  <w:p w14:paraId="2A154A12" w14:textId="77777777" w:rsidR="002F5246" w:rsidRPr="00F72840" w:rsidRDefault="002F5246" w:rsidP="00E23288">
                    <w:pPr>
                      <w:spacing w:line="240" w:lineRule="auto"/>
                      <w:jc w:val="center"/>
                      <w:rPr>
                        <w:color w:val="000000"/>
                        <w:sz w:val="16"/>
                        <w:szCs w:val="16"/>
                        <w:lang w:val="en-US"/>
                      </w:rPr>
                    </w:pPr>
                  </w:p>
                </w:tc>
                <w:tc>
                  <w:tcPr>
                    <w:tcW w:w="397" w:type="dxa"/>
                    <w:tcBorders>
                      <w:top w:val="nil"/>
                      <w:left w:val="nil"/>
                      <w:bottom w:val="nil"/>
                      <w:right w:val="nil"/>
                    </w:tcBorders>
                    <w:shd w:val="clear" w:color="auto" w:fill="auto"/>
                    <w:noWrap/>
                    <w:vAlign w:val="center"/>
                    <w:hideMark/>
                  </w:tcPr>
                  <w:p w14:paraId="0DC75E32" w14:textId="77777777" w:rsidR="002F5246" w:rsidRPr="00F72840" w:rsidRDefault="002F5246" w:rsidP="00E23288">
                    <w:pPr>
                      <w:spacing w:line="240" w:lineRule="auto"/>
                      <w:jc w:val="center"/>
                      <w:rPr>
                        <w:sz w:val="16"/>
                        <w:szCs w:val="16"/>
                        <w:lang w:val="en-US"/>
                      </w:rPr>
                    </w:pPr>
                  </w:p>
                </w:tc>
                <w:tc>
                  <w:tcPr>
                    <w:tcW w:w="470" w:type="dxa"/>
                    <w:tcBorders>
                      <w:top w:val="nil"/>
                      <w:left w:val="nil"/>
                      <w:bottom w:val="nil"/>
                      <w:right w:val="single" w:sz="8" w:space="0" w:color="auto"/>
                    </w:tcBorders>
                    <w:shd w:val="clear" w:color="auto" w:fill="auto"/>
                    <w:noWrap/>
                    <w:vAlign w:val="center"/>
                    <w:hideMark/>
                  </w:tcPr>
                  <w:p w14:paraId="34756CD8"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nil"/>
                      <w:left w:val="nil"/>
                      <w:bottom w:val="nil"/>
                      <w:right w:val="nil"/>
                    </w:tcBorders>
                    <w:shd w:val="clear" w:color="auto" w:fill="auto"/>
                    <w:noWrap/>
                    <w:vAlign w:val="center"/>
                    <w:hideMark/>
                  </w:tcPr>
                  <w:p w14:paraId="17DD7BA7" w14:textId="77777777" w:rsidR="002F5246" w:rsidRPr="00F72840" w:rsidRDefault="002F5246" w:rsidP="00E23288">
                    <w:pPr>
                      <w:spacing w:line="240" w:lineRule="auto"/>
                      <w:jc w:val="center"/>
                      <w:rPr>
                        <w:color w:val="000000"/>
                        <w:sz w:val="16"/>
                        <w:szCs w:val="16"/>
                        <w:lang w:val="en-US"/>
                      </w:rPr>
                    </w:pPr>
                  </w:p>
                </w:tc>
                <w:tc>
                  <w:tcPr>
                    <w:tcW w:w="397" w:type="dxa"/>
                    <w:tcBorders>
                      <w:top w:val="nil"/>
                      <w:left w:val="nil"/>
                      <w:bottom w:val="nil"/>
                      <w:right w:val="nil"/>
                    </w:tcBorders>
                    <w:shd w:val="clear" w:color="auto" w:fill="auto"/>
                    <w:noWrap/>
                    <w:vAlign w:val="center"/>
                    <w:hideMark/>
                  </w:tcPr>
                  <w:p w14:paraId="26DD7FB3" w14:textId="77777777" w:rsidR="002F5246" w:rsidRPr="00F72840" w:rsidRDefault="002F5246" w:rsidP="00E23288">
                    <w:pPr>
                      <w:spacing w:line="240" w:lineRule="auto"/>
                      <w:jc w:val="center"/>
                      <w:rPr>
                        <w:sz w:val="16"/>
                        <w:szCs w:val="16"/>
                        <w:lang w:val="en-US"/>
                      </w:rPr>
                    </w:pPr>
                  </w:p>
                </w:tc>
                <w:tc>
                  <w:tcPr>
                    <w:tcW w:w="505" w:type="dxa"/>
                    <w:tcBorders>
                      <w:top w:val="nil"/>
                      <w:left w:val="nil"/>
                      <w:bottom w:val="nil"/>
                      <w:right w:val="single" w:sz="8" w:space="0" w:color="auto"/>
                    </w:tcBorders>
                    <w:shd w:val="clear" w:color="auto" w:fill="auto"/>
                    <w:noWrap/>
                    <w:vAlign w:val="center"/>
                    <w:hideMark/>
                  </w:tcPr>
                  <w:p w14:paraId="1A78BB30"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567" w:type="dxa"/>
                    <w:tcBorders>
                      <w:top w:val="nil"/>
                      <w:left w:val="nil"/>
                      <w:bottom w:val="nil"/>
                      <w:right w:val="single" w:sz="12" w:space="0" w:color="auto"/>
                    </w:tcBorders>
                    <w:shd w:val="clear" w:color="auto" w:fill="auto"/>
                    <w:noWrap/>
                    <w:vAlign w:val="center"/>
                    <w:hideMark/>
                  </w:tcPr>
                  <w:p w14:paraId="24B1ED04"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2</w:t>
                    </w:r>
                  </w:p>
                </w:tc>
              </w:tr>
              <w:tr w:rsidR="002F5246" w:rsidRPr="00F72840" w14:paraId="5C67E542" w14:textId="77777777" w:rsidTr="00E23288">
                <w:trPr>
                  <w:trHeight w:val="315"/>
                  <w:jc w:val="center"/>
                </w:trPr>
                <w:tc>
                  <w:tcPr>
                    <w:tcW w:w="1136" w:type="dxa"/>
                    <w:tcBorders>
                      <w:top w:val="nil"/>
                      <w:left w:val="single" w:sz="8" w:space="0" w:color="auto"/>
                      <w:bottom w:val="nil"/>
                      <w:right w:val="nil"/>
                    </w:tcBorders>
                    <w:shd w:val="clear" w:color="auto" w:fill="auto"/>
                    <w:noWrap/>
                    <w:vAlign w:val="center"/>
                    <w:hideMark/>
                  </w:tcPr>
                  <w:p w14:paraId="6AA242F8" w14:textId="77777777" w:rsidR="002F5246" w:rsidRPr="00F72840" w:rsidRDefault="002F5246" w:rsidP="00E23288">
                    <w:pPr>
                      <w:spacing w:line="240" w:lineRule="auto"/>
                      <w:rPr>
                        <w:color w:val="000000"/>
                        <w:sz w:val="16"/>
                        <w:szCs w:val="16"/>
                        <w:lang w:val="en-US"/>
                      </w:rPr>
                    </w:pPr>
                    <w:r w:rsidRPr="00F72840">
                      <w:rPr>
                        <w:color w:val="000000"/>
                        <w:sz w:val="16"/>
                        <w:szCs w:val="16"/>
                        <w:lang w:val="en-US"/>
                      </w:rPr>
                      <w:t>BNY Mellon</w:t>
                    </w:r>
                  </w:p>
                </w:tc>
                <w:tc>
                  <w:tcPr>
                    <w:tcW w:w="865" w:type="dxa"/>
                    <w:tcBorders>
                      <w:top w:val="nil"/>
                      <w:left w:val="nil"/>
                      <w:bottom w:val="nil"/>
                      <w:right w:val="nil"/>
                    </w:tcBorders>
                    <w:shd w:val="clear" w:color="auto" w:fill="auto"/>
                    <w:noWrap/>
                    <w:vAlign w:val="center"/>
                    <w:hideMark/>
                  </w:tcPr>
                  <w:p w14:paraId="6DF02318"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NYC</w:t>
                    </w:r>
                  </w:p>
                </w:tc>
                <w:tc>
                  <w:tcPr>
                    <w:tcW w:w="397" w:type="dxa"/>
                    <w:tcBorders>
                      <w:top w:val="nil"/>
                      <w:left w:val="single" w:sz="8" w:space="0" w:color="auto"/>
                      <w:bottom w:val="nil"/>
                      <w:right w:val="nil"/>
                    </w:tcBorders>
                    <w:shd w:val="clear" w:color="auto" w:fill="auto"/>
                    <w:noWrap/>
                    <w:vAlign w:val="center"/>
                    <w:hideMark/>
                  </w:tcPr>
                  <w:p w14:paraId="307F4B5A"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nil"/>
                      <w:left w:val="nil"/>
                      <w:bottom w:val="nil"/>
                      <w:right w:val="nil"/>
                    </w:tcBorders>
                    <w:shd w:val="clear" w:color="auto" w:fill="auto"/>
                    <w:noWrap/>
                    <w:vAlign w:val="center"/>
                    <w:hideMark/>
                  </w:tcPr>
                  <w:p w14:paraId="1E7A8A73" w14:textId="77777777" w:rsidR="002F5246" w:rsidRPr="00F72840" w:rsidRDefault="002F5246" w:rsidP="00E23288">
                    <w:pPr>
                      <w:spacing w:line="240" w:lineRule="auto"/>
                      <w:jc w:val="center"/>
                      <w:rPr>
                        <w:color w:val="000000"/>
                        <w:sz w:val="16"/>
                        <w:szCs w:val="16"/>
                        <w:lang w:val="en-US"/>
                      </w:rPr>
                    </w:pPr>
                  </w:p>
                </w:tc>
                <w:tc>
                  <w:tcPr>
                    <w:tcW w:w="456" w:type="dxa"/>
                    <w:tcBorders>
                      <w:top w:val="nil"/>
                      <w:left w:val="nil"/>
                      <w:bottom w:val="nil"/>
                      <w:right w:val="single" w:sz="8" w:space="0" w:color="auto"/>
                    </w:tcBorders>
                    <w:shd w:val="clear" w:color="auto" w:fill="auto"/>
                    <w:noWrap/>
                    <w:vAlign w:val="center"/>
                    <w:hideMark/>
                  </w:tcPr>
                  <w:p w14:paraId="5E1E0D95"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nil"/>
                      <w:left w:val="nil"/>
                      <w:bottom w:val="nil"/>
                      <w:right w:val="nil"/>
                    </w:tcBorders>
                    <w:shd w:val="clear" w:color="auto" w:fill="auto"/>
                    <w:noWrap/>
                    <w:vAlign w:val="center"/>
                    <w:hideMark/>
                  </w:tcPr>
                  <w:p w14:paraId="41FBE29F" w14:textId="77777777" w:rsidR="002F5246" w:rsidRPr="00F72840" w:rsidRDefault="002F5246" w:rsidP="00E23288">
                    <w:pPr>
                      <w:spacing w:line="240" w:lineRule="auto"/>
                      <w:jc w:val="center"/>
                      <w:rPr>
                        <w:color w:val="000000"/>
                        <w:sz w:val="16"/>
                        <w:szCs w:val="16"/>
                        <w:lang w:val="en-US"/>
                      </w:rPr>
                    </w:pPr>
                  </w:p>
                </w:tc>
                <w:tc>
                  <w:tcPr>
                    <w:tcW w:w="397" w:type="dxa"/>
                    <w:tcBorders>
                      <w:top w:val="nil"/>
                      <w:left w:val="nil"/>
                      <w:bottom w:val="nil"/>
                      <w:right w:val="nil"/>
                    </w:tcBorders>
                    <w:shd w:val="clear" w:color="auto" w:fill="auto"/>
                    <w:noWrap/>
                    <w:vAlign w:val="center"/>
                    <w:hideMark/>
                  </w:tcPr>
                  <w:p w14:paraId="7731D143" w14:textId="77777777" w:rsidR="002F5246" w:rsidRPr="00F72840" w:rsidRDefault="002F5246" w:rsidP="00E23288">
                    <w:pPr>
                      <w:spacing w:line="240" w:lineRule="auto"/>
                      <w:jc w:val="center"/>
                      <w:rPr>
                        <w:sz w:val="16"/>
                        <w:szCs w:val="16"/>
                        <w:lang w:val="en-US"/>
                      </w:rPr>
                    </w:pPr>
                  </w:p>
                </w:tc>
                <w:tc>
                  <w:tcPr>
                    <w:tcW w:w="481" w:type="dxa"/>
                    <w:tcBorders>
                      <w:top w:val="nil"/>
                      <w:left w:val="nil"/>
                      <w:bottom w:val="nil"/>
                      <w:right w:val="single" w:sz="8" w:space="0" w:color="auto"/>
                    </w:tcBorders>
                    <w:shd w:val="clear" w:color="auto" w:fill="auto"/>
                    <w:noWrap/>
                    <w:vAlign w:val="center"/>
                    <w:hideMark/>
                  </w:tcPr>
                  <w:p w14:paraId="4D35FFEF"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nil"/>
                      <w:left w:val="nil"/>
                      <w:bottom w:val="nil"/>
                      <w:right w:val="nil"/>
                    </w:tcBorders>
                    <w:shd w:val="clear" w:color="auto" w:fill="auto"/>
                    <w:noWrap/>
                    <w:vAlign w:val="center"/>
                    <w:hideMark/>
                  </w:tcPr>
                  <w:p w14:paraId="2BA852C3" w14:textId="77777777" w:rsidR="002F5246" w:rsidRPr="00F72840" w:rsidRDefault="002F5246" w:rsidP="00E23288">
                    <w:pPr>
                      <w:spacing w:line="240" w:lineRule="auto"/>
                      <w:jc w:val="center"/>
                      <w:rPr>
                        <w:color w:val="000000"/>
                        <w:sz w:val="16"/>
                        <w:szCs w:val="16"/>
                        <w:lang w:val="en-US"/>
                      </w:rPr>
                    </w:pPr>
                  </w:p>
                </w:tc>
                <w:tc>
                  <w:tcPr>
                    <w:tcW w:w="397" w:type="dxa"/>
                    <w:tcBorders>
                      <w:top w:val="nil"/>
                      <w:left w:val="nil"/>
                      <w:bottom w:val="nil"/>
                      <w:right w:val="nil"/>
                    </w:tcBorders>
                    <w:shd w:val="clear" w:color="auto" w:fill="auto"/>
                    <w:noWrap/>
                    <w:vAlign w:val="center"/>
                    <w:hideMark/>
                  </w:tcPr>
                  <w:p w14:paraId="737BBBA2" w14:textId="77777777" w:rsidR="002F5246" w:rsidRPr="00F72840" w:rsidRDefault="002F5246" w:rsidP="00E23288">
                    <w:pPr>
                      <w:spacing w:line="240" w:lineRule="auto"/>
                      <w:jc w:val="center"/>
                      <w:rPr>
                        <w:sz w:val="16"/>
                        <w:szCs w:val="16"/>
                        <w:lang w:val="en-US"/>
                      </w:rPr>
                    </w:pPr>
                  </w:p>
                </w:tc>
                <w:tc>
                  <w:tcPr>
                    <w:tcW w:w="482" w:type="dxa"/>
                    <w:tcBorders>
                      <w:top w:val="nil"/>
                      <w:left w:val="nil"/>
                      <w:bottom w:val="nil"/>
                      <w:right w:val="single" w:sz="8" w:space="0" w:color="auto"/>
                    </w:tcBorders>
                    <w:shd w:val="clear" w:color="auto" w:fill="auto"/>
                    <w:noWrap/>
                    <w:vAlign w:val="center"/>
                    <w:hideMark/>
                  </w:tcPr>
                  <w:p w14:paraId="6CDA29EA"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nil"/>
                      <w:left w:val="nil"/>
                      <w:bottom w:val="nil"/>
                      <w:right w:val="nil"/>
                    </w:tcBorders>
                    <w:shd w:val="clear" w:color="auto" w:fill="auto"/>
                    <w:noWrap/>
                    <w:vAlign w:val="center"/>
                    <w:hideMark/>
                  </w:tcPr>
                  <w:p w14:paraId="0886DDCA" w14:textId="77777777" w:rsidR="002F5246" w:rsidRPr="00F72840" w:rsidRDefault="002F5246" w:rsidP="00E23288">
                    <w:pPr>
                      <w:spacing w:line="240" w:lineRule="auto"/>
                      <w:jc w:val="center"/>
                      <w:rPr>
                        <w:color w:val="000000"/>
                        <w:sz w:val="16"/>
                        <w:szCs w:val="16"/>
                        <w:lang w:val="en-US"/>
                      </w:rPr>
                    </w:pPr>
                  </w:p>
                </w:tc>
                <w:tc>
                  <w:tcPr>
                    <w:tcW w:w="397" w:type="dxa"/>
                    <w:tcBorders>
                      <w:top w:val="nil"/>
                      <w:left w:val="nil"/>
                      <w:bottom w:val="nil"/>
                      <w:right w:val="nil"/>
                    </w:tcBorders>
                    <w:shd w:val="clear" w:color="auto" w:fill="auto"/>
                    <w:noWrap/>
                    <w:vAlign w:val="center"/>
                    <w:hideMark/>
                  </w:tcPr>
                  <w:p w14:paraId="38F73186" w14:textId="77777777" w:rsidR="002F5246" w:rsidRPr="00F72840" w:rsidRDefault="002F5246" w:rsidP="00E23288">
                    <w:pPr>
                      <w:spacing w:line="240" w:lineRule="auto"/>
                      <w:jc w:val="center"/>
                      <w:rPr>
                        <w:sz w:val="16"/>
                        <w:szCs w:val="16"/>
                        <w:lang w:val="en-US"/>
                      </w:rPr>
                    </w:pPr>
                  </w:p>
                </w:tc>
                <w:tc>
                  <w:tcPr>
                    <w:tcW w:w="470" w:type="dxa"/>
                    <w:tcBorders>
                      <w:top w:val="nil"/>
                      <w:left w:val="nil"/>
                      <w:bottom w:val="nil"/>
                      <w:right w:val="single" w:sz="8" w:space="0" w:color="auto"/>
                    </w:tcBorders>
                    <w:shd w:val="clear" w:color="auto" w:fill="auto"/>
                    <w:noWrap/>
                    <w:vAlign w:val="center"/>
                    <w:hideMark/>
                  </w:tcPr>
                  <w:p w14:paraId="7E33C2C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nil"/>
                      <w:left w:val="nil"/>
                      <w:bottom w:val="nil"/>
                      <w:right w:val="nil"/>
                    </w:tcBorders>
                    <w:shd w:val="clear" w:color="auto" w:fill="auto"/>
                    <w:noWrap/>
                    <w:vAlign w:val="center"/>
                    <w:hideMark/>
                  </w:tcPr>
                  <w:p w14:paraId="22C48272"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18</w:t>
                    </w:r>
                  </w:p>
                </w:tc>
                <w:tc>
                  <w:tcPr>
                    <w:tcW w:w="397" w:type="dxa"/>
                    <w:tcBorders>
                      <w:top w:val="nil"/>
                      <w:left w:val="nil"/>
                      <w:bottom w:val="nil"/>
                      <w:right w:val="nil"/>
                    </w:tcBorders>
                    <w:shd w:val="clear" w:color="auto" w:fill="auto"/>
                    <w:noWrap/>
                    <w:vAlign w:val="center"/>
                    <w:hideMark/>
                  </w:tcPr>
                  <w:p w14:paraId="67CD18C4"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505" w:type="dxa"/>
                    <w:tcBorders>
                      <w:top w:val="nil"/>
                      <w:left w:val="nil"/>
                      <w:bottom w:val="nil"/>
                      <w:right w:val="single" w:sz="8" w:space="0" w:color="auto"/>
                    </w:tcBorders>
                    <w:shd w:val="clear" w:color="auto" w:fill="auto"/>
                    <w:noWrap/>
                    <w:vAlign w:val="center"/>
                    <w:hideMark/>
                  </w:tcPr>
                  <w:p w14:paraId="423C10BD"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0 </w:t>
                    </w:r>
                  </w:p>
                </w:tc>
                <w:tc>
                  <w:tcPr>
                    <w:tcW w:w="567" w:type="dxa"/>
                    <w:tcBorders>
                      <w:top w:val="nil"/>
                      <w:left w:val="nil"/>
                      <w:bottom w:val="nil"/>
                      <w:right w:val="single" w:sz="12" w:space="0" w:color="auto"/>
                    </w:tcBorders>
                    <w:shd w:val="clear" w:color="auto" w:fill="auto"/>
                    <w:noWrap/>
                    <w:vAlign w:val="center"/>
                    <w:hideMark/>
                  </w:tcPr>
                  <w:p w14:paraId="155AEDF7"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r>
              <w:tr w:rsidR="002F5246" w:rsidRPr="00F72840" w14:paraId="7B4C1CF6" w14:textId="77777777" w:rsidTr="00E23288">
                <w:trPr>
                  <w:trHeight w:val="315"/>
                  <w:jc w:val="center"/>
                </w:trPr>
                <w:tc>
                  <w:tcPr>
                    <w:tcW w:w="1136" w:type="dxa"/>
                    <w:tcBorders>
                      <w:top w:val="single" w:sz="8" w:space="0" w:color="auto"/>
                      <w:left w:val="single" w:sz="8" w:space="0" w:color="auto"/>
                      <w:bottom w:val="single" w:sz="8" w:space="0" w:color="auto"/>
                      <w:right w:val="nil"/>
                    </w:tcBorders>
                    <w:shd w:val="clear" w:color="auto" w:fill="auto"/>
                    <w:noWrap/>
                    <w:vAlign w:val="center"/>
                    <w:hideMark/>
                  </w:tcPr>
                  <w:p w14:paraId="18D30E97"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Total</w:t>
                    </w:r>
                  </w:p>
                </w:tc>
                <w:tc>
                  <w:tcPr>
                    <w:tcW w:w="865" w:type="dxa"/>
                    <w:tcBorders>
                      <w:top w:val="single" w:sz="8" w:space="0" w:color="auto"/>
                      <w:left w:val="nil"/>
                      <w:bottom w:val="single" w:sz="8" w:space="0" w:color="auto"/>
                      <w:right w:val="nil"/>
                    </w:tcBorders>
                    <w:shd w:val="clear" w:color="auto" w:fill="auto"/>
                    <w:noWrap/>
                    <w:vAlign w:val="center"/>
                    <w:hideMark/>
                  </w:tcPr>
                  <w:p w14:paraId="73E362C3"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 </w:t>
                    </w:r>
                  </w:p>
                </w:tc>
                <w:tc>
                  <w:tcPr>
                    <w:tcW w:w="397" w:type="dxa"/>
                    <w:tcBorders>
                      <w:top w:val="single" w:sz="8" w:space="0" w:color="auto"/>
                      <w:left w:val="single" w:sz="8" w:space="0" w:color="auto"/>
                      <w:bottom w:val="single" w:sz="8" w:space="0" w:color="auto"/>
                      <w:right w:val="nil"/>
                    </w:tcBorders>
                    <w:shd w:val="clear" w:color="auto" w:fill="auto"/>
                    <w:noWrap/>
                    <w:vAlign w:val="center"/>
                    <w:hideMark/>
                  </w:tcPr>
                  <w:p w14:paraId="7550BD9C"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20</w:t>
                    </w:r>
                  </w:p>
                </w:tc>
                <w:tc>
                  <w:tcPr>
                    <w:tcW w:w="397" w:type="dxa"/>
                    <w:tcBorders>
                      <w:top w:val="single" w:sz="8" w:space="0" w:color="auto"/>
                      <w:left w:val="nil"/>
                      <w:bottom w:val="single" w:sz="8" w:space="0" w:color="auto"/>
                      <w:right w:val="nil"/>
                    </w:tcBorders>
                    <w:shd w:val="clear" w:color="auto" w:fill="auto"/>
                    <w:noWrap/>
                    <w:vAlign w:val="center"/>
                    <w:hideMark/>
                  </w:tcPr>
                  <w:p w14:paraId="358703BB"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456" w:type="dxa"/>
                    <w:tcBorders>
                      <w:top w:val="single" w:sz="8" w:space="0" w:color="auto"/>
                      <w:left w:val="nil"/>
                      <w:bottom w:val="single" w:sz="8" w:space="0" w:color="auto"/>
                      <w:right w:val="single" w:sz="8" w:space="0" w:color="auto"/>
                    </w:tcBorders>
                    <w:shd w:val="clear" w:color="auto" w:fill="auto"/>
                    <w:noWrap/>
                    <w:vAlign w:val="center"/>
                    <w:hideMark/>
                  </w:tcPr>
                  <w:p w14:paraId="17A6F2BB"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4</w:t>
                    </w:r>
                  </w:p>
                </w:tc>
                <w:tc>
                  <w:tcPr>
                    <w:tcW w:w="397" w:type="dxa"/>
                    <w:tcBorders>
                      <w:top w:val="single" w:sz="8" w:space="0" w:color="auto"/>
                      <w:left w:val="nil"/>
                      <w:bottom w:val="single" w:sz="8" w:space="0" w:color="auto"/>
                      <w:right w:val="nil"/>
                    </w:tcBorders>
                    <w:shd w:val="clear" w:color="auto" w:fill="auto"/>
                    <w:noWrap/>
                    <w:vAlign w:val="center"/>
                    <w:hideMark/>
                  </w:tcPr>
                  <w:p w14:paraId="7ABAA295"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20</w:t>
                    </w:r>
                  </w:p>
                </w:tc>
                <w:tc>
                  <w:tcPr>
                    <w:tcW w:w="397" w:type="dxa"/>
                    <w:tcBorders>
                      <w:top w:val="single" w:sz="8" w:space="0" w:color="auto"/>
                      <w:left w:val="nil"/>
                      <w:bottom w:val="single" w:sz="8" w:space="0" w:color="auto"/>
                      <w:right w:val="nil"/>
                    </w:tcBorders>
                    <w:shd w:val="clear" w:color="auto" w:fill="auto"/>
                    <w:noWrap/>
                    <w:vAlign w:val="center"/>
                    <w:hideMark/>
                  </w:tcPr>
                  <w:p w14:paraId="64FC263D"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481" w:type="dxa"/>
                    <w:tcBorders>
                      <w:top w:val="single" w:sz="8" w:space="0" w:color="auto"/>
                      <w:left w:val="nil"/>
                      <w:bottom w:val="single" w:sz="8" w:space="0" w:color="auto"/>
                      <w:right w:val="nil"/>
                    </w:tcBorders>
                    <w:shd w:val="clear" w:color="auto" w:fill="auto"/>
                    <w:noWrap/>
                    <w:vAlign w:val="center"/>
                    <w:hideMark/>
                  </w:tcPr>
                  <w:p w14:paraId="3853D298"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397" w:type="dxa"/>
                    <w:tcBorders>
                      <w:top w:val="single" w:sz="8" w:space="0" w:color="auto"/>
                      <w:left w:val="single" w:sz="8" w:space="0" w:color="auto"/>
                      <w:bottom w:val="single" w:sz="8" w:space="0" w:color="auto"/>
                      <w:right w:val="nil"/>
                    </w:tcBorders>
                    <w:shd w:val="clear" w:color="auto" w:fill="auto"/>
                    <w:noWrap/>
                    <w:vAlign w:val="center"/>
                    <w:hideMark/>
                  </w:tcPr>
                  <w:p w14:paraId="02C2E24C"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20</w:t>
                    </w:r>
                  </w:p>
                </w:tc>
                <w:tc>
                  <w:tcPr>
                    <w:tcW w:w="397" w:type="dxa"/>
                    <w:tcBorders>
                      <w:top w:val="single" w:sz="8" w:space="0" w:color="auto"/>
                      <w:left w:val="nil"/>
                      <w:bottom w:val="single" w:sz="8" w:space="0" w:color="auto"/>
                      <w:right w:val="nil"/>
                    </w:tcBorders>
                    <w:shd w:val="clear" w:color="auto" w:fill="auto"/>
                    <w:noWrap/>
                    <w:vAlign w:val="center"/>
                    <w:hideMark/>
                  </w:tcPr>
                  <w:p w14:paraId="09701F41"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0</w:t>
                    </w:r>
                  </w:p>
                </w:tc>
                <w:tc>
                  <w:tcPr>
                    <w:tcW w:w="482" w:type="dxa"/>
                    <w:tcBorders>
                      <w:top w:val="single" w:sz="8" w:space="0" w:color="auto"/>
                      <w:left w:val="nil"/>
                      <w:bottom w:val="single" w:sz="8" w:space="0" w:color="auto"/>
                      <w:right w:val="nil"/>
                    </w:tcBorders>
                    <w:shd w:val="clear" w:color="auto" w:fill="auto"/>
                    <w:noWrap/>
                    <w:vAlign w:val="center"/>
                    <w:hideMark/>
                  </w:tcPr>
                  <w:p w14:paraId="2D6BC973"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397" w:type="dxa"/>
                    <w:tcBorders>
                      <w:top w:val="single" w:sz="8" w:space="0" w:color="auto"/>
                      <w:left w:val="single" w:sz="8" w:space="0" w:color="auto"/>
                      <w:bottom w:val="single" w:sz="8" w:space="0" w:color="auto"/>
                      <w:right w:val="nil"/>
                    </w:tcBorders>
                    <w:shd w:val="clear" w:color="auto" w:fill="auto"/>
                    <w:noWrap/>
                    <w:vAlign w:val="center"/>
                    <w:hideMark/>
                  </w:tcPr>
                  <w:p w14:paraId="1B1BFA2A"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20</w:t>
                    </w:r>
                  </w:p>
                </w:tc>
                <w:tc>
                  <w:tcPr>
                    <w:tcW w:w="397" w:type="dxa"/>
                    <w:tcBorders>
                      <w:top w:val="single" w:sz="8" w:space="0" w:color="auto"/>
                      <w:left w:val="nil"/>
                      <w:bottom w:val="single" w:sz="8" w:space="0" w:color="auto"/>
                      <w:right w:val="nil"/>
                    </w:tcBorders>
                    <w:shd w:val="clear" w:color="auto" w:fill="auto"/>
                    <w:noWrap/>
                    <w:vAlign w:val="center"/>
                    <w:hideMark/>
                  </w:tcPr>
                  <w:p w14:paraId="1B58ED1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0</w:t>
                    </w:r>
                  </w:p>
                </w:tc>
                <w:tc>
                  <w:tcPr>
                    <w:tcW w:w="470" w:type="dxa"/>
                    <w:tcBorders>
                      <w:top w:val="single" w:sz="8" w:space="0" w:color="auto"/>
                      <w:left w:val="nil"/>
                      <w:bottom w:val="single" w:sz="8" w:space="0" w:color="auto"/>
                      <w:right w:val="nil"/>
                    </w:tcBorders>
                    <w:shd w:val="clear" w:color="auto" w:fill="auto"/>
                    <w:noWrap/>
                    <w:vAlign w:val="center"/>
                    <w:hideMark/>
                  </w:tcPr>
                  <w:p w14:paraId="3D8C8D05"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397" w:type="dxa"/>
                    <w:tcBorders>
                      <w:top w:val="single" w:sz="8" w:space="0" w:color="auto"/>
                      <w:left w:val="single" w:sz="8" w:space="0" w:color="auto"/>
                      <w:bottom w:val="single" w:sz="8" w:space="0" w:color="auto"/>
                      <w:right w:val="nil"/>
                    </w:tcBorders>
                    <w:shd w:val="clear" w:color="auto" w:fill="auto"/>
                    <w:noWrap/>
                    <w:vAlign w:val="center"/>
                    <w:hideMark/>
                  </w:tcPr>
                  <w:p w14:paraId="540ACC19"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20</w:t>
                    </w:r>
                  </w:p>
                </w:tc>
                <w:tc>
                  <w:tcPr>
                    <w:tcW w:w="397" w:type="dxa"/>
                    <w:tcBorders>
                      <w:top w:val="single" w:sz="8" w:space="0" w:color="auto"/>
                      <w:left w:val="nil"/>
                      <w:bottom w:val="single" w:sz="8" w:space="0" w:color="auto"/>
                      <w:right w:val="nil"/>
                    </w:tcBorders>
                    <w:shd w:val="clear" w:color="auto" w:fill="auto"/>
                    <w:noWrap/>
                    <w:vAlign w:val="center"/>
                    <w:hideMark/>
                  </w:tcPr>
                  <w:p w14:paraId="3D44C3FB"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505" w:type="dxa"/>
                    <w:tcBorders>
                      <w:top w:val="single" w:sz="8" w:space="0" w:color="auto"/>
                      <w:left w:val="nil"/>
                      <w:bottom w:val="single" w:sz="8" w:space="0" w:color="auto"/>
                      <w:right w:val="nil"/>
                    </w:tcBorders>
                    <w:shd w:val="clear" w:color="auto" w:fill="auto"/>
                    <w:noWrap/>
                    <w:vAlign w:val="center"/>
                    <w:hideMark/>
                  </w:tcPr>
                  <w:p w14:paraId="121F596A"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w:t>
                    </w:r>
                  </w:p>
                </w:tc>
                <w:tc>
                  <w:tcPr>
                    <w:tcW w:w="567" w:type="dxa"/>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57B5FA31" w14:textId="77777777" w:rsidR="002F5246" w:rsidRPr="00F72840" w:rsidRDefault="002F5246" w:rsidP="00E23288">
                    <w:pPr>
                      <w:spacing w:line="240" w:lineRule="auto"/>
                      <w:jc w:val="center"/>
                      <w:rPr>
                        <w:color w:val="000000"/>
                        <w:sz w:val="16"/>
                        <w:szCs w:val="16"/>
                        <w:lang w:val="en-US"/>
                      </w:rPr>
                    </w:pPr>
                    <w:r w:rsidRPr="00F72840">
                      <w:rPr>
                        <w:color w:val="000000"/>
                        <w:sz w:val="16"/>
                        <w:szCs w:val="16"/>
                        <w:lang w:val="en-US"/>
                      </w:rPr>
                      <w:t>11</w:t>
                    </w:r>
                  </w:p>
                </w:tc>
              </w:tr>
            </w:tbl>
            <w:p w14:paraId="3200108A" w14:textId="77777777" w:rsidR="002F5246" w:rsidRDefault="002F5246" w:rsidP="002F5246">
              <w:pPr>
                <w:pStyle w:val="Para2"/>
                <w:spacing w:line="240" w:lineRule="auto"/>
                <w:ind w:firstLine="0"/>
                <w:rPr>
                  <w:rFonts w:ascii="Times New Roman" w:hAnsi="Times New Roman" w:cs="Times New Roman"/>
                  <w:sz w:val="22"/>
                  <w:szCs w:val="20"/>
                </w:rPr>
              </w:pPr>
            </w:p>
            <w:p w14:paraId="47874BAF" w14:textId="77777777" w:rsidR="002F5246" w:rsidRPr="00DD38C1" w:rsidRDefault="002F5246" w:rsidP="002F5246">
              <w:pPr>
                <w:pStyle w:val="Para2"/>
                <w:spacing w:line="240" w:lineRule="auto"/>
                <w:ind w:firstLine="0"/>
                <w:rPr>
                  <w:rFonts w:ascii="Times New Roman" w:hAnsi="Times New Roman" w:cs="Times New Roman"/>
                  <w:sz w:val="22"/>
                  <w:szCs w:val="20"/>
                  <w:lang w:bidi="fa-IR"/>
                </w:rPr>
              </w:pPr>
              <w:r w:rsidRPr="00DD38C1">
                <w:rPr>
                  <w:rFonts w:ascii="Times New Roman" w:hAnsi="Times New Roman" w:cs="Times New Roman"/>
                  <w:sz w:val="22"/>
                  <w:szCs w:val="20"/>
                </w:rPr>
                <w:t>This table reports a list of dealer-locations that are identified by the simulations to have manipulative/significant-abnormal activity in March 2016. If the realized ManIx score is significant at the 5% level given the simulated ManIx distribution from the 10,000 simulations, the dealer’s behavior in that day is classified as manipulative - otherwise it is classified as random or non-manipulative. This table reports the total number of days a dealer participates in the fixing and the number of days their ManIx measures are significant for the Bid and Ask prices. Columns CT, CA, and CB demonstrate the total number of days that a dealer has been active and total number of significant ManIx for ask and bid, respectively.</w:t>
              </w:r>
            </w:p>
            <w:p w14:paraId="2C6F5257" w14:textId="77777777" w:rsidR="002F5246" w:rsidRDefault="002F5246" w:rsidP="002F5246"/>
            <w:p w14:paraId="3E7EECF3" w14:textId="77777777" w:rsidR="002F5246" w:rsidRPr="00F72840" w:rsidRDefault="002F5246" w:rsidP="002F5246">
              <w:pPr>
                <w:pStyle w:val="Tabletitle"/>
                <w:rPr>
                  <w:lang w:val="en-US" w:bidi="fa-IR"/>
                </w:rPr>
              </w:pPr>
              <w:r w:rsidRPr="00F72840">
                <w:rPr>
                  <w:lang w:val="en-US" w:bidi="fa-IR"/>
                </w:rPr>
                <w:lastRenderedPageBreak/>
                <w:t>Table 7</w:t>
              </w:r>
              <w:r>
                <w:rPr>
                  <w:lang w:val="en-US" w:bidi="fa-IR"/>
                </w:rPr>
                <w:t xml:space="preserve"> </w:t>
              </w:r>
              <w:r w:rsidRPr="00F72840">
                <w:rPr>
                  <w:lang w:val="en-US"/>
                </w:rPr>
                <w:t xml:space="preserve">– </w:t>
              </w:r>
              <w:r w:rsidRPr="00F72840">
                <w:rPr>
                  <w:lang w:val="en-US" w:bidi="fa-IR"/>
                </w:rPr>
                <w:t>Frequency of Manipulation Occurrence</w:t>
              </w:r>
            </w:p>
            <w:p w14:paraId="26550CEE" w14:textId="77777777" w:rsidR="002F5246" w:rsidRPr="00F72840" w:rsidRDefault="002F5246" w:rsidP="002F5246">
              <w:pPr>
                <w:pStyle w:val="Para2"/>
                <w:rPr>
                  <w:rFonts w:ascii="Times New Roman" w:hAnsi="Times New Roman" w:cs="Times New Roman"/>
                </w:rPr>
              </w:pPr>
            </w:p>
            <w:tbl>
              <w:tblPr>
                <w:tblW w:w="74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84"/>
                <w:gridCol w:w="6"/>
                <w:gridCol w:w="1448"/>
                <w:gridCol w:w="866"/>
                <w:gridCol w:w="804"/>
                <w:gridCol w:w="1327"/>
                <w:gridCol w:w="866"/>
                <w:gridCol w:w="804"/>
              </w:tblGrid>
              <w:tr w:rsidR="002F5246" w:rsidRPr="00F72840" w14:paraId="6EF55549" w14:textId="77777777" w:rsidTr="00E23288">
                <w:trPr>
                  <w:trHeight w:hRule="exact" w:val="340"/>
                  <w:jc w:val="center"/>
                </w:trPr>
                <w:tc>
                  <w:tcPr>
                    <w:tcW w:w="1290" w:type="dxa"/>
                    <w:gridSpan w:val="2"/>
                    <w:tcBorders>
                      <w:bottom w:val="nil"/>
                      <w:right w:val="single" w:sz="4" w:space="0" w:color="auto"/>
                    </w:tcBorders>
                    <w:shd w:val="clear" w:color="auto" w:fill="auto"/>
                    <w:noWrap/>
                    <w:vAlign w:val="center"/>
                    <w:hideMark/>
                  </w:tcPr>
                  <w:p w14:paraId="27DDDA75" w14:textId="77777777" w:rsidR="002F5246" w:rsidRPr="00F72840" w:rsidRDefault="002F5246" w:rsidP="00E23288">
                    <w:pPr>
                      <w:spacing w:line="240" w:lineRule="auto"/>
                      <w:jc w:val="center"/>
                      <w:rPr>
                        <w:color w:val="000000"/>
                        <w:sz w:val="20"/>
                        <w:szCs w:val="20"/>
                        <w:lang w:val="en-US"/>
                      </w:rPr>
                    </w:pPr>
                  </w:p>
                </w:tc>
                <w:tc>
                  <w:tcPr>
                    <w:tcW w:w="3118" w:type="dxa"/>
                    <w:gridSpan w:val="3"/>
                    <w:tcBorders>
                      <w:left w:val="single" w:sz="4" w:space="0" w:color="auto"/>
                      <w:bottom w:val="nil"/>
                      <w:right w:val="single" w:sz="4" w:space="0" w:color="auto"/>
                    </w:tcBorders>
                    <w:shd w:val="clear" w:color="auto" w:fill="auto"/>
                    <w:vAlign w:val="center"/>
                  </w:tcPr>
                  <w:p w14:paraId="051285BC"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2013-2014</w:t>
                    </w:r>
                  </w:p>
                </w:tc>
                <w:tc>
                  <w:tcPr>
                    <w:tcW w:w="2997" w:type="dxa"/>
                    <w:gridSpan w:val="3"/>
                    <w:tcBorders>
                      <w:left w:val="single" w:sz="4" w:space="0" w:color="auto"/>
                      <w:bottom w:val="nil"/>
                    </w:tcBorders>
                    <w:shd w:val="clear" w:color="auto" w:fill="auto"/>
                    <w:noWrap/>
                    <w:vAlign w:val="center"/>
                    <w:hideMark/>
                  </w:tcPr>
                  <w:p w14:paraId="32A13EDC"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2016</w:t>
                    </w:r>
                  </w:p>
                </w:tc>
              </w:tr>
              <w:tr w:rsidR="002F5246" w:rsidRPr="00F72840" w14:paraId="2F499EE3" w14:textId="77777777" w:rsidTr="00E23288">
                <w:trPr>
                  <w:trHeight w:hRule="exact" w:val="340"/>
                  <w:jc w:val="center"/>
                </w:trPr>
                <w:tc>
                  <w:tcPr>
                    <w:tcW w:w="1284" w:type="dxa"/>
                    <w:tcBorders>
                      <w:top w:val="nil"/>
                      <w:bottom w:val="single" w:sz="4" w:space="0" w:color="auto"/>
                      <w:right w:val="single" w:sz="4" w:space="0" w:color="auto"/>
                    </w:tcBorders>
                    <w:shd w:val="clear" w:color="auto" w:fill="auto"/>
                    <w:noWrap/>
                    <w:vAlign w:val="center"/>
                    <w:hideMark/>
                  </w:tcPr>
                  <w:p w14:paraId="54D5C9C7"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Currency</w:t>
                    </w:r>
                  </w:p>
                </w:tc>
                <w:tc>
                  <w:tcPr>
                    <w:tcW w:w="1454" w:type="dxa"/>
                    <w:gridSpan w:val="2"/>
                    <w:tcBorders>
                      <w:top w:val="nil"/>
                      <w:left w:val="single" w:sz="4" w:space="0" w:color="auto"/>
                      <w:bottom w:val="single" w:sz="4" w:space="0" w:color="auto"/>
                    </w:tcBorders>
                    <w:shd w:val="clear" w:color="auto" w:fill="auto"/>
                    <w:noWrap/>
                    <w:vAlign w:val="center"/>
                    <w:hideMark/>
                  </w:tcPr>
                  <w:p w14:paraId="28AAC5AA"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Dealer-Day</w:t>
                    </w:r>
                  </w:p>
                </w:tc>
                <w:tc>
                  <w:tcPr>
                    <w:tcW w:w="866" w:type="dxa"/>
                    <w:tcBorders>
                      <w:top w:val="nil"/>
                      <w:bottom w:val="single" w:sz="4" w:space="0" w:color="auto"/>
                    </w:tcBorders>
                    <w:shd w:val="clear" w:color="auto" w:fill="auto"/>
                    <w:noWrap/>
                    <w:vAlign w:val="center"/>
                    <w:hideMark/>
                  </w:tcPr>
                  <w:p w14:paraId="3A6DD397"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Events</w:t>
                    </w:r>
                  </w:p>
                </w:tc>
                <w:tc>
                  <w:tcPr>
                    <w:tcW w:w="804" w:type="dxa"/>
                    <w:tcBorders>
                      <w:top w:val="nil"/>
                      <w:bottom w:val="single" w:sz="4" w:space="0" w:color="auto"/>
                      <w:right w:val="single" w:sz="4" w:space="0" w:color="auto"/>
                    </w:tcBorders>
                    <w:shd w:val="clear" w:color="auto" w:fill="auto"/>
                    <w:noWrap/>
                    <w:vAlign w:val="center"/>
                    <w:hideMark/>
                  </w:tcPr>
                  <w:p w14:paraId="225B109D"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E/DD</w:t>
                    </w:r>
                  </w:p>
                </w:tc>
                <w:tc>
                  <w:tcPr>
                    <w:tcW w:w="1327" w:type="dxa"/>
                    <w:tcBorders>
                      <w:top w:val="nil"/>
                      <w:left w:val="single" w:sz="4" w:space="0" w:color="auto"/>
                      <w:bottom w:val="single" w:sz="4" w:space="0" w:color="auto"/>
                    </w:tcBorders>
                    <w:shd w:val="clear" w:color="auto" w:fill="auto"/>
                    <w:noWrap/>
                    <w:vAlign w:val="center"/>
                    <w:hideMark/>
                  </w:tcPr>
                  <w:p w14:paraId="1A9918D3"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Dealer-Day</w:t>
                    </w:r>
                  </w:p>
                </w:tc>
                <w:tc>
                  <w:tcPr>
                    <w:tcW w:w="866" w:type="dxa"/>
                    <w:tcBorders>
                      <w:top w:val="nil"/>
                      <w:bottom w:val="single" w:sz="4" w:space="0" w:color="auto"/>
                    </w:tcBorders>
                    <w:shd w:val="clear" w:color="auto" w:fill="auto"/>
                    <w:noWrap/>
                    <w:vAlign w:val="center"/>
                    <w:hideMark/>
                  </w:tcPr>
                  <w:p w14:paraId="7E5A1C8F"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Events</w:t>
                    </w:r>
                  </w:p>
                </w:tc>
                <w:tc>
                  <w:tcPr>
                    <w:tcW w:w="804" w:type="dxa"/>
                    <w:tcBorders>
                      <w:top w:val="nil"/>
                      <w:bottom w:val="single" w:sz="4" w:space="0" w:color="auto"/>
                    </w:tcBorders>
                    <w:shd w:val="clear" w:color="auto" w:fill="auto"/>
                    <w:noWrap/>
                    <w:vAlign w:val="center"/>
                    <w:hideMark/>
                  </w:tcPr>
                  <w:p w14:paraId="620685D8"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E/DD</w:t>
                    </w:r>
                  </w:p>
                </w:tc>
              </w:tr>
              <w:tr w:rsidR="002F5246" w:rsidRPr="00F72840" w14:paraId="49AE0089" w14:textId="77777777" w:rsidTr="00E23288">
                <w:trPr>
                  <w:trHeight w:hRule="exact" w:val="340"/>
                  <w:jc w:val="center"/>
                </w:trPr>
                <w:tc>
                  <w:tcPr>
                    <w:tcW w:w="1284" w:type="dxa"/>
                    <w:tcBorders>
                      <w:top w:val="single" w:sz="4" w:space="0" w:color="auto"/>
                      <w:right w:val="single" w:sz="4" w:space="0" w:color="auto"/>
                    </w:tcBorders>
                    <w:shd w:val="clear" w:color="auto" w:fill="auto"/>
                    <w:noWrap/>
                    <w:vAlign w:val="center"/>
                    <w:hideMark/>
                  </w:tcPr>
                  <w:p w14:paraId="36614820"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EUR</w:t>
                    </w:r>
                    <w:r>
                      <w:rPr>
                        <w:color w:val="000000"/>
                        <w:sz w:val="20"/>
                        <w:szCs w:val="20"/>
                        <w:lang w:val="en-US"/>
                      </w:rPr>
                      <w:t>:</w:t>
                    </w:r>
                    <w:r w:rsidRPr="00F72840">
                      <w:rPr>
                        <w:color w:val="000000"/>
                        <w:sz w:val="20"/>
                        <w:szCs w:val="20"/>
                        <w:lang w:val="en-US"/>
                      </w:rPr>
                      <w:t>GBP</w:t>
                    </w:r>
                  </w:p>
                </w:tc>
                <w:tc>
                  <w:tcPr>
                    <w:tcW w:w="1454" w:type="dxa"/>
                    <w:gridSpan w:val="2"/>
                    <w:tcBorders>
                      <w:top w:val="single" w:sz="4" w:space="0" w:color="auto"/>
                      <w:left w:val="single" w:sz="4" w:space="0" w:color="auto"/>
                    </w:tcBorders>
                    <w:shd w:val="clear" w:color="auto" w:fill="auto"/>
                    <w:noWrap/>
                    <w:vAlign w:val="center"/>
                    <w:hideMark/>
                  </w:tcPr>
                  <w:p w14:paraId="4D18CF69"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3,982</w:t>
                    </w:r>
                  </w:p>
                </w:tc>
                <w:tc>
                  <w:tcPr>
                    <w:tcW w:w="866" w:type="dxa"/>
                    <w:tcBorders>
                      <w:top w:val="single" w:sz="4" w:space="0" w:color="auto"/>
                    </w:tcBorders>
                    <w:shd w:val="clear" w:color="auto" w:fill="auto"/>
                    <w:noWrap/>
                    <w:vAlign w:val="center"/>
                    <w:hideMark/>
                  </w:tcPr>
                  <w:p w14:paraId="4BD9DC8A"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23</w:t>
                    </w:r>
                  </w:p>
                </w:tc>
                <w:tc>
                  <w:tcPr>
                    <w:tcW w:w="804" w:type="dxa"/>
                    <w:tcBorders>
                      <w:top w:val="single" w:sz="4" w:space="0" w:color="auto"/>
                      <w:right w:val="single" w:sz="4" w:space="0" w:color="auto"/>
                    </w:tcBorders>
                    <w:shd w:val="clear" w:color="auto" w:fill="auto"/>
                    <w:noWrap/>
                    <w:vAlign w:val="center"/>
                    <w:hideMark/>
                  </w:tcPr>
                  <w:p w14:paraId="7FEE7B76"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0.58%</w:t>
                    </w:r>
                  </w:p>
                </w:tc>
                <w:tc>
                  <w:tcPr>
                    <w:tcW w:w="1327" w:type="dxa"/>
                    <w:tcBorders>
                      <w:top w:val="single" w:sz="4" w:space="0" w:color="auto"/>
                      <w:left w:val="single" w:sz="4" w:space="0" w:color="auto"/>
                    </w:tcBorders>
                    <w:shd w:val="clear" w:color="auto" w:fill="auto"/>
                    <w:noWrap/>
                    <w:vAlign w:val="center"/>
                    <w:hideMark/>
                  </w:tcPr>
                  <w:p w14:paraId="7B035C31"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384</w:t>
                    </w:r>
                  </w:p>
                </w:tc>
                <w:tc>
                  <w:tcPr>
                    <w:tcW w:w="866" w:type="dxa"/>
                    <w:tcBorders>
                      <w:top w:val="single" w:sz="4" w:space="0" w:color="auto"/>
                    </w:tcBorders>
                    <w:shd w:val="clear" w:color="auto" w:fill="auto"/>
                    <w:noWrap/>
                    <w:vAlign w:val="center"/>
                    <w:hideMark/>
                  </w:tcPr>
                  <w:p w14:paraId="4AF4CD98"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5</w:t>
                    </w:r>
                  </w:p>
                </w:tc>
                <w:tc>
                  <w:tcPr>
                    <w:tcW w:w="804" w:type="dxa"/>
                    <w:tcBorders>
                      <w:top w:val="single" w:sz="4" w:space="0" w:color="auto"/>
                    </w:tcBorders>
                    <w:shd w:val="clear" w:color="auto" w:fill="auto"/>
                    <w:noWrap/>
                    <w:vAlign w:val="center"/>
                    <w:hideMark/>
                  </w:tcPr>
                  <w:p w14:paraId="2C801B8F"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1.30%</w:t>
                    </w:r>
                  </w:p>
                </w:tc>
              </w:tr>
              <w:tr w:rsidR="002F5246" w:rsidRPr="00F72840" w14:paraId="4634EF82" w14:textId="77777777" w:rsidTr="00E23288">
                <w:trPr>
                  <w:trHeight w:hRule="exact" w:val="340"/>
                  <w:jc w:val="center"/>
                </w:trPr>
                <w:tc>
                  <w:tcPr>
                    <w:tcW w:w="1284" w:type="dxa"/>
                    <w:tcBorders>
                      <w:right w:val="single" w:sz="4" w:space="0" w:color="auto"/>
                    </w:tcBorders>
                    <w:shd w:val="clear" w:color="auto" w:fill="auto"/>
                    <w:noWrap/>
                    <w:vAlign w:val="center"/>
                    <w:hideMark/>
                  </w:tcPr>
                  <w:p w14:paraId="33575B77"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EUR</w:t>
                    </w:r>
                    <w:r>
                      <w:rPr>
                        <w:color w:val="000000"/>
                        <w:sz w:val="20"/>
                        <w:szCs w:val="20"/>
                        <w:lang w:val="en-US"/>
                      </w:rPr>
                      <w:t>:</w:t>
                    </w:r>
                    <w:r w:rsidRPr="00F72840">
                      <w:rPr>
                        <w:color w:val="000000"/>
                        <w:sz w:val="20"/>
                        <w:szCs w:val="20"/>
                        <w:lang w:val="en-US"/>
                      </w:rPr>
                      <w:t>JPY</w:t>
                    </w:r>
                  </w:p>
                </w:tc>
                <w:tc>
                  <w:tcPr>
                    <w:tcW w:w="1454" w:type="dxa"/>
                    <w:gridSpan w:val="2"/>
                    <w:tcBorders>
                      <w:left w:val="single" w:sz="4" w:space="0" w:color="auto"/>
                    </w:tcBorders>
                    <w:shd w:val="clear" w:color="auto" w:fill="auto"/>
                    <w:noWrap/>
                    <w:vAlign w:val="center"/>
                    <w:hideMark/>
                  </w:tcPr>
                  <w:p w14:paraId="395CB9F3"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3,895</w:t>
                    </w:r>
                  </w:p>
                </w:tc>
                <w:tc>
                  <w:tcPr>
                    <w:tcW w:w="866" w:type="dxa"/>
                    <w:shd w:val="clear" w:color="auto" w:fill="auto"/>
                    <w:noWrap/>
                    <w:vAlign w:val="center"/>
                    <w:hideMark/>
                  </w:tcPr>
                  <w:p w14:paraId="35567153"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30</w:t>
                    </w:r>
                  </w:p>
                </w:tc>
                <w:tc>
                  <w:tcPr>
                    <w:tcW w:w="804" w:type="dxa"/>
                    <w:tcBorders>
                      <w:right w:val="single" w:sz="4" w:space="0" w:color="auto"/>
                    </w:tcBorders>
                    <w:shd w:val="clear" w:color="auto" w:fill="auto"/>
                    <w:noWrap/>
                    <w:vAlign w:val="center"/>
                    <w:hideMark/>
                  </w:tcPr>
                  <w:p w14:paraId="50465305"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0.77%</w:t>
                    </w:r>
                  </w:p>
                </w:tc>
                <w:tc>
                  <w:tcPr>
                    <w:tcW w:w="1327" w:type="dxa"/>
                    <w:tcBorders>
                      <w:left w:val="single" w:sz="4" w:space="0" w:color="auto"/>
                    </w:tcBorders>
                    <w:shd w:val="clear" w:color="auto" w:fill="auto"/>
                    <w:noWrap/>
                    <w:vAlign w:val="center"/>
                    <w:hideMark/>
                  </w:tcPr>
                  <w:p w14:paraId="34EBC6CD"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381</w:t>
                    </w:r>
                  </w:p>
                </w:tc>
                <w:tc>
                  <w:tcPr>
                    <w:tcW w:w="866" w:type="dxa"/>
                    <w:shd w:val="clear" w:color="auto" w:fill="auto"/>
                    <w:noWrap/>
                    <w:vAlign w:val="center"/>
                    <w:hideMark/>
                  </w:tcPr>
                  <w:p w14:paraId="54367419"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2</w:t>
                    </w:r>
                  </w:p>
                </w:tc>
                <w:tc>
                  <w:tcPr>
                    <w:tcW w:w="804" w:type="dxa"/>
                    <w:shd w:val="clear" w:color="auto" w:fill="auto"/>
                    <w:noWrap/>
                    <w:vAlign w:val="center"/>
                    <w:hideMark/>
                  </w:tcPr>
                  <w:p w14:paraId="4810C3D0"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0.52%</w:t>
                    </w:r>
                  </w:p>
                </w:tc>
              </w:tr>
              <w:tr w:rsidR="002F5246" w:rsidRPr="00F72840" w14:paraId="0C982FA7" w14:textId="77777777" w:rsidTr="00E23288">
                <w:trPr>
                  <w:trHeight w:hRule="exact" w:val="340"/>
                  <w:jc w:val="center"/>
                </w:trPr>
                <w:tc>
                  <w:tcPr>
                    <w:tcW w:w="1284" w:type="dxa"/>
                    <w:tcBorders>
                      <w:right w:val="single" w:sz="4" w:space="0" w:color="auto"/>
                    </w:tcBorders>
                    <w:shd w:val="clear" w:color="auto" w:fill="auto"/>
                    <w:noWrap/>
                    <w:vAlign w:val="center"/>
                    <w:hideMark/>
                  </w:tcPr>
                  <w:p w14:paraId="77D52C1C"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EUR</w:t>
                    </w:r>
                    <w:r>
                      <w:rPr>
                        <w:color w:val="000000"/>
                        <w:sz w:val="20"/>
                        <w:szCs w:val="20"/>
                        <w:lang w:val="en-US"/>
                      </w:rPr>
                      <w:t>:</w:t>
                    </w:r>
                    <w:r w:rsidRPr="00F72840">
                      <w:rPr>
                        <w:color w:val="000000"/>
                        <w:sz w:val="20"/>
                        <w:szCs w:val="20"/>
                        <w:lang w:val="en-US"/>
                      </w:rPr>
                      <w:t>USD</w:t>
                    </w:r>
                  </w:p>
                </w:tc>
                <w:tc>
                  <w:tcPr>
                    <w:tcW w:w="1454" w:type="dxa"/>
                    <w:gridSpan w:val="2"/>
                    <w:tcBorders>
                      <w:left w:val="single" w:sz="4" w:space="0" w:color="auto"/>
                    </w:tcBorders>
                    <w:shd w:val="clear" w:color="auto" w:fill="auto"/>
                    <w:noWrap/>
                    <w:vAlign w:val="center"/>
                    <w:hideMark/>
                  </w:tcPr>
                  <w:p w14:paraId="480A1EDD"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4,276</w:t>
                    </w:r>
                  </w:p>
                </w:tc>
                <w:tc>
                  <w:tcPr>
                    <w:tcW w:w="866" w:type="dxa"/>
                    <w:shd w:val="clear" w:color="auto" w:fill="auto"/>
                    <w:noWrap/>
                    <w:vAlign w:val="center"/>
                    <w:hideMark/>
                  </w:tcPr>
                  <w:p w14:paraId="474EE551"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23</w:t>
                    </w:r>
                  </w:p>
                </w:tc>
                <w:tc>
                  <w:tcPr>
                    <w:tcW w:w="804" w:type="dxa"/>
                    <w:tcBorders>
                      <w:right w:val="single" w:sz="4" w:space="0" w:color="auto"/>
                    </w:tcBorders>
                    <w:shd w:val="clear" w:color="auto" w:fill="auto"/>
                    <w:noWrap/>
                    <w:vAlign w:val="center"/>
                    <w:hideMark/>
                  </w:tcPr>
                  <w:p w14:paraId="38C036E2"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0.54%</w:t>
                    </w:r>
                  </w:p>
                </w:tc>
                <w:tc>
                  <w:tcPr>
                    <w:tcW w:w="1327" w:type="dxa"/>
                    <w:tcBorders>
                      <w:left w:val="single" w:sz="4" w:space="0" w:color="auto"/>
                    </w:tcBorders>
                    <w:shd w:val="clear" w:color="auto" w:fill="auto"/>
                    <w:noWrap/>
                    <w:vAlign w:val="center"/>
                    <w:hideMark/>
                  </w:tcPr>
                  <w:p w14:paraId="41064981"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415</w:t>
                    </w:r>
                  </w:p>
                </w:tc>
                <w:tc>
                  <w:tcPr>
                    <w:tcW w:w="866" w:type="dxa"/>
                    <w:shd w:val="clear" w:color="auto" w:fill="auto"/>
                    <w:noWrap/>
                    <w:vAlign w:val="center"/>
                    <w:hideMark/>
                  </w:tcPr>
                  <w:p w14:paraId="293EA5B1"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1</w:t>
                    </w:r>
                  </w:p>
                </w:tc>
                <w:tc>
                  <w:tcPr>
                    <w:tcW w:w="804" w:type="dxa"/>
                    <w:shd w:val="clear" w:color="auto" w:fill="auto"/>
                    <w:noWrap/>
                    <w:vAlign w:val="center"/>
                    <w:hideMark/>
                  </w:tcPr>
                  <w:p w14:paraId="63674A3F"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0.24%</w:t>
                    </w:r>
                  </w:p>
                </w:tc>
              </w:tr>
              <w:tr w:rsidR="002F5246" w:rsidRPr="00F72840" w14:paraId="084CD785" w14:textId="77777777" w:rsidTr="00E23288">
                <w:trPr>
                  <w:trHeight w:hRule="exact" w:val="340"/>
                  <w:jc w:val="center"/>
                </w:trPr>
                <w:tc>
                  <w:tcPr>
                    <w:tcW w:w="1284" w:type="dxa"/>
                    <w:tcBorders>
                      <w:bottom w:val="nil"/>
                      <w:right w:val="single" w:sz="4" w:space="0" w:color="auto"/>
                    </w:tcBorders>
                    <w:shd w:val="clear" w:color="auto" w:fill="auto"/>
                    <w:noWrap/>
                    <w:vAlign w:val="center"/>
                    <w:hideMark/>
                  </w:tcPr>
                  <w:p w14:paraId="4568C833"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GBP</w:t>
                    </w:r>
                    <w:r>
                      <w:rPr>
                        <w:color w:val="000000"/>
                        <w:sz w:val="20"/>
                        <w:szCs w:val="20"/>
                        <w:lang w:val="en-US"/>
                      </w:rPr>
                      <w:t>:</w:t>
                    </w:r>
                    <w:r w:rsidRPr="00F72840">
                      <w:rPr>
                        <w:color w:val="000000"/>
                        <w:sz w:val="20"/>
                        <w:szCs w:val="20"/>
                        <w:lang w:val="en-US"/>
                      </w:rPr>
                      <w:t>USD</w:t>
                    </w:r>
                  </w:p>
                </w:tc>
                <w:tc>
                  <w:tcPr>
                    <w:tcW w:w="1454" w:type="dxa"/>
                    <w:gridSpan w:val="2"/>
                    <w:tcBorders>
                      <w:left w:val="single" w:sz="4" w:space="0" w:color="auto"/>
                      <w:bottom w:val="nil"/>
                    </w:tcBorders>
                    <w:shd w:val="clear" w:color="auto" w:fill="auto"/>
                    <w:noWrap/>
                    <w:vAlign w:val="center"/>
                    <w:hideMark/>
                  </w:tcPr>
                  <w:p w14:paraId="5FD51EA6"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4,653</w:t>
                    </w:r>
                  </w:p>
                </w:tc>
                <w:tc>
                  <w:tcPr>
                    <w:tcW w:w="866" w:type="dxa"/>
                    <w:tcBorders>
                      <w:bottom w:val="nil"/>
                    </w:tcBorders>
                    <w:shd w:val="clear" w:color="auto" w:fill="auto"/>
                    <w:noWrap/>
                    <w:vAlign w:val="center"/>
                    <w:hideMark/>
                  </w:tcPr>
                  <w:p w14:paraId="0E05A325"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49</w:t>
                    </w:r>
                  </w:p>
                </w:tc>
                <w:tc>
                  <w:tcPr>
                    <w:tcW w:w="804" w:type="dxa"/>
                    <w:tcBorders>
                      <w:bottom w:val="nil"/>
                      <w:right w:val="single" w:sz="4" w:space="0" w:color="auto"/>
                    </w:tcBorders>
                    <w:shd w:val="clear" w:color="auto" w:fill="auto"/>
                    <w:noWrap/>
                    <w:vAlign w:val="center"/>
                    <w:hideMark/>
                  </w:tcPr>
                  <w:p w14:paraId="095077F2"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1.05%</w:t>
                    </w:r>
                  </w:p>
                </w:tc>
                <w:tc>
                  <w:tcPr>
                    <w:tcW w:w="1327" w:type="dxa"/>
                    <w:tcBorders>
                      <w:left w:val="single" w:sz="4" w:space="0" w:color="auto"/>
                      <w:bottom w:val="nil"/>
                    </w:tcBorders>
                    <w:shd w:val="clear" w:color="auto" w:fill="auto"/>
                    <w:noWrap/>
                    <w:vAlign w:val="center"/>
                    <w:hideMark/>
                  </w:tcPr>
                  <w:p w14:paraId="6F16268C"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390</w:t>
                    </w:r>
                  </w:p>
                </w:tc>
                <w:tc>
                  <w:tcPr>
                    <w:tcW w:w="866" w:type="dxa"/>
                    <w:tcBorders>
                      <w:bottom w:val="nil"/>
                    </w:tcBorders>
                    <w:shd w:val="clear" w:color="auto" w:fill="auto"/>
                    <w:noWrap/>
                    <w:vAlign w:val="center"/>
                    <w:hideMark/>
                  </w:tcPr>
                  <w:p w14:paraId="3FD1CC6F"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1</w:t>
                    </w:r>
                  </w:p>
                </w:tc>
                <w:tc>
                  <w:tcPr>
                    <w:tcW w:w="804" w:type="dxa"/>
                    <w:tcBorders>
                      <w:bottom w:val="nil"/>
                    </w:tcBorders>
                    <w:shd w:val="clear" w:color="auto" w:fill="auto"/>
                    <w:noWrap/>
                    <w:vAlign w:val="center"/>
                    <w:hideMark/>
                  </w:tcPr>
                  <w:p w14:paraId="6E9C96AA"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0.26%</w:t>
                    </w:r>
                  </w:p>
                </w:tc>
              </w:tr>
              <w:tr w:rsidR="002F5246" w:rsidRPr="00F72840" w14:paraId="7DCFC8E3" w14:textId="77777777" w:rsidTr="00E23288">
                <w:trPr>
                  <w:trHeight w:hRule="exact" w:val="340"/>
                  <w:jc w:val="center"/>
                </w:trPr>
                <w:tc>
                  <w:tcPr>
                    <w:tcW w:w="1284" w:type="dxa"/>
                    <w:tcBorders>
                      <w:top w:val="nil"/>
                      <w:bottom w:val="single" w:sz="4" w:space="0" w:color="auto"/>
                      <w:right w:val="single" w:sz="4" w:space="0" w:color="auto"/>
                    </w:tcBorders>
                    <w:shd w:val="clear" w:color="auto" w:fill="auto"/>
                    <w:noWrap/>
                    <w:vAlign w:val="center"/>
                    <w:hideMark/>
                  </w:tcPr>
                  <w:p w14:paraId="06F4C231"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USD</w:t>
                    </w:r>
                    <w:r>
                      <w:rPr>
                        <w:color w:val="000000"/>
                        <w:sz w:val="20"/>
                        <w:szCs w:val="20"/>
                        <w:lang w:val="en-US"/>
                      </w:rPr>
                      <w:t>:</w:t>
                    </w:r>
                    <w:r w:rsidRPr="00F72840">
                      <w:rPr>
                        <w:color w:val="000000"/>
                        <w:sz w:val="20"/>
                        <w:szCs w:val="20"/>
                        <w:lang w:val="en-US"/>
                      </w:rPr>
                      <w:t>JPY</w:t>
                    </w:r>
                  </w:p>
                </w:tc>
                <w:tc>
                  <w:tcPr>
                    <w:tcW w:w="1454" w:type="dxa"/>
                    <w:gridSpan w:val="2"/>
                    <w:tcBorders>
                      <w:top w:val="nil"/>
                      <w:left w:val="single" w:sz="4" w:space="0" w:color="auto"/>
                      <w:bottom w:val="single" w:sz="4" w:space="0" w:color="auto"/>
                    </w:tcBorders>
                    <w:shd w:val="clear" w:color="auto" w:fill="auto"/>
                    <w:noWrap/>
                    <w:vAlign w:val="center"/>
                    <w:hideMark/>
                  </w:tcPr>
                  <w:p w14:paraId="76CA801A"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3,404</w:t>
                    </w:r>
                  </w:p>
                </w:tc>
                <w:tc>
                  <w:tcPr>
                    <w:tcW w:w="866" w:type="dxa"/>
                    <w:tcBorders>
                      <w:top w:val="nil"/>
                      <w:bottom w:val="single" w:sz="4" w:space="0" w:color="auto"/>
                    </w:tcBorders>
                    <w:shd w:val="clear" w:color="auto" w:fill="auto"/>
                    <w:noWrap/>
                    <w:vAlign w:val="center"/>
                    <w:hideMark/>
                  </w:tcPr>
                  <w:p w14:paraId="51A16F63"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16</w:t>
                    </w:r>
                  </w:p>
                </w:tc>
                <w:tc>
                  <w:tcPr>
                    <w:tcW w:w="804" w:type="dxa"/>
                    <w:tcBorders>
                      <w:top w:val="nil"/>
                      <w:bottom w:val="single" w:sz="4" w:space="0" w:color="auto"/>
                      <w:right w:val="single" w:sz="4" w:space="0" w:color="auto"/>
                    </w:tcBorders>
                    <w:shd w:val="clear" w:color="auto" w:fill="auto"/>
                    <w:noWrap/>
                    <w:vAlign w:val="center"/>
                    <w:hideMark/>
                  </w:tcPr>
                  <w:p w14:paraId="393B123D"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0.47%</w:t>
                    </w:r>
                  </w:p>
                </w:tc>
                <w:tc>
                  <w:tcPr>
                    <w:tcW w:w="1327" w:type="dxa"/>
                    <w:tcBorders>
                      <w:top w:val="nil"/>
                      <w:left w:val="single" w:sz="4" w:space="0" w:color="auto"/>
                      <w:bottom w:val="single" w:sz="4" w:space="0" w:color="auto"/>
                    </w:tcBorders>
                    <w:shd w:val="clear" w:color="auto" w:fill="auto"/>
                    <w:noWrap/>
                    <w:vAlign w:val="center"/>
                    <w:hideMark/>
                  </w:tcPr>
                  <w:p w14:paraId="2A378FDE"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317</w:t>
                    </w:r>
                  </w:p>
                </w:tc>
                <w:tc>
                  <w:tcPr>
                    <w:tcW w:w="866" w:type="dxa"/>
                    <w:tcBorders>
                      <w:top w:val="nil"/>
                      <w:bottom w:val="single" w:sz="4" w:space="0" w:color="auto"/>
                    </w:tcBorders>
                    <w:shd w:val="clear" w:color="auto" w:fill="auto"/>
                    <w:noWrap/>
                    <w:vAlign w:val="center"/>
                    <w:hideMark/>
                  </w:tcPr>
                  <w:p w14:paraId="30970C18"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2</w:t>
                    </w:r>
                  </w:p>
                </w:tc>
                <w:tc>
                  <w:tcPr>
                    <w:tcW w:w="804" w:type="dxa"/>
                    <w:tcBorders>
                      <w:top w:val="nil"/>
                      <w:bottom w:val="single" w:sz="4" w:space="0" w:color="auto"/>
                    </w:tcBorders>
                    <w:shd w:val="clear" w:color="auto" w:fill="auto"/>
                    <w:noWrap/>
                    <w:vAlign w:val="center"/>
                    <w:hideMark/>
                  </w:tcPr>
                  <w:p w14:paraId="2DB7C365"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0.63%</w:t>
                    </w:r>
                  </w:p>
                </w:tc>
              </w:tr>
              <w:tr w:rsidR="002F5246" w:rsidRPr="00F72840" w14:paraId="66FA15A9" w14:textId="77777777" w:rsidTr="00E23288">
                <w:trPr>
                  <w:trHeight w:hRule="exact" w:val="340"/>
                  <w:jc w:val="center"/>
                </w:trPr>
                <w:tc>
                  <w:tcPr>
                    <w:tcW w:w="1284" w:type="dxa"/>
                    <w:tcBorders>
                      <w:top w:val="single" w:sz="4" w:space="0" w:color="auto"/>
                      <w:right w:val="single" w:sz="4" w:space="0" w:color="auto"/>
                    </w:tcBorders>
                    <w:shd w:val="clear" w:color="auto" w:fill="auto"/>
                    <w:noWrap/>
                    <w:vAlign w:val="center"/>
                    <w:hideMark/>
                  </w:tcPr>
                  <w:p w14:paraId="275AAC72"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Total</w:t>
                    </w:r>
                  </w:p>
                </w:tc>
                <w:tc>
                  <w:tcPr>
                    <w:tcW w:w="1454" w:type="dxa"/>
                    <w:gridSpan w:val="2"/>
                    <w:tcBorders>
                      <w:top w:val="single" w:sz="4" w:space="0" w:color="auto"/>
                      <w:left w:val="single" w:sz="4" w:space="0" w:color="auto"/>
                    </w:tcBorders>
                    <w:shd w:val="clear" w:color="auto" w:fill="auto"/>
                    <w:noWrap/>
                    <w:vAlign w:val="center"/>
                    <w:hideMark/>
                  </w:tcPr>
                  <w:p w14:paraId="5C964E2E" w14:textId="77777777" w:rsidR="002F5246" w:rsidRPr="00F72840" w:rsidRDefault="002F5246" w:rsidP="00E23288">
                    <w:pPr>
                      <w:spacing w:line="240" w:lineRule="auto"/>
                      <w:jc w:val="center"/>
                      <w:rPr>
                        <w:color w:val="000000"/>
                        <w:sz w:val="20"/>
                        <w:szCs w:val="20"/>
                        <w:lang w:val="en-US"/>
                      </w:rPr>
                    </w:pPr>
                    <w:r>
                      <w:rPr>
                        <w:color w:val="000000"/>
                        <w:sz w:val="20"/>
                        <w:szCs w:val="20"/>
                        <w:lang w:val="en-US"/>
                      </w:rPr>
                      <w:t>20</w:t>
                    </w:r>
                    <w:r w:rsidRPr="00F72840">
                      <w:rPr>
                        <w:color w:val="000000"/>
                        <w:sz w:val="20"/>
                        <w:szCs w:val="20"/>
                        <w:lang w:val="en-US"/>
                      </w:rPr>
                      <w:t>,</w:t>
                    </w:r>
                    <w:r>
                      <w:rPr>
                        <w:color w:val="000000"/>
                        <w:sz w:val="20"/>
                        <w:szCs w:val="20"/>
                        <w:lang w:val="en-US"/>
                      </w:rPr>
                      <w:t>210</w:t>
                    </w:r>
                  </w:p>
                </w:tc>
                <w:tc>
                  <w:tcPr>
                    <w:tcW w:w="866" w:type="dxa"/>
                    <w:tcBorders>
                      <w:top w:val="single" w:sz="4" w:space="0" w:color="auto"/>
                    </w:tcBorders>
                    <w:shd w:val="clear" w:color="auto" w:fill="auto"/>
                    <w:noWrap/>
                    <w:vAlign w:val="center"/>
                    <w:hideMark/>
                  </w:tcPr>
                  <w:p w14:paraId="0D422078" w14:textId="77777777" w:rsidR="002F5246" w:rsidRPr="00F72840" w:rsidRDefault="002F5246" w:rsidP="00E23288">
                    <w:pPr>
                      <w:spacing w:line="240" w:lineRule="auto"/>
                      <w:jc w:val="center"/>
                      <w:rPr>
                        <w:color w:val="000000"/>
                        <w:sz w:val="20"/>
                        <w:szCs w:val="20"/>
                        <w:lang w:val="en-US"/>
                      </w:rPr>
                    </w:pPr>
                    <w:r>
                      <w:rPr>
                        <w:color w:val="000000"/>
                        <w:sz w:val="20"/>
                        <w:szCs w:val="20"/>
                        <w:lang w:val="en-US"/>
                      </w:rPr>
                      <w:t>141</w:t>
                    </w:r>
                    <w:r w:rsidRPr="00F72840">
                      <w:rPr>
                        <w:color w:val="000000"/>
                        <w:sz w:val="20"/>
                        <w:szCs w:val="20"/>
                        <w:lang w:val="en-US"/>
                      </w:rPr>
                      <w:t>.00</w:t>
                    </w:r>
                  </w:p>
                </w:tc>
                <w:tc>
                  <w:tcPr>
                    <w:tcW w:w="804" w:type="dxa"/>
                    <w:tcBorders>
                      <w:top w:val="single" w:sz="4" w:space="0" w:color="auto"/>
                      <w:right w:val="single" w:sz="4" w:space="0" w:color="auto"/>
                    </w:tcBorders>
                    <w:shd w:val="clear" w:color="auto" w:fill="auto"/>
                    <w:noWrap/>
                    <w:vAlign w:val="center"/>
                    <w:hideMark/>
                  </w:tcPr>
                  <w:p w14:paraId="3CE44255"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0.</w:t>
                    </w:r>
                    <w:r>
                      <w:rPr>
                        <w:color w:val="000000"/>
                        <w:sz w:val="20"/>
                        <w:szCs w:val="20"/>
                        <w:lang w:val="en-US"/>
                      </w:rPr>
                      <w:t>70</w:t>
                    </w:r>
                    <w:r w:rsidRPr="00F72840">
                      <w:rPr>
                        <w:color w:val="000000"/>
                        <w:sz w:val="20"/>
                        <w:szCs w:val="20"/>
                        <w:lang w:val="en-US"/>
                      </w:rPr>
                      <w:t>%</w:t>
                    </w:r>
                  </w:p>
                </w:tc>
                <w:tc>
                  <w:tcPr>
                    <w:tcW w:w="1327" w:type="dxa"/>
                    <w:tcBorders>
                      <w:top w:val="single" w:sz="4" w:space="0" w:color="auto"/>
                      <w:left w:val="single" w:sz="4" w:space="0" w:color="auto"/>
                    </w:tcBorders>
                    <w:shd w:val="clear" w:color="auto" w:fill="auto"/>
                    <w:noWrap/>
                    <w:vAlign w:val="center"/>
                    <w:hideMark/>
                  </w:tcPr>
                  <w:p w14:paraId="1BD18D33" w14:textId="77777777" w:rsidR="002F5246" w:rsidRPr="00F72840" w:rsidRDefault="002F5246" w:rsidP="00E23288">
                    <w:pPr>
                      <w:spacing w:line="240" w:lineRule="auto"/>
                      <w:jc w:val="center"/>
                      <w:rPr>
                        <w:color w:val="000000"/>
                        <w:sz w:val="20"/>
                        <w:szCs w:val="20"/>
                        <w:lang w:val="en-US"/>
                      </w:rPr>
                    </w:pPr>
                    <w:r>
                      <w:rPr>
                        <w:color w:val="000000"/>
                        <w:sz w:val="20"/>
                        <w:szCs w:val="20"/>
                        <w:lang w:val="en-US"/>
                      </w:rPr>
                      <w:t>1887</w:t>
                    </w:r>
                    <w:r w:rsidRPr="00F72840">
                      <w:rPr>
                        <w:color w:val="000000"/>
                        <w:sz w:val="20"/>
                        <w:szCs w:val="20"/>
                        <w:lang w:val="en-US"/>
                      </w:rPr>
                      <w:t>.00</w:t>
                    </w:r>
                  </w:p>
                </w:tc>
                <w:tc>
                  <w:tcPr>
                    <w:tcW w:w="866" w:type="dxa"/>
                    <w:tcBorders>
                      <w:top w:val="single" w:sz="4" w:space="0" w:color="auto"/>
                    </w:tcBorders>
                    <w:shd w:val="clear" w:color="auto" w:fill="auto"/>
                    <w:noWrap/>
                    <w:vAlign w:val="center"/>
                    <w:hideMark/>
                  </w:tcPr>
                  <w:p w14:paraId="51229A98"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11.00</w:t>
                    </w:r>
                  </w:p>
                </w:tc>
                <w:tc>
                  <w:tcPr>
                    <w:tcW w:w="804" w:type="dxa"/>
                    <w:tcBorders>
                      <w:top w:val="single" w:sz="4" w:space="0" w:color="auto"/>
                    </w:tcBorders>
                    <w:shd w:val="clear" w:color="auto" w:fill="auto"/>
                    <w:noWrap/>
                    <w:vAlign w:val="center"/>
                    <w:hideMark/>
                  </w:tcPr>
                  <w:p w14:paraId="3791947B" w14:textId="77777777" w:rsidR="002F5246" w:rsidRPr="00F72840" w:rsidRDefault="002F5246" w:rsidP="00E23288">
                    <w:pPr>
                      <w:spacing w:line="240" w:lineRule="auto"/>
                      <w:jc w:val="center"/>
                      <w:rPr>
                        <w:color w:val="000000"/>
                        <w:sz w:val="20"/>
                        <w:szCs w:val="20"/>
                        <w:lang w:val="en-US"/>
                      </w:rPr>
                    </w:pPr>
                    <w:r w:rsidRPr="00F72840">
                      <w:rPr>
                        <w:color w:val="000000"/>
                        <w:sz w:val="20"/>
                        <w:szCs w:val="20"/>
                        <w:lang w:val="en-US"/>
                      </w:rPr>
                      <w:t>0.</w:t>
                    </w:r>
                    <w:r>
                      <w:rPr>
                        <w:color w:val="000000"/>
                        <w:sz w:val="20"/>
                        <w:szCs w:val="20"/>
                        <w:lang w:val="en-US"/>
                      </w:rPr>
                      <w:t>58</w:t>
                    </w:r>
                    <w:r w:rsidRPr="00F72840">
                      <w:rPr>
                        <w:color w:val="000000"/>
                        <w:sz w:val="20"/>
                        <w:szCs w:val="20"/>
                        <w:lang w:val="en-US"/>
                      </w:rPr>
                      <w:t>%</w:t>
                    </w:r>
                  </w:p>
                </w:tc>
              </w:tr>
            </w:tbl>
            <w:p w14:paraId="231DF293" w14:textId="77777777" w:rsidR="002F5246" w:rsidRDefault="002F5246" w:rsidP="002F5246">
              <w:pPr>
                <w:pStyle w:val="Para2"/>
                <w:spacing w:line="240" w:lineRule="auto"/>
                <w:ind w:firstLine="0"/>
                <w:rPr>
                  <w:rFonts w:ascii="Times New Roman" w:hAnsi="Times New Roman" w:cs="Times New Roman"/>
                  <w:sz w:val="22"/>
                  <w:szCs w:val="20"/>
                </w:rPr>
              </w:pPr>
            </w:p>
            <w:p w14:paraId="4EEFC6BF" w14:textId="77777777" w:rsidR="002F5246" w:rsidRPr="009465A9" w:rsidRDefault="002F5246" w:rsidP="002F5246">
              <w:pPr>
                <w:pStyle w:val="Para2"/>
                <w:spacing w:line="240" w:lineRule="auto"/>
                <w:ind w:firstLine="0"/>
                <w:rPr>
                  <w:rFonts w:ascii="Times New Roman" w:hAnsi="Times New Roman" w:cs="Times New Roman"/>
                  <w:sz w:val="22"/>
                  <w:szCs w:val="20"/>
                </w:rPr>
              </w:pPr>
              <w:r w:rsidRPr="009465A9">
                <w:rPr>
                  <w:rFonts w:ascii="Times New Roman" w:hAnsi="Times New Roman" w:cs="Times New Roman"/>
                  <w:sz w:val="22"/>
                  <w:szCs w:val="20"/>
                </w:rPr>
                <w:t>This table reports the frequency of the occurrence of significant ManIx for the 2013-14 and 2016 periods. The column Dealer-Day shows the total number of dealers who have been active in all days in a currency pair. The column Events reports the number of significant ManIx for both ask and bid. The column E/DD is the percentage of significant ManIx occurrence that has been calculated by dividing Events by Dealer-Day.</w:t>
              </w:r>
            </w:p>
            <w:p w14:paraId="5FA862F4" w14:textId="77777777" w:rsidR="002F5246" w:rsidRDefault="002F5246" w:rsidP="002F5246"/>
            <w:p w14:paraId="7404A056" w14:textId="77777777" w:rsidR="00E72457" w:rsidRPr="00F72840" w:rsidRDefault="00E72457" w:rsidP="00E72457">
              <w:pPr>
                <w:pStyle w:val="Figurecaption"/>
                <w:rPr>
                  <w:lang w:val="en-US"/>
                </w:rPr>
              </w:pPr>
              <w:r w:rsidRPr="00F72840">
                <w:rPr>
                  <w:lang w:val="en-US"/>
                </w:rPr>
                <w:t>Figure 1 - Example of Statistical Verification through Bootstrapping</w:t>
              </w:r>
            </w:p>
            <w:p w14:paraId="7087E997" w14:textId="77777777" w:rsidR="00E72457" w:rsidRPr="00F72840" w:rsidRDefault="00E72457" w:rsidP="00E72457">
              <w:pPr>
                <w:spacing w:line="360" w:lineRule="auto"/>
                <w:jc w:val="center"/>
                <w:rPr>
                  <w:rFonts w:asciiTheme="majorBidi" w:hAnsiTheme="majorBidi" w:cstheme="majorBidi"/>
                  <w:b/>
                  <w:lang w:val="en-US"/>
                </w:rPr>
              </w:pPr>
              <w:r w:rsidRPr="00F72840">
                <w:rPr>
                  <w:noProof/>
                  <w:highlight w:val="yellow"/>
                  <w:lang w:val="en-US" w:eastAsia="en-US"/>
                </w:rPr>
                <w:drawing>
                  <wp:inline distT="0" distB="0" distL="0" distR="0" wp14:anchorId="6533FA86" wp14:editId="161EC8C4">
                    <wp:extent cx="5647055" cy="30760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997" t="2" r="449" b="2429"/>
                            <a:stretch/>
                          </pic:blipFill>
                          <pic:spPr bwMode="auto">
                            <a:xfrm>
                              <a:off x="0" y="0"/>
                              <a:ext cx="5648590" cy="30768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9194ADB" w14:textId="77777777" w:rsidR="00E72457" w:rsidRPr="00B30F72" w:rsidRDefault="00E72457" w:rsidP="00E72457">
              <w:pPr>
                <w:spacing w:line="240" w:lineRule="auto"/>
                <w:jc w:val="both"/>
                <w:rPr>
                  <w:rFonts w:asciiTheme="majorBidi" w:hAnsiTheme="majorBidi" w:cstheme="majorBidi"/>
                  <w:sz w:val="22"/>
                  <w:szCs w:val="20"/>
                  <w:lang w:val="en-US"/>
                </w:rPr>
              </w:pPr>
              <w:r w:rsidRPr="00B30F72">
                <w:rPr>
                  <w:rFonts w:asciiTheme="majorBidi" w:hAnsiTheme="majorBidi" w:cstheme="majorBidi"/>
                  <w:bCs/>
                  <w:sz w:val="22"/>
                  <w:szCs w:val="20"/>
                  <w:lang w:val="en-US"/>
                </w:rPr>
                <w:t xml:space="preserve">Figure 1 </w:t>
              </w:r>
              <w:r w:rsidRPr="00B30F72">
                <w:rPr>
                  <w:rFonts w:asciiTheme="majorBidi" w:hAnsiTheme="majorBidi" w:cstheme="majorBidi"/>
                  <w:sz w:val="22"/>
                  <w:szCs w:val="20"/>
                  <w:lang w:val="en-US"/>
                </w:rPr>
                <w:t>illustrates a simulation distribution for one dealer day for RBS New York. The realized ManIx for RBS New York on June 21</w:t>
              </w:r>
              <w:r w:rsidRPr="00B30F72">
                <w:rPr>
                  <w:rFonts w:asciiTheme="majorBidi" w:hAnsiTheme="majorBidi" w:cstheme="majorBidi"/>
                  <w:sz w:val="22"/>
                  <w:szCs w:val="20"/>
                  <w:vertAlign w:val="superscript"/>
                  <w:lang w:val="en-US"/>
                </w:rPr>
                <w:t>st</w:t>
              </w:r>
              <w:r w:rsidRPr="00B30F72">
                <w:rPr>
                  <w:rFonts w:asciiTheme="majorBidi" w:hAnsiTheme="majorBidi" w:cstheme="majorBidi"/>
                  <w:sz w:val="22"/>
                  <w:szCs w:val="20"/>
                  <w:lang w:val="en-US"/>
                </w:rPr>
                <w:t>, 2013 is equal to 17, which lies within the top 5% of the bootstrapping distribution. Since this value stands at the top 5% of the bootstrapping, the behavior of RBS New York on the day is classified as manipulative.</w:t>
              </w:r>
            </w:p>
            <w:p w14:paraId="4A5976EB" w14:textId="77777777" w:rsidR="00E72457" w:rsidRDefault="00E72457" w:rsidP="00E72457"/>
            <w:p w14:paraId="53BAE013" w14:textId="77777777" w:rsidR="00400827" w:rsidRPr="002F5246" w:rsidRDefault="00400827" w:rsidP="00400827">
              <w:pPr>
                <w:rPr>
                  <w:lang w:val="en-US"/>
                </w:rPr>
              </w:pPr>
            </w:p>
            <w:p w14:paraId="3003C29E" w14:textId="77777777" w:rsidR="00400827" w:rsidRPr="002F5246" w:rsidRDefault="00400827" w:rsidP="00400827">
              <w:pPr>
                <w:rPr>
                  <w:lang w:val="en-US"/>
                </w:rPr>
              </w:pPr>
            </w:p>
            <w:p w14:paraId="46BEE405" w14:textId="77777777" w:rsidR="00E72457" w:rsidRPr="00F811CF" w:rsidRDefault="00E72457" w:rsidP="00E72457">
              <w:pPr>
                <w:pStyle w:val="Figurecaption"/>
                <w:rPr>
                  <w:lang w:val="en-US"/>
                </w:rPr>
              </w:pPr>
              <w:r>
                <w:rPr>
                  <w:lang w:val="en-US"/>
                </w:rPr>
                <w:lastRenderedPageBreak/>
                <w:t xml:space="preserve">Figure 2 </w:t>
              </w:r>
              <w:r w:rsidRPr="00F72840">
                <w:rPr>
                  <w:lang w:val="en-US"/>
                </w:rPr>
                <w:t>– Manipulative Networks</w:t>
              </w:r>
            </w:p>
            <w:p w14:paraId="243E76E0" w14:textId="77777777" w:rsidR="00E72457" w:rsidRPr="00F72840" w:rsidRDefault="00E72457" w:rsidP="00E72457">
              <w:pPr>
                <w:tabs>
                  <w:tab w:val="left" w:pos="2903"/>
                </w:tabs>
                <w:spacing w:line="360" w:lineRule="auto"/>
                <w:rPr>
                  <w:rFonts w:asciiTheme="majorBidi" w:hAnsiTheme="majorBidi" w:cstheme="majorBidi"/>
                  <w:lang w:val="en-US"/>
                </w:rPr>
              </w:pPr>
              <w:r w:rsidRPr="00F72840">
                <w:rPr>
                  <w:rFonts w:asciiTheme="majorBidi" w:hAnsiTheme="majorBidi" w:cstheme="majorBidi"/>
                  <w:lang w:val="en-US"/>
                </w:rPr>
                <w:t>Panel A. EUR:GBP</w:t>
              </w:r>
            </w:p>
            <w:p w14:paraId="0B6327CD" w14:textId="77777777" w:rsidR="00E72457" w:rsidRPr="00F72840" w:rsidRDefault="00E72457" w:rsidP="00E72457">
              <w:pPr>
                <w:tabs>
                  <w:tab w:val="left" w:pos="2903"/>
                </w:tabs>
                <w:spacing w:line="360" w:lineRule="auto"/>
                <w:rPr>
                  <w:rFonts w:asciiTheme="majorBidi" w:hAnsiTheme="majorBidi" w:cstheme="majorBidi"/>
                  <w:lang w:val="en-US"/>
                </w:rPr>
              </w:pPr>
              <w:r w:rsidRPr="00F72840">
                <w:rPr>
                  <w:rFonts w:asciiTheme="majorBidi" w:hAnsiTheme="majorBidi" w:cstheme="majorBidi"/>
                  <w:noProof/>
                  <w:lang w:val="en-US" w:eastAsia="en-US"/>
                </w:rPr>
                <w:drawing>
                  <wp:inline distT="0" distB="0" distL="0" distR="0" wp14:anchorId="10EF1382" wp14:editId="3ECC2716">
                    <wp:extent cx="5731510" cy="2495550"/>
                    <wp:effectExtent l="19050" t="19050" r="2159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GBPW.bmp"/>
                            <pic:cNvPicPr/>
                          </pic:nvPicPr>
                          <pic:blipFill>
                            <a:blip r:embed="rId13">
                              <a:extLst>
                                <a:ext uri="{28A0092B-C50C-407E-A947-70E740481C1C}">
                                  <a14:useLocalDpi xmlns:a14="http://schemas.microsoft.com/office/drawing/2010/main" val="0"/>
                                </a:ext>
                              </a:extLst>
                            </a:blip>
                            <a:stretch>
                              <a:fillRect/>
                            </a:stretch>
                          </pic:blipFill>
                          <pic:spPr>
                            <a:xfrm>
                              <a:off x="0" y="0"/>
                              <a:ext cx="5752089" cy="2504510"/>
                            </a:xfrm>
                            <a:prstGeom prst="rect">
                              <a:avLst/>
                            </a:prstGeom>
                            <a:ln>
                              <a:solidFill>
                                <a:schemeClr val="tx1"/>
                              </a:solidFill>
                            </a:ln>
                          </pic:spPr>
                        </pic:pic>
                      </a:graphicData>
                    </a:graphic>
                  </wp:inline>
                </w:drawing>
              </w:r>
            </w:p>
            <w:p w14:paraId="75FA8E54" w14:textId="77777777" w:rsidR="00E72457" w:rsidRDefault="00E72457" w:rsidP="00E72457">
              <w:pPr>
                <w:tabs>
                  <w:tab w:val="left" w:pos="2903"/>
                </w:tabs>
                <w:spacing w:line="360" w:lineRule="auto"/>
                <w:rPr>
                  <w:rFonts w:asciiTheme="majorBidi" w:hAnsiTheme="majorBidi" w:cstheme="majorBidi"/>
                  <w:lang w:val="en-US"/>
                </w:rPr>
              </w:pPr>
            </w:p>
            <w:p w14:paraId="283328D3" w14:textId="77777777" w:rsidR="00E72457" w:rsidRPr="00F72840" w:rsidRDefault="00E72457" w:rsidP="00E72457">
              <w:pPr>
                <w:tabs>
                  <w:tab w:val="left" w:pos="2903"/>
                </w:tabs>
                <w:spacing w:line="360" w:lineRule="auto"/>
                <w:rPr>
                  <w:rFonts w:asciiTheme="majorBidi" w:hAnsiTheme="majorBidi" w:cstheme="majorBidi"/>
                  <w:lang w:val="en-US"/>
                </w:rPr>
              </w:pPr>
              <w:r w:rsidRPr="00F72840">
                <w:rPr>
                  <w:rFonts w:asciiTheme="majorBidi" w:hAnsiTheme="majorBidi" w:cstheme="majorBidi"/>
                  <w:lang w:val="en-US"/>
                </w:rPr>
                <w:t xml:space="preserve">Panel B. EUR:JPY </w:t>
              </w:r>
            </w:p>
            <w:p w14:paraId="4DB1E751" w14:textId="77777777" w:rsidR="00E72457" w:rsidRPr="00F72840" w:rsidRDefault="00E72457" w:rsidP="00E72457">
              <w:pPr>
                <w:tabs>
                  <w:tab w:val="left" w:pos="2903"/>
                </w:tabs>
                <w:spacing w:line="360" w:lineRule="auto"/>
                <w:rPr>
                  <w:rFonts w:asciiTheme="majorBidi" w:hAnsiTheme="majorBidi" w:cstheme="majorBidi"/>
                  <w:lang w:val="en-US"/>
                </w:rPr>
              </w:pPr>
              <w:r w:rsidRPr="00F72840">
                <w:rPr>
                  <w:rFonts w:asciiTheme="majorBidi" w:hAnsiTheme="majorBidi" w:cstheme="majorBidi"/>
                  <w:noProof/>
                  <w:lang w:val="en-US" w:eastAsia="en-US"/>
                </w:rPr>
                <w:drawing>
                  <wp:inline distT="0" distB="0" distL="0" distR="0" wp14:anchorId="39044E0F" wp14:editId="753371D5">
                    <wp:extent cx="5731510" cy="2352675"/>
                    <wp:effectExtent l="19050" t="19050" r="2159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JPYW.bmp"/>
                            <pic:cNvPicPr/>
                          </pic:nvPicPr>
                          <pic:blipFill>
                            <a:blip r:embed="rId14">
                              <a:extLst>
                                <a:ext uri="{28A0092B-C50C-407E-A947-70E740481C1C}">
                                  <a14:useLocalDpi xmlns:a14="http://schemas.microsoft.com/office/drawing/2010/main" val="0"/>
                                </a:ext>
                              </a:extLst>
                            </a:blip>
                            <a:stretch>
                              <a:fillRect/>
                            </a:stretch>
                          </pic:blipFill>
                          <pic:spPr>
                            <a:xfrm>
                              <a:off x="0" y="0"/>
                              <a:ext cx="5731510" cy="2352675"/>
                            </a:xfrm>
                            <a:prstGeom prst="rect">
                              <a:avLst/>
                            </a:prstGeom>
                            <a:ln>
                              <a:solidFill>
                                <a:schemeClr val="tx1"/>
                              </a:solidFill>
                            </a:ln>
                          </pic:spPr>
                        </pic:pic>
                      </a:graphicData>
                    </a:graphic>
                  </wp:inline>
                </w:drawing>
              </w:r>
            </w:p>
            <w:p w14:paraId="3D03DEE6" w14:textId="77777777" w:rsidR="00E72457" w:rsidRDefault="00E72457" w:rsidP="00E72457">
              <w:pPr>
                <w:tabs>
                  <w:tab w:val="left" w:pos="2903"/>
                </w:tabs>
                <w:spacing w:line="360" w:lineRule="auto"/>
                <w:rPr>
                  <w:rFonts w:asciiTheme="majorBidi" w:hAnsiTheme="majorBidi" w:cstheme="majorBidi"/>
                  <w:lang w:val="en-US"/>
                </w:rPr>
              </w:pPr>
            </w:p>
            <w:p w14:paraId="588AFA8A" w14:textId="77777777" w:rsidR="00E72457" w:rsidRDefault="00E72457" w:rsidP="00E72457">
              <w:pPr>
                <w:tabs>
                  <w:tab w:val="left" w:pos="2903"/>
                </w:tabs>
                <w:spacing w:line="360" w:lineRule="auto"/>
                <w:rPr>
                  <w:rFonts w:asciiTheme="majorBidi" w:hAnsiTheme="majorBidi" w:cstheme="majorBidi"/>
                  <w:lang w:val="en-US"/>
                </w:rPr>
              </w:pPr>
            </w:p>
            <w:p w14:paraId="66BA69EE" w14:textId="77777777" w:rsidR="00E72457" w:rsidRDefault="00E72457" w:rsidP="00E72457">
              <w:pPr>
                <w:tabs>
                  <w:tab w:val="left" w:pos="2903"/>
                </w:tabs>
                <w:spacing w:line="360" w:lineRule="auto"/>
                <w:rPr>
                  <w:rFonts w:asciiTheme="majorBidi" w:hAnsiTheme="majorBidi" w:cstheme="majorBidi"/>
                  <w:lang w:val="en-US"/>
                </w:rPr>
              </w:pPr>
            </w:p>
            <w:p w14:paraId="187EBB96" w14:textId="77777777" w:rsidR="00E72457" w:rsidRDefault="00E72457" w:rsidP="00E72457">
              <w:pPr>
                <w:tabs>
                  <w:tab w:val="left" w:pos="2903"/>
                </w:tabs>
                <w:spacing w:line="360" w:lineRule="auto"/>
                <w:rPr>
                  <w:rFonts w:asciiTheme="majorBidi" w:hAnsiTheme="majorBidi" w:cstheme="majorBidi"/>
                  <w:lang w:val="en-US"/>
                </w:rPr>
              </w:pPr>
            </w:p>
            <w:p w14:paraId="50EF2117" w14:textId="77777777" w:rsidR="00E72457" w:rsidRDefault="00E72457" w:rsidP="00E72457">
              <w:pPr>
                <w:tabs>
                  <w:tab w:val="left" w:pos="2903"/>
                </w:tabs>
                <w:spacing w:line="360" w:lineRule="auto"/>
                <w:rPr>
                  <w:rFonts w:asciiTheme="majorBidi" w:hAnsiTheme="majorBidi" w:cstheme="majorBidi"/>
                  <w:lang w:val="en-US"/>
                </w:rPr>
              </w:pPr>
            </w:p>
            <w:p w14:paraId="00D540A8" w14:textId="77777777" w:rsidR="00E72457" w:rsidRDefault="00E72457" w:rsidP="00E72457">
              <w:pPr>
                <w:tabs>
                  <w:tab w:val="left" w:pos="2903"/>
                </w:tabs>
                <w:spacing w:line="360" w:lineRule="auto"/>
                <w:rPr>
                  <w:rFonts w:asciiTheme="majorBidi" w:hAnsiTheme="majorBidi" w:cstheme="majorBidi"/>
                  <w:lang w:val="en-US"/>
                </w:rPr>
              </w:pPr>
            </w:p>
            <w:p w14:paraId="101E2395" w14:textId="77777777" w:rsidR="00E72457" w:rsidRDefault="00E72457" w:rsidP="00E72457">
              <w:pPr>
                <w:tabs>
                  <w:tab w:val="left" w:pos="2903"/>
                </w:tabs>
                <w:spacing w:line="360" w:lineRule="auto"/>
                <w:rPr>
                  <w:rFonts w:asciiTheme="majorBidi" w:hAnsiTheme="majorBidi" w:cstheme="majorBidi"/>
                  <w:lang w:val="en-US"/>
                </w:rPr>
              </w:pPr>
            </w:p>
            <w:p w14:paraId="6F47C798" w14:textId="77777777" w:rsidR="00E72457" w:rsidRDefault="00E72457" w:rsidP="00E72457">
              <w:pPr>
                <w:tabs>
                  <w:tab w:val="left" w:pos="2903"/>
                </w:tabs>
                <w:spacing w:line="360" w:lineRule="auto"/>
                <w:rPr>
                  <w:rFonts w:asciiTheme="majorBidi" w:hAnsiTheme="majorBidi" w:cstheme="majorBidi"/>
                  <w:lang w:val="en-US"/>
                </w:rPr>
              </w:pPr>
            </w:p>
            <w:p w14:paraId="2FC10DF7" w14:textId="77777777" w:rsidR="00E72457" w:rsidRDefault="00E72457" w:rsidP="00E72457">
              <w:pPr>
                <w:tabs>
                  <w:tab w:val="left" w:pos="2903"/>
                </w:tabs>
                <w:spacing w:line="360" w:lineRule="auto"/>
                <w:rPr>
                  <w:rFonts w:asciiTheme="majorBidi" w:hAnsiTheme="majorBidi" w:cstheme="majorBidi"/>
                  <w:lang w:val="en-US"/>
                </w:rPr>
              </w:pPr>
            </w:p>
            <w:p w14:paraId="1C4182A4" w14:textId="77777777" w:rsidR="00E72457" w:rsidRDefault="00E72457" w:rsidP="00E72457">
              <w:pPr>
                <w:tabs>
                  <w:tab w:val="left" w:pos="2903"/>
                </w:tabs>
                <w:spacing w:line="360" w:lineRule="auto"/>
                <w:rPr>
                  <w:rFonts w:asciiTheme="majorBidi" w:hAnsiTheme="majorBidi" w:cstheme="majorBidi"/>
                  <w:lang w:val="en-US"/>
                </w:rPr>
              </w:pPr>
            </w:p>
            <w:p w14:paraId="183D931D" w14:textId="77777777" w:rsidR="00E72457" w:rsidRPr="00F72840" w:rsidRDefault="00E72457" w:rsidP="00E72457">
              <w:pPr>
                <w:tabs>
                  <w:tab w:val="left" w:pos="2903"/>
                </w:tabs>
                <w:spacing w:line="360" w:lineRule="auto"/>
                <w:rPr>
                  <w:rFonts w:asciiTheme="majorBidi" w:hAnsiTheme="majorBidi" w:cstheme="majorBidi"/>
                  <w:lang w:val="en-US"/>
                </w:rPr>
              </w:pPr>
              <w:r w:rsidRPr="00F72840">
                <w:rPr>
                  <w:rFonts w:asciiTheme="majorBidi" w:hAnsiTheme="majorBidi" w:cstheme="majorBidi"/>
                  <w:lang w:val="en-US"/>
                </w:rPr>
                <w:lastRenderedPageBreak/>
                <w:t xml:space="preserve">Panel C. EUR:USD </w:t>
              </w:r>
            </w:p>
            <w:p w14:paraId="0D418898" w14:textId="77777777" w:rsidR="00E72457" w:rsidRPr="00F72840" w:rsidRDefault="00E72457" w:rsidP="00E72457">
              <w:pPr>
                <w:tabs>
                  <w:tab w:val="left" w:pos="1279"/>
                </w:tabs>
                <w:spacing w:line="360" w:lineRule="auto"/>
                <w:rPr>
                  <w:rFonts w:asciiTheme="majorBidi" w:hAnsiTheme="majorBidi" w:cstheme="majorBidi"/>
                  <w:lang w:val="en-US"/>
                </w:rPr>
              </w:pPr>
              <w:r w:rsidRPr="00F72840">
                <w:rPr>
                  <w:rFonts w:asciiTheme="majorBidi" w:hAnsiTheme="majorBidi" w:cstheme="majorBidi"/>
                  <w:noProof/>
                  <w:lang w:val="en-US" w:eastAsia="en-US"/>
                </w:rPr>
                <w:drawing>
                  <wp:inline distT="0" distB="0" distL="0" distR="0" wp14:anchorId="51A2F728" wp14:editId="73F0A041">
                    <wp:extent cx="5731510" cy="2038350"/>
                    <wp:effectExtent l="19050" t="19050" r="21590"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USDW.bmp"/>
                            <pic:cNvPicPr/>
                          </pic:nvPicPr>
                          <pic:blipFill>
                            <a:blip r:embed="rId15">
                              <a:extLst>
                                <a:ext uri="{28A0092B-C50C-407E-A947-70E740481C1C}">
                                  <a14:useLocalDpi xmlns:a14="http://schemas.microsoft.com/office/drawing/2010/main" val="0"/>
                                </a:ext>
                              </a:extLst>
                            </a:blip>
                            <a:stretch>
                              <a:fillRect/>
                            </a:stretch>
                          </pic:blipFill>
                          <pic:spPr>
                            <a:xfrm>
                              <a:off x="0" y="0"/>
                              <a:ext cx="5731510" cy="2038350"/>
                            </a:xfrm>
                            <a:prstGeom prst="rect">
                              <a:avLst/>
                            </a:prstGeom>
                            <a:ln>
                              <a:solidFill>
                                <a:schemeClr val="tx1"/>
                              </a:solidFill>
                            </a:ln>
                          </pic:spPr>
                        </pic:pic>
                      </a:graphicData>
                    </a:graphic>
                  </wp:inline>
                </w:drawing>
              </w:r>
            </w:p>
            <w:p w14:paraId="2621E685" w14:textId="77777777" w:rsidR="00E72457" w:rsidRPr="00F72840" w:rsidRDefault="00E72457" w:rsidP="00E72457">
              <w:pPr>
                <w:tabs>
                  <w:tab w:val="left" w:pos="2903"/>
                </w:tabs>
                <w:spacing w:line="360" w:lineRule="auto"/>
                <w:rPr>
                  <w:rFonts w:asciiTheme="majorBidi" w:hAnsiTheme="majorBidi" w:cstheme="majorBidi"/>
                  <w:lang w:val="en-US"/>
                </w:rPr>
              </w:pPr>
              <w:r w:rsidRPr="00F72840">
                <w:rPr>
                  <w:rFonts w:asciiTheme="majorBidi" w:hAnsiTheme="majorBidi" w:cstheme="majorBidi"/>
                  <w:lang w:val="en-US"/>
                </w:rPr>
                <w:t xml:space="preserve">Panel </w:t>
              </w:r>
              <w:r>
                <w:rPr>
                  <w:rFonts w:asciiTheme="majorBidi" w:hAnsiTheme="majorBidi" w:cstheme="majorBidi"/>
                  <w:lang w:val="en-US"/>
                </w:rPr>
                <w:t>D</w:t>
              </w:r>
              <w:r w:rsidRPr="00F72840">
                <w:rPr>
                  <w:rFonts w:asciiTheme="majorBidi" w:hAnsiTheme="majorBidi" w:cstheme="majorBidi"/>
                  <w:lang w:val="en-US"/>
                </w:rPr>
                <w:t xml:space="preserve">. GBP:USD </w:t>
              </w:r>
            </w:p>
            <w:p w14:paraId="7D9531BD" w14:textId="77777777" w:rsidR="00E72457" w:rsidRPr="00F72840" w:rsidRDefault="00E72457" w:rsidP="00E72457">
              <w:pPr>
                <w:tabs>
                  <w:tab w:val="left" w:pos="2903"/>
                </w:tabs>
                <w:spacing w:line="360" w:lineRule="auto"/>
                <w:rPr>
                  <w:rFonts w:asciiTheme="majorBidi" w:hAnsiTheme="majorBidi" w:cstheme="majorBidi"/>
                  <w:lang w:val="en-US"/>
                </w:rPr>
              </w:pPr>
              <w:r w:rsidRPr="00F72840">
                <w:rPr>
                  <w:rFonts w:asciiTheme="majorBidi" w:hAnsiTheme="majorBidi" w:cstheme="majorBidi"/>
                  <w:noProof/>
                  <w:lang w:val="en-US" w:eastAsia="en-US"/>
                </w:rPr>
                <w:drawing>
                  <wp:inline distT="0" distB="0" distL="0" distR="0" wp14:anchorId="7140DEF0" wp14:editId="60B58ACE">
                    <wp:extent cx="5731510" cy="2190750"/>
                    <wp:effectExtent l="19050" t="19050" r="2159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PUSDW.bmp"/>
                            <pic:cNvPicPr/>
                          </pic:nvPicPr>
                          <pic:blipFill>
                            <a:blip r:embed="rId16">
                              <a:extLst>
                                <a:ext uri="{28A0092B-C50C-407E-A947-70E740481C1C}">
                                  <a14:useLocalDpi xmlns:a14="http://schemas.microsoft.com/office/drawing/2010/main" val="0"/>
                                </a:ext>
                              </a:extLst>
                            </a:blip>
                            <a:stretch>
                              <a:fillRect/>
                            </a:stretch>
                          </pic:blipFill>
                          <pic:spPr>
                            <a:xfrm>
                              <a:off x="0" y="0"/>
                              <a:ext cx="5731510" cy="2190750"/>
                            </a:xfrm>
                            <a:prstGeom prst="rect">
                              <a:avLst/>
                            </a:prstGeom>
                            <a:ln>
                              <a:solidFill>
                                <a:schemeClr val="tx1"/>
                              </a:solidFill>
                            </a:ln>
                          </pic:spPr>
                        </pic:pic>
                      </a:graphicData>
                    </a:graphic>
                  </wp:inline>
                </w:drawing>
              </w:r>
            </w:p>
            <w:p w14:paraId="5FA20D0E" w14:textId="77777777" w:rsidR="00E72457" w:rsidRPr="00F72840" w:rsidRDefault="00E72457" w:rsidP="00E72457">
              <w:pPr>
                <w:tabs>
                  <w:tab w:val="left" w:pos="2903"/>
                </w:tabs>
                <w:spacing w:line="360" w:lineRule="auto"/>
                <w:rPr>
                  <w:rFonts w:asciiTheme="majorBidi" w:hAnsiTheme="majorBidi" w:cstheme="majorBidi"/>
                  <w:lang w:val="en-US"/>
                </w:rPr>
              </w:pPr>
              <w:r w:rsidRPr="00F72840">
                <w:rPr>
                  <w:rFonts w:asciiTheme="majorBidi" w:hAnsiTheme="majorBidi" w:cstheme="majorBidi"/>
                  <w:lang w:val="en-US"/>
                </w:rPr>
                <w:t xml:space="preserve">Panel </w:t>
              </w:r>
              <w:r>
                <w:rPr>
                  <w:rFonts w:asciiTheme="majorBidi" w:hAnsiTheme="majorBidi" w:cstheme="majorBidi"/>
                  <w:lang w:val="en-US"/>
                </w:rPr>
                <w:t>E</w:t>
              </w:r>
              <w:r w:rsidRPr="00F72840">
                <w:rPr>
                  <w:rFonts w:asciiTheme="majorBidi" w:hAnsiTheme="majorBidi" w:cstheme="majorBidi"/>
                  <w:lang w:val="en-US"/>
                </w:rPr>
                <w:t xml:space="preserve">: USD:JPY </w:t>
              </w:r>
            </w:p>
            <w:p w14:paraId="66DBB36A" w14:textId="77777777" w:rsidR="00E72457" w:rsidRPr="00F72840" w:rsidRDefault="00E72457" w:rsidP="00E72457">
              <w:pPr>
                <w:tabs>
                  <w:tab w:val="left" w:pos="945"/>
                </w:tabs>
                <w:spacing w:line="360" w:lineRule="auto"/>
                <w:rPr>
                  <w:rFonts w:asciiTheme="majorBidi" w:hAnsiTheme="majorBidi" w:cstheme="majorBidi"/>
                  <w:lang w:val="en-US"/>
                </w:rPr>
              </w:pPr>
              <w:r w:rsidRPr="00F72840">
                <w:rPr>
                  <w:rFonts w:asciiTheme="majorBidi" w:hAnsiTheme="majorBidi" w:cstheme="majorBidi"/>
                  <w:noProof/>
                  <w:lang w:val="en-US" w:eastAsia="en-US"/>
                </w:rPr>
                <w:drawing>
                  <wp:inline distT="0" distB="0" distL="0" distR="0" wp14:anchorId="2F9AF726" wp14:editId="67083F60">
                    <wp:extent cx="5729298" cy="2038350"/>
                    <wp:effectExtent l="19050" t="19050" r="2413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YUSDW.bmp"/>
                            <pic:cNvPicPr/>
                          </pic:nvPicPr>
                          <pic:blipFill>
                            <a:blip r:embed="rId17">
                              <a:extLst>
                                <a:ext uri="{28A0092B-C50C-407E-A947-70E740481C1C}">
                                  <a14:useLocalDpi xmlns:a14="http://schemas.microsoft.com/office/drawing/2010/main" val="0"/>
                                </a:ext>
                              </a:extLst>
                            </a:blip>
                            <a:stretch>
                              <a:fillRect/>
                            </a:stretch>
                          </pic:blipFill>
                          <pic:spPr>
                            <a:xfrm>
                              <a:off x="0" y="0"/>
                              <a:ext cx="5748028" cy="2045014"/>
                            </a:xfrm>
                            <a:prstGeom prst="rect">
                              <a:avLst/>
                            </a:prstGeom>
                            <a:ln>
                              <a:solidFill>
                                <a:schemeClr val="tx1"/>
                              </a:solidFill>
                            </a:ln>
                          </pic:spPr>
                        </pic:pic>
                      </a:graphicData>
                    </a:graphic>
                  </wp:inline>
                </w:drawing>
              </w:r>
            </w:p>
            <w:p w14:paraId="157EE7D7" w14:textId="77777777" w:rsidR="00E72457" w:rsidRDefault="00E72457" w:rsidP="00E72457">
              <w:pPr>
                <w:pStyle w:val="Para2"/>
                <w:spacing w:line="480" w:lineRule="auto"/>
              </w:pPr>
            </w:p>
            <w:p w14:paraId="3230BFD9" w14:textId="069C2129" w:rsidR="00B932D5" w:rsidRPr="002F5246" w:rsidRDefault="00E72457" w:rsidP="00E72457">
              <w:pPr>
                <w:pStyle w:val="Para2"/>
                <w:spacing w:line="240" w:lineRule="auto"/>
                <w:ind w:firstLine="0"/>
              </w:pPr>
              <w:r w:rsidRPr="00F811CF">
                <w:rPr>
                  <w:sz w:val="22"/>
                  <w:szCs w:val="20"/>
                </w:rPr>
                <w:t xml:space="preserve">This figure </w:t>
              </w:r>
              <w:r w:rsidRPr="00F811CF">
                <w:rPr>
                  <w:rFonts w:ascii="Times New Roman" w:hAnsi="Times New Roman" w:cs="Times New Roman"/>
                  <w:sz w:val="22"/>
                  <w:szCs w:val="20"/>
                  <w:lang w:bidi="fa-IR"/>
                </w:rPr>
                <w:t>illustrates</w:t>
              </w:r>
              <w:r w:rsidRPr="00F811CF">
                <w:rPr>
                  <w:sz w:val="22"/>
                  <w:szCs w:val="20"/>
                </w:rPr>
                <w:t xml:space="preserve"> the identified network of manipulators for each of the five currency pairs. In order to identify the network of manipulators, the network connection and strength is determined by the number of the times that any two banks have a significant ManIx for a currency pair on a same day. The weight on each link demonstrates the number of days that a specific pair of dealers may have colluded together. The grey, black, and grey dashed lines illustrate collusion between dealers in manipulating bid, ask, and both bid and ask prices, respectively. </w:t>
              </w:r>
            </w:p>
          </w:sdtContent>
        </w:sdt>
      </w:sdtContent>
    </w:sdt>
    <w:p w14:paraId="5AA47BF5" w14:textId="03E49947" w:rsidR="0035248E" w:rsidRPr="0051352B" w:rsidRDefault="00A31378" w:rsidP="0051352B">
      <w:pPr>
        <w:pStyle w:val="Heading1"/>
        <w:rPr>
          <w:b w:val="0"/>
          <w:bCs w:val="0"/>
          <w:lang w:val="en-US"/>
        </w:rPr>
      </w:pPr>
      <w:r w:rsidRPr="002F5246">
        <w:rPr>
          <w:rStyle w:val="Heading1Char"/>
          <w:b/>
          <w:bCs/>
        </w:rPr>
        <w:lastRenderedPageBreak/>
        <w:t>Notes</w:t>
      </w:r>
    </w:p>
    <w:sectPr w:rsidR="0035248E" w:rsidRPr="0051352B" w:rsidSect="002F524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37DC5" w14:textId="77777777" w:rsidR="00D2790C" w:rsidRDefault="00D2790C" w:rsidP="00BA3344">
      <w:pPr>
        <w:spacing w:line="240" w:lineRule="auto"/>
      </w:pPr>
      <w:r>
        <w:separator/>
      </w:r>
    </w:p>
  </w:endnote>
  <w:endnote w:type="continuationSeparator" w:id="0">
    <w:p w14:paraId="2989BDCC" w14:textId="77777777" w:rsidR="00D2790C" w:rsidRDefault="00D2790C" w:rsidP="00BA3344">
      <w:pPr>
        <w:spacing w:line="240" w:lineRule="auto"/>
      </w:pPr>
      <w:r>
        <w:continuationSeparator/>
      </w:r>
    </w:p>
  </w:endnote>
  <w:endnote w:type="continuationNotice" w:id="1">
    <w:p w14:paraId="3862CFAC" w14:textId="77777777" w:rsidR="00D2790C" w:rsidRDefault="00D2790C">
      <w:pPr>
        <w:spacing w:line="240" w:lineRule="auto"/>
      </w:pPr>
    </w:p>
  </w:endnote>
  <w:endnote w:id="2">
    <w:p w14:paraId="01A00062" w14:textId="330EEBEC" w:rsidR="0011095A" w:rsidRPr="002F5246" w:rsidRDefault="0011095A" w:rsidP="00654D80">
      <w:pPr>
        <w:pStyle w:val="EndnoteText"/>
        <w:rPr>
          <w:sz w:val="20"/>
        </w:rPr>
      </w:pPr>
      <w:r w:rsidRPr="002F5246">
        <w:rPr>
          <w:rStyle w:val="EndnoteReference"/>
          <w:sz w:val="20"/>
        </w:rPr>
        <w:endnoteRef/>
      </w:r>
      <w:r w:rsidRPr="002F5246">
        <w:rPr>
          <w:sz w:val="20"/>
        </w:rPr>
        <w:t xml:space="preserve"> </w:t>
      </w:r>
      <w:r w:rsidRPr="002F5246">
        <w:rPr>
          <w:sz w:val="20"/>
          <w:lang w:val="en-US"/>
        </w:rPr>
        <w:t>The economic importance of the WMR fix rate arises from its application in the valuation of equity portfolios and derivatives (Evans 2018).</w:t>
      </w:r>
    </w:p>
  </w:endnote>
  <w:endnote w:id="3">
    <w:p w14:paraId="3F7E21A2" w14:textId="3C78BA9E" w:rsidR="0011095A" w:rsidRPr="002F5246" w:rsidRDefault="0011095A" w:rsidP="00196B13">
      <w:pPr>
        <w:pStyle w:val="Footnotes"/>
        <w:spacing w:line="240" w:lineRule="auto"/>
        <w:ind w:left="0" w:firstLine="0"/>
        <w:jc w:val="both"/>
        <w:rPr>
          <w:sz w:val="20"/>
          <w:szCs w:val="20"/>
          <w:lang w:val="en-US"/>
        </w:rPr>
      </w:pPr>
      <w:r w:rsidRPr="002F5246">
        <w:rPr>
          <w:rStyle w:val="EndnoteReference"/>
          <w:sz w:val="20"/>
          <w:szCs w:val="20"/>
        </w:rPr>
        <w:endnoteRef/>
      </w:r>
      <w:r w:rsidRPr="002F5246">
        <w:rPr>
          <w:sz w:val="20"/>
          <w:szCs w:val="20"/>
        </w:rPr>
        <w:t xml:space="preserve"> </w:t>
      </w:r>
      <w:r w:rsidRPr="002F5246">
        <w:rPr>
          <w:sz w:val="20"/>
          <w:szCs w:val="22"/>
          <w:lang w:val="en-US"/>
        </w:rPr>
        <w:t xml:space="preserve">On June 12, 2013, Bloomberg news reported that traders in five banks manipulated the fix rate affecting $3,600,000,000,000 assets “in funds including pension and savings accounts that track global indexes” (Vaughan et al, 2013). The breaking of this news triggered 20 investigations in 10 countries and the European Union (Bloomberg Visual Data 2015) resulting in $11,800,000,000 fines as of </w:t>
      </w:r>
      <w:r w:rsidR="008B3821" w:rsidRPr="002F5246">
        <w:rPr>
          <w:sz w:val="20"/>
          <w:szCs w:val="22"/>
          <w:lang w:val="en-US"/>
        </w:rPr>
        <w:t>December</w:t>
      </w:r>
      <w:r w:rsidRPr="002F5246">
        <w:rPr>
          <w:sz w:val="20"/>
          <w:szCs w:val="22"/>
          <w:lang w:val="en-US"/>
        </w:rPr>
        <w:t xml:space="preserve"> 2015.</w:t>
      </w:r>
    </w:p>
    <w:p w14:paraId="0193A153" w14:textId="77777777" w:rsidR="0011095A" w:rsidRPr="002F5246" w:rsidRDefault="0011095A" w:rsidP="00654D80">
      <w:pPr>
        <w:pStyle w:val="Footnotes"/>
        <w:spacing w:line="240" w:lineRule="auto"/>
        <w:ind w:left="0" w:firstLine="0"/>
        <w:jc w:val="both"/>
        <w:rPr>
          <w:sz w:val="20"/>
          <w:szCs w:val="20"/>
        </w:rPr>
      </w:pPr>
    </w:p>
  </w:endnote>
  <w:endnote w:id="4">
    <w:p w14:paraId="4E6F8FCF" w14:textId="0C4FF69B" w:rsidR="0011095A" w:rsidRPr="002F5246" w:rsidRDefault="0011095A" w:rsidP="00654D80">
      <w:pPr>
        <w:pStyle w:val="FootnoteText"/>
        <w:spacing w:line="240" w:lineRule="auto"/>
        <w:ind w:left="0" w:firstLine="0"/>
        <w:jc w:val="both"/>
        <w:rPr>
          <w:sz w:val="20"/>
        </w:rPr>
      </w:pPr>
      <w:r w:rsidRPr="002F5246">
        <w:rPr>
          <w:rStyle w:val="EndnoteReference"/>
          <w:sz w:val="20"/>
        </w:rPr>
        <w:endnoteRef/>
      </w:r>
      <w:r w:rsidRPr="002F5246">
        <w:rPr>
          <w:sz w:val="20"/>
        </w:rPr>
        <w:t xml:space="preserve"> </w:t>
      </w:r>
      <w:r w:rsidRPr="002F5246">
        <w:rPr>
          <w:rFonts w:asciiTheme="majorBidi" w:hAnsiTheme="majorBidi" w:cstheme="majorBidi"/>
          <w:sz w:val="20"/>
          <w:lang w:val="en-US"/>
        </w:rPr>
        <w:t>The Bank for International Settlement’s estimated share of automated spot trading in the FX market is 24.7% of $4.124 billion (BIS 2011). Rime and Schrimpf (2013 p.40) report that “EBS estimates that around 30%-35% of volume on its trading platform is HFT-driven.”</w:t>
      </w:r>
    </w:p>
  </w:endnote>
  <w:endnote w:id="5">
    <w:p w14:paraId="5B277AE0" w14:textId="4D30A54D" w:rsidR="0011095A" w:rsidRPr="002F5246" w:rsidRDefault="0011095A" w:rsidP="004B4357">
      <w:pPr>
        <w:pStyle w:val="Footnotes"/>
        <w:spacing w:line="240" w:lineRule="auto"/>
        <w:ind w:left="0" w:firstLine="0"/>
        <w:jc w:val="both"/>
        <w:rPr>
          <w:sz w:val="20"/>
          <w:szCs w:val="20"/>
        </w:rPr>
      </w:pPr>
      <w:r w:rsidRPr="002F5246">
        <w:rPr>
          <w:rStyle w:val="EndnoteReference"/>
          <w:sz w:val="20"/>
          <w:szCs w:val="20"/>
        </w:rPr>
        <w:endnoteRef/>
      </w:r>
      <w:r w:rsidRPr="002F5246">
        <w:rPr>
          <w:sz w:val="20"/>
          <w:szCs w:val="20"/>
        </w:rPr>
        <w:t xml:space="preserve"> </w:t>
      </w:r>
      <w:r w:rsidRPr="002F5246">
        <w:rPr>
          <w:rFonts w:asciiTheme="majorBidi" w:hAnsiTheme="majorBidi" w:cstheme="majorBidi"/>
          <w:sz w:val="20"/>
          <w:szCs w:val="20"/>
          <w:lang w:val="en-US"/>
        </w:rPr>
        <w:t>See section 2.1 for further discussion of the quote driven nature of the FX market.</w:t>
      </w:r>
    </w:p>
  </w:endnote>
  <w:endnote w:id="6">
    <w:p w14:paraId="24459091" w14:textId="30FF4E95" w:rsidR="0011095A" w:rsidRPr="002F5246" w:rsidRDefault="0011095A" w:rsidP="004B4357">
      <w:pPr>
        <w:pStyle w:val="Footnotes"/>
        <w:spacing w:line="240" w:lineRule="auto"/>
        <w:ind w:left="0" w:firstLine="0"/>
        <w:jc w:val="both"/>
        <w:rPr>
          <w:rFonts w:asciiTheme="majorBidi" w:hAnsiTheme="majorBidi" w:cstheme="majorBidi"/>
          <w:sz w:val="20"/>
          <w:szCs w:val="20"/>
          <w:lang w:val="en-US"/>
        </w:rPr>
      </w:pPr>
      <w:r w:rsidRPr="002F5246">
        <w:rPr>
          <w:rStyle w:val="EndnoteReference"/>
          <w:sz w:val="20"/>
          <w:szCs w:val="20"/>
        </w:rPr>
        <w:endnoteRef/>
      </w:r>
      <w:r w:rsidRPr="002F5246">
        <w:rPr>
          <w:sz w:val="20"/>
          <w:szCs w:val="20"/>
        </w:rPr>
        <w:t xml:space="preserve"> </w:t>
      </w:r>
      <w:r w:rsidRPr="002F5246">
        <w:rPr>
          <w:rFonts w:asciiTheme="majorBidi" w:hAnsiTheme="majorBidi" w:cstheme="majorBidi"/>
          <w:sz w:val="20"/>
          <w:szCs w:val="20"/>
          <w:lang w:val="en-US"/>
        </w:rPr>
        <w:t>Although the Electronic Broker System (EBS) is known as the main venue for the price discovery of the Euro and Yen (Cabrera et al, 2009), Thomson Reuters claims that it matches the venues that are providing liquidity in the EBS (Thomson Reuters 2014).</w:t>
      </w:r>
    </w:p>
    <w:p w14:paraId="4D76865D" w14:textId="77777777" w:rsidR="0011095A" w:rsidRPr="002F5246" w:rsidRDefault="0011095A" w:rsidP="004B4357">
      <w:pPr>
        <w:pStyle w:val="Footnotes"/>
        <w:spacing w:line="240" w:lineRule="auto"/>
        <w:ind w:left="0" w:firstLine="0"/>
        <w:jc w:val="both"/>
        <w:rPr>
          <w:sz w:val="20"/>
          <w:szCs w:val="20"/>
        </w:rPr>
      </w:pPr>
    </w:p>
  </w:endnote>
  <w:endnote w:id="7">
    <w:p w14:paraId="7E84C2EB" w14:textId="7D7E1EA3" w:rsidR="0011095A" w:rsidRPr="002F5246" w:rsidRDefault="0011095A" w:rsidP="004B4357">
      <w:pPr>
        <w:pStyle w:val="Footnotes"/>
        <w:spacing w:line="240" w:lineRule="auto"/>
        <w:ind w:left="0" w:firstLine="0"/>
        <w:jc w:val="both"/>
        <w:rPr>
          <w:sz w:val="20"/>
          <w:szCs w:val="20"/>
          <w:lang w:val="en-US"/>
        </w:rPr>
      </w:pPr>
      <w:r w:rsidRPr="002F5246">
        <w:rPr>
          <w:rStyle w:val="EndnoteReference"/>
          <w:sz w:val="20"/>
          <w:szCs w:val="20"/>
        </w:rPr>
        <w:endnoteRef/>
      </w:r>
      <w:r w:rsidRPr="002F5246">
        <w:rPr>
          <w:sz w:val="20"/>
          <w:szCs w:val="20"/>
        </w:rPr>
        <w:t xml:space="preserve"> </w:t>
      </w:r>
      <w:r w:rsidRPr="002F5246">
        <w:rPr>
          <w:sz w:val="20"/>
          <w:szCs w:val="20"/>
          <w:lang w:val="en-US"/>
        </w:rPr>
        <w:t>From February 2015, the fixing period has increased from 1 minute (60 seconds) to 5 minutes (300 seconds).</w:t>
      </w:r>
    </w:p>
    <w:p w14:paraId="6A6A5151" w14:textId="77777777" w:rsidR="0011095A" w:rsidRPr="002F5246" w:rsidRDefault="0011095A" w:rsidP="004B4357">
      <w:pPr>
        <w:pStyle w:val="Footnotes"/>
        <w:spacing w:line="240" w:lineRule="auto"/>
        <w:ind w:left="0" w:firstLine="0"/>
        <w:jc w:val="both"/>
        <w:rPr>
          <w:sz w:val="20"/>
          <w:szCs w:val="20"/>
        </w:rPr>
      </w:pPr>
    </w:p>
  </w:endnote>
  <w:endnote w:id="8">
    <w:p w14:paraId="25CF79BC" w14:textId="1B93EF7A" w:rsidR="0011095A" w:rsidRPr="002F5246" w:rsidRDefault="0011095A" w:rsidP="004B4357">
      <w:pPr>
        <w:pStyle w:val="EndnoteText"/>
        <w:rPr>
          <w:rFonts w:asciiTheme="majorBidi" w:hAnsiTheme="majorBidi" w:cstheme="majorBidi"/>
          <w:sz w:val="20"/>
          <w:lang w:val="en-US"/>
        </w:rPr>
      </w:pPr>
      <w:r w:rsidRPr="002F5246">
        <w:rPr>
          <w:rStyle w:val="EndnoteReference"/>
          <w:sz w:val="20"/>
        </w:rPr>
        <w:endnoteRef/>
      </w:r>
      <w:r w:rsidRPr="002F5246">
        <w:rPr>
          <w:sz w:val="20"/>
        </w:rPr>
        <w:t xml:space="preserve"> </w:t>
      </w:r>
      <w:r w:rsidRPr="002F5246">
        <w:rPr>
          <w:rFonts w:asciiTheme="majorBidi" w:hAnsiTheme="majorBidi" w:cstheme="majorBidi"/>
          <w:sz w:val="20"/>
          <w:lang w:val="en-US"/>
        </w:rPr>
        <w:t>It is difficult to observe dealers’ real intentions. In practice, we use the observed final median as a measure of dealers’ manipulation targets. This design captures only successful manipulative attempts. In other words, our approach is a conservative estimate of the true manipulation in the market.</w:t>
      </w:r>
    </w:p>
    <w:p w14:paraId="1556E115" w14:textId="77777777" w:rsidR="0011095A" w:rsidRPr="002F5246" w:rsidRDefault="0011095A" w:rsidP="004B4357">
      <w:pPr>
        <w:pStyle w:val="EndnoteText"/>
        <w:rPr>
          <w:sz w:val="20"/>
        </w:rPr>
      </w:pPr>
    </w:p>
  </w:endnote>
  <w:endnote w:id="9">
    <w:p w14:paraId="5BE4DC5E" w14:textId="39F3D9B8" w:rsidR="0011095A" w:rsidRPr="002F5246" w:rsidRDefault="0011095A" w:rsidP="004B4357">
      <w:pPr>
        <w:pStyle w:val="EndnoteText"/>
        <w:rPr>
          <w:sz w:val="20"/>
          <w:lang w:val="en-US"/>
        </w:rPr>
      </w:pPr>
      <w:r w:rsidRPr="002F5246">
        <w:rPr>
          <w:rStyle w:val="EndnoteReference"/>
          <w:sz w:val="20"/>
        </w:rPr>
        <w:endnoteRef/>
      </w:r>
      <w:r w:rsidRPr="002F5246">
        <w:rPr>
          <w:sz w:val="20"/>
        </w:rPr>
        <w:t xml:space="preserve"> </w:t>
      </w:r>
      <w:r w:rsidRPr="002F5246">
        <w:rPr>
          <w:sz w:val="20"/>
          <w:lang w:val="en-US"/>
        </w:rPr>
        <w:t>Such a bootstrap design also has the important benefit of controlling for a size effect as we discuss later in the methodology session.</w:t>
      </w:r>
    </w:p>
    <w:p w14:paraId="5AF43671" w14:textId="77777777" w:rsidR="0011095A" w:rsidRPr="002F5246" w:rsidRDefault="0011095A" w:rsidP="004B4357">
      <w:pPr>
        <w:pStyle w:val="EndnoteText"/>
        <w:rPr>
          <w:sz w:val="20"/>
        </w:rPr>
      </w:pPr>
    </w:p>
  </w:endnote>
  <w:endnote w:id="10">
    <w:p w14:paraId="77A675E1" w14:textId="42B82AE8" w:rsidR="0011095A" w:rsidRPr="002F5246" w:rsidRDefault="0011095A" w:rsidP="00794124">
      <w:pPr>
        <w:pStyle w:val="EndnoteText"/>
        <w:rPr>
          <w:sz w:val="20"/>
          <w:lang w:val="en-US"/>
        </w:rPr>
      </w:pPr>
      <w:r w:rsidRPr="002F5246">
        <w:rPr>
          <w:rStyle w:val="EndnoteReference"/>
          <w:sz w:val="20"/>
        </w:rPr>
        <w:endnoteRef/>
      </w:r>
      <w:r w:rsidRPr="002F5246">
        <w:rPr>
          <w:sz w:val="20"/>
        </w:rPr>
        <w:t xml:space="preserve"> </w:t>
      </w:r>
      <w:r w:rsidRPr="002F5246">
        <w:rPr>
          <w:sz w:val="20"/>
          <w:lang w:val="en-US"/>
        </w:rPr>
        <w:t xml:space="preserve">Although we take great comfort that the banks identified via our methodology are close to the regulatory investigations’ findings, we recognize that there may be false positives in our test. Not </w:t>
      </w:r>
      <w:r w:rsidR="008B3821" w:rsidRPr="002F5246">
        <w:rPr>
          <w:sz w:val="20"/>
          <w:lang w:val="en-US"/>
        </w:rPr>
        <w:t>all</w:t>
      </w:r>
      <w:r w:rsidRPr="002F5246">
        <w:rPr>
          <w:sz w:val="20"/>
          <w:lang w:val="en-US"/>
        </w:rPr>
        <w:t xml:space="preserve"> the banks that we have identified have been investigated by the regulators. Whether or not these are false positive will only be found if regulators initiate investigations and release their findings.</w:t>
      </w:r>
    </w:p>
    <w:p w14:paraId="480542E8" w14:textId="77777777" w:rsidR="0011095A" w:rsidRPr="002F5246" w:rsidRDefault="0011095A" w:rsidP="00794124">
      <w:pPr>
        <w:pStyle w:val="EndnoteText"/>
        <w:rPr>
          <w:sz w:val="20"/>
        </w:rPr>
      </w:pPr>
    </w:p>
  </w:endnote>
  <w:endnote w:id="11">
    <w:p w14:paraId="4E456BF0" w14:textId="77777777" w:rsidR="0011095A" w:rsidRPr="002F5246" w:rsidRDefault="0011095A" w:rsidP="007253C2">
      <w:pPr>
        <w:pStyle w:val="EndnoteText"/>
        <w:rPr>
          <w:sz w:val="20"/>
        </w:rPr>
      </w:pPr>
      <w:r w:rsidRPr="002F5246">
        <w:rPr>
          <w:rStyle w:val="EndnoteReference"/>
          <w:sz w:val="20"/>
        </w:rPr>
        <w:endnoteRef/>
      </w:r>
      <w:r w:rsidRPr="002F5246">
        <w:rPr>
          <w:sz w:val="20"/>
        </w:rPr>
        <w:t xml:space="preserve"> </w:t>
      </w:r>
      <w:r w:rsidRPr="002F5246">
        <w:rPr>
          <w:rFonts w:asciiTheme="majorBidi" w:hAnsiTheme="majorBidi" w:cstheme="majorBidi"/>
          <w:sz w:val="20"/>
          <w:lang w:val="en-US"/>
        </w:rPr>
        <w:t>“In response to the rapidly changing financial landscape the FCA set up Project Innovate and so regulators are working to keep up with new business models entering the financial system” (Government Office for Science 2015).</w:t>
      </w:r>
    </w:p>
  </w:endnote>
  <w:endnote w:id="12">
    <w:p w14:paraId="6BF8F344" w14:textId="5B2C846B" w:rsidR="0011095A" w:rsidRPr="002F5246" w:rsidRDefault="0011095A" w:rsidP="009B7FB5">
      <w:pPr>
        <w:pStyle w:val="Footnotes"/>
        <w:spacing w:line="240" w:lineRule="auto"/>
        <w:ind w:left="0" w:firstLine="0"/>
        <w:jc w:val="both"/>
        <w:rPr>
          <w:rFonts w:asciiTheme="majorBidi" w:hAnsiTheme="majorBidi" w:cstheme="majorBidi"/>
          <w:sz w:val="20"/>
          <w:szCs w:val="20"/>
          <w:lang w:val="en-US"/>
        </w:rPr>
      </w:pPr>
      <w:r w:rsidRPr="002F5246">
        <w:rPr>
          <w:rStyle w:val="EndnoteReference"/>
          <w:sz w:val="20"/>
          <w:szCs w:val="20"/>
        </w:rPr>
        <w:endnoteRef/>
      </w:r>
      <w:r w:rsidRPr="002F5246">
        <w:rPr>
          <w:sz w:val="20"/>
          <w:szCs w:val="20"/>
        </w:rPr>
        <w:t xml:space="preserve"> </w:t>
      </w:r>
      <w:r w:rsidRPr="002F5246">
        <w:rPr>
          <w:rFonts w:asciiTheme="majorBidi" w:hAnsiTheme="majorBidi" w:cstheme="majorBidi"/>
          <w:sz w:val="20"/>
          <w:szCs w:val="20"/>
          <w:lang w:val="en-US"/>
        </w:rPr>
        <w:t>See section 2.1 for further details.</w:t>
      </w:r>
    </w:p>
    <w:p w14:paraId="10B6D109" w14:textId="77777777" w:rsidR="0011095A" w:rsidRPr="002F5246" w:rsidRDefault="0011095A" w:rsidP="004B4357">
      <w:pPr>
        <w:pStyle w:val="Footnotes"/>
        <w:spacing w:line="240" w:lineRule="auto"/>
        <w:ind w:left="0" w:firstLine="0"/>
        <w:jc w:val="both"/>
        <w:rPr>
          <w:sz w:val="20"/>
          <w:szCs w:val="20"/>
        </w:rPr>
      </w:pPr>
    </w:p>
  </w:endnote>
  <w:endnote w:id="13">
    <w:p w14:paraId="44C93B93" w14:textId="7A9BE8BE" w:rsidR="0011095A" w:rsidRPr="002F5246" w:rsidRDefault="0011095A" w:rsidP="004B4357">
      <w:pPr>
        <w:pStyle w:val="EndnoteText"/>
        <w:rPr>
          <w:rFonts w:asciiTheme="majorBidi" w:eastAsia="Calibri" w:hAnsiTheme="majorBidi" w:cstheme="majorBidi"/>
          <w:sz w:val="20"/>
          <w:lang w:val="en-US"/>
        </w:rPr>
      </w:pPr>
      <w:r w:rsidRPr="002F5246">
        <w:rPr>
          <w:rStyle w:val="EndnoteReference"/>
          <w:sz w:val="20"/>
        </w:rPr>
        <w:endnoteRef/>
      </w:r>
      <w:r w:rsidRPr="002F5246">
        <w:rPr>
          <w:sz w:val="20"/>
        </w:rPr>
        <w:t xml:space="preserve"> </w:t>
      </w:r>
      <w:r w:rsidRPr="002F5246">
        <w:rPr>
          <w:rFonts w:asciiTheme="majorBidi" w:eastAsia="Calibri" w:hAnsiTheme="majorBidi" w:cstheme="majorBidi"/>
          <w:sz w:val="20"/>
          <w:lang w:val="en-US"/>
        </w:rPr>
        <w:t xml:space="preserve">These two ways that a quote becomes a trade shows that every trade is not necessarily </w:t>
      </w:r>
      <w:r w:rsidR="004F7B65" w:rsidRPr="002F5246">
        <w:rPr>
          <w:rFonts w:asciiTheme="majorBidi" w:eastAsia="Calibri" w:hAnsiTheme="majorBidi" w:cstheme="majorBidi"/>
          <w:sz w:val="20"/>
          <w:lang w:val="en-US"/>
        </w:rPr>
        <w:t>executed</w:t>
      </w:r>
      <w:r w:rsidRPr="002F5246">
        <w:rPr>
          <w:rFonts w:asciiTheme="majorBidi" w:eastAsia="Calibri" w:hAnsiTheme="majorBidi" w:cstheme="majorBidi"/>
          <w:sz w:val="20"/>
          <w:lang w:val="en-US"/>
        </w:rPr>
        <w:t xml:space="preserve"> at the best price.</w:t>
      </w:r>
    </w:p>
    <w:p w14:paraId="458E5A83" w14:textId="77777777" w:rsidR="0011095A" w:rsidRPr="002F5246" w:rsidRDefault="0011095A" w:rsidP="004B4357">
      <w:pPr>
        <w:pStyle w:val="EndnoteText"/>
        <w:rPr>
          <w:sz w:val="20"/>
        </w:rPr>
      </w:pPr>
    </w:p>
  </w:endnote>
  <w:endnote w:id="14">
    <w:p w14:paraId="1842483F" w14:textId="6E7D1282" w:rsidR="0011095A" w:rsidRPr="002F5246" w:rsidRDefault="0011095A" w:rsidP="004B4357">
      <w:pPr>
        <w:pStyle w:val="EndnoteText"/>
        <w:rPr>
          <w:rFonts w:asciiTheme="majorBidi" w:hAnsiTheme="majorBidi" w:cstheme="majorBidi"/>
          <w:sz w:val="20"/>
          <w:lang w:val="en-US"/>
        </w:rPr>
      </w:pPr>
      <w:r w:rsidRPr="002F5246">
        <w:rPr>
          <w:rStyle w:val="EndnoteReference"/>
          <w:sz w:val="20"/>
        </w:rPr>
        <w:endnoteRef/>
      </w:r>
      <w:r w:rsidRPr="002F5246">
        <w:rPr>
          <w:sz w:val="20"/>
        </w:rPr>
        <w:t xml:space="preserve"> </w:t>
      </w:r>
      <w:r w:rsidRPr="002F5246">
        <w:rPr>
          <w:rFonts w:asciiTheme="majorBidi" w:hAnsiTheme="majorBidi" w:cstheme="majorBidi"/>
          <w:sz w:val="20"/>
          <w:lang w:val="en-US"/>
        </w:rPr>
        <w:t>Explanatory memorandum to the Financial Services and Markets Act 2000 (regulated activities) (amendment) order 2015 no. 369, section 2, by HM treasury.</w:t>
      </w:r>
    </w:p>
    <w:p w14:paraId="4F3BFFA9" w14:textId="77777777" w:rsidR="0011095A" w:rsidRPr="002F5246" w:rsidRDefault="0011095A" w:rsidP="004B4357">
      <w:pPr>
        <w:pStyle w:val="EndnoteText"/>
        <w:rPr>
          <w:sz w:val="20"/>
        </w:rPr>
      </w:pPr>
    </w:p>
  </w:endnote>
  <w:endnote w:id="15">
    <w:p w14:paraId="22965F25" w14:textId="190FB02B" w:rsidR="0011095A" w:rsidRPr="002F5246" w:rsidRDefault="0011095A" w:rsidP="00C07A68">
      <w:pPr>
        <w:pStyle w:val="EndnoteText"/>
        <w:rPr>
          <w:sz w:val="20"/>
          <w:lang w:val="en-US"/>
        </w:rPr>
      </w:pPr>
      <w:r w:rsidRPr="002F5246">
        <w:rPr>
          <w:rStyle w:val="EndnoteReference"/>
          <w:sz w:val="20"/>
        </w:rPr>
        <w:endnoteRef/>
      </w:r>
      <w:r w:rsidRPr="002F5246">
        <w:rPr>
          <w:sz w:val="20"/>
        </w:rPr>
        <w:t xml:space="preserve"> </w:t>
      </w:r>
      <w:r w:rsidRPr="002F5246">
        <w:rPr>
          <w:sz w:val="20"/>
          <w:lang w:val="en-US"/>
        </w:rPr>
        <w:t>“WM performs tolerance checks at the time the data are sourced and again after the calculation of the benchmark is complete. This may result in some captured data being excluded from the fix calculation.” (The World Market Company 2015). Though the mid-price Fix rate is the most common form of use, the Fix rate is published as bid and ask prices. As a result, in our methodology we also examine the bid and ask quotes separately to analyze the behavior of dealers.</w:t>
      </w:r>
    </w:p>
    <w:p w14:paraId="09E6170C" w14:textId="77777777" w:rsidR="0011095A" w:rsidRPr="002F5246" w:rsidRDefault="0011095A" w:rsidP="00C07A68">
      <w:pPr>
        <w:pStyle w:val="EndnoteText"/>
        <w:rPr>
          <w:sz w:val="20"/>
        </w:rPr>
      </w:pPr>
    </w:p>
  </w:endnote>
  <w:endnote w:id="16">
    <w:p w14:paraId="4EC00245" w14:textId="46C01263" w:rsidR="0011095A" w:rsidRPr="002F5246" w:rsidRDefault="0011095A">
      <w:pPr>
        <w:pStyle w:val="EndnoteText"/>
        <w:rPr>
          <w:rFonts w:asciiTheme="majorBidi" w:hAnsiTheme="majorBidi" w:cstheme="majorBidi"/>
          <w:sz w:val="20"/>
          <w:szCs w:val="22"/>
          <w:lang w:val="en-US"/>
        </w:rPr>
      </w:pPr>
      <w:r w:rsidRPr="002F5246">
        <w:rPr>
          <w:rStyle w:val="EndnoteReference"/>
        </w:rPr>
        <w:endnoteRef/>
      </w:r>
      <w:r w:rsidRPr="002F5246">
        <w:t xml:space="preserve"> </w:t>
      </w:r>
      <w:r w:rsidRPr="002F5246">
        <w:rPr>
          <w:rFonts w:asciiTheme="majorBidi" w:hAnsiTheme="majorBidi" w:cstheme="majorBidi"/>
          <w:sz w:val="20"/>
          <w:szCs w:val="22"/>
          <w:lang w:val="en-US"/>
        </w:rPr>
        <w:t>It is possible to quote a price lower than the current median while higher than the last quote price. Such a quote would be a less effective manipulation than a down tick quote (a quote that has a quote price lower than the previous quote price).</w:t>
      </w:r>
    </w:p>
    <w:p w14:paraId="518E3A1A" w14:textId="77777777" w:rsidR="008926E5" w:rsidRPr="002F5246" w:rsidRDefault="008926E5">
      <w:pPr>
        <w:pStyle w:val="EndnoteText"/>
      </w:pPr>
    </w:p>
  </w:endnote>
  <w:endnote w:id="17">
    <w:p w14:paraId="16D54FD1" w14:textId="46C948E0" w:rsidR="0011095A" w:rsidRPr="002F5246" w:rsidRDefault="0011095A" w:rsidP="006443BB">
      <w:pPr>
        <w:pStyle w:val="EndnoteText"/>
        <w:rPr>
          <w:sz w:val="20"/>
        </w:rPr>
      </w:pPr>
      <w:r w:rsidRPr="002F5246">
        <w:rPr>
          <w:rStyle w:val="EndnoteReference"/>
          <w:sz w:val="20"/>
        </w:rPr>
        <w:endnoteRef/>
      </w:r>
      <w:r w:rsidRPr="002F5246">
        <w:rPr>
          <w:sz w:val="20"/>
        </w:rPr>
        <w:t xml:space="preserve"> </w:t>
      </w:r>
      <w:r w:rsidRPr="002F5246">
        <w:rPr>
          <w:rFonts w:asciiTheme="majorBidi" w:hAnsiTheme="majorBidi" w:cstheme="majorBidi"/>
          <w:sz w:val="20"/>
          <w:lang w:val="en-US"/>
        </w:rPr>
        <w:t>The division of 1 by 0.1334 yields 7.5, which means 1 quote out of 7.5 quotes contribute to fix rate discovery.</w:t>
      </w:r>
    </w:p>
  </w:endnote>
  <w:endnote w:id="18">
    <w:p w14:paraId="1CA6A684" w14:textId="77777777" w:rsidR="0011095A" w:rsidRPr="002F5246" w:rsidRDefault="0011095A" w:rsidP="00D11A9E">
      <w:pPr>
        <w:pStyle w:val="Footnotes"/>
        <w:spacing w:line="240" w:lineRule="auto"/>
        <w:ind w:left="0" w:firstLine="0"/>
        <w:jc w:val="both"/>
        <w:rPr>
          <w:sz w:val="20"/>
          <w:szCs w:val="20"/>
          <w:lang w:val="en-US"/>
        </w:rPr>
      </w:pPr>
      <w:r w:rsidRPr="002F5246">
        <w:rPr>
          <w:rStyle w:val="EndnoteReference"/>
          <w:sz w:val="20"/>
          <w:szCs w:val="20"/>
        </w:rPr>
        <w:endnoteRef/>
      </w:r>
      <w:r w:rsidRPr="002F5246">
        <w:rPr>
          <w:sz w:val="20"/>
          <w:szCs w:val="20"/>
        </w:rPr>
        <w:t xml:space="preserve"> </w:t>
      </w:r>
      <w:r w:rsidRPr="002F5246">
        <w:rPr>
          <w:rFonts w:asciiTheme="majorBidi" w:hAnsiTheme="majorBidi" w:cstheme="majorBidi"/>
          <w:sz w:val="20"/>
          <w:szCs w:val="20"/>
          <w:lang w:val="en-US"/>
        </w:rPr>
        <w:t>Note that only dealers that have at least one significant ManIx are included in the list.</w:t>
      </w:r>
    </w:p>
    <w:p w14:paraId="09A5920A" w14:textId="4B7DAB59" w:rsidR="0011095A" w:rsidRPr="002F5246" w:rsidRDefault="0011095A">
      <w:pPr>
        <w:pStyle w:val="EndnoteText"/>
        <w:rPr>
          <w:sz w:val="20"/>
        </w:rPr>
      </w:pPr>
    </w:p>
  </w:endnote>
  <w:endnote w:id="19">
    <w:p w14:paraId="13FA823F" w14:textId="2B63EBD8" w:rsidR="0011095A" w:rsidRPr="002F5246" w:rsidRDefault="0011095A" w:rsidP="00A2088C">
      <w:pPr>
        <w:pStyle w:val="EndnoteText"/>
        <w:rPr>
          <w:sz w:val="20"/>
          <w:lang w:val="en-US" w:bidi="fa-IR"/>
        </w:rPr>
      </w:pPr>
      <w:r w:rsidRPr="002F5246">
        <w:rPr>
          <w:rStyle w:val="EndnoteReference"/>
          <w:sz w:val="20"/>
        </w:rPr>
        <w:endnoteRef/>
      </w:r>
      <w:r w:rsidRPr="002F5246">
        <w:rPr>
          <w:sz w:val="20"/>
        </w:rPr>
        <w:t xml:space="preserve"> </w:t>
      </w:r>
      <w:r w:rsidRPr="002F5246">
        <w:rPr>
          <w:sz w:val="20"/>
          <w:lang w:val="en-US" w:bidi="fa-IR"/>
        </w:rPr>
        <w:t>We remove the 15:59 because 30 seconds of the fixing window falls in this minute.</w:t>
      </w:r>
    </w:p>
    <w:p w14:paraId="335B778A" w14:textId="77777777" w:rsidR="0011095A" w:rsidRPr="002F5246" w:rsidRDefault="0011095A" w:rsidP="00A2088C">
      <w:pPr>
        <w:pStyle w:val="EndnoteText"/>
        <w:rPr>
          <w:sz w:val="20"/>
        </w:rPr>
      </w:pPr>
    </w:p>
  </w:endnote>
  <w:endnote w:id="20">
    <w:p w14:paraId="7575A272" w14:textId="79830DDF" w:rsidR="0011095A" w:rsidRPr="002F5246" w:rsidRDefault="0011095A">
      <w:pPr>
        <w:pStyle w:val="EndnoteText"/>
        <w:rPr>
          <w:rFonts w:asciiTheme="majorBidi" w:hAnsiTheme="majorBidi" w:cstheme="majorBidi"/>
          <w:sz w:val="20"/>
          <w:lang w:val="en-US"/>
        </w:rPr>
      </w:pPr>
      <w:r w:rsidRPr="002F5246">
        <w:rPr>
          <w:rStyle w:val="EndnoteReference"/>
          <w:sz w:val="20"/>
        </w:rPr>
        <w:endnoteRef/>
      </w:r>
      <w:r w:rsidRPr="002F5246">
        <w:rPr>
          <w:sz w:val="20"/>
        </w:rPr>
        <w:t xml:space="preserve"> </w:t>
      </w:r>
      <w:r w:rsidRPr="002F5246">
        <w:rPr>
          <w:rFonts w:asciiTheme="majorBidi" w:hAnsiTheme="majorBidi" w:cstheme="majorBidi"/>
          <w:sz w:val="20"/>
          <w:lang w:val="en-US"/>
        </w:rPr>
        <w:t>Although some examples of these banks’ manipulations were published by the FCA, there is no comprehensive information on the currencies that they manipulated.</w:t>
      </w:r>
    </w:p>
    <w:p w14:paraId="33B82318" w14:textId="77777777" w:rsidR="0011095A" w:rsidRPr="002F5246" w:rsidRDefault="0011095A">
      <w:pPr>
        <w:pStyle w:val="EndnoteText"/>
        <w:rPr>
          <w:sz w:val="20"/>
        </w:rPr>
      </w:pPr>
    </w:p>
  </w:endnote>
  <w:endnote w:id="21">
    <w:p w14:paraId="5B224D35" w14:textId="6EB820ED" w:rsidR="0011095A" w:rsidRPr="002F5246" w:rsidRDefault="0011095A">
      <w:pPr>
        <w:pStyle w:val="EndnoteText"/>
        <w:rPr>
          <w:sz w:val="20"/>
        </w:rPr>
      </w:pPr>
      <w:r w:rsidRPr="002F5246">
        <w:rPr>
          <w:rStyle w:val="EndnoteReference"/>
          <w:sz w:val="20"/>
        </w:rPr>
        <w:endnoteRef/>
      </w:r>
      <w:r w:rsidRPr="002F5246">
        <w:rPr>
          <w:sz w:val="20"/>
        </w:rPr>
        <w:t xml:space="preserve"> </w:t>
      </w:r>
      <w:r w:rsidRPr="002F5246">
        <w:rPr>
          <w:rFonts w:asciiTheme="majorBidi" w:hAnsiTheme="majorBidi" w:cstheme="majorBidi"/>
          <w:sz w:val="20"/>
          <w:lang w:val="en-US" w:bidi="fa-IR"/>
        </w:rPr>
        <w:t>Similarly, BoA and BNP Paribas are not in our database. These banks are more active in the EBS platform.</w:t>
      </w:r>
    </w:p>
  </w:endnote>
  <w:endnote w:id="22">
    <w:p w14:paraId="61B05A9B" w14:textId="36E6B42C" w:rsidR="002F5246" w:rsidRPr="002F5246" w:rsidRDefault="0011095A" w:rsidP="002F5246">
      <w:pPr>
        <w:pStyle w:val="Footnotes"/>
        <w:spacing w:line="240" w:lineRule="auto"/>
        <w:ind w:left="0" w:firstLine="0"/>
        <w:jc w:val="both"/>
        <w:rPr>
          <w:rFonts w:asciiTheme="majorBidi" w:hAnsiTheme="majorBidi" w:cstheme="majorBidi"/>
          <w:sz w:val="20"/>
          <w:szCs w:val="20"/>
          <w:lang w:val="en-US" w:bidi="fa-IR"/>
        </w:rPr>
      </w:pPr>
      <w:r w:rsidRPr="002F5246">
        <w:rPr>
          <w:rStyle w:val="EndnoteReference"/>
          <w:sz w:val="20"/>
          <w:szCs w:val="20"/>
        </w:rPr>
        <w:endnoteRef/>
      </w:r>
      <w:r w:rsidRPr="002F5246">
        <w:rPr>
          <w:sz w:val="20"/>
          <w:szCs w:val="20"/>
        </w:rPr>
        <w:t xml:space="preserve"> </w:t>
      </w:r>
      <w:r w:rsidRPr="002F5246">
        <w:rPr>
          <w:sz w:val="20"/>
          <w:szCs w:val="20"/>
          <w:lang w:val="en-US"/>
        </w:rPr>
        <w:t>Since manipulative quotes in each given fix section has a common target median, banks having significant manipulative behaviors can be seen as having common intended manipulative goal.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896292"/>
      <w:docPartObj>
        <w:docPartGallery w:val="Page Numbers (Bottom of Page)"/>
        <w:docPartUnique/>
      </w:docPartObj>
    </w:sdtPr>
    <w:sdtEndPr>
      <w:rPr>
        <w:noProof/>
      </w:rPr>
    </w:sdtEndPr>
    <w:sdtContent>
      <w:p w14:paraId="1E4B9A22" w14:textId="784DB636" w:rsidR="0011095A" w:rsidRDefault="0011095A">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B35DDA4" w14:textId="77777777" w:rsidR="0011095A" w:rsidRDefault="0011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AA8E9" w14:textId="77777777" w:rsidR="00D2790C" w:rsidRDefault="00D2790C" w:rsidP="00BA3344">
      <w:pPr>
        <w:spacing w:line="240" w:lineRule="auto"/>
      </w:pPr>
      <w:r>
        <w:separator/>
      </w:r>
    </w:p>
  </w:footnote>
  <w:footnote w:type="continuationSeparator" w:id="0">
    <w:p w14:paraId="52107F80" w14:textId="77777777" w:rsidR="00D2790C" w:rsidRDefault="00D2790C" w:rsidP="00BA3344">
      <w:pPr>
        <w:spacing w:line="240" w:lineRule="auto"/>
      </w:pPr>
      <w:r>
        <w:continuationSeparator/>
      </w:r>
    </w:p>
  </w:footnote>
  <w:footnote w:type="continuationNotice" w:id="1">
    <w:p w14:paraId="1760DAB9" w14:textId="77777777" w:rsidR="00D2790C" w:rsidRDefault="00D279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A365" w14:textId="77777777" w:rsidR="0011095A" w:rsidRDefault="0011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896495C"/>
    <w:multiLevelType w:val="hybridMultilevel"/>
    <w:tmpl w:val="3EBAB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066A29"/>
    <w:multiLevelType w:val="multilevel"/>
    <w:tmpl w:val="C40C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E1CB9"/>
    <w:multiLevelType w:val="hybridMultilevel"/>
    <w:tmpl w:val="44862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6F4B82"/>
    <w:multiLevelType w:val="hybridMultilevel"/>
    <w:tmpl w:val="FB9E8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7"/>
  </w:num>
  <w:num w:numId="12">
    <w:abstractNumId w:val="23"/>
  </w:num>
  <w:num w:numId="13">
    <w:abstractNumId w:val="15"/>
  </w:num>
  <w:num w:numId="14">
    <w:abstractNumId w:val="21"/>
  </w:num>
  <w:num w:numId="15">
    <w:abstractNumId w:val="19"/>
  </w:num>
  <w:num w:numId="16">
    <w:abstractNumId w:val="22"/>
  </w:num>
  <w:num w:numId="17">
    <w:abstractNumId w:val="14"/>
  </w:num>
  <w:num w:numId="18">
    <w:abstractNumId w:val="18"/>
  </w:num>
  <w:num w:numId="19">
    <w:abstractNumId w:val="11"/>
  </w:num>
  <w:num w:numId="20">
    <w:abstractNumId w:val="0"/>
  </w:num>
  <w:num w:numId="21">
    <w:abstractNumId w:val="12"/>
  </w:num>
  <w:num w:numId="22">
    <w:abstractNumId w:val="20"/>
  </w:num>
  <w:num w:numId="23">
    <w:abstractNumId w:val="24"/>
  </w:num>
  <w:num w:numId="24">
    <w:abstractNumId w:val="25"/>
  </w:num>
  <w:num w:numId="25">
    <w:abstractNumId w:val="13"/>
  </w:num>
  <w:num w:numId="26">
    <w:abstractNumId w:val="26"/>
  </w:num>
  <w:num w:numId="27">
    <w:abstractNumId w:val="2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ysDQ1NTcxMTOwMDdR0lEKTi0uzszPAykwqwUAzIX4dywAAAA="/>
  </w:docVars>
  <w:rsids>
    <w:rsidRoot w:val="00213C3F"/>
    <w:rsid w:val="00000458"/>
    <w:rsid w:val="0000136A"/>
    <w:rsid w:val="00002806"/>
    <w:rsid w:val="00004D00"/>
    <w:rsid w:val="000055EA"/>
    <w:rsid w:val="00005B06"/>
    <w:rsid w:val="0000643C"/>
    <w:rsid w:val="00006718"/>
    <w:rsid w:val="000068C9"/>
    <w:rsid w:val="00007B9D"/>
    <w:rsid w:val="00007F5F"/>
    <w:rsid w:val="000102D5"/>
    <w:rsid w:val="00010C0A"/>
    <w:rsid w:val="00011F03"/>
    <w:rsid w:val="00012600"/>
    <w:rsid w:val="000127B3"/>
    <w:rsid w:val="000129E1"/>
    <w:rsid w:val="000131F5"/>
    <w:rsid w:val="000149FC"/>
    <w:rsid w:val="00014DDA"/>
    <w:rsid w:val="00015209"/>
    <w:rsid w:val="000163DD"/>
    <w:rsid w:val="00016903"/>
    <w:rsid w:val="00016AB6"/>
    <w:rsid w:val="00017247"/>
    <w:rsid w:val="0001726A"/>
    <w:rsid w:val="00017E2C"/>
    <w:rsid w:val="0002012D"/>
    <w:rsid w:val="000208ED"/>
    <w:rsid w:val="0002140B"/>
    <w:rsid w:val="000214AF"/>
    <w:rsid w:val="0002159A"/>
    <w:rsid w:val="00022735"/>
    <w:rsid w:val="00022C12"/>
    <w:rsid w:val="00023042"/>
    <w:rsid w:val="000234F7"/>
    <w:rsid w:val="00024A67"/>
    <w:rsid w:val="00024CF9"/>
    <w:rsid w:val="00025040"/>
    <w:rsid w:val="00026070"/>
    <w:rsid w:val="000262E3"/>
    <w:rsid w:val="0002641A"/>
    <w:rsid w:val="00026958"/>
    <w:rsid w:val="00026C9D"/>
    <w:rsid w:val="000305CD"/>
    <w:rsid w:val="00031A28"/>
    <w:rsid w:val="00032C7C"/>
    <w:rsid w:val="000332AC"/>
    <w:rsid w:val="00036273"/>
    <w:rsid w:val="00036B01"/>
    <w:rsid w:val="00036C96"/>
    <w:rsid w:val="00036F4B"/>
    <w:rsid w:val="000379A1"/>
    <w:rsid w:val="000429C2"/>
    <w:rsid w:val="0004332A"/>
    <w:rsid w:val="000438AB"/>
    <w:rsid w:val="0004447F"/>
    <w:rsid w:val="0004536F"/>
    <w:rsid w:val="000458BA"/>
    <w:rsid w:val="0004694C"/>
    <w:rsid w:val="00050A5F"/>
    <w:rsid w:val="00050D31"/>
    <w:rsid w:val="0005111B"/>
    <w:rsid w:val="0005115C"/>
    <w:rsid w:val="00051C01"/>
    <w:rsid w:val="00051E45"/>
    <w:rsid w:val="00052620"/>
    <w:rsid w:val="00053970"/>
    <w:rsid w:val="00053D9C"/>
    <w:rsid w:val="000543A0"/>
    <w:rsid w:val="00054859"/>
    <w:rsid w:val="000550E3"/>
    <w:rsid w:val="000556EE"/>
    <w:rsid w:val="00057A1E"/>
    <w:rsid w:val="00057F96"/>
    <w:rsid w:val="000602BA"/>
    <w:rsid w:val="00061071"/>
    <w:rsid w:val="000618A3"/>
    <w:rsid w:val="00062006"/>
    <w:rsid w:val="000621E0"/>
    <w:rsid w:val="00062376"/>
    <w:rsid w:val="00062675"/>
    <w:rsid w:val="00062762"/>
    <w:rsid w:val="0006359E"/>
    <w:rsid w:val="000636DF"/>
    <w:rsid w:val="00063B7D"/>
    <w:rsid w:val="00065C81"/>
    <w:rsid w:val="00066FA2"/>
    <w:rsid w:val="0006740A"/>
    <w:rsid w:val="00067E74"/>
    <w:rsid w:val="00067EF0"/>
    <w:rsid w:val="00070782"/>
    <w:rsid w:val="000735A2"/>
    <w:rsid w:val="000742E0"/>
    <w:rsid w:val="0007463C"/>
    <w:rsid w:val="00074659"/>
    <w:rsid w:val="000769CA"/>
    <w:rsid w:val="00076C25"/>
    <w:rsid w:val="00077479"/>
    <w:rsid w:val="000774D3"/>
    <w:rsid w:val="00077995"/>
    <w:rsid w:val="00077B10"/>
    <w:rsid w:val="000811DE"/>
    <w:rsid w:val="00082347"/>
    <w:rsid w:val="000830A2"/>
    <w:rsid w:val="000836D8"/>
    <w:rsid w:val="00083FD0"/>
    <w:rsid w:val="000841FF"/>
    <w:rsid w:val="00085D10"/>
    <w:rsid w:val="00085D64"/>
    <w:rsid w:val="000869A3"/>
    <w:rsid w:val="00086E00"/>
    <w:rsid w:val="0008729B"/>
    <w:rsid w:val="00087B61"/>
    <w:rsid w:val="00087BAC"/>
    <w:rsid w:val="000904AD"/>
    <w:rsid w:val="000916CE"/>
    <w:rsid w:val="00091D7B"/>
    <w:rsid w:val="000944B4"/>
    <w:rsid w:val="00094A38"/>
    <w:rsid w:val="000950E7"/>
    <w:rsid w:val="00095DB2"/>
    <w:rsid w:val="00096490"/>
    <w:rsid w:val="00096C9B"/>
    <w:rsid w:val="000A0207"/>
    <w:rsid w:val="000A064C"/>
    <w:rsid w:val="000A1B87"/>
    <w:rsid w:val="000A363A"/>
    <w:rsid w:val="000A395C"/>
    <w:rsid w:val="000A6342"/>
    <w:rsid w:val="000A7C5A"/>
    <w:rsid w:val="000A7E63"/>
    <w:rsid w:val="000A7F27"/>
    <w:rsid w:val="000A7FCB"/>
    <w:rsid w:val="000B0408"/>
    <w:rsid w:val="000B2603"/>
    <w:rsid w:val="000B3713"/>
    <w:rsid w:val="000B482D"/>
    <w:rsid w:val="000B56BA"/>
    <w:rsid w:val="000B676D"/>
    <w:rsid w:val="000C036C"/>
    <w:rsid w:val="000C07C4"/>
    <w:rsid w:val="000C1603"/>
    <w:rsid w:val="000C1A8B"/>
    <w:rsid w:val="000C202D"/>
    <w:rsid w:val="000C2442"/>
    <w:rsid w:val="000C257F"/>
    <w:rsid w:val="000C31FB"/>
    <w:rsid w:val="000C4026"/>
    <w:rsid w:val="000C4C4A"/>
    <w:rsid w:val="000C5D63"/>
    <w:rsid w:val="000C679D"/>
    <w:rsid w:val="000C7764"/>
    <w:rsid w:val="000C7A5A"/>
    <w:rsid w:val="000C7EDA"/>
    <w:rsid w:val="000D1D70"/>
    <w:rsid w:val="000D2658"/>
    <w:rsid w:val="000D2813"/>
    <w:rsid w:val="000D4BE4"/>
    <w:rsid w:val="000D4EFC"/>
    <w:rsid w:val="000D5EE3"/>
    <w:rsid w:val="000D61B8"/>
    <w:rsid w:val="000D641C"/>
    <w:rsid w:val="000E0FB5"/>
    <w:rsid w:val="000E1FE2"/>
    <w:rsid w:val="000E2AF6"/>
    <w:rsid w:val="000E494B"/>
    <w:rsid w:val="000E4D30"/>
    <w:rsid w:val="000E59A0"/>
    <w:rsid w:val="000E6701"/>
    <w:rsid w:val="000E7B67"/>
    <w:rsid w:val="000F04DC"/>
    <w:rsid w:val="000F0918"/>
    <w:rsid w:val="000F2BE9"/>
    <w:rsid w:val="000F2F94"/>
    <w:rsid w:val="000F3E12"/>
    <w:rsid w:val="000F43D6"/>
    <w:rsid w:val="000F4A39"/>
    <w:rsid w:val="000F6BDA"/>
    <w:rsid w:val="001002AD"/>
    <w:rsid w:val="00100560"/>
    <w:rsid w:val="001012B2"/>
    <w:rsid w:val="00102992"/>
    <w:rsid w:val="00103B85"/>
    <w:rsid w:val="00106757"/>
    <w:rsid w:val="00106C65"/>
    <w:rsid w:val="00107A37"/>
    <w:rsid w:val="00107E16"/>
    <w:rsid w:val="0011095A"/>
    <w:rsid w:val="00110FA4"/>
    <w:rsid w:val="001121BA"/>
    <w:rsid w:val="00113293"/>
    <w:rsid w:val="0011396C"/>
    <w:rsid w:val="00113CE2"/>
    <w:rsid w:val="00114781"/>
    <w:rsid w:val="00114E11"/>
    <w:rsid w:val="0011545F"/>
    <w:rsid w:val="0011742B"/>
    <w:rsid w:val="001178E3"/>
    <w:rsid w:val="00117B15"/>
    <w:rsid w:val="00120203"/>
    <w:rsid w:val="001214C4"/>
    <w:rsid w:val="0012225A"/>
    <w:rsid w:val="00122C3F"/>
    <w:rsid w:val="001247A8"/>
    <w:rsid w:val="00126034"/>
    <w:rsid w:val="00126733"/>
    <w:rsid w:val="00126EA1"/>
    <w:rsid w:val="001274EF"/>
    <w:rsid w:val="00127A1D"/>
    <w:rsid w:val="00130405"/>
    <w:rsid w:val="001304EF"/>
    <w:rsid w:val="001307D5"/>
    <w:rsid w:val="00130A95"/>
    <w:rsid w:val="00131068"/>
    <w:rsid w:val="001312D8"/>
    <w:rsid w:val="0013142F"/>
    <w:rsid w:val="0013177A"/>
    <w:rsid w:val="001324AF"/>
    <w:rsid w:val="001324BD"/>
    <w:rsid w:val="00133C31"/>
    <w:rsid w:val="00136414"/>
    <w:rsid w:val="00136471"/>
    <w:rsid w:val="00136511"/>
    <w:rsid w:val="001371F8"/>
    <w:rsid w:val="00140A80"/>
    <w:rsid w:val="0014153D"/>
    <w:rsid w:val="0014199D"/>
    <w:rsid w:val="00141F73"/>
    <w:rsid w:val="00142630"/>
    <w:rsid w:val="00143153"/>
    <w:rsid w:val="001437EA"/>
    <w:rsid w:val="00144E73"/>
    <w:rsid w:val="00146A0E"/>
    <w:rsid w:val="001473E9"/>
    <w:rsid w:val="00147473"/>
    <w:rsid w:val="0014784F"/>
    <w:rsid w:val="00147F95"/>
    <w:rsid w:val="00150366"/>
    <w:rsid w:val="00152FD4"/>
    <w:rsid w:val="0015339C"/>
    <w:rsid w:val="0015376C"/>
    <w:rsid w:val="00153BD7"/>
    <w:rsid w:val="00153E1A"/>
    <w:rsid w:val="00154589"/>
    <w:rsid w:val="00154B20"/>
    <w:rsid w:val="00155291"/>
    <w:rsid w:val="00155B71"/>
    <w:rsid w:val="0015648A"/>
    <w:rsid w:val="001568BB"/>
    <w:rsid w:val="001600BC"/>
    <w:rsid w:val="00160151"/>
    <w:rsid w:val="00160B74"/>
    <w:rsid w:val="0016151F"/>
    <w:rsid w:val="0016236E"/>
    <w:rsid w:val="001623F7"/>
    <w:rsid w:val="0016424E"/>
    <w:rsid w:val="00167988"/>
    <w:rsid w:val="001705F8"/>
    <w:rsid w:val="0017110C"/>
    <w:rsid w:val="00171D47"/>
    <w:rsid w:val="00171DA9"/>
    <w:rsid w:val="00171ED3"/>
    <w:rsid w:val="00171F7A"/>
    <w:rsid w:val="00173118"/>
    <w:rsid w:val="0017377F"/>
    <w:rsid w:val="001742EB"/>
    <w:rsid w:val="00174588"/>
    <w:rsid w:val="001745CD"/>
    <w:rsid w:val="001748F7"/>
    <w:rsid w:val="001753DE"/>
    <w:rsid w:val="00175B62"/>
    <w:rsid w:val="0017799B"/>
    <w:rsid w:val="00180487"/>
    <w:rsid w:val="00180D49"/>
    <w:rsid w:val="00181BB4"/>
    <w:rsid w:val="001821F4"/>
    <w:rsid w:val="00182E4B"/>
    <w:rsid w:val="001852BA"/>
    <w:rsid w:val="00185AC7"/>
    <w:rsid w:val="0018693C"/>
    <w:rsid w:val="00186945"/>
    <w:rsid w:val="00186F64"/>
    <w:rsid w:val="001870DC"/>
    <w:rsid w:val="001878E4"/>
    <w:rsid w:val="001902AF"/>
    <w:rsid w:val="00190A99"/>
    <w:rsid w:val="00190BA4"/>
    <w:rsid w:val="0019117B"/>
    <w:rsid w:val="001911D6"/>
    <w:rsid w:val="001914B9"/>
    <w:rsid w:val="00191C52"/>
    <w:rsid w:val="00192DC8"/>
    <w:rsid w:val="001938C9"/>
    <w:rsid w:val="001946DA"/>
    <w:rsid w:val="00195317"/>
    <w:rsid w:val="001960A0"/>
    <w:rsid w:val="001964CE"/>
    <w:rsid w:val="00196620"/>
    <w:rsid w:val="00196B13"/>
    <w:rsid w:val="001A2624"/>
    <w:rsid w:val="001A2C55"/>
    <w:rsid w:val="001A4087"/>
    <w:rsid w:val="001A44E3"/>
    <w:rsid w:val="001A45D5"/>
    <w:rsid w:val="001A5108"/>
    <w:rsid w:val="001A51C3"/>
    <w:rsid w:val="001A5B5E"/>
    <w:rsid w:val="001A5E93"/>
    <w:rsid w:val="001A5F33"/>
    <w:rsid w:val="001A6319"/>
    <w:rsid w:val="001A75AC"/>
    <w:rsid w:val="001B3AD4"/>
    <w:rsid w:val="001B4571"/>
    <w:rsid w:val="001B4884"/>
    <w:rsid w:val="001B53BC"/>
    <w:rsid w:val="001B541E"/>
    <w:rsid w:val="001B60ED"/>
    <w:rsid w:val="001B76BF"/>
    <w:rsid w:val="001B7756"/>
    <w:rsid w:val="001B7CD3"/>
    <w:rsid w:val="001B7F65"/>
    <w:rsid w:val="001C09B8"/>
    <w:rsid w:val="001C113C"/>
    <w:rsid w:val="001C1353"/>
    <w:rsid w:val="001C144C"/>
    <w:rsid w:val="001C2C2C"/>
    <w:rsid w:val="001C2F45"/>
    <w:rsid w:val="001C3669"/>
    <w:rsid w:val="001C472A"/>
    <w:rsid w:val="001C4C33"/>
    <w:rsid w:val="001C5587"/>
    <w:rsid w:val="001C64AB"/>
    <w:rsid w:val="001C6F0E"/>
    <w:rsid w:val="001C6F1A"/>
    <w:rsid w:val="001C6F2B"/>
    <w:rsid w:val="001C78FC"/>
    <w:rsid w:val="001C793C"/>
    <w:rsid w:val="001D0DF8"/>
    <w:rsid w:val="001D0F43"/>
    <w:rsid w:val="001D14CF"/>
    <w:rsid w:val="001D26A8"/>
    <w:rsid w:val="001D2D7E"/>
    <w:rsid w:val="001D4D00"/>
    <w:rsid w:val="001D5BA5"/>
    <w:rsid w:val="001D7419"/>
    <w:rsid w:val="001D74DE"/>
    <w:rsid w:val="001E09C5"/>
    <w:rsid w:val="001E0F7E"/>
    <w:rsid w:val="001E1EF6"/>
    <w:rsid w:val="001E4A85"/>
    <w:rsid w:val="001E4D70"/>
    <w:rsid w:val="001E5236"/>
    <w:rsid w:val="001E56CA"/>
    <w:rsid w:val="001E6346"/>
    <w:rsid w:val="001E76FB"/>
    <w:rsid w:val="001F0D2F"/>
    <w:rsid w:val="001F0E27"/>
    <w:rsid w:val="001F2CC4"/>
    <w:rsid w:val="001F3B67"/>
    <w:rsid w:val="001F3BF6"/>
    <w:rsid w:val="001F3CEF"/>
    <w:rsid w:val="001F437B"/>
    <w:rsid w:val="001F45A6"/>
    <w:rsid w:val="001F4C64"/>
    <w:rsid w:val="001F525E"/>
    <w:rsid w:val="001F6619"/>
    <w:rsid w:val="001F6A10"/>
    <w:rsid w:val="001F6C06"/>
    <w:rsid w:val="001F721F"/>
    <w:rsid w:val="001F7F29"/>
    <w:rsid w:val="0020008A"/>
    <w:rsid w:val="00201A42"/>
    <w:rsid w:val="00201ABC"/>
    <w:rsid w:val="002023CA"/>
    <w:rsid w:val="002026A7"/>
    <w:rsid w:val="00204197"/>
    <w:rsid w:val="0020531E"/>
    <w:rsid w:val="00205E52"/>
    <w:rsid w:val="00205FD9"/>
    <w:rsid w:val="002068CD"/>
    <w:rsid w:val="00206DC4"/>
    <w:rsid w:val="002075CB"/>
    <w:rsid w:val="00211253"/>
    <w:rsid w:val="00211A71"/>
    <w:rsid w:val="00211D6F"/>
    <w:rsid w:val="00212323"/>
    <w:rsid w:val="00212334"/>
    <w:rsid w:val="0021262C"/>
    <w:rsid w:val="00213A88"/>
    <w:rsid w:val="00213C3F"/>
    <w:rsid w:val="00213EDB"/>
    <w:rsid w:val="00214D59"/>
    <w:rsid w:val="00215A42"/>
    <w:rsid w:val="00215D0B"/>
    <w:rsid w:val="00217008"/>
    <w:rsid w:val="002174FD"/>
    <w:rsid w:val="0022003A"/>
    <w:rsid w:val="00220923"/>
    <w:rsid w:val="002214C4"/>
    <w:rsid w:val="00221D05"/>
    <w:rsid w:val="002225FC"/>
    <w:rsid w:val="00224175"/>
    <w:rsid w:val="00224B8E"/>
    <w:rsid w:val="00226E04"/>
    <w:rsid w:val="00227343"/>
    <w:rsid w:val="00227AC0"/>
    <w:rsid w:val="0023203E"/>
    <w:rsid w:val="002322CF"/>
    <w:rsid w:val="00232A65"/>
    <w:rsid w:val="0023300F"/>
    <w:rsid w:val="00233A24"/>
    <w:rsid w:val="00233B51"/>
    <w:rsid w:val="0024123E"/>
    <w:rsid w:val="00241C01"/>
    <w:rsid w:val="00242FCA"/>
    <w:rsid w:val="00243B4C"/>
    <w:rsid w:val="0024450E"/>
    <w:rsid w:val="00244D7B"/>
    <w:rsid w:val="00244E66"/>
    <w:rsid w:val="00245496"/>
    <w:rsid w:val="00246DD9"/>
    <w:rsid w:val="00247EDA"/>
    <w:rsid w:val="00251A60"/>
    <w:rsid w:val="002521FE"/>
    <w:rsid w:val="0025249B"/>
    <w:rsid w:val="00254E47"/>
    <w:rsid w:val="00255A80"/>
    <w:rsid w:val="00256361"/>
    <w:rsid w:val="0025643D"/>
    <w:rsid w:val="00256D81"/>
    <w:rsid w:val="00256DB6"/>
    <w:rsid w:val="002571DA"/>
    <w:rsid w:val="00260A76"/>
    <w:rsid w:val="0026115C"/>
    <w:rsid w:val="00262CF9"/>
    <w:rsid w:val="00264893"/>
    <w:rsid w:val="00265AE6"/>
    <w:rsid w:val="00265EAE"/>
    <w:rsid w:val="002672C6"/>
    <w:rsid w:val="002673C3"/>
    <w:rsid w:val="00270928"/>
    <w:rsid w:val="00271988"/>
    <w:rsid w:val="002726EA"/>
    <w:rsid w:val="00273123"/>
    <w:rsid w:val="00275670"/>
    <w:rsid w:val="002759B8"/>
    <w:rsid w:val="00275A21"/>
    <w:rsid w:val="00276D6F"/>
    <w:rsid w:val="0027727E"/>
    <w:rsid w:val="00280BB0"/>
    <w:rsid w:val="00280FF9"/>
    <w:rsid w:val="00282ABD"/>
    <w:rsid w:val="00282D20"/>
    <w:rsid w:val="00282DC0"/>
    <w:rsid w:val="00283199"/>
    <w:rsid w:val="0028354C"/>
    <w:rsid w:val="002841D2"/>
    <w:rsid w:val="002844D8"/>
    <w:rsid w:val="00284672"/>
    <w:rsid w:val="0028481B"/>
    <w:rsid w:val="002850A6"/>
    <w:rsid w:val="002857AD"/>
    <w:rsid w:val="00285E1E"/>
    <w:rsid w:val="002861DB"/>
    <w:rsid w:val="00286231"/>
    <w:rsid w:val="00286ACE"/>
    <w:rsid w:val="00286B52"/>
    <w:rsid w:val="00286BD7"/>
    <w:rsid w:val="00287DB3"/>
    <w:rsid w:val="002914F6"/>
    <w:rsid w:val="00291D00"/>
    <w:rsid w:val="0029244E"/>
    <w:rsid w:val="00292A20"/>
    <w:rsid w:val="00292C44"/>
    <w:rsid w:val="0029364E"/>
    <w:rsid w:val="00294309"/>
    <w:rsid w:val="002943E7"/>
    <w:rsid w:val="00294834"/>
    <w:rsid w:val="00294A3D"/>
    <w:rsid w:val="00295150"/>
    <w:rsid w:val="002A0AD1"/>
    <w:rsid w:val="002A1A5E"/>
    <w:rsid w:val="002A237B"/>
    <w:rsid w:val="002A2FA7"/>
    <w:rsid w:val="002A4070"/>
    <w:rsid w:val="002A4573"/>
    <w:rsid w:val="002A50A1"/>
    <w:rsid w:val="002A5236"/>
    <w:rsid w:val="002A564E"/>
    <w:rsid w:val="002A6093"/>
    <w:rsid w:val="002A6347"/>
    <w:rsid w:val="002A6C2C"/>
    <w:rsid w:val="002A7A0E"/>
    <w:rsid w:val="002A7E94"/>
    <w:rsid w:val="002A7FC0"/>
    <w:rsid w:val="002B01FD"/>
    <w:rsid w:val="002B196A"/>
    <w:rsid w:val="002B3862"/>
    <w:rsid w:val="002B392F"/>
    <w:rsid w:val="002B7320"/>
    <w:rsid w:val="002B788E"/>
    <w:rsid w:val="002C0893"/>
    <w:rsid w:val="002C148B"/>
    <w:rsid w:val="002C21D2"/>
    <w:rsid w:val="002C3090"/>
    <w:rsid w:val="002C3A5C"/>
    <w:rsid w:val="002C4AE7"/>
    <w:rsid w:val="002C4D8F"/>
    <w:rsid w:val="002C51D7"/>
    <w:rsid w:val="002C57BD"/>
    <w:rsid w:val="002C60D3"/>
    <w:rsid w:val="002C67F9"/>
    <w:rsid w:val="002D1102"/>
    <w:rsid w:val="002D138D"/>
    <w:rsid w:val="002D40E5"/>
    <w:rsid w:val="002D4415"/>
    <w:rsid w:val="002D52E1"/>
    <w:rsid w:val="002D7371"/>
    <w:rsid w:val="002D74E0"/>
    <w:rsid w:val="002E2554"/>
    <w:rsid w:val="002E29AF"/>
    <w:rsid w:val="002E2C72"/>
    <w:rsid w:val="002E45F6"/>
    <w:rsid w:val="002E485E"/>
    <w:rsid w:val="002E499D"/>
    <w:rsid w:val="002E5594"/>
    <w:rsid w:val="002E59B4"/>
    <w:rsid w:val="002E5A75"/>
    <w:rsid w:val="002E5EAF"/>
    <w:rsid w:val="002E6F08"/>
    <w:rsid w:val="002E756B"/>
    <w:rsid w:val="002E7EEC"/>
    <w:rsid w:val="002F0282"/>
    <w:rsid w:val="002F1CE8"/>
    <w:rsid w:val="002F2ACD"/>
    <w:rsid w:val="002F2CFC"/>
    <w:rsid w:val="002F2E28"/>
    <w:rsid w:val="002F41B1"/>
    <w:rsid w:val="002F4F95"/>
    <w:rsid w:val="002F5246"/>
    <w:rsid w:val="002F5764"/>
    <w:rsid w:val="002F58A1"/>
    <w:rsid w:val="002F5AAD"/>
    <w:rsid w:val="002F5CD9"/>
    <w:rsid w:val="002F611B"/>
    <w:rsid w:val="002F7AB6"/>
    <w:rsid w:val="00300824"/>
    <w:rsid w:val="00301513"/>
    <w:rsid w:val="00301DF1"/>
    <w:rsid w:val="003034F4"/>
    <w:rsid w:val="00303D77"/>
    <w:rsid w:val="00304BE8"/>
    <w:rsid w:val="00304E89"/>
    <w:rsid w:val="00304EEC"/>
    <w:rsid w:val="00305F2C"/>
    <w:rsid w:val="0030693C"/>
    <w:rsid w:val="0030756A"/>
    <w:rsid w:val="00307E92"/>
    <w:rsid w:val="0031079F"/>
    <w:rsid w:val="003111F6"/>
    <w:rsid w:val="003111FE"/>
    <w:rsid w:val="00312055"/>
    <w:rsid w:val="00312460"/>
    <w:rsid w:val="00313C00"/>
    <w:rsid w:val="00314854"/>
    <w:rsid w:val="00315301"/>
    <w:rsid w:val="003156FD"/>
    <w:rsid w:val="00315BB9"/>
    <w:rsid w:val="0031680F"/>
    <w:rsid w:val="00316881"/>
    <w:rsid w:val="00316AF9"/>
    <w:rsid w:val="00316EFF"/>
    <w:rsid w:val="0032184D"/>
    <w:rsid w:val="00322725"/>
    <w:rsid w:val="00322FF9"/>
    <w:rsid w:val="00323BDA"/>
    <w:rsid w:val="00324743"/>
    <w:rsid w:val="0032554F"/>
    <w:rsid w:val="00326FC4"/>
    <w:rsid w:val="003276DD"/>
    <w:rsid w:val="00327D42"/>
    <w:rsid w:val="00327EA1"/>
    <w:rsid w:val="0033017D"/>
    <w:rsid w:val="003301D3"/>
    <w:rsid w:val="00330340"/>
    <w:rsid w:val="00330467"/>
    <w:rsid w:val="00331F76"/>
    <w:rsid w:val="00332799"/>
    <w:rsid w:val="0033391F"/>
    <w:rsid w:val="00333DCD"/>
    <w:rsid w:val="00333E2C"/>
    <w:rsid w:val="00334EEF"/>
    <w:rsid w:val="00336E2C"/>
    <w:rsid w:val="003400F1"/>
    <w:rsid w:val="003418A2"/>
    <w:rsid w:val="0034267E"/>
    <w:rsid w:val="003429EC"/>
    <w:rsid w:val="00344085"/>
    <w:rsid w:val="00344411"/>
    <w:rsid w:val="003446AA"/>
    <w:rsid w:val="00344B6B"/>
    <w:rsid w:val="0034615F"/>
    <w:rsid w:val="0034620C"/>
    <w:rsid w:val="0034779B"/>
    <w:rsid w:val="003506DF"/>
    <w:rsid w:val="00350701"/>
    <w:rsid w:val="0035148D"/>
    <w:rsid w:val="0035248E"/>
    <w:rsid w:val="00352AF9"/>
    <w:rsid w:val="00352EBA"/>
    <w:rsid w:val="003545C1"/>
    <w:rsid w:val="003555D9"/>
    <w:rsid w:val="0035614F"/>
    <w:rsid w:val="003578D8"/>
    <w:rsid w:val="003625B4"/>
    <w:rsid w:val="003627BE"/>
    <w:rsid w:val="00362DBF"/>
    <w:rsid w:val="00363607"/>
    <w:rsid w:val="00363CB8"/>
    <w:rsid w:val="00364BD0"/>
    <w:rsid w:val="0036549D"/>
    <w:rsid w:val="003676CF"/>
    <w:rsid w:val="00367763"/>
    <w:rsid w:val="00367CB2"/>
    <w:rsid w:val="00372682"/>
    <w:rsid w:val="00373394"/>
    <w:rsid w:val="003740F0"/>
    <w:rsid w:val="003744FA"/>
    <w:rsid w:val="003748CF"/>
    <w:rsid w:val="003750C8"/>
    <w:rsid w:val="003755AC"/>
    <w:rsid w:val="00375653"/>
    <w:rsid w:val="003758DC"/>
    <w:rsid w:val="00375E9A"/>
    <w:rsid w:val="003769E0"/>
    <w:rsid w:val="00376F25"/>
    <w:rsid w:val="00377A42"/>
    <w:rsid w:val="00380151"/>
    <w:rsid w:val="0038052A"/>
    <w:rsid w:val="003810E1"/>
    <w:rsid w:val="0038269F"/>
    <w:rsid w:val="0038302D"/>
    <w:rsid w:val="0038326A"/>
    <w:rsid w:val="0038355F"/>
    <w:rsid w:val="00383731"/>
    <w:rsid w:val="00384062"/>
    <w:rsid w:val="00384837"/>
    <w:rsid w:val="003871C0"/>
    <w:rsid w:val="003872AD"/>
    <w:rsid w:val="0038760B"/>
    <w:rsid w:val="003903DC"/>
    <w:rsid w:val="00390E44"/>
    <w:rsid w:val="003916D0"/>
    <w:rsid w:val="0039221F"/>
    <w:rsid w:val="00394149"/>
    <w:rsid w:val="00394663"/>
    <w:rsid w:val="0039487B"/>
    <w:rsid w:val="0039674C"/>
    <w:rsid w:val="00396764"/>
    <w:rsid w:val="003968A8"/>
    <w:rsid w:val="003968EE"/>
    <w:rsid w:val="003A0D35"/>
    <w:rsid w:val="003A1E68"/>
    <w:rsid w:val="003A234E"/>
    <w:rsid w:val="003A3766"/>
    <w:rsid w:val="003A38A0"/>
    <w:rsid w:val="003A396C"/>
    <w:rsid w:val="003A42A4"/>
    <w:rsid w:val="003A4F6E"/>
    <w:rsid w:val="003A5A67"/>
    <w:rsid w:val="003A6564"/>
    <w:rsid w:val="003B0487"/>
    <w:rsid w:val="003B100B"/>
    <w:rsid w:val="003B106B"/>
    <w:rsid w:val="003B13B1"/>
    <w:rsid w:val="003B13FD"/>
    <w:rsid w:val="003B2CE9"/>
    <w:rsid w:val="003B40BA"/>
    <w:rsid w:val="003B40BE"/>
    <w:rsid w:val="003B6BEC"/>
    <w:rsid w:val="003B7018"/>
    <w:rsid w:val="003B730A"/>
    <w:rsid w:val="003B7499"/>
    <w:rsid w:val="003B7843"/>
    <w:rsid w:val="003B7E5F"/>
    <w:rsid w:val="003C0DEC"/>
    <w:rsid w:val="003C1EB2"/>
    <w:rsid w:val="003C30BE"/>
    <w:rsid w:val="003C3553"/>
    <w:rsid w:val="003C4DE0"/>
    <w:rsid w:val="003C50EB"/>
    <w:rsid w:val="003C568F"/>
    <w:rsid w:val="003C6363"/>
    <w:rsid w:val="003C70F7"/>
    <w:rsid w:val="003C7676"/>
    <w:rsid w:val="003C77BD"/>
    <w:rsid w:val="003D01DF"/>
    <w:rsid w:val="003D0840"/>
    <w:rsid w:val="003D0ED0"/>
    <w:rsid w:val="003D3200"/>
    <w:rsid w:val="003D3AE3"/>
    <w:rsid w:val="003D5949"/>
    <w:rsid w:val="003D744F"/>
    <w:rsid w:val="003D7D4F"/>
    <w:rsid w:val="003E06AF"/>
    <w:rsid w:val="003E0EA1"/>
    <w:rsid w:val="003E2337"/>
    <w:rsid w:val="003E26D4"/>
    <w:rsid w:val="003E288D"/>
    <w:rsid w:val="003E37EB"/>
    <w:rsid w:val="003E5463"/>
    <w:rsid w:val="003E611A"/>
    <w:rsid w:val="003E6BE6"/>
    <w:rsid w:val="003E6CA5"/>
    <w:rsid w:val="003E7B89"/>
    <w:rsid w:val="003F0B9A"/>
    <w:rsid w:val="003F0F69"/>
    <w:rsid w:val="003F204C"/>
    <w:rsid w:val="003F2CCB"/>
    <w:rsid w:val="003F3373"/>
    <w:rsid w:val="003F33AF"/>
    <w:rsid w:val="003F3AF7"/>
    <w:rsid w:val="003F3E8B"/>
    <w:rsid w:val="003F6BA3"/>
    <w:rsid w:val="003F7824"/>
    <w:rsid w:val="003F7951"/>
    <w:rsid w:val="00400508"/>
    <w:rsid w:val="00400815"/>
    <w:rsid w:val="00400827"/>
    <w:rsid w:val="004016AA"/>
    <w:rsid w:val="00401CEF"/>
    <w:rsid w:val="004020AD"/>
    <w:rsid w:val="00404E05"/>
    <w:rsid w:val="00405695"/>
    <w:rsid w:val="00406396"/>
    <w:rsid w:val="0040649E"/>
    <w:rsid w:val="00406F7A"/>
    <w:rsid w:val="00406FD5"/>
    <w:rsid w:val="00407A92"/>
    <w:rsid w:val="0041072D"/>
    <w:rsid w:val="00410F12"/>
    <w:rsid w:val="004115A0"/>
    <w:rsid w:val="00411767"/>
    <w:rsid w:val="0041180A"/>
    <w:rsid w:val="00412D7D"/>
    <w:rsid w:val="00413090"/>
    <w:rsid w:val="0041389B"/>
    <w:rsid w:val="004149A9"/>
    <w:rsid w:val="00414F6B"/>
    <w:rsid w:val="004163EF"/>
    <w:rsid w:val="0041666F"/>
    <w:rsid w:val="00416AA0"/>
    <w:rsid w:val="00420387"/>
    <w:rsid w:val="00420917"/>
    <w:rsid w:val="00420AB4"/>
    <w:rsid w:val="00420FA8"/>
    <w:rsid w:val="0042141E"/>
    <w:rsid w:val="00421682"/>
    <w:rsid w:val="00421C7C"/>
    <w:rsid w:val="00422F16"/>
    <w:rsid w:val="0042306A"/>
    <w:rsid w:val="00423EA0"/>
    <w:rsid w:val="00424CFE"/>
    <w:rsid w:val="00424EC4"/>
    <w:rsid w:val="0042519D"/>
    <w:rsid w:val="00425B7E"/>
    <w:rsid w:val="00425FE4"/>
    <w:rsid w:val="004265F5"/>
    <w:rsid w:val="00427B5B"/>
    <w:rsid w:val="004306DC"/>
    <w:rsid w:val="0043283E"/>
    <w:rsid w:val="00435756"/>
    <w:rsid w:val="00436458"/>
    <w:rsid w:val="004367F9"/>
    <w:rsid w:val="00436BF5"/>
    <w:rsid w:val="004373A8"/>
    <w:rsid w:val="00437DFD"/>
    <w:rsid w:val="0044002A"/>
    <w:rsid w:val="00440C7F"/>
    <w:rsid w:val="00440E00"/>
    <w:rsid w:val="0044230E"/>
    <w:rsid w:val="00442842"/>
    <w:rsid w:val="00442CF3"/>
    <w:rsid w:val="00443217"/>
    <w:rsid w:val="00443545"/>
    <w:rsid w:val="00443844"/>
    <w:rsid w:val="00443CEF"/>
    <w:rsid w:val="0044464D"/>
    <w:rsid w:val="0044486F"/>
    <w:rsid w:val="00444A19"/>
    <w:rsid w:val="004455CF"/>
    <w:rsid w:val="00445CB5"/>
    <w:rsid w:val="0044645E"/>
    <w:rsid w:val="004464F2"/>
    <w:rsid w:val="0044694B"/>
    <w:rsid w:val="004471AB"/>
    <w:rsid w:val="00447395"/>
    <w:rsid w:val="00447923"/>
    <w:rsid w:val="00450844"/>
    <w:rsid w:val="00450BC6"/>
    <w:rsid w:val="004517A1"/>
    <w:rsid w:val="00452C35"/>
    <w:rsid w:val="00452E0D"/>
    <w:rsid w:val="00454D46"/>
    <w:rsid w:val="00455DC4"/>
    <w:rsid w:val="004562FB"/>
    <w:rsid w:val="00456E52"/>
    <w:rsid w:val="00460575"/>
    <w:rsid w:val="004616AD"/>
    <w:rsid w:val="00461BB9"/>
    <w:rsid w:val="00461BFC"/>
    <w:rsid w:val="00461D17"/>
    <w:rsid w:val="00462816"/>
    <w:rsid w:val="004646C7"/>
    <w:rsid w:val="004649F2"/>
    <w:rsid w:val="00465379"/>
    <w:rsid w:val="004669E6"/>
    <w:rsid w:val="00467283"/>
    <w:rsid w:val="00470FEC"/>
    <w:rsid w:val="00471019"/>
    <w:rsid w:val="0047160A"/>
    <w:rsid w:val="00471896"/>
    <w:rsid w:val="00471AD9"/>
    <w:rsid w:val="004732FF"/>
    <w:rsid w:val="00473E5A"/>
    <w:rsid w:val="00474D54"/>
    <w:rsid w:val="004763F5"/>
    <w:rsid w:val="004768FE"/>
    <w:rsid w:val="00476D0E"/>
    <w:rsid w:val="0048089D"/>
    <w:rsid w:val="00480933"/>
    <w:rsid w:val="00480D87"/>
    <w:rsid w:val="00480FA0"/>
    <w:rsid w:val="0048185B"/>
    <w:rsid w:val="0048236E"/>
    <w:rsid w:val="004827CA"/>
    <w:rsid w:val="00482F06"/>
    <w:rsid w:val="00482FE7"/>
    <w:rsid w:val="004835CB"/>
    <w:rsid w:val="00483C81"/>
    <w:rsid w:val="00484324"/>
    <w:rsid w:val="004843D2"/>
    <w:rsid w:val="00486A27"/>
    <w:rsid w:val="00486AC0"/>
    <w:rsid w:val="00487B41"/>
    <w:rsid w:val="00487F3B"/>
    <w:rsid w:val="00490613"/>
    <w:rsid w:val="00491299"/>
    <w:rsid w:val="00492C5E"/>
    <w:rsid w:val="00495F05"/>
    <w:rsid w:val="00496EA8"/>
    <w:rsid w:val="004A0A54"/>
    <w:rsid w:val="004A0A7E"/>
    <w:rsid w:val="004A2C4C"/>
    <w:rsid w:val="004A3F23"/>
    <w:rsid w:val="004A4615"/>
    <w:rsid w:val="004A4909"/>
    <w:rsid w:val="004A50AF"/>
    <w:rsid w:val="004A5207"/>
    <w:rsid w:val="004A5D3B"/>
    <w:rsid w:val="004A679B"/>
    <w:rsid w:val="004A6E38"/>
    <w:rsid w:val="004B07FF"/>
    <w:rsid w:val="004B10BA"/>
    <w:rsid w:val="004B195F"/>
    <w:rsid w:val="004B251D"/>
    <w:rsid w:val="004B2B07"/>
    <w:rsid w:val="004B2DF1"/>
    <w:rsid w:val="004B4357"/>
    <w:rsid w:val="004B4DEE"/>
    <w:rsid w:val="004B5130"/>
    <w:rsid w:val="004B554D"/>
    <w:rsid w:val="004B5CAC"/>
    <w:rsid w:val="004B5EB5"/>
    <w:rsid w:val="004B6C74"/>
    <w:rsid w:val="004B7564"/>
    <w:rsid w:val="004B79A5"/>
    <w:rsid w:val="004B7A10"/>
    <w:rsid w:val="004B7C07"/>
    <w:rsid w:val="004C0388"/>
    <w:rsid w:val="004C052F"/>
    <w:rsid w:val="004C063F"/>
    <w:rsid w:val="004C089F"/>
    <w:rsid w:val="004C0D6D"/>
    <w:rsid w:val="004C0EF1"/>
    <w:rsid w:val="004C12BE"/>
    <w:rsid w:val="004C2C05"/>
    <w:rsid w:val="004C2E90"/>
    <w:rsid w:val="004C3221"/>
    <w:rsid w:val="004C353B"/>
    <w:rsid w:val="004C5A6A"/>
    <w:rsid w:val="004C6372"/>
    <w:rsid w:val="004C7175"/>
    <w:rsid w:val="004C79BD"/>
    <w:rsid w:val="004D240A"/>
    <w:rsid w:val="004D2576"/>
    <w:rsid w:val="004D3999"/>
    <w:rsid w:val="004D587B"/>
    <w:rsid w:val="004D7285"/>
    <w:rsid w:val="004D7E1A"/>
    <w:rsid w:val="004E097C"/>
    <w:rsid w:val="004E1663"/>
    <w:rsid w:val="004E21AC"/>
    <w:rsid w:val="004E321C"/>
    <w:rsid w:val="004E3557"/>
    <w:rsid w:val="004E4B37"/>
    <w:rsid w:val="004E69E6"/>
    <w:rsid w:val="004E72A4"/>
    <w:rsid w:val="004E73D6"/>
    <w:rsid w:val="004E7C41"/>
    <w:rsid w:val="004E7D52"/>
    <w:rsid w:val="004F0321"/>
    <w:rsid w:val="004F1207"/>
    <w:rsid w:val="004F1826"/>
    <w:rsid w:val="004F1AA3"/>
    <w:rsid w:val="004F26FF"/>
    <w:rsid w:val="004F31DD"/>
    <w:rsid w:val="004F3863"/>
    <w:rsid w:val="004F3F9C"/>
    <w:rsid w:val="004F4FB9"/>
    <w:rsid w:val="004F6250"/>
    <w:rsid w:val="004F7B65"/>
    <w:rsid w:val="004F7F5F"/>
    <w:rsid w:val="004F7FC5"/>
    <w:rsid w:val="00500BF1"/>
    <w:rsid w:val="00501195"/>
    <w:rsid w:val="0050376B"/>
    <w:rsid w:val="00503B10"/>
    <w:rsid w:val="00504E2C"/>
    <w:rsid w:val="00505135"/>
    <w:rsid w:val="00505490"/>
    <w:rsid w:val="00505617"/>
    <w:rsid w:val="0050771D"/>
    <w:rsid w:val="00507B66"/>
    <w:rsid w:val="005110AB"/>
    <w:rsid w:val="00511550"/>
    <w:rsid w:val="0051231A"/>
    <w:rsid w:val="00512420"/>
    <w:rsid w:val="00512907"/>
    <w:rsid w:val="0051352B"/>
    <w:rsid w:val="00514562"/>
    <w:rsid w:val="005172FF"/>
    <w:rsid w:val="00520724"/>
    <w:rsid w:val="00520CF9"/>
    <w:rsid w:val="00522A00"/>
    <w:rsid w:val="00524D66"/>
    <w:rsid w:val="0052553B"/>
    <w:rsid w:val="005256FE"/>
    <w:rsid w:val="00527573"/>
    <w:rsid w:val="005304B0"/>
    <w:rsid w:val="005304B3"/>
    <w:rsid w:val="00530BD7"/>
    <w:rsid w:val="0053293C"/>
    <w:rsid w:val="00532F2C"/>
    <w:rsid w:val="005340DD"/>
    <w:rsid w:val="005342D5"/>
    <w:rsid w:val="005348B3"/>
    <w:rsid w:val="00536B01"/>
    <w:rsid w:val="00536E01"/>
    <w:rsid w:val="005372E2"/>
    <w:rsid w:val="00537F2A"/>
    <w:rsid w:val="00540109"/>
    <w:rsid w:val="005408C5"/>
    <w:rsid w:val="0054096C"/>
    <w:rsid w:val="005418D3"/>
    <w:rsid w:val="00541DCC"/>
    <w:rsid w:val="0054296D"/>
    <w:rsid w:val="00542ADD"/>
    <w:rsid w:val="005431F1"/>
    <w:rsid w:val="00544AB4"/>
    <w:rsid w:val="00547518"/>
    <w:rsid w:val="00547668"/>
    <w:rsid w:val="00547AAC"/>
    <w:rsid w:val="00547FBA"/>
    <w:rsid w:val="00550541"/>
    <w:rsid w:val="00550ACF"/>
    <w:rsid w:val="00550C6C"/>
    <w:rsid w:val="00551022"/>
    <w:rsid w:val="005513E1"/>
    <w:rsid w:val="0055263A"/>
    <w:rsid w:val="005527B3"/>
    <w:rsid w:val="00552D30"/>
    <w:rsid w:val="00553F50"/>
    <w:rsid w:val="00554957"/>
    <w:rsid w:val="00557103"/>
    <w:rsid w:val="00561555"/>
    <w:rsid w:val="005621C5"/>
    <w:rsid w:val="0056264E"/>
    <w:rsid w:val="00562D9A"/>
    <w:rsid w:val="0056319B"/>
    <w:rsid w:val="00564477"/>
    <w:rsid w:val="0056590D"/>
    <w:rsid w:val="00565D6C"/>
    <w:rsid w:val="00566A4F"/>
    <w:rsid w:val="0056737F"/>
    <w:rsid w:val="00570877"/>
    <w:rsid w:val="00571172"/>
    <w:rsid w:val="00571C92"/>
    <w:rsid w:val="00572213"/>
    <w:rsid w:val="005728A4"/>
    <w:rsid w:val="00572B18"/>
    <w:rsid w:val="00572E64"/>
    <w:rsid w:val="00573554"/>
    <w:rsid w:val="00574539"/>
    <w:rsid w:val="0057497C"/>
    <w:rsid w:val="00576873"/>
    <w:rsid w:val="00576F03"/>
    <w:rsid w:val="00581950"/>
    <w:rsid w:val="0058198F"/>
    <w:rsid w:val="00581EBB"/>
    <w:rsid w:val="005823BB"/>
    <w:rsid w:val="00583530"/>
    <w:rsid w:val="00583A01"/>
    <w:rsid w:val="00584A55"/>
    <w:rsid w:val="0058505A"/>
    <w:rsid w:val="00586EE3"/>
    <w:rsid w:val="0058781C"/>
    <w:rsid w:val="00587F82"/>
    <w:rsid w:val="00590BA3"/>
    <w:rsid w:val="00590C87"/>
    <w:rsid w:val="0059149B"/>
    <w:rsid w:val="00595182"/>
    <w:rsid w:val="00595316"/>
    <w:rsid w:val="0059630B"/>
    <w:rsid w:val="005978B1"/>
    <w:rsid w:val="00597EFF"/>
    <w:rsid w:val="005A05F3"/>
    <w:rsid w:val="005A06E9"/>
    <w:rsid w:val="005A1BD6"/>
    <w:rsid w:val="005A1C5A"/>
    <w:rsid w:val="005A200B"/>
    <w:rsid w:val="005A26F1"/>
    <w:rsid w:val="005A3920"/>
    <w:rsid w:val="005A4600"/>
    <w:rsid w:val="005A4BF0"/>
    <w:rsid w:val="005A4E8B"/>
    <w:rsid w:val="005A68CF"/>
    <w:rsid w:val="005A6DC8"/>
    <w:rsid w:val="005B0D14"/>
    <w:rsid w:val="005B11DB"/>
    <w:rsid w:val="005B1D30"/>
    <w:rsid w:val="005B1F18"/>
    <w:rsid w:val="005B2739"/>
    <w:rsid w:val="005B33BF"/>
    <w:rsid w:val="005B4076"/>
    <w:rsid w:val="005B4B12"/>
    <w:rsid w:val="005B55A4"/>
    <w:rsid w:val="005B6035"/>
    <w:rsid w:val="005B743A"/>
    <w:rsid w:val="005C07C1"/>
    <w:rsid w:val="005C0AFD"/>
    <w:rsid w:val="005C161B"/>
    <w:rsid w:val="005C1B17"/>
    <w:rsid w:val="005C3598"/>
    <w:rsid w:val="005C398C"/>
    <w:rsid w:val="005C40E7"/>
    <w:rsid w:val="005C595D"/>
    <w:rsid w:val="005C66F0"/>
    <w:rsid w:val="005C6DA9"/>
    <w:rsid w:val="005C775F"/>
    <w:rsid w:val="005D0345"/>
    <w:rsid w:val="005D067E"/>
    <w:rsid w:val="005D0B8E"/>
    <w:rsid w:val="005D1177"/>
    <w:rsid w:val="005D2270"/>
    <w:rsid w:val="005D29A4"/>
    <w:rsid w:val="005D2A85"/>
    <w:rsid w:val="005D2BBD"/>
    <w:rsid w:val="005D39E4"/>
    <w:rsid w:val="005D40AA"/>
    <w:rsid w:val="005D415F"/>
    <w:rsid w:val="005D4362"/>
    <w:rsid w:val="005D5B7B"/>
    <w:rsid w:val="005D65CC"/>
    <w:rsid w:val="005E08B8"/>
    <w:rsid w:val="005E1B17"/>
    <w:rsid w:val="005E1B9E"/>
    <w:rsid w:val="005E24E6"/>
    <w:rsid w:val="005E259E"/>
    <w:rsid w:val="005E2D10"/>
    <w:rsid w:val="005E4E9F"/>
    <w:rsid w:val="005E50A9"/>
    <w:rsid w:val="005E524C"/>
    <w:rsid w:val="005E630D"/>
    <w:rsid w:val="005E7A48"/>
    <w:rsid w:val="005E7CA1"/>
    <w:rsid w:val="005F0CDA"/>
    <w:rsid w:val="005F0EFF"/>
    <w:rsid w:val="005F26EE"/>
    <w:rsid w:val="005F2E15"/>
    <w:rsid w:val="005F3CEB"/>
    <w:rsid w:val="005F4743"/>
    <w:rsid w:val="005F6E55"/>
    <w:rsid w:val="005F7455"/>
    <w:rsid w:val="005F774B"/>
    <w:rsid w:val="005F7BA8"/>
    <w:rsid w:val="005F7CB8"/>
    <w:rsid w:val="006014E9"/>
    <w:rsid w:val="006020D2"/>
    <w:rsid w:val="0060219B"/>
    <w:rsid w:val="006036A5"/>
    <w:rsid w:val="00603C68"/>
    <w:rsid w:val="006043D3"/>
    <w:rsid w:val="006060CE"/>
    <w:rsid w:val="0060613E"/>
    <w:rsid w:val="006067C2"/>
    <w:rsid w:val="00607807"/>
    <w:rsid w:val="00607AE2"/>
    <w:rsid w:val="00610031"/>
    <w:rsid w:val="00610421"/>
    <w:rsid w:val="00610E14"/>
    <w:rsid w:val="00611101"/>
    <w:rsid w:val="00612EAB"/>
    <w:rsid w:val="0061317F"/>
    <w:rsid w:val="00613559"/>
    <w:rsid w:val="00613ACA"/>
    <w:rsid w:val="00613B96"/>
    <w:rsid w:val="0061425F"/>
    <w:rsid w:val="00614BB4"/>
    <w:rsid w:val="00615061"/>
    <w:rsid w:val="00615122"/>
    <w:rsid w:val="0061721A"/>
    <w:rsid w:val="00620457"/>
    <w:rsid w:val="006206DA"/>
    <w:rsid w:val="00620EFD"/>
    <w:rsid w:val="006221FC"/>
    <w:rsid w:val="00622D61"/>
    <w:rsid w:val="006230DC"/>
    <w:rsid w:val="00623306"/>
    <w:rsid w:val="006248A6"/>
    <w:rsid w:val="0062532F"/>
    <w:rsid w:val="00625B26"/>
    <w:rsid w:val="00626B27"/>
    <w:rsid w:val="006278AB"/>
    <w:rsid w:val="00631685"/>
    <w:rsid w:val="006317C3"/>
    <w:rsid w:val="00631911"/>
    <w:rsid w:val="00631B06"/>
    <w:rsid w:val="00631DDE"/>
    <w:rsid w:val="006323A0"/>
    <w:rsid w:val="006326FA"/>
    <w:rsid w:val="00632CA3"/>
    <w:rsid w:val="0063322E"/>
    <w:rsid w:val="00633790"/>
    <w:rsid w:val="00635519"/>
    <w:rsid w:val="006359E3"/>
    <w:rsid w:val="006365F5"/>
    <w:rsid w:val="006366C0"/>
    <w:rsid w:val="00636772"/>
    <w:rsid w:val="006374CD"/>
    <w:rsid w:val="00637EED"/>
    <w:rsid w:val="006405B6"/>
    <w:rsid w:val="00641427"/>
    <w:rsid w:val="00641979"/>
    <w:rsid w:val="00641F21"/>
    <w:rsid w:val="006422C8"/>
    <w:rsid w:val="00643DD0"/>
    <w:rsid w:val="006443BB"/>
    <w:rsid w:val="006445D2"/>
    <w:rsid w:val="006453F0"/>
    <w:rsid w:val="006456AA"/>
    <w:rsid w:val="0064759B"/>
    <w:rsid w:val="00650CEF"/>
    <w:rsid w:val="00651CC2"/>
    <w:rsid w:val="00651D61"/>
    <w:rsid w:val="00652AA9"/>
    <w:rsid w:val="00652BE5"/>
    <w:rsid w:val="00653720"/>
    <w:rsid w:val="00653D3F"/>
    <w:rsid w:val="00653DA4"/>
    <w:rsid w:val="00654271"/>
    <w:rsid w:val="00654D80"/>
    <w:rsid w:val="006554B2"/>
    <w:rsid w:val="00655BA1"/>
    <w:rsid w:val="00656183"/>
    <w:rsid w:val="00657132"/>
    <w:rsid w:val="00660682"/>
    <w:rsid w:val="00660A82"/>
    <w:rsid w:val="0066146C"/>
    <w:rsid w:val="00661888"/>
    <w:rsid w:val="006625A4"/>
    <w:rsid w:val="00662630"/>
    <w:rsid w:val="006628CA"/>
    <w:rsid w:val="00663C07"/>
    <w:rsid w:val="00663DF4"/>
    <w:rsid w:val="00664900"/>
    <w:rsid w:val="006652C3"/>
    <w:rsid w:val="00665E89"/>
    <w:rsid w:val="00666148"/>
    <w:rsid w:val="006661AB"/>
    <w:rsid w:val="00666452"/>
    <w:rsid w:val="0066681B"/>
    <w:rsid w:val="0066717F"/>
    <w:rsid w:val="00667800"/>
    <w:rsid w:val="00667808"/>
    <w:rsid w:val="006716A5"/>
    <w:rsid w:val="00671DBE"/>
    <w:rsid w:val="00671F56"/>
    <w:rsid w:val="006723B2"/>
    <w:rsid w:val="006743F3"/>
    <w:rsid w:val="00677914"/>
    <w:rsid w:val="006804B8"/>
    <w:rsid w:val="0068058F"/>
    <w:rsid w:val="0068166E"/>
    <w:rsid w:val="00683BDB"/>
    <w:rsid w:val="00683F97"/>
    <w:rsid w:val="00684B46"/>
    <w:rsid w:val="0068563A"/>
    <w:rsid w:val="00687A35"/>
    <w:rsid w:val="0069063E"/>
    <w:rsid w:val="0069133D"/>
    <w:rsid w:val="006914C7"/>
    <w:rsid w:val="00691745"/>
    <w:rsid w:val="0069186F"/>
    <w:rsid w:val="0069577F"/>
    <w:rsid w:val="00695BB6"/>
    <w:rsid w:val="0069634F"/>
    <w:rsid w:val="00696DDF"/>
    <w:rsid w:val="00697311"/>
    <w:rsid w:val="00697F63"/>
    <w:rsid w:val="006A12B8"/>
    <w:rsid w:val="006A178F"/>
    <w:rsid w:val="006A2327"/>
    <w:rsid w:val="006A25A4"/>
    <w:rsid w:val="006A2B79"/>
    <w:rsid w:val="006A3115"/>
    <w:rsid w:val="006A499A"/>
    <w:rsid w:val="006A53AD"/>
    <w:rsid w:val="006A5AD7"/>
    <w:rsid w:val="006A605A"/>
    <w:rsid w:val="006A6357"/>
    <w:rsid w:val="006A75A7"/>
    <w:rsid w:val="006B1A02"/>
    <w:rsid w:val="006B2B89"/>
    <w:rsid w:val="006B3DC8"/>
    <w:rsid w:val="006B5EB0"/>
    <w:rsid w:val="006B6083"/>
    <w:rsid w:val="006B6C5F"/>
    <w:rsid w:val="006B7512"/>
    <w:rsid w:val="006C0CA7"/>
    <w:rsid w:val="006C207B"/>
    <w:rsid w:val="006C2746"/>
    <w:rsid w:val="006C2887"/>
    <w:rsid w:val="006C3E70"/>
    <w:rsid w:val="006C50E5"/>
    <w:rsid w:val="006C5DC7"/>
    <w:rsid w:val="006C67DC"/>
    <w:rsid w:val="006C72EE"/>
    <w:rsid w:val="006C73F7"/>
    <w:rsid w:val="006C7AC5"/>
    <w:rsid w:val="006D022C"/>
    <w:rsid w:val="006D0871"/>
    <w:rsid w:val="006D36A7"/>
    <w:rsid w:val="006D5043"/>
    <w:rsid w:val="006D58AD"/>
    <w:rsid w:val="006D60EF"/>
    <w:rsid w:val="006D6540"/>
    <w:rsid w:val="006D6A73"/>
    <w:rsid w:val="006D6C6C"/>
    <w:rsid w:val="006E0FC7"/>
    <w:rsid w:val="006E3D34"/>
    <w:rsid w:val="006E41A2"/>
    <w:rsid w:val="006E422A"/>
    <w:rsid w:val="006E644D"/>
    <w:rsid w:val="006E7535"/>
    <w:rsid w:val="006E75C6"/>
    <w:rsid w:val="006E7D8A"/>
    <w:rsid w:val="006F0FE8"/>
    <w:rsid w:val="006F127C"/>
    <w:rsid w:val="006F163E"/>
    <w:rsid w:val="006F1674"/>
    <w:rsid w:val="006F3DE8"/>
    <w:rsid w:val="006F6ACA"/>
    <w:rsid w:val="006F6F96"/>
    <w:rsid w:val="006F711D"/>
    <w:rsid w:val="007001DB"/>
    <w:rsid w:val="00700A77"/>
    <w:rsid w:val="00700FCD"/>
    <w:rsid w:val="0070310A"/>
    <w:rsid w:val="00704306"/>
    <w:rsid w:val="00704B59"/>
    <w:rsid w:val="00705C98"/>
    <w:rsid w:val="00705EB3"/>
    <w:rsid w:val="00705F29"/>
    <w:rsid w:val="00705F96"/>
    <w:rsid w:val="00706F3E"/>
    <w:rsid w:val="00707830"/>
    <w:rsid w:val="00707ECB"/>
    <w:rsid w:val="00710804"/>
    <w:rsid w:val="00710B7B"/>
    <w:rsid w:val="00712629"/>
    <w:rsid w:val="00712E45"/>
    <w:rsid w:val="00713820"/>
    <w:rsid w:val="00714380"/>
    <w:rsid w:val="00714A11"/>
    <w:rsid w:val="00717787"/>
    <w:rsid w:val="00717FC0"/>
    <w:rsid w:val="00720ED9"/>
    <w:rsid w:val="007216D1"/>
    <w:rsid w:val="007218CA"/>
    <w:rsid w:val="00721B8F"/>
    <w:rsid w:val="007227C9"/>
    <w:rsid w:val="007236F9"/>
    <w:rsid w:val="007237DA"/>
    <w:rsid w:val="00723828"/>
    <w:rsid w:val="00723F47"/>
    <w:rsid w:val="0072533A"/>
    <w:rsid w:val="007253C2"/>
    <w:rsid w:val="00725D9B"/>
    <w:rsid w:val="0072642B"/>
    <w:rsid w:val="00726D60"/>
    <w:rsid w:val="007272DC"/>
    <w:rsid w:val="007276C6"/>
    <w:rsid w:val="00730377"/>
    <w:rsid w:val="00730E34"/>
    <w:rsid w:val="007341A6"/>
    <w:rsid w:val="00734BF5"/>
    <w:rsid w:val="0073572F"/>
    <w:rsid w:val="00735B75"/>
    <w:rsid w:val="00735BC1"/>
    <w:rsid w:val="00736499"/>
    <w:rsid w:val="00736B34"/>
    <w:rsid w:val="00737686"/>
    <w:rsid w:val="0073774B"/>
    <w:rsid w:val="00737EFF"/>
    <w:rsid w:val="007414D0"/>
    <w:rsid w:val="00744007"/>
    <w:rsid w:val="007443B9"/>
    <w:rsid w:val="0074447B"/>
    <w:rsid w:val="00745F0A"/>
    <w:rsid w:val="007473DA"/>
    <w:rsid w:val="007509AB"/>
    <w:rsid w:val="007518BF"/>
    <w:rsid w:val="00751A73"/>
    <w:rsid w:val="00751B63"/>
    <w:rsid w:val="00752057"/>
    <w:rsid w:val="00752184"/>
    <w:rsid w:val="007525D1"/>
    <w:rsid w:val="007538F7"/>
    <w:rsid w:val="00754851"/>
    <w:rsid w:val="007553DF"/>
    <w:rsid w:val="00755C74"/>
    <w:rsid w:val="007567C9"/>
    <w:rsid w:val="007569FB"/>
    <w:rsid w:val="007573D9"/>
    <w:rsid w:val="007615EB"/>
    <w:rsid w:val="00761B48"/>
    <w:rsid w:val="007628EF"/>
    <w:rsid w:val="00762910"/>
    <w:rsid w:val="00762E52"/>
    <w:rsid w:val="00763916"/>
    <w:rsid w:val="00763C2A"/>
    <w:rsid w:val="007643F0"/>
    <w:rsid w:val="0076579B"/>
    <w:rsid w:val="00765E0E"/>
    <w:rsid w:val="00766868"/>
    <w:rsid w:val="00767474"/>
    <w:rsid w:val="00767622"/>
    <w:rsid w:val="00770900"/>
    <w:rsid w:val="00770FFD"/>
    <w:rsid w:val="0077174E"/>
    <w:rsid w:val="007718A9"/>
    <w:rsid w:val="007737C1"/>
    <w:rsid w:val="0077433B"/>
    <w:rsid w:val="00776595"/>
    <w:rsid w:val="00776611"/>
    <w:rsid w:val="00777010"/>
    <w:rsid w:val="007778BD"/>
    <w:rsid w:val="0078088D"/>
    <w:rsid w:val="00780E7B"/>
    <w:rsid w:val="00781601"/>
    <w:rsid w:val="00781B23"/>
    <w:rsid w:val="00781C29"/>
    <w:rsid w:val="007826B3"/>
    <w:rsid w:val="00783C55"/>
    <w:rsid w:val="00786258"/>
    <w:rsid w:val="007864AB"/>
    <w:rsid w:val="007865E7"/>
    <w:rsid w:val="0078666E"/>
    <w:rsid w:val="00786911"/>
    <w:rsid w:val="00790D40"/>
    <w:rsid w:val="00790FB8"/>
    <w:rsid w:val="007914B5"/>
    <w:rsid w:val="00792511"/>
    <w:rsid w:val="00793890"/>
    <w:rsid w:val="00794124"/>
    <w:rsid w:val="0079462B"/>
    <w:rsid w:val="00794C94"/>
    <w:rsid w:val="00794DBE"/>
    <w:rsid w:val="00795BA5"/>
    <w:rsid w:val="00795BAB"/>
    <w:rsid w:val="007961BB"/>
    <w:rsid w:val="007973CC"/>
    <w:rsid w:val="00797C57"/>
    <w:rsid w:val="007A3A58"/>
    <w:rsid w:val="007A4B92"/>
    <w:rsid w:val="007A577D"/>
    <w:rsid w:val="007A69A9"/>
    <w:rsid w:val="007A6F5B"/>
    <w:rsid w:val="007A733B"/>
    <w:rsid w:val="007A7E2A"/>
    <w:rsid w:val="007A7FB2"/>
    <w:rsid w:val="007B0923"/>
    <w:rsid w:val="007B1750"/>
    <w:rsid w:val="007B46E5"/>
    <w:rsid w:val="007B48C9"/>
    <w:rsid w:val="007B4E15"/>
    <w:rsid w:val="007B5CD9"/>
    <w:rsid w:val="007B6F56"/>
    <w:rsid w:val="007B7792"/>
    <w:rsid w:val="007B7893"/>
    <w:rsid w:val="007C1514"/>
    <w:rsid w:val="007C2612"/>
    <w:rsid w:val="007C38FB"/>
    <w:rsid w:val="007C61FB"/>
    <w:rsid w:val="007C6DE1"/>
    <w:rsid w:val="007C7318"/>
    <w:rsid w:val="007C7D1B"/>
    <w:rsid w:val="007C7E27"/>
    <w:rsid w:val="007D0F68"/>
    <w:rsid w:val="007D2B4A"/>
    <w:rsid w:val="007D3238"/>
    <w:rsid w:val="007D375D"/>
    <w:rsid w:val="007D5CA4"/>
    <w:rsid w:val="007D672B"/>
    <w:rsid w:val="007D6C9F"/>
    <w:rsid w:val="007D7C0F"/>
    <w:rsid w:val="007E0BF7"/>
    <w:rsid w:val="007E0EFF"/>
    <w:rsid w:val="007E1A7D"/>
    <w:rsid w:val="007E28CA"/>
    <w:rsid w:val="007E379E"/>
    <w:rsid w:val="007E3F5D"/>
    <w:rsid w:val="007E5D10"/>
    <w:rsid w:val="007E6BE0"/>
    <w:rsid w:val="007E6DBF"/>
    <w:rsid w:val="007E79F3"/>
    <w:rsid w:val="007E7B1A"/>
    <w:rsid w:val="007F0C20"/>
    <w:rsid w:val="007F11A9"/>
    <w:rsid w:val="007F12EF"/>
    <w:rsid w:val="007F19E2"/>
    <w:rsid w:val="007F1C26"/>
    <w:rsid w:val="007F1D56"/>
    <w:rsid w:val="007F2881"/>
    <w:rsid w:val="007F2D84"/>
    <w:rsid w:val="007F67E9"/>
    <w:rsid w:val="007F6D6D"/>
    <w:rsid w:val="007F7B78"/>
    <w:rsid w:val="00800990"/>
    <w:rsid w:val="00800D07"/>
    <w:rsid w:val="00801050"/>
    <w:rsid w:val="00803BA2"/>
    <w:rsid w:val="00805045"/>
    <w:rsid w:val="008059A6"/>
    <w:rsid w:val="00805A24"/>
    <w:rsid w:val="00805CAC"/>
    <w:rsid w:val="00806ABE"/>
    <w:rsid w:val="0080714C"/>
    <w:rsid w:val="00810E0B"/>
    <w:rsid w:val="00810E43"/>
    <w:rsid w:val="008134E6"/>
    <w:rsid w:val="008167C0"/>
    <w:rsid w:val="0081729E"/>
    <w:rsid w:val="00817D89"/>
    <w:rsid w:val="00822383"/>
    <w:rsid w:val="00822ABD"/>
    <w:rsid w:val="0082378B"/>
    <w:rsid w:val="00823AE6"/>
    <w:rsid w:val="00824398"/>
    <w:rsid w:val="00824ACF"/>
    <w:rsid w:val="00824F51"/>
    <w:rsid w:val="0082509C"/>
    <w:rsid w:val="008257BA"/>
    <w:rsid w:val="00825EF9"/>
    <w:rsid w:val="00826F14"/>
    <w:rsid w:val="00830456"/>
    <w:rsid w:val="00831430"/>
    <w:rsid w:val="0083386B"/>
    <w:rsid w:val="0083461D"/>
    <w:rsid w:val="00834B5C"/>
    <w:rsid w:val="00834FD8"/>
    <w:rsid w:val="008350BC"/>
    <w:rsid w:val="0083690C"/>
    <w:rsid w:val="00836EC6"/>
    <w:rsid w:val="00837499"/>
    <w:rsid w:val="00837C12"/>
    <w:rsid w:val="00841413"/>
    <w:rsid w:val="00841E29"/>
    <w:rsid w:val="00842CB5"/>
    <w:rsid w:val="00842E46"/>
    <w:rsid w:val="00843719"/>
    <w:rsid w:val="00845236"/>
    <w:rsid w:val="008468C7"/>
    <w:rsid w:val="00847167"/>
    <w:rsid w:val="00847C14"/>
    <w:rsid w:val="00851195"/>
    <w:rsid w:val="00851267"/>
    <w:rsid w:val="0085128F"/>
    <w:rsid w:val="00851A3E"/>
    <w:rsid w:val="00852235"/>
    <w:rsid w:val="00852B60"/>
    <w:rsid w:val="00852BCD"/>
    <w:rsid w:val="0085312E"/>
    <w:rsid w:val="00854AB6"/>
    <w:rsid w:val="00855B3E"/>
    <w:rsid w:val="00855EAE"/>
    <w:rsid w:val="008578F1"/>
    <w:rsid w:val="00857D6C"/>
    <w:rsid w:val="008605DD"/>
    <w:rsid w:val="0086090E"/>
    <w:rsid w:val="00862659"/>
    <w:rsid w:val="008639F1"/>
    <w:rsid w:val="00863D03"/>
    <w:rsid w:val="00864033"/>
    <w:rsid w:val="00864913"/>
    <w:rsid w:val="008652A2"/>
    <w:rsid w:val="00865F55"/>
    <w:rsid w:val="00866ED0"/>
    <w:rsid w:val="00867B6A"/>
    <w:rsid w:val="008711EA"/>
    <w:rsid w:val="00871FC1"/>
    <w:rsid w:val="00872271"/>
    <w:rsid w:val="008725E7"/>
    <w:rsid w:val="00872E0D"/>
    <w:rsid w:val="00873D7B"/>
    <w:rsid w:val="008750B8"/>
    <w:rsid w:val="0087578E"/>
    <w:rsid w:val="008774D4"/>
    <w:rsid w:val="00880119"/>
    <w:rsid w:val="00880452"/>
    <w:rsid w:val="00880898"/>
    <w:rsid w:val="00880FE3"/>
    <w:rsid w:val="00882264"/>
    <w:rsid w:val="00882605"/>
    <w:rsid w:val="008830C1"/>
    <w:rsid w:val="00883403"/>
    <w:rsid w:val="00883B7F"/>
    <w:rsid w:val="0088431C"/>
    <w:rsid w:val="00884BE5"/>
    <w:rsid w:val="00885BBB"/>
    <w:rsid w:val="00885D51"/>
    <w:rsid w:val="008866A6"/>
    <w:rsid w:val="008868CA"/>
    <w:rsid w:val="00886E4E"/>
    <w:rsid w:val="00887118"/>
    <w:rsid w:val="00887C04"/>
    <w:rsid w:val="00890226"/>
    <w:rsid w:val="00890E90"/>
    <w:rsid w:val="00891D22"/>
    <w:rsid w:val="008926E5"/>
    <w:rsid w:val="00893DA6"/>
    <w:rsid w:val="00894253"/>
    <w:rsid w:val="0089439C"/>
    <w:rsid w:val="008960F7"/>
    <w:rsid w:val="00896D5E"/>
    <w:rsid w:val="008974B8"/>
    <w:rsid w:val="00897ED1"/>
    <w:rsid w:val="008A1180"/>
    <w:rsid w:val="008A1243"/>
    <w:rsid w:val="008A1888"/>
    <w:rsid w:val="008A2317"/>
    <w:rsid w:val="008A23A5"/>
    <w:rsid w:val="008A24C6"/>
    <w:rsid w:val="008A3579"/>
    <w:rsid w:val="008A3EDB"/>
    <w:rsid w:val="008A4A29"/>
    <w:rsid w:val="008A5291"/>
    <w:rsid w:val="008A5899"/>
    <w:rsid w:val="008A58CD"/>
    <w:rsid w:val="008A5BC6"/>
    <w:rsid w:val="008A6898"/>
    <w:rsid w:val="008A69C1"/>
    <w:rsid w:val="008A6D79"/>
    <w:rsid w:val="008A701F"/>
    <w:rsid w:val="008A719C"/>
    <w:rsid w:val="008A74C0"/>
    <w:rsid w:val="008A7EA3"/>
    <w:rsid w:val="008A7F0E"/>
    <w:rsid w:val="008B050F"/>
    <w:rsid w:val="008B0C4B"/>
    <w:rsid w:val="008B1A09"/>
    <w:rsid w:val="008B1D26"/>
    <w:rsid w:val="008B1E3A"/>
    <w:rsid w:val="008B3821"/>
    <w:rsid w:val="008B3AED"/>
    <w:rsid w:val="008B4283"/>
    <w:rsid w:val="008B43D2"/>
    <w:rsid w:val="008B4A9D"/>
    <w:rsid w:val="008B5B5C"/>
    <w:rsid w:val="008B6A61"/>
    <w:rsid w:val="008B6BE3"/>
    <w:rsid w:val="008B6C7A"/>
    <w:rsid w:val="008B7D86"/>
    <w:rsid w:val="008C0022"/>
    <w:rsid w:val="008C21C9"/>
    <w:rsid w:val="008C24FD"/>
    <w:rsid w:val="008C2AB5"/>
    <w:rsid w:val="008C34C2"/>
    <w:rsid w:val="008C4113"/>
    <w:rsid w:val="008C41BF"/>
    <w:rsid w:val="008C47FC"/>
    <w:rsid w:val="008C5473"/>
    <w:rsid w:val="008C6A69"/>
    <w:rsid w:val="008C7AB8"/>
    <w:rsid w:val="008D0189"/>
    <w:rsid w:val="008D071C"/>
    <w:rsid w:val="008D1D7D"/>
    <w:rsid w:val="008D1F94"/>
    <w:rsid w:val="008D1FD9"/>
    <w:rsid w:val="008D2AEB"/>
    <w:rsid w:val="008D3D52"/>
    <w:rsid w:val="008D489A"/>
    <w:rsid w:val="008D5D00"/>
    <w:rsid w:val="008D6735"/>
    <w:rsid w:val="008D6EBF"/>
    <w:rsid w:val="008E08E9"/>
    <w:rsid w:val="008E1733"/>
    <w:rsid w:val="008E25A1"/>
    <w:rsid w:val="008E2D59"/>
    <w:rsid w:val="008E4527"/>
    <w:rsid w:val="008E503D"/>
    <w:rsid w:val="008E56B6"/>
    <w:rsid w:val="008E607A"/>
    <w:rsid w:val="008E60A5"/>
    <w:rsid w:val="008E64DE"/>
    <w:rsid w:val="008F00B5"/>
    <w:rsid w:val="008F0A6C"/>
    <w:rsid w:val="008F2DD2"/>
    <w:rsid w:val="008F34D4"/>
    <w:rsid w:val="008F3D45"/>
    <w:rsid w:val="008F47F0"/>
    <w:rsid w:val="008F5D69"/>
    <w:rsid w:val="008F7658"/>
    <w:rsid w:val="008F76C3"/>
    <w:rsid w:val="008F77DD"/>
    <w:rsid w:val="009012FF"/>
    <w:rsid w:val="0090197A"/>
    <w:rsid w:val="00901F1C"/>
    <w:rsid w:val="00903237"/>
    <w:rsid w:val="00903957"/>
    <w:rsid w:val="009055CF"/>
    <w:rsid w:val="00905676"/>
    <w:rsid w:val="009063E7"/>
    <w:rsid w:val="009072B8"/>
    <w:rsid w:val="009077E6"/>
    <w:rsid w:val="00910101"/>
    <w:rsid w:val="0091059B"/>
    <w:rsid w:val="009109C8"/>
    <w:rsid w:val="00911C94"/>
    <w:rsid w:val="009121F2"/>
    <w:rsid w:val="0091365A"/>
    <w:rsid w:val="009144AF"/>
    <w:rsid w:val="00914BC8"/>
    <w:rsid w:val="00914EAB"/>
    <w:rsid w:val="009154FC"/>
    <w:rsid w:val="00915A77"/>
    <w:rsid w:val="00916577"/>
    <w:rsid w:val="009166E2"/>
    <w:rsid w:val="00916BFF"/>
    <w:rsid w:val="00916DA6"/>
    <w:rsid w:val="00916DAD"/>
    <w:rsid w:val="009170F4"/>
    <w:rsid w:val="009171E8"/>
    <w:rsid w:val="0092086D"/>
    <w:rsid w:val="00920EBB"/>
    <w:rsid w:val="009210C6"/>
    <w:rsid w:val="00921D3E"/>
    <w:rsid w:val="00921DF5"/>
    <w:rsid w:val="00923629"/>
    <w:rsid w:val="00925CDC"/>
    <w:rsid w:val="00927FFC"/>
    <w:rsid w:val="00930117"/>
    <w:rsid w:val="00930394"/>
    <w:rsid w:val="0093153F"/>
    <w:rsid w:val="00933717"/>
    <w:rsid w:val="00935428"/>
    <w:rsid w:val="009365BC"/>
    <w:rsid w:val="00936B78"/>
    <w:rsid w:val="009404B1"/>
    <w:rsid w:val="009409FD"/>
    <w:rsid w:val="00941593"/>
    <w:rsid w:val="00941690"/>
    <w:rsid w:val="009435AC"/>
    <w:rsid w:val="0094395E"/>
    <w:rsid w:val="009444E1"/>
    <w:rsid w:val="0094499A"/>
    <w:rsid w:val="00944D8D"/>
    <w:rsid w:val="00945262"/>
    <w:rsid w:val="00950656"/>
    <w:rsid w:val="00950E9D"/>
    <w:rsid w:val="009544B1"/>
    <w:rsid w:val="0095453D"/>
    <w:rsid w:val="00955580"/>
    <w:rsid w:val="00955733"/>
    <w:rsid w:val="00955CA9"/>
    <w:rsid w:val="00957076"/>
    <w:rsid w:val="009570A4"/>
    <w:rsid w:val="0096095E"/>
    <w:rsid w:val="009613F7"/>
    <w:rsid w:val="0096155C"/>
    <w:rsid w:val="00961B6B"/>
    <w:rsid w:val="00961FA9"/>
    <w:rsid w:val="0096268E"/>
    <w:rsid w:val="00964FBD"/>
    <w:rsid w:val="0096516F"/>
    <w:rsid w:val="00965408"/>
    <w:rsid w:val="00965D7F"/>
    <w:rsid w:val="0096660B"/>
    <w:rsid w:val="00966A42"/>
    <w:rsid w:val="00970148"/>
    <w:rsid w:val="00970838"/>
    <w:rsid w:val="00972DBD"/>
    <w:rsid w:val="00973A02"/>
    <w:rsid w:val="00973D79"/>
    <w:rsid w:val="00976746"/>
    <w:rsid w:val="009767E8"/>
    <w:rsid w:val="00976A41"/>
    <w:rsid w:val="00976FB9"/>
    <w:rsid w:val="009770CD"/>
    <w:rsid w:val="00977714"/>
    <w:rsid w:val="00981047"/>
    <w:rsid w:val="009819C5"/>
    <w:rsid w:val="0098245F"/>
    <w:rsid w:val="00982469"/>
    <w:rsid w:val="0098476B"/>
    <w:rsid w:val="00984AF9"/>
    <w:rsid w:val="00985205"/>
    <w:rsid w:val="00986175"/>
    <w:rsid w:val="00986818"/>
    <w:rsid w:val="0098763B"/>
    <w:rsid w:val="00987D17"/>
    <w:rsid w:val="00990324"/>
    <w:rsid w:val="0099264C"/>
    <w:rsid w:val="009926E5"/>
    <w:rsid w:val="00993B1C"/>
    <w:rsid w:val="009940BA"/>
    <w:rsid w:val="00994567"/>
    <w:rsid w:val="00995595"/>
    <w:rsid w:val="00995B99"/>
    <w:rsid w:val="00995C95"/>
    <w:rsid w:val="00996DDA"/>
    <w:rsid w:val="009974B5"/>
    <w:rsid w:val="009975B2"/>
    <w:rsid w:val="009A0860"/>
    <w:rsid w:val="009A09E2"/>
    <w:rsid w:val="009A15F7"/>
    <w:rsid w:val="009A16C7"/>
    <w:rsid w:val="009A25AA"/>
    <w:rsid w:val="009A3C64"/>
    <w:rsid w:val="009A3D2A"/>
    <w:rsid w:val="009A4790"/>
    <w:rsid w:val="009A4CE0"/>
    <w:rsid w:val="009A4D2A"/>
    <w:rsid w:val="009A717F"/>
    <w:rsid w:val="009A7476"/>
    <w:rsid w:val="009B0F01"/>
    <w:rsid w:val="009B352D"/>
    <w:rsid w:val="009B3D85"/>
    <w:rsid w:val="009B4652"/>
    <w:rsid w:val="009B4784"/>
    <w:rsid w:val="009B49E8"/>
    <w:rsid w:val="009B539B"/>
    <w:rsid w:val="009B70EB"/>
    <w:rsid w:val="009B7FB5"/>
    <w:rsid w:val="009C090C"/>
    <w:rsid w:val="009C0ECE"/>
    <w:rsid w:val="009C12CC"/>
    <w:rsid w:val="009C23AF"/>
    <w:rsid w:val="009C2506"/>
    <w:rsid w:val="009C3FAC"/>
    <w:rsid w:val="009C4764"/>
    <w:rsid w:val="009C47F7"/>
    <w:rsid w:val="009C494B"/>
    <w:rsid w:val="009C59F5"/>
    <w:rsid w:val="009C5C01"/>
    <w:rsid w:val="009C6A56"/>
    <w:rsid w:val="009C6B02"/>
    <w:rsid w:val="009C7BD6"/>
    <w:rsid w:val="009D04FB"/>
    <w:rsid w:val="009D1513"/>
    <w:rsid w:val="009D1DEC"/>
    <w:rsid w:val="009D2057"/>
    <w:rsid w:val="009D267E"/>
    <w:rsid w:val="009D46EE"/>
    <w:rsid w:val="009D6964"/>
    <w:rsid w:val="009D6F36"/>
    <w:rsid w:val="009E0200"/>
    <w:rsid w:val="009E1228"/>
    <w:rsid w:val="009E20AD"/>
    <w:rsid w:val="009E3308"/>
    <w:rsid w:val="009E39A4"/>
    <w:rsid w:val="009E4BD5"/>
    <w:rsid w:val="009E65CC"/>
    <w:rsid w:val="009E7888"/>
    <w:rsid w:val="009F092D"/>
    <w:rsid w:val="009F3A1A"/>
    <w:rsid w:val="009F3C5C"/>
    <w:rsid w:val="009F41E2"/>
    <w:rsid w:val="009F506A"/>
    <w:rsid w:val="009F61A4"/>
    <w:rsid w:val="00A00B28"/>
    <w:rsid w:val="00A01B5A"/>
    <w:rsid w:val="00A02C24"/>
    <w:rsid w:val="00A034A3"/>
    <w:rsid w:val="00A03576"/>
    <w:rsid w:val="00A04579"/>
    <w:rsid w:val="00A04DEE"/>
    <w:rsid w:val="00A058C3"/>
    <w:rsid w:val="00A067B0"/>
    <w:rsid w:val="00A06CDE"/>
    <w:rsid w:val="00A07460"/>
    <w:rsid w:val="00A07A32"/>
    <w:rsid w:val="00A07EB6"/>
    <w:rsid w:val="00A1089F"/>
    <w:rsid w:val="00A10932"/>
    <w:rsid w:val="00A1282A"/>
    <w:rsid w:val="00A12C13"/>
    <w:rsid w:val="00A12D50"/>
    <w:rsid w:val="00A12F9C"/>
    <w:rsid w:val="00A1374B"/>
    <w:rsid w:val="00A145E4"/>
    <w:rsid w:val="00A14682"/>
    <w:rsid w:val="00A147FB"/>
    <w:rsid w:val="00A14D74"/>
    <w:rsid w:val="00A15EF6"/>
    <w:rsid w:val="00A1620A"/>
    <w:rsid w:val="00A17A05"/>
    <w:rsid w:val="00A2088C"/>
    <w:rsid w:val="00A20A55"/>
    <w:rsid w:val="00A20A78"/>
    <w:rsid w:val="00A221E2"/>
    <w:rsid w:val="00A23ED0"/>
    <w:rsid w:val="00A24BDE"/>
    <w:rsid w:val="00A256B2"/>
    <w:rsid w:val="00A268C1"/>
    <w:rsid w:val="00A27C6A"/>
    <w:rsid w:val="00A30099"/>
    <w:rsid w:val="00A305D9"/>
    <w:rsid w:val="00A3069A"/>
    <w:rsid w:val="00A30F9A"/>
    <w:rsid w:val="00A31378"/>
    <w:rsid w:val="00A31FC1"/>
    <w:rsid w:val="00A321A6"/>
    <w:rsid w:val="00A32369"/>
    <w:rsid w:val="00A328BE"/>
    <w:rsid w:val="00A344CA"/>
    <w:rsid w:val="00A345EF"/>
    <w:rsid w:val="00A35A6E"/>
    <w:rsid w:val="00A36628"/>
    <w:rsid w:val="00A36CF5"/>
    <w:rsid w:val="00A40193"/>
    <w:rsid w:val="00A40FE4"/>
    <w:rsid w:val="00A42B75"/>
    <w:rsid w:val="00A442FD"/>
    <w:rsid w:val="00A44CE5"/>
    <w:rsid w:val="00A44F6F"/>
    <w:rsid w:val="00A46662"/>
    <w:rsid w:val="00A46B07"/>
    <w:rsid w:val="00A476B1"/>
    <w:rsid w:val="00A47AB7"/>
    <w:rsid w:val="00A47F8C"/>
    <w:rsid w:val="00A500E6"/>
    <w:rsid w:val="00A50800"/>
    <w:rsid w:val="00A510F8"/>
    <w:rsid w:val="00A51908"/>
    <w:rsid w:val="00A51FFE"/>
    <w:rsid w:val="00A525D0"/>
    <w:rsid w:val="00A52D4A"/>
    <w:rsid w:val="00A52F4B"/>
    <w:rsid w:val="00A54431"/>
    <w:rsid w:val="00A55A51"/>
    <w:rsid w:val="00A55AB1"/>
    <w:rsid w:val="00A5646B"/>
    <w:rsid w:val="00A57115"/>
    <w:rsid w:val="00A577B1"/>
    <w:rsid w:val="00A60A3B"/>
    <w:rsid w:val="00A61190"/>
    <w:rsid w:val="00A6153E"/>
    <w:rsid w:val="00A61924"/>
    <w:rsid w:val="00A64FD8"/>
    <w:rsid w:val="00A67ADE"/>
    <w:rsid w:val="00A70579"/>
    <w:rsid w:val="00A70DF8"/>
    <w:rsid w:val="00A70F50"/>
    <w:rsid w:val="00A71537"/>
    <w:rsid w:val="00A72238"/>
    <w:rsid w:val="00A74383"/>
    <w:rsid w:val="00A743A8"/>
    <w:rsid w:val="00A757A9"/>
    <w:rsid w:val="00A759BE"/>
    <w:rsid w:val="00A769EA"/>
    <w:rsid w:val="00A8010B"/>
    <w:rsid w:val="00A8058B"/>
    <w:rsid w:val="00A80CEC"/>
    <w:rsid w:val="00A82B41"/>
    <w:rsid w:val="00A8383C"/>
    <w:rsid w:val="00A842C7"/>
    <w:rsid w:val="00A85279"/>
    <w:rsid w:val="00A85AB9"/>
    <w:rsid w:val="00A866BE"/>
    <w:rsid w:val="00A86CEC"/>
    <w:rsid w:val="00A87303"/>
    <w:rsid w:val="00A914DA"/>
    <w:rsid w:val="00A91A2C"/>
    <w:rsid w:val="00A91B6B"/>
    <w:rsid w:val="00A91E2C"/>
    <w:rsid w:val="00A92154"/>
    <w:rsid w:val="00A94560"/>
    <w:rsid w:val="00A9538C"/>
    <w:rsid w:val="00A9608F"/>
    <w:rsid w:val="00A961FF"/>
    <w:rsid w:val="00A974DD"/>
    <w:rsid w:val="00A975EB"/>
    <w:rsid w:val="00A9790D"/>
    <w:rsid w:val="00AA1175"/>
    <w:rsid w:val="00AA36F2"/>
    <w:rsid w:val="00AA40D1"/>
    <w:rsid w:val="00AA45F6"/>
    <w:rsid w:val="00AA4A95"/>
    <w:rsid w:val="00AA565A"/>
    <w:rsid w:val="00AA58AB"/>
    <w:rsid w:val="00AB0FCA"/>
    <w:rsid w:val="00AB1269"/>
    <w:rsid w:val="00AB2A96"/>
    <w:rsid w:val="00AB326E"/>
    <w:rsid w:val="00AB3504"/>
    <w:rsid w:val="00AB4EA9"/>
    <w:rsid w:val="00AB562C"/>
    <w:rsid w:val="00AB57E2"/>
    <w:rsid w:val="00AB5AD4"/>
    <w:rsid w:val="00AB5F62"/>
    <w:rsid w:val="00AB60E2"/>
    <w:rsid w:val="00AB75F5"/>
    <w:rsid w:val="00AC005D"/>
    <w:rsid w:val="00AC12F0"/>
    <w:rsid w:val="00AC14A0"/>
    <w:rsid w:val="00AC169B"/>
    <w:rsid w:val="00AC1CD3"/>
    <w:rsid w:val="00AC3BD7"/>
    <w:rsid w:val="00AC667C"/>
    <w:rsid w:val="00AC726E"/>
    <w:rsid w:val="00AD02A3"/>
    <w:rsid w:val="00AD1AAA"/>
    <w:rsid w:val="00AD1B4C"/>
    <w:rsid w:val="00AD2CB3"/>
    <w:rsid w:val="00AD3173"/>
    <w:rsid w:val="00AD3634"/>
    <w:rsid w:val="00AD3985"/>
    <w:rsid w:val="00AD4E6C"/>
    <w:rsid w:val="00AD4FE2"/>
    <w:rsid w:val="00AD69DB"/>
    <w:rsid w:val="00AD7D1B"/>
    <w:rsid w:val="00AE0B9F"/>
    <w:rsid w:val="00AE1BB5"/>
    <w:rsid w:val="00AE2CC9"/>
    <w:rsid w:val="00AE2E33"/>
    <w:rsid w:val="00AE313C"/>
    <w:rsid w:val="00AE40E7"/>
    <w:rsid w:val="00AE56F8"/>
    <w:rsid w:val="00AE6DA2"/>
    <w:rsid w:val="00AE726E"/>
    <w:rsid w:val="00AE7D2F"/>
    <w:rsid w:val="00AE7FDE"/>
    <w:rsid w:val="00AF1792"/>
    <w:rsid w:val="00AF1F21"/>
    <w:rsid w:val="00AF2876"/>
    <w:rsid w:val="00AF3091"/>
    <w:rsid w:val="00AF33CC"/>
    <w:rsid w:val="00AF446D"/>
    <w:rsid w:val="00AF71E2"/>
    <w:rsid w:val="00B001F8"/>
    <w:rsid w:val="00B00DCD"/>
    <w:rsid w:val="00B0127B"/>
    <w:rsid w:val="00B01297"/>
    <w:rsid w:val="00B01DD5"/>
    <w:rsid w:val="00B02A7C"/>
    <w:rsid w:val="00B04AAB"/>
    <w:rsid w:val="00B06075"/>
    <w:rsid w:val="00B10E20"/>
    <w:rsid w:val="00B112A9"/>
    <w:rsid w:val="00B12B6F"/>
    <w:rsid w:val="00B12E6E"/>
    <w:rsid w:val="00B13D74"/>
    <w:rsid w:val="00B1544E"/>
    <w:rsid w:val="00B15605"/>
    <w:rsid w:val="00B1586D"/>
    <w:rsid w:val="00B15FCC"/>
    <w:rsid w:val="00B16377"/>
    <w:rsid w:val="00B17CF8"/>
    <w:rsid w:val="00B203A5"/>
    <w:rsid w:val="00B20D04"/>
    <w:rsid w:val="00B21284"/>
    <w:rsid w:val="00B21FCA"/>
    <w:rsid w:val="00B2267F"/>
    <w:rsid w:val="00B22C1F"/>
    <w:rsid w:val="00B23E4E"/>
    <w:rsid w:val="00B24A07"/>
    <w:rsid w:val="00B24AF8"/>
    <w:rsid w:val="00B24DA8"/>
    <w:rsid w:val="00B25E12"/>
    <w:rsid w:val="00B26CE0"/>
    <w:rsid w:val="00B272FD"/>
    <w:rsid w:val="00B274B6"/>
    <w:rsid w:val="00B27C24"/>
    <w:rsid w:val="00B30438"/>
    <w:rsid w:val="00B305C1"/>
    <w:rsid w:val="00B30B1E"/>
    <w:rsid w:val="00B34F85"/>
    <w:rsid w:val="00B353AF"/>
    <w:rsid w:val="00B354AD"/>
    <w:rsid w:val="00B360FB"/>
    <w:rsid w:val="00B373E1"/>
    <w:rsid w:val="00B3772F"/>
    <w:rsid w:val="00B37BD3"/>
    <w:rsid w:val="00B41086"/>
    <w:rsid w:val="00B41126"/>
    <w:rsid w:val="00B416FD"/>
    <w:rsid w:val="00B438DA"/>
    <w:rsid w:val="00B448FA"/>
    <w:rsid w:val="00B4494C"/>
    <w:rsid w:val="00B455A1"/>
    <w:rsid w:val="00B45A51"/>
    <w:rsid w:val="00B45DB1"/>
    <w:rsid w:val="00B46BE9"/>
    <w:rsid w:val="00B46E4F"/>
    <w:rsid w:val="00B47B48"/>
    <w:rsid w:val="00B505B6"/>
    <w:rsid w:val="00B50F26"/>
    <w:rsid w:val="00B5113A"/>
    <w:rsid w:val="00B51ACB"/>
    <w:rsid w:val="00B51B65"/>
    <w:rsid w:val="00B52A1D"/>
    <w:rsid w:val="00B52D1A"/>
    <w:rsid w:val="00B53F98"/>
    <w:rsid w:val="00B5416F"/>
    <w:rsid w:val="00B54C9D"/>
    <w:rsid w:val="00B5520F"/>
    <w:rsid w:val="00B564BF"/>
    <w:rsid w:val="00B56D97"/>
    <w:rsid w:val="00B60041"/>
    <w:rsid w:val="00B6036E"/>
    <w:rsid w:val="00B60449"/>
    <w:rsid w:val="00B60DBA"/>
    <w:rsid w:val="00B625AB"/>
    <w:rsid w:val="00B628AB"/>
    <w:rsid w:val="00B63127"/>
    <w:rsid w:val="00B64F85"/>
    <w:rsid w:val="00B65B92"/>
    <w:rsid w:val="00B65C21"/>
    <w:rsid w:val="00B65FBB"/>
    <w:rsid w:val="00B66FD1"/>
    <w:rsid w:val="00B708E7"/>
    <w:rsid w:val="00B7163A"/>
    <w:rsid w:val="00B73992"/>
    <w:rsid w:val="00B73F55"/>
    <w:rsid w:val="00B74CC1"/>
    <w:rsid w:val="00B7564E"/>
    <w:rsid w:val="00B762CB"/>
    <w:rsid w:val="00B76610"/>
    <w:rsid w:val="00B80071"/>
    <w:rsid w:val="00B807EE"/>
    <w:rsid w:val="00B8091B"/>
    <w:rsid w:val="00B815D6"/>
    <w:rsid w:val="00B8178D"/>
    <w:rsid w:val="00B81B9C"/>
    <w:rsid w:val="00B8254A"/>
    <w:rsid w:val="00B8290B"/>
    <w:rsid w:val="00B8365A"/>
    <w:rsid w:val="00B83A49"/>
    <w:rsid w:val="00B8430B"/>
    <w:rsid w:val="00B844A8"/>
    <w:rsid w:val="00B850C7"/>
    <w:rsid w:val="00B85E36"/>
    <w:rsid w:val="00B8628E"/>
    <w:rsid w:val="00B8666B"/>
    <w:rsid w:val="00B86719"/>
    <w:rsid w:val="00B87668"/>
    <w:rsid w:val="00B914CD"/>
    <w:rsid w:val="00B932D5"/>
    <w:rsid w:val="00B93A52"/>
    <w:rsid w:val="00B94577"/>
    <w:rsid w:val="00B95BBC"/>
    <w:rsid w:val="00B962E5"/>
    <w:rsid w:val="00B97593"/>
    <w:rsid w:val="00BA0A63"/>
    <w:rsid w:val="00BA0C67"/>
    <w:rsid w:val="00BA1147"/>
    <w:rsid w:val="00BA1F84"/>
    <w:rsid w:val="00BA2170"/>
    <w:rsid w:val="00BA2BC1"/>
    <w:rsid w:val="00BA3344"/>
    <w:rsid w:val="00BA38AE"/>
    <w:rsid w:val="00BA3D0F"/>
    <w:rsid w:val="00BA4205"/>
    <w:rsid w:val="00BA4268"/>
    <w:rsid w:val="00BA48C2"/>
    <w:rsid w:val="00BA525D"/>
    <w:rsid w:val="00BA538E"/>
    <w:rsid w:val="00BA6B09"/>
    <w:rsid w:val="00BA7513"/>
    <w:rsid w:val="00BA773C"/>
    <w:rsid w:val="00BA7E31"/>
    <w:rsid w:val="00BB2C6F"/>
    <w:rsid w:val="00BB3917"/>
    <w:rsid w:val="00BB43BA"/>
    <w:rsid w:val="00BB53D6"/>
    <w:rsid w:val="00BB55D6"/>
    <w:rsid w:val="00BB5C72"/>
    <w:rsid w:val="00BC0214"/>
    <w:rsid w:val="00BC1799"/>
    <w:rsid w:val="00BC1B0C"/>
    <w:rsid w:val="00BC205E"/>
    <w:rsid w:val="00BC22FE"/>
    <w:rsid w:val="00BC2B49"/>
    <w:rsid w:val="00BC2F33"/>
    <w:rsid w:val="00BC31D3"/>
    <w:rsid w:val="00BC37EB"/>
    <w:rsid w:val="00BC4410"/>
    <w:rsid w:val="00BC5037"/>
    <w:rsid w:val="00BC5168"/>
    <w:rsid w:val="00BC5EA1"/>
    <w:rsid w:val="00BC6271"/>
    <w:rsid w:val="00BC69DC"/>
    <w:rsid w:val="00BC77D9"/>
    <w:rsid w:val="00BC78A1"/>
    <w:rsid w:val="00BC7A16"/>
    <w:rsid w:val="00BD0FC7"/>
    <w:rsid w:val="00BD1359"/>
    <w:rsid w:val="00BD2040"/>
    <w:rsid w:val="00BD2412"/>
    <w:rsid w:val="00BD3450"/>
    <w:rsid w:val="00BD3628"/>
    <w:rsid w:val="00BD5158"/>
    <w:rsid w:val="00BD619D"/>
    <w:rsid w:val="00BD6E14"/>
    <w:rsid w:val="00BD7949"/>
    <w:rsid w:val="00BE0507"/>
    <w:rsid w:val="00BE1F71"/>
    <w:rsid w:val="00BE3219"/>
    <w:rsid w:val="00BE5335"/>
    <w:rsid w:val="00BE5858"/>
    <w:rsid w:val="00BE75B3"/>
    <w:rsid w:val="00BE7BD0"/>
    <w:rsid w:val="00BF10ED"/>
    <w:rsid w:val="00BF378F"/>
    <w:rsid w:val="00BF39BD"/>
    <w:rsid w:val="00BF3BD3"/>
    <w:rsid w:val="00BF4177"/>
    <w:rsid w:val="00BF4387"/>
    <w:rsid w:val="00BF4FCF"/>
    <w:rsid w:val="00BF5565"/>
    <w:rsid w:val="00BF6765"/>
    <w:rsid w:val="00BF6B14"/>
    <w:rsid w:val="00BF7C01"/>
    <w:rsid w:val="00BF7C78"/>
    <w:rsid w:val="00C00BA4"/>
    <w:rsid w:val="00C01349"/>
    <w:rsid w:val="00C026CF"/>
    <w:rsid w:val="00C048E5"/>
    <w:rsid w:val="00C04935"/>
    <w:rsid w:val="00C0693F"/>
    <w:rsid w:val="00C072FC"/>
    <w:rsid w:val="00C07387"/>
    <w:rsid w:val="00C07982"/>
    <w:rsid w:val="00C07A68"/>
    <w:rsid w:val="00C07A88"/>
    <w:rsid w:val="00C07CB8"/>
    <w:rsid w:val="00C109B6"/>
    <w:rsid w:val="00C10EEC"/>
    <w:rsid w:val="00C11F3D"/>
    <w:rsid w:val="00C12D70"/>
    <w:rsid w:val="00C1396A"/>
    <w:rsid w:val="00C13D02"/>
    <w:rsid w:val="00C14EB6"/>
    <w:rsid w:val="00C15861"/>
    <w:rsid w:val="00C1663B"/>
    <w:rsid w:val="00C2016F"/>
    <w:rsid w:val="00C21205"/>
    <w:rsid w:val="00C21C94"/>
    <w:rsid w:val="00C23274"/>
    <w:rsid w:val="00C235B3"/>
    <w:rsid w:val="00C2363A"/>
    <w:rsid w:val="00C244BA"/>
    <w:rsid w:val="00C248DC"/>
    <w:rsid w:val="00C24DBF"/>
    <w:rsid w:val="00C258A6"/>
    <w:rsid w:val="00C25E5D"/>
    <w:rsid w:val="00C2733A"/>
    <w:rsid w:val="00C304F4"/>
    <w:rsid w:val="00C31BA2"/>
    <w:rsid w:val="00C33802"/>
    <w:rsid w:val="00C36F74"/>
    <w:rsid w:val="00C37007"/>
    <w:rsid w:val="00C378F5"/>
    <w:rsid w:val="00C37B3C"/>
    <w:rsid w:val="00C41128"/>
    <w:rsid w:val="00C42A56"/>
    <w:rsid w:val="00C42F45"/>
    <w:rsid w:val="00C43089"/>
    <w:rsid w:val="00C43C39"/>
    <w:rsid w:val="00C43C71"/>
    <w:rsid w:val="00C44064"/>
    <w:rsid w:val="00C4419A"/>
    <w:rsid w:val="00C44669"/>
    <w:rsid w:val="00C448AF"/>
    <w:rsid w:val="00C448D1"/>
    <w:rsid w:val="00C45764"/>
    <w:rsid w:val="00C458D4"/>
    <w:rsid w:val="00C460FC"/>
    <w:rsid w:val="00C4634C"/>
    <w:rsid w:val="00C467FE"/>
    <w:rsid w:val="00C47685"/>
    <w:rsid w:val="00C477C6"/>
    <w:rsid w:val="00C507E9"/>
    <w:rsid w:val="00C51A61"/>
    <w:rsid w:val="00C5350E"/>
    <w:rsid w:val="00C540B6"/>
    <w:rsid w:val="00C54369"/>
    <w:rsid w:val="00C54ECF"/>
    <w:rsid w:val="00C57A61"/>
    <w:rsid w:val="00C57F8A"/>
    <w:rsid w:val="00C606AE"/>
    <w:rsid w:val="00C610AD"/>
    <w:rsid w:val="00C6234E"/>
    <w:rsid w:val="00C62AFE"/>
    <w:rsid w:val="00C62B35"/>
    <w:rsid w:val="00C62F14"/>
    <w:rsid w:val="00C635A5"/>
    <w:rsid w:val="00C64848"/>
    <w:rsid w:val="00C6547C"/>
    <w:rsid w:val="00C65A07"/>
    <w:rsid w:val="00C66C91"/>
    <w:rsid w:val="00C66ECC"/>
    <w:rsid w:val="00C6707E"/>
    <w:rsid w:val="00C70342"/>
    <w:rsid w:val="00C70667"/>
    <w:rsid w:val="00C70BD8"/>
    <w:rsid w:val="00C715F6"/>
    <w:rsid w:val="00C716F6"/>
    <w:rsid w:val="00C7194E"/>
    <w:rsid w:val="00C71B72"/>
    <w:rsid w:val="00C723BA"/>
    <w:rsid w:val="00C7252D"/>
    <w:rsid w:val="00C72898"/>
    <w:rsid w:val="00C72C55"/>
    <w:rsid w:val="00C731FA"/>
    <w:rsid w:val="00C745F1"/>
    <w:rsid w:val="00C7466D"/>
    <w:rsid w:val="00C74A82"/>
    <w:rsid w:val="00C7583C"/>
    <w:rsid w:val="00C76048"/>
    <w:rsid w:val="00C76602"/>
    <w:rsid w:val="00C7685D"/>
    <w:rsid w:val="00C76B31"/>
    <w:rsid w:val="00C77CB9"/>
    <w:rsid w:val="00C80812"/>
    <w:rsid w:val="00C81960"/>
    <w:rsid w:val="00C81AD2"/>
    <w:rsid w:val="00C820F3"/>
    <w:rsid w:val="00C8304B"/>
    <w:rsid w:val="00C83DE5"/>
    <w:rsid w:val="00C84657"/>
    <w:rsid w:val="00C849B1"/>
    <w:rsid w:val="00C84EC3"/>
    <w:rsid w:val="00C86E11"/>
    <w:rsid w:val="00C90B67"/>
    <w:rsid w:val="00C91A00"/>
    <w:rsid w:val="00C9212A"/>
    <w:rsid w:val="00C92300"/>
    <w:rsid w:val="00C92659"/>
    <w:rsid w:val="00C928F1"/>
    <w:rsid w:val="00C94539"/>
    <w:rsid w:val="00C94AE0"/>
    <w:rsid w:val="00C94B94"/>
    <w:rsid w:val="00C9629A"/>
    <w:rsid w:val="00C967D3"/>
    <w:rsid w:val="00C97078"/>
    <w:rsid w:val="00C971B5"/>
    <w:rsid w:val="00C97905"/>
    <w:rsid w:val="00CA09AE"/>
    <w:rsid w:val="00CA1261"/>
    <w:rsid w:val="00CA171C"/>
    <w:rsid w:val="00CA19CD"/>
    <w:rsid w:val="00CA3C18"/>
    <w:rsid w:val="00CA3FD7"/>
    <w:rsid w:val="00CA438B"/>
    <w:rsid w:val="00CA5D15"/>
    <w:rsid w:val="00CA6749"/>
    <w:rsid w:val="00CA7131"/>
    <w:rsid w:val="00CB0752"/>
    <w:rsid w:val="00CB19F5"/>
    <w:rsid w:val="00CB3420"/>
    <w:rsid w:val="00CB34C6"/>
    <w:rsid w:val="00CB4E09"/>
    <w:rsid w:val="00CB5314"/>
    <w:rsid w:val="00CB5330"/>
    <w:rsid w:val="00CB5EB2"/>
    <w:rsid w:val="00CB7AE3"/>
    <w:rsid w:val="00CC0042"/>
    <w:rsid w:val="00CC00F8"/>
    <w:rsid w:val="00CC0D98"/>
    <w:rsid w:val="00CC1F35"/>
    <w:rsid w:val="00CC2660"/>
    <w:rsid w:val="00CC2D52"/>
    <w:rsid w:val="00CC3DF7"/>
    <w:rsid w:val="00CC4607"/>
    <w:rsid w:val="00CC54C2"/>
    <w:rsid w:val="00CC5BCC"/>
    <w:rsid w:val="00CC6403"/>
    <w:rsid w:val="00CC6894"/>
    <w:rsid w:val="00CD036F"/>
    <w:rsid w:val="00CD2802"/>
    <w:rsid w:val="00CD3316"/>
    <w:rsid w:val="00CD4CDB"/>
    <w:rsid w:val="00CD5179"/>
    <w:rsid w:val="00CD5610"/>
    <w:rsid w:val="00CD6038"/>
    <w:rsid w:val="00CD6AF2"/>
    <w:rsid w:val="00CE0A40"/>
    <w:rsid w:val="00CE0CAC"/>
    <w:rsid w:val="00CE0F66"/>
    <w:rsid w:val="00CE27E4"/>
    <w:rsid w:val="00CE30E3"/>
    <w:rsid w:val="00CE33A4"/>
    <w:rsid w:val="00CE3E20"/>
    <w:rsid w:val="00CE4F89"/>
    <w:rsid w:val="00CE5E39"/>
    <w:rsid w:val="00CE6AEB"/>
    <w:rsid w:val="00CE74C2"/>
    <w:rsid w:val="00CE770E"/>
    <w:rsid w:val="00CE7886"/>
    <w:rsid w:val="00CF0046"/>
    <w:rsid w:val="00CF07A6"/>
    <w:rsid w:val="00CF0E68"/>
    <w:rsid w:val="00CF0EE5"/>
    <w:rsid w:val="00CF0F63"/>
    <w:rsid w:val="00CF1C74"/>
    <w:rsid w:val="00CF308A"/>
    <w:rsid w:val="00CF31AE"/>
    <w:rsid w:val="00CF5315"/>
    <w:rsid w:val="00CF6D4C"/>
    <w:rsid w:val="00CF7408"/>
    <w:rsid w:val="00CF775B"/>
    <w:rsid w:val="00CF7E1E"/>
    <w:rsid w:val="00D00D1E"/>
    <w:rsid w:val="00D00D33"/>
    <w:rsid w:val="00D013B6"/>
    <w:rsid w:val="00D01F0D"/>
    <w:rsid w:val="00D02467"/>
    <w:rsid w:val="00D02B2B"/>
    <w:rsid w:val="00D06177"/>
    <w:rsid w:val="00D0677F"/>
    <w:rsid w:val="00D07285"/>
    <w:rsid w:val="00D0745E"/>
    <w:rsid w:val="00D101D4"/>
    <w:rsid w:val="00D110AB"/>
    <w:rsid w:val="00D11A9E"/>
    <w:rsid w:val="00D12BBD"/>
    <w:rsid w:val="00D130CE"/>
    <w:rsid w:val="00D137AB"/>
    <w:rsid w:val="00D13DAC"/>
    <w:rsid w:val="00D14754"/>
    <w:rsid w:val="00D1765D"/>
    <w:rsid w:val="00D178DE"/>
    <w:rsid w:val="00D17A3B"/>
    <w:rsid w:val="00D212DB"/>
    <w:rsid w:val="00D21C27"/>
    <w:rsid w:val="00D21CEF"/>
    <w:rsid w:val="00D23248"/>
    <w:rsid w:val="00D25284"/>
    <w:rsid w:val="00D259E4"/>
    <w:rsid w:val="00D26850"/>
    <w:rsid w:val="00D270F7"/>
    <w:rsid w:val="00D2734D"/>
    <w:rsid w:val="00D275AB"/>
    <w:rsid w:val="00D2790C"/>
    <w:rsid w:val="00D27C04"/>
    <w:rsid w:val="00D30926"/>
    <w:rsid w:val="00D31A7C"/>
    <w:rsid w:val="00D31B3A"/>
    <w:rsid w:val="00D32DDC"/>
    <w:rsid w:val="00D3334D"/>
    <w:rsid w:val="00D334C0"/>
    <w:rsid w:val="00D334F1"/>
    <w:rsid w:val="00D344B7"/>
    <w:rsid w:val="00D35924"/>
    <w:rsid w:val="00D36848"/>
    <w:rsid w:val="00D37CDA"/>
    <w:rsid w:val="00D40219"/>
    <w:rsid w:val="00D4298D"/>
    <w:rsid w:val="00D42C79"/>
    <w:rsid w:val="00D42D38"/>
    <w:rsid w:val="00D4391E"/>
    <w:rsid w:val="00D4424C"/>
    <w:rsid w:val="00D4447D"/>
    <w:rsid w:val="00D44561"/>
    <w:rsid w:val="00D455B5"/>
    <w:rsid w:val="00D467B7"/>
    <w:rsid w:val="00D4681B"/>
    <w:rsid w:val="00D474EB"/>
    <w:rsid w:val="00D50F9E"/>
    <w:rsid w:val="00D51DD0"/>
    <w:rsid w:val="00D5247F"/>
    <w:rsid w:val="00D5266B"/>
    <w:rsid w:val="00D52B97"/>
    <w:rsid w:val="00D52EC9"/>
    <w:rsid w:val="00D5394A"/>
    <w:rsid w:val="00D546EC"/>
    <w:rsid w:val="00D55B9D"/>
    <w:rsid w:val="00D56506"/>
    <w:rsid w:val="00D565C3"/>
    <w:rsid w:val="00D61819"/>
    <w:rsid w:val="00D61A11"/>
    <w:rsid w:val="00D61AF0"/>
    <w:rsid w:val="00D63337"/>
    <w:rsid w:val="00D63B3E"/>
    <w:rsid w:val="00D64954"/>
    <w:rsid w:val="00D64C6F"/>
    <w:rsid w:val="00D658A5"/>
    <w:rsid w:val="00D66A94"/>
    <w:rsid w:val="00D71BDB"/>
    <w:rsid w:val="00D71CAD"/>
    <w:rsid w:val="00D7447F"/>
    <w:rsid w:val="00D753D0"/>
    <w:rsid w:val="00D7555B"/>
    <w:rsid w:val="00D75D79"/>
    <w:rsid w:val="00D77861"/>
    <w:rsid w:val="00D77A51"/>
    <w:rsid w:val="00D800E7"/>
    <w:rsid w:val="00D80335"/>
    <w:rsid w:val="00D80800"/>
    <w:rsid w:val="00D811E1"/>
    <w:rsid w:val="00D813EC"/>
    <w:rsid w:val="00D81FFB"/>
    <w:rsid w:val="00D86B54"/>
    <w:rsid w:val="00D86F8F"/>
    <w:rsid w:val="00D87FE5"/>
    <w:rsid w:val="00D90FB3"/>
    <w:rsid w:val="00D9243F"/>
    <w:rsid w:val="00D92555"/>
    <w:rsid w:val="00D9300A"/>
    <w:rsid w:val="00D93232"/>
    <w:rsid w:val="00D9355B"/>
    <w:rsid w:val="00D937A0"/>
    <w:rsid w:val="00D93D52"/>
    <w:rsid w:val="00D93EBD"/>
    <w:rsid w:val="00D93ECD"/>
    <w:rsid w:val="00D94B35"/>
    <w:rsid w:val="00D95176"/>
    <w:rsid w:val="00D959A7"/>
    <w:rsid w:val="00D95C11"/>
    <w:rsid w:val="00D9657D"/>
    <w:rsid w:val="00D96E89"/>
    <w:rsid w:val="00DA0CBE"/>
    <w:rsid w:val="00DA1E67"/>
    <w:rsid w:val="00DA2A20"/>
    <w:rsid w:val="00DA2C26"/>
    <w:rsid w:val="00DA306F"/>
    <w:rsid w:val="00DA3B87"/>
    <w:rsid w:val="00DA3D72"/>
    <w:rsid w:val="00DA3DC9"/>
    <w:rsid w:val="00DA3F0D"/>
    <w:rsid w:val="00DA51B0"/>
    <w:rsid w:val="00DA54C0"/>
    <w:rsid w:val="00DA5CF4"/>
    <w:rsid w:val="00DA5E5E"/>
    <w:rsid w:val="00DA61B2"/>
    <w:rsid w:val="00DA643A"/>
    <w:rsid w:val="00DA68F8"/>
    <w:rsid w:val="00DA6B3E"/>
    <w:rsid w:val="00DA71C5"/>
    <w:rsid w:val="00DA7ED3"/>
    <w:rsid w:val="00DB0899"/>
    <w:rsid w:val="00DB4287"/>
    <w:rsid w:val="00DB50E0"/>
    <w:rsid w:val="00DB5548"/>
    <w:rsid w:val="00DB6916"/>
    <w:rsid w:val="00DB6D90"/>
    <w:rsid w:val="00DB6EAE"/>
    <w:rsid w:val="00DC015F"/>
    <w:rsid w:val="00DC17AD"/>
    <w:rsid w:val="00DC1B9C"/>
    <w:rsid w:val="00DC3386"/>
    <w:rsid w:val="00DC3BE7"/>
    <w:rsid w:val="00DC3D6F"/>
    <w:rsid w:val="00DC3FD3"/>
    <w:rsid w:val="00DC564B"/>
    <w:rsid w:val="00DC5C9D"/>
    <w:rsid w:val="00DC667C"/>
    <w:rsid w:val="00DC7A25"/>
    <w:rsid w:val="00DD1319"/>
    <w:rsid w:val="00DD14A3"/>
    <w:rsid w:val="00DD24CA"/>
    <w:rsid w:val="00DD24E5"/>
    <w:rsid w:val="00DD2600"/>
    <w:rsid w:val="00DD37D3"/>
    <w:rsid w:val="00DD4FAF"/>
    <w:rsid w:val="00DD5D51"/>
    <w:rsid w:val="00DE0A3E"/>
    <w:rsid w:val="00DE2580"/>
    <w:rsid w:val="00DE26AE"/>
    <w:rsid w:val="00DE2D72"/>
    <w:rsid w:val="00DE4F77"/>
    <w:rsid w:val="00DE50D9"/>
    <w:rsid w:val="00DE6DCC"/>
    <w:rsid w:val="00DE6DF4"/>
    <w:rsid w:val="00DE7F2D"/>
    <w:rsid w:val="00DF079F"/>
    <w:rsid w:val="00DF0F1B"/>
    <w:rsid w:val="00DF1132"/>
    <w:rsid w:val="00DF19A8"/>
    <w:rsid w:val="00DF1DCC"/>
    <w:rsid w:val="00DF2C14"/>
    <w:rsid w:val="00DF2F53"/>
    <w:rsid w:val="00DF3882"/>
    <w:rsid w:val="00DF4294"/>
    <w:rsid w:val="00DF49DA"/>
    <w:rsid w:val="00DF4E72"/>
    <w:rsid w:val="00DF5649"/>
    <w:rsid w:val="00DF67F0"/>
    <w:rsid w:val="00DF694D"/>
    <w:rsid w:val="00DF6BC7"/>
    <w:rsid w:val="00DF6E41"/>
    <w:rsid w:val="00DF7D40"/>
    <w:rsid w:val="00DF7E9E"/>
    <w:rsid w:val="00E028A8"/>
    <w:rsid w:val="00E03784"/>
    <w:rsid w:val="00E03A04"/>
    <w:rsid w:val="00E051E0"/>
    <w:rsid w:val="00E057DF"/>
    <w:rsid w:val="00E066D6"/>
    <w:rsid w:val="00E0699F"/>
    <w:rsid w:val="00E07D5F"/>
    <w:rsid w:val="00E10200"/>
    <w:rsid w:val="00E11C11"/>
    <w:rsid w:val="00E12678"/>
    <w:rsid w:val="00E12CBC"/>
    <w:rsid w:val="00E138E8"/>
    <w:rsid w:val="00E15A43"/>
    <w:rsid w:val="00E167C0"/>
    <w:rsid w:val="00E17DDB"/>
    <w:rsid w:val="00E209F2"/>
    <w:rsid w:val="00E20A63"/>
    <w:rsid w:val="00E21B75"/>
    <w:rsid w:val="00E229C8"/>
    <w:rsid w:val="00E22B37"/>
    <w:rsid w:val="00E23E15"/>
    <w:rsid w:val="00E25FAA"/>
    <w:rsid w:val="00E30DBF"/>
    <w:rsid w:val="00E31AB0"/>
    <w:rsid w:val="00E31DD1"/>
    <w:rsid w:val="00E32068"/>
    <w:rsid w:val="00E32103"/>
    <w:rsid w:val="00E326F3"/>
    <w:rsid w:val="00E32EC7"/>
    <w:rsid w:val="00E33C10"/>
    <w:rsid w:val="00E33EC5"/>
    <w:rsid w:val="00E34F7F"/>
    <w:rsid w:val="00E37518"/>
    <w:rsid w:val="00E408E8"/>
    <w:rsid w:val="00E409F8"/>
    <w:rsid w:val="00E40FFF"/>
    <w:rsid w:val="00E421B2"/>
    <w:rsid w:val="00E44007"/>
    <w:rsid w:val="00E44601"/>
    <w:rsid w:val="00E45DD0"/>
    <w:rsid w:val="00E45FE2"/>
    <w:rsid w:val="00E52654"/>
    <w:rsid w:val="00E52828"/>
    <w:rsid w:val="00E52E53"/>
    <w:rsid w:val="00E52ECC"/>
    <w:rsid w:val="00E52FC7"/>
    <w:rsid w:val="00E530E4"/>
    <w:rsid w:val="00E54291"/>
    <w:rsid w:val="00E54353"/>
    <w:rsid w:val="00E54B38"/>
    <w:rsid w:val="00E56523"/>
    <w:rsid w:val="00E565B6"/>
    <w:rsid w:val="00E56F85"/>
    <w:rsid w:val="00E57206"/>
    <w:rsid w:val="00E57870"/>
    <w:rsid w:val="00E60C77"/>
    <w:rsid w:val="00E61430"/>
    <w:rsid w:val="00E64598"/>
    <w:rsid w:val="00E65097"/>
    <w:rsid w:val="00E653A2"/>
    <w:rsid w:val="00E65462"/>
    <w:rsid w:val="00E669F8"/>
    <w:rsid w:val="00E66D88"/>
    <w:rsid w:val="00E672A8"/>
    <w:rsid w:val="00E7058F"/>
    <w:rsid w:val="00E71150"/>
    <w:rsid w:val="00E72457"/>
    <w:rsid w:val="00E7340C"/>
    <w:rsid w:val="00E74A93"/>
    <w:rsid w:val="00E759E6"/>
    <w:rsid w:val="00E7648F"/>
    <w:rsid w:val="00E768CB"/>
    <w:rsid w:val="00E76F20"/>
    <w:rsid w:val="00E77134"/>
    <w:rsid w:val="00E804C9"/>
    <w:rsid w:val="00E80893"/>
    <w:rsid w:val="00E81B90"/>
    <w:rsid w:val="00E81FA7"/>
    <w:rsid w:val="00E82339"/>
    <w:rsid w:val="00E8691D"/>
    <w:rsid w:val="00E87392"/>
    <w:rsid w:val="00E87F43"/>
    <w:rsid w:val="00E909E3"/>
    <w:rsid w:val="00E90F8F"/>
    <w:rsid w:val="00E91C70"/>
    <w:rsid w:val="00E9253D"/>
    <w:rsid w:val="00E93467"/>
    <w:rsid w:val="00E9526B"/>
    <w:rsid w:val="00E95D9B"/>
    <w:rsid w:val="00E95E3A"/>
    <w:rsid w:val="00E97866"/>
    <w:rsid w:val="00EA005E"/>
    <w:rsid w:val="00EA0B4F"/>
    <w:rsid w:val="00EA1FDF"/>
    <w:rsid w:val="00EA3849"/>
    <w:rsid w:val="00EA3FEE"/>
    <w:rsid w:val="00EA4771"/>
    <w:rsid w:val="00EA47A0"/>
    <w:rsid w:val="00EA48C4"/>
    <w:rsid w:val="00EA4BBC"/>
    <w:rsid w:val="00EA4FE4"/>
    <w:rsid w:val="00EA4FF0"/>
    <w:rsid w:val="00EA548D"/>
    <w:rsid w:val="00EA557F"/>
    <w:rsid w:val="00EA55B4"/>
    <w:rsid w:val="00EA5E19"/>
    <w:rsid w:val="00EA6076"/>
    <w:rsid w:val="00EA633D"/>
    <w:rsid w:val="00EA6BFF"/>
    <w:rsid w:val="00EA6FE5"/>
    <w:rsid w:val="00EA7C68"/>
    <w:rsid w:val="00EB0A9D"/>
    <w:rsid w:val="00EB14F6"/>
    <w:rsid w:val="00EB2983"/>
    <w:rsid w:val="00EB2D69"/>
    <w:rsid w:val="00EB30FD"/>
    <w:rsid w:val="00EB31A6"/>
    <w:rsid w:val="00EB4663"/>
    <w:rsid w:val="00EB46C2"/>
    <w:rsid w:val="00EB5256"/>
    <w:rsid w:val="00EB66B1"/>
    <w:rsid w:val="00EB6F98"/>
    <w:rsid w:val="00EC024F"/>
    <w:rsid w:val="00EC0A29"/>
    <w:rsid w:val="00EC143A"/>
    <w:rsid w:val="00EC1A5A"/>
    <w:rsid w:val="00EC1B70"/>
    <w:rsid w:val="00EC1E65"/>
    <w:rsid w:val="00EC25A2"/>
    <w:rsid w:val="00EC29D0"/>
    <w:rsid w:val="00EC2F33"/>
    <w:rsid w:val="00EC37B2"/>
    <w:rsid w:val="00EC55D7"/>
    <w:rsid w:val="00EC5A0F"/>
    <w:rsid w:val="00EC6817"/>
    <w:rsid w:val="00EC68DD"/>
    <w:rsid w:val="00EC7C7B"/>
    <w:rsid w:val="00EC7FD3"/>
    <w:rsid w:val="00ED1620"/>
    <w:rsid w:val="00ED2221"/>
    <w:rsid w:val="00ED30C6"/>
    <w:rsid w:val="00ED3242"/>
    <w:rsid w:val="00ED4160"/>
    <w:rsid w:val="00ED41A4"/>
    <w:rsid w:val="00ED5B3B"/>
    <w:rsid w:val="00ED6167"/>
    <w:rsid w:val="00ED616E"/>
    <w:rsid w:val="00ED63FB"/>
    <w:rsid w:val="00EE0431"/>
    <w:rsid w:val="00EE052A"/>
    <w:rsid w:val="00EE0913"/>
    <w:rsid w:val="00EE0FC7"/>
    <w:rsid w:val="00EE2971"/>
    <w:rsid w:val="00EE2AC6"/>
    <w:rsid w:val="00EE357A"/>
    <w:rsid w:val="00EE3724"/>
    <w:rsid w:val="00EE3D17"/>
    <w:rsid w:val="00EE4409"/>
    <w:rsid w:val="00EE636F"/>
    <w:rsid w:val="00EE64B9"/>
    <w:rsid w:val="00EE6700"/>
    <w:rsid w:val="00EE6781"/>
    <w:rsid w:val="00EE7A91"/>
    <w:rsid w:val="00EF1F5C"/>
    <w:rsid w:val="00EF22F4"/>
    <w:rsid w:val="00EF29AF"/>
    <w:rsid w:val="00EF2EFB"/>
    <w:rsid w:val="00EF4F34"/>
    <w:rsid w:val="00EF59D4"/>
    <w:rsid w:val="00EF7200"/>
    <w:rsid w:val="00F0023F"/>
    <w:rsid w:val="00F004F2"/>
    <w:rsid w:val="00F01124"/>
    <w:rsid w:val="00F01965"/>
    <w:rsid w:val="00F01997"/>
    <w:rsid w:val="00F02006"/>
    <w:rsid w:val="00F0213A"/>
    <w:rsid w:val="00F0349B"/>
    <w:rsid w:val="00F03F2B"/>
    <w:rsid w:val="00F041B2"/>
    <w:rsid w:val="00F056EB"/>
    <w:rsid w:val="00F05878"/>
    <w:rsid w:val="00F07D40"/>
    <w:rsid w:val="00F103FA"/>
    <w:rsid w:val="00F10DEA"/>
    <w:rsid w:val="00F11008"/>
    <w:rsid w:val="00F11523"/>
    <w:rsid w:val="00F12CF0"/>
    <w:rsid w:val="00F12FE9"/>
    <w:rsid w:val="00F1314D"/>
    <w:rsid w:val="00F14EAA"/>
    <w:rsid w:val="00F15C96"/>
    <w:rsid w:val="00F169E1"/>
    <w:rsid w:val="00F17CD9"/>
    <w:rsid w:val="00F17F27"/>
    <w:rsid w:val="00F20807"/>
    <w:rsid w:val="00F21508"/>
    <w:rsid w:val="00F21547"/>
    <w:rsid w:val="00F21DB9"/>
    <w:rsid w:val="00F22372"/>
    <w:rsid w:val="00F24207"/>
    <w:rsid w:val="00F245BE"/>
    <w:rsid w:val="00F24978"/>
    <w:rsid w:val="00F24A77"/>
    <w:rsid w:val="00F26436"/>
    <w:rsid w:val="00F26467"/>
    <w:rsid w:val="00F26F62"/>
    <w:rsid w:val="00F27455"/>
    <w:rsid w:val="00F30990"/>
    <w:rsid w:val="00F31762"/>
    <w:rsid w:val="00F31869"/>
    <w:rsid w:val="00F3208E"/>
    <w:rsid w:val="00F3342E"/>
    <w:rsid w:val="00F33F5A"/>
    <w:rsid w:val="00F3445F"/>
    <w:rsid w:val="00F3460F"/>
    <w:rsid w:val="00F346A5"/>
    <w:rsid w:val="00F3495E"/>
    <w:rsid w:val="00F3524E"/>
    <w:rsid w:val="00F35FEF"/>
    <w:rsid w:val="00F367F1"/>
    <w:rsid w:val="00F378D0"/>
    <w:rsid w:val="00F40CAD"/>
    <w:rsid w:val="00F419B2"/>
    <w:rsid w:val="00F41CE7"/>
    <w:rsid w:val="00F41DD4"/>
    <w:rsid w:val="00F41E9C"/>
    <w:rsid w:val="00F421C1"/>
    <w:rsid w:val="00F4364F"/>
    <w:rsid w:val="00F44892"/>
    <w:rsid w:val="00F44C3A"/>
    <w:rsid w:val="00F4548B"/>
    <w:rsid w:val="00F45CDA"/>
    <w:rsid w:val="00F508FA"/>
    <w:rsid w:val="00F530BD"/>
    <w:rsid w:val="00F533A1"/>
    <w:rsid w:val="00F53614"/>
    <w:rsid w:val="00F55C9D"/>
    <w:rsid w:val="00F56B5B"/>
    <w:rsid w:val="00F572C5"/>
    <w:rsid w:val="00F61172"/>
    <w:rsid w:val="00F61BCF"/>
    <w:rsid w:val="00F61CDD"/>
    <w:rsid w:val="00F635F4"/>
    <w:rsid w:val="00F65389"/>
    <w:rsid w:val="00F656F3"/>
    <w:rsid w:val="00F67634"/>
    <w:rsid w:val="00F67A36"/>
    <w:rsid w:val="00F71251"/>
    <w:rsid w:val="00F7132F"/>
    <w:rsid w:val="00F71804"/>
    <w:rsid w:val="00F71E55"/>
    <w:rsid w:val="00F72840"/>
    <w:rsid w:val="00F73E73"/>
    <w:rsid w:val="00F7439F"/>
    <w:rsid w:val="00F7477B"/>
    <w:rsid w:val="00F756E8"/>
    <w:rsid w:val="00F7769C"/>
    <w:rsid w:val="00F7781A"/>
    <w:rsid w:val="00F80FB0"/>
    <w:rsid w:val="00F81233"/>
    <w:rsid w:val="00F817CD"/>
    <w:rsid w:val="00F82D72"/>
    <w:rsid w:val="00F82ECB"/>
    <w:rsid w:val="00F83AAD"/>
    <w:rsid w:val="00F83F57"/>
    <w:rsid w:val="00F844D2"/>
    <w:rsid w:val="00F8464B"/>
    <w:rsid w:val="00F846B5"/>
    <w:rsid w:val="00F85219"/>
    <w:rsid w:val="00F854D8"/>
    <w:rsid w:val="00F854E7"/>
    <w:rsid w:val="00F863C7"/>
    <w:rsid w:val="00F86CF8"/>
    <w:rsid w:val="00F90CAB"/>
    <w:rsid w:val="00F91EAD"/>
    <w:rsid w:val="00F91F9B"/>
    <w:rsid w:val="00F92E78"/>
    <w:rsid w:val="00F95BA7"/>
    <w:rsid w:val="00F96943"/>
    <w:rsid w:val="00F96BC0"/>
    <w:rsid w:val="00F96E63"/>
    <w:rsid w:val="00F97073"/>
    <w:rsid w:val="00FA1620"/>
    <w:rsid w:val="00FA1E25"/>
    <w:rsid w:val="00FA63D3"/>
    <w:rsid w:val="00FA6BBE"/>
    <w:rsid w:val="00FA6D0B"/>
    <w:rsid w:val="00FA7062"/>
    <w:rsid w:val="00FA7135"/>
    <w:rsid w:val="00FA75FE"/>
    <w:rsid w:val="00FB145A"/>
    <w:rsid w:val="00FB14AC"/>
    <w:rsid w:val="00FB2306"/>
    <w:rsid w:val="00FB3DAE"/>
    <w:rsid w:val="00FB4DBD"/>
    <w:rsid w:val="00FB591E"/>
    <w:rsid w:val="00FC0C67"/>
    <w:rsid w:val="00FC1CE7"/>
    <w:rsid w:val="00FC3BBD"/>
    <w:rsid w:val="00FC3C7B"/>
    <w:rsid w:val="00FC4E61"/>
    <w:rsid w:val="00FC50A7"/>
    <w:rsid w:val="00FC5107"/>
    <w:rsid w:val="00FC5684"/>
    <w:rsid w:val="00FC656A"/>
    <w:rsid w:val="00FC6BEC"/>
    <w:rsid w:val="00FC6F32"/>
    <w:rsid w:val="00FC7209"/>
    <w:rsid w:val="00FC7D67"/>
    <w:rsid w:val="00FC7D7F"/>
    <w:rsid w:val="00FD004B"/>
    <w:rsid w:val="00FD028B"/>
    <w:rsid w:val="00FD0569"/>
    <w:rsid w:val="00FD100D"/>
    <w:rsid w:val="00FD1905"/>
    <w:rsid w:val="00FD1F76"/>
    <w:rsid w:val="00FD3E37"/>
    <w:rsid w:val="00FD5D0A"/>
    <w:rsid w:val="00FD5EFE"/>
    <w:rsid w:val="00FD606C"/>
    <w:rsid w:val="00FD6F1A"/>
    <w:rsid w:val="00FE11BD"/>
    <w:rsid w:val="00FE26A6"/>
    <w:rsid w:val="00FE4815"/>
    <w:rsid w:val="00FE55D8"/>
    <w:rsid w:val="00FE6A1C"/>
    <w:rsid w:val="00FE7182"/>
    <w:rsid w:val="00FE773A"/>
    <w:rsid w:val="00FE7767"/>
    <w:rsid w:val="00FE79A4"/>
    <w:rsid w:val="00FE7CD0"/>
    <w:rsid w:val="00FF157B"/>
    <w:rsid w:val="00FF1AF8"/>
    <w:rsid w:val="00FF1FBC"/>
    <w:rsid w:val="00FF238B"/>
    <w:rsid w:val="00FF4912"/>
    <w:rsid w:val="00FF497D"/>
    <w:rsid w:val="00FF50AA"/>
    <w:rsid w:val="00FF5E17"/>
    <w:rsid w:val="00FF5E1C"/>
    <w:rsid w:val="00FF720C"/>
    <w:rsid w:val="00FF79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74C928"/>
  <w15:docId w15:val="{86C5B5E9-9690-46B1-A526-20E2B258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C2"/>
    <w:pPr>
      <w:spacing w:after="0" w:line="480" w:lineRule="auto"/>
    </w:pPr>
    <w:rPr>
      <w:rFonts w:ascii="Times New Roman" w:eastAsia="Times New Roman" w:hAnsi="Times New Roman" w:cs="Times New Roman"/>
      <w:lang w:eastAsia="en-GB"/>
    </w:rPr>
  </w:style>
  <w:style w:type="paragraph" w:styleId="Heading1">
    <w:name w:val="heading 1"/>
    <w:basedOn w:val="Normal"/>
    <w:next w:val="Paragraph"/>
    <w:link w:val="Heading1Char"/>
    <w:qFormat/>
    <w:rsid w:val="00CE74C2"/>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CE74C2"/>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CE74C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CE74C2"/>
    <w:pPr>
      <w:spacing w:before="360"/>
      <w:outlineLvl w:val="3"/>
    </w:pPr>
    <w:rPr>
      <w:bCs/>
      <w:szCs w:val="28"/>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191C52"/>
    <w:pPr>
      <w:keepNext/>
      <w:spacing w:before="240" w:after="120" w:line="360" w:lineRule="auto"/>
      <w:contextualSpacing/>
      <w:jc w:val="center"/>
      <w:outlineLvl w:val="0"/>
    </w:pPr>
    <w:rPr>
      <w:rFonts w:asciiTheme="majorBidi" w:eastAsiaTheme="majorEastAsia" w:hAnsiTheme="majorBidi" w:cstheme="majorBidi"/>
      <w:b/>
      <w:spacing w:val="5"/>
      <w:sz w:val="28"/>
      <w:szCs w:val="44"/>
      <w:lang w:val="en-US"/>
    </w:rPr>
  </w:style>
  <w:style w:type="character" w:customStyle="1" w:styleId="TitleChar">
    <w:name w:val="Title Char"/>
    <w:basedOn w:val="DefaultParagraphFont"/>
    <w:link w:val="Title"/>
    <w:uiPriority w:val="10"/>
    <w:rsid w:val="00191C52"/>
    <w:rPr>
      <w:rFonts w:asciiTheme="majorBidi" w:eastAsiaTheme="majorEastAsia" w:hAnsiTheme="majorBidi" w:cstheme="majorBidi"/>
      <w:b/>
      <w:spacing w:val="5"/>
      <w:sz w:val="28"/>
      <w:szCs w:val="44"/>
      <w:lang w:val="en-US"/>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CE74C2"/>
    <w:rPr>
      <w:rFonts w:ascii="Times New Roman" w:eastAsia="Times New Roman" w:hAnsi="Times New Roman"/>
      <w:b/>
      <w:bCs/>
      <w:kern w:val="32"/>
      <w:szCs w:val="32"/>
      <w:lang w:eastAsia="en-GB"/>
    </w:rPr>
  </w:style>
  <w:style w:type="character" w:customStyle="1" w:styleId="Heading2Char">
    <w:name w:val="Heading 2 Char"/>
    <w:basedOn w:val="DefaultParagraphFont"/>
    <w:link w:val="Heading2"/>
    <w:rsid w:val="00CE74C2"/>
    <w:rPr>
      <w:rFonts w:ascii="Times New Roman" w:eastAsia="Times New Roman" w:hAnsi="Times New Roman"/>
      <w:b/>
      <w:bCs/>
      <w:i/>
      <w:iCs/>
      <w:szCs w:val="28"/>
      <w:lang w:eastAsia="en-GB"/>
    </w:rPr>
  </w:style>
  <w:style w:type="character" w:customStyle="1" w:styleId="Heading3Char">
    <w:name w:val="Heading 3 Char"/>
    <w:basedOn w:val="DefaultParagraphFont"/>
    <w:link w:val="Heading3"/>
    <w:rsid w:val="00CE74C2"/>
    <w:rPr>
      <w:rFonts w:ascii="Times New Roman" w:eastAsia="Times New Roman" w:hAnsi="Times New Roman"/>
      <w:bCs/>
      <w:i/>
      <w:szCs w:val="26"/>
      <w:lang w:eastAsia="en-GB"/>
    </w:rPr>
  </w:style>
  <w:style w:type="character" w:customStyle="1" w:styleId="Heading4Char">
    <w:name w:val="Heading 4 Char"/>
    <w:basedOn w:val="DefaultParagraphFont"/>
    <w:link w:val="Heading4"/>
    <w:rsid w:val="00CE74C2"/>
    <w:rPr>
      <w:rFonts w:ascii="Times New Roman" w:eastAsia="Times New Roman" w:hAnsi="Times New Roman" w:cs="Times New Roman"/>
      <w:bCs/>
      <w:szCs w:val="28"/>
      <w:lang w:eastAsia="en-GB"/>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tabs>
        <w:tab w:val="num" w:pos="360"/>
      </w:tabs>
      <w:ind w:left="360" w:hanging="360"/>
      <w:contextualSpacing/>
    </w:pPr>
  </w:style>
  <w:style w:type="paragraph" w:styleId="ListNumber">
    <w:name w:val="List Number"/>
    <w:basedOn w:val="Normal"/>
    <w:uiPriority w:val="99"/>
    <w:semiHidden/>
    <w:unhideWhenUsed/>
    <w:rsid w:val="00E209F2"/>
    <w:pPr>
      <w:tabs>
        <w:tab w:val="num" w:pos="360"/>
      </w:tabs>
      <w:ind w:left="360" w:hanging="360"/>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autoRedefine/>
    <w:rsid w:val="0002140B"/>
    <w:pPr>
      <w:spacing w:line="240" w:lineRule="auto"/>
      <w:jc w:val="both"/>
    </w:pPr>
    <w:rPr>
      <w:sz w:val="22"/>
      <w:szCs w:val="20"/>
    </w:rPr>
  </w:style>
  <w:style w:type="character" w:customStyle="1" w:styleId="EndnoteTextChar">
    <w:name w:val="Endnote Text Char"/>
    <w:basedOn w:val="DefaultParagraphFont"/>
    <w:link w:val="EndnoteText"/>
    <w:rsid w:val="001312D8"/>
    <w:rPr>
      <w:rFonts w:ascii="Times New Roman" w:eastAsia="Times New Roman" w:hAnsi="Times New Roman" w:cs="Times New Roman"/>
      <w:sz w:val="22"/>
      <w:szCs w:val="20"/>
      <w:lang w:eastAsia="en-GB"/>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16151F"/>
    <w:rPr>
      <w:sz w:val="16"/>
      <w:szCs w:val="16"/>
    </w:rPr>
  </w:style>
  <w:style w:type="paragraph" w:styleId="CommentText">
    <w:name w:val="annotation text"/>
    <w:basedOn w:val="Normal"/>
    <w:link w:val="CommentTextChar"/>
    <w:uiPriority w:val="99"/>
    <w:semiHidden/>
    <w:unhideWhenUsed/>
    <w:rsid w:val="0016151F"/>
    <w:pPr>
      <w:spacing w:line="240" w:lineRule="auto"/>
    </w:pPr>
    <w:rPr>
      <w:sz w:val="20"/>
      <w:szCs w:val="20"/>
    </w:rPr>
  </w:style>
  <w:style w:type="character" w:customStyle="1" w:styleId="CommentTextChar">
    <w:name w:val="Comment Text Char"/>
    <w:basedOn w:val="DefaultParagraphFont"/>
    <w:link w:val="CommentText"/>
    <w:uiPriority w:val="99"/>
    <w:semiHidden/>
    <w:rsid w:val="0016151F"/>
    <w:rPr>
      <w:sz w:val="20"/>
      <w:szCs w:val="20"/>
      <w:lang w:val="en-US"/>
    </w:rPr>
  </w:style>
  <w:style w:type="paragraph" w:styleId="CommentSubject">
    <w:name w:val="annotation subject"/>
    <w:basedOn w:val="CommentText"/>
    <w:next w:val="CommentText"/>
    <w:link w:val="CommentSubjectChar"/>
    <w:uiPriority w:val="99"/>
    <w:semiHidden/>
    <w:unhideWhenUsed/>
    <w:rsid w:val="0016151F"/>
    <w:rPr>
      <w:b/>
      <w:bCs/>
    </w:rPr>
  </w:style>
  <w:style w:type="character" w:customStyle="1" w:styleId="CommentSubjectChar">
    <w:name w:val="Comment Subject Char"/>
    <w:basedOn w:val="CommentTextChar"/>
    <w:link w:val="CommentSubject"/>
    <w:uiPriority w:val="99"/>
    <w:semiHidden/>
    <w:rsid w:val="0016151F"/>
    <w:rPr>
      <w:b/>
      <w:bCs/>
      <w:sz w:val="20"/>
      <w:szCs w:val="20"/>
      <w:lang w:val="en-US"/>
    </w:rPr>
  </w:style>
  <w:style w:type="paragraph" w:styleId="BalloonText">
    <w:name w:val="Balloon Text"/>
    <w:basedOn w:val="Normal"/>
    <w:link w:val="BalloonTextChar"/>
    <w:uiPriority w:val="99"/>
    <w:semiHidden/>
    <w:unhideWhenUsed/>
    <w:rsid w:val="001615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1F"/>
    <w:rPr>
      <w:rFonts w:ascii="Tahoma" w:hAnsi="Tahoma" w:cs="Tahoma"/>
      <w:sz w:val="16"/>
      <w:szCs w:val="16"/>
      <w:lang w:val="en-US"/>
    </w:rPr>
  </w:style>
  <w:style w:type="paragraph" w:styleId="FootnoteText">
    <w:name w:val="footnote text"/>
    <w:basedOn w:val="Normal"/>
    <w:link w:val="FootnoteTextChar"/>
    <w:autoRedefine/>
    <w:rsid w:val="00CE74C2"/>
    <w:pPr>
      <w:ind w:left="284" w:hanging="284"/>
    </w:pPr>
    <w:rPr>
      <w:sz w:val="22"/>
      <w:szCs w:val="20"/>
    </w:rPr>
  </w:style>
  <w:style w:type="character" w:customStyle="1" w:styleId="FootnoteTextChar">
    <w:name w:val="Footnote Text Char"/>
    <w:basedOn w:val="DefaultParagraphFont"/>
    <w:link w:val="FootnoteText"/>
    <w:rsid w:val="00CE74C2"/>
    <w:rPr>
      <w:rFonts w:ascii="Times New Roman" w:eastAsia="Times New Roman" w:hAnsi="Times New Roman" w:cs="Times New Roman"/>
      <w:sz w:val="22"/>
      <w:szCs w:val="20"/>
      <w:lang w:eastAsia="en-GB"/>
    </w:rPr>
  </w:style>
  <w:style w:type="character" w:styleId="FootnoteReference">
    <w:name w:val="footnote reference"/>
    <w:basedOn w:val="DefaultParagraphFont"/>
    <w:rsid w:val="00CE74C2"/>
    <w:rPr>
      <w:vertAlign w:val="superscript"/>
    </w:rPr>
  </w:style>
  <w:style w:type="paragraph" w:styleId="Revision">
    <w:name w:val="Revision"/>
    <w:hidden/>
    <w:uiPriority w:val="99"/>
    <w:semiHidden/>
    <w:rsid w:val="002D74E0"/>
    <w:pPr>
      <w:spacing w:after="0" w:line="240" w:lineRule="auto"/>
    </w:pPr>
    <w:rPr>
      <w:rFonts w:ascii="Garamond" w:hAnsi="Garamond"/>
      <w:lang w:val="en-US"/>
    </w:rPr>
  </w:style>
  <w:style w:type="character" w:styleId="Hyperlink">
    <w:name w:val="Hyperlink"/>
    <w:basedOn w:val="DefaultParagraphFont"/>
    <w:uiPriority w:val="99"/>
    <w:unhideWhenUsed/>
    <w:rsid w:val="00631685"/>
    <w:rPr>
      <w:color w:val="0000FF" w:themeColor="hyperlink"/>
      <w:u w:val="single"/>
    </w:rPr>
  </w:style>
  <w:style w:type="table" w:styleId="TableGrid">
    <w:name w:val="Table Grid"/>
    <w:basedOn w:val="TableNormal"/>
    <w:uiPriority w:val="39"/>
    <w:rsid w:val="00FD0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F656F3"/>
    <w:pPr>
      <w:jc w:val="both"/>
    </w:pPr>
  </w:style>
  <w:style w:type="character" w:customStyle="1" w:styleId="BodyText2Char">
    <w:name w:val="Body Text 2 Char"/>
    <w:basedOn w:val="DefaultParagraphFont"/>
    <w:link w:val="BodyText2"/>
    <w:uiPriority w:val="99"/>
    <w:rsid w:val="00F656F3"/>
    <w:rPr>
      <w:rFonts w:ascii="Garamond" w:hAnsi="Garamond"/>
    </w:rPr>
  </w:style>
  <w:style w:type="paragraph" w:styleId="Header">
    <w:name w:val="header"/>
    <w:basedOn w:val="Normal"/>
    <w:link w:val="HeaderChar"/>
    <w:rsid w:val="00CE74C2"/>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CE74C2"/>
    <w:rPr>
      <w:rFonts w:ascii="Times New Roman" w:eastAsia="Times New Roman" w:hAnsi="Times New Roman" w:cs="Times New Roman"/>
      <w:lang w:eastAsia="en-GB"/>
    </w:rPr>
  </w:style>
  <w:style w:type="paragraph" w:styleId="Footer">
    <w:name w:val="footer"/>
    <w:basedOn w:val="Normal"/>
    <w:link w:val="FooterChar"/>
    <w:rsid w:val="00CE74C2"/>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CE74C2"/>
    <w:rPr>
      <w:rFonts w:ascii="Times New Roman" w:eastAsia="Times New Roman" w:hAnsi="Times New Roman" w:cs="Times New Roman"/>
      <w:lang w:eastAsia="en-GB"/>
    </w:rPr>
  </w:style>
  <w:style w:type="paragraph" w:customStyle="1" w:styleId="para1">
    <w:name w:val="para1"/>
    <w:basedOn w:val="Normal"/>
    <w:link w:val="para1Char"/>
    <w:qFormat/>
    <w:rsid w:val="001753DE"/>
    <w:pPr>
      <w:jc w:val="both"/>
    </w:pPr>
  </w:style>
  <w:style w:type="paragraph" w:customStyle="1" w:styleId="Para2">
    <w:name w:val="Para2"/>
    <w:basedOn w:val="Normal"/>
    <w:link w:val="Para2Char"/>
    <w:qFormat/>
    <w:rsid w:val="006020D2"/>
    <w:pPr>
      <w:spacing w:line="360" w:lineRule="auto"/>
      <w:ind w:firstLine="720"/>
      <w:jc w:val="both"/>
    </w:pPr>
    <w:rPr>
      <w:rFonts w:asciiTheme="majorBidi" w:hAnsiTheme="majorBidi" w:cstheme="majorBidi"/>
      <w:szCs w:val="22"/>
      <w:lang w:val="en-US"/>
    </w:rPr>
  </w:style>
  <w:style w:type="character" w:customStyle="1" w:styleId="para1Char">
    <w:name w:val="para1 Char"/>
    <w:basedOn w:val="DefaultParagraphFont"/>
    <w:link w:val="para1"/>
    <w:rsid w:val="001753DE"/>
    <w:rPr>
      <w:rFonts w:ascii="Garamond" w:hAnsi="Garamond"/>
    </w:rPr>
  </w:style>
  <w:style w:type="character" w:customStyle="1" w:styleId="Para2Char">
    <w:name w:val="Para2 Char"/>
    <w:basedOn w:val="DefaultParagraphFont"/>
    <w:link w:val="Para2"/>
    <w:rsid w:val="006020D2"/>
    <w:rPr>
      <w:rFonts w:asciiTheme="majorBidi" w:hAnsiTheme="majorBidi" w:cstheme="majorBidi"/>
      <w:sz w:val="22"/>
      <w:szCs w:val="22"/>
      <w:lang w:val="en-US"/>
    </w:rPr>
  </w:style>
  <w:style w:type="paragraph" w:customStyle="1" w:styleId="insertTable">
    <w:name w:val="insertTable"/>
    <w:basedOn w:val="Normal"/>
    <w:link w:val="insertTableChar"/>
    <w:qFormat/>
    <w:rsid w:val="00A42B75"/>
    <w:pPr>
      <w:ind w:firstLine="720"/>
      <w:jc w:val="center"/>
      <w:outlineLvl w:val="4"/>
    </w:pPr>
    <w:rPr>
      <w:b/>
      <w:bCs/>
    </w:rPr>
  </w:style>
  <w:style w:type="paragraph" w:customStyle="1" w:styleId="TableNotes">
    <w:name w:val="Table Notes"/>
    <w:basedOn w:val="Para2"/>
    <w:link w:val="TableNotesChar"/>
    <w:qFormat/>
    <w:rsid w:val="00063B7D"/>
    <w:pPr>
      <w:spacing w:line="240" w:lineRule="auto"/>
      <w:ind w:firstLine="0"/>
    </w:pPr>
    <w:rPr>
      <w:sz w:val="20"/>
    </w:rPr>
  </w:style>
  <w:style w:type="character" w:customStyle="1" w:styleId="insertTableChar">
    <w:name w:val="insertTable Char"/>
    <w:basedOn w:val="DefaultParagraphFont"/>
    <w:link w:val="insertTable"/>
    <w:rsid w:val="00A42B75"/>
    <w:rPr>
      <w:rFonts w:ascii="Garamond" w:hAnsi="Garamond"/>
      <w:b/>
      <w:bCs/>
    </w:rPr>
  </w:style>
  <w:style w:type="character" w:customStyle="1" w:styleId="TableNotesChar">
    <w:name w:val="Table Notes Char"/>
    <w:basedOn w:val="Para2Char"/>
    <w:link w:val="TableNotes"/>
    <w:rsid w:val="00063B7D"/>
    <w:rPr>
      <w:rFonts w:ascii="Garamond" w:hAnsi="Garamond" w:cstheme="majorBidi"/>
      <w:sz w:val="20"/>
      <w:szCs w:val="22"/>
      <w:lang w:val="en-US"/>
    </w:rPr>
  </w:style>
  <w:style w:type="character" w:styleId="FollowedHyperlink">
    <w:name w:val="FollowedHyperlink"/>
    <w:basedOn w:val="DefaultParagraphFont"/>
    <w:uiPriority w:val="99"/>
    <w:semiHidden/>
    <w:unhideWhenUsed/>
    <w:rsid w:val="00982469"/>
    <w:rPr>
      <w:color w:val="800080" w:themeColor="followedHyperlink"/>
      <w:u w:val="single"/>
    </w:rPr>
  </w:style>
  <w:style w:type="paragraph" w:styleId="Bibliography">
    <w:name w:val="Bibliography"/>
    <w:basedOn w:val="Normal"/>
    <w:next w:val="Normal"/>
    <w:uiPriority w:val="37"/>
    <w:unhideWhenUsed/>
    <w:rsid w:val="007A7FB2"/>
  </w:style>
  <w:style w:type="paragraph" w:customStyle="1" w:styleId="Body">
    <w:name w:val="Body"/>
    <w:rsid w:val="00DC564B"/>
    <w:pPr>
      <w:spacing w:after="0" w:line="360" w:lineRule="auto"/>
      <w:jc w:val="both"/>
    </w:pPr>
    <w:rPr>
      <w:rFonts w:ascii="Times New Roman" w:eastAsia="Arial Unicode MS" w:hAnsi="Arial Unicode MS" w:cs="Arial Unicode MS"/>
      <w:color w:val="000000"/>
      <w:lang w:val="en-US" w:eastAsia="en-GB"/>
    </w:rPr>
  </w:style>
  <w:style w:type="paragraph" w:styleId="ListParagraph">
    <w:name w:val="List Paragraph"/>
    <w:basedOn w:val="Normal"/>
    <w:uiPriority w:val="34"/>
    <w:qFormat/>
    <w:rsid w:val="00D23248"/>
    <w:pPr>
      <w:ind w:left="720"/>
      <w:contextualSpacing/>
    </w:pPr>
  </w:style>
  <w:style w:type="character" w:styleId="EndnoteReference">
    <w:name w:val="endnote reference"/>
    <w:basedOn w:val="DefaultParagraphFont"/>
    <w:rsid w:val="00CE74C2"/>
    <w:rPr>
      <w:vertAlign w:val="superscript"/>
    </w:rPr>
  </w:style>
  <w:style w:type="paragraph" w:customStyle="1" w:styleId="Articletitle">
    <w:name w:val="Article title"/>
    <w:basedOn w:val="Normal"/>
    <w:next w:val="Normal"/>
    <w:qFormat/>
    <w:rsid w:val="00CE74C2"/>
    <w:pPr>
      <w:spacing w:after="120" w:line="360" w:lineRule="auto"/>
    </w:pPr>
    <w:rPr>
      <w:b/>
      <w:sz w:val="28"/>
    </w:rPr>
  </w:style>
  <w:style w:type="paragraph" w:customStyle="1" w:styleId="Authornames">
    <w:name w:val="Author names"/>
    <w:basedOn w:val="Normal"/>
    <w:next w:val="Normal"/>
    <w:qFormat/>
    <w:rsid w:val="00CE74C2"/>
    <w:pPr>
      <w:spacing w:before="240" w:line="360" w:lineRule="auto"/>
    </w:pPr>
    <w:rPr>
      <w:sz w:val="28"/>
    </w:rPr>
  </w:style>
  <w:style w:type="paragraph" w:customStyle="1" w:styleId="Affiliation">
    <w:name w:val="Affiliation"/>
    <w:basedOn w:val="Normal"/>
    <w:qFormat/>
    <w:rsid w:val="00CE74C2"/>
    <w:pPr>
      <w:spacing w:before="240" w:line="360" w:lineRule="auto"/>
    </w:pPr>
    <w:rPr>
      <w:i/>
    </w:rPr>
  </w:style>
  <w:style w:type="paragraph" w:customStyle="1" w:styleId="Receiveddates">
    <w:name w:val="Received dates"/>
    <w:basedOn w:val="Affiliation"/>
    <w:next w:val="Normal"/>
    <w:qFormat/>
    <w:rsid w:val="00CE74C2"/>
  </w:style>
  <w:style w:type="paragraph" w:customStyle="1" w:styleId="Abstract">
    <w:name w:val="Abstract"/>
    <w:basedOn w:val="Normal"/>
    <w:next w:val="Keywords"/>
    <w:qFormat/>
    <w:rsid w:val="00CE74C2"/>
    <w:pPr>
      <w:spacing w:before="360" w:after="300" w:line="360" w:lineRule="auto"/>
      <w:ind w:left="720" w:right="567"/>
    </w:pPr>
    <w:rPr>
      <w:sz w:val="22"/>
    </w:rPr>
  </w:style>
  <w:style w:type="paragraph" w:customStyle="1" w:styleId="Keywords">
    <w:name w:val="Keywords"/>
    <w:basedOn w:val="Normal"/>
    <w:next w:val="Paragraph"/>
    <w:qFormat/>
    <w:rsid w:val="00CE74C2"/>
    <w:pPr>
      <w:spacing w:before="240" w:after="240" w:line="360" w:lineRule="auto"/>
      <w:ind w:left="720" w:right="567"/>
    </w:pPr>
    <w:rPr>
      <w:sz w:val="22"/>
    </w:rPr>
  </w:style>
  <w:style w:type="paragraph" w:customStyle="1" w:styleId="Correspondencedetails">
    <w:name w:val="Correspondence details"/>
    <w:basedOn w:val="Normal"/>
    <w:qFormat/>
    <w:rsid w:val="00CE74C2"/>
    <w:pPr>
      <w:spacing w:before="240" w:line="360" w:lineRule="auto"/>
    </w:pPr>
  </w:style>
  <w:style w:type="paragraph" w:customStyle="1" w:styleId="Displayedquotation">
    <w:name w:val="Displayed quotation"/>
    <w:basedOn w:val="Normal"/>
    <w:qFormat/>
    <w:rsid w:val="00CE74C2"/>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CE74C2"/>
    <w:pPr>
      <w:widowControl/>
      <w:numPr>
        <w:numId w:val="15"/>
      </w:numPr>
      <w:spacing w:after="240"/>
      <w:contextualSpacing/>
    </w:pPr>
  </w:style>
  <w:style w:type="paragraph" w:customStyle="1" w:styleId="Displayedequation">
    <w:name w:val="Displayed equation"/>
    <w:basedOn w:val="Normal"/>
    <w:next w:val="Paragraph"/>
    <w:qFormat/>
    <w:rsid w:val="00CE74C2"/>
    <w:pPr>
      <w:tabs>
        <w:tab w:val="center" w:pos="4253"/>
        <w:tab w:val="right" w:pos="8222"/>
      </w:tabs>
      <w:spacing w:before="240" w:after="240"/>
      <w:jc w:val="center"/>
    </w:pPr>
  </w:style>
  <w:style w:type="paragraph" w:customStyle="1" w:styleId="Acknowledgements">
    <w:name w:val="Acknowledgements"/>
    <w:basedOn w:val="Normal"/>
    <w:next w:val="Normal"/>
    <w:qFormat/>
    <w:rsid w:val="00CE74C2"/>
    <w:pPr>
      <w:spacing w:before="120" w:line="360" w:lineRule="auto"/>
    </w:pPr>
    <w:rPr>
      <w:sz w:val="22"/>
    </w:rPr>
  </w:style>
  <w:style w:type="paragraph" w:customStyle="1" w:styleId="Tabletitle">
    <w:name w:val="Table title"/>
    <w:basedOn w:val="Normal"/>
    <w:next w:val="Normal"/>
    <w:qFormat/>
    <w:rsid w:val="00CE74C2"/>
    <w:pPr>
      <w:spacing w:before="240" w:line="360" w:lineRule="auto"/>
    </w:pPr>
  </w:style>
  <w:style w:type="paragraph" w:customStyle="1" w:styleId="Figurecaption">
    <w:name w:val="Figure caption"/>
    <w:basedOn w:val="Normal"/>
    <w:next w:val="Normal"/>
    <w:qFormat/>
    <w:rsid w:val="00CE74C2"/>
    <w:pPr>
      <w:spacing w:before="240" w:line="360" w:lineRule="auto"/>
    </w:pPr>
  </w:style>
  <w:style w:type="paragraph" w:customStyle="1" w:styleId="Footnotes">
    <w:name w:val="Footnotes"/>
    <w:basedOn w:val="Normal"/>
    <w:qFormat/>
    <w:rsid w:val="00CE74C2"/>
    <w:pPr>
      <w:spacing w:before="120" w:line="360" w:lineRule="auto"/>
      <w:ind w:left="482" w:hanging="482"/>
      <w:contextualSpacing/>
    </w:pPr>
    <w:rPr>
      <w:sz w:val="22"/>
    </w:rPr>
  </w:style>
  <w:style w:type="paragraph" w:customStyle="1" w:styleId="Notesoncontributors">
    <w:name w:val="Notes on contributors"/>
    <w:basedOn w:val="Normal"/>
    <w:qFormat/>
    <w:rsid w:val="00CE74C2"/>
    <w:pPr>
      <w:spacing w:before="240" w:line="360" w:lineRule="auto"/>
    </w:pPr>
    <w:rPr>
      <w:sz w:val="22"/>
    </w:rPr>
  </w:style>
  <w:style w:type="paragraph" w:customStyle="1" w:styleId="Normalparagraphstyle">
    <w:name w:val="Normal paragraph style"/>
    <w:basedOn w:val="Normal"/>
    <w:next w:val="Normal"/>
    <w:rsid w:val="00CE74C2"/>
  </w:style>
  <w:style w:type="paragraph" w:customStyle="1" w:styleId="Paragraph">
    <w:name w:val="Paragraph"/>
    <w:basedOn w:val="Normal"/>
    <w:next w:val="Newparagraph"/>
    <w:qFormat/>
    <w:rsid w:val="00CE74C2"/>
    <w:pPr>
      <w:widowControl w:val="0"/>
      <w:spacing w:before="240"/>
    </w:pPr>
  </w:style>
  <w:style w:type="paragraph" w:customStyle="1" w:styleId="Newparagraph">
    <w:name w:val="New paragraph"/>
    <w:basedOn w:val="Normal"/>
    <w:qFormat/>
    <w:rsid w:val="00CE74C2"/>
    <w:pPr>
      <w:ind w:firstLine="720"/>
    </w:pPr>
  </w:style>
  <w:style w:type="paragraph" w:styleId="NormalIndent">
    <w:name w:val="Normal Indent"/>
    <w:basedOn w:val="Normal"/>
    <w:rsid w:val="00CE74C2"/>
    <w:pPr>
      <w:ind w:left="720"/>
    </w:pPr>
  </w:style>
  <w:style w:type="paragraph" w:customStyle="1" w:styleId="References">
    <w:name w:val="References"/>
    <w:basedOn w:val="Normal"/>
    <w:qFormat/>
    <w:rsid w:val="00CE74C2"/>
    <w:pPr>
      <w:spacing w:before="120" w:line="360" w:lineRule="auto"/>
      <w:ind w:left="720" w:hanging="720"/>
      <w:contextualSpacing/>
    </w:pPr>
  </w:style>
  <w:style w:type="paragraph" w:customStyle="1" w:styleId="Subjectcodes">
    <w:name w:val="Subject codes"/>
    <w:basedOn w:val="Keywords"/>
    <w:next w:val="Paragraph"/>
    <w:qFormat/>
    <w:rsid w:val="00CE74C2"/>
  </w:style>
  <w:style w:type="paragraph" w:customStyle="1" w:styleId="Bulletedlist">
    <w:name w:val="Bulleted list"/>
    <w:basedOn w:val="Paragraph"/>
    <w:next w:val="Paragraph"/>
    <w:qFormat/>
    <w:rsid w:val="00CE74C2"/>
    <w:pPr>
      <w:widowControl/>
      <w:numPr>
        <w:numId w:val="16"/>
      </w:numPr>
      <w:spacing w:after="240"/>
      <w:contextualSpacing/>
    </w:pPr>
  </w:style>
  <w:style w:type="paragraph" w:customStyle="1" w:styleId="Heading4Paragraph">
    <w:name w:val="Heading 4 + Paragraph"/>
    <w:basedOn w:val="Paragraph"/>
    <w:next w:val="Newparagraph"/>
    <w:qFormat/>
    <w:rsid w:val="00CE74C2"/>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797">
      <w:bodyDiv w:val="1"/>
      <w:marLeft w:val="0"/>
      <w:marRight w:val="0"/>
      <w:marTop w:val="0"/>
      <w:marBottom w:val="0"/>
      <w:divBdr>
        <w:top w:val="none" w:sz="0" w:space="0" w:color="auto"/>
        <w:left w:val="none" w:sz="0" w:space="0" w:color="auto"/>
        <w:bottom w:val="none" w:sz="0" w:space="0" w:color="auto"/>
        <w:right w:val="none" w:sz="0" w:space="0" w:color="auto"/>
      </w:divBdr>
    </w:div>
    <w:div w:id="62796456">
      <w:bodyDiv w:val="1"/>
      <w:marLeft w:val="0"/>
      <w:marRight w:val="0"/>
      <w:marTop w:val="0"/>
      <w:marBottom w:val="0"/>
      <w:divBdr>
        <w:top w:val="none" w:sz="0" w:space="0" w:color="auto"/>
        <w:left w:val="none" w:sz="0" w:space="0" w:color="auto"/>
        <w:bottom w:val="none" w:sz="0" w:space="0" w:color="auto"/>
        <w:right w:val="none" w:sz="0" w:space="0" w:color="auto"/>
      </w:divBdr>
    </w:div>
    <w:div w:id="91167305">
      <w:bodyDiv w:val="1"/>
      <w:marLeft w:val="0"/>
      <w:marRight w:val="0"/>
      <w:marTop w:val="0"/>
      <w:marBottom w:val="0"/>
      <w:divBdr>
        <w:top w:val="none" w:sz="0" w:space="0" w:color="auto"/>
        <w:left w:val="none" w:sz="0" w:space="0" w:color="auto"/>
        <w:bottom w:val="none" w:sz="0" w:space="0" w:color="auto"/>
        <w:right w:val="none" w:sz="0" w:space="0" w:color="auto"/>
      </w:divBdr>
    </w:div>
    <w:div w:id="103355166">
      <w:bodyDiv w:val="1"/>
      <w:marLeft w:val="0"/>
      <w:marRight w:val="0"/>
      <w:marTop w:val="0"/>
      <w:marBottom w:val="0"/>
      <w:divBdr>
        <w:top w:val="none" w:sz="0" w:space="0" w:color="auto"/>
        <w:left w:val="none" w:sz="0" w:space="0" w:color="auto"/>
        <w:bottom w:val="none" w:sz="0" w:space="0" w:color="auto"/>
        <w:right w:val="none" w:sz="0" w:space="0" w:color="auto"/>
      </w:divBdr>
    </w:div>
    <w:div w:id="151339448">
      <w:bodyDiv w:val="1"/>
      <w:marLeft w:val="0"/>
      <w:marRight w:val="0"/>
      <w:marTop w:val="0"/>
      <w:marBottom w:val="0"/>
      <w:divBdr>
        <w:top w:val="none" w:sz="0" w:space="0" w:color="auto"/>
        <w:left w:val="none" w:sz="0" w:space="0" w:color="auto"/>
        <w:bottom w:val="none" w:sz="0" w:space="0" w:color="auto"/>
        <w:right w:val="none" w:sz="0" w:space="0" w:color="auto"/>
      </w:divBdr>
    </w:div>
    <w:div w:id="195587458">
      <w:bodyDiv w:val="1"/>
      <w:marLeft w:val="0"/>
      <w:marRight w:val="0"/>
      <w:marTop w:val="0"/>
      <w:marBottom w:val="0"/>
      <w:divBdr>
        <w:top w:val="none" w:sz="0" w:space="0" w:color="auto"/>
        <w:left w:val="none" w:sz="0" w:space="0" w:color="auto"/>
        <w:bottom w:val="none" w:sz="0" w:space="0" w:color="auto"/>
        <w:right w:val="none" w:sz="0" w:space="0" w:color="auto"/>
      </w:divBdr>
    </w:div>
    <w:div w:id="216404498">
      <w:bodyDiv w:val="1"/>
      <w:marLeft w:val="0"/>
      <w:marRight w:val="0"/>
      <w:marTop w:val="0"/>
      <w:marBottom w:val="0"/>
      <w:divBdr>
        <w:top w:val="none" w:sz="0" w:space="0" w:color="auto"/>
        <w:left w:val="none" w:sz="0" w:space="0" w:color="auto"/>
        <w:bottom w:val="none" w:sz="0" w:space="0" w:color="auto"/>
        <w:right w:val="none" w:sz="0" w:space="0" w:color="auto"/>
      </w:divBdr>
      <w:divsChild>
        <w:div w:id="573007392">
          <w:marLeft w:val="0"/>
          <w:marRight w:val="0"/>
          <w:marTop w:val="0"/>
          <w:marBottom w:val="0"/>
          <w:divBdr>
            <w:top w:val="none" w:sz="0" w:space="0" w:color="auto"/>
            <w:left w:val="none" w:sz="0" w:space="0" w:color="auto"/>
            <w:bottom w:val="none" w:sz="0" w:space="0" w:color="auto"/>
            <w:right w:val="none" w:sz="0" w:space="0" w:color="auto"/>
          </w:divBdr>
        </w:div>
      </w:divsChild>
    </w:div>
    <w:div w:id="225996776">
      <w:bodyDiv w:val="1"/>
      <w:marLeft w:val="0"/>
      <w:marRight w:val="0"/>
      <w:marTop w:val="0"/>
      <w:marBottom w:val="0"/>
      <w:divBdr>
        <w:top w:val="none" w:sz="0" w:space="0" w:color="auto"/>
        <w:left w:val="none" w:sz="0" w:space="0" w:color="auto"/>
        <w:bottom w:val="none" w:sz="0" w:space="0" w:color="auto"/>
        <w:right w:val="none" w:sz="0" w:space="0" w:color="auto"/>
      </w:divBdr>
    </w:div>
    <w:div w:id="230435002">
      <w:bodyDiv w:val="1"/>
      <w:marLeft w:val="0"/>
      <w:marRight w:val="0"/>
      <w:marTop w:val="0"/>
      <w:marBottom w:val="0"/>
      <w:divBdr>
        <w:top w:val="none" w:sz="0" w:space="0" w:color="auto"/>
        <w:left w:val="none" w:sz="0" w:space="0" w:color="auto"/>
        <w:bottom w:val="none" w:sz="0" w:space="0" w:color="auto"/>
        <w:right w:val="none" w:sz="0" w:space="0" w:color="auto"/>
      </w:divBdr>
    </w:div>
    <w:div w:id="231083857">
      <w:bodyDiv w:val="1"/>
      <w:marLeft w:val="0"/>
      <w:marRight w:val="0"/>
      <w:marTop w:val="0"/>
      <w:marBottom w:val="0"/>
      <w:divBdr>
        <w:top w:val="none" w:sz="0" w:space="0" w:color="auto"/>
        <w:left w:val="none" w:sz="0" w:space="0" w:color="auto"/>
        <w:bottom w:val="none" w:sz="0" w:space="0" w:color="auto"/>
        <w:right w:val="none" w:sz="0" w:space="0" w:color="auto"/>
      </w:divBdr>
    </w:div>
    <w:div w:id="275605614">
      <w:bodyDiv w:val="1"/>
      <w:marLeft w:val="0"/>
      <w:marRight w:val="0"/>
      <w:marTop w:val="0"/>
      <w:marBottom w:val="0"/>
      <w:divBdr>
        <w:top w:val="none" w:sz="0" w:space="0" w:color="auto"/>
        <w:left w:val="none" w:sz="0" w:space="0" w:color="auto"/>
        <w:bottom w:val="none" w:sz="0" w:space="0" w:color="auto"/>
        <w:right w:val="none" w:sz="0" w:space="0" w:color="auto"/>
      </w:divBdr>
    </w:div>
    <w:div w:id="288632409">
      <w:bodyDiv w:val="1"/>
      <w:marLeft w:val="0"/>
      <w:marRight w:val="0"/>
      <w:marTop w:val="0"/>
      <w:marBottom w:val="0"/>
      <w:divBdr>
        <w:top w:val="none" w:sz="0" w:space="0" w:color="auto"/>
        <w:left w:val="none" w:sz="0" w:space="0" w:color="auto"/>
        <w:bottom w:val="none" w:sz="0" w:space="0" w:color="auto"/>
        <w:right w:val="none" w:sz="0" w:space="0" w:color="auto"/>
      </w:divBdr>
    </w:div>
    <w:div w:id="304747525">
      <w:bodyDiv w:val="1"/>
      <w:marLeft w:val="0"/>
      <w:marRight w:val="0"/>
      <w:marTop w:val="0"/>
      <w:marBottom w:val="0"/>
      <w:divBdr>
        <w:top w:val="none" w:sz="0" w:space="0" w:color="auto"/>
        <w:left w:val="none" w:sz="0" w:space="0" w:color="auto"/>
        <w:bottom w:val="none" w:sz="0" w:space="0" w:color="auto"/>
        <w:right w:val="none" w:sz="0" w:space="0" w:color="auto"/>
      </w:divBdr>
    </w:div>
    <w:div w:id="321275217">
      <w:bodyDiv w:val="1"/>
      <w:marLeft w:val="0"/>
      <w:marRight w:val="0"/>
      <w:marTop w:val="0"/>
      <w:marBottom w:val="0"/>
      <w:divBdr>
        <w:top w:val="none" w:sz="0" w:space="0" w:color="auto"/>
        <w:left w:val="none" w:sz="0" w:space="0" w:color="auto"/>
        <w:bottom w:val="none" w:sz="0" w:space="0" w:color="auto"/>
        <w:right w:val="none" w:sz="0" w:space="0" w:color="auto"/>
      </w:divBdr>
    </w:div>
    <w:div w:id="332687071">
      <w:bodyDiv w:val="1"/>
      <w:marLeft w:val="0"/>
      <w:marRight w:val="0"/>
      <w:marTop w:val="0"/>
      <w:marBottom w:val="0"/>
      <w:divBdr>
        <w:top w:val="none" w:sz="0" w:space="0" w:color="auto"/>
        <w:left w:val="none" w:sz="0" w:space="0" w:color="auto"/>
        <w:bottom w:val="none" w:sz="0" w:space="0" w:color="auto"/>
        <w:right w:val="none" w:sz="0" w:space="0" w:color="auto"/>
      </w:divBdr>
    </w:div>
    <w:div w:id="359864213">
      <w:bodyDiv w:val="1"/>
      <w:marLeft w:val="0"/>
      <w:marRight w:val="0"/>
      <w:marTop w:val="0"/>
      <w:marBottom w:val="0"/>
      <w:divBdr>
        <w:top w:val="none" w:sz="0" w:space="0" w:color="auto"/>
        <w:left w:val="none" w:sz="0" w:space="0" w:color="auto"/>
        <w:bottom w:val="none" w:sz="0" w:space="0" w:color="auto"/>
        <w:right w:val="none" w:sz="0" w:space="0" w:color="auto"/>
      </w:divBdr>
    </w:div>
    <w:div w:id="362174342">
      <w:bodyDiv w:val="1"/>
      <w:marLeft w:val="0"/>
      <w:marRight w:val="0"/>
      <w:marTop w:val="0"/>
      <w:marBottom w:val="0"/>
      <w:divBdr>
        <w:top w:val="none" w:sz="0" w:space="0" w:color="auto"/>
        <w:left w:val="none" w:sz="0" w:space="0" w:color="auto"/>
        <w:bottom w:val="none" w:sz="0" w:space="0" w:color="auto"/>
        <w:right w:val="none" w:sz="0" w:space="0" w:color="auto"/>
      </w:divBdr>
    </w:div>
    <w:div w:id="371272886">
      <w:bodyDiv w:val="1"/>
      <w:marLeft w:val="0"/>
      <w:marRight w:val="0"/>
      <w:marTop w:val="0"/>
      <w:marBottom w:val="0"/>
      <w:divBdr>
        <w:top w:val="none" w:sz="0" w:space="0" w:color="auto"/>
        <w:left w:val="none" w:sz="0" w:space="0" w:color="auto"/>
        <w:bottom w:val="none" w:sz="0" w:space="0" w:color="auto"/>
        <w:right w:val="none" w:sz="0" w:space="0" w:color="auto"/>
      </w:divBdr>
      <w:divsChild>
        <w:div w:id="68814410">
          <w:marLeft w:val="0"/>
          <w:marRight w:val="0"/>
          <w:marTop w:val="0"/>
          <w:marBottom w:val="0"/>
          <w:divBdr>
            <w:top w:val="none" w:sz="0" w:space="0" w:color="auto"/>
            <w:left w:val="none" w:sz="0" w:space="0" w:color="auto"/>
            <w:bottom w:val="none" w:sz="0" w:space="0" w:color="auto"/>
            <w:right w:val="none" w:sz="0" w:space="0" w:color="auto"/>
          </w:divBdr>
        </w:div>
      </w:divsChild>
    </w:div>
    <w:div w:id="393502918">
      <w:bodyDiv w:val="1"/>
      <w:marLeft w:val="0"/>
      <w:marRight w:val="0"/>
      <w:marTop w:val="0"/>
      <w:marBottom w:val="0"/>
      <w:divBdr>
        <w:top w:val="none" w:sz="0" w:space="0" w:color="auto"/>
        <w:left w:val="none" w:sz="0" w:space="0" w:color="auto"/>
        <w:bottom w:val="none" w:sz="0" w:space="0" w:color="auto"/>
        <w:right w:val="none" w:sz="0" w:space="0" w:color="auto"/>
      </w:divBdr>
    </w:div>
    <w:div w:id="413477325">
      <w:bodyDiv w:val="1"/>
      <w:marLeft w:val="0"/>
      <w:marRight w:val="0"/>
      <w:marTop w:val="0"/>
      <w:marBottom w:val="0"/>
      <w:divBdr>
        <w:top w:val="none" w:sz="0" w:space="0" w:color="auto"/>
        <w:left w:val="none" w:sz="0" w:space="0" w:color="auto"/>
        <w:bottom w:val="none" w:sz="0" w:space="0" w:color="auto"/>
        <w:right w:val="none" w:sz="0" w:space="0" w:color="auto"/>
      </w:divBdr>
    </w:div>
    <w:div w:id="491264892">
      <w:bodyDiv w:val="1"/>
      <w:marLeft w:val="0"/>
      <w:marRight w:val="0"/>
      <w:marTop w:val="0"/>
      <w:marBottom w:val="0"/>
      <w:divBdr>
        <w:top w:val="none" w:sz="0" w:space="0" w:color="auto"/>
        <w:left w:val="none" w:sz="0" w:space="0" w:color="auto"/>
        <w:bottom w:val="none" w:sz="0" w:space="0" w:color="auto"/>
        <w:right w:val="none" w:sz="0" w:space="0" w:color="auto"/>
      </w:divBdr>
    </w:div>
    <w:div w:id="495849707">
      <w:bodyDiv w:val="1"/>
      <w:marLeft w:val="0"/>
      <w:marRight w:val="0"/>
      <w:marTop w:val="0"/>
      <w:marBottom w:val="0"/>
      <w:divBdr>
        <w:top w:val="none" w:sz="0" w:space="0" w:color="auto"/>
        <w:left w:val="none" w:sz="0" w:space="0" w:color="auto"/>
        <w:bottom w:val="none" w:sz="0" w:space="0" w:color="auto"/>
        <w:right w:val="none" w:sz="0" w:space="0" w:color="auto"/>
      </w:divBdr>
    </w:div>
    <w:div w:id="517239266">
      <w:bodyDiv w:val="1"/>
      <w:marLeft w:val="0"/>
      <w:marRight w:val="0"/>
      <w:marTop w:val="0"/>
      <w:marBottom w:val="0"/>
      <w:divBdr>
        <w:top w:val="none" w:sz="0" w:space="0" w:color="auto"/>
        <w:left w:val="none" w:sz="0" w:space="0" w:color="auto"/>
        <w:bottom w:val="none" w:sz="0" w:space="0" w:color="auto"/>
        <w:right w:val="none" w:sz="0" w:space="0" w:color="auto"/>
      </w:divBdr>
    </w:div>
    <w:div w:id="541480406">
      <w:bodyDiv w:val="1"/>
      <w:marLeft w:val="0"/>
      <w:marRight w:val="0"/>
      <w:marTop w:val="0"/>
      <w:marBottom w:val="0"/>
      <w:divBdr>
        <w:top w:val="none" w:sz="0" w:space="0" w:color="auto"/>
        <w:left w:val="none" w:sz="0" w:space="0" w:color="auto"/>
        <w:bottom w:val="none" w:sz="0" w:space="0" w:color="auto"/>
        <w:right w:val="none" w:sz="0" w:space="0" w:color="auto"/>
      </w:divBdr>
    </w:div>
    <w:div w:id="556473792">
      <w:bodyDiv w:val="1"/>
      <w:marLeft w:val="0"/>
      <w:marRight w:val="0"/>
      <w:marTop w:val="0"/>
      <w:marBottom w:val="0"/>
      <w:divBdr>
        <w:top w:val="none" w:sz="0" w:space="0" w:color="auto"/>
        <w:left w:val="none" w:sz="0" w:space="0" w:color="auto"/>
        <w:bottom w:val="none" w:sz="0" w:space="0" w:color="auto"/>
        <w:right w:val="none" w:sz="0" w:space="0" w:color="auto"/>
      </w:divBdr>
    </w:div>
    <w:div w:id="558324363">
      <w:bodyDiv w:val="1"/>
      <w:marLeft w:val="0"/>
      <w:marRight w:val="0"/>
      <w:marTop w:val="0"/>
      <w:marBottom w:val="0"/>
      <w:divBdr>
        <w:top w:val="none" w:sz="0" w:space="0" w:color="auto"/>
        <w:left w:val="none" w:sz="0" w:space="0" w:color="auto"/>
        <w:bottom w:val="none" w:sz="0" w:space="0" w:color="auto"/>
        <w:right w:val="none" w:sz="0" w:space="0" w:color="auto"/>
      </w:divBdr>
    </w:div>
    <w:div w:id="583344978">
      <w:bodyDiv w:val="1"/>
      <w:marLeft w:val="0"/>
      <w:marRight w:val="0"/>
      <w:marTop w:val="0"/>
      <w:marBottom w:val="0"/>
      <w:divBdr>
        <w:top w:val="none" w:sz="0" w:space="0" w:color="auto"/>
        <w:left w:val="none" w:sz="0" w:space="0" w:color="auto"/>
        <w:bottom w:val="none" w:sz="0" w:space="0" w:color="auto"/>
        <w:right w:val="none" w:sz="0" w:space="0" w:color="auto"/>
      </w:divBdr>
      <w:divsChild>
        <w:div w:id="82916281">
          <w:marLeft w:val="0"/>
          <w:marRight w:val="0"/>
          <w:marTop w:val="0"/>
          <w:marBottom w:val="0"/>
          <w:divBdr>
            <w:top w:val="none" w:sz="0" w:space="0" w:color="auto"/>
            <w:left w:val="none" w:sz="0" w:space="0" w:color="auto"/>
            <w:bottom w:val="none" w:sz="0" w:space="0" w:color="auto"/>
            <w:right w:val="none" w:sz="0" w:space="0" w:color="auto"/>
          </w:divBdr>
        </w:div>
      </w:divsChild>
    </w:div>
    <w:div w:id="599028178">
      <w:bodyDiv w:val="1"/>
      <w:marLeft w:val="0"/>
      <w:marRight w:val="0"/>
      <w:marTop w:val="0"/>
      <w:marBottom w:val="0"/>
      <w:divBdr>
        <w:top w:val="none" w:sz="0" w:space="0" w:color="auto"/>
        <w:left w:val="none" w:sz="0" w:space="0" w:color="auto"/>
        <w:bottom w:val="none" w:sz="0" w:space="0" w:color="auto"/>
        <w:right w:val="none" w:sz="0" w:space="0" w:color="auto"/>
      </w:divBdr>
    </w:div>
    <w:div w:id="609777695">
      <w:bodyDiv w:val="1"/>
      <w:marLeft w:val="0"/>
      <w:marRight w:val="0"/>
      <w:marTop w:val="0"/>
      <w:marBottom w:val="0"/>
      <w:divBdr>
        <w:top w:val="none" w:sz="0" w:space="0" w:color="auto"/>
        <w:left w:val="none" w:sz="0" w:space="0" w:color="auto"/>
        <w:bottom w:val="none" w:sz="0" w:space="0" w:color="auto"/>
        <w:right w:val="none" w:sz="0" w:space="0" w:color="auto"/>
      </w:divBdr>
    </w:div>
    <w:div w:id="624389052">
      <w:bodyDiv w:val="1"/>
      <w:marLeft w:val="0"/>
      <w:marRight w:val="0"/>
      <w:marTop w:val="0"/>
      <w:marBottom w:val="0"/>
      <w:divBdr>
        <w:top w:val="none" w:sz="0" w:space="0" w:color="auto"/>
        <w:left w:val="none" w:sz="0" w:space="0" w:color="auto"/>
        <w:bottom w:val="none" w:sz="0" w:space="0" w:color="auto"/>
        <w:right w:val="none" w:sz="0" w:space="0" w:color="auto"/>
      </w:divBdr>
    </w:div>
    <w:div w:id="673412603">
      <w:bodyDiv w:val="1"/>
      <w:marLeft w:val="0"/>
      <w:marRight w:val="0"/>
      <w:marTop w:val="0"/>
      <w:marBottom w:val="0"/>
      <w:divBdr>
        <w:top w:val="none" w:sz="0" w:space="0" w:color="auto"/>
        <w:left w:val="none" w:sz="0" w:space="0" w:color="auto"/>
        <w:bottom w:val="none" w:sz="0" w:space="0" w:color="auto"/>
        <w:right w:val="none" w:sz="0" w:space="0" w:color="auto"/>
      </w:divBdr>
    </w:div>
    <w:div w:id="679039792">
      <w:bodyDiv w:val="1"/>
      <w:marLeft w:val="0"/>
      <w:marRight w:val="0"/>
      <w:marTop w:val="0"/>
      <w:marBottom w:val="0"/>
      <w:divBdr>
        <w:top w:val="none" w:sz="0" w:space="0" w:color="auto"/>
        <w:left w:val="none" w:sz="0" w:space="0" w:color="auto"/>
        <w:bottom w:val="none" w:sz="0" w:space="0" w:color="auto"/>
        <w:right w:val="none" w:sz="0" w:space="0" w:color="auto"/>
      </w:divBdr>
    </w:div>
    <w:div w:id="723338644">
      <w:bodyDiv w:val="1"/>
      <w:marLeft w:val="0"/>
      <w:marRight w:val="0"/>
      <w:marTop w:val="0"/>
      <w:marBottom w:val="0"/>
      <w:divBdr>
        <w:top w:val="none" w:sz="0" w:space="0" w:color="auto"/>
        <w:left w:val="none" w:sz="0" w:space="0" w:color="auto"/>
        <w:bottom w:val="none" w:sz="0" w:space="0" w:color="auto"/>
        <w:right w:val="none" w:sz="0" w:space="0" w:color="auto"/>
      </w:divBdr>
    </w:div>
    <w:div w:id="729618524">
      <w:bodyDiv w:val="1"/>
      <w:marLeft w:val="0"/>
      <w:marRight w:val="0"/>
      <w:marTop w:val="0"/>
      <w:marBottom w:val="0"/>
      <w:divBdr>
        <w:top w:val="none" w:sz="0" w:space="0" w:color="auto"/>
        <w:left w:val="none" w:sz="0" w:space="0" w:color="auto"/>
        <w:bottom w:val="none" w:sz="0" w:space="0" w:color="auto"/>
        <w:right w:val="none" w:sz="0" w:space="0" w:color="auto"/>
      </w:divBdr>
    </w:div>
    <w:div w:id="745997707">
      <w:bodyDiv w:val="1"/>
      <w:marLeft w:val="0"/>
      <w:marRight w:val="0"/>
      <w:marTop w:val="0"/>
      <w:marBottom w:val="0"/>
      <w:divBdr>
        <w:top w:val="none" w:sz="0" w:space="0" w:color="auto"/>
        <w:left w:val="none" w:sz="0" w:space="0" w:color="auto"/>
        <w:bottom w:val="none" w:sz="0" w:space="0" w:color="auto"/>
        <w:right w:val="none" w:sz="0" w:space="0" w:color="auto"/>
      </w:divBdr>
    </w:div>
    <w:div w:id="829559570">
      <w:bodyDiv w:val="1"/>
      <w:marLeft w:val="0"/>
      <w:marRight w:val="0"/>
      <w:marTop w:val="0"/>
      <w:marBottom w:val="0"/>
      <w:divBdr>
        <w:top w:val="none" w:sz="0" w:space="0" w:color="auto"/>
        <w:left w:val="none" w:sz="0" w:space="0" w:color="auto"/>
        <w:bottom w:val="none" w:sz="0" w:space="0" w:color="auto"/>
        <w:right w:val="none" w:sz="0" w:space="0" w:color="auto"/>
      </w:divBdr>
    </w:div>
    <w:div w:id="834959310">
      <w:bodyDiv w:val="1"/>
      <w:marLeft w:val="0"/>
      <w:marRight w:val="0"/>
      <w:marTop w:val="0"/>
      <w:marBottom w:val="0"/>
      <w:divBdr>
        <w:top w:val="none" w:sz="0" w:space="0" w:color="auto"/>
        <w:left w:val="none" w:sz="0" w:space="0" w:color="auto"/>
        <w:bottom w:val="none" w:sz="0" w:space="0" w:color="auto"/>
        <w:right w:val="none" w:sz="0" w:space="0" w:color="auto"/>
      </w:divBdr>
    </w:div>
    <w:div w:id="845944085">
      <w:bodyDiv w:val="1"/>
      <w:marLeft w:val="0"/>
      <w:marRight w:val="0"/>
      <w:marTop w:val="0"/>
      <w:marBottom w:val="0"/>
      <w:divBdr>
        <w:top w:val="none" w:sz="0" w:space="0" w:color="auto"/>
        <w:left w:val="none" w:sz="0" w:space="0" w:color="auto"/>
        <w:bottom w:val="none" w:sz="0" w:space="0" w:color="auto"/>
        <w:right w:val="none" w:sz="0" w:space="0" w:color="auto"/>
      </w:divBdr>
    </w:div>
    <w:div w:id="908224792">
      <w:bodyDiv w:val="1"/>
      <w:marLeft w:val="0"/>
      <w:marRight w:val="0"/>
      <w:marTop w:val="0"/>
      <w:marBottom w:val="0"/>
      <w:divBdr>
        <w:top w:val="none" w:sz="0" w:space="0" w:color="auto"/>
        <w:left w:val="none" w:sz="0" w:space="0" w:color="auto"/>
        <w:bottom w:val="none" w:sz="0" w:space="0" w:color="auto"/>
        <w:right w:val="none" w:sz="0" w:space="0" w:color="auto"/>
      </w:divBdr>
    </w:div>
    <w:div w:id="968976879">
      <w:bodyDiv w:val="1"/>
      <w:marLeft w:val="0"/>
      <w:marRight w:val="0"/>
      <w:marTop w:val="0"/>
      <w:marBottom w:val="0"/>
      <w:divBdr>
        <w:top w:val="none" w:sz="0" w:space="0" w:color="auto"/>
        <w:left w:val="none" w:sz="0" w:space="0" w:color="auto"/>
        <w:bottom w:val="none" w:sz="0" w:space="0" w:color="auto"/>
        <w:right w:val="none" w:sz="0" w:space="0" w:color="auto"/>
      </w:divBdr>
    </w:div>
    <w:div w:id="1006590896">
      <w:bodyDiv w:val="1"/>
      <w:marLeft w:val="0"/>
      <w:marRight w:val="0"/>
      <w:marTop w:val="0"/>
      <w:marBottom w:val="0"/>
      <w:divBdr>
        <w:top w:val="none" w:sz="0" w:space="0" w:color="auto"/>
        <w:left w:val="none" w:sz="0" w:space="0" w:color="auto"/>
        <w:bottom w:val="none" w:sz="0" w:space="0" w:color="auto"/>
        <w:right w:val="none" w:sz="0" w:space="0" w:color="auto"/>
      </w:divBdr>
    </w:div>
    <w:div w:id="1025718482">
      <w:bodyDiv w:val="1"/>
      <w:marLeft w:val="0"/>
      <w:marRight w:val="0"/>
      <w:marTop w:val="0"/>
      <w:marBottom w:val="0"/>
      <w:divBdr>
        <w:top w:val="none" w:sz="0" w:space="0" w:color="auto"/>
        <w:left w:val="none" w:sz="0" w:space="0" w:color="auto"/>
        <w:bottom w:val="none" w:sz="0" w:space="0" w:color="auto"/>
        <w:right w:val="none" w:sz="0" w:space="0" w:color="auto"/>
      </w:divBdr>
    </w:div>
    <w:div w:id="1032651541">
      <w:bodyDiv w:val="1"/>
      <w:marLeft w:val="0"/>
      <w:marRight w:val="0"/>
      <w:marTop w:val="0"/>
      <w:marBottom w:val="0"/>
      <w:divBdr>
        <w:top w:val="none" w:sz="0" w:space="0" w:color="auto"/>
        <w:left w:val="none" w:sz="0" w:space="0" w:color="auto"/>
        <w:bottom w:val="none" w:sz="0" w:space="0" w:color="auto"/>
        <w:right w:val="none" w:sz="0" w:space="0" w:color="auto"/>
      </w:divBdr>
    </w:div>
    <w:div w:id="1098789237">
      <w:bodyDiv w:val="1"/>
      <w:marLeft w:val="0"/>
      <w:marRight w:val="0"/>
      <w:marTop w:val="0"/>
      <w:marBottom w:val="0"/>
      <w:divBdr>
        <w:top w:val="none" w:sz="0" w:space="0" w:color="auto"/>
        <w:left w:val="none" w:sz="0" w:space="0" w:color="auto"/>
        <w:bottom w:val="none" w:sz="0" w:space="0" w:color="auto"/>
        <w:right w:val="none" w:sz="0" w:space="0" w:color="auto"/>
      </w:divBdr>
    </w:div>
    <w:div w:id="1140146020">
      <w:bodyDiv w:val="1"/>
      <w:marLeft w:val="0"/>
      <w:marRight w:val="0"/>
      <w:marTop w:val="0"/>
      <w:marBottom w:val="0"/>
      <w:divBdr>
        <w:top w:val="none" w:sz="0" w:space="0" w:color="auto"/>
        <w:left w:val="none" w:sz="0" w:space="0" w:color="auto"/>
        <w:bottom w:val="none" w:sz="0" w:space="0" w:color="auto"/>
        <w:right w:val="none" w:sz="0" w:space="0" w:color="auto"/>
      </w:divBdr>
    </w:div>
    <w:div w:id="1141726210">
      <w:bodyDiv w:val="1"/>
      <w:marLeft w:val="0"/>
      <w:marRight w:val="0"/>
      <w:marTop w:val="0"/>
      <w:marBottom w:val="0"/>
      <w:divBdr>
        <w:top w:val="none" w:sz="0" w:space="0" w:color="auto"/>
        <w:left w:val="none" w:sz="0" w:space="0" w:color="auto"/>
        <w:bottom w:val="none" w:sz="0" w:space="0" w:color="auto"/>
        <w:right w:val="none" w:sz="0" w:space="0" w:color="auto"/>
      </w:divBdr>
    </w:div>
    <w:div w:id="1201016725">
      <w:bodyDiv w:val="1"/>
      <w:marLeft w:val="0"/>
      <w:marRight w:val="0"/>
      <w:marTop w:val="0"/>
      <w:marBottom w:val="0"/>
      <w:divBdr>
        <w:top w:val="none" w:sz="0" w:space="0" w:color="auto"/>
        <w:left w:val="none" w:sz="0" w:space="0" w:color="auto"/>
        <w:bottom w:val="none" w:sz="0" w:space="0" w:color="auto"/>
        <w:right w:val="none" w:sz="0" w:space="0" w:color="auto"/>
      </w:divBdr>
    </w:div>
    <w:div w:id="1202743013">
      <w:bodyDiv w:val="1"/>
      <w:marLeft w:val="0"/>
      <w:marRight w:val="0"/>
      <w:marTop w:val="0"/>
      <w:marBottom w:val="0"/>
      <w:divBdr>
        <w:top w:val="none" w:sz="0" w:space="0" w:color="auto"/>
        <w:left w:val="none" w:sz="0" w:space="0" w:color="auto"/>
        <w:bottom w:val="none" w:sz="0" w:space="0" w:color="auto"/>
        <w:right w:val="none" w:sz="0" w:space="0" w:color="auto"/>
      </w:divBdr>
    </w:div>
    <w:div w:id="1223491744">
      <w:bodyDiv w:val="1"/>
      <w:marLeft w:val="0"/>
      <w:marRight w:val="0"/>
      <w:marTop w:val="0"/>
      <w:marBottom w:val="0"/>
      <w:divBdr>
        <w:top w:val="none" w:sz="0" w:space="0" w:color="auto"/>
        <w:left w:val="none" w:sz="0" w:space="0" w:color="auto"/>
        <w:bottom w:val="none" w:sz="0" w:space="0" w:color="auto"/>
        <w:right w:val="none" w:sz="0" w:space="0" w:color="auto"/>
      </w:divBdr>
    </w:div>
    <w:div w:id="1231696576">
      <w:bodyDiv w:val="1"/>
      <w:marLeft w:val="0"/>
      <w:marRight w:val="0"/>
      <w:marTop w:val="0"/>
      <w:marBottom w:val="0"/>
      <w:divBdr>
        <w:top w:val="none" w:sz="0" w:space="0" w:color="auto"/>
        <w:left w:val="none" w:sz="0" w:space="0" w:color="auto"/>
        <w:bottom w:val="none" w:sz="0" w:space="0" w:color="auto"/>
        <w:right w:val="none" w:sz="0" w:space="0" w:color="auto"/>
      </w:divBdr>
    </w:div>
    <w:div w:id="1247376378">
      <w:bodyDiv w:val="1"/>
      <w:marLeft w:val="0"/>
      <w:marRight w:val="0"/>
      <w:marTop w:val="0"/>
      <w:marBottom w:val="0"/>
      <w:divBdr>
        <w:top w:val="none" w:sz="0" w:space="0" w:color="auto"/>
        <w:left w:val="none" w:sz="0" w:space="0" w:color="auto"/>
        <w:bottom w:val="none" w:sz="0" w:space="0" w:color="auto"/>
        <w:right w:val="none" w:sz="0" w:space="0" w:color="auto"/>
      </w:divBdr>
    </w:div>
    <w:div w:id="1253659194">
      <w:bodyDiv w:val="1"/>
      <w:marLeft w:val="0"/>
      <w:marRight w:val="0"/>
      <w:marTop w:val="0"/>
      <w:marBottom w:val="0"/>
      <w:divBdr>
        <w:top w:val="none" w:sz="0" w:space="0" w:color="auto"/>
        <w:left w:val="none" w:sz="0" w:space="0" w:color="auto"/>
        <w:bottom w:val="none" w:sz="0" w:space="0" w:color="auto"/>
        <w:right w:val="none" w:sz="0" w:space="0" w:color="auto"/>
      </w:divBdr>
    </w:div>
    <w:div w:id="1264070345">
      <w:bodyDiv w:val="1"/>
      <w:marLeft w:val="0"/>
      <w:marRight w:val="0"/>
      <w:marTop w:val="0"/>
      <w:marBottom w:val="0"/>
      <w:divBdr>
        <w:top w:val="none" w:sz="0" w:space="0" w:color="auto"/>
        <w:left w:val="none" w:sz="0" w:space="0" w:color="auto"/>
        <w:bottom w:val="none" w:sz="0" w:space="0" w:color="auto"/>
        <w:right w:val="none" w:sz="0" w:space="0" w:color="auto"/>
      </w:divBdr>
    </w:div>
    <w:div w:id="1316033948">
      <w:bodyDiv w:val="1"/>
      <w:marLeft w:val="0"/>
      <w:marRight w:val="0"/>
      <w:marTop w:val="0"/>
      <w:marBottom w:val="0"/>
      <w:divBdr>
        <w:top w:val="none" w:sz="0" w:space="0" w:color="auto"/>
        <w:left w:val="none" w:sz="0" w:space="0" w:color="auto"/>
        <w:bottom w:val="none" w:sz="0" w:space="0" w:color="auto"/>
        <w:right w:val="none" w:sz="0" w:space="0" w:color="auto"/>
      </w:divBdr>
    </w:div>
    <w:div w:id="1329288519">
      <w:bodyDiv w:val="1"/>
      <w:marLeft w:val="0"/>
      <w:marRight w:val="0"/>
      <w:marTop w:val="0"/>
      <w:marBottom w:val="0"/>
      <w:divBdr>
        <w:top w:val="none" w:sz="0" w:space="0" w:color="auto"/>
        <w:left w:val="none" w:sz="0" w:space="0" w:color="auto"/>
        <w:bottom w:val="none" w:sz="0" w:space="0" w:color="auto"/>
        <w:right w:val="none" w:sz="0" w:space="0" w:color="auto"/>
      </w:divBdr>
    </w:div>
    <w:div w:id="1349261272">
      <w:bodyDiv w:val="1"/>
      <w:marLeft w:val="0"/>
      <w:marRight w:val="0"/>
      <w:marTop w:val="0"/>
      <w:marBottom w:val="0"/>
      <w:divBdr>
        <w:top w:val="none" w:sz="0" w:space="0" w:color="auto"/>
        <w:left w:val="none" w:sz="0" w:space="0" w:color="auto"/>
        <w:bottom w:val="none" w:sz="0" w:space="0" w:color="auto"/>
        <w:right w:val="none" w:sz="0" w:space="0" w:color="auto"/>
      </w:divBdr>
    </w:div>
    <w:div w:id="1350327795">
      <w:bodyDiv w:val="1"/>
      <w:marLeft w:val="0"/>
      <w:marRight w:val="0"/>
      <w:marTop w:val="0"/>
      <w:marBottom w:val="0"/>
      <w:divBdr>
        <w:top w:val="none" w:sz="0" w:space="0" w:color="auto"/>
        <w:left w:val="none" w:sz="0" w:space="0" w:color="auto"/>
        <w:bottom w:val="none" w:sz="0" w:space="0" w:color="auto"/>
        <w:right w:val="none" w:sz="0" w:space="0" w:color="auto"/>
      </w:divBdr>
    </w:div>
    <w:div w:id="1353342034">
      <w:bodyDiv w:val="1"/>
      <w:marLeft w:val="0"/>
      <w:marRight w:val="0"/>
      <w:marTop w:val="0"/>
      <w:marBottom w:val="0"/>
      <w:divBdr>
        <w:top w:val="none" w:sz="0" w:space="0" w:color="auto"/>
        <w:left w:val="none" w:sz="0" w:space="0" w:color="auto"/>
        <w:bottom w:val="none" w:sz="0" w:space="0" w:color="auto"/>
        <w:right w:val="none" w:sz="0" w:space="0" w:color="auto"/>
      </w:divBdr>
    </w:div>
    <w:div w:id="1367636609">
      <w:bodyDiv w:val="1"/>
      <w:marLeft w:val="0"/>
      <w:marRight w:val="0"/>
      <w:marTop w:val="0"/>
      <w:marBottom w:val="0"/>
      <w:divBdr>
        <w:top w:val="none" w:sz="0" w:space="0" w:color="auto"/>
        <w:left w:val="none" w:sz="0" w:space="0" w:color="auto"/>
        <w:bottom w:val="none" w:sz="0" w:space="0" w:color="auto"/>
        <w:right w:val="none" w:sz="0" w:space="0" w:color="auto"/>
      </w:divBdr>
    </w:div>
    <w:div w:id="1428693161">
      <w:bodyDiv w:val="1"/>
      <w:marLeft w:val="0"/>
      <w:marRight w:val="0"/>
      <w:marTop w:val="0"/>
      <w:marBottom w:val="0"/>
      <w:divBdr>
        <w:top w:val="none" w:sz="0" w:space="0" w:color="auto"/>
        <w:left w:val="none" w:sz="0" w:space="0" w:color="auto"/>
        <w:bottom w:val="none" w:sz="0" w:space="0" w:color="auto"/>
        <w:right w:val="none" w:sz="0" w:space="0" w:color="auto"/>
      </w:divBdr>
    </w:div>
    <w:div w:id="1475635992">
      <w:bodyDiv w:val="1"/>
      <w:marLeft w:val="0"/>
      <w:marRight w:val="0"/>
      <w:marTop w:val="0"/>
      <w:marBottom w:val="0"/>
      <w:divBdr>
        <w:top w:val="none" w:sz="0" w:space="0" w:color="auto"/>
        <w:left w:val="none" w:sz="0" w:space="0" w:color="auto"/>
        <w:bottom w:val="none" w:sz="0" w:space="0" w:color="auto"/>
        <w:right w:val="none" w:sz="0" w:space="0" w:color="auto"/>
      </w:divBdr>
    </w:div>
    <w:div w:id="1498154973">
      <w:bodyDiv w:val="1"/>
      <w:marLeft w:val="0"/>
      <w:marRight w:val="0"/>
      <w:marTop w:val="0"/>
      <w:marBottom w:val="0"/>
      <w:divBdr>
        <w:top w:val="none" w:sz="0" w:space="0" w:color="auto"/>
        <w:left w:val="none" w:sz="0" w:space="0" w:color="auto"/>
        <w:bottom w:val="none" w:sz="0" w:space="0" w:color="auto"/>
        <w:right w:val="none" w:sz="0" w:space="0" w:color="auto"/>
      </w:divBdr>
    </w:div>
    <w:div w:id="1505585037">
      <w:bodyDiv w:val="1"/>
      <w:marLeft w:val="0"/>
      <w:marRight w:val="0"/>
      <w:marTop w:val="0"/>
      <w:marBottom w:val="0"/>
      <w:divBdr>
        <w:top w:val="none" w:sz="0" w:space="0" w:color="auto"/>
        <w:left w:val="none" w:sz="0" w:space="0" w:color="auto"/>
        <w:bottom w:val="none" w:sz="0" w:space="0" w:color="auto"/>
        <w:right w:val="none" w:sz="0" w:space="0" w:color="auto"/>
      </w:divBdr>
    </w:div>
    <w:div w:id="1508908734">
      <w:bodyDiv w:val="1"/>
      <w:marLeft w:val="0"/>
      <w:marRight w:val="0"/>
      <w:marTop w:val="0"/>
      <w:marBottom w:val="0"/>
      <w:divBdr>
        <w:top w:val="none" w:sz="0" w:space="0" w:color="auto"/>
        <w:left w:val="none" w:sz="0" w:space="0" w:color="auto"/>
        <w:bottom w:val="none" w:sz="0" w:space="0" w:color="auto"/>
        <w:right w:val="none" w:sz="0" w:space="0" w:color="auto"/>
      </w:divBdr>
    </w:div>
    <w:div w:id="1549141615">
      <w:bodyDiv w:val="1"/>
      <w:marLeft w:val="0"/>
      <w:marRight w:val="0"/>
      <w:marTop w:val="0"/>
      <w:marBottom w:val="0"/>
      <w:divBdr>
        <w:top w:val="none" w:sz="0" w:space="0" w:color="auto"/>
        <w:left w:val="none" w:sz="0" w:space="0" w:color="auto"/>
        <w:bottom w:val="none" w:sz="0" w:space="0" w:color="auto"/>
        <w:right w:val="none" w:sz="0" w:space="0" w:color="auto"/>
      </w:divBdr>
    </w:div>
    <w:div w:id="1583443333">
      <w:bodyDiv w:val="1"/>
      <w:marLeft w:val="0"/>
      <w:marRight w:val="0"/>
      <w:marTop w:val="0"/>
      <w:marBottom w:val="0"/>
      <w:divBdr>
        <w:top w:val="none" w:sz="0" w:space="0" w:color="auto"/>
        <w:left w:val="none" w:sz="0" w:space="0" w:color="auto"/>
        <w:bottom w:val="none" w:sz="0" w:space="0" w:color="auto"/>
        <w:right w:val="none" w:sz="0" w:space="0" w:color="auto"/>
      </w:divBdr>
    </w:div>
    <w:div w:id="1653948245">
      <w:bodyDiv w:val="1"/>
      <w:marLeft w:val="0"/>
      <w:marRight w:val="0"/>
      <w:marTop w:val="0"/>
      <w:marBottom w:val="0"/>
      <w:divBdr>
        <w:top w:val="none" w:sz="0" w:space="0" w:color="auto"/>
        <w:left w:val="none" w:sz="0" w:space="0" w:color="auto"/>
        <w:bottom w:val="none" w:sz="0" w:space="0" w:color="auto"/>
        <w:right w:val="none" w:sz="0" w:space="0" w:color="auto"/>
      </w:divBdr>
      <w:divsChild>
        <w:div w:id="914242770">
          <w:marLeft w:val="0"/>
          <w:marRight w:val="0"/>
          <w:marTop w:val="0"/>
          <w:marBottom w:val="0"/>
          <w:divBdr>
            <w:top w:val="none" w:sz="0" w:space="0" w:color="auto"/>
            <w:left w:val="none" w:sz="0" w:space="0" w:color="auto"/>
            <w:bottom w:val="none" w:sz="0" w:space="0" w:color="auto"/>
            <w:right w:val="none" w:sz="0" w:space="0" w:color="auto"/>
          </w:divBdr>
        </w:div>
      </w:divsChild>
    </w:div>
    <w:div w:id="1662275712">
      <w:bodyDiv w:val="1"/>
      <w:marLeft w:val="0"/>
      <w:marRight w:val="0"/>
      <w:marTop w:val="0"/>
      <w:marBottom w:val="0"/>
      <w:divBdr>
        <w:top w:val="none" w:sz="0" w:space="0" w:color="auto"/>
        <w:left w:val="none" w:sz="0" w:space="0" w:color="auto"/>
        <w:bottom w:val="none" w:sz="0" w:space="0" w:color="auto"/>
        <w:right w:val="none" w:sz="0" w:space="0" w:color="auto"/>
      </w:divBdr>
    </w:div>
    <w:div w:id="1666320869">
      <w:bodyDiv w:val="1"/>
      <w:marLeft w:val="0"/>
      <w:marRight w:val="0"/>
      <w:marTop w:val="0"/>
      <w:marBottom w:val="0"/>
      <w:divBdr>
        <w:top w:val="none" w:sz="0" w:space="0" w:color="auto"/>
        <w:left w:val="none" w:sz="0" w:space="0" w:color="auto"/>
        <w:bottom w:val="none" w:sz="0" w:space="0" w:color="auto"/>
        <w:right w:val="none" w:sz="0" w:space="0" w:color="auto"/>
      </w:divBdr>
      <w:divsChild>
        <w:div w:id="1438669730">
          <w:marLeft w:val="0"/>
          <w:marRight w:val="0"/>
          <w:marTop w:val="0"/>
          <w:marBottom w:val="0"/>
          <w:divBdr>
            <w:top w:val="none" w:sz="0" w:space="0" w:color="auto"/>
            <w:left w:val="none" w:sz="0" w:space="0" w:color="auto"/>
            <w:bottom w:val="none" w:sz="0" w:space="0" w:color="auto"/>
            <w:right w:val="none" w:sz="0" w:space="0" w:color="auto"/>
          </w:divBdr>
        </w:div>
      </w:divsChild>
    </w:div>
    <w:div w:id="1675063751">
      <w:bodyDiv w:val="1"/>
      <w:marLeft w:val="0"/>
      <w:marRight w:val="0"/>
      <w:marTop w:val="0"/>
      <w:marBottom w:val="0"/>
      <w:divBdr>
        <w:top w:val="none" w:sz="0" w:space="0" w:color="auto"/>
        <w:left w:val="none" w:sz="0" w:space="0" w:color="auto"/>
        <w:bottom w:val="none" w:sz="0" w:space="0" w:color="auto"/>
        <w:right w:val="none" w:sz="0" w:space="0" w:color="auto"/>
      </w:divBdr>
    </w:div>
    <w:div w:id="1686011727">
      <w:bodyDiv w:val="1"/>
      <w:marLeft w:val="0"/>
      <w:marRight w:val="0"/>
      <w:marTop w:val="0"/>
      <w:marBottom w:val="0"/>
      <w:divBdr>
        <w:top w:val="none" w:sz="0" w:space="0" w:color="auto"/>
        <w:left w:val="none" w:sz="0" w:space="0" w:color="auto"/>
        <w:bottom w:val="none" w:sz="0" w:space="0" w:color="auto"/>
        <w:right w:val="none" w:sz="0" w:space="0" w:color="auto"/>
      </w:divBdr>
    </w:div>
    <w:div w:id="1693918699">
      <w:bodyDiv w:val="1"/>
      <w:marLeft w:val="0"/>
      <w:marRight w:val="0"/>
      <w:marTop w:val="0"/>
      <w:marBottom w:val="0"/>
      <w:divBdr>
        <w:top w:val="none" w:sz="0" w:space="0" w:color="auto"/>
        <w:left w:val="none" w:sz="0" w:space="0" w:color="auto"/>
        <w:bottom w:val="none" w:sz="0" w:space="0" w:color="auto"/>
        <w:right w:val="none" w:sz="0" w:space="0" w:color="auto"/>
      </w:divBdr>
    </w:div>
    <w:div w:id="1715544234">
      <w:bodyDiv w:val="1"/>
      <w:marLeft w:val="0"/>
      <w:marRight w:val="0"/>
      <w:marTop w:val="0"/>
      <w:marBottom w:val="0"/>
      <w:divBdr>
        <w:top w:val="none" w:sz="0" w:space="0" w:color="auto"/>
        <w:left w:val="none" w:sz="0" w:space="0" w:color="auto"/>
        <w:bottom w:val="none" w:sz="0" w:space="0" w:color="auto"/>
        <w:right w:val="none" w:sz="0" w:space="0" w:color="auto"/>
      </w:divBdr>
    </w:div>
    <w:div w:id="1717267155">
      <w:bodyDiv w:val="1"/>
      <w:marLeft w:val="0"/>
      <w:marRight w:val="0"/>
      <w:marTop w:val="0"/>
      <w:marBottom w:val="0"/>
      <w:divBdr>
        <w:top w:val="none" w:sz="0" w:space="0" w:color="auto"/>
        <w:left w:val="none" w:sz="0" w:space="0" w:color="auto"/>
        <w:bottom w:val="none" w:sz="0" w:space="0" w:color="auto"/>
        <w:right w:val="none" w:sz="0" w:space="0" w:color="auto"/>
      </w:divBdr>
    </w:div>
    <w:div w:id="1734086081">
      <w:bodyDiv w:val="1"/>
      <w:marLeft w:val="0"/>
      <w:marRight w:val="0"/>
      <w:marTop w:val="0"/>
      <w:marBottom w:val="0"/>
      <w:divBdr>
        <w:top w:val="none" w:sz="0" w:space="0" w:color="auto"/>
        <w:left w:val="none" w:sz="0" w:space="0" w:color="auto"/>
        <w:bottom w:val="none" w:sz="0" w:space="0" w:color="auto"/>
        <w:right w:val="none" w:sz="0" w:space="0" w:color="auto"/>
      </w:divBdr>
    </w:div>
    <w:div w:id="1753577797">
      <w:bodyDiv w:val="1"/>
      <w:marLeft w:val="0"/>
      <w:marRight w:val="0"/>
      <w:marTop w:val="0"/>
      <w:marBottom w:val="0"/>
      <w:divBdr>
        <w:top w:val="none" w:sz="0" w:space="0" w:color="auto"/>
        <w:left w:val="none" w:sz="0" w:space="0" w:color="auto"/>
        <w:bottom w:val="none" w:sz="0" w:space="0" w:color="auto"/>
        <w:right w:val="none" w:sz="0" w:space="0" w:color="auto"/>
      </w:divBdr>
    </w:div>
    <w:div w:id="1757364261">
      <w:bodyDiv w:val="1"/>
      <w:marLeft w:val="0"/>
      <w:marRight w:val="0"/>
      <w:marTop w:val="0"/>
      <w:marBottom w:val="0"/>
      <w:divBdr>
        <w:top w:val="none" w:sz="0" w:space="0" w:color="auto"/>
        <w:left w:val="none" w:sz="0" w:space="0" w:color="auto"/>
        <w:bottom w:val="none" w:sz="0" w:space="0" w:color="auto"/>
        <w:right w:val="none" w:sz="0" w:space="0" w:color="auto"/>
      </w:divBdr>
    </w:div>
    <w:div w:id="1760248471">
      <w:bodyDiv w:val="1"/>
      <w:marLeft w:val="0"/>
      <w:marRight w:val="0"/>
      <w:marTop w:val="0"/>
      <w:marBottom w:val="0"/>
      <w:divBdr>
        <w:top w:val="none" w:sz="0" w:space="0" w:color="auto"/>
        <w:left w:val="none" w:sz="0" w:space="0" w:color="auto"/>
        <w:bottom w:val="none" w:sz="0" w:space="0" w:color="auto"/>
        <w:right w:val="none" w:sz="0" w:space="0" w:color="auto"/>
      </w:divBdr>
    </w:div>
    <w:div w:id="1794521467">
      <w:bodyDiv w:val="1"/>
      <w:marLeft w:val="0"/>
      <w:marRight w:val="0"/>
      <w:marTop w:val="0"/>
      <w:marBottom w:val="0"/>
      <w:divBdr>
        <w:top w:val="none" w:sz="0" w:space="0" w:color="auto"/>
        <w:left w:val="none" w:sz="0" w:space="0" w:color="auto"/>
        <w:bottom w:val="none" w:sz="0" w:space="0" w:color="auto"/>
        <w:right w:val="none" w:sz="0" w:space="0" w:color="auto"/>
      </w:divBdr>
    </w:div>
    <w:div w:id="1796361401">
      <w:bodyDiv w:val="1"/>
      <w:marLeft w:val="0"/>
      <w:marRight w:val="0"/>
      <w:marTop w:val="0"/>
      <w:marBottom w:val="0"/>
      <w:divBdr>
        <w:top w:val="none" w:sz="0" w:space="0" w:color="auto"/>
        <w:left w:val="none" w:sz="0" w:space="0" w:color="auto"/>
        <w:bottom w:val="none" w:sz="0" w:space="0" w:color="auto"/>
        <w:right w:val="none" w:sz="0" w:space="0" w:color="auto"/>
      </w:divBdr>
    </w:div>
    <w:div w:id="1797336555">
      <w:bodyDiv w:val="1"/>
      <w:marLeft w:val="0"/>
      <w:marRight w:val="0"/>
      <w:marTop w:val="0"/>
      <w:marBottom w:val="0"/>
      <w:divBdr>
        <w:top w:val="none" w:sz="0" w:space="0" w:color="auto"/>
        <w:left w:val="none" w:sz="0" w:space="0" w:color="auto"/>
        <w:bottom w:val="none" w:sz="0" w:space="0" w:color="auto"/>
        <w:right w:val="none" w:sz="0" w:space="0" w:color="auto"/>
      </w:divBdr>
    </w:div>
    <w:div w:id="1801652551">
      <w:bodyDiv w:val="1"/>
      <w:marLeft w:val="0"/>
      <w:marRight w:val="0"/>
      <w:marTop w:val="0"/>
      <w:marBottom w:val="0"/>
      <w:divBdr>
        <w:top w:val="none" w:sz="0" w:space="0" w:color="auto"/>
        <w:left w:val="none" w:sz="0" w:space="0" w:color="auto"/>
        <w:bottom w:val="none" w:sz="0" w:space="0" w:color="auto"/>
        <w:right w:val="none" w:sz="0" w:space="0" w:color="auto"/>
      </w:divBdr>
    </w:div>
    <w:div w:id="1848902030">
      <w:bodyDiv w:val="1"/>
      <w:marLeft w:val="0"/>
      <w:marRight w:val="0"/>
      <w:marTop w:val="0"/>
      <w:marBottom w:val="0"/>
      <w:divBdr>
        <w:top w:val="none" w:sz="0" w:space="0" w:color="auto"/>
        <w:left w:val="none" w:sz="0" w:space="0" w:color="auto"/>
        <w:bottom w:val="none" w:sz="0" w:space="0" w:color="auto"/>
        <w:right w:val="none" w:sz="0" w:space="0" w:color="auto"/>
      </w:divBdr>
    </w:div>
    <w:div w:id="1857500764">
      <w:bodyDiv w:val="1"/>
      <w:marLeft w:val="0"/>
      <w:marRight w:val="0"/>
      <w:marTop w:val="0"/>
      <w:marBottom w:val="0"/>
      <w:divBdr>
        <w:top w:val="none" w:sz="0" w:space="0" w:color="auto"/>
        <w:left w:val="none" w:sz="0" w:space="0" w:color="auto"/>
        <w:bottom w:val="none" w:sz="0" w:space="0" w:color="auto"/>
        <w:right w:val="none" w:sz="0" w:space="0" w:color="auto"/>
      </w:divBdr>
    </w:div>
    <w:div w:id="1913395173">
      <w:bodyDiv w:val="1"/>
      <w:marLeft w:val="0"/>
      <w:marRight w:val="0"/>
      <w:marTop w:val="0"/>
      <w:marBottom w:val="0"/>
      <w:divBdr>
        <w:top w:val="none" w:sz="0" w:space="0" w:color="auto"/>
        <w:left w:val="none" w:sz="0" w:space="0" w:color="auto"/>
        <w:bottom w:val="none" w:sz="0" w:space="0" w:color="auto"/>
        <w:right w:val="none" w:sz="0" w:space="0" w:color="auto"/>
      </w:divBdr>
    </w:div>
    <w:div w:id="1930045611">
      <w:bodyDiv w:val="1"/>
      <w:marLeft w:val="0"/>
      <w:marRight w:val="0"/>
      <w:marTop w:val="0"/>
      <w:marBottom w:val="0"/>
      <w:divBdr>
        <w:top w:val="none" w:sz="0" w:space="0" w:color="auto"/>
        <w:left w:val="none" w:sz="0" w:space="0" w:color="auto"/>
        <w:bottom w:val="none" w:sz="0" w:space="0" w:color="auto"/>
        <w:right w:val="none" w:sz="0" w:space="0" w:color="auto"/>
      </w:divBdr>
    </w:div>
    <w:div w:id="1937245909">
      <w:bodyDiv w:val="1"/>
      <w:marLeft w:val="0"/>
      <w:marRight w:val="0"/>
      <w:marTop w:val="0"/>
      <w:marBottom w:val="0"/>
      <w:divBdr>
        <w:top w:val="none" w:sz="0" w:space="0" w:color="auto"/>
        <w:left w:val="none" w:sz="0" w:space="0" w:color="auto"/>
        <w:bottom w:val="none" w:sz="0" w:space="0" w:color="auto"/>
        <w:right w:val="none" w:sz="0" w:space="0" w:color="auto"/>
      </w:divBdr>
    </w:div>
    <w:div w:id="1939481724">
      <w:bodyDiv w:val="1"/>
      <w:marLeft w:val="0"/>
      <w:marRight w:val="0"/>
      <w:marTop w:val="0"/>
      <w:marBottom w:val="0"/>
      <w:divBdr>
        <w:top w:val="none" w:sz="0" w:space="0" w:color="auto"/>
        <w:left w:val="none" w:sz="0" w:space="0" w:color="auto"/>
        <w:bottom w:val="none" w:sz="0" w:space="0" w:color="auto"/>
        <w:right w:val="none" w:sz="0" w:space="0" w:color="auto"/>
      </w:divBdr>
    </w:div>
    <w:div w:id="1949391198">
      <w:bodyDiv w:val="1"/>
      <w:marLeft w:val="0"/>
      <w:marRight w:val="0"/>
      <w:marTop w:val="0"/>
      <w:marBottom w:val="0"/>
      <w:divBdr>
        <w:top w:val="none" w:sz="0" w:space="0" w:color="auto"/>
        <w:left w:val="none" w:sz="0" w:space="0" w:color="auto"/>
        <w:bottom w:val="none" w:sz="0" w:space="0" w:color="auto"/>
        <w:right w:val="none" w:sz="0" w:space="0" w:color="auto"/>
      </w:divBdr>
    </w:div>
    <w:div w:id="1959677568">
      <w:bodyDiv w:val="1"/>
      <w:marLeft w:val="0"/>
      <w:marRight w:val="0"/>
      <w:marTop w:val="0"/>
      <w:marBottom w:val="0"/>
      <w:divBdr>
        <w:top w:val="none" w:sz="0" w:space="0" w:color="auto"/>
        <w:left w:val="none" w:sz="0" w:space="0" w:color="auto"/>
        <w:bottom w:val="none" w:sz="0" w:space="0" w:color="auto"/>
        <w:right w:val="none" w:sz="0" w:space="0" w:color="auto"/>
      </w:divBdr>
    </w:div>
    <w:div w:id="1973248253">
      <w:bodyDiv w:val="1"/>
      <w:marLeft w:val="0"/>
      <w:marRight w:val="0"/>
      <w:marTop w:val="0"/>
      <w:marBottom w:val="0"/>
      <w:divBdr>
        <w:top w:val="none" w:sz="0" w:space="0" w:color="auto"/>
        <w:left w:val="none" w:sz="0" w:space="0" w:color="auto"/>
        <w:bottom w:val="none" w:sz="0" w:space="0" w:color="auto"/>
        <w:right w:val="none" w:sz="0" w:space="0" w:color="auto"/>
      </w:divBdr>
    </w:div>
    <w:div w:id="2010672099">
      <w:bodyDiv w:val="1"/>
      <w:marLeft w:val="0"/>
      <w:marRight w:val="0"/>
      <w:marTop w:val="0"/>
      <w:marBottom w:val="0"/>
      <w:divBdr>
        <w:top w:val="none" w:sz="0" w:space="0" w:color="auto"/>
        <w:left w:val="none" w:sz="0" w:space="0" w:color="auto"/>
        <w:bottom w:val="none" w:sz="0" w:space="0" w:color="auto"/>
        <w:right w:val="none" w:sz="0" w:space="0" w:color="auto"/>
      </w:divBdr>
    </w:div>
    <w:div w:id="2022312752">
      <w:bodyDiv w:val="1"/>
      <w:marLeft w:val="0"/>
      <w:marRight w:val="0"/>
      <w:marTop w:val="0"/>
      <w:marBottom w:val="0"/>
      <w:divBdr>
        <w:top w:val="none" w:sz="0" w:space="0" w:color="auto"/>
        <w:left w:val="none" w:sz="0" w:space="0" w:color="auto"/>
        <w:bottom w:val="none" w:sz="0" w:space="0" w:color="auto"/>
        <w:right w:val="none" w:sz="0" w:space="0" w:color="auto"/>
      </w:divBdr>
    </w:div>
    <w:div w:id="2034115066">
      <w:bodyDiv w:val="1"/>
      <w:marLeft w:val="0"/>
      <w:marRight w:val="0"/>
      <w:marTop w:val="0"/>
      <w:marBottom w:val="0"/>
      <w:divBdr>
        <w:top w:val="none" w:sz="0" w:space="0" w:color="auto"/>
        <w:left w:val="none" w:sz="0" w:space="0" w:color="auto"/>
        <w:bottom w:val="none" w:sz="0" w:space="0" w:color="auto"/>
        <w:right w:val="none" w:sz="0" w:space="0" w:color="auto"/>
      </w:divBdr>
    </w:div>
    <w:div w:id="2101944418">
      <w:bodyDiv w:val="1"/>
      <w:marLeft w:val="0"/>
      <w:marRight w:val="0"/>
      <w:marTop w:val="0"/>
      <w:marBottom w:val="0"/>
      <w:divBdr>
        <w:top w:val="none" w:sz="0" w:space="0" w:color="auto"/>
        <w:left w:val="none" w:sz="0" w:space="0" w:color="auto"/>
        <w:bottom w:val="none" w:sz="0" w:space="0" w:color="auto"/>
        <w:right w:val="none" w:sz="0" w:space="0" w:color="auto"/>
      </w:divBdr>
    </w:div>
    <w:div w:id="2107920390">
      <w:bodyDiv w:val="1"/>
      <w:marLeft w:val="0"/>
      <w:marRight w:val="0"/>
      <w:marTop w:val="0"/>
      <w:marBottom w:val="0"/>
      <w:divBdr>
        <w:top w:val="none" w:sz="0" w:space="0" w:color="auto"/>
        <w:left w:val="none" w:sz="0" w:space="0" w:color="auto"/>
        <w:bottom w:val="none" w:sz="0" w:space="0" w:color="auto"/>
        <w:right w:val="none" w:sz="0" w:space="0" w:color="auto"/>
      </w:divBdr>
    </w:div>
    <w:div w:id="21347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hanshahloo@Leeds.ac.u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X.Cai7@liverpool.ac.uk"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sein\Downloads\TF_Template_Word_Windows_2016\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HSB14</b:Tag>
    <b:SourceType>Misc</b:SourceType>
    <b:Guid>{F9A69DE9-BE3B-41CC-9545-9AE1A7B95744}</b:Guid>
    <b:Title>HSBS Final Notice</b:Title>
    <b:Year>2014</b:Year>
    <b:CaseNumber>1114216</b:CaseNumber>
    <b:Month>November</b:Month>
    <b:Day>11</b:Day>
    <b:Author>
      <b:Author>
        <b:Corporate>Financial Conduct Authority</b:Corporate>
      </b:Author>
    </b:Author>
    <b:RefOrder>1</b:RefOrder>
  </b:Source>
  <b:Source>
    <b:Tag>Fin14</b:Tag>
    <b:SourceType>Misc</b:SourceType>
    <b:Guid>{97BC6B8B-BB12-4262-91A2-AE7D1ED77158}</b:Guid>
    <b:Author>
      <b:Author>
        <b:Corporate>Financial Conduct Authority</b:Corporate>
      </b:Author>
    </b:Author>
    <b:Title>Royal Bank of Scottland Plc Final Notice</b:Title>
    <b:Year>2014</b:Year>
    <b:Month>November</b:Month>
    <b:Day>19</b:Day>
    <b:RefOrder>2</b:RefOrder>
  </b:Source>
  <b:Source>
    <b:Tag>Fin141</b:Tag>
    <b:SourceType>Misc</b:SourceType>
    <b:Guid>{DBC039B9-4E1F-400B-819C-105492F0D8C9}</b:Guid>
    <b:Author>
      <b:Author>
        <b:Corporate>Financial Conduct Authority</b:Corporate>
      </b:Author>
    </b:Author>
    <b:Title>UBS AG Final Notice</b:Title>
    <b:Year>2014</b:Year>
    <b:Month>November</b:Month>
    <b:Day>11</b:Day>
    <b:RefOrder>3</b:RefOrder>
  </b:Source>
  <b:Source>
    <b:Tag>Fin142</b:Tag>
    <b:SourceType>Report</b:SourceType>
    <b:Guid>{5D4047E2-0AA4-48BF-8764-C5F3EF59F1FB}</b:Guid>
    <b:Title>Foreign Exchange Benchmarks</b:Title>
    <b:Year>2014</b:Year>
    <b:Author>
      <b:Author>
        <b:Corporate>Financial Stability Board</b:Corporate>
      </b:Author>
    </b:Author>
    <b:RefOrder>4</b:RefOrder>
  </b:Source>
  <b:Source>
    <b:Tag>Fin143</b:Tag>
    <b:SourceType>DocumentFromInternetSite</b:SourceType>
    <b:Guid>{3E4E42B2-1C92-4D60-A141-CFAF17FB2209}</b:Guid>
    <b:Title>Traders Boasted of Whacking FX Market</b:Title>
    <b:Year>2014</b:Year>
    <b:Author>
      <b:Author>
        <b:NameList>
          <b:Person>
            <b:Last>Finch</b:Last>
            <b:First>Gavin</b:First>
          </b:Person>
          <b:Person>
            <b:Last>Vaughan</b:Last>
            <b:First>Liam</b:First>
          </b:Person>
        </b:NameList>
      </b:Author>
    </b:Author>
    <b:InternetSiteTitle>Bloomber</b:InternetSiteTitle>
    <b:Month>November</b:Month>
    <b:Day>13</b:Day>
    <b:YearAccessed>2015</b:YearAccessed>
    <b:MonthAccessed>January</b:MonthAccessed>
    <b:DayAccessed>2</b:DayAccessed>
    <b:URL>http://www.bloomberg.com/news/articles/2014-11-13/-cartell-chat-room-traders-boasted-of-whacking-fx-market</b:URL>
    <b:RefOrder>5</b:RefOrder>
  </b:Source>
  <b:Source>
    <b:Tag>Tho14</b:Tag>
    <b:SourceType>DocumentFromInternetSite</b:SourceType>
    <b:Guid>{C73AE8A0-0AAD-4E7F-9043-44C25711B2AE}</b:Guid>
    <b:Title>Thomson Reuters Eikon For Foreign Exchange Professionals Who Seek More</b:Title>
    <b:InternetSiteTitle>Thomson Reuters</b:InternetSiteTitle>
    <b:Year>2014</b:Year>
    <b:Month>November</b:Month>
    <b:Day>3</b:Day>
    <b:YearAccessed>2015</b:YearAccessed>
    <b:MonthAccessed>February</b:MonthAccessed>
    <b:DayAccessed>6</b:DayAccessed>
    <b:Author>
      <b:Author>
        <b:Corporate>Thomson Reuters</b:Corporate>
      </b:Author>
    </b:Author>
    <b:URL>http://financial.thomsonreuters.com/content/dam/openweb/documents/pdf/financial/eikon-foreign-exchange.pdf</b:URL>
    <b:RefOrder>6</b:RefOrder>
  </b:Source>
  <b:Source>
    <b:Tag>RBS141</b:Tag>
    <b:SourceType>InternetSite</b:SourceType>
    <b:Guid>{4A05B4B7-3CFE-45A7-8649-9154435F221D}</b:Guid>
    <b:Title>RBS Market Place</b:Title>
    <b:InternetSiteTitle>Royal Bank of Scotland</b:InternetSiteTitle>
    <b:Year>2014</b:Year>
    <b:YearAccessed>2014</b:YearAccessed>
    <b:MonthAccessed>August</b:MonthAccessed>
    <b:URL>https://www.rbsm.com/psp/public/pagebuilder.aspx?page=rp8000&amp;video=fx-quote</b:URL>
    <b:RefOrder>7</b:RefOrder>
  </b:Source>
  <b:Source>
    <b:Tag>RBS14</b:Tag>
    <b:SourceType>InternetSite</b:SourceType>
    <b:Guid>{D7E1B92A-918C-49F6-A58F-D6256EAAF563}</b:Guid>
    <b:Title>RBS Market Place</b:Title>
    <b:InternetSiteTitle>Royal Bank of Scotland</b:InternetSiteTitle>
    <b:Year>2014</b:Year>
    <b:URL>https://www.rbsm.com/psp/public/pagebuilder.aspx?page=rp8000&amp;video=fx-stream</b:URL>
    <b:YearAccessed>2014</b:YearAccessed>
    <b:MonthAccessed>August</b:MonthAccessed>
    <b:RefOrder>8</b:RefOrder>
  </b:Source>
  <b:Source>
    <b:Tag>Tho13</b:Tag>
    <b:SourceType>Misc</b:SourceType>
    <b:Guid>{AA84EE43-BE15-4538-8084-0D3D7A9DD1A5}</b:Guid>
    <b:Title>Thomson Reuters - Tools of the Trade - Trading Foreign Exchanges</b:Title>
    <b:YearAccessed>2013</b:YearAccessed>
    <b:MonthAccessed>September</b:MonthAccessed>
    <b:DayAccessed>25</b:DayAccessed>
    <b:PublicationTitle>Thomson Reuter Eikon Training Video Series</b:PublicationTitle>
    <b:Author>
      <b:Author>
        <b:Corporate>Thomson Reuters</b:Corporate>
      </b:Author>
    </b:Author>
    <b:RefOrder>9</b:RefOrder>
  </b:Source>
  <b:Source>
    <b:Tag>Wil13</b:Tag>
    <b:SourceType>Misc</b:SourceType>
    <b:Guid>{2AD6560A-CB7D-4010-99AA-C7FEAF9D0E88}</b:Guid>
    <b:Title>The story of the Fix. How we got here, how to fix the fix, and how not to have to use it (for trading) in the first place</b:Title>
    <b:Year>2013</b:Year>
    <b:Month>November</b:Month>
    <b:Day>8</b:Day>
    <b:Publisher>Molton Markets Inc.</b:Publisher>
    <b:YearAccessed>2015</b:YearAccessed>
    <b:MonthAccessed>March</b:MonthAccessed>
    <b:DayAccessed>21</b:DayAccessed>
    <b:URL>http://moltenmarkets.com/resources/The-Fix-Molten-Markets-view.pdf</b:URL>
    <b:Author>
      <b:Author>
        <b:NameList>
          <b:Person>
            <b:Last>Willson-Taylor</b:Last>
            <b:First>Simon</b:First>
          </b:Person>
        </b:NameList>
      </b:Author>
    </b:Author>
    <b:Institution>Molton Markets Inc.</b:Institution>
    <b:RefOrder>10</b:RefOrder>
  </b:Source>
  <b:Source>
    <b:Tag>HMT15</b:Tag>
    <b:SourceType>DocumentFromInternetSite</b:SourceType>
    <b:Guid>{F69600E2-423F-42AB-87D1-DC15D4BFD760}</b:Guid>
    <b:Year>2015</b:Year>
    <b:YearAccessed>2015</b:YearAccessed>
    <b:MonthAccessed>June</b:MonthAccessed>
    <b:DayAccessed>1</b:DayAccessed>
    <b:URL>http://www.legislation.gov.uk/ukdsi/2015/9780111127629/pdfs/ukdsiem_9780111127629_en.pdf</b:URL>
    <b:Author>
      <b:Author>
        <b:Corporate>HM Treasury</b:Corporate>
      </b:Author>
    </b:Author>
    <b:InternetSiteTitle>Legislation UK</b:InternetSiteTitle>
    <b:RefOrder>11</b:RefOrder>
  </b:Source>
  <b:Source>
    <b:Tag>Wor15</b:Tag>
    <b:SourceType>DocumentFromInternetSite</b:SourceType>
    <b:Guid>{E7852203-1B2F-402D-B69A-1B191D39BCF9}</b:Guid>
    <b:Title>WM/Reuters Spot and Forward Rates Methodology Guide</b:Title>
    <b:Year>2015</b:Year>
    <b:Author>
      <b:Author>
        <b:Corporate>World Market Company</b:Corporate>
      </b:Author>
    </b:Author>
    <b:InternetSiteTitle>World Market Company</b:InternetSiteTitle>
    <b:YearAccessed>2015</b:YearAccessed>
    <b:MonthAccessed>April</b:MonthAccessed>
    <b:DayAccessed>1</b:DayAccessed>
    <b:URL>http://www.wmcompany.com/pdfs/WMReutersMethodology.pdf</b:URL>
    <b:Month>March</b:Month>
    <b:RefOrder>12</b:RefOrder>
  </b:Source>
  <b:Source>
    <b:Tag>Fin144</b:Tag>
    <b:SourceType>Misc</b:SourceType>
    <b:Guid>{45B9DF4E-7650-4D64-A015-10D744F12E94}</b:Guid>
    <b:Title>Citibank Final Notice</b:Title>
    <b:Year>2014</b:Year>
    <b:Author>
      <b:Author>
        <b:Corporate>Financial Conduct Authority</b:Corporate>
      </b:Author>
    </b:Author>
    <b:Month>November</b:Month>
    <b:Day>11</b:Day>
    <b:RefOrder>13</b:RefOrder>
  </b:Source>
  <b:Source>
    <b:Tag>Bra14</b:Tag>
    <b:SourceType>InternetSite</b:SourceType>
    <b:Guid>{AB28204B-B701-4E2E-B2BD-61AC5C8F0630}</b:Guid>
    <b:Title>Bank of New York Mellon Fires Currency Trader After Internal Review</b:Title>
    <b:Year>2014</b:Year>
    <b:Month>November</b:Month>
    <b:Day>26</b:Day>
    <b:Author>
      <b:Author>
        <b:NameList>
          <b:Person>
            <b:Last>Bray</b:Last>
            <b:First>Chad</b:First>
          </b:Person>
        </b:NameList>
      </b:Author>
    </b:Author>
    <b:YearAccessed>2015</b:YearAccessed>
    <b:MonthAccessed>Jan</b:MonthAccessed>
    <b:DayAccessed>14</b:DayAccessed>
    <b:URL>http://dealbook.nytimes.com/2014/11/26/bank-of-new-york-mellon-fires-currency-trader-after-internal-review/?_r=0</b:URL>
    <b:RefOrder>14</b:RefOrder>
  </b:Source>
  <b:Source>
    <b:Tag>McL15</b:Tag>
    <b:SourceType>DocumentFromInternetSite</b:SourceType>
    <b:Guid>{E92C6B46-0106-4AD2-A91A-D76E7AA3D53C}</b:Guid>
    <b:Title>Six Banks Pay $5.8 Billion, Five Guilty of Market Rigging</b:Title>
    <b:Year>2015</b:Year>
    <b:Month>May</b:Month>
    <b:Day>20</b:Day>
    <b:YearAccessed>2015</b:YearAccessed>
    <b:MonthAccessed>May</b:MonthAccessed>
    <b:DayAccessed>21</b:DayAccessed>
    <b:URL>http://www.bloomberg.com/news/articles/2015-05-20/six-banks-pay-5-8-billion-five-plead-guilty-to-market-rigging</b:URL>
    <b:Author>
      <b:Author>
        <b:NameList>
          <b:Person>
            <b:Last>McLaughlin</b:Last>
            <b:First>David</b:First>
          </b:Person>
          <b:Person>
            <b:Last>Schoenberg</b:Last>
            <b:First>Tom</b:First>
          </b:Person>
          <b:Person>
            <b:Last>Finch</b:Last>
            <b:First>Gavin</b:First>
          </b:Person>
        </b:NameList>
      </b:Author>
    </b:Author>
    <b:InternetSiteTitle>Bloomberg</b:InternetSiteTitle>
    <b:RefOrder>15</b:RefOrder>
  </b:Source>
  <b:Source>
    <b:Tag>Sch141</b:Tag>
    <b:SourceType>DocumentFromInternetSite</b:SourceType>
    <b:Guid>{FE2D5A98-963D-4676-865A-6A2A56337127}</b:Guid>
    <b:Title>Commerzbank fires one forex trader and suspends another - sources</b:Title>
    <b:InternetSiteTitle>Reuters</b:InternetSiteTitle>
    <b:Year>2014</b:Year>
    <b:Month>May</b:Month>
    <b:Day>21</b:Day>
    <b:YearAccessed>2015</b:YearAccessed>
    <b:MonthAccessed>May</b:MonthAccessed>
    <b:DayAccessed>25</b:DayAccessed>
    <b:URL>http://uk.reuters.com/article/2014/05/21/uk-commerzbank-forex-idUKKBN0E111720140521</b:URL>
    <b:Author>
      <b:Author>
        <b:NameList>
          <b:Person>
            <b:Last>Schuetze</b:Last>
            <b:First>Arno</b:First>
          </b:Person>
          <b:Person>
            <b:Last>McGeever</b:Last>
            <b:First>Jamie</b:First>
          </b:Person>
        </b:NameList>
      </b:Author>
    </b:Author>
    <b:RefOrder>16</b:RefOrder>
  </b:Source>
  <b:Source>
    <b:Tag>Van14</b:Tag>
    <b:SourceType>DocumentFromInternetSite</b:SourceType>
    <b:Guid>{4689E0BC-AC4E-4A89-B882-1EC0900F9D6D}</b:Guid>
    <b:Title>Rabobank Suspends Two London Currency Traders After Probe</b:Title>
    <b:InternetSiteTitle>Bloomberg</b:InternetSiteTitle>
    <b:Year>2014</b:Year>
    <b:Month>October</b:Month>
    <b:Day>7</b:Day>
    <b:YearAccessed>2015</b:YearAccessed>
    <b:MonthAccessed>May</b:MonthAccessed>
    <b:DayAccessed>6</b:DayAccessed>
    <b:URL>http://www.bloomberg.com/news/articles/2014-10-07/rabobank-suspends-two-london-currency-traders-after-probe</b:URL>
    <b:Author>
      <b:Author>
        <b:NameList>
          <b:Person>
            <b:Last>Van Gaal</b:Last>
            <b:First>Maud</b:First>
          </b:Person>
          <b:Person>
            <b:Last>Choudhury</b:Last>
            <b:First>Ambereen</b:First>
          </b:Person>
        </b:NameList>
      </b:Author>
    </b:Author>
    <b:RefOrder>17</b:RefOrder>
  </b:Source>
  <b:Source>
    <b:Tag>Sak15</b:Tag>
    <b:SourceType>DocumentFromInternetSite</b:SourceType>
    <b:Guid>{752FCDF7-CCA7-429D-B695-1B7EDCE06410}</b:Guid>
    <b:Title>New York State regulator investigates major banks for FX rigging</b:Title>
    <b:InternetSiteTitle>LeapRate</b:InternetSiteTitle>
    <b:Year>2015</b:Year>
    <b:Month>March</b:Month>
    <b:Day>2</b:Day>
    <b:YearAccessed>2015</b:YearAccessed>
    <b:MonthAccessed>March</b:MonthAccessed>
    <b:DayAccessed>15</b:DayAccessed>
    <b:URL>http://leaprate.com/2015/03/new-york-state-regulator-investigates-major-banks-for-fx-rigging/</b:URL>
    <b:Author>
      <b:Author>
        <b:NameList>
          <b:Person>
            <b:Last>Saks-McLeod</b:Last>
            <b:First>Andrew</b:First>
          </b:Person>
        </b:NameList>
      </b:Author>
    </b:Author>
    <b:RefOrder>18</b:RefOrder>
  </b:Source>
  <b:Source>
    <b:Tag>McG14</b:Tag>
    <b:SourceType>DocumentFromInternetSite</b:SourceType>
    <b:Guid>{1AC6EC5C-A562-48BE-884D-428EF7B3CFCA}</b:Guid>
    <b:Title>Exclusive - FX chatrooms show traders shared order, price details: sources</b:Title>
    <b:InternetSiteTitle>Reuters</b:InternetSiteTitle>
    <b:Year>2014</b:Year>
    <b:Month>June</b:Month>
    <b:Day>19</b:Day>
    <b:YearAccessed>2015</b:YearAccessed>
    <b:MonthAccessed>June</b:MonthAccessed>
    <b:DayAccessed>27</b:DayAccessed>
    <b:URL>http://uk.reuters.com/article/2014/06/19/uk-fx-investigation-idUKKBN0EU1GH20140619</b:URL>
    <b:Author>
      <b:Author>
        <b:NameList>
          <b:Person>
            <b:Last>McGeever</b:Last>
            <b:First>Jamie</b:First>
          </b:Person>
        </b:NameList>
      </b:Author>
    </b:Author>
    <b:RefOrder>19</b:RefOrder>
  </b:Source>
  <b:Source>
    <b:Tag>Ahm14</b:Tag>
    <b:SourceType>DocumentFromInternetSite</b:SourceType>
    <b:Guid>{024F9459-8546-45A6-B09F-4185EDF7FD5C}</b:Guid>
    <b:Title>RBS boss admits – I cringed when I read forex chat room messages</b:Title>
    <b:InternetSiteTitle>BBC</b:InternetSiteTitle>
    <b:Year>2014</b:Year>
    <b:Month>November</b:Month>
    <b:Day>12</b:Day>
    <b:YearAccessed>2014</b:YearAccessed>
    <b:MonthAccessed>December</b:MonthAccessed>
    <b:DayAccessed>10</b:DayAccessed>
    <b:URL>http://www.bbc.co.uk/news/business-30027544</b:URL>
    <b:Author>
      <b:Author>
        <b:NameList>
          <b:Person>
            <b:Last>Ahmed</b:Last>
            <b:First>Kamal</b:First>
          </b:Person>
        </b:NameList>
      </b:Author>
    </b:Author>
    <b:RefOrder>20</b:RefOrder>
  </b:Source>
  <b:Source>
    <b:Tag>Fin08</b:Tag>
    <b:SourceType>DocumentFromInternetSite</b:SourceType>
    <b:Guid>{57A46422-0FD4-4621-B35F-2F1A97D38C77}</b:Guid>
    <b:Author>
      <b:Author>
        <b:Corporate>Financial Services Auhority</b:Corporate>
      </b:Author>
    </b:Author>
    <b:InternetSiteTitle>Financial Conduct Authority</b:InternetSiteTitle>
    <b:Year>2008</b:Year>
    <b:Month>June</b:Month>
    <b:YearAccessed>2015</b:YearAccessed>
    <b:MonthAccessed>June</b:MonthAccessed>
    <b:DayAccessed>28</b:DayAccessed>
    <b:URL>https://www.fca.org.uk/static/documents/fsa-market-abuse-factsheet.pdf</b:URL>
    <b:Title>Market Abuse Factsheet</b:Title>
    <b:RefOrder>21</b:RefOrder>
  </b:Source>
  <b:Source>
    <b:Tag>Fin15</b:Tag>
    <b:SourceType>DocumentFromInternetSite</b:SourceType>
    <b:Guid>{67A98747-8ACD-47A5-89A9-1D452C7F1DE6}</b:Guid>
    <b:InternetSiteTitle>Bloomberg</b:InternetSiteTitle>
    <b:Year>2015</b:Year>
    <b:Month>February</b:Month>
    <b:Day>26</b:Day>
    <b:YearAccessed>2015</b:YearAccessed>
    <b:MonthAccessed>March</b:MonthAccessed>
    <b:DayAccessed>1</b:DayAccessed>
    <b:URL>http://www.bloomberg.com/news/articles/2015-02-26/rbs-said-to-suspend-deputy-head-of-markets-in-currency-inquiry</b:URL>
    <b:Author>
      <b:Author>
        <b:NameList>
          <b:Person>
            <b:Last>Finch</b:Last>
            <b:First>Gavin</b:First>
          </b:Person>
          <b:Person>
            <b:Last>Fowler</b:Last>
            <b:First>Bria</b:First>
          </b:Person>
        </b:NameList>
      </b:Author>
    </b:Author>
    <b:Title>RBS Said to Suspend Deputy Head of Markets in Currency Probe</b:Title>
    <b:RefOrder>22</b:RefOrder>
  </b:Source>
  <b:Source>
    <b:Tag>Par15</b:Tag>
    <b:SourceType>DocumentFromInternetSite</b:SourceType>
    <b:Guid>{324DF48B-D6D1-4C8F-BB9F-3812401BD03D}</b:Guid>
    <b:InternetSiteTitle>Bloomberg</b:InternetSiteTitle>
    <b:Year>2015</b:Year>
    <b:Month>February</b:Month>
    <b:Day>26</b:Day>
    <b:YearAccessed>2015</b:YearAccessed>
    <b:MonthAccessed>March</b:MonthAccessed>
    <b:DayAccessed>3</b:DayAccessed>
    <b:URL>http://www.bloomberg.com/news/articles/2015-02-26/rbs-to-cut-more-than-1-000-jobs-at-u-s-trading-unit-cfo-says</b:URL>
    <b:Author>
      <b:Author>
        <b:NameList>
          <b:Person>
            <b:Last>Partington</b:Last>
            <b:First>Richard</b:First>
          </b:Person>
        </b:NameList>
      </b:Author>
    </b:Author>
    <b:Title>RBS to Cut More Than 1,000 Jobs at U.S. Trading Unit, CFO Says</b:Title>
    <b:RefOrder>23</b:RefOrder>
  </b:Source>
  <b:Source>
    <b:Tag>Rin14</b:Tag>
    <b:SourceType>DocumentFromInternetSite</b:SourceType>
    <b:Guid>{CDAB0641-27E8-4011-870C-9803B837D5AF}</b:Guid>
    <b:InternetSiteTitle>Bloomberg</b:InternetSiteTitle>
    <b:Year>2014</b:Year>
    <b:Month>November</b:Month>
    <b:Day>12</b:Day>
    <b:YearAccessed>2015</b:YearAccessed>
    <b:MonthAccessed>April</b:MonthAccessed>
    <b:DayAccessed>3</b:DayAccessed>
    <b:URL>http://www.bloomberg.com/news/articles/2014-11-12/banks-to-pay-3-3-billion-in-fx-manipulation-probe</b:URL>
    <b:Author>
      <b:Author>
        <b:NameList>
          <b:Person>
            <b:Last>Ring</b:Last>
            <b:First>Suzi</b:First>
          </b:Person>
          <b:Person>
            <b:Last>Vaughan</b:Last>
            <b:First>Liam</b:First>
          </b:Person>
        </b:NameList>
      </b:Author>
    </b:Author>
    <b:Title>Citigroup, JPMorgan Pay Most in $4.3 Billion FX Rig Cases</b:Title>
    <b:RefOrder>24</b:RefOrder>
  </b:Source>
  <b:Source>
    <b:Tag>Vau14</b:Tag>
    <b:SourceType>DocumentFromInternetSite</b:SourceType>
    <b:Guid>{D08A3077-47FA-4A8C-BF2A-9A31FA404236}</b:Guid>
    <b:InternetSiteTitle>Bloomberg</b:InternetSiteTitle>
    <b:Year>2014</b:Year>
    <b:Month>November</b:Month>
    <b:Day>12</b:Day>
    <b:YearAccessed>2015</b:YearAccessed>
    <b:MonthAccessed>April</b:MonthAccessed>
    <b:DayAccessed>3</b:DayAccessed>
    <b:URL>http://www.bloomberg.com/news/articles/2014-11-12/boe-chief-currency-dealer-fired-after-not-reporting-risks</b:URL>
    <b:Author>
      <b:Author>
        <b:NameList>
          <b:Person>
            <b:Last>Vaughan</b:Last>
            <b:First>Liam</b:First>
          </b:Person>
          <b:Person>
            <b:Last>Hamilton</b:Last>
            <b:First>Scott</b:First>
          </b:Person>
        </b:NameList>
      </b:Author>
    </b:Author>
    <b:Title>BOE Chief FX Dealer Fired as Probe Faults Non-Escalation</b:Title>
    <b:RefOrder>25</b:RefOrder>
  </b:Source>
  <b:Source>
    <b:Tag>Goo97</b:Tag>
    <b:SourceType>JournalArticle</b:SourceType>
    <b:Guid>{DE70F91C-9F68-4A63-A2B4-15CD4AFEA51B}</b:Guid>
    <b:Title>High frequency data in financial markets: Issues and applications</b:Title>
    <b:Year>1997</b:Year>
    <b:JournalName>Journal of Emprical Finance</b:JournalName>
    <b:Pages>73-114</b:Pages>
    <b:Author>
      <b:Author>
        <b:NameList>
          <b:Person>
            <b:Last>Goodhart</b:Last>
            <b:Middle>A.E.</b:Middle>
            <b:First>Charles</b:First>
          </b:Person>
          <b:Person>
            <b:Last>O'Hara</b:Last>
            <b:First>Maureen</b:First>
          </b:Person>
        </b:NameList>
      </b:Author>
    </b:Author>
    <b:Issue>4</b:Issue>
    <b:RefOrder>26</b:RefOrder>
  </b:Source>
  <b:Source>
    <b:Tag>Mar98</b:Tag>
    <b:SourceType>JournalArticle</b:SourceType>
    <b:Guid>{2BB4339E-C395-41F3-AD43-CD154388155F}</b:Guid>
    <b:Title>The inefficiency of Reuters foreign exchange quotes</b:Title>
    <b:JournalName>Journal of Banking and Finance</b:JournalName>
    <b:Year>1998</b:Year>
    <b:Pages>347-366</b:Pages>
    <b:Author>
      <b:Author>
        <b:NameList>
          <b:Person>
            <b:Last>Martens</b:Last>
            <b:First>Martin</b:First>
          </b:Person>
          <b:Person>
            <b:Last>Kofman</b:Last>
            <b:First>Paul</b:First>
          </b:Person>
        </b:NameList>
      </b:Author>
    </b:Author>
    <b:Volume>22</b:Volume>
    <b:Issue>3</b:Issue>
    <b:RefOrder>27</b:RefOrder>
  </b:Source>
  <b:Source>
    <b:Tag>Vau13</b:Tag>
    <b:SourceType>DocumentFromInternetSite</b:SourceType>
    <b:Guid>{994CA8BC-55F9-45BF-AC52-8CD928FBBEE4}</b:Guid>
    <b:Title>Traders Said to Rig Currency Rates to Profit Off Clients</b:Title>
    <b:InternetSiteTitle>Bloomberg</b:InternetSiteTitle>
    <b:Year>2013</b:Year>
    <b:Month>June</b:Month>
    <b:Day>12</b:Day>
    <b:URL>http://www.bloomberg.com/news/articles/2013-06-11/traders-said-to-rig-currency-rates-to-profit-off-clients</b:URL>
    <b:Author>
      <b:Author>
        <b:NameList>
          <b:Person>
            <b:Last>Vaughan</b:Last>
            <b:First>Liam</b:First>
          </b:Person>
          <b:Person>
            <b:Last>Finch</b:Last>
            <b:First>Gavin</b:First>
          </b:Person>
          <b:Person>
            <b:Last>Choudhury</b:Last>
            <b:First>Ambereen</b:First>
          </b:Person>
        </b:NameList>
      </b:Author>
    </b:Author>
    <b:YearAccessed>2015</b:YearAccessed>
    <b:MonthAccessed>June</b:MonthAccessed>
    <b:DayAccessed>6</b:DayAccessed>
    <b:RefOrder>28</b:RefOrder>
  </b:Source>
  <b:Source>
    <b:Tag>Ris11</b:Tag>
    <b:SourceType>InternetSite</b:SourceType>
    <b:Guid>{D0D80C54-BFAF-439C-A93B-0386A2F65A82}</b:Guid>
    <b:Title>Euromoney</b:Title>
    <b:Year>2011</b:Year>
    <b:YearAccessed>2015</b:YearAccessed>
    <b:MonthAccessed>June</b:MonthAccessed>
    <b:DayAccessed>25</b:DayAccessed>
    <b:URL>http://www.euromoney.com/Article/2913198/Bloomberg-challenges-FX-multi-dealer-incumbents.html</b:URL>
    <b:Author>
      <b:Author>
        <b:NameList>
          <b:Person>
            <b:Last>Risk</b:Last>
            <b:First>Hamish</b:First>
          </b:Person>
        </b:NameList>
      </b:Author>
    </b:Author>
    <b:RefOrder>29</b:RefOrder>
  </b:Source>
  <b:Source>
    <b:Tag>Rim13</b:Tag>
    <b:SourceType>Misc</b:SourceType>
    <b:Guid>{CF4206D0-909C-4DA2-B4CD-ECCC72FC3EDB}</b:Guid>
    <b:Year>2013</b:Year>
    <b:Month>December</b:Month>
    <b:Publisher>Bank for International Settlement</b:Publisher>
    <b:Author>
      <b:Author>
        <b:NameList>
          <b:Person>
            <b:Last>Rime</b:Last>
            <b:First>Dagfinn</b:First>
          </b:Person>
          <b:Person>
            <b:Last>Schrimpf</b:Last>
            <b:First>Andreas</b:First>
          </b:Person>
        </b:NameList>
      </b:Author>
    </b:Author>
    <b:PublicationTitle>The anatomy of the global FX market through the lens of the 2013 Triennial Survey</b:PublicationTitle>
    <b:RefOrder>30</b:RefOrder>
  </b:Source>
  <b:Source>
    <b:Tag>Ban11</b:Tag>
    <b:SourceType>Report</b:SourceType>
    <b:Guid>{71D8C7A6-5D05-42ED-A332-1672AA3008D4}</b:Guid>
    <b:Title>High-frequency trading in the foreign exchange market</b:Title>
    <b:Year>2011</b:Year>
    <b:Publisher>Bank For International Settlements</b:Publisher>
    <b:Author>
      <b:Author>
        <b:Corporate>Bank For International Settlements</b:Corporate>
      </b:Author>
    </b:Author>
    <b:YearAccessed>2015</b:YearAccessed>
    <b:MonthAccessed>July</b:MonthAccessed>
    <b:DayAccessed>6</b:DayAccessed>
    <b:URL>http://www.bis.org/publ/mktc05.pdf</b:URL>
    <b:RefOrder>31</b:RefOrder>
  </b:Source>
  <b:Source>
    <b:Tag>UKG15</b:Tag>
    <b:SourceType>Misc</b:SourceType>
    <b:Guid>{42A7D493-345C-4DD5-BD7C-189DC4A3DD7B}</b:Guid>
    <b:Title>Fin Tech Futures The UK as a World Leader in Financial Technologies</b:Title>
    <b:Year>2015</b:Year>
    <b:Author>
      <b:Author>
        <b:Corporate>Government Office for Science</b:Corporate>
      </b:Author>
    </b:Author>
    <b:URL>https://www.gov.uk/government/uploads/system/uploads/attachment_data/file/413095/gs-15-3-fintech-futures.pdf</b:URL>
    <b:YearAccessed>2015</b:YearAccessed>
    <b:MonthAccessed>July</b:MonthAccessed>
    <b:DayAccessed>2</b:DayAccessed>
    <b:RefOrder>32</b:RefOrder>
  </b:Source>
  <b:Source>
    <b:Tag>Cab091</b:Tag>
    <b:SourceType>JournalArticle</b:SourceType>
    <b:Guid>{843041A7-54DF-4585-A026-A71C2F0753E7}</b:Guid>
    <b:Title>Do futures lead price discovery in electronic foreign exchange markets?</b:Title>
    <b:Year>2009</b:Year>
    <b:JournalName>Journal of Futures Markets</b:JournalName>
    <b:Pages>137-156</b:Pages>
    <b:Author>
      <b:Author>
        <b:NameList>
          <b:Person>
            <b:Last>Cabrera</b:Last>
            <b:First>Juan</b:First>
          </b:Person>
          <b:Person>
            <b:Last>Wang</b:Last>
            <b:First>Tao</b:First>
          </b:Person>
          <b:Person>
            <b:Last>Yang</b:Last>
            <b:First>Jian</b:First>
          </b:Person>
        </b:NameList>
      </b:Author>
    </b:Author>
    <b:Volume>29</b:Volume>
    <b:Issue>2</b:Issue>
    <b:RefOrder>33</b:RefOrder>
  </b:Source>
  <b:Source>
    <b:Tag>Blo15</b:Tag>
    <b:SourceType>DocumentFromInternetSite</b:SourceType>
    <b:Guid>{320DABD6-8C4C-406C-8092-8280CFEA9FF1}</b:Guid>
    <b:Title>Forex Investigation a Global Affair</b:Title>
    <b:Year>2015</b:Year>
    <b:Author>
      <b:Author>
        <b:Corporate>Bloomberg</b:Corporate>
      </b:Author>
    </b:Author>
    <b:InternetSiteTitle>Bloomberg Visual Data</b:InternetSiteTitle>
    <b:Month>May</b:Month>
    <b:Day>20</b:Day>
    <b:URL>http://www.bloomberg.com/infographics/2014-08-13/forex-investigation-a-global-affair.html</b:URL>
    <b:YearAccessed>2015</b:YearAccessed>
    <b:MonthAccessed>July</b:MonthAccessed>
    <b:DayAccessed>6</b:DayAccessed>
    <b:RefOrder>34</b:RefOrder>
  </b:Source>
  <b:Source>
    <b:Tag>Ede95</b:Tag>
    <b:SourceType>JournalArticle</b:SourceType>
    <b:Guid>{CB2EE7F0-9578-4313-BBE3-3EC4A2D211A1}</b:Guid>
    <b:Title>The Short-Run Dynamics of the Price Adjustment to New Information</b:Title>
    <b:Year>1995</b:Year>
    <b:JournalName>JOURNAL OF FINANCIAL AND QUANTITATIVE ANALYSIS</b:JournalName>
    <b:Pages>117-134</b:Pages>
    <b:Volume>30</b:Volume>
    <b:Issue>1</b:Issue>
    <b:Author>
      <b:Author>
        <b:NameList>
          <b:Person>
            <b:Last>Ederington</b:Last>
            <b:Middle>H.</b:Middle>
            <b:First>Louis</b:First>
          </b:Person>
          <b:Person>
            <b:Last>Lee</b:Last>
            <b:Middle>Ha</b:Middle>
            <b:First>Jae</b:First>
          </b:Person>
        </b:NameList>
      </b:Author>
    </b:Author>
    <b:RefOrder>35</b:RefOrder>
  </b:Source>
</b:Sources>
</file>

<file path=customXml/itemProps1.xml><?xml version="1.0" encoding="utf-8"?>
<ds:datastoreItem xmlns:ds="http://schemas.openxmlformats.org/officeDocument/2006/customXml" ds:itemID="{344522EA-FC6E-436A-BAD2-E1228C02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42</Pages>
  <Words>10631</Words>
  <Characters>60598</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Hossein Jahanshahloo</dc:creator>
  <cp:keywords/>
  <dc:description/>
  <cp:lastModifiedBy>Hossein Jahanshahloo</cp:lastModifiedBy>
  <cp:revision>3</cp:revision>
  <cp:lastPrinted>2018-06-08T10:15:00Z</cp:lastPrinted>
  <dcterms:created xsi:type="dcterms:W3CDTF">2018-11-27T13:44:00Z</dcterms:created>
  <dcterms:modified xsi:type="dcterms:W3CDTF">2018-11-27T13:46:00Z</dcterms:modified>
</cp:coreProperties>
</file>