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5E248" w14:textId="5E08848F" w:rsidR="00D92BA4" w:rsidRPr="00D27DAA" w:rsidRDefault="00D92BA4" w:rsidP="003237A3">
      <w:pPr>
        <w:rPr>
          <w:rFonts w:ascii="Times New Roman" w:hAnsi="Times New Roman" w:cs="Times New Roman"/>
        </w:rPr>
      </w:pPr>
      <w:bookmarkStart w:id="0" w:name="_Hlk514948181"/>
      <w:r w:rsidRPr="00D27DAA">
        <w:rPr>
          <w:rFonts w:ascii="Times New Roman" w:hAnsi="Times New Roman" w:cs="Times New Roman"/>
        </w:rPr>
        <w:t xml:space="preserve">Small Modular High Temperature Reactor Optimisation </w:t>
      </w:r>
      <w:bookmarkEnd w:id="0"/>
      <w:r w:rsidRPr="00D27DAA">
        <w:rPr>
          <w:rFonts w:ascii="Times New Roman" w:hAnsi="Times New Roman" w:cs="Times New Roman"/>
        </w:rPr>
        <w:t>Part 2:</w:t>
      </w:r>
    </w:p>
    <w:p w14:paraId="4B5D50CF" w14:textId="48478C15" w:rsidR="00E937B2" w:rsidRPr="00D27DAA" w:rsidRDefault="006D7A9C" w:rsidP="003237A3">
      <w:pPr>
        <w:rPr>
          <w:rFonts w:ascii="Times New Roman" w:hAnsi="Times New Roman" w:cs="Times New Roman"/>
        </w:rPr>
      </w:pPr>
      <w:r w:rsidRPr="00D27DAA">
        <w:rPr>
          <w:rFonts w:ascii="Times New Roman" w:hAnsi="Times New Roman" w:cs="Times New Roman"/>
        </w:rPr>
        <w:t xml:space="preserve">Reactivity control for </w:t>
      </w:r>
      <w:r w:rsidR="001D3F25" w:rsidRPr="00D27DAA">
        <w:rPr>
          <w:rFonts w:ascii="Times New Roman" w:hAnsi="Times New Roman" w:cs="Times New Roman"/>
        </w:rPr>
        <w:t xml:space="preserve">prismatic core </w:t>
      </w:r>
      <w:r w:rsidRPr="00D27DAA">
        <w:rPr>
          <w:rFonts w:ascii="Times New Roman" w:hAnsi="Times New Roman" w:cs="Times New Roman"/>
        </w:rPr>
        <w:t xml:space="preserve">high temperature small modular </w:t>
      </w:r>
      <w:r w:rsidR="001D3F25" w:rsidRPr="00D27DAA">
        <w:rPr>
          <w:rFonts w:ascii="Times New Roman" w:hAnsi="Times New Roman" w:cs="Times New Roman"/>
        </w:rPr>
        <w:t>reactor, including fixed burnable poisons, spectrum hardening and control rods.</w:t>
      </w:r>
    </w:p>
    <w:p w14:paraId="55F1F675" w14:textId="42E99A3A" w:rsidR="00E937B2" w:rsidRPr="00D27DAA" w:rsidRDefault="00E937B2" w:rsidP="003237A3">
      <w:pPr>
        <w:rPr>
          <w:rFonts w:ascii="Times New Roman" w:hAnsi="Times New Roman" w:cs="Times New Roman"/>
        </w:rPr>
      </w:pPr>
      <w:proofErr w:type="spellStart"/>
      <w:proofErr w:type="gramStart"/>
      <w:r w:rsidRPr="00D27DAA">
        <w:rPr>
          <w:rFonts w:ascii="Times New Roman" w:hAnsi="Times New Roman" w:cs="Times New Roman"/>
        </w:rPr>
        <w:t>S.Atkinson</w:t>
      </w:r>
      <w:r w:rsidR="001D0E4B" w:rsidRPr="00D27DAA">
        <w:rPr>
          <w:rFonts w:ascii="Times New Roman" w:hAnsi="Times New Roman" w:cs="Times New Roman"/>
          <w:vertAlign w:val="superscript"/>
        </w:rPr>
        <w:t>a</w:t>
      </w:r>
      <w:proofErr w:type="spellEnd"/>
      <w:proofErr w:type="gramEnd"/>
      <w:r w:rsidR="001D0E4B" w:rsidRPr="00D27DAA">
        <w:rPr>
          <w:rFonts w:ascii="Times New Roman" w:hAnsi="Times New Roman" w:cs="Times New Roman"/>
          <w:vertAlign w:val="superscript"/>
        </w:rPr>
        <w:t xml:space="preserve"> </w:t>
      </w:r>
      <w:r w:rsidR="001D0E4B" w:rsidRPr="00D27DAA">
        <w:rPr>
          <w:rFonts w:ascii="Times New Roman" w:hAnsi="Times New Roman" w:cs="Times New Roman"/>
        </w:rPr>
        <w:t xml:space="preserve">, </w:t>
      </w:r>
      <w:proofErr w:type="spellStart"/>
      <w:r w:rsidR="00240248" w:rsidRPr="00D27DAA">
        <w:rPr>
          <w:rFonts w:ascii="Times New Roman" w:hAnsi="Times New Roman" w:cs="Times New Roman"/>
        </w:rPr>
        <w:t>D.Litskevich</w:t>
      </w:r>
      <w:r w:rsidR="00240248" w:rsidRPr="00D27DAA">
        <w:rPr>
          <w:rFonts w:ascii="Times New Roman" w:hAnsi="Times New Roman" w:cs="Times New Roman"/>
          <w:vertAlign w:val="superscript"/>
        </w:rPr>
        <w:t>b</w:t>
      </w:r>
      <w:proofErr w:type="spellEnd"/>
      <w:r w:rsidR="00240248" w:rsidRPr="00D27DAA">
        <w:rPr>
          <w:rFonts w:ascii="Times New Roman" w:hAnsi="Times New Roman" w:cs="Times New Roman"/>
        </w:rPr>
        <w:t xml:space="preserve"> , </w:t>
      </w:r>
      <w:proofErr w:type="spellStart"/>
      <w:r w:rsidR="001D0E4B" w:rsidRPr="00D27DAA">
        <w:rPr>
          <w:rFonts w:ascii="Times New Roman" w:hAnsi="Times New Roman" w:cs="Times New Roman"/>
        </w:rPr>
        <w:t>B.Merk</w:t>
      </w:r>
      <w:r w:rsidR="001D0E4B" w:rsidRPr="00D27DAA">
        <w:rPr>
          <w:rFonts w:ascii="Times New Roman" w:hAnsi="Times New Roman" w:cs="Times New Roman"/>
          <w:vertAlign w:val="superscript"/>
        </w:rPr>
        <w:t>b</w:t>
      </w:r>
      <w:proofErr w:type="spellEnd"/>
      <w:r w:rsidR="001D0E4B" w:rsidRPr="00D27DAA">
        <w:rPr>
          <w:rFonts w:ascii="Times New Roman" w:hAnsi="Times New Roman" w:cs="Times New Roman"/>
        </w:rPr>
        <w:t xml:space="preserve"> </w:t>
      </w:r>
      <w:bookmarkStart w:id="1" w:name="_GoBack"/>
      <w:bookmarkEnd w:id="1"/>
    </w:p>
    <w:p w14:paraId="07D8B1A3" w14:textId="2C772721" w:rsidR="001D0E4B" w:rsidRPr="00D27DAA" w:rsidRDefault="001D0E4B" w:rsidP="00230E45">
      <w:pPr>
        <w:rPr>
          <w:rFonts w:ascii="Times New Roman" w:hAnsi="Times New Roman" w:cs="Times New Roman"/>
        </w:rPr>
      </w:pPr>
      <w:proofErr w:type="spellStart"/>
      <w:r w:rsidRPr="00D27DAA">
        <w:rPr>
          <w:rFonts w:ascii="Times New Roman" w:hAnsi="Times New Roman" w:cs="Times New Roman"/>
          <w:vertAlign w:val="superscript"/>
        </w:rPr>
        <w:t>a</w:t>
      </w:r>
      <w:r w:rsidR="00230E45" w:rsidRPr="00D27DAA">
        <w:rPr>
          <w:rFonts w:ascii="Times New Roman" w:hAnsi="Times New Roman" w:cs="Times New Roman"/>
        </w:rPr>
        <w:t>Department</w:t>
      </w:r>
      <w:proofErr w:type="spellEnd"/>
      <w:r w:rsidR="00230E45" w:rsidRPr="00D27DAA">
        <w:rPr>
          <w:rFonts w:ascii="Times New Roman" w:hAnsi="Times New Roman" w:cs="Times New Roman"/>
        </w:rPr>
        <w:t xml:space="preserve"> of Materials Science and Engineering, Sir Robert Hadfield Building, Mappin Street, Sheffield, United Kingdom</w:t>
      </w:r>
    </w:p>
    <w:p w14:paraId="6B09FB5F" w14:textId="734EDC26" w:rsidR="001D0E4B" w:rsidRPr="00D27DAA" w:rsidRDefault="001D0E4B" w:rsidP="00230E45">
      <w:pPr>
        <w:rPr>
          <w:rFonts w:ascii="Times New Roman" w:hAnsi="Times New Roman" w:cs="Times New Roman"/>
        </w:rPr>
      </w:pPr>
      <w:proofErr w:type="spellStart"/>
      <w:r w:rsidRPr="00D27DAA">
        <w:rPr>
          <w:rFonts w:ascii="Times New Roman" w:hAnsi="Times New Roman" w:cs="Times New Roman"/>
          <w:vertAlign w:val="superscript"/>
        </w:rPr>
        <w:t>b</w:t>
      </w:r>
      <w:r w:rsidR="00230E45" w:rsidRPr="00D27DAA">
        <w:rPr>
          <w:rFonts w:ascii="Times New Roman" w:hAnsi="Times New Roman" w:cs="Times New Roman"/>
        </w:rPr>
        <w:t>School</w:t>
      </w:r>
      <w:proofErr w:type="spellEnd"/>
      <w:r w:rsidR="00230E45" w:rsidRPr="00D27DAA">
        <w:rPr>
          <w:rFonts w:ascii="Times New Roman" w:hAnsi="Times New Roman" w:cs="Times New Roman"/>
        </w:rPr>
        <w:t xml:space="preserve"> of Engineering, The University of Liverpool, Brownlow Hill, Liverpool, </w:t>
      </w:r>
      <w:r w:rsidR="00240248" w:rsidRPr="00D27DAA">
        <w:rPr>
          <w:rFonts w:ascii="Times New Roman" w:hAnsi="Times New Roman" w:cs="Times New Roman"/>
        </w:rPr>
        <w:t xml:space="preserve">L69 3GH, </w:t>
      </w:r>
      <w:r w:rsidR="00230E45" w:rsidRPr="00D27DAA">
        <w:rPr>
          <w:rFonts w:ascii="Times New Roman" w:hAnsi="Times New Roman" w:cs="Times New Roman"/>
        </w:rPr>
        <w:t>United Kingdom</w:t>
      </w:r>
    </w:p>
    <w:p w14:paraId="0878C565" w14:textId="77777777" w:rsidR="00E937B2" w:rsidRPr="00D27DAA" w:rsidRDefault="00E937B2" w:rsidP="0050612B">
      <w:pPr>
        <w:pStyle w:val="Heading1"/>
        <w:rPr>
          <w:rFonts w:ascii="Times New Roman" w:hAnsi="Times New Roman" w:cs="Times New Roman"/>
          <w:sz w:val="22"/>
          <w:szCs w:val="22"/>
        </w:rPr>
      </w:pPr>
      <w:r w:rsidRPr="00D27DAA">
        <w:rPr>
          <w:rFonts w:ascii="Times New Roman" w:hAnsi="Times New Roman" w:cs="Times New Roman"/>
          <w:sz w:val="22"/>
          <w:szCs w:val="22"/>
        </w:rPr>
        <w:t>Abstract</w:t>
      </w:r>
    </w:p>
    <w:p w14:paraId="709F6C5D" w14:textId="0DC3E507" w:rsidR="002C0EDF" w:rsidRPr="00D27DAA" w:rsidRDefault="0050612B" w:rsidP="003237A3">
      <w:pPr>
        <w:rPr>
          <w:rFonts w:ascii="Times New Roman" w:hAnsi="Times New Roman" w:cs="Times New Roman"/>
        </w:rPr>
      </w:pPr>
      <w:r w:rsidRPr="00D27DAA">
        <w:rPr>
          <w:rFonts w:ascii="Times New Roman" w:hAnsi="Times New Roman" w:cs="Times New Roman"/>
        </w:rPr>
        <w:t xml:space="preserve">This article investigates </w:t>
      </w:r>
      <w:r w:rsidR="005C04CB" w:rsidRPr="00D27DAA">
        <w:rPr>
          <w:rFonts w:ascii="Times New Roman" w:hAnsi="Times New Roman" w:cs="Times New Roman"/>
        </w:rPr>
        <w:t>a high temperature prismatic core small modular reactor concept based on the U-Battery</w:t>
      </w:r>
      <w:r w:rsidR="002C0EDF" w:rsidRPr="00D27DAA">
        <w:rPr>
          <w:rFonts w:ascii="Times New Roman" w:hAnsi="Times New Roman" w:cs="Times New Roman"/>
        </w:rPr>
        <w:t xml:space="preserve">. </w:t>
      </w:r>
      <w:r w:rsidR="00470391" w:rsidRPr="00D27DAA">
        <w:rPr>
          <w:rFonts w:ascii="Times New Roman" w:hAnsi="Times New Roman" w:cs="Times New Roman"/>
        </w:rPr>
        <w:t xml:space="preserve">To achieve a long operational time without reloading of </w:t>
      </w:r>
      <w:r w:rsidR="00A02993" w:rsidRPr="00D27DAA">
        <w:rPr>
          <w:rFonts w:ascii="Times New Roman" w:hAnsi="Times New Roman" w:cs="Times New Roman"/>
        </w:rPr>
        <w:t xml:space="preserve">the </w:t>
      </w:r>
      <w:r w:rsidR="00470391" w:rsidRPr="00D27DAA">
        <w:rPr>
          <w:rFonts w:ascii="Times New Roman" w:hAnsi="Times New Roman" w:cs="Times New Roman"/>
        </w:rPr>
        <w:t>fuel</w:t>
      </w:r>
      <w:r w:rsidR="00A02993" w:rsidRPr="00D27DAA">
        <w:rPr>
          <w:rFonts w:ascii="Times New Roman" w:hAnsi="Times New Roman" w:cs="Times New Roman"/>
        </w:rPr>
        <w:t>,</w:t>
      </w:r>
      <w:r w:rsidR="00470391" w:rsidRPr="00D27DAA">
        <w:rPr>
          <w:rFonts w:ascii="Times New Roman" w:hAnsi="Times New Roman" w:cs="Times New Roman"/>
        </w:rPr>
        <w:t xml:space="preserve"> </w:t>
      </w:r>
      <w:r w:rsidR="005C04CB" w:rsidRPr="00D27DAA">
        <w:rPr>
          <w:rFonts w:ascii="Times New Roman" w:hAnsi="Times New Roman" w:cs="Times New Roman"/>
        </w:rPr>
        <w:t>a</w:t>
      </w:r>
      <w:r w:rsidR="00470391" w:rsidRPr="00D27DAA">
        <w:rPr>
          <w:rFonts w:ascii="Times New Roman" w:hAnsi="Times New Roman" w:cs="Times New Roman"/>
        </w:rPr>
        <w:t xml:space="preserve"> high fissile fuel load is required</w:t>
      </w:r>
      <w:r w:rsidR="00602C8F" w:rsidRPr="00D27DAA">
        <w:rPr>
          <w:rFonts w:ascii="Times New Roman" w:hAnsi="Times New Roman" w:cs="Times New Roman"/>
        </w:rPr>
        <w:t xml:space="preserve">, to </w:t>
      </w:r>
      <w:r w:rsidRPr="00D27DAA">
        <w:rPr>
          <w:rFonts w:ascii="Times New Roman" w:hAnsi="Times New Roman" w:cs="Times New Roman"/>
        </w:rPr>
        <w:t xml:space="preserve">provide </w:t>
      </w:r>
      <w:r w:rsidR="00602C8F" w:rsidRPr="00D27DAA">
        <w:rPr>
          <w:rFonts w:ascii="Times New Roman" w:hAnsi="Times New Roman" w:cs="Times New Roman"/>
        </w:rPr>
        <w:t xml:space="preserve">the required </w:t>
      </w:r>
      <w:r w:rsidRPr="00D27DAA">
        <w:rPr>
          <w:rFonts w:ascii="Times New Roman" w:hAnsi="Times New Roman" w:cs="Times New Roman"/>
        </w:rPr>
        <w:t xml:space="preserve">excess reactivity which needs to </w:t>
      </w:r>
      <w:r w:rsidR="00BD5983" w:rsidRPr="00D27DAA">
        <w:rPr>
          <w:rFonts w:ascii="Times New Roman" w:hAnsi="Times New Roman" w:cs="Times New Roman"/>
        </w:rPr>
        <w:t xml:space="preserve">be </w:t>
      </w:r>
      <w:r w:rsidR="00602C8F" w:rsidRPr="00D27DAA">
        <w:rPr>
          <w:rFonts w:ascii="Times New Roman" w:hAnsi="Times New Roman" w:cs="Times New Roman"/>
        </w:rPr>
        <w:t xml:space="preserve">compensated to allow </w:t>
      </w:r>
      <w:r w:rsidR="00470391" w:rsidRPr="00D27DAA">
        <w:rPr>
          <w:rFonts w:ascii="Times New Roman" w:hAnsi="Times New Roman" w:cs="Times New Roman"/>
        </w:rPr>
        <w:t xml:space="preserve">safe operational states </w:t>
      </w:r>
      <w:r w:rsidR="00602C8F" w:rsidRPr="00D27DAA">
        <w:rPr>
          <w:rFonts w:ascii="Times New Roman" w:hAnsi="Times New Roman" w:cs="Times New Roman"/>
        </w:rPr>
        <w:t>in all stages of the life of the core</w:t>
      </w:r>
      <w:r w:rsidR="00470391" w:rsidRPr="00D27DAA">
        <w:rPr>
          <w:rFonts w:ascii="Times New Roman" w:hAnsi="Times New Roman" w:cs="Times New Roman"/>
        </w:rPr>
        <w:t>.</w:t>
      </w:r>
      <w:r w:rsidR="0095173F" w:rsidRPr="00D27DAA">
        <w:rPr>
          <w:rFonts w:ascii="Times New Roman" w:hAnsi="Times New Roman" w:cs="Times New Roman"/>
        </w:rPr>
        <w:t xml:space="preserve"> This is achieved through the means of reactivity control methods. In this article we deploy a design methodology for </w:t>
      </w:r>
      <w:r w:rsidR="00602C8F" w:rsidRPr="00D27DAA">
        <w:rPr>
          <w:rFonts w:ascii="Times New Roman" w:hAnsi="Times New Roman" w:cs="Times New Roman"/>
        </w:rPr>
        <w:t>controlling</w:t>
      </w:r>
      <w:r w:rsidR="0095173F" w:rsidRPr="00D27DAA">
        <w:rPr>
          <w:rFonts w:ascii="Times New Roman" w:hAnsi="Times New Roman" w:cs="Times New Roman"/>
        </w:rPr>
        <w:t xml:space="preserve"> the reactivity in </w:t>
      </w:r>
      <w:r w:rsidR="00502044" w:rsidRPr="00D27DAA">
        <w:rPr>
          <w:rFonts w:ascii="Times New Roman" w:hAnsi="Times New Roman" w:cs="Times New Roman"/>
        </w:rPr>
        <w:t xml:space="preserve">a design based on </w:t>
      </w:r>
      <w:r w:rsidRPr="00D27DAA">
        <w:rPr>
          <w:rFonts w:ascii="Times New Roman" w:hAnsi="Times New Roman" w:cs="Times New Roman"/>
        </w:rPr>
        <w:t>the U-Battery</w:t>
      </w:r>
      <w:r w:rsidR="0095173F" w:rsidRPr="00D27DAA">
        <w:rPr>
          <w:rFonts w:ascii="Times New Roman" w:hAnsi="Times New Roman" w:cs="Times New Roman"/>
        </w:rPr>
        <w:t xml:space="preserve">. </w:t>
      </w:r>
    </w:p>
    <w:p w14:paraId="31BFF861" w14:textId="563D60D9" w:rsidR="0095173F" w:rsidRPr="00D27DAA" w:rsidRDefault="000539E4" w:rsidP="003237A3">
      <w:pPr>
        <w:rPr>
          <w:rFonts w:ascii="Times New Roman" w:hAnsi="Times New Roman" w:cs="Times New Roman"/>
        </w:rPr>
      </w:pPr>
      <w:r w:rsidRPr="00D27DAA">
        <w:rPr>
          <w:rFonts w:ascii="Times New Roman" w:hAnsi="Times New Roman" w:cs="Times New Roman"/>
        </w:rPr>
        <w:t>The initial excess reactivity within the core was 2000 pcm</w:t>
      </w:r>
      <w:r w:rsidR="005C04CB" w:rsidRPr="00D27DAA">
        <w:rPr>
          <w:rFonts w:ascii="Times New Roman" w:hAnsi="Times New Roman" w:cs="Times New Roman"/>
        </w:rPr>
        <w:t xml:space="preserve">, implying that the reactivity control systems were required to bring this to unity. To reduce this </w:t>
      </w:r>
      <w:r w:rsidR="00A02993" w:rsidRPr="00D27DAA">
        <w:rPr>
          <w:rFonts w:ascii="Times New Roman" w:hAnsi="Times New Roman" w:cs="Times New Roman"/>
        </w:rPr>
        <w:t>reactivity,</w:t>
      </w:r>
      <w:r w:rsidR="005C04CB" w:rsidRPr="00D27DAA">
        <w:rPr>
          <w:rFonts w:ascii="Times New Roman" w:hAnsi="Times New Roman" w:cs="Times New Roman"/>
        </w:rPr>
        <w:t xml:space="preserve"> </w:t>
      </w:r>
      <w:r w:rsidR="00A02993" w:rsidRPr="00D27DAA">
        <w:rPr>
          <w:rFonts w:ascii="Times New Roman" w:hAnsi="Times New Roman" w:cs="Times New Roman"/>
        </w:rPr>
        <w:t>we investigated three main reactivity control methods.</w:t>
      </w:r>
      <w:r w:rsidR="0095173F" w:rsidRPr="00D27DAA">
        <w:rPr>
          <w:rFonts w:ascii="Times New Roman" w:hAnsi="Times New Roman" w:cs="Times New Roman"/>
        </w:rPr>
        <w:t xml:space="preserve"> </w:t>
      </w:r>
      <w:r w:rsidR="00A02993" w:rsidRPr="00D27DAA">
        <w:rPr>
          <w:rFonts w:ascii="Times New Roman" w:hAnsi="Times New Roman" w:cs="Times New Roman"/>
        </w:rPr>
        <w:t>I</w:t>
      </w:r>
      <w:r w:rsidR="0095173F" w:rsidRPr="00D27DAA">
        <w:rPr>
          <w:rFonts w:ascii="Times New Roman" w:hAnsi="Times New Roman" w:cs="Times New Roman"/>
        </w:rPr>
        <w:t>nitially the control rod designs which is kept constant. Then a full range of fixed burnable poison designs are evaluated</w:t>
      </w:r>
      <w:r w:rsidR="00470391" w:rsidRPr="00D27DAA">
        <w:rPr>
          <w:rFonts w:ascii="Times New Roman" w:hAnsi="Times New Roman" w:cs="Times New Roman"/>
        </w:rPr>
        <w:t>. The final reactivity control method</w:t>
      </w:r>
      <w:r w:rsidR="0095173F" w:rsidRPr="00D27DAA">
        <w:rPr>
          <w:rFonts w:ascii="Times New Roman" w:hAnsi="Times New Roman" w:cs="Times New Roman"/>
        </w:rPr>
        <w:t xml:space="preserve"> investiga</w:t>
      </w:r>
      <w:r w:rsidR="00470391" w:rsidRPr="00D27DAA">
        <w:rPr>
          <w:rFonts w:ascii="Times New Roman" w:hAnsi="Times New Roman" w:cs="Times New Roman"/>
        </w:rPr>
        <w:t>ted</w:t>
      </w:r>
      <w:r w:rsidR="0095173F" w:rsidRPr="00D27DAA">
        <w:rPr>
          <w:rFonts w:ascii="Times New Roman" w:hAnsi="Times New Roman" w:cs="Times New Roman"/>
        </w:rPr>
        <w:t xml:space="preserve"> the process of flux spectrum hardening by changing the moderation within the core. </w:t>
      </w:r>
    </w:p>
    <w:p w14:paraId="129C2914" w14:textId="4EA467B7" w:rsidR="0050612B" w:rsidRPr="00D27DAA" w:rsidRDefault="0050612B" w:rsidP="003237A3">
      <w:pPr>
        <w:rPr>
          <w:rFonts w:ascii="Times New Roman" w:hAnsi="Times New Roman" w:cs="Times New Roman"/>
        </w:rPr>
      </w:pPr>
      <w:r w:rsidRPr="00D27DAA">
        <w:rPr>
          <w:rFonts w:ascii="Times New Roman" w:hAnsi="Times New Roman" w:cs="Times New Roman"/>
        </w:rPr>
        <w:t xml:space="preserve">This work managed to </w:t>
      </w:r>
      <w:r w:rsidR="000F1B46" w:rsidRPr="00D27DAA">
        <w:rPr>
          <w:rFonts w:ascii="Times New Roman" w:hAnsi="Times New Roman" w:cs="Times New Roman"/>
        </w:rPr>
        <w:t xml:space="preserve">identify that maximum full power days </w:t>
      </w:r>
      <w:r w:rsidR="009E0271" w:rsidRPr="00D27DAA">
        <w:rPr>
          <w:rFonts w:ascii="Times New Roman" w:hAnsi="Times New Roman" w:cs="Times New Roman"/>
        </w:rPr>
        <w:t xml:space="preserve">without any reactivity control as </w:t>
      </w:r>
      <w:r w:rsidR="000F1B46" w:rsidRPr="00D27DAA">
        <w:rPr>
          <w:rFonts w:ascii="Times New Roman" w:hAnsi="Times New Roman" w:cs="Times New Roman"/>
        </w:rPr>
        <w:t xml:space="preserve">1364 days. The fixed burnable poisons deployed reduced this lifetime by 62 days due to a reduced neutron economy. However, by </w:t>
      </w:r>
      <w:r w:rsidR="00244DD5" w:rsidRPr="00D27DAA">
        <w:rPr>
          <w:rFonts w:ascii="Times New Roman" w:hAnsi="Times New Roman" w:cs="Times New Roman"/>
        </w:rPr>
        <w:t>removing part of the</w:t>
      </w:r>
      <w:r w:rsidR="000F1B46" w:rsidRPr="00D27DAA">
        <w:rPr>
          <w:rFonts w:ascii="Times New Roman" w:hAnsi="Times New Roman" w:cs="Times New Roman"/>
        </w:rPr>
        <w:t xml:space="preserve"> central reflector </w:t>
      </w:r>
      <w:r w:rsidR="00244DD5" w:rsidRPr="00D27DAA">
        <w:rPr>
          <w:rFonts w:ascii="Times New Roman" w:hAnsi="Times New Roman" w:cs="Times New Roman"/>
        </w:rPr>
        <w:t>the flux spectrum hardens (increases the proportion of fast neutrons)</w:t>
      </w:r>
      <w:r w:rsidR="000F1B46" w:rsidRPr="00D27DAA">
        <w:rPr>
          <w:rFonts w:ascii="Times New Roman" w:hAnsi="Times New Roman" w:cs="Times New Roman"/>
        </w:rPr>
        <w:t xml:space="preserve"> </w:t>
      </w:r>
      <w:r w:rsidR="00244DD5" w:rsidRPr="00D27DAA">
        <w:rPr>
          <w:rFonts w:ascii="Times New Roman" w:hAnsi="Times New Roman" w:cs="Times New Roman"/>
        </w:rPr>
        <w:t>this provides</w:t>
      </w:r>
      <w:r w:rsidR="000F1B46" w:rsidRPr="00D27DAA">
        <w:rPr>
          <w:rFonts w:ascii="Times New Roman" w:hAnsi="Times New Roman" w:cs="Times New Roman"/>
        </w:rPr>
        <w:t xml:space="preserve"> additional bred plutonium provided an additional 62 full </w:t>
      </w:r>
      <w:r w:rsidR="000F1B46" w:rsidRPr="00D27DAA">
        <w:rPr>
          <w:rFonts w:ascii="Times New Roman" w:hAnsi="Times New Roman" w:cs="Times New Roman"/>
        </w:rPr>
        <w:lastRenderedPageBreak/>
        <w:t xml:space="preserve">power operating days. The meant that the overall design saw no lifetime reduction due to reactivity control devices, without including the use of control rods. </w:t>
      </w:r>
    </w:p>
    <w:p w14:paraId="44823BC8" w14:textId="434C2D63" w:rsidR="000F1B46" w:rsidRPr="00D27DAA" w:rsidRDefault="000F1B46" w:rsidP="003237A3">
      <w:pPr>
        <w:rPr>
          <w:rFonts w:ascii="Times New Roman" w:hAnsi="Times New Roman" w:cs="Times New Roman"/>
        </w:rPr>
      </w:pPr>
      <w:r w:rsidRPr="00D27DAA">
        <w:rPr>
          <w:rFonts w:ascii="Times New Roman" w:hAnsi="Times New Roman" w:cs="Times New Roman"/>
        </w:rPr>
        <w:t xml:space="preserve">Due to the </w:t>
      </w:r>
      <w:r w:rsidR="00A02993" w:rsidRPr="00D27DAA">
        <w:rPr>
          <w:rFonts w:ascii="Times New Roman" w:hAnsi="Times New Roman" w:cs="Times New Roman"/>
        </w:rPr>
        <w:t xml:space="preserve">implemented reactivity control systems, the highest point of </w:t>
      </w:r>
      <w:r w:rsidRPr="00D27DAA">
        <w:rPr>
          <w:rFonts w:ascii="Times New Roman" w:hAnsi="Times New Roman" w:cs="Times New Roman"/>
        </w:rPr>
        <w:t xml:space="preserve">reactivity </w:t>
      </w:r>
      <w:r w:rsidR="00A02993" w:rsidRPr="00D27DAA">
        <w:rPr>
          <w:rFonts w:ascii="Times New Roman" w:hAnsi="Times New Roman" w:cs="Times New Roman"/>
        </w:rPr>
        <w:t xml:space="preserve">has been identified as </w:t>
      </w:r>
      <w:r w:rsidRPr="00D27DAA">
        <w:rPr>
          <w:rFonts w:ascii="Times New Roman" w:hAnsi="Times New Roman" w:cs="Times New Roman"/>
        </w:rPr>
        <w:t xml:space="preserve">1.03, this meant that the control rod position required to reduce this reactivity </w:t>
      </w:r>
      <w:r w:rsidR="00602C8F" w:rsidRPr="00D27DAA">
        <w:rPr>
          <w:rFonts w:ascii="Times New Roman" w:hAnsi="Times New Roman" w:cs="Times New Roman"/>
        </w:rPr>
        <w:t>is limited to the maximum of 50% insertion.</w:t>
      </w:r>
      <w:r w:rsidRPr="00D27DAA">
        <w:rPr>
          <w:rFonts w:ascii="Times New Roman" w:hAnsi="Times New Roman" w:cs="Times New Roman"/>
        </w:rPr>
        <w:t xml:space="preserve"> </w:t>
      </w:r>
      <w:r w:rsidR="00602C8F" w:rsidRPr="00D27DAA">
        <w:rPr>
          <w:rFonts w:ascii="Times New Roman" w:hAnsi="Times New Roman" w:cs="Times New Roman"/>
        </w:rPr>
        <w:t>I</w:t>
      </w:r>
      <w:r w:rsidRPr="00D27DAA">
        <w:rPr>
          <w:rFonts w:ascii="Times New Roman" w:hAnsi="Times New Roman" w:cs="Times New Roman"/>
        </w:rPr>
        <w:t xml:space="preserve">dentifying the power profile at this position showed additional loading at the fuel below this point, where additional thermal distribution work will be </w:t>
      </w:r>
      <w:r w:rsidR="00470391" w:rsidRPr="00D27DAA">
        <w:rPr>
          <w:rFonts w:ascii="Times New Roman" w:hAnsi="Times New Roman" w:cs="Times New Roman"/>
        </w:rPr>
        <w:t>undertaken.</w:t>
      </w:r>
      <w:r w:rsidRPr="00D27DAA">
        <w:rPr>
          <w:rFonts w:ascii="Times New Roman" w:hAnsi="Times New Roman" w:cs="Times New Roman"/>
        </w:rPr>
        <w:t xml:space="preserve"> </w:t>
      </w:r>
    </w:p>
    <w:p w14:paraId="359CBE9D" w14:textId="77777777" w:rsidR="00E27129" w:rsidRPr="00D27DAA" w:rsidRDefault="00E27129" w:rsidP="008243B4">
      <w:pPr>
        <w:pStyle w:val="Heading1"/>
        <w:rPr>
          <w:rFonts w:ascii="Times New Roman" w:hAnsi="Times New Roman" w:cs="Times New Roman"/>
          <w:sz w:val="22"/>
          <w:szCs w:val="22"/>
        </w:rPr>
      </w:pPr>
      <w:r w:rsidRPr="00D27DAA">
        <w:rPr>
          <w:rFonts w:ascii="Times New Roman" w:hAnsi="Times New Roman" w:cs="Times New Roman"/>
          <w:sz w:val="22"/>
          <w:szCs w:val="22"/>
        </w:rPr>
        <w:t>Introduction</w:t>
      </w:r>
    </w:p>
    <w:p w14:paraId="2C3418F9" w14:textId="40F5E6FB" w:rsidR="0031646B" w:rsidRPr="00D27DAA" w:rsidRDefault="0031646B" w:rsidP="008243B4">
      <w:pPr>
        <w:rPr>
          <w:rFonts w:ascii="Times New Roman" w:hAnsi="Times New Roman" w:cs="Times New Roman"/>
        </w:rPr>
      </w:pPr>
      <w:r w:rsidRPr="00D27DAA">
        <w:rPr>
          <w:rFonts w:ascii="Times New Roman" w:hAnsi="Times New Roman" w:cs="Times New Roman"/>
        </w:rPr>
        <w:t xml:space="preserve">The small modular reactor (SMR) design this article investigates is based on the U-Battery design </w:t>
      </w:r>
      <w:r w:rsidRPr="00D27DAA">
        <w:rPr>
          <w:rFonts w:ascii="Times New Roman" w:hAnsi="Times New Roman" w:cs="Times New Roman"/>
        </w:rPr>
        <w:fldChar w:fldCharType="begin" w:fldLock="1"/>
      </w:r>
      <w:r w:rsidR="008C339F" w:rsidRPr="00D27DAA">
        <w:rPr>
          <w:rFonts w:ascii="Times New Roman" w:hAnsi="Times New Roman" w:cs="Times New Roman"/>
        </w:rPr>
        <w:instrText>ADDIN CSL_CITATION {"citationItems":[{"id":"ITEM-1","itemData":{"URL":"http://www.janleenkloosterman.nl/reports/ubattery_final_201111.pdf","accessed":{"date-parts":[["2018","5","11"]]},"author":[{"dropping-particle":"","family":"Ding","given":"Ming","non-dropping-particle":"","parse-names":false,"suffix":""},{"dropping-particle":"","family":"Kloosterman","given":"Jan Leen","non-dropping-particle":"","parse-names":false,"suffix":""},{"dropping-particle":"","family":"Kooijman","given":"Theo","non-dropping-particle":"","parse-names":false,"suffix":""},{"dropping-particle":"","family":"Linssen","given":"Rik","non-dropping-particle":"","parse-names":false,"suffix":""}],"id":"ITEM-1","issued":{"date-parts":[["2011"]]},"page":"462","title":"Design of a U-Battery ®","type":"webpage"},"uris":["http://www.mendeley.com/documents/?uuid=c9897914-798f-4e91-a545-84071cc51803"]}],"mendeley":{"formattedCitation":"(Ding et al., 2011)","plainTextFormattedCitation":"(Ding et al., 2011)","previouslyFormattedCitation":"(Ding et al., 2011)"},"properties":{"noteIndex":0},"schema":"https://github.com/citation-style-language/schema/raw/master/csl-citation.json"}</w:instrText>
      </w:r>
      <w:r w:rsidRPr="00D27DAA">
        <w:rPr>
          <w:rFonts w:ascii="Times New Roman" w:hAnsi="Times New Roman" w:cs="Times New Roman"/>
        </w:rPr>
        <w:fldChar w:fldCharType="separate"/>
      </w:r>
      <w:r w:rsidR="00D1788F" w:rsidRPr="00D27DAA">
        <w:rPr>
          <w:rFonts w:ascii="Times New Roman" w:hAnsi="Times New Roman" w:cs="Times New Roman"/>
          <w:noProof/>
        </w:rPr>
        <w:t>(Ding et al., 2011)</w:t>
      </w:r>
      <w:r w:rsidRPr="00D27DAA">
        <w:rPr>
          <w:rFonts w:ascii="Times New Roman" w:hAnsi="Times New Roman" w:cs="Times New Roman"/>
        </w:rPr>
        <w:fldChar w:fldCharType="end"/>
      </w:r>
      <w:r w:rsidRPr="00D27DAA">
        <w:rPr>
          <w:rFonts w:ascii="Times New Roman" w:hAnsi="Times New Roman" w:cs="Times New Roman"/>
        </w:rPr>
        <w:t>.</w:t>
      </w:r>
      <w:r w:rsidR="008C339F" w:rsidRPr="00D27DAA">
        <w:rPr>
          <w:rFonts w:ascii="Times New Roman" w:hAnsi="Times New Roman" w:cs="Times New Roman"/>
        </w:rPr>
        <w:t xml:space="preserve"> The U-Battery is a </w:t>
      </w:r>
      <w:r w:rsidRPr="00D27DAA">
        <w:rPr>
          <w:rFonts w:ascii="Times New Roman" w:hAnsi="Times New Roman" w:cs="Times New Roman"/>
        </w:rPr>
        <w:t>high temperature SMR</w:t>
      </w:r>
      <w:r w:rsidR="008C339F" w:rsidRPr="00D27DAA">
        <w:rPr>
          <w:rFonts w:ascii="Times New Roman" w:hAnsi="Times New Roman" w:cs="Times New Roman"/>
        </w:rPr>
        <w:t xml:space="preserve">, the core is based on the prismatic core design, like the High Temperature Engineering Test Reactor in Japan. The design aims to </w:t>
      </w:r>
      <w:r w:rsidR="00B25169" w:rsidRPr="00D27DAA">
        <w:rPr>
          <w:rFonts w:ascii="Times New Roman" w:hAnsi="Times New Roman" w:cs="Times New Roman"/>
        </w:rPr>
        <w:t>utilise</w:t>
      </w:r>
      <w:r w:rsidR="008C339F" w:rsidRPr="00D27DAA">
        <w:rPr>
          <w:rFonts w:ascii="Times New Roman" w:hAnsi="Times New Roman" w:cs="Times New Roman"/>
        </w:rPr>
        <w:t xml:space="preserve"> the extensive knowledge of </w:t>
      </w:r>
      <w:r w:rsidR="00B25169" w:rsidRPr="00D27DAA">
        <w:rPr>
          <w:rFonts w:ascii="Times New Roman" w:hAnsi="Times New Roman" w:cs="Times New Roman"/>
        </w:rPr>
        <w:t xml:space="preserve">graphite moderated gas cooled reactors within the UK. The design uses helium as a coolant, to provide elevated outlet temperatures while avoiding oxidising the graphite. One of the key aspects of the U-Battery is its </w:t>
      </w:r>
      <w:r w:rsidRPr="00D27DAA">
        <w:rPr>
          <w:rFonts w:ascii="Times New Roman" w:hAnsi="Times New Roman" w:cs="Times New Roman"/>
        </w:rPr>
        <w:t xml:space="preserve">aim to utilise the micro reactor market with its small size of only 10 </w:t>
      </w:r>
      <w:proofErr w:type="spellStart"/>
      <w:r w:rsidRPr="00D27DAA">
        <w:rPr>
          <w:rFonts w:ascii="Times New Roman" w:hAnsi="Times New Roman" w:cs="Times New Roman"/>
        </w:rPr>
        <w:t>MWth</w:t>
      </w:r>
      <w:proofErr w:type="spellEnd"/>
      <w:r w:rsidRPr="00D27DAA">
        <w:rPr>
          <w:rFonts w:ascii="Times New Roman" w:hAnsi="Times New Roman" w:cs="Times New Roman"/>
        </w:rPr>
        <w:t xml:space="preserve">, this is particularly useful in remote locations such as off grid facilities, including mining, oil and gas. </w:t>
      </w:r>
      <w:r w:rsidR="00B25169" w:rsidRPr="00D27DAA">
        <w:rPr>
          <w:rFonts w:ascii="Times New Roman" w:hAnsi="Times New Roman" w:cs="Times New Roman"/>
        </w:rPr>
        <w:t xml:space="preserve">In addition to this, the outlet temperature of ~750 °C could see additional market potential, such as chemical processes. </w:t>
      </w:r>
      <w:r w:rsidRPr="00D27DAA">
        <w:rPr>
          <w:rFonts w:ascii="Times New Roman" w:hAnsi="Times New Roman" w:cs="Times New Roman"/>
        </w:rPr>
        <w:t xml:space="preserve">Due to the remote aspect, it is desirable to optimise the fuel cycle to </w:t>
      </w:r>
      <w:proofErr w:type="gramStart"/>
      <w:r w:rsidRPr="00D27DAA">
        <w:rPr>
          <w:rFonts w:ascii="Times New Roman" w:hAnsi="Times New Roman" w:cs="Times New Roman"/>
        </w:rPr>
        <w:t>as long as</w:t>
      </w:r>
      <w:proofErr w:type="gramEnd"/>
      <w:r w:rsidRPr="00D27DAA">
        <w:rPr>
          <w:rFonts w:ascii="Times New Roman" w:hAnsi="Times New Roman" w:cs="Times New Roman"/>
        </w:rPr>
        <w:t xml:space="preserve"> possible, to reduce costs of refuelling due to difficulties of accessing the reactor. To achieve this a high fuel loading is </w:t>
      </w:r>
      <w:r w:rsidR="00A012BC" w:rsidRPr="00D27DAA">
        <w:rPr>
          <w:rFonts w:ascii="Times New Roman" w:hAnsi="Times New Roman" w:cs="Times New Roman"/>
        </w:rPr>
        <w:t xml:space="preserve">used of 30% packing factor with 20% </w:t>
      </w:r>
      <w:r w:rsidR="00A012BC" w:rsidRPr="00D27DAA">
        <w:rPr>
          <w:rFonts w:ascii="Times New Roman" w:hAnsi="Times New Roman" w:cs="Times New Roman"/>
          <w:vertAlign w:val="superscript"/>
        </w:rPr>
        <w:t>235</w:t>
      </w:r>
      <w:r w:rsidR="00A012BC" w:rsidRPr="00D27DAA">
        <w:rPr>
          <w:rFonts w:ascii="Times New Roman" w:hAnsi="Times New Roman" w:cs="Times New Roman"/>
        </w:rPr>
        <w:t xml:space="preserve">U, to achieve the maximum amount of full power days. This provides a challenge when considering the excess reactivity of core. </w:t>
      </w:r>
    </w:p>
    <w:p w14:paraId="0D16F28F" w14:textId="79E50946" w:rsidR="008243B4" w:rsidRPr="00D27DAA" w:rsidRDefault="006D7A9C" w:rsidP="00602C8F">
      <w:pPr>
        <w:rPr>
          <w:rFonts w:ascii="Times New Roman" w:hAnsi="Times New Roman" w:cs="Times New Roman"/>
        </w:rPr>
      </w:pPr>
      <w:bookmarkStart w:id="2" w:name="_Hlk521840073"/>
      <w:r w:rsidRPr="00D27DAA">
        <w:rPr>
          <w:rFonts w:ascii="Times New Roman" w:hAnsi="Times New Roman" w:cs="Times New Roman"/>
        </w:rPr>
        <w:t>Excess reactivity</w:t>
      </w:r>
      <w:r w:rsidR="00290E8A" w:rsidRPr="00D27DAA">
        <w:rPr>
          <w:rFonts w:ascii="Times New Roman" w:hAnsi="Times New Roman" w:cs="Times New Roman"/>
        </w:rPr>
        <w:t>, also known as the reactor being supercritical, is when there are being more neutrons produced than lost within the system</w:t>
      </w:r>
      <w:bookmarkEnd w:id="2"/>
      <w:r w:rsidR="00BC2CDA" w:rsidRPr="00D27DAA">
        <w:rPr>
          <w:rFonts w:ascii="Times New Roman" w:hAnsi="Times New Roman" w:cs="Times New Roman"/>
        </w:rPr>
        <w:t>.</w:t>
      </w:r>
      <w:r w:rsidRPr="00D27DAA">
        <w:rPr>
          <w:rFonts w:ascii="Times New Roman" w:hAnsi="Times New Roman" w:cs="Times New Roman"/>
        </w:rPr>
        <w:t xml:space="preserve"> </w:t>
      </w:r>
      <w:r w:rsidR="00BC2CDA" w:rsidRPr="00D27DAA">
        <w:rPr>
          <w:rFonts w:ascii="Times New Roman" w:hAnsi="Times New Roman" w:cs="Times New Roman"/>
        </w:rPr>
        <w:t>I</w:t>
      </w:r>
      <w:r w:rsidRPr="00D27DAA">
        <w:rPr>
          <w:rFonts w:ascii="Times New Roman" w:hAnsi="Times New Roman" w:cs="Times New Roman"/>
        </w:rPr>
        <w:t xml:space="preserve">n most cases the most apparent time for this is when the fuel is completely fresh. </w:t>
      </w:r>
      <w:r w:rsidR="00A012BC" w:rsidRPr="00D27DAA">
        <w:rPr>
          <w:rFonts w:ascii="Times New Roman" w:hAnsi="Times New Roman" w:cs="Times New Roman"/>
        </w:rPr>
        <w:t xml:space="preserve">Excess reactivity is apparent when </w:t>
      </w:r>
      <w:r w:rsidR="00602C8F" w:rsidRPr="00D27DAA">
        <w:rPr>
          <w:rFonts w:ascii="Times New Roman" w:hAnsi="Times New Roman" w:cs="Times New Roman"/>
        </w:rPr>
        <w:t xml:space="preserve">there is a higher </w:t>
      </w:r>
      <w:proofErr w:type="gramStart"/>
      <w:r w:rsidR="00602C8F" w:rsidRPr="00D27DAA">
        <w:rPr>
          <w:rFonts w:ascii="Times New Roman" w:hAnsi="Times New Roman" w:cs="Times New Roman"/>
        </w:rPr>
        <w:t>amount</w:t>
      </w:r>
      <w:proofErr w:type="gramEnd"/>
      <w:r w:rsidR="00602C8F" w:rsidRPr="00D27DAA">
        <w:rPr>
          <w:rFonts w:ascii="Times New Roman" w:hAnsi="Times New Roman" w:cs="Times New Roman"/>
        </w:rPr>
        <w:t xml:space="preserve"> of neutrons is available as required to keep the reactor critical thus</w:t>
      </w:r>
      <w:r w:rsidR="00A012BC" w:rsidRPr="00D27DAA">
        <w:rPr>
          <w:rFonts w:ascii="Times New Roman" w:hAnsi="Times New Roman" w:cs="Times New Roman"/>
        </w:rPr>
        <w:t xml:space="preserve"> the core is producing more neutrons than it is consuming. </w:t>
      </w:r>
      <w:r w:rsidR="00602C8F" w:rsidRPr="00D27DAA">
        <w:rPr>
          <w:rFonts w:ascii="Times New Roman" w:hAnsi="Times New Roman" w:cs="Times New Roman"/>
        </w:rPr>
        <w:t xml:space="preserve">However, this excess reactivity is required for long term operation when no fuel should be added. </w:t>
      </w:r>
      <w:r w:rsidR="00A012BC" w:rsidRPr="00D27DAA">
        <w:rPr>
          <w:rFonts w:ascii="Times New Roman" w:hAnsi="Times New Roman" w:cs="Times New Roman"/>
        </w:rPr>
        <w:t xml:space="preserve">In </w:t>
      </w:r>
      <w:r w:rsidR="00A012BC" w:rsidRPr="00D27DAA">
        <w:rPr>
          <w:rFonts w:ascii="Times New Roman" w:hAnsi="Times New Roman" w:cs="Times New Roman"/>
        </w:rPr>
        <w:lastRenderedPageBreak/>
        <w:t>this case there can be a runaway effect</w:t>
      </w:r>
      <w:r w:rsidR="00602C8F" w:rsidRPr="00D27DAA">
        <w:rPr>
          <w:rFonts w:ascii="Times New Roman" w:hAnsi="Times New Roman" w:cs="Times New Roman"/>
        </w:rPr>
        <w:t xml:space="preserve"> were the neutron flux would increase</w:t>
      </w:r>
      <w:r w:rsidR="00A012BC" w:rsidRPr="00D27DAA">
        <w:rPr>
          <w:rFonts w:ascii="Times New Roman" w:hAnsi="Times New Roman" w:cs="Times New Roman"/>
        </w:rPr>
        <w:t xml:space="preserve">, </w:t>
      </w:r>
      <w:r w:rsidR="00520B04" w:rsidRPr="00D27DAA">
        <w:rPr>
          <w:rFonts w:ascii="Times New Roman" w:hAnsi="Times New Roman" w:cs="Times New Roman"/>
        </w:rPr>
        <w:t>causing excess heating which can cause damage to the core.</w:t>
      </w:r>
    </w:p>
    <w:p w14:paraId="204D42BA" w14:textId="77DE2912" w:rsidR="006D7A9C" w:rsidRPr="00D27DAA" w:rsidRDefault="006D7A9C" w:rsidP="008243B4">
      <w:pPr>
        <w:rPr>
          <w:rFonts w:ascii="Times New Roman" w:hAnsi="Times New Roman" w:cs="Times New Roman"/>
        </w:rPr>
      </w:pPr>
      <w:r w:rsidRPr="00D27DAA">
        <w:rPr>
          <w:rFonts w:ascii="Times New Roman" w:hAnsi="Times New Roman" w:cs="Times New Roman"/>
        </w:rPr>
        <w:t xml:space="preserve">Excess reactivity is </w:t>
      </w:r>
      <w:r w:rsidR="00320069" w:rsidRPr="00D27DAA">
        <w:rPr>
          <w:rFonts w:ascii="Times New Roman" w:hAnsi="Times New Roman" w:cs="Times New Roman"/>
        </w:rPr>
        <w:t>controlled through different mechanisms depending on the reactor</w:t>
      </w:r>
      <w:r w:rsidR="00BC2CDA" w:rsidRPr="00D27DAA">
        <w:rPr>
          <w:rFonts w:ascii="Times New Roman" w:hAnsi="Times New Roman" w:cs="Times New Roman"/>
        </w:rPr>
        <w:t>.</w:t>
      </w:r>
      <w:r w:rsidR="00320069" w:rsidRPr="00D27DAA">
        <w:rPr>
          <w:rFonts w:ascii="Times New Roman" w:hAnsi="Times New Roman" w:cs="Times New Roman"/>
        </w:rPr>
        <w:t xml:space="preserve"> In the case of </w:t>
      </w:r>
      <w:r w:rsidR="00785799" w:rsidRPr="00D27DAA">
        <w:rPr>
          <w:rFonts w:ascii="Times New Roman" w:hAnsi="Times New Roman" w:cs="Times New Roman"/>
        </w:rPr>
        <w:t xml:space="preserve">the AP1000 </w:t>
      </w:r>
      <w:r w:rsidR="00602C8F" w:rsidRPr="00D27DAA">
        <w:rPr>
          <w:rFonts w:ascii="Times New Roman" w:hAnsi="Times New Roman" w:cs="Times New Roman"/>
        </w:rPr>
        <w:t>reactivity is</w:t>
      </w:r>
      <w:r w:rsidR="00320069" w:rsidRPr="00D27DAA">
        <w:rPr>
          <w:rFonts w:ascii="Times New Roman" w:hAnsi="Times New Roman" w:cs="Times New Roman"/>
        </w:rPr>
        <w:t xml:space="preserve"> controlled by adding boron, a neutron poison, to the coolant</w:t>
      </w:r>
      <w:r w:rsidR="004C5BFE" w:rsidRPr="00D27DAA">
        <w:rPr>
          <w:rFonts w:ascii="Times New Roman" w:hAnsi="Times New Roman" w:cs="Times New Roman"/>
        </w:rPr>
        <w:t xml:space="preserve"> </w:t>
      </w:r>
      <w:r w:rsidR="008D5C0B" w:rsidRPr="00D27DAA">
        <w:rPr>
          <w:rFonts w:ascii="Times New Roman" w:hAnsi="Times New Roman" w:cs="Times New Roman"/>
        </w:rPr>
        <w:t>this complements the use of the control rods which would act local</w:t>
      </w:r>
      <w:r w:rsidR="00B25169" w:rsidRPr="00D27DAA">
        <w:rPr>
          <w:rFonts w:ascii="Times New Roman" w:hAnsi="Times New Roman" w:cs="Times New Roman"/>
        </w:rPr>
        <w:t>ly</w:t>
      </w:r>
      <w:r w:rsidR="008D5C0B" w:rsidRPr="00D27DAA">
        <w:rPr>
          <w:rFonts w:ascii="Times New Roman" w:hAnsi="Times New Roman" w:cs="Times New Roman"/>
        </w:rPr>
        <w:t xml:space="preserve">. In addition, burnable poison materials are added to </w:t>
      </w:r>
      <w:r w:rsidR="00BA0709" w:rsidRPr="00D27DAA">
        <w:rPr>
          <w:rFonts w:ascii="Times New Roman" w:hAnsi="Times New Roman" w:cs="Times New Roman"/>
        </w:rPr>
        <w:t xml:space="preserve">certain fuel pellets, either using a boride coating or the incorporation of gadolinium oxide to the fuel </w:t>
      </w:r>
      <w:r w:rsidR="00BA0709" w:rsidRPr="00D27DAA">
        <w:rPr>
          <w:rFonts w:ascii="Times New Roman" w:hAnsi="Times New Roman" w:cs="Times New Roman"/>
        </w:rPr>
        <w:fldChar w:fldCharType="begin" w:fldLock="1"/>
      </w:r>
      <w:r w:rsidR="00F76EF7" w:rsidRPr="00D27DAA">
        <w:rPr>
          <w:rFonts w:ascii="Times New Roman" w:hAnsi="Times New Roman" w:cs="Times New Roman"/>
        </w:rPr>
        <w:instrText>ADDIN CSL_CITATION {"citationItems":[{"id":"ITEM-1","itemData":{"URL":"https://assets.publishing.service.gov.uk/government/uploads/system/uploads/attachment_data/file/296662/geho1211btoi-e-e.pdf","accessed":{"date-parts":[["2018","10","17"]]},"author":[{"dropping-particle":"","family":"Environment Agency","given":"","non-dropping-particle":"","parse-names":false,"suffix":""}],"id":"ITEM-1","issued":{"date-parts":[["2011"]]},"title":"Generic design assessment AP1000 ® nuclear power plant design by Westinghouse Electric Company LLC","type":"webpage"},"uris":["http://www.mendeley.com/documents/?uuid=c3af591d-f99c-4027-9308-4376d555b90d"]}],"mendeley":{"formattedCitation":"(Environment Agency, 2011)","plainTextFormattedCitation":"(Environment Agency, 2011)","previouslyFormattedCitation":"(Environment Agency, 2011)"},"properties":{"noteIndex":0},"schema":"https://github.com/citation-style-language/schema/raw/master/csl-citation.json"}</w:instrText>
      </w:r>
      <w:r w:rsidR="00BA0709" w:rsidRPr="00D27DAA">
        <w:rPr>
          <w:rFonts w:ascii="Times New Roman" w:hAnsi="Times New Roman" w:cs="Times New Roman"/>
        </w:rPr>
        <w:fldChar w:fldCharType="separate"/>
      </w:r>
      <w:r w:rsidR="00BA0709" w:rsidRPr="00D27DAA">
        <w:rPr>
          <w:rFonts w:ascii="Times New Roman" w:hAnsi="Times New Roman" w:cs="Times New Roman"/>
          <w:noProof/>
        </w:rPr>
        <w:t>(Environment Agency, 2011)</w:t>
      </w:r>
      <w:r w:rsidR="00BA0709" w:rsidRPr="00D27DAA">
        <w:rPr>
          <w:rFonts w:ascii="Times New Roman" w:hAnsi="Times New Roman" w:cs="Times New Roman"/>
        </w:rPr>
        <w:fldChar w:fldCharType="end"/>
      </w:r>
      <w:r w:rsidR="00320069" w:rsidRPr="00D27DAA">
        <w:rPr>
          <w:rFonts w:ascii="Times New Roman" w:hAnsi="Times New Roman" w:cs="Times New Roman"/>
        </w:rPr>
        <w:t>. Th</w:t>
      </w:r>
      <w:r w:rsidR="008D5C0B" w:rsidRPr="00D27DAA">
        <w:rPr>
          <w:rFonts w:ascii="Times New Roman" w:hAnsi="Times New Roman" w:cs="Times New Roman"/>
        </w:rPr>
        <w:t>e use of soluble boron</w:t>
      </w:r>
      <w:r w:rsidR="00320069" w:rsidRPr="00D27DAA">
        <w:rPr>
          <w:rFonts w:ascii="Times New Roman" w:hAnsi="Times New Roman" w:cs="Times New Roman"/>
        </w:rPr>
        <w:t xml:space="preserve"> is particularly useful as the coolant is circulated and thus the boron concentration is controlled easily using this mixing technique</w:t>
      </w:r>
      <w:r w:rsidR="00F12F78" w:rsidRPr="00D27DAA">
        <w:rPr>
          <w:rFonts w:ascii="Times New Roman" w:hAnsi="Times New Roman" w:cs="Times New Roman"/>
        </w:rPr>
        <w:t xml:space="preserve"> and the neutron absorption is very homogeneous</w:t>
      </w:r>
      <w:r w:rsidR="00320069" w:rsidRPr="00D27DAA">
        <w:rPr>
          <w:rFonts w:ascii="Times New Roman" w:hAnsi="Times New Roman" w:cs="Times New Roman"/>
        </w:rPr>
        <w:t xml:space="preserve">. In the case of </w:t>
      </w:r>
      <w:r w:rsidR="004C5BFE" w:rsidRPr="00D27DAA">
        <w:rPr>
          <w:rFonts w:ascii="Times New Roman" w:hAnsi="Times New Roman" w:cs="Times New Roman"/>
        </w:rPr>
        <w:t>high temperature reactors (</w:t>
      </w:r>
      <w:r w:rsidR="00320069" w:rsidRPr="00D27DAA">
        <w:rPr>
          <w:rFonts w:ascii="Times New Roman" w:hAnsi="Times New Roman" w:cs="Times New Roman"/>
        </w:rPr>
        <w:t>HTRs</w:t>
      </w:r>
      <w:r w:rsidR="004C5BFE" w:rsidRPr="00D27DAA">
        <w:rPr>
          <w:rFonts w:ascii="Times New Roman" w:hAnsi="Times New Roman" w:cs="Times New Roman"/>
        </w:rPr>
        <w:t>)</w:t>
      </w:r>
      <w:r w:rsidR="00320069" w:rsidRPr="00D27DAA">
        <w:rPr>
          <w:rFonts w:ascii="Times New Roman" w:hAnsi="Times New Roman" w:cs="Times New Roman"/>
        </w:rPr>
        <w:t xml:space="preserve"> this is not an option, due to the helium being too light to host absorbing materials. In the case of </w:t>
      </w:r>
      <w:r w:rsidR="004C5BFE" w:rsidRPr="00D27DAA">
        <w:rPr>
          <w:rFonts w:ascii="Times New Roman" w:hAnsi="Times New Roman" w:cs="Times New Roman"/>
        </w:rPr>
        <w:t>HTRs</w:t>
      </w:r>
      <w:r w:rsidR="00F12F78" w:rsidRPr="00D27DAA">
        <w:rPr>
          <w:rFonts w:ascii="Times New Roman" w:hAnsi="Times New Roman" w:cs="Times New Roman"/>
        </w:rPr>
        <w:t xml:space="preserve"> burnable</w:t>
      </w:r>
      <w:r w:rsidR="00320069" w:rsidRPr="00D27DAA">
        <w:rPr>
          <w:rFonts w:ascii="Times New Roman" w:hAnsi="Times New Roman" w:cs="Times New Roman"/>
        </w:rPr>
        <w:t xml:space="preserve"> poisons are inserted at the beginning of the lifetime of the reactor and then burnt out slowly</w:t>
      </w:r>
      <w:r w:rsidR="00BC2CDA" w:rsidRPr="00D27DAA">
        <w:rPr>
          <w:rFonts w:ascii="Times New Roman" w:hAnsi="Times New Roman" w:cs="Times New Roman"/>
        </w:rPr>
        <w:t>.</w:t>
      </w:r>
      <w:r w:rsidR="00320069" w:rsidRPr="00D27DAA">
        <w:rPr>
          <w:rFonts w:ascii="Times New Roman" w:hAnsi="Times New Roman" w:cs="Times New Roman"/>
        </w:rPr>
        <w:t xml:space="preserve"> </w:t>
      </w:r>
      <w:r w:rsidR="00BC2CDA" w:rsidRPr="00D27DAA">
        <w:rPr>
          <w:rFonts w:ascii="Times New Roman" w:hAnsi="Times New Roman" w:cs="Times New Roman"/>
        </w:rPr>
        <w:t>D</w:t>
      </w:r>
      <w:r w:rsidR="00320069" w:rsidRPr="00D27DAA">
        <w:rPr>
          <w:rFonts w:ascii="Times New Roman" w:hAnsi="Times New Roman" w:cs="Times New Roman"/>
        </w:rPr>
        <w:t xml:space="preserve">ue to their </w:t>
      </w:r>
      <w:r w:rsidR="00F12F78" w:rsidRPr="00D27DAA">
        <w:rPr>
          <w:rFonts w:ascii="Times New Roman" w:hAnsi="Times New Roman" w:cs="Times New Roman"/>
        </w:rPr>
        <w:t>invariable</w:t>
      </w:r>
      <w:r w:rsidR="00320069" w:rsidRPr="00D27DAA">
        <w:rPr>
          <w:rFonts w:ascii="Times New Roman" w:hAnsi="Times New Roman" w:cs="Times New Roman"/>
        </w:rPr>
        <w:t xml:space="preserve"> nature, they are termed fixed burnable poisons</w:t>
      </w:r>
      <w:r w:rsidR="004C5BFE" w:rsidRPr="00D27DAA">
        <w:rPr>
          <w:rFonts w:ascii="Times New Roman" w:hAnsi="Times New Roman" w:cs="Times New Roman"/>
        </w:rPr>
        <w:t xml:space="preserve"> (FBPs) </w:t>
      </w:r>
      <w:r w:rsidR="004C5BFE" w:rsidRPr="00D27DAA">
        <w:rPr>
          <w:rFonts w:ascii="Times New Roman" w:hAnsi="Times New Roman" w:cs="Times New Roman"/>
        </w:rPr>
        <w:fldChar w:fldCharType="begin" w:fldLock="1"/>
      </w:r>
      <w:r w:rsidR="008C339F" w:rsidRPr="00D27DAA">
        <w:rPr>
          <w:rFonts w:ascii="Times New Roman" w:hAnsi="Times New Roman" w:cs="Times New Roman"/>
        </w:rPr>
        <w:instrText>ADDIN CSL_CITATION {"citationItems":[{"id":"ITEM-1","itemData":{"author":[{"dropping-particle":"","family":"Japan atomic energy research centre - JAERI 1332","given":"","non-dropping-particle":"","parse-names":false,"suffix":""}],"id":"ITEM-1","issued":{"date-parts":[["1994"]]},"number-of-pages":"67","title":"Design of the HTTR","type":"report"},"uris":["http://www.mendeley.com/documents/?uuid=f79b13a5-a120-412b-8276-c1f39c8b4db4"]}],"mendeley":{"formattedCitation":"(Japan atomic energy research centre - JAERI 1332, 1994)","plainTextFormattedCitation":"(Japan atomic energy research centre - JAERI 1332, 1994)","previouslyFormattedCitation":"(Japan atomic energy research centre - JAERI 1332, 1994)"},"properties":{"noteIndex":0},"schema":"https://github.com/citation-style-language/schema/raw/master/csl-citation.json"}</w:instrText>
      </w:r>
      <w:r w:rsidR="004C5BFE" w:rsidRPr="00D27DAA">
        <w:rPr>
          <w:rFonts w:ascii="Times New Roman" w:hAnsi="Times New Roman" w:cs="Times New Roman"/>
        </w:rPr>
        <w:fldChar w:fldCharType="separate"/>
      </w:r>
      <w:r w:rsidR="00D1788F" w:rsidRPr="00D27DAA">
        <w:rPr>
          <w:rFonts w:ascii="Times New Roman" w:hAnsi="Times New Roman" w:cs="Times New Roman"/>
          <w:noProof/>
        </w:rPr>
        <w:t>(Japan atomic energy research centre - JAERI 1332, 1994)</w:t>
      </w:r>
      <w:r w:rsidR="004C5BFE" w:rsidRPr="00D27DAA">
        <w:rPr>
          <w:rFonts w:ascii="Times New Roman" w:hAnsi="Times New Roman" w:cs="Times New Roman"/>
        </w:rPr>
        <w:fldChar w:fldCharType="end"/>
      </w:r>
      <w:r w:rsidR="00320069" w:rsidRPr="00D27DAA">
        <w:rPr>
          <w:rFonts w:ascii="Times New Roman" w:hAnsi="Times New Roman" w:cs="Times New Roman"/>
        </w:rPr>
        <w:t xml:space="preserve">. </w:t>
      </w:r>
    </w:p>
    <w:p w14:paraId="43BB8BEE" w14:textId="3A979DB0" w:rsidR="005B4DF0" w:rsidRPr="00D27DAA" w:rsidRDefault="00320069" w:rsidP="008243B4">
      <w:pPr>
        <w:rPr>
          <w:rFonts w:ascii="Times New Roman" w:hAnsi="Times New Roman" w:cs="Times New Roman"/>
        </w:rPr>
      </w:pPr>
      <w:r w:rsidRPr="00D27DAA">
        <w:rPr>
          <w:rFonts w:ascii="Times New Roman" w:hAnsi="Times New Roman" w:cs="Times New Roman"/>
        </w:rPr>
        <w:t>One of the most common</w:t>
      </w:r>
      <w:r w:rsidR="00F12F78" w:rsidRPr="00D27DAA">
        <w:rPr>
          <w:rFonts w:ascii="Times New Roman" w:hAnsi="Times New Roman" w:cs="Times New Roman"/>
        </w:rPr>
        <w:t xml:space="preserve"> fast acting</w:t>
      </w:r>
      <w:r w:rsidRPr="00D27DAA">
        <w:rPr>
          <w:rFonts w:ascii="Times New Roman" w:hAnsi="Times New Roman" w:cs="Times New Roman"/>
        </w:rPr>
        <w:t xml:space="preserve"> methods of control comes in the form of control rods. Control rods are used to change the amount of power inside of the reactor by absorbing neutrons</w:t>
      </w:r>
      <w:r w:rsidR="005B4DF0" w:rsidRPr="00D27DAA">
        <w:rPr>
          <w:rFonts w:ascii="Times New Roman" w:hAnsi="Times New Roman" w:cs="Times New Roman"/>
        </w:rPr>
        <w:t xml:space="preserve"> by using high neutron absorbing elements</w:t>
      </w:r>
      <w:r w:rsidRPr="00D27DAA">
        <w:rPr>
          <w:rFonts w:ascii="Times New Roman" w:hAnsi="Times New Roman" w:cs="Times New Roman"/>
        </w:rPr>
        <w:t>.</w:t>
      </w:r>
      <w:r w:rsidR="00542C63" w:rsidRPr="00D27DAA">
        <w:rPr>
          <w:rFonts w:ascii="Times New Roman" w:hAnsi="Times New Roman" w:cs="Times New Roman"/>
        </w:rPr>
        <w:t xml:space="preserve"> Due to their positioning, the control rods tend to remove neutrons from the axial top </w:t>
      </w:r>
      <w:r w:rsidR="00F12F78" w:rsidRPr="00D27DAA">
        <w:rPr>
          <w:rFonts w:ascii="Times New Roman" w:hAnsi="Times New Roman" w:cs="Times New Roman"/>
        </w:rPr>
        <w:t xml:space="preserve">or bottom </w:t>
      </w:r>
      <w:r w:rsidR="00542C63" w:rsidRPr="00D27DAA">
        <w:rPr>
          <w:rFonts w:ascii="Times New Roman" w:hAnsi="Times New Roman" w:cs="Times New Roman"/>
        </w:rPr>
        <w:t xml:space="preserve">of the core and thus distort the natural power profile of the core. This implies that the use of control rods should be minimal, yet </w:t>
      </w:r>
      <w:proofErr w:type="gramStart"/>
      <w:r w:rsidR="00542C63" w:rsidRPr="00D27DAA">
        <w:rPr>
          <w:rFonts w:ascii="Times New Roman" w:hAnsi="Times New Roman" w:cs="Times New Roman"/>
        </w:rPr>
        <w:t>sufficient enough</w:t>
      </w:r>
      <w:proofErr w:type="gramEnd"/>
      <w:r w:rsidR="00542C63" w:rsidRPr="00D27DAA">
        <w:rPr>
          <w:rFonts w:ascii="Times New Roman" w:hAnsi="Times New Roman" w:cs="Times New Roman"/>
        </w:rPr>
        <w:t xml:space="preserve"> that the reactor is always comfortably in a position of </w:t>
      </w:r>
      <w:r w:rsidR="00F12F78" w:rsidRPr="00D27DAA">
        <w:rPr>
          <w:rFonts w:ascii="Times New Roman" w:hAnsi="Times New Roman" w:cs="Times New Roman"/>
        </w:rPr>
        <w:t>controlled</w:t>
      </w:r>
      <w:r w:rsidR="00542C63" w:rsidRPr="00D27DAA">
        <w:rPr>
          <w:rFonts w:ascii="Times New Roman" w:hAnsi="Times New Roman" w:cs="Times New Roman"/>
        </w:rPr>
        <w:t xml:space="preserve"> reactivity</w:t>
      </w:r>
      <w:r w:rsidR="00F12F78" w:rsidRPr="00D27DAA">
        <w:rPr>
          <w:rFonts w:ascii="Times New Roman" w:hAnsi="Times New Roman" w:cs="Times New Roman"/>
        </w:rPr>
        <w:t>, thus critical</w:t>
      </w:r>
      <w:r w:rsidR="00542C63" w:rsidRPr="00D27DAA">
        <w:rPr>
          <w:rFonts w:ascii="Times New Roman" w:hAnsi="Times New Roman" w:cs="Times New Roman"/>
        </w:rPr>
        <w:t xml:space="preserve">. </w:t>
      </w:r>
    </w:p>
    <w:p w14:paraId="06EAFBC6" w14:textId="42140669" w:rsidR="005B4DF0" w:rsidRPr="00D27DAA" w:rsidRDefault="005B4DF0" w:rsidP="005B4DF0">
      <w:pPr>
        <w:rPr>
          <w:rFonts w:ascii="Times New Roman" w:hAnsi="Times New Roman" w:cs="Times New Roman"/>
        </w:rPr>
      </w:pPr>
      <w:r w:rsidRPr="00D27DAA">
        <w:rPr>
          <w:rFonts w:ascii="Times New Roman" w:hAnsi="Times New Roman" w:cs="Times New Roman"/>
        </w:rPr>
        <w:t xml:space="preserve">The only operational prismatic core HTR is the high temperature test reactor (HTTR) which is well documented regarding the reactivity control methodology </w:t>
      </w:r>
      <w:r w:rsidRPr="00D27DAA">
        <w:rPr>
          <w:rFonts w:ascii="Times New Roman" w:hAnsi="Times New Roman" w:cs="Times New Roman"/>
        </w:rPr>
        <w:fldChar w:fldCharType="begin" w:fldLock="1"/>
      </w:r>
      <w:r w:rsidR="008C339F" w:rsidRPr="00D27DAA">
        <w:rPr>
          <w:rFonts w:ascii="Times New Roman" w:hAnsi="Times New Roman" w:cs="Times New Roman"/>
        </w:rPr>
        <w:instrText>ADDIN CSL_CITATION {"citationItems":[{"id":"ITEM-1","itemData":{"author":[{"dropping-particle":"","family":"Japan atomic energy research centre - JAERI 1332","given":"","non-dropping-particle":"","parse-names":false,"suffix":""}],"id":"ITEM-1","issued":{"date-parts":[["1994"]]},"number-of-pages":"67","title":"Design of the HTTR","type":"report"},"uris":["http://www.mendeley.com/documents/?uuid=f79b13a5-a120-412b-8276-c1f39c8b4db4"]}],"mendeley":{"formattedCitation":"(Japan atomic energy research centre - JAERI 1332, 1994)","plainTextFormattedCitation":"(Japan atomic energy research centre - JAERI 1332, 1994)","previouslyFormattedCitation":"(Japan atomic energy research centre - JAERI 1332, 1994)"},"properties":{"noteIndex":0},"schema":"https://github.com/citation-style-language/schema/raw/master/csl-citation.json"}</w:instrText>
      </w:r>
      <w:r w:rsidRPr="00D27DAA">
        <w:rPr>
          <w:rFonts w:ascii="Times New Roman" w:hAnsi="Times New Roman" w:cs="Times New Roman"/>
        </w:rPr>
        <w:fldChar w:fldCharType="separate"/>
      </w:r>
      <w:r w:rsidR="00D1788F" w:rsidRPr="00D27DAA">
        <w:rPr>
          <w:rFonts w:ascii="Times New Roman" w:hAnsi="Times New Roman" w:cs="Times New Roman"/>
          <w:noProof/>
        </w:rPr>
        <w:t>(Japan atomic energy research centre - JAERI 1332, 1994)</w:t>
      </w:r>
      <w:r w:rsidRPr="00D27DAA">
        <w:rPr>
          <w:rFonts w:ascii="Times New Roman" w:hAnsi="Times New Roman" w:cs="Times New Roman"/>
        </w:rPr>
        <w:fldChar w:fldCharType="end"/>
      </w:r>
      <w:r w:rsidRPr="00D27DAA">
        <w:rPr>
          <w:rFonts w:ascii="Times New Roman" w:hAnsi="Times New Roman" w:cs="Times New Roman"/>
        </w:rPr>
        <w:t xml:space="preserve">. In the case of the HTTR the reactivity control </w:t>
      </w:r>
      <w:r w:rsidR="00F12F78" w:rsidRPr="00D27DAA">
        <w:rPr>
          <w:rFonts w:ascii="Times New Roman" w:hAnsi="Times New Roman" w:cs="Times New Roman"/>
        </w:rPr>
        <w:t>is mainly assured</w:t>
      </w:r>
      <w:r w:rsidRPr="00D27DAA">
        <w:rPr>
          <w:rFonts w:ascii="Times New Roman" w:hAnsi="Times New Roman" w:cs="Times New Roman"/>
        </w:rPr>
        <w:t xml:space="preserve"> by the sixteen control rods. During start up there are thirty pairs of 50 cm fixed burnable poison </w:t>
      </w:r>
      <w:r w:rsidR="00516DA6" w:rsidRPr="00D27DAA">
        <w:rPr>
          <w:rFonts w:ascii="Times New Roman" w:hAnsi="Times New Roman" w:cs="Times New Roman"/>
        </w:rPr>
        <w:t>at</w:t>
      </w:r>
      <w:r w:rsidRPr="00D27DAA">
        <w:rPr>
          <w:rFonts w:ascii="Times New Roman" w:hAnsi="Times New Roman" w:cs="Times New Roman"/>
        </w:rPr>
        <w:t xml:space="preserve"> the top of the core as shown in  </w:t>
      </w:r>
      <w:r w:rsidRPr="00D27DAA">
        <w:rPr>
          <w:rFonts w:ascii="Times New Roman" w:hAnsi="Times New Roman" w:cs="Times New Roman"/>
        </w:rPr>
        <w:fldChar w:fldCharType="begin"/>
      </w:r>
      <w:r w:rsidRPr="00D27DAA">
        <w:rPr>
          <w:rFonts w:ascii="Times New Roman" w:hAnsi="Times New Roman" w:cs="Times New Roman"/>
        </w:rPr>
        <w:instrText xml:space="preserve"> REF _Ref508801283 \h </w:instrText>
      </w:r>
      <w:r w:rsidR="00BD5983" w:rsidRPr="00D27DAA">
        <w:rPr>
          <w:rFonts w:ascii="Times New Roman" w:hAnsi="Times New Roman" w:cs="Times New Roman"/>
        </w:rPr>
        <w:instrText xml:space="preserve"> \* MERGEFORMAT </w:instrText>
      </w:r>
      <w:r w:rsidRPr="00D27DAA">
        <w:rPr>
          <w:rFonts w:ascii="Times New Roman" w:hAnsi="Times New Roman" w:cs="Times New Roman"/>
        </w:rPr>
      </w:r>
      <w:r w:rsidRPr="00D27DAA">
        <w:rPr>
          <w:rFonts w:ascii="Times New Roman" w:hAnsi="Times New Roman" w:cs="Times New Roman"/>
        </w:rPr>
        <w:fldChar w:fldCharType="separate"/>
      </w:r>
      <w:r w:rsidR="00BD5983" w:rsidRPr="00D27DAA">
        <w:rPr>
          <w:rFonts w:ascii="Times New Roman" w:hAnsi="Times New Roman" w:cs="Times New Roman"/>
        </w:rPr>
        <w:t xml:space="preserve">Figure </w:t>
      </w:r>
      <w:r w:rsidR="00BD5983" w:rsidRPr="00D27DAA">
        <w:rPr>
          <w:rFonts w:ascii="Times New Roman" w:hAnsi="Times New Roman" w:cs="Times New Roman"/>
          <w:noProof/>
        </w:rPr>
        <w:t>1</w:t>
      </w:r>
      <w:r w:rsidRPr="00D27DAA">
        <w:rPr>
          <w:rFonts w:ascii="Times New Roman" w:hAnsi="Times New Roman" w:cs="Times New Roman"/>
        </w:rPr>
        <w:fldChar w:fldCharType="end"/>
      </w:r>
      <w:r w:rsidR="00CE612A" w:rsidRPr="00D27DAA">
        <w:rPr>
          <w:rFonts w:ascii="Times New Roman" w:hAnsi="Times New Roman" w:cs="Times New Roman"/>
        </w:rPr>
        <w:t xml:space="preserve"> </w:t>
      </w:r>
      <w:r w:rsidR="00CE612A" w:rsidRPr="00D27DAA">
        <w:rPr>
          <w:rFonts w:ascii="Times New Roman" w:hAnsi="Times New Roman" w:cs="Times New Roman"/>
        </w:rPr>
        <w:fldChar w:fldCharType="begin" w:fldLock="1"/>
      </w:r>
      <w:r w:rsidR="008C339F" w:rsidRPr="00D27DAA">
        <w:rPr>
          <w:rFonts w:ascii="Times New Roman" w:hAnsi="Times New Roman" w:cs="Times New Roman"/>
        </w:rPr>
        <w:instrText>ADDIN CSL_CITATION {"citationItems":[{"id":"ITEM-1","itemData":{"author":[{"dropping-particle":"","family":"Bess","given":"John D","non-dropping-particle":"","parse-names":false,"suffix":""},{"dropping-particle":"","family":"Dolphin","given":"Barbara H","non-dropping-particle":"","parse-names":false,"suffix":""}],"container-title":"OECD-NEA, HTTR-GCR-RESR-001 CRIT-SUB-REAC-COEF-KIN-RRATE","id":"ITEM-1","issue":"2","issued":{"date-parts":[["2006"]]},"title":"EVALUATION OF THE START-UP CORE PHYSICS TESTS AT JAPAN’S HIGH TEMPERATURE ENGINEERING TEST REACTOR (FULLY-LOADED CORE)","type":"report"},"uris":["http://www.mendeley.com/documents/?uuid=1f6517b4-9bc4-433d-b9c0-385043deaa96"]}],"mendeley":{"formattedCitation":"(Bess and Dolphin, 2006)","plainTextFormattedCitation":"(Bess and Dolphin, 2006)","previouslyFormattedCitation":"(Bess and Dolphin, 2006)"},"properties":{"noteIndex":0},"schema":"https://github.com/citation-style-language/schema/raw/master/csl-citation.json"}</w:instrText>
      </w:r>
      <w:r w:rsidR="00CE612A" w:rsidRPr="00D27DAA">
        <w:rPr>
          <w:rFonts w:ascii="Times New Roman" w:hAnsi="Times New Roman" w:cs="Times New Roman"/>
        </w:rPr>
        <w:fldChar w:fldCharType="separate"/>
      </w:r>
      <w:r w:rsidR="00AE552F" w:rsidRPr="00D27DAA">
        <w:rPr>
          <w:rFonts w:ascii="Times New Roman" w:hAnsi="Times New Roman" w:cs="Times New Roman"/>
          <w:noProof/>
        </w:rPr>
        <w:t>(Bess and Dolphin, 2006)</w:t>
      </w:r>
      <w:r w:rsidR="00CE612A" w:rsidRPr="00D27DAA">
        <w:rPr>
          <w:rFonts w:ascii="Times New Roman" w:hAnsi="Times New Roman" w:cs="Times New Roman"/>
        </w:rPr>
        <w:fldChar w:fldCharType="end"/>
      </w:r>
      <w:r w:rsidRPr="00D27DAA">
        <w:rPr>
          <w:rFonts w:ascii="Times New Roman" w:hAnsi="Times New Roman" w:cs="Times New Roman"/>
        </w:rPr>
        <w:t xml:space="preserve">. </w:t>
      </w:r>
    </w:p>
    <w:p w14:paraId="7FC986AF" w14:textId="1F0CC8A2" w:rsidR="005B4DF0" w:rsidRPr="00D27DAA" w:rsidRDefault="00BE14DB" w:rsidP="005B4DF0">
      <w:pPr>
        <w:keepNext/>
        <w:jc w:val="center"/>
        <w:rPr>
          <w:rFonts w:ascii="Times New Roman" w:hAnsi="Times New Roman" w:cs="Times New Roman"/>
        </w:rPr>
      </w:pPr>
      <w:r w:rsidRPr="00D27DAA">
        <w:rPr>
          <w:noProof/>
        </w:rPr>
        <w:lastRenderedPageBreak/>
        <w:drawing>
          <wp:inline distT="0" distB="0" distL="0" distR="0" wp14:anchorId="4879C0D3" wp14:editId="0EAC4DB6">
            <wp:extent cx="5727700" cy="421830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27700" cy="4218305"/>
                    </a:xfrm>
                    <a:prstGeom prst="rect">
                      <a:avLst/>
                    </a:prstGeom>
                  </pic:spPr>
                </pic:pic>
              </a:graphicData>
            </a:graphic>
          </wp:inline>
        </w:drawing>
      </w:r>
    </w:p>
    <w:p w14:paraId="7140EAC5" w14:textId="4FD1E07A" w:rsidR="005B4DF0" w:rsidRPr="00D27DAA" w:rsidRDefault="005B4DF0" w:rsidP="005B4DF0">
      <w:pPr>
        <w:pStyle w:val="Caption"/>
        <w:jc w:val="center"/>
        <w:rPr>
          <w:rFonts w:ascii="Times New Roman" w:hAnsi="Times New Roman" w:cs="Times New Roman"/>
          <w:color w:val="FF0000"/>
          <w:sz w:val="22"/>
          <w:szCs w:val="22"/>
        </w:rPr>
      </w:pPr>
      <w:bookmarkStart w:id="3" w:name="_Ref508801283"/>
      <w:r w:rsidRPr="00D27DAA">
        <w:rPr>
          <w:rFonts w:ascii="Times New Roman" w:hAnsi="Times New Roman" w:cs="Times New Roman"/>
          <w:sz w:val="22"/>
          <w:szCs w:val="22"/>
        </w:rPr>
        <w:t xml:space="preserve">Figure </w:t>
      </w:r>
      <w:r w:rsidR="00D1788F" w:rsidRPr="00D27DAA">
        <w:rPr>
          <w:rFonts w:ascii="Times New Roman" w:hAnsi="Times New Roman" w:cs="Times New Roman"/>
          <w:sz w:val="22"/>
          <w:szCs w:val="22"/>
        </w:rPr>
        <w:fldChar w:fldCharType="begin"/>
      </w:r>
      <w:r w:rsidR="00D1788F" w:rsidRPr="00D27DAA">
        <w:rPr>
          <w:rFonts w:ascii="Times New Roman" w:hAnsi="Times New Roman" w:cs="Times New Roman"/>
          <w:sz w:val="22"/>
          <w:szCs w:val="22"/>
        </w:rPr>
        <w:instrText xml:space="preserve"> SEQ Figure \* ARABIC </w:instrText>
      </w:r>
      <w:r w:rsidR="00D1788F"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1</w:t>
      </w:r>
      <w:r w:rsidR="00D1788F" w:rsidRPr="00D27DAA">
        <w:rPr>
          <w:rFonts w:ascii="Times New Roman" w:hAnsi="Times New Roman" w:cs="Times New Roman"/>
          <w:noProof/>
          <w:sz w:val="22"/>
          <w:szCs w:val="22"/>
        </w:rPr>
        <w:fldChar w:fldCharType="end"/>
      </w:r>
      <w:bookmarkEnd w:id="3"/>
      <w:r w:rsidRPr="00D27DAA">
        <w:rPr>
          <w:rFonts w:ascii="Times New Roman" w:hAnsi="Times New Roman" w:cs="Times New Roman"/>
          <w:sz w:val="22"/>
          <w:szCs w:val="22"/>
        </w:rPr>
        <w:t>- Reactivity control in the HTTR</w:t>
      </w:r>
    </w:p>
    <w:p w14:paraId="5C73A73C" w14:textId="7A5599A2" w:rsidR="005B4DF0" w:rsidRPr="00D27DAA" w:rsidRDefault="005B4DF0" w:rsidP="005B4DF0">
      <w:pPr>
        <w:rPr>
          <w:rFonts w:ascii="Times New Roman" w:hAnsi="Times New Roman" w:cs="Times New Roman"/>
        </w:rPr>
      </w:pPr>
      <w:r w:rsidRPr="00D27DAA">
        <w:rPr>
          <w:rFonts w:ascii="Times New Roman" w:hAnsi="Times New Roman" w:cs="Times New Roman"/>
        </w:rPr>
        <w:t xml:space="preserve">This is particularly useful as the HTTR uses a manipulated enrichment policy to control the power profile with the top of the reactor having as high as 10% enrichment and the bottom as low as 3.4% </w:t>
      </w:r>
      <w:r w:rsidRPr="00D27DAA">
        <w:rPr>
          <w:rFonts w:ascii="Times New Roman" w:hAnsi="Times New Roman" w:cs="Times New Roman"/>
        </w:rPr>
        <w:fldChar w:fldCharType="begin" w:fldLock="1"/>
      </w:r>
      <w:r w:rsidR="008C339F" w:rsidRPr="00D27DAA">
        <w:rPr>
          <w:rFonts w:ascii="Times New Roman" w:hAnsi="Times New Roman" w:cs="Times New Roman"/>
        </w:rPr>
        <w:instrText>ADDIN CSL_CITATION {"citationItems":[{"id":"ITEM-1","itemData":{"URL":"https://inldigitallibrary.inl.gov/sites/sti/sti/4633178.pdf","accessed":{"date-parts":[["2018","5","12"]]},"author":[{"dropping-particle":"","family":"Ortensi","given":"Javier","non-dropping-particle":"","parse-names":false,"suffix":""},{"dropping-particle":"","family":"Cogliati","given":"Joshua J","non-dropping-particle":"","parse-names":false,"suffix":""},{"dropping-particle":"","family":"Pope","given":"Michael A","non-dropping-particle":"","parse-names":false,"suffix":""},{"dropping-particle":"","family":"Bess","given":"John D","non-dropping-particle":"","parse-names":false,"suffix":""},{"dropping-particle":"","family":"Ferrer","given":"Rodolfo M","non-dropping-particle":"","parse-names":false,"suffix":""},{"dropping-particle":"","family":"Ougouag","given":"Abderrafi M","non-dropping-particle":"","parse-names":false,"suffix":""},{"dropping-particle":"","family":"Bingham","given":"Avery","non-dropping-particle":"","parse-names":false,"suffix":""}],"id":"ITEM-1","issued":{"date-parts":[["2010"]]},"title":"Deterministic Modeling of the High Temperature Test Reactor with DRAGON-HEXPEDITE","type":"webpage"},"uris":["http://www.mendeley.com/documents/?uuid=7481c55f-e683-4045-86da-504e30c70a2d"]}],"mendeley":{"formattedCitation":"(Ortensi et al., 2010)","plainTextFormattedCitation":"(Ortensi et al., 2010)","previouslyFormattedCitation":"(Ortensi et al., 2010)"},"properties":{"noteIndex":0},"schema":"https://github.com/citation-style-language/schema/raw/master/csl-citation.json"}</w:instrText>
      </w:r>
      <w:r w:rsidRPr="00D27DAA">
        <w:rPr>
          <w:rFonts w:ascii="Times New Roman" w:hAnsi="Times New Roman" w:cs="Times New Roman"/>
        </w:rPr>
        <w:fldChar w:fldCharType="separate"/>
      </w:r>
      <w:r w:rsidR="00D1788F" w:rsidRPr="00D27DAA">
        <w:rPr>
          <w:rFonts w:ascii="Times New Roman" w:hAnsi="Times New Roman" w:cs="Times New Roman"/>
          <w:noProof/>
        </w:rPr>
        <w:t>(Ortensi et al., 2010)</w:t>
      </w:r>
      <w:r w:rsidRPr="00D27DAA">
        <w:rPr>
          <w:rFonts w:ascii="Times New Roman" w:hAnsi="Times New Roman" w:cs="Times New Roman"/>
        </w:rPr>
        <w:fldChar w:fldCharType="end"/>
      </w:r>
      <w:r w:rsidRPr="00D27DAA">
        <w:rPr>
          <w:rFonts w:ascii="Times New Roman" w:hAnsi="Times New Roman" w:cs="Times New Roman"/>
        </w:rPr>
        <w:t xml:space="preserve">. This means that the insertion of the control rods </w:t>
      </w:r>
      <w:r w:rsidR="00547EC5" w:rsidRPr="00D27DAA">
        <w:rPr>
          <w:rFonts w:ascii="Times New Roman" w:hAnsi="Times New Roman" w:cs="Times New Roman"/>
        </w:rPr>
        <w:t>leads to</w:t>
      </w:r>
      <w:r w:rsidRPr="00D27DAA">
        <w:rPr>
          <w:rFonts w:ascii="Times New Roman" w:hAnsi="Times New Roman" w:cs="Times New Roman"/>
        </w:rPr>
        <w:t xml:space="preserve"> flattening the flux across the axial height of the core. In the case of the U-Battery, one of the main criteria was an operating fuel cycle lifetime of five years. Using a reduced enrichment or packing factor of the fuel, would impede the overall total lifetime of the core. Considering this, a harder </w:t>
      </w:r>
      <w:r w:rsidR="00547EC5" w:rsidRPr="00D27DAA">
        <w:rPr>
          <w:rFonts w:ascii="Times New Roman" w:hAnsi="Times New Roman" w:cs="Times New Roman"/>
        </w:rPr>
        <w:t xml:space="preserve">burnable </w:t>
      </w:r>
      <w:r w:rsidRPr="00D27DAA">
        <w:rPr>
          <w:rFonts w:ascii="Times New Roman" w:hAnsi="Times New Roman" w:cs="Times New Roman"/>
        </w:rPr>
        <w:t>poisoning regime is required to overcome this issue.</w:t>
      </w:r>
    </w:p>
    <w:p w14:paraId="6940D4A4" w14:textId="664F5A0D" w:rsidR="00520B04" w:rsidRPr="00D27DAA" w:rsidRDefault="00520B04" w:rsidP="008243B4">
      <w:pPr>
        <w:rPr>
          <w:rFonts w:ascii="Times New Roman" w:hAnsi="Times New Roman" w:cs="Times New Roman"/>
        </w:rPr>
      </w:pPr>
      <w:r w:rsidRPr="00D27DAA">
        <w:rPr>
          <w:rFonts w:ascii="Times New Roman" w:hAnsi="Times New Roman" w:cs="Times New Roman"/>
        </w:rPr>
        <w:t xml:space="preserve">This article aims to provide a concept </w:t>
      </w:r>
      <w:r w:rsidR="005E1793" w:rsidRPr="00D27DAA">
        <w:rPr>
          <w:rFonts w:ascii="Times New Roman" w:hAnsi="Times New Roman" w:cs="Times New Roman"/>
        </w:rPr>
        <w:t>for</w:t>
      </w:r>
      <w:r w:rsidRPr="00D27DAA">
        <w:rPr>
          <w:rFonts w:ascii="Times New Roman" w:hAnsi="Times New Roman" w:cs="Times New Roman"/>
        </w:rPr>
        <w:t xml:space="preserve"> reactivity control devices to control the excess reactivity in the U-Battery concept design. To achieve this multiple arrangement of control configurations, must be designed to determine the most suitable </w:t>
      </w:r>
      <w:r w:rsidR="005B4DF0" w:rsidRPr="00D27DAA">
        <w:rPr>
          <w:rFonts w:ascii="Times New Roman" w:hAnsi="Times New Roman" w:cs="Times New Roman"/>
        </w:rPr>
        <w:t>design</w:t>
      </w:r>
      <w:r w:rsidRPr="00D27DAA">
        <w:rPr>
          <w:rFonts w:ascii="Times New Roman" w:hAnsi="Times New Roman" w:cs="Times New Roman"/>
        </w:rPr>
        <w:t>. This article aims to provide a safe reactor concept and to understand the maximum full power days the U-Battery concept can achieve.</w:t>
      </w:r>
    </w:p>
    <w:p w14:paraId="1D492BBF" w14:textId="22C365E1" w:rsidR="00DD6288" w:rsidRPr="00D27DAA" w:rsidRDefault="00DD6288" w:rsidP="00DD6288">
      <w:pPr>
        <w:pStyle w:val="Heading1"/>
        <w:rPr>
          <w:rFonts w:ascii="Times New Roman" w:hAnsi="Times New Roman" w:cs="Times New Roman"/>
          <w:sz w:val="22"/>
          <w:szCs w:val="22"/>
        </w:rPr>
      </w:pPr>
      <w:r w:rsidRPr="00D27DAA">
        <w:rPr>
          <w:rFonts w:ascii="Times New Roman" w:hAnsi="Times New Roman" w:cs="Times New Roman"/>
          <w:sz w:val="22"/>
          <w:szCs w:val="22"/>
        </w:rPr>
        <w:lastRenderedPageBreak/>
        <w:t xml:space="preserve">Codes, </w:t>
      </w:r>
      <w:r w:rsidR="000F1B46" w:rsidRPr="00D27DAA">
        <w:rPr>
          <w:rFonts w:ascii="Times New Roman" w:hAnsi="Times New Roman" w:cs="Times New Roman"/>
          <w:sz w:val="22"/>
          <w:szCs w:val="22"/>
        </w:rPr>
        <w:t>D</w:t>
      </w:r>
      <w:r w:rsidRPr="00D27DAA">
        <w:rPr>
          <w:rFonts w:ascii="Times New Roman" w:hAnsi="Times New Roman" w:cs="Times New Roman"/>
          <w:sz w:val="22"/>
          <w:szCs w:val="22"/>
        </w:rPr>
        <w:t xml:space="preserve">ata and </w:t>
      </w:r>
      <w:r w:rsidR="000F1B46" w:rsidRPr="00D27DAA">
        <w:rPr>
          <w:rFonts w:ascii="Times New Roman" w:hAnsi="Times New Roman" w:cs="Times New Roman"/>
          <w:sz w:val="22"/>
          <w:szCs w:val="22"/>
        </w:rPr>
        <w:t>M</w:t>
      </w:r>
      <w:r w:rsidRPr="00D27DAA">
        <w:rPr>
          <w:rFonts w:ascii="Times New Roman" w:hAnsi="Times New Roman" w:cs="Times New Roman"/>
          <w:sz w:val="22"/>
          <w:szCs w:val="22"/>
        </w:rPr>
        <w:t>odels</w:t>
      </w:r>
    </w:p>
    <w:p w14:paraId="5BE2B034" w14:textId="77777777" w:rsidR="00E27129" w:rsidRPr="00D27DAA" w:rsidRDefault="00E27129" w:rsidP="003237A3">
      <w:pPr>
        <w:pStyle w:val="Heading2"/>
        <w:rPr>
          <w:rFonts w:ascii="Times New Roman" w:hAnsi="Times New Roman" w:cs="Times New Roman"/>
          <w:sz w:val="22"/>
          <w:szCs w:val="22"/>
        </w:rPr>
      </w:pPr>
      <w:r w:rsidRPr="00D27DAA">
        <w:rPr>
          <w:rFonts w:ascii="Times New Roman" w:hAnsi="Times New Roman" w:cs="Times New Roman"/>
          <w:sz w:val="22"/>
          <w:szCs w:val="22"/>
        </w:rPr>
        <w:t>Design Concept</w:t>
      </w:r>
    </w:p>
    <w:p w14:paraId="76EEBA54" w14:textId="7F884EA2" w:rsidR="00E41E5B" w:rsidRPr="00D27DAA" w:rsidRDefault="00E27129" w:rsidP="00547EC5">
      <w:pPr>
        <w:rPr>
          <w:rFonts w:ascii="Times New Roman" w:hAnsi="Times New Roman" w:cs="Times New Roman"/>
        </w:rPr>
      </w:pPr>
      <w:r w:rsidRPr="00D27DAA">
        <w:rPr>
          <w:rFonts w:ascii="Times New Roman" w:hAnsi="Times New Roman" w:cs="Times New Roman"/>
        </w:rPr>
        <w:t xml:space="preserve">The </w:t>
      </w:r>
      <w:r w:rsidR="00F212F4" w:rsidRPr="00D27DAA">
        <w:rPr>
          <w:rFonts w:ascii="Times New Roman" w:hAnsi="Times New Roman" w:cs="Times New Roman"/>
        </w:rPr>
        <w:t xml:space="preserve">design considered is loosely based </w:t>
      </w:r>
      <w:r w:rsidR="00DD6288" w:rsidRPr="00D27DAA">
        <w:rPr>
          <w:rFonts w:ascii="Times New Roman" w:hAnsi="Times New Roman" w:cs="Times New Roman"/>
        </w:rPr>
        <w:t>on</w:t>
      </w:r>
      <w:r w:rsidR="00F212F4" w:rsidRPr="00D27DAA">
        <w:rPr>
          <w:rFonts w:ascii="Times New Roman" w:hAnsi="Times New Roman" w:cs="Times New Roman"/>
        </w:rPr>
        <w:t xml:space="preserve"> the </w:t>
      </w:r>
      <w:r w:rsidRPr="00D27DAA">
        <w:rPr>
          <w:rFonts w:ascii="Times New Roman" w:hAnsi="Times New Roman" w:cs="Times New Roman"/>
        </w:rPr>
        <w:t>U-Battery</w:t>
      </w:r>
      <w:r w:rsidR="00F212F4" w:rsidRPr="00D27DAA">
        <w:rPr>
          <w:rFonts w:ascii="Times New Roman" w:hAnsi="Times New Roman" w:cs="Times New Roman"/>
        </w:rPr>
        <w:t xml:space="preserve"> </w:t>
      </w:r>
      <w:r w:rsidR="00DD6288" w:rsidRPr="00D27DAA">
        <w:rPr>
          <w:rFonts w:ascii="Times New Roman" w:hAnsi="Times New Roman" w:cs="Times New Roman"/>
        </w:rPr>
        <w:t xml:space="preserve">concept </w:t>
      </w:r>
      <w:r w:rsidR="00F212F4" w:rsidRPr="00D27DAA">
        <w:rPr>
          <w:rFonts w:ascii="Times New Roman" w:hAnsi="Times New Roman" w:cs="Times New Roman"/>
        </w:rPr>
        <w:t>which</w:t>
      </w:r>
      <w:r w:rsidRPr="00D27DAA">
        <w:rPr>
          <w:rFonts w:ascii="Times New Roman" w:hAnsi="Times New Roman" w:cs="Times New Roman"/>
        </w:rPr>
        <w:t xml:space="preserve"> aims for a fast deployment using readily available</w:t>
      </w:r>
      <w:r w:rsidR="00DF6AD6" w:rsidRPr="00D27DAA">
        <w:rPr>
          <w:rFonts w:ascii="Times New Roman" w:hAnsi="Times New Roman" w:cs="Times New Roman"/>
        </w:rPr>
        <w:t xml:space="preserve"> technology.</w:t>
      </w:r>
      <w:r w:rsidRPr="00D27DAA">
        <w:rPr>
          <w:rFonts w:ascii="Times New Roman" w:hAnsi="Times New Roman" w:cs="Times New Roman"/>
        </w:rPr>
        <w:t xml:space="preserve"> </w:t>
      </w:r>
      <w:r w:rsidR="00E41E5B" w:rsidRPr="00D27DAA">
        <w:rPr>
          <w:rFonts w:ascii="Times New Roman" w:hAnsi="Times New Roman" w:cs="Times New Roman"/>
        </w:rPr>
        <w:t xml:space="preserve">When </w:t>
      </w:r>
      <w:proofErr w:type="spellStart"/>
      <w:r w:rsidR="00E41E5B" w:rsidRPr="00D27DAA">
        <w:rPr>
          <w:rFonts w:ascii="Times New Roman" w:hAnsi="Times New Roman" w:cs="Times New Roman"/>
        </w:rPr>
        <w:t>Urenco</w:t>
      </w:r>
      <w:proofErr w:type="spellEnd"/>
      <w:r w:rsidR="00E41E5B" w:rsidRPr="00D27DAA">
        <w:rPr>
          <w:rFonts w:ascii="Times New Roman" w:hAnsi="Times New Roman" w:cs="Times New Roman"/>
        </w:rPr>
        <w:t xml:space="preserve"> commissioned the initial design of the U-Battery in 2011 </w:t>
      </w:r>
      <w:r w:rsidR="00E41E5B" w:rsidRPr="00D27DAA">
        <w:rPr>
          <w:rFonts w:ascii="Times New Roman" w:hAnsi="Times New Roman" w:cs="Times New Roman"/>
        </w:rPr>
        <w:fldChar w:fldCharType="begin" w:fldLock="1"/>
      </w:r>
      <w:r w:rsidR="008C339F" w:rsidRPr="00D27DAA">
        <w:rPr>
          <w:rFonts w:ascii="Times New Roman" w:hAnsi="Times New Roman" w:cs="Times New Roman"/>
        </w:rPr>
        <w:instrText>ADDIN CSL_CITATION {"citationItems":[{"id":"ITEM-1","itemData":{"URL":"http://www.janleenkloosterman.nl/reports/ubattery_final_201111.pdf","accessed":{"date-parts":[["2018","5","11"]]},"author":[{"dropping-particle":"","family":"Ding","given":"Ming","non-dropping-particle":"","parse-names":false,"suffix":""},{"dropping-particle":"","family":"Kloosterman","given":"Jan Leen","non-dropping-particle":"","parse-names":false,"suffix":""},{"dropping-particle":"","family":"Kooijman","given":"Theo","non-dropping-particle":"","parse-names":false,"suffix":""},{"dropping-particle":"","family":"Linssen","given":"Rik","non-dropping-particle":"","parse-names":false,"suffix":""}],"id":"ITEM-1","issued":{"date-parts":[["2011"]]},"page":"462","title":"Design of a U-Battery ®","type":"webpage"},"uris":["http://www.mendeley.com/documents/?uuid=c9897914-798f-4e91-a545-84071cc51803"]}],"mendeley":{"formattedCitation":"(Ding et al., 2011)","plainTextFormattedCitation":"(Ding et al., 2011)","previouslyFormattedCitation":"(Ding et al., 2011)"},"properties":{"noteIndex":0},"schema":"https://github.com/citation-style-language/schema/raw/master/csl-citation.json"}</w:instrText>
      </w:r>
      <w:r w:rsidR="00E41E5B" w:rsidRPr="00D27DAA">
        <w:rPr>
          <w:rFonts w:ascii="Times New Roman" w:hAnsi="Times New Roman" w:cs="Times New Roman"/>
        </w:rPr>
        <w:fldChar w:fldCharType="separate"/>
      </w:r>
      <w:r w:rsidR="00E41E5B" w:rsidRPr="00D27DAA">
        <w:rPr>
          <w:rFonts w:ascii="Times New Roman" w:hAnsi="Times New Roman" w:cs="Times New Roman"/>
          <w:noProof/>
        </w:rPr>
        <w:t>(Ding et al., 2011)</w:t>
      </w:r>
      <w:r w:rsidR="00E41E5B" w:rsidRPr="00D27DAA">
        <w:rPr>
          <w:rFonts w:ascii="Times New Roman" w:hAnsi="Times New Roman" w:cs="Times New Roman"/>
        </w:rPr>
        <w:fldChar w:fldCharType="end"/>
      </w:r>
      <w:r w:rsidR="00E41E5B" w:rsidRPr="00D27DAA">
        <w:rPr>
          <w:rFonts w:ascii="Times New Roman" w:hAnsi="Times New Roman" w:cs="Times New Roman"/>
        </w:rPr>
        <w:t xml:space="preserve"> extensive work was undertaken from a neutronic perspective at Tu-Delft </w:t>
      </w:r>
      <w:r w:rsidR="00E41E5B" w:rsidRPr="00D27DAA">
        <w:rPr>
          <w:rFonts w:ascii="Times New Roman" w:hAnsi="Times New Roman" w:cs="Times New Roman"/>
        </w:rPr>
        <w:fldChar w:fldCharType="begin" w:fldLock="1"/>
      </w:r>
      <w:r w:rsidR="008C339F" w:rsidRPr="00D27DAA">
        <w:rPr>
          <w:rFonts w:ascii="Times New Roman" w:hAnsi="Times New Roman" w:cs="Times New Roman"/>
        </w:rPr>
        <w:instrText>ADDIN CSL_CITATION {"citationItems":[{"id":"ITEM-1","itemData":{"DOI":"10.1016/j.nucengdes.2011.08.083","ISSN":"00295493","abstract":"Small high temperature gas-cooled reactors (HTRs) have the advantages of transportability, modular construction and flexible site selection. This paper presents the neutronic feasibility design of a 20 MWth U-Battery, which is a long-life block-type HTR. Key design parameters and possible reactor core configurations of the U-Battery were investigated by SCALE 5.1. The design parameters analyzed include fuel enrichment, the packing fraction of TRISO particles, the radii of fuel compacts and kernels, and the thicknesses of top and bottom reflectors. Possible reactor core configurations investigated include five cylindrical, two annular and four scatter reactor cores for the U-Battery. The neutronic design shows that the 20 MWth U-Battery with a 10-year lifetime is feasible using less than 20 enriched uranium, while the negative values of the temperature coefficients of reactivity partly ensure the inherent safety of the U-Battery. The higher the fuel enrichment and the packing fraction of TRISO particles are, the lower the reactivity swing during 10 years will be. There is an optimum radius of fuel kernels for each value of the fuel compact design parameter (i.e.; radius) and a specific fuel lifetime. Moreover, the radius of fuel kernels has a small influence on the infinite multiplication factor of a typical fuel block in the range of 0.2-0.25 mm, when the radius of fuel compacts is 0.6225 cm and the lifetime of the fuel block is 10 years. The comparison of the cylindrical reactor cores with the non-cylindrical ones shows that neutron under-moderation is a basic neutronic characteristic of the reactor core of the U-Battery. Increasing neutron moderation by replacing fuel blocks with graphite blocks and dispersing the graphite blocks in the reactor core are two effective ways to increase the fuel burnup and lifetime of the U-Battery. Water or steam ingress may induce positive reactivity ranging from 0 to 0.16 Δk/k, which further demonstrates that the U-Battery is under-moderated. © 2011 Elsevier B.V. All rights reserved.","author":[{"dropping-particle":"","family":"Ding","given":"Ming","non-dropping-particle":"","parse-names":false,"suffix":""},{"dropping-particle":"","family":"Kloosterman","given":"Jan Leen","non-dropping-particle":"","parse-names":false,"suffix":""}],"container-title":"Nuclear Engineering and Design","id":"ITEM-1","issue":"12","issued":{"date-parts":[["2011"]]},"page":"5093-5103","publisher":"Elsevier B.V.","title":"Neutronic feasibility design of a small long-life HTR","type":"article-journal","volume":"241"},"uris":["http://www.mendeley.com/documents/?uuid=af969e45-1a88-445b-bbfd-ae6111f41221"]},{"id":"ITEM-2","itemData":{"DOI":"10.1016/j.nucengdes.2012.11.009","ISSN":"00295493","abstract":"Small long-life high temperature gas-cooled reactors (HTRs) may provide electricity or heat for remote areas or industrial users in developed and/or developing countries. Moreover, small HTRs have advantages over large nuclear reactors of demonstrated inherent safety, transportability, modular construction, and flexible site selection. This paper presents the thermal-hydraulic evaluations of the U-Battery, which is a small, long-life and block-type HTR using the DALTON/THERMIX code system. The thermal-hydraulic characteristics of a cylindrical design and an annular design of the U-Battery were evaluated for loss of forced-cooling (LOFC) incidents including depressurized LOFC (DLOFC) and pressurized LOFC (PLOFC) incidents. The calculations show that the stronger natural circulation during the PLOFC makes the reactor core cool faster than during the DLOFC, flattens the radial solid temperature distribution, and transfers more heat from the hot regions (bottom and center of the reactor core) to cold regions (top and periphery of the reactor core). Although the natural circulation in the reactor core is so weak that it is neglected during the DLOFC, the decay heat is removed passively by conduction without any violation of the temperature limits for the 20 MWth U-Battery. The comparisons of the cylindrical and annular reactor core configurations show that the latter is a better design with a lower maximum core temperature during the LOFC because of the central graphite reflector. Moreover, it is possible to adopt the current reactor configuration when the thermal power of the U-Battery increases from 20 MWth to 40 MWth.© 2012 Elsevier B.V. All rights reserved .","author":[{"dropping-particle":"","family":"Ding","given":"Ming","non-dropping-particle":"","parse-names":false,"suffix":""},{"dropping-particle":"","family":"Kloosterman","given":"Jan Leen","non-dropping-particle":"","parse-names":false,"suffix":""}],"container-title":"Nuclear Engineering and Design","id":"ITEM-2","issued":{"date-parts":[["2013"]]},"page":"347-358","publisher":"Elsevier B.V.","title":"Thermal-hydraulic design and transient evaluation of a small long-life HTR","type":"article-journal","volume":"255"},"uris":["http://www.mendeley.com/documents/?uuid=c39fecb3-e115-48fe-9bc4-2a4cea53be7a"]},{"id":"ITEM-3","itemData":{"DOI":"10.1016/j.nucengdes.2013.08.076","ISBN":"0029-5493","ISSN":"00295493","abstract":"In order to utilize thorium in high temperature gas-cooled reactors (HTRs), the concept of seed-and-blanket (S&amp;B) fuel block is introduced into the U-Battery, which is a long-life block-type HTR with a thermal power of 20 MWth. A S&amp;B fuel block consists of a seed region with uranium in the center, and a blanket region with thorium. The neutronic performance, such as the multiplication factor, conversion ratio and reactivity swing, of a typical S&amp;B fuel block was investigated by SCALE 6.0 by parametric analysis of the composition parameters and geometric parameters of the fuel block for the U-Battery application. Since the purpose of U-235 in the S&amp;B fuel block is to ignite the fission reactions in the fuel block, 20% enriched uranium is recommended for the S&amp;B fuel block. When the ratio of the number of carbon to heavy metal atoms changes with the geometric parameters of the fuel block in the range of 200-250, the reactivity swing reaches very small values. Furthermore, for a reactivity swing of 0.1 Δk during 10 effective full power years, three configurations with 36, 54 and 78 UO2fuel rods are recommended for the application of the U-Battery. The comparison analysis of the S&amp;B fuel block with the Th/U MOX fuel block shows that the former has a longer lifetime and a lower reactivity swing. © 2013 Elsevier B.V.","author":[{"dropping-particle":"","family":"Ding","given":"Ming","non-dropping-particle":"","parse-names":false,"suffix":""},{"dropping-particle":"","family":"Kloosterman","given":"Jan Leen","non-dropping-particle":"","parse-names":false,"suffix":""}],"container-title":"Nuclear Engineering and Design","id":"ITEM-3","issued":{"date-parts":[["2014"]]},"page":"245-252","publisher":"Elsevier B.V.","title":"Thorium utilization in a small long-life HTR. Part II: Seed-and-blanket fuel blocks","type":"article-journal","volume":"267"},"uris":["http://www.mendeley.com/documents/?uuid=535d0137-2fa9-4bba-afff-a74378ef31dc"]},{"id":"ITEM-4","itemData":{"DOI":"10.1016/j.nucengdes.2013.08.075","ISSN":"00295493","abstract":"The U-Battery is a small long-life high temperature gas-cooled reactor (HTR) with power of 20 MWth. In order to increase its lifetime and diminish its reactivity swing, the concept of composite-rod fuel blocks with uranium and thorium was investigated. Composite-rod fuel blocks feature a specific axial separation between UO2and ThO2compacts in fuel rods. The design parameters, investigated by SCALE 6, include the number and spatial distribution of fuel compacts within the rods, the enrichment of uranium, the radii of fuel kernels and fuel compacts, and the packing fractions of uranium and thorium TRISO particles. The analysis shows that a lower moderation ratio and a larger inventory of heavy metals results in a lower reactivity swing. The optimal atomic carbon-to-heavy metal ratio depends on the mass fraction of U-235 and is commonly in the 160-200 range. The spatial distribution of the fuel compacts within the fuel rods has a large influence on the energy spectrum in each fuel compact and thus on the beginning-of-life reactivity and the reactivity swing. At end-of-life, the differences caused by the spatial distribution of the fuel compacts are smaller due to the fissions of U-233 in the ThO2fuel compacts. This phenomenon enables to design fuel blocks with a very low reactivity swing, down to less than 4% in a 10-year lifetime. Among three types of thorium fuelled U-Battery blocks, the composite-rod fuel block achieves the highest end-of-life reactivity and the lowest reactivity swing. © 2013 Elsevier B.V.","author":[{"dropping-particle":"","family":"Verrue","given":"Jacques","non-dropping-particle":"","parse-names":false,"suffix":""},{"dropping-particle":"","family":"Ding","given":"Ming","non-dropping-particle":"","parse-names":false,"suffix":""},{"dropping-particle":"","family":"Kloosterman","given":"Jan Leen","non-dropping-particle":"","parse-names":false,"suffix":""}],"container-title":"Nuclear Engineering and Design","id":"ITEM-4","issued":{"date-parts":[["2014"]]},"page":"253-262","publisher":"Elsevier B.V.","title":"Thorium utilisation in a small long-life HTR. Part III: Composite-rod fuel blocks","type":"article-journal","volume":"267"},"uris":["http://www.mendeley.com/documents/?uuid=91c8f762-d7ca-40c2-beeb-3b303d2c2e43"]},{"id":"ITEM-5","itemData":{"DOI":"10.1016/j.nucengdes.2013.08.076","ISBN":"0029-5493","ISSN":"00295493","abstract":"In order to utilize thorium in high temperature gas-cooled reactors (HTRs), the concept of seed-and-blanket (S&amp;B) fuel block is introduced into the U-Battery, which is a long-life block-type HTR with a thermal power of 20 MWth. A S&amp;B fuel block consists of a seed region with uranium in the center, and a blanket region with thorium. The neutronic performance, such as the multiplication factor, conversion ratio and reactivity swing, of a typical S&amp;B fuel block was investigated by SCALE 6.0 by parametric analysis of the composition parameters and geometric parameters of the fuel block for the U-Battery application. Since the purpose of U-235 in the S&amp;B fuel block is to ignite the fission reactions in the fuel block, 20% enriched uranium is recommended for the S&amp;B fuel block. When the ratio of the number of carbon to heavy metal atoms changes with the geometric parameters of the fuel block in the range of 200-250, the reactivity swing reaches very small values. Furthermore, for a reactivity swing of 0.1 Δk during 10 effective full power years, three configurations with 36, 54 and 78 UO2fuel rods are recommended for the application of the U-Battery. The comparison analysis of the S&amp;B fuel block with the Th/U MOX fuel block shows that the former has a longer lifetime and a lower reactivity swing. © 2013 Elsevier B.V.","author":[{"dropping-particle":"","family":"Ding","given":"Ming","non-dropping-particle":"","parse-names":false,"suffix":""},{"dropping-particle":"","family":"Kloosterman","given":"Jan Leen","non-dropping-particle":"","parse-names":false,"suffix":""}],"container-title":"Nuclear Engineering and Design","id":"ITEM-5","issued":{"date-parts":[["2014"]]},"page":"245-252","publisher":"Elsevier B.V.","title":"Thorium utilization in a small long-life HTR. Part II: Seed-and-blanket fuel blocks","type":"article-journal","volume":"267"},"uris":["http://www.mendeley.com/documents/?uuid=11863bbf-bb78-4c82-bc1f-5d60e149b7f1"]}],"mendeley":{"formattedCitation":"(Ding and Kloosterman, 2014a, 2014b, 2013, 2011; Verrue et al., 2014)","plainTextFormattedCitation":"(Ding and Kloosterman, 2014a, 2014b, 2013, 2011; Verrue et al., 2014)","previouslyFormattedCitation":"(Ding and Kloosterman, 2014a, 2014b, 2013, 2011; Verrue et al., 2014)"},"properties":{"noteIndex":0},"schema":"https://github.com/citation-style-language/schema/raw/master/csl-citation.json"}</w:instrText>
      </w:r>
      <w:r w:rsidR="00E41E5B" w:rsidRPr="00D27DAA">
        <w:rPr>
          <w:rFonts w:ascii="Times New Roman" w:hAnsi="Times New Roman" w:cs="Times New Roman"/>
        </w:rPr>
        <w:fldChar w:fldCharType="separate"/>
      </w:r>
      <w:r w:rsidR="00E41E5B" w:rsidRPr="00D27DAA">
        <w:rPr>
          <w:rFonts w:ascii="Times New Roman" w:hAnsi="Times New Roman" w:cs="Times New Roman"/>
          <w:noProof/>
        </w:rPr>
        <w:t>(Ding and Kloosterman, 2014a, 2014b, 2013, 2011; Verrue et al., 2014)</w:t>
      </w:r>
      <w:r w:rsidR="00E41E5B" w:rsidRPr="00D27DAA">
        <w:rPr>
          <w:rFonts w:ascii="Times New Roman" w:hAnsi="Times New Roman" w:cs="Times New Roman"/>
        </w:rPr>
        <w:fldChar w:fldCharType="end"/>
      </w:r>
      <w:r w:rsidR="00E41E5B" w:rsidRPr="00D27DAA">
        <w:rPr>
          <w:rFonts w:ascii="Times New Roman" w:hAnsi="Times New Roman" w:cs="Times New Roman"/>
        </w:rPr>
        <w:t xml:space="preserve"> with regards to the 20MWth model. Following the economic analysis of the basic 10MWth and 20MWth designs, it was determined that the next stages will progress with the 10MWth design. </w:t>
      </w:r>
    </w:p>
    <w:p w14:paraId="7441765A" w14:textId="54FD4553" w:rsidR="00DE313E" w:rsidRPr="00D27DAA" w:rsidRDefault="00813CC3" w:rsidP="00547EC5">
      <w:pPr>
        <w:rPr>
          <w:rFonts w:ascii="Times New Roman" w:hAnsi="Times New Roman" w:cs="Times New Roman"/>
        </w:rPr>
      </w:pPr>
      <w:r w:rsidRPr="00D27DAA">
        <w:rPr>
          <w:rFonts w:ascii="Times New Roman" w:hAnsi="Times New Roman" w:cs="Times New Roman"/>
        </w:rPr>
        <w:t xml:space="preserve">The initial U-Battery report </w:t>
      </w:r>
      <w:r w:rsidR="008C339F" w:rsidRPr="00D27DAA">
        <w:rPr>
          <w:rFonts w:ascii="Times New Roman" w:hAnsi="Times New Roman" w:cs="Times New Roman"/>
        </w:rPr>
        <w:fldChar w:fldCharType="begin" w:fldLock="1"/>
      </w:r>
      <w:r w:rsidR="008C339F" w:rsidRPr="00D27DAA">
        <w:rPr>
          <w:rFonts w:ascii="Times New Roman" w:hAnsi="Times New Roman" w:cs="Times New Roman"/>
        </w:rPr>
        <w:instrText>ADDIN CSL_CITATION {"citationItems":[{"id":"ITEM-1","itemData":{"URL":"http://www.janleenkloosterman.nl/reports/ubattery_final_201111.pdf","accessed":{"date-parts":[["2018","5","11"]]},"author":[{"dropping-particle":"","family":"Ding","given":"Ming","non-dropping-particle":"","parse-names":false,"suffix":""},{"dropping-particle":"","family":"Kloosterman","given":"Jan Leen","non-dropping-particle":"","parse-names":false,"suffix":""},{"dropping-particle":"","family":"Kooijman","given":"Theo","non-dropping-particle":"","parse-names":false,"suffix":""},{"dropping-particle":"","family":"Linssen","given":"Rik","non-dropping-particle":"","parse-names":false,"suffix":""}],"id":"ITEM-1","issued":{"date-parts":[["2011"]]},"page":"462","title":"Design of a U-Battery ®","type":"webpage"},"uris":["http://www.mendeley.com/documents/?uuid=c9897914-798f-4e91-a545-84071cc51803"]}],"mendeley":{"formattedCitation":"(Ding et al., 2011)","plainTextFormattedCitation":"(Ding et al., 2011)","previouslyFormattedCitation":"(Ding et al., 2011)"},"properties":{"noteIndex":0},"schema":"https://github.com/citation-style-language/schema/raw/master/csl-citation.json"}</w:instrText>
      </w:r>
      <w:r w:rsidR="008C339F" w:rsidRPr="00D27DAA">
        <w:rPr>
          <w:rFonts w:ascii="Times New Roman" w:hAnsi="Times New Roman" w:cs="Times New Roman"/>
        </w:rPr>
        <w:fldChar w:fldCharType="separate"/>
      </w:r>
      <w:r w:rsidR="008C339F" w:rsidRPr="00D27DAA">
        <w:rPr>
          <w:rFonts w:ascii="Times New Roman" w:hAnsi="Times New Roman" w:cs="Times New Roman"/>
          <w:noProof/>
        </w:rPr>
        <w:t>(Ding et al., 2011)</w:t>
      </w:r>
      <w:r w:rsidR="008C339F" w:rsidRPr="00D27DAA">
        <w:rPr>
          <w:rFonts w:ascii="Times New Roman" w:hAnsi="Times New Roman" w:cs="Times New Roman"/>
        </w:rPr>
        <w:fldChar w:fldCharType="end"/>
      </w:r>
      <w:r w:rsidR="008C339F" w:rsidRPr="00D27DAA">
        <w:rPr>
          <w:rFonts w:ascii="Times New Roman" w:hAnsi="Times New Roman" w:cs="Times New Roman"/>
        </w:rPr>
        <w:t xml:space="preserve"> </w:t>
      </w:r>
      <w:r w:rsidRPr="00D27DAA">
        <w:rPr>
          <w:rFonts w:ascii="Times New Roman" w:hAnsi="Times New Roman" w:cs="Times New Roman"/>
        </w:rPr>
        <w:t>initially stated that the inclusion of a beryllium oxide side reflector increased the overall full power lifecycle</w:t>
      </w:r>
      <w:r w:rsidR="00CF223A" w:rsidRPr="00D27DAA">
        <w:rPr>
          <w:rFonts w:ascii="Times New Roman" w:hAnsi="Times New Roman" w:cs="Times New Roman"/>
        </w:rPr>
        <w:t xml:space="preserve"> of the 10MWth design</w:t>
      </w:r>
      <w:r w:rsidRPr="00D27DAA">
        <w:rPr>
          <w:rFonts w:ascii="Times New Roman" w:hAnsi="Times New Roman" w:cs="Times New Roman"/>
        </w:rPr>
        <w:t xml:space="preserve">. </w:t>
      </w:r>
      <w:r w:rsidR="00547EC5" w:rsidRPr="00D27DAA">
        <w:rPr>
          <w:rFonts w:ascii="Times New Roman" w:hAnsi="Times New Roman" w:cs="Times New Roman"/>
        </w:rPr>
        <w:t xml:space="preserve">This initial design was analysed and it was determined that the overall </w:t>
      </w:r>
      <w:r w:rsidR="00414B03" w:rsidRPr="00D27DAA">
        <w:rPr>
          <w:rFonts w:ascii="Times New Roman" w:hAnsi="Times New Roman" w:cs="Times New Roman"/>
        </w:rPr>
        <w:t>lifecycle was</w:t>
      </w:r>
      <w:r w:rsidR="00547EC5" w:rsidRPr="00D27DAA">
        <w:rPr>
          <w:rFonts w:ascii="Times New Roman" w:hAnsi="Times New Roman" w:cs="Times New Roman"/>
        </w:rPr>
        <w:t xml:space="preserve"> over predicted</w:t>
      </w:r>
      <w:r w:rsidR="00414B03" w:rsidRPr="00D27DAA">
        <w:rPr>
          <w:rFonts w:ascii="Times New Roman" w:hAnsi="Times New Roman" w:cs="Times New Roman"/>
        </w:rPr>
        <w:t xml:space="preserve"> 706 days as explained in detail in </w:t>
      </w:r>
      <w:r w:rsidR="00414B03" w:rsidRPr="00D27DAA">
        <w:rPr>
          <w:rFonts w:ascii="Times New Roman" w:hAnsi="Times New Roman" w:cs="Times New Roman"/>
        </w:rPr>
        <w:fldChar w:fldCharType="begin" w:fldLock="1"/>
      </w:r>
      <w:r w:rsidR="008C339F" w:rsidRPr="00D27DAA">
        <w:rPr>
          <w:rFonts w:ascii="Times New Roman" w:hAnsi="Times New Roman" w:cs="Times New Roman"/>
        </w:rPr>
        <w:instrText>ADDIN CSL_CITATION {"citationItems":[{"id":"ITEM-1","itemData":{"author":[{"dropping-particle":"","family":"S.Atkinson , T.J.Abram, D.Litskevich","given":"B.Merk","non-dropping-particle":"","parse-names":false,"suffix":""}],"container-title":"Submitted to Prgress in nuclear - Ref. No.: PNUCENE-D-18-00199","id":"ITEM-1","issued":{"date-parts":[["0"]]},"title":"A comparison between Beryllium oxide and nuclear graphite in a small scale high temperature reactor","type":"article-journal"},"uris":["http://www.mendeley.com/documents/?uuid=834ff841-3533-4d53-a3aa-e019653aeba7"]}],"mendeley":{"formattedCitation":"(S.Atkinson , T.J.Abram, D.Litskevich, n.d.)","plainTextFormattedCitation":"(S.Atkinson , T.J.Abram, D.Litskevich, n.d.)","previouslyFormattedCitation":"(S.Atkinson , T.J.Abram, D.Litskevich, n.d.)"},"properties":{"noteIndex":0},"schema":"https://github.com/citation-style-language/schema/raw/master/csl-citation.json"}</w:instrText>
      </w:r>
      <w:r w:rsidR="00414B03" w:rsidRPr="00D27DAA">
        <w:rPr>
          <w:rFonts w:ascii="Times New Roman" w:hAnsi="Times New Roman" w:cs="Times New Roman"/>
        </w:rPr>
        <w:fldChar w:fldCharType="separate"/>
      </w:r>
      <w:r w:rsidR="00D1788F" w:rsidRPr="00D27DAA">
        <w:rPr>
          <w:rFonts w:ascii="Times New Roman" w:hAnsi="Times New Roman" w:cs="Times New Roman"/>
          <w:noProof/>
        </w:rPr>
        <w:t>(S.Atkinson , T.J.Abram, D.Litskevich, n.d.)</w:t>
      </w:r>
      <w:r w:rsidR="00414B03" w:rsidRPr="00D27DAA">
        <w:rPr>
          <w:rFonts w:ascii="Times New Roman" w:hAnsi="Times New Roman" w:cs="Times New Roman"/>
        </w:rPr>
        <w:fldChar w:fldCharType="end"/>
      </w:r>
      <w:r w:rsidR="00414B03" w:rsidRPr="00D27DAA">
        <w:rPr>
          <w:rFonts w:ascii="Times New Roman" w:hAnsi="Times New Roman" w:cs="Times New Roman"/>
        </w:rPr>
        <w:t>. To achieve a long operating lifecycle is part of the main design concept, so achieving as near to five years as possible is one of the purposes of this design.</w:t>
      </w:r>
      <w:r w:rsidR="00307C85" w:rsidRPr="00D27DAA">
        <w:rPr>
          <w:rFonts w:ascii="Times New Roman" w:hAnsi="Times New Roman" w:cs="Times New Roman"/>
        </w:rPr>
        <w:t xml:space="preserve"> </w:t>
      </w:r>
    </w:p>
    <w:p w14:paraId="6DBDB4AF" w14:textId="66A412F3" w:rsidR="00E83963" w:rsidRPr="00D27DAA" w:rsidRDefault="00B51BC5" w:rsidP="00E83963">
      <w:pPr>
        <w:rPr>
          <w:rFonts w:ascii="Times New Roman" w:hAnsi="Times New Roman" w:cs="Times New Roman"/>
        </w:rPr>
      </w:pPr>
      <w:r w:rsidRPr="00D27DAA">
        <w:rPr>
          <w:rFonts w:ascii="Times New Roman" w:hAnsi="Times New Roman" w:cs="Times New Roman"/>
        </w:rPr>
        <w:t xml:space="preserve"> Material se</w:t>
      </w:r>
      <w:r w:rsidR="00982438" w:rsidRPr="00D27DAA">
        <w:rPr>
          <w:rFonts w:ascii="Times New Roman" w:hAnsi="Times New Roman" w:cs="Times New Roman"/>
        </w:rPr>
        <w:t>lection is important when considering the reactor design</w:t>
      </w:r>
      <w:r w:rsidR="00547EC5" w:rsidRPr="00D27DAA">
        <w:rPr>
          <w:rFonts w:ascii="Times New Roman" w:hAnsi="Times New Roman" w:cs="Times New Roman"/>
        </w:rPr>
        <w:t xml:space="preserve"> and the </w:t>
      </w:r>
      <w:r w:rsidR="00BA0709" w:rsidRPr="00D27DAA">
        <w:rPr>
          <w:rFonts w:ascii="Times New Roman" w:hAnsi="Times New Roman" w:cs="Times New Roman"/>
        </w:rPr>
        <w:t>above-mentioned</w:t>
      </w:r>
      <w:r w:rsidR="00547EC5" w:rsidRPr="00D27DAA">
        <w:rPr>
          <w:rFonts w:ascii="Times New Roman" w:hAnsi="Times New Roman" w:cs="Times New Roman"/>
        </w:rPr>
        <w:t xml:space="preserve"> fast deployment</w:t>
      </w:r>
      <w:r w:rsidR="00982438" w:rsidRPr="00D27DAA">
        <w:rPr>
          <w:rFonts w:ascii="Times New Roman" w:hAnsi="Times New Roman" w:cs="Times New Roman"/>
        </w:rPr>
        <w:t>. To allow for easy deployment, the materials should ideally have been used before to allow for a safety case to be carried out. In the case of the poisons, Gd</w:t>
      </w:r>
      <w:r w:rsidR="00982438" w:rsidRPr="00D27DAA">
        <w:rPr>
          <w:rFonts w:ascii="Times New Roman" w:hAnsi="Times New Roman" w:cs="Times New Roman"/>
          <w:vertAlign w:val="subscript"/>
        </w:rPr>
        <w:t>2</w:t>
      </w:r>
      <w:r w:rsidR="00982438" w:rsidRPr="00D27DAA">
        <w:rPr>
          <w:rFonts w:ascii="Times New Roman" w:hAnsi="Times New Roman" w:cs="Times New Roman"/>
        </w:rPr>
        <w:t>O</w:t>
      </w:r>
      <w:r w:rsidR="00982438" w:rsidRPr="00D27DAA">
        <w:rPr>
          <w:rFonts w:ascii="Times New Roman" w:hAnsi="Times New Roman" w:cs="Times New Roman"/>
          <w:vertAlign w:val="subscript"/>
        </w:rPr>
        <w:t>3</w:t>
      </w:r>
      <w:r w:rsidR="00982438" w:rsidRPr="00D27DAA">
        <w:rPr>
          <w:rFonts w:ascii="Times New Roman" w:hAnsi="Times New Roman" w:cs="Times New Roman"/>
        </w:rPr>
        <w:t xml:space="preserve"> is currently used within the advanced gas-cooled reactor (AGR) fleet</w:t>
      </w:r>
      <w:r w:rsidR="00547EC5" w:rsidRPr="00D27DAA">
        <w:rPr>
          <w:rFonts w:ascii="Times New Roman" w:hAnsi="Times New Roman" w:cs="Times New Roman"/>
        </w:rPr>
        <w:t xml:space="preserve"> </w:t>
      </w:r>
      <w:r w:rsidR="00547EC5" w:rsidRPr="00D27DAA">
        <w:rPr>
          <w:rFonts w:ascii="Times New Roman" w:hAnsi="Times New Roman" w:cs="Times New Roman"/>
        </w:rPr>
        <w:fldChar w:fldCharType="begin" w:fldLock="1"/>
      </w:r>
      <w:r w:rsidR="008C339F" w:rsidRPr="00D27DAA">
        <w:rPr>
          <w:rFonts w:ascii="Times New Roman" w:hAnsi="Times New Roman" w:cs="Times New Roman"/>
        </w:rPr>
        <w:instrText>ADDIN CSL_CITATION {"citationItems":[{"id":"ITEM-1","itemData":{"URL":"http://www.iaea.org/inis/collection/NCLCollectionStore/_Public/30/052/30052480.pdf","abstract":"The present report comprises a technical description of the Advanced Gas cooled Reactor (AGR), a reactor type which has only been built in Grat Britain. 14 AGR reactors have been built, located at 6 different sites and each station is supplied with twin-react ors . The Torness AGR plant on the Lothian coastline of Scotland, 60 km east of Edinburgh, has been chosen as the reference plant and is described in some detail. Data on the other 6 stations, Dungeness B, Hinkley Point B, Hunterston B, Hartlepool, Heysham I and Heysham II, are given only in tables with a summary of design data. mere specific data for Torness AGR has not been available, corresponding data fiom other AGR plants has been used, primarily flom Heysham II, which belongs to the same generation of AGR reactors. The information presented is based on the open literature. The report is written as a part of the NKS/RAK-2 subproject 3: ”Reactors in Nordic Surroundings”, which comprises a description of nuclear power plants neighbouring the Nordic countries.","accessed":{"date-parts":[["2018","5","11"]]},"author":[{"dropping-particle":"","family":"Nonbel","given":"Erik","non-dropping-particle":"","parse-names":false,"suffix":""}],"id":"ITEM-1","issued":{"date-parts":[["1996"]]},"page":"1-88","title":"Description of the Advanced Gas Cooled Type of Reactor","type":"webpage"},"uris":["http://www.mendeley.com/documents/?uuid=3c4c2b92-e56d-4a25-bc24-de08cd875721"]}],"mendeley":{"formattedCitation":"(Nonbel, 1996)","plainTextFormattedCitation":"(Nonbel, 1996)","previouslyFormattedCitation":"(Nonbel, 1996)"},"properties":{"noteIndex":0},"schema":"https://github.com/citation-style-language/schema/raw/master/csl-citation.json"}</w:instrText>
      </w:r>
      <w:r w:rsidR="00547EC5" w:rsidRPr="00D27DAA">
        <w:rPr>
          <w:rFonts w:ascii="Times New Roman" w:hAnsi="Times New Roman" w:cs="Times New Roman"/>
        </w:rPr>
        <w:fldChar w:fldCharType="separate"/>
      </w:r>
      <w:r w:rsidR="00D1788F" w:rsidRPr="00D27DAA">
        <w:rPr>
          <w:rFonts w:ascii="Times New Roman" w:hAnsi="Times New Roman" w:cs="Times New Roman"/>
          <w:noProof/>
        </w:rPr>
        <w:t>(Nonbel, 1996)</w:t>
      </w:r>
      <w:r w:rsidR="00547EC5" w:rsidRPr="00D27DAA">
        <w:rPr>
          <w:rFonts w:ascii="Times New Roman" w:hAnsi="Times New Roman" w:cs="Times New Roman"/>
        </w:rPr>
        <w:fldChar w:fldCharType="end"/>
      </w:r>
      <w:r w:rsidR="00547EC5" w:rsidRPr="00D27DAA">
        <w:rPr>
          <w:rFonts w:ascii="Times New Roman" w:hAnsi="Times New Roman" w:cs="Times New Roman"/>
        </w:rPr>
        <w:t xml:space="preserve"> as well as LWRs </w:t>
      </w:r>
      <w:r w:rsidR="00547EC5" w:rsidRPr="00D27DAA">
        <w:rPr>
          <w:rFonts w:ascii="Times New Roman" w:hAnsi="Times New Roman" w:cs="Times New Roman"/>
        </w:rPr>
        <w:fldChar w:fldCharType="begin" w:fldLock="1"/>
      </w:r>
      <w:r w:rsidR="008C339F" w:rsidRPr="00D27DAA">
        <w:rPr>
          <w:rFonts w:ascii="Times New Roman" w:hAnsi="Times New Roman" w:cs="Times New Roman"/>
        </w:rPr>
        <w:instrText>ADDIN CSL_CITATION {"citationItems":[{"id":"ITEM-1","itemData":{"author":[{"dropping-particle":"","family":"A. PETIT","given":"G. CRAIG","non-dropping-particle":"","parse-names":false,"suffix":""}],"id":"ITEM-1","issued":{"date-parts":[["2012"]]},"publisher-place":"Paris &amp; Montroughe","title":"PCSR – Sub-chapter 4.3 – Nuclear Design","type":"report"},"uris":["http://www.mendeley.com/documents/?uuid=14e0ef9f-7412-4553-baea-3ceb2044ddc0"]}],"mendeley":{"formattedCitation":"(A. PETIT, 2012)","plainTextFormattedCitation":"(A. PETIT, 2012)","previouslyFormattedCitation":"(A. PETIT, 2012)"},"properties":{"noteIndex":0},"schema":"https://github.com/citation-style-language/schema/raw/master/csl-citation.json"}</w:instrText>
      </w:r>
      <w:r w:rsidR="00547EC5" w:rsidRPr="00D27DAA">
        <w:rPr>
          <w:rFonts w:ascii="Times New Roman" w:hAnsi="Times New Roman" w:cs="Times New Roman"/>
        </w:rPr>
        <w:fldChar w:fldCharType="separate"/>
      </w:r>
      <w:r w:rsidR="00D1788F" w:rsidRPr="00D27DAA">
        <w:rPr>
          <w:rFonts w:ascii="Times New Roman" w:hAnsi="Times New Roman" w:cs="Times New Roman"/>
          <w:noProof/>
        </w:rPr>
        <w:t>(A. PETIT, 2012)</w:t>
      </w:r>
      <w:r w:rsidR="00547EC5" w:rsidRPr="00D27DAA">
        <w:rPr>
          <w:rFonts w:ascii="Times New Roman" w:hAnsi="Times New Roman" w:cs="Times New Roman"/>
        </w:rPr>
        <w:fldChar w:fldCharType="end"/>
      </w:r>
      <w:r w:rsidR="00982438" w:rsidRPr="00D27DAA">
        <w:rPr>
          <w:rFonts w:ascii="Times New Roman" w:hAnsi="Times New Roman" w:cs="Times New Roman"/>
        </w:rPr>
        <w:t>. In addition to this B</w:t>
      </w:r>
      <w:r w:rsidR="00982438" w:rsidRPr="00D27DAA">
        <w:rPr>
          <w:rFonts w:ascii="Times New Roman" w:hAnsi="Times New Roman" w:cs="Times New Roman"/>
          <w:vertAlign w:val="subscript"/>
        </w:rPr>
        <w:t>4</w:t>
      </w:r>
      <w:r w:rsidR="00982438" w:rsidRPr="00D27DAA">
        <w:rPr>
          <w:rFonts w:ascii="Times New Roman" w:hAnsi="Times New Roman" w:cs="Times New Roman"/>
        </w:rPr>
        <w:t xml:space="preserve">C in the control rods of </w:t>
      </w:r>
      <w:r w:rsidR="00E82C14" w:rsidRPr="00D27DAA">
        <w:rPr>
          <w:rFonts w:ascii="Times New Roman" w:hAnsi="Times New Roman" w:cs="Times New Roman"/>
        </w:rPr>
        <w:t>almost all kinds of reactors.</w:t>
      </w:r>
      <w:r w:rsidR="00982438" w:rsidRPr="00D27DAA">
        <w:rPr>
          <w:rFonts w:ascii="Times New Roman" w:hAnsi="Times New Roman" w:cs="Times New Roman"/>
        </w:rPr>
        <w:t xml:space="preserve"> </w:t>
      </w:r>
    </w:p>
    <w:p w14:paraId="636C212F" w14:textId="67B8B305" w:rsidR="00AC2CD3" w:rsidRPr="00D27DAA" w:rsidRDefault="00982438" w:rsidP="00AC2CD3">
      <w:pPr>
        <w:pStyle w:val="NoSpacing"/>
        <w:spacing w:line="480" w:lineRule="auto"/>
        <w:rPr>
          <w:rFonts w:cs="Times New Roman"/>
          <w:sz w:val="22"/>
        </w:rPr>
      </w:pPr>
      <w:r w:rsidRPr="00D27DAA">
        <w:rPr>
          <w:rFonts w:cs="Times New Roman"/>
          <w:sz w:val="22"/>
        </w:rPr>
        <w:t xml:space="preserve">When considering </w:t>
      </w:r>
      <w:r w:rsidR="00E83963" w:rsidRPr="00D27DAA">
        <w:rPr>
          <w:rFonts w:cs="Times New Roman"/>
          <w:sz w:val="22"/>
        </w:rPr>
        <w:t xml:space="preserve">the design of the control rods, the use of </w:t>
      </w:r>
      <w:r w:rsidRPr="00D27DAA">
        <w:rPr>
          <w:rFonts w:cs="Times New Roman"/>
          <w:sz w:val="22"/>
        </w:rPr>
        <w:t xml:space="preserve">material choices </w:t>
      </w:r>
      <w:r w:rsidR="00E83963" w:rsidRPr="00D27DAA">
        <w:rPr>
          <w:rFonts w:cs="Times New Roman"/>
          <w:sz w:val="22"/>
        </w:rPr>
        <w:t>is importan</w:t>
      </w:r>
      <w:r w:rsidR="00047610" w:rsidRPr="00D27DAA">
        <w:rPr>
          <w:rFonts w:cs="Times New Roman"/>
          <w:sz w:val="22"/>
        </w:rPr>
        <w:t xml:space="preserve">t. </w:t>
      </w:r>
      <w:r w:rsidR="00B67B45" w:rsidRPr="00D27DAA">
        <w:rPr>
          <w:rFonts w:cs="Times New Roman"/>
          <w:sz w:val="22"/>
        </w:rPr>
        <w:t>T</w:t>
      </w:r>
      <w:r w:rsidRPr="00D27DAA">
        <w:rPr>
          <w:rFonts w:cs="Times New Roman"/>
          <w:sz w:val="22"/>
        </w:rPr>
        <w:t>he latest generation of LWRs</w:t>
      </w:r>
      <w:r w:rsidR="00E83963" w:rsidRPr="00D27DAA">
        <w:rPr>
          <w:rFonts w:cs="Times New Roman"/>
          <w:sz w:val="22"/>
        </w:rPr>
        <w:t xml:space="preserve"> the AP1000 which passed the generic design assessment, uses Silver-Indium-Cadmium alloy </w:t>
      </w:r>
      <w:r w:rsidR="00DD49B8" w:rsidRPr="00D27DAA">
        <w:rPr>
          <w:rFonts w:cs="Times New Roman"/>
          <w:sz w:val="22"/>
        </w:rPr>
        <w:fldChar w:fldCharType="begin" w:fldLock="1"/>
      </w:r>
      <w:r w:rsidR="008C339F" w:rsidRPr="00D27DAA">
        <w:rPr>
          <w:rFonts w:cs="Times New Roman"/>
          <w:sz w:val="22"/>
        </w:rPr>
        <w:instrText>ADDIN CSL_CITATION {"citationItems":[{"id":"ITEM-1","itemData":{"URL":"https://www.nrc.gov/reading-rm/doc-collections/nuregs/staff/sr1793/initial/chapter4.pdf","accessed":{"date-parts":[["2018","5","7"]]},"author":[{"dropping-particle":"","family":"Westinghouse","given":"","non-dropping-particle":"","parse-names":false,"suffix":""}],"id":"ITEM-1","issue":"Dcd","issued":{"date-parts":[["1994"]]},"page":"1-38","title":"AP1000 Design Control Document (DCD) Tier 2, Chapter 4","type":"webpage"},"uris":["http://www.mendeley.com/documents/?uuid=1b9b1957-6583-49b7-a33f-eae6e53dd0e1"]}],"mendeley":{"formattedCitation":"(Westinghouse, 1994)","plainTextFormattedCitation":"(Westinghouse, 1994)","previouslyFormattedCitation":"(Westinghouse, 1994)"},"properties":{"noteIndex":0},"schema":"https://github.com/citation-style-language/schema/raw/master/csl-citation.json"}</w:instrText>
      </w:r>
      <w:r w:rsidR="00DD49B8" w:rsidRPr="00D27DAA">
        <w:rPr>
          <w:rFonts w:cs="Times New Roman"/>
          <w:sz w:val="22"/>
        </w:rPr>
        <w:fldChar w:fldCharType="separate"/>
      </w:r>
      <w:r w:rsidR="00D1788F" w:rsidRPr="00D27DAA">
        <w:rPr>
          <w:rFonts w:cs="Times New Roman"/>
          <w:noProof/>
          <w:sz w:val="22"/>
        </w:rPr>
        <w:t>(Westinghouse, 1994)</w:t>
      </w:r>
      <w:r w:rsidR="00DD49B8" w:rsidRPr="00D27DAA">
        <w:rPr>
          <w:rFonts w:cs="Times New Roman"/>
          <w:sz w:val="22"/>
        </w:rPr>
        <w:fldChar w:fldCharType="end"/>
      </w:r>
      <w:r w:rsidR="00DD49B8" w:rsidRPr="00D27DAA">
        <w:rPr>
          <w:rFonts w:cs="Times New Roman"/>
          <w:sz w:val="22"/>
        </w:rPr>
        <w:t xml:space="preserve"> </w:t>
      </w:r>
      <w:r w:rsidR="00E82C14" w:rsidRPr="00D27DAA">
        <w:rPr>
          <w:rFonts w:cs="Times New Roman"/>
          <w:sz w:val="22"/>
        </w:rPr>
        <w:t>which isn’t suitable due to  temperature constraints</w:t>
      </w:r>
      <w:r w:rsidR="00E83963" w:rsidRPr="00D27DAA">
        <w:rPr>
          <w:rFonts w:cs="Times New Roman"/>
          <w:sz w:val="22"/>
        </w:rPr>
        <w:t xml:space="preserve"> </w:t>
      </w:r>
      <w:r w:rsidR="0093337F" w:rsidRPr="00D27DAA">
        <w:rPr>
          <w:rFonts w:cs="Times New Roman"/>
          <w:sz w:val="22"/>
        </w:rPr>
        <w:fldChar w:fldCharType="begin" w:fldLock="1"/>
      </w:r>
      <w:r w:rsidR="008C339F" w:rsidRPr="00D27DAA">
        <w:rPr>
          <w:rFonts w:cs="Times New Roman"/>
          <w:sz w:val="22"/>
        </w:rPr>
        <w:instrText>ADDIN CSL_CITATION {"citationItems":[{"id":"ITEM-1","itemData":{"URL":"http://www.iaea.org/inis/collection/NCLCollectionStore/_Public/21/030/21030801.pdf?r=1","accessed":{"date-parts":[["2018","5","12"]]},"author":[{"dropping-particle":"","family":"H.Uetsuka","given":"T.Otomo","non-dropping-particle":"","parse-names":false,"suffix":""}],"container-title":"JAERI-M-89-150","id":"ITEM-1","issued":{"date-parts":[["1989"]]},"title":"Vaporization of Silver-Indium-Cadmium control rod material in flowing argon at high temperatures","type":"webpage"},"uris":["http://www.mendeley.com/documents/?uuid=a0d4a26f-4aa5-477f-bf07-9f581377d424"]}],"mendeley":{"formattedCitation":"(H.Uetsuka, 1989)","plainTextFormattedCitation":"(H.Uetsuka, 1989)","previouslyFormattedCitation":"(H.Uetsuka, 1989)"},"properties":{"noteIndex":0},"schema":"https://github.com/citation-style-language/schema/raw/master/csl-citation.json"}</w:instrText>
      </w:r>
      <w:r w:rsidR="0093337F" w:rsidRPr="00D27DAA">
        <w:rPr>
          <w:rFonts w:cs="Times New Roman"/>
          <w:sz w:val="22"/>
        </w:rPr>
        <w:fldChar w:fldCharType="separate"/>
      </w:r>
      <w:r w:rsidR="00D1788F" w:rsidRPr="00D27DAA">
        <w:rPr>
          <w:rFonts w:cs="Times New Roman"/>
          <w:noProof/>
          <w:sz w:val="22"/>
        </w:rPr>
        <w:t>(H.Uetsuka, 1989)</w:t>
      </w:r>
      <w:r w:rsidR="0093337F" w:rsidRPr="00D27DAA">
        <w:rPr>
          <w:rFonts w:cs="Times New Roman"/>
          <w:sz w:val="22"/>
        </w:rPr>
        <w:fldChar w:fldCharType="end"/>
      </w:r>
      <w:r w:rsidR="00E82C14" w:rsidRPr="00D27DAA">
        <w:rPr>
          <w:rFonts w:cs="Times New Roman"/>
          <w:sz w:val="22"/>
        </w:rPr>
        <w:t>.</w:t>
      </w:r>
      <w:r w:rsidR="00E83963" w:rsidRPr="00D27DAA">
        <w:rPr>
          <w:rFonts w:cs="Times New Roman"/>
          <w:sz w:val="22"/>
        </w:rPr>
        <w:t xml:space="preserve"> </w:t>
      </w:r>
      <w:r w:rsidR="00E82C14" w:rsidRPr="00D27DAA">
        <w:rPr>
          <w:rFonts w:cs="Times New Roman"/>
          <w:sz w:val="22"/>
        </w:rPr>
        <w:t>T</w:t>
      </w:r>
      <w:r w:rsidR="00E83963" w:rsidRPr="00D27DAA">
        <w:rPr>
          <w:rFonts w:cs="Times New Roman"/>
          <w:sz w:val="22"/>
        </w:rPr>
        <w:t>he South African PBM</w:t>
      </w:r>
      <w:r w:rsidR="00AC2CD3" w:rsidRPr="00D27DAA">
        <w:rPr>
          <w:rFonts w:cs="Times New Roman"/>
          <w:sz w:val="22"/>
        </w:rPr>
        <w:t xml:space="preserve">R project used </w:t>
      </w:r>
      <w:r w:rsidR="00AD28DA" w:rsidRPr="00D27DAA">
        <w:rPr>
          <w:rFonts w:cs="Times New Roman"/>
          <w:sz w:val="22"/>
        </w:rPr>
        <w:t>B</w:t>
      </w:r>
      <w:r w:rsidR="00AD28DA" w:rsidRPr="00D27DAA">
        <w:rPr>
          <w:rFonts w:cs="Times New Roman"/>
          <w:sz w:val="22"/>
          <w:vertAlign w:val="subscript"/>
        </w:rPr>
        <w:t>4</w:t>
      </w:r>
      <w:r w:rsidR="00AD28DA" w:rsidRPr="00D27DAA">
        <w:rPr>
          <w:rFonts w:cs="Times New Roman"/>
          <w:sz w:val="22"/>
        </w:rPr>
        <w:t xml:space="preserve">C </w:t>
      </w:r>
      <w:r w:rsidR="00AC2CD3" w:rsidRPr="00D27DAA">
        <w:rPr>
          <w:rFonts w:cs="Times New Roman"/>
          <w:sz w:val="22"/>
        </w:rPr>
        <w:t xml:space="preserve">as an absorber with an Inc800H alloy </w:t>
      </w:r>
      <w:r w:rsidR="00AC2CD3" w:rsidRPr="00D27DAA">
        <w:rPr>
          <w:rFonts w:cs="Times New Roman"/>
          <w:sz w:val="22"/>
        </w:rPr>
        <w:fldChar w:fldCharType="begin" w:fldLock="1"/>
      </w:r>
      <w:r w:rsidR="008C339F" w:rsidRPr="00D27DAA">
        <w:rPr>
          <w:rFonts w:cs="Times New Roman"/>
          <w:sz w:val="22"/>
        </w:rPr>
        <w:instrText>ADDIN CSL_CITATION {"citationItems":[{"id":"ITEM-1","itemData":{"DOI":"10.1016/j.anucene.2007.11.008","ISSN":"03064549","abstract":"It is a well known fact that the neutron diffusion theory fails in the vicinity of strongly absorbing media, such as the control rods. This failure is much more pronounced in the PBMR because the location of control rods in the side reflector adds a directional dependence to the flux, and this complicates the problem further. Reactor control and safety can only be ensured if control rod worths are accurately predicted. In this work a thorough evaluation of different control rod models is performed by constructing an approximate two-dimensional (2D) model adopting the so-called grey curtain and this is compared to full 3D deterministic transport model. Both these models are compared to an explicit MCNP model. It is shown in this study that it is possible to have an accurate 2D model of control rods, utilizing appropriate equivalent cross sections and applying them to a control rod grey curtain. Further, this paper also shows that it is possible to obtain reasonably accurate control rod worths using a 3D deterministic transport method with the same fidelity of a Monte Carlo reference calculation, provided that the correct cross sections are used. These results confirm that the deterministic transport models can be successfully used for PBMR transient safety analysis. ?? 2007 Elsevier Ltd. All rights reserved.","author":[{"dropping-particle":"","family":"Tyobeka","given":"Bismark","non-dropping-particle":"","parse-names":false,"suffix":""},{"dropping-particle":"","family":"Ivanov","given":"Kostadin","non-dropping-particle":"","parse-names":false,"suffix":""},{"dropping-particle":"","family":"Pautz","given":"Andreas","non-dropping-particle":"","parse-names":false,"suffix":""}],"container-title":"Annals of Nuclear Energy","id":"ITEM-1","issue":"6","issued":{"date-parts":[["2008"]]},"page":"1050-1055","title":"Evaluation of PBMR control rod worth using full three-dimensional deterministic transport methods","type":"article-journal","volume":"35"},"uris":["http://www.mendeley.com/documents/?uuid=e6e17ff3-69a3-44dd-9d8a-823327cbcfb5"]}],"mendeley":{"formattedCitation":"(Tyobeka et al., 2008)","plainTextFormattedCitation":"(Tyobeka et al., 2008)","previouslyFormattedCitation":"(Tyobeka et al., 2008)"},"properties":{"noteIndex":0},"schema":"https://github.com/citation-style-language/schema/raw/master/csl-citation.json"}</w:instrText>
      </w:r>
      <w:r w:rsidR="00AC2CD3" w:rsidRPr="00D27DAA">
        <w:rPr>
          <w:rFonts w:cs="Times New Roman"/>
          <w:sz w:val="22"/>
        </w:rPr>
        <w:fldChar w:fldCharType="separate"/>
      </w:r>
      <w:r w:rsidR="00D1788F" w:rsidRPr="00D27DAA">
        <w:rPr>
          <w:rFonts w:cs="Times New Roman"/>
          <w:noProof/>
          <w:sz w:val="22"/>
        </w:rPr>
        <w:t>(Tyobeka et al., 2008)</w:t>
      </w:r>
      <w:r w:rsidR="00AC2CD3" w:rsidRPr="00D27DAA">
        <w:rPr>
          <w:rFonts w:cs="Times New Roman"/>
          <w:sz w:val="22"/>
        </w:rPr>
        <w:fldChar w:fldCharType="end"/>
      </w:r>
      <w:r w:rsidR="00B67B45" w:rsidRPr="00D27DAA">
        <w:rPr>
          <w:rFonts w:cs="Times New Roman"/>
          <w:sz w:val="22"/>
        </w:rPr>
        <w:t xml:space="preserve"> as shown in </w:t>
      </w:r>
      <w:r w:rsidR="00B67B45" w:rsidRPr="00D27DAA">
        <w:rPr>
          <w:rFonts w:cs="Times New Roman"/>
          <w:sz w:val="22"/>
        </w:rPr>
        <w:fldChar w:fldCharType="begin"/>
      </w:r>
      <w:r w:rsidR="00B67B45" w:rsidRPr="00D27DAA">
        <w:rPr>
          <w:rFonts w:cs="Times New Roman"/>
          <w:sz w:val="22"/>
        </w:rPr>
        <w:instrText xml:space="preserve"> REF _Ref508801922 \h  \* MERGEFORMAT </w:instrText>
      </w:r>
      <w:r w:rsidR="00B67B45" w:rsidRPr="00D27DAA">
        <w:rPr>
          <w:rFonts w:cs="Times New Roman"/>
          <w:sz w:val="22"/>
        </w:rPr>
      </w:r>
      <w:r w:rsidR="00B67B45" w:rsidRPr="00D27DAA">
        <w:rPr>
          <w:rFonts w:cs="Times New Roman"/>
          <w:sz w:val="22"/>
        </w:rPr>
        <w:fldChar w:fldCharType="separate"/>
      </w:r>
      <w:r w:rsidR="00B67B45" w:rsidRPr="00D27DAA">
        <w:rPr>
          <w:rFonts w:cs="Times New Roman"/>
          <w:sz w:val="22"/>
        </w:rPr>
        <w:t xml:space="preserve">Figure </w:t>
      </w:r>
      <w:r w:rsidR="00B67B45" w:rsidRPr="00D27DAA">
        <w:rPr>
          <w:rFonts w:cs="Times New Roman"/>
          <w:noProof/>
          <w:sz w:val="22"/>
        </w:rPr>
        <w:t>2</w:t>
      </w:r>
      <w:r w:rsidR="00B67B45" w:rsidRPr="00D27DAA">
        <w:rPr>
          <w:rFonts w:cs="Times New Roman"/>
          <w:sz w:val="22"/>
        </w:rPr>
        <w:fldChar w:fldCharType="end"/>
      </w:r>
      <w:r w:rsidR="00AC2CD3" w:rsidRPr="00D27DAA">
        <w:rPr>
          <w:rFonts w:cs="Times New Roman"/>
          <w:sz w:val="22"/>
        </w:rPr>
        <w:t xml:space="preserve">. </w:t>
      </w:r>
    </w:p>
    <w:p w14:paraId="0F571C5B" w14:textId="7B7662A7" w:rsidR="005F4EF1" w:rsidRPr="00D27DAA" w:rsidRDefault="005F4EF1" w:rsidP="005F4EF1">
      <w:pPr>
        <w:pStyle w:val="NoSpacing"/>
        <w:spacing w:line="480" w:lineRule="auto"/>
        <w:rPr>
          <w:rFonts w:cs="Times New Roman"/>
          <w:sz w:val="22"/>
        </w:rPr>
      </w:pPr>
      <w:r w:rsidRPr="00D27DAA">
        <w:rPr>
          <w:rFonts w:cs="Times New Roman"/>
          <w:sz w:val="22"/>
        </w:rPr>
        <w:t xml:space="preserve">In the case of the </w:t>
      </w:r>
      <w:r w:rsidR="00DD49B8" w:rsidRPr="00D27DAA">
        <w:rPr>
          <w:rFonts w:cs="Times New Roman"/>
          <w:sz w:val="22"/>
        </w:rPr>
        <w:t>this design</w:t>
      </w:r>
      <w:r w:rsidRPr="00D27DAA">
        <w:rPr>
          <w:rFonts w:cs="Times New Roman"/>
          <w:sz w:val="22"/>
        </w:rPr>
        <w:t xml:space="preserve"> the control rods are much smaller, with the main variable being the thickness of the boron carbide layer to create a much stronger poisoning presence as shown in</w:t>
      </w:r>
      <w:r w:rsidR="00BD5983" w:rsidRPr="00D27DAA">
        <w:rPr>
          <w:rFonts w:cs="Times New Roman"/>
          <w:sz w:val="22"/>
        </w:rPr>
        <w:t xml:space="preserve"> </w:t>
      </w:r>
      <w:r w:rsidR="00BD5983" w:rsidRPr="00D27DAA">
        <w:rPr>
          <w:rFonts w:cs="Times New Roman"/>
          <w:sz w:val="22"/>
        </w:rPr>
        <w:fldChar w:fldCharType="begin"/>
      </w:r>
      <w:r w:rsidR="00BD5983" w:rsidRPr="00D27DAA">
        <w:rPr>
          <w:rFonts w:cs="Times New Roman"/>
          <w:sz w:val="22"/>
        </w:rPr>
        <w:instrText xml:space="preserve"> REF _Ref508801922 \h  \* MERGEFORMAT </w:instrText>
      </w:r>
      <w:r w:rsidR="00BD5983" w:rsidRPr="00D27DAA">
        <w:rPr>
          <w:rFonts w:cs="Times New Roman"/>
          <w:sz w:val="22"/>
        </w:rPr>
      </w:r>
      <w:r w:rsidR="00BD5983" w:rsidRPr="00D27DAA">
        <w:rPr>
          <w:rFonts w:cs="Times New Roman"/>
          <w:sz w:val="22"/>
        </w:rPr>
        <w:fldChar w:fldCharType="separate"/>
      </w:r>
      <w:r w:rsidR="00BD5983" w:rsidRPr="00D27DAA">
        <w:rPr>
          <w:rFonts w:cs="Times New Roman"/>
          <w:sz w:val="22"/>
        </w:rPr>
        <w:t xml:space="preserve">Figure </w:t>
      </w:r>
      <w:r w:rsidR="00BD5983" w:rsidRPr="00D27DAA">
        <w:rPr>
          <w:rFonts w:cs="Times New Roman"/>
          <w:noProof/>
          <w:sz w:val="22"/>
        </w:rPr>
        <w:t>2</w:t>
      </w:r>
      <w:r w:rsidR="00BD5983" w:rsidRPr="00D27DAA">
        <w:rPr>
          <w:rFonts w:cs="Times New Roman"/>
          <w:sz w:val="22"/>
        </w:rPr>
        <w:fldChar w:fldCharType="end"/>
      </w:r>
      <w:r w:rsidR="00BD5983" w:rsidRPr="00D27DAA">
        <w:rPr>
          <w:rFonts w:cs="Times New Roman"/>
          <w:sz w:val="22"/>
        </w:rPr>
        <w:t>.</w:t>
      </w:r>
      <w:r w:rsidRPr="00D27DAA">
        <w:rPr>
          <w:rFonts w:cs="Times New Roman"/>
          <w:sz w:val="22"/>
        </w:rPr>
        <w:t xml:space="preserve"> </w:t>
      </w:r>
    </w:p>
    <w:p w14:paraId="1838742F" w14:textId="05D3E36A" w:rsidR="00AD28DA" w:rsidRPr="00D27DAA" w:rsidRDefault="00A07131" w:rsidP="00AD28DA">
      <w:pPr>
        <w:pStyle w:val="NoSpacing"/>
        <w:keepNext/>
        <w:spacing w:line="480" w:lineRule="auto"/>
        <w:jc w:val="center"/>
        <w:rPr>
          <w:rFonts w:cs="Times New Roman"/>
          <w:sz w:val="22"/>
        </w:rPr>
      </w:pPr>
      <w:r w:rsidRPr="00D27DAA">
        <w:rPr>
          <w:rFonts w:cs="Times New Roman"/>
          <w:noProof/>
          <w:sz w:val="22"/>
          <w:lang w:eastAsia="en-GB"/>
        </w:rPr>
        <w:lastRenderedPageBreak/>
        <w:drawing>
          <wp:inline distT="0" distB="0" distL="0" distR="0" wp14:anchorId="2CC80245" wp14:editId="3687FEAB">
            <wp:extent cx="5727700" cy="3081020"/>
            <wp:effectExtent l="0" t="0" r="635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3081020"/>
                    </a:xfrm>
                    <a:prstGeom prst="rect">
                      <a:avLst/>
                    </a:prstGeom>
                  </pic:spPr>
                </pic:pic>
              </a:graphicData>
            </a:graphic>
          </wp:inline>
        </w:drawing>
      </w:r>
    </w:p>
    <w:p w14:paraId="685C617D" w14:textId="0956912C" w:rsidR="00AC2CD3" w:rsidRPr="00D27DAA" w:rsidRDefault="00AD28DA" w:rsidP="00AD28DA">
      <w:pPr>
        <w:pStyle w:val="Caption"/>
        <w:jc w:val="center"/>
        <w:rPr>
          <w:rFonts w:ascii="Times New Roman" w:hAnsi="Times New Roman" w:cs="Times New Roman"/>
          <w:sz w:val="22"/>
          <w:szCs w:val="22"/>
        </w:rPr>
      </w:pPr>
      <w:bookmarkStart w:id="4" w:name="_Ref508801922"/>
      <w:r w:rsidRPr="00D27DAA">
        <w:rPr>
          <w:rFonts w:ascii="Times New Roman" w:hAnsi="Times New Roman" w:cs="Times New Roman"/>
          <w:sz w:val="22"/>
          <w:szCs w:val="22"/>
        </w:rPr>
        <w:t xml:space="preserve">Figure </w:t>
      </w:r>
      <w:r w:rsidR="00D1788F" w:rsidRPr="00D27DAA">
        <w:rPr>
          <w:rFonts w:ascii="Times New Roman" w:hAnsi="Times New Roman" w:cs="Times New Roman"/>
          <w:sz w:val="22"/>
          <w:szCs w:val="22"/>
        </w:rPr>
        <w:fldChar w:fldCharType="begin"/>
      </w:r>
      <w:r w:rsidR="00D1788F" w:rsidRPr="00D27DAA">
        <w:rPr>
          <w:rFonts w:ascii="Times New Roman" w:hAnsi="Times New Roman" w:cs="Times New Roman"/>
          <w:sz w:val="22"/>
          <w:szCs w:val="22"/>
        </w:rPr>
        <w:instrText xml:space="preserve"> SEQ Figure \* ARABIC </w:instrText>
      </w:r>
      <w:r w:rsidR="00D1788F"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2</w:t>
      </w:r>
      <w:r w:rsidR="00D1788F" w:rsidRPr="00D27DAA">
        <w:rPr>
          <w:rFonts w:ascii="Times New Roman" w:hAnsi="Times New Roman" w:cs="Times New Roman"/>
          <w:noProof/>
          <w:sz w:val="22"/>
          <w:szCs w:val="22"/>
        </w:rPr>
        <w:fldChar w:fldCharType="end"/>
      </w:r>
      <w:bookmarkEnd w:id="4"/>
      <w:r w:rsidRPr="00D27DAA">
        <w:rPr>
          <w:rFonts w:ascii="Times New Roman" w:hAnsi="Times New Roman" w:cs="Times New Roman"/>
          <w:sz w:val="22"/>
          <w:szCs w:val="22"/>
        </w:rPr>
        <w:t xml:space="preserve">- </w:t>
      </w:r>
      <w:r w:rsidR="005F4EF1" w:rsidRPr="00D27DAA">
        <w:rPr>
          <w:rFonts w:ascii="Times New Roman" w:hAnsi="Times New Roman" w:cs="Times New Roman"/>
          <w:sz w:val="22"/>
          <w:szCs w:val="22"/>
        </w:rPr>
        <w:t xml:space="preserve">Left, </w:t>
      </w:r>
      <w:r w:rsidRPr="00D27DAA">
        <w:rPr>
          <w:rFonts w:ascii="Times New Roman" w:hAnsi="Times New Roman" w:cs="Times New Roman"/>
          <w:sz w:val="22"/>
          <w:szCs w:val="22"/>
        </w:rPr>
        <w:t>PBMR Inc800H control rod</w:t>
      </w:r>
      <w:r w:rsidR="005F4EF1" w:rsidRPr="00D27DAA">
        <w:rPr>
          <w:rFonts w:ascii="Times New Roman" w:hAnsi="Times New Roman" w:cs="Times New Roman"/>
          <w:sz w:val="22"/>
          <w:szCs w:val="22"/>
        </w:rPr>
        <w:t>. Right, U-Battery control rod</w:t>
      </w:r>
    </w:p>
    <w:p w14:paraId="041FF912" w14:textId="297F4E2C" w:rsidR="00AD28DA" w:rsidRPr="00D27DAA" w:rsidRDefault="00AD28DA" w:rsidP="00AD28DA">
      <w:pPr>
        <w:pStyle w:val="Caption"/>
        <w:keepNext/>
        <w:rPr>
          <w:rFonts w:ascii="Times New Roman" w:hAnsi="Times New Roman" w:cs="Times New Roman"/>
          <w:sz w:val="22"/>
          <w:szCs w:val="22"/>
        </w:rPr>
      </w:pPr>
      <w:bookmarkStart w:id="5" w:name="_Ref508801840"/>
      <w:r w:rsidRPr="00D27DAA">
        <w:rPr>
          <w:rFonts w:ascii="Times New Roman" w:hAnsi="Times New Roman" w:cs="Times New Roman"/>
          <w:sz w:val="22"/>
          <w:szCs w:val="22"/>
        </w:rPr>
        <w:t xml:space="preserve">Table </w:t>
      </w:r>
      <w:r w:rsidR="00F71ED4" w:rsidRPr="00D27DAA">
        <w:rPr>
          <w:rFonts w:ascii="Times New Roman" w:hAnsi="Times New Roman" w:cs="Times New Roman"/>
          <w:sz w:val="22"/>
          <w:szCs w:val="22"/>
        </w:rPr>
        <w:fldChar w:fldCharType="begin"/>
      </w:r>
      <w:r w:rsidR="00F71ED4" w:rsidRPr="00D27DAA">
        <w:rPr>
          <w:rFonts w:ascii="Times New Roman" w:hAnsi="Times New Roman" w:cs="Times New Roman"/>
          <w:sz w:val="22"/>
          <w:szCs w:val="22"/>
        </w:rPr>
        <w:instrText xml:space="preserve"> SEQ Table \* ARABIC </w:instrText>
      </w:r>
      <w:r w:rsidR="00F71ED4"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1</w:t>
      </w:r>
      <w:r w:rsidR="00F71ED4" w:rsidRPr="00D27DAA">
        <w:rPr>
          <w:rFonts w:ascii="Times New Roman" w:hAnsi="Times New Roman" w:cs="Times New Roman"/>
          <w:sz w:val="22"/>
          <w:szCs w:val="22"/>
        </w:rPr>
        <w:fldChar w:fldCharType="end"/>
      </w:r>
      <w:bookmarkEnd w:id="5"/>
      <w:r w:rsidRPr="00D27DAA">
        <w:rPr>
          <w:rFonts w:ascii="Times New Roman" w:hAnsi="Times New Roman" w:cs="Times New Roman"/>
          <w:sz w:val="22"/>
          <w:szCs w:val="22"/>
        </w:rPr>
        <w:t>- Control rod description</w:t>
      </w:r>
    </w:p>
    <w:tbl>
      <w:tblPr>
        <w:tblW w:w="8740" w:type="dxa"/>
        <w:tblInd w:w="108" w:type="dxa"/>
        <w:tblLook w:val="04A0" w:firstRow="1" w:lastRow="0" w:firstColumn="1" w:lastColumn="0" w:noHBand="0" w:noVBand="1"/>
      </w:tblPr>
      <w:tblGrid>
        <w:gridCol w:w="1320"/>
        <w:gridCol w:w="2200"/>
        <w:gridCol w:w="1520"/>
        <w:gridCol w:w="1960"/>
        <w:gridCol w:w="1740"/>
      </w:tblGrid>
      <w:tr w:rsidR="005F4EF1" w:rsidRPr="00D27DAA" w14:paraId="4B38E3F1" w14:textId="77777777" w:rsidTr="005F4EF1">
        <w:trPr>
          <w:trHeight w:val="315"/>
        </w:trPr>
        <w:tc>
          <w:tcPr>
            <w:tcW w:w="1320" w:type="dxa"/>
            <w:tcBorders>
              <w:top w:val="nil"/>
              <w:left w:val="nil"/>
              <w:bottom w:val="nil"/>
              <w:right w:val="nil"/>
            </w:tcBorders>
            <w:shd w:val="clear" w:color="auto" w:fill="auto"/>
            <w:noWrap/>
            <w:vAlign w:val="bottom"/>
            <w:hideMark/>
          </w:tcPr>
          <w:p w14:paraId="7F894336" w14:textId="77777777" w:rsidR="005F4EF1" w:rsidRPr="00D27DAA" w:rsidRDefault="005F4EF1" w:rsidP="005F4EF1">
            <w:pPr>
              <w:suppressAutoHyphens w:val="0"/>
              <w:spacing w:after="0" w:line="240" w:lineRule="auto"/>
              <w:rPr>
                <w:rFonts w:ascii="Times New Roman" w:eastAsia="Times New Roman" w:hAnsi="Times New Roman" w:cs="Times New Roman"/>
                <w:lang w:eastAsia="en-GB"/>
              </w:rPr>
            </w:pPr>
          </w:p>
        </w:tc>
        <w:tc>
          <w:tcPr>
            <w:tcW w:w="2200" w:type="dxa"/>
            <w:tcBorders>
              <w:top w:val="nil"/>
              <w:left w:val="nil"/>
              <w:bottom w:val="nil"/>
              <w:right w:val="nil"/>
            </w:tcBorders>
            <w:shd w:val="clear" w:color="auto" w:fill="auto"/>
            <w:noWrap/>
            <w:vAlign w:val="bottom"/>
            <w:hideMark/>
          </w:tcPr>
          <w:p w14:paraId="4FE474D0" w14:textId="77777777" w:rsidR="005F4EF1" w:rsidRPr="00D27DAA" w:rsidRDefault="005F4EF1" w:rsidP="005F4EF1">
            <w:pPr>
              <w:suppressAutoHyphens w:val="0"/>
              <w:spacing w:after="0" w:line="240" w:lineRule="auto"/>
              <w:rPr>
                <w:rFonts w:ascii="Times New Roman" w:eastAsia="Times New Roman" w:hAnsi="Times New Roman" w:cs="Times New Roman"/>
                <w:lang w:eastAsia="en-GB"/>
              </w:rPr>
            </w:pPr>
          </w:p>
        </w:tc>
        <w:tc>
          <w:tcPr>
            <w:tcW w:w="1520" w:type="dxa"/>
            <w:tcBorders>
              <w:top w:val="nil"/>
              <w:left w:val="nil"/>
              <w:bottom w:val="nil"/>
              <w:right w:val="nil"/>
            </w:tcBorders>
            <w:shd w:val="clear" w:color="auto" w:fill="auto"/>
            <w:noWrap/>
            <w:vAlign w:val="bottom"/>
            <w:hideMark/>
          </w:tcPr>
          <w:p w14:paraId="0A6235B1" w14:textId="77777777" w:rsidR="005F4EF1" w:rsidRPr="00D27DAA" w:rsidRDefault="005F4EF1" w:rsidP="005F4EF1">
            <w:pPr>
              <w:suppressAutoHyphens w:val="0"/>
              <w:spacing w:after="0" w:line="240" w:lineRule="auto"/>
              <w:rPr>
                <w:rFonts w:ascii="Times New Roman" w:eastAsia="Times New Roman" w:hAnsi="Times New Roman" w:cs="Times New Roman"/>
                <w:lang w:eastAsia="en-GB"/>
              </w:rPr>
            </w:pPr>
          </w:p>
        </w:tc>
        <w:tc>
          <w:tcPr>
            <w:tcW w:w="1960" w:type="dxa"/>
            <w:tcBorders>
              <w:top w:val="nil"/>
              <w:left w:val="nil"/>
              <w:bottom w:val="nil"/>
              <w:right w:val="nil"/>
            </w:tcBorders>
            <w:shd w:val="clear" w:color="auto" w:fill="auto"/>
            <w:noWrap/>
            <w:vAlign w:val="bottom"/>
            <w:hideMark/>
          </w:tcPr>
          <w:p w14:paraId="74B290E1" w14:textId="77777777" w:rsidR="005F4EF1" w:rsidRPr="00D27DAA" w:rsidRDefault="005F4EF1" w:rsidP="005F4EF1">
            <w:pPr>
              <w:suppressAutoHyphens w:val="0"/>
              <w:spacing w:after="0" w:line="240" w:lineRule="auto"/>
              <w:rPr>
                <w:rFonts w:ascii="Times New Roman" w:eastAsia="Times New Roman" w:hAnsi="Times New Roman" w:cs="Times New Roman"/>
                <w:lang w:eastAsia="en-GB"/>
              </w:rPr>
            </w:pPr>
          </w:p>
        </w:tc>
        <w:tc>
          <w:tcPr>
            <w:tcW w:w="1740" w:type="dxa"/>
            <w:tcBorders>
              <w:top w:val="nil"/>
              <w:left w:val="nil"/>
              <w:bottom w:val="nil"/>
              <w:right w:val="nil"/>
            </w:tcBorders>
            <w:shd w:val="clear" w:color="auto" w:fill="auto"/>
            <w:noWrap/>
            <w:vAlign w:val="bottom"/>
            <w:hideMark/>
          </w:tcPr>
          <w:p w14:paraId="016CEFD1" w14:textId="77777777" w:rsidR="005F4EF1" w:rsidRPr="00D27DAA" w:rsidRDefault="005F4EF1" w:rsidP="005F4EF1">
            <w:pPr>
              <w:suppressAutoHyphens w:val="0"/>
              <w:spacing w:after="0" w:line="240" w:lineRule="auto"/>
              <w:rPr>
                <w:rFonts w:ascii="Times New Roman" w:eastAsia="Times New Roman" w:hAnsi="Times New Roman" w:cs="Times New Roman"/>
                <w:lang w:eastAsia="en-GB"/>
              </w:rPr>
            </w:pPr>
          </w:p>
        </w:tc>
      </w:tr>
      <w:tr w:rsidR="005F4EF1" w:rsidRPr="00D27DAA" w14:paraId="360543E3" w14:textId="77777777" w:rsidTr="005F4EF1">
        <w:trPr>
          <w:trHeight w:val="315"/>
        </w:trPr>
        <w:tc>
          <w:tcPr>
            <w:tcW w:w="1320" w:type="dxa"/>
            <w:tcBorders>
              <w:top w:val="nil"/>
              <w:left w:val="nil"/>
              <w:bottom w:val="nil"/>
              <w:right w:val="nil"/>
            </w:tcBorders>
            <w:shd w:val="clear" w:color="auto" w:fill="auto"/>
            <w:vAlign w:val="center"/>
            <w:hideMark/>
          </w:tcPr>
          <w:p w14:paraId="608D652C" w14:textId="77777777" w:rsidR="005F4EF1" w:rsidRPr="00D27DAA" w:rsidRDefault="005F4EF1" w:rsidP="005F4EF1">
            <w:pPr>
              <w:suppressAutoHyphens w:val="0"/>
              <w:spacing w:after="0" w:line="240" w:lineRule="auto"/>
              <w:rPr>
                <w:rFonts w:ascii="Times New Roman" w:eastAsia="Times New Roman" w:hAnsi="Times New Roman" w:cs="Times New Roman"/>
                <w:lang w:eastAsia="en-GB"/>
              </w:rPr>
            </w:pPr>
          </w:p>
        </w:tc>
        <w:tc>
          <w:tcPr>
            <w:tcW w:w="3720" w:type="dxa"/>
            <w:gridSpan w:val="2"/>
            <w:tcBorders>
              <w:top w:val="nil"/>
              <w:left w:val="nil"/>
              <w:bottom w:val="nil"/>
              <w:right w:val="nil"/>
            </w:tcBorders>
            <w:shd w:val="clear" w:color="auto" w:fill="auto"/>
            <w:vAlign w:val="center"/>
            <w:hideMark/>
          </w:tcPr>
          <w:p w14:paraId="2B6F3F5F" w14:textId="77777777" w:rsidR="005F4EF1" w:rsidRPr="00D27DAA" w:rsidRDefault="005F4EF1" w:rsidP="005F4EF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PBMR</w:t>
            </w:r>
          </w:p>
        </w:tc>
        <w:tc>
          <w:tcPr>
            <w:tcW w:w="3700" w:type="dxa"/>
            <w:gridSpan w:val="2"/>
            <w:tcBorders>
              <w:top w:val="nil"/>
              <w:left w:val="nil"/>
              <w:bottom w:val="nil"/>
              <w:right w:val="nil"/>
            </w:tcBorders>
            <w:shd w:val="clear" w:color="auto" w:fill="auto"/>
            <w:vAlign w:val="center"/>
            <w:hideMark/>
          </w:tcPr>
          <w:p w14:paraId="65DEF90D" w14:textId="58204CF1" w:rsidR="005F4EF1" w:rsidRPr="00D27DAA" w:rsidRDefault="005F4EF1" w:rsidP="005F4EF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U-Battery</w:t>
            </w:r>
            <w:r w:rsidR="00DD49B8" w:rsidRPr="00D27DAA">
              <w:rPr>
                <w:rFonts w:ascii="Times New Roman" w:eastAsia="Times New Roman" w:hAnsi="Times New Roman" w:cs="Times New Roman"/>
                <w:color w:val="000000"/>
                <w:lang w:eastAsia="en-GB"/>
              </w:rPr>
              <w:t xml:space="preserve"> concept</w:t>
            </w:r>
          </w:p>
        </w:tc>
      </w:tr>
      <w:tr w:rsidR="005F4EF1" w:rsidRPr="00D27DAA" w14:paraId="2D5FB088" w14:textId="77777777" w:rsidTr="005F4EF1">
        <w:trPr>
          <w:trHeight w:val="645"/>
        </w:trPr>
        <w:tc>
          <w:tcPr>
            <w:tcW w:w="1320" w:type="dxa"/>
            <w:tcBorders>
              <w:top w:val="nil"/>
              <w:left w:val="nil"/>
              <w:bottom w:val="nil"/>
              <w:right w:val="nil"/>
            </w:tcBorders>
            <w:shd w:val="clear" w:color="auto" w:fill="auto"/>
            <w:vAlign w:val="center"/>
            <w:hideMark/>
          </w:tcPr>
          <w:p w14:paraId="030A1EFB" w14:textId="77777777" w:rsidR="005F4EF1" w:rsidRPr="00D27DAA" w:rsidRDefault="005F4EF1" w:rsidP="005F4EF1">
            <w:pPr>
              <w:suppressAutoHyphens w:val="0"/>
              <w:spacing w:after="0" w:line="240" w:lineRule="auto"/>
              <w:jc w:val="center"/>
              <w:rPr>
                <w:rFonts w:ascii="Times New Roman" w:eastAsia="Times New Roman" w:hAnsi="Times New Roman" w:cs="Times New Roman"/>
                <w:color w:val="000000"/>
                <w:lang w:eastAsia="en-GB"/>
              </w:rPr>
            </w:pPr>
          </w:p>
        </w:tc>
        <w:tc>
          <w:tcPr>
            <w:tcW w:w="2200" w:type="dxa"/>
            <w:tcBorders>
              <w:top w:val="nil"/>
              <w:left w:val="nil"/>
              <w:bottom w:val="double" w:sz="6" w:space="0" w:color="auto"/>
              <w:right w:val="nil"/>
            </w:tcBorders>
            <w:shd w:val="clear" w:color="auto" w:fill="auto"/>
            <w:vAlign w:val="center"/>
            <w:hideMark/>
          </w:tcPr>
          <w:p w14:paraId="3653298C" w14:textId="77777777" w:rsidR="005F4EF1" w:rsidRPr="00D27DAA" w:rsidRDefault="005F4EF1" w:rsidP="005F4EF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Outer radius (cm)</w:t>
            </w:r>
          </w:p>
        </w:tc>
        <w:tc>
          <w:tcPr>
            <w:tcW w:w="1520" w:type="dxa"/>
            <w:tcBorders>
              <w:top w:val="nil"/>
              <w:left w:val="nil"/>
              <w:bottom w:val="double" w:sz="6" w:space="0" w:color="auto"/>
              <w:right w:val="single" w:sz="4" w:space="0" w:color="auto"/>
            </w:tcBorders>
            <w:shd w:val="clear" w:color="auto" w:fill="auto"/>
            <w:vAlign w:val="center"/>
            <w:hideMark/>
          </w:tcPr>
          <w:p w14:paraId="2F6DB9B4" w14:textId="77777777" w:rsidR="005F4EF1" w:rsidRPr="00D27DAA" w:rsidRDefault="005F4EF1" w:rsidP="005F4EF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Thickness (cm)</w:t>
            </w:r>
          </w:p>
        </w:tc>
        <w:tc>
          <w:tcPr>
            <w:tcW w:w="1960" w:type="dxa"/>
            <w:tcBorders>
              <w:top w:val="nil"/>
              <w:left w:val="nil"/>
              <w:bottom w:val="double" w:sz="6" w:space="0" w:color="auto"/>
              <w:right w:val="nil"/>
            </w:tcBorders>
            <w:shd w:val="clear" w:color="auto" w:fill="auto"/>
            <w:vAlign w:val="center"/>
            <w:hideMark/>
          </w:tcPr>
          <w:p w14:paraId="1F79F0B4" w14:textId="77777777" w:rsidR="005F4EF1" w:rsidRPr="00D27DAA" w:rsidRDefault="005F4EF1" w:rsidP="005F4EF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Outer radius (cm)</w:t>
            </w:r>
          </w:p>
        </w:tc>
        <w:tc>
          <w:tcPr>
            <w:tcW w:w="1740" w:type="dxa"/>
            <w:tcBorders>
              <w:top w:val="nil"/>
              <w:left w:val="nil"/>
              <w:bottom w:val="double" w:sz="6" w:space="0" w:color="auto"/>
              <w:right w:val="nil"/>
            </w:tcBorders>
            <w:shd w:val="clear" w:color="auto" w:fill="auto"/>
            <w:vAlign w:val="center"/>
            <w:hideMark/>
          </w:tcPr>
          <w:p w14:paraId="2413F9B7" w14:textId="77777777" w:rsidR="005F4EF1" w:rsidRPr="00D27DAA" w:rsidRDefault="005F4EF1" w:rsidP="005F4EF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Thickness (cm)</w:t>
            </w:r>
          </w:p>
        </w:tc>
      </w:tr>
      <w:tr w:rsidR="005F4EF1" w:rsidRPr="00D27DAA" w14:paraId="504CDD03" w14:textId="77777777" w:rsidTr="005F4EF1">
        <w:trPr>
          <w:trHeight w:val="645"/>
        </w:trPr>
        <w:tc>
          <w:tcPr>
            <w:tcW w:w="1320" w:type="dxa"/>
            <w:tcBorders>
              <w:top w:val="nil"/>
              <w:left w:val="nil"/>
              <w:bottom w:val="nil"/>
              <w:right w:val="nil"/>
            </w:tcBorders>
            <w:shd w:val="clear" w:color="auto" w:fill="auto"/>
            <w:vAlign w:val="center"/>
            <w:hideMark/>
          </w:tcPr>
          <w:p w14:paraId="4B041D15" w14:textId="23FA0E2C" w:rsidR="005F4EF1" w:rsidRPr="00D27DAA" w:rsidRDefault="005F4EF1" w:rsidP="005F4EF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Inner Inc800h</w:t>
            </w:r>
          </w:p>
        </w:tc>
        <w:tc>
          <w:tcPr>
            <w:tcW w:w="2200" w:type="dxa"/>
            <w:tcBorders>
              <w:top w:val="nil"/>
              <w:left w:val="nil"/>
              <w:bottom w:val="nil"/>
              <w:right w:val="nil"/>
            </w:tcBorders>
            <w:shd w:val="clear" w:color="auto" w:fill="auto"/>
            <w:vAlign w:val="center"/>
            <w:hideMark/>
          </w:tcPr>
          <w:p w14:paraId="77DC9A00" w14:textId="77777777" w:rsidR="005F4EF1" w:rsidRPr="00D27DAA" w:rsidRDefault="005F4EF1" w:rsidP="005F4EF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4.2</w:t>
            </w:r>
          </w:p>
        </w:tc>
        <w:tc>
          <w:tcPr>
            <w:tcW w:w="1520" w:type="dxa"/>
            <w:tcBorders>
              <w:top w:val="nil"/>
              <w:left w:val="nil"/>
              <w:bottom w:val="nil"/>
              <w:right w:val="single" w:sz="4" w:space="0" w:color="auto"/>
            </w:tcBorders>
            <w:shd w:val="clear" w:color="auto" w:fill="auto"/>
            <w:vAlign w:val="center"/>
            <w:hideMark/>
          </w:tcPr>
          <w:p w14:paraId="650CD700" w14:textId="77777777" w:rsidR="005F4EF1" w:rsidRPr="00D27DAA" w:rsidRDefault="005F4EF1" w:rsidP="005F4EF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0.1</w:t>
            </w:r>
          </w:p>
        </w:tc>
        <w:tc>
          <w:tcPr>
            <w:tcW w:w="1960" w:type="dxa"/>
            <w:tcBorders>
              <w:top w:val="nil"/>
              <w:left w:val="nil"/>
              <w:bottom w:val="nil"/>
              <w:right w:val="nil"/>
            </w:tcBorders>
            <w:shd w:val="clear" w:color="auto" w:fill="auto"/>
            <w:vAlign w:val="center"/>
            <w:hideMark/>
          </w:tcPr>
          <w:p w14:paraId="38A11582" w14:textId="77777777" w:rsidR="005F4EF1" w:rsidRPr="00D27DAA" w:rsidRDefault="005F4EF1" w:rsidP="005F4EF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0.2</w:t>
            </w:r>
          </w:p>
        </w:tc>
        <w:tc>
          <w:tcPr>
            <w:tcW w:w="1740" w:type="dxa"/>
            <w:tcBorders>
              <w:top w:val="nil"/>
              <w:left w:val="nil"/>
              <w:bottom w:val="nil"/>
              <w:right w:val="nil"/>
            </w:tcBorders>
            <w:shd w:val="clear" w:color="auto" w:fill="auto"/>
            <w:vAlign w:val="center"/>
            <w:hideMark/>
          </w:tcPr>
          <w:p w14:paraId="16C2F565" w14:textId="77777777" w:rsidR="005F4EF1" w:rsidRPr="00D27DAA" w:rsidRDefault="005F4EF1" w:rsidP="005F4EF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0.02</w:t>
            </w:r>
          </w:p>
        </w:tc>
      </w:tr>
      <w:tr w:rsidR="005F4EF1" w:rsidRPr="00D27DAA" w14:paraId="7FD0877D" w14:textId="77777777" w:rsidTr="005F4EF1">
        <w:trPr>
          <w:trHeight w:val="315"/>
        </w:trPr>
        <w:tc>
          <w:tcPr>
            <w:tcW w:w="1320" w:type="dxa"/>
            <w:tcBorders>
              <w:top w:val="nil"/>
              <w:left w:val="nil"/>
              <w:bottom w:val="nil"/>
              <w:right w:val="nil"/>
            </w:tcBorders>
            <w:shd w:val="clear" w:color="auto" w:fill="auto"/>
            <w:vAlign w:val="center"/>
            <w:hideMark/>
          </w:tcPr>
          <w:p w14:paraId="2FC79435" w14:textId="77777777" w:rsidR="005F4EF1" w:rsidRPr="00D27DAA" w:rsidRDefault="005F4EF1" w:rsidP="005F4EF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B4C</w:t>
            </w:r>
          </w:p>
        </w:tc>
        <w:tc>
          <w:tcPr>
            <w:tcW w:w="2200" w:type="dxa"/>
            <w:tcBorders>
              <w:top w:val="nil"/>
              <w:left w:val="nil"/>
              <w:bottom w:val="nil"/>
              <w:right w:val="nil"/>
            </w:tcBorders>
            <w:shd w:val="clear" w:color="auto" w:fill="auto"/>
            <w:vAlign w:val="center"/>
            <w:hideMark/>
          </w:tcPr>
          <w:p w14:paraId="168D801C" w14:textId="77777777" w:rsidR="005F4EF1" w:rsidRPr="00D27DAA" w:rsidRDefault="005F4EF1" w:rsidP="005F4EF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5.05</w:t>
            </w:r>
          </w:p>
        </w:tc>
        <w:tc>
          <w:tcPr>
            <w:tcW w:w="1520" w:type="dxa"/>
            <w:tcBorders>
              <w:top w:val="nil"/>
              <w:left w:val="nil"/>
              <w:bottom w:val="nil"/>
              <w:right w:val="single" w:sz="4" w:space="0" w:color="auto"/>
            </w:tcBorders>
            <w:shd w:val="clear" w:color="auto" w:fill="auto"/>
            <w:vAlign w:val="center"/>
            <w:hideMark/>
          </w:tcPr>
          <w:p w14:paraId="4D787741" w14:textId="77777777" w:rsidR="005F4EF1" w:rsidRPr="00D27DAA" w:rsidRDefault="005F4EF1" w:rsidP="005F4EF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0.85</w:t>
            </w:r>
          </w:p>
        </w:tc>
        <w:tc>
          <w:tcPr>
            <w:tcW w:w="1960" w:type="dxa"/>
            <w:tcBorders>
              <w:top w:val="nil"/>
              <w:left w:val="nil"/>
              <w:bottom w:val="nil"/>
              <w:right w:val="nil"/>
            </w:tcBorders>
            <w:shd w:val="clear" w:color="auto" w:fill="auto"/>
            <w:vAlign w:val="center"/>
            <w:hideMark/>
          </w:tcPr>
          <w:p w14:paraId="2183E496" w14:textId="77777777" w:rsidR="005F4EF1" w:rsidRPr="00D27DAA" w:rsidRDefault="005F4EF1" w:rsidP="005F4EF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0.98</w:t>
            </w:r>
          </w:p>
        </w:tc>
        <w:tc>
          <w:tcPr>
            <w:tcW w:w="1740" w:type="dxa"/>
            <w:tcBorders>
              <w:top w:val="nil"/>
              <w:left w:val="nil"/>
              <w:bottom w:val="nil"/>
              <w:right w:val="nil"/>
            </w:tcBorders>
            <w:shd w:val="clear" w:color="auto" w:fill="auto"/>
            <w:vAlign w:val="center"/>
            <w:hideMark/>
          </w:tcPr>
          <w:p w14:paraId="5BE51E84" w14:textId="77777777" w:rsidR="005F4EF1" w:rsidRPr="00D27DAA" w:rsidRDefault="005F4EF1" w:rsidP="005F4EF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0.96</w:t>
            </w:r>
          </w:p>
        </w:tc>
      </w:tr>
      <w:tr w:rsidR="005F4EF1" w:rsidRPr="00D27DAA" w14:paraId="0A373965" w14:textId="77777777" w:rsidTr="005F4EF1">
        <w:trPr>
          <w:trHeight w:val="630"/>
        </w:trPr>
        <w:tc>
          <w:tcPr>
            <w:tcW w:w="1320" w:type="dxa"/>
            <w:tcBorders>
              <w:top w:val="nil"/>
              <w:left w:val="nil"/>
              <w:bottom w:val="nil"/>
              <w:right w:val="nil"/>
            </w:tcBorders>
            <w:shd w:val="clear" w:color="auto" w:fill="auto"/>
            <w:vAlign w:val="center"/>
            <w:hideMark/>
          </w:tcPr>
          <w:p w14:paraId="7DEAC8EF" w14:textId="1F0FB976" w:rsidR="005F4EF1" w:rsidRPr="00D27DAA" w:rsidRDefault="005F4EF1" w:rsidP="005F4EF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Outer Inc800h</w:t>
            </w:r>
          </w:p>
        </w:tc>
        <w:tc>
          <w:tcPr>
            <w:tcW w:w="2200" w:type="dxa"/>
            <w:tcBorders>
              <w:top w:val="nil"/>
              <w:left w:val="nil"/>
              <w:bottom w:val="nil"/>
              <w:right w:val="nil"/>
            </w:tcBorders>
            <w:shd w:val="clear" w:color="auto" w:fill="auto"/>
            <w:vAlign w:val="center"/>
            <w:hideMark/>
          </w:tcPr>
          <w:p w14:paraId="332B62D9" w14:textId="77777777" w:rsidR="005F4EF1" w:rsidRPr="00D27DAA" w:rsidRDefault="005F4EF1" w:rsidP="005F4EF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5.25</w:t>
            </w:r>
          </w:p>
        </w:tc>
        <w:tc>
          <w:tcPr>
            <w:tcW w:w="1520" w:type="dxa"/>
            <w:tcBorders>
              <w:top w:val="nil"/>
              <w:left w:val="nil"/>
              <w:bottom w:val="nil"/>
              <w:right w:val="single" w:sz="4" w:space="0" w:color="auto"/>
            </w:tcBorders>
            <w:shd w:val="clear" w:color="auto" w:fill="auto"/>
            <w:vAlign w:val="center"/>
            <w:hideMark/>
          </w:tcPr>
          <w:p w14:paraId="227BF993" w14:textId="77777777" w:rsidR="005F4EF1" w:rsidRPr="00D27DAA" w:rsidRDefault="005F4EF1" w:rsidP="005F4EF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0.2</w:t>
            </w:r>
          </w:p>
        </w:tc>
        <w:tc>
          <w:tcPr>
            <w:tcW w:w="1960" w:type="dxa"/>
            <w:tcBorders>
              <w:top w:val="nil"/>
              <w:left w:val="nil"/>
              <w:bottom w:val="nil"/>
              <w:right w:val="nil"/>
            </w:tcBorders>
            <w:shd w:val="clear" w:color="auto" w:fill="auto"/>
            <w:vAlign w:val="center"/>
            <w:hideMark/>
          </w:tcPr>
          <w:p w14:paraId="09222E9C" w14:textId="77777777" w:rsidR="005F4EF1" w:rsidRPr="00D27DAA" w:rsidRDefault="005F4EF1" w:rsidP="005F4EF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w:t>
            </w:r>
          </w:p>
        </w:tc>
        <w:tc>
          <w:tcPr>
            <w:tcW w:w="1740" w:type="dxa"/>
            <w:tcBorders>
              <w:top w:val="nil"/>
              <w:left w:val="nil"/>
              <w:bottom w:val="nil"/>
              <w:right w:val="nil"/>
            </w:tcBorders>
            <w:shd w:val="clear" w:color="auto" w:fill="auto"/>
            <w:vAlign w:val="center"/>
            <w:hideMark/>
          </w:tcPr>
          <w:p w14:paraId="7F62BE9B" w14:textId="77777777" w:rsidR="005F4EF1" w:rsidRPr="00D27DAA" w:rsidRDefault="005F4EF1" w:rsidP="005F4EF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0.02</w:t>
            </w:r>
          </w:p>
        </w:tc>
      </w:tr>
    </w:tbl>
    <w:p w14:paraId="779D47D8" w14:textId="77777777" w:rsidR="00BA0709" w:rsidRPr="00D27DAA" w:rsidRDefault="00BA0709" w:rsidP="00E83963">
      <w:pPr>
        <w:rPr>
          <w:rFonts w:ascii="Times New Roman" w:hAnsi="Times New Roman" w:cs="Times New Roman"/>
        </w:rPr>
      </w:pPr>
    </w:p>
    <w:p w14:paraId="0E2FAE33" w14:textId="3F77F275" w:rsidR="00E83963" w:rsidRPr="00D27DAA" w:rsidRDefault="00AC2CD3" w:rsidP="00E83963">
      <w:pPr>
        <w:rPr>
          <w:rFonts w:ascii="Times New Roman" w:hAnsi="Times New Roman" w:cs="Times New Roman"/>
        </w:rPr>
      </w:pPr>
      <w:r w:rsidRPr="00D27DAA">
        <w:rPr>
          <w:rFonts w:ascii="Times New Roman" w:hAnsi="Times New Roman" w:cs="Times New Roman"/>
        </w:rPr>
        <w:t xml:space="preserve">Due to the small size of the core, the control rod positioning becomes difficult to </w:t>
      </w:r>
      <w:r w:rsidR="009352B6" w:rsidRPr="00D27DAA">
        <w:rPr>
          <w:rFonts w:ascii="Times New Roman" w:hAnsi="Times New Roman" w:cs="Times New Roman"/>
        </w:rPr>
        <w:t xml:space="preserve">keep the symmetry. </w:t>
      </w:r>
      <w:r w:rsidR="00E82C14" w:rsidRPr="00D27DAA">
        <w:rPr>
          <w:rFonts w:ascii="Times New Roman" w:hAnsi="Times New Roman" w:cs="Times New Roman"/>
        </w:rPr>
        <w:t>We propose</w:t>
      </w:r>
      <w:r w:rsidR="009352B6" w:rsidRPr="00D27DAA">
        <w:rPr>
          <w:rFonts w:ascii="Times New Roman" w:hAnsi="Times New Roman" w:cs="Times New Roman"/>
        </w:rPr>
        <w:t xml:space="preserve"> six control rods placed at the exterior of the active core within the side reflector as depicted by</w:t>
      </w:r>
      <w:r w:rsidR="00AD28DA" w:rsidRPr="00D27DAA">
        <w:rPr>
          <w:rFonts w:ascii="Times New Roman" w:hAnsi="Times New Roman" w:cs="Times New Roman"/>
        </w:rPr>
        <w:t xml:space="preserve"> </w:t>
      </w:r>
      <w:r w:rsidR="00AD28DA" w:rsidRPr="00D27DAA">
        <w:rPr>
          <w:rFonts w:ascii="Times New Roman" w:hAnsi="Times New Roman" w:cs="Times New Roman"/>
        </w:rPr>
        <w:fldChar w:fldCharType="begin"/>
      </w:r>
      <w:r w:rsidR="00AD28DA" w:rsidRPr="00D27DAA">
        <w:rPr>
          <w:rFonts w:ascii="Times New Roman" w:hAnsi="Times New Roman" w:cs="Times New Roman"/>
        </w:rPr>
        <w:instrText xml:space="preserve"> REF _Ref508801888 \h </w:instrText>
      </w:r>
      <w:r w:rsidR="00BD5983" w:rsidRPr="00D27DAA">
        <w:rPr>
          <w:rFonts w:ascii="Times New Roman" w:hAnsi="Times New Roman" w:cs="Times New Roman"/>
        </w:rPr>
        <w:instrText xml:space="preserve"> \* MERGEFORMAT </w:instrText>
      </w:r>
      <w:r w:rsidR="00AD28DA" w:rsidRPr="00D27DAA">
        <w:rPr>
          <w:rFonts w:ascii="Times New Roman" w:hAnsi="Times New Roman" w:cs="Times New Roman"/>
        </w:rPr>
      </w:r>
      <w:r w:rsidR="00AD28DA" w:rsidRPr="00D27DAA">
        <w:rPr>
          <w:rFonts w:ascii="Times New Roman" w:hAnsi="Times New Roman" w:cs="Times New Roman"/>
        </w:rPr>
        <w:fldChar w:fldCharType="separate"/>
      </w:r>
      <w:r w:rsidR="00AD28DA" w:rsidRPr="00D27DAA">
        <w:rPr>
          <w:rFonts w:ascii="Times New Roman" w:hAnsi="Times New Roman" w:cs="Times New Roman"/>
        </w:rPr>
        <w:t xml:space="preserve">Figure </w:t>
      </w:r>
      <w:r w:rsidR="00AD28DA" w:rsidRPr="00D27DAA">
        <w:rPr>
          <w:rFonts w:ascii="Times New Roman" w:hAnsi="Times New Roman" w:cs="Times New Roman"/>
          <w:noProof/>
        </w:rPr>
        <w:t>3</w:t>
      </w:r>
      <w:r w:rsidR="00AD28DA" w:rsidRPr="00D27DAA">
        <w:rPr>
          <w:rFonts w:ascii="Times New Roman" w:hAnsi="Times New Roman" w:cs="Times New Roman"/>
        </w:rPr>
        <w:fldChar w:fldCharType="end"/>
      </w:r>
      <w:r w:rsidR="009352B6" w:rsidRPr="00D27DAA">
        <w:rPr>
          <w:rFonts w:ascii="Times New Roman" w:hAnsi="Times New Roman" w:cs="Times New Roman"/>
        </w:rPr>
        <w:t>.</w:t>
      </w:r>
    </w:p>
    <w:p w14:paraId="17CB5171" w14:textId="77777777" w:rsidR="00AD28DA" w:rsidRPr="00D27DAA" w:rsidRDefault="009352B6" w:rsidP="00AD28DA">
      <w:pPr>
        <w:keepNext/>
        <w:rPr>
          <w:rFonts w:ascii="Times New Roman" w:hAnsi="Times New Roman" w:cs="Times New Roman"/>
        </w:rPr>
      </w:pPr>
      <w:r w:rsidRPr="00D27DAA">
        <w:rPr>
          <w:rFonts w:ascii="Times New Roman" w:hAnsi="Times New Roman" w:cs="Times New Roman"/>
          <w:noProof/>
          <w:lang w:eastAsia="en-GB"/>
        </w:rPr>
        <w:lastRenderedPageBreak/>
        <w:drawing>
          <wp:inline distT="0" distB="0" distL="0" distR="0" wp14:anchorId="17A34EF6" wp14:editId="39B27392">
            <wp:extent cx="5727700" cy="4265295"/>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4265295"/>
                    </a:xfrm>
                    <a:prstGeom prst="rect">
                      <a:avLst/>
                    </a:prstGeom>
                  </pic:spPr>
                </pic:pic>
              </a:graphicData>
            </a:graphic>
          </wp:inline>
        </w:drawing>
      </w:r>
    </w:p>
    <w:p w14:paraId="0A49F064" w14:textId="55DF146A" w:rsidR="009352B6" w:rsidRPr="00D27DAA" w:rsidRDefault="00AD28DA" w:rsidP="00AD28DA">
      <w:pPr>
        <w:pStyle w:val="Caption"/>
        <w:jc w:val="center"/>
        <w:rPr>
          <w:rFonts w:ascii="Times New Roman" w:hAnsi="Times New Roman" w:cs="Times New Roman"/>
          <w:sz w:val="22"/>
          <w:szCs w:val="22"/>
        </w:rPr>
      </w:pPr>
      <w:bookmarkStart w:id="6" w:name="_Ref508801888"/>
      <w:r w:rsidRPr="00D27DAA">
        <w:rPr>
          <w:rFonts w:ascii="Times New Roman" w:hAnsi="Times New Roman" w:cs="Times New Roman"/>
          <w:sz w:val="22"/>
          <w:szCs w:val="22"/>
        </w:rPr>
        <w:t xml:space="preserve">Figure </w:t>
      </w:r>
      <w:r w:rsidR="00D1788F" w:rsidRPr="00D27DAA">
        <w:rPr>
          <w:rFonts w:ascii="Times New Roman" w:hAnsi="Times New Roman" w:cs="Times New Roman"/>
          <w:sz w:val="22"/>
          <w:szCs w:val="22"/>
        </w:rPr>
        <w:fldChar w:fldCharType="begin"/>
      </w:r>
      <w:r w:rsidR="00D1788F" w:rsidRPr="00D27DAA">
        <w:rPr>
          <w:rFonts w:ascii="Times New Roman" w:hAnsi="Times New Roman" w:cs="Times New Roman"/>
          <w:sz w:val="22"/>
          <w:szCs w:val="22"/>
        </w:rPr>
        <w:instrText xml:space="preserve"> SEQ Figure \* ARABIC </w:instrText>
      </w:r>
      <w:r w:rsidR="00D1788F"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3</w:t>
      </w:r>
      <w:r w:rsidR="00D1788F" w:rsidRPr="00D27DAA">
        <w:rPr>
          <w:rFonts w:ascii="Times New Roman" w:hAnsi="Times New Roman" w:cs="Times New Roman"/>
          <w:noProof/>
          <w:sz w:val="22"/>
          <w:szCs w:val="22"/>
        </w:rPr>
        <w:fldChar w:fldCharType="end"/>
      </w:r>
      <w:bookmarkEnd w:id="6"/>
      <w:r w:rsidRPr="00D27DAA">
        <w:rPr>
          <w:rFonts w:ascii="Times New Roman" w:hAnsi="Times New Roman" w:cs="Times New Roman"/>
          <w:sz w:val="22"/>
          <w:szCs w:val="22"/>
        </w:rPr>
        <w:t>- Control rod positions</w:t>
      </w:r>
    </w:p>
    <w:p w14:paraId="4C59B0B6" w14:textId="132C56BE" w:rsidR="003A1E0E" w:rsidRPr="00D27DAA" w:rsidRDefault="003A1E0E" w:rsidP="003A1E0E">
      <w:pPr>
        <w:rPr>
          <w:rFonts w:ascii="Times New Roman" w:hAnsi="Times New Roman" w:cs="Times New Roman"/>
        </w:rPr>
      </w:pPr>
      <w:r w:rsidRPr="00D27DAA">
        <w:rPr>
          <w:rFonts w:ascii="Times New Roman" w:hAnsi="Times New Roman" w:cs="Times New Roman"/>
        </w:rPr>
        <w:t>The control rods</w:t>
      </w:r>
      <w:r w:rsidR="005F4EF1" w:rsidRPr="00D27DAA">
        <w:rPr>
          <w:rFonts w:ascii="Times New Roman" w:hAnsi="Times New Roman" w:cs="Times New Roman"/>
        </w:rPr>
        <w:t xml:space="preserve"> design</w:t>
      </w:r>
      <w:r w:rsidRPr="00D27DAA">
        <w:rPr>
          <w:rFonts w:ascii="Times New Roman" w:hAnsi="Times New Roman" w:cs="Times New Roman"/>
        </w:rPr>
        <w:t xml:space="preserve"> in this </w:t>
      </w:r>
      <w:r w:rsidR="005F4EF1" w:rsidRPr="00D27DAA">
        <w:rPr>
          <w:rFonts w:ascii="Times New Roman" w:hAnsi="Times New Roman" w:cs="Times New Roman"/>
        </w:rPr>
        <w:t>article</w:t>
      </w:r>
      <w:r w:rsidRPr="00D27DAA">
        <w:rPr>
          <w:rFonts w:ascii="Times New Roman" w:hAnsi="Times New Roman" w:cs="Times New Roman"/>
        </w:rPr>
        <w:t xml:space="preserve"> are not varied</w:t>
      </w:r>
      <w:r w:rsidR="00580378" w:rsidRPr="00D27DAA">
        <w:rPr>
          <w:rFonts w:ascii="Times New Roman" w:hAnsi="Times New Roman" w:cs="Times New Roman"/>
        </w:rPr>
        <w:t xml:space="preserve">. </w:t>
      </w:r>
      <w:r w:rsidR="005F4EF1" w:rsidRPr="00D27DAA">
        <w:rPr>
          <w:rFonts w:ascii="Times New Roman" w:hAnsi="Times New Roman" w:cs="Times New Roman"/>
        </w:rPr>
        <w:t xml:space="preserve">All control rods are moved simultaneously to preserve a symmetrical power profile across the radial core. </w:t>
      </w:r>
      <w:r w:rsidR="001500DD" w:rsidRPr="00D27DAA">
        <w:rPr>
          <w:rFonts w:ascii="Times New Roman" w:hAnsi="Times New Roman" w:cs="Times New Roman"/>
        </w:rPr>
        <w:t xml:space="preserve">A full breakdown on the geometrical description can be found in the appendices. </w:t>
      </w:r>
    </w:p>
    <w:p w14:paraId="68DA53CA" w14:textId="45B6440B" w:rsidR="00E82C14" w:rsidRPr="00D27DAA" w:rsidRDefault="00E82C14" w:rsidP="00E82C14">
      <w:pPr>
        <w:rPr>
          <w:rFonts w:ascii="Times New Roman" w:hAnsi="Times New Roman" w:cs="Times New Roman"/>
        </w:rPr>
      </w:pPr>
      <w:r w:rsidRPr="00D27DAA">
        <w:rPr>
          <w:rFonts w:ascii="Times New Roman" w:hAnsi="Times New Roman" w:cs="Times New Roman"/>
        </w:rPr>
        <w:t xml:space="preserve">All neutronic results presented are simulated through a Monte Carlo simulation routine using the Serpent 2.1.27 </w:t>
      </w:r>
      <w:r w:rsidRPr="00D27DAA">
        <w:rPr>
          <w:rFonts w:ascii="Times New Roman" w:hAnsi="Times New Roman" w:cs="Times New Roman"/>
        </w:rPr>
        <w:fldChar w:fldCharType="begin" w:fldLock="1"/>
      </w:r>
      <w:r w:rsidR="008C339F" w:rsidRPr="00D27DAA">
        <w:rPr>
          <w:rFonts w:ascii="Times New Roman" w:hAnsi="Times New Roman" w:cs="Times New Roman"/>
        </w:rPr>
        <w:instrText>ADDIN CSL_CITATION {"citationItems":[{"id":"ITEM-1","itemData":{"DOI":"10.1016/j.anucene.2014.08.024","ISSN":"18732100","abstract":"The Serpent Monte Carlo reactor physics burnup calculation code has been developed at VTT Technical Research Centre of Finland since 2004, and is currently used in over 100 universities and research organizations around the world. This paper presents the brief history of the project, together with the currently available methods and capabilities and plans for future work. Typical user applications are introduced in the form of a summary review on Serpent-related publications over the past few years.","author":[{"dropping-particle":"","family":"Leppänen","given":"Jaakko","non-dropping-particle":"","parse-names":false,"suffix":""},{"dropping-particle":"","family":"Pusa","given":"Maria","non-dropping-particle":"","parse-names":false,"suffix":""},{"dropping-particle":"","family":"Viitanen","given":"Tuomas","non-dropping-particle":"","parse-names":false,"suffix":""},{"dropping-particle":"","family":"Valtavirta","given":"Ville","non-dropping-particle":"","parse-names":false,"suffix":""},{"dropping-particle":"","family":"Kaltiaisenaho","given":"Toni","non-dropping-particle":"","parse-names":false,"suffix":""}],"container-title":"Annals of Nuclear Energy","id":"ITEM-1","issued":{"date-parts":[["2015"]]},"page":"142-150","title":"The Serpent Monte Carlo code: Status, development and applications in 2013","type":"article-journal","volume":"82"},"uris":["http://www.mendeley.com/documents/?uuid=979c54a1-ba14-4019-898d-41bc43ad619f"]}],"mendeley":{"formattedCitation":"(Leppänen et al., 2015)","plainTextFormattedCitation":"(Leppänen et al., 2015)","previouslyFormattedCitation":"(Leppänen et al., 2015)"},"properties":{"noteIndex":0},"schema":"https://github.com/citation-style-language/schema/raw/master/csl-citation.json"}</w:instrText>
      </w:r>
      <w:r w:rsidRPr="00D27DAA">
        <w:rPr>
          <w:rFonts w:ascii="Times New Roman" w:hAnsi="Times New Roman" w:cs="Times New Roman"/>
        </w:rPr>
        <w:fldChar w:fldCharType="separate"/>
      </w:r>
      <w:r w:rsidR="00D1788F" w:rsidRPr="00D27DAA">
        <w:rPr>
          <w:rFonts w:ascii="Times New Roman" w:hAnsi="Times New Roman" w:cs="Times New Roman"/>
          <w:noProof/>
        </w:rPr>
        <w:t>(Leppänen et al., 2015)</w:t>
      </w:r>
      <w:r w:rsidRPr="00D27DAA">
        <w:rPr>
          <w:rFonts w:ascii="Times New Roman" w:hAnsi="Times New Roman" w:cs="Times New Roman"/>
        </w:rPr>
        <w:fldChar w:fldCharType="end"/>
      </w:r>
      <w:r w:rsidRPr="00D27DAA">
        <w:rPr>
          <w:rFonts w:ascii="Times New Roman" w:hAnsi="Times New Roman" w:cs="Times New Roman"/>
        </w:rPr>
        <w:t>, using data libraries JEFF 3.1</w:t>
      </w:r>
      <w:r w:rsidR="002B1246" w:rsidRPr="00D27DAA">
        <w:rPr>
          <w:rFonts w:ascii="Times New Roman" w:hAnsi="Times New Roman" w:cs="Times New Roman"/>
        </w:rPr>
        <w:t>.</w:t>
      </w:r>
      <w:r w:rsidRPr="00D27DAA">
        <w:rPr>
          <w:rFonts w:ascii="Times New Roman" w:hAnsi="Times New Roman" w:cs="Times New Roman"/>
        </w:rPr>
        <w:t>1</w:t>
      </w:r>
      <w:r w:rsidR="002B1246" w:rsidRPr="00D27DAA">
        <w:rPr>
          <w:rFonts w:ascii="Times New Roman" w:hAnsi="Times New Roman" w:cs="Times New Roman"/>
        </w:rPr>
        <w:t xml:space="preserve"> </w:t>
      </w:r>
      <w:r w:rsidR="002B1246" w:rsidRPr="00D27DAA">
        <w:rPr>
          <w:rFonts w:ascii="Times New Roman" w:hAnsi="Times New Roman" w:cs="Times New Roman"/>
        </w:rPr>
        <w:fldChar w:fldCharType="begin" w:fldLock="1"/>
      </w:r>
      <w:r w:rsidR="008C339F" w:rsidRPr="00D27DAA">
        <w:rPr>
          <w:rFonts w:ascii="Times New Roman" w:hAnsi="Times New Roman" w:cs="Times New Roman"/>
        </w:rPr>
        <w:instrText>ADDIN CSL_CITATION {"citationItems":[{"id":"ITEM-1","itemData":{"ISBN":"978-92-64-99074-6","URL":"https://www.oecd-nea.org/dbdata/nds_jefreports/jefreport-22/nea6807-jeff22.pdf","abstract":"This report describes the incremental method used to improve JEFF evaluations since the release of the JEF-2.2 library in 1992. In order to be accepted as a JEFF-3 evaluation, new evaluations must be demonstrated to be more consistent with both differential and targeted integral measurements. The report first describes the validation of the JEF-2 library and the user feedback received by evaluators. The main improvements introduced in the JEFF-3.0 file, and in a second step in JEFF-3.1, are then presented. The report highlights the modifications that would be required for JEFF-3.1 evaluations to fit with integral experiments and to meet LWR target accuracy. The new evaluations (237 Np, 239 Pu, 16O,91,96 file Zr and seven fission products) introduced in the recommended JEFF-3.1.1 file are also described. The current validation of the JEFF-3.1.1 is detailed. Fundamental targeted experiments, LWR mock-up experiments, PWR and BWR chemical assays and SNF reactivity worth measurements are analysed using both TRIPOLI4 and APOLLO2.8 reference calculations. This report demonstrates that JEFF-3.1.1 is probably the best international library currently available. It is more accurate than ENDFB/VII for fuel inventory, MOX reactivity and plutonium ageing, and reactivity coefficients such as temperature coefficient and stainless tell reflectors. Moreover, JEFF-3.1.1 evaluations benefit from the feedback of validation studies for fast breeder reactors, the fuel cycle, criticality safety and burn-up credit. JEFF-3.1.1 is used worldwide for PWR and BWR calculations, particularly in the new ARCADIA package of Areva-NP. It is also used in ERANOS2 for Generation IV designs. Please note that while this report is printed in black and white, several of the graphics are best viewed in colour. A colour version may be viewed on the NEA website at www.nea.fr/html/dbdata/nds_jefreports/.","accessed":{"date-parts":[["2018","8","13"]]},"author":[{"dropping-particle":"","family":"Santamarina","given":"A","non-dropping-particle":"","parse-names":false,"suffix":""},{"dropping-particle":"","family":"Bernard","given":"D","non-dropping-particle":"","parse-names":false,"suffix":""},{"dropping-particle":"","family":"Blaise","given":"P","non-dropping-particle":"","parse-names":false,"suffix":""},{"dropping-particle":"","family":"Coste","given":"M","non-dropping-particle":"","parse-names":false,"suffix":""},{"dropping-particle":"","family":"Courcelle","given":"A","non-dropping-particle":"","parse-names":false,"suffix":""},{"dropping-particle":"","family":"Huynh","given":"T D","non-dropping-particle":"","parse-names":false,"suffix":""},{"dropping-particle":"","family":"Jouanne","given":"C","non-dropping-particle":"","parse-names":false,"suffix":""},{"dropping-particle":"","family":"Leconte","given":"P","non-dropping-particle":"","parse-names":false,"suffix":""},{"dropping-particle":"","family":"Litaize","given":"O","non-dropping-particle":"","parse-names":false,"suffix":""},{"dropping-particle":"","family":"Mengelle","given":"S","non-dropping-particle":"","parse-names":false,"suffix":""},{"dropping-particle":"","family":"Noguère","given":"G","non-dropping-particle":"","parse-names":false,"suffix":""},{"dropping-particle":"","family":"Ruggiéri","given":"J-m","non-dropping-particle":"","parse-names":false,"suffix":""},{"dropping-particle":"","family":"Sérot","given":"O","non-dropping-particle":"","parse-names":false,"suffix":""},{"dropping-particle":"","family":"Tommasi","given":"J","non-dropping-particle":"","parse-names":false,"suffix":""},{"dropping-particle":"","family":"Vaglio","given":"C","non-dropping-particle":"","parse-names":false,"suffix":""},{"dropping-particle":"","family":"Vidal","given":"J-f","non-dropping-particle":"","parse-names":false,"suffix":""}],"container-title":"Nuclear Energy Agency","id":"ITEM-1","issue":"6807","issued":{"date-parts":[["2009"]]},"page":"1-62","title":"The JEFF-3.1.1 Nuclear Data Library JEFF Report 22","type":"webpage"},"uris":["http://www.mendeley.com/documents/?uuid=d4a0ec05-4fca-42dc-beb3-4fd6cfa57a6b"]}],"mendeley":{"formattedCitation":"(Santamarina et al., 2009)","plainTextFormattedCitation":"(Santamarina et al., 2009)","previouslyFormattedCitation":"(Santamarina et al., 2009)"},"properties":{"noteIndex":0},"schema":"https://github.com/citation-style-language/schema/raw/master/csl-citation.json"}</w:instrText>
      </w:r>
      <w:r w:rsidR="002B1246" w:rsidRPr="00D27DAA">
        <w:rPr>
          <w:rFonts w:ascii="Times New Roman" w:hAnsi="Times New Roman" w:cs="Times New Roman"/>
        </w:rPr>
        <w:fldChar w:fldCharType="separate"/>
      </w:r>
      <w:r w:rsidR="002B1246" w:rsidRPr="00D27DAA">
        <w:rPr>
          <w:rFonts w:ascii="Times New Roman" w:hAnsi="Times New Roman" w:cs="Times New Roman"/>
          <w:noProof/>
        </w:rPr>
        <w:t>(Santamarina et al., 2009)</w:t>
      </w:r>
      <w:r w:rsidR="002B1246" w:rsidRPr="00D27DAA">
        <w:rPr>
          <w:rFonts w:ascii="Times New Roman" w:hAnsi="Times New Roman" w:cs="Times New Roman"/>
        </w:rPr>
        <w:fldChar w:fldCharType="end"/>
      </w:r>
      <w:r w:rsidRPr="00D27DAA">
        <w:rPr>
          <w:rFonts w:ascii="Times New Roman" w:hAnsi="Times New Roman" w:cs="Times New Roman"/>
        </w:rPr>
        <w:t xml:space="preserve">. </w:t>
      </w:r>
      <w:r w:rsidR="00F76EF7" w:rsidRPr="00D27DAA">
        <w:rPr>
          <w:rFonts w:ascii="Times New Roman" w:hAnsi="Times New Roman" w:cs="Times New Roman"/>
        </w:rPr>
        <w:t xml:space="preserve">Serpent has been validated with consistent results against the Very High Temperature Critical Assembly benchmark and is thus considered a dependable tool for the following analysis </w:t>
      </w:r>
      <w:r w:rsidR="00F76EF7" w:rsidRPr="00D27DAA">
        <w:rPr>
          <w:rFonts w:ascii="Times New Roman" w:hAnsi="Times New Roman" w:cs="Times New Roman"/>
        </w:rPr>
        <w:fldChar w:fldCharType="begin" w:fldLock="1"/>
      </w:r>
      <w:r w:rsidR="006A58B8" w:rsidRPr="00D27DAA">
        <w:rPr>
          <w:rFonts w:ascii="Times New Roman" w:hAnsi="Times New Roman" w:cs="Times New Roman"/>
        </w:rPr>
        <w:instrText>ADDIN CSL_CITATION {"citationItems":[{"id":"ITEM-1","itemData":{"DOI":"10.1016/j.anucene.2015.12.008","ISSN":"18732100","abstract":"Within the framework of the IAEA Coordinated Research Project on HTGR Uncertainty Analysis in Modeling, criticality calculations of the Very High Temperature Critical Assembly experiment were performed as the validation reference to the prismatic MHTGR-350 lattice calculations. Criticality measurements performed at several temperature points at this Japanese graphite-moderated facility were recently included in the International Handbook of Evaluated Reactor Physics Benchmark Experiments, and represent one of the few data sets available for the validation of HTGR lattice physics. This work compares VHTRC criticality simulations utilizing the Monte Carlo codes Serpent and SCALE/KENO-VI. Reasonable agreement was found between Serpent and KENO-VI, but only the use of the latest ENDF cross section library release, namely the ENDF/B-VII.1 library, led to an improved match with the measured data. Furthermore, the fourth beta release of SCALE 6.2/KENO-VI showed significant improvements from the current SCALE 6.1.2 version, compared to the experimental values and Serpent.","author":[{"dropping-particle":"","family":"Bostelmann","given":"Friederike","non-dropping-particle":"","parse-names":false,"suffix":""},{"dropping-particle":"","family":"Hammer","given":"Hans R.","non-dropping-particle":"","parse-names":false,"suffix":""},{"dropping-particle":"","family":"Ortensi","given":"Javier","non-dropping-particle":"","parse-names":false,"suffix":""},{"dropping-particle":"","family":"Strydom","given":"Gerhard","non-dropping-particle":"","parse-names":false,"suffix":""},{"dropping-particle":"","family":"Velkov","given":"Kiril","non-dropping-particle":"","parse-names":false,"suffix":""},{"dropping-particle":"","family":"Zwermann","given":"Winfried","non-dropping-particle":"","parse-names":false,"suffix":""}],"container-title":"Annals of Nuclear Energy","id":"ITEM-1","issued":{"date-parts":[["2016"]]},"page":"343-352","publisher":"Elsevier Ltd","title":"Criticality calculations of the Very High Temperature Reactor Critical Assembly benchmark with Serpent and SCALE/KENO-VI","type":"article-journal","volume":"90"},"uris":["http://www.mendeley.com/documents/?uuid=4187acca-04f1-4675-bb0e-23c02089028a"]}],"mendeley":{"formattedCitation":"(Bostelmann et al., 2016)","plainTextFormattedCitation":"(Bostelmann et al., 2016)","previouslyFormattedCitation":"(Bostelmann et al., 2016)"},"properties":{"noteIndex":0},"schema":"https://github.com/citation-style-language/schema/raw/master/csl-citation.json"}</w:instrText>
      </w:r>
      <w:r w:rsidR="00F76EF7" w:rsidRPr="00D27DAA">
        <w:rPr>
          <w:rFonts w:ascii="Times New Roman" w:hAnsi="Times New Roman" w:cs="Times New Roman"/>
        </w:rPr>
        <w:fldChar w:fldCharType="separate"/>
      </w:r>
      <w:r w:rsidR="00F76EF7" w:rsidRPr="00D27DAA">
        <w:rPr>
          <w:rFonts w:ascii="Times New Roman" w:hAnsi="Times New Roman" w:cs="Times New Roman"/>
          <w:noProof/>
        </w:rPr>
        <w:t>(Bostelmann et al., 2016)</w:t>
      </w:r>
      <w:r w:rsidR="00F76EF7" w:rsidRPr="00D27DAA">
        <w:rPr>
          <w:rFonts w:ascii="Times New Roman" w:hAnsi="Times New Roman" w:cs="Times New Roman"/>
        </w:rPr>
        <w:fldChar w:fldCharType="end"/>
      </w:r>
      <w:r w:rsidR="00F76EF7" w:rsidRPr="00D27DAA">
        <w:rPr>
          <w:rFonts w:ascii="Times New Roman" w:hAnsi="Times New Roman" w:cs="Times New Roman"/>
        </w:rPr>
        <w:t xml:space="preserve">. </w:t>
      </w:r>
    </w:p>
    <w:p w14:paraId="60AD7C23" w14:textId="15E7A246" w:rsidR="00DE51B2" w:rsidRPr="00D27DAA" w:rsidRDefault="00DE51B2" w:rsidP="003A1E0E">
      <w:pPr>
        <w:pStyle w:val="Heading1"/>
        <w:rPr>
          <w:rFonts w:ascii="Times New Roman" w:hAnsi="Times New Roman" w:cs="Times New Roman"/>
          <w:sz w:val="22"/>
          <w:szCs w:val="22"/>
        </w:rPr>
      </w:pPr>
      <w:r w:rsidRPr="00D27DAA">
        <w:rPr>
          <w:rFonts w:ascii="Times New Roman" w:hAnsi="Times New Roman" w:cs="Times New Roman"/>
          <w:sz w:val="22"/>
          <w:szCs w:val="22"/>
        </w:rPr>
        <w:t>Methodology</w:t>
      </w:r>
    </w:p>
    <w:p w14:paraId="724918FD" w14:textId="6DDEB2D6" w:rsidR="00221719" w:rsidRPr="00D27DAA" w:rsidRDefault="00221719" w:rsidP="00221719">
      <w:pPr>
        <w:rPr>
          <w:rFonts w:ascii="Times New Roman" w:hAnsi="Times New Roman" w:cs="Times New Roman"/>
        </w:rPr>
      </w:pPr>
      <w:r w:rsidRPr="00D27DAA">
        <w:rPr>
          <w:rFonts w:ascii="Times New Roman" w:hAnsi="Times New Roman" w:cs="Times New Roman"/>
        </w:rPr>
        <w:t xml:space="preserve">FBPs are designed to provide </w:t>
      </w:r>
      <w:proofErr w:type="gramStart"/>
      <w:r w:rsidRPr="00D27DAA">
        <w:rPr>
          <w:rFonts w:ascii="Times New Roman" w:hAnsi="Times New Roman" w:cs="Times New Roman"/>
        </w:rPr>
        <w:t>sufficient</w:t>
      </w:r>
      <w:proofErr w:type="gramEnd"/>
      <w:r w:rsidRPr="00D27DAA">
        <w:rPr>
          <w:rFonts w:ascii="Times New Roman" w:hAnsi="Times New Roman" w:cs="Times New Roman"/>
        </w:rPr>
        <w:t xml:space="preserve"> reactivity</w:t>
      </w:r>
      <w:r w:rsidR="00AD28DA" w:rsidRPr="00D27DAA">
        <w:rPr>
          <w:rFonts w:ascii="Times New Roman" w:hAnsi="Times New Roman" w:cs="Times New Roman"/>
        </w:rPr>
        <w:t xml:space="preserve"> repression</w:t>
      </w:r>
      <w:r w:rsidRPr="00D27DAA">
        <w:rPr>
          <w:rFonts w:ascii="Times New Roman" w:hAnsi="Times New Roman" w:cs="Times New Roman"/>
        </w:rPr>
        <w:t xml:space="preserve"> for the start of the lifecycle of the fuel</w:t>
      </w:r>
      <w:r w:rsidR="007D3207" w:rsidRPr="00D27DAA">
        <w:rPr>
          <w:rFonts w:ascii="Times New Roman" w:hAnsi="Times New Roman" w:cs="Times New Roman"/>
        </w:rPr>
        <w:t>, three different locations are investigated</w:t>
      </w:r>
      <w:r w:rsidRPr="00D27DAA">
        <w:rPr>
          <w:rFonts w:ascii="Times New Roman" w:hAnsi="Times New Roman" w:cs="Times New Roman"/>
        </w:rPr>
        <w:t xml:space="preserve">. </w:t>
      </w:r>
      <w:r w:rsidR="00584D55" w:rsidRPr="00D27DAA">
        <w:rPr>
          <w:rFonts w:ascii="Times New Roman" w:hAnsi="Times New Roman" w:cs="Times New Roman"/>
        </w:rPr>
        <w:t>The aim is to</w:t>
      </w:r>
      <w:r w:rsidRPr="00D27DAA">
        <w:rPr>
          <w:rFonts w:ascii="Times New Roman" w:hAnsi="Times New Roman" w:cs="Times New Roman"/>
        </w:rPr>
        <w:t xml:space="preserve"> reduce the</w:t>
      </w:r>
      <w:r w:rsidR="00A03F2A" w:rsidRPr="00D27DAA">
        <w:rPr>
          <w:rFonts w:ascii="Times New Roman" w:hAnsi="Times New Roman" w:cs="Times New Roman"/>
        </w:rPr>
        <w:t xml:space="preserve"> </w:t>
      </w:r>
      <w:r w:rsidR="00547113" w:rsidRPr="00D27DAA">
        <w:rPr>
          <w:rFonts w:ascii="Times New Roman" w:hAnsi="Times New Roman" w:cs="Times New Roman"/>
        </w:rPr>
        <w:t>effective multiplication factor</w:t>
      </w:r>
      <w:r w:rsidRPr="00D27DAA">
        <w:rPr>
          <w:rFonts w:ascii="Times New Roman" w:hAnsi="Times New Roman" w:cs="Times New Roman"/>
        </w:rPr>
        <w:t xml:space="preserve"> </w:t>
      </w:r>
      <w:r w:rsidR="00A03F2A" w:rsidRPr="00D27DAA">
        <w:rPr>
          <w:rFonts w:ascii="Times New Roman" w:hAnsi="Times New Roman" w:cs="Times New Roman"/>
        </w:rPr>
        <w:t>(</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Pr="00D27DAA">
        <w:rPr>
          <w:rFonts w:ascii="Times New Roman" w:hAnsi="Times New Roman" w:cs="Times New Roman"/>
        </w:rPr>
        <w:t xml:space="preserve">of the core to a reasonable level, which can then be </w:t>
      </w:r>
      <w:r w:rsidR="00584D55" w:rsidRPr="00D27DAA">
        <w:rPr>
          <w:rFonts w:ascii="Times New Roman" w:hAnsi="Times New Roman" w:cs="Times New Roman"/>
        </w:rPr>
        <w:t>controlled</w:t>
      </w:r>
      <w:r w:rsidRPr="00D27DAA">
        <w:rPr>
          <w:rFonts w:ascii="Times New Roman" w:hAnsi="Times New Roman" w:cs="Times New Roman"/>
        </w:rPr>
        <w:t xml:space="preserve"> in conjunction with traditional control </w:t>
      </w:r>
      <w:r w:rsidRPr="00D27DAA">
        <w:rPr>
          <w:rFonts w:ascii="Times New Roman" w:hAnsi="Times New Roman" w:cs="Times New Roman"/>
        </w:rPr>
        <w:lastRenderedPageBreak/>
        <w:t xml:space="preserve">rod mechanisms. In this case an arbitrary value of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Pr="00D27DAA">
        <w:rPr>
          <w:rFonts w:ascii="Times New Roman" w:hAnsi="Times New Roman" w:cs="Times New Roman"/>
        </w:rPr>
        <w:t xml:space="preserve">of 1.02 is chosen </w:t>
      </w:r>
      <w:r w:rsidR="004D7184" w:rsidRPr="00D27DAA">
        <w:rPr>
          <w:rFonts w:ascii="Times New Roman" w:hAnsi="Times New Roman" w:cs="Times New Roman"/>
        </w:rPr>
        <w:t xml:space="preserve">as </w:t>
      </w:r>
      <w:r w:rsidRPr="00D27DAA">
        <w:rPr>
          <w:rFonts w:ascii="Times New Roman" w:hAnsi="Times New Roman" w:cs="Times New Roman"/>
        </w:rPr>
        <w:t>a safety margin</w:t>
      </w:r>
      <w:r w:rsidR="00BD5983" w:rsidRPr="00D27DAA">
        <w:rPr>
          <w:rFonts w:ascii="Times New Roman" w:hAnsi="Times New Roman" w:cs="Times New Roman"/>
        </w:rPr>
        <w:t xml:space="preserve"> so avoid the risk of reaching subcriticality</w:t>
      </w:r>
      <w:r w:rsidRPr="00D27DAA">
        <w:rPr>
          <w:rFonts w:ascii="Times New Roman" w:hAnsi="Times New Roman" w:cs="Times New Roman"/>
        </w:rPr>
        <w:t xml:space="preserve">. </w:t>
      </w:r>
      <w:r w:rsidR="00584D55" w:rsidRPr="00D27DAA">
        <w:rPr>
          <w:rFonts w:ascii="Times New Roman" w:hAnsi="Times New Roman" w:cs="Times New Roman"/>
        </w:rPr>
        <w:t>W</w:t>
      </w:r>
      <w:r w:rsidR="00790421" w:rsidRPr="00D27DAA">
        <w:rPr>
          <w:rFonts w:ascii="Times New Roman" w:hAnsi="Times New Roman" w:cs="Times New Roman"/>
        </w:rPr>
        <w:t xml:space="preserve">ith the inclusion of </w:t>
      </w:r>
      <w:proofErr w:type="gramStart"/>
      <w:r w:rsidR="00790421" w:rsidRPr="00D27DAA">
        <w:rPr>
          <w:rFonts w:ascii="Times New Roman" w:hAnsi="Times New Roman" w:cs="Times New Roman"/>
        </w:rPr>
        <w:t>poisons</w:t>
      </w:r>
      <w:proofErr w:type="gramEnd"/>
      <w:r w:rsidR="00790421" w:rsidRPr="00D27DAA">
        <w:rPr>
          <w:rFonts w:ascii="Times New Roman" w:hAnsi="Times New Roman" w:cs="Times New Roman"/>
        </w:rPr>
        <w:t xml:space="preserve"> the aim was to reduce the initial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00790421" w:rsidRPr="00D27DAA">
        <w:rPr>
          <w:rFonts w:ascii="Times New Roman" w:hAnsi="Times New Roman" w:cs="Times New Roman"/>
        </w:rPr>
        <w:t>to ~1.05.</w:t>
      </w:r>
      <w:r w:rsidR="003B1077" w:rsidRPr="00D27DAA">
        <w:rPr>
          <w:rFonts w:ascii="Times New Roman" w:hAnsi="Times New Roman" w:cs="Times New Roman"/>
        </w:rPr>
        <w:t xml:space="preserve"> </w:t>
      </w:r>
      <w:bookmarkStart w:id="7" w:name="_Hlk521838115"/>
      <w:r w:rsidR="003B1077" w:rsidRPr="00D27DAA">
        <w:rPr>
          <w:rFonts w:ascii="Times New Roman" w:hAnsi="Times New Roman" w:cs="Times New Roman"/>
        </w:rPr>
        <w:t xml:space="preserve">To effectively implement the poisons locations the areas of </w:t>
      </w:r>
      <w:proofErr w:type="gramStart"/>
      <w:r w:rsidR="003B1077" w:rsidRPr="00D27DAA">
        <w:rPr>
          <w:rFonts w:ascii="Times New Roman" w:hAnsi="Times New Roman" w:cs="Times New Roman"/>
        </w:rPr>
        <w:t>high power</w:t>
      </w:r>
      <w:proofErr w:type="gramEnd"/>
      <w:r w:rsidR="003B1077" w:rsidRPr="00D27DAA">
        <w:rPr>
          <w:rFonts w:ascii="Times New Roman" w:hAnsi="Times New Roman" w:cs="Times New Roman"/>
        </w:rPr>
        <w:t xml:space="preserve"> distribution are considered the most effective, these areas are within the vicinity of the central reflector and side reflector, rather than towards the centre of the fuel block.</w:t>
      </w:r>
      <w:bookmarkEnd w:id="7"/>
    </w:p>
    <w:p w14:paraId="61EBFF22" w14:textId="3DCA25EA" w:rsidR="00BC29F4" w:rsidRPr="00D27DAA" w:rsidRDefault="00BC29F4" w:rsidP="00221719">
      <w:pPr>
        <w:rPr>
          <w:rFonts w:ascii="Times New Roman" w:hAnsi="Times New Roman" w:cs="Times New Roman"/>
        </w:rPr>
      </w:pPr>
      <w:r w:rsidRPr="00D27DAA">
        <w:rPr>
          <w:rFonts w:ascii="Times New Roman" w:hAnsi="Times New Roman" w:cs="Times New Roman"/>
        </w:rPr>
        <w:t xml:space="preserve">Serpent </w:t>
      </w:r>
      <w:r w:rsidR="00C440EA" w:rsidRPr="00D27DAA">
        <w:rPr>
          <w:rFonts w:ascii="Times New Roman" w:hAnsi="Times New Roman" w:cs="Times New Roman"/>
        </w:rPr>
        <w:t xml:space="preserve">option allowing </w:t>
      </w:r>
      <w:r w:rsidRPr="00D27DAA">
        <w:rPr>
          <w:rFonts w:ascii="Times New Roman" w:hAnsi="Times New Roman" w:cs="Times New Roman"/>
        </w:rPr>
        <w:t>for the implicit modelling of the TRISO fuel particles</w:t>
      </w:r>
      <w:r w:rsidR="00C440EA" w:rsidRPr="00D27DAA">
        <w:rPr>
          <w:rFonts w:ascii="Times New Roman" w:hAnsi="Times New Roman" w:cs="Times New Roman"/>
        </w:rPr>
        <w:t xml:space="preserve"> was used in this study. The packing factor</w:t>
      </w:r>
      <w:r w:rsidRPr="00D27DAA">
        <w:rPr>
          <w:rFonts w:ascii="Times New Roman" w:hAnsi="Times New Roman" w:cs="Times New Roman"/>
        </w:rPr>
        <w:t xml:space="preserve"> was set to 30%. The fuel elements excluded modelling of the bypass helium airgap to aid in computational time. Due to the nature of burnup being critical to these studies, the fuel compacts were separated every 10 cm and modelled as explained in detail in previous studies </w:t>
      </w:r>
      <w:r w:rsidRPr="00D27DAA">
        <w:rPr>
          <w:rFonts w:ascii="Times New Roman" w:hAnsi="Times New Roman" w:cs="Times New Roman"/>
        </w:rPr>
        <w:fldChar w:fldCharType="begin" w:fldLock="1"/>
      </w:r>
      <w:r w:rsidR="008C339F" w:rsidRPr="00D27DAA">
        <w:rPr>
          <w:rFonts w:ascii="Times New Roman" w:hAnsi="Times New Roman" w:cs="Times New Roman"/>
        </w:rPr>
        <w:instrText>ADDIN CSL_CITATION {"citationItems":[{"id":"ITEM-1","itemData":{"DOI":"10.1016/j.nucengdes.2018.02.040","ISSN":"00295493","abstract":"The use of prismatic-core High Temperature Reactors (HTRs), has not yet reached commercialisation, as they are few in operation, and mainly developmental in nature. This work examines numerous models for fuel rotation, thus enhancing and further optimising the fuel lifecycle of a generic HTR. Several rotational scenarios were examined both axially and radially, with radial rotations giving rise to the largest in life extension. Included in the model is a complex analysis of how TRistructural-ISOtropic (TRISO) fuel behaves in operando, increasing the reliably of the model in predicting the benefits of fuel rotation. Finally, an economic assessment was undertaken, which indicted that fuel costs could be reduced by 40.3%, further increasing its economic benefit and efficiency.","author":[{"dropping-particle":"","family":"Atkinson","given":"S.","non-dropping-particle":"","parse-names":false,"suffix":""},{"dropping-particle":"","family":"Whittle","given":"K. R.","non-dropping-particle":"","parse-names":false,"suffix":""},{"dropping-particle":"","family":"Dean","given":"J. S.","non-dropping-particle":"","parse-names":false,"suffix":""},{"dropping-particle":"","family":"Abram","given":"T. J.","non-dropping-particle":"","parse-names":false,"suffix":""}],"container-title":"Nuclear Engineering and Design","id":"ITEM-1","issue":"July 2017","issued":{"date-parts":[["2018"]]},"page":"153-161","publisher":"Elsevier","title":"Prismatic core high temperature reactor fuel modelling incorporating fuel rotation","type":"article-journal","volume":"331"},"uris":["http://www.mendeley.com/documents/?uuid=222ec99e-7f8a-45f3-a6d5-06f23676dbee"]}],"mendeley":{"formattedCitation":"(S. Atkinson et al., 2018)","plainTextFormattedCitation":"(S. Atkinson et al., 2018)","previouslyFormattedCitation":"(S. Atkinson et al., 2018)"},"properties":{"noteIndex":0},"schema":"https://github.com/citation-style-language/schema/raw/master/csl-citation.json"}</w:instrText>
      </w:r>
      <w:r w:rsidRPr="00D27DAA">
        <w:rPr>
          <w:rFonts w:ascii="Times New Roman" w:hAnsi="Times New Roman" w:cs="Times New Roman"/>
        </w:rPr>
        <w:fldChar w:fldCharType="separate"/>
      </w:r>
      <w:r w:rsidRPr="00D27DAA">
        <w:rPr>
          <w:rFonts w:ascii="Times New Roman" w:hAnsi="Times New Roman" w:cs="Times New Roman"/>
          <w:noProof/>
        </w:rPr>
        <w:t>(S. Atkinson et al., 2018)</w:t>
      </w:r>
      <w:r w:rsidRPr="00D27DAA">
        <w:rPr>
          <w:rFonts w:ascii="Times New Roman" w:hAnsi="Times New Roman" w:cs="Times New Roman"/>
        </w:rPr>
        <w:fldChar w:fldCharType="end"/>
      </w:r>
      <w:r w:rsidRPr="00D27DAA">
        <w:rPr>
          <w:rFonts w:ascii="Times New Roman" w:hAnsi="Times New Roman" w:cs="Times New Roman"/>
        </w:rPr>
        <w:t xml:space="preserve">. </w:t>
      </w:r>
    </w:p>
    <w:p w14:paraId="4A1BCC3F" w14:textId="4F1F0943" w:rsidR="00E73173" w:rsidRPr="00D27DAA" w:rsidRDefault="00E73173" w:rsidP="00681B2E">
      <w:pPr>
        <w:pStyle w:val="NoSpacing"/>
        <w:ind w:firstLine="0"/>
        <w:rPr>
          <w:rFonts w:cs="Times New Roman"/>
          <w:sz w:val="22"/>
        </w:rPr>
      </w:pPr>
      <w:bookmarkStart w:id="8" w:name="_Toc482190082"/>
      <w:r w:rsidRPr="00D27DAA">
        <w:rPr>
          <w:rFonts w:cs="Times New Roman"/>
          <w:sz w:val="22"/>
        </w:rPr>
        <w:t>Design 1</w:t>
      </w:r>
      <w:bookmarkEnd w:id="8"/>
    </w:p>
    <w:p w14:paraId="74B32787" w14:textId="77777777" w:rsidR="004D7184" w:rsidRPr="00D27DAA" w:rsidRDefault="004D7184" w:rsidP="00681B2E">
      <w:pPr>
        <w:pStyle w:val="NoSpacing"/>
        <w:ind w:firstLine="0"/>
        <w:rPr>
          <w:rFonts w:cs="Times New Roman"/>
          <w:sz w:val="22"/>
        </w:rPr>
      </w:pPr>
    </w:p>
    <w:p w14:paraId="27776CF2" w14:textId="62767EC8" w:rsidR="00E73173" w:rsidRPr="00D27DAA" w:rsidRDefault="00E73173" w:rsidP="00E73173">
      <w:pPr>
        <w:rPr>
          <w:rFonts w:ascii="Times New Roman" w:hAnsi="Times New Roman" w:cs="Times New Roman"/>
        </w:rPr>
      </w:pPr>
      <w:r w:rsidRPr="00D27DAA">
        <w:rPr>
          <w:rFonts w:ascii="Times New Roman" w:hAnsi="Times New Roman" w:cs="Times New Roman"/>
        </w:rPr>
        <w:t>Design 1 aims to keep use a small coating of Gd</w:t>
      </w:r>
      <w:r w:rsidRPr="00D27DAA">
        <w:rPr>
          <w:rFonts w:ascii="Times New Roman" w:hAnsi="Times New Roman" w:cs="Times New Roman"/>
          <w:vertAlign w:val="subscript"/>
        </w:rPr>
        <w:t>2</w:t>
      </w:r>
      <w:r w:rsidRPr="00D27DAA">
        <w:rPr>
          <w:rFonts w:ascii="Times New Roman" w:hAnsi="Times New Roman" w:cs="Times New Roman"/>
        </w:rPr>
        <w:t>O</w:t>
      </w:r>
      <w:r w:rsidRPr="00D27DAA">
        <w:rPr>
          <w:rFonts w:ascii="Times New Roman" w:hAnsi="Times New Roman" w:cs="Times New Roman"/>
          <w:vertAlign w:val="subscript"/>
        </w:rPr>
        <w:t>3</w:t>
      </w:r>
      <w:r w:rsidRPr="00D27DAA">
        <w:rPr>
          <w:rFonts w:ascii="Times New Roman" w:hAnsi="Times New Roman" w:cs="Times New Roman"/>
        </w:rPr>
        <w:t xml:space="preserve"> across the centre of the fuel </w:t>
      </w:r>
      <w:r w:rsidR="004D7184" w:rsidRPr="00D27DAA">
        <w:rPr>
          <w:rFonts w:ascii="Times New Roman" w:hAnsi="Times New Roman" w:cs="Times New Roman"/>
        </w:rPr>
        <w:t>columns</w:t>
      </w:r>
      <w:r w:rsidRPr="00D27DAA">
        <w:rPr>
          <w:rFonts w:ascii="Times New Roman" w:hAnsi="Times New Roman" w:cs="Times New Roman"/>
        </w:rPr>
        <w:t>. As witnessed in the fuel rotation experiment</w:t>
      </w:r>
      <w:r w:rsidR="004D7184" w:rsidRPr="00D27DAA">
        <w:rPr>
          <w:rFonts w:ascii="Times New Roman" w:hAnsi="Times New Roman" w:cs="Times New Roman"/>
        </w:rPr>
        <w:t xml:space="preserve">  </w:t>
      </w:r>
      <w:r w:rsidR="001828AF" w:rsidRPr="00D27DAA">
        <w:rPr>
          <w:rFonts w:ascii="Times New Roman" w:hAnsi="Times New Roman" w:cs="Times New Roman"/>
        </w:rPr>
        <w:fldChar w:fldCharType="begin" w:fldLock="1"/>
      </w:r>
      <w:r w:rsidR="008C339F" w:rsidRPr="00D27DAA">
        <w:rPr>
          <w:rFonts w:ascii="Times New Roman" w:hAnsi="Times New Roman" w:cs="Times New Roman"/>
        </w:rPr>
        <w:instrText>ADDIN CSL_CITATION {"citationItems":[{"id":"ITEM-1","itemData":{"DOI":"10.1016/j.nucengdes.2018.02.040","ISSN":"00295493","abstract":"The use of prismatic-core High Temperature Reactors (HTRs), has not yet reached commercialisation, as they are few in operation, and mainly developmental in nature. This work examines numerous models for fuel rotation, thus enhancing and further optimising the fuel lifecycle of a generic HTR. Several rotational scenarios were examined both axially and radially, with radial rotations giving rise to the largest in life extension. Included in the model is a complex analysis of how TRistructural-ISOtropic (TRISO) fuel behaves in operando, increasing the reliably of the model in predicting the benefits of fuel rotation. Finally, an economic assessment was undertaken, which indicted that fuel costs could be reduced by 40.3%, further increasing its economic benefit and efficiency.","author":[{"dropping-particle":"","family":"Atkinson","given":"S.","non-dropping-particle":"","parse-names":false,"suffix":""},{"dropping-particle":"","family":"Whittle","given":"K. R.","non-dropping-particle":"","parse-names":false,"suffix":""},{"dropping-particle":"","family":"Dean","given":"J. S.","non-dropping-particle":"","parse-names":false,"suffix":""},{"dropping-particle":"","family":"Abram","given":"T. J.","non-dropping-particle":"","parse-names":false,"suffix":""}],"container-title":"Nuclear Engineering and Design","id":"ITEM-1","issue":"July 2017","issued":{"date-parts":[["2018"]]},"page":"153-161","publisher":"Elsevier","title":"Prismatic core high temperature reactor fuel modelling incorporating fuel rotation","type":"article-journal","volume":"331"},"uris":["http://www.mendeley.com/documents/?uuid=222ec99e-7f8a-45f3-a6d5-06f23676dbee"]}],"mendeley":{"formattedCitation":"(S. Atkinson et al., 2018)","plainTextFormattedCitation":"(S. Atkinson et al., 2018)","previouslyFormattedCitation":"(S. Atkinson et al., 2018)"},"properties":{"noteIndex":0},"schema":"https://github.com/citation-style-language/schema/raw/master/csl-citation.json"}</w:instrText>
      </w:r>
      <w:r w:rsidR="001828AF" w:rsidRPr="00D27DAA">
        <w:rPr>
          <w:rFonts w:ascii="Times New Roman" w:hAnsi="Times New Roman" w:cs="Times New Roman"/>
        </w:rPr>
        <w:fldChar w:fldCharType="separate"/>
      </w:r>
      <w:r w:rsidR="003B1077" w:rsidRPr="00D27DAA">
        <w:rPr>
          <w:rFonts w:ascii="Times New Roman" w:hAnsi="Times New Roman" w:cs="Times New Roman"/>
          <w:noProof/>
        </w:rPr>
        <w:t>(S. Atkinson et al., 2018)</w:t>
      </w:r>
      <w:r w:rsidR="001828AF" w:rsidRPr="00D27DAA">
        <w:rPr>
          <w:rFonts w:ascii="Times New Roman" w:hAnsi="Times New Roman" w:cs="Times New Roman"/>
        </w:rPr>
        <w:fldChar w:fldCharType="end"/>
      </w:r>
      <w:r w:rsidRPr="00D27DAA">
        <w:rPr>
          <w:rFonts w:ascii="Times New Roman" w:hAnsi="Times New Roman" w:cs="Times New Roman"/>
        </w:rPr>
        <w:t xml:space="preserve">, the centre of the fuel columns is being depleted the fastest, </w:t>
      </w:r>
      <w:r w:rsidR="00F12609" w:rsidRPr="00D27DAA">
        <w:rPr>
          <w:rFonts w:ascii="Times New Roman" w:hAnsi="Times New Roman" w:cs="Times New Roman"/>
        </w:rPr>
        <w:t>so by slowing the depletion within this region will help provide a more even burnup</w:t>
      </w:r>
      <w:r w:rsidRPr="00D27DAA">
        <w:rPr>
          <w:rFonts w:ascii="Times New Roman" w:hAnsi="Times New Roman" w:cs="Times New Roman"/>
        </w:rPr>
        <w:t xml:space="preserve">. </w:t>
      </w:r>
      <w:r w:rsidR="00D0736F" w:rsidRPr="00D27DAA">
        <w:rPr>
          <w:rFonts w:ascii="Times New Roman" w:hAnsi="Times New Roman" w:cs="Times New Roman"/>
        </w:rPr>
        <w:t xml:space="preserve">The poison is applied in the form of a thin sleeve of 0.005 cm around the 0.635 radius fuel column, in design 1, this is applied in a 160 cm section at the centre of the 320 cm fuel column </w:t>
      </w:r>
      <w:r w:rsidRPr="00D27DAA">
        <w:rPr>
          <w:rFonts w:ascii="Times New Roman" w:hAnsi="Times New Roman" w:cs="Times New Roman"/>
        </w:rPr>
        <w:t>as shown in</w:t>
      </w:r>
      <w:r w:rsidR="004D7184" w:rsidRPr="00D27DAA">
        <w:rPr>
          <w:rFonts w:ascii="Times New Roman" w:hAnsi="Times New Roman" w:cs="Times New Roman"/>
        </w:rPr>
        <w:t xml:space="preserve"> </w:t>
      </w:r>
      <w:r w:rsidR="004D7184" w:rsidRPr="00D27DAA">
        <w:rPr>
          <w:rFonts w:ascii="Times New Roman" w:hAnsi="Times New Roman" w:cs="Times New Roman"/>
        </w:rPr>
        <w:fldChar w:fldCharType="begin"/>
      </w:r>
      <w:r w:rsidR="004D7184" w:rsidRPr="00D27DAA">
        <w:rPr>
          <w:rFonts w:ascii="Times New Roman" w:hAnsi="Times New Roman" w:cs="Times New Roman"/>
        </w:rPr>
        <w:instrText xml:space="preserve"> REF _Ref508802575 \h </w:instrText>
      </w:r>
      <w:r w:rsidR="00BD5983" w:rsidRPr="00D27DAA">
        <w:rPr>
          <w:rFonts w:ascii="Times New Roman" w:hAnsi="Times New Roman" w:cs="Times New Roman"/>
        </w:rPr>
        <w:instrText xml:space="preserve"> \* MERGEFORMAT </w:instrText>
      </w:r>
      <w:r w:rsidR="004D7184" w:rsidRPr="00D27DAA">
        <w:rPr>
          <w:rFonts w:ascii="Times New Roman" w:hAnsi="Times New Roman" w:cs="Times New Roman"/>
        </w:rPr>
      </w:r>
      <w:r w:rsidR="004D7184" w:rsidRPr="00D27DAA">
        <w:rPr>
          <w:rFonts w:ascii="Times New Roman" w:hAnsi="Times New Roman" w:cs="Times New Roman"/>
        </w:rPr>
        <w:fldChar w:fldCharType="separate"/>
      </w:r>
      <w:r w:rsidR="004D7184" w:rsidRPr="00D27DAA">
        <w:rPr>
          <w:rFonts w:ascii="Times New Roman" w:hAnsi="Times New Roman" w:cs="Times New Roman"/>
        </w:rPr>
        <w:t xml:space="preserve">Figure </w:t>
      </w:r>
      <w:r w:rsidR="004D7184" w:rsidRPr="00D27DAA">
        <w:rPr>
          <w:rFonts w:ascii="Times New Roman" w:hAnsi="Times New Roman" w:cs="Times New Roman"/>
          <w:noProof/>
        </w:rPr>
        <w:t>4</w:t>
      </w:r>
      <w:r w:rsidR="004D7184" w:rsidRPr="00D27DAA">
        <w:rPr>
          <w:rFonts w:ascii="Times New Roman" w:hAnsi="Times New Roman" w:cs="Times New Roman"/>
        </w:rPr>
        <w:fldChar w:fldCharType="end"/>
      </w:r>
      <w:r w:rsidRPr="00D27DAA">
        <w:rPr>
          <w:rFonts w:ascii="Times New Roman" w:hAnsi="Times New Roman" w:cs="Times New Roman"/>
        </w:rPr>
        <w:t xml:space="preserve">. It was noted that the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Pr="00D27DAA">
        <w:rPr>
          <w:rFonts w:ascii="Times New Roman" w:hAnsi="Times New Roman" w:cs="Times New Roman"/>
        </w:rPr>
        <w:t xml:space="preserve">at this point was significantly reduced to 0.98. The process of removing the FBP’s to a point where the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Pr="00D27DAA">
        <w:rPr>
          <w:rFonts w:ascii="Times New Roman" w:hAnsi="Times New Roman" w:cs="Times New Roman"/>
        </w:rPr>
        <w:t>reached the desired range, focused on keeping the coating on the highest burnup sections. These were, next to the central reflector and the external reflector</w:t>
      </w:r>
      <w:r w:rsidR="00584D55" w:rsidRPr="00D27DAA">
        <w:rPr>
          <w:rFonts w:ascii="Times New Roman" w:hAnsi="Times New Roman" w:cs="Times New Roman"/>
        </w:rPr>
        <w:t xml:space="preserve"> </w:t>
      </w:r>
      <w:r w:rsidR="00584D55" w:rsidRPr="00D27DAA">
        <w:rPr>
          <w:rFonts w:ascii="Times New Roman" w:hAnsi="Times New Roman" w:cs="Times New Roman"/>
        </w:rPr>
        <w:fldChar w:fldCharType="begin" w:fldLock="1"/>
      </w:r>
      <w:r w:rsidR="008C339F" w:rsidRPr="00D27DAA">
        <w:rPr>
          <w:rFonts w:ascii="Times New Roman" w:hAnsi="Times New Roman" w:cs="Times New Roman"/>
        </w:rPr>
        <w:instrText>ADDIN CSL_CITATION {"citationItems":[{"id":"ITEM-1","itemData":{"author":[{"dropping-particle":"","family":"S.Atkinson , T.J.Abram, D.Litskevich","given":"B.Merk","non-dropping-particle":"","parse-names":false,"suffix":""}],"container-title":"Submitted to Prgress in nuclear - Ref. No.: PNUCENE-D-18-00199","id":"ITEM-1","issued":{"date-parts":[["0"]]},"title":"A comparison between Beryllium oxide and nuclear graphite in a small scale high temperature reactor","type":"article-journal"},"uris":["http://www.mendeley.com/documents/?uuid=834ff841-3533-4d53-a3aa-e019653aeba7"]}],"mendeley":{"formattedCitation":"(S.Atkinson , T.J.Abram, D.Litskevich, n.d.)","plainTextFormattedCitation":"(S.Atkinson , T.J.Abram, D.Litskevich, n.d.)","previouslyFormattedCitation":"(S.Atkinson , T.J.Abram, D.Litskevich, n.d.)"},"properties":{"noteIndex":0},"schema":"https://github.com/citation-style-language/schema/raw/master/csl-citation.json"}</w:instrText>
      </w:r>
      <w:r w:rsidR="00584D55" w:rsidRPr="00D27DAA">
        <w:rPr>
          <w:rFonts w:ascii="Times New Roman" w:hAnsi="Times New Roman" w:cs="Times New Roman"/>
        </w:rPr>
        <w:fldChar w:fldCharType="separate"/>
      </w:r>
      <w:r w:rsidR="00D1788F" w:rsidRPr="00D27DAA">
        <w:rPr>
          <w:rFonts w:ascii="Times New Roman" w:hAnsi="Times New Roman" w:cs="Times New Roman"/>
          <w:noProof/>
        </w:rPr>
        <w:t>(S.Atkinson , T.J.Abram, D.Litskevich, n.d.)</w:t>
      </w:r>
      <w:r w:rsidR="00584D55" w:rsidRPr="00D27DAA">
        <w:rPr>
          <w:rFonts w:ascii="Times New Roman" w:hAnsi="Times New Roman" w:cs="Times New Roman"/>
        </w:rPr>
        <w:fldChar w:fldCharType="end"/>
      </w:r>
      <w:r w:rsidRPr="00D27DAA">
        <w:rPr>
          <w:rFonts w:ascii="Times New Roman" w:hAnsi="Times New Roman" w:cs="Times New Roman"/>
        </w:rPr>
        <w:t xml:space="preserve">. </w:t>
      </w:r>
    </w:p>
    <w:p w14:paraId="40FBB234" w14:textId="044FA211" w:rsidR="004D7184" w:rsidRPr="00D27DAA" w:rsidRDefault="00D0736F" w:rsidP="004D7184">
      <w:pPr>
        <w:pStyle w:val="NoSpacing"/>
        <w:keepNext/>
        <w:rPr>
          <w:rFonts w:cs="Times New Roman"/>
          <w:sz w:val="22"/>
        </w:rPr>
      </w:pPr>
      <w:r w:rsidRPr="00D27DAA">
        <w:rPr>
          <w:noProof/>
          <w:lang w:eastAsia="en-GB"/>
        </w:rPr>
        <w:drawing>
          <wp:inline distT="0" distB="0" distL="0" distR="0" wp14:anchorId="7E092650" wp14:editId="2DE9084A">
            <wp:extent cx="5727700" cy="116967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1169670"/>
                    </a:xfrm>
                    <a:prstGeom prst="rect">
                      <a:avLst/>
                    </a:prstGeom>
                  </pic:spPr>
                </pic:pic>
              </a:graphicData>
            </a:graphic>
          </wp:inline>
        </w:drawing>
      </w:r>
    </w:p>
    <w:p w14:paraId="2B9B5482" w14:textId="2BC837AF" w:rsidR="00E73173" w:rsidRPr="00D27DAA" w:rsidRDefault="004D7184" w:rsidP="004D7184">
      <w:pPr>
        <w:pStyle w:val="Caption"/>
        <w:jc w:val="center"/>
        <w:rPr>
          <w:rFonts w:ascii="Times New Roman" w:hAnsi="Times New Roman" w:cs="Times New Roman"/>
          <w:sz w:val="22"/>
          <w:szCs w:val="22"/>
        </w:rPr>
      </w:pPr>
      <w:bookmarkStart w:id="9" w:name="_Ref508802575"/>
      <w:r w:rsidRPr="00D27DAA">
        <w:rPr>
          <w:rFonts w:ascii="Times New Roman" w:hAnsi="Times New Roman" w:cs="Times New Roman"/>
          <w:sz w:val="22"/>
          <w:szCs w:val="22"/>
        </w:rPr>
        <w:t xml:space="preserve">Figure </w:t>
      </w:r>
      <w:r w:rsidR="00D1788F" w:rsidRPr="00D27DAA">
        <w:rPr>
          <w:rFonts w:ascii="Times New Roman" w:hAnsi="Times New Roman" w:cs="Times New Roman"/>
          <w:sz w:val="22"/>
          <w:szCs w:val="22"/>
        </w:rPr>
        <w:fldChar w:fldCharType="begin"/>
      </w:r>
      <w:r w:rsidR="00D1788F" w:rsidRPr="00D27DAA">
        <w:rPr>
          <w:rFonts w:ascii="Times New Roman" w:hAnsi="Times New Roman" w:cs="Times New Roman"/>
          <w:sz w:val="22"/>
          <w:szCs w:val="22"/>
        </w:rPr>
        <w:instrText xml:space="preserve"> SEQ Figure \* ARABIC </w:instrText>
      </w:r>
      <w:r w:rsidR="00D1788F"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4</w:t>
      </w:r>
      <w:r w:rsidR="00D1788F" w:rsidRPr="00D27DAA">
        <w:rPr>
          <w:rFonts w:ascii="Times New Roman" w:hAnsi="Times New Roman" w:cs="Times New Roman"/>
          <w:noProof/>
          <w:sz w:val="22"/>
          <w:szCs w:val="22"/>
        </w:rPr>
        <w:fldChar w:fldCharType="end"/>
      </w:r>
      <w:bookmarkEnd w:id="9"/>
      <w:r w:rsidRPr="00D27DAA">
        <w:rPr>
          <w:rFonts w:ascii="Times New Roman" w:hAnsi="Times New Roman" w:cs="Times New Roman"/>
          <w:sz w:val="22"/>
          <w:szCs w:val="22"/>
        </w:rPr>
        <w:t>- FBP sleeve</w:t>
      </w:r>
      <w:r w:rsidR="00D0736F" w:rsidRPr="00D27DAA">
        <w:rPr>
          <w:rFonts w:ascii="Times New Roman" w:hAnsi="Times New Roman" w:cs="Times New Roman"/>
          <w:sz w:val="22"/>
          <w:szCs w:val="22"/>
        </w:rPr>
        <w:t>. Due to the thin nature of the fuel columns, the height to not to scale</w:t>
      </w:r>
    </w:p>
    <w:p w14:paraId="1BEA63E7" w14:textId="1D59AC7C" w:rsidR="00E73173" w:rsidRPr="00D27DAA" w:rsidRDefault="004D7184" w:rsidP="00681B2E">
      <w:pPr>
        <w:pStyle w:val="NoSpacing"/>
        <w:spacing w:line="480" w:lineRule="auto"/>
        <w:rPr>
          <w:rFonts w:cs="Times New Roman"/>
          <w:sz w:val="22"/>
        </w:rPr>
      </w:pPr>
      <w:r w:rsidRPr="00D27DAA">
        <w:rPr>
          <w:rFonts w:cs="Times New Roman"/>
          <w:sz w:val="22"/>
        </w:rPr>
        <w:t>T</w:t>
      </w:r>
      <w:r w:rsidR="00E73173" w:rsidRPr="00D27DAA">
        <w:rPr>
          <w:rFonts w:cs="Times New Roman"/>
          <w:sz w:val="22"/>
        </w:rPr>
        <w:t xml:space="preserve">he correct </w:t>
      </w:r>
      <w:proofErr w:type="spellStart"/>
      <w:r w:rsidR="00A03F2A" w:rsidRPr="00D27DAA">
        <w:rPr>
          <w:rFonts w:cs="Times New Roman"/>
        </w:rPr>
        <w:t>K</w:t>
      </w:r>
      <w:r w:rsidR="00A03F2A" w:rsidRPr="00D27DAA">
        <w:rPr>
          <w:rFonts w:cs="Times New Roman"/>
          <w:vertAlign w:val="subscript"/>
        </w:rPr>
        <w:t>eff</w:t>
      </w:r>
      <w:proofErr w:type="spellEnd"/>
      <w:r w:rsidR="00A03F2A" w:rsidRPr="00D27DAA">
        <w:rPr>
          <w:rFonts w:cs="Times New Roman"/>
          <w:sz w:val="22"/>
        </w:rPr>
        <w:t xml:space="preserve"> </w:t>
      </w:r>
      <w:r w:rsidR="00E73173" w:rsidRPr="00D27DAA">
        <w:rPr>
          <w:rFonts w:cs="Times New Roman"/>
          <w:sz w:val="22"/>
        </w:rPr>
        <w:t>range</w:t>
      </w:r>
      <w:r w:rsidRPr="00D27DAA">
        <w:rPr>
          <w:rFonts w:cs="Times New Roman"/>
          <w:sz w:val="22"/>
        </w:rPr>
        <w:t xml:space="preserve"> was obtained from the configuration in </w:t>
      </w:r>
      <w:r w:rsidRPr="00D27DAA">
        <w:rPr>
          <w:rFonts w:cs="Times New Roman"/>
          <w:sz w:val="22"/>
        </w:rPr>
        <w:fldChar w:fldCharType="begin"/>
      </w:r>
      <w:r w:rsidRPr="00D27DAA">
        <w:rPr>
          <w:rFonts w:cs="Times New Roman"/>
          <w:sz w:val="22"/>
        </w:rPr>
        <w:instrText xml:space="preserve"> REF _Ref508802703 \h  \* MERGEFORMAT </w:instrText>
      </w:r>
      <w:r w:rsidRPr="00D27DAA">
        <w:rPr>
          <w:rFonts w:cs="Times New Roman"/>
          <w:sz w:val="22"/>
        </w:rPr>
      </w:r>
      <w:r w:rsidRPr="00D27DAA">
        <w:rPr>
          <w:rFonts w:cs="Times New Roman"/>
          <w:sz w:val="22"/>
        </w:rPr>
        <w:fldChar w:fldCharType="separate"/>
      </w:r>
      <w:r w:rsidR="001828AF" w:rsidRPr="00D27DAA">
        <w:rPr>
          <w:rFonts w:cs="Times New Roman"/>
          <w:sz w:val="22"/>
        </w:rPr>
        <w:t xml:space="preserve">Figure </w:t>
      </w:r>
      <w:r w:rsidR="001828AF" w:rsidRPr="00D27DAA">
        <w:rPr>
          <w:rFonts w:cs="Times New Roman"/>
          <w:noProof/>
          <w:sz w:val="22"/>
        </w:rPr>
        <w:t>5</w:t>
      </w:r>
      <w:r w:rsidRPr="00D27DAA">
        <w:rPr>
          <w:rFonts w:cs="Times New Roman"/>
          <w:sz w:val="22"/>
        </w:rPr>
        <w:fldChar w:fldCharType="end"/>
      </w:r>
      <w:r w:rsidRPr="00D27DAA">
        <w:rPr>
          <w:rFonts w:cs="Times New Roman"/>
          <w:sz w:val="22"/>
        </w:rPr>
        <w:t xml:space="preserve">. </w:t>
      </w:r>
    </w:p>
    <w:p w14:paraId="37BB73CA" w14:textId="77777777" w:rsidR="004D7184" w:rsidRPr="00D27DAA" w:rsidRDefault="00337E76" w:rsidP="004D7184">
      <w:pPr>
        <w:pStyle w:val="NoSpacing"/>
        <w:keepNext/>
        <w:spacing w:line="480" w:lineRule="auto"/>
        <w:rPr>
          <w:rFonts w:cs="Times New Roman"/>
          <w:sz w:val="22"/>
        </w:rPr>
      </w:pPr>
      <w:r w:rsidRPr="00D27DAA">
        <w:rPr>
          <w:rFonts w:cs="Times New Roman"/>
          <w:noProof/>
          <w:sz w:val="22"/>
          <w:lang w:eastAsia="en-GB"/>
        </w:rPr>
        <w:lastRenderedPageBreak/>
        <w:drawing>
          <wp:inline distT="0" distB="0" distL="0" distR="0" wp14:anchorId="15659FC6" wp14:editId="2211D517">
            <wp:extent cx="5727700" cy="2357755"/>
            <wp:effectExtent l="0" t="0" r="635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2357755"/>
                    </a:xfrm>
                    <a:prstGeom prst="rect">
                      <a:avLst/>
                    </a:prstGeom>
                  </pic:spPr>
                </pic:pic>
              </a:graphicData>
            </a:graphic>
          </wp:inline>
        </w:drawing>
      </w:r>
    </w:p>
    <w:p w14:paraId="0A074972" w14:textId="25880EC1" w:rsidR="00E73173" w:rsidRPr="00D27DAA" w:rsidRDefault="004D7184" w:rsidP="004D7184">
      <w:pPr>
        <w:pStyle w:val="Caption"/>
        <w:jc w:val="center"/>
        <w:rPr>
          <w:rFonts w:ascii="Times New Roman" w:hAnsi="Times New Roman" w:cs="Times New Roman"/>
          <w:sz w:val="22"/>
          <w:szCs w:val="22"/>
        </w:rPr>
      </w:pPr>
      <w:bookmarkStart w:id="10" w:name="_Ref508802703"/>
      <w:r w:rsidRPr="00D27DAA">
        <w:rPr>
          <w:rFonts w:ascii="Times New Roman" w:hAnsi="Times New Roman" w:cs="Times New Roman"/>
          <w:sz w:val="22"/>
          <w:szCs w:val="22"/>
        </w:rPr>
        <w:t xml:space="preserve">Figure </w:t>
      </w:r>
      <w:r w:rsidR="00D1788F" w:rsidRPr="00D27DAA">
        <w:rPr>
          <w:rFonts w:ascii="Times New Roman" w:hAnsi="Times New Roman" w:cs="Times New Roman"/>
          <w:sz w:val="22"/>
          <w:szCs w:val="22"/>
        </w:rPr>
        <w:fldChar w:fldCharType="begin"/>
      </w:r>
      <w:r w:rsidR="00D1788F" w:rsidRPr="00D27DAA">
        <w:rPr>
          <w:rFonts w:ascii="Times New Roman" w:hAnsi="Times New Roman" w:cs="Times New Roman"/>
          <w:sz w:val="22"/>
          <w:szCs w:val="22"/>
        </w:rPr>
        <w:instrText xml:space="preserve"> SEQ Figure \* ARABIC </w:instrText>
      </w:r>
      <w:r w:rsidR="00D1788F"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5</w:t>
      </w:r>
      <w:r w:rsidR="00D1788F" w:rsidRPr="00D27DAA">
        <w:rPr>
          <w:rFonts w:ascii="Times New Roman" w:hAnsi="Times New Roman" w:cs="Times New Roman"/>
          <w:noProof/>
          <w:sz w:val="22"/>
          <w:szCs w:val="22"/>
        </w:rPr>
        <w:fldChar w:fldCharType="end"/>
      </w:r>
      <w:bookmarkEnd w:id="10"/>
      <w:r w:rsidRPr="00D27DAA">
        <w:rPr>
          <w:rFonts w:ascii="Times New Roman" w:hAnsi="Times New Roman" w:cs="Times New Roman"/>
          <w:sz w:val="22"/>
          <w:szCs w:val="22"/>
        </w:rPr>
        <w:t>- Design 1 poison column locations</w:t>
      </w:r>
    </w:p>
    <w:p w14:paraId="412BB403" w14:textId="2FC2D292" w:rsidR="00DC457C" w:rsidRPr="00D27DAA" w:rsidRDefault="00DC457C" w:rsidP="00681B2E">
      <w:pPr>
        <w:pStyle w:val="NoSpacing"/>
        <w:ind w:firstLine="0"/>
        <w:rPr>
          <w:rFonts w:cs="Times New Roman"/>
          <w:sz w:val="22"/>
        </w:rPr>
      </w:pPr>
      <w:r w:rsidRPr="00D27DAA">
        <w:rPr>
          <w:rFonts w:cs="Times New Roman"/>
          <w:sz w:val="22"/>
        </w:rPr>
        <w:t xml:space="preserve">This design provided a </w:t>
      </w:r>
      <w:proofErr w:type="spellStart"/>
      <w:r w:rsidR="00A03F2A" w:rsidRPr="00D27DAA">
        <w:rPr>
          <w:rFonts w:cs="Times New Roman"/>
        </w:rPr>
        <w:t>K</w:t>
      </w:r>
      <w:r w:rsidR="00A03F2A" w:rsidRPr="00D27DAA">
        <w:rPr>
          <w:rFonts w:cs="Times New Roman"/>
          <w:vertAlign w:val="subscript"/>
        </w:rPr>
        <w:t>eff</w:t>
      </w:r>
      <w:proofErr w:type="spellEnd"/>
      <w:r w:rsidR="00A03F2A" w:rsidRPr="00D27DAA">
        <w:rPr>
          <w:rFonts w:cs="Times New Roman"/>
          <w:sz w:val="22"/>
        </w:rPr>
        <w:t xml:space="preserve"> </w:t>
      </w:r>
      <w:r w:rsidRPr="00D27DAA">
        <w:rPr>
          <w:rFonts w:cs="Times New Roman"/>
          <w:sz w:val="22"/>
        </w:rPr>
        <w:t>reduction to 1.04482.</w:t>
      </w:r>
    </w:p>
    <w:p w14:paraId="258C9499" w14:textId="77777777" w:rsidR="00DC457C" w:rsidRPr="00D27DAA" w:rsidRDefault="00DC457C" w:rsidP="00681B2E">
      <w:pPr>
        <w:pStyle w:val="NoSpacing"/>
        <w:ind w:firstLine="0"/>
        <w:rPr>
          <w:rFonts w:cs="Times New Roman"/>
          <w:sz w:val="22"/>
        </w:rPr>
      </w:pPr>
    </w:p>
    <w:p w14:paraId="4E4BF069" w14:textId="44A5BE91" w:rsidR="00E73173" w:rsidRPr="00D27DAA" w:rsidRDefault="00E73173" w:rsidP="00681B2E">
      <w:pPr>
        <w:pStyle w:val="NoSpacing"/>
        <w:ind w:firstLine="0"/>
        <w:rPr>
          <w:rFonts w:cs="Times New Roman"/>
          <w:sz w:val="22"/>
        </w:rPr>
      </w:pPr>
      <w:r w:rsidRPr="00D27DAA">
        <w:rPr>
          <w:rFonts w:cs="Times New Roman"/>
          <w:sz w:val="22"/>
        </w:rPr>
        <w:t>Design 2</w:t>
      </w:r>
    </w:p>
    <w:p w14:paraId="446882C5" w14:textId="77777777" w:rsidR="004D7184" w:rsidRPr="00D27DAA" w:rsidRDefault="004D7184" w:rsidP="00681B2E">
      <w:pPr>
        <w:pStyle w:val="NoSpacing"/>
        <w:ind w:firstLine="0"/>
        <w:rPr>
          <w:rFonts w:cs="Times New Roman"/>
          <w:sz w:val="22"/>
        </w:rPr>
      </w:pPr>
    </w:p>
    <w:p w14:paraId="5252D352" w14:textId="00BA3BE8" w:rsidR="00E73173" w:rsidRPr="00D27DAA" w:rsidRDefault="00BE3872" w:rsidP="00E73173">
      <w:pPr>
        <w:rPr>
          <w:rFonts w:ascii="Times New Roman" w:hAnsi="Times New Roman" w:cs="Times New Roman"/>
        </w:rPr>
      </w:pPr>
      <w:r w:rsidRPr="00D27DAA">
        <w:rPr>
          <w:rFonts w:ascii="Times New Roman" w:hAnsi="Times New Roman" w:cs="Times New Roman"/>
        </w:rPr>
        <w:t>T</w:t>
      </w:r>
      <w:r w:rsidR="00E73173" w:rsidRPr="00D27DAA">
        <w:rPr>
          <w:rFonts w:ascii="Times New Roman" w:hAnsi="Times New Roman" w:cs="Times New Roman"/>
        </w:rPr>
        <w:t xml:space="preserve">his design looks to use the same depth coating across specific fuel columns. In this case the inspiration </w:t>
      </w:r>
      <w:r w:rsidR="005F4EF1" w:rsidRPr="00D27DAA">
        <w:rPr>
          <w:rFonts w:ascii="Times New Roman" w:hAnsi="Times New Roman" w:cs="Times New Roman"/>
        </w:rPr>
        <w:t>taken</w:t>
      </w:r>
      <w:r w:rsidR="00E73173" w:rsidRPr="00D27DAA">
        <w:rPr>
          <w:rFonts w:ascii="Times New Roman" w:hAnsi="Times New Roman" w:cs="Times New Roman"/>
        </w:rPr>
        <w:t xml:space="preserve"> from the U-Battery report and used the fuel columns in the initial </w:t>
      </w:r>
      <w:r w:rsidR="001171DB" w:rsidRPr="00D27DAA">
        <w:rPr>
          <w:rFonts w:ascii="Times New Roman" w:hAnsi="Times New Roman" w:cs="Times New Roman"/>
        </w:rPr>
        <w:t xml:space="preserve">report </w:t>
      </w:r>
      <w:r w:rsidR="001171DB" w:rsidRPr="00D27DAA">
        <w:rPr>
          <w:rFonts w:ascii="Times New Roman" w:hAnsi="Times New Roman" w:cs="Times New Roman"/>
        </w:rPr>
        <w:fldChar w:fldCharType="begin" w:fldLock="1"/>
      </w:r>
      <w:r w:rsidR="008C339F" w:rsidRPr="00D27DAA">
        <w:rPr>
          <w:rFonts w:ascii="Times New Roman" w:hAnsi="Times New Roman" w:cs="Times New Roman"/>
        </w:rPr>
        <w:instrText>ADDIN CSL_CITATION {"citationItems":[{"id":"ITEM-1","itemData":{"URL":"http://www.janleenkloosterman.nl/reports/ubattery_final_201111.pdf","accessed":{"date-parts":[["2018","5","11"]]},"author":[{"dropping-particle":"","family":"Ding","given":"Ming","non-dropping-particle":"","parse-names":false,"suffix":""},{"dropping-particle":"","family":"Kloosterman","given":"Jan Leen","non-dropping-particle":"","parse-names":false,"suffix":""},{"dropping-particle":"","family":"Kooijman","given":"Theo","non-dropping-particle":"","parse-names":false,"suffix":""},{"dropping-particle":"","family":"Linssen","given":"Rik","non-dropping-particle":"","parse-names":false,"suffix":""}],"id":"ITEM-1","issued":{"date-parts":[["2011"]]},"page":"462","title":"Design of a U-Battery ®","type":"webpage"},"uris":["http://www.mendeley.com/documents/?uuid=c9897914-798f-4e91-a545-84071cc51803"]}],"mendeley":{"formattedCitation":"(Ding et al., 2011)","plainTextFormattedCitation":"(Ding et al., 2011)","previouslyFormattedCitation":"(Ding et al., 2011)"},"properties":{"noteIndex":0},"schema":"https://github.com/citation-style-language/schema/raw/master/csl-citation.json"}</w:instrText>
      </w:r>
      <w:r w:rsidR="001171DB" w:rsidRPr="00D27DAA">
        <w:rPr>
          <w:rFonts w:ascii="Times New Roman" w:hAnsi="Times New Roman" w:cs="Times New Roman"/>
        </w:rPr>
        <w:fldChar w:fldCharType="separate"/>
      </w:r>
      <w:r w:rsidR="001171DB" w:rsidRPr="00D27DAA">
        <w:rPr>
          <w:rFonts w:ascii="Times New Roman" w:hAnsi="Times New Roman" w:cs="Times New Roman"/>
          <w:noProof/>
        </w:rPr>
        <w:t>(Ding et al., 2011)</w:t>
      </w:r>
      <w:r w:rsidR="001171DB" w:rsidRPr="00D27DAA">
        <w:rPr>
          <w:rFonts w:ascii="Times New Roman" w:hAnsi="Times New Roman" w:cs="Times New Roman"/>
        </w:rPr>
        <w:fldChar w:fldCharType="end"/>
      </w:r>
      <w:r w:rsidR="001171DB" w:rsidRPr="00D27DAA">
        <w:rPr>
          <w:rFonts w:ascii="Times New Roman" w:hAnsi="Times New Roman" w:cs="Times New Roman"/>
        </w:rPr>
        <w:t xml:space="preserve"> </w:t>
      </w:r>
      <w:r w:rsidRPr="00D27DAA">
        <w:rPr>
          <w:rFonts w:ascii="Times New Roman" w:hAnsi="Times New Roman" w:cs="Times New Roman"/>
        </w:rPr>
        <w:t xml:space="preserve"> as shown in </w:t>
      </w:r>
      <w:r w:rsidRPr="00D27DAA">
        <w:rPr>
          <w:rFonts w:ascii="Times New Roman" w:hAnsi="Times New Roman" w:cs="Times New Roman"/>
        </w:rPr>
        <w:fldChar w:fldCharType="begin"/>
      </w:r>
      <w:r w:rsidRPr="00D27DAA">
        <w:rPr>
          <w:rFonts w:ascii="Times New Roman" w:hAnsi="Times New Roman" w:cs="Times New Roman"/>
        </w:rPr>
        <w:instrText xml:space="preserve"> REF _Ref508803132 \h </w:instrText>
      </w:r>
      <w:r w:rsidR="00BD5983" w:rsidRPr="00D27DAA">
        <w:rPr>
          <w:rFonts w:ascii="Times New Roman" w:hAnsi="Times New Roman" w:cs="Times New Roman"/>
        </w:rPr>
        <w:instrText xml:space="preserve"> \* MERGEFORMAT </w:instrText>
      </w:r>
      <w:r w:rsidRPr="00D27DAA">
        <w:rPr>
          <w:rFonts w:ascii="Times New Roman" w:hAnsi="Times New Roman" w:cs="Times New Roman"/>
        </w:rPr>
      </w:r>
      <w:r w:rsidRPr="00D27DAA">
        <w:rPr>
          <w:rFonts w:ascii="Times New Roman" w:hAnsi="Times New Roman" w:cs="Times New Roman"/>
        </w:rPr>
        <w:fldChar w:fldCharType="separate"/>
      </w:r>
      <w:r w:rsidRPr="00D27DAA">
        <w:rPr>
          <w:rFonts w:ascii="Times New Roman" w:hAnsi="Times New Roman" w:cs="Times New Roman"/>
        </w:rPr>
        <w:t xml:space="preserve">Figure </w:t>
      </w:r>
      <w:r w:rsidRPr="00D27DAA">
        <w:rPr>
          <w:rFonts w:ascii="Times New Roman" w:hAnsi="Times New Roman" w:cs="Times New Roman"/>
          <w:noProof/>
        </w:rPr>
        <w:t>6</w:t>
      </w:r>
      <w:r w:rsidRPr="00D27DAA">
        <w:rPr>
          <w:rFonts w:ascii="Times New Roman" w:hAnsi="Times New Roman" w:cs="Times New Roman"/>
        </w:rPr>
        <w:fldChar w:fldCharType="end"/>
      </w:r>
      <w:r w:rsidR="00584D55" w:rsidRPr="00D27DAA">
        <w:rPr>
          <w:rFonts w:ascii="Times New Roman" w:hAnsi="Times New Roman" w:cs="Times New Roman"/>
        </w:rPr>
        <w:t xml:space="preserve"> to avoid any opportunity of rotational misplacement of the fuel blocks</w:t>
      </w:r>
      <w:r w:rsidR="00E73173" w:rsidRPr="00D27DAA">
        <w:rPr>
          <w:rFonts w:ascii="Times New Roman" w:hAnsi="Times New Roman" w:cs="Times New Roman"/>
        </w:rPr>
        <w:t>.</w:t>
      </w:r>
    </w:p>
    <w:p w14:paraId="7D5FE167" w14:textId="3663AF25" w:rsidR="00BE3872" w:rsidRPr="00D27DAA" w:rsidRDefault="00BD5983" w:rsidP="00BE3872">
      <w:pPr>
        <w:pStyle w:val="NoSpacing"/>
        <w:keepNext/>
        <w:spacing w:line="480" w:lineRule="auto"/>
        <w:jc w:val="center"/>
        <w:rPr>
          <w:rFonts w:cs="Times New Roman"/>
          <w:sz w:val="22"/>
        </w:rPr>
      </w:pPr>
      <w:r w:rsidRPr="00D27DAA">
        <w:rPr>
          <w:noProof/>
          <w:lang w:eastAsia="en-GB"/>
        </w:rPr>
        <w:drawing>
          <wp:inline distT="0" distB="0" distL="0" distR="0" wp14:anchorId="2942F150" wp14:editId="4677BC2A">
            <wp:extent cx="5727700" cy="2620645"/>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2620645"/>
                    </a:xfrm>
                    <a:prstGeom prst="rect">
                      <a:avLst/>
                    </a:prstGeom>
                  </pic:spPr>
                </pic:pic>
              </a:graphicData>
            </a:graphic>
          </wp:inline>
        </w:drawing>
      </w:r>
    </w:p>
    <w:p w14:paraId="4E81CF33" w14:textId="178CDB52" w:rsidR="00E73173" w:rsidRPr="00D27DAA" w:rsidRDefault="00BE3872" w:rsidP="00BE3872">
      <w:pPr>
        <w:pStyle w:val="Caption"/>
        <w:jc w:val="center"/>
        <w:rPr>
          <w:rFonts w:ascii="Times New Roman" w:hAnsi="Times New Roman" w:cs="Times New Roman"/>
          <w:sz w:val="22"/>
          <w:szCs w:val="22"/>
        </w:rPr>
      </w:pPr>
      <w:bookmarkStart w:id="11" w:name="_Ref508803132"/>
      <w:r w:rsidRPr="00D27DAA">
        <w:rPr>
          <w:rFonts w:ascii="Times New Roman" w:hAnsi="Times New Roman" w:cs="Times New Roman"/>
          <w:sz w:val="22"/>
          <w:szCs w:val="22"/>
        </w:rPr>
        <w:t xml:space="preserve">Figure </w:t>
      </w:r>
      <w:r w:rsidR="00D1788F" w:rsidRPr="00D27DAA">
        <w:rPr>
          <w:rFonts w:ascii="Times New Roman" w:hAnsi="Times New Roman" w:cs="Times New Roman"/>
          <w:sz w:val="22"/>
          <w:szCs w:val="22"/>
        </w:rPr>
        <w:fldChar w:fldCharType="begin"/>
      </w:r>
      <w:r w:rsidR="00D1788F" w:rsidRPr="00D27DAA">
        <w:rPr>
          <w:rFonts w:ascii="Times New Roman" w:hAnsi="Times New Roman" w:cs="Times New Roman"/>
          <w:sz w:val="22"/>
          <w:szCs w:val="22"/>
        </w:rPr>
        <w:instrText xml:space="preserve"> SEQ Figure \* ARABIC </w:instrText>
      </w:r>
      <w:r w:rsidR="00D1788F"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6</w:t>
      </w:r>
      <w:r w:rsidR="00D1788F" w:rsidRPr="00D27DAA">
        <w:rPr>
          <w:rFonts w:ascii="Times New Roman" w:hAnsi="Times New Roman" w:cs="Times New Roman"/>
          <w:noProof/>
          <w:sz w:val="22"/>
          <w:szCs w:val="22"/>
        </w:rPr>
        <w:fldChar w:fldCharType="end"/>
      </w:r>
      <w:bookmarkEnd w:id="11"/>
      <w:r w:rsidRPr="00D27DAA">
        <w:rPr>
          <w:rFonts w:ascii="Times New Roman" w:hAnsi="Times New Roman" w:cs="Times New Roman"/>
          <w:sz w:val="22"/>
          <w:szCs w:val="22"/>
        </w:rPr>
        <w:t>- Original report FBP locations</w:t>
      </w:r>
    </w:p>
    <w:p w14:paraId="663BBD9D" w14:textId="786F8519" w:rsidR="00E73173" w:rsidRPr="00D27DAA" w:rsidRDefault="00E73173" w:rsidP="00E73173">
      <w:pPr>
        <w:pStyle w:val="NoSpacing"/>
        <w:spacing w:line="480" w:lineRule="auto"/>
        <w:rPr>
          <w:rFonts w:cs="Times New Roman"/>
          <w:sz w:val="22"/>
        </w:rPr>
      </w:pPr>
      <w:r w:rsidRPr="00D27DAA">
        <w:rPr>
          <w:rFonts w:cs="Times New Roman"/>
          <w:sz w:val="22"/>
        </w:rPr>
        <w:t xml:space="preserve">From </w:t>
      </w:r>
      <w:r w:rsidR="00E91C39" w:rsidRPr="00D27DAA">
        <w:rPr>
          <w:rFonts w:cs="Times New Roman"/>
          <w:sz w:val="22"/>
        </w:rPr>
        <w:t xml:space="preserve">earlier work looking at </w:t>
      </w:r>
      <w:r w:rsidRPr="00D27DAA">
        <w:rPr>
          <w:rFonts w:cs="Times New Roman"/>
          <w:sz w:val="22"/>
        </w:rPr>
        <w:t xml:space="preserve">fuel </w:t>
      </w:r>
      <w:r w:rsidR="00E91C39" w:rsidRPr="00D27DAA">
        <w:rPr>
          <w:rFonts w:cs="Times New Roman"/>
          <w:sz w:val="22"/>
        </w:rPr>
        <w:t xml:space="preserve">rotation </w:t>
      </w:r>
      <w:r w:rsidR="00E91C39" w:rsidRPr="00D27DAA">
        <w:rPr>
          <w:rFonts w:cs="Times New Roman"/>
          <w:sz w:val="22"/>
        </w:rPr>
        <w:fldChar w:fldCharType="begin" w:fldLock="1"/>
      </w:r>
      <w:r w:rsidR="008C339F" w:rsidRPr="00D27DAA">
        <w:rPr>
          <w:rFonts w:cs="Times New Roman"/>
          <w:sz w:val="22"/>
        </w:rPr>
        <w:instrText>ADDIN CSL_CITATION {"citationItems":[{"id":"ITEM-1","itemData":{"DOI":"10.1016/j.nucengdes.2018.02.040","ISSN":"00295493","abstract":"The use of prismatic-core High Temperature Reactors (HTRs), has not yet reached commercialisation, as they are few in operation, and mainly developmental in nature. This work examines numerous models for fuel rotation, thus enhancing and further optimising the fuel lifecycle of a generic HTR. Several rotational scenarios were examined both axially and radially, with radial rotations giving rise to the largest in life extension. Included in the model is a complex analysis of how TRistructural-ISOtropic (TRISO) fuel behaves in operando, increasing the reliably of the model in predicting the benefits of fuel rotation. Finally, an economic assessment was undertaken, which indicted that fuel costs could be reduced by 40.3%, further increasing its economic benefit and efficiency.","author":[{"dropping-particle":"","family":"Atkinson","given":"S.","non-dropping-particle":"","parse-names":false,"suffix":""},{"dropping-particle":"","family":"Whittle","given":"K. R.","non-dropping-particle":"","parse-names":false,"suffix":""},{"dropping-particle":"","family":"Dean","given":"J. S.","non-dropping-particle":"","parse-names":false,"suffix":""},{"dropping-particle":"","family":"Abram","given":"T. J.","non-dropping-particle":"","parse-names":false,"suffix":""}],"container-title":"Nuclear Engineering and Design","id":"ITEM-1","issue":"July 2017","issued":{"date-parts":[["2018"]]},"page":"153-161","publisher":"Elsevier","title":"Prismatic core high temperature reactor fuel modelling incorporating fuel rotation","type":"article-journal","volume":"331"},"uris":["http://www.mendeley.com/documents/?uuid=222ec99e-7f8a-45f3-a6d5-06f23676dbee"]}],"mendeley":{"formattedCitation":"(S. Atkinson et al., 2018)","plainTextFormattedCitation":"(S. Atkinson et al., 2018)","previouslyFormattedCitation":"(S. Atkinson et al., 2018)"},"properties":{"noteIndex":0},"schema":"https://github.com/citation-style-language/schema/raw/master/csl-citation.json"}</w:instrText>
      </w:r>
      <w:r w:rsidR="00E91C39" w:rsidRPr="00D27DAA">
        <w:rPr>
          <w:rFonts w:cs="Times New Roman"/>
          <w:sz w:val="22"/>
        </w:rPr>
        <w:fldChar w:fldCharType="separate"/>
      </w:r>
      <w:r w:rsidR="003B1077" w:rsidRPr="00D27DAA">
        <w:rPr>
          <w:rFonts w:cs="Times New Roman"/>
          <w:noProof/>
          <w:sz w:val="22"/>
        </w:rPr>
        <w:t>(S. Atkinson et al., 2018)</w:t>
      </w:r>
      <w:r w:rsidR="00E91C39" w:rsidRPr="00D27DAA">
        <w:rPr>
          <w:rFonts w:cs="Times New Roman"/>
          <w:sz w:val="22"/>
        </w:rPr>
        <w:fldChar w:fldCharType="end"/>
      </w:r>
      <w:r w:rsidR="00E91C39" w:rsidRPr="00D27DAA">
        <w:rPr>
          <w:rFonts w:cs="Times New Roman"/>
          <w:sz w:val="22"/>
        </w:rPr>
        <w:t xml:space="preserve">, </w:t>
      </w:r>
      <w:r w:rsidRPr="00D27DAA">
        <w:rPr>
          <w:rFonts w:cs="Times New Roman"/>
          <w:sz w:val="22"/>
        </w:rPr>
        <w:t xml:space="preserve"> it was noted that at 20-30 </w:t>
      </w:r>
      <w:r w:rsidR="00584D55" w:rsidRPr="00D27DAA">
        <w:rPr>
          <w:rFonts w:cs="Times New Roman"/>
          <w:sz w:val="22"/>
        </w:rPr>
        <w:t>c</w:t>
      </w:r>
      <w:r w:rsidRPr="00D27DAA">
        <w:rPr>
          <w:rFonts w:cs="Times New Roman"/>
          <w:sz w:val="22"/>
        </w:rPr>
        <w:t xml:space="preserve">m at the tops of the fuel columns, the burnup was high. </w:t>
      </w:r>
      <w:r w:rsidR="001828AF" w:rsidRPr="00D27DAA">
        <w:rPr>
          <w:rFonts w:cs="Times New Roman"/>
          <w:sz w:val="22"/>
        </w:rPr>
        <w:t>A</w:t>
      </w:r>
      <w:r w:rsidR="005F4EF1" w:rsidRPr="00D27DAA">
        <w:rPr>
          <w:rFonts w:cs="Times New Roman"/>
          <w:sz w:val="22"/>
        </w:rPr>
        <w:t xml:space="preserve"> thin coating of poisons </w:t>
      </w:r>
      <w:r w:rsidR="0072360C" w:rsidRPr="00D27DAA">
        <w:rPr>
          <w:rFonts w:cs="Times New Roman"/>
          <w:sz w:val="22"/>
        </w:rPr>
        <w:t>was</w:t>
      </w:r>
      <w:r w:rsidR="005F4EF1" w:rsidRPr="00D27DAA">
        <w:rPr>
          <w:rFonts w:cs="Times New Roman"/>
          <w:sz w:val="22"/>
        </w:rPr>
        <w:t xml:space="preserve"> added</w:t>
      </w:r>
      <w:r w:rsidRPr="00D27DAA">
        <w:rPr>
          <w:rFonts w:cs="Times New Roman"/>
          <w:sz w:val="22"/>
        </w:rPr>
        <w:t xml:space="preserve"> at the top and bottom</w:t>
      </w:r>
      <w:r w:rsidR="00A05F7E" w:rsidRPr="00D27DAA">
        <w:rPr>
          <w:rFonts w:cs="Times New Roman"/>
          <w:sz w:val="22"/>
        </w:rPr>
        <w:t xml:space="preserve"> of these fuel columns</w:t>
      </w:r>
      <w:r w:rsidRPr="00D27DAA">
        <w:rPr>
          <w:rFonts w:cs="Times New Roman"/>
          <w:sz w:val="22"/>
        </w:rPr>
        <w:t xml:space="preserve"> as shown in </w:t>
      </w:r>
      <w:r w:rsidR="00360844" w:rsidRPr="00D27DAA">
        <w:rPr>
          <w:rFonts w:cs="Times New Roman"/>
          <w:sz w:val="22"/>
        </w:rPr>
        <w:fldChar w:fldCharType="begin"/>
      </w:r>
      <w:r w:rsidR="00360844" w:rsidRPr="00D27DAA">
        <w:rPr>
          <w:rFonts w:cs="Times New Roman"/>
          <w:sz w:val="22"/>
        </w:rPr>
        <w:instrText xml:space="preserve"> REF _Ref508804062 \h  \* MERGEFORMAT </w:instrText>
      </w:r>
      <w:r w:rsidR="00360844" w:rsidRPr="00D27DAA">
        <w:rPr>
          <w:rFonts w:cs="Times New Roman"/>
          <w:sz w:val="22"/>
        </w:rPr>
      </w:r>
      <w:r w:rsidR="00360844" w:rsidRPr="00D27DAA">
        <w:rPr>
          <w:rFonts w:cs="Times New Roman"/>
          <w:sz w:val="22"/>
        </w:rPr>
        <w:fldChar w:fldCharType="separate"/>
      </w:r>
      <w:r w:rsidR="00360844" w:rsidRPr="00D27DAA">
        <w:rPr>
          <w:rFonts w:cs="Times New Roman"/>
          <w:sz w:val="22"/>
        </w:rPr>
        <w:t xml:space="preserve">Figure </w:t>
      </w:r>
      <w:r w:rsidR="00360844" w:rsidRPr="00D27DAA">
        <w:rPr>
          <w:rFonts w:cs="Times New Roman"/>
          <w:noProof/>
          <w:sz w:val="22"/>
        </w:rPr>
        <w:t>7</w:t>
      </w:r>
      <w:r w:rsidR="00360844" w:rsidRPr="00D27DAA">
        <w:rPr>
          <w:rFonts w:cs="Times New Roman"/>
          <w:sz w:val="22"/>
        </w:rPr>
        <w:fldChar w:fldCharType="end"/>
      </w:r>
      <w:r w:rsidR="00360844" w:rsidRPr="00D27DAA">
        <w:rPr>
          <w:rFonts w:cs="Times New Roman"/>
          <w:sz w:val="22"/>
        </w:rPr>
        <w:t xml:space="preserve"> </w:t>
      </w:r>
      <w:r w:rsidRPr="00D27DAA">
        <w:rPr>
          <w:rFonts w:cs="Times New Roman"/>
          <w:sz w:val="22"/>
        </w:rPr>
        <w:t xml:space="preserve">at this point the </w:t>
      </w:r>
      <w:proofErr w:type="spellStart"/>
      <w:r w:rsidR="00A03F2A" w:rsidRPr="00D27DAA">
        <w:rPr>
          <w:rFonts w:cs="Times New Roman"/>
        </w:rPr>
        <w:t>K</w:t>
      </w:r>
      <w:r w:rsidR="00A03F2A" w:rsidRPr="00D27DAA">
        <w:rPr>
          <w:rFonts w:cs="Times New Roman"/>
          <w:vertAlign w:val="subscript"/>
        </w:rPr>
        <w:t>eff</w:t>
      </w:r>
      <w:proofErr w:type="spellEnd"/>
      <w:r w:rsidR="00A03F2A" w:rsidRPr="00D27DAA">
        <w:rPr>
          <w:rFonts w:cs="Times New Roman"/>
          <w:sz w:val="22"/>
        </w:rPr>
        <w:t xml:space="preserve"> </w:t>
      </w:r>
      <w:r w:rsidRPr="00D27DAA">
        <w:rPr>
          <w:rFonts w:cs="Times New Roman"/>
          <w:sz w:val="22"/>
        </w:rPr>
        <w:t xml:space="preserve">was at 1.09056. </w:t>
      </w:r>
    </w:p>
    <w:p w14:paraId="565F710D" w14:textId="08E1D92F" w:rsidR="00BE3872" w:rsidRPr="00D27DAA" w:rsidRDefault="001171DB" w:rsidP="00BE3872">
      <w:pPr>
        <w:pStyle w:val="NoSpacing"/>
        <w:keepNext/>
        <w:spacing w:line="480" w:lineRule="auto"/>
        <w:jc w:val="center"/>
        <w:rPr>
          <w:rFonts w:cs="Times New Roman"/>
          <w:sz w:val="22"/>
        </w:rPr>
      </w:pPr>
      <w:r w:rsidRPr="00D27DAA">
        <w:rPr>
          <w:noProof/>
          <w:lang w:eastAsia="en-GB"/>
        </w:rPr>
        <w:lastRenderedPageBreak/>
        <w:drawing>
          <wp:inline distT="0" distB="0" distL="0" distR="0" wp14:anchorId="5B559D11" wp14:editId="597A57AC">
            <wp:extent cx="5727700" cy="93726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937260"/>
                    </a:xfrm>
                    <a:prstGeom prst="rect">
                      <a:avLst/>
                    </a:prstGeom>
                  </pic:spPr>
                </pic:pic>
              </a:graphicData>
            </a:graphic>
          </wp:inline>
        </w:drawing>
      </w:r>
    </w:p>
    <w:p w14:paraId="1CE6151E" w14:textId="0A14310D" w:rsidR="00E73173" w:rsidRPr="00D27DAA" w:rsidRDefault="00BE3872" w:rsidP="00BE3872">
      <w:pPr>
        <w:pStyle w:val="Caption"/>
        <w:jc w:val="center"/>
        <w:rPr>
          <w:rFonts w:ascii="Times New Roman" w:hAnsi="Times New Roman" w:cs="Times New Roman"/>
          <w:noProof/>
          <w:sz w:val="22"/>
          <w:szCs w:val="22"/>
        </w:rPr>
      </w:pPr>
      <w:bookmarkStart w:id="12" w:name="_Ref508804062"/>
      <w:r w:rsidRPr="00D27DAA">
        <w:rPr>
          <w:rFonts w:ascii="Times New Roman" w:hAnsi="Times New Roman" w:cs="Times New Roman"/>
          <w:sz w:val="22"/>
          <w:szCs w:val="22"/>
        </w:rPr>
        <w:t xml:space="preserve">Figure </w:t>
      </w:r>
      <w:r w:rsidR="00D1788F" w:rsidRPr="00D27DAA">
        <w:rPr>
          <w:rFonts w:ascii="Times New Roman" w:hAnsi="Times New Roman" w:cs="Times New Roman"/>
          <w:sz w:val="22"/>
          <w:szCs w:val="22"/>
        </w:rPr>
        <w:fldChar w:fldCharType="begin"/>
      </w:r>
      <w:r w:rsidR="00D1788F" w:rsidRPr="00D27DAA">
        <w:rPr>
          <w:rFonts w:ascii="Times New Roman" w:hAnsi="Times New Roman" w:cs="Times New Roman"/>
          <w:sz w:val="22"/>
          <w:szCs w:val="22"/>
        </w:rPr>
        <w:instrText xml:space="preserve"> SEQ Figure \* ARABIC </w:instrText>
      </w:r>
      <w:r w:rsidR="00D1788F"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7</w:t>
      </w:r>
      <w:r w:rsidR="00D1788F" w:rsidRPr="00D27DAA">
        <w:rPr>
          <w:rFonts w:ascii="Times New Roman" w:hAnsi="Times New Roman" w:cs="Times New Roman"/>
          <w:noProof/>
          <w:sz w:val="22"/>
          <w:szCs w:val="22"/>
        </w:rPr>
        <w:fldChar w:fldCharType="end"/>
      </w:r>
      <w:bookmarkEnd w:id="12"/>
      <w:r w:rsidRPr="00D27DAA">
        <w:rPr>
          <w:rFonts w:ascii="Times New Roman" w:hAnsi="Times New Roman" w:cs="Times New Roman"/>
          <w:sz w:val="22"/>
          <w:szCs w:val="22"/>
        </w:rPr>
        <w:t>- Poison sleeve on the corner design</w:t>
      </w:r>
    </w:p>
    <w:p w14:paraId="371EB959" w14:textId="62869EFC" w:rsidR="00E73173" w:rsidRPr="00D27DAA" w:rsidRDefault="00E73173" w:rsidP="00E73173">
      <w:pPr>
        <w:pStyle w:val="NoSpacing"/>
        <w:spacing w:line="480" w:lineRule="auto"/>
        <w:rPr>
          <w:rFonts w:cs="Times New Roman"/>
          <w:sz w:val="22"/>
        </w:rPr>
      </w:pPr>
      <w:r w:rsidRPr="00D27DAA">
        <w:rPr>
          <w:rFonts w:cs="Times New Roman"/>
          <w:sz w:val="22"/>
        </w:rPr>
        <w:t xml:space="preserve">To remedy this, the 140 </w:t>
      </w:r>
      <w:r w:rsidR="00584D55" w:rsidRPr="00D27DAA">
        <w:rPr>
          <w:rFonts w:cs="Times New Roman"/>
          <w:sz w:val="22"/>
        </w:rPr>
        <w:t>c</w:t>
      </w:r>
      <w:r w:rsidRPr="00D27DAA">
        <w:rPr>
          <w:rFonts w:cs="Times New Roman"/>
          <w:sz w:val="22"/>
        </w:rPr>
        <w:t>m sleeve was added to the two pins closest to the centre of the central reflector as shown in</w:t>
      </w:r>
      <w:r w:rsidR="00360844" w:rsidRPr="00D27DAA">
        <w:rPr>
          <w:rFonts w:cs="Times New Roman"/>
          <w:sz w:val="22"/>
        </w:rPr>
        <w:t xml:space="preserve"> </w:t>
      </w:r>
      <w:r w:rsidR="00360844" w:rsidRPr="00D27DAA">
        <w:rPr>
          <w:rFonts w:cs="Times New Roman"/>
          <w:sz w:val="22"/>
        </w:rPr>
        <w:fldChar w:fldCharType="begin"/>
      </w:r>
      <w:r w:rsidR="00360844" w:rsidRPr="00D27DAA">
        <w:rPr>
          <w:rFonts w:cs="Times New Roman"/>
          <w:sz w:val="22"/>
        </w:rPr>
        <w:instrText xml:space="preserve"> REF _Ref508804165 \h  \* MERGEFORMAT </w:instrText>
      </w:r>
      <w:r w:rsidR="00360844" w:rsidRPr="00D27DAA">
        <w:rPr>
          <w:rFonts w:cs="Times New Roman"/>
          <w:sz w:val="22"/>
        </w:rPr>
      </w:r>
      <w:r w:rsidR="00360844" w:rsidRPr="00D27DAA">
        <w:rPr>
          <w:rFonts w:cs="Times New Roman"/>
          <w:sz w:val="22"/>
        </w:rPr>
        <w:fldChar w:fldCharType="separate"/>
      </w:r>
      <w:r w:rsidR="00360844" w:rsidRPr="00D27DAA">
        <w:rPr>
          <w:rFonts w:cs="Times New Roman"/>
          <w:sz w:val="22"/>
        </w:rPr>
        <w:t xml:space="preserve">Figure </w:t>
      </w:r>
      <w:r w:rsidR="00360844" w:rsidRPr="00D27DAA">
        <w:rPr>
          <w:rFonts w:cs="Times New Roman"/>
          <w:noProof/>
          <w:sz w:val="22"/>
        </w:rPr>
        <w:t>8</w:t>
      </w:r>
      <w:r w:rsidR="00360844" w:rsidRPr="00D27DAA">
        <w:rPr>
          <w:rFonts w:cs="Times New Roman"/>
          <w:sz w:val="22"/>
        </w:rPr>
        <w:fldChar w:fldCharType="end"/>
      </w:r>
      <w:r w:rsidR="00A05F7E" w:rsidRPr="00D27DAA">
        <w:rPr>
          <w:rFonts w:cs="Times New Roman"/>
          <w:sz w:val="22"/>
        </w:rPr>
        <w:t>.</w:t>
      </w:r>
      <w:r w:rsidRPr="00D27DAA">
        <w:rPr>
          <w:rFonts w:cs="Times New Roman"/>
          <w:sz w:val="22"/>
        </w:rPr>
        <w:t xml:space="preserve"> </w:t>
      </w:r>
      <w:r w:rsidR="00A05F7E" w:rsidRPr="00D27DAA">
        <w:rPr>
          <w:rFonts w:cs="Times New Roman"/>
          <w:sz w:val="22"/>
        </w:rPr>
        <w:t>T</w:t>
      </w:r>
      <w:r w:rsidRPr="00D27DAA">
        <w:rPr>
          <w:rFonts w:cs="Times New Roman"/>
          <w:sz w:val="22"/>
        </w:rPr>
        <w:t xml:space="preserve">his reduced the </w:t>
      </w:r>
      <w:proofErr w:type="spellStart"/>
      <w:r w:rsidR="00A03F2A" w:rsidRPr="00D27DAA">
        <w:rPr>
          <w:rFonts w:cs="Times New Roman"/>
        </w:rPr>
        <w:t>K</w:t>
      </w:r>
      <w:r w:rsidR="00A03F2A" w:rsidRPr="00D27DAA">
        <w:rPr>
          <w:rFonts w:cs="Times New Roman"/>
          <w:vertAlign w:val="subscript"/>
        </w:rPr>
        <w:t>eff</w:t>
      </w:r>
      <w:proofErr w:type="spellEnd"/>
      <w:r w:rsidR="00A03F2A" w:rsidRPr="00D27DAA">
        <w:rPr>
          <w:rFonts w:cs="Times New Roman"/>
          <w:sz w:val="22"/>
        </w:rPr>
        <w:t xml:space="preserve"> </w:t>
      </w:r>
      <w:r w:rsidRPr="00D27DAA">
        <w:rPr>
          <w:rFonts w:cs="Times New Roman"/>
          <w:sz w:val="22"/>
        </w:rPr>
        <w:t xml:space="preserve">to the acceptable level of </w:t>
      </w:r>
      <w:r w:rsidR="00DC457C" w:rsidRPr="00D27DAA">
        <w:rPr>
          <w:rFonts w:cs="Times New Roman"/>
          <w:sz w:val="22"/>
        </w:rPr>
        <w:t>1.05137</w:t>
      </w:r>
      <w:r w:rsidRPr="00D27DAA">
        <w:rPr>
          <w:rFonts w:cs="Times New Roman"/>
          <w:sz w:val="22"/>
        </w:rPr>
        <w:t>.</w:t>
      </w:r>
    </w:p>
    <w:p w14:paraId="0DF3B586" w14:textId="72DA13EF" w:rsidR="00360844" w:rsidRPr="00D27DAA" w:rsidRDefault="00BD5983" w:rsidP="00360844">
      <w:pPr>
        <w:pStyle w:val="NoSpacing"/>
        <w:keepNext/>
        <w:spacing w:line="480" w:lineRule="auto"/>
        <w:rPr>
          <w:rFonts w:cs="Times New Roman"/>
          <w:sz w:val="22"/>
        </w:rPr>
      </w:pPr>
      <w:r w:rsidRPr="00D27DAA">
        <w:rPr>
          <w:noProof/>
          <w:lang w:eastAsia="en-GB"/>
        </w:rPr>
        <w:drawing>
          <wp:inline distT="0" distB="0" distL="0" distR="0" wp14:anchorId="333BB601" wp14:editId="7489A686">
            <wp:extent cx="5727700" cy="26162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2616200"/>
                    </a:xfrm>
                    <a:prstGeom prst="rect">
                      <a:avLst/>
                    </a:prstGeom>
                  </pic:spPr>
                </pic:pic>
              </a:graphicData>
            </a:graphic>
          </wp:inline>
        </w:drawing>
      </w:r>
    </w:p>
    <w:p w14:paraId="30B96B64" w14:textId="78A833B8" w:rsidR="00E73173" w:rsidRPr="00D27DAA" w:rsidRDefault="00360844" w:rsidP="00360844">
      <w:pPr>
        <w:pStyle w:val="Caption"/>
        <w:jc w:val="center"/>
        <w:rPr>
          <w:rFonts w:ascii="Times New Roman" w:hAnsi="Times New Roman" w:cs="Times New Roman"/>
          <w:sz w:val="22"/>
          <w:szCs w:val="22"/>
        </w:rPr>
      </w:pPr>
      <w:bookmarkStart w:id="13" w:name="_Ref508804165"/>
      <w:r w:rsidRPr="00D27DAA">
        <w:rPr>
          <w:rFonts w:ascii="Times New Roman" w:hAnsi="Times New Roman" w:cs="Times New Roman"/>
          <w:sz w:val="22"/>
          <w:szCs w:val="22"/>
        </w:rPr>
        <w:t xml:space="preserve">Figure </w:t>
      </w:r>
      <w:r w:rsidR="00D1788F" w:rsidRPr="00D27DAA">
        <w:rPr>
          <w:rFonts w:ascii="Times New Roman" w:hAnsi="Times New Roman" w:cs="Times New Roman"/>
          <w:sz w:val="22"/>
          <w:szCs w:val="22"/>
        </w:rPr>
        <w:fldChar w:fldCharType="begin"/>
      </w:r>
      <w:r w:rsidR="00D1788F" w:rsidRPr="00D27DAA">
        <w:rPr>
          <w:rFonts w:ascii="Times New Roman" w:hAnsi="Times New Roman" w:cs="Times New Roman"/>
          <w:sz w:val="22"/>
          <w:szCs w:val="22"/>
        </w:rPr>
        <w:instrText xml:space="preserve"> SEQ Figure \* ARABIC </w:instrText>
      </w:r>
      <w:r w:rsidR="00D1788F"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8</w:t>
      </w:r>
      <w:r w:rsidR="00D1788F" w:rsidRPr="00D27DAA">
        <w:rPr>
          <w:rFonts w:ascii="Times New Roman" w:hAnsi="Times New Roman" w:cs="Times New Roman"/>
          <w:noProof/>
          <w:sz w:val="22"/>
          <w:szCs w:val="22"/>
        </w:rPr>
        <w:fldChar w:fldCharType="end"/>
      </w:r>
      <w:bookmarkEnd w:id="13"/>
      <w:r w:rsidRPr="00D27DAA">
        <w:rPr>
          <w:rFonts w:ascii="Times New Roman" w:hAnsi="Times New Roman" w:cs="Times New Roman"/>
          <w:sz w:val="22"/>
          <w:szCs w:val="22"/>
        </w:rPr>
        <w:t>- Final design 2 FBP locations</w:t>
      </w:r>
    </w:p>
    <w:p w14:paraId="0FBECD59" w14:textId="67656CB9" w:rsidR="00E73173" w:rsidRPr="00D27DAA" w:rsidRDefault="00E73173" w:rsidP="00681B2E">
      <w:pPr>
        <w:pStyle w:val="NoSpacing"/>
        <w:ind w:firstLine="0"/>
        <w:rPr>
          <w:rFonts w:cs="Times New Roman"/>
          <w:sz w:val="22"/>
        </w:rPr>
      </w:pPr>
      <w:r w:rsidRPr="00D27DAA">
        <w:rPr>
          <w:rFonts w:cs="Times New Roman"/>
          <w:sz w:val="22"/>
        </w:rPr>
        <w:t>Design 3</w:t>
      </w:r>
    </w:p>
    <w:p w14:paraId="3908EC0B" w14:textId="77777777" w:rsidR="00360844" w:rsidRPr="00D27DAA" w:rsidRDefault="00360844" w:rsidP="00681B2E">
      <w:pPr>
        <w:pStyle w:val="NoSpacing"/>
        <w:ind w:firstLine="0"/>
        <w:rPr>
          <w:rFonts w:cs="Times New Roman"/>
          <w:sz w:val="22"/>
        </w:rPr>
      </w:pPr>
    </w:p>
    <w:p w14:paraId="25D8964B" w14:textId="37AF5AD3" w:rsidR="00E73173" w:rsidRPr="00D27DAA" w:rsidRDefault="00E73173" w:rsidP="00E73173">
      <w:pPr>
        <w:rPr>
          <w:rFonts w:ascii="Times New Roman" w:hAnsi="Times New Roman" w:cs="Times New Roman"/>
        </w:rPr>
      </w:pPr>
      <w:r w:rsidRPr="00D27DAA">
        <w:rPr>
          <w:rFonts w:ascii="Times New Roman" w:hAnsi="Times New Roman" w:cs="Times New Roman"/>
        </w:rPr>
        <w:t>The third design is a more conceptual design. The concept used the centre 1</w:t>
      </w:r>
      <w:r w:rsidR="001171DB" w:rsidRPr="00D27DAA">
        <w:rPr>
          <w:rFonts w:ascii="Times New Roman" w:hAnsi="Times New Roman" w:cs="Times New Roman"/>
        </w:rPr>
        <w:t>0</w:t>
      </w:r>
      <w:r w:rsidRPr="00D27DAA">
        <w:rPr>
          <w:rFonts w:ascii="Times New Roman" w:hAnsi="Times New Roman" w:cs="Times New Roman"/>
        </w:rPr>
        <w:t xml:space="preserve">0 </w:t>
      </w:r>
      <w:r w:rsidR="00584D55" w:rsidRPr="00D27DAA">
        <w:rPr>
          <w:rFonts w:ascii="Times New Roman" w:hAnsi="Times New Roman" w:cs="Times New Roman"/>
        </w:rPr>
        <w:t>c</w:t>
      </w:r>
      <w:r w:rsidRPr="00D27DAA">
        <w:rPr>
          <w:rFonts w:ascii="Times New Roman" w:hAnsi="Times New Roman" w:cs="Times New Roman"/>
        </w:rPr>
        <w:t xml:space="preserve">m’s to place small 0.04 </w:t>
      </w:r>
      <w:r w:rsidR="006A58B8" w:rsidRPr="00D27DAA">
        <w:rPr>
          <w:rFonts w:ascii="Times New Roman" w:hAnsi="Times New Roman" w:cs="Times New Roman"/>
        </w:rPr>
        <w:t>c</w:t>
      </w:r>
      <w:r w:rsidRPr="00D27DAA">
        <w:rPr>
          <w:rFonts w:ascii="Times New Roman" w:hAnsi="Times New Roman" w:cs="Times New Roman"/>
        </w:rPr>
        <w:t>m radius G</w:t>
      </w:r>
      <w:r w:rsidR="00584D55" w:rsidRPr="00D27DAA">
        <w:rPr>
          <w:rFonts w:ascii="Times New Roman" w:hAnsi="Times New Roman" w:cs="Times New Roman"/>
        </w:rPr>
        <w:t>d</w:t>
      </w:r>
      <w:r w:rsidRPr="00D27DAA">
        <w:rPr>
          <w:rFonts w:ascii="Times New Roman" w:hAnsi="Times New Roman" w:cs="Times New Roman"/>
          <w:vertAlign w:val="subscript"/>
        </w:rPr>
        <w:t>2</w:t>
      </w:r>
      <w:r w:rsidRPr="00D27DAA">
        <w:rPr>
          <w:rFonts w:ascii="Times New Roman" w:hAnsi="Times New Roman" w:cs="Times New Roman"/>
        </w:rPr>
        <w:t>O</w:t>
      </w:r>
      <w:r w:rsidRPr="00D27DAA">
        <w:rPr>
          <w:rFonts w:ascii="Times New Roman" w:hAnsi="Times New Roman" w:cs="Times New Roman"/>
          <w:vertAlign w:val="subscript"/>
        </w:rPr>
        <w:t>3</w:t>
      </w:r>
      <w:r w:rsidRPr="00D27DAA">
        <w:rPr>
          <w:rFonts w:ascii="Times New Roman" w:hAnsi="Times New Roman" w:cs="Times New Roman"/>
        </w:rPr>
        <w:t xml:space="preserve"> particles amongst the fuel columns. The fuel particles were to be arranged in such a set up so that the packing factor of the poisons would repress the flux sufficiently at the centre of the reactor core. This initial concept looked to split the centre 1</w:t>
      </w:r>
      <w:r w:rsidR="001171DB" w:rsidRPr="00D27DAA">
        <w:rPr>
          <w:rFonts w:ascii="Times New Roman" w:hAnsi="Times New Roman" w:cs="Times New Roman"/>
        </w:rPr>
        <w:t>0</w:t>
      </w:r>
      <w:r w:rsidRPr="00D27DAA">
        <w:rPr>
          <w:rFonts w:ascii="Times New Roman" w:hAnsi="Times New Roman" w:cs="Times New Roman"/>
        </w:rPr>
        <w:t xml:space="preserve">0 </w:t>
      </w:r>
      <w:r w:rsidR="00584D55" w:rsidRPr="00D27DAA">
        <w:rPr>
          <w:rFonts w:ascii="Times New Roman" w:hAnsi="Times New Roman" w:cs="Times New Roman"/>
        </w:rPr>
        <w:t>c</w:t>
      </w:r>
      <w:r w:rsidRPr="00D27DAA">
        <w:rPr>
          <w:rFonts w:ascii="Times New Roman" w:hAnsi="Times New Roman" w:cs="Times New Roman"/>
        </w:rPr>
        <w:t>m’s of the fuel columns up into sections and then add the packing factor of poisons as shown in</w:t>
      </w:r>
      <w:r w:rsidR="00360844" w:rsidRPr="00D27DAA">
        <w:rPr>
          <w:rFonts w:ascii="Times New Roman" w:hAnsi="Times New Roman" w:cs="Times New Roman"/>
        </w:rPr>
        <w:t xml:space="preserve"> </w:t>
      </w:r>
      <w:r w:rsidR="00360844" w:rsidRPr="00D27DAA">
        <w:rPr>
          <w:rFonts w:ascii="Times New Roman" w:hAnsi="Times New Roman" w:cs="Times New Roman"/>
        </w:rPr>
        <w:fldChar w:fldCharType="begin"/>
      </w:r>
      <w:r w:rsidR="00360844" w:rsidRPr="00D27DAA">
        <w:rPr>
          <w:rFonts w:ascii="Times New Roman" w:hAnsi="Times New Roman" w:cs="Times New Roman"/>
        </w:rPr>
        <w:instrText xml:space="preserve"> REF _Ref508804351 \h </w:instrText>
      </w:r>
      <w:r w:rsidR="00BD5983" w:rsidRPr="00D27DAA">
        <w:rPr>
          <w:rFonts w:ascii="Times New Roman" w:hAnsi="Times New Roman" w:cs="Times New Roman"/>
        </w:rPr>
        <w:instrText xml:space="preserve"> \* MERGEFORMAT </w:instrText>
      </w:r>
      <w:r w:rsidR="00360844" w:rsidRPr="00D27DAA">
        <w:rPr>
          <w:rFonts w:ascii="Times New Roman" w:hAnsi="Times New Roman" w:cs="Times New Roman"/>
        </w:rPr>
      </w:r>
      <w:r w:rsidR="00360844" w:rsidRPr="00D27DAA">
        <w:rPr>
          <w:rFonts w:ascii="Times New Roman" w:hAnsi="Times New Roman" w:cs="Times New Roman"/>
        </w:rPr>
        <w:fldChar w:fldCharType="separate"/>
      </w:r>
      <w:r w:rsidR="00360844" w:rsidRPr="00D27DAA">
        <w:rPr>
          <w:rFonts w:ascii="Times New Roman" w:hAnsi="Times New Roman" w:cs="Times New Roman"/>
        </w:rPr>
        <w:t xml:space="preserve">Figure </w:t>
      </w:r>
      <w:r w:rsidR="00360844" w:rsidRPr="00D27DAA">
        <w:rPr>
          <w:rFonts w:ascii="Times New Roman" w:hAnsi="Times New Roman" w:cs="Times New Roman"/>
          <w:noProof/>
        </w:rPr>
        <w:t>9</w:t>
      </w:r>
      <w:r w:rsidR="00360844" w:rsidRPr="00D27DAA">
        <w:rPr>
          <w:rFonts w:ascii="Times New Roman" w:hAnsi="Times New Roman" w:cs="Times New Roman"/>
        </w:rPr>
        <w:fldChar w:fldCharType="end"/>
      </w:r>
      <w:r w:rsidRPr="00D27DAA">
        <w:rPr>
          <w:rFonts w:ascii="Times New Roman" w:hAnsi="Times New Roman" w:cs="Times New Roman"/>
        </w:rPr>
        <w:t>.</w:t>
      </w:r>
    </w:p>
    <w:p w14:paraId="7DB8A290" w14:textId="00EBB3D9" w:rsidR="00360844" w:rsidRPr="00D27DAA" w:rsidRDefault="001171DB" w:rsidP="00360844">
      <w:pPr>
        <w:pStyle w:val="NoSpacing"/>
        <w:keepNext/>
        <w:spacing w:line="480" w:lineRule="auto"/>
        <w:rPr>
          <w:rFonts w:cs="Times New Roman"/>
          <w:sz w:val="22"/>
        </w:rPr>
      </w:pPr>
      <w:r w:rsidRPr="00D27DAA">
        <w:rPr>
          <w:noProof/>
          <w:lang w:eastAsia="en-GB"/>
        </w:rPr>
        <w:drawing>
          <wp:inline distT="0" distB="0" distL="0" distR="0" wp14:anchorId="6D5F3437" wp14:editId="3851D79E">
            <wp:extent cx="5727700" cy="1160780"/>
            <wp:effectExtent l="0" t="0" r="635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1160780"/>
                    </a:xfrm>
                    <a:prstGeom prst="rect">
                      <a:avLst/>
                    </a:prstGeom>
                  </pic:spPr>
                </pic:pic>
              </a:graphicData>
            </a:graphic>
          </wp:inline>
        </w:drawing>
      </w:r>
    </w:p>
    <w:p w14:paraId="010A6F40" w14:textId="669BE7F0" w:rsidR="00E73173" w:rsidRPr="00D27DAA" w:rsidRDefault="00360844" w:rsidP="00360844">
      <w:pPr>
        <w:pStyle w:val="Caption"/>
        <w:jc w:val="center"/>
        <w:rPr>
          <w:rFonts w:ascii="Times New Roman" w:hAnsi="Times New Roman" w:cs="Times New Roman"/>
          <w:sz w:val="22"/>
          <w:szCs w:val="22"/>
        </w:rPr>
      </w:pPr>
      <w:bookmarkStart w:id="14" w:name="_Ref508804351"/>
      <w:r w:rsidRPr="00D27DAA">
        <w:rPr>
          <w:rFonts w:ascii="Times New Roman" w:hAnsi="Times New Roman" w:cs="Times New Roman"/>
          <w:sz w:val="22"/>
          <w:szCs w:val="22"/>
        </w:rPr>
        <w:t xml:space="preserve">Figure </w:t>
      </w:r>
      <w:r w:rsidR="00D1788F" w:rsidRPr="00D27DAA">
        <w:rPr>
          <w:rFonts w:ascii="Times New Roman" w:hAnsi="Times New Roman" w:cs="Times New Roman"/>
          <w:sz w:val="22"/>
          <w:szCs w:val="22"/>
        </w:rPr>
        <w:fldChar w:fldCharType="begin"/>
      </w:r>
      <w:r w:rsidR="00D1788F" w:rsidRPr="00D27DAA">
        <w:rPr>
          <w:rFonts w:ascii="Times New Roman" w:hAnsi="Times New Roman" w:cs="Times New Roman"/>
          <w:sz w:val="22"/>
          <w:szCs w:val="22"/>
        </w:rPr>
        <w:instrText xml:space="preserve"> SEQ Figure \* ARABIC </w:instrText>
      </w:r>
      <w:r w:rsidR="00D1788F"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9</w:t>
      </w:r>
      <w:r w:rsidR="00D1788F" w:rsidRPr="00D27DAA">
        <w:rPr>
          <w:rFonts w:ascii="Times New Roman" w:hAnsi="Times New Roman" w:cs="Times New Roman"/>
          <w:noProof/>
          <w:sz w:val="22"/>
          <w:szCs w:val="22"/>
        </w:rPr>
        <w:fldChar w:fldCharType="end"/>
      </w:r>
      <w:bookmarkEnd w:id="14"/>
      <w:r w:rsidRPr="00D27DAA">
        <w:rPr>
          <w:rFonts w:ascii="Times New Roman" w:hAnsi="Times New Roman" w:cs="Times New Roman"/>
          <w:sz w:val="22"/>
          <w:szCs w:val="22"/>
        </w:rPr>
        <w:t xml:space="preserve">-Poisons packing factor within their 10 </w:t>
      </w:r>
      <w:r w:rsidR="006A58B8" w:rsidRPr="00D27DAA">
        <w:rPr>
          <w:rFonts w:ascii="Times New Roman" w:hAnsi="Times New Roman" w:cs="Times New Roman"/>
          <w:sz w:val="22"/>
          <w:szCs w:val="22"/>
        </w:rPr>
        <w:t>c</w:t>
      </w:r>
      <w:r w:rsidRPr="00D27DAA">
        <w:rPr>
          <w:rFonts w:ascii="Times New Roman" w:hAnsi="Times New Roman" w:cs="Times New Roman"/>
          <w:sz w:val="22"/>
          <w:szCs w:val="22"/>
        </w:rPr>
        <w:t>m fuel region</w:t>
      </w:r>
    </w:p>
    <w:p w14:paraId="17B7F65E" w14:textId="45F686B6" w:rsidR="00E73173" w:rsidRPr="00D27DAA" w:rsidRDefault="00E73173" w:rsidP="00E73173">
      <w:pPr>
        <w:pStyle w:val="NoSpacing"/>
        <w:spacing w:line="480" w:lineRule="auto"/>
        <w:rPr>
          <w:rFonts w:cs="Times New Roman"/>
          <w:sz w:val="22"/>
        </w:rPr>
      </w:pPr>
      <w:r w:rsidRPr="00D27DAA">
        <w:rPr>
          <w:rFonts w:cs="Times New Roman"/>
          <w:sz w:val="22"/>
        </w:rPr>
        <w:lastRenderedPageBreak/>
        <w:t xml:space="preserve">This set up </w:t>
      </w:r>
      <w:r w:rsidR="007D3ADF" w:rsidRPr="00D27DAA">
        <w:rPr>
          <w:rFonts w:cs="Times New Roman"/>
          <w:sz w:val="22"/>
        </w:rPr>
        <w:t>provided</w:t>
      </w:r>
      <w:r w:rsidRPr="00D27DAA">
        <w:rPr>
          <w:rFonts w:cs="Times New Roman"/>
          <w:sz w:val="22"/>
        </w:rPr>
        <w:t xml:space="preserve"> a </w:t>
      </w:r>
      <w:proofErr w:type="spellStart"/>
      <w:r w:rsidR="00A03F2A" w:rsidRPr="00D27DAA">
        <w:rPr>
          <w:rFonts w:cs="Times New Roman"/>
        </w:rPr>
        <w:t>K</w:t>
      </w:r>
      <w:r w:rsidR="00A03F2A" w:rsidRPr="00D27DAA">
        <w:rPr>
          <w:rFonts w:cs="Times New Roman"/>
          <w:vertAlign w:val="subscript"/>
        </w:rPr>
        <w:t>eff</w:t>
      </w:r>
      <w:proofErr w:type="spellEnd"/>
      <w:r w:rsidR="00A03F2A" w:rsidRPr="00D27DAA">
        <w:rPr>
          <w:rFonts w:cs="Times New Roman"/>
          <w:sz w:val="22"/>
        </w:rPr>
        <w:t xml:space="preserve"> </w:t>
      </w:r>
      <w:r w:rsidRPr="00D27DAA">
        <w:rPr>
          <w:rFonts w:cs="Times New Roman"/>
          <w:sz w:val="22"/>
        </w:rPr>
        <w:t xml:space="preserve">of </w:t>
      </w:r>
      <w:r w:rsidR="00DC457C" w:rsidRPr="00D27DAA">
        <w:rPr>
          <w:rFonts w:cs="Times New Roman"/>
          <w:sz w:val="22"/>
        </w:rPr>
        <w:t>1.04933</w:t>
      </w:r>
      <w:r w:rsidRPr="00D27DAA">
        <w:rPr>
          <w:rFonts w:cs="Times New Roman"/>
          <w:sz w:val="22"/>
        </w:rPr>
        <w:t xml:space="preserve">. </w:t>
      </w:r>
    </w:p>
    <w:p w14:paraId="07732A23" w14:textId="36B2ADD2" w:rsidR="00E73173" w:rsidRPr="00D27DAA" w:rsidRDefault="00E73173" w:rsidP="00681B2E">
      <w:pPr>
        <w:pStyle w:val="NoSpacing"/>
        <w:ind w:firstLine="0"/>
        <w:rPr>
          <w:rFonts w:cs="Times New Roman"/>
          <w:sz w:val="22"/>
        </w:rPr>
      </w:pPr>
      <w:r w:rsidRPr="00D27DAA">
        <w:rPr>
          <w:rFonts w:cs="Times New Roman"/>
          <w:sz w:val="22"/>
        </w:rPr>
        <w:t>Summary</w:t>
      </w:r>
    </w:p>
    <w:p w14:paraId="7FC3329E" w14:textId="77777777" w:rsidR="007D3ADF" w:rsidRPr="00D27DAA" w:rsidRDefault="007D3ADF" w:rsidP="00681B2E">
      <w:pPr>
        <w:pStyle w:val="NoSpacing"/>
        <w:ind w:firstLine="0"/>
        <w:rPr>
          <w:rFonts w:cs="Times New Roman"/>
          <w:sz w:val="22"/>
        </w:rPr>
      </w:pPr>
    </w:p>
    <w:p w14:paraId="68244276" w14:textId="0BC59480" w:rsidR="00E73173" w:rsidRPr="00D27DAA" w:rsidRDefault="00E73173" w:rsidP="00E73173">
      <w:pPr>
        <w:rPr>
          <w:rFonts w:ascii="Times New Roman" w:hAnsi="Times New Roman" w:cs="Times New Roman"/>
        </w:rPr>
      </w:pPr>
      <w:r w:rsidRPr="00D27DAA">
        <w:rPr>
          <w:rFonts w:ascii="Times New Roman" w:hAnsi="Times New Roman" w:cs="Times New Roman"/>
        </w:rPr>
        <w:t>Each of the designs looks to utilise a different strategy to place the poisons</w:t>
      </w:r>
      <w:r w:rsidR="00E91C39" w:rsidRPr="00D27DAA">
        <w:rPr>
          <w:rFonts w:ascii="Times New Roman" w:hAnsi="Times New Roman" w:cs="Times New Roman"/>
        </w:rPr>
        <w:t>.</w:t>
      </w:r>
      <w:r w:rsidRPr="00D27DAA">
        <w:rPr>
          <w:rFonts w:ascii="Times New Roman" w:hAnsi="Times New Roman" w:cs="Times New Roman"/>
        </w:rPr>
        <w:t xml:space="preserve"> </w:t>
      </w:r>
      <w:r w:rsidR="00E91C39" w:rsidRPr="00D27DAA">
        <w:rPr>
          <w:rFonts w:ascii="Times New Roman" w:hAnsi="Times New Roman" w:cs="Times New Roman"/>
        </w:rPr>
        <w:t>D</w:t>
      </w:r>
      <w:r w:rsidRPr="00D27DAA">
        <w:rPr>
          <w:rFonts w:ascii="Times New Roman" w:hAnsi="Times New Roman" w:cs="Times New Roman"/>
        </w:rPr>
        <w:t xml:space="preserve">esign 1 looks to use the side reflectors, </w:t>
      </w:r>
      <w:r w:rsidR="00F12609" w:rsidRPr="00D27DAA">
        <w:rPr>
          <w:rFonts w:ascii="Times New Roman" w:hAnsi="Times New Roman" w:cs="Times New Roman"/>
        </w:rPr>
        <w:t>D</w:t>
      </w:r>
      <w:r w:rsidRPr="00D27DAA">
        <w:rPr>
          <w:rFonts w:ascii="Times New Roman" w:hAnsi="Times New Roman" w:cs="Times New Roman"/>
        </w:rPr>
        <w:t xml:space="preserve">esign 2 looks to use the corners and </w:t>
      </w:r>
      <w:r w:rsidR="00F12609" w:rsidRPr="00D27DAA">
        <w:rPr>
          <w:rFonts w:ascii="Times New Roman" w:hAnsi="Times New Roman" w:cs="Times New Roman"/>
        </w:rPr>
        <w:t>D</w:t>
      </w:r>
      <w:r w:rsidRPr="00D27DAA">
        <w:rPr>
          <w:rFonts w:ascii="Times New Roman" w:hAnsi="Times New Roman" w:cs="Times New Roman"/>
        </w:rPr>
        <w:t>esign 3 has a steady amount of poisons across the core. The total amount of poisons is summarised in</w:t>
      </w:r>
      <w:r w:rsidR="00736121" w:rsidRPr="00D27DAA">
        <w:rPr>
          <w:rFonts w:ascii="Times New Roman" w:hAnsi="Times New Roman" w:cs="Times New Roman"/>
        </w:rPr>
        <w:t xml:space="preserve"> </w:t>
      </w:r>
      <w:r w:rsidR="00736121" w:rsidRPr="00D27DAA">
        <w:rPr>
          <w:rFonts w:ascii="Times New Roman" w:hAnsi="Times New Roman" w:cs="Times New Roman"/>
        </w:rPr>
        <w:fldChar w:fldCharType="begin"/>
      </w:r>
      <w:r w:rsidR="00736121" w:rsidRPr="00D27DAA">
        <w:rPr>
          <w:rFonts w:ascii="Times New Roman" w:hAnsi="Times New Roman" w:cs="Times New Roman"/>
        </w:rPr>
        <w:instrText xml:space="preserve"> REF _Ref508876249 \h </w:instrText>
      </w:r>
      <w:r w:rsidR="00BD5983" w:rsidRPr="00D27DAA">
        <w:rPr>
          <w:rFonts w:ascii="Times New Roman" w:hAnsi="Times New Roman" w:cs="Times New Roman"/>
        </w:rPr>
        <w:instrText xml:space="preserve"> \* MERGEFORMAT </w:instrText>
      </w:r>
      <w:r w:rsidR="00736121" w:rsidRPr="00D27DAA">
        <w:rPr>
          <w:rFonts w:ascii="Times New Roman" w:hAnsi="Times New Roman" w:cs="Times New Roman"/>
        </w:rPr>
      </w:r>
      <w:r w:rsidR="00736121" w:rsidRPr="00D27DAA">
        <w:rPr>
          <w:rFonts w:ascii="Times New Roman" w:hAnsi="Times New Roman" w:cs="Times New Roman"/>
        </w:rPr>
        <w:fldChar w:fldCharType="separate"/>
      </w:r>
      <w:r w:rsidR="00736121" w:rsidRPr="00D27DAA">
        <w:rPr>
          <w:rFonts w:ascii="Times New Roman" w:hAnsi="Times New Roman" w:cs="Times New Roman"/>
        </w:rPr>
        <w:t xml:space="preserve">Table </w:t>
      </w:r>
      <w:r w:rsidR="00736121" w:rsidRPr="00D27DAA">
        <w:rPr>
          <w:rFonts w:ascii="Times New Roman" w:hAnsi="Times New Roman" w:cs="Times New Roman"/>
          <w:noProof/>
        </w:rPr>
        <w:t>2</w:t>
      </w:r>
      <w:r w:rsidR="00736121" w:rsidRPr="00D27DAA">
        <w:rPr>
          <w:rFonts w:ascii="Times New Roman" w:hAnsi="Times New Roman" w:cs="Times New Roman"/>
        </w:rPr>
        <w:fldChar w:fldCharType="end"/>
      </w:r>
      <w:r w:rsidRPr="00D27DAA">
        <w:rPr>
          <w:rFonts w:ascii="Times New Roman" w:hAnsi="Times New Roman" w:cs="Times New Roman"/>
        </w:rPr>
        <w:t>.</w:t>
      </w:r>
    </w:p>
    <w:p w14:paraId="26177F78" w14:textId="11E297CA" w:rsidR="00736121" w:rsidRPr="00D27DAA" w:rsidRDefault="00736121" w:rsidP="00736121">
      <w:pPr>
        <w:pStyle w:val="Caption"/>
        <w:keepNext/>
        <w:rPr>
          <w:rFonts w:ascii="Times New Roman" w:hAnsi="Times New Roman" w:cs="Times New Roman"/>
          <w:sz w:val="22"/>
          <w:szCs w:val="22"/>
        </w:rPr>
      </w:pPr>
      <w:bookmarkStart w:id="15" w:name="_Ref508876249"/>
      <w:r w:rsidRPr="00D27DAA">
        <w:rPr>
          <w:rFonts w:ascii="Times New Roman" w:hAnsi="Times New Roman" w:cs="Times New Roman"/>
          <w:sz w:val="22"/>
          <w:szCs w:val="22"/>
        </w:rPr>
        <w:t xml:space="preserve">Table </w:t>
      </w:r>
      <w:r w:rsidR="00F71ED4" w:rsidRPr="00D27DAA">
        <w:rPr>
          <w:rFonts w:ascii="Times New Roman" w:hAnsi="Times New Roman" w:cs="Times New Roman"/>
          <w:sz w:val="22"/>
          <w:szCs w:val="22"/>
        </w:rPr>
        <w:fldChar w:fldCharType="begin"/>
      </w:r>
      <w:r w:rsidR="00F71ED4" w:rsidRPr="00D27DAA">
        <w:rPr>
          <w:rFonts w:ascii="Times New Roman" w:hAnsi="Times New Roman" w:cs="Times New Roman"/>
          <w:sz w:val="22"/>
          <w:szCs w:val="22"/>
        </w:rPr>
        <w:instrText xml:space="preserve"> SEQ Table \* ARABIC </w:instrText>
      </w:r>
      <w:r w:rsidR="00F71ED4"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2</w:t>
      </w:r>
      <w:r w:rsidR="00F71ED4" w:rsidRPr="00D27DAA">
        <w:rPr>
          <w:rFonts w:ascii="Times New Roman" w:hAnsi="Times New Roman" w:cs="Times New Roman"/>
          <w:sz w:val="22"/>
          <w:szCs w:val="22"/>
        </w:rPr>
        <w:fldChar w:fldCharType="end"/>
      </w:r>
      <w:bookmarkEnd w:id="15"/>
      <w:r w:rsidRPr="00D27DAA">
        <w:rPr>
          <w:rFonts w:ascii="Times New Roman" w:hAnsi="Times New Roman" w:cs="Times New Roman"/>
          <w:sz w:val="22"/>
          <w:szCs w:val="22"/>
        </w:rPr>
        <w:t>- Summary of the poison designs</w:t>
      </w:r>
    </w:p>
    <w:tbl>
      <w:tblPr>
        <w:tblW w:w="7460" w:type="dxa"/>
        <w:jc w:val="center"/>
        <w:tblLook w:val="04A0" w:firstRow="1" w:lastRow="0" w:firstColumn="1" w:lastColumn="0" w:noHBand="0" w:noVBand="1"/>
      </w:tblPr>
      <w:tblGrid>
        <w:gridCol w:w="2560"/>
        <w:gridCol w:w="3080"/>
        <w:gridCol w:w="1820"/>
      </w:tblGrid>
      <w:tr w:rsidR="00736121" w:rsidRPr="00D27DAA" w14:paraId="4DDBF069" w14:textId="77777777" w:rsidTr="00736121">
        <w:trPr>
          <w:trHeight w:val="330"/>
          <w:jc w:val="center"/>
        </w:trPr>
        <w:tc>
          <w:tcPr>
            <w:tcW w:w="2560" w:type="dxa"/>
            <w:tcBorders>
              <w:top w:val="nil"/>
              <w:left w:val="nil"/>
              <w:bottom w:val="double" w:sz="6" w:space="0" w:color="auto"/>
              <w:right w:val="nil"/>
            </w:tcBorders>
            <w:shd w:val="clear" w:color="auto" w:fill="auto"/>
            <w:vAlign w:val="center"/>
            <w:hideMark/>
          </w:tcPr>
          <w:p w14:paraId="2F6B8A6B" w14:textId="77777777" w:rsidR="00736121" w:rsidRPr="00D27DAA" w:rsidRDefault="00736121" w:rsidP="0073612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Design</w:t>
            </w:r>
          </w:p>
        </w:tc>
        <w:tc>
          <w:tcPr>
            <w:tcW w:w="3080" w:type="dxa"/>
            <w:tcBorders>
              <w:top w:val="nil"/>
              <w:left w:val="nil"/>
              <w:bottom w:val="double" w:sz="6" w:space="0" w:color="auto"/>
              <w:right w:val="nil"/>
            </w:tcBorders>
            <w:shd w:val="clear" w:color="auto" w:fill="auto"/>
            <w:vAlign w:val="center"/>
            <w:hideMark/>
          </w:tcPr>
          <w:p w14:paraId="4BA9FECA" w14:textId="412591DB" w:rsidR="00736121" w:rsidRPr="00D27DAA" w:rsidRDefault="00736121" w:rsidP="0073612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Volume of poisons (cm</w:t>
            </w:r>
            <w:r w:rsidRPr="00D27DAA">
              <w:rPr>
                <w:rFonts w:ascii="Times New Roman" w:eastAsia="Times New Roman" w:hAnsi="Times New Roman" w:cs="Times New Roman"/>
                <w:color w:val="000000"/>
                <w:vertAlign w:val="superscript"/>
                <w:lang w:eastAsia="en-GB"/>
              </w:rPr>
              <w:t>3</w:t>
            </w:r>
            <w:r w:rsidRPr="00D27DAA">
              <w:rPr>
                <w:rFonts w:ascii="Times New Roman" w:eastAsia="Times New Roman" w:hAnsi="Times New Roman" w:cs="Times New Roman"/>
                <w:color w:val="000000"/>
                <w:lang w:eastAsia="en-GB"/>
              </w:rPr>
              <w:t>)</w:t>
            </w:r>
          </w:p>
        </w:tc>
        <w:tc>
          <w:tcPr>
            <w:tcW w:w="1820" w:type="dxa"/>
            <w:tcBorders>
              <w:top w:val="nil"/>
              <w:left w:val="nil"/>
              <w:bottom w:val="double" w:sz="6" w:space="0" w:color="auto"/>
              <w:right w:val="nil"/>
            </w:tcBorders>
            <w:shd w:val="clear" w:color="auto" w:fill="auto"/>
            <w:vAlign w:val="center"/>
            <w:hideMark/>
          </w:tcPr>
          <w:p w14:paraId="53A07601" w14:textId="77777777" w:rsidR="00736121" w:rsidRPr="00D27DAA" w:rsidRDefault="00736121" w:rsidP="0073612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 xml:space="preserve">Initial </w:t>
            </w:r>
            <w:proofErr w:type="spellStart"/>
            <w:r w:rsidRPr="00D27DAA">
              <w:rPr>
                <w:rFonts w:ascii="Times New Roman" w:eastAsia="Times New Roman" w:hAnsi="Times New Roman" w:cs="Times New Roman"/>
                <w:color w:val="000000"/>
                <w:lang w:eastAsia="en-GB"/>
              </w:rPr>
              <w:t>K</w:t>
            </w:r>
            <w:r w:rsidRPr="00D27DAA">
              <w:rPr>
                <w:rFonts w:ascii="Times New Roman" w:eastAsia="Times New Roman" w:hAnsi="Times New Roman" w:cs="Times New Roman"/>
                <w:color w:val="000000"/>
                <w:vertAlign w:val="subscript"/>
                <w:lang w:eastAsia="en-GB"/>
              </w:rPr>
              <w:t>eff</w:t>
            </w:r>
            <w:proofErr w:type="spellEnd"/>
          </w:p>
        </w:tc>
      </w:tr>
      <w:tr w:rsidR="00736121" w:rsidRPr="00D27DAA" w14:paraId="326811D1" w14:textId="77777777" w:rsidTr="00736121">
        <w:trPr>
          <w:trHeight w:val="330"/>
          <w:jc w:val="center"/>
        </w:trPr>
        <w:tc>
          <w:tcPr>
            <w:tcW w:w="2560" w:type="dxa"/>
            <w:tcBorders>
              <w:top w:val="nil"/>
              <w:left w:val="nil"/>
              <w:bottom w:val="nil"/>
              <w:right w:val="nil"/>
            </w:tcBorders>
            <w:shd w:val="clear" w:color="auto" w:fill="auto"/>
            <w:vAlign w:val="center"/>
            <w:hideMark/>
          </w:tcPr>
          <w:p w14:paraId="09A2C324" w14:textId="77777777" w:rsidR="00736121" w:rsidRPr="00D27DAA" w:rsidRDefault="00736121" w:rsidP="0073612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w:t>
            </w:r>
          </w:p>
        </w:tc>
        <w:tc>
          <w:tcPr>
            <w:tcW w:w="3080" w:type="dxa"/>
            <w:tcBorders>
              <w:top w:val="nil"/>
              <w:left w:val="nil"/>
              <w:bottom w:val="nil"/>
              <w:right w:val="nil"/>
            </w:tcBorders>
            <w:shd w:val="clear" w:color="auto" w:fill="auto"/>
            <w:vAlign w:val="center"/>
            <w:hideMark/>
          </w:tcPr>
          <w:p w14:paraId="4424EB22" w14:textId="77777777" w:rsidR="00736121" w:rsidRPr="00D27DAA" w:rsidRDefault="00736121" w:rsidP="0073612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269</w:t>
            </w:r>
          </w:p>
        </w:tc>
        <w:tc>
          <w:tcPr>
            <w:tcW w:w="1820" w:type="dxa"/>
            <w:tcBorders>
              <w:top w:val="nil"/>
              <w:left w:val="nil"/>
              <w:bottom w:val="nil"/>
              <w:right w:val="nil"/>
            </w:tcBorders>
            <w:shd w:val="clear" w:color="auto" w:fill="auto"/>
            <w:vAlign w:val="center"/>
            <w:hideMark/>
          </w:tcPr>
          <w:p w14:paraId="575D53E3" w14:textId="77777777" w:rsidR="00736121" w:rsidRPr="00D27DAA" w:rsidRDefault="00736121" w:rsidP="0073612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1.04482</w:t>
            </w:r>
          </w:p>
        </w:tc>
      </w:tr>
      <w:tr w:rsidR="00736121" w:rsidRPr="00D27DAA" w14:paraId="150F8401" w14:textId="77777777" w:rsidTr="00736121">
        <w:trPr>
          <w:trHeight w:val="315"/>
          <w:jc w:val="center"/>
        </w:trPr>
        <w:tc>
          <w:tcPr>
            <w:tcW w:w="2560" w:type="dxa"/>
            <w:tcBorders>
              <w:top w:val="nil"/>
              <w:left w:val="nil"/>
              <w:bottom w:val="nil"/>
              <w:right w:val="nil"/>
            </w:tcBorders>
            <w:shd w:val="clear" w:color="auto" w:fill="auto"/>
            <w:vAlign w:val="center"/>
            <w:hideMark/>
          </w:tcPr>
          <w:p w14:paraId="5D805D69" w14:textId="77777777" w:rsidR="00736121" w:rsidRPr="00D27DAA" w:rsidRDefault="00736121" w:rsidP="0073612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2</w:t>
            </w:r>
          </w:p>
        </w:tc>
        <w:tc>
          <w:tcPr>
            <w:tcW w:w="3080" w:type="dxa"/>
            <w:tcBorders>
              <w:top w:val="nil"/>
              <w:left w:val="nil"/>
              <w:bottom w:val="nil"/>
              <w:right w:val="nil"/>
            </w:tcBorders>
            <w:shd w:val="clear" w:color="auto" w:fill="auto"/>
            <w:vAlign w:val="center"/>
            <w:hideMark/>
          </w:tcPr>
          <w:p w14:paraId="208C60DC" w14:textId="77777777" w:rsidR="00736121" w:rsidRPr="00D27DAA" w:rsidRDefault="00736121" w:rsidP="0073612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207</w:t>
            </w:r>
          </w:p>
        </w:tc>
        <w:tc>
          <w:tcPr>
            <w:tcW w:w="1820" w:type="dxa"/>
            <w:tcBorders>
              <w:top w:val="nil"/>
              <w:left w:val="nil"/>
              <w:bottom w:val="nil"/>
              <w:right w:val="nil"/>
            </w:tcBorders>
            <w:shd w:val="clear" w:color="auto" w:fill="auto"/>
            <w:vAlign w:val="center"/>
            <w:hideMark/>
          </w:tcPr>
          <w:p w14:paraId="446C97FC" w14:textId="77777777" w:rsidR="00736121" w:rsidRPr="00D27DAA" w:rsidRDefault="00736121" w:rsidP="0073612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1.05137</w:t>
            </w:r>
          </w:p>
        </w:tc>
      </w:tr>
      <w:tr w:rsidR="00736121" w:rsidRPr="00D27DAA" w14:paraId="14A7D2B8" w14:textId="77777777" w:rsidTr="00736121">
        <w:trPr>
          <w:trHeight w:val="315"/>
          <w:jc w:val="center"/>
        </w:trPr>
        <w:tc>
          <w:tcPr>
            <w:tcW w:w="2560" w:type="dxa"/>
            <w:tcBorders>
              <w:top w:val="nil"/>
              <w:left w:val="nil"/>
              <w:bottom w:val="nil"/>
              <w:right w:val="nil"/>
            </w:tcBorders>
            <w:shd w:val="clear" w:color="auto" w:fill="auto"/>
            <w:vAlign w:val="center"/>
            <w:hideMark/>
          </w:tcPr>
          <w:p w14:paraId="0F47CB98" w14:textId="77777777" w:rsidR="00736121" w:rsidRPr="00D27DAA" w:rsidRDefault="00736121" w:rsidP="0073612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3</w:t>
            </w:r>
          </w:p>
        </w:tc>
        <w:tc>
          <w:tcPr>
            <w:tcW w:w="3080" w:type="dxa"/>
            <w:tcBorders>
              <w:top w:val="nil"/>
              <w:left w:val="nil"/>
              <w:bottom w:val="nil"/>
              <w:right w:val="nil"/>
            </w:tcBorders>
            <w:shd w:val="clear" w:color="auto" w:fill="auto"/>
            <w:vAlign w:val="center"/>
            <w:hideMark/>
          </w:tcPr>
          <w:p w14:paraId="505A46A8" w14:textId="77777777" w:rsidR="00736121" w:rsidRPr="00D27DAA" w:rsidRDefault="00736121" w:rsidP="0073612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348</w:t>
            </w:r>
          </w:p>
        </w:tc>
        <w:tc>
          <w:tcPr>
            <w:tcW w:w="1820" w:type="dxa"/>
            <w:tcBorders>
              <w:top w:val="nil"/>
              <w:left w:val="nil"/>
              <w:bottom w:val="nil"/>
              <w:right w:val="nil"/>
            </w:tcBorders>
            <w:shd w:val="clear" w:color="auto" w:fill="auto"/>
            <w:vAlign w:val="center"/>
            <w:hideMark/>
          </w:tcPr>
          <w:p w14:paraId="32557CF7" w14:textId="77777777" w:rsidR="00736121" w:rsidRPr="00D27DAA" w:rsidRDefault="00736121" w:rsidP="00736121">
            <w:pPr>
              <w:suppressAutoHyphens w:val="0"/>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1.04933</w:t>
            </w:r>
          </w:p>
        </w:tc>
      </w:tr>
    </w:tbl>
    <w:p w14:paraId="5546B3E9" w14:textId="77777777" w:rsidR="00A03F2A" w:rsidRPr="00D27DAA" w:rsidRDefault="00A03F2A" w:rsidP="00E73173">
      <w:pPr>
        <w:pStyle w:val="NoSpacing"/>
        <w:spacing w:line="480" w:lineRule="auto"/>
        <w:rPr>
          <w:rFonts w:cs="Times New Roman"/>
          <w:sz w:val="22"/>
        </w:rPr>
      </w:pPr>
    </w:p>
    <w:p w14:paraId="70EC21CA" w14:textId="3E9CD80C" w:rsidR="00E73173" w:rsidRPr="00D27DAA" w:rsidRDefault="00E73173" w:rsidP="00E73173">
      <w:pPr>
        <w:pStyle w:val="NoSpacing"/>
        <w:spacing w:line="480" w:lineRule="auto"/>
        <w:rPr>
          <w:rFonts w:cs="Times New Roman"/>
          <w:sz w:val="22"/>
        </w:rPr>
      </w:pPr>
      <w:r w:rsidRPr="00D27DAA">
        <w:rPr>
          <w:rFonts w:cs="Times New Roman"/>
          <w:sz w:val="22"/>
        </w:rPr>
        <w:t>From</w:t>
      </w:r>
      <w:r w:rsidR="00736121" w:rsidRPr="00D27DAA">
        <w:rPr>
          <w:rFonts w:cs="Times New Roman"/>
          <w:sz w:val="22"/>
        </w:rPr>
        <w:t xml:space="preserve"> </w:t>
      </w:r>
      <w:r w:rsidR="00736121" w:rsidRPr="00D27DAA">
        <w:rPr>
          <w:rFonts w:cs="Times New Roman"/>
          <w:sz w:val="22"/>
        </w:rPr>
        <w:fldChar w:fldCharType="begin"/>
      </w:r>
      <w:r w:rsidR="00736121" w:rsidRPr="00D27DAA">
        <w:rPr>
          <w:rFonts w:cs="Times New Roman"/>
          <w:sz w:val="22"/>
        </w:rPr>
        <w:instrText xml:space="preserve"> REF _Ref508876249 \h  \* MERGEFORMAT </w:instrText>
      </w:r>
      <w:r w:rsidR="00736121" w:rsidRPr="00D27DAA">
        <w:rPr>
          <w:rFonts w:cs="Times New Roman"/>
          <w:sz w:val="22"/>
        </w:rPr>
      </w:r>
      <w:r w:rsidR="00736121" w:rsidRPr="00D27DAA">
        <w:rPr>
          <w:rFonts w:cs="Times New Roman"/>
          <w:sz w:val="22"/>
        </w:rPr>
        <w:fldChar w:fldCharType="separate"/>
      </w:r>
      <w:r w:rsidR="00736121" w:rsidRPr="00D27DAA">
        <w:rPr>
          <w:rFonts w:cs="Times New Roman"/>
          <w:sz w:val="22"/>
        </w:rPr>
        <w:t xml:space="preserve">Table </w:t>
      </w:r>
      <w:r w:rsidR="00736121" w:rsidRPr="00D27DAA">
        <w:rPr>
          <w:rFonts w:cs="Times New Roman"/>
          <w:noProof/>
          <w:sz w:val="22"/>
        </w:rPr>
        <w:t>2</w:t>
      </w:r>
      <w:r w:rsidR="00736121" w:rsidRPr="00D27DAA">
        <w:rPr>
          <w:rFonts w:cs="Times New Roman"/>
          <w:sz w:val="22"/>
        </w:rPr>
        <w:fldChar w:fldCharType="end"/>
      </w:r>
      <w:r w:rsidRPr="00D27DAA">
        <w:rPr>
          <w:rFonts w:cs="Times New Roman"/>
          <w:sz w:val="22"/>
        </w:rPr>
        <w:t xml:space="preserve">, it is clear to see that the overall poison volume does not necessarily dictate the starting </w:t>
      </w:r>
      <w:proofErr w:type="spellStart"/>
      <w:r w:rsidR="00A03F2A" w:rsidRPr="00D27DAA">
        <w:rPr>
          <w:rFonts w:cs="Times New Roman"/>
        </w:rPr>
        <w:t>K</w:t>
      </w:r>
      <w:r w:rsidR="00A03F2A" w:rsidRPr="00D27DAA">
        <w:rPr>
          <w:rFonts w:cs="Times New Roman"/>
          <w:vertAlign w:val="subscript"/>
        </w:rPr>
        <w:t>eff</w:t>
      </w:r>
      <w:proofErr w:type="spellEnd"/>
      <w:r w:rsidRPr="00D27DAA">
        <w:rPr>
          <w:rFonts w:cs="Times New Roman"/>
          <w:sz w:val="22"/>
        </w:rPr>
        <w:t xml:space="preserve">. This is due to the positioning of the poisons, where </w:t>
      </w:r>
      <w:r w:rsidR="00F12609" w:rsidRPr="00D27DAA">
        <w:rPr>
          <w:rFonts w:cs="Times New Roman"/>
          <w:sz w:val="22"/>
        </w:rPr>
        <w:t>D</w:t>
      </w:r>
      <w:r w:rsidRPr="00D27DAA">
        <w:rPr>
          <w:rFonts w:cs="Times New Roman"/>
          <w:sz w:val="22"/>
        </w:rPr>
        <w:t xml:space="preserve">esign 3 does not heavily load </w:t>
      </w:r>
      <w:r w:rsidR="00736121" w:rsidRPr="00D27DAA">
        <w:rPr>
          <w:rFonts w:cs="Times New Roman"/>
          <w:sz w:val="22"/>
        </w:rPr>
        <w:t>any</w:t>
      </w:r>
      <w:r w:rsidRPr="00D27DAA">
        <w:rPr>
          <w:rFonts w:cs="Times New Roman"/>
          <w:sz w:val="22"/>
        </w:rPr>
        <w:t xml:space="preserve"> </w:t>
      </w:r>
      <w:r w:rsidR="00E91C39" w:rsidRPr="00D27DAA">
        <w:rPr>
          <w:rFonts w:cs="Times New Roman"/>
          <w:sz w:val="22"/>
        </w:rPr>
        <w:t>section</w:t>
      </w:r>
      <w:r w:rsidRPr="00D27DAA">
        <w:rPr>
          <w:rFonts w:cs="Times New Roman"/>
          <w:sz w:val="22"/>
        </w:rPr>
        <w:t xml:space="preserve"> with poisons as they are spready out quite evenly across the centre of the core. </w:t>
      </w:r>
    </w:p>
    <w:p w14:paraId="156E78C5" w14:textId="461FB303" w:rsidR="00E73173" w:rsidRPr="00D27DAA" w:rsidRDefault="00681B2E" w:rsidP="00221719">
      <w:pPr>
        <w:rPr>
          <w:rFonts w:ascii="Times New Roman" w:hAnsi="Times New Roman" w:cs="Times New Roman"/>
        </w:rPr>
      </w:pPr>
      <w:r w:rsidRPr="00D27DAA">
        <w:rPr>
          <w:rFonts w:ascii="Times New Roman" w:hAnsi="Times New Roman" w:cs="Times New Roman"/>
        </w:rPr>
        <w:t xml:space="preserve">Following the initial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D132D5" w:rsidRPr="00D27DAA">
        <w:rPr>
          <w:rFonts w:ascii="Times New Roman" w:hAnsi="Times New Roman" w:cs="Times New Roman"/>
        </w:rPr>
        <w:t>,</w:t>
      </w:r>
      <w:r w:rsidRPr="00D27DAA">
        <w:rPr>
          <w:rFonts w:ascii="Times New Roman" w:hAnsi="Times New Roman" w:cs="Times New Roman"/>
        </w:rPr>
        <w:t xml:space="preserve"> the FBPs are then burnt at 10MWth to determine the overall lifetime of the reactor at this point.</w:t>
      </w:r>
    </w:p>
    <w:p w14:paraId="7D25245B" w14:textId="25C0EDC9" w:rsidR="003237A3" w:rsidRPr="00D27DAA" w:rsidRDefault="004E2920" w:rsidP="003A1E0E">
      <w:pPr>
        <w:pStyle w:val="Heading1"/>
        <w:rPr>
          <w:rFonts w:ascii="Times New Roman" w:hAnsi="Times New Roman" w:cs="Times New Roman"/>
          <w:sz w:val="22"/>
          <w:szCs w:val="22"/>
        </w:rPr>
      </w:pPr>
      <w:r w:rsidRPr="00D27DAA">
        <w:rPr>
          <w:rFonts w:ascii="Times New Roman" w:hAnsi="Times New Roman" w:cs="Times New Roman"/>
          <w:sz w:val="22"/>
          <w:szCs w:val="22"/>
        </w:rPr>
        <w:t xml:space="preserve">Results and discussion </w:t>
      </w:r>
    </w:p>
    <w:p w14:paraId="756F0DBC" w14:textId="26FD4259" w:rsidR="00790421" w:rsidRPr="00D27DAA" w:rsidRDefault="00681B2E" w:rsidP="00790421">
      <w:pPr>
        <w:rPr>
          <w:rFonts w:ascii="Times New Roman" w:hAnsi="Times New Roman" w:cs="Times New Roman"/>
        </w:rPr>
      </w:pPr>
      <w:r w:rsidRPr="00D27DAA">
        <w:rPr>
          <w:rFonts w:ascii="Times New Roman" w:hAnsi="Times New Roman" w:cs="Times New Roman"/>
        </w:rPr>
        <w:t xml:space="preserve">The initial test is to determine the FBPs behaviour over time. This was done by burning the reactor for </w:t>
      </w:r>
      <w:r w:rsidR="007B65CC" w:rsidRPr="00D27DAA">
        <w:rPr>
          <w:rFonts w:ascii="Times New Roman" w:hAnsi="Times New Roman" w:cs="Times New Roman"/>
        </w:rPr>
        <w:t>1000 days</w:t>
      </w:r>
      <w:r w:rsidRPr="00D27DAA">
        <w:rPr>
          <w:rFonts w:ascii="Times New Roman" w:hAnsi="Times New Roman" w:cs="Times New Roman"/>
        </w:rPr>
        <w:t xml:space="preserve"> with the poisons. </w:t>
      </w:r>
    </w:p>
    <w:p w14:paraId="18B40529" w14:textId="6A593189" w:rsidR="00736121" w:rsidRPr="00D27DAA" w:rsidRDefault="00D55532" w:rsidP="00736121">
      <w:pPr>
        <w:keepNext/>
        <w:rPr>
          <w:rFonts w:ascii="Times New Roman" w:hAnsi="Times New Roman" w:cs="Times New Roman"/>
        </w:rPr>
      </w:pPr>
      <w:r w:rsidRPr="00D27DAA">
        <w:rPr>
          <w:noProof/>
        </w:rPr>
        <w:drawing>
          <wp:inline distT="0" distB="0" distL="0" distR="0" wp14:anchorId="1E841588" wp14:editId="4228115E">
            <wp:extent cx="5727700" cy="232664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2326640"/>
                    </a:xfrm>
                    <a:prstGeom prst="rect">
                      <a:avLst/>
                    </a:prstGeom>
                    <a:noFill/>
                    <a:ln>
                      <a:noFill/>
                    </a:ln>
                  </pic:spPr>
                </pic:pic>
              </a:graphicData>
            </a:graphic>
          </wp:inline>
        </w:drawing>
      </w:r>
    </w:p>
    <w:p w14:paraId="288F683C" w14:textId="042F7204" w:rsidR="00681B2E" w:rsidRPr="00D27DAA" w:rsidRDefault="00736121" w:rsidP="00736121">
      <w:pPr>
        <w:pStyle w:val="Caption"/>
        <w:jc w:val="center"/>
        <w:rPr>
          <w:rFonts w:ascii="Times New Roman" w:hAnsi="Times New Roman" w:cs="Times New Roman"/>
          <w:sz w:val="22"/>
          <w:szCs w:val="22"/>
        </w:rPr>
      </w:pPr>
      <w:bookmarkStart w:id="16" w:name="_Ref508876807"/>
      <w:r w:rsidRPr="00D27DAA">
        <w:rPr>
          <w:rFonts w:ascii="Times New Roman" w:hAnsi="Times New Roman" w:cs="Times New Roman"/>
          <w:sz w:val="22"/>
          <w:szCs w:val="22"/>
        </w:rPr>
        <w:t xml:space="preserve">Figure </w:t>
      </w:r>
      <w:r w:rsidR="00D1788F" w:rsidRPr="00D27DAA">
        <w:rPr>
          <w:rFonts w:ascii="Times New Roman" w:hAnsi="Times New Roman" w:cs="Times New Roman"/>
          <w:sz w:val="22"/>
          <w:szCs w:val="22"/>
        </w:rPr>
        <w:fldChar w:fldCharType="begin"/>
      </w:r>
      <w:r w:rsidR="00D1788F" w:rsidRPr="00D27DAA">
        <w:rPr>
          <w:rFonts w:ascii="Times New Roman" w:hAnsi="Times New Roman" w:cs="Times New Roman"/>
          <w:sz w:val="22"/>
          <w:szCs w:val="22"/>
        </w:rPr>
        <w:instrText xml:space="preserve"> SEQ Figure \* ARABIC </w:instrText>
      </w:r>
      <w:r w:rsidR="00D1788F"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10</w:t>
      </w:r>
      <w:r w:rsidR="00D1788F" w:rsidRPr="00D27DAA">
        <w:rPr>
          <w:rFonts w:ascii="Times New Roman" w:hAnsi="Times New Roman" w:cs="Times New Roman"/>
          <w:noProof/>
          <w:sz w:val="22"/>
          <w:szCs w:val="22"/>
        </w:rPr>
        <w:fldChar w:fldCharType="end"/>
      </w:r>
      <w:bookmarkEnd w:id="16"/>
      <w:r w:rsidRPr="00D27DAA">
        <w:rPr>
          <w:rFonts w:ascii="Times New Roman" w:hAnsi="Times New Roman" w:cs="Times New Roman"/>
          <w:sz w:val="22"/>
          <w:szCs w:val="22"/>
        </w:rPr>
        <w:t xml:space="preserve">-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sz w:val="22"/>
          <w:szCs w:val="22"/>
        </w:rPr>
        <w:t xml:space="preserve"> </w:t>
      </w:r>
      <w:r w:rsidRPr="00D27DAA">
        <w:rPr>
          <w:rFonts w:ascii="Times New Roman" w:hAnsi="Times New Roman" w:cs="Times New Roman"/>
          <w:sz w:val="22"/>
          <w:szCs w:val="22"/>
        </w:rPr>
        <w:t>burnup of the three poison designs</w:t>
      </w:r>
      <w:r w:rsidR="00E340D7" w:rsidRPr="00D27DAA">
        <w:rPr>
          <w:rFonts w:ascii="Times New Roman" w:hAnsi="Times New Roman" w:cs="Times New Roman"/>
          <w:sz w:val="22"/>
          <w:szCs w:val="22"/>
        </w:rPr>
        <w:t xml:space="preserve"> </w:t>
      </w:r>
    </w:p>
    <w:p w14:paraId="6F2EAE67" w14:textId="69CEDE9A" w:rsidR="00655F77" w:rsidRPr="00D27DAA" w:rsidRDefault="00736121" w:rsidP="007D66A2">
      <w:pPr>
        <w:rPr>
          <w:rFonts w:ascii="Times New Roman" w:hAnsi="Times New Roman" w:cs="Times New Roman"/>
        </w:rPr>
      </w:pPr>
      <w:r w:rsidRPr="00D27DAA">
        <w:rPr>
          <w:rFonts w:ascii="Times New Roman" w:hAnsi="Times New Roman" w:cs="Times New Roman"/>
        </w:rPr>
        <w:lastRenderedPageBreak/>
        <w:t xml:space="preserve">Comparing the base </w:t>
      </w:r>
      <w:r w:rsidR="00A07131" w:rsidRPr="00D27DAA">
        <w:rPr>
          <w:rFonts w:ascii="Times New Roman" w:hAnsi="Times New Roman" w:cs="Times New Roman"/>
        </w:rPr>
        <w:t>model’s</w:t>
      </w:r>
      <w:r w:rsidRPr="00D27DAA">
        <w:rPr>
          <w:rFonts w:ascii="Times New Roman" w:hAnsi="Times New Roman" w:cs="Times New Roman"/>
        </w:rPr>
        <w:t xml:space="preserve">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Pr="00D27DAA">
        <w:rPr>
          <w:rFonts w:ascii="Times New Roman" w:hAnsi="Times New Roman" w:cs="Times New Roman"/>
        </w:rPr>
        <w:t xml:space="preserve">to that of the initial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Pr="00D27DAA">
        <w:rPr>
          <w:rFonts w:ascii="Times New Roman" w:hAnsi="Times New Roman" w:cs="Times New Roman"/>
        </w:rPr>
        <w:t xml:space="preserve">, the three poison designs all easily achieved the large </w:t>
      </w:r>
      <w:r w:rsidR="00E91C39" w:rsidRPr="00D27DAA">
        <w:rPr>
          <w:rFonts w:ascii="Times New Roman" w:hAnsi="Times New Roman" w:cs="Times New Roman"/>
        </w:rPr>
        <w:t xml:space="preserve">reactivity reduction </w:t>
      </w:r>
      <w:r w:rsidR="007D66A2" w:rsidRPr="00D27DAA">
        <w:rPr>
          <w:rFonts w:ascii="Times New Roman" w:hAnsi="Times New Roman" w:cs="Times New Roman"/>
        </w:rPr>
        <w:t>required.</w:t>
      </w:r>
      <w:r w:rsidR="00E340D7" w:rsidRPr="00D27DAA">
        <w:rPr>
          <w:rFonts w:ascii="Times New Roman" w:hAnsi="Times New Roman" w:cs="Times New Roman"/>
        </w:rPr>
        <w:t xml:space="preserve"> However, t</w:t>
      </w:r>
      <w:r w:rsidR="00655F77" w:rsidRPr="00D27DAA">
        <w:rPr>
          <w:rFonts w:ascii="Times New Roman" w:hAnsi="Times New Roman" w:cs="Times New Roman"/>
        </w:rPr>
        <w:t>he wors</w:t>
      </w:r>
      <w:r w:rsidR="00E340D7" w:rsidRPr="00D27DAA">
        <w:rPr>
          <w:rFonts w:ascii="Times New Roman" w:hAnsi="Times New Roman" w:cs="Times New Roman"/>
        </w:rPr>
        <w:t>t</w:t>
      </w:r>
      <w:r w:rsidR="00655F77" w:rsidRPr="00D27DAA">
        <w:rPr>
          <w:rFonts w:ascii="Times New Roman" w:hAnsi="Times New Roman" w:cs="Times New Roman"/>
        </w:rPr>
        <w:t xml:space="preserve"> performer was </w:t>
      </w:r>
      <w:r w:rsidR="00F12609" w:rsidRPr="00D27DAA">
        <w:rPr>
          <w:rFonts w:ascii="Times New Roman" w:hAnsi="Times New Roman" w:cs="Times New Roman"/>
        </w:rPr>
        <w:t>D</w:t>
      </w:r>
      <w:r w:rsidR="007D66A2" w:rsidRPr="00D27DAA">
        <w:rPr>
          <w:rFonts w:ascii="Times New Roman" w:hAnsi="Times New Roman" w:cs="Times New Roman"/>
        </w:rPr>
        <w:t>esign 3</w:t>
      </w:r>
      <w:r w:rsidR="00E340D7" w:rsidRPr="00D27DAA">
        <w:rPr>
          <w:rFonts w:ascii="Times New Roman" w:hAnsi="Times New Roman" w:cs="Times New Roman"/>
        </w:rPr>
        <w:t xml:space="preserve"> where the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00E340D7" w:rsidRPr="00D27DAA">
        <w:rPr>
          <w:rFonts w:ascii="Times New Roman" w:hAnsi="Times New Roman" w:cs="Times New Roman"/>
        </w:rPr>
        <w:t>didn’t recover, obviously due to the too high poison loading</w:t>
      </w:r>
      <w:r w:rsidR="00E91C39" w:rsidRPr="00D27DAA">
        <w:rPr>
          <w:rFonts w:ascii="Times New Roman" w:hAnsi="Times New Roman" w:cs="Times New Roman"/>
        </w:rPr>
        <w:t>.</w:t>
      </w:r>
      <w:r w:rsidR="007D66A2" w:rsidRPr="00D27DAA">
        <w:rPr>
          <w:rFonts w:ascii="Times New Roman" w:hAnsi="Times New Roman" w:cs="Times New Roman"/>
        </w:rPr>
        <w:t xml:space="preserve"> Designs 1 and 2</w:t>
      </w:r>
      <w:r w:rsidR="00E86A94" w:rsidRPr="00D27DAA">
        <w:rPr>
          <w:rFonts w:ascii="Times New Roman" w:hAnsi="Times New Roman" w:cs="Times New Roman"/>
        </w:rPr>
        <w:t xml:space="preserve"> both saw a dip in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E86A94" w:rsidRPr="00D27DAA">
        <w:rPr>
          <w:rFonts w:ascii="Times New Roman" w:hAnsi="Times New Roman" w:cs="Times New Roman"/>
        </w:rPr>
        <w:t xml:space="preserve">, in the case of </w:t>
      </w:r>
      <w:r w:rsidR="00F12609" w:rsidRPr="00D27DAA">
        <w:rPr>
          <w:rFonts w:ascii="Times New Roman" w:hAnsi="Times New Roman" w:cs="Times New Roman"/>
        </w:rPr>
        <w:t>D</w:t>
      </w:r>
      <w:r w:rsidR="007D66A2" w:rsidRPr="00D27DAA">
        <w:rPr>
          <w:rFonts w:ascii="Times New Roman" w:hAnsi="Times New Roman" w:cs="Times New Roman"/>
        </w:rPr>
        <w:t>esign 2</w:t>
      </w:r>
      <w:r w:rsidR="00E86A94" w:rsidRPr="00D27DAA">
        <w:rPr>
          <w:rFonts w:ascii="Times New Roman" w:hAnsi="Times New Roman" w:cs="Times New Roman"/>
        </w:rPr>
        <w:t xml:space="preserve"> the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00E86A94" w:rsidRPr="00D27DAA">
        <w:rPr>
          <w:rFonts w:ascii="Times New Roman" w:hAnsi="Times New Roman" w:cs="Times New Roman"/>
        </w:rPr>
        <w:t xml:space="preserve">is higher between days 100-600, implying this would require a larger amount of work with the control rods to reduce the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00E86A94" w:rsidRPr="00D27DAA">
        <w:rPr>
          <w:rFonts w:ascii="Times New Roman" w:hAnsi="Times New Roman" w:cs="Times New Roman"/>
        </w:rPr>
        <w:t xml:space="preserve">to unity. </w:t>
      </w:r>
      <w:r w:rsidR="007D66A2" w:rsidRPr="00D27DAA">
        <w:rPr>
          <w:rFonts w:ascii="Times New Roman" w:hAnsi="Times New Roman" w:cs="Times New Roman"/>
        </w:rPr>
        <w:t xml:space="preserve">For this </w:t>
      </w:r>
      <w:r w:rsidR="00302E63" w:rsidRPr="00D27DAA">
        <w:rPr>
          <w:rFonts w:ascii="Times New Roman" w:hAnsi="Times New Roman" w:cs="Times New Roman"/>
        </w:rPr>
        <w:t>reason,</w:t>
      </w:r>
      <w:r w:rsidR="007D66A2" w:rsidRPr="00D27DAA">
        <w:rPr>
          <w:rFonts w:ascii="Times New Roman" w:hAnsi="Times New Roman" w:cs="Times New Roman"/>
        </w:rPr>
        <w:t xml:space="preserve"> the most appropriate design to continue with is </w:t>
      </w:r>
      <w:r w:rsidR="00F12609" w:rsidRPr="00D27DAA">
        <w:rPr>
          <w:rFonts w:ascii="Times New Roman" w:hAnsi="Times New Roman" w:cs="Times New Roman"/>
        </w:rPr>
        <w:t>D</w:t>
      </w:r>
      <w:r w:rsidR="007D66A2" w:rsidRPr="00D27DAA">
        <w:rPr>
          <w:rFonts w:ascii="Times New Roman" w:hAnsi="Times New Roman" w:cs="Times New Roman"/>
        </w:rPr>
        <w:t xml:space="preserve">esign 1. </w:t>
      </w:r>
    </w:p>
    <w:p w14:paraId="2E54118C" w14:textId="3C9E4D59" w:rsidR="00E86A94" w:rsidRPr="00D27DAA" w:rsidRDefault="00E86A94" w:rsidP="00655F77">
      <w:pPr>
        <w:rPr>
          <w:rFonts w:ascii="Times New Roman" w:hAnsi="Times New Roman" w:cs="Times New Roman"/>
        </w:rPr>
      </w:pPr>
      <w:r w:rsidRPr="00D27DAA">
        <w:rPr>
          <w:rFonts w:ascii="Times New Roman" w:hAnsi="Times New Roman" w:cs="Times New Roman"/>
        </w:rPr>
        <w:t xml:space="preserve">One worrying trend with </w:t>
      </w:r>
      <w:r w:rsidR="007D66A2" w:rsidRPr="00D27DAA">
        <w:rPr>
          <w:rFonts w:ascii="Times New Roman" w:hAnsi="Times New Roman" w:cs="Times New Roman"/>
        </w:rPr>
        <w:fldChar w:fldCharType="begin"/>
      </w:r>
      <w:r w:rsidR="007D66A2" w:rsidRPr="00D27DAA">
        <w:rPr>
          <w:rFonts w:ascii="Times New Roman" w:hAnsi="Times New Roman" w:cs="Times New Roman"/>
        </w:rPr>
        <w:instrText xml:space="preserve"> REF _Ref508876807 \h </w:instrText>
      </w:r>
      <w:r w:rsidR="00BD5983" w:rsidRPr="00D27DAA">
        <w:rPr>
          <w:rFonts w:ascii="Times New Roman" w:hAnsi="Times New Roman" w:cs="Times New Roman"/>
        </w:rPr>
        <w:instrText xml:space="preserve"> \* MERGEFORMAT </w:instrText>
      </w:r>
      <w:r w:rsidR="007D66A2" w:rsidRPr="00D27DAA">
        <w:rPr>
          <w:rFonts w:ascii="Times New Roman" w:hAnsi="Times New Roman" w:cs="Times New Roman"/>
        </w:rPr>
      </w:r>
      <w:r w:rsidR="007D66A2" w:rsidRPr="00D27DAA">
        <w:rPr>
          <w:rFonts w:ascii="Times New Roman" w:hAnsi="Times New Roman" w:cs="Times New Roman"/>
        </w:rPr>
        <w:fldChar w:fldCharType="separate"/>
      </w:r>
      <w:r w:rsidR="007D66A2" w:rsidRPr="00D27DAA">
        <w:rPr>
          <w:rFonts w:ascii="Times New Roman" w:hAnsi="Times New Roman" w:cs="Times New Roman"/>
        </w:rPr>
        <w:t xml:space="preserve">Figure </w:t>
      </w:r>
      <w:r w:rsidR="007D66A2" w:rsidRPr="00D27DAA">
        <w:rPr>
          <w:rFonts w:ascii="Times New Roman" w:hAnsi="Times New Roman" w:cs="Times New Roman"/>
          <w:noProof/>
        </w:rPr>
        <w:t>10</w:t>
      </w:r>
      <w:r w:rsidR="007D66A2" w:rsidRPr="00D27DAA">
        <w:rPr>
          <w:rFonts w:ascii="Times New Roman" w:hAnsi="Times New Roman" w:cs="Times New Roman"/>
        </w:rPr>
        <w:fldChar w:fldCharType="end"/>
      </w:r>
      <w:r w:rsidR="007D66A2" w:rsidRPr="00D27DAA">
        <w:rPr>
          <w:rFonts w:ascii="Times New Roman" w:hAnsi="Times New Roman" w:cs="Times New Roman"/>
        </w:rPr>
        <w:t xml:space="preserve"> </w:t>
      </w:r>
      <w:r w:rsidRPr="00D27DAA">
        <w:rPr>
          <w:rFonts w:ascii="Times New Roman" w:hAnsi="Times New Roman" w:cs="Times New Roman"/>
        </w:rPr>
        <w:t xml:space="preserve">is that the peaking of the second rise </w:t>
      </w:r>
      <w:r w:rsidR="007D66A2" w:rsidRPr="00D27DAA">
        <w:rPr>
          <w:rFonts w:ascii="Times New Roman" w:hAnsi="Times New Roman" w:cs="Times New Roman"/>
        </w:rPr>
        <w:t xml:space="preserve">reaches a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007D66A2" w:rsidRPr="00D27DAA">
        <w:rPr>
          <w:rFonts w:ascii="Times New Roman" w:hAnsi="Times New Roman" w:cs="Times New Roman"/>
        </w:rPr>
        <w:t>of 1.07</w:t>
      </w:r>
      <w:r w:rsidR="00E103DF" w:rsidRPr="00D27DAA">
        <w:rPr>
          <w:rFonts w:ascii="Times New Roman" w:hAnsi="Times New Roman" w:cs="Times New Roman"/>
        </w:rPr>
        <w:t>25</w:t>
      </w:r>
      <w:r w:rsidR="007D66A2" w:rsidRPr="00D27DAA">
        <w:rPr>
          <w:rFonts w:ascii="Times New Roman" w:hAnsi="Times New Roman" w:cs="Times New Roman"/>
        </w:rPr>
        <w:t xml:space="preserve"> at </w:t>
      </w:r>
      <w:r w:rsidR="00302E63" w:rsidRPr="00D27DAA">
        <w:rPr>
          <w:rFonts w:ascii="Times New Roman" w:hAnsi="Times New Roman" w:cs="Times New Roman"/>
        </w:rPr>
        <w:t>~</w:t>
      </w:r>
      <w:r w:rsidR="007D66A2" w:rsidRPr="00D27DAA">
        <w:rPr>
          <w:rFonts w:ascii="Times New Roman" w:hAnsi="Times New Roman" w:cs="Times New Roman"/>
        </w:rPr>
        <w:t xml:space="preserve">700 days and this </w:t>
      </w:r>
      <w:r w:rsidRPr="00D27DAA">
        <w:rPr>
          <w:rFonts w:ascii="Times New Roman" w:hAnsi="Times New Roman" w:cs="Times New Roman"/>
        </w:rPr>
        <w:t xml:space="preserve">is larger than that of the initial </w:t>
      </w:r>
      <w:r w:rsidR="00F11153" w:rsidRPr="00D27DAA">
        <w:rPr>
          <w:rFonts w:ascii="Times New Roman" w:hAnsi="Times New Roman" w:cs="Times New Roman"/>
        </w:rPr>
        <w:t>1.05 starting target</w:t>
      </w:r>
      <w:r w:rsidRPr="00D27DAA">
        <w:rPr>
          <w:rFonts w:ascii="Times New Roman" w:hAnsi="Times New Roman" w:cs="Times New Roman"/>
        </w:rPr>
        <w:t xml:space="preserve">. The reason for this is that the poisons are </w:t>
      </w:r>
      <w:r w:rsidR="00302E63" w:rsidRPr="00D27DAA">
        <w:rPr>
          <w:rFonts w:ascii="Times New Roman" w:hAnsi="Times New Roman" w:cs="Times New Roman"/>
        </w:rPr>
        <w:t>being burnt</w:t>
      </w:r>
      <w:r w:rsidRPr="00D27DAA">
        <w:rPr>
          <w:rFonts w:ascii="Times New Roman" w:hAnsi="Times New Roman" w:cs="Times New Roman"/>
        </w:rPr>
        <w:t xml:space="preserve"> up too quickly. To </w:t>
      </w:r>
      <w:r w:rsidR="00F11153" w:rsidRPr="00D27DAA">
        <w:rPr>
          <w:rFonts w:ascii="Times New Roman" w:hAnsi="Times New Roman" w:cs="Times New Roman"/>
        </w:rPr>
        <w:t xml:space="preserve">remedy this, the use of small 0.4 cm rods of 20 cm height </w:t>
      </w:r>
      <w:r w:rsidR="005B4DF0" w:rsidRPr="00D27DAA">
        <w:rPr>
          <w:rFonts w:ascii="Times New Roman" w:hAnsi="Times New Roman" w:cs="Times New Roman"/>
        </w:rPr>
        <w:t>is</w:t>
      </w:r>
      <w:r w:rsidR="00F11153" w:rsidRPr="00D27DAA">
        <w:rPr>
          <w:rFonts w:ascii="Times New Roman" w:hAnsi="Times New Roman" w:cs="Times New Roman"/>
        </w:rPr>
        <w:t xml:space="preserve"> placed within the centre of some fuel columns of </w:t>
      </w:r>
      <w:r w:rsidR="00F12609" w:rsidRPr="00D27DAA">
        <w:rPr>
          <w:rFonts w:ascii="Times New Roman" w:hAnsi="Times New Roman" w:cs="Times New Roman"/>
        </w:rPr>
        <w:t>D</w:t>
      </w:r>
      <w:r w:rsidR="007D66A2" w:rsidRPr="00D27DAA">
        <w:rPr>
          <w:rFonts w:ascii="Times New Roman" w:hAnsi="Times New Roman" w:cs="Times New Roman"/>
        </w:rPr>
        <w:t>esign 1</w:t>
      </w:r>
      <w:r w:rsidR="00F11153" w:rsidRPr="00D27DAA">
        <w:rPr>
          <w:rFonts w:ascii="Times New Roman" w:hAnsi="Times New Roman" w:cs="Times New Roman"/>
        </w:rPr>
        <w:t xml:space="preserve">. The positioning of these rods models </w:t>
      </w:r>
      <w:r w:rsidR="00280237" w:rsidRPr="00D27DAA">
        <w:rPr>
          <w:rFonts w:ascii="Times New Roman" w:hAnsi="Times New Roman" w:cs="Times New Roman"/>
        </w:rPr>
        <w:t>is</w:t>
      </w:r>
      <w:r w:rsidR="00F11153" w:rsidRPr="00D27DAA">
        <w:rPr>
          <w:rFonts w:ascii="Times New Roman" w:hAnsi="Times New Roman" w:cs="Times New Roman"/>
        </w:rPr>
        <w:t xml:space="preserve"> shown in</w:t>
      </w:r>
      <w:r w:rsidR="00302E63" w:rsidRPr="00D27DAA">
        <w:rPr>
          <w:rFonts w:ascii="Times New Roman" w:hAnsi="Times New Roman" w:cs="Times New Roman"/>
        </w:rPr>
        <w:t xml:space="preserve"> </w:t>
      </w:r>
      <w:r w:rsidR="00302E63" w:rsidRPr="00D27DAA">
        <w:rPr>
          <w:rFonts w:ascii="Times New Roman" w:hAnsi="Times New Roman" w:cs="Times New Roman"/>
        </w:rPr>
        <w:fldChar w:fldCharType="begin"/>
      </w:r>
      <w:r w:rsidR="00302E63" w:rsidRPr="00D27DAA">
        <w:rPr>
          <w:rFonts w:ascii="Times New Roman" w:hAnsi="Times New Roman" w:cs="Times New Roman"/>
        </w:rPr>
        <w:instrText xml:space="preserve"> REF _Ref509224240 \h </w:instrText>
      </w:r>
      <w:r w:rsidR="00BD5983" w:rsidRPr="00D27DAA">
        <w:rPr>
          <w:rFonts w:ascii="Times New Roman" w:hAnsi="Times New Roman" w:cs="Times New Roman"/>
        </w:rPr>
        <w:instrText xml:space="preserve"> \* MERGEFORMAT </w:instrText>
      </w:r>
      <w:r w:rsidR="00302E63" w:rsidRPr="00D27DAA">
        <w:rPr>
          <w:rFonts w:ascii="Times New Roman" w:hAnsi="Times New Roman" w:cs="Times New Roman"/>
        </w:rPr>
      </w:r>
      <w:r w:rsidR="00302E63" w:rsidRPr="00D27DAA">
        <w:rPr>
          <w:rFonts w:ascii="Times New Roman" w:hAnsi="Times New Roman" w:cs="Times New Roman"/>
        </w:rPr>
        <w:fldChar w:fldCharType="separate"/>
      </w:r>
      <w:r w:rsidR="00302E63" w:rsidRPr="00D27DAA">
        <w:rPr>
          <w:rFonts w:ascii="Times New Roman" w:hAnsi="Times New Roman" w:cs="Times New Roman"/>
        </w:rPr>
        <w:t xml:space="preserve">Figure </w:t>
      </w:r>
      <w:r w:rsidR="00302E63" w:rsidRPr="00D27DAA">
        <w:rPr>
          <w:rFonts w:ascii="Times New Roman" w:hAnsi="Times New Roman" w:cs="Times New Roman"/>
          <w:noProof/>
        </w:rPr>
        <w:t>11</w:t>
      </w:r>
      <w:r w:rsidR="00302E63" w:rsidRPr="00D27DAA">
        <w:rPr>
          <w:rFonts w:ascii="Times New Roman" w:hAnsi="Times New Roman" w:cs="Times New Roman"/>
        </w:rPr>
        <w:fldChar w:fldCharType="end"/>
      </w:r>
      <w:r w:rsidR="00F11153" w:rsidRPr="00D27DAA">
        <w:rPr>
          <w:rFonts w:ascii="Times New Roman" w:hAnsi="Times New Roman" w:cs="Times New Roman"/>
        </w:rPr>
        <w:t xml:space="preserve">. </w:t>
      </w:r>
    </w:p>
    <w:p w14:paraId="07C60AAF" w14:textId="77777777" w:rsidR="00FE580E" w:rsidRPr="00D27DAA" w:rsidRDefault="00FE580E" w:rsidP="00FE580E">
      <w:pPr>
        <w:pStyle w:val="NoSpacing"/>
        <w:rPr>
          <w:rFonts w:cs="Times New Roman"/>
          <w:sz w:val="22"/>
        </w:rPr>
      </w:pPr>
    </w:p>
    <w:p w14:paraId="416AA08B" w14:textId="77777777" w:rsidR="007D66A2" w:rsidRPr="00D27DAA" w:rsidRDefault="00DF7F4F" w:rsidP="007D66A2">
      <w:pPr>
        <w:keepNext/>
        <w:rPr>
          <w:rFonts w:ascii="Times New Roman" w:hAnsi="Times New Roman" w:cs="Times New Roman"/>
        </w:rPr>
      </w:pPr>
      <w:r w:rsidRPr="00D27DAA">
        <w:rPr>
          <w:rFonts w:ascii="Times New Roman" w:hAnsi="Times New Roman" w:cs="Times New Roman"/>
          <w:noProof/>
          <w:lang w:eastAsia="en-GB"/>
        </w:rPr>
        <w:drawing>
          <wp:inline distT="0" distB="0" distL="0" distR="0" wp14:anchorId="6F7D52C3" wp14:editId="0FBDFEFF">
            <wp:extent cx="5727700" cy="240093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2400935"/>
                    </a:xfrm>
                    <a:prstGeom prst="rect">
                      <a:avLst/>
                    </a:prstGeom>
                  </pic:spPr>
                </pic:pic>
              </a:graphicData>
            </a:graphic>
          </wp:inline>
        </w:drawing>
      </w:r>
    </w:p>
    <w:p w14:paraId="32F8A45B" w14:textId="4806FDFD" w:rsidR="00FE580E" w:rsidRPr="00D27DAA" w:rsidRDefault="007D66A2" w:rsidP="007D66A2">
      <w:pPr>
        <w:pStyle w:val="Caption"/>
        <w:jc w:val="center"/>
        <w:rPr>
          <w:rFonts w:ascii="Times New Roman" w:hAnsi="Times New Roman" w:cs="Times New Roman"/>
          <w:sz w:val="22"/>
          <w:szCs w:val="22"/>
        </w:rPr>
      </w:pPr>
      <w:bookmarkStart w:id="17" w:name="_Ref509224240"/>
      <w:r w:rsidRPr="00D27DAA">
        <w:rPr>
          <w:rFonts w:ascii="Times New Roman" w:hAnsi="Times New Roman" w:cs="Times New Roman"/>
          <w:sz w:val="22"/>
          <w:szCs w:val="22"/>
        </w:rPr>
        <w:t xml:space="preserve">Figure </w:t>
      </w:r>
      <w:r w:rsidR="00D1788F" w:rsidRPr="00D27DAA">
        <w:rPr>
          <w:rFonts w:ascii="Times New Roman" w:hAnsi="Times New Roman" w:cs="Times New Roman"/>
          <w:sz w:val="22"/>
          <w:szCs w:val="22"/>
        </w:rPr>
        <w:fldChar w:fldCharType="begin"/>
      </w:r>
      <w:r w:rsidR="00D1788F" w:rsidRPr="00D27DAA">
        <w:rPr>
          <w:rFonts w:ascii="Times New Roman" w:hAnsi="Times New Roman" w:cs="Times New Roman"/>
          <w:sz w:val="22"/>
          <w:szCs w:val="22"/>
        </w:rPr>
        <w:instrText xml:space="preserve"> SEQ Figure \* ARABIC </w:instrText>
      </w:r>
      <w:r w:rsidR="00D1788F"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11</w:t>
      </w:r>
      <w:r w:rsidR="00D1788F" w:rsidRPr="00D27DAA">
        <w:rPr>
          <w:rFonts w:ascii="Times New Roman" w:hAnsi="Times New Roman" w:cs="Times New Roman"/>
          <w:noProof/>
          <w:sz w:val="22"/>
          <w:szCs w:val="22"/>
        </w:rPr>
        <w:fldChar w:fldCharType="end"/>
      </w:r>
      <w:bookmarkEnd w:id="17"/>
      <w:r w:rsidRPr="00D27DAA">
        <w:rPr>
          <w:rFonts w:ascii="Times New Roman" w:hAnsi="Times New Roman" w:cs="Times New Roman"/>
          <w:sz w:val="22"/>
          <w:szCs w:val="22"/>
        </w:rPr>
        <w:t>- Additional poison rod positions included top left, 1 rod, top right, 2 rods, bottom left three rods and bottom right, 4 rods.</w:t>
      </w:r>
    </w:p>
    <w:p w14:paraId="3C06A574" w14:textId="6E681561" w:rsidR="00280237" w:rsidRPr="00D27DAA" w:rsidRDefault="00280237" w:rsidP="00280237">
      <w:pPr>
        <w:rPr>
          <w:rFonts w:ascii="Times New Roman" w:hAnsi="Times New Roman" w:cs="Times New Roman"/>
        </w:rPr>
      </w:pPr>
      <w:r w:rsidRPr="00D27DAA">
        <w:rPr>
          <w:rFonts w:ascii="Times New Roman" w:hAnsi="Times New Roman" w:cs="Times New Roman"/>
        </w:rPr>
        <w:t xml:space="preserve">The aim in this case is to determine the overall impact of these rods on the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Pr="00D27DAA">
        <w:rPr>
          <w:rFonts w:ascii="Times New Roman" w:hAnsi="Times New Roman" w:cs="Times New Roman"/>
        </w:rPr>
        <w:t xml:space="preserve">. </w:t>
      </w:r>
    </w:p>
    <w:p w14:paraId="19162E7B" w14:textId="19F7CD3D" w:rsidR="00EE20C9" w:rsidRPr="00D27DAA" w:rsidRDefault="00D55532" w:rsidP="00EE20C9">
      <w:pPr>
        <w:keepNext/>
        <w:rPr>
          <w:rFonts w:ascii="Times New Roman" w:hAnsi="Times New Roman" w:cs="Times New Roman"/>
        </w:rPr>
      </w:pPr>
      <w:r w:rsidRPr="00D27DAA">
        <w:rPr>
          <w:noProof/>
        </w:rPr>
        <w:lastRenderedPageBreak/>
        <w:drawing>
          <wp:inline distT="0" distB="0" distL="0" distR="0" wp14:anchorId="417928F6" wp14:editId="642789E5">
            <wp:extent cx="5727700" cy="232664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2326640"/>
                    </a:xfrm>
                    <a:prstGeom prst="rect">
                      <a:avLst/>
                    </a:prstGeom>
                    <a:noFill/>
                    <a:ln>
                      <a:noFill/>
                    </a:ln>
                  </pic:spPr>
                </pic:pic>
              </a:graphicData>
            </a:graphic>
          </wp:inline>
        </w:drawing>
      </w:r>
    </w:p>
    <w:p w14:paraId="4681556F" w14:textId="6E1EC238" w:rsidR="00681B2E" w:rsidRPr="00D27DAA" w:rsidRDefault="00EE20C9" w:rsidP="00EE20C9">
      <w:pPr>
        <w:pStyle w:val="Caption"/>
        <w:jc w:val="center"/>
        <w:rPr>
          <w:rFonts w:ascii="Times New Roman" w:hAnsi="Times New Roman" w:cs="Times New Roman"/>
          <w:sz w:val="22"/>
          <w:szCs w:val="22"/>
        </w:rPr>
      </w:pPr>
      <w:bookmarkStart w:id="18" w:name="_Ref509217183"/>
      <w:r w:rsidRPr="00D27DAA">
        <w:rPr>
          <w:rFonts w:ascii="Times New Roman" w:hAnsi="Times New Roman" w:cs="Times New Roman"/>
          <w:sz w:val="22"/>
          <w:szCs w:val="22"/>
        </w:rPr>
        <w:t xml:space="preserve">Figure </w:t>
      </w:r>
      <w:r w:rsidR="00D1788F" w:rsidRPr="00D27DAA">
        <w:rPr>
          <w:rFonts w:ascii="Times New Roman" w:hAnsi="Times New Roman" w:cs="Times New Roman"/>
          <w:sz w:val="22"/>
          <w:szCs w:val="22"/>
        </w:rPr>
        <w:fldChar w:fldCharType="begin"/>
      </w:r>
      <w:r w:rsidR="00D1788F" w:rsidRPr="00D27DAA">
        <w:rPr>
          <w:rFonts w:ascii="Times New Roman" w:hAnsi="Times New Roman" w:cs="Times New Roman"/>
          <w:sz w:val="22"/>
          <w:szCs w:val="22"/>
        </w:rPr>
        <w:instrText xml:space="preserve"> SEQ Figure \* ARABIC </w:instrText>
      </w:r>
      <w:r w:rsidR="00D1788F"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12</w:t>
      </w:r>
      <w:r w:rsidR="00D1788F" w:rsidRPr="00D27DAA">
        <w:rPr>
          <w:rFonts w:ascii="Times New Roman" w:hAnsi="Times New Roman" w:cs="Times New Roman"/>
          <w:noProof/>
          <w:sz w:val="22"/>
          <w:szCs w:val="22"/>
        </w:rPr>
        <w:fldChar w:fldCharType="end"/>
      </w:r>
      <w:bookmarkEnd w:id="18"/>
      <w:r w:rsidRPr="00D27DAA">
        <w:rPr>
          <w:rFonts w:ascii="Times New Roman" w:hAnsi="Times New Roman" w:cs="Times New Roman"/>
          <w:sz w:val="22"/>
          <w:szCs w:val="22"/>
        </w:rPr>
        <w:t xml:space="preserve">- Adding </w:t>
      </w:r>
      <w:r w:rsidR="00E340D7" w:rsidRPr="00D27DAA">
        <w:rPr>
          <w:rFonts w:ascii="Times New Roman" w:hAnsi="Times New Roman" w:cs="Times New Roman"/>
          <w:sz w:val="22"/>
          <w:szCs w:val="22"/>
        </w:rPr>
        <w:t>poison</w:t>
      </w:r>
      <w:r w:rsidRPr="00D27DAA">
        <w:rPr>
          <w:rFonts w:ascii="Times New Roman" w:hAnsi="Times New Roman" w:cs="Times New Roman"/>
          <w:sz w:val="22"/>
          <w:szCs w:val="22"/>
        </w:rPr>
        <w:t xml:space="preserve"> rods in the centre</w:t>
      </w:r>
    </w:p>
    <w:p w14:paraId="32F81D01" w14:textId="0084D5A4" w:rsidR="000665EB" w:rsidRPr="00D27DAA" w:rsidRDefault="00EE20C9" w:rsidP="000665EB">
      <w:pPr>
        <w:rPr>
          <w:rFonts w:ascii="Times New Roman" w:hAnsi="Times New Roman" w:cs="Times New Roman"/>
        </w:rPr>
      </w:pPr>
      <w:r w:rsidRPr="00D27DAA">
        <w:rPr>
          <w:rFonts w:ascii="Times New Roman" w:hAnsi="Times New Roman" w:cs="Times New Roman"/>
        </w:rPr>
        <w:fldChar w:fldCharType="begin"/>
      </w:r>
      <w:r w:rsidRPr="00D27DAA">
        <w:rPr>
          <w:rFonts w:ascii="Times New Roman" w:hAnsi="Times New Roman" w:cs="Times New Roman"/>
        </w:rPr>
        <w:instrText xml:space="preserve"> REF _Ref509217183 \h </w:instrText>
      </w:r>
      <w:r w:rsidR="00BD5983" w:rsidRPr="00D27DAA">
        <w:rPr>
          <w:rFonts w:ascii="Times New Roman" w:hAnsi="Times New Roman" w:cs="Times New Roman"/>
        </w:rPr>
        <w:instrText xml:space="preserve"> \* MERGEFORMAT </w:instrText>
      </w:r>
      <w:r w:rsidRPr="00D27DAA">
        <w:rPr>
          <w:rFonts w:ascii="Times New Roman" w:hAnsi="Times New Roman" w:cs="Times New Roman"/>
        </w:rPr>
      </w:r>
      <w:r w:rsidRPr="00D27DAA">
        <w:rPr>
          <w:rFonts w:ascii="Times New Roman" w:hAnsi="Times New Roman" w:cs="Times New Roman"/>
        </w:rPr>
        <w:fldChar w:fldCharType="separate"/>
      </w:r>
      <w:r w:rsidRPr="00D27DAA">
        <w:rPr>
          <w:rFonts w:ascii="Times New Roman" w:hAnsi="Times New Roman" w:cs="Times New Roman"/>
        </w:rPr>
        <w:t xml:space="preserve">Figure </w:t>
      </w:r>
      <w:r w:rsidRPr="00D27DAA">
        <w:rPr>
          <w:rFonts w:ascii="Times New Roman" w:hAnsi="Times New Roman" w:cs="Times New Roman"/>
          <w:noProof/>
        </w:rPr>
        <w:t>12</w:t>
      </w:r>
      <w:r w:rsidRPr="00D27DAA">
        <w:rPr>
          <w:rFonts w:ascii="Times New Roman" w:hAnsi="Times New Roman" w:cs="Times New Roman"/>
        </w:rPr>
        <w:fldChar w:fldCharType="end"/>
      </w:r>
      <w:r w:rsidRPr="00D27DAA">
        <w:rPr>
          <w:rFonts w:ascii="Times New Roman" w:hAnsi="Times New Roman" w:cs="Times New Roman"/>
        </w:rPr>
        <w:t xml:space="preserve"> </w:t>
      </w:r>
      <w:r w:rsidR="000665EB" w:rsidRPr="00D27DAA">
        <w:rPr>
          <w:rFonts w:ascii="Times New Roman" w:hAnsi="Times New Roman" w:cs="Times New Roman"/>
        </w:rPr>
        <w:t>shows that the rods do</w:t>
      </w:r>
      <w:r w:rsidR="00190B4B" w:rsidRPr="00D27DAA">
        <w:rPr>
          <w:rFonts w:ascii="Times New Roman" w:hAnsi="Times New Roman" w:cs="Times New Roman"/>
        </w:rPr>
        <w:t xml:space="preserve"> </w:t>
      </w:r>
      <w:r w:rsidR="000665EB" w:rsidRPr="00D27DAA">
        <w:rPr>
          <w:rFonts w:ascii="Times New Roman" w:hAnsi="Times New Roman" w:cs="Times New Roman"/>
        </w:rPr>
        <w:t xml:space="preserve">reduce the second </w:t>
      </w:r>
      <w:r w:rsidR="00302E63" w:rsidRPr="00D27DAA">
        <w:rPr>
          <w:rFonts w:ascii="Times New Roman" w:hAnsi="Times New Roman" w:cs="Times New Roman"/>
        </w:rPr>
        <w:t xml:space="preserve">reactivity </w:t>
      </w:r>
      <w:r w:rsidR="000665EB" w:rsidRPr="00D27DAA">
        <w:rPr>
          <w:rFonts w:ascii="Times New Roman" w:hAnsi="Times New Roman" w:cs="Times New Roman"/>
        </w:rPr>
        <w:t>peak, however</w:t>
      </w:r>
      <w:r w:rsidR="00302E63" w:rsidRPr="00D27DAA">
        <w:rPr>
          <w:rFonts w:ascii="Times New Roman" w:hAnsi="Times New Roman" w:cs="Times New Roman"/>
        </w:rPr>
        <w:t>,</w:t>
      </w:r>
      <w:r w:rsidR="000665EB" w:rsidRPr="00D27DAA">
        <w:rPr>
          <w:rFonts w:ascii="Times New Roman" w:hAnsi="Times New Roman" w:cs="Times New Roman"/>
        </w:rPr>
        <w:t xml:space="preserve"> it was noted that the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000665EB" w:rsidRPr="00D27DAA">
        <w:rPr>
          <w:rFonts w:ascii="Times New Roman" w:hAnsi="Times New Roman" w:cs="Times New Roman"/>
        </w:rPr>
        <w:t>line does not re-join the base model. The main reason for this was suspected that the poisons were remaining in the core</w:t>
      </w:r>
      <w:r w:rsidR="00E91C39" w:rsidRPr="00D27DAA">
        <w:rPr>
          <w:rFonts w:ascii="Times New Roman" w:hAnsi="Times New Roman" w:cs="Times New Roman"/>
        </w:rPr>
        <w:t>.</w:t>
      </w:r>
      <w:r w:rsidR="000665EB" w:rsidRPr="00D27DAA">
        <w:rPr>
          <w:rFonts w:ascii="Times New Roman" w:hAnsi="Times New Roman" w:cs="Times New Roman"/>
        </w:rPr>
        <w:t xml:space="preserve"> </w:t>
      </w:r>
      <w:r w:rsidR="00E91C39" w:rsidRPr="00D27DAA">
        <w:rPr>
          <w:rFonts w:ascii="Times New Roman" w:hAnsi="Times New Roman" w:cs="Times New Roman"/>
        </w:rPr>
        <w:t>T</w:t>
      </w:r>
      <w:r w:rsidR="000665EB" w:rsidRPr="00D27DAA">
        <w:rPr>
          <w:rFonts w:ascii="Times New Roman" w:hAnsi="Times New Roman" w:cs="Times New Roman"/>
        </w:rPr>
        <w:t xml:space="preserve">o determine this, </w:t>
      </w:r>
      <w:r w:rsidR="00302E63" w:rsidRPr="00D27DAA">
        <w:rPr>
          <w:rFonts w:ascii="Times New Roman" w:hAnsi="Times New Roman" w:cs="Times New Roman"/>
        </w:rPr>
        <w:t xml:space="preserve">the four rod design </w:t>
      </w:r>
      <w:r w:rsidR="00F71E6F" w:rsidRPr="00D27DAA">
        <w:rPr>
          <w:rFonts w:ascii="Times New Roman" w:hAnsi="Times New Roman" w:cs="Times New Roman"/>
        </w:rPr>
        <w:t xml:space="preserve">poison materials compositions were </w:t>
      </w:r>
      <w:r w:rsidR="00302E63" w:rsidRPr="00D27DAA">
        <w:rPr>
          <w:rFonts w:ascii="Times New Roman" w:hAnsi="Times New Roman" w:cs="Times New Roman"/>
        </w:rPr>
        <w:t>monitored</w:t>
      </w:r>
      <w:r w:rsidR="000665EB" w:rsidRPr="00D27DAA">
        <w:rPr>
          <w:rFonts w:ascii="Times New Roman" w:hAnsi="Times New Roman" w:cs="Times New Roman"/>
        </w:rPr>
        <w:t xml:space="preserve">. The </w:t>
      </w:r>
      <w:r w:rsidR="00F71E6F" w:rsidRPr="00D27DAA">
        <w:rPr>
          <w:rFonts w:ascii="Times New Roman" w:hAnsi="Times New Roman" w:cs="Times New Roman"/>
        </w:rPr>
        <w:t>numbering of the poison rods</w:t>
      </w:r>
      <w:r w:rsidR="000665EB" w:rsidRPr="00D27DAA">
        <w:rPr>
          <w:rFonts w:ascii="Times New Roman" w:hAnsi="Times New Roman" w:cs="Times New Roman"/>
        </w:rPr>
        <w:t xml:space="preserve"> </w:t>
      </w:r>
      <w:r w:rsidR="00E340D7" w:rsidRPr="00D27DAA">
        <w:rPr>
          <w:rFonts w:ascii="Times New Roman" w:hAnsi="Times New Roman" w:cs="Times New Roman"/>
        </w:rPr>
        <w:t>is</w:t>
      </w:r>
      <w:r w:rsidR="000665EB" w:rsidRPr="00D27DAA">
        <w:rPr>
          <w:rFonts w:ascii="Times New Roman" w:hAnsi="Times New Roman" w:cs="Times New Roman"/>
        </w:rPr>
        <w:t xml:space="preserve"> depicted in</w:t>
      </w:r>
      <w:r w:rsidR="00190B4B" w:rsidRPr="00D27DAA">
        <w:rPr>
          <w:rFonts w:ascii="Times New Roman" w:hAnsi="Times New Roman" w:cs="Times New Roman"/>
        </w:rPr>
        <w:t xml:space="preserve"> </w:t>
      </w:r>
      <w:r w:rsidR="00F71E6F" w:rsidRPr="00D27DAA">
        <w:rPr>
          <w:rFonts w:ascii="Times New Roman" w:hAnsi="Times New Roman" w:cs="Times New Roman"/>
        </w:rPr>
        <w:fldChar w:fldCharType="begin"/>
      </w:r>
      <w:r w:rsidR="00F71E6F" w:rsidRPr="00D27DAA">
        <w:rPr>
          <w:rFonts w:ascii="Times New Roman" w:hAnsi="Times New Roman" w:cs="Times New Roman"/>
        </w:rPr>
        <w:instrText xml:space="preserve"> REF _Ref508877367 \h </w:instrText>
      </w:r>
      <w:r w:rsidR="00BD5983" w:rsidRPr="00D27DAA">
        <w:rPr>
          <w:rFonts w:ascii="Times New Roman" w:hAnsi="Times New Roman" w:cs="Times New Roman"/>
        </w:rPr>
        <w:instrText xml:space="preserve"> \* MERGEFORMAT </w:instrText>
      </w:r>
      <w:r w:rsidR="00F71E6F" w:rsidRPr="00D27DAA">
        <w:rPr>
          <w:rFonts w:ascii="Times New Roman" w:hAnsi="Times New Roman" w:cs="Times New Roman"/>
        </w:rPr>
      </w:r>
      <w:r w:rsidR="00F71E6F" w:rsidRPr="00D27DAA">
        <w:rPr>
          <w:rFonts w:ascii="Times New Roman" w:hAnsi="Times New Roman" w:cs="Times New Roman"/>
        </w:rPr>
        <w:fldChar w:fldCharType="separate"/>
      </w:r>
      <w:r w:rsidR="00F71E6F" w:rsidRPr="00D27DAA">
        <w:rPr>
          <w:rFonts w:ascii="Times New Roman" w:hAnsi="Times New Roman" w:cs="Times New Roman"/>
        </w:rPr>
        <w:t xml:space="preserve">Figure </w:t>
      </w:r>
      <w:r w:rsidR="00F71E6F" w:rsidRPr="00D27DAA">
        <w:rPr>
          <w:rFonts w:ascii="Times New Roman" w:hAnsi="Times New Roman" w:cs="Times New Roman"/>
          <w:noProof/>
        </w:rPr>
        <w:t>13</w:t>
      </w:r>
      <w:r w:rsidR="00F71E6F" w:rsidRPr="00D27DAA">
        <w:rPr>
          <w:rFonts w:ascii="Times New Roman" w:hAnsi="Times New Roman" w:cs="Times New Roman"/>
        </w:rPr>
        <w:fldChar w:fldCharType="end"/>
      </w:r>
      <w:r w:rsidR="00190B4B" w:rsidRPr="00D27DAA">
        <w:rPr>
          <w:rFonts w:ascii="Times New Roman" w:hAnsi="Times New Roman" w:cs="Times New Roman"/>
        </w:rPr>
        <w:fldChar w:fldCharType="begin"/>
      </w:r>
      <w:r w:rsidR="00190B4B" w:rsidRPr="00D27DAA">
        <w:rPr>
          <w:rFonts w:ascii="Times New Roman" w:hAnsi="Times New Roman" w:cs="Times New Roman"/>
        </w:rPr>
        <w:instrText xml:space="preserve"> REF _Ref508877367 \h </w:instrText>
      </w:r>
      <w:r w:rsidR="00BD5983" w:rsidRPr="00D27DAA">
        <w:rPr>
          <w:rFonts w:ascii="Times New Roman" w:hAnsi="Times New Roman" w:cs="Times New Roman"/>
        </w:rPr>
        <w:instrText xml:space="preserve"> \* MERGEFORMAT </w:instrText>
      </w:r>
      <w:r w:rsidR="00190B4B" w:rsidRPr="00D27DAA">
        <w:rPr>
          <w:rFonts w:ascii="Times New Roman" w:hAnsi="Times New Roman" w:cs="Times New Roman"/>
        </w:rPr>
      </w:r>
      <w:r w:rsidR="00190B4B" w:rsidRPr="00D27DAA">
        <w:rPr>
          <w:rFonts w:ascii="Times New Roman" w:hAnsi="Times New Roman" w:cs="Times New Roman"/>
        </w:rPr>
        <w:fldChar w:fldCharType="end"/>
      </w:r>
      <w:r w:rsidR="000665EB" w:rsidRPr="00D27DAA">
        <w:rPr>
          <w:rFonts w:ascii="Times New Roman" w:hAnsi="Times New Roman" w:cs="Times New Roman"/>
        </w:rPr>
        <w:t xml:space="preserve">. </w:t>
      </w:r>
    </w:p>
    <w:p w14:paraId="250A10AD" w14:textId="77777777" w:rsidR="00190B4B" w:rsidRPr="00D27DAA" w:rsidRDefault="00C07128" w:rsidP="00190B4B">
      <w:pPr>
        <w:keepNext/>
        <w:rPr>
          <w:rFonts w:ascii="Times New Roman" w:hAnsi="Times New Roman" w:cs="Times New Roman"/>
        </w:rPr>
      </w:pPr>
      <w:r w:rsidRPr="00D27DAA">
        <w:rPr>
          <w:rFonts w:ascii="Times New Roman" w:hAnsi="Times New Roman" w:cs="Times New Roman"/>
          <w:noProof/>
          <w:lang w:eastAsia="en-GB"/>
        </w:rPr>
        <w:drawing>
          <wp:inline distT="0" distB="0" distL="0" distR="0" wp14:anchorId="4D3CE9D9" wp14:editId="0FCA65D5">
            <wp:extent cx="5727700" cy="2353945"/>
            <wp:effectExtent l="0" t="0" r="635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2353945"/>
                    </a:xfrm>
                    <a:prstGeom prst="rect">
                      <a:avLst/>
                    </a:prstGeom>
                  </pic:spPr>
                </pic:pic>
              </a:graphicData>
            </a:graphic>
          </wp:inline>
        </w:drawing>
      </w:r>
    </w:p>
    <w:p w14:paraId="2F772944" w14:textId="408EBA5B" w:rsidR="00DF7F4F" w:rsidRPr="00D27DAA" w:rsidRDefault="00190B4B" w:rsidP="00190B4B">
      <w:pPr>
        <w:pStyle w:val="Caption"/>
        <w:jc w:val="center"/>
        <w:rPr>
          <w:rFonts w:ascii="Times New Roman" w:hAnsi="Times New Roman" w:cs="Times New Roman"/>
          <w:sz w:val="22"/>
          <w:szCs w:val="22"/>
        </w:rPr>
      </w:pPr>
      <w:bookmarkStart w:id="19" w:name="_Ref508877367"/>
      <w:r w:rsidRPr="00D27DAA">
        <w:rPr>
          <w:rFonts w:ascii="Times New Roman" w:hAnsi="Times New Roman" w:cs="Times New Roman"/>
          <w:sz w:val="22"/>
          <w:szCs w:val="22"/>
        </w:rPr>
        <w:t xml:space="preserve">Figure </w:t>
      </w:r>
      <w:r w:rsidR="00D1788F" w:rsidRPr="00D27DAA">
        <w:rPr>
          <w:rFonts w:ascii="Times New Roman" w:hAnsi="Times New Roman" w:cs="Times New Roman"/>
          <w:sz w:val="22"/>
          <w:szCs w:val="22"/>
        </w:rPr>
        <w:fldChar w:fldCharType="begin"/>
      </w:r>
      <w:r w:rsidR="00D1788F" w:rsidRPr="00D27DAA">
        <w:rPr>
          <w:rFonts w:ascii="Times New Roman" w:hAnsi="Times New Roman" w:cs="Times New Roman"/>
          <w:sz w:val="22"/>
          <w:szCs w:val="22"/>
        </w:rPr>
        <w:instrText xml:space="preserve"> SEQ Figure \* ARABIC </w:instrText>
      </w:r>
      <w:r w:rsidR="00D1788F"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13</w:t>
      </w:r>
      <w:r w:rsidR="00D1788F" w:rsidRPr="00D27DAA">
        <w:rPr>
          <w:rFonts w:ascii="Times New Roman" w:hAnsi="Times New Roman" w:cs="Times New Roman"/>
          <w:noProof/>
          <w:sz w:val="22"/>
          <w:szCs w:val="22"/>
        </w:rPr>
        <w:fldChar w:fldCharType="end"/>
      </w:r>
      <w:bookmarkEnd w:id="19"/>
      <w:r w:rsidRPr="00D27DAA">
        <w:rPr>
          <w:rFonts w:ascii="Times New Roman" w:hAnsi="Times New Roman" w:cs="Times New Roman"/>
          <w:sz w:val="22"/>
          <w:szCs w:val="22"/>
        </w:rPr>
        <w:t xml:space="preserve">- Sleeve and rod positions for material compositions in </w:t>
      </w:r>
      <w:r w:rsidRPr="00D27DAA">
        <w:rPr>
          <w:rFonts w:ascii="Times New Roman" w:hAnsi="Times New Roman" w:cs="Times New Roman"/>
          <w:sz w:val="22"/>
          <w:szCs w:val="22"/>
        </w:rPr>
        <w:fldChar w:fldCharType="begin"/>
      </w:r>
      <w:r w:rsidRPr="00D27DAA">
        <w:rPr>
          <w:rFonts w:ascii="Times New Roman" w:hAnsi="Times New Roman" w:cs="Times New Roman"/>
          <w:sz w:val="22"/>
          <w:szCs w:val="22"/>
        </w:rPr>
        <w:instrText xml:space="preserve"> REF _Ref508877413 \h </w:instrText>
      </w:r>
      <w:r w:rsidR="00BD5983" w:rsidRPr="00D27DAA">
        <w:rPr>
          <w:rFonts w:ascii="Times New Roman" w:hAnsi="Times New Roman" w:cs="Times New Roman"/>
          <w:sz w:val="22"/>
          <w:szCs w:val="22"/>
        </w:rPr>
        <w:instrText xml:space="preserve"> \* MERGEFORMAT </w:instrText>
      </w:r>
      <w:r w:rsidRPr="00D27DAA">
        <w:rPr>
          <w:rFonts w:ascii="Times New Roman" w:hAnsi="Times New Roman" w:cs="Times New Roman"/>
          <w:sz w:val="22"/>
          <w:szCs w:val="22"/>
        </w:rPr>
      </w:r>
      <w:r w:rsidRPr="00D27DAA">
        <w:rPr>
          <w:rFonts w:ascii="Times New Roman" w:hAnsi="Times New Roman" w:cs="Times New Roman"/>
          <w:sz w:val="22"/>
          <w:szCs w:val="22"/>
        </w:rPr>
        <w:fldChar w:fldCharType="separate"/>
      </w:r>
      <w:r w:rsidR="00F71ED4" w:rsidRPr="00D27DAA">
        <w:rPr>
          <w:rFonts w:ascii="Times New Roman" w:hAnsi="Times New Roman" w:cs="Times New Roman"/>
          <w:sz w:val="22"/>
          <w:szCs w:val="22"/>
        </w:rPr>
        <w:t xml:space="preserve">Figure </w:t>
      </w:r>
      <w:r w:rsidR="00F71ED4" w:rsidRPr="00D27DAA">
        <w:rPr>
          <w:rFonts w:ascii="Times New Roman" w:hAnsi="Times New Roman" w:cs="Times New Roman"/>
          <w:noProof/>
          <w:sz w:val="22"/>
          <w:szCs w:val="22"/>
        </w:rPr>
        <w:t>14</w:t>
      </w:r>
      <w:r w:rsidRPr="00D27DAA">
        <w:rPr>
          <w:rFonts w:ascii="Times New Roman" w:hAnsi="Times New Roman" w:cs="Times New Roman"/>
          <w:sz w:val="22"/>
          <w:szCs w:val="22"/>
        </w:rPr>
        <w:fldChar w:fldCharType="end"/>
      </w:r>
      <w:r w:rsidRPr="00D27DAA">
        <w:rPr>
          <w:rFonts w:ascii="Times New Roman" w:hAnsi="Times New Roman" w:cs="Times New Roman"/>
          <w:sz w:val="22"/>
          <w:szCs w:val="22"/>
        </w:rPr>
        <w:t xml:space="preserve"> and </w:t>
      </w:r>
      <w:r w:rsidRPr="00D27DAA">
        <w:rPr>
          <w:rFonts w:ascii="Times New Roman" w:hAnsi="Times New Roman" w:cs="Times New Roman"/>
          <w:sz w:val="22"/>
          <w:szCs w:val="22"/>
        </w:rPr>
        <w:fldChar w:fldCharType="begin"/>
      </w:r>
      <w:r w:rsidRPr="00D27DAA">
        <w:rPr>
          <w:rFonts w:ascii="Times New Roman" w:hAnsi="Times New Roman" w:cs="Times New Roman"/>
          <w:sz w:val="22"/>
          <w:szCs w:val="22"/>
        </w:rPr>
        <w:instrText xml:space="preserve"> REF _Ref508877423 \h </w:instrText>
      </w:r>
      <w:r w:rsidR="00BD5983" w:rsidRPr="00D27DAA">
        <w:rPr>
          <w:rFonts w:ascii="Times New Roman" w:hAnsi="Times New Roman" w:cs="Times New Roman"/>
          <w:sz w:val="22"/>
          <w:szCs w:val="22"/>
        </w:rPr>
        <w:instrText xml:space="preserve"> \* MERGEFORMAT </w:instrText>
      </w:r>
      <w:r w:rsidRPr="00D27DAA">
        <w:rPr>
          <w:rFonts w:ascii="Times New Roman" w:hAnsi="Times New Roman" w:cs="Times New Roman"/>
          <w:sz w:val="22"/>
          <w:szCs w:val="22"/>
        </w:rPr>
      </w:r>
      <w:r w:rsidRPr="00D27DAA">
        <w:rPr>
          <w:rFonts w:ascii="Times New Roman" w:hAnsi="Times New Roman" w:cs="Times New Roman"/>
          <w:sz w:val="22"/>
          <w:szCs w:val="22"/>
        </w:rPr>
        <w:fldChar w:fldCharType="separate"/>
      </w:r>
      <w:r w:rsidR="00F71ED4" w:rsidRPr="00D27DAA">
        <w:rPr>
          <w:rFonts w:ascii="Times New Roman" w:hAnsi="Times New Roman" w:cs="Times New Roman"/>
          <w:sz w:val="22"/>
          <w:szCs w:val="22"/>
        </w:rPr>
        <w:t xml:space="preserve">Figure </w:t>
      </w:r>
      <w:r w:rsidR="00F71ED4" w:rsidRPr="00D27DAA">
        <w:rPr>
          <w:rFonts w:ascii="Times New Roman" w:hAnsi="Times New Roman" w:cs="Times New Roman"/>
          <w:noProof/>
          <w:sz w:val="22"/>
          <w:szCs w:val="22"/>
        </w:rPr>
        <w:t>15</w:t>
      </w:r>
      <w:r w:rsidRPr="00D27DAA">
        <w:rPr>
          <w:rFonts w:ascii="Times New Roman" w:hAnsi="Times New Roman" w:cs="Times New Roman"/>
          <w:sz w:val="22"/>
          <w:szCs w:val="22"/>
        </w:rPr>
        <w:fldChar w:fldCharType="end"/>
      </w:r>
      <w:r w:rsidRPr="00D27DAA">
        <w:rPr>
          <w:rFonts w:ascii="Times New Roman" w:hAnsi="Times New Roman" w:cs="Times New Roman"/>
          <w:sz w:val="22"/>
          <w:szCs w:val="22"/>
        </w:rPr>
        <w:t>.</w:t>
      </w:r>
    </w:p>
    <w:p w14:paraId="7252FFB0" w14:textId="7F910EF0" w:rsidR="00190B4B" w:rsidRPr="00D27DAA" w:rsidRDefault="009F3C5F" w:rsidP="00190B4B">
      <w:pPr>
        <w:keepNext/>
        <w:jc w:val="center"/>
        <w:rPr>
          <w:rFonts w:ascii="Times New Roman" w:hAnsi="Times New Roman" w:cs="Times New Roman"/>
        </w:rPr>
      </w:pPr>
      <w:r w:rsidRPr="00D27DAA">
        <w:rPr>
          <w:noProof/>
          <w:lang w:eastAsia="en-GB"/>
        </w:rPr>
        <w:lastRenderedPageBreak/>
        <w:drawing>
          <wp:inline distT="0" distB="0" distL="0" distR="0" wp14:anchorId="49305A45" wp14:editId="34E7C4C7">
            <wp:extent cx="5727700" cy="2328313"/>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2328313"/>
                    </a:xfrm>
                    <a:prstGeom prst="rect">
                      <a:avLst/>
                    </a:prstGeom>
                    <a:noFill/>
                    <a:ln>
                      <a:noFill/>
                    </a:ln>
                  </pic:spPr>
                </pic:pic>
              </a:graphicData>
            </a:graphic>
          </wp:inline>
        </w:drawing>
      </w:r>
    </w:p>
    <w:p w14:paraId="4A84915F" w14:textId="64203939" w:rsidR="00C07128" w:rsidRPr="00D27DAA" w:rsidRDefault="00190B4B" w:rsidP="00190B4B">
      <w:pPr>
        <w:pStyle w:val="Caption"/>
        <w:jc w:val="center"/>
        <w:rPr>
          <w:rFonts w:ascii="Times New Roman" w:hAnsi="Times New Roman" w:cs="Times New Roman"/>
          <w:sz w:val="22"/>
          <w:szCs w:val="22"/>
        </w:rPr>
      </w:pPr>
      <w:bookmarkStart w:id="20" w:name="_Ref508877413"/>
      <w:r w:rsidRPr="00D27DAA">
        <w:rPr>
          <w:rFonts w:ascii="Times New Roman" w:hAnsi="Times New Roman" w:cs="Times New Roman"/>
          <w:sz w:val="22"/>
          <w:szCs w:val="22"/>
        </w:rPr>
        <w:t xml:space="preserve">Figure </w:t>
      </w:r>
      <w:r w:rsidR="00D1788F" w:rsidRPr="00D27DAA">
        <w:rPr>
          <w:rFonts w:ascii="Times New Roman" w:hAnsi="Times New Roman" w:cs="Times New Roman"/>
          <w:sz w:val="22"/>
          <w:szCs w:val="22"/>
        </w:rPr>
        <w:fldChar w:fldCharType="begin"/>
      </w:r>
      <w:r w:rsidR="00D1788F" w:rsidRPr="00D27DAA">
        <w:rPr>
          <w:rFonts w:ascii="Times New Roman" w:hAnsi="Times New Roman" w:cs="Times New Roman"/>
          <w:sz w:val="22"/>
          <w:szCs w:val="22"/>
        </w:rPr>
        <w:instrText xml:space="preserve"> SEQ Figure \* ARABIC </w:instrText>
      </w:r>
      <w:r w:rsidR="00D1788F"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14</w:t>
      </w:r>
      <w:r w:rsidR="00D1788F" w:rsidRPr="00D27DAA">
        <w:rPr>
          <w:rFonts w:ascii="Times New Roman" w:hAnsi="Times New Roman" w:cs="Times New Roman"/>
          <w:noProof/>
          <w:sz w:val="22"/>
          <w:szCs w:val="22"/>
        </w:rPr>
        <w:fldChar w:fldCharType="end"/>
      </w:r>
      <w:bookmarkEnd w:id="20"/>
      <w:r w:rsidRPr="00D27DAA">
        <w:rPr>
          <w:rFonts w:ascii="Times New Roman" w:hAnsi="Times New Roman" w:cs="Times New Roman"/>
          <w:sz w:val="22"/>
          <w:szCs w:val="22"/>
        </w:rPr>
        <w:t xml:space="preserve">- Thin sleeving depletion to first peak in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p>
    <w:p w14:paraId="39192741" w14:textId="18B2411A" w:rsidR="00190B4B" w:rsidRPr="00D27DAA" w:rsidRDefault="009F3C5F" w:rsidP="00190B4B">
      <w:pPr>
        <w:keepNext/>
        <w:jc w:val="center"/>
        <w:rPr>
          <w:rFonts w:ascii="Times New Roman" w:hAnsi="Times New Roman" w:cs="Times New Roman"/>
        </w:rPr>
      </w:pPr>
      <w:r w:rsidRPr="00D27DAA">
        <w:rPr>
          <w:noProof/>
          <w:lang w:eastAsia="en-GB"/>
        </w:rPr>
        <w:drawing>
          <wp:inline distT="0" distB="0" distL="0" distR="0" wp14:anchorId="5BD2EBFE" wp14:editId="67BAB7D8">
            <wp:extent cx="5727700" cy="2328313"/>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7700" cy="2328313"/>
                    </a:xfrm>
                    <a:prstGeom prst="rect">
                      <a:avLst/>
                    </a:prstGeom>
                    <a:noFill/>
                    <a:ln>
                      <a:noFill/>
                    </a:ln>
                  </pic:spPr>
                </pic:pic>
              </a:graphicData>
            </a:graphic>
          </wp:inline>
        </w:drawing>
      </w:r>
    </w:p>
    <w:p w14:paraId="093D2F5F" w14:textId="09F4C9D2" w:rsidR="001E1189" w:rsidRPr="00D27DAA" w:rsidRDefault="00190B4B" w:rsidP="00190B4B">
      <w:pPr>
        <w:pStyle w:val="Caption"/>
        <w:jc w:val="center"/>
        <w:rPr>
          <w:rFonts w:ascii="Times New Roman" w:hAnsi="Times New Roman" w:cs="Times New Roman"/>
          <w:sz w:val="22"/>
          <w:szCs w:val="22"/>
        </w:rPr>
      </w:pPr>
      <w:bookmarkStart w:id="21" w:name="_Ref508877423"/>
      <w:r w:rsidRPr="00D27DAA">
        <w:rPr>
          <w:rFonts w:ascii="Times New Roman" w:hAnsi="Times New Roman" w:cs="Times New Roman"/>
          <w:sz w:val="22"/>
          <w:szCs w:val="22"/>
        </w:rPr>
        <w:t xml:space="preserve">Figure </w:t>
      </w:r>
      <w:r w:rsidR="00D1788F" w:rsidRPr="00D27DAA">
        <w:rPr>
          <w:rFonts w:ascii="Times New Roman" w:hAnsi="Times New Roman" w:cs="Times New Roman"/>
          <w:sz w:val="22"/>
          <w:szCs w:val="22"/>
        </w:rPr>
        <w:fldChar w:fldCharType="begin"/>
      </w:r>
      <w:r w:rsidR="00D1788F" w:rsidRPr="00D27DAA">
        <w:rPr>
          <w:rFonts w:ascii="Times New Roman" w:hAnsi="Times New Roman" w:cs="Times New Roman"/>
          <w:sz w:val="22"/>
          <w:szCs w:val="22"/>
        </w:rPr>
        <w:instrText xml:space="preserve"> SEQ Figure \* ARABIC </w:instrText>
      </w:r>
      <w:r w:rsidR="00D1788F"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15</w:t>
      </w:r>
      <w:r w:rsidR="00D1788F" w:rsidRPr="00D27DAA">
        <w:rPr>
          <w:rFonts w:ascii="Times New Roman" w:hAnsi="Times New Roman" w:cs="Times New Roman"/>
          <w:noProof/>
          <w:sz w:val="22"/>
          <w:szCs w:val="22"/>
        </w:rPr>
        <w:fldChar w:fldCharType="end"/>
      </w:r>
      <w:bookmarkEnd w:id="21"/>
      <w:r w:rsidRPr="00D27DAA">
        <w:rPr>
          <w:rFonts w:ascii="Times New Roman" w:hAnsi="Times New Roman" w:cs="Times New Roman"/>
          <w:sz w:val="22"/>
          <w:szCs w:val="22"/>
        </w:rPr>
        <w:t>- Small central rods depletion, up until first peak</w:t>
      </w:r>
    </w:p>
    <w:p w14:paraId="33F233BB" w14:textId="130FCB33" w:rsidR="001E1189" w:rsidRPr="00D27DAA" w:rsidRDefault="00F71E6F" w:rsidP="001E1189">
      <w:pPr>
        <w:rPr>
          <w:rFonts w:ascii="Times New Roman" w:hAnsi="Times New Roman" w:cs="Times New Roman"/>
        </w:rPr>
      </w:pPr>
      <w:r w:rsidRPr="00D27DAA">
        <w:rPr>
          <w:rFonts w:ascii="Times New Roman" w:hAnsi="Times New Roman" w:cs="Times New Roman"/>
        </w:rPr>
        <w:fldChar w:fldCharType="begin"/>
      </w:r>
      <w:r w:rsidRPr="00D27DAA">
        <w:rPr>
          <w:rFonts w:ascii="Times New Roman" w:hAnsi="Times New Roman" w:cs="Times New Roman"/>
        </w:rPr>
        <w:instrText xml:space="preserve"> REF _Ref508877413 \h </w:instrText>
      </w:r>
      <w:r w:rsidR="00BD5983" w:rsidRPr="00D27DAA">
        <w:rPr>
          <w:rFonts w:ascii="Times New Roman" w:hAnsi="Times New Roman" w:cs="Times New Roman"/>
        </w:rPr>
        <w:instrText xml:space="preserve"> \* MERGEFORMAT </w:instrText>
      </w:r>
      <w:r w:rsidRPr="00D27DAA">
        <w:rPr>
          <w:rFonts w:ascii="Times New Roman" w:hAnsi="Times New Roman" w:cs="Times New Roman"/>
        </w:rPr>
      </w:r>
      <w:r w:rsidRPr="00D27DAA">
        <w:rPr>
          <w:rFonts w:ascii="Times New Roman" w:hAnsi="Times New Roman" w:cs="Times New Roman"/>
        </w:rPr>
        <w:fldChar w:fldCharType="separate"/>
      </w:r>
      <w:r w:rsidRPr="00D27DAA">
        <w:rPr>
          <w:rFonts w:ascii="Times New Roman" w:hAnsi="Times New Roman" w:cs="Times New Roman"/>
        </w:rPr>
        <w:t xml:space="preserve">Figure </w:t>
      </w:r>
      <w:r w:rsidRPr="00D27DAA">
        <w:rPr>
          <w:rFonts w:ascii="Times New Roman" w:hAnsi="Times New Roman" w:cs="Times New Roman"/>
          <w:noProof/>
        </w:rPr>
        <w:t>14</w:t>
      </w:r>
      <w:r w:rsidRPr="00D27DAA">
        <w:rPr>
          <w:rFonts w:ascii="Times New Roman" w:hAnsi="Times New Roman" w:cs="Times New Roman"/>
        </w:rPr>
        <w:fldChar w:fldCharType="end"/>
      </w:r>
      <w:r w:rsidRPr="00D27DAA">
        <w:rPr>
          <w:rFonts w:ascii="Times New Roman" w:hAnsi="Times New Roman" w:cs="Times New Roman"/>
        </w:rPr>
        <w:t xml:space="preserve"> </w:t>
      </w:r>
      <w:r w:rsidR="001E1189" w:rsidRPr="00D27DAA">
        <w:rPr>
          <w:rFonts w:ascii="Times New Roman" w:hAnsi="Times New Roman" w:cs="Times New Roman"/>
        </w:rPr>
        <w:t xml:space="preserve">explains the rise in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001E1189" w:rsidRPr="00D27DAA">
        <w:rPr>
          <w:rFonts w:ascii="Times New Roman" w:hAnsi="Times New Roman" w:cs="Times New Roman"/>
        </w:rPr>
        <w:t xml:space="preserve">in </w:t>
      </w:r>
      <w:r w:rsidR="00190B4B" w:rsidRPr="00D27DAA">
        <w:rPr>
          <w:rFonts w:ascii="Times New Roman" w:hAnsi="Times New Roman" w:cs="Times New Roman"/>
        </w:rPr>
        <w:fldChar w:fldCharType="begin"/>
      </w:r>
      <w:r w:rsidR="00190B4B" w:rsidRPr="00D27DAA">
        <w:rPr>
          <w:rFonts w:ascii="Times New Roman" w:hAnsi="Times New Roman" w:cs="Times New Roman"/>
        </w:rPr>
        <w:instrText xml:space="preserve"> REF _Ref508876807 \h </w:instrText>
      </w:r>
      <w:r w:rsidR="00BD5983" w:rsidRPr="00D27DAA">
        <w:rPr>
          <w:rFonts w:ascii="Times New Roman" w:hAnsi="Times New Roman" w:cs="Times New Roman"/>
        </w:rPr>
        <w:instrText xml:space="preserve"> \* MERGEFORMAT </w:instrText>
      </w:r>
      <w:r w:rsidR="00190B4B" w:rsidRPr="00D27DAA">
        <w:rPr>
          <w:rFonts w:ascii="Times New Roman" w:hAnsi="Times New Roman" w:cs="Times New Roman"/>
        </w:rPr>
      </w:r>
      <w:r w:rsidR="00190B4B" w:rsidRPr="00D27DAA">
        <w:rPr>
          <w:rFonts w:ascii="Times New Roman" w:hAnsi="Times New Roman" w:cs="Times New Roman"/>
        </w:rPr>
        <w:fldChar w:fldCharType="separate"/>
      </w:r>
      <w:r w:rsidR="00190B4B" w:rsidRPr="00D27DAA">
        <w:rPr>
          <w:rFonts w:ascii="Times New Roman" w:hAnsi="Times New Roman" w:cs="Times New Roman"/>
        </w:rPr>
        <w:t xml:space="preserve">Figure </w:t>
      </w:r>
      <w:r w:rsidR="00190B4B" w:rsidRPr="00D27DAA">
        <w:rPr>
          <w:rFonts w:ascii="Times New Roman" w:hAnsi="Times New Roman" w:cs="Times New Roman"/>
          <w:noProof/>
        </w:rPr>
        <w:t>10</w:t>
      </w:r>
      <w:r w:rsidR="00190B4B" w:rsidRPr="00D27DAA">
        <w:rPr>
          <w:rFonts w:ascii="Times New Roman" w:hAnsi="Times New Roman" w:cs="Times New Roman"/>
        </w:rPr>
        <w:fldChar w:fldCharType="end"/>
      </w:r>
      <w:r w:rsidR="00190B4B" w:rsidRPr="00D27DAA">
        <w:rPr>
          <w:rFonts w:ascii="Times New Roman" w:hAnsi="Times New Roman" w:cs="Times New Roman"/>
        </w:rPr>
        <w:t xml:space="preserve"> </w:t>
      </w:r>
      <w:r w:rsidR="001E1189" w:rsidRPr="00D27DAA">
        <w:rPr>
          <w:rFonts w:ascii="Times New Roman" w:hAnsi="Times New Roman" w:cs="Times New Roman"/>
        </w:rPr>
        <w:t>following day 300</w:t>
      </w:r>
      <w:r w:rsidR="001C37A2" w:rsidRPr="00D27DAA">
        <w:rPr>
          <w:rFonts w:ascii="Times New Roman" w:hAnsi="Times New Roman" w:cs="Times New Roman"/>
        </w:rPr>
        <w:t>. T</w:t>
      </w:r>
      <w:r w:rsidR="001E1189" w:rsidRPr="00D27DAA">
        <w:rPr>
          <w:rFonts w:ascii="Times New Roman" w:hAnsi="Times New Roman" w:cs="Times New Roman"/>
        </w:rPr>
        <w:t xml:space="preserve">his is due to the </w:t>
      </w:r>
      <w:r w:rsidRPr="00D27DAA">
        <w:rPr>
          <w:rFonts w:ascii="Times New Roman" w:hAnsi="Times New Roman" w:cs="Times New Roman"/>
        </w:rPr>
        <w:t>poison</w:t>
      </w:r>
      <w:r w:rsidR="001E1189" w:rsidRPr="00D27DAA">
        <w:rPr>
          <w:rFonts w:ascii="Times New Roman" w:hAnsi="Times New Roman" w:cs="Times New Roman"/>
        </w:rPr>
        <w:t xml:space="preserve"> sleeve </w:t>
      </w:r>
      <w:r w:rsidRPr="00D27DAA">
        <w:rPr>
          <w:rFonts w:ascii="Times New Roman" w:hAnsi="Times New Roman" w:cs="Times New Roman"/>
        </w:rPr>
        <w:t xml:space="preserve">having been significantly depleted as shown by </w:t>
      </w:r>
      <w:r w:rsidRPr="00D27DAA">
        <w:rPr>
          <w:rFonts w:ascii="Times New Roman" w:hAnsi="Times New Roman" w:cs="Times New Roman"/>
        </w:rPr>
        <w:fldChar w:fldCharType="begin"/>
      </w:r>
      <w:r w:rsidRPr="00D27DAA">
        <w:rPr>
          <w:rFonts w:ascii="Times New Roman" w:hAnsi="Times New Roman" w:cs="Times New Roman"/>
        </w:rPr>
        <w:instrText xml:space="preserve"> REF _Ref508877413 \h </w:instrText>
      </w:r>
      <w:r w:rsidR="00BD5983" w:rsidRPr="00D27DAA">
        <w:rPr>
          <w:rFonts w:ascii="Times New Roman" w:hAnsi="Times New Roman" w:cs="Times New Roman"/>
        </w:rPr>
        <w:instrText xml:space="preserve"> \* MERGEFORMAT </w:instrText>
      </w:r>
      <w:r w:rsidRPr="00D27DAA">
        <w:rPr>
          <w:rFonts w:ascii="Times New Roman" w:hAnsi="Times New Roman" w:cs="Times New Roman"/>
        </w:rPr>
      </w:r>
      <w:r w:rsidRPr="00D27DAA">
        <w:rPr>
          <w:rFonts w:ascii="Times New Roman" w:hAnsi="Times New Roman" w:cs="Times New Roman"/>
        </w:rPr>
        <w:fldChar w:fldCharType="separate"/>
      </w:r>
      <w:r w:rsidRPr="00D27DAA">
        <w:rPr>
          <w:rFonts w:ascii="Times New Roman" w:hAnsi="Times New Roman" w:cs="Times New Roman"/>
        </w:rPr>
        <w:t xml:space="preserve">Figure </w:t>
      </w:r>
      <w:r w:rsidRPr="00D27DAA">
        <w:rPr>
          <w:rFonts w:ascii="Times New Roman" w:hAnsi="Times New Roman" w:cs="Times New Roman"/>
          <w:noProof/>
        </w:rPr>
        <w:t>14</w:t>
      </w:r>
      <w:r w:rsidRPr="00D27DAA">
        <w:rPr>
          <w:rFonts w:ascii="Times New Roman" w:hAnsi="Times New Roman" w:cs="Times New Roman"/>
        </w:rPr>
        <w:fldChar w:fldCharType="end"/>
      </w:r>
      <w:r w:rsidR="001E1189" w:rsidRPr="00D27DAA">
        <w:rPr>
          <w:rFonts w:ascii="Times New Roman" w:hAnsi="Times New Roman" w:cs="Times New Roman"/>
        </w:rPr>
        <w:t xml:space="preserve">. </w:t>
      </w:r>
      <w:r w:rsidRPr="00D27DAA">
        <w:rPr>
          <w:rFonts w:ascii="Times New Roman" w:hAnsi="Times New Roman" w:cs="Times New Roman"/>
        </w:rPr>
        <w:t xml:space="preserve">The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Pr="00D27DAA">
        <w:rPr>
          <w:rFonts w:ascii="Times New Roman" w:hAnsi="Times New Roman" w:cs="Times New Roman"/>
        </w:rPr>
        <w:t xml:space="preserve">then </w:t>
      </w:r>
      <w:r w:rsidR="00190B4B" w:rsidRPr="00D27DAA">
        <w:rPr>
          <w:rFonts w:ascii="Times New Roman" w:hAnsi="Times New Roman" w:cs="Times New Roman"/>
        </w:rPr>
        <w:t>raises</w:t>
      </w:r>
      <w:r w:rsidR="001E1189" w:rsidRPr="00D27DAA">
        <w:rPr>
          <w:rFonts w:ascii="Times New Roman" w:hAnsi="Times New Roman" w:cs="Times New Roman"/>
        </w:rPr>
        <w:t xml:space="preserve"> up until the point of 700 days. </w:t>
      </w:r>
      <w:r w:rsidRPr="00D27DAA">
        <w:rPr>
          <w:rFonts w:ascii="Times New Roman" w:hAnsi="Times New Roman" w:cs="Times New Roman"/>
        </w:rPr>
        <w:t xml:space="preserve">From </w:t>
      </w:r>
      <w:r w:rsidRPr="00D27DAA">
        <w:rPr>
          <w:rFonts w:ascii="Times New Roman" w:hAnsi="Times New Roman" w:cs="Times New Roman"/>
        </w:rPr>
        <w:fldChar w:fldCharType="begin"/>
      </w:r>
      <w:r w:rsidRPr="00D27DAA">
        <w:rPr>
          <w:rFonts w:ascii="Times New Roman" w:hAnsi="Times New Roman" w:cs="Times New Roman"/>
        </w:rPr>
        <w:instrText xml:space="preserve"> REF _Ref508877423 \h </w:instrText>
      </w:r>
      <w:r w:rsidR="00BD5983" w:rsidRPr="00D27DAA">
        <w:rPr>
          <w:rFonts w:ascii="Times New Roman" w:hAnsi="Times New Roman" w:cs="Times New Roman"/>
        </w:rPr>
        <w:instrText xml:space="preserve"> \* MERGEFORMAT </w:instrText>
      </w:r>
      <w:r w:rsidRPr="00D27DAA">
        <w:rPr>
          <w:rFonts w:ascii="Times New Roman" w:hAnsi="Times New Roman" w:cs="Times New Roman"/>
        </w:rPr>
      </w:r>
      <w:r w:rsidRPr="00D27DAA">
        <w:rPr>
          <w:rFonts w:ascii="Times New Roman" w:hAnsi="Times New Roman" w:cs="Times New Roman"/>
        </w:rPr>
        <w:fldChar w:fldCharType="separate"/>
      </w:r>
      <w:r w:rsidRPr="00D27DAA">
        <w:rPr>
          <w:rFonts w:ascii="Times New Roman" w:hAnsi="Times New Roman" w:cs="Times New Roman"/>
        </w:rPr>
        <w:t xml:space="preserve">Figure </w:t>
      </w:r>
      <w:r w:rsidRPr="00D27DAA">
        <w:rPr>
          <w:rFonts w:ascii="Times New Roman" w:hAnsi="Times New Roman" w:cs="Times New Roman"/>
          <w:noProof/>
        </w:rPr>
        <w:t>15</w:t>
      </w:r>
      <w:r w:rsidRPr="00D27DAA">
        <w:rPr>
          <w:rFonts w:ascii="Times New Roman" w:hAnsi="Times New Roman" w:cs="Times New Roman"/>
        </w:rPr>
        <w:fldChar w:fldCharType="end"/>
      </w:r>
      <w:r w:rsidRPr="00D27DAA">
        <w:rPr>
          <w:rFonts w:ascii="Times New Roman" w:hAnsi="Times New Roman" w:cs="Times New Roman"/>
        </w:rPr>
        <w:t>, t</w:t>
      </w:r>
      <w:r w:rsidR="001E1189" w:rsidRPr="00D27DAA">
        <w:rPr>
          <w:rFonts w:ascii="Times New Roman" w:hAnsi="Times New Roman" w:cs="Times New Roman"/>
        </w:rPr>
        <w:t xml:space="preserve">he four rods all have a significant amount of </w:t>
      </w:r>
      <w:r w:rsidR="00190B4B" w:rsidRPr="00D27DAA">
        <w:rPr>
          <w:rFonts w:ascii="Times New Roman" w:hAnsi="Times New Roman" w:cs="Times New Roman"/>
        </w:rPr>
        <w:t>Gd</w:t>
      </w:r>
      <w:r w:rsidR="00190B4B" w:rsidRPr="00D27DAA">
        <w:rPr>
          <w:rFonts w:ascii="Times New Roman" w:hAnsi="Times New Roman" w:cs="Times New Roman"/>
          <w:vertAlign w:val="superscript"/>
        </w:rPr>
        <w:t xml:space="preserve">157 </w:t>
      </w:r>
      <w:r w:rsidRPr="00D27DAA">
        <w:rPr>
          <w:rFonts w:ascii="Times New Roman" w:hAnsi="Times New Roman" w:cs="Times New Roman"/>
        </w:rPr>
        <w:t>remaining</w:t>
      </w:r>
      <w:r w:rsidR="00190B4B" w:rsidRPr="00D27DAA">
        <w:rPr>
          <w:rFonts w:ascii="Times New Roman" w:hAnsi="Times New Roman" w:cs="Times New Roman"/>
        </w:rPr>
        <w:t>,</w:t>
      </w:r>
      <w:r w:rsidR="001E1189" w:rsidRPr="00D27DAA">
        <w:rPr>
          <w:rFonts w:ascii="Times New Roman" w:hAnsi="Times New Roman" w:cs="Times New Roman"/>
        </w:rPr>
        <w:t xml:space="preserve"> at this point still</w:t>
      </w:r>
      <w:r w:rsidRPr="00D27DAA">
        <w:rPr>
          <w:rFonts w:ascii="Times New Roman" w:hAnsi="Times New Roman" w:cs="Times New Roman"/>
        </w:rPr>
        <w:t>,</w:t>
      </w:r>
      <w:r w:rsidR="001E1189" w:rsidRPr="00D27DAA">
        <w:rPr>
          <w:rFonts w:ascii="Times New Roman" w:hAnsi="Times New Roman" w:cs="Times New Roman"/>
        </w:rPr>
        <w:t xml:space="preserve"> this is penalising the overall </w:t>
      </w:r>
      <w:r w:rsidRPr="00D27DAA">
        <w:rPr>
          <w:rFonts w:ascii="Times New Roman" w:hAnsi="Times New Roman" w:cs="Times New Roman"/>
        </w:rPr>
        <w:t>equivalent full power days</w:t>
      </w:r>
      <w:r w:rsidR="001E1189" w:rsidRPr="00D27DAA">
        <w:rPr>
          <w:rFonts w:ascii="Times New Roman" w:hAnsi="Times New Roman" w:cs="Times New Roman"/>
        </w:rPr>
        <w:t xml:space="preserve"> of the system. </w:t>
      </w:r>
      <w:r w:rsidR="0073209D" w:rsidRPr="00D27DAA">
        <w:rPr>
          <w:rFonts w:ascii="Times New Roman" w:hAnsi="Times New Roman" w:cs="Times New Roman"/>
        </w:rPr>
        <w:t xml:space="preserve">A further test was performed to determine the overall difference in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0073209D" w:rsidRPr="00D27DAA">
        <w:rPr>
          <w:rFonts w:ascii="Times New Roman" w:hAnsi="Times New Roman" w:cs="Times New Roman"/>
        </w:rPr>
        <w:t>between the single rod system and that of the four-rod system, as shown in</w:t>
      </w:r>
      <w:r w:rsidRPr="00D27DAA">
        <w:rPr>
          <w:rFonts w:ascii="Times New Roman" w:hAnsi="Times New Roman" w:cs="Times New Roman"/>
        </w:rPr>
        <w:t xml:space="preserve"> </w:t>
      </w:r>
      <w:r w:rsidRPr="00D27DAA">
        <w:rPr>
          <w:rFonts w:ascii="Times New Roman" w:hAnsi="Times New Roman" w:cs="Times New Roman"/>
        </w:rPr>
        <w:fldChar w:fldCharType="begin"/>
      </w:r>
      <w:r w:rsidRPr="00D27DAA">
        <w:rPr>
          <w:rFonts w:ascii="Times New Roman" w:hAnsi="Times New Roman" w:cs="Times New Roman"/>
        </w:rPr>
        <w:instrText xml:space="preserve"> REF _Ref508877919 \h </w:instrText>
      </w:r>
      <w:r w:rsidR="00BD5983" w:rsidRPr="00D27DAA">
        <w:rPr>
          <w:rFonts w:ascii="Times New Roman" w:hAnsi="Times New Roman" w:cs="Times New Roman"/>
        </w:rPr>
        <w:instrText xml:space="preserve"> \* MERGEFORMAT </w:instrText>
      </w:r>
      <w:r w:rsidRPr="00D27DAA">
        <w:rPr>
          <w:rFonts w:ascii="Times New Roman" w:hAnsi="Times New Roman" w:cs="Times New Roman"/>
        </w:rPr>
      </w:r>
      <w:r w:rsidRPr="00D27DAA">
        <w:rPr>
          <w:rFonts w:ascii="Times New Roman" w:hAnsi="Times New Roman" w:cs="Times New Roman"/>
        </w:rPr>
        <w:fldChar w:fldCharType="separate"/>
      </w:r>
      <w:r w:rsidRPr="00D27DAA">
        <w:rPr>
          <w:rFonts w:ascii="Times New Roman" w:hAnsi="Times New Roman" w:cs="Times New Roman"/>
        </w:rPr>
        <w:t xml:space="preserve">Figure </w:t>
      </w:r>
      <w:r w:rsidRPr="00D27DAA">
        <w:rPr>
          <w:rFonts w:ascii="Times New Roman" w:hAnsi="Times New Roman" w:cs="Times New Roman"/>
          <w:noProof/>
        </w:rPr>
        <w:t>16</w:t>
      </w:r>
      <w:r w:rsidRPr="00D27DAA">
        <w:rPr>
          <w:rFonts w:ascii="Times New Roman" w:hAnsi="Times New Roman" w:cs="Times New Roman"/>
        </w:rPr>
        <w:fldChar w:fldCharType="end"/>
      </w:r>
      <w:r w:rsidR="0073209D" w:rsidRPr="00D27DAA">
        <w:rPr>
          <w:rFonts w:ascii="Times New Roman" w:hAnsi="Times New Roman" w:cs="Times New Roman"/>
        </w:rPr>
        <w:t xml:space="preserve">. </w:t>
      </w:r>
    </w:p>
    <w:p w14:paraId="3951D107" w14:textId="7634F2CF" w:rsidR="00E103DF" w:rsidRPr="00D27DAA" w:rsidRDefault="00D55532" w:rsidP="00E103DF">
      <w:pPr>
        <w:keepNext/>
        <w:rPr>
          <w:rFonts w:ascii="Times New Roman" w:hAnsi="Times New Roman" w:cs="Times New Roman"/>
        </w:rPr>
      </w:pPr>
      <w:r w:rsidRPr="00D27DAA">
        <w:rPr>
          <w:noProof/>
        </w:rPr>
        <w:lastRenderedPageBreak/>
        <w:drawing>
          <wp:inline distT="0" distB="0" distL="0" distR="0" wp14:anchorId="547AFCA2" wp14:editId="3AD629CE">
            <wp:extent cx="5727700" cy="232664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2326640"/>
                    </a:xfrm>
                    <a:prstGeom prst="rect">
                      <a:avLst/>
                    </a:prstGeom>
                    <a:noFill/>
                    <a:ln>
                      <a:noFill/>
                    </a:ln>
                  </pic:spPr>
                </pic:pic>
              </a:graphicData>
            </a:graphic>
          </wp:inline>
        </w:drawing>
      </w:r>
    </w:p>
    <w:p w14:paraId="187ADA8D" w14:textId="52742A45" w:rsidR="00681B2E" w:rsidRPr="00D27DAA" w:rsidRDefault="00E103DF" w:rsidP="00E103DF">
      <w:pPr>
        <w:pStyle w:val="Caption"/>
        <w:jc w:val="center"/>
        <w:rPr>
          <w:rFonts w:ascii="Times New Roman" w:hAnsi="Times New Roman" w:cs="Times New Roman"/>
          <w:sz w:val="22"/>
          <w:szCs w:val="22"/>
        </w:rPr>
      </w:pPr>
      <w:bookmarkStart w:id="22" w:name="_Ref508877919"/>
      <w:r w:rsidRPr="00D27DAA">
        <w:rPr>
          <w:rFonts w:ascii="Times New Roman" w:hAnsi="Times New Roman" w:cs="Times New Roman"/>
          <w:sz w:val="22"/>
          <w:szCs w:val="22"/>
        </w:rPr>
        <w:t xml:space="preserve">Figure </w:t>
      </w:r>
      <w:r w:rsidR="00D1788F" w:rsidRPr="00D27DAA">
        <w:rPr>
          <w:rFonts w:ascii="Times New Roman" w:hAnsi="Times New Roman" w:cs="Times New Roman"/>
          <w:sz w:val="22"/>
          <w:szCs w:val="22"/>
        </w:rPr>
        <w:fldChar w:fldCharType="begin"/>
      </w:r>
      <w:r w:rsidR="00D1788F" w:rsidRPr="00D27DAA">
        <w:rPr>
          <w:rFonts w:ascii="Times New Roman" w:hAnsi="Times New Roman" w:cs="Times New Roman"/>
          <w:sz w:val="22"/>
          <w:szCs w:val="22"/>
        </w:rPr>
        <w:instrText xml:space="preserve"> SEQ Figure \* ARABIC </w:instrText>
      </w:r>
      <w:r w:rsidR="00D1788F"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16</w:t>
      </w:r>
      <w:r w:rsidR="00D1788F" w:rsidRPr="00D27DAA">
        <w:rPr>
          <w:rFonts w:ascii="Times New Roman" w:hAnsi="Times New Roman" w:cs="Times New Roman"/>
          <w:noProof/>
          <w:sz w:val="22"/>
          <w:szCs w:val="22"/>
        </w:rPr>
        <w:fldChar w:fldCharType="end"/>
      </w:r>
      <w:bookmarkEnd w:id="22"/>
      <w:r w:rsidRPr="00D27DAA">
        <w:rPr>
          <w:rFonts w:ascii="Times New Roman" w:hAnsi="Times New Roman" w:cs="Times New Roman"/>
          <w:sz w:val="22"/>
          <w:szCs w:val="22"/>
        </w:rPr>
        <w:t>- 1 and 4 rod models until 1.02 point</w:t>
      </w:r>
    </w:p>
    <w:p w14:paraId="4C52781B" w14:textId="7EB5A904" w:rsidR="00C41066" w:rsidRPr="00D27DAA" w:rsidRDefault="00C41066" w:rsidP="00C41066">
      <w:pPr>
        <w:rPr>
          <w:rFonts w:ascii="Times New Roman" w:hAnsi="Times New Roman" w:cs="Times New Roman"/>
        </w:rPr>
      </w:pPr>
      <w:r w:rsidRPr="00D27DAA">
        <w:rPr>
          <w:rFonts w:ascii="Times New Roman" w:hAnsi="Times New Roman" w:cs="Times New Roman"/>
        </w:rPr>
        <w:t>From</w:t>
      </w:r>
      <w:r w:rsidR="00E103DF" w:rsidRPr="00D27DAA">
        <w:rPr>
          <w:rFonts w:ascii="Times New Roman" w:hAnsi="Times New Roman" w:cs="Times New Roman"/>
        </w:rPr>
        <w:t xml:space="preserve"> </w:t>
      </w:r>
      <w:r w:rsidR="00E103DF" w:rsidRPr="00D27DAA">
        <w:rPr>
          <w:rFonts w:ascii="Times New Roman" w:hAnsi="Times New Roman" w:cs="Times New Roman"/>
        </w:rPr>
        <w:fldChar w:fldCharType="begin"/>
      </w:r>
      <w:r w:rsidR="00E103DF" w:rsidRPr="00D27DAA">
        <w:rPr>
          <w:rFonts w:ascii="Times New Roman" w:hAnsi="Times New Roman" w:cs="Times New Roman"/>
        </w:rPr>
        <w:instrText xml:space="preserve"> REF _Ref508877919 \h </w:instrText>
      </w:r>
      <w:r w:rsidR="00BD5983" w:rsidRPr="00D27DAA">
        <w:rPr>
          <w:rFonts w:ascii="Times New Roman" w:hAnsi="Times New Roman" w:cs="Times New Roman"/>
        </w:rPr>
        <w:instrText xml:space="preserve"> \* MERGEFORMAT </w:instrText>
      </w:r>
      <w:r w:rsidR="00E103DF" w:rsidRPr="00D27DAA">
        <w:rPr>
          <w:rFonts w:ascii="Times New Roman" w:hAnsi="Times New Roman" w:cs="Times New Roman"/>
        </w:rPr>
      </w:r>
      <w:r w:rsidR="00E103DF" w:rsidRPr="00D27DAA">
        <w:rPr>
          <w:rFonts w:ascii="Times New Roman" w:hAnsi="Times New Roman" w:cs="Times New Roman"/>
        </w:rPr>
        <w:fldChar w:fldCharType="separate"/>
      </w:r>
      <w:r w:rsidR="00F71E6F" w:rsidRPr="00D27DAA">
        <w:rPr>
          <w:rFonts w:ascii="Times New Roman" w:hAnsi="Times New Roman" w:cs="Times New Roman"/>
        </w:rPr>
        <w:t xml:space="preserve">Figure </w:t>
      </w:r>
      <w:r w:rsidR="00F71E6F" w:rsidRPr="00D27DAA">
        <w:rPr>
          <w:rFonts w:ascii="Times New Roman" w:hAnsi="Times New Roman" w:cs="Times New Roman"/>
          <w:noProof/>
        </w:rPr>
        <w:t>16</w:t>
      </w:r>
      <w:r w:rsidR="00E103DF" w:rsidRPr="00D27DAA">
        <w:rPr>
          <w:rFonts w:ascii="Times New Roman" w:hAnsi="Times New Roman" w:cs="Times New Roman"/>
        </w:rPr>
        <w:fldChar w:fldCharType="end"/>
      </w:r>
      <w:r w:rsidRPr="00D27DAA">
        <w:rPr>
          <w:rFonts w:ascii="Times New Roman" w:hAnsi="Times New Roman" w:cs="Times New Roman"/>
        </w:rPr>
        <w:t>, each of the designs with rods included, do</w:t>
      </w:r>
      <w:r w:rsidR="001C37A2" w:rsidRPr="00D27DAA">
        <w:rPr>
          <w:rFonts w:ascii="Times New Roman" w:hAnsi="Times New Roman" w:cs="Times New Roman"/>
        </w:rPr>
        <w:t>es</w:t>
      </w:r>
      <w:r w:rsidRPr="00D27DAA">
        <w:rPr>
          <w:rFonts w:ascii="Times New Roman" w:hAnsi="Times New Roman" w:cs="Times New Roman"/>
        </w:rPr>
        <w:t xml:space="preserve"> reduce the total lifetime in days. However, the total loss in days for a single rod is 62</w:t>
      </w:r>
      <w:r w:rsidR="00E340D7" w:rsidRPr="00D27DAA">
        <w:rPr>
          <w:rFonts w:ascii="Times New Roman" w:hAnsi="Times New Roman" w:cs="Times New Roman"/>
        </w:rPr>
        <w:t xml:space="preserve"> days</w:t>
      </w:r>
      <w:r w:rsidRPr="00D27DAA">
        <w:rPr>
          <w:rFonts w:ascii="Times New Roman" w:hAnsi="Times New Roman" w:cs="Times New Roman"/>
        </w:rPr>
        <w:t>, whereas this is increased to 186</w:t>
      </w:r>
      <w:r w:rsidR="00E340D7" w:rsidRPr="00D27DAA">
        <w:rPr>
          <w:rFonts w:ascii="Times New Roman" w:hAnsi="Times New Roman" w:cs="Times New Roman"/>
        </w:rPr>
        <w:t xml:space="preserve"> lost days</w:t>
      </w:r>
      <w:r w:rsidRPr="00D27DAA">
        <w:rPr>
          <w:rFonts w:ascii="Times New Roman" w:hAnsi="Times New Roman" w:cs="Times New Roman"/>
        </w:rPr>
        <w:t xml:space="preserve"> for four rods. Due to this severe lifetime impact, a single rod design was chosen to be the preferred method of control</w:t>
      </w:r>
      <w:r w:rsidR="00E340D7" w:rsidRPr="00D27DAA">
        <w:rPr>
          <w:rFonts w:ascii="Times New Roman" w:hAnsi="Times New Roman" w:cs="Times New Roman"/>
        </w:rPr>
        <w:t>, if there is no better way for reactivity compensation</w:t>
      </w:r>
      <w:r w:rsidRPr="00D27DAA">
        <w:rPr>
          <w:rFonts w:ascii="Times New Roman" w:hAnsi="Times New Roman" w:cs="Times New Roman"/>
        </w:rPr>
        <w:t xml:space="preserve">. </w:t>
      </w:r>
      <w:r w:rsidR="00E340D7" w:rsidRPr="00D27DAA">
        <w:rPr>
          <w:rFonts w:ascii="Times New Roman" w:hAnsi="Times New Roman" w:cs="Times New Roman"/>
        </w:rPr>
        <w:t xml:space="preserve">However, there is additional space for optimisation. </w:t>
      </w:r>
      <w:r w:rsidRPr="00D27DAA">
        <w:rPr>
          <w:rFonts w:ascii="Times New Roman" w:hAnsi="Times New Roman" w:cs="Times New Roman"/>
        </w:rPr>
        <w:t xml:space="preserve">This still leaves a significant increase in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Pr="00D27DAA">
        <w:rPr>
          <w:rFonts w:ascii="Times New Roman" w:hAnsi="Times New Roman" w:cs="Times New Roman"/>
        </w:rPr>
        <w:t xml:space="preserve">at the start of </w:t>
      </w:r>
      <w:r w:rsidR="00F71E6F" w:rsidRPr="00D27DAA">
        <w:rPr>
          <w:rFonts w:ascii="Times New Roman" w:hAnsi="Times New Roman" w:cs="Times New Roman"/>
        </w:rPr>
        <w:t>life but</w:t>
      </w:r>
      <w:r w:rsidR="00E103DF" w:rsidRPr="00D27DAA">
        <w:rPr>
          <w:rFonts w:ascii="Times New Roman" w:hAnsi="Times New Roman" w:cs="Times New Roman"/>
        </w:rPr>
        <w:t xml:space="preserve"> reduces the second peak slightly.</w:t>
      </w:r>
      <w:r w:rsidR="00EE20C9" w:rsidRPr="00D27DAA">
        <w:rPr>
          <w:rFonts w:ascii="Times New Roman" w:hAnsi="Times New Roman" w:cs="Times New Roman"/>
        </w:rPr>
        <w:t xml:space="preserve"> At this point the control rods were inserted at the peak of the 1 rod design, to the point of maximum depth</w:t>
      </w:r>
      <w:r w:rsidR="00F71E6F" w:rsidRPr="00D27DAA">
        <w:rPr>
          <w:rFonts w:ascii="Times New Roman" w:hAnsi="Times New Roman" w:cs="Times New Roman"/>
        </w:rPr>
        <w:t xml:space="preserve"> (320 cm)</w:t>
      </w:r>
      <w:r w:rsidR="00EE20C9" w:rsidRPr="00D27DAA">
        <w:rPr>
          <w:rFonts w:ascii="Times New Roman" w:hAnsi="Times New Roman" w:cs="Times New Roman"/>
        </w:rPr>
        <w:t xml:space="preserve">, the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00EE20C9" w:rsidRPr="00D27DAA">
        <w:rPr>
          <w:rFonts w:ascii="Times New Roman" w:hAnsi="Times New Roman" w:cs="Times New Roman"/>
        </w:rPr>
        <w:t xml:space="preserve">was reduced to </w:t>
      </w:r>
      <w:r w:rsidR="00D1788F" w:rsidRPr="00D27DAA">
        <w:rPr>
          <w:rFonts w:ascii="Times New Roman" w:hAnsi="Times New Roman" w:cs="Times New Roman"/>
        </w:rPr>
        <w:t>0.922</w:t>
      </w:r>
      <w:r w:rsidR="00EE20C9" w:rsidRPr="00D27DAA">
        <w:rPr>
          <w:rFonts w:ascii="Times New Roman" w:hAnsi="Times New Roman" w:cs="Times New Roman"/>
        </w:rPr>
        <w:t xml:space="preserve">, implying that under these conditions the reaction could easily be stopped under the control rods. </w:t>
      </w:r>
      <w:r w:rsidR="00D70034" w:rsidRPr="00D27DAA">
        <w:rPr>
          <w:rFonts w:ascii="Times New Roman" w:hAnsi="Times New Roman" w:cs="Times New Roman"/>
        </w:rPr>
        <w:t xml:space="preserve">To further this study an investigation was undertaken to determine the </w:t>
      </w:r>
      <w:r w:rsidR="0067680E" w:rsidRPr="00D27DAA">
        <w:rPr>
          <w:rFonts w:ascii="Times New Roman" w:hAnsi="Times New Roman" w:cs="Times New Roman"/>
        </w:rPr>
        <w:t>effect of malfunctioned control rods, which might not deploy due to issues with the control rod drive mechanism. This aimed to provide evidence on the amount of reactivity redundancy within the system, the results are shown in</w:t>
      </w:r>
      <w:r w:rsidR="00F71ED4" w:rsidRPr="00D27DAA">
        <w:rPr>
          <w:rFonts w:ascii="Times New Roman" w:hAnsi="Times New Roman" w:cs="Times New Roman"/>
        </w:rPr>
        <w:t xml:space="preserve"> </w:t>
      </w:r>
      <w:r w:rsidR="00F71ED4" w:rsidRPr="00D27DAA">
        <w:rPr>
          <w:rFonts w:ascii="Times New Roman" w:hAnsi="Times New Roman" w:cs="Times New Roman"/>
        </w:rPr>
        <w:fldChar w:fldCharType="begin"/>
      </w:r>
      <w:r w:rsidR="00F71ED4" w:rsidRPr="00D27DAA">
        <w:rPr>
          <w:rFonts w:ascii="Times New Roman" w:hAnsi="Times New Roman" w:cs="Times New Roman"/>
        </w:rPr>
        <w:instrText xml:space="preserve"> REF _Ref521934525 \h  \* MERGEFORMAT </w:instrText>
      </w:r>
      <w:r w:rsidR="00F71ED4" w:rsidRPr="00D27DAA">
        <w:rPr>
          <w:rFonts w:ascii="Times New Roman" w:hAnsi="Times New Roman" w:cs="Times New Roman"/>
        </w:rPr>
      </w:r>
      <w:r w:rsidR="00F71ED4" w:rsidRPr="00D27DAA">
        <w:rPr>
          <w:rFonts w:ascii="Times New Roman" w:hAnsi="Times New Roman" w:cs="Times New Roman"/>
        </w:rPr>
        <w:fldChar w:fldCharType="separate"/>
      </w:r>
      <w:r w:rsidR="00F71ED4" w:rsidRPr="00D27DAA">
        <w:rPr>
          <w:rFonts w:ascii="Times New Roman" w:hAnsi="Times New Roman" w:cs="Times New Roman"/>
        </w:rPr>
        <w:t xml:space="preserve">Table </w:t>
      </w:r>
      <w:r w:rsidR="00F71ED4" w:rsidRPr="00D27DAA">
        <w:rPr>
          <w:rFonts w:ascii="Times New Roman" w:hAnsi="Times New Roman" w:cs="Times New Roman"/>
          <w:noProof/>
        </w:rPr>
        <w:t>3</w:t>
      </w:r>
      <w:r w:rsidR="00F71ED4" w:rsidRPr="00D27DAA">
        <w:rPr>
          <w:rFonts w:ascii="Times New Roman" w:hAnsi="Times New Roman" w:cs="Times New Roman"/>
        </w:rPr>
        <w:fldChar w:fldCharType="end"/>
      </w:r>
      <w:r w:rsidR="0067680E" w:rsidRPr="00D27DAA">
        <w:rPr>
          <w:rFonts w:ascii="Times New Roman" w:hAnsi="Times New Roman" w:cs="Times New Roman"/>
        </w:rPr>
        <w:t>.</w:t>
      </w:r>
    </w:p>
    <w:p w14:paraId="78FE00E8" w14:textId="0A0C8A16" w:rsidR="00F71ED4" w:rsidRPr="00D27DAA" w:rsidRDefault="00F71ED4" w:rsidP="00F71ED4">
      <w:pPr>
        <w:pStyle w:val="Caption"/>
        <w:keepNext/>
      </w:pPr>
      <w:bookmarkStart w:id="23" w:name="_Ref521934525"/>
      <w:r w:rsidRPr="00D27DAA">
        <w:t xml:space="preserve">Table </w:t>
      </w:r>
      <w:fldSimple w:instr=" SEQ Table \* ARABIC ">
        <w:r w:rsidRPr="00D27DAA">
          <w:rPr>
            <w:noProof/>
          </w:rPr>
          <w:t>3</w:t>
        </w:r>
      </w:fldSimple>
      <w:bookmarkEnd w:id="23"/>
      <w:r w:rsidRPr="00D27DAA">
        <w:t xml:space="preserve">- </w:t>
      </w:r>
      <w:proofErr w:type="spellStart"/>
      <w:r w:rsidRPr="00D27DAA">
        <w:t>K</w:t>
      </w:r>
      <w:r w:rsidRPr="00D27DAA">
        <w:rPr>
          <w:vertAlign w:val="subscript"/>
        </w:rPr>
        <w:t>eff</w:t>
      </w:r>
      <w:proofErr w:type="spellEnd"/>
      <w:r w:rsidRPr="00D27DAA">
        <w:rPr>
          <w:vertAlign w:val="subscript"/>
        </w:rPr>
        <w:t xml:space="preserve"> </w:t>
      </w:r>
      <w:r w:rsidRPr="00D27DAA">
        <w:t>during the Stuck rods during the highest reactivity point in the cycle</w:t>
      </w:r>
    </w:p>
    <w:tbl>
      <w:tblPr>
        <w:tblW w:w="7088" w:type="dxa"/>
        <w:jc w:val="center"/>
        <w:tblLook w:val="04A0" w:firstRow="1" w:lastRow="0" w:firstColumn="1" w:lastColumn="0" w:noHBand="0" w:noVBand="1"/>
      </w:tblPr>
      <w:tblGrid>
        <w:gridCol w:w="2760"/>
        <w:gridCol w:w="1320"/>
        <w:gridCol w:w="3008"/>
      </w:tblGrid>
      <w:tr w:rsidR="00F63E67" w:rsidRPr="00D27DAA" w14:paraId="65E47577" w14:textId="77777777" w:rsidTr="00F71ED4">
        <w:trPr>
          <w:trHeight w:val="645"/>
          <w:jc w:val="center"/>
        </w:trPr>
        <w:tc>
          <w:tcPr>
            <w:tcW w:w="2760" w:type="dxa"/>
            <w:tcBorders>
              <w:top w:val="nil"/>
              <w:left w:val="nil"/>
              <w:bottom w:val="double" w:sz="6" w:space="0" w:color="auto"/>
              <w:right w:val="nil"/>
            </w:tcBorders>
            <w:shd w:val="clear" w:color="auto" w:fill="auto"/>
            <w:vAlign w:val="center"/>
            <w:hideMark/>
          </w:tcPr>
          <w:p w14:paraId="75D465DA" w14:textId="77777777" w:rsidR="00F63E67" w:rsidRPr="00D27DAA" w:rsidRDefault="00F63E67" w:rsidP="00F63E67">
            <w:pPr>
              <w:suppressAutoHyphens w:val="0"/>
              <w:spacing w:after="0" w:line="240" w:lineRule="auto"/>
              <w:jc w:val="center"/>
              <w:rPr>
                <w:rFonts w:eastAsia="Times New Roman" w:cs="Times New Roman"/>
                <w:color w:val="000000"/>
                <w:sz w:val="24"/>
                <w:szCs w:val="24"/>
                <w:lang w:eastAsia="en-GB"/>
              </w:rPr>
            </w:pPr>
            <w:r w:rsidRPr="00D27DAA">
              <w:rPr>
                <w:rFonts w:eastAsia="Times New Roman" w:cs="Times New Roman"/>
                <w:color w:val="000000"/>
                <w:sz w:val="24"/>
                <w:szCs w:val="24"/>
                <w:lang w:eastAsia="en-GB"/>
              </w:rPr>
              <w:t>Number of stuck rods</w:t>
            </w:r>
          </w:p>
        </w:tc>
        <w:tc>
          <w:tcPr>
            <w:tcW w:w="1320" w:type="dxa"/>
            <w:tcBorders>
              <w:top w:val="nil"/>
              <w:left w:val="nil"/>
              <w:bottom w:val="double" w:sz="6" w:space="0" w:color="auto"/>
              <w:right w:val="nil"/>
            </w:tcBorders>
            <w:shd w:val="clear" w:color="auto" w:fill="auto"/>
            <w:vAlign w:val="center"/>
            <w:hideMark/>
          </w:tcPr>
          <w:p w14:paraId="705457E6" w14:textId="77777777" w:rsidR="00F63E67" w:rsidRPr="00D27DAA" w:rsidRDefault="00F63E67" w:rsidP="00F63E67">
            <w:pPr>
              <w:suppressAutoHyphens w:val="0"/>
              <w:spacing w:after="0" w:line="240" w:lineRule="auto"/>
              <w:jc w:val="center"/>
              <w:rPr>
                <w:rFonts w:eastAsia="Times New Roman" w:cs="Times New Roman"/>
                <w:color w:val="000000"/>
                <w:sz w:val="24"/>
                <w:szCs w:val="24"/>
                <w:lang w:eastAsia="en-GB"/>
              </w:rPr>
            </w:pPr>
            <w:proofErr w:type="spellStart"/>
            <w:r w:rsidRPr="00D27DAA">
              <w:rPr>
                <w:rFonts w:eastAsia="Times New Roman" w:cs="Times New Roman"/>
                <w:color w:val="000000"/>
                <w:sz w:val="24"/>
                <w:szCs w:val="24"/>
                <w:lang w:eastAsia="en-GB"/>
              </w:rPr>
              <w:t>K</w:t>
            </w:r>
            <w:r w:rsidRPr="00D27DAA">
              <w:rPr>
                <w:rFonts w:eastAsia="Times New Roman" w:cs="Times New Roman"/>
                <w:color w:val="000000"/>
                <w:sz w:val="24"/>
                <w:szCs w:val="24"/>
                <w:vertAlign w:val="subscript"/>
                <w:lang w:eastAsia="en-GB"/>
              </w:rPr>
              <w:t>eff</w:t>
            </w:r>
            <w:proofErr w:type="spellEnd"/>
          </w:p>
        </w:tc>
        <w:tc>
          <w:tcPr>
            <w:tcW w:w="3008" w:type="dxa"/>
            <w:tcBorders>
              <w:top w:val="nil"/>
              <w:left w:val="nil"/>
              <w:bottom w:val="double" w:sz="6" w:space="0" w:color="auto"/>
              <w:right w:val="nil"/>
            </w:tcBorders>
            <w:shd w:val="clear" w:color="auto" w:fill="auto"/>
            <w:vAlign w:val="center"/>
            <w:hideMark/>
          </w:tcPr>
          <w:p w14:paraId="6EBD0E8F" w14:textId="77777777" w:rsidR="00F63E67" w:rsidRPr="00D27DAA" w:rsidRDefault="00F63E67" w:rsidP="00F63E67">
            <w:pPr>
              <w:suppressAutoHyphens w:val="0"/>
              <w:spacing w:after="0" w:line="240" w:lineRule="auto"/>
              <w:jc w:val="center"/>
              <w:rPr>
                <w:rFonts w:eastAsia="Times New Roman" w:cs="Times New Roman"/>
                <w:color w:val="000000"/>
                <w:sz w:val="24"/>
                <w:szCs w:val="24"/>
                <w:lang w:eastAsia="en-GB"/>
              </w:rPr>
            </w:pPr>
            <w:r w:rsidRPr="00D27DAA">
              <w:rPr>
                <w:rFonts w:eastAsia="Times New Roman" w:cs="Times New Roman"/>
                <w:color w:val="000000"/>
                <w:sz w:val="24"/>
                <w:szCs w:val="24"/>
                <w:lang w:eastAsia="en-GB"/>
              </w:rPr>
              <w:t>95% confidence error pcm</w:t>
            </w:r>
          </w:p>
        </w:tc>
      </w:tr>
      <w:tr w:rsidR="00F63E67" w:rsidRPr="00D27DAA" w14:paraId="71974F7D" w14:textId="77777777" w:rsidTr="00F71ED4">
        <w:trPr>
          <w:trHeight w:val="330"/>
          <w:jc w:val="center"/>
        </w:trPr>
        <w:tc>
          <w:tcPr>
            <w:tcW w:w="2760" w:type="dxa"/>
            <w:tcBorders>
              <w:top w:val="nil"/>
              <w:left w:val="nil"/>
              <w:bottom w:val="nil"/>
              <w:right w:val="nil"/>
            </w:tcBorders>
            <w:shd w:val="clear" w:color="auto" w:fill="auto"/>
            <w:vAlign w:val="center"/>
            <w:hideMark/>
          </w:tcPr>
          <w:p w14:paraId="087B3744" w14:textId="77777777" w:rsidR="00F63E67" w:rsidRPr="00D27DAA" w:rsidRDefault="00F63E67" w:rsidP="00F63E67">
            <w:pPr>
              <w:suppressAutoHyphens w:val="0"/>
              <w:spacing w:after="0" w:line="240" w:lineRule="auto"/>
              <w:jc w:val="center"/>
              <w:rPr>
                <w:rFonts w:eastAsia="Times New Roman" w:cs="Times New Roman"/>
                <w:color w:val="000000"/>
                <w:sz w:val="24"/>
                <w:szCs w:val="24"/>
                <w:lang w:eastAsia="en-GB"/>
              </w:rPr>
            </w:pPr>
            <w:r w:rsidRPr="00D27DAA">
              <w:rPr>
                <w:rFonts w:eastAsia="Times New Roman" w:cs="Times New Roman"/>
                <w:color w:val="000000"/>
                <w:sz w:val="24"/>
                <w:szCs w:val="24"/>
                <w:lang w:eastAsia="en-GB"/>
              </w:rPr>
              <w:t>1</w:t>
            </w:r>
          </w:p>
        </w:tc>
        <w:tc>
          <w:tcPr>
            <w:tcW w:w="1320" w:type="dxa"/>
            <w:tcBorders>
              <w:top w:val="nil"/>
              <w:left w:val="nil"/>
              <w:bottom w:val="nil"/>
              <w:right w:val="nil"/>
            </w:tcBorders>
            <w:shd w:val="clear" w:color="auto" w:fill="auto"/>
            <w:vAlign w:val="center"/>
            <w:hideMark/>
          </w:tcPr>
          <w:p w14:paraId="7A03E7CB" w14:textId="77777777" w:rsidR="00F63E67" w:rsidRPr="00D27DAA" w:rsidRDefault="00F63E67" w:rsidP="00F63E67">
            <w:pPr>
              <w:suppressAutoHyphens w:val="0"/>
              <w:spacing w:after="0" w:line="240" w:lineRule="auto"/>
              <w:jc w:val="center"/>
              <w:rPr>
                <w:rFonts w:eastAsia="Times New Roman" w:cs="Times New Roman"/>
                <w:color w:val="000000"/>
                <w:sz w:val="24"/>
                <w:szCs w:val="24"/>
                <w:lang w:eastAsia="en-GB"/>
              </w:rPr>
            </w:pPr>
            <w:r w:rsidRPr="00D27DAA">
              <w:rPr>
                <w:rFonts w:eastAsia="Times New Roman" w:cs="Times New Roman"/>
                <w:color w:val="000000"/>
                <w:sz w:val="24"/>
                <w:szCs w:val="24"/>
                <w:lang w:eastAsia="en-GB"/>
              </w:rPr>
              <w:t>0.91658</w:t>
            </w:r>
          </w:p>
        </w:tc>
        <w:tc>
          <w:tcPr>
            <w:tcW w:w="3008" w:type="dxa"/>
            <w:tcBorders>
              <w:top w:val="nil"/>
              <w:left w:val="nil"/>
              <w:bottom w:val="nil"/>
              <w:right w:val="nil"/>
            </w:tcBorders>
            <w:shd w:val="clear" w:color="auto" w:fill="auto"/>
            <w:noWrap/>
            <w:vAlign w:val="center"/>
            <w:hideMark/>
          </w:tcPr>
          <w:p w14:paraId="02E04A84" w14:textId="77777777" w:rsidR="00F63E67" w:rsidRPr="00D27DAA" w:rsidRDefault="00F63E67" w:rsidP="00F63E67">
            <w:pPr>
              <w:suppressAutoHyphens w:val="0"/>
              <w:spacing w:after="0" w:line="240" w:lineRule="auto"/>
              <w:jc w:val="center"/>
              <w:rPr>
                <w:rFonts w:eastAsia="Times New Roman" w:cs="Times New Roman"/>
                <w:color w:val="000000"/>
                <w:sz w:val="24"/>
                <w:szCs w:val="24"/>
                <w:lang w:eastAsia="en-GB"/>
              </w:rPr>
            </w:pPr>
            <w:r w:rsidRPr="00D27DAA">
              <w:rPr>
                <w:rFonts w:eastAsia="Times New Roman" w:cs="Times New Roman"/>
                <w:color w:val="000000"/>
                <w:sz w:val="24"/>
                <w:szCs w:val="24"/>
                <w:lang w:eastAsia="en-GB"/>
              </w:rPr>
              <w:t>123</w:t>
            </w:r>
          </w:p>
        </w:tc>
      </w:tr>
      <w:tr w:rsidR="00F63E67" w:rsidRPr="00D27DAA" w14:paraId="5419C332" w14:textId="77777777" w:rsidTr="00F71ED4">
        <w:trPr>
          <w:trHeight w:val="315"/>
          <w:jc w:val="center"/>
        </w:trPr>
        <w:tc>
          <w:tcPr>
            <w:tcW w:w="2760" w:type="dxa"/>
            <w:tcBorders>
              <w:top w:val="nil"/>
              <w:left w:val="nil"/>
              <w:bottom w:val="nil"/>
              <w:right w:val="nil"/>
            </w:tcBorders>
            <w:shd w:val="clear" w:color="auto" w:fill="auto"/>
            <w:vAlign w:val="center"/>
            <w:hideMark/>
          </w:tcPr>
          <w:p w14:paraId="54D16EB0" w14:textId="77777777" w:rsidR="00F63E67" w:rsidRPr="00D27DAA" w:rsidRDefault="00F63E67" w:rsidP="00F63E67">
            <w:pPr>
              <w:suppressAutoHyphens w:val="0"/>
              <w:spacing w:after="0" w:line="240" w:lineRule="auto"/>
              <w:jc w:val="center"/>
              <w:rPr>
                <w:rFonts w:eastAsia="Times New Roman" w:cs="Times New Roman"/>
                <w:color w:val="000000"/>
                <w:sz w:val="24"/>
                <w:szCs w:val="24"/>
                <w:lang w:eastAsia="en-GB"/>
              </w:rPr>
            </w:pPr>
            <w:r w:rsidRPr="00D27DAA">
              <w:rPr>
                <w:rFonts w:eastAsia="Times New Roman" w:cs="Times New Roman"/>
                <w:color w:val="000000"/>
                <w:sz w:val="24"/>
                <w:szCs w:val="24"/>
                <w:lang w:eastAsia="en-GB"/>
              </w:rPr>
              <w:t>2</w:t>
            </w:r>
          </w:p>
        </w:tc>
        <w:tc>
          <w:tcPr>
            <w:tcW w:w="1320" w:type="dxa"/>
            <w:tcBorders>
              <w:top w:val="nil"/>
              <w:left w:val="nil"/>
              <w:bottom w:val="nil"/>
              <w:right w:val="nil"/>
            </w:tcBorders>
            <w:shd w:val="clear" w:color="auto" w:fill="auto"/>
            <w:vAlign w:val="center"/>
            <w:hideMark/>
          </w:tcPr>
          <w:p w14:paraId="019045A9" w14:textId="77777777" w:rsidR="00F63E67" w:rsidRPr="00D27DAA" w:rsidRDefault="00F63E67" w:rsidP="00F63E67">
            <w:pPr>
              <w:suppressAutoHyphens w:val="0"/>
              <w:spacing w:after="0" w:line="240" w:lineRule="auto"/>
              <w:jc w:val="center"/>
              <w:rPr>
                <w:rFonts w:eastAsia="Times New Roman" w:cs="Times New Roman"/>
                <w:color w:val="000000"/>
                <w:sz w:val="24"/>
                <w:szCs w:val="24"/>
                <w:lang w:eastAsia="en-GB"/>
              </w:rPr>
            </w:pPr>
            <w:r w:rsidRPr="00D27DAA">
              <w:rPr>
                <w:rFonts w:eastAsia="Times New Roman" w:cs="Times New Roman"/>
                <w:color w:val="000000"/>
                <w:sz w:val="24"/>
                <w:szCs w:val="24"/>
                <w:lang w:eastAsia="en-GB"/>
              </w:rPr>
              <w:t>0.93979</w:t>
            </w:r>
          </w:p>
        </w:tc>
        <w:tc>
          <w:tcPr>
            <w:tcW w:w="3008" w:type="dxa"/>
            <w:tcBorders>
              <w:top w:val="nil"/>
              <w:left w:val="nil"/>
              <w:bottom w:val="nil"/>
              <w:right w:val="nil"/>
            </w:tcBorders>
            <w:shd w:val="clear" w:color="auto" w:fill="auto"/>
            <w:noWrap/>
            <w:vAlign w:val="center"/>
            <w:hideMark/>
          </w:tcPr>
          <w:p w14:paraId="16CD1134" w14:textId="77777777" w:rsidR="00F63E67" w:rsidRPr="00D27DAA" w:rsidRDefault="00F63E67" w:rsidP="00F63E67">
            <w:pPr>
              <w:suppressAutoHyphens w:val="0"/>
              <w:spacing w:after="0" w:line="240" w:lineRule="auto"/>
              <w:jc w:val="center"/>
              <w:rPr>
                <w:rFonts w:eastAsia="Times New Roman" w:cs="Times New Roman"/>
                <w:color w:val="000000"/>
                <w:sz w:val="24"/>
                <w:szCs w:val="24"/>
                <w:lang w:eastAsia="en-GB"/>
              </w:rPr>
            </w:pPr>
            <w:r w:rsidRPr="00D27DAA">
              <w:rPr>
                <w:rFonts w:eastAsia="Times New Roman" w:cs="Times New Roman"/>
                <w:color w:val="000000"/>
                <w:sz w:val="24"/>
                <w:szCs w:val="24"/>
                <w:lang w:eastAsia="en-GB"/>
              </w:rPr>
              <w:t>105</w:t>
            </w:r>
          </w:p>
        </w:tc>
      </w:tr>
      <w:tr w:rsidR="00F63E67" w:rsidRPr="00D27DAA" w14:paraId="46EC31C7" w14:textId="77777777" w:rsidTr="00F71ED4">
        <w:trPr>
          <w:trHeight w:val="315"/>
          <w:jc w:val="center"/>
        </w:trPr>
        <w:tc>
          <w:tcPr>
            <w:tcW w:w="2760" w:type="dxa"/>
            <w:tcBorders>
              <w:top w:val="nil"/>
              <w:left w:val="nil"/>
              <w:bottom w:val="nil"/>
              <w:right w:val="nil"/>
            </w:tcBorders>
            <w:shd w:val="clear" w:color="auto" w:fill="auto"/>
            <w:vAlign w:val="center"/>
            <w:hideMark/>
          </w:tcPr>
          <w:p w14:paraId="7B622931" w14:textId="77777777" w:rsidR="00F63E67" w:rsidRPr="00D27DAA" w:rsidRDefault="00F63E67" w:rsidP="00F63E67">
            <w:pPr>
              <w:suppressAutoHyphens w:val="0"/>
              <w:spacing w:after="0" w:line="240" w:lineRule="auto"/>
              <w:jc w:val="center"/>
              <w:rPr>
                <w:rFonts w:eastAsia="Times New Roman" w:cs="Times New Roman"/>
                <w:color w:val="000000"/>
                <w:sz w:val="24"/>
                <w:szCs w:val="24"/>
                <w:lang w:eastAsia="en-GB"/>
              </w:rPr>
            </w:pPr>
            <w:r w:rsidRPr="00D27DAA">
              <w:rPr>
                <w:rFonts w:eastAsia="Times New Roman" w:cs="Times New Roman"/>
                <w:color w:val="000000"/>
                <w:sz w:val="24"/>
                <w:szCs w:val="24"/>
                <w:lang w:eastAsia="en-GB"/>
              </w:rPr>
              <w:t>3</w:t>
            </w:r>
          </w:p>
        </w:tc>
        <w:tc>
          <w:tcPr>
            <w:tcW w:w="1320" w:type="dxa"/>
            <w:tcBorders>
              <w:top w:val="nil"/>
              <w:left w:val="nil"/>
              <w:bottom w:val="nil"/>
              <w:right w:val="nil"/>
            </w:tcBorders>
            <w:shd w:val="clear" w:color="auto" w:fill="auto"/>
            <w:vAlign w:val="center"/>
            <w:hideMark/>
          </w:tcPr>
          <w:p w14:paraId="7FD34504" w14:textId="77777777" w:rsidR="00F63E67" w:rsidRPr="00D27DAA" w:rsidRDefault="00F63E67" w:rsidP="00F63E67">
            <w:pPr>
              <w:suppressAutoHyphens w:val="0"/>
              <w:spacing w:after="0" w:line="240" w:lineRule="auto"/>
              <w:jc w:val="center"/>
              <w:rPr>
                <w:rFonts w:eastAsia="Times New Roman" w:cs="Times New Roman"/>
                <w:color w:val="000000"/>
                <w:sz w:val="24"/>
                <w:szCs w:val="24"/>
                <w:lang w:eastAsia="en-GB"/>
              </w:rPr>
            </w:pPr>
            <w:r w:rsidRPr="00D27DAA">
              <w:rPr>
                <w:rFonts w:eastAsia="Times New Roman" w:cs="Times New Roman"/>
                <w:color w:val="000000"/>
                <w:sz w:val="24"/>
                <w:szCs w:val="24"/>
                <w:lang w:eastAsia="en-GB"/>
              </w:rPr>
              <w:t>0.96428</w:t>
            </w:r>
          </w:p>
        </w:tc>
        <w:tc>
          <w:tcPr>
            <w:tcW w:w="3008" w:type="dxa"/>
            <w:tcBorders>
              <w:top w:val="nil"/>
              <w:left w:val="nil"/>
              <w:bottom w:val="nil"/>
              <w:right w:val="nil"/>
            </w:tcBorders>
            <w:shd w:val="clear" w:color="auto" w:fill="auto"/>
            <w:noWrap/>
            <w:vAlign w:val="center"/>
            <w:hideMark/>
          </w:tcPr>
          <w:p w14:paraId="670BB358" w14:textId="77777777" w:rsidR="00F63E67" w:rsidRPr="00D27DAA" w:rsidRDefault="00F63E67" w:rsidP="00F63E67">
            <w:pPr>
              <w:suppressAutoHyphens w:val="0"/>
              <w:spacing w:after="0" w:line="240" w:lineRule="auto"/>
              <w:jc w:val="center"/>
              <w:rPr>
                <w:rFonts w:eastAsia="Times New Roman" w:cs="Times New Roman"/>
                <w:color w:val="000000"/>
                <w:sz w:val="24"/>
                <w:szCs w:val="24"/>
                <w:lang w:eastAsia="en-GB"/>
              </w:rPr>
            </w:pPr>
            <w:r w:rsidRPr="00D27DAA">
              <w:rPr>
                <w:rFonts w:eastAsia="Times New Roman" w:cs="Times New Roman"/>
                <w:color w:val="000000"/>
                <w:sz w:val="24"/>
                <w:szCs w:val="24"/>
                <w:lang w:eastAsia="en-GB"/>
              </w:rPr>
              <w:t>131</w:t>
            </w:r>
          </w:p>
        </w:tc>
      </w:tr>
      <w:tr w:rsidR="00F63E67" w:rsidRPr="00D27DAA" w14:paraId="4FA65AFF" w14:textId="77777777" w:rsidTr="00F71ED4">
        <w:trPr>
          <w:trHeight w:val="315"/>
          <w:jc w:val="center"/>
        </w:trPr>
        <w:tc>
          <w:tcPr>
            <w:tcW w:w="2760" w:type="dxa"/>
            <w:tcBorders>
              <w:top w:val="nil"/>
              <w:left w:val="nil"/>
              <w:bottom w:val="nil"/>
              <w:right w:val="nil"/>
            </w:tcBorders>
            <w:shd w:val="clear" w:color="auto" w:fill="auto"/>
            <w:vAlign w:val="center"/>
            <w:hideMark/>
          </w:tcPr>
          <w:p w14:paraId="6E3E6DF7" w14:textId="77777777" w:rsidR="00F63E67" w:rsidRPr="00D27DAA" w:rsidRDefault="00F63E67" w:rsidP="00F63E67">
            <w:pPr>
              <w:suppressAutoHyphens w:val="0"/>
              <w:spacing w:after="0" w:line="240" w:lineRule="auto"/>
              <w:jc w:val="center"/>
              <w:rPr>
                <w:rFonts w:eastAsia="Times New Roman" w:cs="Times New Roman"/>
                <w:color w:val="000000"/>
                <w:sz w:val="24"/>
                <w:szCs w:val="24"/>
                <w:lang w:eastAsia="en-GB"/>
              </w:rPr>
            </w:pPr>
            <w:r w:rsidRPr="00D27DAA">
              <w:rPr>
                <w:rFonts w:eastAsia="Times New Roman" w:cs="Times New Roman"/>
                <w:color w:val="000000"/>
                <w:sz w:val="24"/>
                <w:szCs w:val="24"/>
                <w:lang w:eastAsia="en-GB"/>
              </w:rPr>
              <w:t>4</w:t>
            </w:r>
          </w:p>
        </w:tc>
        <w:tc>
          <w:tcPr>
            <w:tcW w:w="1320" w:type="dxa"/>
            <w:tcBorders>
              <w:top w:val="nil"/>
              <w:left w:val="nil"/>
              <w:bottom w:val="nil"/>
              <w:right w:val="nil"/>
            </w:tcBorders>
            <w:shd w:val="clear" w:color="auto" w:fill="auto"/>
            <w:vAlign w:val="center"/>
            <w:hideMark/>
          </w:tcPr>
          <w:p w14:paraId="6C0D924A" w14:textId="77777777" w:rsidR="00F63E67" w:rsidRPr="00D27DAA" w:rsidRDefault="00F63E67" w:rsidP="00F63E67">
            <w:pPr>
              <w:suppressAutoHyphens w:val="0"/>
              <w:spacing w:after="0" w:line="240" w:lineRule="auto"/>
              <w:jc w:val="center"/>
              <w:rPr>
                <w:rFonts w:eastAsia="Times New Roman" w:cs="Times New Roman"/>
                <w:color w:val="000000"/>
                <w:sz w:val="24"/>
                <w:szCs w:val="24"/>
                <w:lang w:eastAsia="en-GB"/>
              </w:rPr>
            </w:pPr>
            <w:r w:rsidRPr="00D27DAA">
              <w:rPr>
                <w:rFonts w:eastAsia="Times New Roman" w:cs="Times New Roman"/>
                <w:color w:val="000000"/>
                <w:sz w:val="24"/>
                <w:szCs w:val="24"/>
                <w:lang w:eastAsia="en-GB"/>
              </w:rPr>
              <w:t>0.98667</w:t>
            </w:r>
          </w:p>
        </w:tc>
        <w:tc>
          <w:tcPr>
            <w:tcW w:w="3008" w:type="dxa"/>
            <w:tcBorders>
              <w:top w:val="nil"/>
              <w:left w:val="nil"/>
              <w:bottom w:val="nil"/>
              <w:right w:val="nil"/>
            </w:tcBorders>
            <w:shd w:val="clear" w:color="auto" w:fill="auto"/>
            <w:noWrap/>
            <w:vAlign w:val="center"/>
            <w:hideMark/>
          </w:tcPr>
          <w:p w14:paraId="5FB220EF" w14:textId="77777777" w:rsidR="00F63E67" w:rsidRPr="00D27DAA" w:rsidRDefault="00F63E67" w:rsidP="00F63E67">
            <w:pPr>
              <w:suppressAutoHyphens w:val="0"/>
              <w:spacing w:after="0" w:line="240" w:lineRule="auto"/>
              <w:jc w:val="center"/>
              <w:rPr>
                <w:rFonts w:eastAsia="Times New Roman" w:cs="Times New Roman"/>
                <w:color w:val="000000"/>
                <w:sz w:val="24"/>
                <w:szCs w:val="24"/>
                <w:lang w:eastAsia="en-GB"/>
              </w:rPr>
            </w:pPr>
            <w:r w:rsidRPr="00D27DAA">
              <w:rPr>
                <w:rFonts w:eastAsia="Times New Roman" w:cs="Times New Roman"/>
                <w:color w:val="000000"/>
                <w:sz w:val="24"/>
                <w:szCs w:val="24"/>
                <w:lang w:eastAsia="en-GB"/>
              </w:rPr>
              <w:t>120</w:t>
            </w:r>
          </w:p>
        </w:tc>
      </w:tr>
      <w:tr w:rsidR="00F63E67" w:rsidRPr="00D27DAA" w14:paraId="4E590FED" w14:textId="77777777" w:rsidTr="00F71ED4">
        <w:trPr>
          <w:trHeight w:val="315"/>
          <w:jc w:val="center"/>
        </w:trPr>
        <w:tc>
          <w:tcPr>
            <w:tcW w:w="2760" w:type="dxa"/>
            <w:tcBorders>
              <w:top w:val="nil"/>
              <w:left w:val="nil"/>
              <w:bottom w:val="nil"/>
              <w:right w:val="nil"/>
            </w:tcBorders>
            <w:shd w:val="clear" w:color="auto" w:fill="auto"/>
            <w:vAlign w:val="center"/>
            <w:hideMark/>
          </w:tcPr>
          <w:p w14:paraId="3BFDD13D" w14:textId="77777777" w:rsidR="00F63E67" w:rsidRPr="00D27DAA" w:rsidRDefault="00F63E67" w:rsidP="00F63E67">
            <w:pPr>
              <w:suppressAutoHyphens w:val="0"/>
              <w:spacing w:after="0" w:line="240" w:lineRule="auto"/>
              <w:jc w:val="center"/>
              <w:rPr>
                <w:rFonts w:eastAsia="Times New Roman" w:cs="Times New Roman"/>
                <w:color w:val="000000"/>
                <w:sz w:val="24"/>
                <w:szCs w:val="24"/>
                <w:lang w:eastAsia="en-GB"/>
              </w:rPr>
            </w:pPr>
            <w:r w:rsidRPr="00D27DAA">
              <w:rPr>
                <w:rFonts w:eastAsia="Times New Roman" w:cs="Times New Roman"/>
                <w:color w:val="000000"/>
                <w:sz w:val="24"/>
                <w:szCs w:val="24"/>
                <w:lang w:eastAsia="en-GB"/>
              </w:rPr>
              <w:t>5</w:t>
            </w:r>
          </w:p>
        </w:tc>
        <w:tc>
          <w:tcPr>
            <w:tcW w:w="1320" w:type="dxa"/>
            <w:tcBorders>
              <w:top w:val="nil"/>
              <w:left w:val="nil"/>
              <w:bottom w:val="nil"/>
              <w:right w:val="nil"/>
            </w:tcBorders>
            <w:shd w:val="clear" w:color="auto" w:fill="auto"/>
            <w:vAlign w:val="center"/>
            <w:hideMark/>
          </w:tcPr>
          <w:p w14:paraId="1350DA85" w14:textId="77777777" w:rsidR="00F63E67" w:rsidRPr="00D27DAA" w:rsidRDefault="00F63E67" w:rsidP="00F63E67">
            <w:pPr>
              <w:suppressAutoHyphens w:val="0"/>
              <w:spacing w:after="0" w:line="240" w:lineRule="auto"/>
              <w:jc w:val="center"/>
              <w:rPr>
                <w:rFonts w:eastAsia="Times New Roman" w:cs="Times New Roman"/>
                <w:color w:val="000000"/>
                <w:sz w:val="24"/>
                <w:szCs w:val="24"/>
                <w:lang w:eastAsia="en-GB"/>
              </w:rPr>
            </w:pPr>
            <w:r w:rsidRPr="00D27DAA">
              <w:rPr>
                <w:rFonts w:eastAsia="Times New Roman" w:cs="Times New Roman"/>
                <w:color w:val="000000"/>
                <w:sz w:val="24"/>
                <w:szCs w:val="24"/>
                <w:lang w:eastAsia="en-GB"/>
              </w:rPr>
              <w:t>1.01104</w:t>
            </w:r>
          </w:p>
        </w:tc>
        <w:tc>
          <w:tcPr>
            <w:tcW w:w="3008" w:type="dxa"/>
            <w:tcBorders>
              <w:top w:val="nil"/>
              <w:left w:val="nil"/>
              <w:bottom w:val="nil"/>
              <w:right w:val="nil"/>
            </w:tcBorders>
            <w:shd w:val="clear" w:color="auto" w:fill="auto"/>
            <w:noWrap/>
            <w:vAlign w:val="center"/>
            <w:hideMark/>
          </w:tcPr>
          <w:p w14:paraId="1FDBCD20" w14:textId="77777777" w:rsidR="00F63E67" w:rsidRPr="00D27DAA" w:rsidRDefault="00F63E67" w:rsidP="00F63E67">
            <w:pPr>
              <w:suppressAutoHyphens w:val="0"/>
              <w:spacing w:after="0" w:line="240" w:lineRule="auto"/>
              <w:jc w:val="center"/>
              <w:rPr>
                <w:rFonts w:eastAsia="Times New Roman" w:cs="Times New Roman"/>
                <w:color w:val="000000"/>
                <w:sz w:val="24"/>
                <w:szCs w:val="24"/>
                <w:lang w:eastAsia="en-GB"/>
              </w:rPr>
            </w:pPr>
            <w:r w:rsidRPr="00D27DAA">
              <w:rPr>
                <w:rFonts w:eastAsia="Times New Roman" w:cs="Times New Roman"/>
                <w:color w:val="000000"/>
                <w:sz w:val="24"/>
                <w:szCs w:val="24"/>
                <w:lang w:eastAsia="en-GB"/>
              </w:rPr>
              <w:t>97</w:t>
            </w:r>
          </w:p>
        </w:tc>
      </w:tr>
    </w:tbl>
    <w:p w14:paraId="6E287E41" w14:textId="2280823F" w:rsidR="0067680E" w:rsidRPr="00D27DAA" w:rsidRDefault="0067680E" w:rsidP="00C41066">
      <w:pPr>
        <w:rPr>
          <w:rFonts w:ascii="Times New Roman" w:hAnsi="Times New Roman" w:cs="Times New Roman"/>
        </w:rPr>
      </w:pPr>
    </w:p>
    <w:p w14:paraId="37115D77" w14:textId="77777777" w:rsidR="0067680E" w:rsidRPr="00D27DAA" w:rsidRDefault="0067680E" w:rsidP="00C41066">
      <w:pPr>
        <w:rPr>
          <w:rFonts w:ascii="Times New Roman" w:hAnsi="Times New Roman" w:cs="Times New Roman"/>
        </w:rPr>
      </w:pPr>
    </w:p>
    <w:p w14:paraId="48EEF849" w14:textId="0EE5204B" w:rsidR="00F71ED4" w:rsidRPr="00D27DAA" w:rsidRDefault="00F71ED4" w:rsidP="00C41066">
      <w:pPr>
        <w:rPr>
          <w:rFonts w:ascii="Times New Roman" w:hAnsi="Times New Roman" w:cs="Times New Roman"/>
        </w:rPr>
      </w:pPr>
      <w:r w:rsidRPr="00D27DAA">
        <w:rPr>
          <w:rFonts w:ascii="Times New Roman" w:hAnsi="Times New Roman" w:cs="Times New Roman"/>
        </w:rPr>
        <w:lastRenderedPageBreak/>
        <w:fldChar w:fldCharType="begin"/>
      </w:r>
      <w:r w:rsidRPr="00D27DAA">
        <w:rPr>
          <w:rFonts w:ascii="Times New Roman" w:hAnsi="Times New Roman" w:cs="Times New Roman"/>
        </w:rPr>
        <w:instrText xml:space="preserve"> REF _Ref521934558 \h  \* MERGEFORMAT </w:instrText>
      </w:r>
      <w:r w:rsidRPr="00D27DAA">
        <w:rPr>
          <w:rFonts w:ascii="Times New Roman" w:hAnsi="Times New Roman" w:cs="Times New Roman"/>
        </w:rPr>
      </w:r>
      <w:r w:rsidRPr="00D27DAA">
        <w:rPr>
          <w:rFonts w:ascii="Times New Roman" w:hAnsi="Times New Roman" w:cs="Times New Roman"/>
        </w:rPr>
        <w:fldChar w:fldCharType="separate"/>
      </w:r>
      <w:r w:rsidRPr="00D27DAA">
        <w:rPr>
          <w:rFonts w:ascii="Times New Roman" w:hAnsi="Times New Roman" w:cs="Times New Roman"/>
        </w:rPr>
        <w:t xml:space="preserve">Table </w:t>
      </w:r>
      <w:r w:rsidRPr="00D27DAA">
        <w:rPr>
          <w:rFonts w:ascii="Times New Roman" w:hAnsi="Times New Roman" w:cs="Times New Roman"/>
          <w:noProof/>
        </w:rPr>
        <w:t>4</w:t>
      </w:r>
      <w:r w:rsidRPr="00D27DAA">
        <w:rPr>
          <w:rFonts w:ascii="Times New Roman" w:hAnsi="Times New Roman" w:cs="Times New Roman"/>
        </w:rPr>
        <w:fldChar w:fldCharType="end"/>
      </w:r>
      <w:r w:rsidRPr="00D27DAA">
        <w:rPr>
          <w:rFonts w:ascii="Times New Roman" w:hAnsi="Times New Roman" w:cs="Times New Roman"/>
        </w:rPr>
        <w:t xml:space="preserve"> highlights that during an accident scenario there is the potential in the control rod design to provide </w:t>
      </w:r>
      <w:proofErr w:type="gramStart"/>
      <w:r w:rsidRPr="00D27DAA">
        <w:rPr>
          <w:rFonts w:ascii="Times New Roman" w:hAnsi="Times New Roman" w:cs="Times New Roman"/>
        </w:rPr>
        <w:t>sufficient</w:t>
      </w:r>
      <w:proofErr w:type="gramEnd"/>
      <w:r w:rsidRPr="00D27DAA">
        <w:rPr>
          <w:rFonts w:ascii="Times New Roman" w:hAnsi="Times New Roman" w:cs="Times New Roman"/>
        </w:rPr>
        <w:t xml:space="preserve"> reactivity reduction that four out of the six rods can be stuck, and the core will still be subcritical. This is reassuring from a design perspective due to the amounts of redundancy the design has already built into it. </w:t>
      </w:r>
    </w:p>
    <w:p w14:paraId="4E8FAB00" w14:textId="3E426E60" w:rsidR="00421018" w:rsidRPr="00D27DAA" w:rsidRDefault="008C4D29" w:rsidP="00C41066">
      <w:pPr>
        <w:rPr>
          <w:rFonts w:ascii="Times New Roman" w:hAnsi="Times New Roman" w:cs="Times New Roman"/>
        </w:rPr>
      </w:pPr>
      <w:r w:rsidRPr="00D27DAA">
        <w:rPr>
          <w:rFonts w:ascii="Times New Roman" w:hAnsi="Times New Roman" w:cs="Times New Roman"/>
        </w:rPr>
        <w:t>When considering the remaining activity, this is still significantly large to be held down by the form of control rods, due to the flux suppression to the bottom of the core</w:t>
      </w:r>
      <w:r w:rsidR="004638BE" w:rsidRPr="00D27DAA">
        <w:rPr>
          <w:rFonts w:ascii="Times New Roman" w:hAnsi="Times New Roman" w:cs="Times New Roman"/>
        </w:rPr>
        <w:t xml:space="preserve"> which will lead to an unacceptable power distribution</w:t>
      </w:r>
      <w:r w:rsidRPr="00D27DAA">
        <w:rPr>
          <w:rFonts w:ascii="Times New Roman" w:hAnsi="Times New Roman" w:cs="Times New Roman"/>
        </w:rPr>
        <w:t xml:space="preserve">. To accommodate this, a novel method of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Pr="00D27DAA">
        <w:rPr>
          <w:rFonts w:ascii="Times New Roman" w:hAnsi="Times New Roman" w:cs="Times New Roman"/>
        </w:rPr>
        <w:t>reduction is used in the form of variable moderation</w:t>
      </w:r>
      <w:r w:rsidR="003B1077" w:rsidRPr="00D27DAA">
        <w:rPr>
          <w:rFonts w:ascii="Times New Roman" w:hAnsi="Times New Roman" w:cs="Times New Roman"/>
        </w:rPr>
        <w:t xml:space="preserve"> which is covered in detailed in the literature </w:t>
      </w:r>
      <w:r w:rsidR="003B1077" w:rsidRPr="00D27DAA">
        <w:rPr>
          <w:rFonts w:ascii="Times New Roman" w:hAnsi="Times New Roman" w:cs="Times New Roman"/>
        </w:rPr>
        <w:fldChar w:fldCharType="begin" w:fldLock="1"/>
      </w:r>
      <w:r w:rsidR="00B51E83" w:rsidRPr="00D27DAA">
        <w:rPr>
          <w:rFonts w:ascii="Times New Roman" w:hAnsi="Times New Roman" w:cs="Times New Roman"/>
        </w:rPr>
        <w:instrText>ADDIN CSL_CITATION {"citationItems":[{"id":"ITEM-1","itemData":{"DOI":"10.3390/en11071897","ISSN":"1996-1073","abstract":"&lt;p&gt;With extensive research being undertaken into small modular reactor design concepts, this has brought new challenges to the industry. One key challenge is to be able to compete with large scale nuclear power plants economically. In this article, a novel approach is applied to reduce the overall dependence on fixed burnable poisons during high reactivity periods within a high temperature graphite moderated reactor. To reduce the excess activity, we aim to harden the flux spectrum across the core by removing part of the central moderation column, thus breeding more plutonium, in a later period the flux spectrum is softened again to utilise this plutonium again. This provides a neutron storage effect within the 238U and the resulting breeding of Plutonium. Due to the small size and the annular design of the high temperature reactor, the central reflector is key to the thermalization process. By removing a large proportion of the central reflector, the fuel within the proximity of the central reflector are less likely to receive neutrons within the thermal energy range. In addition to this, the fuel at the extremities of the core have a higher chance of fission due to the higher number of neutrons reaching them. This works as a method of balancing the power distribution between the central and outside fuel pins. During points of low reactivity, such as the end of the fuel cycle, the central reflector can be reinserted and the additionally bred plutonium and U235 at the centre of the core will encounter a higher probability of fission due to more thermal neutrons within this region. By removing the central reflector, this provided a 320 pcm reactivity drop for the duration of the fuel cycle. The plutonium buildup provided additional fissile material up until the central reflector was reinserted. The described method created a two-fold benefit. The overall full power days within the core was increased by ~31 days due to the additional fissile material within the core and secondly the highest loaded power pins saw a 30% power reduction during the removal of the central reflector column.&lt;/p&gt;","author":[{"dropping-particle":"","family":"Atkinson","given":"Seddon","non-dropping-particle":"","parse-names":false,"suffix":""},{"dropping-particle":"","family":"Litskevich","given":"Dzianis","non-dropping-particle":"","parse-names":false,"suffix":""},{"dropping-particle":"","family":"Merk","given":"Bruno","non-dropping-particle":"","parse-names":false,"suffix":""}],"container-title":"Energies","id":"ITEM-1","issue":"7","issued":{"date-parts":[["2018"]]},"page":"1897","title":"Variable Reactivity Control in Small Modular High Temperature Reactors Using Moderation Manipulation Techniques","type":"article-journal","volume":"11"},"suffix":" 2","uris":["http://www.mendeley.com/documents/?uuid=c82db05a-d04c-4ecc-a541-e0cbe5171143"]}],"mendeley":{"formattedCitation":"(Seddon Atkinson et al., 2018 2)","plainTextFormattedCitation":"(Seddon Atkinson et al., 2018 2)","previouslyFormattedCitation":"(Seddon Atkinson et al., 2018 2)"},"properties":{"noteIndex":0},"schema":"https://github.com/citation-style-language/schema/raw/master/csl-citation.json"}</w:instrText>
      </w:r>
      <w:r w:rsidR="003B1077" w:rsidRPr="00D27DAA">
        <w:rPr>
          <w:rFonts w:ascii="Times New Roman" w:hAnsi="Times New Roman" w:cs="Times New Roman"/>
        </w:rPr>
        <w:fldChar w:fldCharType="separate"/>
      </w:r>
      <w:r w:rsidR="00B51E83" w:rsidRPr="00D27DAA">
        <w:rPr>
          <w:rFonts w:ascii="Times New Roman" w:hAnsi="Times New Roman" w:cs="Times New Roman"/>
          <w:noProof/>
        </w:rPr>
        <w:t>(Seddon Atkinson et al., 2018 2)</w:t>
      </w:r>
      <w:r w:rsidR="003B1077" w:rsidRPr="00D27DAA">
        <w:rPr>
          <w:rFonts w:ascii="Times New Roman" w:hAnsi="Times New Roman" w:cs="Times New Roman"/>
        </w:rPr>
        <w:fldChar w:fldCharType="end"/>
      </w:r>
      <w:r w:rsidRPr="00D27DAA">
        <w:rPr>
          <w:rFonts w:ascii="Times New Roman" w:hAnsi="Times New Roman" w:cs="Times New Roman"/>
        </w:rPr>
        <w:t xml:space="preserve">. </w:t>
      </w:r>
      <w:r w:rsidR="00F71E6F" w:rsidRPr="00D27DAA">
        <w:rPr>
          <w:rFonts w:ascii="Times New Roman" w:hAnsi="Times New Roman" w:cs="Times New Roman"/>
        </w:rPr>
        <w:t xml:space="preserve">Due to the small size of the core the central reflector has a significant effect on the thermalisation of neutrons. By manipulating the position of the central reflector, the thermal neutrons within the system should dramatically reduce, thus significantly reducing the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00F71E6F" w:rsidRPr="00D27DAA">
        <w:rPr>
          <w:rFonts w:ascii="Times New Roman" w:hAnsi="Times New Roman" w:cs="Times New Roman"/>
        </w:rPr>
        <w:t xml:space="preserve">of the system. </w:t>
      </w:r>
    </w:p>
    <w:p w14:paraId="78F2EB35" w14:textId="79540EAF" w:rsidR="008C4D29" w:rsidRPr="00D27DAA" w:rsidRDefault="008C4D29" w:rsidP="00C41066">
      <w:pPr>
        <w:rPr>
          <w:rFonts w:ascii="Times New Roman" w:hAnsi="Times New Roman" w:cs="Times New Roman"/>
        </w:rPr>
      </w:pPr>
      <w:r w:rsidRPr="00D27DAA">
        <w:rPr>
          <w:rFonts w:ascii="Times New Roman" w:hAnsi="Times New Roman" w:cs="Times New Roman"/>
        </w:rPr>
        <w:t xml:space="preserve">For this </w:t>
      </w:r>
      <w:r w:rsidR="00237A65" w:rsidRPr="00D27DAA">
        <w:rPr>
          <w:rFonts w:ascii="Times New Roman" w:hAnsi="Times New Roman" w:cs="Times New Roman"/>
        </w:rPr>
        <w:t>case</w:t>
      </w:r>
      <w:r w:rsidRPr="00D27DAA">
        <w:rPr>
          <w:rFonts w:ascii="Times New Roman" w:hAnsi="Times New Roman" w:cs="Times New Roman"/>
        </w:rPr>
        <w:t xml:space="preserve"> the </w:t>
      </w:r>
      <w:r w:rsidR="00F71E6F" w:rsidRPr="00D27DAA">
        <w:rPr>
          <w:rFonts w:ascii="Times New Roman" w:hAnsi="Times New Roman" w:cs="Times New Roman"/>
        </w:rPr>
        <w:t xml:space="preserve">variable part </w:t>
      </w:r>
      <w:r w:rsidRPr="00D27DAA">
        <w:rPr>
          <w:rFonts w:ascii="Times New Roman" w:hAnsi="Times New Roman" w:cs="Times New Roman"/>
        </w:rPr>
        <w:t xml:space="preserve">central reflector </w:t>
      </w:r>
      <w:r w:rsidR="00732D37" w:rsidRPr="00D27DAA">
        <w:rPr>
          <w:rFonts w:ascii="Times New Roman" w:hAnsi="Times New Roman" w:cs="Times New Roman"/>
        </w:rPr>
        <w:t>has</w:t>
      </w:r>
      <w:r w:rsidR="00E103DF" w:rsidRPr="00D27DAA">
        <w:rPr>
          <w:rFonts w:ascii="Times New Roman" w:hAnsi="Times New Roman" w:cs="Times New Roman"/>
        </w:rPr>
        <w:t xml:space="preserve"> a 26 cm diameter </w:t>
      </w:r>
      <w:r w:rsidR="00732D37" w:rsidRPr="00D27DAA">
        <w:rPr>
          <w:rFonts w:ascii="Times New Roman" w:hAnsi="Times New Roman" w:cs="Times New Roman"/>
        </w:rPr>
        <w:t>cylinder</w:t>
      </w:r>
      <w:r w:rsidR="00E103DF" w:rsidRPr="00D27DAA">
        <w:rPr>
          <w:rFonts w:ascii="Times New Roman" w:hAnsi="Times New Roman" w:cs="Times New Roman"/>
        </w:rPr>
        <w:t xml:space="preserve"> cut from the centre</w:t>
      </w:r>
      <w:r w:rsidR="00732D37" w:rsidRPr="00D27DAA">
        <w:rPr>
          <w:rFonts w:ascii="Times New Roman" w:hAnsi="Times New Roman" w:cs="Times New Roman"/>
        </w:rPr>
        <w:t xml:space="preserve"> as shown in </w:t>
      </w:r>
      <w:r w:rsidR="00732D37" w:rsidRPr="00D27DAA">
        <w:rPr>
          <w:rFonts w:ascii="Times New Roman" w:hAnsi="Times New Roman" w:cs="Times New Roman"/>
        </w:rPr>
        <w:fldChar w:fldCharType="begin"/>
      </w:r>
      <w:r w:rsidR="00732D37" w:rsidRPr="00D27DAA">
        <w:rPr>
          <w:rFonts w:ascii="Times New Roman" w:hAnsi="Times New Roman" w:cs="Times New Roman"/>
        </w:rPr>
        <w:instrText xml:space="preserve"> REF _Ref508878546 \h </w:instrText>
      </w:r>
      <w:r w:rsidR="00BD5983" w:rsidRPr="00D27DAA">
        <w:rPr>
          <w:rFonts w:ascii="Times New Roman" w:hAnsi="Times New Roman" w:cs="Times New Roman"/>
        </w:rPr>
        <w:instrText xml:space="preserve"> \* MERGEFORMAT </w:instrText>
      </w:r>
      <w:r w:rsidR="00732D37" w:rsidRPr="00D27DAA">
        <w:rPr>
          <w:rFonts w:ascii="Times New Roman" w:hAnsi="Times New Roman" w:cs="Times New Roman"/>
        </w:rPr>
      </w:r>
      <w:r w:rsidR="00732D37" w:rsidRPr="00D27DAA">
        <w:rPr>
          <w:rFonts w:ascii="Times New Roman" w:hAnsi="Times New Roman" w:cs="Times New Roman"/>
        </w:rPr>
        <w:fldChar w:fldCharType="separate"/>
      </w:r>
      <w:r w:rsidR="00F71E6F" w:rsidRPr="00D27DAA">
        <w:rPr>
          <w:rFonts w:ascii="Times New Roman" w:hAnsi="Times New Roman" w:cs="Times New Roman"/>
        </w:rPr>
        <w:t xml:space="preserve">Figure </w:t>
      </w:r>
      <w:r w:rsidR="00F71E6F" w:rsidRPr="00D27DAA">
        <w:rPr>
          <w:rFonts w:ascii="Times New Roman" w:hAnsi="Times New Roman" w:cs="Times New Roman"/>
          <w:noProof/>
        </w:rPr>
        <w:t>17</w:t>
      </w:r>
      <w:r w:rsidR="00732D37" w:rsidRPr="00D27DAA">
        <w:rPr>
          <w:rFonts w:ascii="Times New Roman" w:hAnsi="Times New Roman" w:cs="Times New Roman"/>
        </w:rPr>
        <w:fldChar w:fldCharType="end"/>
      </w:r>
      <w:r w:rsidR="00E103DF" w:rsidRPr="00D27DAA">
        <w:rPr>
          <w:rFonts w:ascii="Times New Roman" w:hAnsi="Times New Roman" w:cs="Times New Roman"/>
        </w:rPr>
        <w:t xml:space="preserve">. This </w:t>
      </w:r>
      <w:r w:rsidR="00732D37" w:rsidRPr="00D27DAA">
        <w:rPr>
          <w:rFonts w:ascii="Times New Roman" w:hAnsi="Times New Roman" w:cs="Times New Roman"/>
        </w:rPr>
        <w:t>cylinder</w:t>
      </w:r>
      <w:r w:rsidR="00E103DF" w:rsidRPr="00D27DAA">
        <w:rPr>
          <w:rFonts w:ascii="Times New Roman" w:hAnsi="Times New Roman" w:cs="Times New Roman"/>
        </w:rPr>
        <w:t xml:space="preserve"> can then be</w:t>
      </w:r>
      <w:r w:rsidR="00732D37" w:rsidRPr="00D27DAA">
        <w:rPr>
          <w:rFonts w:ascii="Times New Roman" w:hAnsi="Times New Roman" w:cs="Times New Roman"/>
        </w:rPr>
        <w:t xml:space="preserve"> manoeuvred to change the moderation within the centre of the core. </w:t>
      </w:r>
    </w:p>
    <w:p w14:paraId="5D5BADC1" w14:textId="77777777" w:rsidR="00732D37" w:rsidRPr="00D27DAA" w:rsidRDefault="008C4D29" w:rsidP="00732D37">
      <w:pPr>
        <w:keepNext/>
        <w:jc w:val="center"/>
        <w:rPr>
          <w:rFonts w:ascii="Times New Roman" w:hAnsi="Times New Roman" w:cs="Times New Roman"/>
        </w:rPr>
      </w:pPr>
      <w:r w:rsidRPr="00D27DAA">
        <w:rPr>
          <w:rFonts w:ascii="Times New Roman" w:hAnsi="Times New Roman" w:cs="Times New Roman"/>
          <w:noProof/>
          <w:lang w:eastAsia="en-GB"/>
        </w:rPr>
        <w:drawing>
          <wp:inline distT="0" distB="0" distL="0" distR="0" wp14:anchorId="1F15F042" wp14:editId="27AECE93">
            <wp:extent cx="4400550" cy="32643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08596" cy="3270279"/>
                    </a:xfrm>
                    <a:prstGeom prst="rect">
                      <a:avLst/>
                    </a:prstGeom>
                  </pic:spPr>
                </pic:pic>
              </a:graphicData>
            </a:graphic>
          </wp:inline>
        </w:drawing>
      </w:r>
    </w:p>
    <w:p w14:paraId="66FE61DE" w14:textId="3283A0BD" w:rsidR="008C4D29" w:rsidRPr="00D27DAA" w:rsidRDefault="00732D37" w:rsidP="00732D37">
      <w:pPr>
        <w:pStyle w:val="Caption"/>
        <w:jc w:val="center"/>
        <w:rPr>
          <w:rFonts w:ascii="Times New Roman" w:hAnsi="Times New Roman" w:cs="Times New Roman"/>
          <w:sz w:val="22"/>
          <w:szCs w:val="22"/>
        </w:rPr>
      </w:pPr>
      <w:bookmarkStart w:id="24" w:name="_Ref508878546"/>
      <w:r w:rsidRPr="00D27DAA">
        <w:rPr>
          <w:rFonts w:ascii="Times New Roman" w:hAnsi="Times New Roman" w:cs="Times New Roman"/>
          <w:sz w:val="22"/>
          <w:szCs w:val="22"/>
        </w:rPr>
        <w:t xml:space="preserve">Figure </w:t>
      </w:r>
      <w:r w:rsidR="00D1788F" w:rsidRPr="00D27DAA">
        <w:rPr>
          <w:rFonts w:ascii="Times New Roman" w:hAnsi="Times New Roman" w:cs="Times New Roman"/>
          <w:sz w:val="22"/>
          <w:szCs w:val="22"/>
        </w:rPr>
        <w:fldChar w:fldCharType="begin"/>
      </w:r>
      <w:r w:rsidR="00D1788F" w:rsidRPr="00D27DAA">
        <w:rPr>
          <w:rFonts w:ascii="Times New Roman" w:hAnsi="Times New Roman" w:cs="Times New Roman"/>
          <w:sz w:val="22"/>
          <w:szCs w:val="22"/>
        </w:rPr>
        <w:instrText xml:space="preserve"> SEQ Figure \* ARABIC </w:instrText>
      </w:r>
      <w:r w:rsidR="00D1788F"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17</w:t>
      </w:r>
      <w:r w:rsidR="00D1788F" w:rsidRPr="00D27DAA">
        <w:rPr>
          <w:rFonts w:ascii="Times New Roman" w:hAnsi="Times New Roman" w:cs="Times New Roman"/>
          <w:noProof/>
          <w:sz w:val="22"/>
          <w:szCs w:val="22"/>
        </w:rPr>
        <w:fldChar w:fldCharType="end"/>
      </w:r>
      <w:bookmarkEnd w:id="24"/>
      <w:r w:rsidRPr="00D27DAA">
        <w:rPr>
          <w:rFonts w:ascii="Times New Roman" w:hAnsi="Times New Roman" w:cs="Times New Roman"/>
          <w:sz w:val="22"/>
          <w:szCs w:val="22"/>
        </w:rPr>
        <w:t>- Variable central reflector, while removed the centre becomes helium based</w:t>
      </w:r>
    </w:p>
    <w:p w14:paraId="71B5AFF1" w14:textId="4DDA0714" w:rsidR="00EE20C9" w:rsidRPr="00D27DAA" w:rsidRDefault="00EE20C9" w:rsidP="00EE20C9">
      <w:pPr>
        <w:rPr>
          <w:rFonts w:ascii="Times New Roman" w:hAnsi="Times New Roman" w:cs="Times New Roman"/>
        </w:rPr>
      </w:pPr>
      <w:r w:rsidRPr="00D27DAA">
        <w:rPr>
          <w:rFonts w:ascii="Times New Roman" w:hAnsi="Times New Roman" w:cs="Times New Roman"/>
        </w:rPr>
        <w:lastRenderedPageBreak/>
        <w:t xml:space="preserve">The </w:t>
      </w:r>
      <w:r w:rsidR="00F12609" w:rsidRPr="00D27DAA">
        <w:rPr>
          <w:rFonts w:ascii="Times New Roman" w:hAnsi="Times New Roman" w:cs="Times New Roman"/>
        </w:rPr>
        <w:t>moveable moderator</w:t>
      </w:r>
      <w:r w:rsidRPr="00D27DAA">
        <w:rPr>
          <w:rFonts w:ascii="Times New Roman" w:hAnsi="Times New Roman" w:cs="Times New Roman"/>
        </w:rPr>
        <w:t xml:space="preserve"> would not be limited to </w:t>
      </w:r>
      <w:r w:rsidR="006A58B8" w:rsidRPr="00D27DAA">
        <w:rPr>
          <w:rFonts w:ascii="Times New Roman" w:hAnsi="Times New Roman" w:cs="Times New Roman"/>
        </w:rPr>
        <w:t xml:space="preserve">a </w:t>
      </w:r>
      <w:proofErr w:type="spellStart"/>
      <w:r w:rsidR="006A58B8" w:rsidRPr="00D27DAA">
        <w:rPr>
          <w:rFonts w:ascii="Times New Roman" w:hAnsi="Times New Roman" w:cs="Times New Roman"/>
        </w:rPr>
        <w:t>K</w:t>
      </w:r>
      <w:r w:rsidR="006A58B8" w:rsidRPr="00D27DAA">
        <w:rPr>
          <w:rFonts w:ascii="Times New Roman" w:hAnsi="Times New Roman" w:cs="Times New Roman"/>
          <w:vertAlign w:val="subscript"/>
        </w:rPr>
        <w:t>eff</w:t>
      </w:r>
      <w:proofErr w:type="spellEnd"/>
      <w:r w:rsidR="006A58B8" w:rsidRPr="00D27DAA">
        <w:rPr>
          <w:rFonts w:ascii="Times New Roman" w:hAnsi="Times New Roman" w:cs="Times New Roman"/>
        </w:rPr>
        <w:t xml:space="preserve"> value of </w:t>
      </w:r>
      <w:r w:rsidRPr="00D27DAA">
        <w:rPr>
          <w:rFonts w:ascii="Times New Roman" w:hAnsi="Times New Roman" w:cs="Times New Roman"/>
        </w:rPr>
        <w:t xml:space="preserve">1.02, as with the poisons as this method of control is variable, implying that the central reflector manoeuvring </w:t>
      </w:r>
      <w:r w:rsidR="00F71E6F" w:rsidRPr="00D27DAA">
        <w:rPr>
          <w:rFonts w:ascii="Times New Roman" w:hAnsi="Times New Roman" w:cs="Times New Roman"/>
        </w:rPr>
        <w:t>c</w:t>
      </w:r>
      <w:r w:rsidRPr="00D27DAA">
        <w:rPr>
          <w:rFonts w:ascii="Times New Roman" w:hAnsi="Times New Roman" w:cs="Times New Roman"/>
        </w:rPr>
        <w:t xml:space="preserve">ould be used in conjunction with the control rods. Due to the change in moderation not having a significant </w:t>
      </w:r>
      <w:r w:rsidR="004638BE" w:rsidRPr="00D27DAA">
        <w:rPr>
          <w:rFonts w:ascii="Times New Roman" w:hAnsi="Times New Roman" w:cs="Times New Roman"/>
        </w:rPr>
        <w:t xml:space="preserve">negative effect in the </w:t>
      </w:r>
      <w:r w:rsidRPr="00D27DAA">
        <w:rPr>
          <w:rFonts w:ascii="Times New Roman" w:hAnsi="Times New Roman" w:cs="Times New Roman"/>
        </w:rPr>
        <w:t xml:space="preserve">neutron economy, it would be preferred to move the central reflector than the control rods, however, use of the central reflector should require </w:t>
      </w:r>
      <w:r w:rsidR="00F71E6F" w:rsidRPr="00D27DAA">
        <w:rPr>
          <w:rFonts w:ascii="Times New Roman" w:hAnsi="Times New Roman" w:cs="Times New Roman"/>
        </w:rPr>
        <w:t>user input</w:t>
      </w:r>
      <w:r w:rsidRPr="00D27DAA">
        <w:rPr>
          <w:rFonts w:ascii="Times New Roman" w:hAnsi="Times New Roman" w:cs="Times New Roman"/>
        </w:rPr>
        <w:t>.</w:t>
      </w:r>
    </w:p>
    <w:p w14:paraId="4D4E8AE7" w14:textId="3BB38B4B" w:rsidR="007317D3" w:rsidRPr="00D27DAA" w:rsidRDefault="007317D3" w:rsidP="008C4D29">
      <w:pPr>
        <w:rPr>
          <w:rFonts w:ascii="Times New Roman" w:hAnsi="Times New Roman" w:cs="Times New Roman"/>
        </w:rPr>
      </w:pPr>
      <w:r w:rsidRPr="00D27DAA">
        <w:rPr>
          <w:rFonts w:ascii="Times New Roman" w:hAnsi="Times New Roman" w:cs="Times New Roman"/>
        </w:rPr>
        <w:fldChar w:fldCharType="begin"/>
      </w:r>
      <w:r w:rsidRPr="00D27DAA">
        <w:rPr>
          <w:rFonts w:ascii="Times New Roman" w:hAnsi="Times New Roman" w:cs="Times New Roman"/>
        </w:rPr>
        <w:instrText xml:space="preserve"> REF _Ref510530934 \h </w:instrText>
      </w:r>
      <w:r w:rsidR="00BD5983" w:rsidRPr="00D27DAA">
        <w:rPr>
          <w:rFonts w:ascii="Times New Roman" w:hAnsi="Times New Roman" w:cs="Times New Roman"/>
        </w:rPr>
        <w:instrText xml:space="preserve"> \* MERGEFORMAT </w:instrText>
      </w:r>
      <w:r w:rsidRPr="00D27DAA">
        <w:rPr>
          <w:rFonts w:ascii="Times New Roman" w:hAnsi="Times New Roman" w:cs="Times New Roman"/>
        </w:rPr>
      </w:r>
      <w:r w:rsidRPr="00D27DAA">
        <w:rPr>
          <w:rFonts w:ascii="Times New Roman" w:hAnsi="Times New Roman" w:cs="Times New Roman"/>
        </w:rPr>
        <w:fldChar w:fldCharType="separate"/>
      </w:r>
      <w:r w:rsidRPr="00D27DAA">
        <w:rPr>
          <w:rFonts w:ascii="Times New Roman" w:hAnsi="Times New Roman" w:cs="Times New Roman"/>
        </w:rPr>
        <w:t xml:space="preserve">Figure </w:t>
      </w:r>
      <w:r w:rsidRPr="00D27DAA">
        <w:rPr>
          <w:rFonts w:ascii="Times New Roman" w:hAnsi="Times New Roman" w:cs="Times New Roman"/>
          <w:noProof/>
        </w:rPr>
        <w:t>18</w:t>
      </w:r>
      <w:r w:rsidRPr="00D27DAA">
        <w:rPr>
          <w:rFonts w:ascii="Times New Roman" w:hAnsi="Times New Roman" w:cs="Times New Roman"/>
        </w:rPr>
        <w:fldChar w:fldCharType="end"/>
      </w:r>
      <w:r w:rsidRPr="00D27DAA">
        <w:rPr>
          <w:rFonts w:ascii="Times New Roman" w:hAnsi="Times New Roman" w:cs="Times New Roman"/>
        </w:rPr>
        <w:t xml:space="preserve"> is the new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Pr="00D27DAA">
        <w:rPr>
          <w:rFonts w:ascii="Times New Roman" w:hAnsi="Times New Roman" w:cs="Times New Roman"/>
        </w:rPr>
        <w:t>curve with the central reflector completely removed up until point P1.</w:t>
      </w:r>
    </w:p>
    <w:p w14:paraId="0FDD25E7" w14:textId="206AA28D" w:rsidR="00473C21" w:rsidRPr="00D27DAA" w:rsidRDefault="00D55532" w:rsidP="00473C21">
      <w:pPr>
        <w:keepNext/>
        <w:rPr>
          <w:rFonts w:ascii="Times New Roman" w:hAnsi="Times New Roman" w:cs="Times New Roman"/>
        </w:rPr>
      </w:pPr>
      <w:r w:rsidRPr="00D27DAA">
        <w:rPr>
          <w:noProof/>
        </w:rPr>
        <w:drawing>
          <wp:inline distT="0" distB="0" distL="0" distR="0" wp14:anchorId="38C03728" wp14:editId="0CEFA67E">
            <wp:extent cx="5727700" cy="232664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2326640"/>
                    </a:xfrm>
                    <a:prstGeom prst="rect">
                      <a:avLst/>
                    </a:prstGeom>
                    <a:noFill/>
                    <a:ln>
                      <a:noFill/>
                    </a:ln>
                  </pic:spPr>
                </pic:pic>
              </a:graphicData>
            </a:graphic>
          </wp:inline>
        </w:drawing>
      </w:r>
    </w:p>
    <w:p w14:paraId="719D7848" w14:textId="3D8D7F3E" w:rsidR="003A1E0E" w:rsidRPr="00D27DAA" w:rsidRDefault="00473C21" w:rsidP="00473C21">
      <w:pPr>
        <w:pStyle w:val="Caption"/>
        <w:jc w:val="center"/>
        <w:rPr>
          <w:rFonts w:ascii="Times New Roman" w:hAnsi="Times New Roman" w:cs="Times New Roman"/>
          <w:sz w:val="22"/>
          <w:szCs w:val="22"/>
        </w:rPr>
      </w:pPr>
      <w:bookmarkStart w:id="25" w:name="_Ref510530934"/>
      <w:r w:rsidRPr="00D27DAA">
        <w:rPr>
          <w:rFonts w:ascii="Times New Roman" w:hAnsi="Times New Roman" w:cs="Times New Roman"/>
          <w:sz w:val="22"/>
          <w:szCs w:val="22"/>
        </w:rPr>
        <w:t xml:space="preserve">Figure </w:t>
      </w:r>
      <w:r w:rsidR="00D1788F" w:rsidRPr="00D27DAA">
        <w:rPr>
          <w:rFonts w:ascii="Times New Roman" w:hAnsi="Times New Roman" w:cs="Times New Roman"/>
          <w:sz w:val="22"/>
          <w:szCs w:val="22"/>
        </w:rPr>
        <w:fldChar w:fldCharType="begin"/>
      </w:r>
      <w:r w:rsidR="00D1788F" w:rsidRPr="00D27DAA">
        <w:rPr>
          <w:rFonts w:ascii="Times New Roman" w:hAnsi="Times New Roman" w:cs="Times New Roman"/>
          <w:sz w:val="22"/>
          <w:szCs w:val="22"/>
        </w:rPr>
        <w:instrText xml:space="preserve"> SEQ Figure \* ARABIC </w:instrText>
      </w:r>
      <w:r w:rsidR="00D1788F"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18</w:t>
      </w:r>
      <w:r w:rsidR="00D1788F" w:rsidRPr="00D27DAA">
        <w:rPr>
          <w:rFonts w:ascii="Times New Roman" w:hAnsi="Times New Roman" w:cs="Times New Roman"/>
          <w:noProof/>
          <w:sz w:val="22"/>
          <w:szCs w:val="22"/>
        </w:rPr>
        <w:fldChar w:fldCharType="end"/>
      </w:r>
      <w:bookmarkEnd w:id="25"/>
      <w:r w:rsidRPr="00D27DAA">
        <w:rPr>
          <w:rFonts w:ascii="Times New Roman" w:hAnsi="Times New Roman" w:cs="Times New Roman"/>
          <w:sz w:val="22"/>
          <w:szCs w:val="22"/>
        </w:rPr>
        <w:t xml:space="preserve">-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sz w:val="22"/>
          <w:szCs w:val="22"/>
        </w:rPr>
        <w:t xml:space="preserve"> </w:t>
      </w:r>
      <w:r w:rsidRPr="00D27DAA">
        <w:rPr>
          <w:rFonts w:ascii="Times New Roman" w:hAnsi="Times New Roman" w:cs="Times New Roman"/>
          <w:sz w:val="22"/>
          <w:szCs w:val="22"/>
        </w:rPr>
        <w:t>using the central reflector as an effective reactivity control device</w:t>
      </w:r>
    </w:p>
    <w:p w14:paraId="5B72BBEF" w14:textId="26EB6103" w:rsidR="00752224" w:rsidRPr="00D27DAA" w:rsidRDefault="007A1EBA" w:rsidP="00752224">
      <w:pPr>
        <w:rPr>
          <w:rFonts w:ascii="Times New Roman" w:hAnsi="Times New Roman" w:cs="Times New Roman"/>
        </w:rPr>
      </w:pPr>
      <w:r w:rsidRPr="00D27DAA">
        <w:rPr>
          <w:rFonts w:ascii="Times New Roman" w:hAnsi="Times New Roman" w:cs="Times New Roman"/>
        </w:rPr>
        <w:t xml:space="preserve">From </w:t>
      </w:r>
      <w:r w:rsidR="00473C21" w:rsidRPr="00D27DAA">
        <w:rPr>
          <w:rFonts w:ascii="Times New Roman" w:hAnsi="Times New Roman" w:cs="Times New Roman"/>
        </w:rPr>
        <w:fldChar w:fldCharType="begin"/>
      </w:r>
      <w:r w:rsidR="00473C21" w:rsidRPr="00D27DAA">
        <w:rPr>
          <w:rFonts w:ascii="Times New Roman" w:hAnsi="Times New Roman" w:cs="Times New Roman"/>
        </w:rPr>
        <w:instrText xml:space="preserve"> REF _Ref510530934 \h </w:instrText>
      </w:r>
      <w:r w:rsidR="00BD5983" w:rsidRPr="00D27DAA">
        <w:rPr>
          <w:rFonts w:ascii="Times New Roman" w:hAnsi="Times New Roman" w:cs="Times New Roman"/>
        </w:rPr>
        <w:instrText xml:space="preserve"> \* MERGEFORMAT </w:instrText>
      </w:r>
      <w:r w:rsidR="00473C21" w:rsidRPr="00D27DAA">
        <w:rPr>
          <w:rFonts w:ascii="Times New Roman" w:hAnsi="Times New Roman" w:cs="Times New Roman"/>
        </w:rPr>
      </w:r>
      <w:r w:rsidR="00473C21" w:rsidRPr="00D27DAA">
        <w:rPr>
          <w:rFonts w:ascii="Times New Roman" w:hAnsi="Times New Roman" w:cs="Times New Roman"/>
        </w:rPr>
        <w:fldChar w:fldCharType="separate"/>
      </w:r>
      <w:r w:rsidR="00473C21" w:rsidRPr="00D27DAA">
        <w:rPr>
          <w:rFonts w:ascii="Times New Roman" w:hAnsi="Times New Roman" w:cs="Times New Roman"/>
        </w:rPr>
        <w:t xml:space="preserve">Figure </w:t>
      </w:r>
      <w:r w:rsidR="00473C21" w:rsidRPr="00D27DAA">
        <w:rPr>
          <w:rFonts w:ascii="Times New Roman" w:hAnsi="Times New Roman" w:cs="Times New Roman"/>
          <w:noProof/>
        </w:rPr>
        <w:t>18</w:t>
      </w:r>
      <w:r w:rsidR="00473C21" w:rsidRPr="00D27DAA">
        <w:rPr>
          <w:rFonts w:ascii="Times New Roman" w:hAnsi="Times New Roman" w:cs="Times New Roman"/>
        </w:rPr>
        <w:fldChar w:fldCharType="end"/>
      </w:r>
      <w:r w:rsidR="00473C21" w:rsidRPr="00D27DAA">
        <w:rPr>
          <w:rFonts w:ascii="Times New Roman" w:hAnsi="Times New Roman" w:cs="Times New Roman"/>
        </w:rPr>
        <w:t xml:space="preserve"> </w:t>
      </w:r>
      <w:r w:rsidRPr="00D27DAA">
        <w:rPr>
          <w:rFonts w:ascii="Times New Roman" w:hAnsi="Times New Roman" w:cs="Times New Roman"/>
        </w:rPr>
        <w:t xml:space="preserve">it is noted that the initial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Pr="00D27DAA">
        <w:rPr>
          <w:rFonts w:ascii="Times New Roman" w:hAnsi="Times New Roman" w:cs="Times New Roman"/>
        </w:rPr>
        <w:t xml:space="preserve">, even within the first day, drops below that of 1.02, this is due to the </w:t>
      </w:r>
      <w:proofErr w:type="spellStart"/>
      <w:r w:rsidRPr="00D27DAA">
        <w:rPr>
          <w:rFonts w:ascii="Times New Roman" w:hAnsi="Times New Roman" w:cs="Times New Roman"/>
        </w:rPr>
        <w:t>build up</w:t>
      </w:r>
      <w:proofErr w:type="spellEnd"/>
      <w:r w:rsidRPr="00D27DAA">
        <w:rPr>
          <w:rFonts w:ascii="Times New Roman" w:hAnsi="Times New Roman" w:cs="Times New Roman"/>
        </w:rPr>
        <w:t xml:space="preserve"> of Xenon during the fission process. At this stage the control rods would be used to aid start-up and keep the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Pr="00D27DAA">
        <w:rPr>
          <w:rFonts w:ascii="Times New Roman" w:hAnsi="Times New Roman" w:cs="Times New Roman"/>
        </w:rPr>
        <w:t xml:space="preserve">to unity. The lowest point at which the poisons drop keeps the core above unity due to the central </w:t>
      </w:r>
      <w:proofErr w:type="gramStart"/>
      <w:r w:rsidRPr="00D27DAA">
        <w:rPr>
          <w:rFonts w:ascii="Times New Roman" w:hAnsi="Times New Roman" w:cs="Times New Roman"/>
        </w:rPr>
        <w:t>reflectors</w:t>
      </w:r>
      <w:proofErr w:type="gramEnd"/>
      <w:r w:rsidRPr="00D27DAA">
        <w:rPr>
          <w:rFonts w:ascii="Times New Roman" w:hAnsi="Times New Roman" w:cs="Times New Roman"/>
        </w:rPr>
        <w:t xml:space="preserve"> removal, this is at day 186, where the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Pr="00D27DAA">
        <w:rPr>
          <w:rFonts w:ascii="Times New Roman" w:hAnsi="Times New Roman" w:cs="Times New Roman"/>
        </w:rPr>
        <w:t xml:space="preserve">once again starts to rise. </w:t>
      </w:r>
      <w:r w:rsidR="00473C21" w:rsidRPr="00D27DAA">
        <w:rPr>
          <w:rFonts w:ascii="Times New Roman" w:hAnsi="Times New Roman" w:cs="Times New Roman"/>
        </w:rPr>
        <w:t>The second rise is now reduced significantly to 1.033 at ~700 days due to the sleeving poisons being significantly reduced as previously shown, this implies that the control rods still need to take a slightly higher amount of reactivity from the core at this point</w:t>
      </w:r>
      <w:r w:rsidR="004638BE" w:rsidRPr="00D27DAA">
        <w:rPr>
          <w:rFonts w:ascii="Times New Roman" w:hAnsi="Times New Roman" w:cs="Times New Roman"/>
        </w:rPr>
        <w:t xml:space="preserve"> than at the begin of life</w:t>
      </w:r>
      <w:r w:rsidR="00473C21" w:rsidRPr="00D27DAA">
        <w:rPr>
          <w:rFonts w:ascii="Times New Roman" w:hAnsi="Times New Roman" w:cs="Times New Roman"/>
        </w:rPr>
        <w:t xml:space="preserve">. Denoted by points P1 and P2 respectively are the positions where the central reflector has been re-inserted by 50% of its total height. This 50% figure was chosen to reduce movement and thus any risk associated with it, this also provided the 0.02 reactivity which was thought to be easily controlled by the control rods. The total lifetime is </w:t>
      </w:r>
      <w:r w:rsidR="002C7D81" w:rsidRPr="00D27DAA">
        <w:rPr>
          <w:rFonts w:ascii="Times New Roman" w:hAnsi="Times New Roman" w:cs="Times New Roman"/>
        </w:rPr>
        <w:t xml:space="preserve">the same as </w:t>
      </w:r>
      <w:r w:rsidR="00473C21" w:rsidRPr="00D27DAA">
        <w:rPr>
          <w:rFonts w:ascii="Times New Roman" w:hAnsi="Times New Roman" w:cs="Times New Roman"/>
        </w:rPr>
        <w:t xml:space="preserve">that of the base model, which shows </w:t>
      </w:r>
      <w:r w:rsidR="002C7D81" w:rsidRPr="00D27DAA">
        <w:rPr>
          <w:rFonts w:ascii="Times New Roman" w:hAnsi="Times New Roman" w:cs="Times New Roman"/>
        </w:rPr>
        <w:t>the small lifetime increase has effectively cancelled out the lifetime lost by the inclusion of FBP</w:t>
      </w:r>
      <w:r w:rsidR="007317D3" w:rsidRPr="00D27DAA">
        <w:rPr>
          <w:rFonts w:ascii="Times New Roman" w:hAnsi="Times New Roman" w:cs="Times New Roman"/>
        </w:rPr>
        <w:t>s</w:t>
      </w:r>
      <w:r w:rsidR="002C7D81" w:rsidRPr="00D27DAA">
        <w:rPr>
          <w:rFonts w:ascii="Times New Roman" w:hAnsi="Times New Roman" w:cs="Times New Roman"/>
        </w:rPr>
        <w:t>.</w:t>
      </w:r>
      <w:r w:rsidR="00473C21" w:rsidRPr="00D27DAA">
        <w:rPr>
          <w:rFonts w:ascii="Times New Roman" w:hAnsi="Times New Roman" w:cs="Times New Roman"/>
        </w:rPr>
        <w:t xml:space="preserve">  </w:t>
      </w:r>
    </w:p>
    <w:p w14:paraId="3291DFAB" w14:textId="7CD96896" w:rsidR="003A1E0E" w:rsidRPr="00D27DAA" w:rsidRDefault="003A1E0E" w:rsidP="003A1E0E">
      <w:pPr>
        <w:rPr>
          <w:rFonts w:ascii="Times New Roman" w:hAnsi="Times New Roman" w:cs="Times New Roman"/>
        </w:rPr>
      </w:pPr>
      <w:r w:rsidRPr="00D27DAA">
        <w:rPr>
          <w:rFonts w:ascii="Times New Roman" w:hAnsi="Times New Roman" w:cs="Times New Roman"/>
        </w:rPr>
        <w:lastRenderedPageBreak/>
        <w:t>Following the curve of</w:t>
      </w:r>
      <w:r w:rsidR="00473C21" w:rsidRPr="00D27DAA">
        <w:rPr>
          <w:rFonts w:ascii="Times New Roman" w:hAnsi="Times New Roman" w:cs="Times New Roman"/>
        </w:rPr>
        <w:t xml:space="preserve"> </w:t>
      </w:r>
      <w:r w:rsidR="00473C21" w:rsidRPr="00D27DAA">
        <w:rPr>
          <w:rFonts w:ascii="Times New Roman" w:hAnsi="Times New Roman" w:cs="Times New Roman"/>
        </w:rPr>
        <w:fldChar w:fldCharType="begin"/>
      </w:r>
      <w:r w:rsidR="00473C21" w:rsidRPr="00D27DAA">
        <w:rPr>
          <w:rFonts w:ascii="Times New Roman" w:hAnsi="Times New Roman" w:cs="Times New Roman"/>
        </w:rPr>
        <w:instrText xml:space="preserve"> REF _Ref510530934 \h </w:instrText>
      </w:r>
      <w:r w:rsidR="00BD5983" w:rsidRPr="00D27DAA">
        <w:rPr>
          <w:rFonts w:ascii="Times New Roman" w:hAnsi="Times New Roman" w:cs="Times New Roman"/>
        </w:rPr>
        <w:instrText xml:space="preserve"> \* MERGEFORMAT </w:instrText>
      </w:r>
      <w:r w:rsidR="00473C21" w:rsidRPr="00D27DAA">
        <w:rPr>
          <w:rFonts w:ascii="Times New Roman" w:hAnsi="Times New Roman" w:cs="Times New Roman"/>
        </w:rPr>
      </w:r>
      <w:r w:rsidR="00473C21" w:rsidRPr="00D27DAA">
        <w:rPr>
          <w:rFonts w:ascii="Times New Roman" w:hAnsi="Times New Roman" w:cs="Times New Roman"/>
        </w:rPr>
        <w:fldChar w:fldCharType="separate"/>
      </w:r>
      <w:r w:rsidR="00473C21" w:rsidRPr="00D27DAA">
        <w:rPr>
          <w:rFonts w:ascii="Times New Roman" w:hAnsi="Times New Roman" w:cs="Times New Roman"/>
        </w:rPr>
        <w:t xml:space="preserve">Figure </w:t>
      </w:r>
      <w:r w:rsidR="00473C21" w:rsidRPr="00D27DAA">
        <w:rPr>
          <w:rFonts w:ascii="Times New Roman" w:hAnsi="Times New Roman" w:cs="Times New Roman"/>
          <w:noProof/>
        </w:rPr>
        <w:t>18</w:t>
      </w:r>
      <w:r w:rsidR="00473C21" w:rsidRPr="00D27DAA">
        <w:rPr>
          <w:rFonts w:ascii="Times New Roman" w:hAnsi="Times New Roman" w:cs="Times New Roman"/>
        </w:rPr>
        <w:fldChar w:fldCharType="end"/>
      </w:r>
      <w:r w:rsidR="00473C21" w:rsidRPr="00D27DAA">
        <w:rPr>
          <w:rFonts w:ascii="Times New Roman" w:hAnsi="Times New Roman" w:cs="Times New Roman"/>
        </w:rPr>
        <w:t>,</w:t>
      </w:r>
      <w:r w:rsidRPr="00D27DAA">
        <w:rPr>
          <w:rFonts w:ascii="Times New Roman" w:hAnsi="Times New Roman" w:cs="Times New Roman"/>
        </w:rPr>
        <w:t xml:space="preserve"> it is important to appreciate the power distribution across the core during these periods. As previously mentioned the control rod insertion will dramatically affect the power</w:t>
      </w:r>
      <w:r w:rsidR="004638BE" w:rsidRPr="00D27DAA">
        <w:rPr>
          <w:rFonts w:ascii="Times New Roman" w:hAnsi="Times New Roman" w:cs="Times New Roman"/>
        </w:rPr>
        <w:t xml:space="preserve"> distribution</w:t>
      </w:r>
      <w:r w:rsidRPr="00D27DAA">
        <w:rPr>
          <w:rFonts w:ascii="Times New Roman" w:hAnsi="Times New Roman" w:cs="Times New Roman"/>
        </w:rPr>
        <w:t xml:space="preserve"> at certain points in the life cycle, this might imply that certain fuel compacts </w:t>
      </w:r>
      <w:r w:rsidR="004638BE" w:rsidRPr="00D27DAA">
        <w:rPr>
          <w:rFonts w:ascii="Times New Roman" w:hAnsi="Times New Roman" w:cs="Times New Roman"/>
        </w:rPr>
        <w:t>could face a strong over power</w:t>
      </w:r>
      <w:r w:rsidRPr="00D27DAA">
        <w:rPr>
          <w:rFonts w:ascii="Times New Roman" w:hAnsi="Times New Roman" w:cs="Times New Roman"/>
        </w:rPr>
        <w:t xml:space="preserve">, particularly at the bottom of the core. The most well powered pins are </w:t>
      </w:r>
      <w:r w:rsidR="001C37A2" w:rsidRPr="00D27DAA">
        <w:rPr>
          <w:rFonts w:ascii="Times New Roman" w:hAnsi="Times New Roman" w:cs="Times New Roman"/>
        </w:rPr>
        <w:t>those</w:t>
      </w:r>
      <w:r w:rsidRPr="00D27DAA">
        <w:rPr>
          <w:rFonts w:ascii="Times New Roman" w:hAnsi="Times New Roman" w:cs="Times New Roman"/>
        </w:rPr>
        <w:t xml:space="preserve"> within the centre of the core or the outside, depending on the central reflector position</w:t>
      </w:r>
      <w:r w:rsidR="001C37A2" w:rsidRPr="00D27DAA">
        <w:rPr>
          <w:rFonts w:ascii="Times New Roman" w:hAnsi="Times New Roman" w:cs="Times New Roman"/>
        </w:rPr>
        <w:t>.</w:t>
      </w:r>
      <w:r w:rsidRPr="00D27DAA">
        <w:rPr>
          <w:rFonts w:ascii="Times New Roman" w:hAnsi="Times New Roman" w:cs="Times New Roman"/>
        </w:rPr>
        <w:t xml:space="preserve"> </w:t>
      </w:r>
      <w:r w:rsidR="002C7D81" w:rsidRPr="00D27DAA">
        <w:rPr>
          <w:rFonts w:ascii="Times New Roman" w:hAnsi="Times New Roman" w:cs="Times New Roman"/>
        </w:rPr>
        <w:t xml:space="preserve">The power distribution is displayed across half of a fuel block as depicted in </w:t>
      </w:r>
      <w:r w:rsidR="002C7D81" w:rsidRPr="00D27DAA">
        <w:rPr>
          <w:rFonts w:ascii="Times New Roman" w:hAnsi="Times New Roman" w:cs="Times New Roman"/>
        </w:rPr>
        <w:fldChar w:fldCharType="begin"/>
      </w:r>
      <w:r w:rsidR="002C7D81" w:rsidRPr="00D27DAA">
        <w:rPr>
          <w:rFonts w:ascii="Times New Roman" w:hAnsi="Times New Roman" w:cs="Times New Roman"/>
        </w:rPr>
        <w:instrText xml:space="preserve"> REF _Ref512346777 \h </w:instrText>
      </w:r>
      <w:r w:rsidR="00BD5983" w:rsidRPr="00D27DAA">
        <w:rPr>
          <w:rFonts w:ascii="Times New Roman" w:hAnsi="Times New Roman" w:cs="Times New Roman"/>
        </w:rPr>
        <w:instrText xml:space="preserve"> \* MERGEFORMAT </w:instrText>
      </w:r>
      <w:r w:rsidR="002C7D81" w:rsidRPr="00D27DAA">
        <w:rPr>
          <w:rFonts w:ascii="Times New Roman" w:hAnsi="Times New Roman" w:cs="Times New Roman"/>
        </w:rPr>
      </w:r>
      <w:r w:rsidR="002C7D81" w:rsidRPr="00D27DAA">
        <w:rPr>
          <w:rFonts w:ascii="Times New Roman" w:hAnsi="Times New Roman" w:cs="Times New Roman"/>
        </w:rPr>
        <w:fldChar w:fldCharType="separate"/>
      </w:r>
      <w:r w:rsidR="002C7D81" w:rsidRPr="00D27DAA">
        <w:rPr>
          <w:rFonts w:ascii="Times New Roman" w:hAnsi="Times New Roman" w:cs="Times New Roman"/>
        </w:rPr>
        <w:t xml:space="preserve">Figure </w:t>
      </w:r>
      <w:r w:rsidR="002C7D81" w:rsidRPr="00D27DAA">
        <w:rPr>
          <w:rFonts w:ascii="Times New Roman" w:hAnsi="Times New Roman" w:cs="Times New Roman"/>
          <w:noProof/>
        </w:rPr>
        <w:t>19</w:t>
      </w:r>
      <w:r w:rsidR="002C7D81" w:rsidRPr="00D27DAA">
        <w:rPr>
          <w:rFonts w:ascii="Times New Roman" w:hAnsi="Times New Roman" w:cs="Times New Roman"/>
        </w:rPr>
        <w:fldChar w:fldCharType="end"/>
      </w:r>
      <w:r w:rsidR="002C7D81" w:rsidRPr="00D27DAA">
        <w:rPr>
          <w:rFonts w:ascii="Times New Roman" w:hAnsi="Times New Roman" w:cs="Times New Roman"/>
        </w:rPr>
        <w:t>.</w:t>
      </w:r>
    </w:p>
    <w:p w14:paraId="5ED46CB8" w14:textId="62DAE28D" w:rsidR="002C7D81" w:rsidRPr="00D27DAA" w:rsidRDefault="007317D3" w:rsidP="002C7D81">
      <w:pPr>
        <w:keepNext/>
        <w:rPr>
          <w:rFonts w:ascii="Times New Roman" w:hAnsi="Times New Roman" w:cs="Times New Roman"/>
        </w:rPr>
      </w:pPr>
      <w:r w:rsidRPr="00D27DAA">
        <w:rPr>
          <w:rFonts w:ascii="Times New Roman" w:hAnsi="Times New Roman" w:cs="Times New Roman"/>
          <w:noProof/>
          <w:lang w:eastAsia="en-GB"/>
        </w:rPr>
        <mc:AlternateContent>
          <mc:Choice Requires="wps">
            <w:drawing>
              <wp:anchor distT="0" distB="0" distL="114300" distR="114300" simplePos="0" relativeHeight="251674624" behindDoc="0" locked="0" layoutInCell="1" allowOverlap="1" wp14:anchorId="02321C1C" wp14:editId="172F9CC6">
                <wp:simplePos x="0" y="0"/>
                <wp:positionH relativeFrom="column">
                  <wp:posOffset>3962400</wp:posOffset>
                </wp:positionH>
                <wp:positionV relativeFrom="paragraph">
                  <wp:posOffset>66674</wp:posOffset>
                </wp:positionV>
                <wp:extent cx="1714500" cy="1095375"/>
                <wp:effectExtent l="19050" t="19050" r="19050" b="28575"/>
                <wp:wrapNone/>
                <wp:docPr id="36" name="Straight Connector 36"/>
                <wp:cNvGraphicFramePr/>
                <a:graphic xmlns:a="http://schemas.openxmlformats.org/drawingml/2006/main">
                  <a:graphicData uri="http://schemas.microsoft.com/office/word/2010/wordprocessingShape">
                    <wps:wsp>
                      <wps:cNvCnPr/>
                      <wps:spPr>
                        <a:xfrm>
                          <a:off x="0" y="0"/>
                          <a:ext cx="1714500" cy="10953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9A4230" id="Straight Connector 3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12pt,5.25pt" to="44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" strokecolor="#4472c4 [3204]" strokeweight="3pt">
                <v:stroke joinstyle="miter"/>
              </v:line>
            </w:pict>
          </mc:Fallback>
        </mc:AlternateContent>
      </w:r>
      <w:r w:rsidRPr="00D27DAA">
        <w:rPr>
          <w:rFonts w:ascii="Times New Roman" w:hAnsi="Times New Roman" w:cs="Times New Roman"/>
          <w:noProof/>
          <w:lang w:eastAsia="en-GB"/>
        </w:rPr>
        <mc:AlternateContent>
          <mc:Choice Requires="wps">
            <w:drawing>
              <wp:anchor distT="0" distB="0" distL="114300" distR="114300" simplePos="0" relativeHeight="251656192" behindDoc="0" locked="0" layoutInCell="1" allowOverlap="1" wp14:anchorId="0015873D" wp14:editId="666092C5">
                <wp:simplePos x="0" y="0"/>
                <wp:positionH relativeFrom="column">
                  <wp:posOffset>5086349</wp:posOffset>
                </wp:positionH>
                <wp:positionV relativeFrom="paragraph">
                  <wp:posOffset>1562100</wp:posOffset>
                </wp:positionV>
                <wp:extent cx="600075" cy="1162050"/>
                <wp:effectExtent l="19050" t="19050" r="28575" b="19050"/>
                <wp:wrapNone/>
                <wp:docPr id="35" name="Straight Connector 35"/>
                <wp:cNvGraphicFramePr/>
                <a:graphic xmlns:a="http://schemas.openxmlformats.org/drawingml/2006/main">
                  <a:graphicData uri="http://schemas.microsoft.com/office/word/2010/wordprocessingShape">
                    <wps:wsp>
                      <wps:cNvCnPr/>
                      <wps:spPr>
                        <a:xfrm flipV="1">
                          <a:off x="0" y="0"/>
                          <a:ext cx="600075" cy="1162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3D7DF" id="Straight Connector 35"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123pt" to="447.7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" strokecolor="#4472c4 [3204]" strokeweight="3pt">
                <v:stroke joinstyle="miter"/>
              </v:line>
            </w:pict>
          </mc:Fallback>
        </mc:AlternateContent>
      </w:r>
      <w:r w:rsidR="002C7D81" w:rsidRPr="00D27DAA">
        <w:rPr>
          <w:rFonts w:ascii="Times New Roman" w:hAnsi="Times New Roman" w:cs="Times New Roman"/>
          <w:noProof/>
          <w:lang w:eastAsia="en-GB"/>
        </w:rPr>
        <w:drawing>
          <wp:inline distT="0" distB="0" distL="0" distR="0" wp14:anchorId="7A19ED22" wp14:editId="6F7C3415">
            <wp:extent cx="5727700" cy="280416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7700" cy="2804160"/>
                    </a:xfrm>
                    <a:prstGeom prst="rect">
                      <a:avLst/>
                    </a:prstGeom>
                  </pic:spPr>
                </pic:pic>
              </a:graphicData>
            </a:graphic>
          </wp:inline>
        </w:drawing>
      </w:r>
    </w:p>
    <w:p w14:paraId="5BF31602" w14:textId="18091214" w:rsidR="002C7D81" w:rsidRPr="00D27DAA" w:rsidRDefault="002C7D81" w:rsidP="002C7D81">
      <w:pPr>
        <w:pStyle w:val="Caption"/>
        <w:jc w:val="center"/>
        <w:rPr>
          <w:rFonts w:ascii="Times New Roman" w:hAnsi="Times New Roman" w:cs="Times New Roman"/>
          <w:sz w:val="22"/>
          <w:szCs w:val="22"/>
        </w:rPr>
      </w:pPr>
      <w:bookmarkStart w:id="26" w:name="_Ref512346777"/>
      <w:r w:rsidRPr="00D27DAA">
        <w:rPr>
          <w:rFonts w:ascii="Times New Roman" w:hAnsi="Times New Roman" w:cs="Times New Roman"/>
          <w:sz w:val="22"/>
          <w:szCs w:val="22"/>
        </w:rPr>
        <w:t xml:space="preserve">Figure </w:t>
      </w:r>
      <w:r w:rsidR="00D1788F" w:rsidRPr="00D27DAA">
        <w:rPr>
          <w:rFonts w:ascii="Times New Roman" w:hAnsi="Times New Roman" w:cs="Times New Roman"/>
          <w:sz w:val="22"/>
          <w:szCs w:val="22"/>
        </w:rPr>
        <w:fldChar w:fldCharType="begin"/>
      </w:r>
      <w:r w:rsidR="00D1788F" w:rsidRPr="00D27DAA">
        <w:rPr>
          <w:rFonts w:ascii="Times New Roman" w:hAnsi="Times New Roman" w:cs="Times New Roman"/>
          <w:sz w:val="22"/>
          <w:szCs w:val="22"/>
        </w:rPr>
        <w:instrText xml:space="preserve"> SEQ Figure \* ARABIC </w:instrText>
      </w:r>
      <w:r w:rsidR="00D1788F"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19</w:t>
      </w:r>
      <w:r w:rsidR="00D1788F" w:rsidRPr="00D27DAA">
        <w:rPr>
          <w:rFonts w:ascii="Times New Roman" w:hAnsi="Times New Roman" w:cs="Times New Roman"/>
          <w:noProof/>
          <w:sz w:val="22"/>
          <w:szCs w:val="22"/>
        </w:rPr>
        <w:fldChar w:fldCharType="end"/>
      </w:r>
      <w:bookmarkEnd w:id="26"/>
      <w:r w:rsidRPr="00D27DAA">
        <w:rPr>
          <w:rFonts w:ascii="Times New Roman" w:hAnsi="Times New Roman" w:cs="Times New Roman"/>
          <w:sz w:val="22"/>
          <w:szCs w:val="22"/>
        </w:rPr>
        <w:t>- Half of a fuel block model</w:t>
      </w:r>
      <w:r w:rsidR="007317D3" w:rsidRPr="00D27DAA">
        <w:rPr>
          <w:rFonts w:ascii="Times New Roman" w:hAnsi="Times New Roman" w:cs="Times New Roman"/>
          <w:sz w:val="22"/>
          <w:szCs w:val="22"/>
        </w:rPr>
        <w:t>, with the side reflector position highlighted by the blue lines</w:t>
      </w:r>
    </w:p>
    <w:p w14:paraId="50F80D86" w14:textId="56DE4FFD" w:rsidR="004E622C" w:rsidRPr="00D27DAA" w:rsidRDefault="004E622C" w:rsidP="004E622C">
      <w:r w:rsidRPr="00D27DAA">
        <w:rPr>
          <w:noProof/>
          <w:lang w:eastAsia="en-GB"/>
        </w:rPr>
        <w:drawing>
          <wp:inline distT="0" distB="0" distL="0" distR="0" wp14:anchorId="22F0B751" wp14:editId="459DEEC8">
            <wp:extent cx="5727700" cy="2792095"/>
            <wp:effectExtent l="0" t="0" r="635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7700" cy="2792095"/>
                    </a:xfrm>
                    <a:prstGeom prst="rect">
                      <a:avLst/>
                    </a:prstGeom>
                  </pic:spPr>
                </pic:pic>
              </a:graphicData>
            </a:graphic>
          </wp:inline>
        </w:drawing>
      </w:r>
    </w:p>
    <w:p w14:paraId="5B9FCC3E" w14:textId="4B199918" w:rsidR="00B3215B" w:rsidRPr="00D27DAA" w:rsidRDefault="002C7D81" w:rsidP="002C7D81">
      <w:pPr>
        <w:pStyle w:val="Caption"/>
        <w:jc w:val="center"/>
        <w:rPr>
          <w:rFonts w:ascii="Times New Roman" w:hAnsi="Times New Roman" w:cs="Times New Roman"/>
          <w:sz w:val="22"/>
          <w:szCs w:val="22"/>
        </w:rPr>
      </w:pPr>
      <w:bookmarkStart w:id="27" w:name="_Ref512346948"/>
      <w:r w:rsidRPr="00D27DAA">
        <w:rPr>
          <w:rFonts w:ascii="Times New Roman" w:hAnsi="Times New Roman" w:cs="Times New Roman"/>
          <w:sz w:val="22"/>
          <w:szCs w:val="22"/>
        </w:rPr>
        <w:t xml:space="preserve">Figure </w:t>
      </w:r>
      <w:r w:rsidR="00D1788F" w:rsidRPr="00D27DAA">
        <w:rPr>
          <w:rFonts w:ascii="Times New Roman" w:hAnsi="Times New Roman" w:cs="Times New Roman"/>
          <w:sz w:val="22"/>
          <w:szCs w:val="22"/>
        </w:rPr>
        <w:fldChar w:fldCharType="begin"/>
      </w:r>
      <w:r w:rsidR="00D1788F" w:rsidRPr="00D27DAA">
        <w:rPr>
          <w:rFonts w:ascii="Times New Roman" w:hAnsi="Times New Roman" w:cs="Times New Roman"/>
          <w:sz w:val="22"/>
          <w:szCs w:val="22"/>
        </w:rPr>
        <w:instrText xml:space="preserve"> SEQ Figure \* ARABIC </w:instrText>
      </w:r>
      <w:r w:rsidR="00D1788F"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20</w:t>
      </w:r>
      <w:r w:rsidR="00D1788F" w:rsidRPr="00D27DAA">
        <w:rPr>
          <w:rFonts w:ascii="Times New Roman" w:hAnsi="Times New Roman" w:cs="Times New Roman"/>
          <w:noProof/>
          <w:sz w:val="22"/>
          <w:szCs w:val="22"/>
        </w:rPr>
        <w:fldChar w:fldCharType="end"/>
      </w:r>
      <w:bookmarkEnd w:id="27"/>
      <w:r w:rsidRPr="00D27DAA">
        <w:rPr>
          <w:rFonts w:ascii="Times New Roman" w:hAnsi="Times New Roman" w:cs="Times New Roman"/>
          <w:sz w:val="22"/>
          <w:szCs w:val="22"/>
        </w:rPr>
        <w:t xml:space="preserve">- Power distribution </w:t>
      </w:r>
      <w:r w:rsidR="00307C85" w:rsidRPr="00D27DAA">
        <w:rPr>
          <w:rFonts w:ascii="Times New Roman" w:hAnsi="Times New Roman" w:cs="Times New Roman"/>
          <w:sz w:val="22"/>
          <w:szCs w:val="22"/>
        </w:rPr>
        <w:t>at day zero</w:t>
      </w:r>
      <w:r w:rsidR="004E622C" w:rsidRPr="00D27DAA">
        <w:rPr>
          <w:rFonts w:ascii="Times New Roman" w:hAnsi="Times New Roman" w:cs="Times New Roman"/>
          <w:sz w:val="22"/>
          <w:szCs w:val="22"/>
        </w:rPr>
        <w:t>.</w:t>
      </w:r>
      <w:r w:rsidR="00307C85" w:rsidRPr="00D27DAA">
        <w:rPr>
          <w:rFonts w:ascii="Times New Roman" w:hAnsi="Times New Roman" w:cs="Times New Roman"/>
          <w:sz w:val="22"/>
          <w:szCs w:val="22"/>
        </w:rPr>
        <w:t xml:space="preserve"> </w:t>
      </w:r>
      <w:r w:rsidR="004E622C" w:rsidRPr="00D27DAA">
        <w:rPr>
          <w:rFonts w:ascii="Times New Roman" w:hAnsi="Times New Roman" w:cs="Times New Roman"/>
          <w:sz w:val="22"/>
          <w:szCs w:val="22"/>
        </w:rPr>
        <w:t>Left; W</w:t>
      </w:r>
      <w:r w:rsidRPr="00D27DAA">
        <w:rPr>
          <w:rFonts w:ascii="Times New Roman" w:hAnsi="Times New Roman" w:cs="Times New Roman"/>
          <w:sz w:val="22"/>
          <w:szCs w:val="22"/>
        </w:rPr>
        <w:t>ith the central reflector fully inserted</w:t>
      </w:r>
      <w:r w:rsidR="004E622C" w:rsidRPr="00D27DAA">
        <w:rPr>
          <w:rFonts w:ascii="Times New Roman" w:hAnsi="Times New Roman" w:cs="Times New Roman"/>
          <w:sz w:val="22"/>
          <w:szCs w:val="22"/>
        </w:rPr>
        <w:t>. Right, with central reflector fully removed</w:t>
      </w:r>
    </w:p>
    <w:p w14:paraId="17BE093B" w14:textId="403469E1" w:rsidR="002C7D81" w:rsidRPr="00D27DAA" w:rsidRDefault="002C7D81" w:rsidP="002C7D81">
      <w:pPr>
        <w:keepNext/>
        <w:jc w:val="center"/>
        <w:rPr>
          <w:rFonts w:ascii="Times New Roman" w:hAnsi="Times New Roman" w:cs="Times New Roman"/>
        </w:rPr>
      </w:pPr>
    </w:p>
    <w:p w14:paraId="5D68DFA3" w14:textId="688BBD96" w:rsidR="002C7D81" w:rsidRPr="00D27DAA" w:rsidRDefault="004E622C" w:rsidP="002C7D81">
      <w:pPr>
        <w:keepNext/>
        <w:jc w:val="center"/>
        <w:rPr>
          <w:rFonts w:ascii="Times New Roman" w:hAnsi="Times New Roman" w:cs="Times New Roman"/>
        </w:rPr>
      </w:pPr>
      <w:r w:rsidRPr="00D27DAA">
        <w:rPr>
          <w:noProof/>
          <w:lang w:eastAsia="en-GB"/>
        </w:rPr>
        <w:drawing>
          <wp:inline distT="0" distB="0" distL="0" distR="0" wp14:anchorId="53F5068C" wp14:editId="39ABCE7B">
            <wp:extent cx="5727700" cy="48069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7700" cy="4806950"/>
                    </a:xfrm>
                    <a:prstGeom prst="rect">
                      <a:avLst/>
                    </a:prstGeom>
                  </pic:spPr>
                </pic:pic>
              </a:graphicData>
            </a:graphic>
          </wp:inline>
        </w:drawing>
      </w:r>
    </w:p>
    <w:p w14:paraId="22CC2034" w14:textId="0B9FA66F" w:rsidR="00501F9A" w:rsidRPr="00D27DAA" w:rsidRDefault="002C7D81" w:rsidP="002C7D81">
      <w:pPr>
        <w:pStyle w:val="Caption"/>
        <w:jc w:val="center"/>
        <w:rPr>
          <w:rFonts w:ascii="Times New Roman" w:hAnsi="Times New Roman" w:cs="Times New Roman"/>
          <w:sz w:val="22"/>
          <w:szCs w:val="22"/>
        </w:rPr>
      </w:pPr>
      <w:bookmarkStart w:id="28" w:name="_Ref514429442"/>
      <w:r w:rsidRPr="00D27DAA">
        <w:rPr>
          <w:rFonts w:ascii="Times New Roman" w:hAnsi="Times New Roman" w:cs="Times New Roman"/>
          <w:sz w:val="22"/>
          <w:szCs w:val="22"/>
        </w:rPr>
        <w:t xml:space="preserve">Figure </w:t>
      </w:r>
      <w:r w:rsidR="00D1788F" w:rsidRPr="00D27DAA">
        <w:rPr>
          <w:rFonts w:ascii="Times New Roman" w:hAnsi="Times New Roman" w:cs="Times New Roman"/>
          <w:sz w:val="22"/>
          <w:szCs w:val="22"/>
        </w:rPr>
        <w:fldChar w:fldCharType="begin"/>
      </w:r>
      <w:r w:rsidR="00D1788F" w:rsidRPr="00D27DAA">
        <w:rPr>
          <w:rFonts w:ascii="Times New Roman" w:hAnsi="Times New Roman" w:cs="Times New Roman"/>
          <w:sz w:val="22"/>
          <w:szCs w:val="22"/>
        </w:rPr>
        <w:instrText xml:space="preserve"> SEQ Figure \* ARABIC </w:instrText>
      </w:r>
      <w:r w:rsidR="00D1788F"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21</w:t>
      </w:r>
      <w:r w:rsidR="00D1788F" w:rsidRPr="00D27DAA">
        <w:rPr>
          <w:rFonts w:ascii="Times New Roman" w:hAnsi="Times New Roman" w:cs="Times New Roman"/>
          <w:noProof/>
          <w:sz w:val="22"/>
          <w:szCs w:val="22"/>
        </w:rPr>
        <w:fldChar w:fldCharType="end"/>
      </w:r>
      <w:bookmarkEnd w:id="28"/>
      <w:r w:rsidRPr="00D27DAA">
        <w:rPr>
          <w:rFonts w:ascii="Times New Roman" w:hAnsi="Times New Roman" w:cs="Times New Roman"/>
          <w:sz w:val="22"/>
          <w:szCs w:val="22"/>
        </w:rPr>
        <w:t xml:space="preserve"> - Delta of the power distributions (</w:t>
      </w:r>
      <w:r w:rsidR="00927D97" w:rsidRPr="00D27DAA">
        <w:rPr>
          <w:rFonts w:ascii="Times New Roman" w:hAnsi="Times New Roman" w:cs="Times New Roman"/>
          <w:sz w:val="22"/>
          <w:szCs w:val="22"/>
        </w:rPr>
        <w:t>central reflector</w:t>
      </w:r>
      <w:r w:rsidRPr="00D27DAA">
        <w:rPr>
          <w:rFonts w:ascii="Times New Roman" w:hAnsi="Times New Roman" w:cs="Times New Roman"/>
          <w:sz w:val="22"/>
          <w:szCs w:val="22"/>
        </w:rPr>
        <w:t xml:space="preserve"> in - out)</w:t>
      </w:r>
    </w:p>
    <w:p w14:paraId="53AE209A" w14:textId="0F1D0E31" w:rsidR="00501F9A" w:rsidRPr="00D27DAA" w:rsidRDefault="00501F9A" w:rsidP="00501F9A">
      <w:pPr>
        <w:rPr>
          <w:rFonts w:ascii="Times New Roman" w:hAnsi="Times New Roman" w:cs="Times New Roman"/>
        </w:rPr>
      </w:pPr>
      <w:r w:rsidRPr="00D27DAA">
        <w:rPr>
          <w:rFonts w:ascii="Times New Roman" w:hAnsi="Times New Roman" w:cs="Times New Roman"/>
        </w:rPr>
        <w:t xml:space="preserve">From </w:t>
      </w:r>
      <w:r w:rsidR="002C7D81" w:rsidRPr="00D27DAA">
        <w:rPr>
          <w:rFonts w:ascii="Times New Roman" w:hAnsi="Times New Roman" w:cs="Times New Roman"/>
        </w:rPr>
        <w:fldChar w:fldCharType="begin"/>
      </w:r>
      <w:r w:rsidR="002C7D81" w:rsidRPr="00D27DAA">
        <w:rPr>
          <w:rFonts w:ascii="Times New Roman" w:hAnsi="Times New Roman" w:cs="Times New Roman"/>
        </w:rPr>
        <w:instrText xml:space="preserve"> REF _Ref512346948 \h </w:instrText>
      </w:r>
      <w:r w:rsidR="00BD5983" w:rsidRPr="00D27DAA">
        <w:rPr>
          <w:rFonts w:ascii="Times New Roman" w:hAnsi="Times New Roman" w:cs="Times New Roman"/>
        </w:rPr>
        <w:instrText xml:space="preserve"> \* MERGEFORMAT </w:instrText>
      </w:r>
      <w:r w:rsidR="002C7D81" w:rsidRPr="00D27DAA">
        <w:rPr>
          <w:rFonts w:ascii="Times New Roman" w:hAnsi="Times New Roman" w:cs="Times New Roman"/>
        </w:rPr>
      </w:r>
      <w:r w:rsidR="002C7D81" w:rsidRPr="00D27DAA">
        <w:rPr>
          <w:rFonts w:ascii="Times New Roman" w:hAnsi="Times New Roman" w:cs="Times New Roman"/>
        </w:rPr>
        <w:fldChar w:fldCharType="separate"/>
      </w:r>
      <w:r w:rsidR="007317D3" w:rsidRPr="00D27DAA">
        <w:rPr>
          <w:rFonts w:ascii="Times New Roman" w:hAnsi="Times New Roman" w:cs="Times New Roman"/>
        </w:rPr>
        <w:t xml:space="preserve">Figure </w:t>
      </w:r>
      <w:r w:rsidR="007317D3" w:rsidRPr="00D27DAA">
        <w:rPr>
          <w:rFonts w:ascii="Times New Roman" w:hAnsi="Times New Roman" w:cs="Times New Roman"/>
          <w:noProof/>
        </w:rPr>
        <w:t>20</w:t>
      </w:r>
      <w:r w:rsidR="002C7D81" w:rsidRPr="00D27DAA">
        <w:rPr>
          <w:rFonts w:ascii="Times New Roman" w:hAnsi="Times New Roman" w:cs="Times New Roman"/>
        </w:rPr>
        <w:fldChar w:fldCharType="end"/>
      </w:r>
      <w:r w:rsidRPr="00D27DAA">
        <w:rPr>
          <w:rFonts w:ascii="Times New Roman" w:hAnsi="Times New Roman" w:cs="Times New Roman"/>
        </w:rPr>
        <w:t>, the</w:t>
      </w:r>
      <w:r w:rsidR="00927D97" w:rsidRPr="00D27DAA">
        <w:rPr>
          <w:rFonts w:ascii="Times New Roman" w:hAnsi="Times New Roman" w:cs="Times New Roman"/>
        </w:rPr>
        <w:t>re is an obvious</w:t>
      </w:r>
      <w:r w:rsidRPr="00D27DAA">
        <w:rPr>
          <w:rFonts w:ascii="Times New Roman" w:hAnsi="Times New Roman" w:cs="Times New Roman"/>
        </w:rPr>
        <w:t xml:space="preserve"> trend that the power distribution shifts across from the centre of the core to the outside when the central reflector is removed. This is useful in the case where the centre of the core is burning up less at the points in time when the central reflector is removed</w:t>
      </w:r>
      <w:r w:rsidR="007317D3" w:rsidRPr="00D27DAA">
        <w:rPr>
          <w:rFonts w:ascii="Times New Roman" w:hAnsi="Times New Roman" w:cs="Times New Roman"/>
        </w:rPr>
        <w:t xml:space="preserve">, thus shifting the highest loading pins </w:t>
      </w:r>
      <w:r w:rsidR="00927D97" w:rsidRPr="00D27DAA">
        <w:rPr>
          <w:rFonts w:ascii="Times New Roman" w:hAnsi="Times New Roman" w:cs="Times New Roman"/>
        </w:rPr>
        <w:t xml:space="preserve">close </w:t>
      </w:r>
      <w:r w:rsidR="007317D3" w:rsidRPr="00D27DAA">
        <w:rPr>
          <w:rFonts w:ascii="Times New Roman" w:hAnsi="Times New Roman" w:cs="Times New Roman"/>
        </w:rPr>
        <w:t>to by the side reflector</w:t>
      </w:r>
      <w:r w:rsidRPr="00D27DAA">
        <w:rPr>
          <w:rFonts w:ascii="Times New Roman" w:hAnsi="Times New Roman" w:cs="Times New Roman"/>
        </w:rPr>
        <w:t xml:space="preserve">. </w:t>
      </w:r>
      <w:r w:rsidR="002C7D81" w:rsidRPr="00D27DAA">
        <w:rPr>
          <w:rFonts w:ascii="Times New Roman" w:hAnsi="Times New Roman" w:cs="Times New Roman"/>
        </w:rPr>
        <w:t>T</w:t>
      </w:r>
      <w:r w:rsidRPr="00D27DAA">
        <w:rPr>
          <w:rFonts w:ascii="Times New Roman" w:hAnsi="Times New Roman" w:cs="Times New Roman"/>
        </w:rPr>
        <w:t>he close</w:t>
      </w:r>
      <w:r w:rsidR="00927D97" w:rsidRPr="00D27DAA">
        <w:rPr>
          <w:rFonts w:ascii="Times New Roman" w:hAnsi="Times New Roman" w:cs="Times New Roman"/>
        </w:rPr>
        <w:t>s</w:t>
      </w:r>
      <w:r w:rsidRPr="00D27DAA">
        <w:rPr>
          <w:rFonts w:ascii="Times New Roman" w:hAnsi="Times New Roman" w:cs="Times New Roman"/>
        </w:rPr>
        <w:t>t pin at X 20</w:t>
      </w:r>
      <w:r w:rsidR="007317D3" w:rsidRPr="00D27DAA">
        <w:rPr>
          <w:rFonts w:ascii="Times New Roman" w:hAnsi="Times New Roman" w:cs="Times New Roman"/>
        </w:rPr>
        <w:t xml:space="preserve"> </w:t>
      </w:r>
      <w:r w:rsidRPr="00D27DAA">
        <w:rPr>
          <w:rFonts w:ascii="Times New Roman" w:hAnsi="Times New Roman" w:cs="Times New Roman"/>
        </w:rPr>
        <w:t xml:space="preserve">cm has a significantly reduced power, this is due to this </w:t>
      </w:r>
      <w:r w:rsidR="006C09D2" w:rsidRPr="00D27DAA">
        <w:rPr>
          <w:rFonts w:ascii="Times New Roman" w:hAnsi="Times New Roman" w:cs="Times New Roman"/>
        </w:rPr>
        <w:t xml:space="preserve">pin hosting the small poison rod from </w:t>
      </w:r>
      <w:r w:rsidR="006C09D2" w:rsidRPr="00D27DAA">
        <w:rPr>
          <w:rFonts w:ascii="Times New Roman" w:hAnsi="Times New Roman" w:cs="Times New Roman"/>
        </w:rPr>
        <w:fldChar w:fldCharType="begin"/>
      </w:r>
      <w:r w:rsidR="006C09D2" w:rsidRPr="00D27DAA">
        <w:rPr>
          <w:rFonts w:ascii="Times New Roman" w:hAnsi="Times New Roman" w:cs="Times New Roman"/>
        </w:rPr>
        <w:instrText xml:space="preserve"> REF _Ref509224240 \h </w:instrText>
      </w:r>
      <w:r w:rsidR="00BD5983" w:rsidRPr="00D27DAA">
        <w:rPr>
          <w:rFonts w:ascii="Times New Roman" w:hAnsi="Times New Roman" w:cs="Times New Roman"/>
        </w:rPr>
        <w:instrText xml:space="preserve"> \* MERGEFORMAT </w:instrText>
      </w:r>
      <w:r w:rsidR="006C09D2" w:rsidRPr="00D27DAA">
        <w:rPr>
          <w:rFonts w:ascii="Times New Roman" w:hAnsi="Times New Roman" w:cs="Times New Roman"/>
        </w:rPr>
      </w:r>
      <w:r w:rsidR="006C09D2" w:rsidRPr="00D27DAA">
        <w:rPr>
          <w:rFonts w:ascii="Times New Roman" w:hAnsi="Times New Roman" w:cs="Times New Roman"/>
        </w:rPr>
        <w:fldChar w:fldCharType="separate"/>
      </w:r>
      <w:r w:rsidR="007317D3" w:rsidRPr="00D27DAA">
        <w:rPr>
          <w:rFonts w:ascii="Times New Roman" w:hAnsi="Times New Roman" w:cs="Times New Roman"/>
        </w:rPr>
        <w:t xml:space="preserve">Figure </w:t>
      </w:r>
      <w:r w:rsidR="007317D3" w:rsidRPr="00D27DAA">
        <w:rPr>
          <w:rFonts w:ascii="Times New Roman" w:hAnsi="Times New Roman" w:cs="Times New Roman"/>
          <w:noProof/>
        </w:rPr>
        <w:t>11</w:t>
      </w:r>
      <w:r w:rsidR="006C09D2" w:rsidRPr="00D27DAA">
        <w:rPr>
          <w:rFonts w:ascii="Times New Roman" w:hAnsi="Times New Roman" w:cs="Times New Roman"/>
        </w:rPr>
        <w:fldChar w:fldCharType="end"/>
      </w:r>
      <w:r w:rsidR="006C09D2" w:rsidRPr="00D27DAA">
        <w:rPr>
          <w:rFonts w:ascii="Times New Roman" w:hAnsi="Times New Roman" w:cs="Times New Roman"/>
        </w:rPr>
        <w:t xml:space="preserve">. To a lesser degree the other poisons are noticeable, as in the poisons at the centre of the core are not the highest power pins. </w:t>
      </w:r>
    </w:p>
    <w:p w14:paraId="37DD363A" w14:textId="01C61F80" w:rsidR="00927D97" w:rsidRPr="00D27DAA" w:rsidRDefault="00927D97" w:rsidP="00501F9A">
      <w:pPr>
        <w:rPr>
          <w:rFonts w:ascii="Times New Roman" w:hAnsi="Times New Roman" w:cs="Times New Roman"/>
        </w:rPr>
      </w:pPr>
      <w:r w:rsidRPr="00D27DAA">
        <w:rPr>
          <w:rFonts w:ascii="Times New Roman" w:hAnsi="Times New Roman" w:cs="Times New Roman"/>
        </w:rPr>
        <w:fldChar w:fldCharType="begin"/>
      </w:r>
      <w:r w:rsidRPr="00D27DAA">
        <w:rPr>
          <w:rFonts w:ascii="Times New Roman" w:hAnsi="Times New Roman" w:cs="Times New Roman"/>
        </w:rPr>
        <w:instrText xml:space="preserve"> REF _Ref514429442 \h </w:instrText>
      </w:r>
      <w:r w:rsidR="00BD5983" w:rsidRPr="00D27DAA">
        <w:rPr>
          <w:rFonts w:ascii="Times New Roman" w:hAnsi="Times New Roman" w:cs="Times New Roman"/>
        </w:rPr>
        <w:instrText xml:space="preserve"> \* MERGEFORMAT </w:instrText>
      </w:r>
      <w:r w:rsidRPr="00D27DAA">
        <w:rPr>
          <w:rFonts w:ascii="Times New Roman" w:hAnsi="Times New Roman" w:cs="Times New Roman"/>
        </w:rPr>
      </w:r>
      <w:r w:rsidRPr="00D27DAA">
        <w:rPr>
          <w:rFonts w:ascii="Times New Roman" w:hAnsi="Times New Roman" w:cs="Times New Roman"/>
        </w:rPr>
        <w:fldChar w:fldCharType="separate"/>
      </w:r>
      <w:r w:rsidR="004E622C" w:rsidRPr="00D27DAA">
        <w:rPr>
          <w:rFonts w:ascii="Times New Roman" w:hAnsi="Times New Roman" w:cs="Times New Roman"/>
        </w:rPr>
        <w:t xml:space="preserve">Figure </w:t>
      </w:r>
      <w:r w:rsidR="004E622C" w:rsidRPr="00D27DAA">
        <w:rPr>
          <w:rFonts w:ascii="Times New Roman" w:hAnsi="Times New Roman" w:cs="Times New Roman"/>
          <w:noProof/>
        </w:rPr>
        <w:t>21</w:t>
      </w:r>
      <w:r w:rsidRPr="00D27DAA">
        <w:rPr>
          <w:rFonts w:ascii="Times New Roman" w:hAnsi="Times New Roman" w:cs="Times New Roman"/>
        </w:rPr>
        <w:fldChar w:fldCharType="end"/>
      </w:r>
      <w:r w:rsidRPr="00D27DAA">
        <w:rPr>
          <w:rFonts w:ascii="Times New Roman" w:hAnsi="Times New Roman" w:cs="Times New Roman"/>
        </w:rPr>
        <w:t xml:space="preserve"> identifies the change in power with the central reflector in and out. This highlights that when the central reflector is in, the power is heavily </w:t>
      </w:r>
      <w:proofErr w:type="spellStart"/>
      <w:r w:rsidRPr="00D27DAA">
        <w:rPr>
          <w:rFonts w:ascii="Times New Roman" w:hAnsi="Times New Roman" w:cs="Times New Roman"/>
        </w:rPr>
        <w:t>dependant</w:t>
      </w:r>
      <w:proofErr w:type="spellEnd"/>
      <w:r w:rsidRPr="00D27DAA">
        <w:rPr>
          <w:rFonts w:ascii="Times New Roman" w:hAnsi="Times New Roman" w:cs="Times New Roman"/>
        </w:rPr>
        <w:t xml:space="preserve"> on the fuel pins by the central reflector </w:t>
      </w:r>
      <w:r w:rsidRPr="00D27DAA">
        <w:rPr>
          <w:rFonts w:ascii="Times New Roman" w:hAnsi="Times New Roman" w:cs="Times New Roman"/>
        </w:rPr>
        <w:lastRenderedPageBreak/>
        <w:t xml:space="preserve">due to the additional moderation, making these the highest burnup pins. When removing the central reflector this trend is reversed as the pins at the side reflector receive the highest loading. This provides a power balancing between two different locations within the core. </w:t>
      </w:r>
    </w:p>
    <w:p w14:paraId="2E635486" w14:textId="2CF04794" w:rsidR="00501F9A" w:rsidRPr="00D27DAA" w:rsidRDefault="00473C21" w:rsidP="00501F9A">
      <w:pPr>
        <w:rPr>
          <w:rFonts w:ascii="Times New Roman" w:hAnsi="Times New Roman" w:cs="Times New Roman"/>
        </w:rPr>
      </w:pPr>
      <w:r w:rsidRPr="00D27DAA">
        <w:rPr>
          <w:rFonts w:ascii="Times New Roman" w:hAnsi="Times New Roman" w:cs="Times New Roman"/>
        </w:rPr>
        <w:t xml:space="preserve">The next experiment determines the power distribution under the condition of the </w:t>
      </w:r>
      <w:r w:rsidR="00927D97" w:rsidRPr="00D27DAA">
        <w:rPr>
          <w:rFonts w:ascii="Times New Roman" w:hAnsi="Times New Roman" w:cs="Times New Roman"/>
        </w:rPr>
        <w:t>maximum</w:t>
      </w:r>
      <w:r w:rsidRPr="00D27DAA">
        <w:rPr>
          <w:rFonts w:ascii="Times New Roman" w:hAnsi="Times New Roman" w:cs="Times New Roman"/>
        </w:rPr>
        <w:t xml:space="preserve">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00927D97" w:rsidRPr="00D27DAA">
        <w:rPr>
          <w:rFonts w:ascii="Times New Roman" w:hAnsi="Times New Roman" w:cs="Times New Roman"/>
        </w:rPr>
        <w:t>case</w:t>
      </w:r>
      <w:r w:rsidRPr="00D27DAA">
        <w:rPr>
          <w:rFonts w:ascii="Times New Roman" w:hAnsi="Times New Roman" w:cs="Times New Roman"/>
        </w:rPr>
        <w:t>, in this case it is during th</w:t>
      </w:r>
      <w:r w:rsidR="00297E22" w:rsidRPr="00D27DAA">
        <w:rPr>
          <w:rFonts w:ascii="Times New Roman" w:hAnsi="Times New Roman" w:cs="Times New Roman"/>
        </w:rPr>
        <w:t xml:space="preserve">e second peaking of the system, where the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00297E22" w:rsidRPr="00D27DAA">
        <w:rPr>
          <w:rFonts w:ascii="Times New Roman" w:hAnsi="Times New Roman" w:cs="Times New Roman"/>
        </w:rPr>
        <w:t xml:space="preserve">reaches 1.033. At this point the control rods are inserted and the axial power distribution is considered. </w:t>
      </w:r>
    </w:p>
    <w:p w14:paraId="54AB2D1A" w14:textId="3B140CC7" w:rsidR="002C7D81" w:rsidRPr="00D27DAA" w:rsidRDefault="009F3C5F" w:rsidP="002C7D81">
      <w:pPr>
        <w:keepNext/>
        <w:rPr>
          <w:rFonts w:ascii="Times New Roman" w:hAnsi="Times New Roman" w:cs="Times New Roman"/>
        </w:rPr>
      </w:pPr>
      <w:r w:rsidRPr="00D27DAA">
        <w:rPr>
          <w:noProof/>
          <w:lang w:eastAsia="en-GB"/>
        </w:rPr>
        <w:drawing>
          <wp:inline distT="0" distB="0" distL="0" distR="0" wp14:anchorId="073502F7" wp14:editId="04A5C557">
            <wp:extent cx="5727700" cy="2328313"/>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7700" cy="2328313"/>
                    </a:xfrm>
                    <a:prstGeom prst="rect">
                      <a:avLst/>
                    </a:prstGeom>
                    <a:noFill/>
                    <a:ln>
                      <a:noFill/>
                    </a:ln>
                  </pic:spPr>
                </pic:pic>
              </a:graphicData>
            </a:graphic>
          </wp:inline>
        </w:drawing>
      </w:r>
    </w:p>
    <w:p w14:paraId="0232629A" w14:textId="143AC59E" w:rsidR="008F4F1C" w:rsidRPr="00D27DAA" w:rsidRDefault="002C7D81" w:rsidP="002C7D81">
      <w:pPr>
        <w:pStyle w:val="Caption"/>
        <w:jc w:val="center"/>
        <w:rPr>
          <w:rFonts w:ascii="Times New Roman" w:hAnsi="Times New Roman" w:cs="Times New Roman"/>
          <w:sz w:val="22"/>
          <w:szCs w:val="22"/>
        </w:rPr>
      </w:pPr>
      <w:bookmarkStart w:id="29" w:name="_Ref512347047"/>
      <w:r w:rsidRPr="00D27DAA">
        <w:rPr>
          <w:rFonts w:ascii="Times New Roman" w:hAnsi="Times New Roman" w:cs="Times New Roman"/>
          <w:sz w:val="22"/>
          <w:szCs w:val="22"/>
        </w:rPr>
        <w:t xml:space="preserve">Figure </w:t>
      </w:r>
      <w:r w:rsidR="00D1788F" w:rsidRPr="00D27DAA">
        <w:rPr>
          <w:rFonts w:ascii="Times New Roman" w:hAnsi="Times New Roman" w:cs="Times New Roman"/>
          <w:sz w:val="22"/>
          <w:szCs w:val="22"/>
        </w:rPr>
        <w:fldChar w:fldCharType="begin"/>
      </w:r>
      <w:r w:rsidR="00D1788F" w:rsidRPr="00D27DAA">
        <w:rPr>
          <w:rFonts w:ascii="Times New Roman" w:hAnsi="Times New Roman" w:cs="Times New Roman"/>
          <w:sz w:val="22"/>
          <w:szCs w:val="22"/>
        </w:rPr>
        <w:instrText xml:space="preserve"> SEQ Figure \* ARABIC </w:instrText>
      </w:r>
      <w:r w:rsidR="00D1788F"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22</w:t>
      </w:r>
      <w:r w:rsidR="00D1788F" w:rsidRPr="00D27DAA">
        <w:rPr>
          <w:rFonts w:ascii="Times New Roman" w:hAnsi="Times New Roman" w:cs="Times New Roman"/>
          <w:noProof/>
          <w:sz w:val="22"/>
          <w:szCs w:val="22"/>
        </w:rPr>
        <w:fldChar w:fldCharType="end"/>
      </w:r>
      <w:bookmarkEnd w:id="29"/>
      <w:r w:rsidRPr="00D27DAA">
        <w:rPr>
          <w:rFonts w:ascii="Times New Roman" w:hAnsi="Times New Roman" w:cs="Times New Roman"/>
          <w:sz w:val="22"/>
          <w:szCs w:val="22"/>
        </w:rPr>
        <w:t>- Control rod insertion at peak reactivity</w:t>
      </w:r>
    </w:p>
    <w:p w14:paraId="16724D42" w14:textId="5D3E0A6B" w:rsidR="008F4F1C" w:rsidRPr="00D27DAA" w:rsidRDefault="0050277C" w:rsidP="008F4F1C">
      <w:pPr>
        <w:rPr>
          <w:rFonts w:ascii="Times New Roman" w:hAnsi="Times New Roman" w:cs="Times New Roman"/>
        </w:rPr>
      </w:pPr>
      <w:r w:rsidRPr="00D27DAA">
        <w:rPr>
          <w:rFonts w:ascii="Times New Roman" w:hAnsi="Times New Roman" w:cs="Times New Roman"/>
        </w:rPr>
        <w:fldChar w:fldCharType="begin"/>
      </w:r>
      <w:r w:rsidRPr="00D27DAA">
        <w:rPr>
          <w:rFonts w:ascii="Times New Roman" w:hAnsi="Times New Roman" w:cs="Times New Roman"/>
        </w:rPr>
        <w:instrText xml:space="preserve"> REF _Ref512347047 \h </w:instrText>
      </w:r>
      <w:r w:rsidR="00BD5983" w:rsidRPr="00D27DAA">
        <w:rPr>
          <w:rFonts w:ascii="Times New Roman" w:hAnsi="Times New Roman" w:cs="Times New Roman"/>
        </w:rPr>
        <w:instrText xml:space="preserve"> \* MERGEFORMAT </w:instrText>
      </w:r>
      <w:r w:rsidRPr="00D27DAA">
        <w:rPr>
          <w:rFonts w:ascii="Times New Roman" w:hAnsi="Times New Roman" w:cs="Times New Roman"/>
        </w:rPr>
      </w:r>
      <w:r w:rsidRPr="00D27DAA">
        <w:rPr>
          <w:rFonts w:ascii="Times New Roman" w:hAnsi="Times New Roman" w:cs="Times New Roman"/>
        </w:rPr>
        <w:fldChar w:fldCharType="separate"/>
      </w:r>
      <w:r w:rsidR="004E622C" w:rsidRPr="00D27DAA">
        <w:rPr>
          <w:rFonts w:ascii="Times New Roman" w:hAnsi="Times New Roman" w:cs="Times New Roman"/>
        </w:rPr>
        <w:t xml:space="preserve">Figure </w:t>
      </w:r>
      <w:r w:rsidR="004E622C" w:rsidRPr="00D27DAA">
        <w:rPr>
          <w:rFonts w:ascii="Times New Roman" w:hAnsi="Times New Roman" w:cs="Times New Roman"/>
          <w:noProof/>
        </w:rPr>
        <w:t>22</w:t>
      </w:r>
      <w:r w:rsidRPr="00D27DAA">
        <w:rPr>
          <w:rFonts w:ascii="Times New Roman" w:hAnsi="Times New Roman" w:cs="Times New Roman"/>
        </w:rPr>
        <w:fldChar w:fldCharType="end"/>
      </w:r>
      <w:r w:rsidR="008F4F1C" w:rsidRPr="00D27DAA">
        <w:rPr>
          <w:rFonts w:ascii="Times New Roman" w:hAnsi="Times New Roman" w:cs="Times New Roman"/>
        </w:rPr>
        <w:t xml:space="preserve">, the core becomes subcritical once the rods are inserted </w:t>
      </w:r>
      <w:r w:rsidR="00927D97" w:rsidRPr="00D27DAA">
        <w:rPr>
          <w:rFonts w:ascii="Times New Roman" w:hAnsi="Times New Roman" w:cs="Times New Roman"/>
        </w:rPr>
        <w:t xml:space="preserve">by </w:t>
      </w:r>
      <w:r w:rsidR="008F4F1C" w:rsidRPr="00D27DAA">
        <w:rPr>
          <w:rFonts w:ascii="Times New Roman" w:hAnsi="Times New Roman" w:cs="Times New Roman"/>
        </w:rPr>
        <w:t>150</w:t>
      </w:r>
      <w:r w:rsidR="00307C85" w:rsidRPr="00D27DAA">
        <w:rPr>
          <w:rFonts w:ascii="Times New Roman" w:hAnsi="Times New Roman" w:cs="Times New Roman"/>
        </w:rPr>
        <w:t xml:space="preserve"> </w:t>
      </w:r>
      <w:r w:rsidR="008F4F1C" w:rsidRPr="00D27DAA">
        <w:rPr>
          <w:rFonts w:ascii="Times New Roman" w:hAnsi="Times New Roman" w:cs="Times New Roman"/>
        </w:rPr>
        <w:t xml:space="preserve">cm. </w:t>
      </w:r>
      <w:r w:rsidR="00914EBB" w:rsidRPr="00D27DAA">
        <w:rPr>
          <w:rFonts w:ascii="Times New Roman" w:hAnsi="Times New Roman" w:cs="Times New Roman"/>
        </w:rPr>
        <w:t>At this point the power distribution is once again considered</w:t>
      </w:r>
      <w:r w:rsidR="00927D97" w:rsidRPr="00D27DAA">
        <w:rPr>
          <w:rFonts w:ascii="Times New Roman" w:hAnsi="Times New Roman" w:cs="Times New Roman"/>
        </w:rPr>
        <w:t xml:space="preserve"> since this is the most distorted power distribution during the life of the core</w:t>
      </w:r>
      <w:r w:rsidR="00914EBB" w:rsidRPr="00D27DAA">
        <w:rPr>
          <w:rFonts w:ascii="Times New Roman" w:hAnsi="Times New Roman" w:cs="Times New Roman"/>
        </w:rPr>
        <w:t xml:space="preserve">. In this case the axial power distribution is </w:t>
      </w:r>
      <w:r w:rsidR="00927D97" w:rsidRPr="00D27DAA">
        <w:rPr>
          <w:rFonts w:ascii="Times New Roman" w:hAnsi="Times New Roman" w:cs="Times New Roman"/>
        </w:rPr>
        <w:t xml:space="preserve">most </w:t>
      </w:r>
      <w:r w:rsidR="00914EBB" w:rsidRPr="00D27DAA">
        <w:rPr>
          <w:rFonts w:ascii="Times New Roman" w:hAnsi="Times New Roman" w:cs="Times New Roman"/>
        </w:rPr>
        <w:t xml:space="preserve">important, </w:t>
      </w:r>
      <w:r w:rsidR="00927D97" w:rsidRPr="00D27DAA">
        <w:rPr>
          <w:rFonts w:ascii="Times New Roman" w:hAnsi="Times New Roman" w:cs="Times New Roman"/>
        </w:rPr>
        <w:t>due to the deep</w:t>
      </w:r>
      <w:r w:rsidR="008160A6" w:rsidRPr="00D27DAA">
        <w:rPr>
          <w:rFonts w:ascii="Times New Roman" w:hAnsi="Times New Roman" w:cs="Times New Roman"/>
        </w:rPr>
        <w:t xml:space="preserve">ly inserted control rods. </w:t>
      </w:r>
      <w:r w:rsidR="00914EBB" w:rsidRPr="00D27DAA">
        <w:rPr>
          <w:rFonts w:ascii="Times New Roman" w:hAnsi="Times New Roman" w:cs="Times New Roman"/>
        </w:rPr>
        <w:t xml:space="preserve">in this </w:t>
      </w:r>
      <w:r w:rsidR="008160A6" w:rsidRPr="00D27DAA">
        <w:rPr>
          <w:rFonts w:ascii="Times New Roman" w:hAnsi="Times New Roman" w:cs="Times New Roman"/>
        </w:rPr>
        <w:t>operational point</w:t>
      </w:r>
      <w:r w:rsidR="00914EBB" w:rsidRPr="00D27DAA">
        <w:rPr>
          <w:rFonts w:ascii="Times New Roman" w:hAnsi="Times New Roman" w:cs="Times New Roman"/>
        </w:rPr>
        <w:t xml:space="preserve"> the central reflector is removed so the highest power pins were towards the side reflector. This axial power distribution is included in </w:t>
      </w:r>
      <w:r w:rsidRPr="00D27DAA">
        <w:rPr>
          <w:rFonts w:ascii="Times New Roman" w:hAnsi="Times New Roman" w:cs="Times New Roman"/>
        </w:rPr>
        <w:fldChar w:fldCharType="begin"/>
      </w:r>
      <w:r w:rsidRPr="00D27DAA">
        <w:rPr>
          <w:rFonts w:ascii="Times New Roman" w:hAnsi="Times New Roman" w:cs="Times New Roman"/>
        </w:rPr>
        <w:instrText xml:space="preserve"> REF _Ref512347120 \h </w:instrText>
      </w:r>
      <w:r w:rsidR="00BD5983" w:rsidRPr="00D27DAA">
        <w:rPr>
          <w:rFonts w:ascii="Times New Roman" w:hAnsi="Times New Roman" w:cs="Times New Roman"/>
        </w:rPr>
        <w:instrText xml:space="preserve"> \* MERGEFORMAT </w:instrText>
      </w:r>
      <w:r w:rsidRPr="00D27DAA">
        <w:rPr>
          <w:rFonts w:ascii="Times New Roman" w:hAnsi="Times New Roman" w:cs="Times New Roman"/>
        </w:rPr>
      </w:r>
      <w:r w:rsidRPr="00D27DAA">
        <w:rPr>
          <w:rFonts w:ascii="Times New Roman" w:hAnsi="Times New Roman" w:cs="Times New Roman"/>
        </w:rPr>
        <w:fldChar w:fldCharType="separate"/>
      </w:r>
      <w:r w:rsidR="004E622C" w:rsidRPr="00D27DAA">
        <w:rPr>
          <w:rFonts w:ascii="Times New Roman" w:hAnsi="Times New Roman" w:cs="Times New Roman"/>
        </w:rPr>
        <w:t xml:space="preserve">Figure </w:t>
      </w:r>
      <w:r w:rsidR="004E622C" w:rsidRPr="00D27DAA">
        <w:rPr>
          <w:rFonts w:ascii="Times New Roman" w:hAnsi="Times New Roman" w:cs="Times New Roman"/>
          <w:noProof/>
        </w:rPr>
        <w:t>23</w:t>
      </w:r>
      <w:r w:rsidRPr="00D27DAA">
        <w:rPr>
          <w:rFonts w:ascii="Times New Roman" w:hAnsi="Times New Roman" w:cs="Times New Roman"/>
        </w:rPr>
        <w:fldChar w:fldCharType="end"/>
      </w:r>
      <w:r w:rsidR="00914EBB" w:rsidRPr="00D27DAA">
        <w:rPr>
          <w:rFonts w:ascii="Times New Roman" w:hAnsi="Times New Roman" w:cs="Times New Roman"/>
        </w:rPr>
        <w:t>.</w:t>
      </w:r>
    </w:p>
    <w:p w14:paraId="127F77AF" w14:textId="1F00B248" w:rsidR="0050277C" w:rsidRPr="00D27DAA" w:rsidRDefault="00285462" w:rsidP="0050277C">
      <w:pPr>
        <w:keepNext/>
        <w:rPr>
          <w:rFonts w:ascii="Times New Roman" w:hAnsi="Times New Roman" w:cs="Times New Roman"/>
        </w:rPr>
      </w:pPr>
      <w:r w:rsidRPr="00D27DAA">
        <w:rPr>
          <w:noProof/>
          <w:lang w:eastAsia="en-GB"/>
        </w:rPr>
        <w:lastRenderedPageBreak/>
        <w:drawing>
          <wp:inline distT="0" distB="0" distL="0" distR="0" wp14:anchorId="2337D56C" wp14:editId="1968B699">
            <wp:extent cx="5727700" cy="238464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7700" cy="2384640"/>
                    </a:xfrm>
                    <a:prstGeom prst="rect">
                      <a:avLst/>
                    </a:prstGeom>
                    <a:noFill/>
                    <a:ln>
                      <a:noFill/>
                    </a:ln>
                  </pic:spPr>
                </pic:pic>
              </a:graphicData>
            </a:graphic>
          </wp:inline>
        </w:drawing>
      </w:r>
    </w:p>
    <w:p w14:paraId="01F74D7E" w14:textId="412C114A" w:rsidR="00501F9A" w:rsidRPr="00D27DAA" w:rsidRDefault="0050277C" w:rsidP="002E0135">
      <w:pPr>
        <w:pStyle w:val="Caption"/>
        <w:jc w:val="center"/>
        <w:rPr>
          <w:rFonts w:ascii="Times New Roman" w:hAnsi="Times New Roman" w:cs="Times New Roman"/>
          <w:sz w:val="22"/>
          <w:szCs w:val="22"/>
        </w:rPr>
      </w:pPr>
      <w:bookmarkStart w:id="30" w:name="_Ref512347120"/>
      <w:r w:rsidRPr="00D27DAA">
        <w:rPr>
          <w:rFonts w:ascii="Times New Roman" w:hAnsi="Times New Roman" w:cs="Times New Roman"/>
          <w:sz w:val="22"/>
          <w:szCs w:val="22"/>
        </w:rPr>
        <w:t xml:space="preserve">Figure </w:t>
      </w:r>
      <w:r w:rsidR="00D1788F" w:rsidRPr="00D27DAA">
        <w:rPr>
          <w:rFonts w:ascii="Times New Roman" w:hAnsi="Times New Roman" w:cs="Times New Roman"/>
          <w:sz w:val="22"/>
          <w:szCs w:val="22"/>
        </w:rPr>
        <w:fldChar w:fldCharType="begin"/>
      </w:r>
      <w:r w:rsidR="00D1788F" w:rsidRPr="00D27DAA">
        <w:rPr>
          <w:rFonts w:ascii="Times New Roman" w:hAnsi="Times New Roman" w:cs="Times New Roman"/>
          <w:sz w:val="22"/>
          <w:szCs w:val="22"/>
        </w:rPr>
        <w:instrText xml:space="preserve"> SEQ Figure \* ARABIC </w:instrText>
      </w:r>
      <w:r w:rsidR="00D1788F"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23</w:t>
      </w:r>
      <w:r w:rsidR="00D1788F" w:rsidRPr="00D27DAA">
        <w:rPr>
          <w:rFonts w:ascii="Times New Roman" w:hAnsi="Times New Roman" w:cs="Times New Roman"/>
          <w:noProof/>
          <w:sz w:val="22"/>
          <w:szCs w:val="22"/>
        </w:rPr>
        <w:fldChar w:fldCharType="end"/>
      </w:r>
      <w:bookmarkEnd w:id="30"/>
      <w:r w:rsidRPr="00D27DAA">
        <w:rPr>
          <w:rFonts w:ascii="Times New Roman" w:hAnsi="Times New Roman" w:cs="Times New Roman"/>
          <w:sz w:val="22"/>
          <w:szCs w:val="22"/>
        </w:rPr>
        <w:t xml:space="preserve"> - Axial power distribution with the control rods inserted. The power is normalised across the total of that pin</w:t>
      </w:r>
    </w:p>
    <w:p w14:paraId="1173B807" w14:textId="254033E9" w:rsidR="00A24069" w:rsidRPr="00D27DAA" w:rsidRDefault="0050277C" w:rsidP="00A24069">
      <w:pPr>
        <w:rPr>
          <w:rFonts w:ascii="Times New Roman" w:hAnsi="Times New Roman" w:cs="Times New Roman"/>
        </w:rPr>
      </w:pPr>
      <w:r w:rsidRPr="00D27DAA">
        <w:rPr>
          <w:rFonts w:ascii="Times New Roman" w:hAnsi="Times New Roman" w:cs="Times New Roman"/>
        </w:rPr>
        <w:fldChar w:fldCharType="begin"/>
      </w:r>
      <w:r w:rsidRPr="00D27DAA">
        <w:rPr>
          <w:rFonts w:ascii="Times New Roman" w:hAnsi="Times New Roman" w:cs="Times New Roman"/>
        </w:rPr>
        <w:instrText xml:space="preserve"> REF _Ref512347120 \h </w:instrText>
      </w:r>
      <w:r w:rsidR="00BD5983" w:rsidRPr="00D27DAA">
        <w:rPr>
          <w:rFonts w:ascii="Times New Roman" w:hAnsi="Times New Roman" w:cs="Times New Roman"/>
        </w:rPr>
        <w:instrText xml:space="preserve"> \* MERGEFORMAT </w:instrText>
      </w:r>
      <w:r w:rsidRPr="00D27DAA">
        <w:rPr>
          <w:rFonts w:ascii="Times New Roman" w:hAnsi="Times New Roman" w:cs="Times New Roman"/>
        </w:rPr>
      </w:r>
      <w:r w:rsidRPr="00D27DAA">
        <w:rPr>
          <w:rFonts w:ascii="Times New Roman" w:hAnsi="Times New Roman" w:cs="Times New Roman"/>
        </w:rPr>
        <w:fldChar w:fldCharType="separate"/>
      </w:r>
      <w:r w:rsidR="004E622C" w:rsidRPr="00D27DAA">
        <w:rPr>
          <w:rFonts w:ascii="Times New Roman" w:hAnsi="Times New Roman" w:cs="Times New Roman"/>
        </w:rPr>
        <w:t xml:space="preserve">Figure </w:t>
      </w:r>
      <w:r w:rsidR="004E622C" w:rsidRPr="00D27DAA">
        <w:rPr>
          <w:rFonts w:ascii="Times New Roman" w:hAnsi="Times New Roman" w:cs="Times New Roman"/>
          <w:noProof/>
        </w:rPr>
        <w:t>23</w:t>
      </w:r>
      <w:r w:rsidRPr="00D27DAA">
        <w:rPr>
          <w:rFonts w:ascii="Times New Roman" w:hAnsi="Times New Roman" w:cs="Times New Roman"/>
        </w:rPr>
        <w:fldChar w:fldCharType="end"/>
      </w:r>
      <w:r w:rsidR="008160A6" w:rsidRPr="00D27DAA">
        <w:rPr>
          <w:rFonts w:ascii="Times New Roman" w:hAnsi="Times New Roman" w:cs="Times New Roman"/>
        </w:rPr>
        <w:t xml:space="preserve"> clearly shows</w:t>
      </w:r>
      <w:r w:rsidR="00A24069" w:rsidRPr="00D27DAA">
        <w:rPr>
          <w:rFonts w:ascii="Times New Roman" w:hAnsi="Times New Roman" w:cs="Times New Roman"/>
        </w:rPr>
        <w:t xml:space="preserve">, the power shifts down significantly due to the insertion of the control rods to 150 cm. The power then almost in a linear fashion rises across the pins below this. This causes over double the </w:t>
      </w:r>
      <w:r w:rsidR="008160A6" w:rsidRPr="00D27DAA">
        <w:rPr>
          <w:rFonts w:ascii="Times New Roman" w:hAnsi="Times New Roman" w:cs="Times New Roman"/>
        </w:rPr>
        <w:t>power</w:t>
      </w:r>
      <w:r w:rsidR="00A24069" w:rsidRPr="00D27DAA">
        <w:rPr>
          <w:rFonts w:ascii="Times New Roman" w:hAnsi="Times New Roman" w:cs="Times New Roman"/>
        </w:rPr>
        <w:t xml:space="preserve"> </w:t>
      </w:r>
      <w:r w:rsidR="006A58B8" w:rsidRPr="00D27DAA">
        <w:rPr>
          <w:rFonts w:ascii="Times New Roman" w:hAnsi="Times New Roman" w:cs="Times New Roman"/>
        </w:rPr>
        <w:t xml:space="preserve">density </w:t>
      </w:r>
      <w:r w:rsidR="00A24069" w:rsidRPr="00D27DAA">
        <w:rPr>
          <w:rFonts w:ascii="Times New Roman" w:hAnsi="Times New Roman" w:cs="Times New Roman"/>
        </w:rPr>
        <w:t xml:space="preserve">in these pins to be experienced during this period. </w:t>
      </w:r>
      <w:r w:rsidR="008160A6" w:rsidRPr="00D27DAA">
        <w:rPr>
          <w:rFonts w:ascii="Times New Roman" w:hAnsi="Times New Roman" w:cs="Times New Roman"/>
        </w:rPr>
        <w:t xml:space="preserve">This must be considered in the design criteria of the fuel compacts/pins to </w:t>
      </w:r>
      <w:r w:rsidR="00FA557E" w:rsidRPr="00D27DAA">
        <w:rPr>
          <w:rFonts w:ascii="Times New Roman" w:hAnsi="Times New Roman" w:cs="Times New Roman"/>
        </w:rPr>
        <w:t>determine the maximum temperature within these TRISO compacts</w:t>
      </w:r>
      <w:r w:rsidR="008160A6" w:rsidRPr="00D27DAA">
        <w:rPr>
          <w:rFonts w:ascii="Times New Roman" w:hAnsi="Times New Roman" w:cs="Times New Roman"/>
        </w:rPr>
        <w:t>.</w:t>
      </w:r>
      <w:r w:rsidR="00FA557E" w:rsidRPr="00D27DAA">
        <w:rPr>
          <w:rFonts w:ascii="Times New Roman" w:hAnsi="Times New Roman" w:cs="Times New Roman"/>
        </w:rPr>
        <w:t xml:space="preserve"> F</w:t>
      </w:r>
      <w:r w:rsidR="00A24069" w:rsidRPr="00D27DAA">
        <w:rPr>
          <w:rFonts w:ascii="Times New Roman" w:hAnsi="Times New Roman" w:cs="Times New Roman"/>
        </w:rPr>
        <w:t xml:space="preserve">urther analysis on the thermal effects of this procedure will be required to determine the overall severity of these effects on the system. </w:t>
      </w:r>
    </w:p>
    <w:p w14:paraId="14F0C174" w14:textId="5D8EA3EB" w:rsidR="003237A3" w:rsidRPr="00D27DAA" w:rsidRDefault="003237A3" w:rsidP="003A1E0E">
      <w:pPr>
        <w:pStyle w:val="Heading1"/>
        <w:rPr>
          <w:rFonts w:ascii="Times New Roman" w:hAnsi="Times New Roman" w:cs="Times New Roman"/>
          <w:sz w:val="22"/>
          <w:szCs w:val="22"/>
        </w:rPr>
      </w:pPr>
      <w:r w:rsidRPr="00D27DAA">
        <w:rPr>
          <w:rFonts w:ascii="Times New Roman" w:hAnsi="Times New Roman" w:cs="Times New Roman"/>
          <w:sz w:val="22"/>
          <w:szCs w:val="22"/>
        </w:rPr>
        <w:t>Conclusion</w:t>
      </w:r>
    </w:p>
    <w:p w14:paraId="3B0D299E" w14:textId="35B1A37C" w:rsidR="002E0135" w:rsidRPr="00D27DAA" w:rsidRDefault="00A07131" w:rsidP="00EE20C9">
      <w:pPr>
        <w:rPr>
          <w:rFonts w:ascii="Times New Roman" w:hAnsi="Times New Roman" w:cs="Times New Roman"/>
        </w:rPr>
      </w:pPr>
      <w:r w:rsidRPr="00D27DAA">
        <w:rPr>
          <w:rFonts w:ascii="Times New Roman" w:hAnsi="Times New Roman" w:cs="Times New Roman"/>
        </w:rPr>
        <w:t>This paper has investigated several methods of reactivity control within a small modular HTR based o</w:t>
      </w:r>
      <w:r w:rsidR="008160A6" w:rsidRPr="00D27DAA">
        <w:rPr>
          <w:rFonts w:ascii="Times New Roman" w:hAnsi="Times New Roman" w:cs="Times New Roman"/>
        </w:rPr>
        <w:t>n</w:t>
      </w:r>
      <w:r w:rsidRPr="00D27DAA">
        <w:rPr>
          <w:rFonts w:ascii="Times New Roman" w:hAnsi="Times New Roman" w:cs="Times New Roman"/>
        </w:rPr>
        <w:t xml:space="preserve"> the </w:t>
      </w:r>
      <w:r w:rsidR="008160A6" w:rsidRPr="00D27DAA">
        <w:rPr>
          <w:rFonts w:ascii="Times New Roman" w:hAnsi="Times New Roman" w:cs="Times New Roman"/>
        </w:rPr>
        <w:t xml:space="preserve">adopted </w:t>
      </w:r>
      <w:r w:rsidRPr="00D27DAA">
        <w:rPr>
          <w:rFonts w:ascii="Times New Roman" w:hAnsi="Times New Roman" w:cs="Times New Roman"/>
        </w:rPr>
        <w:t xml:space="preserve">U-Battery design. The overall goal aimed to exhibit how </w:t>
      </w:r>
      <w:r w:rsidR="008160A6" w:rsidRPr="00D27DAA">
        <w:rPr>
          <w:rFonts w:ascii="Times New Roman" w:hAnsi="Times New Roman" w:cs="Times New Roman"/>
        </w:rPr>
        <w:t>different</w:t>
      </w:r>
      <w:r w:rsidRPr="00D27DAA">
        <w:rPr>
          <w:rFonts w:ascii="Times New Roman" w:hAnsi="Times New Roman" w:cs="Times New Roman"/>
        </w:rPr>
        <w:t xml:space="preserve"> control methods are used </w:t>
      </w:r>
      <w:r w:rsidR="008160A6" w:rsidRPr="00D27DAA">
        <w:rPr>
          <w:rFonts w:ascii="Times New Roman" w:hAnsi="Times New Roman" w:cs="Times New Roman"/>
        </w:rPr>
        <w:t xml:space="preserve">and interplay </w:t>
      </w:r>
      <w:r w:rsidRPr="00D27DAA">
        <w:rPr>
          <w:rFonts w:ascii="Times New Roman" w:hAnsi="Times New Roman" w:cs="Times New Roman"/>
        </w:rPr>
        <w:t xml:space="preserve">to manipulate the reactivity at different stages of a single fuel cycle, while trying to keep the minimum </w:t>
      </w:r>
      <w:r w:rsidR="00307C85" w:rsidRPr="00D27DAA">
        <w:rPr>
          <w:rFonts w:ascii="Times New Roman" w:hAnsi="Times New Roman" w:cs="Times New Roman"/>
        </w:rPr>
        <w:t>dependency on</w:t>
      </w:r>
      <w:r w:rsidRPr="00D27DAA">
        <w:rPr>
          <w:rFonts w:ascii="Times New Roman" w:hAnsi="Times New Roman" w:cs="Times New Roman"/>
        </w:rPr>
        <w:t xml:space="preserve"> the control rods. </w:t>
      </w:r>
      <w:r w:rsidR="002E0135" w:rsidRPr="00D27DAA">
        <w:rPr>
          <w:rFonts w:ascii="Times New Roman" w:hAnsi="Times New Roman" w:cs="Times New Roman"/>
        </w:rPr>
        <w:t xml:space="preserve">The initial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002E0135" w:rsidRPr="00D27DAA">
        <w:rPr>
          <w:rFonts w:ascii="Times New Roman" w:hAnsi="Times New Roman" w:cs="Times New Roman"/>
        </w:rPr>
        <w:t xml:space="preserve">of the system was at 1.2, with the main aim being to reduce this to ~ 1.05 with FBP’s. Three different FBP designs were investigated, the first focused on adding the poisons to the high-power areas, at the side reflector and the central reflector. The second, focused on the points of the hexagonal fuel blocks as described in the initial U-Battery report </w:t>
      </w:r>
      <w:r w:rsidR="008C339F" w:rsidRPr="00D27DAA">
        <w:rPr>
          <w:rFonts w:ascii="Times New Roman" w:hAnsi="Times New Roman" w:cs="Times New Roman"/>
        </w:rPr>
        <w:fldChar w:fldCharType="begin" w:fldLock="1"/>
      </w:r>
      <w:r w:rsidR="00BA0709" w:rsidRPr="00D27DAA">
        <w:rPr>
          <w:rFonts w:ascii="Times New Roman" w:hAnsi="Times New Roman" w:cs="Times New Roman"/>
        </w:rPr>
        <w:instrText>ADDIN CSL_CITATION {"citationItems":[{"id":"ITEM-1","itemData":{"URL":"http://www.janleenkloosterman.nl/reports/ubattery_final_201111.pdf","accessed":{"date-parts":[["2018","5","11"]]},"author":[{"dropping-particle":"","family":"Ding","given":"Ming","non-dropping-particle":"","parse-names":false,"suffix":""},{"dropping-particle":"","family":"Kloosterman","given":"Jan Leen","non-dropping-particle":"","parse-names":false,"suffix":""},{"dropping-particle":"","family":"Kooijman","given":"Theo","non-dropping-particle":"","parse-names":false,"suffix":""},{"dropping-particle":"","family":"Linssen","given":"Rik","non-dropping-particle":"","parse-names":false,"suffix":""}],"id":"ITEM-1","issued":{"date-parts":[["2011"]]},"page":"462","title":"Design of a U-Battery ®","type":"webpage"},"uris":["http://www.mendeley.com/documents/?uuid=c9897914-798f-4e91-a545-84071cc51803"]}],"mendeley":{"formattedCitation":"(Ding et al., 2011)","plainTextFormattedCitation":"(Ding et al., 2011)","previouslyFormattedCitation":"(Ding et al., 2011)"},"properties":{"noteIndex":0},"schema":"https://github.com/citation-style-language/schema/raw/master/csl-citation.json"}</w:instrText>
      </w:r>
      <w:r w:rsidR="008C339F" w:rsidRPr="00D27DAA">
        <w:rPr>
          <w:rFonts w:ascii="Times New Roman" w:hAnsi="Times New Roman" w:cs="Times New Roman"/>
        </w:rPr>
        <w:fldChar w:fldCharType="separate"/>
      </w:r>
      <w:r w:rsidR="008C339F" w:rsidRPr="00D27DAA">
        <w:rPr>
          <w:rFonts w:ascii="Times New Roman" w:hAnsi="Times New Roman" w:cs="Times New Roman"/>
          <w:noProof/>
        </w:rPr>
        <w:t>(Ding et al., 2011)</w:t>
      </w:r>
      <w:r w:rsidR="008C339F" w:rsidRPr="00D27DAA">
        <w:rPr>
          <w:rFonts w:ascii="Times New Roman" w:hAnsi="Times New Roman" w:cs="Times New Roman"/>
        </w:rPr>
        <w:fldChar w:fldCharType="end"/>
      </w:r>
      <w:r w:rsidR="008C339F" w:rsidRPr="00D27DAA">
        <w:rPr>
          <w:rFonts w:ascii="Times New Roman" w:hAnsi="Times New Roman" w:cs="Times New Roman"/>
        </w:rPr>
        <w:t xml:space="preserve"> </w:t>
      </w:r>
      <w:r w:rsidR="002E0135" w:rsidRPr="00D27DAA">
        <w:rPr>
          <w:rFonts w:ascii="Times New Roman" w:hAnsi="Times New Roman" w:cs="Times New Roman"/>
        </w:rPr>
        <w:t xml:space="preserve">and the third by uniformly placing FBP’s at the centre of the fuel pins. </w:t>
      </w:r>
    </w:p>
    <w:p w14:paraId="6FA0B14E" w14:textId="1C1465F4" w:rsidR="0050277C" w:rsidRPr="00D27DAA" w:rsidRDefault="002E0135" w:rsidP="00EE20C9">
      <w:pPr>
        <w:rPr>
          <w:rFonts w:ascii="Times New Roman" w:hAnsi="Times New Roman" w:cs="Times New Roman"/>
        </w:rPr>
      </w:pPr>
      <w:r w:rsidRPr="00D27DAA">
        <w:rPr>
          <w:rFonts w:ascii="Times New Roman" w:hAnsi="Times New Roman" w:cs="Times New Roman"/>
        </w:rPr>
        <w:lastRenderedPageBreak/>
        <w:t xml:space="preserve">The first design showed the highest promise, with the flattest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Pr="00D27DAA">
        <w:rPr>
          <w:rFonts w:ascii="Times New Roman" w:hAnsi="Times New Roman" w:cs="Times New Roman"/>
        </w:rPr>
        <w:t>profile, thus removing the dependency from the control rods however, this</w:t>
      </w:r>
      <w:r w:rsidR="00A07131" w:rsidRPr="00D27DAA">
        <w:rPr>
          <w:rFonts w:ascii="Times New Roman" w:hAnsi="Times New Roman" w:cs="Times New Roman"/>
        </w:rPr>
        <w:t xml:space="preserve"> showed a rising peak in </w:t>
      </w:r>
      <w:proofErr w:type="spellStart"/>
      <w:r w:rsidR="00A03F2A" w:rsidRPr="00D27DAA">
        <w:rPr>
          <w:rFonts w:ascii="Times New Roman" w:hAnsi="Times New Roman" w:cs="Times New Roman"/>
        </w:rPr>
        <w:t>K</w:t>
      </w:r>
      <w:r w:rsidR="00A03F2A" w:rsidRPr="00D27DAA">
        <w:rPr>
          <w:rFonts w:ascii="Times New Roman" w:hAnsi="Times New Roman" w:cs="Times New Roman"/>
          <w:vertAlign w:val="subscript"/>
        </w:rPr>
        <w:t>eff</w:t>
      </w:r>
      <w:proofErr w:type="spellEnd"/>
      <w:r w:rsidR="00A03F2A" w:rsidRPr="00D27DAA">
        <w:rPr>
          <w:rFonts w:ascii="Times New Roman" w:hAnsi="Times New Roman" w:cs="Times New Roman"/>
        </w:rPr>
        <w:t xml:space="preserve"> </w:t>
      </w:r>
      <w:r w:rsidR="00A07131" w:rsidRPr="00D27DAA">
        <w:rPr>
          <w:rFonts w:ascii="Times New Roman" w:hAnsi="Times New Roman" w:cs="Times New Roman"/>
        </w:rPr>
        <w:t xml:space="preserve">once the small </w:t>
      </w:r>
      <w:r w:rsidRPr="00D27DAA">
        <w:rPr>
          <w:rFonts w:ascii="Times New Roman" w:hAnsi="Times New Roman" w:cs="Times New Roman"/>
        </w:rPr>
        <w:t xml:space="preserve">poison </w:t>
      </w:r>
      <w:r w:rsidR="00A07131" w:rsidRPr="00D27DAA">
        <w:rPr>
          <w:rFonts w:ascii="Times New Roman" w:hAnsi="Times New Roman" w:cs="Times New Roman"/>
        </w:rPr>
        <w:t xml:space="preserve">sleeves were depleted. It was accepted this peak was too large (~1.07) to overcome by the control rods alone. Following this, </w:t>
      </w:r>
      <w:r w:rsidR="00752224" w:rsidRPr="00D27DAA">
        <w:rPr>
          <w:rFonts w:ascii="Times New Roman" w:hAnsi="Times New Roman" w:cs="Times New Roman"/>
        </w:rPr>
        <w:t>the</w:t>
      </w:r>
      <w:r w:rsidR="00A07131" w:rsidRPr="00D27DAA">
        <w:rPr>
          <w:rFonts w:ascii="Times New Roman" w:hAnsi="Times New Roman" w:cs="Times New Roman"/>
        </w:rPr>
        <w:t xml:space="preserve"> spectrum hardening technique was used</w:t>
      </w:r>
      <w:r w:rsidR="00752224" w:rsidRPr="00D27DAA">
        <w:rPr>
          <w:rFonts w:ascii="Times New Roman" w:hAnsi="Times New Roman" w:cs="Times New Roman"/>
        </w:rPr>
        <w:t xml:space="preserve"> by manipulating the central reflector to reduce the </w:t>
      </w:r>
      <w:r w:rsidR="00F42C70" w:rsidRPr="00D27DAA">
        <w:rPr>
          <w:rFonts w:ascii="Times New Roman" w:hAnsi="Times New Roman" w:cs="Times New Roman"/>
        </w:rPr>
        <w:t>probability</w:t>
      </w:r>
      <w:r w:rsidR="00752224" w:rsidRPr="00D27DAA">
        <w:rPr>
          <w:rFonts w:ascii="Times New Roman" w:hAnsi="Times New Roman" w:cs="Times New Roman"/>
        </w:rPr>
        <w:t xml:space="preserve"> of fission. This provided significant </w:t>
      </w:r>
      <w:r w:rsidR="00F42C70" w:rsidRPr="00D27DAA">
        <w:rPr>
          <w:rFonts w:ascii="Times New Roman" w:hAnsi="Times New Roman" w:cs="Times New Roman"/>
        </w:rPr>
        <w:t xml:space="preserve">additional </w:t>
      </w:r>
      <w:r w:rsidR="00752224" w:rsidRPr="00D27DAA">
        <w:rPr>
          <w:rFonts w:ascii="Times New Roman" w:hAnsi="Times New Roman" w:cs="Times New Roman"/>
        </w:rPr>
        <w:t>reactivity control within the system</w:t>
      </w:r>
      <w:r w:rsidR="00307C85" w:rsidRPr="00D27DAA">
        <w:rPr>
          <w:rFonts w:ascii="Times New Roman" w:hAnsi="Times New Roman" w:cs="Times New Roman"/>
        </w:rPr>
        <w:t xml:space="preserve">. </w:t>
      </w:r>
      <w:r w:rsidR="0050277C" w:rsidRPr="00D27DAA">
        <w:rPr>
          <w:rFonts w:ascii="Times New Roman" w:hAnsi="Times New Roman" w:cs="Times New Roman"/>
        </w:rPr>
        <w:t xml:space="preserve">The central reflectors breeding </w:t>
      </w:r>
      <w:r w:rsidR="00307C85" w:rsidRPr="00D27DAA">
        <w:rPr>
          <w:rFonts w:ascii="Times New Roman" w:hAnsi="Times New Roman" w:cs="Times New Roman"/>
        </w:rPr>
        <w:t>method cancelled</w:t>
      </w:r>
      <w:r w:rsidR="0050277C" w:rsidRPr="00D27DAA">
        <w:rPr>
          <w:rFonts w:ascii="Times New Roman" w:hAnsi="Times New Roman" w:cs="Times New Roman"/>
        </w:rPr>
        <w:t xml:space="preserve"> out the fuel lifetime penalty which had been introduced by the inclusion of the FBPs, bringing the overall lifetime of the reactor to 1364 days, the same as without any poisons included. </w:t>
      </w:r>
    </w:p>
    <w:p w14:paraId="60299E4C" w14:textId="23FA9E9A" w:rsidR="0050277C" w:rsidRPr="00D27DAA" w:rsidRDefault="0050277C" w:rsidP="00EE20C9">
      <w:pPr>
        <w:rPr>
          <w:rFonts w:ascii="Times New Roman" w:hAnsi="Times New Roman" w:cs="Times New Roman"/>
        </w:rPr>
      </w:pPr>
      <w:r w:rsidRPr="00D27DAA">
        <w:rPr>
          <w:rFonts w:ascii="Times New Roman" w:hAnsi="Times New Roman" w:cs="Times New Roman"/>
        </w:rPr>
        <w:t xml:space="preserve">The removal of the central reflector allows the operator to balance the power distribution across the core well radially, this is due to the highest power pins being swapped between the inside to outside of the fuel block. </w:t>
      </w:r>
    </w:p>
    <w:p w14:paraId="5EF744E5" w14:textId="60C149B9" w:rsidR="0050277C" w:rsidRPr="00D27DAA" w:rsidRDefault="0050277C" w:rsidP="00EE20C9">
      <w:pPr>
        <w:rPr>
          <w:rFonts w:ascii="Times New Roman" w:hAnsi="Times New Roman" w:cs="Times New Roman"/>
        </w:rPr>
      </w:pPr>
      <w:r w:rsidRPr="00D27DAA">
        <w:rPr>
          <w:rFonts w:ascii="Times New Roman" w:hAnsi="Times New Roman" w:cs="Times New Roman"/>
        </w:rPr>
        <w:t xml:space="preserve">During the insertion of the control rods at the highest peak, it was shown that the power profile </w:t>
      </w:r>
      <w:r w:rsidR="00F42C70" w:rsidRPr="00D27DAA">
        <w:rPr>
          <w:rFonts w:ascii="Times New Roman" w:hAnsi="Times New Roman" w:cs="Times New Roman"/>
        </w:rPr>
        <w:t xml:space="preserve">will be significantly distorted leading to a strong power increase in </w:t>
      </w:r>
      <w:r w:rsidRPr="00D27DAA">
        <w:rPr>
          <w:rFonts w:ascii="Times New Roman" w:hAnsi="Times New Roman" w:cs="Times New Roman"/>
        </w:rPr>
        <w:t xml:space="preserve">the lower </w:t>
      </w:r>
      <w:r w:rsidR="00F42C70" w:rsidRPr="00D27DAA">
        <w:rPr>
          <w:rFonts w:ascii="Times New Roman" w:hAnsi="Times New Roman" w:cs="Times New Roman"/>
        </w:rPr>
        <w:t>parts of the core</w:t>
      </w:r>
      <w:r w:rsidRPr="00D27DAA">
        <w:rPr>
          <w:rFonts w:ascii="Times New Roman" w:hAnsi="Times New Roman" w:cs="Times New Roman"/>
        </w:rPr>
        <w:t xml:space="preserve">. A full thermal analysis </w:t>
      </w:r>
      <w:r w:rsidR="00F42C70" w:rsidRPr="00D27DAA">
        <w:rPr>
          <w:rFonts w:ascii="Times New Roman" w:hAnsi="Times New Roman" w:cs="Times New Roman"/>
        </w:rPr>
        <w:t xml:space="preserve">(like a fuel performance analysis in </w:t>
      </w:r>
      <w:proofErr w:type="gramStart"/>
      <w:r w:rsidR="00F42C70" w:rsidRPr="00D27DAA">
        <w:rPr>
          <w:rFonts w:ascii="Times New Roman" w:hAnsi="Times New Roman" w:cs="Times New Roman"/>
        </w:rPr>
        <w:t>a</w:t>
      </w:r>
      <w:proofErr w:type="gramEnd"/>
      <w:r w:rsidR="00F42C70" w:rsidRPr="00D27DAA">
        <w:rPr>
          <w:rFonts w:ascii="Times New Roman" w:hAnsi="Times New Roman" w:cs="Times New Roman"/>
        </w:rPr>
        <w:t xml:space="preserve"> LWR) </w:t>
      </w:r>
      <w:r w:rsidRPr="00D27DAA">
        <w:rPr>
          <w:rFonts w:ascii="Times New Roman" w:hAnsi="Times New Roman" w:cs="Times New Roman"/>
        </w:rPr>
        <w:t xml:space="preserve">should be performed to determine the peak temperatures experienced within these fuel regions to determine if safe operating limits are likely to be breeched. </w:t>
      </w:r>
      <w:r w:rsidR="00F42C70" w:rsidRPr="00D27DAA">
        <w:rPr>
          <w:rFonts w:ascii="Times New Roman" w:hAnsi="Times New Roman" w:cs="Times New Roman"/>
        </w:rPr>
        <w:t>This operational point has the potential to be the limiting factor in the core design parameters like the pin/compact power.</w:t>
      </w:r>
    </w:p>
    <w:p w14:paraId="72361EDD" w14:textId="577E2280" w:rsidR="00BD5983" w:rsidRPr="00D27DAA" w:rsidRDefault="00893081" w:rsidP="00893081">
      <w:pPr>
        <w:pStyle w:val="Heading1"/>
      </w:pPr>
      <w:r w:rsidRPr="00D27DAA">
        <w:t>Further work</w:t>
      </w:r>
    </w:p>
    <w:p w14:paraId="1CFE7167" w14:textId="7BBB29BE" w:rsidR="00893081" w:rsidRPr="00D27DAA" w:rsidRDefault="00893081" w:rsidP="00893081">
      <w:r w:rsidRPr="00D27DAA">
        <w:t>This article has begun to investigate the methods to control the reactivity of a single fuel cycle. This has prompted several other aspects which have not been considered and should be considered in further work.</w:t>
      </w:r>
      <w:r w:rsidR="00C440EA" w:rsidRPr="00D27DAA">
        <w:t xml:space="preserve"> For example,</w:t>
      </w:r>
      <w:r w:rsidRPr="00D27DAA">
        <w:t xml:space="preserve"> like the AGR reactors, the use of grey control rods for power manipulation </w:t>
      </w:r>
      <w:r w:rsidR="00C440EA" w:rsidRPr="00D27DAA">
        <w:t xml:space="preserve">could </w:t>
      </w:r>
      <w:r w:rsidRPr="00D27DAA">
        <w:t>be considered. These grey control rods would add additional finer control over the power distribution.</w:t>
      </w:r>
    </w:p>
    <w:p w14:paraId="68F06FB7" w14:textId="33D5C9FB" w:rsidR="00893081" w:rsidRPr="00D27DAA" w:rsidRDefault="00893081" w:rsidP="00893081">
      <w:r w:rsidRPr="00D27DAA">
        <w:lastRenderedPageBreak/>
        <w:t xml:space="preserve">This design saw a peak in reactivity at which the power maximum has been discovered. At this point a full thermal analysis should be performed to determine the maximum temperature on these fuel compacts. </w:t>
      </w:r>
    </w:p>
    <w:p w14:paraId="0D30BC32" w14:textId="4B6227E7" w:rsidR="001C37A2" w:rsidRPr="00D27DAA" w:rsidRDefault="001500DD" w:rsidP="001500DD">
      <w:pPr>
        <w:pStyle w:val="Heading1"/>
        <w:rPr>
          <w:rFonts w:ascii="Times New Roman" w:hAnsi="Times New Roman" w:cs="Times New Roman"/>
          <w:sz w:val="22"/>
          <w:szCs w:val="22"/>
        </w:rPr>
      </w:pPr>
      <w:r w:rsidRPr="00D27DAA">
        <w:rPr>
          <w:rFonts w:ascii="Times New Roman" w:hAnsi="Times New Roman" w:cs="Times New Roman"/>
          <w:sz w:val="22"/>
          <w:szCs w:val="22"/>
        </w:rPr>
        <w:t>Appendices</w:t>
      </w:r>
    </w:p>
    <w:p w14:paraId="2EB90417" w14:textId="3E8365B3" w:rsidR="001500DD" w:rsidRPr="00D27DAA" w:rsidRDefault="001500DD" w:rsidP="001500DD">
      <w:pPr>
        <w:rPr>
          <w:rFonts w:ascii="Times New Roman" w:hAnsi="Times New Roman" w:cs="Times New Roman"/>
        </w:rPr>
      </w:pPr>
      <w:r w:rsidRPr="00D27DAA">
        <w:rPr>
          <w:rFonts w:ascii="Times New Roman" w:hAnsi="Times New Roman" w:cs="Times New Roman"/>
        </w:rPr>
        <w:t xml:space="preserve">The core geometry was originally based on the U-Battery, however, studies regarding the effectiveness determined that there was no significant benefit of using graphite as a moderator </w:t>
      </w:r>
      <w:r w:rsidRPr="00D27DAA">
        <w:rPr>
          <w:rFonts w:ascii="Times New Roman" w:hAnsi="Times New Roman" w:cs="Times New Roman"/>
        </w:rPr>
        <w:fldChar w:fldCharType="begin" w:fldLock="1"/>
      </w:r>
      <w:r w:rsidR="008C339F" w:rsidRPr="00D27DAA">
        <w:rPr>
          <w:rFonts w:ascii="Times New Roman" w:hAnsi="Times New Roman" w:cs="Times New Roman"/>
        </w:rPr>
        <w:instrText>ADDIN CSL_CITATION {"citationItems":[{"id":"ITEM-1","itemData":{"author":[{"dropping-particle":"","family":"S.Atkinson , T.J.Abram, D.Litskevich","given":"B.Merk","non-dropping-particle":"","parse-names":false,"suffix":""}],"container-title":"Submitted to Prgress in nuclear - Ref. No.: PNUCENE-D-18-00199","id":"ITEM-1","issued":{"date-parts":[["0"]]},"title":"A comparison between Beryllium oxide and nuclear graphite in a small scale high temperature reactor","type":"article-journal"},"uris":["http://www.mendeley.com/documents/?uuid=834ff841-3533-4d53-a3aa-e019653aeba7"]}],"mendeley":{"formattedCitation":"(S.Atkinson , T.J.Abram, D.Litskevich, n.d.)","plainTextFormattedCitation":"(S.Atkinson , T.J.Abram, D.Litskevich, n.d.)","previouslyFormattedCitation":"(S.Atkinson , T.J.Abram, D.Litskevich, n.d.)"},"properties":{"noteIndex":0},"schema":"https://github.com/citation-style-language/schema/raw/master/csl-citation.json"}</w:instrText>
      </w:r>
      <w:r w:rsidRPr="00D27DAA">
        <w:rPr>
          <w:rFonts w:ascii="Times New Roman" w:hAnsi="Times New Roman" w:cs="Times New Roman"/>
        </w:rPr>
        <w:fldChar w:fldCharType="separate"/>
      </w:r>
      <w:r w:rsidR="00D1788F" w:rsidRPr="00D27DAA">
        <w:rPr>
          <w:rFonts w:ascii="Times New Roman" w:hAnsi="Times New Roman" w:cs="Times New Roman"/>
          <w:noProof/>
        </w:rPr>
        <w:t>(S.Atkinson , T.J.Abram, D.Litskevich, n.d.)</w:t>
      </w:r>
      <w:r w:rsidRPr="00D27DAA">
        <w:rPr>
          <w:rFonts w:ascii="Times New Roman" w:hAnsi="Times New Roman" w:cs="Times New Roman"/>
        </w:rPr>
        <w:fldChar w:fldCharType="end"/>
      </w:r>
      <w:r w:rsidRPr="00D27DAA">
        <w:rPr>
          <w:rFonts w:ascii="Times New Roman" w:hAnsi="Times New Roman" w:cs="Times New Roman"/>
        </w:rPr>
        <w:t xml:space="preserve">. Thus, the new core geometry is listed below. </w:t>
      </w:r>
    </w:p>
    <w:p w14:paraId="3735A22B" w14:textId="7FE54889" w:rsidR="001D011E" w:rsidRPr="00D27DAA" w:rsidRDefault="001D011E" w:rsidP="001D011E">
      <w:pPr>
        <w:pStyle w:val="Caption"/>
        <w:keepNext/>
        <w:rPr>
          <w:rFonts w:ascii="Times New Roman" w:hAnsi="Times New Roman" w:cs="Times New Roman"/>
          <w:sz w:val="22"/>
          <w:szCs w:val="22"/>
        </w:rPr>
      </w:pPr>
      <w:bookmarkStart w:id="31" w:name="_Ref521934558"/>
      <w:r w:rsidRPr="00D27DAA">
        <w:rPr>
          <w:rFonts w:ascii="Times New Roman" w:hAnsi="Times New Roman" w:cs="Times New Roman"/>
          <w:sz w:val="22"/>
          <w:szCs w:val="22"/>
        </w:rPr>
        <w:t xml:space="preserve">Table </w:t>
      </w:r>
      <w:r w:rsidR="00F71ED4" w:rsidRPr="00D27DAA">
        <w:rPr>
          <w:rFonts w:ascii="Times New Roman" w:hAnsi="Times New Roman" w:cs="Times New Roman"/>
          <w:sz w:val="22"/>
          <w:szCs w:val="22"/>
        </w:rPr>
        <w:fldChar w:fldCharType="begin"/>
      </w:r>
      <w:r w:rsidR="00F71ED4" w:rsidRPr="00D27DAA">
        <w:rPr>
          <w:rFonts w:ascii="Times New Roman" w:hAnsi="Times New Roman" w:cs="Times New Roman"/>
          <w:sz w:val="22"/>
          <w:szCs w:val="22"/>
        </w:rPr>
        <w:instrText xml:space="preserve"> SEQ Table \* ARABIC </w:instrText>
      </w:r>
      <w:r w:rsidR="00F71ED4"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4</w:t>
      </w:r>
      <w:r w:rsidR="00F71ED4" w:rsidRPr="00D27DAA">
        <w:rPr>
          <w:rFonts w:ascii="Times New Roman" w:hAnsi="Times New Roman" w:cs="Times New Roman"/>
          <w:sz w:val="22"/>
          <w:szCs w:val="22"/>
        </w:rPr>
        <w:fldChar w:fldCharType="end"/>
      </w:r>
      <w:bookmarkEnd w:id="31"/>
      <w:r w:rsidRPr="00D27DAA">
        <w:rPr>
          <w:rFonts w:ascii="Times New Roman" w:hAnsi="Times New Roman" w:cs="Times New Roman"/>
          <w:sz w:val="22"/>
          <w:szCs w:val="22"/>
        </w:rPr>
        <w:t>- Material compositions for the revised conceptual U-Battery design</w:t>
      </w:r>
    </w:p>
    <w:tbl>
      <w:tblPr>
        <w:tblW w:w="8680" w:type="dxa"/>
        <w:tblInd w:w="108" w:type="dxa"/>
        <w:tblLook w:val="04A0" w:firstRow="1" w:lastRow="0" w:firstColumn="1" w:lastColumn="0" w:noHBand="0" w:noVBand="1"/>
      </w:tblPr>
      <w:tblGrid>
        <w:gridCol w:w="1839"/>
        <w:gridCol w:w="976"/>
        <w:gridCol w:w="1775"/>
        <w:gridCol w:w="2431"/>
        <w:gridCol w:w="1659"/>
      </w:tblGrid>
      <w:tr w:rsidR="001500DD" w:rsidRPr="00D27DAA" w14:paraId="11B23B59" w14:textId="77777777" w:rsidTr="001D011E">
        <w:trPr>
          <w:trHeight w:val="720"/>
        </w:trPr>
        <w:tc>
          <w:tcPr>
            <w:tcW w:w="1839" w:type="dxa"/>
            <w:tcBorders>
              <w:top w:val="nil"/>
              <w:left w:val="nil"/>
              <w:bottom w:val="double" w:sz="6" w:space="0" w:color="auto"/>
              <w:right w:val="nil"/>
            </w:tcBorders>
            <w:shd w:val="clear" w:color="auto" w:fill="auto"/>
            <w:vAlign w:val="center"/>
            <w:hideMark/>
          </w:tcPr>
          <w:p w14:paraId="50382038"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Component</w:t>
            </w:r>
          </w:p>
        </w:tc>
        <w:tc>
          <w:tcPr>
            <w:tcW w:w="976" w:type="dxa"/>
            <w:tcBorders>
              <w:top w:val="nil"/>
              <w:left w:val="nil"/>
              <w:bottom w:val="double" w:sz="6" w:space="0" w:color="auto"/>
              <w:right w:val="nil"/>
            </w:tcBorders>
            <w:shd w:val="clear" w:color="auto" w:fill="auto"/>
            <w:vAlign w:val="center"/>
            <w:hideMark/>
          </w:tcPr>
          <w:p w14:paraId="1438ED79"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Material</w:t>
            </w:r>
          </w:p>
        </w:tc>
        <w:tc>
          <w:tcPr>
            <w:tcW w:w="1775" w:type="dxa"/>
            <w:tcBorders>
              <w:top w:val="nil"/>
              <w:left w:val="nil"/>
              <w:bottom w:val="double" w:sz="6" w:space="0" w:color="auto"/>
              <w:right w:val="nil"/>
            </w:tcBorders>
            <w:shd w:val="clear" w:color="auto" w:fill="auto"/>
            <w:vAlign w:val="center"/>
            <w:hideMark/>
          </w:tcPr>
          <w:p w14:paraId="66FAE85D"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proofErr w:type="spellStart"/>
            <w:r w:rsidRPr="00D27DAA">
              <w:rPr>
                <w:rFonts w:ascii="Times New Roman" w:eastAsia="Times New Roman" w:hAnsi="Times New Roman" w:cs="Times New Roman"/>
                <w:color w:val="000000"/>
                <w:lang w:eastAsia="en-GB"/>
              </w:rPr>
              <w:t>wt</w:t>
            </w:r>
            <w:proofErr w:type="spellEnd"/>
            <w:r w:rsidRPr="00D27DAA">
              <w:rPr>
                <w:rFonts w:ascii="Times New Roman" w:eastAsia="Times New Roman" w:hAnsi="Times New Roman" w:cs="Times New Roman"/>
                <w:color w:val="000000"/>
                <w:lang w:eastAsia="en-GB"/>
              </w:rPr>
              <w:t>%</w:t>
            </w:r>
          </w:p>
        </w:tc>
        <w:tc>
          <w:tcPr>
            <w:tcW w:w="2431" w:type="dxa"/>
            <w:tcBorders>
              <w:top w:val="nil"/>
              <w:left w:val="nil"/>
              <w:bottom w:val="double" w:sz="6" w:space="0" w:color="auto"/>
              <w:right w:val="nil"/>
            </w:tcBorders>
            <w:shd w:val="clear" w:color="auto" w:fill="auto"/>
            <w:vAlign w:val="center"/>
            <w:hideMark/>
          </w:tcPr>
          <w:p w14:paraId="42B11479" w14:textId="39DE3EE5"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Density (g.cm</w:t>
            </w:r>
            <w:r w:rsidRPr="00D27DAA">
              <w:rPr>
                <w:rFonts w:ascii="Times New Roman" w:eastAsia="Times New Roman" w:hAnsi="Times New Roman" w:cs="Times New Roman"/>
                <w:color w:val="000000"/>
                <w:vertAlign w:val="superscript"/>
                <w:lang w:eastAsia="en-GB"/>
              </w:rPr>
              <w:t>-3</w:t>
            </w:r>
            <w:r w:rsidRPr="00D27DAA">
              <w:rPr>
                <w:rFonts w:ascii="Times New Roman" w:eastAsia="Times New Roman" w:hAnsi="Times New Roman" w:cs="Times New Roman"/>
                <w:color w:val="000000"/>
                <w:lang w:eastAsia="en-GB"/>
              </w:rPr>
              <w:t>)</w:t>
            </w:r>
          </w:p>
        </w:tc>
        <w:tc>
          <w:tcPr>
            <w:tcW w:w="1659" w:type="dxa"/>
            <w:tcBorders>
              <w:top w:val="nil"/>
              <w:left w:val="nil"/>
              <w:bottom w:val="double" w:sz="6" w:space="0" w:color="auto"/>
              <w:right w:val="nil"/>
            </w:tcBorders>
            <w:shd w:val="clear" w:color="auto" w:fill="auto"/>
            <w:vAlign w:val="center"/>
            <w:hideMark/>
          </w:tcPr>
          <w:p w14:paraId="1E6B33E3"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Temperature (K)</w:t>
            </w:r>
          </w:p>
        </w:tc>
      </w:tr>
      <w:tr w:rsidR="001500DD" w:rsidRPr="00D27DAA" w14:paraId="67FC46A4" w14:textId="77777777" w:rsidTr="001D011E">
        <w:trPr>
          <w:trHeight w:val="315"/>
        </w:trPr>
        <w:tc>
          <w:tcPr>
            <w:tcW w:w="1839" w:type="dxa"/>
            <w:vMerge w:val="restart"/>
            <w:tcBorders>
              <w:top w:val="nil"/>
              <w:left w:val="nil"/>
              <w:bottom w:val="nil"/>
              <w:right w:val="nil"/>
            </w:tcBorders>
            <w:shd w:val="clear" w:color="auto" w:fill="auto"/>
            <w:vAlign w:val="center"/>
            <w:hideMark/>
          </w:tcPr>
          <w:p w14:paraId="7D9B7B6D"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Fuel</w:t>
            </w:r>
          </w:p>
        </w:tc>
        <w:tc>
          <w:tcPr>
            <w:tcW w:w="976" w:type="dxa"/>
            <w:tcBorders>
              <w:top w:val="nil"/>
              <w:left w:val="nil"/>
              <w:bottom w:val="nil"/>
              <w:right w:val="nil"/>
            </w:tcBorders>
            <w:shd w:val="clear" w:color="auto" w:fill="auto"/>
            <w:vAlign w:val="center"/>
            <w:hideMark/>
          </w:tcPr>
          <w:p w14:paraId="50DB0A58"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U235</w:t>
            </w:r>
          </w:p>
        </w:tc>
        <w:tc>
          <w:tcPr>
            <w:tcW w:w="1775" w:type="dxa"/>
            <w:tcBorders>
              <w:top w:val="nil"/>
              <w:left w:val="nil"/>
              <w:bottom w:val="nil"/>
              <w:right w:val="nil"/>
            </w:tcBorders>
            <w:shd w:val="clear" w:color="auto" w:fill="auto"/>
            <w:vAlign w:val="center"/>
            <w:hideMark/>
          </w:tcPr>
          <w:p w14:paraId="7E28B4A5"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0.18</w:t>
            </w:r>
          </w:p>
        </w:tc>
        <w:tc>
          <w:tcPr>
            <w:tcW w:w="2431" w:type="dxa"/>
            <w:vMerge w:val="restart"/>
            <w:tcBorders>
              <w:top w:val="nil"/>
              <w:left w:val="nil"/>
              <w:bottom w:val="nil"/>
              <w:right w:val="nil"/>
            </w:tcBorders>
            <w:shd w:val="clear" w:color="auto" w:fill="auto"/>
            <w:vAlign w:val="center"/>
            <w:hideMark/>
          </w:tcPr>
          <w:p w14:paraId="7AA7269B" w14:textId="2E800E19"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10.</w:t>
            </w:r>
            <w:r w:rsidR="005E1793" w:rsidRPr="00D27DAA">
              <w:rPr>
                <w:rFonts w:ascii="Times New Roman" w:eastAsia="Times New Roman" w:hAnsi="Times New Roman" w:cs="Times New Roman"/>
                <w:color w:val="000000"/>
                <w:lang w:eastAsia="en-GB"/>
              </w:rPr>
              <w:t>8</w:t>
            </w:r>
          </w:p>
        </w:tc>
        <w:tc>
          <w:tcPr>
            <w:tcW w:w="1659" w:type="dxa"/>
            <w:vMerge w:val="restart"/>
            <w:tcBorders>
              <w:top w:val="nil"/>
              <w:left w:val="nil"/>
              <w:bottom w:val="nil"/>
              <w:right w:val="nil"/>
            </w:tcBorders>
            <w:shd w:val="clear" w:color="auto" w:fill="auto"/>
            <w:vAlign w:val="center"/>
            <w:hideMark/>
          </w:tcPr>
          <w:p w14:paraId="7981147F"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1023.15</w:t>
            </w:r>
          </w:p>
        </w:tc>
      </w:tr>
      <w:tr w:rsidR="001500DD" w:rsidRPr="00D27DAA" w14:paraId="0CED63FD" w14:textId="77777777" w:rsidTr="001D011E">
        <w:trPr>
          <w:trHeight w:val="315"/>
        </w:trPr>
        <w:tc>
          <w:tcPr>
            <w:tcW w:w="1839" w:type="dxa"/>
            <w:vMerge/>
            <w:tcBorders>
              <w:top w:val="nil"/>
              <w:left w:val="nil"/>
              <w:bottom w:val="nil"/>
              <w:right w:val="nil"/>
            </w:tcBorders>
            <w:vAlign w:val="center"/>
            <w:hideMark/>
          </w:tcPr>
          <w:p w14:paraId="542F012E"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976" w:type="dxa"/>
            <w:tcBorders>
              <w:top w:val="nil"/>
              <w:left w:val="nil"/>
              <w:bottom w:val="nil"/>
              <w:right w:val="nil"/>
            </w:tcBorders>
            <w:shd w:val="clear" w:color="auto" w:fill="auto"/>
            <w:vAlign w:val="center"/>
            <w:hideMark/>
          </w:tcPr>
          <w:p w14:paraId="2A4D285D"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U238</w:t>
            </w:r>
          </w:p>
        </w:tc>
        <w:tc>
          <w:tcPr>
            <w:tcW w:w="1775" w:type="dxa"/>
            <w:tcBorders>
              <w:top w:val="nil"/>
              <w:left w:val="nil"/>
              <w:bottom w:val="nil"/>
              <w:right w:val="nil"/>
            </w:tcBorders>
            <w:shd w:val="clear" w:color="auto" w:fill="auto"/>
            <w:vAlign w:val="center"/>
            <w:hideMark/>
          </w:tcPr>
          <w:p w14:paraId="6D124BC7"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0.70</w:t>
            </w:r>
          </w:p>
        </w:tc>
        <w:tc>
          <w:tcPr>
            <w:tcW w:w="2431" w:type="dxa"/>
            <w:vMerge/>
            <w:tcBorders>
              <w:top w:val="nil"/>
              <w:left w:val="nil"/>
              <w:bottom w:val="nil"/>
              <w:right w:val="nil"/>
            </w:tcBorders>
            <w:vAlign w:val="center"/>
            <w:hideMark/>
          </w:tcPr>
          <w:p w14:paraId="71F202E2"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1659" w:type="dxa"/>
            <w:vMerge/>
            <w:tcBorders>
              <w:top w:val="nil"/>
              <w:left w:val="nil"/>
              <w:bottom w:val="nil"/>
              <w:right w:val="nil"/>
            </w:tcBorders>
            <w:vAlign w:val="center"/>
            <w:hideMark/>
          </w:tcPr>
          <w:p w14:paraId="6C658006"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r>
      <w:tr w:rsidR="001500DD" w:rsidRPr="00D27DAA" w14:paraId="00E9E5C9" w14:textId="77777777" w:rsidTr="001D011E">
        <w:trPr>
          <w:trHeight w:val="315"/>
        </w:trPr>
        <w:tc>
          <w:tcPr>
            <w:tcW w:w="1839" w:type="dxa"/>
            <w:vMerge/>
            <w:tcBorders>
              <w:top w:val="nil"/>
              <w:left w:val="nil"/>
              <w:bottom w:val="nil"/>
              <w:right w:val="nil"/>
            </w:tcBorders>
            <w:vAlign w:val="center"/>
            <w:hideMark/>
          </w:tcPr>
          <w:p w14:paraId="0A21937E"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976" w:type="dxa"/>
            <w:tcBorders>
              <w:top w:val="nil"/>
              <w:left w:val="nil"/>
              <w:bottom w:val="nil"/>
              <w:right w:val="nil"/>
            </w:tcBorders>
            <w:shd w:val="clear" w:color="auto" w:fill="auto"/>
            <w:vAlign w:val="center"/>
            <w:hideMark/>
          </w:tcPr>
          <w:p w14:paraId="4523ED30"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O</w:t>
            </w:r>
          </w:p>
        </w:tc>
        <w:tc>
          <w:tcPr>
            <w:tcW w:w="1775" w:type="dxa"/>
            <w:tcBorders>
              <w:top w:val="nil"/>
              <w:left w:val="nil"/>
              <w:bottom w:val="nil"/>
              <w:right w:val="nil"/>
            </w:tcBorders>
            <w:shd w:val="clear" w:color="auto" w:fill="auto"/>
            <w:vAlign w:val="center"/>
            <w:hideMark/>
          </w:tcPr>
          <w:p w14:paraId="0E4F2EEB"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0.12</w:t>
            </w:r>
          </w:p>
        </w:tc>
        <w:tc>
          <w:tcPr>
            <w:tcW w:w="2431" w:type="dxa"/>
            <w:vMerge/>
            <w:tcBorders>
              <w:top w:val="nil"/>
              <w:left w:val="nil"/>
              <w:bottom w:val="nil"/>
              <w:right w:val="nil"/>
            </w:tcBorders>
            <w:vAlign w:val="center"/>
            <w:hideMark/>
          </w:tcPr>
          <w:p w14:paraId="0EC7B71B"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1659" w:type="dxa"/>
            <w:vMerge/>
            <w:tcBorders>
              <w:top w:val="nil"/>
              <w:left w:val="nil"/>
              <w:bottom w:val="nil"/>
              <w:right w:val="nil"/>
            </w:tcBorders>
            <w:vAlign w:val="center"/>
            <w:hideMark/>
          </w:tcPr>
          <w:p w14:paraId="1EC83019"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r>
      <w:tr w:rsidR="001500DD" w:rsidRPr="00D27DAA" w14:paraId="59C7B5FA" w14:textId="77777777" w:rsidTr="001D011E">
        <w:trPr>
          <w:trHeight w:val="300"/>
        </w:trPr>
        <w:tc>
          <w:tcPr>
            <w:tcW w:w="1839" w:type="dxa"/>
            <w:vMerge/>
            <w:tcBorders>
              <w:top w:val="nil"/>
              <w:left w:val="nil"/>
              <w:bottom w:val="nil"/>
              <w:right w:val="nil"/>
            </w:tcBorders>
            <w:vAlign w:val="center"/>
            <w:hideMark/>
          </w:tcPr>
          <w:p w14:paraId="2820F410"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976" w:type="dxa"/>
            <w:tcBorders>
              <w:top w:val="nil"/>
              <w:left w:val="nil"/>
              <w:bottom w:val="nil"/>
              <w:right w:val="nil"/>
            </w:tcBorders>
            <w:shd w:val="clear" w:color="auto" w:fill="auto"/>
            <w:vAlign w:val="center"/>
            <w:hideMark/>
          </w:tcPr>
          <w:p w14:paraId="133FCB74"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Buffer</w:t>
            </w:r>
          </w:p>
        </w:tc>
        <w:tc>
          <w:tcPr>
            <w:tcW w:w="1775" w:type="dxa"/>
            <w:tcBorders>
              <w:top w:val="nil"/>
              <w:left w:val="nil"/>
              <w:bottom w:val="nil"/>
              <w:right w:val="nil"/>
            </w:tcBorders>
            <w:shd w:val="clear" w:color="auto" w:fill="auto"/>
            <w:vAlign w:val="center"/>
            <w:hideMark/>
          </w:tcPr>
          <w:p w14:paraId="116CE49E"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100.00</w:t>
            </w:r>
          </w:p>
        </w:tc>
        <w:tc>
          <w:tcPr>
            <w:tcW w:w="2431" w:type="dxa"/>
            <w:tcBorders>
              <w:top w:val="nil"/>
              <w:left w:val="nil"/>
              <w:bottom w:val="nil"/>
              <w:right w:val="nil"/>
            </w:tcBorders>
            <w:shd w:val="clear" w:color="auto" w:fill="auto"/>
            <w:vAlign w:val="center"/>
            <w:hideMark/>
          </w:tcPr>
          <w:p w14:paraId="198B3776"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w:t>
            </w:r>
          </w:p>
        </w:tc>
        <w:tc>
          <w:tcPr>
            <w:tcW w:w="1659" w:type="dxa"/>
            <w:vMerge/>
            <w:tcBorders>
              <w:top w:val="nil"/>
              <w:left w:val="nil"/>
              <w:bottom w:val="nil"/>
              <w:right w:val="nil"/>
            </w:tcBorders>
            <w:vAlign w:val="center"/>
            <w:hideMark/>
          </w:tcPr>
          <w:p w14:paraId="0CDB7297"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r>
      <w:tr w:rsidR="001500DD" w:rsidRPr="00D27DAA" w14:paraId="2F2FD2E7" w14:textId="77777777" w:rsidTr="001D011E">
        <w:trPr>
          <w:trHeight w:val="300"/>
        </w:trPr>
        <w:tc>
          <w:tcPr>
            <w:tcW w:w="1839" w:type="dxa"/>
            <w:vMerge/>
            <w:tcBorders>
              <w:top w:val="nil"/>
              <w:left w:val="nil"/>
              <w:bottom w:val="nil"/>
              <w:right w:val="nil"/>
            </w:tcBorders>
            <w:vAlign w:val="center"/>
            <w:hideMark/>
          </w:tcPr>
          <w:p w14:paraId="5D9D12F8"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976" w:type="dxa"/>
            <w:tcBorders>
              <w:top w:val="nil"/>
              <w:left w:val="nil"/>
              <w:bottom w:val="nil"/>
              <w:right w:val="nil"/>
            </w:tcBorders>
            <w:shd w:val="clear" w:color="auto" w:fill="auto"/>
            <w:vAlign w:val="center"/>
            <w:hideMark/>
          </w:tcPr>
          <w:p w14:paraId="6DED9FD7"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proofErr w:type="spellStart"/>
            <w:r w:rsidRPr="00D27DAA">
              <w:rPr>
                <w:rFonts w:ascii="Times New Roman" w:eastAsia="Times New Roman" w:hAnsi="Times New Roman" w:cs="Times New Roman"/>
                <w:color w:val="000000"/>
                <w:lang w:eastAsia="en-GB"/>
              </w:rPr>
              <w:t>IpyC</w:t>
            </w:r>
            <w:proofErr w:type="spellEnd"/>
          </w:p>
        </w:tc>
        <w:tc>
          <w:tcPr>
            <w:tcW w:w="1775" w:type="dxa"/>
            <w:tcBorders>
              <w:top w:val="nil"/>
              <w:left w:val="nil"/>
              <w:bottom w:val="nil"/>
              <w:right w:val="nil"/>
            </w:tcBorders>
            <w:shd w:val="clear" w:color="auto" w:fill="auto"/>
            <w:vAlign w:val="center"/>
            <w:hideMark/>
          </w:tcPr>
          <w:p w14:paraId="5019DC96"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100.00</w:t>
            </w:r>
          </w:p>
        </w:tc>
        <w:tc>
          <w:tcPr>
            <w:tcW w:w="2431" w:type="dxa"/>
            <w:tcBorders>
              <w:top w:val="nil"/>
              <w:left w:val="nil"/>
              <w:bottom w:val="nil"/>
              <w:right w:val="nil"/>
            </w:tcBorders>
            <w:shd w:val="clear" w:color="auto" w:fill="auto"/>
            <w:vAlign w:val="center"/>
            <w:hideMark/>
          </w:tcPr>
          <w:p w14:paraId="0B304C79"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1.9</w:t>
            </w:r>
          </w:p>
        </w:tc>
        <w:tc>
          <w:tcPr>
            <w:tcW w:w="1659" w:type="dxa"/>
            <w:vMerge/>
            <w:tcBorders>
              <w:top w:val="nil"/>
              <w:left w:val="nil"/>
              <w:bottom w:val="nil"/>
              <w:right w:val="nil"/>
            </w:tcBorders>
            <w:vAlign w:val="center"/>
            <w:hideMark/>
          </w:tcPr>
          <w:p w14:paraId="56F27999"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r>
      <w:tr w:rsidR="001500DD" w:rsidRPr="00D27DAA" w14:paraId="41015D22" w14:textId="77777777" w:rsidTr="001D011E">
        <w:trPr>
          <w:trHeight w:val="300"/>
        </w:trPr>
        <w:tc>
          <w:tcPr>
            <w:tcW w:w="1839" w:type="dxa"/>
            <w:vMerge/>
            <w:tcBorders>
              <w:top w:val="nil"/>
              <w:left w:val="nil"/>
              <w:bottom w:val="nil"/>
              <w:right w:val="nil"/>
            </w:tcBorders>
            <w:vAlign w:val="center"/>
            <w:hideMark/>
          </w:tcPr>
          <w:p w14:paraId="58BAA61B"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976" w:type="dxa"/>
            <w:tcBorders>
              <w:top w:val="nil"/>
              <w:left w:val="nil"/>
              <w:bottom w:val="nil"/>
              <w:right w:val="nil"/>
            </w:tcBorders>
            <w:shd w:val="clear" w:color="auto" w:fill="auto"/>
            <w:vAlign w:val="center"/>
            <w:hideMark/>
          </w:tcPr>
          <w:p w14:paraId="0B8350E0"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Si</w:t>
            </w:r>
          </w:p>
        </w:tc>
        <w:tc>
          <w:tcPr>
            <w:tcW w:w="1775" w:type="dxa"/>
            <w:tcBorders>
              <w:top w:val="nil"/>
              <w:left w:val="nil"/>
              <w:bottom w:val="nil"/>
              <w:right w:val="nil"/>
            </w:tcBorders>
            <w:shd w:val="clear" w:color="auto" w:fill="auto"/>
            <w:vAlign w:val="center"/>
            <w:hideMark/>
          </w:tcPr>
          <w:p w14:paraId="47C2468A"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100.00</w:t>
            </w:r>
          </w:p>
        </w:tc>
        <w:tc>
          <w:tcPr>
            <w:tcW w:w="2431" w:type="dxa"/>
            <w:tcBorders>
              <w:top w:val="nil"/>
              <w:left w:val="nil"/>
              <w:bottom w:val="nil"/>
              <w:right w:val="nil"/>
            </w:tcBorders>
            <w:shd w:val="clear" w:color="auto" w:fill="auto"/>
            <w:vAlign w:val="center"/>
            <w:hideMark/>
          </w:tcPr>
          <w:p w14:paraId="0318F993"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3.2</w:t>
            </w:r>
          </w:p>
        </w:tc>
        <w:tc>
          <w:tcPr>
            <w:tcW w:w="1659" w:type="dxa"/>
            <w:vMerge/>
            <w:tcBorders>
              <w:top w:val="nil"/>
              <w:left w:val="nil"/>
              <w:bottom w:val="nil"/>
              <w:right w:val="nil"/>
            </w:tcBorders>
            <w:vAlign w:val="center"/>
            <w:hideMark/>
          </w:tcPr>
          <w:p w14:paraId="702B1CEB"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r>
      <w:tr w:rsidR="001500DD" w:rsidRPr="00D27DAA" w14:paraId="057E8114" w14:textId="77777777" w:rsidTr="001D011E">
        <w:trPr>
          <w:trHeight w:val="300"/>
        </w:trPr>
        <w:tc>
          <w:tcPr>
            <w:tcW w:w="1839" w:type="dxa"/>
            <w:vMerge/>
            <w:tcBorders>
              <w:top w:val="nil"/>
              <w:left w:val="nil"/>
              <w:bottom w:val="nil"/>
              <w:right w:val="nil"/>
            </w:tcBorders>
            <w:vAlign w:val="center"/>
            <w:hideMark/>
          </w:tcPr>
          <w:p w14:paraId="6C5EB232"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976" w:type="dxa"/>
            <w:tcBorders>
              <w:top w:val="nil"/>
              <w:left w:val="nil"/>
              <w:bottom w:val="nil"/>
              <w:right w:val="nil"/>
            </w:tcBorders>
            <w:shd w:val="clear" w:color="auto" w:fill="auto"/>
            <w:vAlign w:val="center"/>
            <w:hideMark/>
          </w:tcPr>
          <w:p w14:paraId="07E727FF"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proofErr w:type="spellStart"/>
            <w:r w:rsidRPr="00D27DAA">
              <w:rPr>
                <w:rFonts w:ascii="Times New Roman" w:eastAsia="Times New Roman" w:hAnsi="Times New Roman" w:cs="Times New Roman"/>
                <w:color w:val="000000"/>
                <w:lang w:eastAsia="en-GB"/>
              </w:rPr>
              <w:t>OpyC</w:t>
            </w:r>
            <w:proofErr w:type="spellEnd"/>
          </w:p>
        </w:tc>
        <w:tc>
          <w:tcPr>
            <w:tcW w:w="1775" w:type="dxa"/>
            <w:tcBorders>
              <w:top w:val="nil"/>
              <w:left w:val="nil"/>
              <w:bottom w:val="nil"/>
              <w:right w:val="nil"/>
            </w:tcBorders>
            <w:shd w:val="clear" w:color="auto" w:fill="auto"/>
            <w:vAlign w:val="center"/>
            <w:hideMark/>
          </w:tcPr>
          <w:p w14:paraId="49F6109E"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100.00</w:t>
            </w:r>
          </w:p>
        </w:tc>
        <w:tc>
          <w:tcPr>
            <w:tcW w:w="2431" w:type="dxa"/>
            <w:tcBorders>
              <w:top w:val="nil"/>
              <w:left w:val="nil"/>
              <w:bottom w:val="nil"/>
              <w:right w:val="nil"/>
            </w:tcBorders>
            <w:shd w:val="clear" w:color="auto" w:fill="auto"/>
            <w:vAlign w:val="center"/>
            <w:hideMark/>
          </w:tcPr>
          <w:p w14:paraId="7FE852F7"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1.87</w:t>
            </w:r>
          </w:p>
        </w:tc>
        <w:tc>
          <w:tcPr>
            <w:tcW w:w="1659" w:type="dxa"/>
            <w:vMerge/>
            <w:tcBorders>
              <w:top w:val="nil"/>
              <w:left w:val="nil"/>
              <w:bottom w:val="nil"/>
              <w:right w:val="nil"/>
            </w:tcBorders>
            <w:vAlign w:val="center"/>
            <w:hideMark/>
          </w:tcPr>
          <w:p w14:paraId="0EC3B835"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r>
      <w:tr w:rsidR="001500DD" w:rsidRPr="00D27DAA" w14:paraId="2E5FAF78" w14:textId="77777777" w:rsidTr="001D011E">
        <w:trPr>
          <w:trHeight w:val="300"/>
        </w:trPr>
        <w:tc>
          <w:tcPr>
            <w:tcW w:w="1839" w:type="dxa"/>
            <w:tcBorders>
              <w:top w:val="single" w:sz="4" w:space="0" w:color="auto"/>
              <w:left w:val="nil"/>
              <w:bottom w:val="nil"/>
              <w:right w:val="nil"/>
            </w:tcBorders>
            <w:shd w:val="clear" w:color="auto" w:fill="auto"/>
            <w:vAlign w:val="center"/>
            <w:hideMark/>
          </w:tcPr>
          <w:p w14:paraId="612A9C1A"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Matrix</w:t>
            </w:r>
          </w:p>
        </w:tc>
        <w:tc>
          <w:tcPr>
            <w:tcW w:w="976" w:type="dxa"/>
            <w:tcBorders>
              <w:top w:val="single" w:sz="4" w:space="0" w:color="auto"/>
              <w:left w:val="nil"/>
              <w:bottom w:val="nil"/>
              <w:right w:val="nil"/>
            </w:tcBorders>
            <w:shd w:val="clear" w:color="auto" w:fill="auto"/>
            <w:vAlign w:val="center"/>
            <w:hideMark/>
          </w:tcPr>
          <w:p w14:paraId="3AB3885B"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C</w:t>
            </w:r>
          </w:p>
        </w:tc>
        <w:tc>
          <w:tcPr>
            <w:tcW w:w="1775" w:type="dxa"/>
            <w:tcBorders>
              <w:top w:val="single" w:sz="4" w:space="0" w:color="auto"/>
              <w:left w:val="nil"/>
              <w:bottom w:val="nil"/>
              <w:right w:val="nil"/>
            </w:tcBorders>
            <w:shd w:val="clear" w:color="auto" w:fill="auto"/>
            <w:vAlign w:val="center"/>
            <w:hideMark/>
          </w:tcPr>
          <w:p w14:paraId="1482EF04"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100.00</w:t>
            </w:r>
          </w:p>
        </w:tc>
        <w:tc>
          <w:tcPr>
            <w:tcW w:w="2431" w:type="dxa"/>
            <w:tcBorders>
              <w:top w:val="single" w:sz="4" w:space="0" w:color="auto"/>
              <w:left w:val="nil"/>
              <w:bottom w:val="nil"/>
              <w:right w:val="nil"/>
            </w:tcBorders>
            <w:shd w:val="clear" w:color="auto" w:fill="auto"/>
            <w:vAlign w:val="center"/>
            <w:hideMark/>
          </w:tcPr>
          <w:p w14:paraId="7E182BC4"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1.75</w:t>
            </w:r>
          </w:p>
        </w:tc>
        <w:tc>
          <w:tcPr>
            <w:tcW w:w="1659" w:type="dxa"/>
            <w:tcBorders>
              <w:top w:val="single" w:sz="4" w:space="0" w:color="auto"/>
              <w:left w:val="nil"/>
              <w:bottom w:val="nil"/>
              <w:right w:val="nil"/>
            </w:tcBorders>
            <w:shd w:val="clear" w:color="auto" w:fill="auto"/>
            <w:vAlign w:val="center"/>
            <w:hideMark/>
          </w:tcPr>
          <w:p w14:paraId="0053EAB4"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1023.15</w:t>
            </w:r>
          </w:p>
        </w:tc>
      </w:tr>
      <w:tr w:rsidR="001500DD" w:rsidRPr="00D27DAA" w14:paraId="03DD0403" w14:textId="77777777" w:rsidTr="001D011E">
        <w:trPr>
          <w:trHeight w:val="300"/>
        </w:trPr>
        <w:tc>
          <w:tcPr>
            <w:tcW w:w="1839" w:type="dxa"/>
            <w:tcBorders>
              <w:top w:val="single" w:sz="4" w:space="0" w:color="auto"/>
              <w:left w:val="nil"/>
              <w:bottom w:val="nil"/>
              <w:right w:val="nil"/>
            </w:tcBorders>
            <w:shd w:val="clear" w:color="auto" w:fill="auto"/>
            <w:vAlign w:val="center"/>
            <w:hideMark/>
          </w:tcPr>
          <w:p w14:paraId="27DB4B4A"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Coolant</w:t>
            </w:r>
          </w:p>
        </w:tc>
        <w:tc>
          <w:tcPr>
            <w:tcW w:w="976" w:type="dxa"/>
            <w:tcBorders>
              <w:top w:val="single" w:sz="4" w:space="0" w:color="auto"/>
              <w:left w:val="nil"/>
              <w:bottom w:val="nil"/>
              <w:right w:val="nil"/>
            </w:tcBorders>
            <w:shd w:val="clear" w:color="auto" w:fill="auto"/>
            <w:vAlign w:val="center"/>
            <w:hideMark/>
          </w:tcPr>
          <w:p w14:paraId="22E41CB1"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He</w:t>
            </w:r>
          </w:p>
        </w:tc>
        <w:tc>
          <w:tcPr>
            <w:tcW w:w="1775" w:type="dxa"/>
            <w:tcBorders>
              <w:top w:val="single" w:sz="4" w:space="0" w:color="auto"/>
              <w:left w:val="nil"/>
              <w:bottom w:val="nil"/>
              <w:right w:val="nil"/>
            </w:tcBorders>
            <w:shd w:val="clear" w:color="auto" w:fill="auto"/>
            <w:vAlign w:val="center"/>
            <w:hideMark/>
          </w:tcPr>
          <w:p w14:paraId="242D7EBB"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100.00</w:t>
            </w:r>
          </w:p>
        </w:tc>
        <w:tc>
          <w:tcPr>
            <w:tcW w:w="2431" w:type="dxa"/>
            <w:tcBorders>
              <w:top w:val="single" w:sz="4" w:space="0" w:color="auto"/>
              <w:left w:val="nil"/>
              <w:bottom w:val="nil"/>
              <w:right w:val="nil"/>
            </w:tcBorders>
            <w:shd w:val="clear" w:color="auto" w:fill="auto"/>
            <w:vAlign w:val="center"/>
            <w:hideMark/>
          </w:tcPr>
          <w:p w14:paraId="006389E7"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0.0033</w:t>
            </w:r>
          </w:p>
        </w:tc>
        <w:tc>
          <w:tcPr>
            <w:tcW w:w="1659" w:type="dxa"/>
            <w:tcBorders>
              <w:top w:val="single" w:sz="4" w:space="0" w:color="auto"/>
              <w:left w:val="nil"/>
              <w:bottom w:val="nil"/>
              <w:right w:val="nil"/>
            </w:tcBorders>
            <w:shd w:val="clear" w:color="auto" w:fill="auto"/>
            <w:vAlign w:val="center"/>
            <w:hideMark/>
          </w:tcPr>
          <w:p w14:paraId="05AE1EB7"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674.15</w:t>
            </w:r>
          </w:p>
        </w:tc>
      </w:tr>
      <w:tr w:rsidR="001500DD" w:rsidRPr="00D27DAA" w14:paraId="3B8451BC" w14:textId="77777777" w:rsidTr="001D011E">
        <w:trPr>
          <w:trHeight w:val="360"/>
        </w:trPr>
        <w:tc>
          <w:tcPr>
            <w:tcW w:w="1839" w:type="dxa"/>
            <w:tcBorders>
              <w:top w:val="single" w:sz="4" w:space="0" w:color="auto"/>
              <w:left w:val="nil"/>
              <w:bottom w:val="nil"/>
              <w:right w:val="nil"/>
            </w:tcBorders>
            <w:shd w:val="clear" w:color="auto" w:fill="auto"/>
            <w:vAlign w:val="center"/>
            <w:hideMark/>
          </w:tcPr>
          <w:p w14:paraId="50EFAB69"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Central Reflector</w:t>
            </w:r>
          </w:p>
        </w:tc>
        <w:tc>
          <w:tcPr>
            <w:tcW w:w="976" w:type="dxa"/>
            <w:tcBorders>
              <w:top w:val="single" w:sz="4" w:space="0" w:color="auto"/>
              <w:left w:val="nil"/>
              <w:bottom w:val="nil"/>
              <w:right w:val="nil"/>
            </w:tcBorders>
            <w:shd w:val="clear" w:color="auto" w:fill="auto"/>
            <w:vAlign w:val="center"/>
            <w:hideMark/>
          </w:tcPr>
          <w:p w14:paraId="158FB747"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C</w:t>
            </w:r>
          </w:p>
        </w:tc>
        <w:tc>
          <w:tcPr>
            <w:tcW w:w="1775" w:type="dxa"/>
            <w:tcBorders>
              <w:top w:val="single" w:sz="4" w:space="0" w:color="auto"/>
              <w:left w:val="nil"/>
              <w:bottom w:val="nil"/>
              <w:right w:val="nil"/>
            </w:tcBorders>
            <w:shd w:val="clear" w:color="auto" w:fill="auto"/>
            <w:vAlign w:val="center"/>
            <w:hideMark/>
          </w:tcPr>
          <w:p w14:paraId="4576D33E"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100.00</w:t>
            </w:r>
          </w:p>
        </w:tc>
        <w:tc>
          <w:tcPr>
            <w:tcW w:w="2431" w:type="dxa"/>
            <w:tcBorders>
              <w:top w:val="single" w:sz="4" w:space="0" w:color="auto"/>
              <w:left w:val="nil"/>
              <w:bottom w:val="nil"/>
              <w:right w:val="nil"/>
            </w:tcBorders>
            <w:shd w:val="clear" w:color="auto" w:fill="auto"/>
            <w:vAlign w:val="center"/>
            <w:hideMark/>
          </w:tcPr>
          <w:p w14:paraId="7A92D10E"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1.8</w:t>
            </w:r>
          </w:p>
        </w:tc>
        <w:tc>
          <w:tcPr>
            <w:tcW w:w="1659" w:type="dxa"/>
            <w:tcBorders>
              <w:top w:val="single" w:sz="4" w:space="0" w:color="auto"/>
              <w:left w:val="nil"/>
              <w:bottom w:val="nil"/>
              <w:right w:val="nil"/>
            </w:tcBorders>
            <w:shd w:val="clear" w:color="auto" w:fill="auto"/>
            <w:vAlign w:val="center"/>
            <w:hideMark/>
          </w:tcPr>
          <w:p w14:paraId="6D6AF6A0"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973.15</w:t>
            </w:r>
          </w:p>
        </w:tc>
      </w:tr>
      <w:tr w:rsidR="001500DD" w:rsidRPr="00D27DAA" w14:paraId="506C1DC3" w14:textId="77777777" w:rsidTr="001D011E">
        <w:trPr>
          <w:trHeight w:val="300"/>
        </w:trPr>
        <w:tc>
          <w:tcPr>
            <w:tcW w:w="1839" w:type="dxa"/>
            <w:vMerge w:val="restart"/>
            <w:tcBorders>
              <w:top w:val="single" w:sz="4" w:space="0" w:color="auto"/>
              <w:left w:val="nil"/>
              <w:bottom w:val="nil"/>
              <w:right w:val="nil"/>
            </w:tcBorders>
            <w:shd w:val="clear" w:color="auto" w:fill="auto"/>
            <w:vAlign w:val="center"/>
            <w:hideMark/>
          </w:tcPr>
          <w:p w14:paraId="5E406BA4"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Side/top/bottom reflector</w:t>
            </w:r>
          </w:p>
        </w:tc>
        <w:tc>
          <w:tcPr>
            <w:tcW w:w="976" w:type="dxa"/>
            <w:tcBorders>
              <w:top w:val="single" w:sz="4" w:space="0" w:color="auto"/>
              <w:left w:val="nil"/>
              <w:bottom w:val="nil"/>
              <w:right w:val="nil"/>
            </w:tcBorders>
            <w:shd w:val="clear" w:color="auto" w:fill="auto"/>
            <w:vAlign w:val="center"/>
            <w:hideMark/>
          </w:tcPr>
          <w:p w14:paraId="686E6451"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Be</w:t>
            </w:r>
          </w:p>
        </w:tc>
        <w:tc>
          <w:tcPr>
            <w:tcW w:w="1775" w:type="dxa"/>
            <w:tcBorders>
              <w:top w:val="single" w:sz="4" w:space="0" w:color="auto"/>
              <w:left w:val="nil"/>
              <w:bottom w:val="nil"/>
              <w:right w:val="nil"/>
            </w:tcBorders>
            <w:shd w:val="clear" w:color="auto" w:fill="auto"/>
            <w:vAlign w:val="center"/>
            <w:hideMark/>
          </w:tcPr>
          <w:p w14:paraId="6E0B6D49"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36.04</w:t>
            </w:r>
          </w:p>
        </w:tc>
        <w:tc>
          <w:tcPr>
            <w:tcW w:w="2431" w:type="dxa"/>
            <w:vMerge w:val="restart"/>
            <w:tcBorders>
              <w:top w:val="single" w:sz="4" w:space="0" w:color="auto"/>
              <w:left w:val="nil"/>
              <w:bottom w:val="nil"/>
              <w:right w:val="nil"/>
            </w:tcBorders>
            <w:shd w:val="clear" w:color="auto" w:fill="auto"/>
            <w:vAlign w:val="center"/>
            <w:hideMark/>
          </w:tcPr>
          <w:p w14:paraId="476C7F02"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3.05</w:t>
            </w:r>
          </w:p>
        </w:tc>
        <w:tc>
          <w:tcPr>
            <w:tcW w:w="1659" w:type="dxa"/>
            <w:vMerge w:val="restart"/>
            <w:tcBorders>
              <w:top w:val="single" w:sz="4" w:space="0" w:color="auto"/>
              <w:left w:val="nil"/>
              <w:bottom w:val="nil"/>
              <w:right w:val="nil"/>
            </w:tcBorders>
            <w:shd w:val="clear" w:color="auto" w:fill="auto"/>
            <w:vAlign w:val="center"/>
            <w:hideMark/>
          </w:tcPr>
          <w:p w14:paraId="28514260"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873</w:t>
            </w:r>
          </w:p>
        </w:tc>
      </w:tr>
      <w:tr w:rsidR="001500DD" w:rsidRPr="00D27DAA" w14:paraId="19EE1CAF" w14:textId="77777777" w:rsidTr="001D011E">
        <w:trPr>
          <w:trHeight w:val="630"/>
        </w:trPr>
        <w:tc>
          <w:tcPr>
            <w:tcW w:w="1839" w:type="dxa"/>
            <w:vMerge/>
            <w:tcBorders>
              <w:top w:val="single" w:sz="4" w:space="0" w:color="auto"/>
              <w:left w:val="nil"/>
              <w:bottom w:val="nil"/>
              <w:right w:val="nil"/>
            </w:tcBorders>
            <w:vAlign w:val="center"/>
            <w:hideMark/>
          </w:tcPr>
          <w:p w14:paraId="5EBEA737"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976" w:type="dxa"/>
            <w:tcBorders>
              <w:top w:val="nil"/>
              <w:left w:val="nil"/>
              <w:bottom w:val="nil"/>
              <w:right w:val="nil"/>
            </w:tcBorders>
            <w:shd w:val="clear" w:color="auto" w:fill="auto"/>
            <w:vAlign w:val="center"/>
            <w:hideMark/>
          </w:tcPr>
          <w:p w14:paraId="5321DFF7"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O</w:t>
            </w:r>
          </w:p>
        </w:tc>
        <w:tc>
          <w:tcPr>
            <w:tcW w:w="1775" w:type="dxa"/>
            <w:tcBorders>
              <w:top w:val="nil"/>
              <w:left w:val="nil"/>
              <w:bottom w:val="nil"/>
              <w:right w:val="nil"/>
            </w:tcBorders>
            <w:shd w:val="clear" w:color="auto" w:fill="auto"/>
            <w:vAlign w:val="center"/>
            <w:hideMark/>
          </w:tcPr>
          <w:p w14:paraId="5599F1A7"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63.96</w:t>
            </w:r>
          </w:p>
        </w:tc>
        <w:tc>
          <w:tcPr>
            <w:tcW w:w="2431" w:type="dxa"/>
            <w:vMerge/>
            <w:tcBorders>
              <w:top w:val="single" w:sz="4" w:space="0" w:color="auto"/>
              <w:left w:val="nil"/>
              <w:bottom w:val="nil"/>
              <w:right w:val="nil"/>
            </w:tcBorders>
            <w:vAlign w:val="center"/>
            <w:hideMark/>
          </w:tcPr>
          <w:p w14:paraId="0DD8753A"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1659" w:type="dxa"/>
            <w:vMerge/>
            <w:tcBorders>
              <w:top w:val="single" w:sz="4" w:space="0" w:color="auto"/>
              <w:left w:val="nil"/>
              <w:bottom w:val="nil"/>
              <w:right w:val="nil"/>
            </w:tcBorders>
            <w:vAlign w:val="center"/>
            <w:hideMark/>
          </w:tcPr>
          <w:p w14:paraId="4415F894"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r>
      <w:tr w:rsidR="001500DD" w:rsidRPr="00D27DAA" w14:paraId="5D1FC85B" w14:textId="77777777" w:rsidTr="001D011E">
        <w:trPr>
          <w:trHeight w:val="600"/>
        </w:trPr>
        <w:tc>
          <w:tcPr>
            <w:tcW w:w="1839" w:type="dxa"/>
            <w:vMerge w:val="restart"/>
            <w:tcBorders>
              <w:top w:val="single" w:sz="4" w:space="0" w:color="auto"/>
              <w:left w:val="nil"/>
              <w:bottom w:val="nil"/>
              <w:right w:val="nil"/>
            </w:tcBorders>
            <w:shd w:val="clear" w:color="auto" w:fill="auto"/>
            <w:vAlign w:val="center"/>
            <w:hideMark/>
          </w:tcPr>
          <w:p w14:paraId="5ECF3406"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Thermal insulation</w:t>
            </w:r>
          </w:p>
        </w:tc>
        <w:tc>
          <w:tcPr>
            <w:tcW w:w="976" w:type="dxa"/>
            <w:tcBorders>
              <w:top w:val="single" w:sz="4" w:space="0" w:color="auto"/>
              <w:left w:val="nil"/>
              <w:bottom w:val="nil"/>
              <w:right w:val="nil"/>
            </w:tcBorders>
            <w:shd w:val="clear" w:color="auto" w:fill="auto"/>
            <w:vAlign w:val="center"/>
            <w:hideMark/>
          </w:tcPr>
          <w:p w14:paraId="4E0BAAD6"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Si</w:t>
            </w:r>
          </w:p>
        </w:tc>
        <w:tc>
          <w:tcPr>
            <w:tcW w:w="1775" w:type="dxa"/>
            <w:tcBorders>
              <w:top w:val="single" w:sz="4" w:space="0" w:color="auto"/>
              <w:left w:val="nil"/>
              <w:bottom w:val="nil"/>
              <w:right w:val="nil"/>
            </w:tcBorders>
            <w:shd w:val="clear" w:color="auto" w:fill="auto"/>
            <w:vAlign w:val="center"/>
            <w:hideMark/>
          </w:tcPr>
          <w:p w14:paraId="30A5B9B9"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70.05</w:t>
            </w:r>
          </w:p>
        </w:tc>
        <w:tc>
          <w:tcPr>
            <w:tcW w:w="2431" w:type="dxa"/>
            <w:vMerge w:val="restart"/>
            <w:tcBorders>
              <w:top w:val="single" w:sz="4" w:space="0" w:color="auto"/>
              <w:left w:val="nil"/>
              <w:bottom w:val="single" w:sz="4" w:space="0" w:color="000000"/>
              <w:right w:val="nil"/>
            </w:tcBorders>
            <w:shd w:val="clear" w:color="auto" w:fill="auto"/>
            <w:vAlign w:val="center"/>
            <w:hideMark/>
          </w:tcPr>
          <w:p w14:paraId="60D2A9D9"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3.2</w:t>
            </w:r>
          </w:p>
        </w:tc>
        <w:tc>
          <w:tcPr>
            <w:tcW w:w="1659" w:type="dxa"/>
            <w:vMerge w:val="restart"/>
            <w:tcBorders>
              <w:top w:val="single" w:sz="4" w:space="0" w:color="auto"/>
              <w:left w:val="nil"/>
              <w:bottom w:val="single" w:sz="4" w:space="0" w:color="000000"/>
              <w:right w:val="nil"/>
            </w:tcBorders>
            <w:shd w:val="clear" w:color="auto" w:fill="auto"/>
            <w:vAlign w:val="center"/>
            <w:hideMark/>
          </w:tcPr>
          <w:p w14:paraId="0CCADA27"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673</w:t>
            </w:r>
          </w:p>
        </w:tc>
      </w:tr>
      <w:tr w:rsidR="001500DD" w:rsidRPr="00D27DAA" w14:paraId="5152F372" w14:textId="77777777" w:rsidTr="001D011E">
        <w:trPr>
          <w:trHeight w:val="300"/>
        </w:trPr>
        <w:tc>
          <w:tcPr>
            <w:tcW w:w="1839" w:type="dxa"/>
            <w:vMerge/>
            <w:tcBorders>
              <w:top w:val="single" w:sz="4" w:space="0" w:color="auto"/>
              <w:left w:val="nil"/>
              <w:bottom w:val="nil"/>
              <w:right w:val="nil"/>
            </w:tcBorders>
            <w:vAlign w:val="center"/>
            <w:hideMark/>
          </w:tcPr>
          <w:p w14:paraId="2756421F"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976" w:type="dxa"/>
            <w:tcBorders>
              <w:top w:val="nil"/>
              <w:left w:val="nil"/>
              <w:bottom w:val="nil"/>
              <w:right w:val="nil"/>
            </w:tcBorders>
            <w:shd w:val="clear" w:color="auto" w:fill="auto"/>
            <w:vAlign w:val="center"/>
            <w:hideMark/>
          </w:tcPr>
          <w:p w14:paraId="33336ACA"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C</w:t>
            </w:r>
          </w:p>
        </w:tc>
        <w:tc>
          <w:tcPr>
            <w:tcW w:w="1775" w:type="dxa"/>
            <w:tcBorders>
              <w:top w:val="nil"/>
              <w:left w:val="nil"/>
              <w:bottom w:val="nil"/>
              <w:right w:val="nil"/>
            </w:tcBorders>
            <w:shd w:val="clear" w:color="auto" w:fill="auto"/>
            <w:vAlign w:val="center"/>
            <w:hideMark/>
          </w:tcPr>
          <w:p w14:paraId="5694A4D1"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29.95</w:t>
            </w:r>
          </w:p>
        </w:tc>
        <w:tc>
          <w:tcPr>
            <w:tcW w:w="2431" w:type="dxa"/>
            <w:vMerge/>
            <w:tcBorders>
              <w:top w:val="single" w:sz="4" w:space="0" w:color="auto"/>
              <w:left w:val="nil"/>
              <w:bottom w:val="single" w:sz="4" w:space="0" w:color="000000"/>
              <w:right w:val="nil"/>
            </w:tcBorders>
            <w:vAlign w:val="center"/>
            <w:hideMark/>
          </w:tcPr>
          <w:p w14:paraId="1F83D32C"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1659" w:type="dxa"/>
            <w:vMerge/>
            <w:tcBorders>
              <w:top w:val="single" w:sz="4" w:space="0" w:color="auto"/>
              <w:left w:val="nil"/>
              <w:bottom w:val="single" w:sz="4" w:space="0" w:color="000000"/>
              <w:right w:val="nil"/>
            </w:tcBorders>
            <w:vAlign w:val="center"/>
            <w:hideMark/>
          </w:tcPr>
          <w:p w14:paraId="1F491262"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r>
      <w:tr w:rsidR="001500DD" w:rsidRPr="00D27DAA" w14:paraId="7D6CDCBB" w14:textId="77777777" w:rsidTr="001D011E">
        <w:trPr>
          <w:trHeight w:val="300"/>
        </w:trPr>
        <w:tc>
          <w:tcPr>
            <w:tcW w:w="1839" w:type="dxa"/>
            <w:tcBorders>
              <w:top w:val="single" w:sz="4" w:space="0" w:color="auto"/>
              <w:left w:val="nil"/>
              <w:bottom w:val="nil"/>
              <w:right w:val="nil"/>
            </w:tcBorders>
            <w:shd w:val="clear" w:color="auto" w:fill="auto"/>
            <w:vAlign w:val="center"/>
            <w:hideMark/>
          </w:tcPr>
          <w:p w14:paraId="76523EF1"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Side coolant</w:t>
            </w:r>
          </w:p>
        </w:tc>
        <w:tc>
          <w:tcPr>
            <w:tcW w:w="976" w:type="dxa"/>
            <w:tcBorders>
              <w:top w:val="single" w:sz="4" w:space="0" w:color="auto"/>
              <w:left w:val="nil"/>
              <w:bottom w:val="nil"/>
              <w:right w:val="nil"/>
            </w:tcBorders>
            <w:shd w:val="clear" w:color="auto" w:fill="auto"/>
            <w:vAlign w:val="center"/>
            <w:hideMark/>
          </w:tcPr>
          <w:p w14:paraId="4C459E48"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He</w:t>
            </w:r>
          </w:p>
        </w:tc>
        <w:tc>
          <w:tcPr>
            <w:tcW w:w="1775" w:type="dxa"/>
            <w:tcBorders>
              <w:top w:val="single" w:sz="4" w:space="0" w:color="auto"/>
              <w:left w:val="nil"/>
              <w:bottom w:val="nil"/>
              <w:right w:val="nil"/>
            </w:tcBorders>
            <w:shd w:val="clear" w:color="auto" w:fill="auto"/>
            <w:vAlign w:val="center"/>
            <w:hideMark/>
          </w:tcPr>
          <w:p w14:paraId="25D61E61"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100.00</w:t>
            </w:r>
          </w:p>
        </w:tc>
        <w:tc>
          <w:tcPr>
            <w:tcW w:w="2431" w:type="dxa"/>
            <w:tcBorders>
              <w:top w:val="nil"/>
              <w:left w:val="nil"/>
              <w:bottom w:val="nil"/>
              <w:right w:val="nil"/>
            </w:tcBorders>
            <w:shd w:val="clear" w:color="auto" w:fill="auto"/>
            <w:vAlign w:val="center"/>
            <w:hideMark/>
          </w:tcPr>
          <w:p w14:paraId="22582A22"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0.0033</w:t>
            </w:r>
          </w:p>
        </w:tc>
        <w:tc>
          <w:tcPr>
            <w:tcW w:w="1659" w:type="dxa"/>
            <w:tcBorders>
              <w:top w:val="nil"/>
              <w:left w:val="nil"/>
              <w:bottom w:val="nil"/>
              <w:right w:val="nil"/>
            </w:tcBorders>
            <w:shd w:val="clear" w:color="auto" w:fill="auto"/>
            <w:vAlign w:val="center"/>
            <w:hideMark/>
          </w:tcPr>
          <w:p w14:paraId="2B552B5A"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674.15</w:t>
            </w:r>
          </w:p>
        </w:tc>
      </w:tr>
      <w:tr w:rsidR="001500DD" w:rsidRPr="00D27DAA" w14:paraId="11F296BE" w14:textId="77777777" w:rsidTr="001D011E">
        <w:trPr>
          <w:trHeight w:val="300"/>
        </w:trPr>
        <w:tc>
          <w:tcPr>
            <w:tcW w:w="1839" w:type="dxa"/>
            <w:vMerge w:val="restart"/>
            <w:tcBorders>
              <w:top w:val="single" w:sz="4" w:space="0" w:color="auto"/>
              <w:left w:val="nil"/>
              <w:bottom w:val="single" w:sz="4" w:space="0" w:color="000000"/>
              <w:right w:val="nil"/>
            </w:tcBorders>
            <w:shd w:val="clear" w:color="auto" w:fill="auto"/>
            <w:vAlign w:val="center"/>
            <w:hideMark/>
          </w:tcPr>
          <w:p w14:paraId="545CE53F"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Barrel/RPV</w:t>
            </w:r>
          </w:p>
        </w:tc>
        <w:tc>
          <w:tcPr>
            <w:tcW w:w="976" w:type="dxa"/>
            <w:tcBorders>
              <w:top w:val="single" w:sz="4" w:space="0" w:color="auto"/>
              <w:left w:val="nil"/>
              <w:bottom w:val="nil"/>
              <w:right w:val="nil"/>
            </w:tcBorders>
            <w:shd w:val="clear" w:color="auto" w:fill="auto"/>
            <w:vAlign w:val="center"/>
            <w:hideMark/>
          </w:tcPr>
          <w:p w14:paraId="0AD390B6"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Ni</w:t>
            </w:r>
          </w:p>
        </w:tc>
        <w:tc>
          <w:tcPr>
            <w:tcW w:w="1775" w:type="dxa"/>
            <w:tcBorders>
              <w:top w:val="single" w:sz="4" w:space="0" w:color="auto"/>
              <w:left w:val="nil"/>
              <w:bottom w:val="nil"/>
              <w:right w:val="nil"/>
            </w:tcBorders>
            <w:shd w:val="clear" w:color="auto" w:fill="auto"/>
            <w:vAlign w:val="center"/>
            <w:hideMark/>
          </w:tcPr>
          <w:p w14:paraId="71633C07"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15.13</w:t>
            </w:r>
          </w:p>
        </w:tc>
        <w:tc>
          <w:tcPr>
            <w:tcW w:w="2431" w:type="dxa"/>
            <w:vMerge w:val="restart"/>
            <w:tcBorders>
              <w:top w:val="single" w:sz="4" w:space="0" w:color="auto"/>
              <w:left w:val="nil"/>
              <w:bottom w:val="single" w:sz="4" w:space="0" w:color="000000"/>
              <w:right w:val="nil"/>
            </w:tcBorders>
            <w:shd w:val="clear" w:color="auto" w:fill="auto"/>
            <w:vAlign w:val="center"/>
            <w:hideMark/>
          </w:tcPr>
          <w:p w14:paraId="0702D54D"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8</w:t>
            </w:r>
          </w:p>
        </w:tc>
        <w:tc>
          <w:tcPr>
            <w:tcW w:w="1659" w:type="dxa"/>
            <w:vMerge w:val="restart"/>
            <w:tcBorders>
              <w:top w:val="single" w:sz="4" w:space="0" w:color="auto"/>
              <w:left w:val="nil"/>
              <w:bottom w:val="single" w:sz="4" w:space="0" w:color="000000"/>
              <w:right w:val="nil"/>
            </w:tcBorders>
            <w:shd w:val="clear" w:color="auto" w:fill="auto"/>
            <w:vAlign w:val="center"/>
            <w:hideMark/>
          </w:tcPr>
          <w:p w14:paraId="12BDAF16"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673/300</w:t>
            </w:r>
          </w:p>
        </w:tc>
      </w:tr>
      <w:tr w:rsidR="001500DD" w:rsidRPr="00D27DAA" w14:paraId="237B9EC5" w14:textId="77777777" w:rsidTr="001D011E">
        <w:trPr>
          <w:trHeight w:val="300"/>
        </w:trPr>
        <w:tc>
          <w:tcPr>
            <w:tcW w:w="1839" w:type="dxa"/>
            <w:vMerge/>
            <w:tcBorders>
              <w:top w:val="single" w:sz="4" w:space="0" w:color="auto"/>
              <w:left w:val="nil"/>
              <w:bottom w:val="single" w:sz="4" w:space="0" w:color="000000"/>
              <w:right w:val="nil"/>
            </w:tcBorders>
            <w:vAlign w:val="center"/>
            <w:hideMark/>
          </w:tcPr>
          <w:p w14:paraId="228DAFE5"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976" w:type="dxa"/>
            <w:tcBorders>
              <w:top w:val="nil"/>
              <w:left w:val="nil"/>
              <w:bottom w:val="nil"/>
              <w:right w:val="nil"/>
            </w:tcBorders>
            <w:shd w:val="clear" w:color="auto" w:fill="auto"/>
            <w:vAlign w:val="center"/>
            <w:hideMark/>
          </w:tcPr>
          <w:p w14:paraId="30A1B8DD"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Cr</w:t>
            </w:r>
          </w:p>
        </w:tc>
        <w:tc>
          <w:tcPr>
            <w:tcW w:w="1775" w:type="dxa"/>
            <w:tcBorders>
              <w:top w:val="nil"/>
              <w:left w:val="nil"/>
              <w:bottom w:val="nil"/>
              <w:right w:val="nil"/>
            </w:tcBorders>
            <w:shd w:val="clear" w:color="auto" w:fill="auto"/>
            <w:vAlign w:val="center"/>
            <w:hideMark/>
          </w:tcPr>
          <w:p w14:paraId="473DB380"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0.19</w:t>
            </w:r>
          </w:p>
        </w:tc>
        <w:tc>
          <w:tcPr>
            <w:tcW w:w="2431" w:type="dxa"/>
            <w:vMerge/>
            <w:tcBorders>
              <w:top w:val="single" w:sz="4" w:space="0" w:color="auto"/>
              <w:left w:val="nil"/>
              <w:bottom w:val="single" w:sz="4" w:space="0" w:color="000000"/>
              <w:right w:val="nil"/>
            </w:tcBorders>
            <w:vAlign w:val="center"/>
            <w:hideMark/>
          </w:tcPr>
          <w:p w14:paraId="251C1EB4"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1659" w:type="dxa"/>
            <w:vMerge/>
            <w:tcBorders>
              <w:top w:val="single" w:sz="4" w:space="0" w:color="auto"/>
              <w:left w:val="nil"/>
              <w:bottom w:val="single" w:sz="4" w:space="0" w:color="000000"/>
              <w:right w:val="nil"/>
            </w:tcBorders>
            <w:vAlign w:val="center"/>
            <w:hideMark/>
          </w:tcPr>
          <w:p w14:paraId="42D293C4"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r>
      <w:tr w:rsidR="001500DD" w:rsidRPr="00D27DAA" w14:paraId="5244D6C5" w14:textId="77777777" w:rsidTr="001D011E">
        <w:trPr>
          <w:trHeight w:val="300"/>
        </w:trPr>
        <w:tc>
          <w:tcPr>
            <w:tcW w:w="1839" w:type="dxa"/>
            <w:vMerge/>
            <w:tcBorders>
              <w:top w:val="single" w:sz="4" w:space="0" w:color="auto"/>
              <w:left w:val="nil"/>
              <w:bottom w:val="single" w:sz="4" w:space="0" w:color="000000"/>
              <w:right w:val="nil"/>
            </w:tcBorders>
            <w:vAlign w:val="center"/>
            <w:hideMark/>
          </w:tcPr>
          <w:p w14:paraId="5886B9DE"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976" w:type="dxa"/>
            <w:tcBorders>
              <w:top w:val="nil"/>
              <w:left w:val="nil"/>
              <w:bottom w:val="nil"/>
              <w:right w:val="nil"/>
            </w:tcBorders>
            <w:shd w:val="clear" w:color="auto" w:fill="auto"/>
            <w:vAlign w:val="center"/>
            <w:hideMark/>
          </w:tcPr>
          <w:p w14:paraId="43954C5F"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Mo</w:t>
            </w:r>
          </w:p>
        </w:tc>
        <w:tc>
          <w:tcPr>
            <w:tcW w:w="1775" w:type="dxa"/>
            <w:tcBorders>
              <w:top w:val="nil"/>
              <w:left w:val="nil"/>
              <w:bottom w:val="nil"/>
              <w:right w:val="nil"/>
            </w:tcBorders>
            <w:shd w:val="clear" w:color="auto" w:fill="auto"/>
            <w:vAlign w:val="center"/>
            <w:hideMark/>
          </w:tcPr>
          <w:p w14:paraId="519FA05E"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25.98</w:t>
            </w:r>
          </w:p>
        </w:tc>
        <w:tc>
          <w:tcPr>
            <w:tcW w:w="2431" w:type="dxa"/>
            <w:vMerge/>
            <w:tcBorders>
              <w:top w:val="single" w:sz="4" w:space="0" w:color="auto"/>
              <w:left w:val="nil"/>
              <w:bottom w:val="single" w:sz="4" w:space="0" w:color="000000"/>
              <w:right w:val="nil"/>
            </w:tcBorders>
            <w:vAlign w:val="center"/>
            <w:hideMark/>
          </w:tcPr>
          <w:p w14:paraId="73D81767"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1659" w:type="dxa"/>
            <w:vMerge/>
            <w:tcBorders>
              <w:top w:val="single" w:sz="4" w:space="0" w:color="auto"/>
              <w:left w:val="nil"/>
              <w:bottom w:val="single" w:sz="4" w:space="0" w:color="000000"/>
              <w:right w:val="nil"/>
            </w:tcBorders>
            <w:vAlign w:val="center"/>
            <w:hideMark/>
          </w:tcPr>
          <w:p w14:paraId="4406C1C7"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r>
      <w:tr w:rsidR="001500DD" w:rsidRPr="00D27DAA" w14:paraId="2F60E8AE" w14:textId="77777777" w:rsidTr="001D011E">
        <w:trPr>
          <w:trHeight w:val="300"/>
        </w:trPr>
        <w:tc>
          <w:tcPr>
            <w:tcW w:w="1839" w:type="dxa"/>
            <w:vMerge/>
            <w:tcBorders>
              <w:top w:val="single" w:sz="4" w:space="0" w:color="auto"/>
              <w:left w:val="nil"/>
              <w:bottom w:val="single" w:sz="4" w:space="0" w:color="000000"/>
              <w:right w:val="nil"/>
            </w:tcBorders>
            <w:vAlign w:val="center"/>
            <w:hideMark/>
          </w:tcPr>
          <w:p w14:paraId="35F0177D"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976" w:type="dxa"/>
            <w:tcBorders>
              <w:top w:val="nil"/>
              <w:left w:val="nil"/>
              <w:bottom w:val="nil"/>
              <w:right w:val="nil"/>
            </w:tcBorders>
            <w:shd w:val="clear" w:color="auto" w:fill="auto"/>
            <w:vAlign w:val="center"/>
            <w:hideMark/>
          </w:tcPr>
          <w:p w14:paraId="56C1DAAB"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Fe</w:t>
            </w:r>
          </w:p>
        </w:tc>
        <w:tc>
          <w:tcPr>
            <w:tcW w:w="1775" w:type="dxa"/>
            <w:tcBorders>
              <w:top w:val="nil"/>
              <w:left w:val="nil"/>
              <w:bottom w:val="nil"/>
              <w:right w:val="nil"/>
            </w:tcBorders>
            <w:shd w:val="clear" w:color="auto" w:fill="auto"/>
            <w:vAlign w:val="center"/>
            <w:hideMark/>
          </w:tcPr>
          <w:p w14:paraId="65EEBE2A"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15.12</w:t>
            </w:r>
          </w:p>
        </w:tc>
        <w:tc>
          <w:tcPr>
            <w:tcW w:w="2431" w:type="dxa"/>
            <w:vMerge/>
            <w:tcBorders>
              <w:top w:val="single" w:sz="4" w:space="0" w:color="auto"/>
              <w:left w:val="nil"/>
              <w:bottom w:val="single" w:sz="4" w:space="0" w:color="000000"/>
              <w:right w:val="nil"/>
            </w:tcBorders>
            <w:vAlign w:val="center"/>
            <w:hideMark/>
          </w:tcPr>
          <w:p w14:paraId="13024E9E"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1659" w:type="dxa"/>
            <w:vMerge/>
            <w:tcBorders>
              <w:top w:val="single" w:sz="4" w:space="0" w:color="auto"/>
              <w:left w:val="nil"/>
              <w:bottom w:val="single" w:sz="4" w:space="0" w:color="000000"/>
              <w:right w:val="nil"/>
            </w:tcBorders>
            <w:vAlign w:val="center"/>
            <w:hideMark/>
          </w:tcPr>
          <w:p w14:paraId="5A8EB274"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r>
      <w:tr w:rsidR="001500DD" w:rsidRPr="00D27DAA" w14:paraId="55777377" w14:textId="77777777" w:rsidTr="001D011E">
        <w:trPr>
          <w:trHeight w:val="300"/>
        </w:trPr>
        <w:tc>
          <w:tcPr>
            <w:tcW w:w="1839" w:type="dxa"/>
            <w:vMerge/>
            <w:tcBorders>
              <w:top w:val="single" w:sz="4" w:space="0" w:color="auto"/>
              <w:left w:val="nil"/>
              <w:bottom w:val="single" w:sz="4" w:space="0" w:color="000000"/>
              <w:right w:val="nil"/>
            </w:tcBorders>
            <w:vAlign w:val="center"/>
            <w:hideMark/>
          </w:tcPr>
          <w:p w14:paraId="33CB1B33"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976" w:type="dxa"/>
            <w:tcBorders>
              <w:top w:val="nil"/>
              <w:left w:val="nil"/>
              <w:bottom w:val="nil"/>
              <w:right w:val="nil"/>
            </w:tcBorders>
            <w:shd w:val="clear" w:color="auto" w:fill="auto"/>
            <w:vAlign w:val="center"/>
            <w:hideMark/>
          </w:tcPr>
          <w:p w14:paraId="11DF5204"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Si</w:t>
            </w:r>
          </w:p>
        </w:tc>
        <w:tc>
          <w:tcPr>
            <w:tcW w:w="1775" w:type="dxa"/>
            <w:tcBorders>
              <w:top w:val="nil"/>
              <w:left w:val="nil"/>
              <w:bottom w:val="nil"/>
              <w:right w:val="nil"/>
            </w:tcBorders>
            <w:shd w:val="clear" w:color="auto" w:fill="auto"/>
            <w:vAlign w:val="center"/>
            <w:hideMark/>
          </w:tcPr>
          <w:p w14:paraId="3F5A18CD"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7.61</w:t>
            </w:r>
          </w:p>
        </w:tc>
        <w:tc>
          <w:tcPr>
            <w:tcW w:w="2431" w:type="dxa"/>
            <w:vMerge/>
            <w:tcBorders>
              <w:top w:val="single" w:sz="4" w:space="0" w:color="auto"/>
              <w:left w:val="nil"/>
              <w:bottom w:val="single" w:sz="4" w:space="0" w:color="000000"/>
              <w:right w:val="nil"/>
            </w:tcBorders>
            <w:vAlign w:val="center"/>
            <w:hideMark/>
          </w:tcPr>
          <w:p w14:paraId="7E7656E5"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1659" w:type="dxa"/>
            <w:vMerge/>
            <w:tcBorders>
              <w:top w:val="single" w:sz="4" w:space="0" w:color="auto"/>
              <w:left w:val="nil"/>
              <w:bottom w:val="single" w:sz="4" w:space="0" w:color="000000"/>
              <w:right w:val="nil"/>
            </w:tcBorders>
            <w:vAlign w:val="center"/>
            <w:hideMark/>
          </w:tcPr>
          <w:p w14:paraId="1CF09B03"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r>
      <w:tr w:rsidR="001500DD" w:rsidRPr="00D27DAA" w14:paraId="3E134F15" w14:textId="77777777" w:rsidTr="001D011E">
        <w:trPr>
          <w:trHeight w:val="300"/>
        </w:trPr>
        <w:tc>
          <w:tcPr>
            <w:tcW w:w="1839" w:type="dxa"/>
            <w:vMerge/>
            <w:tcBorders>
              <w:top w:val="single" w:sz="4" w:space="0" w:color="auto"/>
              <w:left w:val="nil"/>
              <w:bottom w:val="single" w:sz="4" w:space="0" w:color="000000"/>
              <w:right w:val="nil"/>
            </w:tcBorders>
            <w:vAlign w:val="center"/>
            <w:hideMark/>
          </w:tcPr>
          <w:p w14:paraId="629590F8"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976" w:type="dxa"/>
            <w:tcBorders>
              <w:top w:val="nil"/>
              <w:left w:val="nil"/>
              <w:bottom w:val="nil"/>
              <w:right w:val="nil"/>
            </w:tcBorders>
            <w:shd w:val="clear" w:color="auto" w:fill="auto"/>
            <w:vAlign w:val="center"/>
            <w:hideMark/>
          </w:tcPr>
          <w:p w14:paraId="1EE753C9"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Mn</w:t>
            </w:r>
          </w:p>
        </w:tc>
        <w:tc>
          <w:tcPr>
            <w:tcW w:w="1775" w:type="dxa"/>
            <w:tcBorders>
              <w:top w:val="nil"/>
              <w:left w:val="nil"/>
              <w:bottom w:val="nil"/>
              <w:right w:val="nil"/>
            </w:tcBorders>
            <w:shd w:val="clear" w:color="auto" w:fill="auto"/>
            <w:vAlign w:val="center"/>
            <w:hideMark/>
          </w:tcPr>
          <w:p w14:paraId="2B8609C2"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14.88</w:t>
            </w:r>
          </w:p>
        </w:tc>
        <w:tc>
          <w:tcPr>
            <w:tcW w:w="2431" w:type="dxa"/>
            <w:vMerge/>
            <w:tcBorders>
              <w:top w:val="single" w:sz="4" w:space="0" w:color="auto"/>
              <w:left w:val="nil"/>
              <w:bottom w:val="single" w:sz="4" w:space="0" w:color="000000"/>
              <w:right w:val="nil"/>
            </w:tcBorders>
            <w:vAlign w:val="center"/>
            <w:hideMark/>
          </w:tcPr>
          <w:p w14:paraId="503112BF"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1659" w:type="dxa"/>
            <w:vMerge/>
            <w:tcBorders>
              <w:top w:val="single" w:sz="4" w:space="0" w:color="auto"/>
              <w:left w:val="nil"/>
              <w:bottom w:val="single" w:sz="4" w:space="0" w:color="000000"/>
              <w:right w:val="nil"/>
            </w:tcBorders>
            <w:vAlign w:val="center"/>
            <w:hideMark/>
          </w:tcPr>
          <w:p w14:paraId="05A8F6DE"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r>
      <w:tr w:rsidR="001500DD" w:rsidRPr="00D27DAA" w14:paraId="7EB4C2CB" w14:textId="77777777" w:rsidTr="001D011E">
        <w:trPr>
          <w:trHeight w:val="300"/>
        </w:trPr>
        <w:tc>
          <w:tcPr>
            <w:tcW w:w="1839" w:type="dxa"/>
            <w:vMerge/>
            <w:tcBorders>
              <w:top w:val="single" w:sz="4" w:space="0" w:color="auto"/>
              <w:left w:val="nil"/>
              <w:bottom w:val="single" w:sz="4" w:space="0" w:color="000000"/>
              <w:right w:val="nil"/>
            </w:tcBorders>
            <w:vAlign w:val="center"/>
            <w:hideMark/>
          </w:tcPr>
          <w:p w14:paraId="05CDA775"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976" w:type="dxa"/>
            <w:tcBorders>
              <w:top w:val="nil"/>
              <w:left w:val="nil"/>
              <w:bottom w:val="nil"/>
              <w:right w:val="nil"/>
            </w:tcBorders>
            <w:shd w:val="clear" w:color="auto" w:fill="auto"/>
            <w:vAlign w:val="center"/>
            <w:hideMark/>
          </w:tcPr>
          <w:p w14:paraId="3D9DEA47"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C</w:t>
            </w:r>
          </w:p>
        </w:tc>
        <w:tc>
          <w:tcPr>
            <w:tcW w:w="1775" w:type="dxa"/>
            <w:tcBorders>
              <w:top w:val="nil"/>
              <w:left w:val="nil"/>
              <w:bottom w:val="nil"/>
              <w:right w:val="nil"/>
            </w:tcBorders>
            <w:shd w:val="clear" w:color="auto" w:fill="auto"/>
            <w:vAlign w:val="center"/>
            <w:hideMark/>
          </w:tcPr>
          <w:p w14:paraId="6E31772A"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3.25</w:t>
            </w:r>
          </w:p>
        </w:tc>
        <w:tc>
          <w:tcPr>
            <w:tcW w:w="2431" w:type="dxa"/>
            <w:vMerge/>
            <w:tcBorders>
              <w:top w:val="single" w:sz="4" w:space="0" w:color="auto"/>
              <w:left w:val="nil"/>
              <w:bottom w:val="single" w:sz="4" w:space="0" w:color="000000"/>
              <w:right w:val="nil"/>
            </w:tcBorders>
            <w:vAlign w:val="center"/>
            <w:hideMark/>
          </w:tcPr>
          <w:p w14:paraId="7AB56A22"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1659" w:type="dxa"/>
            <w:vMerge/>
            <w:tcBorders>
              <w:top w:val="single" w:sz="4" w:space="0" w:color="auto"/>
              <w:left w:val="nil"/>
              <w:bottom w:val="single" w:sz="4" w:space="0" w:color="000000"/>
              <w:right w:val="nil"/>
            </w:tcBorders>
            <w:vAlign w:val="center"/>
            <w:hideMark/>
          </w:tcPr>
          <w:p w14:paraId="1CB59F80"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r>
      <w:tr w:rsidR="001500DD" w:rsidRPr="00D27DAA" w14:paraId="1CF35257" w14:textId="77777777" w:rsidTr="001D011E">
        <w:trPr>
          <w:trHeight w:val="300"/>
        </w:trPr>
        <w:tc>
          <w:tcPr>
            <w:tcW w:w="1839" w:type="dxa"/>
            <w:vMerge/>
            <w:tcBorders>
              <w:top w:val="single" w:sz="4" w:space="0" w:color="auto"/>
              <w:left w:val="nil"/>
              <w:bottom w:val="single" w:sz="4" w:space="0" w:color="000000"/>
              <w:right w:val="nil"/>
            </w:tcBorders>
            <w:vAlign w:val="center"/>
            <w:hideMark/>
          </w:tcPr>
          <w:p w14:paraId="77A1E904"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976" w:type="dxa"/>
            <w:tcBorders>
              <w:top w:val="nil"/>
              <w:left w:val="nil"/>
              <w:bottom w:val="nil"/>
              <w:right w:val="nil"/>
            </w:tcBorders>
            <w:shd w:val="clear" w:color="auto" w:fill="auto"/>
            <w:vAlign w:val="center"/>
            <w:hideMark/>
          </w:tcPr>
          <w:p w14:paraId="197547A6"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P</w:t>
            </w:r>
          </w:p>
        </w:tc>
        <w:tc>
          <w:tcPr>
            <w:tcW w:w="1775" w:type="dxa"/>
            <w:tcBorders>
              <w:top w:val="nil"/>
              <w:left w:val="nil"/>
              <w:bottom w:val="nil"/>
              <w:right w:val="nil"/>
            </w:tcBorders>
            <w:shd w:val="clear" w:color="auto" w:fill="auto"/>
            <w:vAlign w:val="center"/>
            <w:hideMark/>
          </w:tcPr>
          <w:p w14:paraId="434A7542"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8.39</w:t>
            </w:r>
          </w:p>
        </w:tc>
        <w:tc>
          <w:tcPr>
            <w:tcW w:w="2431" w:type="dxa"/>
            <w:vMerge/>
            <w:tcBorders>
              <w:top w:val="single" w:sz="4" w:space="0" w:color="auto"/>
              <w:left w:val="nil"/>
              <w:bottom w:val="single" w:sz="4" w:space="0" w:color="000000"/>
              <w:right w:val="nil"/>
            </w:tcBorders>
            <w:vAlign w:val="center"/>
            <w:hideMark/>
          </w:tcPr>
          <w:p w14:paraId="1A814988"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1659" w:type="dxa"/>
            <w:vMerge/>
            <w:tcBorders>
              <w:top w:val="single" w:sz="4" w:space="0" w:color="auto"/>
              <w:left w:val="nil"/>
              <w:bottom w:val="single" w:sz="4" w:space="0" w:color="000000"/>
              <w:right w:val="nil"/>
            </w:tcBorders>
            <w:vAlign w:val="center"/>
            <w:hideMark/>
          </w:tcPr>
          <w:p w14:paraId="6CEEB71A"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r>
      <w:tr w:rsidR="001500DD" w:rsidRPr="00D27DAA" w14:paraId="67E0FAF4" w14:textId="77777777" w:rsidTr="001D011E">
        <w:trPr>
          <w:trHeight w:val="300"/>
        </w:trPr>
        <w:tc>
          <w:tcPr>
            <w:tcW w:w="1839" w:type="dxa"/>
            <w:vMerge/>
            <w:tcBorders>
              <w:top w:val="single" w:sz="4" w:space="0" w:color="auto"/>
              <w:left w:val="nil"/>
              <w:bottom w:val="single" w:sz="4" w:space="0" w:color="000000"/>
              <w:right w:val="nil"/>
            </w:tcBorders>
            <w:vAlign w:val="center"/>
            <w:hideMark/>
          </w:tcPr>
          <w:p w14:paraId="3DAA8AAE"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976" w:type="dxa"/>
            <w:tcBorders>
              <w:top w:val="nil"/>
              <w:left w:val="nil"/>
              <w:bottom w:val="single" w:sz="4" w:space="0" w:color="auto"/>
              <w:right w:val="nil"/>
            </w:tcBorders>
            <w:shd w:val="clear" w:color="auto" w:fill="auto"/>
            <w:vAlign w:val="center"/>
            <w:hideMark/>
          </w:tcPr>
          <w:p w14:paraId="5296FC18"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S</w:t>
            </w:r>
          </w:p>
        </w:tc>
        <w:tc>
          <w:tcPr>
            <w:tcW w:w="1775" w:type="dxa"/>
            <w:tcBorders>
              <w:top w:val="nil"/>
              <w:left w:val="nil"/>
              <w:bottom w:val="single" w:sz="4" w:space="0" w:color="auto"/>
              <w:right w:val="nil"/>
            </w:tcBorders>
            <w:shd w:val="clear" w:color="auto" w:fill="auto"/>
            <w:vAlign w:val="center"/>
            <w:hideMark/>
          </w:tcPr>
          <w:p w14:paraId="0551F81E"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17.07</w:t>
            </w:r>
          </w:p>
        </w:tc>
        <w:tc>
          <w:tcPr>
            <w:tcW w:w="2431" w:type="dxa"/>
            <w:vMerge/>
            <w:tcBorders>
              <w:top w:val="single" w:sz="4" w:space="0" w:color="auto"/>
              <w:left w:val="nil"/>
              <w:bottom w:val="single" w:sz="4" w:space="0" w:color="000000"/>
              <w:right w:val="nil"/>
            </w:tcBorders>
            <w:vAlign w:val="center"/>
            <w:hideMark/>
          </w:tcPr>
          <w:p w14:paraId="34A850BE"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c>
          <w:tcPr>
            <w:tcW w:w="1659" w:type="dxa"/>
            <w:vMerge/>
            <w:tcBorders>
              <w:top w:val="single" w:sz="4" w:space="0" w:color="auto"/>
              <w:left w:val="nil"/>
              <w:bottom w:val="single" w:sz="4" w:space="0" w:color="000000"/>
              <w:right w:val="nil"/>
            </w:tcBorders>
            <w:vAlign w:val="center"/>
            <w:hideMark/>
          </w:tcPr>
          <w:p w14:paraId="382E6B8E" w14:textId="77777777" w:rsidR="001500DD" w:rsidRPr="00D27DAA" w:rsidRDefault="001500DD" w:rsidP="00D74C1D">
            <w:pPr>
              <w:spacing w:after="0" w:line="240" w:lineRule="auto"/>
              <w:rPr>
                <w:rFonts w:ascii="Times New Roman" w:eastAsia="Times New Roman" w:hAnsi="Times New Roman" w:cs="Times New Roman"/>
                <w:color w:val="000000"/>
                <w:lang w:eastAsia="en-GB"/>
              </w:rPr>
            </w:pPr>
          </w:p>
        </w:tc>
      </w:tr>
    </w:tbl>
    <w:p w14:paraId="3D0850B6" w14:textId="77777777" w:rsidR="001500DD" w:rsidRPr="00D27DAA" w:rsidRDefault="001500DD" w:rsidP="001500DD">
      <w:pPr>
        <w:pStyle w:val="NoSpacing"/>
        <w:jc w:val="center"/>
        <w:rPr>
          <w:rFonts w:cs="Times New Roman"/>
          <w:sz w:val="22"/>
        </w:rPr>
      </w:pPr>
    </w:p>
    <w:p w14:paraId="030D2971" w14:textId="77777777" w:rsidR="001500DD" w:rsidRPr="00D27DAA" w:rsidRDefault="001500DD" w:rsidP="001500DD">
      <w:pPr>
        <w:pStyle w:val="NoSpacing"/>
        <w:jc w:val="center"/>
        <w:rPr>
          <w:rFonts w:cs="Times New Roman"/>
          <w:sz w:val="22"/>
        </w:rPr>
      </w:pPr>
    </w:p>
    <w:p w14:paraId="0BFE9514" w14:textId="7DEC969C" w:rsidR="00EF091E" w:rsidRPr="00D27DAA" w:rsidRDefault="00EF091E" w:rsidP="00EF091E">
      <w:pPr>
        <w:pStyle w:val="Caption"/>
        <w:keepNext/>
        <w:rPr>
          <w:rFonts w:ascii="Times New Roman" w:hAnsi="Times New Roman" w:cs="Times New Roman"/>
          <w:sz w:val="22"/>
          <w:szCs w:val="22"/>
        </w:rPr>
      </w:pPr>
      <w:r w:rsidRPr="00D27DAA">
        <w:rPr>
          <w:rFonts w:ascii="Times New Roman" w:hAnsi="Times New Roman" w:cs="Times New Roman"/>
          <w:sz w:val="22"/>
          <w:szCs w:val="22"/>
        </w:rPr>
        <w:lastRenderedPageBreak/>
        <w:t xml:space="preserve">Table </w:t>
      </w:r>
      <w:r w:rsidR="00F71ED4" w:rsidRPr="00D27DAA">
        <w:rPr>
          <w:rFonts w:ascii="Times New Roman" w:hAnsi="Times New Roman" w:cs="Times New Roman"/>
          <w:sz w:val="22"/>
          <w:szCs w:val="22"/>
        </w:rPr>
        <w:fldChar w:fldCharType="begin"/>
      </w:r>
      <w:r w:rsidR="00F71ED4" w:rsidRPr="00D27DAA">
        <w:rPr>
          <w:rFonts w:ascii="Times New Roman" w:hAnsi="Times New Roman" w:cs="Times New Roman"/>
          <w:sz w:val="22"/>
          <w:szCs w:val="22"/>
        </w:rPr>
        <w:instrText xml:space="preserve"> SEQ Table \* ARABIC </w:instrText>
      </w:r>
      <w:r w:rsidR="00F71ED4"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5</w:t>
      </w:r>
      <w:r w:rsidR="00F71ED4" w:rsidRPr="00D27DAA">
        <w:rPr>
          <w:rFonts w:ascii="Times New Roman" w:hAnsi="Times New Roman" w:cs="Times New Roman"/>
          <w:sz w:val="22"/>
          <w:szCs w:val="22"/>
        </w:rPr>
        <w:fldChar w:fldCharType="end"/>
      </w:r>
      <w:r w:rsidRPr="00D27DAA">
        <w:rPr>
          <w:rFonts w:ascii="Times New Roman" w:hAnsi="Times New Roman" w:cs="Times New Roman"/>
          <w:sz w:val="22"/>
          <w:szCs w:val="22"/>
        </w:rPr>
        <w:t>- Radial dimensions of the new conceptual design</w:t>
      </w:r>
    </w:p>
    <w:tbl>
      <w:tblPr>
        <w:tblW w:w="7000" w:type="dxa"/>
        <w:jc w:val="center"/>
        <w:tblLook w:val="04A0" w:firstRow="1" w:lastRow="0" w:firstColumn="1" w:lastColumn="0" w:noHBand="0" w:noVBand="1"/>
      </w:tblPr>
      <w:tblGrid>
        <w:gridCol w:w="2440"/>
        <w:gridCol w:w="1700"/>
        <w:gridCol w:w="2860"/>
      </w:tblGrid>
      <w:tr w:rsidR="001500DD" w:rsidRPr="00D27DAA" w14:paraId="53E03979" w14:textId="77777777" w:rsidTr="00D74C1D">
        <w:trPr>
          <w:trHeight w:val="315"/>
          <w:jc w:val="center"/>
        </w:trPr>
        <w:tc>
          <w:tcPr>
            <w:tcW w:w="2440" w:type="dxa"/>
            <w:tcBorders>
              <w:top w:val="nil"/>
              <w:left w:val="nil"/>
              <w:bottom w:val="double" w:sz="6" w:space="0" w:color="auto"/>
              <w:right w:val="nil"/>
            </w:tcBorders>
            <w:shd w:val="clear" w:color="auto" w:fill="auto"/>
            <w:vAlign w:val="center"/>
            <w:hideMark/>
          </w:tcPr>
          <w:p w14:paraId="204D4FEA"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Core Attribute</w:t>
            </w:r>
          </w:p>
        </w:tc>
        <w:tc>
          <w:tcPr>
            <w:tcW w:w="1700" w:type="dxa"/>
            <w:tcBorders>
              <w:top w:val="nil"/>
              <w:left w:val="nil"/>
              <w:bottom w:val="double" w:sz="6" w:space="0" w:color="auto"/>
              <w:right w:val="nil"/>
            </w:tcBorders>
            <w:shd w:val="clear" w:color="auto" w:fill="auto"/>
            <w:vAlign w:val="center"/>
            <w:hideMark/>
          </w:tcPr>
          <w:p w14:paraId="50FF8665"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Thickness (cm)</w:t>
            </w:r>
          </w:p>
        </w:tc>
        <w:tc>
          <w:tcPr>
            <w:tcW w:w="2860" w:type="dxa"/>
            <w:tcBorders>
              <w:top w:val="nil"/>
              <w:left w:val="nil"/>
              <w:bottom w:val="double" w:sz="6" w:space="0" w:color="auto"/>
              <w:right w:val="nil"/>
            </w:tcBorders>
            <w:shd w:val="clear" w:color="auto" w:fill="auto"/>
            <w:vAlign w:val="center"/>
            <w:hideMark/>
          </w:tcPr>
          <w:p w14:paraId="75D3A7FB"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Radius of core used (cm)</w:t>
            </w:r>
          </w:p>
        </w:tc>
      </w:tr>
      <w:tr w:rsidR="001500DD" w:rsidRPr="00D27DAA" w14:paraId="3667D22B" w14:textId="77777777" w:rsidTr="00D74C1D">
        <w:trPr>
          <w:trHeight w:val="330"/>
          <w:jc w:val="center"/>
        </w:trPr>
        <w:tc>
          <w:tcPr>
            <w:tcW w:w="2440" w:type="dxa"/>
            <w:tcBorders>
              <w:top w:val="nil"/>
              <w:left w:val="nil"/>
              <w:bottom w:val="nil"/>
              <w:right w:val="nil"/>
            </w:tcBorders>
            <w:shd w:val="clear" w:color="auto" w:fill="auto"/>
            <w:vAlign w:val="center"/>
            <w:hideMark/>
          </w:tcPr>
          <w:p w14:paraId="5C09C95F"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 xml:space="preserve">Active core </w:t>
            </w:r>
          </w:p>
        </w:tc>
        <w:tc>
          <w:tcPr>
            <w:tcW w:w="1700" w:type="dxa"/>
            <w:tcBorders>
              <w:top w:val="nil"/>
              <w:left w:val="nil"/>
              <w:bottom w:val="nil"/>
              <w:right w:val="nil"/>
            </w:tcBorders>
            <w:shd w:val="clear" w:color="auto" w:fill="auto"/>
            <w:vAlign w:val="center"/>
            <w:hideMark/>
          </w:tcPr>
          <w:p w14:paraId="7E7F295C"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108</w:t>
            </w:r>
          </w:p>
        </w:tc>
        <w:tc>
          <w:tcPr>
            <w:tcW w:w="2860" w:type="dxa"/>
            <w:tcBorders>
              <w:top w:val="nil"/>
              <w:left w:val="nil"/>
              <w:bottom w:val="nil"/>
              <w:right w:val="nil"/>
            </w:tcBorders>
            <w:shd w:val="clear" w:color="auto" w:fill="auto"/>
            <w:vAlign w:val="center"/>
            <w:hideMark/>
          </w:tcPr>
          <w:p w14:paraId="6F62A52E"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p>
        </w:tc>
      </w:tr>
      <w:tr w:rsidR="001500DD" w:rsidRPr="00D27DAA" w14:paraId="2C4D587E" w14:textId="77777777" w:rsidTr="00D74C1D">
        <w:trPr>
          <w:trHeight w:val="315"/>
          <w:jc w:val="center"/>
        </w:trPr>
        <w:tc>
          <w:tcPr>
            <w:tcW w:w="2440" w:type="dxa"/>
            <w:tcBorders>
              <w:top w:val="nil"/>
              <w:left w:val="nil"/>
              <w:bottom w:val="nil"/>
              <w:right w:val="nil"/>
            </w:tcBorders>
            <w:shd w:val="clear" w:color="auto" w:fill="auto"/>
            <w:vAlign w:val="center"/>
            <w:hideMark/>
          </w:tcPr>
          <w:p w14:paraId="47F68A39"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Graphite side reflector</w:t>
            </w:r>
          </w:p>
        </w:tc>
        <w:tc>
          <w:tcPr>
            <w:tcW w:w="1700" w:type="dxa"/>
            <w:tcBorders>
              <w:top w:val="nil"/>
              <w:left w:val="nil"/>
              <w:bottom w:val="nil"/>
              <w:right w:val="nil"/>
            </w:tcBorders>
            <w:shd w:val="clear" w:color="auto" w:fill="auto"/>
            <w:vAlign w:val="center"/>
            <w:hideMark/>
          </w:tcPr>
          <w:p w14:paraId="582174F0"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40</w:t>
            </w:r>
          </w:p>
        </w:tc>
        <w:tc>
          <w:tcPr>
            <w:tcW w:w="2860" w:type="dxa"/>
            <w:tcBorders>
              <w:top w:val="nil"/>
              <w:left w:val="nil"/>
              <w:bottom w:val="nil"/>
              <w:right w:val="nil"/>
            </w:tcBorders>
            <w:shd w:val="clear" w:color="auto" w:fill="auto"/>
            <w:vAlign w:val="center"/>
            <w:hideMark/>
          </w:tcPr>
          <w:p w14:paraId="168FF8ED"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94</w:t>
            </w:r>
          </w:p>
        </w:tc>
      </w:tr>
      <w:tr w:rsidR="001500DD" w:rsidRPr="00D27DAA" w14:paraId="7F1A879E" w14:textId="77777777" w:rsidTr="00D74C1D">
        <w:trPr>
          <w:trHeight w:val="300"/>
          <w:jc w:val="center"/>
        </w:trPr>
        <w:tc>
          <w:tcPr>
            <w:tcW w:w="2440" w:type="dxa"/>
            <w:tcBorders>
              <w:top w:val="nil"/>
              <w:left w:val="nil"/>
              <w:bottom w:val="nil"/>
              <w:right w:val="nil"/>
            </w:tcBorders>
            <w:shd w:val="clear" w:color="auto" w:fill="auto"/>
            <w:vAlign w:val="center"/>
            <w:hideMark/>
          </w:tcPr>
          <w:p w14:paraId="2E489CB0"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Graphite insulation</w:t>
            </w:r>
          </w:p>
        </w:tc>
        <w:tc>
          <w:tcPr>
            <w:tcW w:w="1700" w:type="dxa"/>
            <w:tcBorders>
              <w:top w:val="nil"/>
              <w:left w:val="nil"/>
              <w:bottom w:val="nil"/>
              <w:right w:val="nil"/>
            </w:tcBorders>
            <w:shd w:val="clear" w:color="auto" w:fill="auto"/>
            <w:vAlign w:val="center"/>
            <w:hideMark/>
          </w:tcPr>
          <w:p w14:paraId="32AFC748"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3</w:t>
            </w:r>
          </w:p>
        </w:tc>
        <w:tc>
          <w:tcPr>
            <w:tcW w:w="2860" w:type="dxa"/>
            <w:tcBorders>
              <w:top w:val="nil"/>
              <w:left w:val="nil"/>
              <w:bottom w:val="nil"/>
              <w:right w:val="nil"/>
            </w:tcBorders>
            <w:shd w:val="clear" w:color="auto" w:fill="auto"/>
            <w:vAlign w:val="center"/>
            <w:hideMark/>
          </w:tcPr>
          <w:p w14:paraId="1C7CE99A"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97</w:t>
            </w:r>
          </w:p>
        </w:tc>
      </w:tr>
      <w:tr w:rsidR="001500DD" w:rsidRPr="00D27DAA" w14:paraId="3E5E13B5" w14:textId="77777777" w:rsidTr="00D74C1D">
        <w:trPr>
          <w:trHeight w:val="300"/>
          <w:jc w:val="center"/>
        </w:trPr>
        <w:tc>
          <w:tcPr>
            <w:tcW w:w="2440" w:type="dxa"/>
            <w:tcBorders>
              <w:top w:val="nil"/>
              <w:left w:val="nil"/>
              <w:bottom w:val="nil"/>
              <w:right w:val="nil"/>
            </w:tcBorders>
            <w:shd w:val="clear" w:color="auto" w:fill="auto"/>
            <w:vAlign w:val="center"/>
            <w:hideMark/>
          </w:tcPr>
          <w:p w14:paraId="37D1ADF6"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 xml:space="preserve">Barrel </w:t>
            </w:r>
          </w:p>
        </w:tc>
        <w:tc>
          <w:tcPr>
            <w:tcW w:w="1700" w:type="dxa"/>
            <w:tcBorders>
              <w:top w:val="nil"/>
              <w:left w:val="nil"/>
              <w:bottom w:val="nil"/>
              <w:right w:val="nil"/>
            </w:tcBorders>
            <w:shd w:val="clear" w:color="auto" w:fill="auto"/>
            <w:vAlign w:val="center"/>
            <w:hideMark/>
          </w:tcPr>
          <w:p w14:paraId="020B900F"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2.54</w:t>
            </w:r>
          </w:p>
        </w:tc>
        <w:tc>
          <w:tcPr>
            <w:tcW w:w="2860" w:type="dxa"/>
            <w:tcBorders>
              <w:top w:val="nil"/>
              <w:left w:val="nil"/>
              <w:bottom w:val="nil"/>
              <w:right w:val="nil"/>
            </w:tcBorders>
            <w:shd w:val="clear" w:color="auto" w:fill="auto"/>
            <w:vAlign w:val="center"/>
            <w:hideMark/>
          </w:tcPr>
          <w:p w14:paraId="10A25330"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99.54</w:t>
            </w:r>
          </w:p>
        </w:tc>
      </w:tr>
      <w:tr w:rsidR="001500DD" w:rsidRPr="00D27DAA" w14:paraId="6A02DB5D" w14:textId="77777777" w:rsidTr="00D74C1D">
        <w:trPr>
          <w:trHeight w:val="300"/>
          <w:jc w:val="center"/>
        </w:trPr>
        <w:tc>
          <w:tcPr>
            <w:tcW w:w="2440" w:type="dxa"/>
            <w:tcBorders>
              <w:top w:val="nil"/>
              <w:left w:val="nil"/>
              <w:bottom w:val="nil"/>
              <w:right w:val="nil"/>
            </w:tcBorders>
            <w:shd w:val="clear" w:color="auto" w:fill="auto"/>
            <w:vAlign w:val="center"/>
            <w:hideMark/>
          </w:tcPr>
          <w:p w14:paraId="3A26EB3C"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Helium Gap</w:t>
            </w:r>
          </w:p>
        </w:tc>
        <w:tc>
          <w:tcPr>
            <w:tcW w:w="1700" w:type="dxa"/>
            <w:tcBorders>
              <w:top w:val="nil"/>
              <w:left w:val="nil"/>
              <w:bottom w:val="nil"/>
              <w:right w:val="nil"/>
            </w:tcBorders>
            <w:shd w:val="clear" w:color="auto" w:fill="auto"/>
            <w:vAlign w:val="center"/>
            <w:hideMark/>
          </w:tcPr>
          <w:p w14:paraId="021B2688"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5</w:t>
            </w:r>
          </w:p>
        </w:tc>
        <w:tc>
          <w:tcPr>
            <w:tcW w:w="2860" w:type="dxa"/>
            <w:tcBorders>
              <w:top w:val="nil"/>
              <w:left w:val="nil"/>
              <w:bottom w:val="nil"/>
              <w:right w:val="nil"/>
            </w:tcBorders>
            <w:shd w:val="clear" w:color="auto" w:fill="auto"/>
            <w:vAlign w:val="center"/>
            <w:hideMark/>
          </w:tcPr>
          <w:p w14:paraId="66A1D8B1"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104.54</w:t>
            </w:r>
          </w:p>
        </w:tc>
      </w:tr>
      <w:tr w:rsidR="001500DD" w:rsidRPr="00D27DAA" w14:paraId="59A59B34" w14:textId="77777777" w:rsidTr="00D74C1D">
        <w:trPr>
          <w:trHeight w:val="300"/>
          <w:jc w:val="center"/>
        </w:trPr>
        <w:tc>
          <w:tcPr>
            <w:tcW w:w="2440" w:type="dxa"/>
            <w:tcBorders>
              <w:top w:val="nil"/>
              <w:left w:val="nil"/>
              <w:bottom w:val="nil"/>
              <w:right w:val="nil"/>
            </w:tcBorders>
            <w:shd w:val="clear" w:color="auto" w:fill="auto"/>
            <w:vAlign w:val="center"/>
            <w:hideMark/>
          </w:tcPr>
          <w:p w14:paraId="0AA66032"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RPV</w:t>
            </w:r>
          </w:p>
        </w:tc>
        <w:tc>
          <w:tcPr>
            <w:tcW w:w="1700" w:type="dxa"/>
            <w:tcBorders>
              <w:top w:val="nil"/>
              <w:left w:val="nil"/>
              <w:bottom w:val="nil"/>
              <w:right w:val="nil"/>
            </w:tcBorders>
            <w:shd w:val="clear" w:color="auto" w:fill="auto"/>
            <w:vAlign w:val="center"/>
            <w:hideMark/>
          </w:tcPr>
          <w:p w14:paraId="2BC516BD"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5.6</w:t>
            </w:r>
          </w:p>
        </w:tc>
        <w:tc>
          <w:tcPr>
            <w:tcW w:w="2860" w:type="dxa"/>
            <w:tcBorders>
              <w:top w:val="nil"/>
              <w:left w:val="nil"/>
              <w:bottom w:val="nil"/>
              <w:right w:val="nil"/>
            </w:tcBorders>
            <w:shd w:val="clear" w:color="auto" w:fill="auto"/>
            <w:vAlign w:val="center"/>
            <w:hideMark/>
          </w:tcPr>
          <w:p w14:paraId="43060975"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110.14</w:t>
            </w:r>
          </w:p>
        </w:tc>
      </w:tr>
    </w:tbl>
    <w:p w14:paraId="41400197" w14:textId="77777777" w:rsidR="001500DD" w:rsidRPr="00D27DAA" w:rsidRDefault="001500DD" w:rsidP="001500DD">
      <w:pPr>
        <w:pStyle w:val="NoSpacing"/>
        <w:jc w:val="center"/>
        <w:rPr>
          <w:rFonts w:cs="Times New Roman"/>
          <w:sz w:val="22"/>
        </w:rPr>
      </w:pPr>
    </w:p>
    <w:p w14:paraId="22A0F407" w14:textId="4C5C9182" w:rsidR="00EF091E" w:rsidRPr="00D27DAA" w:rsidRDefault="00EF091E" w:rsidP="00EF091E">
      <w:pPr>
        <w:pStyle w:val="Caption"/>
        <w:keepNext/>
        <w:rPr>
          <w:rFonts w:ascii="Times New Roman" w:hAnsi="Times New Roman" w:cs="Times New Roman"/>
          <w:sz w:val="22"/>
          <w:szCs w:val="22"/>
        </w:rPr>
      </w:pPr>
      <w:r w:rsidRPr="00D27DAA">
        <w:rPr>
          <w:rFonts w:ascii="Times New Roman" w:hAnsi="Times New Roman" w:cs="Times New Roman"/>
          <w:sz w:val="22"/>
          <w:szCs w:val="22"/>
        </w:rPr>
        <w:t xml:space="preserve">Table </w:t>
      </w:r>
      <w:r w:rsidR="00F71ED4" w:rsidRPr="00D27DAA">
        <w:rPr>
          <w:rFonts w:ascii="Times New Roman" w:hAnsi="Times New Roman" w:cs="Times New Roman"/>
          <w:sz w:val="22"/>
          <w:szCs w:val="22"/>
        </w:rPr>
        <w:fldChar w:fldCharType="begin"/>
      </w:r>
      <w:r w:rsidR="00F71ED4" w:rsidRPr="00D27DAA">
        <w:rPr>
          <w:rFonts w:ascii="Times New Roman" w:hAnsi="Times New Roman" w:cs="Times New Roman"/>
          <w:sz w:val="22"/>
          <w:szCs w:val="22"/>
        </w:rPr>
        <w:instrText xml:space="preserve"> SEQ Table \* ARABIC </w:instrText>
      </w:r>
      <w:r w:rsidR="00F71ED4" w:rsidRPr="00D27DAA">
        <w:rPr>
          <w:rFonts w:ascii="Times New Roman" w:hAnsi="Times New Roman" w:cs="Times New Roman"/>
          <w:sz w:val="22"/>
          <w:szCs w:val="22"/>
        </w:rPr>
        <w:fldChar w:fldCharType="separate"/>
      </w:r>
      <w:r w:rsidR="00F71ED4" w:rsidRPr="00D27DAA">
        <w:rPr>
          <w:rFonts w:ascii="Times New Roman" w:hAnsi="Times New Roman" w:cs="Times New Roman"/>
          <w:noProof/>
          <w:sz w:val="22"/>
          <w:szCs w:val="22"/>
        </w:rPr>
        <w:t>6</w:t>
      </w:r>
      <w:r w:rsidR="00F71ED4" w:rsidRPr="00D27DAA">
        <w:rPr>
          <w:rFonts w:ascii="Times New Roman" w:hAnsi="Times New Roman" w:cs="Times New Roman"/>
          <w:sz w:val="22"/>
          <w:szCs w:val="22"/>
        </w:rPr>
        <w:fldChar w:fldCharType="end"/>
      </w:r>
      <w:r w:rsidRPr="00D27DAA">
        <w:rPr>
          <w:rFonts w:ascii="Times New Roman" w:hAnsi="Times New Roman" w:cs="Times New Roman"/>
          <w:sz w:val="22"/>
          <w:szCs w:val="22"/>
        </w:rPr>
        <w:t>- Axial dimensions of the new conceptual design</w:t>
      </w:r>
    </w:p>
    <w:tbl>
      <w:tblPr>
        <w:tblW w:w="4520" w:type="dxa"/>
        <w:jc w:val="center"/>
        <w:tblLook w:val="04A0" w:firstRow="1" w:lastRow="0" w:firstColumn="1" w:lastColumn="0" w:noHBand="0" w:noVBand="1"/>
      </w:tblPr>
      <w:tblGrid>
        <w:gridCol w:w="2920"/>
        <w:gridCol w:w="1600"/>
      </w:tblGrid>
      <w:tr w:rsidR="001500DD" w:rsidRPr="00D27DAA" w14:paraId="47B62AB4" w14:textId="77777777" w:rsidTr="00D74C1D">
        <w:trPr>
          <w:trHeight w:val="315"/>
          <w:jc w:val="center"/>
        </w:trPr>
        <w:tc>
          <w:tcPr>
            <w:tcW w:w="2920" w:type="dxa"/>
            <w:tcBorders>
              <w:top w:val="nil"/>
              <w:left w:val="nil"/>
              <w:bottom w:val="double" w:sz="6" w:space="0" w:color="auto"/>
              <w:right w:val="nil"/>
            </w:tcBorders>
            <w:shd w:val="clear" w:color="auto" w:fill="auto"/>
            <w:vAlign w:val="center"/>
            <w:hideMark/>
          </w:tcPr>
          <w:p w14:paraId="78637F78"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Axial attribute</w:t>
            </w:r>
          </w:p>
        </w:tc>
        <w:tc>
          <w:tcPr>
            <w:tcW w:w="1600" w:type="dxa"/>
            <w:tcBorders>
              <w:top w:val="nil"/>
              <w:left w:val="nil"/>
              <w:bottom w:val="double" w:sz="6" w:space="0" w:color="auto"/>
              <w:right w:val="nil"/>
            </w:tcBorders>
            <w:shd w:val="clear" w:color="auto" w:fill="auto"/>
            <w:vAlign w:val="center"/>
            <w:hideMark/>
          </w:tcPr>
          <w:p w14:paraId="1C1E0BC4"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Size (cm)</w:t>
            </w:r>
          </w:p>
        </w:tc>
      </w:tr>
      <w:tr w:rsidR="001500DD" w:rsidRPr="00D27DAA" w14:paraId="028627BA" w14:textId="77777777" w:rsidTr="00D74C1D">
        <w:trPr>
          <w:trHeight w:val="315"/>
          <w:jc w:val="center"/>
        </w:trPr>
        <w:tc>
          <w:tcPr>
            <w:tcW w:w="2920" w:type="dxa"/>
            <w:tcBorders>
              <w:top w:val="nil"/>
              <w:left w:val="nil"/>
              <w:bottom w:val="nil"/>
              <w:right w:val="nil"/>
            </w:tcBorders>
            <w:shd w:val="clear" w:color="auto" w:fill="auto"/>
            <w:vAlign w:val="center"/>
            <w:hideMark/>
          </w:tcPr>
          <w:p w14:paraId="329126B0"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Total core height</w:t>
            </w:r>
          </w:p>
        </w:tc>
        <w:tc>
          <w:tcPr>
            <w:tcW w:w="1600" w:type="dxa"/>
            <w:tcBorders>
              <w:top w:val="nil"/>
              <w:left w:val="nil"/>
              <w:bottom w:val="nil"/>
              <w:right w:val="nil"/>
            </w:tcBorders>
            <w:shd w:val="clear" w:color="auto" w:fill="auto"/>
            <w:vAlign w:val="center"/>
            <w:hideMark/>
          </w:tcPr>
          <w:p w14:paraId="05860BFA"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678</w:t>
            </w:r>
          </w:p>
        </w:tc>
      </w:tr>
      <w:tr w:rsidR="001500DD" w:rsidRPr="00D27DAA" w14:paraId="0770ECE8" w14:textId="77777777" w:rsidTr="00D74C1D">
        <w:trPr>
          <w:trHeight w:val="300"/>
          <w:jc w:val="center"/>
        </w:trPr>
        <w:tc>
          <w:tcPr>
            <w:tcW w:w="2920" w:type="dxa"/>
            <w:tcBorders>
              <w:top w:val="nil"/>
              <w:left w:val="nil"/>
              <w:bottom w:val="nil"/>
              <w:right w:val="nil"/>
            </w:tcBorders>
            <w:shd w:val="clear" w:color="auto" w:fill="auto"/>
            <w:vAlign w:val="center"/>
            <w:hideMark/>
          </w:tcPr>
          <w:p w14:paraId="6FAEBCFF"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RPV height</w:t>
            </w:r>
          </w:p>
        </w:tc>
        <w:tc>
          <w:tcPr>
            <w:tcW w:w="1600" w:type="dxa"/>
            <w:tcBorders>
              <w:top w:val="nil"/>
              <w:left w:val="nil"/>
              <w:bottom w:val="nil"/>
              <w:right w:val="nil"/>
            </w:tcBorders>
            <w:shd w:val="clear" w:color="auto" w:fill="auto"/>
            <w:vAlign w:val="center"/>
            <w:hideMark/>
          </w:tcPr>
          <w:p w14:paraId="1D9565D9"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667</w:t>
            </w:r>
          </w:p>
        </w:tc>
      </w:tr>
      <w:tr w:rsidR="001500DD" w:rsidRPr="00D27DAA" w14:paraId="50138BE0" w14:textId="77777777" w:rsidTr="00D74C1D">
        <w:trPr>
          <w:trHeight w:val="300"/>
          <w:jc w:val="center"/>
        </w:trPr>
        <w:tc>
          <w:tcPr>
            <w:tcW w:w="2920" w:type="dxa"/>
            <w:tcBorders>
              <w:top w:val="nil"/>
              <w:left w:val="nil"/>
              <w:bottom w:val="nil"/>
              <w:right w:val="nil"/>
            </w:tcBorders>
            <w:shd w:val="clear" w:color="auto" w:fill="auto"/>
            <w:vAlign w:val="center"/>
            <w:hideMark/>
          </w:tcPr>
          <w:p w14:paraId="123D472B"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Air gap height</w:t>
            </w:r>
          </w:p>
        </w:tc>
        <w:tc>
          <w:tcPr>
            <w:tcW w:w="1600" w:type="dxa"/>
            <w:tcBorders>
              <w:top w:val="nil"/>
              <w:left w:val="nil"/>
              <w:bottom w:val="nil"/>
              <w:right w:val="nil"/>
            </w:tcBorders>
            <w:shd w:val="clear" w:color="auto" w:fill="auto"/>
            <w:vAlign w:val="center"/>
            <w:hideMark/>
          </w:tcPr>
          <w:p w14:paraId="53DFE9A7"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420</w:t>
            </w:r>
          </w:p>
        </w:tc>
      </w:tr>
      <w:tr w:rsidR="001500DD" w:rsidRPr="00D27DAA" w14:paraId="6159085F" w14:textId="77777777" w:rsidTr="00D74C1D">
        <w:trPr>
          <w:trHeight w:val="300"/>
          <w:jc w:val="center"/>
        </w:trPr>
        <w:tc>
          <w:tcPr>
            <w:tcW w:w="2920" w:type="dxa"/>
            <w:tcBorders>
              <w:top w:val="nil"/>
              <w:left w:val="nil"/>
              <w:bottom w:val="nil"/>
              <w:right w:val="nil"/>
            </w:tcBorders>
            <w:shd w:val="clear" w:color="auto" w:fill="auto"/>
            <w:vAlign w:val="center"/>
            <w:hideMark/>
          </w:tcPr>
          <w:p w14:paraId="18E9F2E9"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Barrel height</w:t>
            </w:r>
          </w:p>
        </w:tc>
        <w:tc>
          <w:tcPr>
            <w:tcW w:w="1600" w:type="dxa"/>
            <w:tcBorders>
              <w:top w:val="nil"/>
              <w:left w:val="nil"/>
              <w:bottom w:val="nil"/>
              <w:right w:val="nil"/>
            </w:tcBorders>
            <w:shd w:val="clear" w:color="auto" w:fill="auto"/>
            <w:vAlign w:val="center"/>
            <w:hideMark/>
          </w:tcPr>
          <w:p w14:paraId="621882A6"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420</w:t>
            </w:r>
          </w:p>
        </w:tc>
      </w:tr>
      <w:tr w:rsidR="001500DD" w:rsidRPr="00D27DAA" w14:paraId="2CA27F12" w14:textId="77777777" w:rsidTr="00D74C1D">
        <w:trPr>
          <w:trHeight w:val="300"/>
          <w:jc w:val="center"/>
        </w:trPr>
        <w:tc>
          <w:tcPr>
            <w:tcW w:w="2920" w:type="dxa"/>
            <w:tcBorders>
              <w:top w:val="nil"/>
              <w:left w:val="nil"/>
              <w:bottom w:val="nil"/>
              <w:right w:val="nil"/>
            </w:tcBorders>
            <w:shd w:val="clear" w:color="auto" w:fill="auto"/>
            <w:vAlign w:val="center"/>
            <w:hideMark/>
          </w:tcPr>
          <w:p w14:paraId="2FA31E32"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Thermal insulation</w:t>
            </w:r>
          </w:p>
        </w:tc>
        <w:tc>
          <w:tcPr>
            <w:tcW w:w="1600" w:type="dxa"/>
            <w:tcBorders>
              <w:top w:val="nil"/>
              <w:left w:val="nil"/>
              <w:bottom w:val="nil"/>
              <w:right w:val="nil"/>
            </w:tcBorders>
            <w:shd w:val="clear" w:color="auto" w:fill="auto"/>
            <w:vAlign w:val="center"/>
            <w:hideMark/>
          </w:tcPr>
          <w:p w14:paraId="1FCA3D68"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420</w:t>
            </w:r>
          </w:p>
        </w:tc>
      </w:tr>
      <w:tr w:rsidR="001500DD" w:rsidRPr="00D27DAA" w14:paraId="16FC9991" w14:textId="77777777" w:rsidTr="00D74C1D">
        <w:trPr>
          <w:trHeight w:val="300"/>
          <w:jc w:val="center"/>
        </w:trPr>
        <w:tc>
          <w:tcPr>
            <w:tcW w:w="2920" w:type="dxa"/>
            <w:tcBorders>
              <w:top w:val="nil"/>
              <w:left w:val="nil"/>
              <w:bottom w:val="nil"/>
              <w:right w:val="nil"/>
            </w:tcBorders>
            <w:shd w:val="clear" w:color="auto" w:fill="auto"/>
            <w:vAlign w:val="center"/>
            <w:hideMark/>
          </w:tcPr>
          <w:p w14:paraId="70F1A988"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Helium top area</w:t>
            </w:r>
          </w:p>
        </w:tc>
        <w:tc>
          <w:tcPr>
            <w:tcW w:w="1600" w:type="dxa"/>
            <w:tcBorders>
              <w:top w:val="nil"/>
              <w:left w:val="nil"/>
              <w:bottom w:val="nil"/>
              <w:right w:val="nil"/>
            </w:tcBorders>
            <w:shd w:val="clear" w:color="auto" w:fill="auto"/>
            <w:vAlign w:val="center"/>
            <w:hideMark/>
          </w:tcPr>
          <w:p w14:paraId="0201B800"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183</w:t>
            </w:r>
          </w:p>
        </w:tc>
      </w:tr>
      <w:tr w:rsidR="001500DD" w:rsidRPr="00D27DAA" w14:paraId="331EA367" w14:textId="77777777" w:rsidTr="00D74C1D">
        <w:trPr>
          <w:trHeight w:val="300"/>
          <w:jc w:val="center"/>
        </w:trPr>
        <w:tc>
          <w:tcPr>
            <w:tcW w:w="2920" w:type="dxa"/>
            <w:tcBorders>
              <w:top w:val="nil"/>
              <w:left w:val="nil"/>
              <w:bottom w:val="nil"/>
              <w:right w:val="nil"/>
            </w:tcBorders>
            <w:shd w:val="clear" w:color="auto" w:fill="auto"/>
            <w:vAlign w:val="center"/>
            <w:hideMark/>
          </w:tcPr>
          <w:p w14:paraId="739C00AE"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Helium bottom area</w:t>
            </w:r>
          </w:p>
        </w:tc>
        <w:tc>
          <w:tcPr>
            <w:tcW w:w="1600" w:type="dxa"/>
            <w:tcBorders>
              <w:top w:val="nil"/>
              <w:left w:val="nil"/>
              <w:bottom w:val="nil"/>
              <w:right w:val="nil"/>
            </w:tcBorders>
            <w:shd w:val="clear" w:color="auto" w:fill="auto"/>
            <w:vAlign w:val="center"/>
            <w:hideMark/>
          </w:tcPr>
          <w:p w14:paraId="42D2FC1C"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67</w:t>
            </w:r>
          </w:p>
        </w:tc>
      </w:tr>
      <w:tr w:rsidR="001500DD" w:rsidRPr="00D27DAA" w14:paraId="20512A7B" w14:textId="77777777" w:rsidTr="00D74C1D">
        <w:trPr>
          <w:trHeight w:val="300"/>
          <w:jc w:val="center"/>
        </w:trPr>
        <w:tc>
          <w:tcPr>
            <w:tcW w:w="2920" w:type="dxa"/>
            <w:tcBorders>
              <w:top w:val="nil"/>
              <w:left w:val="nil"/>
              <w:bottom w:val="nil"/>
              <w:right w:val="nil"/>
            </w:tcBorders>
            <w:shd w:val="clear" w:color="auto" w:fill="auto"/>
            <w:vAlign w:val="center"/>
            <w:hideMark/>
          </w:tcPr>
          <w:p w14:paraId="396F691B"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Graphite top reflector</w:t>
            </w:r>
          </w:p>
        </w:tc>
        <w:tc>
          <w:tcPr>
            <w:tcW w:w="1600" w:type="dxa"/>
            <w:tcBorders>
              <w:top w:val="nil"/>
              <w:left w:val="nil"/>
              <w:bottom w:val="nil"/>
              <w:right w:val="nil"/>
            </w:tcBorders>
            <w:shd w:val="clear" w:color="auto" w:fill="auto"/>
            <w:vAlign w:val="center"/>
            <w:hideMark/>
          </w:tcPr>
          <w:p w14:paraId="021FFD9D"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50</w:t>
            </w:r>
          </w:p>
        </w:tc>
      </w:tr>
      <w:tr w:rsidR="001500DD" w:rsidRPr="00D27DAA" w14:paraId="7AA5E04F" w14:textId="77777777" w:rsidTr="00D74C1D">
        <w:trPr>
          <w:trHeight w:val="300"/>
          <w:jc w:val="center"/>
        </w:trPr>
        <w:tc>
          <w:tcPr>
            <w:tcW w:w="2920" w:type="dxa"/>
            <w:tcBorders>
              <w:top w:val="nil"/>
              <w:left w:val="nil"/>
              <w:bottom w:val="nil"/>
              <w:right w:val="nil"/>
            </w:tcBorders>
            <w:shd w:val="clear" w:color="auto" w:fill="auto"/>
            <w:vAlign w:val="center"/>
            <w:hideMark/>
          </w:tcPr>
          <w:p w14:paraId="64D77E3C"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 xml:space="preserve">Graphite bottom reflector </w:t>
            </w:r>
          </w:p>
        </w:tc>
        <w:tc>
          <w:tcPr>
            <w:tcW w:w="1600" w:type="dxa"/>
            <w:tcBorders>
              <w:top w:val="nil"/>
              <w:left w:val="nil"/>
              <w:bottom w:val="nil"/>
              <w:right w:val="nil"/>
            </w:tcBorders>
            <w:shd w:val="clear" w:color="auto" w:fill="auto"/>
            <w:vAlign w:val="center"/>
            <w:hideMark/>
          </w:tcPr>
          <w:p w14:paraId="3A12B491"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50</w:t>
            </w:r>
          </w:p>
        </w:tc>
      </w:tr>
      <w:tr w:rsidR="001500DD" w:rsidRPr="00D27DAA" w14:paraId="4117E48E" w14:textId="77777777" w:rsidTr="00D74C1D">
        <w:trPr>
          <w:trHeight w:val="330"/>
          <w:jc w:val="center"/>
        </w:trPr>
        <w:tc>
          <w:tcPr>
            <w:tcW w:w="2920" w:type="dxa"/>
            <w:tcBorders>
              <w:top w:val="nil"/>
              <w:left w:val="nil"/>
              <w:bottom w:val="nil"/>
              <w:right w:val="nil"/>
            </w:tcBorders>
            <w:shd w:val="clear" w:color="auto" w:fill="auto"/>
            <w:vAlign w:val="center"/>
            <w:hideMark/>
          </w:tcPr>
          <w:p w14:paraId="489B3B66"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Active core</w:t>
            </w:r>
          </w:p>
        </w:tc>
        <w:tc>
          <w:tcPr>
            <w:tcW w:w="1600" w:type="dxa"/>
            <w:tcBorders>
              <w:top w:val="nil"/>
              <w:left w:val="nil"/>
              <w:bottom w:val="nil"/>
              <w:right w:val="nil"/>
            </w:tcBorders>
            <w:shd w:val="clear" w:color="auto" w:fill="auto"/>
            <w:vAlign w:val="center"/>
            <w:hideMark/>
          </w:tcPr>
          <w:p w14:paraId="064285E9" w14:textId="77777777" w:rsidR="001500DD" w:rsidRPr="00D27DAA" w:rsidRDefault="001500DD" w:rsidP="00D74C1D">
            <w:pPr>
              <w:spacing w:after="0" w:line="240" w:lineRule="auto"/>
              <w:jc w:val="center"/>
              <w:rPr>
                <w:rFonts w:ascii="Times New Roman" w:eastAsia="Times New Roman" w:hAnsi="Times New Roman" w:cs="Times New Roman"/>
                <w:color w:val="000000"/>
                <w:lang w:eastAsia="en-GB"/>
              </w:rPr>
            </w:pPr>
            <w:r w:rsidRPr="00D27DAA">
              <w:rPr>
                <w:rFonts w:ascii="Times New Roman" w:eastAsia="Times New Roman" w:hAnsi="Times New Roman" w:cs="Times New Roman"/>
                <w:color w:val="000000"/>
                <w:lang w:eastAsia="en-GB"/>
              </w:rPr>
              <w:t>320</w:t>
            </w:r>
          </w:p>
        </w:tc>
      </w:tr>
    </w:tbl>
    <w:p w14:paraId="20B19907" w14:textId="77777777" w:rsidR="00307C85" w:rsidRPr="00D27DAA" w:rsidRDefault="00307C85" w:rsidP="00307C85">
      <w:pPr>
        <w:rPr>
          <w:rFonts w:ascii="Times New Roman" w:hAnsi="Times New Roman" w:cs="Times New Roman"/>
          <w:b/>
        </w:rPr>
      </w:pPr>
      <w:r w:rsidRPr="00D27DAA">
        <w:rPr>
          <w:rFonts w:ascii="Times New Roman" w:hAnsi="Times New Roman" w:cs="Times New Roman"/>
          <w:b/>
        </w:rPr>
        <w:t xml:space="preserve">Acknowledgements </w:t>
      </w:r>
    </w:p>
    <w:p w14:paraId="2ACB2CD8" w14:textId="3B16CDB0" w:rsidR="001500DD" w:rsidRPr="00D27DAA" w:rsidRDefault="00307C85" w:rsidP="00307C85">
      <w:pPr>
        <w:rPr>
          <w:rFonts w:ascii="Times New Roman" w:hAnsi="Times New Roman" w:cs="Times New Roman"/>
        </w:rPr>
      </w:pPr>
      <w:r w:rsidRPr="00D27DAA">
        <w:rPr>
          <w:rFonts w:ascii="Times New Roman" w:hAnsi="Times New Roman" w:cs="Times New Roman"/>
        </w:rPr>
        <w:t xml:space="preserve">The authors would like to acknowledge the assistance given by The University of Manchester IT Services, for the use of the Computational Shared Facility and professional support. The developers of the Serpent code for their continued support throughout the. For funding gratitude is owed to the ESPRC under the Nuclear First program - EP/G037140/1. </w:t>
      </w:r>
    </w:p>
    <w:p w14:paraId="668655AB" w14:textId="0D4F3367" w:rsidR="00BD5983" w:rsidRPr="00D27DAA" w:rsidRDefault="00BD5983" w:rsidP="00414B03">
      <w:pPr>
        <w:rPr>
          <w:rFonts w:ascii="Times New Roman" w:hAnsi="Times New Roman" w:cs="Times New Roman"/>
          <w:b/>
        </w:rPr>
      </w:pPr>
    </w:p>
    <w:p w14:paraId="3273B0A3" w14:textId="404E5A84" w:rsidR="0086234F" w:rsidRPr="00D27DAA" w:rsidRDefault="0086234F" w:rsidP="00414B03">
      <w:pPr>
        <w:rPr>
          <w:rFonts w:ascii="Times New Roman" w:hAnsi="Times New Roman" w:cs="Times New Roman"/>
          <w:b/>
        </w:rPr>
      </w:pPr>
    </w:p>
    <w:p w14:paraId="18F34209" w14:textId="47392311" w:rsidR="00F12609" w:rsidRPr="00D27DAA" w:rsidRDefault="00F12609" w:rsidP="00414B03">
      <w:pPr>
        <w:rPr>
          <w:rFonts w:ascii="Times New Roman" w:hAnsi="Times New Roman" w:cs="Times New Roman"/>
          <w:b/>
        </w:rPr>
      </w:pPr>
    </w:p>
    <w:p w14:paraId="76032E2C" w14:textId="730F3682" w:rsidR="00F12609" w:rsidRPr="00D27DAA" w:rsidRDefault="00F12609" w:rsidP="00414B03">
      <w:pPr>
        <w:rPr>
          <w:rFonts w:ascii="Times New Roman" w:hAnsi="Times New Roman" w:cs="Times New Roman"/>
          <w:b/>
        </w:rPr>
      </w:pPr>
    </w:p>
    <w:p w14:paraId="29AB020E" w14:textId="77777777" w:rsidR="00F12609" w:rsidRPr="00D27DAA" w:rsidRDefault="00F12609" w:rsidP="00414B03">
      <w:pPr>
        <w:rPr>
          <w:rFonts w:ascii="Times New Roman" w:hAnsi="Times New Roman" w:cs="Times New Roman"/>
          <w:b/>
        </w:rPr>
      </w:pPr>
    </w:p>
    <w:p w14:paraId="56AF3CD5" w14:textId="1BBDA753" w:rsidR="0086234F" w:rsidRPr="00D27DAA" w:rsidRDefault="0086234F" w:rsidP="00414B03">
      <w:pPr>
        <w:rPr>
          <w:rFonts w:ascii="Times New Roman" w:hAnsi="Times New Roman" w:cs="Times New Roman"/>
          <w:b/>
        </w:rPr>
      </w:pPr>
    </w:p>
    <w:p w14:paraId="55C8DCDD" w14:textId="77777777" w:rsidR="0086234F" w:rsidRPr="00D27DAA" w:rsidRDefault="0086234F" w:rsidP="00414B03">
      <w:pPr>
        <w:rPr>
          <w:rFonts w:ascii="Times New Roman" w:hAnsi="Times New Roman" w:cs="Times New Roman"/>
          <w:b/>
        </w:rPr>
      </w:pPr>
    </w:p>
    <w:p w14:paraId="427F427A" w14:textId="1F4E2BF7" w:rsidR="00D92BA4" w:rsidRPr="00D27DAA" w:rsidRDefault="00DB3516" w:rsidP="00414B03">
      <w:pPr>
        <w:rPr>
          <w:rFonts w:ascii="Times New Roman" w:hAnsi="Times New Roman" w:cs="Times New Roman"/>
          <w:b/>
        </w:rPr>
      </w:pPr>
      <w:r w:rsidRPr="00D27DAA">
        <w:rPr>
          <w:rFonts w:ascii="Times New Roman" w:hAnsi="Times New Roman" w:cs="Times New Roman"/>
          <w:b/>
        </w:rPr>
        <w:lastRenderedPageBreak/>
        <w:t>References</w:t>
      </w:r>
      <w:r w:rsidR="0093337F" w:rsidRPr="00D27DAA">
        <w:rPr>
          <w:rFonts w:ascii="Times New Roman" w:hAnsi="Times New Roman" w:cs="Times New Roman"/>
          <w:b/>
        </w:rPr>
        <w:t xml:space="preserve"> </w:t>
      </w:r>
    </w:p>
    <w:p w14:paraId="4A8F9829" w14:textId="224A92FD" w:rsidR="00B51E83" w:rsidRPr="00D27DAA" w:rsidRDefault="00925CBC" w:rsidP="00B51E83">
      <w:pPr>
        <w:widowControl w:val="0"/>
        <w:autoSpaceDE w:val="0"/>
        <w:autoSpaceDN w:val="0"/>
        <w:adjustRightInd w:val="0"/>
        <w:ind w:left="480" w:hanging="480"/>
        <w:rPr>
          <w:rFonts w:ascii="Times New Roman" w:hAnsi="Times New Roman" w:cs="Times New Roman"/>
          <w:noProof/>
          <w:szCs w:val="24"/>
        </w:rPr>
      </w:pPr>
      <w:r w:rsidRPr="00D27DAA">
        <w:rPr>
          <w:rFonts w:ascii="Times New Roman" w:hAnsi="Times New Roman" w:cs="Times New Roman"/>
          <w:b/>
          <w:color w:val="FF0000"/>
        </w:rPr>
        <w:fldChar w:fldCharType="begin" w:fldLock="1"/>
      </w:r>
      <w:r w:rsidRPr="00D27DAA">
        <w:rPr>
          <w:rFonts w:ascii="Times New Roman" w:hAnsi="Times New Roman" w:cs="Times New Roman"/>
          <w:b/>
          <w:color w:val="FF0000"/>
        </w:rPr>
        <w:instrText xml:space="preserve">ADDIN Mendeley Bibliography CSL_BIBLIOGRAPHY </w:instrText>
      </w:r>
      <w:r w:rsidRPr="00D27DAA">
        <w:rPr>
          <w:rFonts w:ascii="Times New Roman" w:hAnsi="Times New Roman" w:cs="Times New Roman"/>
          <w:b/>
          <w:color w:val="FF0000"/>
        </w:rPr>
        <w:fldChar w:fldCharType="separate"/>
      </w:r>
      <w:r w:rsidR="00B51E83" w:rsidRPr="00D27DAA">
        <w:rPr>
          <w:rFonts w:ascii="Times New Roman" w:hAnsi="Times New Roman" w:cs="Times New Roman"/>
          <w:noProof/>
          <w:szCs w:val="24"/>
        </w:rPr>
        <w:t>A. PETIT, G.C., 2012. PCSR – Sub-chapter 4.3 – Nuclear Design. Paris &amp; Montroughe.</w:t>
      </w:r>
    </w:p>
    <w:p w14:paraId="01CD2C66" w14:textId="69D2963D" w:rsidR="00B51E83" w:rsidRPr="00D27DAA" w:rsidRDefault="00B51E83" w:rsidP="00B51E83">
      <w:pPr>
        <w:widowControl w:val="0"/>
        <w:autoSpaceDE w:val="0"/>
        <w:autoSpaceDN w:val="0"/>
        <w:adjustRightInd w:val="0"/>
        <w:ind w:left="480" w:hanging="480"/>
        <w:rPr>
          <w:rFonts w:ascii="Times New Roman" w:hAnsi="Times New Roman" w:cs="Times New Roman"/>
          <w:noProof/>
          <w:szCs w:val="24"/>
        </w:rPr>
      </w:pPr>
      <w:r w:rsidRPr="00D27DAA">
        <w:rPr>
          <w:rFonts w:ascii="Times New Roman" w:hAnsi="Times New Roman" w:cs="Times New Roman"/>
          <w:noProof/>
          <w:szCs w:val="24"/>
        </w:rPr>
        <w:t>Atkinson, S., Litskevich, D., Merk, B., 2018 2. Variable Reactivity Control in Small Modular High Temperature Reactors Using Moderation Manipulation Techniques. Energies 11, 1897. https://doi.org/10.3390/en11071897</w:t>
      </w:r>
    </w:p>
    <w:p w14:paraId="372CEDD1" w14:textId="77777777" w:rsidR="00B51E83" w:rsidRPr="00D27DAA" w:rsidRDefault="00B51E83" w:rsidP="00B51E83">
      <w:pPr>
        <w:widowControl w:val="0"/>
        <w:autoSpaceDE w:val="0"/>
        <w:autoSpaceDN w:val="0"/>
        <w:adjustRightInd w:val="0"/>
        <w:ind w:left="480" w:hanging="480"/>
        <w:rPr>
          <w:rFonts w:ascii="Times New Roman" w:hAnsi="Times New Roman" w:cs="Times New Roman"/>
          <w:noProof/>
          <w:szCs w:val="24"/>
        </w:rPr>
      </w:pPr>
      <w:r w:rsidRPr="00D27DAA">
        <w:rPr>
          <w:rFonts w:ascii="Times New Roman" w:hAnsi="Times New Roman" w:cs="Times New Roman"/>
          <w:noProof/>
          <w:szCs w:val="24"/>
        </w:rPr>
        <w:t>Atkinson, S., Whittle, K.R., Dean, J.S., Abram, T.J., 2018. Prismatic core high temperature reactor fuel modelling incorporating fuel rotation. Nucl. Eng. Des. 331, 153–161. https://doi.org/10.1016/j.nucengdes.2018.02.040</w:t>
      </w:r>
    </w:p>
    <w:p w14:paraId="51AC3D93" w14:textId="77777777" w:rsidR="00B51E83" w:rsidRPr="00D27DAA" w:rsidRDefault="00B51E83" w:rsidP="00B51E83">
      <w:pPr>
        <w:widowControl w:val="0"/>
        <w:autoSpaceDE w:val="0"/>
        <w:autoSpaceDN w:val="0"/>
        <w:adjustRightInd w:val="0"/>
        <w:ind w:left="480" w:hanging="480"/>
        <w:rPr>
          <w:rFonts w:ascii="Times New Roman" w:hAnsi="Times New Roman" w:cs="Times New Roman"/>
          <w:noProof/>
          <w:szCs w:val="24"/>
        </w:rPr>
      </w:pPr>
      <w:r w:rsidRPr="00D27DAA">
        <w:rPr>
          <w:rFonts w:ascii="Times New Roman" w:hAnsi="Times New Roman" w:cs="Times New Roman"/>
          <w:noProof/>
          <w:szCs w:val="24"/>
        </w:rPr>
        <w:t>Bess, J.D., Dolphin, B.H., 2006. EVALUATION OF THE START-UP CORE PHYSICS TESTS AT JAPAN’S HIGH TEMPERATURE ENGINEERING TEST REACTOR (FULLY-LOADED CORE), OECD-NEA, HTTR-GCR-RESR-001 CRIT-SUB-REAC-COEF-KIN-RRATE.</w:t>
      </w:r>
    </w:p>
    <w:p w14:paraId="57C3084B" w14:textId="77777777" w:rsidR="00B51E83" w:rsidRPr="00D27DAA" w:rsidRDefault="00B51E83" w:rsidP="00B51E83">
      <w:pPr>
        <w:widowControl w:val="0"/>
        <w:autoSpaceDE w:val="0"/>
        <w:autoSpaceDN w:val="0"/>
        <w:adjustRightInd w:val="0"/>
        <w:ind w:left="480" w:hanging="480"/>
        <w:rPr>
          <w:rFonts w:ascii="Times New Roman" w:hAnsi="Times New Roman" w:cs="Times New Roman"/>
          <w:noProof/>
          <w:szCs w:val="24"/>
        </w:rPr>
      </w:pPr>
      <w:r w:rsidRPr="00D27DAA">
        <w:rPr>
          <w:rFonts w:ascii="Times New Roman" w:hAnsi="Times New Roman" w:cs="Times New Roman"/>
          <w:noProof/>
          <w:szCs w:val="24"/>
        </w:rPr>
        <w:t>Bostelmann, F., Hammer, H.R., Ortensi, J., Strydom, G., Velkov, K., Zwermann, W., 2016. Criticality calculations of the Very High Temperature Reactor Critical Assembly benchmark with Serpent and SCALE/KENO-VI. Ann. Nucl. Energy 90, 343–352. https://doi.org/10.1016/j.anucene.2015.12.008</w:t>
      </w:r>
    </w:p>
    <w:p w14:paraId="7022018E" w14:textId="77777777" w:rsidR="00B51E83" w:rsidRPr="00D27DAA" w:rsidRDefault="00B51E83" w:rsidP="00B51E83">
      <w:pPr>
        <w:widowControl w:val="0"/>
        <w:autoSpaceDE w:val="0"/>
        <w:autoSpaceDN w:val="0"/>
        <w:adjustRightInd w:val="0"/>
        <w:ind w:left="480" w:hanging="480"/>
        <w:rPr>
          <w:rFonts w:ascii="Times New Roman" w:hAnsi="Times New Roman" w:cs="Times New Roman"/>
          <w:noProof/>
          <w:szCs w:val="24"/>
        </w:rPr>
      </w:pPr>
      <w:r w:rsidRPr="00D27DAA">
        <w:rPr>
          <w:rFonts w:ascii="Times New Roman" w:hAnsi="Times New Roman" w:cs="Times New Roman"/>
          <w:noProof/>
          <w:szCs w:val="24"/>
        </w:rPr>
        <w:t>Ding, M., Kloosterman, J.L., 2014a. Thorium utilization in a small long-life HTR. Part II: Seed-and-blanket fuel blocks. Nucl. Eng. Des. 267, 245–252. https://doi.org/10.1016/j.nucengdes.2013.08.076</w:t>
      </w:r>
    </w:p>
    <w:p w14:paraId="63A29C65" w14:textId="77777777" w:rsidR="00B51E83" w:rsidRPr="00D27DAA" w:rsidRDefault="00B51E83" w:rsidP="00B51E83">
      <w:pPr>
        <w:widowControl w:val="0"/>
        <w:autoSpaceDE w:val="0"/>
        <w:autoSpaceDN w:val="0"/>
        <w:adjustRightInd w:val="0"/>
        <w:ind w:left="480" w:hanging="480"/>
        <w:rPr>
          <w:rFonts w:ascii="Times New Roman" w:hAnsi="Times New Roman" w:cs="Times New Roman"/>
          <w:noProof/>
          <w:szCs w:val="24"/>
        </w:rPr>
      </w:pPr>
      <w:r w:rsidRPr="00D27DAA">
        <w:rPr>
          <w:rFonts w:ascii="Times New Roman" w:hAnsi="Times New Roman" w:cs="Times New Roman"/>
          <w:noProof/>
          <w:szCs w:val="24"/>
        </w:rPr>
        <w:t>Ding, M., Kloosterman, J.L., 2014b. Thorium utilization in a small long-life HTR. Part II: Seed-and-blanket fuel blocks. Nucl. Eng. Des. 267, 245–252. https://doi.org/10.1016/j.nucengdes.2013.08.076</w:t>
      </w:r>
    </w:p>
    <w:p w14:paraId="7056B99D" w14:textId="77777777" w:rsidR="00B51E83" w:rsidRPr="00D27DAA" w:rsidRDefault="00B51E83" w:rsidP="00B51E83">
      <w:pPr>
        <w:widowControl w:val="0"/>
        <w:autoSpaceDE w:val="0"/>
        <w:autoSpaceDN w:val="0"/>
        <w:adjustRightInd w:val="0"/>
        <w:ind w:left="480" w:hanging="480"/>
        <w:rPr>
          <w:rFonts w:ascii="Times New Roman" w:hAnsi="Times New Roman" w:cs="Times New Roman"/>
          <w:noProof/>
          <w:szCs w:val="24"/>
        </w:rPr>
      </w:pPr>
      <w:r w:rsidRPr="00D27DAA">
        <w:rPr>
          <w:rFonts w:ascii="Times New Roman" w:hAnsi="Times New Roman" w:cs="Times New Roman"/>
          <w:noProof/>
          <w:szCs w:val="24"/>
        </w:rPr>
        <w:t>Ding, M., Kloosterman, J.L., 2013. Thermal-hydraulic design and transient evaluation of a small long-life HTR. Nucl. Eng. Des. 255, 347–358. https://doi.org/10.1016/j.nucengdes.2012.11.009</w:t>
      </w:r>
    </w:p>
    <w:p w14:paraId="4A1B9D97" w14:textId="77777777" w:rsidR="00B51E83" w:rsidRPr="00D27DAA" w:rsidRDefault="00B51E83" w:rsidP="00B51E83">
      <w:pPr>
        <w:widowControl w:val="0"/>
        <w:autoSpaceDE w:val="0"/>
        <w:autoSpaceDN w:val="0"/>
        <w:adjustRightInd w:val="0"/>
        <w:ind w:left="480" w:hanging="480"/>
        <w:rPr>
          <w:rFonts w:ascii="Times New Roman" w:hAnsi="Times New Roman" w:cs="Times New Roman"/>
          <w:noProof/>
          <w:szCs w:val="24"/>
        </w:rPr>
      </w:pPr>
      <w:r w:rsidRPr="00D27DAA">
        <w:rPr>
          <w:rFonts w:ascii="Times New Roman" w:hAnsi="Times New Roman" w:cs="Times New Roman"/>
          <w:noProof/>
          <w:szCs w:val="24"/>
        </w:rPr>
        <w:t>Ding, M., Kloosterman, J.L., 2011. Neutronic feasibility design of a small long-life HTR. Nucl. Eng. Des. 241, 5093–5103. https://doi.org/10.1016/j.nucengdes.2011.08.083</w:t>
      </w:r>
    </w:p>
    <w:p w14:paraId="207996E1" w14:textId="77777777" w:rsidR="00B51E83" w:rsidRPr="00D27DAA" w:rsidRDefault="00B51E83" w:rsidP="00B51E83">
      <w:pPr>
        <w:widowControl w:val="0"/>
        <w:autoSpaceDE w:val="0"/>
        <w:autoSpaceDN w:val="0"/>
        <w:adjustRightInd w:val="0"/>
        <w:ind w:left="480" w:hanging="480"/>
        <w:rPr>
          <w:rFonts w:ascii="Times New Roman" w:hAnsi="Times New Roman" w:cs="Times New Roman"/>
          <w:noProof/>
          <w:szCs w:val="24"/>
        </w:rPr>
      </w:pPr>
      <w:r w:rsidRPr="00D27DAA">
        <w:rPr>
          <w:rFonts w:ascii="Times New Roman" w:hAnsi="Times New Roman" w:cs="Times New Roman"/>
          <w:noProof/>
          <w:szCs w:val="24"/>
        </w:rPr>
        <w:lastRenderedPageBreak/>
        <w:t>Ding, M., Kloosterman, J.L., Kooijman, T., Linssen, R., 2011. Design of a U-Battery ® [WWW Document]. URL http://www.janleenkloosterman.nl/reports/ubattery_final_201111.pdf (accessed 5.11.18).</w:t>
      </w:r>
    </w:p>
    <w:p w14:paraId="739DF43A" w14:textId="77777777" w:rsidR="00B51E83" w:rsidRPr="00D27DAA" w:rsidRDefault="00B51E83" w:rsidP="00B51E83">
      <w:pPr>
        <w:widowControl w:val="0"/>
        <w:autoSpaceDE w:val="0"/>
        <w:autoSpaceDN w:val="0"/>
        <w:adjustRightInd w:val="0"/>
        <w:ind w:left="480" w:hanging="480"/>
        <w:rPr>
          <w:rFonts w:ascii="Times New Roman" w:hAnsi="Times New Roman" w:cs="Times New Roman"/>
          <w:noProof/>
          <w:szCs w:val="24"/>
        </w:rPr>
      </w:pPr>
      <w:r w:rsidRPr="00D27DAA">
        <w:rPr>
          <w:rFonts w:ascii="Times New Roman" w:hAnsi="Times New Roman" w:cs="Times New Roman"/>
          <w:noProof/>
          <w:szCs w:val="24"/>
        </w:rPr>
        <w:t>Environment Agency, 2011. Generic design assessment AP1000 ® nuclear power plant design by Westinghouse Electric Company LLC [WWW Document]. URL https://assets.publishing.service.gov.uk/government/uploads/system/uploads/attachment_data/file/296662/geho1211btoi-e-e.pdf (accessed 10.17.18).</w:t>
      </w:r>
    </w:p>
    <w:p w14:paraId="0DAF41A5" w14:textId="77777777" w:rsidR="00B51E83" w:rsidRPr="00D27DAA" w:rsidRDefault="00B51E83" w:rsidP="00B51E83">
      <w:pPr>
        <w:widowControl w:val="0"/>
        <w:autoSpaceDE w:val="0"/>
        <w:autoSpaceDN w:val="0"/>
        <w:adjustRightInd w:val="0"/>
        <w:ind w:left="480" w:hanging="480"/>
        <w:rPr>
          <w:rFonts w:ascii="Times New Roman" w:hAnsi="Times New Roman" w:cs="Times New Roman"/>
          <w:noProof/>
          <w:szCs w:val="24"/>
        </w:rPr>
      </w:pPr>
      <w:r w:rsidRPr="00D27DAA">
        <w:rPr>
          <w:rFonts w:ascii="Times New Roman" w:hAnsi="Times New Roman" w:cs="Times New Roman"/>
          <w:noProof/>
          <w:szCs w:val="24"/>
        </w:rPr>
        <w:t>H.Uetsuka, T.O., 1989. Vaporization of Silver-Indium-Cadmium control rod material in flowing argon at high temperatures [WWW Document]. JAERI-M-89-150. URL http://www.iaea.org/inis/collection/NCLCollectionStore/_Public/21/030/21030801.pdf?r=1 (accessed 5.12.18).</w:t>
      </w:r>
    </w:p>
    <w:p w14:paraId="17761210" w14:textId="77777777" w:rsidR="00B51E83" w:rsidRPr="00D27DAA" w:rsidRDefault="00B51E83" w:rsidP="00B51E83">
      <w:pPr>
        <w:widowControl w:val="0"/>
        <w:autoSpaceDE w:val="0"/>
        <w:autoSpaceDN w:val="0"/>
        <w:adjustRightInd w:val="0"/>
        <w:ind w:left="480" w:hanging="480"/>
        <w:rPr>
          <w:rFonts w:ascii="Times New Roman" w:hAnsi="Times New Roman" w:cs="Times New Roman"/>
          <w:noProof/>
          <w:szCs w:val="24"/>
        </w:rPr>
      </w:pPr>
      <w:r w:rsidRPr="00D27DAA">
        <w:rPr>
          <w:rFonts w:ascii="Times New Roman" w:hAnsi="Times New Roman" w:cs="Times New Roman"/>
          <w:noProof/>
          <w:szCs w:val="24"/>
        </w:rPr>
        <w:t>Japan atomic energy research centre - JAERI 1332, 1994. Design of the HTTR.</w:t>
      </w:r>
    </w:p>
    <w:p w14:paraId="279FAF5A" w14:textId="77777777" w:rsidR="00B51E83" w:rsidRPr="00D27DAA" w:rsidRDefault="00B51E83" w:rsidP="00B51E83">
      <w:pPr>
        <w:widowControl w:val="0"/>
        <w:autoSpaceDE w:val="0"/>
        <w:autoSpaceDN w:val="0"/>
        <w:adjustRightInd w:val="0"/>
        <w:ind w:left="480" w:hanging="480"/>
        <w:rPr>
          <w:rFonts w:ascii="Times New Roman" w:hAnsi="Times New Roman" w:cs="Times New Roman"/>
          <w:noProof/>
          <w:szCs w:val="24"/>
        </w:rPr>
      </w:pPr>
      <w:r w:rsidRPr="00D27DAA">
        <w:rPr>
          <w:rFonts w:ascii="Times New Roman" w:hAnsi="Times New Roman" w:cs="Times New Roman"/>
          <w:noProof/>
          <w:szCs w:val="24"/>
        </w:rPr>
        <w:t>Leppänen, J., Pusa, M., Viitanen, T., Valtavirta, V., Kaltiaisenaho, T., 2015. The Serpent Monte Carlo code: Status, development and applications in 2013. Ann. Nucl. Energy 82, 142–150. https://doi.org/10.1016/j.anucene.2014.08.024</w:t>
      </w:r>
    </w:p>
    <w:p w14:paraId="3416EABC" w14:textId="77777777" w:rsidR="00B51E83" w:rsidRPr="00D27DAA" w:rsidRDefault="00B51E83" w:rsidP="00B51E83">
      <w:pPr>
        <w:widowControl w:val="0"/>
        <w:autoSpaceDE w:val="0"/>
        <w:autoSpaceDN w:val="0"/>
        <w:adjustRightInd w:val="0"/>
        <w:ind w:left="480" w:hanging="480"/>
        <w:rPr>
          <w:rFonts w:ascii="Times New Roman" w:hAnsi="Times New Roman" w:cs="Times New Roman"/>
          <w:noProof/>
          <w:szCs w:val="24"/>
        </w:rPr>
      </w:pPr>
      <w:r w:rsidRPr="00D27DAA">
        <w:rPr>
          <w:rFonts w:ascii="Times New Roman" w:hAnsi="Times New Roman" w:cs="Times New Roman"/>
          <w:noProof/>
          <w:szCs w:val="24"/>
        </w:rPr>
        <w:t>Nonbel, E., 1996. Description of the Advanced Gas Cooled Type of Reactor [WWW Document]. URL http://www.iaea.org/inis/collection/NCLCollectionStore/_Public/30/052/30052480.pdf (accessed 5.11.18).</w:t>
      </w:r>
    </w:p>
    <w:p w14:paraId="6E37FC5F" w14:textId="77777777" w:rsidR="00B51E83" w:rsidRPr="00D27DAA" w:rsidRDefault="00B51E83" w:rsidP="00B51E83">
      <w:pPr>
        <w:widowControl w:val="0"/>
        <w:autoSpaceDE w:val="0"/>
        <w:autoSpaceDN w:val="0"/>
        <w:adjustRightInd w:val="0"/>
        <w:ind w:left="480" w:hanging="480"/>
        <w:rPr>
          <w:rFonts w:ascii="Times New Roman" w:hAnsi="Times New Roman" w:cs="Times New Roman"/>
          <w:noProof/>
          <w:szCs w:val="24"/>
        </w:rPr>
      </w:pPr>
      <w:r w:rsidRPr="00D27DAA">
        <w:rPr>
          <w:rFonts w:ascii="Times New Roman" w:hAnsi="Times New Roman" w:cs="Times New Roman"/>
          <w:noProof/>
          <w:szCs w:val="24"/>
        </w:rPr>
        <w:t>Ortensi, J., Cogliati, J.J., Pope, M.A., Bess, J.D., Ferrer, R.M., Ougouag, A.M., Bingham, A., 2010. Deterministic Modeling of the High Temperature Test Reactor with DRAGON-HEXPEDITE [WWW Document]. URL https://inldigitallibrary.inl.gov/sites/sti/sti/4633178.pdf (accessed 5.12.18).</w:t>
      </w:r>
    </w:p>
    <w:p w14:paraId="74D9ACB0" w14:textId="77777777" w:rsidR="00B51E83" w:rsidRPr="00D27DAA" w:rsidRDefault="00B51E83" w:rsidP="00B51E83">
      <w:pPr>
        <w:widowControl w:val="0"/>
        <w:autoSpaceDE w:val="0"/>
        <w:autoSpaceDN w:val="0"/>
        <w:adjustRightInd w:val="0"/>
        <w:ind w:left="480" w:hanging="480"/>
        <w:rPr>
          <w:rFonts w:ascii="Times New Roman" w:hAnsi="Times New Roman" w:cs="Times New Roman"/>
          <w:noProof/>
          <w:szCs w:val="24"/>
        </w:rPr>
      </w:pPr>
      <w:r w:rsidRPr="00D27DAA">
        <w:rPr>
          <w:rFonts w:ascii="Times New Roman" w:hAnsi="Times New Roman" w:cs="Times New Roman"/>
          <w:noProof/>
          <w:szCs w:val="24"/>
        </w:rPr>
        <w:t>S.Atkinson , T.J.Abram, D.Litskevich, B.M., n.d. A comparison between Beryllium oxide and nuclear graphite in a small scale high temperature reactor. Submitt. to Prgress Nucl. - Ref. No. PNUCENE-D-18-00199.</w:t>
      </w:r>
    </w:p>
    <w:p w14:paraId="5DC2D698" w14:textId="77777777" w:rsidR="00B51E83" w:rsidRPr="00D27DAA" w:rsidRDefault="00B51E83" w:rsidP="00B51E83">
      <w:pPr>
        <w:widowControl w:val="0"/>
        <w:autoSpaceDE w:val="0"/>
        <w:autoSpaceDN w:val="0"/>
        <w:adjustRightInd w:val="0"/>
        <w:ind w:left="480" w:hanging="480"/>
        <w:rPr>
          <w:rFonts w:ascii="Times New Roman" w:hAnsi="Times New Roman" w:cs="Times New Roman"/>
          <w:noProof/>
          <w:szCs w:val="24"/>
        </w:rPr>
      </w:pPr>
      <w:r w:rsidRPr="00D27DAA">
        <w:rPr>
          <w:rFonts w:ascii="Times New Roman" w:hAnsi="Times New Roman" w:cs="Times New Roman"/>
          <w:noProof/>
          <w:szCs w:val="24"/>
        </w:rPr>
        <w:lastRenderedPageBreak/>
        <w:t>Santamarina, A., Bernard, D., Blaise, P., Coste, M., Courcelle, A., Huynh, T.D., Jouanne, C., Leconte, P., Litaize, O., Mengelle, S., Noguère, G., Ruggiéri, J., Sérot, O., Tommasi, J., Vaglio, C., Vidal, J., 2009. The JEFF-3.1.1 Nuclear Data Library JEFF Report 22 [WWW Document]. Nucl. Energy Agency. URL https://www.oecd-nea.org/dbdata/nds_jefreports/jefreport-22/nea6807-jeff22.pdf (accessed 8.13.18).</w:t>
      </w:r>
    </w:p>
    <w:p w14:paraId="16AF6C66" w14:textId="77777777" w:rsidR="00B51E83" w:rsidRPr="00D27DAA" w:rsidRDefault="00B51E83" w:rsidP="00B51E83">
      <w:pPr>
        <w:widowControl w:val="0"/>
        <w:autoSpaceDE w:val="0"/>
        <w:autoSpaceDN w:val="0"/>
        <w:adjustRightInd w:val="0"/>
        <w:ind w:left="480" w:hanging="480"/>
        <w:rPr>
          <w:rFonts w:ascii="Times New Roman" w:hAnsi="Times New Roman" w:cs="Times New Roman"/>
          <w:noProof/>
          <w:szCs w:val="24"/>
        </w:rPr>
      </w:pPr>
      <w:r w:rsidRPr="00D27DAA">
        <w:rPr>
          <w:rFonts w:ascii="Times New Roman" w:hAnsi="Times New Roman" w:cs="Times New Roman"/>
          <w:noProof/>
          <w:szCs w:val="24"/>
        </w:rPr>
        <w:t>Tyobeka, B., Ivanov, K., Pautz, A., 2008. Evaluation of PBMR control rod worth using full three-dimensional deterministic transport methods. Ann. Nucl. Energy 35, 1050–1055. https://doi.org/10.1016/j.anucene.2007.11.008</w:t>
      </w:r>
    </w:p>
    <w:p w14:paraId="62DE3D19" w14:textId="77777777" w:rsidR="00B51E83" w:rsidRPr="00D27DAA" w:rsidRDefault="00B51E83" w:rsidP="00B51E83">
      <w:pPr>
        <w:widowControl w:val="0"/>
        <w:autoSpaceDE w:val="0"/>
        <w:autoSpaceDN w:val="0"/>
        <w:adjustRightInd w:val="0"/>
        <w:ind w:left="480" w:hanging="480"/>
        <w:rPr>
          <w:rFonts w:ascii="Times New Roman" w:hAnsi="Times New Roman" w:cs="Times New Roman"/>
          <w:noProof/>
          <w:szCs w:val="24"/>
        </w:rPr>
      </w:pPr>
      <w:r w:rsidRPr="00D27DAA">
        <w:rPr>
          <w:rFonts w:ascii="Times New Roman" w:hAnsi="Times New Roman" w:cs="Times New Roman"/>
          <w:noProof/>
          <w:szCs w:val="24"/>
        </w:rPr>
        <w:t>Verrue, J., Ding, M., Kloosterman, J.L., 2014. Thorium utilisation in a small long-life HTR. Part III: Composite-rod fuel blocks. Nucl. Eng. Des. 267, 253–262. https://doi.org/10.1016/j.nucengdes.2013.08.075</w:t>
      </w:r>
    </w:p>
    <w:p w14:paraId="02DAE331" w14:textId="77777777" w:rsidR="00B51E83" w:rsidRPr="00D27DAA" w:rsidRDefault="00B51E83" w:rsidP="00B51E83">
      <w:pPr>
        <w:widowControl w:val="0"/>
        <w:autoSpaceDE w:val="0"/>
        <w:autoSpaceDN w:val="0"/>
        <w:adjustRightInd w:val="0"/>
        <w:ind w:left="480" w:hanging="480"/>
        <w:rPr>
          <w:rFonts w:ascii="Times New Roman" w:hAnsi="Times New Roman" w:cs="Times New Roman"/>
          <w:noProof/>
        </w:rPr>
      </w:pPr>
      <w:r w:rsidRPr="00D27DAA">
        <w:rPr>
          <w:rFonts w:ascii="Times New Roman" w:hAnsi="Times New Roman" w:cs="Times New Roman"/>
          <w:noProof/>
          <w:szCs w:val="24"/>
        </w:rPr>
        <w:t>Westinghouse, 1994. AP1000 Design Control Document (DCD) Tier 2, Chapter 4 [WWW Document]. URL https://www.nrc.gov/reading-rm/doc-collections/nuregs/staff/sr1793/initial/chapter4.pdf (accessed 5.7.18).</w:t>
      </w:r>
    </w:p>
    <w:p w14:paraId="14F95CCE" w14:textId="6540F714" w:rsidR="0086234F" w:rsidRPr="00BD5983" w:rsidRDefault="00925CBC" w:rsidP="00414B03">
      <w:pPr>
        <w:rPr>
          <w:rFonts w:ascii="Times New Roman" w:hAnsi="Times New Roman" w:cs="Times New Roman"/>
          <w:b/>
          <w:color w:val="FF0000"/>
        </w:rPr>
      </w:pPr>
      <w:r w:rsidRPr="00D27DAA">
        <w:rPr>
          <w:rFonts w:ascii="Times New Roman" w:hAnsi="Times New Roman" w:cs="Times New Roman"/>
          <w:b/>
          <w:color w:val="FF0000"/>
        </w:rPr>
        <w:fldChar w:fldCharType="end"/>
      </w:r>
    </w:p>
    <w:sectPr w:rsidR="0086234F" w:rsidRPr="00BD5983" w:rsidSect="00992A0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Droid Sans Fallback">
    <w:panose1 w:val="00000000000000000000"/>
    <w:charset w:val="00"/>
    <w:family w:val="roman"/>
    <w:notTrueType/>
    <w:pitch w:val="default"/>
  </w:font>
  <w:font w:name="DejaVu Sans">
    <w:panose1 w:val="020B0603030804020204"/>
    <w:charset w:val="00"/>
    <w:family w:val="swiss"/>
    <w:pitch w:val="variable"/>
    <w:sig w:usb0="E7002EFF" w:usb1="D200FDFF" w:usb2="0A24602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25760D"/>
    <w:multiLevelType w:val="hybridMultilevel"/>
    <w:tmpl w:val="36DE3ACE"/>
    <w:lvl w:ilvl="0" w:tplc="5EC2D700">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7B2"/>
    <w:rsid w:val="000127E3"/>
    <w:rsid w:val="00012908"/>
    <w:rsid w:val="00016081"/>
    <w:rsid w:val="0001643E"/>
    <w:rsid w:val="0003023F"/>
    <w:rsid w:val="00037CA7"/>
    <w:rsid w:val="00047610"/>
    <w:rsid w:val="000539E4"/>
    <w:rsid w:val="00056476"/>
    <w:rsid w:val="00063588"/>
    <w:rsid w:val="000665EB"/>
    <w:rsid w:val="00072735"/>
    <w:rsid w:val="00084F35"/>
    <w:rsid w:val="00090AAF"/>
    <w:rsid w:val="00090D2C"/>
    <w:rsid w:val="00092BAD"/>
    <w:rsid w:val="0009609E"/>
    <w:rsid w:val="00096C0E"/>
    <w:rsid w:val="000A32F1"/>
    <w:rsid w:val="000C128A"/>
    <w:rsid w:val="000C6054"/>
    <w:rsid w:val="000D022E"/>
    <w:rsid w:val="000E7169"/>
    <w:rsid w:val="000F1A53"/>
    <w:rsid w:val="000F1B46"/>
    <w:rsid w:val="000F67CD"/>
    <w:rsid w:val="00105090"/>
    <w:rsid w:val="0011648F"/>
    <w:rsid w:val="001171DB"/>
    <w:rsid w:val="00123C54"/>
    <w:rsid w:val="00130457"/>
    <w:rsid w:val="001376FF"/>
    <w:rsid w:val="00141B5D"/>
    <w:rsid w:val="00147E47"/>
    <w:rsid w:val="001500DD"/>
    <w:rsid w:val="001558DC"/>
    <w:rsid w:val="00155B0D"/>
    <w:rsid w:val="00163696"/>
    <w:rsid w:val="00167FD8"/>
    <w:rsid w:val="00174C8E"/>
    <w:rsid w:val="00176C79"/>
    <w:rsid w:val="001807CA"/>
    <w:rsid w:val="00180A18"/>
    <w:rsid w:val="0018228A"/>
    <w:rsid w:val="001828AF"/>
    <w:rsid w:val="00190B4B"/>
    <w:rsid w:val="001B2E8D"/>
    <w:rsid w:val="001B4329"/>
    <w:rsid w:val="001C37A2"/>
    <w:rsid w:val="001C5CDA"/>
    <w:rsid w:val="001D011E"/>
    <w:rsid w:val="001D0E4B"/>
    <w:rsid w:val="001D3F25"/>
    <w:rsid w:val="001E1189"/>
    <w:rsid w:val="001E496C"/>
    <w:rsid w:val="001F5C6E"/>
    <w:rsid w:val="00200B2A"/>
    <w:rsid w:val="002022B4"/>
    <w:rsid w:val="002036D6"/>
    <w:rsid w:val="00215A37"/>
    <w:rsid w:val="00220D79"/>
    <w:rsid w:val="00221719"/>
    <w:rsid w:val="002265A7"/>
    <w:rsid w:val="00227854"/>
    <w:rsid w:val="00230E45"/>
    <w:rsid w:val="00237A4F"/>
    <w:rsid w:val="00237A65"/>
    <w:rsid w:val="00240248"/>
    <w:rsid w:val="00244DD5"/>
    <w:rsid w:val="002517D0"/>
    <w:rsid w:val="0025198A"/>
    <w:rsid w:val="00261C6C"/>
    <w:rsid w:val="002666F9"/>
    <w:rsid w:val="00267B71"/>
    <w:rsid w:val="00267CDE"/>
    <w:rsid w:val="0027162C"/>
    <w:rsid w:val="00280237"/>
    <w:rsid w:val="00285462"/>
    <w:rsid w:val="00286D88"/>
    <w:rsid w:val="00290E8A"/>
    <w:rsid w:val="00293DCF"/>
    <w:rsid w:val="00297E22"/>
    <w:rsid w:val="002A5615"/>
    <w:rsid w:val="002A5F49"/>
    <w:rsid w:val="002B1246"/>
    <w:rsid w:val="002B26A6"/>
    <w:rsid w:val="002B2FA9"/>
    <w:rsid w:val="002C085D"/>
    <w:rsid w:val="002C0EDF"/>
    <w:rsid w:val="002C10C1"/>
    <w:rsid w:val="002C51B1"/>
    <w:rsid w:val="002C7D81"/>
    <w:rsid w:val="002E0135"/>
    <w:rsid w:val="002E2397"/>
    <w:rsid w:val="002E33D0"/>
    <w:rsid w:val="00302E63"/>
    <w:rsid w:val="00307C85"/>
    <w:rsid w:val="00313D57"/>
    <w:rsid w:val="0031646B"/>
    <w:rsid w:val="00320069"/>
    <w:rsid w:val="003237A3"/>
    <w:rsid w:val="00327566"/>
    <w:rsid w:val="00327E35"/>
    <w:rsid w:val="003335C6"/>
    <w:rsid w:val="00333C12"/>
    <w:rsid w:val="003345E8"/>
    <w:rsid w:val="00334F89"/>
    <w:rsid w:val="00337E76"/>
    <w:rsid w:val="00360844"/>
    <w:rsid w:val="003629C5"/>
    <w:rsid w:val="00365AB5"/>
    <w:rsid w:val="00371EB2"/>
    <w:rsid w:val="00376A51"/>
    <w:rsid w:val="00383A21"/>
    <w:rsid w:val="00397AFD"/>
    <w:rsid w:val="003A1E0E"/>
    <w:rsid w:val="003A467A"/>
    <w:rsid w:val="003B1077"/>
    <w:rsid w:val="003C3489"/>
    <w:rsid w:val="003C6AB0"/>
    <w:rsid w:val="003C79F3"/>
    <w:rsid w:val="003D19C5"/>
    <w:rsid w:val="003F2C90"/>
    <w:rsid w:val="003F4551"/>
    <w:rsid w:val="003F4F92"/>
    <w:rsid w:val="003F6F94"/>
    <w:rsid w:val="00401798"/>
    <w:rsid w:val="004019B6"/>
    <w:rsid w:val="00406376"/>
    <w:rsid w:val="00407592"/>
    <w:rsid w:val="00414B03"/>
    <w:rsid w:val="00421018"/>
    <w:rsid w:val="00435EBA"/>
    <w:rsid w:val="0044212E"/>
    <w:rsid w:val="0045490F"/>
    <w:rsid w:val="0045537C"/>
    <w:rsid w:val="00457D87"/>
    <w:rsid w:val="004638BE"/>
    <w:rsid w:val="00467BD4"/>
    <w:rsid w:val="00470391"/>
    <w:rsid w:val="00473C21"/>
    <w:rsid w:val="00474FB0"/>
    <w:rsid w:val="004762C2"/>
    <w:rsid w:val="00483CE9"/>
    <w:rsid w:val="00486F36"/>
    <w:rsid w:val="00491A56"/>
    <w:rsid w:val="004926E1"/>
    <w:rsid w:val="004B0A18"/>
    <w:rsid w:val="004B294C"/>
    <w:rsid w:val="004B7227"/>
    <w:rsid w:val="004C0093"/>
    <w:rsid w:val="004C37FC"/>
    <w:rsid w:val="004C3E7D"/>
    <w:rsid w:val="004C5BFE"/>
    <w:rsid w:val="004C6643"/>
    <w:rsid w:val="004D3410"/>
    <w:rsid w:val="004D5C32"/>
    <w:rsid w:val="004D7184"/>
    <w:rsid w:val="004E2920"/>
    <w:rsid w:val="004E4368"/>
    <w:rsid w:val="004E622C"/>
    <w:rsid w:val="004E75A5"/>
    <w:rsid w:val="004F6169"/>
    <w:rsid w:val="004F68EC"/>
    <w:rsid w:val="00500E49"/>
    <w:rsid w:val="00501F9A"/>
    <w:rsid w:val="00502044"/>
    <w:rsid w:val="0050277C"/>
    <w:rsid w:val="00504EE6"/>
    <w:rsid w:val="0050612B"/>
    <w:rsid w:val="00510672"/>
    <w:rsid w:val="00516DA6"/>
    <w:rsid w:val="00517B02"/>
    <w:rsid w:val="00520B04"/>
    <w:rsid w:val="00526A39"/>
    <w:rsid w:val="00530459"/>
    <w:rsid w:val="00530D19"/>
    <w:rsid w:val="00532D87"/>
    <w:rsid w:val="00541AAE"/>
    <w:rsid w:val="00542C63"/>
    <w:rsid w:val="00547113"/>
    <w:rsid w:val="00547EC5"/>
    <w:rsid w:val="00551561"/>
    <w:rsid w:val="0055607D"/>
    <w:rsid w:val="005624AB"/>
    <w:rsid w:val="00564E9C"/>
    <w:rsid w:val="00565B76"/>
    <w:rsid w:val="00566F3A"/>
    <w:rsid w:val="00580378"/>
    <w:rsid w:val="00584D55"/>
    <w:rsid w:val="00594860"/>
    <w:rsid w:val="00594CA2"/>
    <w:rsid w:val="005B1D29"/>
    <w:rsid w:val="005B4ADE"/>
    <w:rsid w:val="005B4DF0"/>
    <w:rsid w:val="005C04CB"/>
    <w:rsid w:val="005D3E17"/>
    <w:rsid w:val="005D5F96"/>
    <w:rsid w:val="005D74C7"/>
    <w:rsid w:val="005E12C7"/>
    <w:rsid w:val="005E1793"/>
    <w:rsid w:val="005F04D4"/>
    <w:rsid w:val="005F4EF1"/>
    <w:rsid w:val="005F5390"/>
    <w:rsid w:val="00602C8F"/>
    <w:rsid w:val="0061206C"/>
    <w:rsid w:val="0062092A"/>
    <w:rsid w:val="0062783C"/>
    <w:rsid w:val="00631284"/>
    <w:rsid w:val="00633E90"/>
    <w:rsid w:val="00636F36"/>
    <w:rsid w:val="00637106"/>
    <w:rsid w:val="006378D8"/>
    <w:rsid w:val="00643FA7"/>
    <w:rsid w:val="00647431"/>
    <w:rsid w:val="00655F77"/>
    <w:rsid w:val="0065626F"/>
    <w:rsid w:val="00663904"/>
    <w:rsid w:val="00671368"/>
    <w:rsid w:val="0067346F"/>
    <w:rsid w:val="00674EBF"/>
    <w:rsid w:val="0067680E"/>
    <w:rsid w:val="00680473"/>
    <w:rsid w:val="00681B2E"/>
    <w:rsid w:val="00686695"/>
    <w:rsid w:val="00686B7F"/>
    <w:rsid w:val="00686D2E"/>
    <w:rsid w:val="00692FA2"/>
    <w:rsid w:val="00697104"/>
    <w:rsid w:val="006A58B8"/>
    <w:rsid w:val="006A5A65"/>
    <w:rsid w:val="006A5DD6"/>
    <w:rsid w:val="006B5A65"/>
    <w:rsid w:val="006C09D2"/>
    <w:rsid w:val="006D7A9C"/>
    <w:rsid w:val="006F05CE"/>
    <w:rsid w:val="006F4BF3"/>
    <w:rsid w:val="006F652A"/>
    <w:rsid w:val="00711C5E"/>
    <w:rsid w:val="00715A44"/>
    <w:rsid w:val="00717C5B"/>
    <w:rsid w:val="00721154"/>
    <w:rsid w:val="0072360C"/>
    <w:rsid w:val="007317D3"/>
    <w:rsid w:val="0073209D"/>
    <w:rsid w:val="00732249"/>
    <w:rsid w:val="00732D37"/>
    <w:rsid w:val="00734C68"/>
    <w:rsid w:val="00734D44"/>
    <w:rsid w:val="00736121"/>
    <w:rsid w:val="007465A4"/>
    <w:rsid w:val="00750D33"/>
    <w:rsid w:val="00752224"/>
    <w:rsid w:val="007536B6"/>
    <w:rsid w:val="007566D9"/>
    <w:rsid w:val="00777552"/>
    <w:rsid w:val="00784654"/>
    <w:rsid w:val="00785799"/>
    <w:rsid w:val="00790421"/>
    <w:rsid w:val="007A0A62"/>
    <w:rsid w:val="007A1EBA"/>
    <w:rsid w:val="007A5A9D"/>
    <w:rsid w:val="007B0C53"/>
    <w:rsid w:val="007B35BB"/>
    <w:rsid w:val="007B4BCC"/>
    <w:rsid w:val="007B65CC"/>
    <w:rsid w:val="007C034E"/>
    <w:rsid w:val="007D19C9"/>
    <w:rsid w:val="007D2963"/>
    <w:rsid w:val="007D3207"/>
    <w:rsid w:val="007D3ADF"/>
    <w:rsid w:val="007D66A2"/>
    <w:rsid w:val="007D6799"/>
    <w:rsid w:val="007E1B32"/>
    <w:rsid w:val="007E2333"/>
    <w:rsid w:val="007F2FD1"/>
    <w:rsid w:val="00813CC3"/>
    <w:rsid w:val="008160A6"/>
    <w:rsid w:val="008243B4"/>
    <w:rsid w:val="008371F6"/>
    <w:rsid w:val="0084373F"/>
    <w:rsid w:val="00856110"/>
    <w:rsid w:val="0086234F"/>
    <w:rsid w:val="0086463A"/>
    <w:rsid w:val="00893081"/>
    <w:rsid w:val="008B11C3"/>
    <w:rsid w:val="008B520A"/>
    <w:rsid w:val="008C339F"/>
    <w:rsid w:val="008C4D29"/>
    <w:rsid w:val="008D5C0B"/>
    <w:rsid w:val="008E55F1"/>
    <w:rsid w:val="008F4F1C"/>
    <w:rsid w:val="0090084F"/>
    <w:rsid w:val="00902383"/>
    <w:rsid w:val="00905AF1"/>
    <w:rsid w:val="00914EBB"/>
    <w:rsid w:val="00923A5B"/>
    <w:rsid w:val="00924147"/>
    <w:rsid w:val="009259A0"/>
    <w:rsid w:val="00925CBC"/>
    <w:rsid w:val="00927D97"/>
    <w:rsid w:val="0093337F"/>
    <w:rsid w:val="009352B6"/>
    <w:rsid w:val="0095173F"/>
    <w:rsid w:val="00955A52"/>
    <w:rsid w:val="00962E4C"/>
    <w:rsid w:val="0096390E"/>
    <w:rsid w:val="0097313B"/>
    <w:rsid w:val="00981FC4"/>
    <w:rsid w:val="00982438"/>
    <w:rsid w:val="00985418"/>
    <w:rsid w:val="00985459"/>
    <w:rsid w:val="00985EDA"/>
    <w:rsid w:val="00992A0E"/>
    <w:rsid w:val="009B14F1"/>
    <w:rsid w:val="009C2CB8"/>
    <w:rsid w:val="009D5CB0"/>
    <w:rsid w:val="009E0271"/>
    <w:rsid w:val="009E25AE"/>
    <w:rsid w:val="009E3A86"/>
    <w:rsid w:val="009F3C5F"/>
    <w:rsid w:val="009F4017"/>
    <w:rsid w:val="009F4E0D"/>
    <w:rsid w:val="00A012BC"/>
    <w:rsid w:val="00A02993"/>
    <w:rsid w:val="00A031B5"/>
    <w:rsid w:val="00A03F2A"/>
    <w:rsid w:val="00A05F7E"/>
    <w:rsid w:val="00A07131"/>
    <w:rsid w:val="00A20D97"/>
    <w:rsid w:val="00A21C4F"/>
    <w:rsid w:val="00A22E52"/>
    <w:rsid w:val="00A24069"/>
    <w:rsid w:val="00A2662A"/>
    <w:rsid w:val="00A2762B"/>
    <w:rsid w:val="00A36590"/>
    <w:rsid w:val="00A44C69"/>
    <w:rsid w:val="00A4580E"/>
    <w:rsid w:val="00A62E6B"/>
    <w:rsid w:val="00A81FB3"/>
    <w:rsid w:val="00AC14AC"/>
    <w:rsid w:val="00AC2CD3"/>
    <w:rsid w:val="00AC5325"/>
    <w:rsid w:val="00AD28DA"/>
    <w:rsid w:val="00AE02C0"/>
    <w:rsid w:val="00AE52C5"/>
    <w:rsid w:val="00AE5387"/>
    <w:rsid w:val="00AE552F"/>
    <w:rsid w:val="00AF5697"/>
    <w:rsid w:val="00B010E1"/>
    <w:rsid w:val="00B01129"/>
    <w:rsid w:val="00B01D9C"/>
    <w:rsid w:val="00B072F0"/>
    <w:rsid w:val="00B25169"/>
    <w:rsid w:val="00B30319"/>
    <w:rsid w:val="00B30876"/>
    <w:rsid w:val="00B3215B"/>
    <w:rsid w:val="00B347C8"/>
    <w:rsid w:val="00B51BC5"/>
    <w:rsid w:val="00B51E83"/>
    <w:rsid w:val="00B57695"/>
    <w:rsid w:val="00B62967"/>
    <w:rsid w:val="00B67B45"/>
    <w:rsid w:val="00B7235C"/>
    <w:rsid w:val="00B7600F"/>
    <w:rsid w:val="00B928C6"/>
    <w:rsid w:val="00BA0709"/>
    <w:rsid w:val="00BA66D9"/>
    <w:rsid w:val="00BB0098"/>
    <w:rsid w:val="00BC29F4"/>
    <w:rsid w:val="00BC2CDA"/>
    <w:rsid w:val="00BC5306"/>
    <w:rsid w:val="00BC5669"/>
    <w:rsid w:val="00BD13C9"/>
    <w:rsid w:val="00BD5983"/>
    <w:rsid w:val="00BD5C73"/>
    <w:rsid w:val="00BD5F0D"/>
    <w:rsid w:val="00BE14DB"/>
    <w:rsid w:val="00BE3872"/>
    <w:rsid w:val="00BF5533"/>
    <w:rsid w:val="00C02E31"/>
    <w:rsid w:val="00C04B63"/>
    <w:rsid w:val="00C07128"/>
    <w:rsid w:val="00C13A56"/>
    <w:rsid w:val="00C1415E"/>
    <w:rsid w:val="00C2119B"/>
    <w:rsid w:val="00C22C1F"/>
    <w:rsid w:val="00C2427F"/>
    <w:rsid w:val="00C2455F"/>
    <w:rsid w:val="00C41066"/>
    <w:rsid w:val="00C440EA"/>
    <w:rsid w:val="00C54964"/>
    <w:rsid w:val="00C7433D"/>
    <w:rsid w:val="00C779F8"/>
    <w:rsid w:val="00C81700"/>
    <w:rsid w:val="00C81D19"/>
    <w:rsid w:val="00C96A69"/>
    <w:rsid w:val="00C979D5"/>
    <w:rsid w:val="00CA088D"/>
    <w:rsid w:val="00CA3BE2"/>
    <w:rsid w:val="00CA546C"/>
    <w:rsid w:val="00CB67E4"/>
    <w:rsid w:val="00CB7242"/>
    <w:rsid w:val="00CC15AB"/>
    <w:rsid w:val="00CC30F0"/>
    <w:rsid w:val="00CE1E06"/>
    <w:rsid w:val="00CE612A"/>
    <w:rsid w:val="00CE7ACB"/>
    <w:rsid w:val="00CF0A6D"/>
    <w:rsid w:val="00CF1B51"/>
    <w:rsid w:val="00CF223A"/>
    <w:rsid w:val="00D03502"/>
    <w:rsid w:val="00D050FB"/>
    <w:rsid w:val="00D0736F"/>
    <w:rsid w:val="00D10E65"/>
    <w:rsid w:val="00D132D5"/>
    <w:rsid w:val="00D1788F"/>
    <w:rsid w:val="00D215F0"/>
    <w:rsid w:val="00D223DD"/>
    <w:rsid w:val="00D25FF3"/>
    <w:rsid w:val="00D27DAA"/>
    <w:rsid w:val="00D27E3C"/>
    <w:rsid w:val="00D331E6"/>
    <w:rsid w:val="00D363DA"/>
    <w:rsid w:val="00D54DA9"/>
    <w:rsid w:val="00D55532"/>
    <w:rsid w:val="00D70034"/>
    <w:rsid w:val="00D7188B"/>
    <w:rsid w:val="00D74C1D"/>
    <w:rsid w:val="00D85590"/>
    <w:rsid w:val="00D92BA4"/>
    <w:rsid w:val="00D94CDE"/>
    <w:rsid w:val="00DA3C61"/>
    <w:rsid w:val="00DA45D5"/>
    <w:rsid w:val="00DA63A6"/>
    <w:rsid w:val="00DB3516"/>
    <w:rsid w:val="00DB355C"/>
    <w:rsid w:val="00DB4DEB"/>
    <w:rsid w:val="00DC4423"/>
    <w:rsid w:val="00DC457C"/>
    <w:rsid w:val="00DC74AE"/>
    <w:rsid w:val="00DD49B8"/>
    <w:rsid w:val="00DD5256"/>
    <w:rsid w:val="00DD6288"/>
    <w:rsid w:val="00DE2894"/>
    <w:rsid w:val="00DE313E"/>
    <w:rsid w:val="00DE51B2"/>
    <w:rsid w:val="00DF6AD6"/>
    <w:rsid w:val="00DF7F4F"/>
    <w:rsid w:val="00E04689"/>
    <w:rsid w:val="00E063F2"/>
    <w:rsid w:val="00E103DF"/>
    <w:rsid w:val="00E2654E"/>
    <w:rsid w:val="00E27129"/>
    <w:rsid w:val="00E32729"/>
    <w:rsid w:val="00E340D7"/>
    <w:rsid w:val="00E41E5B"/>
    <w:rsid w:val="00E47DD8"/>
    <w:rsid w:val="00E638F5"/>
    <w:rsid w:val="00E73173"/>
    <w:rsid w:val="00E82C14"/>
    <w:rsid w:val="00E83963"/>
    <w:rsid w:val="00E86A94"/>
    <w:rsid w:val="00E87189"/>
    <w:rsid w:val="00E91C39"/>
    <w:rsid w:val="00E92FA3"/>
    <w:rsid w:val="00E937B2"/>
    <w:rsid w:val="00EA7E30"/>
    <w:rsid w:val="00EB5C4B"/>
    <w:rsid w:val="00EB67CB"/>
    <w:rsid w:val="00EC2243"/>
    <w:rsid w:val="00EC3229"/>
    <w:rsid w:val="00EC35BF"/>
    <w:rsid w:val="00EC48DF"/>
    <w:rsid w:val="00EC7642"/>
    <w:rsid w:val="00ED2379"/>
    <w:rsid w:val="00EE20C9"/>
    <w:rsid w:val="00EF091E"/>
    <w:rsid w:val="00EF78AD"/>
    <w:rsid w:val="00F11153"/>
    <w:rsid w:val="00F12609"/>
    <w:rsid w:val="00F12F78"/>
    <w:rsid w:val="00F177D4"/>
    <w:rsid w:val="00F212F4"/>
    <w:rsid w:val="00F23E80"/>
    <w:rsid w:val="00F2484B"/>
    <w:rsid w:val="00F3744B"/>
    <w:rsid w:val="00F42C70"/>
    <w:rsid w:val="00F52F63"/>
    <w:rsid w:val="00F63D17"/>
    <w:rsid w:val="00F63E67"/>
    <w:rsid w:val="00F64525"/>
    <w:rsid w:val="00F64E50"/>
    <w:rsid w:val="00F678DB"/>
    <w:rsid w:val="00F711A7"/>
    <w:rsid w:val="00F71E6F"/>
    <w:rsid w:val="00F71ED4"/>
    <w:rsid w:val="00F76EF7"/>
    <w:rsid w:val="00F973AA"/>
    <w:rsid w:val="00FA1A50"/>
    <w:rsid w:val="00FA557E"/>
    <w:rsid w:val="00FB52C5"/>
    <w:rsid w:val="00FC58A2"/>
    <w:rsid w:val="00FD67ED"/>
    <w:rsid w:val="00FE580E"/>
    <w:rsid w:val="00FF1400"/>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05177"/>
  <w14:defaultImageDpi w14:val="32767"/>
  <w15:docId w15:val="{D2F5D8CD-83E7-4344-AA25-3DCAB03EB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237A3"/>
    <w:pPr>
      <w:suppressAutoHyphens/>
      <w:spacing w:after="160" w:line="480" w:lineRule="auto"/>
    </w:pPr>
    <w:rPr>
      <w:rFonts w:ascii="Calibri" w:eastAsia="Droid Sans Fallback" w:hAnsi="Calibri" w:cs="DejaVu Sans"/>
      <w:sz w:val="22"/>
      <w:szCs w:val="22"/>
    </w:rPr>
  </w:style>
  <w:style w:type="paragraph" w:styleId="Heading1">
    <w:name w:val="heading 1"/>
    <w:basedOn w:val="Normal"/>
    <w:next w:val="Normal"/>
    <w:link w:val="Heading1Char"/>
    <w:uiPriority w:val="9"/>
    <w:qFormat/>
    <w:rsid w:val="0062783C"/>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237A3"/>
    <w:pPr>
      <w:keepNext/>
      <w:keepLines/>
      <w:spacing w:before="40" w:after="0"/>
      <w:outlineLvl w:val="1"/>
    </w:pPr>
    <w:rPr>
      <w:rFonts w:asciiTheme="minorHAnsi" w:eastAsiaTheme="majorEastAsia" w:hAnsiTheme="minorHAnsi" w:cstheme="majorBidi"/>
      <w:b/>
      <w:color w:val="000000" w:themeColor="text1"/>
      <w:sz w:val="24"/>
      <w:szCs w:val="26"/>
    </w:rPr>
  </w:style>
  <w:style w:type="paragraph" w:styleId="Heading3">
    <w:name w:val="heading 3"/>
    <w:basedOn w:val="Normal"/>
    <w:next w:val="Normal"/>
    <w:link w:val="Heading3Char"/>
    <w:uiPriority w:val="9"/>
    <w:unhideWhenUsed/>
    <w:qFormat/>
    <w:rsid w:val="006278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7317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35EBA"/>
    <w:rPr>
      <w:sz w:val="18"/>
      <w:szCs w:val="18"/>
    </w:rPr>
  </w:style>
  <w:style w:type="paragraph" w:styleId="CommentText">
    <w:name w:val="annotation text"/>
    <w:basedOn w:val="Normal"/>
    <w:link w:val="CommentTextChar"/>
    <w:uiPriority w:val="99"/>
    <w:semiHidden/>
    <w:unhideWhenUsed/>
    <w:rsid w:val="00435EBA"/>
    <w:pPr>
      <w:spacing w:line="240" w:lineRule="auto"/>
    </w:pPr>
    <w:rPr>
      <w:sz w:val="24"/>
      <w:szCs w:val="24"/>
    </w:rPr>
  </w:style>
  <w:style w:type="character" w:customStyle="1" w:styleId="CommentTextChar">
    <w:name w:val="Comment Text Char"/>
    <w:basedOn w:val="DefaultParagraphFont"/>
    <w:link w:val="CommentText"/>
    <w:uiPriority w:val="99"/>
    <w:semiHidden/>
    <w:rsid w:val="00435EBA"/>
    <w:rPr>
      <w:rFonts w:ascii="Calibri" w:eastAsia="Droid Sans Fallback" w:hAnsi="Calibri" w:cs="DejaVu Sans"/>
    </w:rPr>
  </w:style>
  <w:style w:type="paragraph" w:styleId="BalloonText">
    <w:name w:val="Balloon Text"/>
    <w:basedOn w:val="Normal"/>
    <w:link w:val="BalloonTextChar"/>
    <w:uiPriority w:val="99"/>
    <w:semiHidden/>
    <w:unhideWhenUsed/>
    <w:rsid w:val="00435EB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35EBA"/>
    <w:rPr>
      <w:rFonts w:ascii="Times New Roman" w:eastAsia="Droid Sans Fallback" w:hAnsi="Times New Roman" w:cs="Times New Roman"/>
      <w:sz w:val="18"/>
      <w:szCs w:val="18"/>
    </w:rPr>
  </w:style>
  <w:style w:type="character" w:customStyle="1" w:styleId="Heading2Char">
    <w:name w:val="Heading 2 Char"/>
    <w:basedOn w:val="DefaultParagraphFont"/>
    <w:link w:val="Heading2"/>
    <w:uiPriority w:val="9"/>
    <w:rsid w:val="003237A3"/>
    <w:rPr>
      <w:rFonts w:eastAsiaTheme="majorEastAsia" w:cstheme="majorBidi"/>
      <w:b/>
      <w:color w:val="000000" w:themeColor="text1"/>
      <w:szCs w:val="26"/>
    </w:rPr>
  </w:style>
  <w:style w:type="paragraph" w:styleId="CommentSubject">
    <w:name w:val="annotation subject"/>
    <w:basedOn w:val="CommentText"/>
    <w:next w:val="CommentText"/>
    <w:link w:val="CommentSubjectChar"/>
    <w:uiPriority w:val="99"/>
    <w:semiHidden/>
    <w:unhideWhenUsed/>
    <w:rsid w:val="00376A51"/>
    <w:rPr>
      <w:b/>
      <w:bCs/>
      <w:sz w:val="20"/>
      <w:szCs w:val="20"/>
    </w:rPr>
  </w:style>
  <w:style w:type="character" w:customStyle="1" w:styleId="CommentSubjectChar">
    <w:name w:val="Comment Subject Char"/>
    <w:basedOn w:val="CommentTextChar"/>
    <w:link w:val="CommentSubject"/>
    <w:uiPriority w:val="99"/>
    <w:semiHidden/>
    <w:rsid w:val="00376A51"/>
    <w:rPr>
      <w:rFonts w:ascii="Calibri" w:eastAsia="Droid Sans Fallback" w:hAnsi="Calibri" w:cs="DejaVu Sans"/>
      <w:b/>
      <w:bCs/>
      <w:sz w:val="20"/>
      <w:szCs w:val="20"/>
    </w:rPr>
  </w:style>
  <w:style w:type="character" w:styleId="LineNumber">
    <w:name w:val="line number"/>
    <w:basedOn w:val="DefaultParagraphFont"/>
    <w:uiPriority w:val="99"/>
    <w:semiHidden/>
    <w:unhideWhenUsed/>
    <w:rsid w:val="00EB5C4B"/>
  </w:style>
  <w:style w:type="paragraph" w:styleId="NoSpacing">
    <w:name w:val="No Spacing"/>
    <w:uiPriority w:val="1"/>
    <w:qFormat/>
    <w:rsid w:val="009D5CB0"/>
    <w:pPr>
      <w:ind w:firstLine="284"/>
    </w:pPr>
    <w:rPr>
      <w:rFonts w:ascii="Times New Roman" w:hAnsi="Times New Roman"/>
      <w:szCs w:val="22"/>
    </w:rPr>
  </w:style>
  <w:style w:type="character" w:customStyle="1" w:styleId="Heading1Char">
    <w:name w:val="Heading 1 Char"/>
    <w:basedOn w:val="DefaultParagraphFont"/>
    <w:link w:val="Heading1"/>
    <w:uiPriority w:val="9"/>
    <w:rsid w:val="006278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2783C"/>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ED2379"/>
    <w:rPr>
      <w:color w:val="0563C1" w:themeColor="hyperlink"/>
      <w:u w:val="single"/>
    </w:rPr>
  </w:style>
  <w:style w:type="character" w:styleId="FollowedHyperlink">
    <w:name w:val="FollowedHyperlink"/>
    <w:basedOn w:val="DefaultParagraphFont"/>
    <w:uiPriority w:val="99"/>
    <w:semiHidden/>
    <w:unhideWhenUsed/>
    <w:rsid w:val="009B14F1"/>
    <w:rPr>
      <w:color w:val="954F72" w:themeColor="followedHyperlink"/>
      <w:u w:val="single"/>
    </w:rPr>
  </w:style>
  <w:style w:type="paragraph" w:styleId="Caption">
    <w:name w:val="caption"/>
    <w:basedOn w:val="Normal"/>
    <w:next w:val="Normal"/>
    <w:uiPriority w:val="35"/>
    <w:unhideWhenUsed/>
    <w:qFormat/>
    <w:rsid w:val="008243B4"/>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semiHidden/>
    <w:rsid w:val="00E73173"/>
    <w:rPr>
      <w:rFonts w:asciiTheme="majorHAnsi" w:eastAsiaTheme="majorEastAsia" w:hAnsiTheme="majorHAnsi" w:cstheme="majorBidi"/>
      <w:i/>
      <w:iCs/>
      <w:color w:val="2F5496"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86316">
      <w:bodyDiv w:val="1"/>
      <w:marLeft w:val="0"/>
      <w:marRight w:val="0"/>
      <w:marTop w:val="0"/>
      <w:marBottom w:val="0"/>
      <w:divBdr>
        <w:top w:val="none" w:sz="0" w:space="0" w:color="auto"/>
        <w:left w:val="none" w:sz="0" w:space="0" w:color="auto"/>
        <w:bottom w:val="none" w:sz="0" w:space="0" w:color="auto"/>
        <w:right w:val="none" w:sz="0" w:space="0" w:color="auto"/>
      </w:divBdr>
    </w:div>
    <w:div w:id="128669142">
      <w:bodyDiv w:val="1"/>
      <w:marLeft w:val="0"/>
      <w:marRight w:val="0"/>
      <w:marTop w:val="0"/>
      <w:marBottom w:val="0"/>
      <w:divBdr>
        <w:top w:val="none" w:sz="0" w:space="0" w:color="auto"/>
        <w:left w:val="none" w:sz="0" w:space="0" w:color="auto"/>
        <w:bottom w:val="none" w:sz="0" w:space="0" w:color="auto"/>
        <w:right w:val="none" w:sz="0" w:space="0" w:color="auto"/>
      </w:divBdr>
    </w:div>
    <w:div w:id="129592006">
      <w:bodyDiv w:val="1"/>
      <w:marLeft w:val="0"/>
      <w:marRight w:val="0"/>
      <w:marTop w:val="0"/>
      <w:marBottom w:val="0"/>
      <w:divBdr>
        <w:top w:val="none" w:sz="0" w:space="0" w:color="auto"/>
        <w:left w:val="none" w:sz="0" w:space="0" w:color="auto"/>
        <w:bottom w:val="none" w:sz="0" w:space="0" w:color="auto"/>
        <w:right w:val="none" w:sz="0" w:space="0" w:color="auto"/>
      </w:divBdr>
    </w:div>
    <w:div w:id="318653194">
      <w:bodyDiv w:val="1"/>
      <w:marLeft w:val="0"/>
      <w:marRight w:val="0"/>
      <w:marTop w:val="0"/>
      <w:marBottom w:val="0"/>
      <w:divBdr>
        <w:top w:val="none" w:sz="0" w:space="0" w:color="auto"/>
        <w:left w:val="none" w:sz="0" w:space="0" w:color="auto"/>
        <w:bottom w:val="none" w:sz="0" w:space="0" w:color="auto"/>
        <w:right w:val="none" w:sz="0" w:space="0" w:color="auto"/>
      </w:divBdr>
    </w:div>
    <w:div w:id="328870345">
      <w:bodyDiv w:val="1"/>
      <w:marLeft w:val="0"/>
      <w:marRight w:val="0"/>
      <w:marTop w:val="0"/>
      <w:marBottom w:val="0"/>
      <w:divBdr>
        <w:top w:val="none" w:sz="0" w:space="0" w:color="auto"/>
        <w:left w:val="none" w:sz="0" w:space="0" w:color="auto"/>
        <w:bottom w:val="none" w:sz="0" w:space="0" w:color="auto"/>
        <w:right w:val="none" w:sz="0" w:space="0" w:color="auto"/>
      </w:divBdr>
    </w:div>
    <w:div w:id="331033549">
      <w:bodyDiv w:val="1"/>
      <w:marLeft w:val="0"/>
      <w:marRight w:val="0"/>
      <w:marTop w:val="0"/>
      <w:marBottom w:val="0"/>
      <w:divBdr>
        <w:top w:val="none" w:sz="0" w:space="0" w:color="auto"/>
        <w:left w:val="none" w:sz="0" w:space="0" w:color="auto"/>
        <w:bottom w:val="none" w:sz="0" w:space="0" w:color="auto"/>
        <w:right w:val="none" w:sz="0" w:space="0" w:color="auto"/>
      </w:divBdr>
    </w:div>
    <w:div w:id="459613370">
      <w:bodyDiv w:val="1"/>
      <w:marLeft w:val="0"/>
      <w:marRight w:val="0"/>
      <w:marTop w:val="0"/>
      <w:marBottom w:val="0"/>
      <w:divBdr>
        <w:top w:val="none" w:sz="0" w:space="0" w:color="auto"/>
        <w:left w:val="none" w:sz="0" w:space="0" w:color="auto"/>
        <w:bottom w:val="none" w:sz="0" w:space="0" w:color="auto"/>
        <w:right w:val="none" w:sz="0" w:space="0" w:color="auto"/>
      </w:divBdr>
    </w:div>
    <w:div w:id="564069739">
      <w:bodyDiv w:val="1"/>
      <w:marLeft w:val="0"/>
      <w:marRight w:val="0"/>
      <w:marTop w:val="0"/>
      <w:marBottom w:val="0"/>
      <w:divBdr>
        <w:top w:val="none" w:sz="0" w:space="0" w:color="auto"/>
        <w:left w:val="none" w:sz="0" w:space="0" w:color="auto"/>
        <w:bottom w:val="none" w:sz="0" w:space="0" w:color="auto"/>
        <w:right w:val="none" w:sz="0" w:space="0" w:color="auto"/>
      </w:divBdr>
    </w:div>
    <w:div w:id="641232332">
      <w:bodyDiv w:val="1"/>
      <w:marLeft w:val="0"/>
      <w:marRight w:val="0"/>
      <w:marTop w:val="0"/>
      <w:marBottom w:val="0"/>
      <w:divBdr>
        <w:top w:val="none" w:sz="0" w:space="0" w:color="auto"/>
        <w:left w:val="none" w:sz="0" w:space="0" w:color="auto"/>
        <w:bottom w:val="none" w:sz="0" w:space="0" w:color="auto"/>
        <w:right w:val="none" w:sz="0" w:space="0" w:color="auto"/>
      </w:divBdr>
    </w:div>
    <w:div w:id="685987308">
      <w:bodyDiv w:val="1"/>
      <w:marLeft w:val="0"/>
      <w:marRight w:val="0"/>
      <w:marTop w:val="0"/>
      <w:marBottom w:val="0"/>
      <w:divBdr>
        <w:top w:val="none" w:sz="0" w:space="0" w:color="auto"/>
        <w:left w:val="none" w:sz="0" w:space="0" w:color="auto"/>
        <w:bottom w:val="none" w:sz="0" w:space="0" w:color="auto"/>
        <w:right w:val="none" w:sz="0" w:space="0" w:color="auto"/>
      </w:divBdr>
    </w:div>
    <w:div w:id="798961634">
      <w:bodyDiv w:val="1"/>
      <w:marLeft w:val="0"/>
      <w:marRight w:val="0"/>
      <w:marTop w:val="0"/>
      <w:marBottom w:val="0"/>
      <w:divBdr>
        <w:top w:val="none" w:sz="0" w:space="0" w:color="auto"/>
        <w:left w:val="none" w:sz="0" w:space="0" w:color="auto"/>
        <w:bottom w:val="none" w:sz="0" w:space="0" w:color="auto"/>
        <w:right w:val="none" w:sz="0" w:space="0" w:color="auto"/>
      </w:divBdr>
    </w:div>
    <w:div w:id="915824995">
      <w:bodyDiv w:val="1"/>
      <w:marLeft w:val="0"/>
      <w:marRight w:val="0"/>
      <w:marTop w:val="0"/>
      <w:marBottom w:val="0"/>
      <w:divBdr>
        <w:top w:val="none" w:sz="0" w:space="0" w:color="auto"/>
        <w:left w:val="none" w:sz="0" w:space="0" w:color="auto"/>
        <w:bottom w:val="none" w:sz="0" w:space="0" w:color="auto"/>
        <w:right w:val="none" w:sz="0" w:space="0" w:color="auto"/>
      </w:divBdr>
    </w:div>
    <w:div w:id="990911023">
      <w:bodyDiv w:val="1"/>
      <w:marLeft w:val="0"/>
      <w:marRight w:val="0"/>
      <w:marTop w:val="0"/>
      <w:marBottom w:val="0"/>
      <w:divBdr>
        <w:top w:val="none" w:sz="0" w:space="0" w:color="auto"/>
        <w:left w:val="none" w:sz="0" w:space="0" w:color="auto"/>
        <w:bottom w:val="none" w:sz="0" w:space="0" w:color="auto"/>
        <w:right w:val="none" w:sz="0" w:space="0" w:color="auto"/>
      </w:divBdr>
    </w:div>
    <w:div w:id="1128277779">
      <w:bodyDiv w:val="1"/>
      <w:marLeft w:val="0"/>
      <w:marRight w:val="0"/>
      <w:marTop w:val="0"/>
      <w:marBottom w:val="0"/>
      <w:divBdr>
        <w:top w:val="none" w:sz="0" w:space="0" w:color="auto"/>
        <w:left w:val="none" w:sz="0" w:space="0" w:color="auto"/>
        <w:bottom w:val="none" w:sz="0" w:space="0" w:color="auto"/>
        <w:right w:val="none" w:sz="0" w:space="0" w:color="auto"/>
      </w:divBdr>
    </w:div>
    <w:div w:id="1259363129">
      <w:bodyDiv w:val="1"/>
      <w:marLeft w:val="0"/>
      <w:marRight w:val="0"/>
      <w:marTop w:val="0"/>
      <w:marBottom w:val="0"/>
      <w:divBdr>
        <w:top w:val="none" w:sz="0" w:space="0" w:color="auto"/>
        <w:left w:val="none" w:sz="0" w:space="0" w:color="auto"/>
        <w:bottom w:val="none" w:sz="0" w:space="0" w:color="auto"/>
        <w:right w:val="none" w:sz="0" w:space="0" w:color="auto"/>
      </w:divBdr>
    </w:div>
    <w:div w:id="1427339337">
      <w:bodyDiv w:val="1"/>
      <w:marLeft w:val="0"/>
      <w:marRight w:val="0"/>
      <w:marTop w:val="0"/>
      <w:marBottom w:val="0"/>
      <w:divBdr>
        <w:top w:val="none" w:sz="0" w:space="0" w:color="auto"/>
        <w:left w:val="none" w:sz="0" w:space="0" w:color="auto"/>
        <w:bottom w:val="none" w:sz="0" w:space="0" w:color="auto"/>
        <w:right w:val="none" w:sz="0" w:space="0" w:color="auto"/>
      </w:divBdr>
    </w:div>
    <w:div w:id="1466115644">
      <w:bodyDiv w:val="1"/>
      <w:marLeft w:val="0"/>
      <w:marRight w:val="0"/>
      <w:marTop w:val="0"/>
      <w:marBottom w:val="0"/>
      <w:divBdr>
        <w:top w:val="none" w:sz="0" w:space="0" w:color="auto"/>
        <w:left w:val="none" w:sz="0" w:space="0" w:color="auto"/>
        <w:bottom w:val="none" w:sz="0" w:space="0" w:color="auto"/>
        <w:right w:val="none" w:sz="0" w:space="0" w:color="auto"/>
      </w:divBdr>
    </w:div>
    <w:div w:id="1606886518">
      <w:bodyDiv w:val="1"/>
      <w:marLeft w:val="0"/>
      <w:marRight w:val="0"/>
      <w:marTop w:val="0"/>
      <w:marBottom w:val="0"/>
      <w:divBdr>
        <w:top w:val="none" w:sz="0" w:space="0" w:color="auto"/>
        <w:left w:val="none" w:sz="0" w:space="0" w:color="auto"/>
        <w:bottom w:val="none" w:sz="0" w:space="0" w:color="auto"/>
        <w:right w:val="none" w:sz="0" w:space="0" w:color="auto"/>
      </w:divBdr>
    </w:div>
    <w:div w:id="1617712817">
      <w:bodyDiv w:val="1"/>
      <w:marLeft w:val="0"/>
      <w:marRight w:val="0"/>
      <w:marTop w:val="0"/>
      <w:marBottom w:val="0"/>
      <w:divBdr>
        <w:top w:val="none" w:sz="0" w:space="0" w:color="auto"/>
        <w:left w:val="none" w:sz="0" w:space="0" w:color="auto"/>
        <w:bottom w:val="none" w:sz="0" w:space="0" w:color="auto"/>
        <w:right w:val="none" w:sz="0" w:space="0" w:color="auto"/>
      </w:divBdr>
    </w:div>
    <w:div w:id="1677221746">
      <w:bodyDiv w:val="1"/>
      <w:marLeft w:val="0"/>
      <w:marRight w:val="0"/>
      <w:marTop w:val="0"/>
      <w:marBottom w:val="0"/>
      <w:divBdr>
        <w:top w:val="none" w:sz="0" w:space="0" w:color="auto"/>
        <w:left w:val="none" w:sz="0" w:space="0" w:color="auto"/>
        <w:bottom w:val="none" w:sz="0" w:space="0" w:color="auto"/>
        <w:right w:val="none" w:sz="0" w:space="0" w:color="auto"/>
      </w:divBdr>
    </w:div>
    <w:div w:id="1804497330">
      <w:bodyDiv w:val="1"/>
      <w:marLeft w:val="0"/>
      <w:marRight w:val="0"/>
      <w:marTop w:val="0"/>
      <w:marBottom w:val="0"/>
      <w:divBdr>
        <w:top w:val="none" w:sz="0" w:space="0" w:color="auto"/>
        <w:left w:val="none" w:sz="0" w:space="0" w:color="auto"/>
        <w:bottom w:val="none" w:sz="0" w:space="0" w:color="auto"/>
        <w:right w:val="none" w:sz="0" w:space="0" w:color="auto"/>
      </w:divBdr>
    </w:div>
    <w:div w:id="1833569289">
      <w:bodyDiv w:val="1"/>
      <w:marLeft w:val="0"/>
      <w:marRight w:val="0"/>
      <w:marTop w:val="0"/>
      <w:marBottom w:val="0"/>
      <w:divBdr>
        <w:top w:val="none" w:sz="0" w:space="0" w:color="auto"/>
        <w:left w:val="none" w:sz="0" w:space="0" w:color="auto"/>
        <w:bottom w:val="none" w:sz="0" w:space="0" w:color="auto"/>
        <w:right w:val="none" w:sz="0" w:space="0" w:color="auto"/>
      </w:divBdr>
    </w:div>
    <w:div w:id="1865822064">
      <w:bodyDiv w:val="1"/>
      <w:marLeft w:val="0"/>
      <w:marRight w:val="0"/>
      <w:marTop w:val="0"/>
      <w:marBottom w:val="0"/>
      <w:divBdr>
        <w:top w:val="none" w:sz="0" w:space="0" w:color="auto"/>
        <w:left w:val="none" w:sz="0" w:space="0" w:color="auto"/>
        <w:bottom w:val="none" w:sz="0" w:space="0" w:color="auto"/>
        <w:right w:val="none" w:sz="0" w:space="0" w:color="auto"/>
      </w:divBdr>
    </w:div>
    <w:div w:id="1949854437">
      <w:bodyDiv w:val="1"/>
      <w:marLeft w:val="0"/>
      <w:marRight w:val="0"/>
      <w:marTop w:val="0"/>
      <w:marBottom w:val="0"/>
      <w:divBdr>
        <w:top w:val="none" w:sz="0" w:space="0" w:color="auto"/>
        <w:left w:val="none" w:sz="0" w:space="0" w:color="auto"/>
        <w:bottom w:val="none" w:sz="0" w:space="0" w:color="auto"/>
        <w:right w:val="none" w:sz="0" w:space="0" w:color="auto"/>
      </w:divBdr>
    </w:div>
    <w:div w:id="1966497755">
      <w:bodyDiv w:val="1"/>
      <w:marLeft w:val="0"/>
      <w:marRight w:val="0"/>
      <w:marTop w:val="0"/>
      <w:marBottom w:val="0"/>
      <w:divBdr>
        <w:top w:val="none" w:sz="0" w:space="0" w:color="auto"/>
        <w:left w:val="none" w:sz="0" w:space="0" w:color="auto"/>
        <w:bottom w:val="none" w:sz="0" w:space="0" w:color="auto"/>
        <w:right w:val="none" w:sz="0" w:space="0" w:color="auto"/>
      </w:divBdr>
    </w:div>
    <w:div w:id="2048097461">
      <w:bodyDiv w:val="1"/>
      <w:marLeft w:val="0"/>
      <w:marRight w:val="0"/>
      <w:marTop w:val="0"/>
      <w:marBottom w:val="0"/>
      <w:divBdr>
        <w:top w:val="none" w:sz="0" w:space="0" w:color="auto"/>
        <w:left w:val="none" w:sz="0" w:space="0" w:color="auto"/>
        <w:bottom w:val="none" w:sz="0" w:space="0" w:color="auto"/>
        <w:right w:val="none" w:sz="0" w:space="0" w:color="auto"/>
      </w:divBdr>
    </w:div>
    <w:div w:id="20589683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9179C-0E25-425B-AFFC-9C1581474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27</Pages>
  <Words>13356</Words>
  <Characters>76130</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Whittle</dc:creator>
  <cp:keywords/>
  <dc:description/>
  <cp:lastModifiedBy>Seddon Atkinson</cp:lastModifiedBy>
  <cp:revision>7</cp:revision>
  <cp:lastPrinted>2016-12-07T15:22:00Z</cp:lastPrinted>
  <dcterms:created xsi:type="dcterms:W3CDTF">2018-08-14T14:47:00Z</dcterms:created>
  <dcterms:modified xsi:type="dcterms:W3CDTF">2018-11-28T10:06:00Z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2db29065-1006-33c1-b4eb-ecf14b4363e6</vt:lpwstr>
  </property>
  <property fmtid="{D5CDD505-2E9C-101B-9397-08002B2CF9AE}" pid="4" name="Mendeley Citation Style_1">
    <vt:lpwstr>http://www.zotero.org/styles/progress-in-nuclear-energy</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Harvard - Cite Them Right 9th edition</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http://www.zotero.org/styles/progress-in-nuclear-energy</vt:lpwstr>
  </property>
  <property fmtid="{D5CDD505-2E9C-101B-9397-08002B2CF9AE}" pid="24" name="Mendeley Recent Style Name 9_1">
    <vt:lpwstr>Progress in Nuclear Energy</vt:lpwstr>
  </property>
</Properties>
</file>