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3D120" w14:textId="40157F0D" w:rsidR="00BC3EC6" w:rsidRDefault="00C2044A" w:rsidP="004364F6">
      <w:pPr>
        <w:spacing w:line="480" w:lineRule="auto"/>
        <w:jc w:val="both"/>
        <w:outlineLvl w:val="0"/>
        <w:rPr>
          <w:b/>
        </w:rPr>
      </w:pPr>
      <w:bookmarkStart w:id="0" w:name="_GoBack"/>
      <w:bookmarkEnd w:id="0"/>
      <w:r>
        <w:rPr>
          <w:b/>
        </w:rPr>
        <w:t>U</w:t>
      </w:r>
      <w:r w:rsidR="00E12DE2">
        <w:rPr>
          <w:b/>
        </w:rPr>
        <w:t xml:space="preserve">se of co-primary </w:t>
      </w:r>
      <w:r w:rsidR="00077828">
        <w:rPr>
          <w:b/>
        </w:rPr>
        <w:t>outcomes</w:t>
      </w:r>
      <w:r w:rsidR="00E12DE2">
        <w:rPr>
          <w:b/>
        </w:rPr>
        <w:t xml:space="preserve"> for </w:t>
      </w:r>
      <w:r>
        <w:rPr>
          <w:b/>
        </w:rPr>
        <w:t>trials of</w:t>
      </w:r>
      <w:r w:rsidR="00E12DE2">
        <w:rPr>
          <w:b/>
        </w:rPr>
        <w:t xml:space="preserve"> antimicrobial stewardship </w:t>
      </w:r>
      <w:r>
        <w:rPr>
          <w:b/>
        </w:rPr>
        <w:t>interventions</w:t>
      </w:r>
    </w:p>
    <w:p w14:paraId="0DAAA2E0" w14:textId="2CDAF977" w:rsidR="00E12DE2" w:rsidRPr="00AC7725" w:rsidRDefault="00E12DE2" w:rsidP="004364F6">
      <w:pPr>
        <w:spacing w:line="480" w:lineRule="auto"/>
        <w:jc w:val="both"/>
        <w:rPr>
          <w:vertAlign w:val="superscript"/>
        </w:rPr>
      </w:pPr>
      <w:r w:rsidRPr="00AC7725">
        <w:t>David Gillespie</w:t>
      </w:r>
      <w:r w:rsidR="00C93E3F" w:rsidRPr="00AC7725">
        <w:rPr>
          <w:vertAlign w:val="superscript"/>
        </w:rPr>
        <w:t>1</w:t>
      </w:r>
      <w:r w:rsidRPr="00AC7725">
        <w:t xml:space="preserve">, </w:t>
      </w:r>
      <w:r w:rsidR="00316FEA">
        <w:t xml:space="preserve">Nick </w:t>
      </w:r>
      <w:r w:rsidR="00D5750F">
        <w:t>A Francis</w:t>
      </w:r>
      <w:r w:rsidR="00D5750F" w:rsidRPr="00AC7725">
        <w:rPr>
          <w:vertAlign w:val="superscript"/>
        </w:rPr>
        <w:t>2</w:t>
      </w:r>
      <w:r w:rsidR="00D5750F">
        <w:t xml:space="preserve">, </w:t>
      </w:r>
      <w:r w:rsidR="008D7D8E" w:rsidRPr="00AC7725">
        <w:t>Enitan</w:t>
      </w:r>
      <w:r w:rsidR="00D5750F">
        <w:t xml:space="preserve"> D</w:t>
      </w:r>
      <w:r w:rsidR="008D7D8E" w:rsidRPr="00AC7725">
        <w:t xml:space="preserve"> Carrol</w:t>
      </w:r>
      <w:r w:rsidR="008D7D8E" w:rsidRPr="00AC7725">
        <w:rPr>
          <w:vertAlign w:val="superscript"/>
        </w:rPr>
        <w:t>3</w:t>
      </w:r>
      <w:r w:rsidR="008D7D8E" w:rsidRPr="00AC7725">
        <w:t>,</w:t>
      </w:r>
      <w:r w:rsidR="00F56AE6" w:rsidRPr="00AC7725">
        <w:t xml:space="preserve"> Emma Thomas-Jones</w:t>
      </w:r>
      <w:r w:rsidR="00F56AE6" w:rsidRPr="00AC7725">
        <w:rPr>
          <w:vertAlign w:val="superscript"/>
        </w:rPr>
        <w:t>1</w:t>
      </w:r>
      <w:r w:rsidR="00F56AE6" w:rsidRPr="00AC7725">
        <w:t>,</w:t>
      </w:r>
      <w:r w:rsidR="00C93E3F" w:rsidRPr="00AC7725">
        <w:t xml:space="preserve"> </w:t>
      </w:r>
      <w:r w:rsidR="00D5750F" w:rsidRPr="003E24DC">
        <w:t>Christopher</w:t>
      </w:r>
      <w:r w:rsidR="00D5750F">
        <w:t xml:space="preserve"> C</w:t>
      </w:r>
      <w:r w:rsidR="00D5750F" w:rsidRPr="003E24DC">
        <w:t xml:space="preserve"> Butler</w:t>
      </w:r>
      <w:r w:rsidR="00D5750F">
        <w:rPr>
          <w:vertAlign w:val="superscript"/>
        </w:rPr>
        <w:t>4</w:t>
      </w:r>
      <w:r w:rsidR="00D5750F" w:rsidRPr="003E24DC">
        <w:t>,</w:t>
      </w:r>
      <w:r w:rsidR="00D5750F">
        <w:t xml:space="preserve"> </w:t>
      </w:r>
      <w:proofErr w:type="spellStart"/>
      <w:r w:rsidR="007F6E4D" w:rsidRPr="00AC7725">
        <w:t>Kerenza</w:t>
      </w:r>
      <w:proofErr w:type="spellEnd"/>
      <w:r w:rsidR="007F6E4D" w:rsidRPr="00AC7725">
        <w:t xml:space="preserve"> Hood</w:t>
      </w:r>
      <w:r w:rsidR="007F6E4D" w:rsidRPr="00AC7725">
        <w:rPr>
          <w:vertAlign w:val="superscript"/>
        </w:rPr>
        <w:t>1</w:t>
      </w:r>
    </w:p>
    <w:p w14:paraId="663734BA" w14:textId="77777777" w:rsidR="00C93E3F" w:rsidRPr="00AC7725" w:rsidRDefault="00C93E3F" w:rsidP="004364F6">
      <w:pPr>
        <w:spacing w:line="480" w:lineRule="auto"/>
        <w:jc w:val="both"/>
      </w:pPr>
      <w:r w:rsidRPr="00AC7725">
        <w:t xml:space="preserve">1 – Centre for Trials Research, </w:t>
      </w:r>
      <w:r w:rsidR="00357739" w:rsidRPr="00AC7725">
        <w:t>College of Biomedical and Life Sciences, Cardiff University, Cardiff, U.K.</w:t>
      </w:r>
    </w:p>
    <w:p w14:paraId="3A7F2D39" w14:textId="62C55385" w:rsidR="00D5750F" w:rsidRDefault="008D7D8E" w:rsidP="004364F6">
      <w:pPr>
        <w:spacing w:line="480" w:lineRule="auto"/>
        <w:jc w:val="both"/>
      </w:pPr>
      <w:r w:rsidRPr="00AC7725">
        <w:t xml:space="preserve">2 </w:t>
      </w:r>
      <w:r w:rsidR="00357739" w:rsidRPr="00AC7725">
        <w:t xml:space="preserve">– </w:t>
      </w:r>
      <w:r w:rsidR="00D5750F">
        <w:t xml:space="preserve">Division of Population Medicine, School of Medicine, </w:t>
      </w:r>
      <w:r w:rsidR="00D5750F" w:rsidRPr="003E24DC">
        <w:t>College of Biomedical and Life Sciences, Cardiff University, Cardiff, U.K.</w:t>
      </w:r>
    </w:p>
    <w:p w14:paraId="2221BB32" w14:textId="074EDC8E" w:rsidR="008D7D8E" w:rsidRDefault="008D7D8E" w:rsidP="004364F6">
      <w:pPr>
        <w:spacing w:line="480" w:lineRule="auto"/>
        <w:jc w:val="both"/>
      </w:pPr>
      <w:r w:rsidRPr="00AC7725">
        <w:t>3 – University of Liverpool Institute of Infection and Global Health, Liverpool, U.K.</w:t>
      </w:r>
    </w:p>
    <w:p w14:paraId="776FEC14" w14:textId="05E4E31E" w:rsidR="00D5750F" w:rsidRPr="00AC7725" w:rsidRDefault="00D5750F" w:rsidP="004364F6">
      <w:pPr>
        <w:spacing w:line="480" w:lineRule="auto"/>
        <w:jc w:val="both"/>
      </w:pPr>
      <w:r>
        <w:t xml:space="preserve">4 - </w:t>
      </w:r>
      <w:r w:rsidRPr="003E24DC">
        <w:t>Nuffield Department of Primary Care Health Sciences, University of Oxford, Oxford, U.K.</w:t>
      </w:r>
    </w:p>
    <w:p w14:paraId="0876BC4C" w14:textId="31B8546A" w:rsidR="00F51847" w:rsidRDefault="00F51847" w:rsidP="004364F6">
      <w:pPr>
        <w:spacing w:line="480" w:lineRule="auto"/>
        <w:jc w:val="both"/>
      </w:pPr>
      <w:r>
        <w:rPr>
          <w:b/>
        </w:rPr>
        <w:t xml:space="preserve">Type of article: </w:t>
      </w:r>
      <w:r>
        <w:t>Comment</w:t>
      </w:r>
    </w:p>
    <w:p w14:paraId="3A7D1034" w14:textId="29DD2ACA" w:rsidR="00E12DE2" w:rsidRPr="009B240A" w:rsidRDefault="00034EA6" w:rsidP="004364F6">
      <w:pPr>
        <w:spacing w:line="480" w:lineRule="auto"/>
        <w:jc w:val="both"/>
        <w:outlineLvl w:val="0"/>
      </w:pPr>
      <w:r>
        <w:rPr>
          <w:b/>
        </w:rPr>
        <w:t>Word count</w:t>
      </w:r>
      <w:r w:rsidR="004377B8">
        <w:rPr>
          <w:b/>
        </w:rPr>
        <w:t>:</w:t>
      </w:r>
      <w:r w:rsidR="009B240A">
        <w:rPr>
          <w:b/>
        </w:rPr>
        <w:t xml:space="preserve"> </w:t>
      </w:r>
      <w:r w:rsidR="005A0213">
        <w:t>73</w:t>
      </w:r>
      <w:r w:rsidR="00DB6583">
        <w:t>4</w:t>
      </w:r>
      <w:r w:rsidR="009B240A">
        <w:t xml:space="preserve"> words</w:t>
      </w:r>
    </w:p>
    <w:p w14:paraId="3401D019" w14:textId="7833E869" w:rsidR="009F223A" w:rsidRDefault="00E24377" w:rsidP="004364F6">
      <w:pPr>
        <w:spacing w:line="480" w:lineRule="auto"/>
        <w:jc w:val="both"/>
      </w:pPr>
      <w:r>
        <w:t xml:space="preserve">Antimicrobial resistance </w:t>
      </w:r>
      <w:r w:rsidR="006E189F">
        <w:t xml:space="preserve">(AMR) </w:t>
      </w:r>
      <w:r>
        <w:t>i</w:t>
      </w:r>
      <w:r w:rsidR="006E189F">
        <w:t xml:space="preserve">s a </w:t>
      </w:r>
      <w:r w:rsidR="00C2044A">
        <w:t xml:space="preserve">major public health threat </w:t>
      </w:r>
      <w:r w:rsidR="00720680">
        <w:t>that will</w:t>
      </w:r>
      <w:r w:rsidR="00C34B96">
        <w:t xml:space="preserve"> </w:t>
      </w:r>
      <w:r w:rsidR="006E189F">
        <w:t xml:space="preserve">cause </w:t>
      </w:r>
      <w:r w:rsidR="00C34B96">
        <w:t xml:space="preserve">an estimated </w:t>
      </w:r>
      <w:r w:rsidR="007F6E4D">
        <w:t>10</w:t>
      </w:r>
      <w:r w:rsidR="006E189F">
        <w:t xml:space="preserve"> million deaths worldwide by 20</w:t>
      </w:r>
      <w:r w:rsidR="007F6E4D">
        <w:t>50</w:t>
      </w:r>
      <w:r w:rsidR="006E189F">
        <w:t>.</w:t>
      </w:r>
      <w:r w:rsidR="00484EFA">
        <w:t xml:space="preserve"> [</w:t>
      </w:r>
      <w:r w:rsidR="0076415C" w:rsidRPr="0076415C">
        <w:t>1</w:t>
      </w:r>
      <w:r w:rsidR="00484EFA">
        <w:t>]</w:t>
      </w:r>
      <w:r w:rsidR="006E189F">
        <w:t xml:space="preserve"> </w:t>
      </w:r>
      <w:r w:rsidR="00454E30">
        <w:t>Because a</w:t>
      </w:r>
      <w:r w:rsidR="006E189F">
        <w:t xml:space="preserve">ntimicrobial use </w:t>
      </w:r>
      <w:r w:rsidR="00C34B96">
        <w:t xml:space="preserve">drives selection </w:t>
      </w:r>
      <w:r w:rsidR="006E189F">
        <w:t xml:space="preserve">and transmission of AMR, </w:t>
      </w:r>
      <w:r w:rsidR="00484EFA">
        <w:t>[</w:t>
      </w:r>
      <w:r w:rsidR="0076415C" w:rsidRPr="0076415C">
        <w:t>2, 3</w:t>
      </w:r>
      <w:r w:rsidR="00484EFA">
        <w:t xml:space="preserve">] </w:t>
      </w:r>
      <w:r w:rsidR="006E189F">
        <w:t>the</w:t>
      </w:r>
      <w:r w:rsidR="00454E30">
        <w:t xml:space="preserve">re is an urgent </w:t>
      </w:r>
      <w:r w:rsidR="006E189F">
        <w:t xml:space="preserve">need </w:t>
      </w:r>
      <w:r w:rsidR="00454E30">
        <w:t xml:space="preserve">to continue to develop, evaluate, and implement </w:t>
      </w:r>
      <w:r w:rsidR="00C34B96">
        <w:t xml:space="preserve">effective, </w:t>
      </w:r>
      <w:r w:rsidR="006E189F">
        <w:t>evidence-based</w:t>
      </w:r>
      <w:r w:rsidR="00454E30">
        <w:t xml:space="preserve"> </w:t>
      </w:r>
      <w:r w:rsidR="006E189F">
        <w:t xml:space="preserve">antimicrobial stewardship </w:t>
      </w:r>
      <w:r w:rsidR="00F937BA">
        <w:t xml:space="preserve">(AMS) </w:t>
      </w:r>
      <w:r w:rsidR="006E189F">
        <w:t xml:space="preserve">interventions </w:t>
      </w:r>
      <w:r w:rsidR="00454E30">
        <w:t xml:space="preserve">that safely reduce </w:t>
      </w:r>
      <w:r w:rsidR="00F937BA">
        <w:t>antimicrobial use</w:t>
      </w:r>
      <w:r w:rsidR="00454E30" w:rsidRPr="00454E30">
        <w:t xml:space="preserve"> </w:t>
      </w:r>
      <w:r w:rsidR="00454E30">
        <w:t>in both primary and secondary healthcare.</w:t>
      </w:r>
      <w:r w:rsidR="00484EFA">
        <w:t xml:space="preserve"> [</w:t>
      </w:r>
      <w:r w:rsidR="0002665D" w:rsidRPr="0002665D">
        <w:t>4</w:t>
      </w:r>
      <w:r w:rsidR="0002665D">
        <w:t>, 5</w:t>
      </w:r>
      <w:r w:rsidR="00484EFA">
        <w:t>]</w:t>
      </w:r>
    </w:p>
    <w:p w14:paraId="6BA34BC5" w14:textId="59D69E6B" w:rsidR="0002665D" w:rsidRPr="00E24377" w:rsidRDefault="00BF5C44" w:rsidP="004364F6">
      <w:pPr>
        <w:spacing w:line="480" w:lineRule="auto"/>
        <w:jc w:val="both"/>
      </w:pPr>
      <w:r>
        <w:t xml:space="preserve">AMS interventions </w:t>
      </w:r>
      <w:r w:rsidR="00B31435">
        <w:t xml:space="preserve">can </w:t>
      </w:r>
      <w:r w:rsidR="00187A2D">
        <w:t xml:space="preserve">benefit individual patients, but are often </w:t>
      </w:r>
      <w:r>
        <w:t xml:space="preserve">viewed as </w:t>
      </w:r>
      <w:r w:rsidR="00866615">
        <w:t>trading</w:t>
      </w:r>
      <w:r w:rsidR="00B31435">
        <w:t xml:space="preserve"> potential</w:t>
      </w:r>
      <w:r w:rsidR="00866615">
        <w:t xml:space="preserve"> </w:t>
      </w:r>
      <w:r w:rsidR="00C34B96">
        <w:t xml:space="preserve">increased </w:t>
      </w:r>
      <w:r w:rsidR="00866615">
        <w:t xml:space="preserve">short-term individual </w:t>
      </w:r>
      <w:r w:rsidR="00D02A96">
        <w:t>disbenefit</w:t>
      </w:r>
      <w:r w:rsidR="00454E30">
        <w:t xml:space="preserve"> </w:t>
      </w:r>
      <w:r w:rsidR="00866615">
        <w:t xml:space="preserve">for long-term societal gain, [6] and </w:t>
      </w:r>
      <w:r w:rsidR="00B232A8">
        <w:t>so some consider them ‘</w:t>
      </w:r>
      <w:r w:rsidR="00866615">
        <w:t>bedside rationing</w:t>
      </w:r>
      <w:r w:rsidR="00B232A8">
        <w:t>’</w:t>
      </w:r>
      <w:r w:rsidR="00717578">
        <w:t>.</w:t>
      </w:r>
      <w:r w:rsidR="00866615">
        <w:t xml:space="preserve"> [7] </w:t>
      </w:r>
      <w:r w:rsidR="003D2507">
        <w:t>The</w:t>
      </w:r>
      <w:r w:rsidR="00866615">
        <w:t xml:space="preserve"> need to consider the ethical implications of </w:t>
      </w:r>
      <w:r w:rsidR="00717578">
        <w:t xml:space="preserve">AMS programmes, and acceptable trade-offs, will increase as </w:t>
      </w:r>
      <w:r w:rsidR="00B232A8">
        <w:t xml:space="preserve">antimicrobial </w:t>
      </w:r>
      <w:r w:rsidR="00717578">
        <w:t xml:space="preserve">prescribing </w:t>
      </w:r>
      <w:r w:rsidR="00F31DF0">
        <w:t xml:space="preserve">is reduced </w:t>
      </w:r>
      <w:r w:rsidR="00717578">
        <w:t xml:space="preserve">and programmes are investigated </w:t>
      </w:r>
      <w:r w:rsidR="00216BE2">
        <w:t>among patients w</w:t>
      </w:r>
      <w:r w:rsidR="00B232A8">
        <w:t xml:space="preserve">ith an increased chance of </w:t>
      </w:r>
      <w:r w:rsidR="00216BE2">
        <w:t xml:space="preserve">benefit from </w:t>
      </w:r>
      <w:r w:rsidR="00B232A8">
        <w:t>antimicrobials</w:t>
      </w:r>
      <w:r w:rsidR="00216BE2">
        <w:t xml:space="preserve">. </w:t>
      </w:r>
      <w:r w:rsidR="0002665D">
        <w:t xml:space="preserve"> </w:t>
      </w:r>
    </w:p>
    <w:p w14:paraId="2A88A5F9" w14:textId="093F065A" w:rsidR="007E3803" w:rsidRDefault="00F06BC8" w:rsidP="004364F6">
      <w:pPr>
        <w:spacing w:line="480" w:lineRule="auto"/>
        <w:jc w:val="both"/>
      </w:pPr>
      <w:r>
        <w:t xml:space="preserve">While there is a clear need to ensure that reductions in </w:t>
      </w:r>
      <w:r w:rsidR="00B232A8">
        <w:t xml:space="preserve">antimicrobial </w:t>
      </w:r>
      <w:r>
        <w:t xml:space="preserve">use </w:t>
      </w:r>
      <w:r w:rsidR="004F0C76">
        <w:t xml:space="preserve">are </w:t>
      </w:r>
      <w:r>
        <w:t xml:space="preserve">not at the expense of patient </w:t>
      </w:r>
      <w:r w:rsidR="007F6E4D">
        <w:t>outcomes</w:t>
      </w:r>
      <w:r>
        <w:t xml:space="preserve">, </w:t>
      </w:r>
      <w:r w:rsidR="004F0C76">
        <w:t>most</w:t>
      </w:r>
      <w:r w:rsidR="00AC711A">
        <w:t xml:space="preserve"> current research</w:t>
      </w:r>
      <w:r w:rsidR="007F6E4D">
        <w:t xml:space="preserve"> considers</w:t>
      </w:r>
      <w:r w:rsidR="00AC711A">
        <w:t xml:space="preserve"> </w:t>
      </w:r>
      <w:r>
        <w:t xml:space="preserve">these outcomes </w:t>
      </w:r>
      <w:r w:rsidR="00E309A3">
        <w:t>separately</w:t>
      </w:r>
      <w:r w:rsidR="00B232A8">
        <w:t xml:space="preserve">. AMS studies </w:t>
      </w:r>
      <w:r w:rsidR="00C07DE8">
        <w:t xml:space="preserve">are </w:t>
      </w:r>
      <w:r w:rsidR="00B232A8">
        <w:t xml:space="preserve">therefore </w:t>
      </w:r>
      <w:r w:rsidR="00597D49">
        <w:t>generally powered</w:t>
      </w:r>
      <w:r w:rsidR="00C07DE8">
        <w:t xml:space="preserve"> </w:t>
      </w:r>
      <w:r w:rsidR="007F6E4D">
        <w:t xml:space="preserve">on </w:t>
      </w:r>
      <w:r w:rsidR="004F0C76">
        <w:t xml:space="preserve">only </w:t>
      </w:r>
      <w:r w:rsidR="007F6E4D">
        <w:t>one of these aspects (typically antimicrobial use)</w:t>
      </w:r>
      <w:r w:rsidR="00B232A8">
        <w:t xml:space="preserve">, and as </w:t>
      </w:r>
      <w:r w:rsidR="004F0C76">
        <w:t xml:space="preserve"> a result, </w:t>
      </w:r>
      <w:r w:rsidR="00C07DE8">
        <w:lastRenderedPageBreak/>
        <w:t xml:space="preserve">are </w:t>
      </w:r>
      <w:r w:rsidR="004F0C76">
        <w:t xml:space="preserve">frequently </w:t>
      </w:r>
      <w:r w:rsidR="00C07DE8">
        <w:t xml:space="preserve">underpowered </w:t>
      </w:r>
      <w:r w:rsidR="007E3803" w:rsidRPr="007E3803">
        <w:t>to detect clinically meaningful differences</w:t>
      </w:r>
      <w:r w:rsidR="00B232A8">
        <w:t xml:space="preserve"> </w:t>
      </w:r>
      <w:r w:rsidR="004F0C76">
        <w:t>in important clinical</w:t>
      </w:r>
      <w:r w:rsidR="007E3803" w:rsidRPr="007E3803">
        <w:t xml:space="preserve"> secondary outcomes, and </w:t>
      </w:r>
      <w:r w:rsidR="004F0C76">
        <w:t>do not</w:t>
      </w:r>
      <w:r w:rsidR="004F0C76" w:rsidRPr="007E3803">
        <w:t xml:space="preserve"> </w:t>
      </w:r>
      <w:r w:rsidR="00C07DE8">
        <w:t>pre-</w:t>
      </w:r>
      <w:r w:rsidR="007E3803" w:rsidRPr="007E3803">
        <w:t>specify whether between</w:t>
      </w:r>
      <w:r w:rsidR="00C07DE8">
        <w:t>-</w:t>
      </w:r>
      <w:r w:rsidR="007E3803" w:rsidRPr="007E3803">
        <w:t xml:space="preserve">group differences </w:t>
      </w:r>
      <w:r w:rsidR="004F0C76">
        <w:t xml:space="preserve">in clinical outcomes </w:t>
      </w:r>
      <w:r w:rsidR="007E3803" w:rsidRPr="007E3803">
        <w:t>will be investigated under superiority, non-inferiority, or equivalence hypothes</w:t>
      </w:r>
      <w:r w:rsidR="008B4D77">
        <w:t>e</w:t>
      </w:r>
      <w:r w:rsidR="007E3803" w:rsidRPr="007E3803">
        <w:t>s.</w:t>
      </w:r>
    </w:p>
    <w:p w14:paraId="3E062238" w14:textId="1160E327" w:rsidR="007E3803" w:rsidRDefault="008B4D77" w:rsidP="004364F6">
      <w:pPr>
        <w:spacing w:line="480" w:lineRule="auto"/>
        <w:jc w:val="both"/>
      </w:pPr>
      <w:r>
        <w:t>T</w:t>
      </w:r>
      <w:r w:rsidR="00C93E3F">
        <w:t xml:space="preserve">his </w:t>
      </w:r>
      <w:r w:rsidR="00077828">
        <w:t>article</w:t>
      </w:r>
      <w:r w:rsidR="00C93E3F">
        <w:t xml:space="preserve"> </w:t>
      </w:r>
      <w:r w:rsidR="00312A5E">
        <w:t>describe</w:t>
      </w:r>
      <w:r w:rsidR="00187A2D">
        <w:t>s</w:t>
      </w:r>
      <w:r w:rsidR="00312A5E">
        <w:t xml:space="preserve"> </w:t>
      </w:r>
      <w:r w:rsidR="008022F5">
        <w:t xml:space="preserve">the use of </w:t>
      </w:r>
      <w:r w:rsidR="00312A5E">
        <w:t>co-primary outcomes</w:t>
      </w:r>
      <w:r w:rsidR="008014FD">
        <w:t xml:space="preserve"> </w:t>
      </w:r>
      <w:r>
        <w:t xml:space="preserve">as a solution </w:t>
      </w:r>
      <w:r w:rsidR="008014FD">
        <w:t>to this problem</w:t>
      </w:r>
      <w:r w:rsidR="00312A5E">
        <w:t xml:space="preserve">, </w:t>
      </w:r>
      <w:r w:rsidR="007E3803">
        <w:t>present</w:t>
      </w:r>
      <w:r>
        <w:t>s</w:t>
      </w:r>
      <w:r w:rsidR="007E3803">
        <w:t xml:space="preserve"> two examples of </w:t>
      </w:r>
      <w:r>
        <w:t xml:space="preserve">co-primary outcomes in </w:t>
      </w:r>
      <w:r w:rsidR="007E3803">
        <w:t>AMS intervention</w:t>
      </w:r>
      <w:r>
        <w:t xml:space="preserve"> trials, </w:t>
      </w:r>
      <w:r w:rsidR="007E3803">
        <w:t>and argue</w:t>
      </w:r>
      <w:r w:rsidR="00187A2D">
        <w:t>s</w:t>
      </w:r>
      <w:r w:rsidR="00D964CA">
        <w:t xml:space="preserve"> for their </w:t>
      </w:r>
      <w:r>
        <w:t xml:space="preserve">routine </w:t>
      </w:r>
      <w:r w:rsidR="00D964CA">
        <w:t xml:space="preserve">use in AMS intervention </w:t>
      </w:r>
      <w:r w:rsidR="00127994">
        <w:t>evaluations</w:t>
      </w:r>
      <w:r w:rsidR="00D964CA">
        <w:t>.</w:t>
      </w:r>
    </w:p>
    <w:p w14:paraId="62401F38" w14:textId="6436796D" w:rsidR="00F64DFB" w:rsidRDefault="009D5260" w:rsidP="004364F6">
      <w:pPr>
        <w:spacing w:line="480" w:lineRule="auto"/>
        <w:jc w:val="both"/>
      </w:pPr>
      <w:r>
        <w:t xml:space="preserve">Co-primary outcomes involve the use of two or more primary outcomes, </w:t>
      </w:r>
      <w:r w:rsidR="00D02A96">
        <w:t>where</w:t>
      </w:r>
      <w:r w:rsidR="00A46BC2">
        <w:t xml:space="preserve"> rejecting </w:t>
      </w:r>
      <w:r>
        <w:t>both null hypotheses</w:t>
      </w:r>
      <w:r w:rsidR="00A46BC2">
        <w:t xml:space="preserve"> is necessary for the intervention to be declared </w:t>
      </w:r>
      <w:r w:rsidR="00D02A96">
        <w:t>effective</w:t>
      </w:r>
      <w:r>
        <w:t xml:space="preserve">. This </w:t>
      </w:r>
      <w:r w:rsidR="00127994">
        <w:t xml:space="preserve">contrasts with </w:t>
      </w:r>
      <w:r>
        <w:t xml:space="preserve">studies that have multiple primary outcomes </w:t>
      </w:r>
      <w:r w:rsidR="008C7CC7">
        <w:t>where</w:t>
      </w:r>
      <w:r>
        <w:t xml:space="preserve"> </w:t>
      </w:r>
      <w:r w:rsidR="00127994">
        <w:t>r</w:t>
      </w:r>
      <w:r>
        <w:t>eject</w:t>
      </w:r>
      <w:r w:rsidR="00127994">
        <w:t>ing</w:t>
      </w:r>
      <w:r>
        <w:t xml:space="preserve"> the null hypothesis </w:t>
      </w:r>
      <w:r w:rsidR="00127994">
        <w:t xml:space="preserve">for </w:t>
      </w:r>
      <w:r>
        <w:t>at least one (i.e. alternative primary outcomes)</w:t>
      </w:r>
      <w:r w:rsidR="00127994">
        <w:t xml:space="preserve"> determines </w:t>
      </w:r>
      <w:r w:rsidR="00D02A96">
        <w:t>effectiveness</w:t>
      </w:r>
      <w:r>
        <w:t>.</w:t>
      </w:r>
      <w:r w:rsidR="00D964CA">
        <w:t xml:space="preserve"> </w:t>
      </w:r>
      <w:r>
        <w:t>The use of co-primary outcomes in AMS intervention research encourages researchers to pay close attention to both antimicrobial use and patient-relevant measures</w:t>
      </w:r>
      <w:r w:rsidR="00D964CA">
        <w:t xml:space="preserve"> (e.g. recovery from illness, safety outcomes)</w:t>
      </w:r>
      <w:r w:rsidR="008C7CC7">
        <w:t xml:space="preserve">, ensuring the study is adequately </w:t>
      </w:r>
      <w:r w:rsidR="000E27DE">
        <w:t>designed</w:t>
      </w:r>
      <w:r w:rsidR="008C7CC7">
        <w:t xml:space="preserve"> to </w:t>
      </w:r>
      <w:r w:rsidR="006C12B9">
        <w:t xml:space="preserve">simultaneously </w:t>
      </w:r>
      <w:r w:rsidR="008C7CC7">
        <w:t xml:space="preserve">answer </w:t>
      </w:r>
      <w:r w:rsidR="008C7CC7" w:rsidRPr="00D964CA">
        <w:rPr>
          <w:i/>
        </w:rPr>
        <w:t>both</w:t>
      </w:r>
      <w:r w:rsidR="008C7CC7">
        <w:t xml:space="preserve"> questions.</w:t>
      </w:r>
      <w:r w:rsidR="000E27DE">
        <w:t xml:space="preserve"> </w:t>
      </w:r>
      <w:r w:rsidR="00172051">
        <w:t>Thus, a</w:t>
      </w:r>
      <w:r w:rsidR="006C12B9">
        <w:t xml:space="preserve">ny reduction in antibiotic use </w:t>
      </w:r>
      <w:r w:rsidR="00172051">
        <w:rPr>
          <w:i/>
        </w:rPr>
        <w:t>must</w:t>
      </w:r>
      <w:r w:rsidR="006C12B9">
        <w:t xml:space="preserve"> be judged in conjunction with </w:t>
      </w:r>
      <w:r w:rsidR="00172051">
        <w:t xml:space="preserve">any </w:t>
      </w:r>
      <w:r w:rsidR="006C12B9">
        <w:t xml:space="preserve">negative impact on patient recovery. </w:t>
      </w:r>
      <w:r w:rsidR="000E27DE">
        <w:t>Additional sample size considerations for trials with co-primary outcomes include the assumed correlation between outcomes</w:t>
      </w:r>
      <w:r w:rsidR="00312A5E">
        <w:t xml:space="preserve"> </w:t>
      </w:r>
      <w:r w:rsidR="000E27DE">
        <w:t>and the overall power of the study</w:t>
      </w:r>
      <w:r w:rsidR="00312A5E">
        <w:t xml:space="preserve">. When outcomes are completely independent, the overall power (to detect similar effect sizes in both outcomes) is the product of the power for each individual outcome, and only when they are perfectly correlated is the overall power unaffected. </w:t>
      </w:r>
      <w:r w:rsidR="00D964CA">
        <w:t>[8]</w:t>
      </w:r>
    </w:p>
    <w:p w14:paraId="6D1CA401" w14:textId="7D836A78" w:rsidR="00F64DFB" w:rsidRDefault="008C7CC7" w:rsidP="004364F6">
      <w:pPr>
        <w:spacing w:line="480" w:lineRule="auto"/>
        <w:jc w:val="both"/>
      </w:pPr>
      <w:r>
        <w:t xml:space="preserve">The PACE </w:t>
      </w:r>
      <w:r w:rsidR="005A0213">
        <w:t>study (</w:t>
      </w:r>
      <w:r w:rsidR="005A0213" w:rsidRPr="005A0213">
        <w:t>General practitioner use of a C-reactive protein point-of-care test to help target antibiotic prescribing in patients with acute exacerbations of chronic obstructive pulmonary disease</w:t>
      </w:r>
      <w:r w:rsidR="005A0213">
        <w:t xml:space="preserve">) </w:t>
      </w:r>
      <w:r w:rsidR="00A2717E">
        <w:t>determined</w:t>
      </w:r>
      <w:r>
        <w:t xml:space="preserve"> the effectiveness of C-reactive Protein (CRP) point-of-care testing on safely reducing</w:t>
      </w:r>
      <w:r w:rsidR="00D9378C">
        <w:t xml:space="preserve"> antibiotic use</w:t>
      </w:r>
      <w:r>
        <w:t xml:space="preserve"> in patients presenting in primary care with an acute exacerbation of chronic obstructive pulmonary disease</w:t>
      </w:r>
      <w:r w:rsidR="0079243E">
        <w:t xml:space="preserve"> (AECOPD)</w:t>
      </w:r>
      <w:r>
        <w:t>. [</w:t>
      </w:r>
      <w:r w:rsidR="00D964CA" w:rsidRPr="00D964CA">
        <w:t>9</w:t>
      </w:r>
      <w:r>
        <w:t>]</w:t>
      </w:r>
      <w:r w:rsidR="00D964CA">
        <w:t xml:space="preserve"> </w:t>
      </w:r>
      <w:r w:rsidR="008014FD">
        <w:t>The</w:t>
      </w:r>
      <w:r w:rsidR="0079243E">
        <w:t xml:space="preserve"> study</w:t>
      </w:r>
      <w:r w:rsidR="008014FD">
        <w:t xml:space="preserve"> used </w:t>
      </w:r>
      <w:r w:rsidR="0079243E">
        <w:t>two co-primary outcomes</w:t>
      </w:r>
      <w:r w:rsidR="008014FD">
        <w:t>:</w:t>
      </w:r>
      <w:r w:rsidR="00D964CA">
        <w:t xml:space="preserve"> </w:t>
      </w:r>
      <w:proofErr w:type="spellStart"/>
      <w:r w:rsidR="00D964CA">
        <w:t>i</w:t>
      </w:r>
      <w:proofErr w:type="spellEnd"/>
      <w:r w:rsidR="00D964CA">
        <w:t xml:space="preserve">.) </w:t>
      </w:r>
      <w:r w:rsidR="0079243E">
        <w:t>Antibiotic use for AECOPD within the first four-weeks post-randomisation</w:t>
      </w:r>
      <w:r w:rsidR="00D964CA">
        <w:t xml:space="preserve">; ii.) </w:t>
      </w:r>
      <w:r w:rsidR="0079243E">
        <w:t xml:space="preserve">COPD health status, as measured by the </w:t>
      </w:r>
      <w:r w:rsidR="002A089F">
        <w:t>COPD Clinical Questionnaire at two-weeks post-randomisation</w:t>
      </w:r>
      <w:r w:rsidR="00D964CA">
        <w:t xml:space="preserve">. </w:t>
      </w:r>
      <w:r w:rsidR="002A089F">
        <w:t xml:space="preserve">These co-primary outcomes </w:t>
      </w:r>
      <w:r w:rsidR="008014FD">
        <w:t>were</w:t>
      </w:r>
      <w:r w:rsidR="002A089F">
        <w:t xml:space="preserve"> </w:t>
      </w:r>
      <w:r w:rsidR="002A089F">
        <w:lastRenderedPageBreak/>
        <w:t xml:space="preserve">investigated for superiority and non-inferiority respectively. </w:t>
      </w:r>
      <w:r w:rsidR="00201103">
        <w:t>The study aim</w:t>
      </w:r>
      <w:r w:rsidR="008014FD">
        <w:t>ed</w:t>
      </w:r>
      <w:r w:rsidR="00201103">
        <w:t xml:space="preserve"> to recruit 650 participants in order to achieve between 81</w:t>
      </w:r>
      <w:r w:rsidR="006C12B9">
        <w:t>%</w:t>
      </w:r>
      <w:r w:rsidR="00201103">
        <w:t xml:space="preserve"> and 90% power to detect a 20</w:t>
      </w:r>
      <w:r w:rsidR="00771877">
        <w:t xml:space="preserve">% absolute </w:t>
      </w:r>
      <w:r w:rsidR="00C07C7B">
        <w:t>difference</w:t>
      </w:r>
      <w:r w:rsidR="00201103">
        <w:t xml:space="preserve"> in antibiotic use</w:t>
      </w:r>
      <w:r w:rsidR="006C12B9">
        <w:t>,</w:t>
      </w:r>
      <w:r w:rsidR="00C07C7B">
        <w:t xml:space="preserve"> </w:t>
      </w:r>
      <w:r w:rsidR="00201103">
        <w:t xml:space="preserve">and </w:t>
      </w:r>
      <w:r w:rsidR="00C07C7B">
        <w:t xml:space="preserve">a COPD health status that is </w:t>
      </w:r>
      <w:r w:rsidR="00771877">
        <w:t xml:space="preserve">no worse </w:t>
      </w:r>
      <w:r w:rsidR="00C07C7B">
        <w:t>(with a non-inferiority margin of 0.3).</w:t>
      </w:r>
    </w:p>
    <w:p w14:paraId="04A264D9" w14:textId="7F303D22" w:rsidR="00D32B82" w:rsidRDefault="00D32B82" w:rsidP="004364F6">
      <w:pPr>
        <w:spacing w:line="480" w:lineRule="auto"/>
        <w:jc w:val="both"/>
      </w:pPr>
      <w:r>
        <w:t>The BATCH study</w:t>
      </w:r>
      <w:r w:rsidR="005A0213">
        <w:t xml:space="preserve"> (</w:t>
      </w:r>
      <w:r w:rsidR="005A0213" w:rsidRPr="00D32B82">
        <w:t>Biomarker-guided duration of Antibiotic Treatment in Children Hospitalised with confirmed or suspected bacterial infection</w:t>
      </w:r>
      <w:r w:rsidR="005A0213">
        <w:t>)</w:t>
      </w:r>
      <w:r w:rsidR="006B35E6">
        <w:t xml:space="preserve"> is</w:t>
      </w:r>
      <w:r>
        <w:t xml:space="preserve"> investigat</w:t>
      </w:r>
      <w:r w:rsidR="006B35E6">
        <w:t xml:space="preserve">ing </w:t>
      </w:r>
      <w:r w:rsidR="00A2717E">
        <w:t xml:space="preserve">the effect of </w:t>
      </w:r>
      <w:r w:rsidRPr="00D32B82">
        <w:t>procalcitonin-guided management</w:t>
      </w:r>
      <w:r>
        <w:t xml:space="preserve"> </w:t>
      </w:r>
      <w:r w:rsidR="00A2717E">
        <w:t xml:space="preserve">on antibiotic use in </w:t>
      </w:r>
      <w:r>
        <w:t xml:space="preserve">children with </w:t>
      </w:r>
      <w:r w:rsidRPr="00D32B82">
        <w:t>severe bacterial infection</w:t>
      </w:r>
      <w:r w:rsidR="00A2717E">
        <w:t>.</w:t>
      </w:r>
      <w:r>
        <w:t xml:space="preserve"> [10]</w:t>
      </w:r>
      <w:r w:rsidR="00704DB5">
        <w:t xml:space="preserve"> The co-primary outcomes for the study are </w:t>
      </w:r>
      <w:proofErr w:type="spellStart"/>
      <w:r w:rsidR="00704DB5">
        <w:t>i</w:t>
      </w:r>
      <w:proofErr w:type="spellEnd"/>
      <w:r w:rsidR="00704DB5">
        <w:t xml:space="preserve">.) </w:t>
      </w:r>
      <w:r w:rsidR="00213927">
        <w:t>Number of d</w:t>
      </w:r>
      <w:r w:rsidR="00704DB5">
        <w:t xml:space="preserve">ays of </w:t>
      </w:r>
      <w:r w:rsidR="00166211">
        <w:t>intravenous</w:t>
      </w:r>
      <w:r w:rsidR="009B240A">
        <w:t xml:space="preserve"> (IV)</w:t>
      </w:r>
      <w:r w:rsidR="00704DB5">
        <w:t xml:space="preserve"> antibiotic therapy</w:t>
      </w:r>
      <w:r w:rsidR="00A2717E">
        <w:t>, and</w:t>
      </w:r>
      <w:r w:rsidR="00704DB5">
        <w:t xml:space="preserve">; ii.) Safety (comprising </w:t>
      </w:r>
      <w:r w:rsidR="00166211">
        <w:t>u</w:t>
      </w:r>
      <w:r w:rsidR="00704DB5" w:rsidRPr="00704DB5">
        <w:t>nscheduled admissions/re-admissions</w:t>
      </w:r>
      <w:r w:rsidR="00704DB5">
        <w:t xml:space="preserve">; </w:t>
      </w:r>
      <w:r w:rsidR="006B35E6">
        <w:t>r</w:t>
      </w:r>
      <w:r w:rsidR="00704DB5" w:rsidRPr="00704DB5">
        <w:t>e-treatment for same condition within 7 days of stopping IV antibiotics</w:t>
      </w:r>
      <w:r w:rsidR="00704DB5">
        <w:t xml:space="preserve">; </w:t>
      </w:r>
      <w:r w:rsidR="006B35E6">
        <w:t>m</w:t>
      </w:r>
      <w:r w:rsidR="00704DB5">
        <w:t>ortality).</w:t>
      </w:r>
      <w:r w:rsidR="006B35E6" w:rsidRPr="006B35E6">
        <w:t xml:space="preserve"> The study aim</w:t>
      </w:r>
      <w:r w:rsidR="006C12B9">
        <w:t>s</w:t>
      </w:r>
      <w:r w:rsidR="006B35E6" w:rsidRPr="006B35E6">
        <w:t xml:space="preserve"> to recruit 1942 participants to achieve between 99% power to detect </w:t>
      </w:r>
      <w:r w:rsidR="006B35E6">
        <w:t xml:space="preserve">a decrease in </w:t>
      </w:r>
      <w:r w:rsidR="006B35E6" w:rsidRPr="006B35E6">
        <w:t xml:space="preserve">antibiotic duration and 90% power to test non-inferiority in safety. Assuming that </w:t>
      </w:r>
      <w:r w:rsidR="003A40F1">
        <w:t xml:space="preserve">the antibiotic use and safety </w:t>
      </w:r>
      <w:r w:rsidR="006B35E6" w:rsidRPr="006B35E6">
        <w:t xml:space="preserve">primary outcomes are independent, this </w:t>
      </w:r>
      <w:r w:rsidR="00517862">
        <w:t>will</w:t>
      </w:r>
      <w:r w:rsidR="006B35E6" w:rsidRPr="006B35E6">
        <w:t xml:space="preserve"> give at least 89% power for the combined analysis.</w:t>
      </w:r>
    </w:p>
    <w:p w14:paraId="294D0D47" w14:textId="3EC50107" w:rsidR="005E7EC1" w:rsidRPr="005E7EC1" w:rsidRDefault="00C830AE" w:rsidP="004364F6">
      <w:pPr>
        <w:spacing w:line="480" w:lineRule="auto"/>
        <w:jc w:val="both"/>
      </w:pPr>
      <w:r>
        <w:t xml:space="preserve">Reducing </w:t>
      </w:r>
      <w:r w:rsidR="000131DD">
        <w:t xml:space="preserve">antimicrobial use </w:t>
      </w:r>
      <w:r>
        <w:t xml:space="preserve">is </w:t>
      </w:r>
      <w:r w:rsidR="000131DD">
        <w:t xml:space="preserve">essential to preserving antimicrobial effectiveness, </w:t>
      </w:r>
      <w:r>
        <w:t xml:space="preserve">but should </w:t>
      </w:r>
      <w:r w:rsidR="00543BC2">
        <w:t xml:space="preserve">not harm patients in the process. AMS </w:t>
      </w:r>
      <w:r w:rsidR="0005443D">
        <w:t>intervention</w:t>
      </w:r>
      <w:r w:rsidR="00543BC2">
        <w:t xml:space="preserve"> evaluations </w:t>
      </w:r>
      <w:r w:rsidR="0005443D">
        <w:t xml:space="preserve">must consider the clinical implications of </w:t>
      </w:r>
      <w:r w:rsidR="000131DD">
        <w:t xml:space="preserve">changed </w:t>
      </w:r>
      <w:r w:rsidR="00543BC2">
        <w:t>antimicrobial use</w:t>
      </w:r>
      <w:r w:rsidR="0005443D">
        <w:t>, and the use of c</w:t>
      </w:r>
      <w:r w:rsidR="005E7EC1">
        <w:t xml:space="preserve">o-primary outcomes </w:t>
      </w:r>
      <w:r w:rsidR="0005443D">
        <w:t>ensure</w:t>
      </w:r>
      <w:r w:rsidR="000131DD">
        <w:t>s</w:t>
      </w:r>
      <w:r w:rsidR="0005443D">
        <w:t xml:space="preserve"> that </w:t>
      </w:r>
      <w:r w:rsidR="000131DD">
        <w:t>both use and safety outcomes are considered jointly. R</w:t>
      </w:r>
      <w:r w:rsidR="005E7EC1">
        <w:t xml:space="preserve">esearchers in this field </w:t>
      </w:r>
      <w:r w:rsidR="00802A8B">
        <w:t>are encouraged</w:t>
      </w:r>
      <w:r w:rsidR="000131DD">
        <w:t xml:space="preserve"> </w:t>
      </w:r>
      <w:r w:rsidR="005E7EC1">
        <w:t>to consider the use of co-primary outcomes</w:t>
      </w:r>
      <w:r w:rsidR="000825C0">
        <w:t xml:space="preserve">, and research funders </w:t>
      </w:r>
      <w:r w:rsidR="00F34C48">
        <w:t>should</w:t>
      </w:r>
      <w:r w:rsidR="00543BC2">
        <w:t xml:space="preserve"> consider </w:t>
      </w:r>
      <w:r w:rsidR="000825C0">
        <w:t>mandat</w:t>
      </w:r>
      <w:r w:rsidR="00543BC2">
        <w:t xml:space="preserve">ing </w:t>
      </w:r>
      <w:r w:rsidR="000825C0">
        <w:t xml:space="preserve">this dual focus when commissioning </w:t>
      </w:r>
      <w:r w:rsidR="00543BC2">
        <w:t xml:space="preserve">AMS intervention </w:t>
      </w:r>
      <w:r w:rsidR="000825C0">
        <w:t>studies</w:t>
      </w:r>
      <w:r w:rsidR="00543BC2">
        <w:t>.</w:t>
      </w:r>
    </w:p>
    <w:p w14:paraId="571FDB72" w14:textId="6F519EFC" w:rsidR="000345C7" w:rsidRDefault="000345C7" w:rsidP="004364F6">
      <w:pPr>
        <w:spacing w:line="480" w:lineRule="auto"/>
        <w:jc w:val="both"/>
        <w:outlineLvl w:val="0"/>
        <w:rPr>
          <w:b/>
        </w:rPr>
      </w:pPr>
      <w:r>
        <w:rPr>
          <w:b/>
        </w:rPr>
        <w:t>Acknowledgements</w:t>
      </w:r>
    </w:p>
    <w:p w14:paraId="139EB98C" w14:textId="77777777" w:rsidR="00E14D21" w:rsidRDefault="00A93D7F" w:rsidP="004364F6">
      <w:pPr>
        <w:spacing w:line="480" w:lineRule="auto"/>
        <w:jc w:val="both"/>
      </w:pPr>
      <w:r>
        <w:t>The authors declare no competing interests.</w:t>
      </w:r>
      <w:r w:rsidR="004377B8">
        <w:t xml:space="preserve"> </w:t>
      </w:r>
    </w:p>
    <w:p w14:paraId="08F8BB51" w14:textId="5D013D6F" w:rsidR="00E14D21" w:rsidRDefault="004377B8" w:rsidP="004364F6">
      <w:pPr>
        <w:spacing w:line="480" w:lineRule="auto"/>
        <w:jc w:val="both"/>
      </w:pPr>
      <w:r>
        <w:t xml:space="preserve">The PACE and BATCH studies were funded by </w:t>
      </w:r>
      <w:r w:rsidRPr="004377B8">
        <w:t>the National Institute of Health Research Health Technology Assessment</w:t>
      </w:r>
      <w:r>
        <w:t xml:space="preserve"> (PACE: </w:t>
      </w:r>
      <w:r w:rsidR="00F44FC0">
        <w:t xml:space="preserve">HTA project reference </w:t>
      </w:r>
      <w:r w:rsidR="00F44FC0" w:rsidRPr="00F44FC0">
        <w:t>12/33/12</w:t>
      </w:r>
      <w:r w:rsidR="00F44FC0">
        <w:t xml:space="preserve"> </w:t>
      </w:r>
      <w:r>
        <w:t xml:space="preserve">ISRCTN </w:t>
      </w:r>
      <w:r w:rsidRPr="004377B8">
        <w:t>24346473</w:t>
      </w:r>
      <w:r>
        <w:t xml:space="preserve">; BATCH: </w:t>
      </w:r>
      <w:r w:rsidR="00F44FC0" w:rsidRPr="00F44FC0">
        <w:t>HTA</w:t>
      </w:r>
      <w:r w:rsidR="00F44FC0">
        <w:t xml:space="preserve"> project reference</w:t>
      </w:r>
      <w:r w:rsidR="00F44FC0" w:rsidRPr="00F44FC0">
        <w:t xml:space="preserve"> 15/188/42 </w:t>
      </w:r>
      <w:r>
        <w:t xml:space="preserve">ISRCTN </w:t>
      </w:r>
      <w:r w:rsidRPr="004377B8">
        <w:t>11369832</w:t>
      </w:r>
      <w:r>
        <w:t>)</w:t>
      </w:r>
      <w:r w:rsidR="00F44FC0">
        <w:t xml:space="preserve">. </w:t>
      </w:r>
      <w:r w:rsidR="00F44FC0" w:rsidRPr="00F44FC0">
        <w:t xml:space="preserve">The work was undertaken with the support of the </w:t>
      </w:r>
      <w:r w:rsidR="00667665">
        <w:lastRenderedPageBreak/>
        <w:t xml:space="preserve">UKCRC registered </w:t>
      </w:r>
      <w:r w:rsidR="00F44FC0" w:rsidRPr="00F44FC0">
        <w:t xml:space="preserve">Centre for Trials Research. </w:t>
      </w:r>
      <w:r w:rsidR="00667665">
        <w:t>Infrastructure f</w:t>
      </w:r>
      <w:r w:rsidR="00F44FC0" w:rsidRPr="00F44FC0">
        <w:t>unding from Health and Care Research Wales and Cancer Research UK is gratefully acknowledged.</w:t>
      </w:r>
    </w:p>
    <w:p w14:paraId="43DCDFCA" w14:textId="6C73CF64" w:rsidR="00E14D21" w:rsidRPr="00A93D7F" w:rsidRDefault="00E14D21" w:rsidP="004364F6">
      <w:pPr>
        <w:spacing w:line="480" w:lineRule="auto"/>
        <w:jc w:val="both"/>
      </w:pPr>
      <w:r>
        <w:t xml:space="preserve">DG is a Research Fellow in Statistics at the Centre for Trials Research at Cardiff University. NAF is a General Practitioner and Clinical Reader at the Division of Population Medicine at Cardiff University. EDC is a Professor and </w:t>
      </w:r>
      <w:r w:rsidRPr="00E14D21">
        <w:t>Chair in Paediatric Infection</w:t>
      </w:r>
      <w:r>
        <w:t xml:space="preserve"> at the Institute of Infection and Global Health at University of Liverpool, and </w:t>
      </w:r>
      <w:r w:rsidRPr="00E14D21">
        <w:t>Honorary Consultant in Paediatric Infectious Diseases and Immunology at Alder Hey Children's NHS Foundation Trust.</w:t>
      </w:r>
      <w:r>
        <w:t xml:space="preserve"> ETJ</w:t>
      </w:r>
      <w:r w:rsidRPr="00E14D21">
        <w:t xml:space="preserve"> </w:t>
      </w:r>
      <w:r>
        <w:t>is a Research Fellow</w:t>
      </w:r>
      <w:r w:rsidRPr="00E14D21">
        <w:t xml:space="preserve"> </w:t>
      </w:r>
      <w:r>
        <w:t xml:space="preserve">at the Centre for Trials Research at Cardiff University. </w:t>
      </w:r>
      <w:r w:rsidR="000131DD" w:rsidRPr="005A0213">
        <w:rPr>
          <w:rFonts w:cstheme="minorHAnsi"/>
        </w:rPr>
        <w:t>CCB is an NIHR Senior Investigator and Director of the Primary Care and Vaccines Clinical Trials Cooperative and the NIHR Community Medical Technology and Invitro-diagnostics Cooperative, University of Oxford.</w:t>
      </w:r>
      <w:r>
        <w:rPr>
          <w:rFonts w:cstheme="minorHAnsi"/>
        </w:rPr>
        <w:t xml:space="preserve"> </w:t>
      </w:r>
      <w:r w:rsidRPr="00E14D21">
        <w:t>KH is a Health &amp; Care Research Wales Senior Research Leader and Director of the Centre for Trials Research</w:t>
      </w:r>
      <w:r>
        <w:t>.</w:t>
      </w:r>
    </w:p>
    <w:p w14:paraId="79965514" w14:textId="27A2F7E0" w:rsidR="004F2539" w:rsidRDefault="004F2539" w:rsidP="004364F6">
      <w:pPr>
        <w:spacing w:line="480" w:lineRule="auto"/>
        <w:jc w:val="both"/>
        <w:outlineLvl w:val="0"/>
        <w:rPr>
          <w:b/>
        </w:rPr>
      </w:pPr>
      <w:r>
        <w:rPr>
          <w:b/>
        </w:rPr>
        <w:t>References</w:t>
      </w:r>
    </w:p>
    <w:p w14:paraId="320C01CD" w14:textId="30D5C8A4" w:rsidR="0076415C" w:rsidRDefault="0076415C" w:rsidP="004364F6">
      <w:pPr>
        <w:spacing w:line="480" w:lineRule="auto"/>
        <w:jc w:val="both"/>
      </w:pPr>
      <w:r>
        <w:t xml:space="preserve">1. </w:t>
      </w:r>
      <w:r w:rsidRPr="0076415C">
        <w:t>World Health Organization, 2014. Antimicrobial resistance: global report on surveillance. World Health Organization.</w:t>
      </w:r>
    </w:p>
    <w:p w14:paraId="147F0742" w14:textId="7D32E385" w:rsidR="0076415C" w:rsidRDefault="0076415C" w:rsidP="004364F6">
      <w:pPr>
        <w:spacing w:line="480" w:lineRule="auto"/>
        <w:jc w:val="both"/>
      </w:pPr>
      <w:r>
        <w:t xml:space="preserve">2. </w:t>
      </w:r>
      <w:proofErr w:type="spellStart"/>
      <w:r w:rsidRPr="0076415C">
        <w:t>Goossens</w:t>
      </w:r>
      <w:proofErr w:type="spellEnd"/>
      <w:r w:rsidRPr="0076415C">
        <w:t xml:space="preserve">, H., </w:t>
      </w:r>
      <w:proofErr w:type="spellStart"/>
      <w:r w:rsidRPr="0076415C">
        <w:t>Ferech</w:t>
      </w:r>
      <w:proofErr w:type="spellEnd"/>
      <w:r w:rsidRPr="0076415C">
        <w:t xml:space="preserve">, M., Vander </w:t>
      </w:r>
      <w:proofErr w:type="spellStart"/>
      <w:r w:rsidRPr="0076415C">
        <w:t>Stichele</w:t>
      </w:r>
      <w:proofErr w:type="spellEnd"/>
      <w:r w:rsidRPr="0076415C">
        <w:t xml:space="preserve">, R., </w:t>
      </w:r>
      <w:r w:rsidR="005A7B6A">
        <w:t>et al</w:t>
      </w:r>
      <w:r w:rsidRPr="0076415C">
        <w:t>. Outpatient antibiotic use in Europe and association with resistance: a cross-national database study. The Lancet, 365(9459), pp.579-587.</w:t>
      </w:r>
    </w:p>
    <w:p w14:paraId="69F72048" w14:textId="08A91780" w:rsidR="0076415C" w:rsidRDefault="0076415C" w:rsidP="004364F6">
      <w:pPr>
        <w:spacing w:line="480" w:lineRule="auto"/>
        <w:jc w:val="both"/>
      </w:pPr>
      <w:r>
        <w:t xml:space="preserve">3. </w:t>
      </w:r>
      <w:proofErr w:type="spellStart"/>
      <w:r w:rsidRPr="0076415C">
        <w:t>Costelloe</w:t>
      </w:r>
      <w:proofErr w:type="spellEnd"/>
      <w:r w:rsidRPr="0076415C">
        <w:t xml:space="preserve">, C., Metcalfe, C., </w:t>
      </w:r>
      <w:proofErr w:type="spellStart"/>
      <w:r w:rsidRPr="0076415C">
        <w:t>Lovering</w:t>
      </w:r>
      <w:proofErr w:type="spellEnd"/>
      <w:r w:rsidRPr="0076415C">
        <w:t xml:space="preserve">, A., </w:t>
      </w:r>
      <w:r w:rsidR="005A7B6A">
        <w:t>et al</w:t>
      </w:r>
      <w:r w:rsidRPr="0076415C">
        <w:t xml:space="preserve">, 2010. Effect of antibiotic prescribing in primary care on antimicrobial resistance in individual patients: systematic review and meta-analysis. </w:t>
      </w:r>
      <w:proofErr w:type="spellStart"/>
      <w:r w:rsidRPr="0076415C">
        <w:t>Bmj</w:t>
      </w:r>
      <w:proofErr w:type="spellEnd"/>
      <w:r w:rsidRPr="0076415C">
        <w:t>, 340, p.c2096.</w:t>
      </w:r>
    </w:p>
    <w:p w14:paraId="1330A8D1" w14:textId="0D5A45B8" w:rsidR="0076415C" w:rsidRDefault="0076415C" w:rsidP="004364F6">
      <w:pPr>
        <w:spacing w:line="480" w:lineRule="auto"/>
        <w:jc w:val="both"/>
      </w:pPr>
      <w:r>
        <w:t xml:space="preserve">4. </w:t>
      </w:r>
      <w:r w:rsidRPr="0076415C">
        <w:t xml:space="preserve">Davey, P., Marwick, C.A., Scott, C.L., </w:t>
      </w:r>
      <w:r w:rsidR="005A7B6A">
        <w:t>et al</w:t>
      </w:r>
      <w:r w:rsidRPr="0076415C">
        <w:t>, 2017. Interventions to improve antibiotic prescribing practices for hospital inpatients. The Cochrane Library.</w:t>
      </w:r>
    </w:p>
    <w:p w14:paraId="5B3162C8" w14:textId="366FA5E1" w:rsidR="0002665D" w:rsidRDefault="0002665D" w:rsidP="004364F6">
      <w:pPr>
        <w:spacing w:line="480" w:lineRule="auto"/>
        <w:jc w:val="both"/>
      </w:pPr>
      <w:r>
        <w:t xml:space="preserve">5. </w:t>
      </w:r>
      <w:proofErr w:type="spellStart"/>
      <w:r w:rsidRPr="0002665D">
        <w:t>Aldeyab</w:t>
      </w:r>
      <w:proofErr w:type="spellEnd"/>
      <w:r w:rsidRPr="0002665D">
        <w:t xml:space="preserve">, M.A., Scott, M.G., Kearney, M.P., </w:t>
      </w:r>
      <w:r>
        <w:t>et al</w:t>
      </w:r>
      <w:r w:rsidRPr="0002665D">
        <w:t>, 2014. Impact of an enhanced antibiotic stewardship on reducing methicillin-resistant Staphylococcus aureus in primary and secondary healthcare settings. Epidemiology &amp; Infection, 142(3), pp.494-500.</w:t>
      </w:r>
    </w:p>
    <w:p w14:paraId="27ABD4DB" w14:textId="77777777" w:rsidR="00866615" w:rsidRDefault="00866615" w:rsidP="004364F6">
      <w:pPr>
        <w:spacing w:line="480" w:lineRule="auto"/>
        <w:jc w:val="both"/>
      </w:pPr>
      <w:r>
        <w:lastRenderedPageBreak/>
        <w:t xml:space="preserve">6. </w:t>
      </w:r>
      <w:r w:rsidRPr="0002665D">
        <w:t>Cosby, J.L., Francis, N. and Butler, C.C., 2007. The role of evidence in the decline of antibiotic use for common respiratory infections in primary care. The Lancet infectious diseases, 7(11), pp.749-756.</w:t>
      </w:r>
    </w:p>
    <w:p w14:paraId="167DD5EB" w14:textId="6E29BD3E" w:rsidR="00866615" w:rsidRPr="0076415C" w:rsidRDefault="00866615" w:rsidP="004364F6">
      <w:pPr>
        <w:spacing w:line="480" w:lineRule="auto"/>
        <w:jc w:val="both"/>
      </w:pPr>
      <w:r>
        <w:t xml:space="preserve">7. </w:t>
      </w:r>
      <w:proofErr w:type="spellStart"/>
      <w:r w:rsidRPr="00BF5C44">
        <w:t>Oczkowski</w:t>
      </w:r>
      <w:proofErr w:type="spellEnd"/>
      <w:r w:rsidRPr="00BF5C44">
        <w:t>, S., 2017. Antimicrobial stewardship programmes: bedside rationing by another name</w:t>
      </w:r>
      <w:proofErr w:type="gramStart"/>
      <w:r w:rsidRPr="00BF5C44">
        <w:t>?.</w:t>
      </w:r>
      <w:proofErr w:type="gramEnd"/>
      <w:r w:rsidRPr="00BF5C44">
        <w:t xml:space="preserve"> Journal of Medical Ethics, pp.medethics-2015.</w:t>
      </w:r>
    </w:p>
    <w:p w14:paraId="64F0435C" w14:textId="50A6DF7E" w:rsidR="005A7B6A" w:rsidRDefault="007E3803" w:rsidP="004364F6">
      <w:pPr>
        <w:spacing w:line="480" w:lineRule="auto"/>
        <w:jc w:val="both"/>
      </w:pPr>
      <w:r>
        <w:t xml:space="preserve">8. </w:t>
      </w:r>
      <w:proofErr w:type="spellStart"/>
      <w:r w:rsidR="005A7B6A" w:rsidRPr="005A7B6A">
        <w:t>Offen</w:t>
      </w:r>
      <w:proofErr w:type="spellEnd"/>
      <w:r w:rsidR="005A7B6A" w:rsidRPr="005A7B6A">
        <w:t xml:space="preserve">, W., Chuang-Stein, C., </w:t>
      </w:r>
      <w:proofErr w:type="spellStart"/>
      <w:r w:rsidR="005A7B6A" w:rsidRPr="005A7B6A">
        <w:t>Dmitrienko</w:t>
      </w:r>
      <w:proofErr w:type="spellEnd"/>
      <w:r w:rsidR="005A7B6A" w:rsidRPr="005A7B6A">
        <w:t xml:space="preserve">, A., </w:t>
      </w:r>
      <w:r w:rsidR="005A7B6A">
        <w:t>et al</w:t>
      </w:r>
      <w:r w:rsidR="005A7B6A" w:rsidRPr="005A7B6A">
        <w:t>, 2007. Multiple co-primary endpoints: medical and statistical solutions: a report from the multiple endpoints expert team of the Pharmaceutical Research and Manufacturers of America. Drug Information Journal, 41(1), pp.31-46.</w:t>
      </w:r>
    </w:p>
    <w:p w14:paraId="2CD8D64B" w14:textId="53D0571F" w:rsidR="007E3803" w:rsidRDefault="007E3803" w:rsidP="004364F6">
      <w:pPr>
        <w:spacing w:line="480" w:lineRule="auto"/>
        <w:jc w:val="both"/>
      </w:pPr>
      <w:r>
        <w:t xml:space="preserve">9. </w:t>
      </w:r>
      <w:r w:rsidRPr="005A7B6A">
        <w:t xml:space="preserve">Bates, J., Francis, N.A., White, P., </w:t>
      </w:r>
      <w:r>
        <w:t>et al</w:t>
      </w:r>
      <w:r w:rsidRPr="005A7B6A">
        <w:t>, 2017. General practitioner use of a C-reactive protein point-of-care test to help target antibiotic prescribing in patients with acute exacerbations of chronic obstructive pulmonary disease (the PACE study): study protocol for a randomised controlled trial. Trials, 18.</w:t>
      </w:r>
    </w:p>
    <w:p w14:paraId="7AAB3406" w14:textId="08A57820" w:rsidR="00D32B82" w:rsidRDefault="00D32B82" w:rsidP="004364F6">
      <w:pPr>
        <w:spacing w:line="480" w:lineRule="auto"/>
        <w:jc w:val="both"/>
      </w:pPr>
      <w:r>
        <w:t xml:space="preserve">10. </w:t>
      </w:r>
      <w:r w:rsidRPr="00D32B82">
        <w:t>NIHR HTA. 2017. Biomarker-guided duration of Antibiotic Treatment in Children Hospitalised with confirmed or suspected bacterial infection (The BATCH Trial). [ONLINE] Available at: https://www.journalslibrary.nihr.ac.uk/programmes/hta/1518842/#/. [Accessed 24 January 2018]</w:t>
      </w:r>
    </w:p>
    <w:sectPr w:rsidR="00D32B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F157D7"/>
    <w:multiLevelType w:val="hybridMultilevel"/>
    <w:tmpl w:val="4B125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E2"/>
    <w:rsid w:val="000131DD"/>
    <w:rsid w:val="000259DA"/>
    <w:rsid w:val="0002665D"/>
    <w:rsid w:val="000345C7"/>
    <w:rsid w:val="00034EA6"/>
    <w:rsid w:val="0005443D"/>
    <w:rsid w:val="00077828"/>
    <w:rsid w:val="000825C0"/>
    <w:rsid w:val="000E27DE"/>
    <w:rsid w:val="000E2DA5"/>
    <w:rsid w:val="00127994"/>
    <w:rsid w:val="00144404"/>
    <w:rsid w:val="00166211"/>
    <w:rsid w:val="0017016A"/>
    <w:rsid w:val="00172051"/>
    <w:rsid w:val="00187A2D"/>
    <w:rsid w:val="001A2B36"/>
    <w:rsid w:val="001B2C71"/>
    <w:rsid w:val="001E1BE7"/>
    <w:rsid w:val="00201103"/>
    <w:rsid w:val="00202D9A"/>
    <w:rsid w:val="00213927"/>
    <w:rsid w:val="00216BE2"/>
    <w:rsid w:val="00233276"/>
    <w:rsid w:val="00284FA9"/>
    <w:rsid w:val="00294A95"/>
    <w:rsid w:val="002A089F"/>
    <w:rsid w:val="00312A5E"/>
    <w:rsid w:val="00316FEA"/>
    <w:rsid w:val="00357739"/>
    <w:rsid w:val="003A40F1"/>
    <w:rsid w:val="003D2507"/>
    <w:rsid w:val="003E4954"/>
    <w:rsid w:val="004364F6"/>
    <w:rsid w:val="004377B8"/>
    <w:rsid w:val="00454E30"/>
    <w:rsid w:val="00484EFA"/>
    <w:rsid w:val="004F0C76"/>
    <w:rsid w:val="004F2539"/>
    <w:rsid w:val="00514606"/>
    <w:rsid w:val="00517862"/>
    <w:rsid w:val="00543BC2"/>
    <w:rsid w:val="00563635"/>
    <w:rsid w:val="0058532D"/>
    <w:rsid w:val="00597D49"/>
    <w:rsid w:val="005A0213"/>
    <w:rsid w:val="005A7B6A"/>
    <w:rsid w:val="005B42B6"/>
    <w:rsid w:val="005E7EC1"/>
    <w:rsid w:val="00667665"/>
    <w:rsid w:val="006B35E6"/>
    <w:rsid w:val="006C12B9"/>
    <w:rsid w:val="006E189F"/>
    <w:rsid w:val="00704DB5"/>
    <w:rsid w:val="00711235"/>
    <w:rsid w:val="00717578"/>
    <w:rsid w:val="00720680"/>
    <w:rsid w:val="0076415C"/>
    <w:rsid w:val="00765B41"/>
    <w:rsid w:val="00771877"/>
    <w:rsid w:val="00782B50"/>
    <w:rsid w:val="0078597B"/>
    <w:rsid w:val="0079243E"/>
    <w:rsid w:val="007E3803"/>
    <w:rsid w:val="007F5E2F"/>
    <w:rsid w:val="007F6104"/>
    <w:rsid w:val="007F6E4D"/>
    <w:rsid w:val="008014FD"/>
    <w:rsid w:val="008022F5"/>
    <w:rsid w:val="00802A8B"/>
    <w:rsid w:val="008437A2"/>
    <w:rsid w:val="00866615"/>
    <w:rsid w:val="008B4D77"/>
    <w:rsid w:val="008B5D06"/>
    <w:rsid w:val="008C7CC7"/>
    <w:rsid w:val="008D7D8E"/>
    <w:rsid w:val="00914C92"/>
    <w:rsid w:val="00921485"/>
    <w:rsid w:val="009B240A"/>
    <w:rsid w:val="009C0128"/>
    <w:rsid w:val="009D3D52"/>
    <w:rsid w:val="009D4AED"/>
    <w:rsid w:val="009D5260"/>
    <w:rsid w:val="009F223A"/>
    <w:rsid w:val="00A2717E"/>
    <w:rsid w:val="00A46BC2"/>
    <w:rsid w:val="00A63F2A"/>
    <w:rsid w:val="00A93D7F"/>
    <w:rsid w:val="00AC711A"/>
    <w:rsid w:val="00AC7725"/>
    <w:rsid w:val="00AF30FA"/>
    <w:rsid w:val="00B16E77"/>
    <w:rsid w:val="00B232A8"/>
    <w:rsid w:val="00B31435"/>
    <w:rsid w:val="00B804D7"/>
    <w:rsid w:val="00B966E2"/>
    <w:rsid w:val="00BA03C3"/>
    <w:rsid w:val="00BF5C44"/>
    <w:rsid w:val="00C01997"/>
    <w:rsid w:val="00C07C7B"/>
    <w:rsid w:val="00C07DE8"/>
    <w:rsid w:val="00C2044A"/>
    <w:rsid w:val="00C34B96"/>
    <w:rsid w:val="00C73EEC"/>
    <w:rsid w:val="00C830AE"/>
    <w:rsid w:val="00C93E3F"/>
    <w:rsid w:val="00CD0615"/>
    <w:rsid w:val="00D02A96"/>
    <w:rsid w:val="00D16755"/>
    <w:rsid w:val="00D32B82"/>
    <w:rsid w:val="00D37B13"/>
    <w:rsid w:val="00D5750F"/>
    <w:rsid w:val="00D81D4D"/>
    <w:rsid w:val="00D87471"/>
    <w:rsid w:val="00D9378C"/>
    <w:rsid w:val="00D964CA"/>
    <w:rsid w:val="00DB6583"/>
    <w:rsid w:val="00DF21C1"/>
    <w:rsid w:val="00E115C7"/>
    <w:rsid w:val="00E12DE2"/>
    <w:rsid w:val="00E14D21"/>
    <w:rsid w:val="00E20DB8"/>
    <w:rsid w:val="00E24377"/>
    <w:rsid w:val="00E309A3"/>
    <w:rsid w:val="00E77ADD"/>
    <w:rsid w:val="00E8579C"/>
    <w:rsid w:val="00E87F11"/>
    <w:rsid w:val="00E92953"/>
    <w:rsid w:val="00E95673"/>
    <w:rsid w:val="00F06BC8"/>
    <w:rsid w:val="00F20C97"/>
    <w:rsid w:val="00F30EC0"/>
    <w:rsid w:val="00F31DF0"/>
    <w:rsid w:val="00F34C48"/>
    <w:rsid w:val="00F44FC0"/>
    <w:rsid w:val="00F51847"/>
    <w:rsid w:val="00F56AE6"/>
    <w:rsid w:val="00F64DFB"/>
    <w:rsid w:val="00F73140"/>
    <w:rsid w:val="00F937BA"/>
    <w:rsid w:val="00FC241B"/>
    <w:rsid w:val="00FC4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EDB5A"/>
  <w15:chartTrackingRefBased/>
  <w15:docId w15:val="{296A0490-3C4D-49C6-96A1-C0C6E965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7A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43E"/>
    <w:pPr>
      <w:ind w:left="720"/>
      <w:contextualSpacing/>
    </w:pPr>
  </w:style>
  <w:style w:type="table" w:styleId="TableGrid">
    <w:name w:val="Table Grid"/>
    <w:basedOn w:val="TableNormal"/>
    <w:uiPriority w:val="39"/>
    <w:rsid w:val="00F64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044A"/>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C2044A"/>
    <w:rPr>
      <w:rFonts w:ascii="Times New Roman" w:hAnsi="Times New Roman" w:cs="Times New Roman"/>
      <w:sz w:val="26"/>
      <w:szCs w:val="26"/>
    </w:rPr>
  </w:style>
  <w:style w:type="character" w:styleId="CommentReference">
    <w:name w:val="annotation reference"/>
    <w:basedOn w:val="DefaultParagraphFont"/>
    <w:uiPriority w:val="99"/>
    <w:semiHidden/>
    <w:unhideWhenUsed/>
    <w:rsid w:val="00C2044A"/>
    <w:rPr>
      <w:sz w:val="16"/>
      <w:szCs w:val="16"/>
    </w:rPr>
  </w:style>
  <w:style w:type="paragraph" w:styleId="CommentText">
    <w:name w:val="annotation text"/>
    <w:basedOn w:val="Normal"/>
    <w:link w:val="CommentTextChar"/>
    <w:uiPriority w:val="99"/>
    <w:semiHidden/>
    <w:unhideWhenUsed/>
    <w:rsid w:val="00C2044A"/>
    <w:pPr>
      <w:spacing w:line="240" w:lineRule="auto"/>
    </w:pPr>
    <w:rPr>
      <w:sz w:val="20"/>
      <w:szCs w:val="20"/>
    </w:rPr>
  </w:style>
  <w:style w:type="character" w:customStyle="1" w:styleId="CommentTextChar">
    <w:name w:val="Comment Text Char"/>
    <w:basedOn w:val="DefaultParagraphFont"/>
    <w:link w:val="CommentText"/>
    <w:uiPriority w:val="99"/>
    <w:semiHidden/>
    <w:rsid w:val="00C2044A"/>
    <w:rPr>
      <w:sz w:val="20"/>
      <w:szCs w:val="20"/>
    </w:rPr>
  </w:style>
  <w:style w:type="paragraph" w:styleId="CommentSubject">
    <w:name w:val="annotation subject"/>
    <w:basedOn w:val="CommentText"/>
    <w:next w:val="CommentText"/>
    <w:link w:val="CommentSubjectChar"/>
    <w:uiPriority w:val="99"/>
    <w:semiHidden/>
    <w:unhideWhenUsed/>
    <w:rsid w:val="00C2044A"/>
    <w:rPr>
      <w:b/>
      <w:bCs/>
    </w:rPr>
  </w:style>
  <w:style w:type="character" w:customStyle="1" w:styleId="CommentSubjectChar">
    <w:name w:val="Comment Subject Char"/>
    <w:basedOn w:val="CommentTextChar"/>
    <w:link w:val="CommentSubject"/>
    <w:uiPriority w:val="99"/>
    <w:semiHidden/>
    <w:rsid w:val="00C2044A"/>
    <w:rPr>
      <w:b/>
      <w:bCs/>
      <w:sz w:val="20"/>
      <w:szCs w:val="20"/>
    </w:rPr>
  </w:style>
  <w:style w:type="paragraph" w:styleId="Revision">
    <w:name w:val="Revision"/>
    <w:hidden/>
    <w:uiPriority w:val="99"/>
    <w:semiHidden/>
    <w:rsid w:val="00D5750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713880">
      <w:bodyDiv w:val="1"/>
      <w:marLeft w:val="0"/>
      <w:marRight w:val="0"/>
      <w:marTop w:val="0"/>
      <w:marBottom w:val="0"/>
      <w:divBdr>
        <w:top w:val="none" w:sz="0" w:space="0" w:color="auto"/>
        <w:left w:val="none" w:sz="0" w:space="0" w:color="auto"/>
        <w:bottom w:val="none" w:sz="0" w:space="0" w:color="auto"/>
        <w:right w:val="none" w:sz="0" w:space="0" w:color="auto"/>
      </w:divBdr>
      <w:divsChild>
        <w:div w:id="19386304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1399</Words>
  <Characters>7980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Cardiff University</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Gillespie</dc:creator>
  <cp:keywords/>
  <dc:description/>
  <cp:lastModifiedBy>Carrol, Enitan</cp:lastModifiedBy>
  <cp:revision>2</cp:revision>
  <dcterms:created xsi:type="dcterms:W3CDTF">2018-11-20T08:56:00Z</dcterms:created>
  <dcterms:modified xsi:type="dcterms:W3CDTF">2018-11-20T08:56:00Z</dcterms:modified>
</cp:coreProperties>
</file>